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80E81" w14:textId="77777777" w:rsidR="00D53E6F" w:rsidRPr="00461295" w:rsidRDefault="00D53E6F" w:rsidP="00D53E6F">
      <w:pPr>
        <w:spacing w:line="240" w:lineRule="auto"/>
      </w:pPr>
      <w:bookmarkStart w:id="0" w:name="_GoBack"/>
      <w:bookmarkEnd w:id="0"/>
    </w:p>
    <w:p w14:paraId="29213A37" w14:textId="77777777" w:rsidR="00D53E6F" w:rsidRPr="00461295" w:rsidRDefault="00D53E6F" w:rsidP="00D53E6F">
      <w:pPr>
        <w:spacing w:line="240" w:lineRule="auto"/>
      </w:pPr>
    </w:p>
    <w:p w14:paraId="7AC3112A" w14:textId="77777777" w:rsidR="00D53E6F" w:rsidRPr="00461295" w:rsidRDefault="00D53E6F" w:rsidP="00D53E6F">
      <w:pPr>
        <w:spacing w:line="240" w:lineRule="auto"/>
      </w:pPr>
    </w:p>
    <w:p w14:paraId="28767983" w14:textId="77777777" w:rsidR="00D53E6F" w:rsidRDefault="00D53E6F" w:rsidP="00D53E6F">
      <w:pPr>
        <w:spacing w:line="240" w:lineRule="auto"/>
        <w:jc w:val="center"/>
        <w:rPr>
          <w:lang w:val="en-CA"/>
        </w:rPr>
      </w:pPr>
      <w:r>
        <w:rPr>
          <w:noProof/>
        </w:rPr>
        <mc:AlternateContent>
          <mc:Choice Requires="wps">
            <w:drawing>
              <wp:anchor distT="4294967294" distB="4294967294" distL="114300" distR="114300" simplePos="0" relativeHeight="251659264" behindDoc="0" locked="0" layoutInCell="1" allowOverlap="1" wp14:anchorId="4D2BCDF5" wp14:editId="24891BD4">
                <wp:simplePos x="0" y="0"/>
                <wp:positionH relativeFrom="margin">
                  <wp:posOffset>38100</wp:posOffset>
                </wp:positionH>
                <wp:positionV relativeFrom="paragraph">
                  <wp:posOffset>111760</wp:posOffset>
                </wp:positionV>
                <wp:extent cx="5943600" cy="0"/>
                <wp:effectExtent l="38100" t="33020" r="38100" b="33655"/>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A11688"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pt,8.8pt" to="47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" strokecolor="#020000" strokeweight="4.8pt">
                <v:stroke linestyle="thinThin"/>
                <w10:wrap anchorx="margin"/>
              </v:line>
            </w:pict>
          </mc:Fallback>
        </mc:AlternateContent>
      </w:r>
    </w:p>
    <w:p w14:paraId="642056CD" w14:textId="77777777" w:rsidR="00D53E6F" w:rsidRPr="00562ECF" w:rsidRDefault="00D53E6F" w:rsidP="00D53E6F">
      <w:pPr>
        <w:spacing w:line="240" w:lineRule="auto"/>
        <w:jc w:val="center"/>
        <w:rPr>
          <w:b/>
          <w:sz w:val="36"/>
        </w:rPr>
      </w:pPr>
      <w:r w:rsidRPr="00562ECF">
        <w:rPr>
          <w:b/>
          <w:sz w:val="36"/>
        </w:rPr>
        <w:t xml:space="preserve">Regulatory Analysis for the </w:t>
      </w:r>
      <w:r>
        <w:rPr>
          <w:b/>
          <w:sz w:val="36"/>
        </w:rPr>
        <w:t>Final</w:t>
      </w:r>
      <w:r w:rsidRPr="00562ECF">
        <w:rPr>
          <w:b/>
          <w:sz w:val="36"/>
        </w:rPr>
        <w:t xml:space="preserve"> Rule:</w:t>
      </w:r>
    </w:p>
    <w:p w14:paraId="47AEE9DD" w14:textId="77777777" w:rsidR="00D53E6F" w:rsidRDefault="00D53E6F" w:rsidP="00D53E6F">
      <w:pPr>
        <w:spacing w:line="240" w:lineRule="auto"/>
        <w:jc w:val="center"/>
        <w:rPr>
          <w:b/>
          <w:sz w:val="36"/>
        </w:rPr>
      </w:pPr>
      <w:r w:rsidRPr="00562ECF">
        <w:rPr>
          <w:b/>
          <w:sz w:val="36"/>
        </w:rPr>
        <w:t>Approval of American Society of Mechanical Engineers Code Cases</w:t>
      </w:r>
    </w:p>
    <w:p w14:paraId="1C4E92A3" w14:textId="77777777" w:rsidR="00D53E6F" w:rsidRPr="00562ECF" w:rsidRDefault="00D53E6F" w:rsidP="00D53E6F">
      <w:pPr>
        <w:spacing w:line="240" w:lineRule="auto"/>
        <w:jc w:val="center"/>
        <w:rPr>
          <w:b/>
          <w:sz w:val="36"/>
        </w:rPr>
      </w:pPr>
    </w:p>
    <w:p w14:paraId="0D5C3868" w14:textId="77777777" w:rsidR="00D53E6F" w:rsidRPr="00C80453" w:rsidRDefault="00D53E6F" w:rsidP="00D53E6F">
      <w:pPr>
        <w:spacing w:line="240" w:lineRule="auto"/>
        <w:jc w:val="center"/>
        <w:rPr>
          <w:b/>
          <w:color w:val="auto"/>
          <w:sz w:val="24"/>
        </w:rPr>
      </w:pPr>
      <w:r w:rsidRPr="00C80453">
        <w:rPr>
          <w:b/>
          <w:sz w:val="24"/>
        </w:rPr>
        <w:t>NRC-2017-0024; RIN 3150-AJ93</w:t>
      </w:r>
    </w:p>
    <w:p w14:paraId="25ECA24F" w14:textId="77777777" w:rsidR="00D53E6F" w:rsidRDefault="00D53E6F" w:rsidP="00D53E6F">
      <w:pPr>
        <w:spacing w:line="240" w:lineRule="auto"/>
        <w:jc w:val="center"/>
        <w:rPr>
          <w:lang w:val="en-CA"/>
        </w:rPr>
      </w:pPr>
      <w:r>
        <w:rPr>
          <w:noProof/>
        </w:rPr>
        <mc:AlternateContent>
          <mc:Choice Requires="wps">
            <w:drawing>
              <wp:anchor distT="4294967294" distB="4294967294" distL="114300" distR="114300" simplePos="0" relativeHeight="251660288" behindDoc="0" locked="0" layoutInCell="1" allowOverlap="1" wp14:anchorId="3AFD561A" wp14:editId="23DD053B">
                <wp:simplePos x="0" y="0"/>
                <wp:positionH relativeFrom="margin">
                  <wp:posOffset>38100</wp:posOffset>
                </wp:positionH>
                <wp:positionV relativeFrom="paragraph">
                  <wp:posOffset>111760</wp:posOffset>
                </wp:positionV>
                <wp:extent cx="5943600" cy="0"/>
                <wp:effectExtent l="38100" t="33020" r="38100" b="3365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BF0136"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pt,8.8pt" to="47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" strokecolor="#020000" strokeweight="4.8pt">
                <v:stroke linestyle="thinThin"/>
                <w10:wrap anchorx="margin"/>
              </v:line>
            </w:pict>
          </mc:Fallback>
        </mc:AlternateContent>
      </w:r>
    </w:p>
    <w:p w14:paraId="021B70D8" w14:textId="77777777" w:rsidR="00D53E6F" w:rsidRPr="00461295" w:rsidRDefault="00D53E6F" w:rsidP="00D53E6F">
      <w:pPr>
        <w:spacing w:line="240" w:lineRule="auto"/>
      </w:pPr>
    </w:p>
    <w:p w14:paraId="71C4AE29" w14:textId="77777777" w:rsidR="00D53E6F" w:rsidRPr="00461295" w:rsidRDefault="00D53E6F" w:rsidP="00D53E6F">
      <w:pPr>
        <w:spacing w:line="240" w:lineRule="auto"/>
      </w:pPr>
    </w:p>
    <w:p w14:paraId="215A54BC" w14:textId="0309C61B" w:rsidR="00D53E6F" w:rsidRDefault="00DA78ED" w:rsidP="00D53E6F">
      <w:pPr>
        <w:spacing w:line="240" w:lineRule="auto"/>
        <w:rPr>
          <w:sz w:val="28"/>
          <w:szCs w:val="28"/>
        </w:rPr>
      </w:pPr>
      <w:r>
        <w:rPr>
          <w:b/>
          <w:sz w:val="28"/>
          <w:szCs w:val="28"/>
        </w:rPr>
        <w:t>[ENTER DATE HERE</w:t>
      </w:r>
      <w:r w:rsidR="000F590F">
        <w:rPr>
          <w:b/>
          <w:sz w:val="28"/>
          <w:szCs w:val="28"/>
        </w:rPr>
        <w:t>]</w:t>
      </w:r>
    </w:p>
    <w:p w14:paraId="217161D4" w14:textId="77777777" w:rsidR="00D53E6F" w:rsidRPr="00461295" w:rsidRDefault="00D53E6F" w:rsidP="00D53E6F">
      <w:pPr>
        <w:spacing w:line="240" w:lineRule="auto"/>
      </w:pPr>
    </w:p>
    <w:p w14:paraId="15C2B7F8" w14:textId="77777777" w:rsidR="00D53E6F" w:rsidRPr="00461295" w:rsidRDefault="00D53E6F" w:rsidP="00D53E6F">
      <w:pPr>
        <w:spacing w:line="240" w:lineRule="auto"/>
      </w:pPr>
    </w:p>
    <w:p w14:paraId="6A18502D" w14:textId="77777777" w:rsidR="00D53E6F" w:rsidRPr="00461295" w:rsidRDefault="00D53E6F" w:rsidP="00D53E6F">
      <w:pPr>
        <w:spacing w:line="240" w:lineRule="auto"/>
      </w:pPr>
    </w:p>
    <w:p w14:paraId="41C8B932" w14:textId="77777777" w:rsidR="00D53E6F" w:rsidRPr="00822ECA" w:rsidRDefault="00D53E6F" w:rsidP="00D53E6F">
      <w:pPr>
        <w:autoSpaceDE/>
        <w:autoSpaceDN/>
        <w:adjustRightInd/>
        <w:spacing w:line="240" w:lineRule="auto"/>
        <w:rPr>
          <w:rFonts w:eastAsia="Calibri"/>
          <w:b/>
          <w:color w:val="auto"/>
          <w:sz w:val="32"/>
          <w:szCs w:val="32"/>
        </w:rPr>
      </w:pPr>
      <w:r w:rsidRPr="00822ECA">
        <w:rPr>
          <w:rFonts w:eastAsia="Calibri"/>
          <w:b/>
          <w:color w:val="auto"/>
          <w:sz w:val="32"/>
          <w:szCs w:val="32"/>
        </w:rPr>
        <w:t>U.S. Nuclear Regulatory Commission</w:t>
      </w:r>
    </w:p>
    <w:p w14:paraId="4C758DC0" w14:textId="77777777" w:rsidR="00D53E6F" w:rsidRPr="00822ECA" w:rsidRDefault="00D53E6F" w:rsidP="00D53E6F">
      <w:pPr>
        <w:spacing w:line="240" w:lineRule="auto"/>
        <w:rPr>
          <w:color w:val="auto"/>
          <w:sz w:val="32"/>
        </w:rPr>
      </w:pPr>
      <w:r w:rsidRPr="00822ECA">
        <w:rPr>
          <w:sz w:val="32"/>
        </w:rPr>
        <w:t xml:space="preserve">Office of Nuclear </w:t>
      </w:r>
      <w:r>
        <w:rPr>
          <w:sz w:val="32"/>
        </w:rPr>
        <w:t>Material Safety and Safeguards</w:t>
      </w:r>
    </w:p>
    <w:p w14:paraId="54CBEFBE" w14:textId="77777777" w:rsidR="00D53E6F" w:rsidRDefault="00D53E6F" w:rsidP="00D53E6F">
      <w:pPr>
        <w:spacing w:line="240" w:lineRule="auto"/>
        <w:rPr>
          <w:sz w:val="32"/>
          <w:szCs w:val="32"/>
        </w:rPr>
      </w:pPr>
      <w:r>
        <w:rPr>
          <w:sz w:val="32"/>
          <w:szCs w:val="32"/>
        </w:rPr>
        <w:t>Division of Rulemaking</w:t>
      </w:r>
    </w:p>
    <w:p w14:paraId="2EB92291" w14:textId="77777777" w:rsidR="00D53E6F" w:rsidRPr="00461295" w:rsidRDefault="00D53E6F" w:rsidP="00D53E6F">
      <w:pPr>
        <w:spacing w:line="240" w:lineRule="auto"/>
      </w:pPr>
    </w:p>
    <w:p w14:paraId="0F6FE6A7" w14:textId="77777777" w:rsidR="00D53E6F" w:rsidRPr="00822ECA" w:rsidRDefault="00D53E6F" w:rsidP="00D53E6F">
      <w:pPr>
        <w:spacing w:line="240" w:lineRule="auto"/>
        <w:rPr>
          <w:sz w:val="20"/>
          <w:szCs w:val="20"/>
        </w:rPr>
      </w:pPr>
    </w:p>
    <w:p w14:paraId="52F03D34" w14:textId="77777777" w:rsidR="00D53E6F" w:rsidRDefault="00D53E6F" w:rsidP="00D53E6F">
      <w:pPr>
        <w:spacing w:line="240" w:lineRule="auto"/>
        <w:rPr>
          <w:sz w:val="20"/>
          <w:szCs w:val="20"/>
        </w:rPr>
      </w:pPr>
    </w:p>
    <w:p w14:paraId="6568D7FE" w14:textId="77777777" w:rsidR="00D53E6F" w:rsidRDefault="00D53E6F" w:rsidP="00D53E6F">
      <w:pPr>
        <w:spacing w:line="240" w:lineRule="auto"/>
        <w:rPr>
          <w:sz w:val="20"/>
          <w:szCs w:val="20"/>
        </w:rPr>
      </w:pPr>
    </w:p>
    <w:p w14:paraId="02331EE4" w14:textId="77777777" w:rsidR="00D53E6F" w:rsidRDefault="00D53E6F" w:rsidP="00D53E6F">
      <w:pPr>
        <w:spacing w:line="240" w:lineRule="auto"/>
        <w:rPr>
          <w:sz w:val="20"/>
          <w:szCs w:val="20"/>
        </w:rPr>
      </w:pPr>
    </w:p>
    <w:p w14:paraId="7E34CEB7" w14:textId="77777777" w:rsidR="00D53E6F" w:rsidRDefault="00D53E6F" w:rsidP="00D53E6F">
      <w:pPr>
        <w:spacing w:line="240" w:lineRule="auto"/>
        <w:rPr>
          <w:sz w:val="20"/>
          <w:szCs w:val="20"/>
        </w:rPr>
      </w:pPr>
    </w:p>
    <w:p w14:paraId="4AEB4409" w14:textId="77777777" w:rsidR="00D53E6F" w:rsidRDefault="00D53E6F" w:rsidP="00D53E6F">
      <w:pPr>
        <w:spacing w:line="240" w:lineRule="auto"/>
        <w:rPr>
          <w:sz w:val="20"/>
          <w:szCs w:val="20"/>
        </w:rPr>
      </w:pPr>
    </w:p>
    <w:p w14:paraId="3E9DD9EC" w14:textId="77777777" w:rsidR="00D53E6F" w:rsidRPr="00822ECA" w:rsidRDefault="00D53E6F" w:rsidP="00D53E6F">
      <w:pPr>
        <w:spacing w:line="240" w:lineRule="auto"/>
        <w:rPr>
          <w:sz w:val="20"/>
          <w:szCs w:val="20"/>
        </w:rPr>
      </w:pPr>
    </w:p>
    <w:p w14:paraId="48BE059B" w14:textId="77777777" w:rsidR="00D53E6F" w:rsidRPr="00822ECA" w:rsidRDefault="00D53E6F" w:rsidP="00D53E6F">
      <w:pPr>
        <w:spacing w:line="240" w:lineRule="auto"/>
        <w:rPr>
          <w:sz w:val="20"/>
          <w:szCs w:val="20"/>
        </w:rPr>
      </w:pPr>
    </w:p>
    <w:p w14:paraId="3CE9E11A" w14:textId="77777777" w:rsidR="00D53E6F" w:rsidRPr="00822ECA" w:rsidRDefault="00D53E6F" w:rsidP="00D53E6F">
      <w:pPr>
        <w:spacing w:line="240" w:lineRule="auto"/>
        <w:rPr>
          <w:sz w:val="20"/>
          <w:szCs w:val="20"/>
        </w:rPr>
      </w:pPr>
    </w:p>
    <w:p w14:paraId="736D7B75" w14:textId="77777777" w:rsidR="00D53E6F" w:rsidRPr="00822ECA" w:rsidRDefault="00D53E6F" w:rsidP="00D53E6F">
      <w:pPr>
        <w:spacing w:line="240" w:lineRule="auto"/>
        <w:rPr>
          <w:sz w:val="20"/>
          <w:szCs w:val="20"/>
        </w:rPr>
      </w:pPr>
    </w:p>
    <w:p w14:paraId="4A262F9D" w14:textId="77777777" w:rsidR="00D53E6F" w:rsidRPr="00822ECA" w:rsidRDefault="00D53E6F" w:rsidP="00D53E6F">
      <w:pPr>
        <w:spacing w:line="240" w:lineRule="auto"/>
        <w:rPr>
          <w:sz w:val="20"/>
          <w:szCs w:val="20"/>
        </w:rPr>
      </w:pPr>
      <w:r>
        <w:rPr>
          <w:noProof/>
        </w:rPr>
        <w:drawing>
          <wp:inline distT="0" distB="0" distL="0" distR="0" wp14:anchorId="711E5D7B" wp14:editId="34F5289A">
            <wp:extent cx="1341120" cy="1341120"/>
            <wp:effectExtent l="0" t="0" r="0" b="0"/>
            <wp:docPr id="3" name="Picture 6" descr="NRC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RC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1120" cy="1341120"/>
                    </a:xfrm>
                    <a:prstGeom prst="rect">
                      <a:avLst/>
                    </a:prstGeom>
                    <a:noFill/>
                    <a:ln>
                      <a:noFill/>
                    </a:ln>
                  </pic:spPr>
                </pic:pic>
              </a:graphicData>
            </a:graphic>
          </wp:inline>
        </w:drawing>
      </w:r>
    </w:p>
    <w:p w14:paraId="35FD7A78" w14:textId="77777777" w:rsidR="00D53E6F" w:rsidRPr="00822ECA" w:rsidRDefault="00D53E6F" w:rsidP="00D53E6F">
      <w:pPr>
        <w:spacing w:line="240" w:lineRule="auto"/>
        <w:rPr>
          <w:sz w:val="20"/>
          <w:szCs w:val="20"/>
        </w:rPr>
      </w:pPr>
    </w:p>
    <w:p w14:paraId="58501EAA" w14:textId="77777777" w:rsidR="00D53E6F" w:rsidRPr="00461295" w:rsidRDefault="00D53E6F" w:rsidP="00D53E6F">
      <w:pPr>
        <w:spacing w:line="240" w:lineRule="auto"/>
      </w:pPr>
    </w:p>
    <w:p w14:paraId="14B54E21" w14:textId="77777777" w:rsidR="00D53E6F" w:rsidRPr="00461295" w:rsidRDefault="00D53E6F" w:rsidP="00D53E6F">
      <w:pPr>
        <w:spacing w:line="240" w:lineRule="auto"/>
      </w:pPr>
    </w:p>
    <w:p w14:paraId="0A8310D2" w14:textId="77777777" w:rsidR="00D53E6F" w:rsidRDefault="00D53E6F" w:rsidP="00D53E6F">
      <w:pPr>
        <w:spacing w:line="240" w:lineRule="auto"/>
      </w:pPr>
    </w:p>
    <w:p w14:paraId="6129110B" w14:textId="77777777" w:rsidR="00D53E6F" w:rsidRDefault="00D53E6F" w:rsidP="00D53E6F">
      <w:pPr>
        <w:spacing w:line="240" w:lineRule="auto"/>
      </w:pPr>
    </w:p>
    <w:p w14:paraId="7F7FBB25" w14:textId="77777777" w:rsidR="00D53E6F" w:rsidRPr="00461295" w:rsidRDefault="00D53E6F" w:rsidP="00D53E6F">
      <w:pPr>
        <w:spacing w:line="240" w:lineRule="auto"/>
      </w:pPr>
    </w:p>
    <w:p w14:paraId="623B66B6" w14:textId="77777777" w:rsidR="00D53E6F" w:rsidRPr="00461295" w:rsidRDefault="00D53E6F" w:rsidP="00D53E6F">
      <w:pPr>
        <w:spacing w:line="240" w:lineRule="auto"/>
      </w:pPr>
    </w:p>
    <w:p w14:paraId="1BE04017" w14:textId="77777777" w:rsidR="00D53E6F" w:rsidRPr="00461295" w:rsidRDefault="00D53E6F" w:rsidP="00D53E6F">
      <w:pPr>
        <w:spacing w:line="240" w:lineRule="auto"/>
        <w:sectPr w:rsidR="00D53E6F" w:rsidRPr="00461295" w:rsidSect="00D53E6F">
          <w:footerReference w:type="default" r:id="rId13"/>
          <w:pgSz w:w="12240" w:h="15840"/>
          <w:pgMar w:top="1440" w:right="1440" w:bottom="1440" w:left="1440" w:header="720" w:footer="720" w:gutter="0"/>
          <w:pgNumType w:fmt="numberInDash" w:start="1"/>
          <w:cols w:space="720"/>
          <w:titlePg/>
          <w:docGrid w:linePitch="360"/>
        </w:sectPr>
      </w:pPr>
    </w:p>
    <w:p w14:paraId="05078262" w14:textId="77777777" w:rsidR="00D53E6F" w:rsidRDefault="00D53E6F" w:rsidP="00D53E6F">
      <w:pPr>
        <w:pStyle w:val="Heading1"/>
        <w:spacing w:line="240" w:lineRule="auto"/>
        <w:ind w:left="540" w:hanging="540"/>
      </w:pPr>
      <w:bookmarkStart w:id="1" w:name="_Toc462224935"/>
      <w:bookmarkStart w:id="2" w:name="_Toc468875894"/>
      <w:bookmarkStart w:id="3" w:name="_Toc12808760"/>
      <w:bookmarkStart w:id="4" w:name="_Toc331681521"/>
      <w:bookmarkStart w:id="5" w:name="_Toc199932302"/>
      <w:bookmarkStart w:id="6" w:name="_Toc199932390"/>
      <w:bookmarkStart w:id="7" w:name="_Toc199932465"/>
      <w:bookmarkStart w:id="8" w:name="_Toc199932634"/>
      <w:r>
        <w:lastRenderedPageBreak/>
        <w:t>Abstract</w:t>
      </w:r>
      <w:bookmarkEnd w:id="1"/>
      <w:bookmarkEnd w:id="2"/>
      <w:bookmarkEnd w:id="3"/>
    </w:p>
    <w:p w14:paraId="0C219CC8" w14:textId="77777777" w:rsidR="00D53E6F" w:rsidRDefault="00D53E6F" w:rsidP="00D53E6F">
      <w:pPr>
        <w:spacing w:line="240" w:lineRule="auto"/>
      </w:pPr>
    </w:p>
    <w:p w14:paraId="00885A75" w14:textId="77777777" w:rsidR="00D53E6F" w:rsidRDefault="00D53E6F" w:rsidP="00D53E6F">
      <w:pPr>
        <w:spacing w:line="240" w:lineRule="auto"/>
      </w:pPr>
      <w:bookmarkStart w:id="9" w:name="_Toc414345945"/>
      <w:r w:rsidRPr="00F46A73">
        <w:t xml:space="preserve">The U.S. Nuclear Regulatory </w:t>
      </w:r>
      <w:r w:rsidRPr="00075A26">
        <w:t xml:space="preserve">Commission (NRC) is amending its regulations to incorporate by reference the latest revisions </w:t>
      </w:r>
      <w:r>
        <w:t>to</w:t>
      </w:r>
      <w:r w:rsidRPr="00075A26">
        <w:t xml:space="preserve"> three regulatory guides (RGs) </w:t>
      </w:r>
      <w:r>
        <w:t xml:space="preserve">that </w:t>
      </w:r>
      <w:r w:rsidRPr="00075A26">
        <w:t>approv</w:t>
      </w:r>
      <w:r>
        <w:t>e</w:t>
      </w:r>
      <w:r w:rsidRPr="00075A26">
        <w:t xml:space="preserve"> new, revised, and reaffirmed </w:t>
      </w:r>
      <w:r>
        <w:t xml:space="preserve">American Society of Mechanical Engineers (ASME) </w:t>
      </w:r>
      <w:r w:rsidRPr="00075A26">
        <w:t>Code Cases</w:t>
      </w:r>
      <w:r>
        <w:t xml:space="preserve">.  The </w:t>
      </w:r>
      <w:r w:rsidRPr="005A5E07">
        <w:t>NRC find</w:t>
      </w:r>
      <w:r>
        <w:t>s</w:t>
      </w:r>
      <w:r w:rsidRPr="005A5E07">
        <w:t xml:space="preserve"> </w:t>
      </w:r>
      <w:r>
        <w:t xml:space="preserve">these ASME Code Cases </w:t>
      </w:r>
      <w:r w:rsidRPr="005A5E07">
        <w:t>acceptable or acceptable with NRC</w:t>
      </w:r>
      <w:r>
        <w:noBreakHyphen/>
      </w:r>
      <w:r w:rsidRPr="005A5E07">
        <w:t>specified conditions (</w:t>
      </w:r>
      <w:r>
        <w:t>i.e., </w:t>
      </w:r>
      <w:r w:rsidRPr="005A5E07">
        <w:t xml:space="preserve">“conditionally acceptable”).  </w:t>
      </w:r>
      <w:r>
        <w:t>The NRC is issuing three RGs with the final rule that identify the ASME Code Cases approved by the agency:</w:t>
      </w:r>
    </w:p>
    <w:p w14:paraId="0A02FE05" w14:textId="77777777" w:rsidR="00D53E6F" w:rsidRDefault="00D53E6F" w:rsidP="00D53E6F">
      <w:pPr>
        <w:spacing w:line="240" w:lineRule="auto"/>
      </w:pPr>
    </w:p>
    <w:p w14:paraId="2FD7AC2F" w14:textId="77777777" w:rsidR="00D53E6F" w:rsidRDefault="00D53E6F" w:rsidP="00D53E6F">
      <w:pPr>
        <w:pStyle w:val="ListParagraph"/>
        <w:numPr>
          <w:ilvl w:val="0"/>
          <w:numId w:val="11"/>
        </w:numPr>
        <w:spacing w:line="240" w:lineRule="auto"/>
      </w:pPr>
      <w:r>
        <w:t>RG </w:t>
      </w:r>
      <w:r w:rsidRPr="005A5E07">
        <w:t xml:space="preserve">1.84, </w:t>
      </w:r>
      <w:r>
        <w:t xml:space="preserve">“Design, Fabrication, and Materials Code Case Acceptability, ASME </w:t>
      </w:r>
      <w:r w:rsidRPr="003168BA">
        <w:t>Section</w:t>
      </w:r>
      <w:r>
        <w:t> </w:t>
      </w:r>
      <w:r w:rsidRPr="003168BA">
        <w:t>III</w:t>
      </w:r>
      <w:r>
        <w:t xml:space="preserve">,” </w:t>
      </w:r>
      <w:r w:rsidRPr="005A5E07">
        <w:t>Revision</w:t>
      </w:r>
      <w:r>
        <w:t xml:space="preserve"> 38 (ADAMS Accession No. </w:t>
      </w:r>
      <w:r w:rsidRPr="00322632">
        <w:t xml:space="preserve"> ML19128A276</w:t>
      </w:r>
      <w:r>
        <w:t>)</w:t>
      </w:r>
      <w:r w:rsidRPr="002635C6">
        <w:t>,</w:t>
      </w:r>
      <w:r w:rsidRPr="005A5E07">
        <w:t xml:space="preserve"> supersede</w:t>
      </w:r>
      <w:r>
        <w:t>s</w:t>
      </w:r>
      <w:r w:rsidRPr="005A5E07">
        <w:t xml:space="preserve"> the incorporation by reference </w:t>
      </w:r>
      <w:r>
        <w:t>in</w:t>
      </w:r>
      <w:r w:rsidRPr="005A5E07">
        <w:t xml:space="preserve"> </w:t>
      </w:r>
      <w:r>
        <w:t>RG </w:t>
      </w:r>
      <w:r w:rsidRPr="005A5E07">
        <w:t>1.84</w:t>
      </w:r>
      <w:r>
        <w:t xml:space="preserve">, </w:t>
      </w:r>
      <w:r w:rsidRPr="005A5E07">
        <w:t>Revision</w:t>
      </w:r>
      <w:r>
        <w:t> 37, issued March 2017.</w:t>
      </w:r>
    </w:p>
    <w:p w14:paraId="7FF5460C" w14:textId="77777777" w:rsidR="00D53E6F" w:rsidRDefault="00D53E6F" w:rsidP="00D53E6F">
      <w:pPr>
        <w:spacing w:line="240" w:lineRule="auto"/>
      </w:pPr>
    </w:p>
    <w:p w14:paraId="7F8D410A" w14:textId="77777777" w:rsidR="00D53E6F" w:rsidRDefault="00D53E6F" w:rsidP="00D53E6F">
      <w:pPr>
        <w:pStyle w:val="ListParagraph"/>
        <w:numPr>
          <w:ilvl w:val="0"/>
          <w:numId w:val="11"/>
        </w:numPr>
        <w:spacing w:line="240" w:lineRule="auto"/>
      </w:pPr>
      <w:r w:rsidRPr="005A5E07">
        <w:t>RG</w:t>
      </w:r>
      <w:r>
        <w:t> </w:t>
      </w:r>
      <w:r w:rsidRPr="005A5E07">
        <w:t xml:space="preserve">1.147, </w:t>
      </w:r>
      <w:r>
        <w:t xml:space="preserve">“Inservice Inspection Code Case Acceptability, ASME Section XI, Division 1,” </w:t>
      </w:r>
      <w:r w:rsidRPr="005A5E07">
        <w:t>Revision</w:t>
      </w:r>
      <w:r>
        <w:t> </w:t>
      </w:r>
      <w:r w:rsidRPr="005A5E07">
        <w:t>1</w:t>
      </w:r>
      <w:r>
        <w:t>9 (ADAMS Accession No.</w:t>
      </w:r>
      <w:r w:rsidRPr="00322632">
        <w:t xml:space="preserve"> ML19128A244</w:t>
      </w:r>
      <w:r>
        <w:t>)</w:t>
      </w:r>
      <w:r w:rsidRPr="005A5E07">
        <w:t>, supersede</w:t>
      </w:r>
      <w:r>
        <w:t>s</w:t>
      </w:r>
      <w:r w:rsidRPr="005A5E07">
        <w:t xml:space="preserve"> the incorporation by reference </w:t>
      </w:r>
      <w:r>
        <w:t>in</w:t>
      </w:r>
      <w:r w:rsidRPr="005A5E07">
        <w:t xml:space="preserve"> RG</w:t>
      </w:r>
      <w:r>
        <w:t> </w:t>
      </w:r>
      <w:r w:rsidRPr="005A5E07">
        <w:t>1.147</w:t>
      </w:r>
      <w:r>
        <w:t xml:space="preserve">, </w:t>
      </w:r>
      <w:r w:rsidRPr="005A5E07">
        <w:t>Revision</w:t>
      </w:r>
      <w:r>
        <w:t> 18, issued March 2017.</w:t>
      </w:r>
    </w:p>
    <w:p w14:paraId="69051CD5" w14:textId="77777777" w:rsidR="00D53E6F" w:rsidRDefault="00D53E6F" w:rsidP="00D53E6F">
      <w:pPr>
        <w:spacing w:line="240" w:lineRule="auto"/>
      </w:pPr>
    </w:p>
    <w:p w14:paraId="04300F7E" w14:textId="77777777" w:rsidR="00D53E6F" w:rsidRDefault="00D53E6F" w:rsidP="00D53E6F">
      <w:pPr>
        <w:pStyle w:val="ListParagraph"/>
        <w:numPr>
          <w:ilvl w:val="0"/>
          <w:numId w:val="11"/>
        </w:numPr>
        <w:spacing w:line="240" w:lineRule="auto"/>
      </w:pPr>
      <w:r w:rsidRPr="005A5E07">
        <w:t>RG</w:t>
      </w:r>
      <w:r>
        <w:t> </w:t>
      </w:r>
      <w:r w:rsidRPr="005A5E07">
        <w:t xml:space="preserve">1.192, </w:t>
      </w:r>
      <w:r>
        <w:t xml:space="preserve">“Operation and Maintenance Code Case Acceptability, ASME OM Code,” </w:t>
      </w:r>
      <w:r w:rsidRPr="005A5E07">
        <w:t>Revision</w:t>
      </w:r>
      <w:r>
        <w:t xml:space="preserve"> 3 (ADAMS Accession No. </w:t>
      </w:r>
      <w:r w:rsidRPr="00322632">
        <w:t>ML19128A261</w:t>
      </w:r>
      <w:r>
        <w:t>)</w:t>
      </w:r>
      <w:r w:rsidRPr="005A5E07">
        <w:t>, supersede</w:t>
      </w:r>
      <w:r>
        <w:t>s</w:t>
      </w:r>
      <w:r w:rsidRPr="005A5E07">
        <w:t xml:space="preserve"> the incorporation by reference </w:t>
      </w:r>
      <w:r>
        <w:t>in</w:t>
      </w:r>
      <w:r w:rsidRPr="005A5E07">
        <w:t xml:space="preserve"> RG</w:t>
      </w:r>
      <w:r>
        <w:t> </w:t>
      </w:r>
      <w:r w:rsidRPr="005A5E07">
        <w:t>1.192</w:t>
      </w:r>
      <w:r>
        <w:t xml:space="preserve">, </w:t>
      </w:r>
      <w:r w:rsidRPr="005A5E07">
        <w:t>Revision</w:t>
      </w:r>
      <w:r>
        <w:t> 2, issued March 2017</w:t>
      </w:r>
      <w:r w:rsidRPr="005A5E07">
        <w:t>.</w:t>
      </w:r>
      <w:bookmarkEnd w:id="9"/>
    </w:p>
    <w:p w14:paraId="42CF0EC5" w14:textId="77777777" w:rsidR="00D53E6F" w:rsidRPr="00274428" w:rsidRDefault="00D53E6F" w:rsidP="00D53E6F">
      <w:pPr>
        <w:spacing w:line="240" w:lineRule="auto"/>
        <w:rPr>
          <w:bCs/>
        </w:rPr>
      </w:pPr>
    </w:p>
    <w:p w14:paraId="1C7665AC" w14:textId="4C3FA243" w:rsidR="00D53E6F" w:rsidRDefault="00D53E6F" w:rsidP="00D53E6F">
      <w:pPr>
        <w:spacing w:line="240" w:lineRule="auto"/>
      </w:pPr>
      <w:r w:rsidRPr="00495748">
        <w:t xml:space="preserve">This document presents a regulatory analysis of the </w:t>
      </w:r>
      <w:r>
        <w:t xml:space="preserve">final </w:t>
      </w:r>
      <w:r w:rsidRPr="00495748">
        <w:t xml:space="preserve">rule </w:t>
      </w:r>
      <w:r>
        <w:t>for the three RGs that list the ASME Code Cases approved by the NRC.  To improve the credibility of the NRC’s</w:t>
      </w:r>
      <w:r w:rsidRPr="00F74E04">
        <w:t xml:space="preserve"> cost estimates</w:t>
      </w:r>
      <w:r>
        <w:t xml:space="preserve"> for this regulatory action, the </w:t>
      </w:r>
      <w:r w:rsidR="00BF0E52">
        <w:t>NRC</w:t>
      </w:r>
      <w:r>
        <w:t xml:space="preserve"> conducted an uncertainty analysis to consider the effects of input uncertainty on the cost estimate and a </w:t>
      </w:r>
      <w:r w:rsidRPr="00F74E04">
        <w:t xml:space="preserve">sensitivity analysis to identify </w:t>
      </w:r>
      <w:r>
        <w:t xml:space="preserve">the </w:t>
      </w:r>
      <w:r w:rsidRPr="00F74E04">
        <w:t xml:space="preserve">variables </w:t>
      </w:r>
      <w:r>
        <w:t xml:space="preserve">that </w:t>
      </w:r>
      <w:r w:rsidRPr="00F74E04">
        <w:t xml:space="preserve">most affect </w:t>
      </w:r>
      <w:r>
        <w:t>the cost estimate (i.e., the cost drivers)</w:t>
      </w:r>
      <w:r w:rsidRPr="00F74E04">
        <w:t>.</w:t>
      </w:r>
    </w:p>
    <w:p w14:paraId="0527439E" w14:textId="77777777" w:rsidR="00D53E6F" w:rsidRDefault="00D53E6F" w:rsidP="00D53E6F">
      <w:pPr>
        <w:autoSpaceDE/>
        <w:autoSpaceDN/>
        <w:adjustRightInd/>
        <w:spacing w:line="240" w:lineRule="auto"/>
      </w:pPr>
      <w:r>
        <w:br w:type="page"/>
      </w:r>
    </w:p>
    <w:p w14:paraId="4E59A67E" w14:textId="77777777" w:rsidR="00D53E6F" w:rsidRDefault="00D53E6F" w:rsidP="00D53E6F">
      <w:pPr>
        <w:spacing w:line="240" w:lineRule="auto"/>
      </w:pPr>
      <w:r w:rsidRPr="009C50B8">
        <w:rPr>
          <w:b/>
          <w:sz w:val="24"/>
        </w:rPr>
        <w:lastRenderedPageBreak/>
        <w:t>Contents</w:t>
      </w:r>
      <w:bookmarkEnd w:id="4"/>
      <w:bookmarkEnd w:id="5"/>
      <w:bookmarkEnd w:id="6"/>
      <w:bookmarkEnd w:id="7"/>
      <w:bookmarkEnd w:id="8"/>
    </w:p>
    <w:p w14:paraId="6054FC0C" w14:textId="77777777" w:rsidR="00D53E6F" w:rsidRDefault="00D53E6F" w:rsidP="00D53E6F">
      <w:pPr>
        <w:tabs>
          <w:tab w:val="right" w:pos="9000"/>
        </w:tabs>
        <w:spacing w:line="240" w:lineRule="auto"/>
      </w:pPr>
    </w:p>
    <w:p w14:paraId="3756551E" w14:textId="77777777" w:rsidR="00D53E6F" w:rsidRPr="009C50B8" w:rsidRDefault="00D53E6F" w:rsidP="00D53E6F">
      <w:pPr>
        <w:tabs>
          <w:tab w:val="right" w:pos="9000"/>
        </w:tabs>
        <w:spacing w:line="240" w:lineRule="auto"/>
        <w:rPr>
          <w:color w:val="auto"/>
          <w:u w:val="single"/>
        </w:rPr>
      </w:pPr>
      <w:r w:rsidRPr="009C50B8">
        <w:rPr>
          <w:u w:val="single"/>
        </w:rPr>
        <w:t>Section</w:t>
      </w:r>
      <w:r w:rsidRPr="00C5614B">
        <w:tab/>
      </w:r>
      <w:r w:rsidRPr="009C50B8">
        <w:rPr>
          <w:u w:val="single"/>
        </w:rPr>
        <w:t>Page</w:t>
      </w:r>
    </w:p>
    <w:p w14:paraId="762C2C2E" w14:textId="592CF10D" w:rsidR="000C6C6D" w:rsidRDefault="00D53E6F">
      <w:pPr>
        <w:pStyle w:val="TOC1"/>
        <w:rPr>
          <w:rFonts w:asciiTheme="minorHAnsi" w:eastAsiaTheme="minorEastAsia" w:hAnsiTheme="minorHAnsi" w:cstheme="minorBidi"/>
          <w:color w:val="auto"/>
          <w:sz w:val="22"/>
          <w:szCs w:val="22"/>
        </w:rPr>
      </w:pPr>
      <w:r w:rsidRPr="00273771">
        <w:rPr>
          <w:rFonts w:cs="Arial"/>
          <w:bCs/>
        </w:rPr>
        <w:fldChar w:fldCharType="begin"/>
      </w:r>
      <w:r w:rsidRPr="00273771">
        <w:rPr>
          <w:rFonts w:cs="Arial"/>
          <w:bCs/>
        </w:rPr>
        <w:instrText xml:space="preserve"> TOC \o "1-3" \h \z \u </w:instrText>
      </w:r>
      <w:r w:rsidRPr="00273771">
        <w:rPr>
          <w:rFonts w:cs="Arial"/>
          <w:bCs/>
        </w:rPr>
        <w:fldChar w:fldCharType="separate"/>
      </w:r>
      <w:hyperlink w:anchor="_Toc12808760" w:history="1">
        <w:r w:rsidR="000C6C6D" w:rsidRPr="000C43DB">
          <w:rPr>
            <w:rStyle w:val="Hyperlink"/>
          </w:rPr>
          <w:t>Abstract</w:t>
        </w:r>
        <w:r w:rsidR="000C6C6D">
          <w:rPr>
            <w:webHidden/>
          </w:rPr>
          <w:tab/>
        </w:r>
        <w:r w:rsidR="000C6C6D">
          <w:rPr>
            <w:webHidden/>
          </w:rPr>
          <w:fldChar w:fldCharType="begin"/>
        </w:r>
        <w:r w:rsidR="000C6C6D">
          <w:rPr>
            <w:webHidden/>
          </w:rPr>
          <w:instrText xml:space="preserve"> PAGEREF _Toc12808760 \h </w:instrText>
        </w:r>
        <w:r w:rsidR="000C6C6D">
          <w:rPr>
            <w:webHidden/>
          </w:rPr>
        </w:r>
        <w:r w:rsidR="000C6C6D">
          <w:rPr>
            <w:webHidden/>
          </w:rPr>
          <w:fldChar w:fldCharType="separate"/>
        </w:r>
        <w:r w:rsidR="00F05D99">
          <w:rPr>
            <w:webHidden/>
          </w:rPr>
          <w:t>i</w:t>
        </w:r>
        <w:r w:rsidR="000C6C6D">
          <w:rPr>
            <w:webHidden/>
          </w:rPr>
          <w:fldChar w:fldCharType="end"/>
        </w:r>
      </w:hyperlink>
    </w:p>
    <w:p w14:paraId="17A7E63C" w14:textId="47D0B563" w:rsidR="000C6C6D" w:rsidRDefault="00F76DB1">
      <w:pPr>
        <w:pStyle w:val="TOC1"/>
        <w:rPr>
          <w:rFonts w:asciiTheme="minorHAnsi" w:eastAsiaTheme="minorEastAsia" w:hAnsiTheme="minorHAnsi" w:cstheme="minorBidi"/>
          <w:color w:val="auto"/>
          <w:sz w:val="22"/>
          <w:szCs w:val="22"/>
        </w:rPr>
      </w:pPr>
      <w:hyperlink w:anchor="_Toc12808761" w:history="1">
        <w:r w:rsidR="000C6C6D" w:rsidRPr="000C43DB">
          <w:rPr>
            <w:rStyle w:val="Hyperlink"/>
          </w:rPr>
          <w:t>List of Figures</w:t>
        </w:r>
        <w:r w:rsidR="000C6C6D">
          <w:rPr>
            <w:webHidden/>
          </w:rPr>
          <w:tab/>
        </w:r>
        <w:r w:rsidR="000C6C6D">
          <w:rPr>
            <w:webHidden/>
          </w:rPr>
          <w:fldChar w:fldCharType="begin"/>
        </w:r>
        <w:r w:rsidR="000C6C6D">
          <w:rPr>
            <w:webHidden/>
          </w:rPr>
          <w:instrText xml:space="preserve"> PAGEREF _Toc12808761 \h </w:instrText>
        </w:r>
        <w:r w:rsidR="000C6C6D">
          <w:rPr>
            <w:webHidden/>
          </w:rPr>
        </w:r>
        <w:r w:rsidR="000C6C6D">
          <w:rPr>
            <w:webHidden/>
          </w:rPr>
          <w:fldChar w:fldCharType="separate"/>
        </w:r>
        <w:r w:rsidR="00F05D99">
          <w:rPr>
            <w:webHidden/>
          </w:rPr>
          <w:t>viii</w:t>
        </w:r>
        <w:r w:rsidR="000C6C6D">
          <w:rPr>
            <w:webHidden/>
          </w:rPr>
          <w:fldChar w:fldCharType="end"/>
        </w:r>
      </w:hyperlink>
    </w:p>
    <w:p w14:paraId="1F3859A6" w14:textId="16BB7D98" w:rsidR="000C6C6D" w:rsidRDefault="00F76DB1">
      <w:pPr>
        <w:pStyle w:val="TOC1"/>
        <w:rPr>
          <w:rFonts w:asciiTheme="minorHAnsi" w:eastAsiaTheme="minorEastAsia" w:hAnsiTheme="minorHAnsi" w:cstheme="minorBidi"/>
          <w:color w:val="auto"/>
          <w:sz w:val="22"/>
          <w:szCs w:val="22"/>
        </w:rPr>
      </w:pPr>
      <w:hyperlink w:anchor="_Toc12808762" w:history="1">
        <w:r w:rsidR="000C6C6D" w:rsidRPr="000C43DB">
          <w:rPr>
            <w:rStyle w:val="Hyperlink"/>
          </w:rPr>
          <w:t>List of Tables</w:t>
        </w:r>
        <w:r w:rsidR="000C6C6D">
          <w:rPr>
            <w:webHidden/>
          </w:rPr>
          <w:tab/>
        </w:r>
        <w:r w:rsidR="000C6C6D">
          <w:rPr>
            <w:webHidden/>
          </w:rPr>
          <w:fldChar w:fldCharType="begin"/>
        </w:r>
        <w:r w:rsidR="000C6C6D">
          <w:rPr>
            <w:webHidden/>
          </w:rPr>
          <w:instrText xml:space="preserve"> PAGEREF _Toc12808762 \h </w:instrText>
        </w:r>
        <w:r w:rsidR="000C6C6D">
          <w:rPr>
            <w:webHidden/>
          </w:rPr>
        </w:r>
        <w:r w:rsidR="000C6C6D">
          <w:rPr>
            <w:webHidden/>
          </w:rPr>
          <w:fldChar w:fldCharType="separate"/>
        </w:r>
        <w:r w:rsidR="00F05D99">
          <w:rPr>
            <w:webHidden/>
          </w:rPr>
          <w:t>viii</w:t>
        </w:r>
        <w:r w:rsidR="000C6C6D">
          <w:rPr>
            <w:webHidden/>
          </w:rPr>
          <w:fldChar w:fldCharType="end"/>
        </w:r>
      </w:hyperlink>
    </w:p>
    <w:p w14:paraId="4FD40494" w14:textId="428DF65F" w:rsidR="000C6C6D" w:rsidRDefault="00F76DB1">
      <w:pPr>
        <w:pStyle w:val="TOC1"/>
        <w:rPr>
          <w:rFonts w:asciiTheme="minorHAnsi" w:eastAsiaTheme="minorEastAsia" w:hAnsiTheme="minorHAnsi" w:cstheme="minorBidi"/>
          <w:color w:val="auto"/>
          <w:sz w:val="22"/>
          <w:szCs w:val="22"/>
        </w:rPr>
      </w:pPr>
      <w:hyperlink w:anchor="_Toc12808763" w:history="1">
        <w:r w:rsidR="000C6C6D" w:rsidRPr="000C43DB">
          <w:rPr>
            <w:rStyle w:val="Hyperlink"/>
          </w:rPr>
          <w:t>Abbreviations and Acronyms</w:t>
        </w:r>
        <w:r w:rsidR="000C6C6D">
          <w:rPr>
            <w:webHidden/>
          </w:rPr>
          <w:tab/>
        </w:r>
        <w:r w:rsidR="000C6C6D">
          <w:rPr>
            <w:webHidden/>
          </w:rPr>
          <w:fldChar w:fldCharType="begin"/>
        </w:r>
        <w:r w:rsidR="000C6C6D">
          <w:rPr>
            <w:webHidden/>
          </w:rPr>
          <w:instrText xml:space="preserve"> PAGEREF _Toc12808763 \h </w:instrText>
        </w:r>
        <w:r w:rsidR="000C6C6D">
          <w:rPr>
            <w:webHidden/>
          </w:rPr>
        </w:r>
        <w:r w:rsidR="000C6C6D">
          <w:rPr>
            <w:webHidden/>
          </w:rPr>
          <w:fldChar w:fldCharType="separate"/>
        </w:r>
        <w:r w:rsidR="00F05D99">
          <w:rPr>
            <w:webHidden/>
          </w:rPr>
          <w:t>ix</w:t>
        </w:r>
        <w:r w:rsidR="000C6C6D">
          <w:rPr>
            <w:webHidden/>
          </w:rPr>
          <w:fldChar w:fldCharType="end"/>
        </w:r>
      </w:hyperlink>
    </w:p>
    <w:p w14:paraId="13C0825A" w14:textId="12693C75" w:rsidR="000C6C6D" w:rsidRDefault="00F76DB1">
      <w:pPr>
        <w:pStyle w:val="TOC1"/>
        <w:rPr>
          <w:rFonts w:asciiTheme="minorHAnsi" w:eastAsiaTheme="minorEastAsia" w:hAnsiTheme="minorHAnsi" w:cstheme="minorBidi"/>
          <w:color w:val="auto"/>
          <w:sz w:val="22"/>
          <w:szCs w:val="22"/>
        </w:rPr>
      </w:pPr>
      <w:hyperlink w:anchor="_Toc12808764" w:history="1">
        <w:r w:rsidR="000C6C6D" w:rsidRPr="000C43DB">
          <w:rPr>
            <w:rStyle w:val="Hyperlink"/>
          </w:rPr>
          <w:t>Executive Summary</w:t>
        </w:r>
        <w:r w:rsidR="000C6C6D">
          <w:rPr>
            <w:webHidden/>
          </w:rPr>
          <w:tab/>
        </w:r>
        <w:r w:rsidR="000C6C6D">
          <w:rPr>
            <w:webHidden/>
          </w:rPr>
          <w:fldChar w:fldCharType="begin"/>
        </w:r>
        <w:r w:rsidR="000C6C6D">
          <w:rPr>
            <w:webHidden/>
          </w:rPr>
          <w:instrText xml:space="preserve"> PAGEREF _Toc12808764 \h </w:instrText>
        </w:r>
        <w:r w:rsidR="000C6C6D">
          <w:rPr>
            <w:webHidden/>
          </w:rPr>
        </w:r>
        <w:r w:rsidR="000C6C6D">
          <w:rPr>
            <w:webHidden/>
          </w:rPr>
          <w:fldChar w:fldCharType="separate"/>
        </w:r>
        <w:r w:rsidR="00F05D99">
          <w:rPr>
            <w:webHidden/>
          </w:rPr>
          <w:t>xi</w:t>
        </w:r>
        <w:r w:rsidR="000C6C6D">
          <w:rPr>
            <w:webHidden/>
          </w:rPr>
          <w:fldChar w:fldCharType="end"/>
        </w:r>
      </w:hyperlink>
    </w:p>
    <w:p w14:paraId="5B556F57" w14:textId="5DF8618A" w:rsidR="000C6C6D" w:rsidRDefault="00F76DB1">
      <w:pPr>
        <w:pStyle w:val="TOC1"/>
        <w:rPr>
          <w:rFonts w:asciiTheme="minorHAnsi" w:eastAsiaTheme="minorEastAsia" w:hAnsiTheme="minorHAnsi" w:cstheme="minorBidi"/>
          <w:color w:val="auto"/>
          <w:sz w:val="22"/>
          <w:szCs w:val="22"/>
        </w:rPr>
      </w:pPr>
      <w:hyperlink w:anchor="_Toc12808765" w:history="1">
        <w:r w:rsidR="000C6C6D" w:rsidRPr="000C43DB">
          <w:rPr>
            <w:rStyle w:val="Hyperlink"/>
          </w:rPr>
          <w:t>1.</w:t>
        </w:r>
        <w:r w:rsidR="000C6C6D">
          <w:rPr>
            <w:rFonts w:asciiTheme="minorHAnsi" w:eastAsiaTheme="minorEastAsia" w:hAnsiTheme="minorHAnsi" w:cstheme="minorBidi"/>
            <w:color w:val="auto"/>
            <w:sz w:val="22"/>
            <w:szCs w:val="22"/>
          </w:rPr>
          <w:tab/>
        </w:r>
        <w:r w:rsidR="000C6C6D" w:rsidRPr="000C43DB">
          <w:rPr>
            <w:rStyle w:val="Hyperlink"/>
          </w:rPr>
          <w:t>Introduction</w:t>
        </w:r>
        <w:r w:rsidR="000C6C6D">
          <w:rPr>
            <w:webHidden/>
          </w:rPr>
          <w:tab/>
        </w:r>
        <w:r w:rsidR="000C6C6D">
          <w:rPr>
            <w:webHidden/>
          </w:rPr>
          <w:fldChar w:fldCharType="begin"/>
        </w:r>
        <w:r w:rsidR="000C6C6D">
          <w:rPr>
            <w:webHidden/>
          </w:rPr>
          <w:instrText xml:space="preserve"> PAGEREF _Toc12808765 \h </w:instrText>
        </w:r>
        <w:r w:rsidR="000C6C6D">
          <w:rPr>
            <w:webHidden/>
          </w:rPr>
        </w:r>
        <w:r w:rsidR="000C6C6D">
          <w:rPr>
            <w:webHidden/>
          </w:rPr>
          <w:fldChar w:fldCharType="separate"/>
        </w:r>
        <w:r w:rsidR="00F05D99">
          <w:rPr>
            <w:webHidden/>
          </w:rPr>
          <w:t>1</w:t>
        </w:r>
        <w:r w:rsidR="000C6C6D">
          <w:rPr>
            <w:webHidden/>
          </w:rPr>
          <w:fldChar w:fldCharType="end"/>
        </w:r>
      </w:hyperlink>
    </w:p>
    <w:p w14:paraId="779D42BB" w14:textId="7B9A619F" w:rsidR="000C6C6D" w:rsidRDefault="00F76DB1">
      <w:pPr>
        <w:pStyle w:val="TOC1"/>
        <w:rPr>
          <w:rFonts w:asciiTheme="minorHAnsi" w:eastAsiaTheme="minorEastAsia" w:hAnsiTheme="minorHAnsi" w:cstheme="minorBidi"/>
          <w:color w:val="auto"/>
          <w:sz w:val="22"/>
          <w:szCs w:val="22"/>
        </w:rPr>
      </w:pPr>
      <w:hyperlink w:anchor="_Toc12808766" w:history="1">
        <w:r w:rsidR="000C6C6D" w:rsidRPr="000C43DB">
          <w:rPr>
            <w:rStyle w:val="Hyperlink"/>
          </w:rPr>
          <w:t>2.</w:t>
        </w:r>
        <w:r w:rsidR="000C6C6D">
          <w:rPr>
            <w:rFonts w:asciiTheme="minorHAnsi" w:eastAsiaTheme="minorEastAsia" w:hAnsiTheme="minorHAnsi" w:cstheme="minorBidi"/>
            <w:color w:val="auto"/>
            <w:sz w:val="22"/>
            <w:szCs w:val="22"/>
          </w:rPr>
          <w:tab/>
        </w:r>
        <w:r w:rsidR="000C6C6D" w:rsidRPr="000C43DB">
          <w:rPr>
            <w:rStyle w:val="Hyperlink"/>
          </w:rPr>
          <w:t>Statement of the Problem and Objective</w:t>
        </w:r>
        <w:r w:rsidR="000C6C6D">
          <w:rPr>
            <w:webHidden/>
          </w:rPr>
          <w:tab/>
        </w:r>
        <w:r w:rsidR="000C6C6D">
          <w:rPr>
            <w:webHidden/>
          </w:rPr>
          <w:fldChar w:fldCharType="begin"/>
        </w:r>
        <w:r w:rsidR="000C6C6D">
          <w:rPr>
            <w:webHidden/>
          </w:rPr>
          <w:instrText xml:space="preserve"> PAGEREF _Toc12808766 \h </w:instrText>
        </w:r>
        <w:r w:rsidR="000C6C6D">
          <w:rPr>
            <w:webHidden/>
          </w:rPr>
        </w:r>
        <w:r w:rsidR="000C6C6D">
          <w:rPr>
            <w:webHidden/>
          </w:rPr>
          <w:fldChar w:fldCharType="separate"/>
        </w:r>
        <w:r w:rsidR="00F05D99">
          <w:rPr>
            <w:webHidden/>
          </w:rPr>
          <w:t>1</w:t>
        </w:r>
        <w:r w:rsidR="000C6C6D">
          <w:rPr>
            <w:webHidden/>
          </w:rPr>
          <w:fldChar w:fldCharType="end"/>
        </w:r>
      </w:hyperlink>
    </w:p>
    <w:p w14:paraId="6715EFE0" w14:textId="501FCEDC" w:rsidR="000C6C6D" w:rsidRDefault="00F76DB1">
      <w:pPr>
        <w:pStyle w:val="TOC2"/>
        <w:rPr>
          <w:rFonts w:asciiTheme="minorHAnsi" w:eastAsiaTheme="minorEastAsia" w:hAnsiTheme="minorHAnsi" w:cstheme="minorBidi"/>
          <w:noProof/>
          <w:color w:val="auto"/>
          <w:sz w:val="22"/>
          <w:szCs w:val="22"/>
        </w:rPr>
      </w:pPr>
      <w:hyperlink w:anchor="_Toc12808767" w:history="1">
        <w:r w:rsidR="000C6C6D" w:rsidRPr="000C43DB">
          <w:rPr>
            <w:rStyle w:val="Hyperlink"/>
            <w:noProof/>
          </w:rPr>
          <w:t>2.1</w:t>
        </w:r>
        <w:r w:rsidR="000C6C6D">
          <w:rPr>
            <w:rFonts w:asciiTheme="minorHAnsi" w:eastAsiaTheme="minorEastAsia" w:hAnsiTheme="minorHAnsi" w:cstheme="minorBidi"/>
            <w:noProof/>
            <w:color w:val="auto"/>
            <w:sz w:val="22"/>
            <w:szCs w:val="22"/>
          </w:rPr>
          <w:tab/>
        </w:r>
        <w:r w:rsidR="000C6C6D" w:rsidRPr="000C43DB">
          <w:rPr>
            <w:rStyle w:val="Hyperlink"/>
            <w:noProof/>
          </w:rPr>
          <w:t>Background</w:t>
        </w:r>
        <w:r w:rsidR="000C6C6D">
          <w:rPr>
            <w:noProof/>
            <w:webHidden/>
          </w:rPr>
          <w:tab/>
        </w:r>
        <w:r w:rsidR="000C6C6D">
          <w:rPr>
            <w:noProof/>
            <w:webHidden/>
          </w:rPr>
          <w:fldChar w:fldCharType="begin"/>
        </w:r>
        <w:r w:rsidR="000C6C6D">
          <w:rPr>
            <w:noProof/>
            <w:webHidden/>
          </w:rPr>
          <w:instrText xml:space="preserve"> PAGEREF _Toc12808767 \h </w:instrText>
        </w:r>
        <w:r w:rsidR="000C6C6D">
          <w:rPr>
            <w:noProof/>
            <w:webHidden/>
          </w:rPr>
        </w:r>
        <w:r w:rsidR="000C6C6D">
          <w:rPr>
            <w:noProof/>
            <w:webHidden/>
          </w:rPr>
          <w:fldChar w:fldCharType="separate"/>
        </w:r>
        <w:r w:rsidR="00F05D99">
          <w:rPr>
            <w:noProof/>
            <w:webHidden/>
          </w:rPr>
          <w:t>1</w:t>
        </w:r>
        <w:r w:rsidR="000C6C6D">
          <w:rPr>
            <w:noProof/>
            <w:webHidden/>
          </w:rPr>
          <w:fldChar w:fldCharType="end"/>
        </w:r>
      </w:hyperlink>
    </w:p>
    <w:p w14:paraId="4FA04C9A" w14:textId="6108914C" w:rsidR="000C6C6D" w:rsidRDefault="00F76DB1">
      <w:pPr>
        <w:pStyle w:val="TOC2"/>
        <w:rPr>
          <w:rFonts w:asciiTheme="minorHAnsi" w:eastAsiaTheme="minorEastAsia" w:hAnsiTheme="minorHAnsi" w:cstheme="minorBidi"/>
          <w:noProof/>
          <w:color w:val="auto"/>
          <w:sz w:val="22"/>
          <w:szCs w:val="22"/>
        </w:rPr>
      </w:pPr>
      <w:hyperlink w:anchor="_Toc12808768" w:history="1">
        <w:r w:rsidR="000C6C6D" w:rsidRPr="000C43DB">
          <w:rPr>
            <w:rStyle w:val="Hyperlink"/>
            <w:noProof/>
          </w:rPr>
          <w:t>2.2</w:t>
        </w:r>
        <w:r w:rsidR="000C6C6D">
          <w:rPr>
            <w:rFonts w:asciiTheme="minorHAnsi" w:eastAsiaTheme="minorEastAsia" w:hAnsiTheme="minorHAnsi" w:cstheme="minorBidi"/>
            <w:noProof/>
            <w:color w:val="auto"/>
            <w:sz w:val="22"/>
            <w:szCs w:val="22"/>
          </w:rPr>
          <w:tab/>
        </w:r>
        <w:r w:rsidR="000C6C6D" w:rsidRPr="000C43DB">
          <w:rPr>
            <w:rStyle w:val="Hyperlink"/>
            <w:noProof/>
          </w:rPr>
          <w:t>Statement of the Problem</w:t>
        </w:r>
        <w:r w:rsidR="000C6C6D">
          <w:rPr>
            <w:noProof/>
            <w:webHidden/>
          </w:rPr>
          <w:tab/>
        </w:r>
        <w:r w:rsidR="000C6C6D">
          <w:rPr>
            <w:noProof/>
            <w:webHidden/>
          </w:rPr>
          <w:fldChar w:fldCharType="begin"/>
        </w:r>
        <w:r w:rsidR="000C6C6D">
          <w:rPr>
            <w:noProof/>
            <w:webHidden/>
          </w:rPr>
          <w:instrText xml:space="preserve"> PAGEREF _Toc12808768 \h </w:instrText>
        </w:r>
        <w:r w:rsidR="000C6C6D">
          <w:rPr>
            <w:noProof/>
            <w:webHidden/>
          </w:rPr>
        </w:r>
        <w:r w:rsidR="000C6C6D">
          <w:rPr>
            <w:noProof/>
            <w:webHidden/>
          </w:rPr>
          <w:fldChar w:fldCharType="separate"/>
        </w:r>
        <w:r w:rsidR="00F05D99">
          <w:rPr>
            <w:noProof/>
            <w:webHidden/>
          </w:rPr>
          <w:t>3</w:t>
        </w:r>
        <w:r w:rsidR="000C6C6D">
          <w:rPr>
            <w:noProof/>
            <w:webHidden/>
          </w:rPr>
          <w:fldChar w:fldCharType="end"/>
        </w:r>
      </w:hyperlink>
    </w:p>
    <w:p w14:paraId="53A77CD2" w14:textId="430252ED" w:rsidR="000C6C6D" w:rsidRDefault="00F76DB1">
      <w:pPr>
        <w:pStyle w:val="TOC2"/>
        <w:rPr>
          <w:rFonts w:asciiTheme="minorHAnsi" w:eastAsiaTheme="minorEastAsia" w:hAnsiTheme="minorHAnsi" w:cstheme="minorBidi"/>
          <w:noProof/>
          <w:color w:val="auto"/>
          <w:sz w:val="22"/>
          <w:szCs w:val="22"/>
        </w:rPr>
      </w:pPr>
      <w:hyperlink w:anchor="_Toc12808769" w:history="1">
        <w:r w:rsidR="000C6C6D" w:rsidRPr="000C43DB">
          <w:rPr>
            <w:rStyle w:val="Hyperlink"/>
            <w:noProof/>
          </w:rPr>
          <w:t>2.3</w:t>
        </w:r>
        <w:r w:rsidR="000C6C6D">
          <w:rPr>
            <w:rFonts w:asciiTheme="minorHAnsi" w:eastAsiaTheme="minorEastAsia" w:hAnsiTheme="minorHAnsi" w:cstheme="minorBidi"/>
            <w:noProof/>
            <w:color w:val="auto"/>
            <w:sz w:val="22"/>
            <w:szCs w:val="22"/>
          </w:rPr>
          <w:tab/>
        </w:r>
        <w:r w:rsidR="000C6C6D" w:rsidRPr="000C43DB">
          <w:rPr>
            <w:rStyle w:val="Hyperlink"/>
            <w:noProof/>
          </w:rPr>
          <w:t>Objective</w:t>
        </w:r>
        <w:r w:rsidR="000C6C6D">
          <w:rPr>
            <w:noProof/>
            <w:webHidden/>
          </w:rPr>
          <w:tab/>
        </w:r>
        <w:r w:rsidR="000C6C6D">
          <w:rPr>
            <w:noProof/>
            <w:webHidden/>
          </w:rPr>
          <w:fldChar w:fldCharType="begin"/>
        </w:r>
        <w:r w:rsidR="000C6C6D">
          <w:rPr>
            <w:noProof/>
            <w:webHidden/>
          </w:rPr>
          <w:instrText xml:space="preserve"> PAGEREF _Toc12808769 \h </w:instrText>
        </w:r>
        <w:r w:rsidR="000C6C6D">
          <w:rPr>
            <w:noProof/>
            <w:webHidden/>
          </w:rPr>
        </w:r>
        <w:r w:rsidR="000C6C6D">
          <w:rPr>
            <w:noProof/>
            <w:webHidden/>
          </w:rPr>
          <w:fldChar w:fldCharType="separate"/>
        </w:r>
        <w:r w:rsidR="00F05D99">
          <w:rPr>
            <w:noProof/>
            <w:webHidden/>
          </w:rPr>
          <w:t>3</w:t>
        </w:r>
        <w:r w:rsidR="000C6C6D">
          <w:rPr>
            <w:noProof/>
            <w:webHidden/>
          </w:rPr>
          <w:fldChar w:fldCharType="end"/>
        </w:r>
      </w:hyperlink>
    </w:p>
    <w:p w14:paraId="5B6C6C10" w14:textId="294946BE" w:rsidR="000C6C6D" w:rsidRDefault="00F76DB1">
      <w:pPr>
        <w:pStyle w:val="TOC1"/>
        <w:rPr>
          <w:rFonts w:asciiTheme="minorHAnsi" w:eastAsiaTheme="minorEastAsia" w:hAnsiTheme="minorHAnsi" w:cstheme="minorBidi"/>
          <w:color w:val="auto"/>
          <w:sz w:val="22"/>
          <w:szCs w:val="22"/>
        </w:rPr>
      </w:pPr>
      <w:hyperlink w:anchor="_Toc12808770" w:history="1">
        <w:r w:rsidR="000C6C6D" w:rsidRPr="000C43DB">
          <w:rPr>
            <w:rStyle w:val="Hyperlink"/>
          </w:rPr>
          <w:t>3.</w:t>
        </w:r>
        <w:r w:rsidR="000C6C6D">
          <w:rPr>
            <w:rFonts w:asciiTheme="minorHAnsi" w:eastAsiaTheme="minorEastAsia" w:hAnsiTheme="minorHAnsi" w:cstheme="minorBidi"/>
            <w:color w:val="auto"/>
            <w:sz w:val="22"/>
            <w:szCs w:val="22"/>
          </w:rPr>
          <w:tab/>
        </w:r>
        <w:r w:rsidR="000C6C6D" w:rsidRPr="000C43DB">
          <w:rPr>
            <w:rStyle w:val="Hyperlink"/>
          </w:rPr>
          <w:t>Identification and Preliminary Analysis of Alternative Approaches</w:t>
        </w:r>
        <w:r w:rsidR="000C6C6D">
          <w:rPr>
            <w:webHidden/>
          </w:rPr>
          <w:tab/>
        </w:r>
        <w:r w:rsidR="000C6C6D">
          <w:rPr>
            <w:webHidden/>
          </w:rPr>
          <w:fldChar w:fldCharType="begin"/>
        </w:r>
        <w:r w:rsidR="000C6C6D">
          <w:rPr>
            <w:webHidden/>
          </w:rPr>
          <w:instrText xml:space="preserve"> PAGEREF _Toc12808770 \h </w:instrText>
        </w:r>
        <w:r w:rsidR="000C6C6D">
          <w:rPr>
            <w:webHidden/>
          </w:rPr>
        </w:r>
        <w:r w:rsidR="000C6C6D">
          <w:rPr>
            <w:webHidden/>
          </w:rPr>
          <w:fldChar w:fldCharType="separate"/>
        </w:r>
        <w:r w:rsidR="00F05D99">
          <w:rPr>
            <w:webHidden/>
          </w:rPr>
          <w:t>4</w:t>
        </w:r>
        <w:r w:rsidR="000C6C6D">
          <w:rPr>
            <w:webHidden/>
          </w:rPr>
          <w:fldChar w:fldCharType="end"/>
        </w:r>
      </w:hyperlink>
    </w:p>
    <w:p w14:paraId="697A919A" w14:textId="56AFC5AF" w:rsidR="000C6C6D" w:rsidRDefault="00F76DB1">
      <w:pPr>
        <w:pStyle w:val="TOC2"/>
        <w:rPr>
          <w:rFonts w:asciiTheme="minorHAnsi" w:eastAsiaTheme="minorEastAsia" w:hAnsiTheme="minorHAnsi" w:cstheme="minorBidi"/>
          <w:noProof/>
          <w:color w:val="auto"/>
          <w:sz w:val="22"/>
          <w:szCs w:val="22"/>
        </w:rPr>
      </w:pPr>
      <w:hyperlink w:anchor="_Toc12808771" w:history="1">
        <w:r w:rsidR="000C6C6D" w:rsidRPr="000C43DB">
          <w:rPr>
            <w:rStyle w:val="Hyperlink"/>
            <w:noProof/>
          </w:rPr>
          <w:t>3.1</w:t>
        </w:r>
        <w:r w:rsidR="000C6C6D">
          <w:rPr>
            <w:rFonts w:asciiTheme="minorHAnsi" w:eastAsiaTheme="minorEastAsia" w:hAnsiTheme="minorHAnsi" w:cstheme="minorBidi"/>
            <w:noProof/>
            <w:color w:val="auto"/>
            <w:sz w:val="22"/>
            <w:szCs w:val="22"/>
          </w:rPr>
          <w:tab/>
        </w:r>
        <w:r w:rsidR="000C6C6D" w:rsidRPr="000C43DB">
          <w:rPr>
            <w:rStyle w:val="Hyperlink"/>
            <w:noProof/>
          </w:rPr>
          <w:t>Alternative 1—No Action</w:t>
        </w:r>
        <w:r w:rsidR="000C6C6D">
          <w:rPr>
            <w:noProof/>
            <w:webHidden/>
          </w:rPr>
          <w:tab/>
        </w:r>
        <w:r w:rsidR="000C6C6D">
          <w:rPr>
            <w:noProof/>
            <w:webHidden/>
          </w:rPr>
          <w:fldChar w:fldCharType="begin"/>
        </w:r>
        <w:r w:rsidR="000C6C6D">
          <w:rPr>
            <w:noProof/>
            <w:webHidden/>
          </w:rPr>
          <w:instrText xml:space="preserve"> PAGEREF _Toc12808771 \h </w:instrText>
        </w:r>
        <w:r w:rsidR="000C6C6D">
          <w:rPr>
            <w:noProof/>
            <w:webHidden/>
          </w:rPr>
        </w:r>
        <w:r w:rsidR="000C6C6D">
          <w:rPr>
            <w:noProof/>
            <w:webHidden/>
          </w:rPr>
          <w:fldChar w:fldCharType="separate"/>
        </w:r>
        <w:r w:rsidR="00F05D99">
          <w:rPr>
            <w:noProof/>
            <w:webHidden/>
          </w:rPr>
          <w:t>4</w:t>
        </w:r>
        <w:r w:rsidR="000C6C6D">
          <w:rPr>
            <w:noProof/>
            <w:webHidden/>
          </w:rPr>
          <w:fldChar w:fldCharType="end"/>
        </w:r>
      </w:hyperlink>
    </w:p>
    <w:p w14:paraId="1E30C173" w14:textId="14CCC599" w:rsidR="000C6C6D" w:rsidRDefault="00F76DB1">
      <w:pPr>
        <w:pStyle w:val="TOC2"/>
        <w:rPr>
          <w:rFonts w:asciiTheme="minorHAnsi" w:eastAsiaTheme="minorEastAsia" w:hAnsiTheme="minorHAnsi" w:cstheme="minorBidi"/>
          <w:noProof/>
          <w:color w:val="auto"/>
          <w:sz w:val="22"/>
          <w:szCs w:val="22"/>
        </w:rPr>
      </w:pPr>
      <w:hyperlink w:anchor="_Toc12808772" w:history="1">
        <w:r w:rsidR="000C6C6D" w:rsidRPr="000C43DB">
          <w:rPr>
            <w:rStyle w:val="Hyperlink"/>
            <w:noProof/>
          </w:rPr>
          <w:t>3.2</w:t>
        </w:r>
        <w:r w:rsidR="000C6C6D">
          <w:rPr>
            <w:rFonts w:asciiTheme="minorHAnsi" w:eastAsiaTheme="minorEastAsia" w:hAnsiTheme="minorHAnsi" w:cstheme="minorBidi"/>
            <w:noProof/>
            <w:color w:val="auto"/>
            <w:sz w:val="22"/>
            <w:szCs w:val="22"/>
          </w:rPr>
          <w:tab/>
        </w:r>
        <w:r w:rsidR="000C6C6D" w:rsidRPr="000C43DB">
          <w:rPr>
            <w:rStyle w:val="Hyperlink"/>
            <w:noProof/>
          </w:rPr>
          <w:t>Alternative 2—Incorporate by Reference NRC</w:t>
        </w:r>
        <w:r w:rsidR="000C6C6D" w:rsidRPr="000C43DB">
          <w:rPr>
            <w:rStyle w:val="Hyperlink"/>
            <w:noProof/>
          </w:rPr>
          <w:noBreakHyphen/>
          <w:t>Approved ASME BPV and OM Code Cases</w:t>
        </w:r>
        <w:r w:rsidR="000C6C6D">
          <w:rPr>
            <w:noProof/>
            <w:webHidden/>
          </w:rPr>
          <w:tab/>
        </w:r>
        <w:r w:rsidR="000C6C6D">
          <w:rPr>
            <w:noProof/>
            <w:webHidden/>
          </w:rPr>
          <w:fldChar w:fldCharType="begin"/>
        </w:r>
        <w:r w:rsidR="000C6C6D">
          <w:rPr>
            <w:noProof/>
            <w:webHidden/>
          </w:rPr>
          <w:instrText xml:space="preserve"> PAGEREF _Toc12808772 \h </w:instrText>
        </w:r>
        <w:r w:rsidR="000C6C6D">
          <w:rPr>
            <w:noProof/>
            <w:webHidden/>
          </w:rPr>
        </w:r>
        <w:r w:rsidR="000C6C6D">
          <w:rPr>
            <w:noProof/>
            <w:webHidden/>
          </w:rPr>
          <w:fldChar w:fldCharType="separate"/>
        </w:r>
        <w:r w:rsidR="00F05D99">
          <w:rPr>
            <w:noProof/>
            <w:webHidden/>
          </w:rPr>
          <w:t>4</w:t>
        </w:r>
        <w:r w:rsidR="000C6C6D">
          <w:rPr>
            <w:noProof/>
            <w:webHidden/>
          </w:rPr>
          <w:fldChar w:fldCharType="end"/>
        </w:r>
      </w:hyperlink>
    </w:p>
    <w:p w14:paraId="4F7A1FF5" w14:textId="3D3285BA" w:rsidR="000C6C6D" w:rsidRDefault="00F76DB1">
      <w:pPr>
        <w:pStyle w:val="TOC1"/>
        <w:rPr>
          <w:rFonts w:asciiTheme="minorHAnsi" w:eastAsiaTheme="minorEastAsia" w:hAnsiTheme="minorHAnsi" w:cstheme="minorBidi"/>
          <w:color w:val="auto"/>
          <w:sz w:val="22"/>
          <w:szCs w:val="22"/>
        </w:rPr>
      </w:pPr>
      <w:hyperlink w:anchor="_Toc12808773" w:history="1">
        <w:r w:rsidR="000C6C6D" w:rsidRPr="000C43DB">
          <w:rPr>
            <w:rStyle w:val="Hyperlink"/>
          </w:rPr>
          <w:t>4.</w:t>
        </w:r>
        <w:r w:rsidR="000C6C6D">
          <w:rPr>
            <w:rFonts w:asciiTheme="minorHAnsi" w:eastAsiaTheme="minorEastAsia" w:hAnsiTheme="minorHAnsi" w:cstheme="minorBidi"/>
            <w:color w:val="auto"/>
            <w:sz w:val="22"/>
            <w:szCs w:val="22"/>
          </w:rPr>
          <w:tab/>
        </w:r>
        <w:r w:rsidR="000C6C6D" w:rsidRPr="000C43DB">
          <w:rPr>
            <w:rStyle w:val="Hyperlink"/>
          </w:rPr>
          <w:t>Estimation and Evaluation of Costs and Benefits</w:t>
        </w:r>
        <w:r w:rsidR="000C6C6D">
          <w:rPr>
            <w:webHidden/>
          </w:rPr>
          <w:tab/>
        </w:r>
        <w:r w:rsidR="000C6C6D">
          <w:rPr>
            <w:webHidden/>
          </w:rPr>
          <w:fldChar w:fldCharType="begin"/>
        </w:r>
        <w:r w:rsidR="000C6C6D">
          <w:rPr>
            <w:webHidden/>
          </w:rPr>
          <w:instrText xml:space="preserve"> PAGEREF _Toc12808773 \h </w:instrText>
        </w:r>
        <w:r w:rsidR="000C6C6D">
          <w:rPr>
            <w:webHidden/>
          </w:rPr>
        </w:r>
        <w:r w:rsidR="000C6C6D">
          <w:rPr>
            <w:webHidden/>
          </w:rPr>
          <w:fldChar w:fldCharType="separate"/>
        </w:r>
        <w:r w:rsidR="00F05D99">
          <w:rPr>
            <w:webHidden/>
          </w:rPr>
          <w:t>5</w:t>
        </w:r>
        <w:r w:rsidR="000C6C6D">
          <w:rPr>
            <w:webHidden/>
          </w:rPr>
          <w:fldChar w:fldCharType="end"/>
        </w:r>
      </w:hyperlink>
    </w:p>
    <w:p w14:paraId="1B28E946" w14:textId="170E3D45" w:rsidR="000C6C6D" w:rsidRDefault="00F76DB1">
      <w:pPr>
        <w:pStyle w:val="TOC2"/>
        <w:rPr>
          <w:rFonts w:asciiTheme="minorHAnsi" w:eastAsiaTheme="minorEastAsia" w:hAnsiTheme="minorHAnsi" w:cstheme="minorBidi"/>
          <w:noProof/>
          <w:color w:val="auto"/>
          <w:sz w:val="22"/>
          <w:szCs w:val="22"/>
        </w:rPr>
      </w:pPr>
      <w:hyperlink w:anchor="_Toc12808774" w:history="1">
        <w:r w:rsidR="000C6C6D" w:rsidRPr="000C43DB">
          <w:rPr>
            <w:rStyle w:val="Hyperlink"/>
            <w:noProof/>
          </w:rPr>
          <w:t>4.1</w:t>
        </w:r>
        <w:r w:rsidR="000C6C6D">
          <w:rPr>
            <w:rFonts w:asciiTheme="minorHAnsi" w:eastAsiaTheme="minorEastAsia" w:hAnsiTheme="minorHAnsi" w:cstheme="minorBidi"/>
            <w:noProof/>
            <w:color w:val="auto"/>
            <w:sz w:val="22"/>
            <w:szCs w:val="22"/>
          </w:rPr>
          <w:tab/>
        </w:r>
        <w:r w:rsidR="000C6C6D" w:rsidRPr="000C43DB">
          <w:rPr>
            <w:rStyle w:val="Hyperlink"/>
            <w:noProof/>
          </w:rPr>
          <w:t>Identification of Affected Attributes</w:t>
        </w:r>
        <w:r w:rsidR="000C6C6D">
          <w:rPr>
            <w:noProof/>
            <w:webHidden/>
          </w:rPr>
          <w:tab/>
        </w:r>
        <w:r w:rsidR="000C6C6D">
          <w:rPr>
            <w:noProof/>
            <w:webHidden/>
          </w:rPr>
          <w:fldChar w:fldCharType="begin"/>
        </w:r>
        <w:r w:rsidR="000C6C6D">
          <w:rPr>
            <w:noProof/>
            <w:webHidden/>
          </w:rPr>
          <w:instrText xml:space="preserve"> PAGEREF _Toc12808774 \h </w:instrText>
        </w:r>
        <w:r w:rsidR="000C6C6D">
          <w:rPr>
            <w:noProof/>
            <w:webHidden/>
          </w:rPr>
        </w:r>
        <w:r w:rsidR="000C6C6D">
          <w:rPr>
            <w:noProof/>
            <w:webHidden/>
          </w:rPr>
          <w:fldChar w:fldCharType="separate"/>
        </w:r>
        <w:r w:rsidR="00F05D99">
          <w:rPr>
            <w:noProof/>
            <w:webHidden/>
          </w:rPr>
          <w:t>5</w:t>
        </w:r>
        <w:r w:rsidR="000C6C6D">
          <w:rPr>
            <w:noProof/>
            <w:webHidden/>
          </w:rPr>
          <w:fldChar w:fldCharType="end"/>
        </w:r>
      </w:hyperlink>
    </w:p>
    <w:p w14:paraId="0B89F228" w14:textId="7F1EE28F" w:rsidR="000C6C6D" w:rsidRDefault="00F76DB1">
      <w:pPr>
        <w:pStyle w:val="TOC2"/>
        <w:rPr>
          <w:rFonts w:asciiTheme="minorHAnsi" w:eastAsiaTheme="minorEastAsia" w:hAnsiTheme="minorHAnsi" w:cstheme="minorBidi"/>
          <w:noProof/>
          <w:color w:val="auto"/>
          <w:sz w:val="22"/>
          <w:szCs w:val="22"/>
        </w:rPr>
      </w:pPr>
      <w:hyperlink w:anchor="_Toc12808775" w:history="1">
        <w:r w:rsidR="000C6C6D" w:rsidRPr="000C43DB">
          <w:rPr>
            <w:rStyle w:val="Hyperlink"/>
            <w:noProof/>
          </w:rPr>
          <w:t>4.2</w:t>
        </w:r>
        <w:r w:rsidR="000C6C6D">
          <w:rPr>
            <w:rFonts w:asciiTheme="minorHAnsi" w:eastAsiaTheme="minorEastAsia" w:hAnsiTheme="minorHAnsi" w:cstheme="minorBidi"/>
            <w:noProof/>
            <w:color w:val="auto"/>
            <w:sz w:val="22"/>
            <w:szCs w:val="22"/>
          </w:rPr>
          <w:tab/>
        </w:r>
        <w:r w:rsidR="000C6C6D" w:rsidRPr="000C43DB">
          <w:rPr>
            <w:rStyle w:val="Hyperlink"/>
            <w:noProof/>
          </w:rPr>
          <w:t>Analytical Methodology</w:t>
        </w:r>
        <w:r w:rsidR="000C6C6D">
          <w:rPr>
            <w:noProof/>
            <w:webHidden/>
          </w:rPr>
          <w:tab/>
        </w:r>
        <w:r w:rsidR="000C6C6D">
          <w:rPr>
            <w:noProof/>
            <w:webHidden/>
          </w:rPr>
          <w:fldChar w:fldCharType="begin"/>
        </w:r>
        <w:r w:rsidR="000C6C6D">
          <w:rPr>
            <w:noProof/>
            <w:webHidden/>
          </w:rPr>
          <w:instrText xml:space="preserve"> PAGEREF _Toc12808775 \h </w:instrText>
        </w:r>
        <w:r w:rsidR="000C6C6D">
          <w:rPr>
            <w:noProof/>
            <w:webHidden/>
          </w:rPr>
        </w:r>
        <w:r w:rsidR="000C6C6D">
          <w:rPr>
            <w:noProof/>
            <w:webHidden/>
          </w:rPr>
          <w:fldChar w:fldCharType="separate"/>
        </w:r>
        <w:r w:rsidR="00F05D99">
          <w:rPr>
            <w:noProof/>
            <w:webHidden/>
          </w:rPr>
          <w:t>8</w:t>
        </w:r>
        <w:r w:rsidR="000C6C6D">
          <w:rPr>
            <w:noProof/>
            <w:webHidden/>
          </w:rPr>
          <w:fldChar w:fldCharType="end"/>
        </w:r>
      </w:hyperlink>
    </w:p>
    <w:p w14:paraId="461BA632" w14:textId="4E0A8604" w:rsidR="000C6C6D" w:rsidRDefault="00F76DB1">
      <w:pPr>
        <w:pStyle w:val="TOC3"/>
        <w:rPr>
          <w:rFonts w:asciiTheme="minorHAnsi" w:eastAsiaTheme="minorEastAsia" w:hAnsiTheme="minorHAnsi" w:cstheme="minorBidi"/>
          <w:noProof/>
          <w:color w:val="auto"/>
          <w:sz w:val="22"/>
          <w:szCs w:val="22"/>
        </w:rPr>
      </w:pPr>
      <w:hyperlink w:anchor="_Toc12808776" w:history="1">
        <w:r w:rsidR="000C6C6D" w:rsidRPr="000C43DB">
          <w:rPr>
            <w:rStyle w:val="Hyperlink"/>
            <w:noProof/>
          </w:rPr>
          <w:t>4.2.1</w:t>
        </w:r>
        <w:r w:rsidR="000C6C6D">
          <w:rPr>
            <w:rFonts w:asciiTheme="minorHAnsi" w:eastAsiaTheme="minorEastAsia" w:hAnsiTheme="minorHAnsi" w:cstheme="minorBidi"/>
            <w:noProof/>
            <w:color w:val="auto"/>
            <w:sz w:val="22"/>
            <w:szCs w:val="22"/>
          </w:rPr>
          <w:tab/>
        </w:r>
        <w:r w:rsidR="000C6C6D" w:rsidRPr="000C43DB">
          <w:rPr>
            <w:rStyle w:val="Hyperlink"/>
            <w:noProof/>
          </w:rPr>
          <w:t>Regulatory Baseline</w:t>
        </w:r>
        <w:r w:rsidR="000C6C6D">
          <w:rPr>
            <w:noProof/>
            <w:webHidden/>
          </w:rPr>
          <w:tab/>
        </w:r>
        <w:r w:rsidR="000C6C6D">
          <w:rPr>
            <w:noProof/>
            <w:webHidden/>
          </w:rPr>
          <w:fldChar w:fldCharType="begin"/>
        </w:r>
        <w:r w:rsidR="000C6C6D">
          <w:rPr>
            <w:noProof/>
            <w:webHidden/>
          </w:rPr>
          <w:instrText xml:space="preserve"> PAGEREF _Toc12808776 \h </w:instrText>
        </w:r>
        <w:r w:rsidR="000C6C6D">
          <w:rPr>
            <w:noProof/>
            <w:webHidden/>
          </w:rPr>
        </w:r>
        <w:r w:rsidR="000C6C6D">
          <w:rPr>
            <w:noProof/>
            <w:webHidden/>
          </w:rPr>
          <w:fldChar w:fldCharType="separate"/>
        </w:r>
        <w:r w:rsidR="00F05D99">
          <w:rPr>
            <w:noProof/>
            <w:webHidden/>
          </w:rPr>
          <w:t>8</w:t>
        </w:r>
        <w:r w:rsidR="000C6C6D">
          <w:rPr>
            <w:noProof/>
            <w:webHidden/>
          </w:rPr>
          <w:fldChar w:fldCharType="end"/>
        </w:r>
      </w:hyperlink>
    </w:p>
    <w:p w14:paraId="2DC3B8D0" w14:textId="74E498E7" w:rsidR="000C6C6D" w:rsidRDefault="00F76DB1">
      <w:pPr>
        <w:pStyle w:val="TOC3"/>
        <w:rPr>
          <w:rFonts w:asciiTheme="minorHAnsi" w:eastAsiaTheme="minorEastAsia" w:hAnsiTheme="minorHAnsi" w:cstheme="minorBidi"/>
          <w:noProof/>
          <w:color w:val="auto"/>
          <w:sz w:val="22"/>
          <w:szCs w:val="22"/>
        </w:rPr>
      </w:pPr>
      <w:hyperlink w:anchor="_Toc12808777" w:history="1">
        <w:r w:rsidR="000C6C6D" w:rsidRPr="000C43DB">
          <w:rPr>
            <w:rStyle w:val="Hyperlink"/>
            <w:noProof/>
          </w:rPr>
          <w:t>4.2.2</w:t>
        </w:r>
        <w:r w:rsidR="000C6C6D">
          <w:rPr>
            <w:rFonts w:asciiTheme="minorHAnsi" w:eastAsiaTheme="minorEastAsia" w:hAnsiTheme="minorHAnsi" w:cstheme="minorBidi"/>
            <w:noProof/>
            <w:color w:val="auto"/>
            <w:sz w:val="22"/>
            <w:szCs w:val="22"/>
          </w:rPr>
          <w:tab/>
        </w:r>
        <w:r w:rsidR="000C6C6D" w:rsidRPr="000C43DB">
          <w:rPr>
            <w:rStyle w:val="Hyperlink"/>
            <w:noProof/>
          </w:rPr>
          <w:t>Affected Entities</w:t>
        </w:r>
        <w:r w:rsidR="000C6C6D">
          <w:rPr>
            <w:noProof/>
            <w:webHidden/>
          </w:rPr>
          <w:tab/>
        </w:r>
        <w:r w:rsidR="000C6C6D">
          <w:rPr>
            <w:noProof/>
            <w:webHidden/>
          </w:rPr>
          <w:fldChar w:fldCharType="begin"/>
        </w:r>
        <w:r w:rsidR="000C6C6D">
          <w:rPr>
            <w:noProof/>
            <w:webHidden/>
          </w:rPr>
          <w:instrText xml:space="preserve"> PAGEREF _Toc12808777 \h </w:instrText>
        </w:r>
        <w:r w:rsidR="000C6C6D">
          <w:rPr>
            <w:noProof/>
            <w:webHidden/>
          </w:rPr>
        </w:r>
        <w:r w:rsidR="000C6C6D">
          <w:rPr>
            <w:noProof/>
            <w:webHidden/>
          </w:rPr>
          <w:fldChar w:fldCharType="separate"/>
        </w:r>
        <w:r w:rsidR="00F05D99">
          <w:rPr>
            <w:noProof/>
            <w:webHidden/>
          </w:rPr>
          <w:t>9</w:t>
        </w:r>
        <w:r w:rsidR="000C6C6D">
          <w:rPr>
            <w:noProof/>
            <w:webHidden/>
          </w:rPr>
          <w:fldChar w:fldCharType="end"/>
        </w:r>
      </w:hyperlink>
    </w:p>
    <w:p w14:paraId="4895C593" w14:textId="01A787E0" w:rsidR="000C6C6D" w:rsidRDefault="00F76DB1">
      <w:pPr>
        <w:pStyle w:val="TOC3"/>
        <w:rPr>
          <w:rFonts w:asciiTheme="minorHAnsi" w:eastAsiaTheme="minorEastAsia" w:hAnsiTheme="minorHAnsi" w:cstheme="minorBidi"/>
          <w:noProof/>
          <w:color w:val="auto"/>
          <w:sz w:val="22"/>
          <w:szCs w:val="22"/>
        </w:rPr>
      </w:pPr>
      <w:hyperlink w:anchor="_Toc12808778" w:history="1">
        <w:r w:rsidR="000C6C6D" w:rsidRPr="000C43DB">
          <w:rPr>
            <w:rStyle w:val="Hyperlink"/>
            <w:noProof/>
          </w:rPr>
          <w:t>4.2.3</w:t>
        </w:r>
        <w:r w:rsidR="000C6C6D">
          <w:rPr>
            <w:rFonts w:asciiTheme="minorHAnsi" w:eastAsiaTheme="minorEastAsia" w:hAnsiTheme="minorHAnsi" w:cstheme="minorBidi"/>
            <w:noProof/>
            <w:color w:val="auto"/>
            <w:sz w:val="22"/>
            <w:szCs w:val="22"/>
          </w:rPr>
          <w:tab/>
        </w:r>
        <w:r w:rsidR="000C6C6D" w:rsidRPr="000C43DB">
          <w:rPr>
            <w:rStyle w:val="Hyperlink"/>
            <w:noProof/>
          </w:rPr>
          <w:t>Base Year</w:t>
        </w:r>
        <w:r w:rsidR="000C6C6D">
          <w:rPr>
            <w:noProof/>
            <w:webHidden/>
          </w:rPr>
          <w:tab/>
        </w:r>
        <w:r w:rsidR="000C6C6D">
          <w:rPr>
            <w:noProof/>
            <w:webHidden/>
          </w:rPr>
          <w:fldChar w:fldCharType="begin"/>
        </w:r>
        <w:r w:rsidR="000C6C6D">
          <w:rPr>
            <w:noProof/>
            <w:webHidden/>
          </w:rPr>
          <w:instrText xml:space="preserve"> PAGEREF _Toc12808778 \h </w:instrText>
        </w:r>
        <w:r w:rsidR="000C6C6D">
          <w:rPr>
            <w:noProof/>
            <w:webHidden/>
          </w:rPr>
        </w:r>
        <w:r w:rsidR="000C6C6D">
          <w:rPr>
            <w:noProof/>
            <w:webHidden/>
          </w:rPr>
          <w:fldChar w:fldCharType="separate"/>
        </w:r>
        <w:r w:rsidR="00F05D99">
          <w:rPr>
            <w:noProof/>
            <w:webHidden/>
          </w:rPr>
          <w:t>10</w:t>
        </w:r>
        <w:r w:rsidR="000C6C6D">
          <w:rPr>
            <w:noProof/>
            <w:webHidden/>
          </w:rPr>
          <w:fldChar w:fldCharType="end"/>
        </w:r>
      </w:hyperlink>
    </w:p>
    <w:p w14:paraId="34C97337" w14:textId="0E145230" w:rsidR="000C6C6D" w:rsidRDefault="00F76DB1">
      <w:pPr>
        <w:pStyle w:val="TOC3"/>
        <w:rPr>
          <w:rFonts w:asciiTheme="minorHAnsi" w:eastAsiaTheme="minorEastAsia" w:hAnsiTheme="minorHAnsi" w:cstheme="minorBidi"/>
          <w:noProof/>
          <w:color w:val="auto"/>
          <w:sz w:val="22"/>
          <w:szCs w:val="22"/>
        </w:rPr>
      </w:pPr>
      <w:hyperlink w:anchor="_Toc12808779" w:history="1">
        <w:r w:rsidR="000C6C6D" w:rsidRPr="000C43DB">
          <w:rPr>
            <w:rStyle w:val="Hyperlink"/>
            <w:noProof/>
          </w:rPr>
          <w:t>4.2.4</w:t>
        </w:r>
        <w:r w:rsidR="000C6C6D">
          <w:rPr>
            <w:rFonts w:asciiTheme="minorHAnsi" w:eastAsiaTheme="minorEastAsia" w:hAnsiTheme="minorHAnsi" w:cstheme="minorBidi"/>
            <w:noProof/>
            <w:color w:val="auto"/>
            <w:sz w:val="22"/>
            <w:szCs w:val="22"/>
          </w:rPr>
          <w:tab/>
        </w:r>
        <w:r w:rsidR="000C6C6D" w:rsidRPr="000C43DB">
          <w:rPr>
            <w:rStyle w:val="Hyperlink"/>
            <w:noProof/>
          </w:rPr>
          <w:t>Discount Rates</w:t>
        </w:r>
        <w:r w:rsidR="000C6C6D">
          <w:rPr>
            <w:noProof/>
            <w:webHidden/>
          </w:rPr>
          <w:tab/>
        </w:r>
        <w:r w:rsidR="000C6C6D">
          <w:rPr>
            <w:noProof/>
            <w:webHidden/>
          </w:rPr>
          <w:fldChar w:fldCharType="begin"/>
        </w:r>
        <w:r w:rsidR="000C6C6D">
          <w:rPr>
            <w:noProof/>
            <w:webHidden/>
          </w:rPr>
          <w:instrText xml:space="preserve"> PAGEREF _Toc12808779 \h </w:instrText>
        </w:r>
        <w:r w:rsidR="000C6C6D">
          <w:rPr>
            <w:noProof/>
            <w:webHidden/>
          </w:rPr>
        </w:r>
        <w:r w:rsidR="000C6C6D">
          <w:rPr>
            <w:noProof/>
            <w:webHidden/>
          </w:rPr>
          <w:fldChar w:fldCharType="separate"/>
        </w:r>
        <w:r w:rsidR="00F05D99">
          <w:rPr>
            <w:noProof/>
            <w:webHidden/>
          </w:rPr>
          <w:t>10</w:t>
        </w:r>
        <w:r w:rsidR="000C6C6D">
          <w:rPr>
            <w:noProof/>
            <w:webHidden/>
          </w:rPr>
          <w:fldChar w:fldCharType="end"/>
        </w:r>
      </w:hyperlink>
    </w:p>
    <w:p w14:paraId="2F55E484" w14:textId="22935F2D" w:rsidR="000C6C6D" w:rsidRDefault="00F76DB1">
      <w:pPr>
        <w:pStyle w:val="TOC3"/>
        <w:rPr>
          <w:rFonts w:asciiTheme="minorHAnsi" w:eastAsiaTheme="minorEastAsia" w:hAnsiTheme="minorHAnsi" w:cstheme="minorBidi"/>
          <w:noProof/>
          <w:color w:val="auto"/>
          <w:sz w:val="22"/>
          <w:szCs w:val="22"/>
        </w:rPr>
      </w:pPr>
      <w:hyperlink w:anchor="_Toc12808780" w:history="1">
        <w:r w:rsidR="000C6C6D" w:rsidRPr="000C43DB">
          <w:rPr>
            <w:rStyle w:val="Hyperlink"/>
            <w:noProof/>
          </w:rPr>
          <w:t>4.2.5</w:t>
        </w:r>
        <w:r w:rsidR="000C6C6D">
          <w:rPr>
            <w:rFonts w:asciiTheme="minorHAnsi" w:eastAsiaTheme="minorEastAsia" w:hAnsiTheme="minorHAnsi" w:cstheme="minorBidi"/>
            <w:noProof/>
            <w:color w:val="auto"/>
            <w:sz w:val="22"/>
            <w:szCs w:val="22"/>
          </w:rPr>
          <w:tab/>
        </w:r>
        <w:r w:rsidR="000C6C6D" w:rsidRPr="000C43DB">
          <w:rPr>
            <w:rStyle w:val="Hyperlink"/>
            <w:noProof/>
          </w:rPr>
          <w:t>Cost/Benefit Inflators</w:t>
        </w:r>
        <w:r w:rsidR="000C6C6D">
          <w:rPr>
            <w:noProof/>
            <w:webHidden/>
          </w:rPr>
          <w:tab/>
        </w:r>
        <w:r w:rsidR="000C6C6D">
          <w:rPr>
            <w:noProof/>
            <w:webHidden/>
          </w:rPr>
          <w:fldChar w:fldCharType="begin"/>
        </w:r>
        <w:r w:rsidR="000C6C6D">
          <w:rPr>
            <w:noProof/>
            <w:webHidden/>
          </w:rPr>
          <w:instrText xml:space="preserve"> PAGEREF _Toc12808780 \h </w:instrText>
        </w:r>
        <w:r w:rsidR="000C6C6D">
          <w:rPr>
            <w:noProof/>
            <w:webHidden/>
          </w:rPr>
        </w:r>
        <w:r w:rsidR="000C6C6D">
          <w:rPr>
            <w:noProof/>
            <w:webHidden/>
          </w:rPr>
          <w:fldChar w:fldCharType="separate"/>
        </w:r>
        <w:r w:rsidR="00F05D99">
          <w:rPr>
            <w:noProof/>
            <w:webHidden/>
          </w:rPr>
          <w:t>11</w:t>
        </w:r>
        <w:r w:rsidR="000C6C6D">
          <w:rPr>
            <w:noProof/>
            <w:webHidden/>
          </w:rPr>
          <w:fldChar w:fldCharType="end"/>
        </w:r>
      </w:hyperlink>
    </w:p>
    <w:p w14:paraId="0D2C6623" w14:textId="2B420D24" w:rsidR="000C6C6D" w:rsidRDefault="00F76DB1">
      <w:pPr>
        <w:pStyle w:val="TOC3"/>
        <w:rPr>
          <w:rFonts w:asciiTheme="minorHAnsi" w:eastAsiaTheme="minorEastAsia" w:hAnsiTheme="minorHAnsi" w:cstheme="minorBidi"/>
          <w:noProof/>
          <w:color w:val="auto"/>
          <w:sz w:val="22"/>
          <w:szCs w:val="22"/>
        </w:rPr>
      </w:pPr>
      <w:hyperlink w:anchor="_Toc12808781" w:history="1">
        <w:r w:rsidR="000C6C6D" w:rsidRPr="000C43DB">
          <w:rPr>
            <w:rStyle w:val="Hyperlink"/>
            <w:noProof/>
          </w:rPr>
          <w:t>4.2.6</w:t>
        </w:r>
        <w:r w:rsidR="000C6C6D">
          <w:rPr>
            <w:rFonts w:asciiTheme="minorHAnsi" w:eastAsiaTheme="minorEastAsia" w:hAnsiTheme="minorHAnsi" w:cstheme="minorBidi"/>
            <w:noProof/>
            <w:color w:val="auto"/>
            <w:sz w:val="22"/>
            <w:szCs w:val="22"/>
          </w:rPr>
          <w:tab/>
        </w:r>
        <w:r w:rsidR="000C6C6D" w:rsidRPr="000C43DB">
          <w:rPr>
            <w:rStyle w:val="Hyperlink"/>
            <w:noProof/>
          </w:rPr>
          <w:t>Labor Rates</w:t>
        </w:r>
        <w:r w:rsidR="000C6C6D">
          <w:rPr>
            <w:noProof/>
            <w:webHidden/>
          </w:rPr>
          <w:tab/>
        </w:r>
        <w:r w:rsidR="000C6C6D">
          <w:rPr>
            <w:noProof/>
            <w:webHidden/>
          </w:rPr>
          <w:fldChar w:fldCharType="begin"/>
        </w:r>
        <w:r w:rsidR="000C6C6D">
          <w:rPr>
            <w:noProof/>
            <w:webHidden/>
          </w:rPr>
          <w:instrText xml:space="preserve"> PAGEREF _Toc12808781 \h </w:instrText>
        </w:r>
        <w:r w:rsidR="000C6C6D">
          <w:rPr>
            <w:noProof/>
            <w:webHidden/>
          </w:rPr>
        </w:r>
        <w:r w:rsidR="000C6C6D">
          <w:rPr>
            <w:noProof/>
            <w:webHidden/>
          </w:rPr>
          <w:fldChar w:fldCharType="separate"/>
        </w:r>
        <w:r w:rsidR="00F05D99">
          <w:rPr>
            <w:noProof/>
            <w:webHidden/>
          </w:rPr>
          <w:t>11</w:t>
        </w:r>
        <w:r w:rsidR="000C6C6D">
          <w:rPr>
            <w:noProof/>
            <w:webHidden/>
          </w:rPr>
          <w:fldChar w:fldCharType="end"/>
        </w:r>
      </w:hyperlink>
    </w:p>
    <w:p w14:paraId="7B56F972" w14:textId="1040C92A" w:rsidR="000C6C6D" w:rsidRDefault="00F76DB1">
      <w:pPr>
        <w:pStyle w:val="TOC3"/>
        <w:rPr>
          <w:rFonts w:asciiTheme="minorHAnsi" w:eastAsiaTheme="minorEastAsia" w:hAnsiTheme="minorHAnsi" w:cstheme="minorBidi"/>
          <w:noProof/>
          <w:color w:val="auto"/>
          <w:sz w:val="22"/>
          <w:szCs w:val="22"/>
        </w:rPr>
      </w:pPr>
      <w:hyperlink w:anchor="_Toc12808782" w:history="1">
        <w:r w:rsidR="000C6C6D" w:rsidRPr="000C43DB">
          <w:rPr>
            <w:rStyle w:val="Hyperlink"/>
            <w:noProof/>
          </w:rPr>
          <w:t>4.2.7</w:t>
        </w:r>
        <w:r w:rsidR="000C6C6D">
          <w:rPr>
            <w:rFonts w:asciiTheme="minorHAnsi" w:eastAsiaTheme="minorEastAsia" w:hAnsiTheme="minorHAnsi" w:cstheme="minorBidi"/>
            <w:noProof/>
            <w:color w:val="auto"/>
            <w:sz w:val="22"/>
            <w:szCs w:val="22"/>
          </w:rPr>
          <w:tab/>
        </w:r>
        <w:r w:rsidR="000C6C6D" w:rsidRPr="000C43DB">
          <w:rPr>
            <w:rStyle w:val="Hyperlink"/>
            <w:noProof/>
          </w:rPr>
          <w:t>Sign Conventions</w:t>
        </w:r>
        <w:r w:rsidR="000C6C6D">
          <w:rPr>
            <w:noProof/>
            <w:webHidden/>
          </w:rPr>
          <w:tab/>
        </w:r>
        <w:r w:rsidR="000C6C6D">
          <w:rPr>
            <w:noProof/>
            <w:webHidden/>
          </w:rPr>
          <w:fldChar w:fldCharType="begin"/>
        </w:r>
        <w:r w:rsidR="000C6C6D">
          <w:rPr>
            <w:noProof/>
            <w:webHidden/>
          </w:rPr>
          <w:instrText xml:space="preserve"> PAGEREF _Toc12808782 \h </w:instrText>
        </w:r>
        <w:r w:rsidR="000C6C6D">
          <w:rPr>
            <w:noProof/>
            <w:webHidden/>
          </w:rPr>
        </w:r>
        <w:r w:rsidR="000C6C6D">
          <w:rPr>
            <w:noProof/>
            <w:webHidden/>
          </w:rPr>
          <w:fldChar w:fldCharType="separate"/>
        </w:r>
        <w:r w:rsidR="00F05D99">
          <w:rPr>
            <w:noProof/>
            <w:webHidden/>
          </w:rPr>
          <w:t>12</w:t>
        </w:r>
        <w:r w:rsidR="000C6C6D">
          <w:rPr>
            <w:noProof/>
            <w:webHidden/>
          </w:rPr>
          <w:fldChar w:fldCharType="end"/>
        </w:r>
      </w:hyperlink>
    </w:p>
    <w:p w14:paraId="52AC751C" w14:textId="4FFAC0FF" w:rsidR="000C6C6D" w:rsidRDefault="00F76DB1">
      <w:pPr>
        <w:pStyle w:val="TOC3"/>
        <w:rPr>
          <w:rFonts w:asciiTheme="minorHAnsi" w:eastAsiaTheme="minorEastAsia" w:hAnsiTheme="minorHAnsi" w:cstheme="minorBidi"/>
          <w:noProof/>
          <w:color w:val="auto"/>
          <w:sz w:val="22"/>
          <w:szCs w:val="22"/>
        </w:rPr>
      </w:pPr>
      <w:hyperlink w:anchor="_Toc12808783" w:history="1">
        <w:r w:rsidR="000C6C6D" w:rsidRPr="000C43DB">
          <w:rPr>
            <w:rStyle w:val="Hyperlink"/>
            <w:noProof/>
          </w:rPr>
          <w:t>4.2.8</w:t>
        </w:r>
        <w:r w:rsidR="000C6C6D">
          <w:rPr>
            <w:rFonts w:asciiTheme="minorHAnsi" w:eastAsiaTheme="minorEastAsia" w:hAnsiTheme="minorHAnsi" w:cstheme="minorBidi"/>
            <w:noProof/>
            <w:color w:val="auto"/>
            <w:sz w:val="22"/>
            <w:szCs w:val="22"/>
          </w:rPr>
          <w:tab/>
        </w:r>
        <w:r w:rsidR="000C6C6D" w:rsidRPr="000C43DB">
          <w:rPr>
            <w:rStyle w:val="Hyperlink"/>
            <w:noProof/>
          </w:rPr>
          <w:t>Analysis Horizon</w:t>
        </w:r>
        <w:r w:rsidR="000C6C6D">
          <w:rPr>
            <w:noProof/>
            <w:webHidden/>
          </w:rPr>
          <w:tab/>
        </w:r>
        <w:r w:rsidR="000C6C6D">
          <w:rPr>
            <w:noProof/>
            <w:webHidden/>
          </w:rPr>
          <w:fldChar w:fldCharType="begin"/>
        </w:r>
        <w:r w:rsidR="000C6C6D">
          <w:rPr>
            <w:noProof/>
            <w:webHidden/>
          </w:rPr>
          <w:instrText xml:space="preserve"> PAGEREF _Toc12808783 \h </w:instrText>
        </w:r>
        <w:r w:rsidR="000C6C6D">
          <w:rPr>
            <w:noProof/>
            <w:webHidden/>
          </w:rPr>
        </w:r>
        <w:r w:rsidR="000C6C6D">
          <w:rPr>
            <w:noProof/>
            <w:webHidden/>
          </w:rPr>
          <w:fldChar w:fldCharType="separate"/>
        </w:r>
        <w:r w:rsidR="00F05D99">
          <w:rPr>
            <w:noProof/>
            <w:webHidden/>
          </w:rPr>
          <w:t>12</w:t>
        </w:r>
        <w:r w:rsidR="000C6C6D">
          <w:rPr>
            <w:noProof/>
            <w:webHidden/>
          </w:rPr>
          <w:fldChar w:fldCharType="end"/>
        </w:r>
      </w:hyperlink>
    </w:p>
    <w:p w14:paraId="3D15A630" w14:textId="3C8D0B6A" w:rsidR="000C6C6D" w:rsidRDefault="00F76DB1">
      <w:pPr>
        <w:pStyle w:val="TOC3"/>
        <w:rPr>
          <w:rFonts w:asciiTheme="minorHAnsi" w:eastAsiaTheme="minorEastAsia" w:hAnsiTheme="minorHAnsi" w:cstheme="minorBidi"/>
          <w:noProof/>
          <w:color w:val="auto"/>
          <w:sz w:val="22"/>
          <w:szCs w:val="22"/>
        </w:rPr>
      </w:pPr>
      <w:hyperlink w:anchor="_Toc12808784" w:history="1">
        <w:r w:rsidR="000C6C6D" w:rsidRPr="000C43DB">
          <w:rPr>
            <w:rStyle w:val="Hyperlink"/>
            <w:noProof/>
          </w:rPr>
          <w:t>4.2.9</w:t>
        </w:r>
        <w:r w:rsidR="000C6C6D">
          <w:rPr>
            <w:rFonts w:asciiTheme="minorHAnsi" w:eastAsiaTheme="minorEastAsia" w:hAnsiTheme="minorHAnsi" w:cstheme="minorBidi"/>
            <w:noProof/>
            <w:color w:val="auto"/>
            <w:sz w:val="22"/>
            <w:szCs w:val="22"/>
          </w:rPr>
          <w:tab/>
        </w:r>
        <w:r w:rsidR="000C6C6D" w:rsidRPr="000C43DB">
          <w:rPr>
            <w:rStyle w:val="Hyperlink"/>
            <w:noProof/>
          </w:rPr>
          <w:t>Cost Estimation</w:t>
        </w:r>
        <w:r w:rsidR="000C6C6D">
          <w:rPr>
            <w:noProof/>
            <w:webHidden/>
          </w:rPr>
          <w:tab/>
        </w:r>
        <w:r w:rsidR="000C6C6D">
          <w:rPr>
            <w:noProof/>
            <w:webHidden/>
          </w:rPr>
          <w:fldChar w:fldCharType="begin"/>
        </w:r>
        <w:r w:rsidR="000C6C6D">
          <w:rPr>
            <w:noProof/>
            <w:webHidden/>
          </w:rPr>
          <w:instrText xml:space="preserve"> PAGEREF _Toc12808784 \h </w:instrText>
        </w:r>
        <w:r w:rsidR="000C6C6D">
          <w:rPr>
            <w:noProof/>
            <w:webHidden/>
          </w:rPr>
        </w:r>
        <w:r w:rsidR="000C6C6D">
          <w:rPr>
            <w:noProof/>
            <w:webHidden/>
          </w:rPr>
          <w:fldChar w:fldCharType="separate"/>
        </w:r>
        <w:r w:rsidR="00F05D99">
          <w:rPr>
            <w:noProof/>
            <w:webHidden/>
          </w:rPr>
          <w:t>12</w:t>
        </w:r>
        <w:r w:rsidR="000C6C6D">
          <w:rPr>
            <w:noProof/>
            <w:webHidden/>
          </w:rPr>
          <w:fldChar w:fldCharType="end"/>
        </w:r>
      </w:hyperlink>
    </w:p>
    <w:p w14:paraId="02955250" w14:textId="1A492BC1" w:rsidR="000C6C6D" w:rsidRDefault="00F76DB1">
      <w:pPr>
        <w:pStyle w:val="TOC3"/>
        <w:rPr>
          <w:rFonts w:asciiTheme="minorHAnsi" w:eastAsiaTheme="minorEastAsia" w:hAnsiTheme="minorHAnsi" w:cstheme="minorBidi"/>
          <w:noProof/>
          <w:color w:val="auto"/>
          <w:sz w:val="22"/>
          <w:szCs w:val="22"/>
        </w:rPr>
      </w:pPr>
      <w:hyperlink w:anchor="_Toc12808785" w:history="1">
        <w:r w:rsidR="000C6C6D" w:rsidRPr="000C43DB">
          <w:rPr>
            <w:rStyle w:val="Hyperlink"/>
            <w:noProof/>
          </w:rPr>
          <w:t>4.2.10</w:t>
        </w:r>
        <w:r w:rsidR="000C6C6D">
          <w:rPr>
            <w:rFonts w:asciiTheme="minorHAnsi" w:eastAsiaTheme="minorEastAsia" w:hAnsiTheme="minorHAnsi" w:cstheme="minorBidi"/>
            <w:noProof/>
            <w:color w:val="auto"/>
            <w:sz w:val="22"/>
            <w:szCs w:val="22"/>
          </w:rPr>
          <w:tab/>
        </w:r>
        <w:r w:rsidR="000C6C6D" w:rsidRPr="000C43DB">
          <w:rPr>
            <w:rStyle w:val="Hyperlink"/>
            <w:noProof/>
          </w:rPr>
          <w:t>NRC</w:t>
        </w:r>
        <w:r w:rsidR="000C6C6D" w:rsidRPr="000C43DB">
          <w:rPr>
            <w:rStyle w:val="Hyperlink"/>
            <w:noProof/>
          </w:rPr>
          <w:noBreakHyphen/>
          <w:t>Conditioned ASME Code Cases</w:t>
        </w:r>
        <w:r w:rsidR="000C6C6D">
          <w:rPr>
            <w:noProof/>
            <w:webHidden/>
          </w:rPr>
          <w:tab/>
        </w:r>
        <w:r w:rsidR="000C6C6D">
          <w:rPr>
            <w:noProof/>
            <w:webHidden/>
          </w:rPr>
          <w:fldChar w:fldCharType="begin"/>
        </w:r>
        <w:r w:rsidR="000C6C6D">
          <w:rPr>
            <w:noProof/>
            <w:webHidden/>
          </w:rPr>
          <w:instrText xml:space="preserve"> PAGEREF _Toc12808785 \h </w:instrText>
        </w:r>
        <w:r w:rsidR="000C6C6D">
          <w:rPr>
            <w:noProof/>
            <w:webHidden/>
          </w:rPr>
        </w:r>
        <w:r w:rsidR="000C6C6D">
          <w:rPr>
            <w:noProof/>
            <w:webHidden/>
          </w:rPr>
          <w:fldChar w:fldCharType="separate"/>
        </w:r>
        <w:r w:rsidR="00F05D99">
          <w:rPr>
            <w:noProof/>
            <w:webHidden/>
          </w:rPr>
          <w:t>13</w:t>
        </w:r>
        <w:r w:rsidR="000C6C6D">
          <w:rPr>
            <w:noProof/>
            <w:webHidden/>
          </w:rPr>
          <w:fldChar w:fldCharType="end"/>
        </w:r>
      </w:hyperlink>
    </w:p>
    <w:p w14:paraId="3583767E" w14:textId="67BFADFA" w:rsidR="000C6C6D" w:rsidRDefault="00F76DB1">
      <w:pPr>
        <w:pStyle w:val="TOC2"/>
        <w:rPr>
          <w:rFonts w:asciiTheme="minorHAnsi" w:eastAsiaTheme="minorEastAsia" w:hAnsiTheme="minorHAnsi" w:cstheme="minorBidi"/>
          <w:noProof/>
          <w:color w:val="auto"/>
          <w:sz w:val="22"/>
          <w:szCs w:val="22"/>
        </w:rPr>
      </w:pPr>
      <w:hyperlink w:anchor="_Toc12808786" w:history="1">
        <w:r w:rsidR="000C6C6D" w:rsidRPr="000C43DB">
          <w:rPr>
            <w:rStyle w:val="Hyperlink"/>
            <w:noProof/>
          </w:rPr>
          <w:t>4.3</w:t>
        </w:r>
        <w:r w:rsidR="000C6C6D">
          <w:rPr>
            <w:rFonts w:asciiTheme="minorHAnsi" w:eastAsiaTheme="minorEastAsia" w:hAnsiTheme="minorHAnsi" w:cstheme="minorBidi"/>
            <w:noProof/>
            <w:color w:val="auto"/>
            <w:sz w:val="22"/>
            <w:szCs w:val="22"/>
          </w:rPr>
          <w:tab/>
        </w:r>
        <w:r w:rsidR="000C6C6D" w:rsidRPr="000C43DB">
          <w:rPr>
            <w:rStyle w:val="Hyperlink"/>
            <w:noProof/>
          </w:rPr>
          <w:t>Data</w:t>
        </w:r>
        <w:r w:rsidR="000C6C6D">
          <w:rPr>
            <w:noProof/>
            <w:webHidden/>
          </w:rPr>
          <w:tab/>
        </w:r>
        <w:r w:rsidR="000C6C6D">
          <w:rPr>
            <w:noProof/>
            <w:webHidden/>
          </w:rPr>
          <w:fldChar w:fldCharType="begin"/>
        </w:r>
        <w:r w:rsidR="000C6C6D">
          <w:rPr>
            <w:noProof/>
            <w:webHidden/>
          </w:rPr>
          <w:instrText xml:space="preserve"> PAGEREF _Toc12808786 \h </w:instrText>
        </w:r>
        <w:r w:rsidR="000C6C6D">
          <w:rPr>
            <w:noProof/>
            <w:webHidden/>
          </w:rPr>
        </w:r>
        <w:r w:rsidR="000C6C6D">
          <w:rPr>
            <w:noProof/>
            <w:webHidden/>
          </w:rPr>
          <w:fldChar w:fldCharType="separate"/>
        </w:r>
        <w:r w:rsidR="00F05D99">
          <w:rPr>
            <w:noProof/>
            <w:webHidden/>
          </w:rPr>
          <w:t>19</w:t>
        </w:r>
        <w:r w:rsidR="000C6C6D">
          <w:rPr>
            <w:noProof/>
            <w:webHidden/>
          </w:rPr>
          <w:fldChar w:fldCharType="end"/>
        </w:r>
      </w:hyperlink>
    </w:p>
    <w:p w14:paraId="0F6598CB" w14:textId="033C7F43" w:rsidR="000C6C6D" w:rsidRDefault="00F76DB1">
      <w:pPr>
        <w:pStyle w:val="TOC1"/>
        <w:rPr>
          <w:rFonts w:asciiTheme="minorHAnsi" w:eastAsiaTheme="minorEastAsia" w:hAnsiTheme="minorHAnsi" w:cstheme="minorBidi"/>
          <w:color w:val="auto"/>
          <w:sz w:val="22"/>
          <w:szCs w:val="22"/>
        </w:rPr>
      </w:pPr>
      <w:hyperlink w:anchor="_Toc12808787" w:history="1">
        <w:r w:rsidR="000C6C6D" w:rsidRPr="000C43DB">
          <w:rPr>
            <w:rStyle w:val="Hyperlink"/>
          </w:rPr>
          <w:t>5.</w:t>
        </w:r>
        <w:r w:rsidR="000C6C6D">
          <w:rPr>
            <w:rFonts w:asciiTheme="minorHAnsi" w:eastAsiaTheme="minorEastAsia" w:hAnsiTheme="minorHAnsi" w:cstheme="minorBidi"/>
            <w:color w:val="auto"/>
            <w:sz w:val="22"/>
            <w:szCs w:val="22"/>
          </w:rPr>
          <w:tab/>
        </w:r>
        <w:r w:rsidR="000C6C6D" w:rsidRPr="000C43DB">
          <w:rPr>
            <w:rStyle w:val="Hyperlink"/>
          </w:rPr>
          <w:t>Results</w:t>
        </w:r>
        <w:r w:rsidR="000C6C6D">
          <w:rPr>
            <w:webHidden/>
          </w:rPr>
          <w:tab/>
        </w:r>
        <w:r w:rsidR="000C6C6D">
          <w:rPr>
            <w:webHidden/>
          </w:rPr>
          <w:fldChar w:fldCharType="begin"/>
        </w:r>
        <w:r w:rsidR="000C6C6D">
          <w:rPr>
            <w:webHidden/>
          </w:rPr>
          <w:instrText xml:space="preserve"> PAGEREF _Toc12808787 \h </w:instrText>
        </w:r>
        <w:r w:rsidR="000C6C6D">
          <w:rPr>
            <w:webHidden/>
          </w:rPr>
        </w:r>
        <w:r w:rsidR="000C6C6D">
          <w:rPr>
            <w:webHidden/>
          </w:rPr>
          <w:fldChar w:fldCharType="separate"/>
        </w:r>
        <w:r w:rsidR="00F05D99">
          <w:rPr>
            <w:webHidden/>
          </w:rPr>
          <w:t>19</w:t>
        </w:r>
        <w:r w:rsidR="000C6C6D">
          <w:rPr>
            <w:webHidden/>
          </w:rPr>
          <w:fldChar w:fldCharType="end"/>
        </w:r>
      </w:hyperlink>
    </w:p>
    <w:p w14:paraId="47A36622" w14:textId="4A3AC705" w:rsidR="000C6C6D" w:rsidRDefault="00F76DB1">
      <w:pPr>
        <w:pStyle w:val="TOC2"/>
        <w:rPr>
          <w:rFonts w:asciiTheme="minorHAnsi" w:eastAsiaTheme="minorEastAsia" w:hAnsiTheme="minorHAnsi" w:cstheme="minorBidi"/>
          <w:noProof/>
          <w:color w:val="auto"/>
          <w:sz w:val="22"/>
          <w:szCs w:val="22"/>
        </w:rPr>
      </w:pPr>
      <w:hyperlink w:anchor="_Toc12808788" w:history="1">
        <w:r w:rsidR="000C6C6D" w:rsidRPr="000C43DB">
          <w:rPr>
            <w:rStyle w:val="Hyperlink"/>
            <w:noProof/>
          </w:rPr>
          <w:t>5.1</w:t>
        </w:r>
        <w:r w:rsidR="000C6C6D">
          <w:rPr>
            <w:rFonts w:asciiTheme="minorHAnsi" w:eastAsiaTheme="minorEastAsia" w:hAnsiTheme="minorHAnsi" w:cstheme="minorBidi"/>
            <w:noProof/>
            <w:color w:val="auto"/>
            <w:sz w:val="22"/>
            <w:szCs w:val="22"/>
          </w:rPr>
          <w:tab/>
        </w:r>
        <w:r w:rsidR="000C6C6D" w:rsidRPr="000C43DB">
          <w:rPr>
            <w:rStyle w:val="Hyperlink"/>
            <w:noProof/>
          </w:rPr>
          <w:t>Public Health (Accident)</w:t>
        </w:r>
        <w:r w:rsidR="000C6C6D">
          <w:rPr>
            <w:noProof/>
            <w:webHidden/>
          </w:rPr>
          <w:tab/>
        </w:r>
        <w:r w:rsidR="000C6C6D">
          <w:rPr>
            <w:noProof/>
            <w:webHidden/>
          </w:rPr>
          <w:fldChar w:fldCharType="begin"/>
        </w:r>
        <w:r w:rsidR="000C6C6D">
          <w:rPr>
            <w:noProof/>
            <w:webHidden/>
          </w:rPr>
          <w:instrText xml:space="preserve"> PAGEREF _Toc12808788 \h </w:instrText>
        </w:r>
        <w:r w:rsidR="000C6C6D">
          <w:rPr>
            <w:noProof/>
            <w:webHidden/>
          </w:rPr>
        </w:r>
        <w:r w:rsidR="000C6C6D">
          <w:rPr>
            <w:noProof/>
            <w:webHidden/>
          </w:rPr>
          <w:fldChar w:fldCharType="separate"/>
        </w:r>
        <w:r w:rsidR="00F05D99">
          <w:rPr>
            <w:noProof/>
            <w:webHidden/>
          </w:rPr>
          <w:t>20</w:t>
        </w:r>
        <w:r w:rsidR="000C6C6D">
          <w:rPr>
            <w:noProof/>
            <w:webHidden/>
          </w:rPr>
          <w:fldChar w:fldCharType="end"/>
        </w:r>
      </w:hyperlink>
    </w:p>
    <w:p w14:paraId="6291FDA4" w14:textId="18FD9CCB" w:rsidR="000C6C6D" w:rsidRDefault="00F76DB1">
      <w:pPr>
        <w:pStyle w:val="TOC2"/>
        <w:rPr>
          <w:rFonts w:asciiTheme="minorHAnsi" w:eastAsiaTheme="minorEastAsia" w:hAnsiTheme="minorHAnsi" w:cstheme="minorBidi"/>
          <w:noProof/>
          <w:color w:val="auto"/>
          <w:sz w:val="22"/>
          <w:szCs w:val="22"/>
        </w:rPr>
      </w:pPr>
      <w:hyperlink w:anchor="_Toc12808789" w:history="1">
        <w:r w:rsidR="000C6C6D" w:rsidRPr="000C43DB">
          <w:rPr>
            <w:rStyle w:val="Hyperlink"/>
            <w:noProof/>
          </w:rPr>
          <w:t>5.2</w:t>
        </w:r>
        <w:r w:rsidR="000C6C6D">
          <w:rPr>
            <w:rFonts w:asciiTheme="minorHAnsi" w:eastAsiaTheme="minorEastAsia" w:hAnsiTheme="minorHAnsi" w:cstheme="minorBidi"/>
            <w:noProof/>
            <w:color w:val="auto"/>
            <w:sz w:val="22"/>
            <w:szCs w:val="22"/>
          </w:rPr>
          <w:tab/>
        </w:r>
        <w:r w:rsidR="000C6C6D" w:rsidRPr="000C43DB">
          <w:rPr>
            <w:rStyle w:val="Hyperlink"/>
            <w:noProof/>
          </w:rPr>
          <w:t>Occupational Health (Accident and Routine)</w:t>
        </w:r>
        <w:r w:rsidR="000C6C6D">
          <w:rPr>
            <w:noProof/>
            <w:webHidden/>
          </w:rPr>
          <w:tab/>
        </w:r>
        <w:r w:rsidR="000C6C6D">
          <w:rPr>
            <w:noProof/>
            <w:webHidden/>
          </w:rPr>
          <w:fldChar w:fldCharType="begin"/>
        </w:r>
        <w:r w:rsidR="000C6C6D">
          <w:rPr>
            <w:noProof/>
            <w:webHidden/>
          </w:rPr>
          <w:instrText xml:space="preserve"> PAGEREF _Toc12808789 \h </w:instrText>
        </w:r>
        <w:r w:rsidR="000C6C6D">
          <w:rPr>
            <w:noProof/>
            <w:webHidden/>
          </w:rPr>
        </w:r>
        <w:r w:rsidR="000C6C6D">
          <w:rPr>
            <w:noProof/>
            <w:webHidden/>
          </w:rPr>
          <w:fldChar w:fldCharType="separate"/>
        </w:r>
        <w:r w:rsidR="00F05D99">
          <w:rPr>
            <w:noProof/>
            <w:webHidden/>
          </w:rPr>
          <w:t>20</w:t>
        </w:r>
        <w:r w:rsidR="000C6C6D">
          <w:rPr>
            <w:noProof/>
            <w:webHidden/>
          </w:rPr>
          <w:fldChar w:fldCharType="end"/>
        </w:r>
      </w:hyperlink>
    </w:p>
    <w:p w14:paraId="15BC6DDF" w14:textId="21C18311" w:rsidR="000C6C6D" w:rsidRDefault="00F76DB1">
      <w:pPr>
        <w:pStyle w:val="TOC2"/>
        <w:rPr>
          <w:rFonts w:asciiTheme="minorHAnsi" w:eastAsiaTheme="minorEastAsia" w:hAnsiTheme="minorHAnsi" w:cstheme="minorBidi"/>
          <w:noProof/>
          <w:color w:val="auto"/>
          <w:sz w:val="22"/>
          <w:szCs w:val="22"/>
        </w:rPr>
      </w:pPr>
      <w:hyperlink w:anchor="_Toc12808790" w:history="1">
        <w:r w:rsidR="000C6C6D" w:rsidRPr="000C43DB">
          <w:rPr>
            <w:rStyle w:val="Hyperlink"/>
            <w:noProof/>
          </w:rPr>
          <w:t>5.3</w:t>
        </w:r>
        <w:r w:rsidR="000C6C6D">
          <w:rPr>
            <w:rFonts w:asciiTheme="minorHAnsi" w:eastAsiaTheme="minorEastAsia" w:hAnsiTheme="minorHAnsi" w:cstheme="minorBidi"/>
            <w:noProof/>
            <w:color w:val="auto"/>
            <w:sz w:val="22"/>
            <w:szCs w:val="22"/>
          </w:rPr>
          <w:tab/>
        </w:r>
        <w:r w:rsidR="000C6C6D" w:rsidRPr="000C43DB">
          <w:rPr>
            <w:rStyle w:val="Hyperlink"/>
            <w:noProof/>
          </w:rPr>
          <w:t>Industry Implementation</w:t>
        </w:r>
        <w:r w:rsidR="000C6C6D">
          <w:rPr>
            <w:noProof/>
            <w:webHidden/>
          </w:rPr>
          <w:tab/>
        </w:r>
        <w:r w:rsidR="000C6C6D">
          <w:rPr>
            <w:noProof/>
            <w:webHidden/>
          </w:rPr>
          <w:fldChar w:fldCharType="begin"/>
        </w:r>
        <w:r w:rsidR="000C6C6D">
          <w:rPr>
            <w:noProof/>
            <w:webHidden/>
          </w:rPr>
          <w:instrText xml:space="preserve"> PAGEREF _Toc12808790 \h </w:instrText>
        </w:r>
        <w:r w:rsidR="000C6C6D">
          <w:rPr>
            <w:noProof/>
            <w:webHidden/>
          </w:rPr>
        </w:r>
        <w:r w:rsidR="000C6C6D">
          <w:rPr>
            <w:noProof/>
            <w:webHidden/>
          </w:rPr>
          <w:fldChar w:fldCharType="separate"/>
        </w:r>
        <w:r w:rsidR="00F05D99">
          <w:rPr>
            <w:noProof/>
            <w:webHidden/>
          </w:rPr>
          <w:t>21</w:t>
        </w:r>
        <w:r w:rsidR="000C6C6D">
          <w:rPr>
            <w:noProof/>
            <w:webHidden/>
          </w:rPr>
          <w:fldChar w:fldCharType="end"/>
        </w:r>
      </w:hyperlink>
    </w:p>
    <w:p w14:paraId="78CFD010" w14:textId="533FA1D5" w:rsidR="000C6C6D" w:rsidRDefault="00F76DB1">
      <w:pPr>
        <w:pStyle w:val="TOC3"/>
        <w:rPr>
          <w:rFonts w:asciiTheme="minorHAnsi" w:eastAsiaTheme="minorEastAsia" w:hAnsiTheme="minorHAnsi" w:cstheme="minorBidi"/>
          <w:noProof/>
          <w:color w:val="auto"/>
          <w:sz w:val="22"/>
          <w:szCs w:val="22"/>
        </w:rPr>
      </w:pPr>
      <w:hyperlink w:anchor="_Toc12808791" w:history="1">
        <w:r w:rsidR="000C6C6D" w:rsidRPr="000C43DB">
          <w:rPr>
            <w:rStyle w:val="Hyperlink"/>
            <w:noProof/>
          </w:rPr>
          <w:t>5.3.1</w:t>
        </w:r>
        <w:r w:rsidR="000C6C6D">
          <w:rPr>
            <w:rFonts w:asciiTheme="minorHAnsi" w:eastAsiaTheme="minorEastAsia" w:hAnsiTheme="minorHAnsi" w:cstheme="minorBidi"/>
            <w:noProof/>
            <w:color w:val="auto"/>
            <w:sz w:val="22"/>
            <w:szCs w:val="22"/>
          </w:rPr>
          <w:tab/>
        </w:r>
        <w:r w:rsidR="000C6C6D" w:rsidRPr="000C43DB">
          <w:rPr>
            <w:rStyle w:val="Hyperlink"/>
            <w:noProof/>
          </w:rPr>
          <w:t>Additional Materials for Subsection NF, Class 1, 2, 3, and Metal Containment Supports Fabricated by Welding</w:t>
        </w:r>
        <w:r w:rsidR="000C6C6D">
          <w:rPr>
            <w:noProof/>
            <w:webHidden/>
          </w:rPr>
          <w:tab/>
        </w:r>
        <w:r w:rsidR="000C6C6D">
          <w:rPr>
            <w:noProof/>
            <w:webHidden/>
          </w:rPr>
          <w:fldChar w:fldCharType="begin"/>
        </w:r>
        <w:r w:rsidR="000C6C6D">
          <w:rPr>
            <w:noProof/>
            <w:webHidden/>
          </w:rPr>
          <w:instrText xml:space="preserve"> PAGEREF _Toc12808791 \h </w:instrText>
        </w:r>
        <w:r w:rsidR="000C6C6D">
          <w:rPr>
            <w:noProof/>
            <w:webHidden/>
          </w:rPr>
        </w:r>
        <w:r w:rsidR="000C6C6D">
          <w:rPr>
            <w:noProof/>
            <w:webHidden/>
          </w:rPr>
          <w:fldChar w:fldCharType="separate"/>
        </w:r>
        <w:r w:rsidR="00F05D99">
          <w:rPr>
            <w:noProof/>
            <w:webHidden/>
          </w:rPr>
          <w:t>21</w:t>
        </w:r>
        <w:r w:rsidR="000C6C6D">
          <w:rPr>
            <w:noProof/>
            <w:webHidden/>
          </w:rPr>
          <w:fldChar w:fldCharType="end"/>
        </w:r>
      </w:hyperlink>
    </w:p>
    <w:p w14:paraId="576DDDA9" w14:textId="17911730" w:rsidR="000C6C6D" w:rsidRDefault="00F76DB1">
      <w:pPr>
        <w:pStyle w:val="TOC3"/>
        <w:rPr>
          <w:rFonts w:asciiTheme="minorHAnsi" w:eastAsiaTheme="minorEastAsia" w:hAnsiTheme="minorHAnsi" w:cstheme="minorBidi"/>
          <w:noProof/>
          <w:color w:val="auto"/>
          <w:sz w:val="22"/>
          <w:szCs w:val="22"/>
        </w:rPr>
      </w:pPr>
      <w:hyperlink w:anchor="_Toc12808792" w:history="1">
        <w:r w:rsidR="000C6C6D" w:rsidRPr="000C43DB">
          <w:rPr>
            <w:rStyle w:val="Hyperlink"/>
            <w:noProof/>
          </w:rPr>
          <w:t>5.3.2</w:t>
        </w:r>
        <w:r w:rsidR="000C6C6D">
          <w:rPr>
            <w:rFonts w:asciiTheme="minorHAnsi" w:eastAsiaTheme="minorEastAsia" w:hAnsiTheme="minorHAnsi" w:cstheme="minorBidi"/>
            <w:noProof/>
            <w:color w:val="auto"/>
            <w:sz w:val="22"/>
            <w:szCs w:val="22"/>
          </w:rPr>
          <w:tab/>
        </w:r>
        <w:r w:rsidR="000C6C6D" w:rsidRPr="000C43DB">
          <w:rPr>
            <w:rStyle w:val="Hyperlink"/>
            <w:noProof/>
          </w:rPr>
          <w:t>Underwater Welding, Section XI, Division 1</w:t>
        </w:r>
        <w:r w:rsidR="000C6C6D">
          <w:rPr>
            <w:noProof/>
            <w:webHidden/>
          </w:rPr>
          <w:tab/>
        </w:r>
        <w:r w:rsidR="000C6C6D">
          <w:rPr>
            <w:noProof/>
            <w:webHidden/>
          </w:rPr>
          <w:fldChar w:fldCharType="begin"/>
        </w:r>
        <w:r w:rsidR="000C6C6D">
          <w:rPr>
            <w:noProof/>
            <w:webHidden/>
          </w:rPr>
          <w:instrText xml:space="preserve"> PAGEREF _Toc12808792 \h </w:instrText>
        </w:r>
        <w:r w:rsidR="000C6C6D">
          <w:rPr>
            <w:noProof/>
            <w:webHidden/>
          </w:rPr>
        </w:r>
        <w:r w:rsidR="000C6C6D">
          <w:rPr>
            <w:noProof/>
            <w:webHidden/>
          </w:rPr>
          <w:fldChar w:fldCharType="separate"/>
        </w:r>
        <w:r w:rsidR="00F05D99">
          <w:rPr>
            <w:noProof/>
            <w:webHidden/>
          </w:rPr>
          <w:t>23</w:t>
        </w:r>
        <w:r w:rsidR="000C6C6D">
          <w:rPr>
            <w:noProof/>
            <w:webHidden/>
          </w:rPr>
          <w:fldChar w:fldCharType="end"/>
        </w:r>
      </w:hyperlink>
    </w:p>
    <w:p w14:paraId="2CDD934F" w14:textId="2F3E6DA0" w:rsidR="000C6C6D" w:rsidRDefault="00F76DB1">
      <w:pPr>
        <w:pStyle w:val="TOC3"/>
        <w:rPr>
          <w:rFonts w:asciiTheme="minorHAnsi" w:eastAsiaTheme="minorEastAsia" w:hAnsiTheme="minorHAnsi" w:cstheme="minorBidi"/>
          <w:noProof/>
          <w:color w:val="auto"/>
          <w:sz w:val="22"/>
          <w:szCs w:val="22"/>
        </w:rPr>
      </w:pPr>
      <w:hyperlink w:anchor="_Toc12808793" w:history="1">
        <w:r w:rsidR="000C6C6D" w:rsidRPr="000C43DB">
          <w:rPr>
            <w:rStyle w:val="Hyperlink"/>
            <w:noProof/>
          </w:rPr>
          <w:t>5.3.3</w:t>
        </w:r>
        <w:r w:rsidR="000C6C6D">
          <w:rPr>
            <w:rFonts w:asciiTheme="minorHAnsi" w:eastAsiaTheme="minorEastAsia" w:hAnsiTheme="minorHAnsi" w:cstheme="minorBidi"/>
            <w:noProof/>
            <w:color w:val="auto"/>
            <w:sz w:val="22"/>
            <w:szCs w:val="22"/>
          </w:rPr>
          <w:tab/>
        </w:r>
        <w:r w:rsidR="000C6C6D" w:rsidRPr="000C43DB">
          <w:rPr>
            <w:rStyle w:val="Hyperlink"/>
            <w:noProof/>
          </w:rPr>
          <w:t>Evaluation of Pipe Wall Thinning, Section XI</w:t>
        </w:r>
        <w:r w:rsidR="000C6C6D">
          <w:rPr>
            <w:noProof/>
            <w:webHidden/>
          </w:rPr>
          <w:tab/>
        </w:r>
        <w:r w:rsidR="000C6C6D">
          <w:rPr>
            <w:noProof/>
            <w:webHidden/>
          </w:rPr>
          <w:fldChar w:fldCharType="begin"/>
        </w:r>
        <w:r w:rsidR="000C6C6D">
          <w:rPr>
            <w:noProof/>
            <w:webHidden/>
          </w:rPr>
          <w:instrText xml:space="preserve"> PAGEREF _Toc12808793 \h </w:instrText>
        </w:r>
        <w:r w:rsidR="000C6C6D">
          <w:rPr>
            <w:noProof/>
            <w:webHidden/>
          </w:rPr>
        </w:r>
        <w:r w:rsidR="000C6C6D">
          <w:rPr>
            <w:noProof/>
            <w:webHidden/>
          </w:rPr>
          <w:fldChar w:fldCharType="separate"/>
        </w:r>
        <w:r w:rsidR="00F05D99">
          <w:rPr>
            <w:noProof/>
            <w:webHidden/>
          </w:rPr>
          <w:t>24</w:t>
        </w:r>
        <w:r w:rsidR="000C6C6D">
          <w:rPr>
            <w:noProof/>
            <w:webHidden/>
          </w:rPr>
          <w:fldChar w:fldCharType="end"/>
        </w:r>
      </w:hyperlink>
    </w:p>
    <w:p w14:paraId="4B68FB4A" w14:textId="706C90E2" w:rsidR="000C6C6D" w:rsidRDefault="00F76DB1">
      <w:pPr>
        <w:pStyle w:val="TOC3"/>
        <w:rPr>
          <w:rFonts w:asciiTheme="minorHAnsi" w:eastAsiaTheme="minorEastAsia" w:hAnsiTheme="minorHAnsi" w:cstheme="minorBidi"/>
          <w:noProof/>
          <w:color w:val="auto"/>
          <w:sz w:val="22"/>
          <w:szCs w:val="22"/>
        </w:rPr>
      </w:pPr>
      <w:hyperlink w:anchor="_Toc12808794" w:history="1">
        <w:r w:rsidR="000C6C6D" w:rsidRPr="000C43DB">
          <w:rPr>
            <w:rStyle w:val="Hyperlink"/>
            <w:noProof/>
          </w:rPr>
          <w:t>5.3.4</w:t>
        </w:r>
        <w:r w:rsidR="000C6C6D">
          <w:rPr>
            <w:rFonts w:asciiTheme="minorHAnsi" w:eastAsiaTheme="minorEastAsia" w:hAnsiTheme="minorHAnsi" w:cstheme="minorBidi"/>
            <w:noProof/>
            <w:color w:val="auto"/>
            <w:sz w:val="22"/>
            <w:szCs w:val="22"/>
          </w:rPr>
          <w:tab/>
        </w:r>
        <w:r w:rsidR="000C6C6D" w:rsidRPr="000C43DB">
          <w:rPr>
            <w:rStyle w:val="Hyperlink"/>
            <w:noProof/>
          </w:rPr>
          <w:t>Similar and Dissimilar Metal Welding Using an Ambient Temperature Machine Gas Tungsten Arc Welding Temper Bead Technique for Boiling-Water Reactor Control Rod Drive Housing/Stub Tube Repairs</w:t>
        </w:r>
        <w:r w:rsidR="000C6C6D">
          <w:rPr>
            <w:noProof/>
            <w:webHidden/>
          </w:rPr>
          <w:tab/>
        </w:r>
        <w:r w:rsidR="000C6C6D">
          <w:rPr>
            <w:noProof/>
            <w:webHidden/>
          </w:rPr>
          <w:fldChar w:fldCharType="begin"/>
        </w:r>
        <w:r w:rsidR="000C6C6D">
          <w:rPr>
            <w:noProof/>
            <w:webHidden/>
          </w:rPr>
          <w:instrText xml:space="preserve"> PAGEREF _Toc12808794 \h </w:instrText>
        </w:r>
        <w:r w:rsidR="000C6C6D">
          <w:rPr>
            <w:noProof/>
            <w:webHidden/>
          </w:rPr>
        </w:r>
        <w:r w:rsidR="000C6C6D">
          <w:rPr>
            <w:noProof/>
            <w:webHidden/>
          </w:rPr>
          <w:fldChar w:fldCharType="separate"/>
        </w:r>
        <w:r w:rsidR="00F05D99">
          <w:rPr>
            <w:noProof/>
            <w:webHidden/>
          </w:rPr>
          <w:t>25</w:t>
        </w:r>
        <w:r w:rsidR="000C6C6D">
          <w:rPr>
            <w:noProof/>
            <w:webHidden/>
          </w:rPr>
          <w:fldChar w:fldCharType="end"/>
        </w:r>
      </w:hyperlink>
    </w:p>
    <w:p w14:paraId="157D2B90" w14:textId="4916954F" w:rsidR="000C6C6D" w:rsidRDefault="00F76DB1">
      <w:pPr>
        <w:pStyle w:val="TOC3"/>
        <w:rPr>
          <w:rFonts w:asciiTheme="minorHAnsi" w:eastAsiaTheme="minorEastAsia" w:hAnsiTheme="minorHAnsi" w:cstheme="minorBidi"/>
          <w:noProof/>
          <w:color w:val="auto"/>
          <w:sz w:val="22"/>
          <w:szCs w:val="22"/>
        </w:rPr>
      </w:pPr>
      <w:hyperlink w:anchor="_Toc12808795" w:history="1">
        <w:r w:rsidR="000C6C6D" w:rsidRPr="000C43DB">
          <w:rPr>
            <w:rStyle w:val="Hyperlink"/>
            <w:noProof/>
          </w:rPr>
          <w:t>5.3.5</w:t>
        </w:r>
        <w:r w:rsidR="000C6C6D">
          <w:rPr>
            <w:rFonts w:asciiTheme="minorHAnsi" w:eastAsiaTheme="minorEastAsia" w:hAnsiTheme="minorHAnsi" w:cstheme="minorBidi"/>
            <w:noProof/>
            <w:color w:val="auto"/>
            <w:sz w:val="22"/>
            <w:szCs w:val="22"/>
          </w:rPr>
          <w:tab/>
        </w:r>
        <w:r w:rsidR="000C6C6D" w:rsidRPr="000C43DB">
          <w:rPr>
            <w:rStyle w:val="Hyperlink"/>
            <w:noProof/>
          </w:rPr>
          <w:t>Similar and Dissimilar Metal Welding Using an Ambient Temperature Machine Gas Tungsten Arc Welding Temper Bead Technique</w:t>
        </w:r>
        <w:r w:rsidR="000C6C6D">
          <w:rPr>
            <w:noProof/>
            <w:webHidden/>
          </w:rPr>
          <w:tab/>
        </w:r>
        <w:r w:rsidR="000C6C6D">
          <w:rPr>
            <w:noProof/>
            <w:webHidden/>
          </w:rPr>
          <w:fldChar w:fldCharType="begin"/>
        </w:r>
        <w:r w:rsidR="000C6C6D">
          <w:rPr>
            <w:noProof/>
            <w:webHidden/>
          </w:rPr>
          <w:instrText xml:space="preserve"> PAGEREF _Toc12808795 \h </w:instrText>
        </w:r>
        <w:r w:rsidR="000C6C6D">
          <w:rPr>
            <w:noProof/>
            <w:webHidden/>
          </w:rPr>
        </w:r>
        <w:r w:rsidR="000C6C6D">
          <w:rPr>
            <w:noProof/>
            <w:webHidden/>
          </w:rPr>
          <w:fldChar w:fldCharType="separate"/>
        </w:r>
        <w:r w:rsidR="00F05D99">
          <w:rPr>
            <w:noProof/>
            <w:webHidden/>
          </w:rPr>
          <w:t>26</w:t>
        </w:r>
        <w:r w:rsidR="000C6C6D">
          <w:rPr>
            <w:noProof/>
            <w:webHidden/>
          </w:rPr>
          <w:fldChar w:fldCharType="end"/>
        </w:r>
      </w:hyperlink>
    </w:p>
    <w:p w14:paraId="7DFCF971" w14:textId="5987AF30" w:rsidR="000C6C6D" w:rsidRDefault="00F76DB1">
      <w:pPr>
        <w:pStyle w:val="TOC3"/>
        <w:rPr>
          <w:rFonts w:asciiTheme="minorHAnsi" w:eastAsiaTheme="minorEastAsia" w:hAnsiTheme="minorHAnsi" w:cstheme="minorBidi"/>
          <w:noProof/>
          <w:color w:val="auto"/>
          <w:sz w:val="22"/>
          <w:szCs w:val="22"/>
        </w:rPr>
      </w:pPr>
      <w:hyperlink w:anchor="_Toc12808796" w:history="1">
        <w:r w:rsidR="000C6C6D" w:rsidRPr="000C43DB">
          <w:rPr>
            <w:rStyle w:val="Hyperlink"/>
            <w:noProof/>
          </w:rPr>
          <w:t>5.3.6</w:t>
        </w:r>
        <w:r w:rsidR="000C6C6D">
          <w:rPr>
            <w:rFonts w:asciiTheme="minorHAnsi" w:eastAsiaTheme="minorEastAsia" w:hAnsiTheme="minorHAnsi" w:cstheme="minorBidi"/>
            <w:noProof/>
            <w:color w:val="auto"/>
            <w:sz w:val="22"/>
            <w:szCs w:val="22"/>
          </w:rPr>
          <w:tab/>
        </w:r>
        <w:r w:rsidR="000C6C6D" w:rsidRPr="000C43DB">
          <w:rPr>
            <w:rStyle w:val="Hyperlink"/>
            <w:noProof/>
          </w:rPr>
          <w:t>Alternative Requirements for Inner Radius Examinations of Class 1 Reactor Vessel Nozzles, Section XI</w:t>
        </w:r>
        <w:r w:rsidR="000C6C6D">
          <w:rPr>
            <w:noProof/>
            <w:webHidden/>
          </w:rPr>
          <w:tab/>
        </w:r>
        <w:r w:rsidR="000C6C6D">
          <w:rPr>
            <w:noProof/>
            <w:webHidden/>
          </w:rPr>
          <w:fldChar w:fldCharType="begin"/>
        </w:r>
        <w:r w:rsidR="000C6C6D">
          <w:rPr>
            <w:noProof/>
            <w:webHidden/>
          </w:rPr>
          <w:instrText xml:space="preserve"> PAGEREF _Toc12808796 \h </w:instrText>
        </w:r>
        <w:r w:rsidR="000C6C6D">
          <w:rPr>
            <w:noProof/>
            <w:webHidden/>
          </w:rPr>
        </w:r>
        <w:r w:rsidR="000C6C6D">
          <w:rPr>
            <w:noProof/>
            <w:webHidden/>
          </w:rPr>
          <w:fldChar w:fldCharType="separate"/>
        </w:r>
        <w:r w:rsidR="00F05D99">
          <w:rPr>
            <w:noProof/>
            <w:webHidden/>
          </w:rPr>
          <w:t>26</w:t>
        </w:r>
        <w:r w:rsidR="000C6C6D">
          <w:rPr>
            <w:noProof/>
            <w:webHidden/>
          </w:rPr>
          <w:fldChar w:fldCharType="end"/>
        </w:r>
      </w:hyperlink>
    </w:p>
    <w:p w14:paraId="6CFA64DA" w14:textId="75F8F8BB" w:rsidR="000C6C6D" w:rsidRDefault="00F76DB1">
      <w:pPr>
        <w:pStyle w:val="TOC3"/>
        <w:rPr>
          <w:rFonts w:asciiTheme="minorHAnsi" w:eastAsiaTheme="minorEastAsia" w:hAnsiTheme="minorHAnsi" w:cstheme="minorBidi"/>
          <w:noProof/>
          <w:color w:val="auto"/>
          <w:sz w:val="22"/>
          <w:szCs w:val="22"/>
        </w:rPr>
      </w:pPr>
      <w:hyperlink w:anchor="_Toc12808797" w:history="1">
        <w:r w:rsidR="000C6C6D" w:rsidRPr="000C43DB">
          <w:rPr>
            <w:rStyle w:val="Hyperlink"/>
            <w:noProof/>
          </w:rPr>
          <w:t>5.3.7</w:t>
        </w:r>
        <w:r w:rsidR="000C6C6D">
          <w:rPr>
            <w:rFonts w:asciiTheme="minorHAnsi" w:eastAsiaTheme="minorEastAsia" w:hAnsiTheme="minorHAnsi" w:cstheme="minorBidi"/>
            <w:noProof/>
            <w:color w:val="auto"/>
            <w:sz w:val="22"/>
            <w:szCs w:val="22"/>
          </w:rPr>
          <w:tab/>
        </w:r>
        <w:r w:rsidR="000C6C6D" w:rsidRPr="000C43DB">
          <w:rPr>
            <w:rStyle w:val="Hyperlink"/>
            <w:noProof/>
          </w:rPr>
          <w:t>Qualification Requirements for Dissimilar Metal Piping Welds</w:t>
        </w:r>
        <w:r w:rsidR="000C6C6D">
          <w:rPr>
            <w:noProof/>
            <w:webHidden/>
          </w:rPr>
          <w:tab/>
        </w:r>
        <w:r w:rsidR="000C6C6D">
          <w:rPr>
            <w:noProof/>
            <w:webHidden/>
          </w:rPr>
          <w:fldChar w:fldCharType="begin"/>
        </w:r>
        <w:r w:rsidR="000C6C6D">
          <w:rPr>
            <w:noProof/>
            <w:webHidden/>
          </w:rPr>
          <w:instrText xml:space="preserve"> PAGEREF _Toc12808797 \h </w:instrText>
        </w:r>
        <w:r w:rsidR="000C6C6D">
          <w:rPr>
            <w:noProof/>
            <w:webHidden/>
          </w:rPr>
        </w:r>
        <w:r w:rsidR="000C6C6D">
          <w:rPr>
            <w:noProof/>
            <w:webHidden/>
          </w:rPr>
          <w:fldChar w:fldCharType="separate"/>
        </w:r>
        <w:r w:rsidR="00F05D99">
          <w:rPr>
            <w:noProof/>
            <w:webHidden/>
          </w:rPr>
          <w:t>26</w:t>
        </w:r>
        <w:r w:rsidR="000C6C6D">
          <w:rPr>
            <w:noProof/>
            <w:webHidden/>
          </w:rPr>
          <w:fldChar w:fldCharType="end"/>
        </w:r>
      </w:hyperlink>
    </w:p>
    <w:p w14:paraId="5CFBE253" w14:textId="03D81FDA" w:rsidR="000C6C6D" w:rsidRDefault="00F76DB1">
      <w:pPr>
        <w:pStyle w:val="TOC3"/>
        <w:rPr>
          <w:rFonts w:asciiTheme="minorHAnsi" w:eastAsiaTheme="minorEastAsia" w:hAnsiTheme="minorHAnsi" w:cstheme="minorBidi"/>
          <w:noProof/>
          <w:color w:val="auto"/>
          <w:sz w:val="22"/>
          <w:szCs w:val="22"/>
        </w:rPr>
      </w:pPr>
      <w:hyperlink w:anchor="_Toc12808798" w:history="1">
        <w:r w:rsidR="000C6C6D" w:rsidRPr="000C43DB">
          <w:rPr>
            <w:rStyle w:val="Hyperlink"/>
            <w:noProof/>
          </w:rPr>
          <w:t>5.3.8</w:t>
        </w:r>
        <w:r w:rsidR="000C6C6D">
          <w:rPr>
            <w:rFonts w:asciiTheme="minorHAnsi" w:eastAsiaTheme="minorEastAsia" w:hAnsiTheme="minorHAnsi" w:cstheme="minorBidi"/>
            <w:noProof/>
            <w:color w:val="auto"/>
            <w:sz w:val="22"/>
            <w:szCs w:val="22"/>
          </w:rPr>
          <w:tab/>
        </w:r>
        <w:r w:rsidR="000C6C6D" w:rsidRPr="000C43DB">
          <w:rPr>
            <w:rStyle w:val="Hyperlink"/>
            <w:noProof/>
          </w:rPr>
          <w:t>Qualification Requirements for Mandatory Appendix VIII Piping Examination Conducted from the Inside Surface</w:t>
        </w:r>
        <w:r w:rsidR="000C6C6D">
          <w:rPr>
            <w:noProof/>
            <w:webHidden/>
          </w:rPr>
          <w:tab/>
        </w:r>
        <w:r w:rsidR="000C6C6D">
          <w:rPr>
            <w:noProof/>
            <w:webHidden/>
          </w:rPr>
          <w:fldChar w:fldCharType="begin"/>
        </w:r>
        <w:r w:rsidR="000C6C6D">
          <w:rPr>
            <w:noProof/>
            <w:webHidden/>
          </w:rPr>
          <w:instrText xml:space="preserve"> PAGEREF _Toc12808798 \h </w:instrText>
        </w:r>
        <w:r w:rsidR="000C6C6D">
          <w:rPr>
            <w:noProof/>
            <w:webHidden/>
          </w:rPr>
        </w:r>
        <w:r w:rsidR="000C6C6D">
          <w:rPr>
            <w:noProof/>
            <w:webHidden/>
          </w:rPr>
          <w:fldChar w:fldCharType="separate"/>
        </w:r>
        <w:r w:rsidR="00F05D99">
          <w:rPr>
            <w:noProof/>
            <w:webHidden/>
          </w:rPr>
          <w:t>27</w:t>
        </w:r>
        <w:r w:rsidR="000C6C6D">
          <w:rPr>
            <w:noProof/>
            <w:webHidden/>
          </w:rPr>
          <w:fldChar w:fldCharType="end"/>
        </w:r>
      </w:hyperlink>
    </w:p>
    <w:p w14:paraId="46266FFB" w14:textId="688E3328" w:rsidR="000C6C6D" w:rsidRDefault="00F76DB1">
      <w:pPr>
        <w:pStyle w:val="TOC3"/>
        <w:rPr>
          <w:rFonts w:asciiTheme="minorHAnsi" w:eastAsiaTheme="minorEastAsia" w:hAnsiTheme="minorHAnsi" w:cstheme="minorBidi"/>
          <w:noProof/>
          <w:color w:val="auto"/>
          <w:sz w:val="22"/>
          <w:szCs w:val="22"/>
        </w:rPr>
      </w:pPr>
      <w:hyperlink w:anchor="_Toc12808799" w:history="1">
        <w:r w:rsidR="000C6C6D" w:rsidRPr="000C43DB">
          <w:rPr>
            <w:rStyle w:val="Hyperlink"/>
            <w:noProof/>
          </w:rPr>
          <w:t>5.3.9</w:t>
        </w:r>
        <w:r w:rsidR="000C6C6D">
          <w:rPr>
            <w:rFonts w:asciiTheme="minorHAnsi" w:eastAsiaTheme="minorEastAsia" w:hAnsiTheme="minorHAnsi" w:cstheme="minorBidi"/>
            <w:noProof/>
            <w:color w:val="auto"/>
            <w:sz w:val="22"/>
            <w:szCs w:val="22"/>
          </w:rPr>
          <w:tab/>
        </w:r>
        <w:r w:rsidR="000C6C6D" w:rsidRPr="000C43DB">
          <w:rPr>
            <w:rStyle w:val="Hyperlink"/>
            <w:noProof/>
          </w:rPr>
          <w:t>Alternative Requirements for Boiling</w:t>
        </w:r>
        <w:r w:rsidR="000C6C6D" w:rsidRPr="000C43DB">
          <w:rPr>
            <w:rStyle w:val="Hyperlink"/>
            <w:noProof/>
          </w:rPr>
          <w:noBreakHyphen/>
          <w:t>Water Reactor Nozzle Inner Radius and Nozzle</w:t>
        </w:r>
        <w:r w:rsidR="000C6C6D" w:rsidRPr="000C43DB">
          <w:rPr>
            <w:rStyle w:val="Hyperlink"/>
            <w:noProof/>
          </w:rPr>
          <w:noBreakHyphen/>
          <w:t>to</w:t>
        </w:r>
        <w:r w:rsidR="000C6C6D" w:rsidRPr="000C43DB">
          <w:rPr>
            <w:rStyle w:val="Hyperlink"/>
            <w:noProof/>
          </w:rPr>
          <w:noBreakHyphen/>
          <w:t>Shell Welds, Section XI, Division 1</w:t>
        </w:r>
        <w:r w:rsidR="000C6C6D">
          <w:rPr>
            <w:noProof/>
            <w:webHidden/>
          </w:rPr>
          <w:tab/>
        </w:r>
        <w:r w:rsidR="000C6C6D">
          <w:rPr>
            <w:noProof/>
            <w:webHidden/>
          </w:rPr>
          <w:fldChar w:fldCharType="begin"/>
        </w:r>
        <w:r w:rsidR="000C6C6D">
          <w:rPr>
            <w:noProof/>
            <w:webHidden/>
          </w:rPr>
          <w:instrText xml:space="preserve"> PAGEREF _Toc12808799 \h </w:instrText>
        </w:r>
        <w:r w:rsidR="000C6C6D">
          <w:rPr>
            <w:noProof/>
            <w:webHidden/>
          </w:rPr>
        </w:r>
        <w:r w:rsidR="000C6C6D">
          <w:rPr>
            <w:noProof/>
            <w:webHidden/>
          </w:rPr>
          <w:fldChar w:fldCharType="separate"/>
        </w:r>
        <w:r w:rsidR="00F05D99">
          <w:rPr>
            <w:noProof/>
            <w:webHidden/>
          </w:rPr>
          <w:t>28</w:t>
        </w:r>
        <w:r w:rsidR="000C6C6D">
          <w:rPr>
            <w:noProof/>
            <w:webHidden/>
          </w:rPr>
          <w:fldChar w:fldCharType="end"/>
        </w:r>
      </w:hyperlink>
    </w:p>
    <w:p w14:paraId="4BA2C441" w14:textId="628C14EA" w:rsidR="000C6C6D" w:rsidRDefault="00F76DB1">
      <w:pPr>
        <w:pStyle w:val="TOC3"/>
        <w:rPr>
          <w:rFonts w:asciiTheme="minorHAnsi" w:eastAsiaTheme="minorEastAsia" w:hAnsiTheme="minorHAnsi" w:cstheme="minorBidi"/>
          <w:noProof/>
          <w:color w:val="auto"/>
          <w:sz w:val="22"/>
          <w:szCs w:val="22"/>
        </w:rPr>
      </w:pPr>
      <w:hyperlink w:anchor="_Toc12808800" w:history="1">
        <w:r w:rsidR="000C6C6D" w:rsidRPr="000C43DB">
          <w:rPr>
            <w:rStyle w:val="Hyperlink"/>
            <w:noProof/>
          </w:rPr>
          <w:t>5.3.10</w:t>
        </w:r>
        <w:r w:rsidR="000C6C6D">
          <w:rPr>
            <w:rFonts w:asciiTheme="minorHAnsi" w:eastAsiaTheme="minorEastAsia" w:hAnsiTheme="minorHAnsi" w:cstheme="minorBidi"/>
            <w:noProof/>
            <w:color w:val="auto"/>
            <w:sz w:val="22"/>
            <w:szCs w:val="22"/>
          </w:rPr>
          <w:tab/>
        </w:r>
        <w:r w:rsidR="000C6C6D" w:rsidRPr="000C43DB">
          <w:rPr>
            <w:rStyle w:val="Hyperlink"/>
            <w:noProof/>
          </w:rPr>
          <w:t>Evaluation Criteria for Temporary Acceptance of Degradation in Moderate</w:t>
        </w:r>
        <w:r w:rsidR="000C6C6D" w:rsidRPr="000C43DB">
          <w:rPr>
            <w:rStyle w:val="Hyperlink"/>
            <w:noProof/>
          </w:rPr>
          <w:noBreakHyphen/>
          <w:t>Energy Class 2 or 3 Vessels and Tanks</w:t>
        </w:r>
        <w:r w:rsidR="000C6C6D">
          <w:rPr>
            <w:noProof/>
            <w:webHidden/>
          </w:rPr>
          <w:tab/>
        </w:r>
        <w:r w:rsidR="000C6C6D">
          <w:rPr>
            <w:noProof/>
            <w:webHidden/>
          </w:rPr>
          <w:fldChar w:fldCharType="begin"/>
        </w:r>
        <w:r w:rsidR="000C6C6D">
          <w:rPr>
            <w:noProof/>
            <w:webHidden/>
          </w:rPr>
          <w:instrText xml:space="preserve"> PAGEREF _Toc12808800 \h </w:instrText>
        </w:r>
        <w:r w:rsidR="000C6C6D">
          <w:rPr>
            <w:noProof/>
            <w:webHidden/>
          </w:rPr>
        </w:r>
        <w:r w:rsidR="000C6C6D">
          <w:rPr>
            <w:noProof/>
            <w:webHidden/>
          </w:rPr>
          <w:fldChar w:fldCharType="separate"/>
        </w:r>
        <w:r w:rsidR="00F05D99">
          <w:rPr>
            <w:noProof/>
            <w:webHidden/>
          </w:rPr>
          <w:t>28</w:t>
        </w:r>
        <w:r w:rsidR="000C6C6D">
          <w:rPr>
            <w:noProof/>
            <w:webHidden/>
          </w:rPr>
          <w:fldChar w:fldCharType="end"/>
        </w:r>
      </w:hyperlink>
    </w:p>
    <w:p w14:paraId="3E4FC3CF" w14:textId="54694EF2" w:rsidR="000C6C6D" w:rsidRDefault="00F76DB1">
      <w:pPr>
        <w:pStyle w:val="TOC3"/>
        <w:rPr>
          <w:rFonts w:asciiTheme="minorHAnsi" w:eastAsiaTheme="minorEastAsia" w:hAnsiTheme="minorHAnsi" w:cstheme="minorBidi"/>
          <w:noProof/>
          <w:color w:val="auto"/>
          <w:sz w:val="22"/>
          <w:szCs w:val="22"/>
        </w:rPr>
      </w:pPr>
      <w:hyperlink w:anchor="_Toc12808801" w:history="1">
        <w:r w:rsidR="000C6C6D" w:rsidRPr="000C43DB">
          <w:rPr>
            <w:rStyle w:val="Hyperlink"/>
            <w:noProof/>
          </w:rPr>
          <w:t>5.3.11</w:t>
        </w:r>
        <w:r w:rsidR="000C6C6D">
          <w:rPr>
            <w:rFonts w:asciiTheme="minorHAnsi" w:eastAsiaTheme="minorEastAsia" w:hAnsiTheme="minorHAnsi" w:cstheme="minorBidi"/>
            <w:noProof/>
            <w:color w:val="auto"/>
            <w:sz w:val="22"/>
            <w:szCs w:val="22"/>
          </w:rPr>
          <w:tab/>
        </w:r>
        <w:r w:rsidR="000C6C6D" w:rsidRPr="000C43DB">
          <w:rPr>
            <w:rStyle w:val="Hyperlink"/>
            <w:noProof/>
          </w:rPr>
          <w:t>Alternative Examination Coverage Requirements for Examination Category B</w:t>
        </w:r>
        <w:r w:rsidR="000C6C6D" w:rsidRPr="000C43DB">
          <w:rPr>
            <w:rStyle w:val="Hyperlink"/>
            <w:noProof/>
          </w:rPr>
          <w:noBreakHyphen/>
          <w:t>F, B</w:t>
        </w:r>
        <w:r w:rsidR="000C6C6D" w:rsidRPr="000C43DB">
          <w:rPr>
            <w:rStyle w:val="Hyperlink"/>
            <w:noProof/>
          </w:rPr>
          <w:noBreakHyphen/>
          <w:t>J, C</w:t>
        </w:r>
        <w:r w:rsidR="000C6C6D" w:rsidRPr="000C43DB">
          <w:rPr>
            <w:rStyle w:val="Hyperlink"/>
            <w:noProof/>
          </w:rPr>
          <w:noBreakHyphen/>
          <w:t>F</w:t>
        </w:r>
        <w:r w:rsidR="000C6C6D" w:rsidRPr="000C43DB">
          <w:rPr>
            <w:rStyle w:val="Hyperlink"/>
            <w:noProof/>
          </w:rPr>
          <w:noBreakHyphen/>
          <w:t>1, C</w:t>
        </w:r>
        <w:r w:rsidR="000C6C6D" w:rsidRPr="000C43DB">
          <w:rPr>
            <w:rStyle w:val="Hyperlink"/>
            <w:noProof/>
          </w:rPr>
          <w:noBreakHyphen/>
          <w:t>F</w:t>
        </w:r>
        <w:r w:rsidR="000C6C6D" w:rsidRPr="000C43DB">
          <w:rPr>
            <w:rStyle w:val="Hyperlink"/>
            <w:noProof/>
          </w:rPr>
          <w:noBreakHyphen/>
          <w:t>2, and R</w:t>
        </w:r>
        <w:r w:rsidR="000C6C6D" w:rsidRPr="000C43DB">
          <w:rPr>
            <w:rStyle w:val="Hyperlink"/>
            <w:noProof/>
          </w:rPr>
          <w:noBreakHyphen/>
          <w:t>A Piping Welds</w:t>
        </w:r>
        <w:r w:rsidR="000C6C6D">
          <w:rPr>
            <w:noProof/>
            <w:webHidden/>
          </w:rPr>
          <w:tab/>
        </w:r>
        <w:r w:rsidR="000C6C6D">
          <w:rPr>
            <w:noProof/>
            <w:webHidden/>
          </w:rPr>
          <w:fldChar w:fldCharType="begin"/>
        </w:r>
        <w:r w:rsidR="000C6C6D">
          <w:rPr>
            <w:noProof/>
            <w:webHidden/>
          </w:rPr>
          <w:instrText xml:space="preserve"> PAGEREF _Toc12808801 \h </w:instrText>
        </w:r>
        <w:r w:rsidR="000C6C6D">
          <w:rPr>
            <w:noProof/>
            <w:webHidden/>
          </w:rPr>
        </w:r>
        <w:r w:rsidR="000C6C6D">
          <w:rPr>
            <w:noProof/>
            <w:webHidden/>
          </w:rPr>
          <w:fldChar w:fldCharType="separate"/>
        </w:r>
        <w:r w:rsidR="00F05D99">
          <w:rPr>
            <w:noProof/>
            <w:webHidden/>
          </w:rPr>
          <w:t>29</w:t>
        </w:r>
        <w:r w:rsidR="000C6C6D">
          <w:rPr>
            <w:noProof/>
            <w:webHidden/>
          </w:rPr>
          <w:fldChar w:fldCharType="end"/>
        </w:r>
      </w:hyperlink>
    </w:p>
    <w:p w14:paraId="1517C002" w14:textId="7CBECE5A" w:rsidR="000C6C6D" w:rsidRDefault="00F76DB1">
      <w:pPr>
        <w:pStyle w:val="TOC3"/>
        <w:rPr>
          <w:rFonts w:asciiTheme="minorHAnsi" w:eastAsiaTheme="minorEastAsia" w:hAnsiTheme="minorHAnsi" w:cstheme="minorBidi"/>
          <w:noProof/>
          <w:color w:val="auto"/>
          <w:sz w:val="22"/>
          <w:szCs w:val="22"/>
        </w:rPr>
      </w:pPr>
      <w:hyperlink w:anchor="_Toc12808802" w:history="1">
        <w:r w:rsidR="000C6C6D" w:rsidRPr="000C43DB">
          <w:rPr>
            <w:rStyle w:val="Hyperlink"/>
            <w:noProof/>
          </w:rPr>
          <w:t>5.3.12</w:t>
        </w:r>
        <w:r w:rsidR="000C6C6D">
          <w:rPr>
            <w:rFonts w:asciiTheme="minorHAnsi" w:eastAsiaTheme="minorEastAsia" w:hAnsiTheme="minorHAnsi" w:cstheme="minorBidi"/>
            <w:noProof/>
            <w:color w:val="auto"/>
            <w:sz w:val="22"/>
            <w:szCs w:val="22"/>
          </w:rPr>
          <w:tab/>
        </w:r>
        <w:r w:rsidR="000C6C6D" w:rsidRPr="000C43DB">
          <w:rPr>
            <w:rStyle w:val="Hyperlink"/>
            <w:noProof/>
          </w:rPr>
          <w:t>Optimized Structural Dissimilar Metal Weld Overlay for Mitigation of Pressurized</w:t>
        </w:r>
        <w:r w:rsidR="000C6C6D" w:rsidRPr="000C43DB">
          <w:rPr>
            <w:rStyle w:val="Hyperlink"/>
            <w:noProof/>
          </w:rPr>
          <w:noBreakHyphen/>
          <w:t>Water Reactor Class 1 Items</w:t>
        </w:r>
        <w:r w:rsidR="000C6C6D">
          <w:rPr>
            <w:noProof/>
            <w:webHidden/>
          </w:rPr>
          <w:tab/>
        </w:r>
        <w:r w:rsidR="000C6C6D">
          <w:rPr>
            <w:noProof/>
            <w:webHidden/>
          </w:rPr>
          <w:fldChar w:fldCharType="begin"/>
        </w:r>
        <w:r w:rsidR="000C6C6D">
          <w:rPr>
            <w:noProof/>
            <w:webHidden/>
          </w:rPr>
          <w:instrText xml:space="preserve"> PAGEREF _Toc12808802 \h </w:instrText>
        </w:r>
        <w:r w:rsidR="000C6C6D">
          <w:rPr>
            <w:noProof/>
            <w:webHidden/>
          </w:rPr>
        </w:r>
        <w:r w:rsidR="000C6C6D">
          <w:rPr>
            <w:noProof/>
            <w:webHidden/>
          </w:rPr>
          <w:fldChar w:fldCharType="separate"/>
        </w:r>
        <w:r w:rsidR="00F05D99">
          <w:rPr>
            <w:noProof/>
            <w:webHidden/>
          </w:rPr>
          <w:t>30</w:t>
        </w:r>
        <w:r w:rsidR="000C6C6D">
          <w:rPr>
            <w:noProof/>
            <w:webHidden/>
          </w:rPr>
          <w:fldChar w:fldCharType="end"/>
        </w:r>
      </w:hyperlink>
    </w:p>
    <w:p w14:paraId="4B2DBE1B" w14:textId="63C01770" w:rsidR="000C6C6D" w:rsidRDefault="00F76DB1">
      <w:pPr>
        <w:pStyle w:val="TOC3"/>
        <w:rPr>
          <w:rFonts w:asciiTheme="minorHAnsi" w:eastAsiaTheme="minorEastAsia" w:hAnsiTheme="minorHAnsi" w:cstheme="minorBidi"/>
          <w:noProof/>
          <w:color w:val="auto"/>
          <w:sz w:val="22"/>
          <w:szCs w:val="22"/>
        </w:rPr>
      </w:pPr>
      <w:hyperlink w:anchor="_Toc12808803" w:history="1">
        <w:r w:rsidR="000C6C6D" w:rsidRPr="000C43DB">
          <w:rPr>
            <w:rStyle w:val="Hyperlink"/>
            <w:noProof/>
          </w:rPr>
          <w:t>5.3.13</w:t>
        </w:r>
        <w:r w:rsidR="000C6C6D">
          <w:rPr>
            <w:rFonts w:asciiTheme="minorHAnsi" w:eastAsiaTheme="minorEastAsia" w:hAnsiTheme="minorHAnsi" w:cstheme="minorBidi"/>
            <w:noProof/>
            <w:color w:val="auto"/>
            <w:sz w:val="22"/>
            <w:szCs w:val="22"/>
          </w:rPr>
          <w:tab/>
        </w:r>
        <w:r w:rsidR="000C6C6D" w:rsidRPr="000C43DB">
          <w:rPr>
            <w:rStyle w:val="Hyperlink"/>
            <w:noProof/>
          </w:rPr>
          <w:t>Nickel Alloy Reactor Coolant Inlay and Onlay for Mitigation of Pressurized</w:t>
        </w:r>
        <w:r w:rsidR="000C6C6D" w:rsidRPr="000C43DB">
          <w:rPr>
            <w:rStyle w:val="Hyperlink"/>
            <w:noProof/>
          </w:rPr>
          <w:noBreakHyphen/>
          <w:t>Water Reactor Full</w:t>
        </w:r>
        <w:r w:rsidR="000C6C6D" w:rsidRPr="000C43DB">
          <w:rPr>
            <w:rStyle w:val="Hyperlink"/>
            <w:noProof/>
          </w:rPr>
          <w:noBreakHyphen/>
          <w:t>Penetration Circumferential Nickel Alloy Dissimilar Metal Welds in Class 1 Items</w:t>
        </w:r>
        <w:r w:rsidR="000C6C6D">
          <w:rPr>
            <w:noProof/>
            <w:webHidden/>
          </w:rPr>
          <w:tab/>
        </w:r>
        <w:r w:rsidR="000C6C6D">
          <w:rPr>
            <w:noProof/>
            <w:webHidden/>
          </w:rPr>
          <w:fldChar w:fldCharType="begin"/>
        </w:r>
        <w:r w:rsidR="000C6C6D">
          <w:rPr>
            <w:noProof/>
            <w:webHidden/>
          </w:rPr>
          <w:instrText xml:space="preserve"> PAGEREF _Toc12808803 \h </w:instrText>
        </w:r>
        <w:r w:rsidR="000C6C6D">
          <w:rPr>
            <w:noProof/>
            <w:webHidden/>
          </w:rPr>
        </w:r>
        <w:r w:rsidR="000C6C6D">
          <w:rPr>
            <w:noProof/>
            <w:webHidden/>
          </w:rPr>
          <w:fldChar w:fldCharType="separate"/>
        </w:r>
        <w:r w:rsidR="00F05D99">
          <w:rPr>
            <w:noProof/>
            <w:webHidden/>
          </w:rPr>
          <w:t>30</w:t>
        </w:r>
        <w:r w:rsidR="000C6C6D">
          <w:rPr>
            <w:noProof/>
            <w:webHidden/>
          </w:rPr>
          <w:fldChar w:fldCharType="end"/>
        </w:r>
      </w:hyperlink>
    </w:p>
    <w:p w14:paraId="34E2E02F" w14:textId="2A3BED7F" w:rsidR="000C6C6D" w:rsidRDefault="00F76DB1">
      <w:pPr>
        <w:pStyle w:val="TOC3"/>
        <w:rPr>
          <w:rFonts w:asciiTheme="minorHAnsi" w:eastAsiaTheme="minorEastAsia" w:hAnsiTheme="minorHAnsi" w:cstheme="minorBidi"/>
          <w:noProof/>
          <w:color w:val="auto"/>
          <w:sz w:val="22"/>
          <w:szCs w:val="22"/>
        </w:rPr>
      </w:pPr>
      <w:hyperlink w:anchor="_Toc12808804" w:history="1">
        <w:r w:rsidR="000C6C6D" w:rsidRPr="000C43DB">
          <w:rPr>
            <w:rStyle w:val="Hyperlink"/>
            <w:noProof/>
          </w:rPr>
          <w:t>5.3.14</w:t>
        </w:r>
        <w:r w:rsidR="000C6C6D">
          <w:rPr>
            <w:rFonts w:asciiTheme="minorHAnsi" w:eastAsiaTheme="minorEastAsia" w:hAnsiTheme="minorHAnsi" w:cstheme="minorBidi"/>
            <w:noProof/>
            <w:color w:val="auto"/>
            <w:sz w:val="22"/>
            <w:szCs w:val="22"/>
          </w:rPr>
          <w:tab/>
        </w:r>
        <w:r w:rsidR="000C6C6D" w:rsidRPr="000C43DB">
          <w:rPr>
            <w:rStyle w:val="Hyperlink"/>
            <w:noProof/>
          </w:rPr>
          <w:t>Ultrasonic Examination of Cast Austenitic Piping Welds from the Outside Surface, Section XI, Division 1</w:t>
        </w:r>
        <w:r w:rsidR="000C6C6D">
          <w:rPr>
            <w:noProof/>
            <w:webHidden/>
          </w:rPr>
          <w:tab/>
        </w:r>
        <w:r w:rsidR="000C6C6D">
          <w:rPr>
            <w:noProof/>
            <w:webHidden/>
          </w:rPr>
          <w:fldChar w:fldCharType="begin"/>
        </w:r>
        <w:r w:rsidR="000C6C6D">
          <w:rPr>
            <w:noProof/>
            <w:webHidden/>
          </w:rPr>
          <w:instrText xml:space="preserve"> PAGEREF _Toc12808804 \h </w:instrText>
        </w:r>
        <w:r w:rsidR="000C6C6D">
          <w:rPr>
            <w:noProof/>
            <w:webHidden/>
          </w:rPr>
        </w:r>
        <w:r w:rsidR="000C6C6D">
          <w:rPr>
            <w:noProof/>
            <w:webHidden/>
          </w:rPr>
          <w:fldChar w:fldCharType="separate"/>
        </w:r>
        <w:r w:rsidR="00F05D99">
          <w:rPr>
            <w:noProof/>
            <w:webHidden/>
          </w:rPr>
          <w:t>32</w:t>
        </w:r>
        <w:r w:rsidR="000C6C6D">
          <w:rPr>
            <w:noProof/>
            <w:webHidden/>
          </w:rPr>
          <w:fldChar w:fldCharType="end"/>
        </w:r>
      </w:hyperlink>
    </w:p>
    <w:p w14:paraId="7EBF44C3" w14:textId="68C9164C" w:rsidR="000C6C6D" w:rsidRDefault="00F76DB1">
      <w:pPr>
        <w:pStyle w:val="TOC3"/>
        <w:rPr>
          <w:rFonts w:asciiTheme="minorHAnsi" w:eastAsiaTheme="minorEastAsia" w:hAnsiTheme="minorHAnsi" w:cstheme="minorBidi"/>
          <w:noProof/>
          <w:color w:val="auto"/>
          <w:sz w:val="22"/>
          <w:szCs w:val="22"/>
        </w:rPr>
      </w:pPr>
      <w:hyperlink w:anchor="_Toc12808805" w:history="1">
        <w:r w:rsidR="000C6C6D" w:rsidRPr="000C43DB">
          <w:rPr>
            <w:rStyle w:val="Hyperlink"/>
            <w:noProof/>
          </w:rPr>
          <w:t>5.3.15</w:t>
        </w:r>
        <w:r w:rsidR="000C6C6D">
          <w:rPr>
            <w:rFonts w:asciiTheme="minorHAnsi" w:eastAsiaTheme="minorEastAsia" w:hAnsiTheme="minorHAnsi" w:cstheme="minorBidi"/>
            <w:noProof/>
            <w:color w:val="auto"/>
            <w:sz w:val="22"/>
            <w:szCs w:val="22"/>
          </w:rPr>
          <w:tab/>
        </w:r>
        <w:r w:rsidR="000C6C6D" w:rsidRPr="000C43DB">
          <w:rPr>
            <w:rStyle w:val="Hyperlink"/>
            <w:noProof/>
          </w:rPr>
          <w:t>Austenitic Stainless Steel Cladding and Nickel</w:t>
        </w:r>
        <w:r w:rsidR="000C6C6D" w:rsidRPr="000C43DB">
          <w:rPr>
            <w:rStyle w:val="Hyperlink"/>
            <w:noProof/>
          </w:rPr>
          <w:noBreakHyphen/>
          <w:t>Base Cladding Using an Ambient Temperature Machine Gas Tungsten Arc Welding Temper Bead Technique</w:t>
        </w:r>
        <w:r w:rsidR="000C6C6D">
          <w:rPr>
            <w:noProof/>
            <w:webHidden/>
          </w:rPr>
          <w:tab/>
        </w:r>
        <w:r w:rsidR="000C6C6D">
          <w:rPr>
            <w:noProof/>
            <w:webHidden/>
          </w:rPr>
          <w:fldChar w:fldCharType="begin"/>
        </w:r>
        <w:r w:rsidR="000C6C6D">
          <w:rPr>
            <w:noProof/>
            <w:webHidden/>
          </w:rPr>
          <w:instrText xml:space="preserve"> PAGEREF _Toc12808805 \h </w:instrText>
        </w:r>
        <w:r w:rsidR="000C6C6D">
          <w:rPr>
            <w:noProof/>
            <w:webHidden/>
          </w:rPr>
        </w:r>
        <w:r w:rsidR="000C6C6D">
          <w:rPr>
            <w:noProof/>
            <w:webHidden/>
          </w:rPr>
          <w:fldChar w:fldCharType="separate"/>
        </w:r>
        <w:r w:rsidR="00F05D99">
          <w:rPr>
            <w:noProof/>
            <w:webHidden/>
          </w:rPr>
          <w:t>33</w:t>
        </w:r>
        <w:r w:rsidR="000C6C6D">
          <w:rPr>
            <w:noProof/>
            <w:webHidden/>
          </w:rPr>
          <w:fldChar w:fldCharType="end"/>
        </w:r>
      </w:hyperlink>
    </w:p>
    <w:p w14:paraId="0ABDD6F1" w14:textId="319616E4" w:rsidR="000C6C6D" w:rsidRDefault="00F76DB1">
      <w:pPr>
        <w:pStyle w:val="TOC3"/>
        <w:rPr>
          <w:rFonts w:asciiTheme="minorHAnsi" w:eastAsiaTheme="minorEastAsia" w:hAnsiTheme="minorHAnsi" w:cstheme="minorBidi"/>
          <w:noProof/>
          <w:color w:val="auto"/>
          <w:sz w:val="22"/>
          <w:szCs w:val="22"/>
        </w:rPr>
      </w:pPr>
      <w:hyperlink w:anchor="_Toc12808806" w:history="1">
        <w:r w:rsidR="000C6C6D" w:rsidRPr="000C43DB">
          <w:rPr>
            <w:rStyle w:val="Hyperlink"/>
            <w:noProof/>
          </w:rPr>
          <w:t>5.3.16</w:t>
        </w:r>
        <w:r w:rsidR="000C6C6D">
          <w:rPr>
            <w:rFonts w:asciiTheme="minorHAnsi" w:eastAsiaTheme="minorEastAsia" w:hAnsiTheme="minorHAnsi" w:cstheme="minorBidi"/>
            <w:noProof/>
            <w:color w:val="auto"/>
            <w:sz w:val="22"/>
            <w:szCs w:val="22"/>
          </w:rPr>
          <w:tab/>
        </w:r>
        <w:r w:rsidR="000C6C6D" w:rsidRPr="000C43DB">
          <w:rPr>
            <w:rStyle w:val="Hyperlink"/>
            <w:noProof/>
          </w:rPr>
          <w:t>Direct Use of the Master Fracture Toughness Curve for Pressure</w:t>
        </w:r>
        <w:r w:rsidR="000C6C6D" w:rsidRPr="000C43DB">
          <w:rPr>
            <w:rStyle w:val="Hyperlink"/>
            <w:noProof/>
          </w:rPr>
          <w:noBreakHyphen/>
          <w:t>Retaining Materials of Class 1 Vessels</w:t>
        </w:r>
        <w:r w:rsidR="000C6C6D">
          <w:rPr>
            <w:noProof/>
            <w:webHidden/>
          </w:rPr>
          <w:tab/>
        </w:r>
        <w:r w:rsidR="000C6C6D">
          <w:rPr>
            <w:noProof/>
            <w:webHidden/>
          </w:rPr>
          <w:fldChar w:fldCharType="begin"/>
        </w:r>
        <w:r w:rsidR="000C6C6D">
          <w:rPr>
            <w:noProof/>
            <w:webHidden/>
          </w:rPr>
          <w:instrText xml:space="preserve"> PAGEREF _Toc12808806 \h </w:instrText>
        </w:r>
        <w:r w:rsidR="000C6C6D">
          <w:rPr>
            <w:noProof/>
            <w:webHidden/>
          </w:rPr>
        </w:r>
        <w:r w:rsidR="000C6C6D">
          <w:rPr>
            <w:noProof/>
            <w:webHidden/>
          </w:rPr>
          <w:fldChar w:fldCharType="separate"/>
        </w:r>
        <w:r w:rsidR="00F05D99">
          <w:rPr>
            <w:noProof/>
            <w:webHidden/>
          </w:rPr>
          <w:t>34</w:t>
        </w:r>
        <w:r w:rsidR="000C6C6D">
          <w:rPr>
            <w:noProof/>
            <w:webHidden/>
          </w:rPr>
          <w:fldChar w:fldCharType="end"/>
        </w:r>
      </w:hyperlink>
    </w:p>
    <w:p w14:paraId="2FEB96D2" w14:textId="1947B591" w:rsidR="000C6C6D" w:rsidRDefault="00F76DB1">
      <w:pPr>
        <w:pStyle w:val="TOC3"/>
        <w:rPr>
          <w:rFonts w:asciiTheme="minorHAnsi" w:eastAsiaTheme="minorEastAsia" w:hAnsiTheme="minorHAnsi" w:cstheme="minorBidi"/>
          <w:noProof/>
          <w:color w:val="auto"/>
          <w:sz w:val="22"/>
          <w:szCs w:val="22"/>
        </w:rPr>
      </w:pPr>
      <w:hyperlink w:anchor="_Toc12808807" w:history="1">
        <w:r w:rsidR="000C6C6D" w:rsidRPr="000C43DB">
          <w:rPr>
            <w:rStyle w:val="Hyperlink"/>
            <w:noProof/>
          </w:rPr>
          <w:t>5.3.17</w:t>
        </w:r>
        <w:r w:rsidR="000C6C6D">
          <w:rPr>
            <w:rFonts w:asciiTheme="minorHAnsi" w:eastAsiaTheme="minorEastAsia" w:hAnsiTheme="minorHAnsi" w:cstheme="minorBidi"/>
            <w:noProof/>
            <w:color w:val="auto"/>
            <w:sz w:val="22"/>
            <w:szCs w:val="22"/>
          </w:rPr>
          <w:tab/>
        </w:r>
        <w:r w:rsidR="000C6C6D" w:rsidRPr="000C43DB">
          <w:rPr>
            <w:rStyle w:val="Hyperlink"/>
            <w:noProof/>
          </w:rPr>
          <w:t>Ultrasonic Examination in Lieu of Radiography for Welds in Ferritic Pipe</w:t>
        </w:r>
        <w:r w:rsidR="000C6C6D">
          <w:rPr>
            <w:noProof/>
            <w:webHidden/>
          </w:rPr>
          <w:tab/>
        </w:r>
        <w:r w:rsidR="000C6C6D">
          <w:rPr>
            <w:noProof/>
            <w:webHidden/>
          </w:rPr>
          <w:fldChar w:fldCharType="begin"/>
        </w:r>
        <w:r w:rsidR="000C6C6D">
          <w:rPr>
            <w:noProof/>
            <w:webHidden/>
          </w:rPr>
          <w:instrText xml:space="preserve"> PAGEREF _Toc12808807 \h </w:instrText>
        </w:r>
        <w:r w:rsidR="000C6C6D">
          <w:rPr>
            <w:noProof/>
            <w:webHidden/>
          </w:rPr>
        </w:r>
        <w:r w:rsidR="000C6C6D">
          <w:rPr>
            <w:noProof/>
            <w:webHidden/>
          </w:rPr>
          <w:fldChar w:fldCharType="separate"/>
        </w:r>
        <w:r w:rsidR="00F05D99">
          <w:rPr>
            <w:noProof/>
            <w:webHidden/>
          </w:rPr>
          <w:t>34</w:t>
        </w:r>
        <w:r w:rsidR="000C6C6D">
          <w:rPr>
            <w:noProof/>
            <w:webHidden/>
          </w:rPr>
          <w:fldChar w:fldCharType="end"/>
        </w:r>
      </w:hyperlink>
    </w:p>
    <w:p w14:paraId="7C05C3C3" w14:textId="6BC7AF72" w:rsidR="000C6C6D" w:rsidRDefault="00F76DB1">
      <w:pPr>
        <w:pStyle w:val="TOC3"/>
        <w:rPr>
          <w:rFonts w:asciiTheme="minorHAnsi" w:eastAsiaTheme="minorEastAsia" w:hAnsiTheme="minorHAnsi" w:cstheme="minorBidi"/>
          <w:noProof/>
          <w:color w:val="auto"/>
          <w:sz w:val="22"/>
          <w:szCs w:val="22"/>
        </w:rPr>
      </w:pPr>
      <w:hyperlink w:anchor="_Toc12808808" w:history="1">
        <w:r w:rsidR="000C6C6D" w:rsidRPr="000C43DB">
          <w:rPr>
            <w:rStyle w:val="Hyperlink"/>
            <w:noProof/>
          </w:rPr>
          <w:t>5.3.18</w:t>
        </w:r>
        <w:r w:rsidR="000C6C6D">
          <w:rPr>
            <w:rFonts w:asciiTheme="minorHAnsi" w:eastAsiaTheme="minorEastAsia" w:hAnsiTheme="minorHAnsi" w:cstheme="minorBidi"/>
            <w:noProof/>
            <w:color w:val="auto"/>
            <w:sz w:val="22"/>
            <w:szCs w:val="22"/>
          </w:rPr>
          <w:tab/>
        </w:r>
        <w:r w:rsidR="000C6C6D" w:rsidRPr="000C43DB">
          <w:rPr>
            <w:rStyle w:val="Hyperlink"/>
            <w:noProof/>
          </w:rPr>
          <w:t>Flaw Tolerance Evaluation of Cast Austenitic Stainless Steel Piping, Section XI, Division 1</w:t>
        </w:r>
        <w:r w:rsidR="000C6C6D">
          <w:rPr>
            <w:noProof/>
            <w:webHidden/>
          </w:rPr>
          <w:tab/>
        </w:r>
        <w:r w:rsidR="000C6C6D">
          <w:rPr>
            <w:noProof/>
            <w:webHidden/>
          </w:rPr>
          <w:fldChar w:fldCharType="begin"/>
        </w:r>
        <w:r w:rsidR="000C6C6D">
          <w:rPr>
            <w:noProof/>
            <w:webHidden/>
          </w:rPr>
          <w:instrText xml:space="preserve"> PAGEREF _Toc12808808 \h </w:instrText>
        </w:r>
        <w:r w:rsidR="000C6C6D">
          <w:rPr>
            <w:noProof/>
            <w:webHidden/>
          </w:rPr>
        </w:r>
        <w:r w:rsidR="000C6C6D">
          <w:rPr>
            <w:noProof/>
            <w:webHidden/>
          </w:rPr>
          <w:fldChar w:fldCharType="separate"/>
        </w:r>
        <w:r w:rsidR="00F05D99">
          <w:rPr>
            <w:noProof/>
            <w:webHidden/>
          </w:rPr>
          <w:t>35</w:t>
        </w:r>
        <w:r w:rsidR="000C6C6D">
          <w:rPr>
            <w:noProof/>
            <w:webHidden/>
          </w:rPr>
          <w:fldChar w:fldCharType="end"/>
        </w:r>
      </w:hyperlink>
    </w:p>
    <w:p w14:paraId="04340901" w14:textId="050F767B" w:rsidR="000C6C6D" w:rsidRDefault="00F76DB1">
      <w:pPr>
        <w:pStyle w:val="TOC3"/>
        <w:rPr>
          <w:rFonts w:asciiTheme="minorHAnsi" w:eastAsiaTheme="minorEastAsia" w:hAnsiTheme="minorHAnsi" w:cstheme="minorBidi"/>
          <w:noProof/>
          <w:color w:val="auto"/>
          <w:sz w:val="22"/>
          <w:szCs w:val="22"/>
        </w:rPr>
      </w:pPr>
      <w:hyperlink w:anchor="_Toc12808809" w:history="1">
        <w:r w:rsidR="000C6C6D" w:rsidRPr="000C43DB">
          <w:rPr>
            <w:rStyle w:val="Hyperlink"/>
            <w:noProof/>
          </w:rPr>
          <w:t>5.3.19</w:t>
        </w:r>
        <w:r w:rsidR="000C6C6D">
          <w:rPr>
            <w:rFonts w:asciiTheme="minorHAnsi" w:eastAsiaTheme="minorEastAsia" w:hAnsiTheme="minorHAnsi" w:cstheme="minorBidi"/>
            <w:noProof/>
            <w:color w:val="auto"/>
            <w:sz w:val="22"/>
            <w:szCs w:val="22"/>
          </w:rPr>
          <w:tab/>
        </w:r>
        <w:r w:rsidR="000C6C6D" w:rsidRPr="000C43DB">
          <w:rPr>
            <w:rStyle w:val="Hyperlink"/>
            <w:noProof/>
          </w:rPr>
          <w:t>Alternative Pressure Testing Requirements Following Repairs or Replacements for Class 1 Piping between the First and Second Inspection of Isolation Valves, Section XI, Division 1</w:t>
        </w:r>
        <w:r w:rsidR="000C6C6D">
          <w:rPr>
            <w:noProof/>
            <w:webHidden/>
          </w:rPr>
          <w:tab/>
        </w:r>
        <w:r w:rsidR="000C6C6D">
          <w:rPr>
            <w:noProof/>
            <w:webHidden/>
          </w:rPr>
          <w:fldChar w:fldCharType="begin"/>
        </w:r>
        <w:r w:rsidR="000C6C6D">
          <w:rPr>
            <w:noProof/>
            <w:webHidden/>
          </w:rPr>
          <w:instrText xml:space="preserve"> PAGEREF _Toc12808809 \h </w:instrText>
        </w:r>
        <w:r w:rsidR="000C6C6D">
          <w:rPr>
            <w:noProof/>
            <w:webHidden/>
          </w:rPr>
        </w:r>
        <w:r w:rsidR="000C6C6D">
          <w:rPr>
            <w:noProof/>
            <w:webHidden/>
          </w:rPr>
          <w:fldChar w:fldCharType="separate"/>
        </w:r>
        <w:r w:rsidR="00F05D99">
          <w:rPr>
            <w:noProof/>
            <w:webHidden/>
          </w:rPr>
          <w:t>36</w:t>
        </w:r>
        <w:r w:rsidR="000C6C6D">
          <w:rPr>
            <w:noProof/>
            <w:webHidden/>
          </w:rPr>
          <w:fldChar w:fldCharType="end"/>
        </w:r>
      </w:hyperlink>
    </w:p>
    <w:p w14:paraId="5B4A13E6" w14:textId="047BB65E" w:rsidR="000C6C6D" w:rsidRDefault="00F76DB1">
      <w:pPr>
        <w:pStyle w:val="TOC3"/>
        <w:rPr>
          <w:rFonts w:asciiTheme="minorHAnsi" w:eastAsiaTheme="minorEastAsia" w:hAnsiTheme="minorHAnsi" w:cstheme="minorBidi"/>
          <w:noProof/>
          <w:color w:val="auto"/>
          <w:sz w:val="22"/>
          <w:szCs w:val="22"/>
        </w:rPr>
      </w:pPr>
      <w:hyperlink w:anchor="_Toc12808810" w:history="1">
        <w:r w:rsidR="000C6C6D" w:rsidRPr="000C43DB">
          <w:rPr>
            <w:rStyle w:val="Hyperlink"/>
            <w:noProof/>
          </w:rPr>
          <w:t>5.3.20</w:t>
        </w:r>
        <w:r w:rsidR="000C6C6D">
          <w:rPr>
            <w:rFonts w:asciiTheme="minorHAnsi" w:eastAsiaTheme="minorEastAsia" w:hAnsiTheme="minorHAnsi" w:cstheme="minorBidi"/>
            <w:noProof/>
            <w:color w:val="auto"/>
            <w:sz w:val="22"/>
            <w:szCs w:val="22"/>
          </w:rPr>
          <w:tab/>
        </w:r>
        <w:r w:rsidR="000C6C6D" w:rsidRPr="000C43DB">
          <w:rPr>
            <w:rStyle w:val="Hyperlink"/>
            <w:noProof/>
          </w:rPr>
          <w:t>In Situ Visual Testing 3 Examination of Removable Core Support Structures without Removal</w:t>
        </w:r>
        <w:r w:rsidR="000C6C6D">
          <w:rPr>
            <w:noProof/>
            <w:webHidden/>
          </w:rPr>
          <w:tab/>
        </w:r>
        <w:r w:rsidR="000C6C6D">
          <w:rPr>
            <w:noProof/>
            <w:webHidden/>
          </w:rPr>
          <w:fldChar w:fldCharType="begin"/>
        </w:r>
        <w:r w:rsidR="000C6C6D">
          <w:rPr>
            <w:noProof/>
            <w:webHidden/>
          </w:rPr>
          <w:instrText xml:space="preserve"> PAGEREF _Toc12808810 \h </w:instrText>
        </w:r>
        <w:r w:rsidR="000C6C6D">
          <w:rPr>
            <w:noProof/>
            <w:webHidden/>
          </w:rPr>
        </w:r>
        <w:r w:rsidR="000C6C6D">
          <w:rPr>
            <w:noProof/>
            <w:webHidden/>
          </w:rPr>
          <w:fldChar w:fldCharType="separate"/>
        </w:r>
        <w:r w:rsidR="00F05D99">
          <w:rPr>
            <w:noProof/>
            <w:webHidden/>
          </w:rPr>
          <w:t>36</w:t>
        </w:r>
        <w:r w:rsidR="000C6C6D">
          <w:rPr>
            <w:noProof/>
            <w:webHidden/>
          </w:rPr>
          <w:fldChar w:fldCharType="end"/>
        </w:r>
      </w:hyperlink>
    </w:p>
    <w:p w14:paraId="43EA42A9" w14:textId="139746E5" w:rsidR="000C6C6D" w:rsidRDefault="00F76DB1">
      <w:pPr>
        <w:pStyle w:val="TOC3"/>
        <w:rPr>
          <w:rFonts w:asciiTheme="minorHAnsi" w:eastAsiaTheme="minorEastAsia" w:hAnsiTheme="minorHAnsi" w:cstheme="minorBidi"/>
          <w:noProof/>
          <w:color w:val="auto"/>
          <w:sz w:val="22"/>
          <w:szCs w:val="22"/>
        </w:rPr>
      </w:pPr>
      <w:hyperlink w:anchor="_Toc12808811" w:history="1">
        <w:r w:rsidR="000C6C6D" w:rsidRPr="000C43DB">
          <w:rPr>
            <w:rStyle w:val="Hyperlink"/>
            <w:noProof/>
          </w:rPr>
          <w:t>5.3.21</w:t>
        </w:r>
        <w:r w:rsidR="000C6C6D">
          <w:rPr>
            <w:rFonts w:asciiTheme="minorHAnsi" w:eastAsiaTheme="minorEastAsia" w:hAnsiTheme="minorHAnsi" w:cstheme="minorBidi"/>
            <w:noProof/>
            <w:color w:val="auto"/>
            <w:sz w:val="22"/>
            <w:szCs w:val="22"/>
          </w:rPr>
          <w:tab/>
        </w:r>
        <w:r w:rsidR="000C6C6D" w:rsidRPr="000C43DB">
          <w:rPr>
            <w:rStyle w:val="Hyperlink"/>
            <w:noProof/>
          </w:rPr>
          <w:t>Performance-Based Requirements for Extending the Snubber Inservice Visual Examination Interval at Light-Water Reactor Power Plants</w:t>
        </w:r>
        <w:r w:rsidR="000C6C6D">
          <w:rPr>
            <w:noProof/>
            <w:webHidden/>
          </w:rPr>
          <w:tab/>
        </w:r>
        <w:r w:rsidR="000C6C6D">
          <w:rPr>
            <w:noProof/>
            <w:webHidden/>
          </w:rPr>
          <w:fldChar w:fldCharType="begin"/>
        </w:r>
        <w:r w:rsidR="000C6C6D">
          <w:rPr>
            <w:noProof/>
            <w:webHidden/>
          </w:rPr>
          <w:instrText xml:space="preserve"> PAGEREF _Toc12808811 \h </w:instrText>
        </w:r>
        <w:r w:rsidR="000C6C6D">
          <w:rPr>
            <w:noProof/>
            <w:webHidden/>
          </w:rPr>
        </w:r>
        <w:r w:rsidR="000C6C6D">
          <w:rPr>
            <w:noProof/>
            <w:webHidden/>
          </w:rPr>
          <w:fldChar w:fldCharType="separate"/>
        </w:r>
        <w:r w:rsidR="00F05D99">
          <w:rPr>
            <w:noProof/>
            <w:webHidden/>
          </w:rPr>
          <w:t>37</w:t>
        </w:r>
        <w:r w:rsidR="000C6C6D">
          <w:rPr>
            <w:noProof/>
            <w:webHidden/>
          </w:rPr>
          <w:fldChar w:fldCharType="end"/>
        </w:r>
      </w:hyperlink>
    </w:p>
    <w:p w14:paraId="0D0C1AA6" w14:textId="3EFC4AAA" w:rsidR="000C6C6D" w:rsidRDefault="00F76DB1">
      <w:pPr>
        <w:pStyle w:val="TOC3"/>
        <w:rPr>
          <w:rFonts w:asciiTheme="minorHAnsi" w:eastAsiaTheme="minorEastAsia" w:hAnsiTheme="minorHAnsi" w:cstheme="minorBidi"/>
          <w:noProof/>
          <w:color w:val="auto"/>
          <w:sz w:val="22"/>
          <w:szCs w:val="22"/>
        </w:rPr>
      </w:pPr>
      <w:hyperlink w:anchor="_Toc12808812" w:history="1">
        <w:r w:rsidR="000C6C6D" w:rsidRPr="000C43DB">
          <w:rPr>
            <w:rStyle w:val="Hyperlink"/>
            <w:noProof/>
          </w:rPr>
          <w:t>5.3.22</w:t>
        </w:r>
        <w:r w:rsidR="000C6C6D">
          <w:rPr>
            <w:rFonts w:asciiTheme="minorHAnsi" w:eastAsiaTheme="minorEastAsia" w:hAnsiTheme="minorHAnsi" w:cstheme="minorBidi"/>
            <w:noProof/>
            <w:color w:val="auto"/>
            <w:sz w:val="22"/>
            <w:szCs w:val="22"/>
          </w:rPr>
          <w:tab/>
        </w:r>
        <w:r w:rsidR="000C6C6D" w:rsidRPr="000C43DB">
          <w:rPr>
            <w:rStyle w:val="Hyperlink"/>
            <w:noProof/>
          </w:rPr>
          <w:t>Inservice Test Frequency</w:t>
        </w:r>
        <w:r w:rsidR="000C6C6D">
          <w:rPr>
            <w:noProof/>
            <w:webHidden/>
          </w:rPr>
          <w:tab/>
        </w:r>
        <w:r w:rsidR="000C6C6D">
          <w:rPr>
            <w:noProof/>
            <w:webHidden/>
          </w:rPr>
          <w:fldChar w:fldCharType="begin"/>
        </w:r>
        <w:r w:rsidR="000C6C6D">
          <w:rPr>
            <w:noProof/>
            <w:webHidden/>
          </w:rPr>
          <w:instrText xml:space="preserve"> PAGEREF _Toc12808812 \h </w:instrText>
        </w:r>
        <w:r w:rsidR="000C6C6D">
          <w:rPr>
            <w:noProof/>
            <w:webHidden/>
          </w:rPr>
        </w:r>
        <w:r w:rsidR="000C6C6D">
          <w:rPr>
            <w:noProof/>
            <w:webHidden/>
          </w:rPr>
          <w:fldChar w:fldCharType="separate"/>
        </w:r>
        <w:r w:rsidR="00F05D99">
          <w:rPr>
            <w:noProof/>
            <w:webHidden/>
          </w:rPr>
          <w:t>37</w:t>
        </w:r>
        <w:r w:rsidR="000C6C6D">
          <w:rPr>
            <w:noProof/>
            <w:webHidden/>
          </w:rPr>
          <w:fldChar w:fldCharType="end"/>
        </w:r>
      </w:hyperlink>
    </w:p>
    <w:p w14:paraId="24671033" w14:textId="171109A0" w:rsidR="000C6C6D" w:rsidRDefault="00F76DB1">
      <w:pPr>
        <w:pStyle w:val="TOC2"/>
        <w:rPr>
          <w:rFonts w:asciiTheme="minorHAnsi" w:eastAsiaTheme="minorEastAsia" w:hAnsiTheme="minorHAnsi" w:cstheme="minorBidi"/>
          <w:noProof/>
          <w:color w:val="auto"/>
          <w:sz w:val="22"/>
          <w:szCs w:val="22"/>
        </w:rPr>
      </w:pPr>
      <w:hyperlink w:anchor="_Toc12808813" w:history="1">
        <w:r w:rsidR="000C6C6D" w:rsidRPr="000C43DB">
          <w:rPr>
            <w:rStyle w:val="Hyperlink"/>
            <w:noProof/>
          </w:rPr>
          <w:t>5.4</w:t>
        </w:r>
        <w:r w:rsidR="000C6C6D">
          <w:rPr>
            <w:rFonts w:asciiTheme="minorHAnsi" w:eastAsiaTheme="minorEastAsia" w:hAnsiTheme="minorHAnsi" w:cstheme="minorBidi"/>
            <w:noProof/>
            <w:color w:val="auto"/>
            <w:sz w:val="22"/>
            <w:szCs w:val="22"/>
          </w:rPr>
          <w:tab/>
        </w:r>
        <w:r w:rsidR="000C6C6D" w:rsidRPr="000C43DB">
          <w:rPr>
            <w:rStyle w:val="Hyperlink"/>
            <w:noProof/>
          </w:rPr>
          <w:t>Industry Operation</w:t>
        </w:r>
        <w:r w:rsidR="000C6C6D">
          <w:rPr>
            <w:noProof/>
            <w:webHidden/>
          </w:rPr>
          <w:tab/>
        </w:r>
        <w:r w:rsidR="000C6C6D">
          <w:rPr>
            <w:noProof/>
            <w:webHidden/>
          </w:rPr>
          <w:fldChar w:fldCharType="begin"/>
        </w:r>
        <w:r w:rsidR="000C6C6D">
          <w:rPr>
            <w:noProof/>
            <w:webHidden/>
          </w:rPr>
          <w:instrText xml:space="preserve"> PAGEREF _Toc12808813 \h </w:instrText>
        </w:r>
        <w:r w:rsidR="000C6C6D">
          <w:rPr>
            <w:noProof/>
            <w:webHidden/>
          </w:rPr>
        </w:r>
        <w:r w:rsidR="000C6C6D">
          <w:rPr>
            <w:noProof/>
            <w:webHidden/>
          </w:rPr>
          <w:fldChar w:fldCharType="separate"/>
        </w:r>
        <w:r w:rsidR="00F05D99">
          <w:rPr>
            <w:noProof/>
            <w:webHidden/>
          </w:rPr>
          <w:t>37</w:t>
        </w:r>
        <w:r w:rsidR="000C6C6D">
          <w:rPr>
            <w:noProof/>
            <w:webHidden/>
          </w:rPr>
          <w:fldChar w:fldCharType="end"/>
        </w:r>
      </w:hyperlink>
    </w:p>
    <w:p w14:paraId="20E5295B" w14:textId="514382F1" w:rsidR="000C6C6D" w:rsidRDefault="00F76DB1">
      <w:pPr>
        <w:pStyle w:val="TOC3"/>
        <w:rPr>
          <w:rFonts w:asciiTheme="minorHAnsi" w:eastAsiaTheme="minorEastAsia" w:hAnsiTheme="minorHAnsi" w:cstheme="minorBidi"/>
          <w:noProof/>
          <w:color w:val="auto"/>
          <w:sz w:val="22"/>
          <w:szCs w:val="22"/>
        </w:rPr>
      </w:pPr>
      <w:hyperlink w:anchor="_Toc12808814" w:history="1">
        <w:r w:rsidR="000C6C6D" w:rsidRPr="000C43DB">
          <w:rPr>
            <w:rStyle w:val="Hyperlink"/>
            <w:noProof/>
          </w:rPr>
          <w:t>5.4.1</w:t>
        </w:r>
        <w:r w:rsidR="000C6C6D">
          <w:rPr>
            <w:rFonts w:asciiTheme="minorHAnsi" w:eastAsiaTheme="minorEastAsia" w:hAnsiTheme="minorHAnsi" w:cstheme="minorBidi"/>
            <w:noProof/>
            <w:color w:val="auto"/>
            <w:sz w:val="22"/>
            <w:szCs w:val="22"/>
          </w:rPr>
          <w:tab/>
        </w:r>
        <w:r w:rsidR="000C6C6D" w:rsidRPr="000C43DB">
          <w:rPr>
            <w:rStyle w:val="Hyperlink"/>
            <w:noProof/>
          </w:rPr>
          <w:t>Additional Materials for Subsection NF, Class 1, 2, 3, and Metal Containment Supports Fabricated by Welding</w:t>
        </w:r>
        <w:r w:rsidR="000C6C6D">
          <w:rPr>
            <w:noProof/>
            <w:webHidden/>
          </w:rPr>
          <w:tab/>
        </w:r>
        <w:r w:rsidR="000C6C6D">
          <w:rPr>
            <w:noProof/>
            <w:webHidden/>
          </w:rPr>
          <w:fldChar w:fldCharType="begin"/>
        </w:r>
        <w:r w:rsidR="000C6C6D">
          <w:rPr>
            <w:noProof/>
            <w:webHidden/>
          </w:rPr>
          <w:instrText xml:space="preserve"> PAGEREF _Toc12808814 \h </w:instrText>
        </w:r>
        <w:r w:rsidR="000C6C6D">
          <w:rPr>
            <w:noProof/>
            <w:webHidden/>
          </w:rPr>
        </w:r>
        <w:r w:rsidR="000C6C6D">
          <w:rPr>
            <w:noProof/>
            <w:webHidden/>
          </w:rPr>
          <w:fldChar w:fldCharType="separate"/>
        </w:r>
        <w:r w:rsidR="00F05D99">
          <w:rPr>
            <w:noProof/>
            <w:webHidden/>
          </w:rPr>
          <w:t>39</w:t>
        </w:r>
        <w:r w:rsidR="000C6C6D">
          <w:rPr>
            <w:noProof/>
            <w:webHidden/>
          </w:rPr>
          <w:fldChar w:fldCharType="end"/>
        </w:r>
      </w:hyperlink>
    </w:p>
    <w:p w14:paraId="12703DB6" w14:textId="6630FC7A" w:rsidR="000C6C6D" w:rsidRDefault="00F76DB1">
      <w:pPr>
        <w:pStyle w:val="TOC3"/>
        <w:rPr>
          <w:rFonts w:asciiTheme="minorHAnsi" w:eastAsiaTheme="minorEastAsia" w:hAnsiTheme="minorHAnsi" w:cstheme="minorBidi"/>
          <w:noProof/>
          <w:color w:val="auto"/>
          <w:sz w:val="22"/>
          <w:szCs w:val="22"/>
        </w:rPr>
      </w:pPr>
      <w:hyperlink w:anchor="_Toc12808815" w:history="1">
        <w:r w:rsidR="000C6C6D" w:rsidRPr="000C43DB">
          <w:rPr>
            <w:rStyle w:val="Hyperlink"/>
            <w:noProof/>
          </w:rPr>
          <w:t>5.4.2</w:t>
        </w:r>
        <w:r w:rsidR="000C6C6D">
          <w:rPr>
            <w:rFonts w:asciiTheme="minorHAnsi" w:eastAsiaTheme="minorEastAsia" w:hAnsiTheme="minorHAnsi" w:cstheme="minorBidi"/>
            <w:noProof/>
            <w:color w:val="auto"/>
            <w:sz w:val="22"/>
            <w:szCs w:val="22"/>
          </w:rPr>
          <w:tab/>
        </w:r>
        <w:r w:rsidR="000C6C6D" w:rsidRPr="000C43DB">
          <w:rPr>
            <w:rStyle w:val="Hyperlink"/>
            <w:noProof/>
          </w:rPr>
          <w:t>Underwater Welding, Section XI, Division 1</w:t>
        </w:r>
        <w:r w:rsidR="000C6C6D">
          <w:rPr>
            <w:noProof/>
            <w:webHidden/>
          </w:rPr>
          <w:tab/>
        </w:r>
        <w:r w:rsidR="000C6C6D">
          <w:rPr>
            <w:noProof/>
            <w:webHidden/>
          </w:rPr>
          <w:fldChar w:fldCharType="begin"/>
        </w:r>
        <w:r w:rsidR="000C6C6D">
          <w:rPr>
            <w:noProof/>
            <w:webHidden/>
          </w:rPr>
          <w:instrText xml:space="preserve"> PAGEREF _Toc12808815 \h </w:instrText>
        </w:r>
        <w:r w:rsidR="000C6C6D">
          <w:rPr>
            <w:noProof/>
            <w:webHidden/>
          </w:rPr>
        </w:r>
        <w:r w:rsidR="000C6C6D">
          <w:rPr>
            <w:noProof/>
            <w:webHidden/>
          </w:rPr>
          <w:fldChar w:fldCharType="separate"/>
        </w:r>
        <w:r w:rsidR="00F05D99">
          <w:rPr>
            <w:noProof/>
            <w:webHidden/>
          </w:rPr>
          <w:t>39</w:t>
        </w:r>
        <w:r w:rsidR="000C6C6D">
          <w:rPr>
            <w:noProof/>
            <w:webHidden/>
          </w:rPr>
          <w:fldChar w:fldCharType="end"/>
        </w:r>
      </w:hyperlink>
    </w:p>
    <w:p w14:paraId="76FC24B0" w14:textId="02994269" w:rsidR="000C6C6D" w:rsidRDefault="00F76DB1">
      <w:pPr>
        <w:pStyle w:val="TOC3"/>
        <w:rPr>
          <w:rFonts w:asciiTheme="minorHAnsi" w:eastAsiaTheme="minorEastAsia" w:hAnsiTheme="minorHAnsi" w:cstheme="minorBidi"/>
          <w:noProof/>
          <w:color w:val="auto"/>
          <w:sz w:val="22"/>
          <w:szCs w:val="22"/>
        </w:rPr>
      </w:pPr>
      <w:hyperlink w:anchor="_Toc12808816" w:history="1">
        <w:r w:rsidR="000C6C6D" w:rsidRPr="000C43DB">
          <w:rPr>
            <w:rStyle w:val="Hyperlink"/>
            <w:noProof/>
          </w:rPr>
          <w:t>5.4.3</w:t>
        </w:r>
        <w:r w:rsidR="000C6C6D">
          <w:rPr>
            <w:rFonts w:asciiTheme="minorHAnsi" w:eastAsiaTheme="minorEastAsia" w:hAnsiTheme="minorHAnsi" w:cstheme="minorBidi"/>
            <w:noProof/>
            <w:color w:val="auto"/>
            <w:sz w:val="22"/>
            <w:szCs w:val="22"/>
          </w:rPr>
          <w:tab/>
        </w:r>
        <w:r w:rsidR="000C6C6D" w:rsidRPr="000C43DB">
          <w:rPr>
            <w:rStyle w:val="Hyperlink"/>
            <w:noProof/>
          </w:rPr>
          <w:t>Evaluation of Pipe Wall Thinning, Section XI</w:t>
        </w:r>
        <w:r w:rsidR="000C6C6D">
          <w:rPr>
            <w:noProof/>
            <w:webHidden/>
          </w:rPr>
          <w:tab/>
        </w:r>
        <w:r w:rsidR="000C6C6D">
          <w:rPr>
            <w:noProof/>
            <w:webHidden/>
          </w:rPr>
          <w:fldChar w:fldCharType="begin"/>
        </w:r>
        <w:r w:rsidR="000C6C6D">
          <w:rPr>
            <w:noProof/>
            <w:webHidden/>
          </w:rPr>
          <w:instrText xml:space="preserve"> PAGEREF _Toc12808816 \h </w:instrText>
        </w:r>
        <w:r w:rsidR="000C6C6D">
          <w:rPr>
            <w:noProof/>
            <w:webHidden/>
          </w:rPr>
        </w:r>
        <w:r w:rsidR="000C6C6D">
          <w:rPr>
            <w:noProof/>
            <w:webHidden/>
          </w:rPr>
          <w:fldChar w:fldCharType="separate"/>
        </w:r>
        <w:r w:rsidR="00F05D99">
          <w:rPr>
            <w:noProof/>
            <w:webHidden/>
          </w:rPr>
          <w:t>39</w:t>
        </w:r>
        <w:r w:rsidR="000C6C6D">
          <w:rPr>
            <w:noProof/>
            <w:webHidden/>
          </w:rPr>
          <w:fldChar w:fldCharType="end"/>
        </w:r>
      </w:hyperlink>
    </w:p>
    <w:p w14:paraId="42186F45" w14:textId="1AD3DAE1" w:rsidR="000C6C6D" w:rsidRDefault="00F76DB1">
      <w:pPr>
        <w:pStyle w:val="TOC3"/>
        <w:rPr>
          <w:rFonts w:asciiTheme="minorHAnsi" w:eastAsiaTheme="minorEastAsia" w:hAnsiTheme="minorHAnsi" w:cstheme="minorBidi"/>
          <w:noProof/>
          <w:color w:val="auto"/>
          <w:sz w:val="22"/>
          <w:szCs w:val="22"/>
        </w:rPr>
      </w:pPr>
      <w:hyperlink w:anchor="_Toc12808817" w:history="1">
        <w:r w:rsidR="000C6C6D" w:rsidRPr="000C43DB">
          <w:rPr>
            <w:rStyle w:val="Hyperlink"/>
            <w:noProof/>
          </w:rPr>
          <w:t>5.4.4</w:t>
        </w:r>
        <w:r w:rsidR="000C6C6D">
          <w:rPr>
            <w:rFonts w:asciiTheme="minorHAnsi" w:eastAsiaTheme="minorEastAsia" w:hAnsiTheme="minorHAnsi" w:cstheme="minorBidi"/>
            <w:noProof/>
            <w:color w:val="auto"/>
            <w:sz w:val="22"/>
            <w:szCs w:val="22"/>
          </w:rPr>
          <w:tab/>
        </w:r>
        <w:r w:rsidR="000C6C6D" w:rsidRPr="000C43DB">
          <w:rPr>
            <w:rStyle w:val="Hyperlink"/>
            <w:noProof/>
          </w:rPr>
          <w:t>Similar and Dissimilar Metal Welding Using an Ambient Temperature Machine Gas Tungsten Arc Welding Temper Bead Technique for Boiling-Water Reactor Control Rod Drive Housing/Stub Tube Repairs</w:t>
        </w:r>
        <w:r w:rsidR="000C6C6D">
          <w:rPr>
            <w:noProof/>
            <w:webHidden/>
          </w:rPr>
          <w:tab/>
        </w:r>
        <w:r w:rsidR="000C6C6D">
          <w:rPr>
            <w:noProof/>
            <w:webHidden/>
          </w:rPr>
          <w:fldChar w:fldCharType="begin"/>
        </w:r>
        <w:r w:rsidR="000C6C6D">
          <w:rPr>
            <w:noProof/>
            <w:webHidden/>
          </w:rPr>
          <w:instrText xml:space="preserve"> PAGEREF _Toc12808817 \h </w:instrText>
        </w:r>
        <w:r w:rsidR="000C6C6D">
          <w:rPr>
            <w:noProof/>
            <w:webHidden/>
          </w:rPr>
        </w:r>
        <w:r w:rsidR="000C6C6D">
          <w:rPr>
            <w:noProof/>
            <w:webHidden/>
          </w:rPr>
          <w:fldChar w:fldCharType="separate"/>
        </w:r>
        <w:r w:rsidR="00F05D99">
          <w:rPr>
            <w:noProof/>
            <w:webHidden/>
          </w:rPr>
          <w:t>39</w:t>
        </w:r>
        <w:r w:rsidR="000C6C6D">
          <w:rPr>
            <w:noProof/>
            <w:webHidden/>
          </w:rPr>
          <w:fldChar w:fldCharType="end"/>
        </w:r>
      </w:hyperlink>
    </w:p>
    <w:p w14:paraId="3E71834E" w14:textId="007791FD" w:rsidR="000C6C6D" w:rsidRDefault="00F76DB1">
      <w:pPr>
        <w:pStyle w:val="TOC3"/>
        <w:rPr>
          <w:rFonts w:asciiTheme="minorHAnsi" w:eastAsiaTheme="minorEastAsia" w:hAnsiTheme="minorHAnsi" w:cstheme="minorBidi"/>
          <w:noProof/>
          <w:color w:val="auto"/>
          <w:sz w:val="22"/>
          <w:szCs w:val="22"/>
        </w:rPr>
      </w:pPr>
      <w:hyperlink w:anchor="_Toc12808818" w:history="1">
        <w:r w:rsidR="000C6C6D" w:rsidRPr="000C43DB">
          <w:rPr>
            <w:rStyle w:val="Hyperlink"/>
            <w:noProof/>
          </w:rPr>
          <w:t>5.4.5</w:t>
        </w:r>
        <w:r w:rsidR="000C6C6D">
          <w:rPr>
            <w:rFonts w:asciiTheme="minorHAnsi" w:eastAsiaTheme="minorEastAsia" w:hAnsiTheme="minorHAnsi" w:cstheme="minorBidi"/>
            <w:noProof/>
            <w:color w:val="auto"/>
            <w:sz w:val="22"/>
            <w:szCs w:val="22"/>
          </w:rPr>
          <w:tab/>
        </w:r>
        <w:r w:rsidR="000C6C6D" w:rsidRPr="000C43DB">
          <w:rPr>
            <w:rStyle w:val="Hyperlink"/>
            <w:noProof/>
          </w:rPr>
          <w:t>Similar and Dissimilar Metal Welding Using an Ambient Temperature Machine Gas Tungsten Arc Welding Temper Bead Technique</w:t>
        </w:r>
        <w:r w:rsidR="000C6C6D">
          <w:rPr>
            <w:noProof/>
            <w:webHidden/>
          </w:rPr>
          <w:tab/>
        </w:r>
        <w:r w:rsidR="000C6C6D">
          <w:rPr>
            <w:noProof/>
            <w:webHidden/>
          </w:rPr>
          <w:fldChar w:fldCharType="begin"/>
        </w:r>
        <w:r w:rsidR="000C6C6D">
          <w:rPr>
            <w:noProof/>
            <w:webHidden/>
          </w:rPr>
          <w:instrText xml:space="preserve"> PAGEREF _Toc12808818 \h </w:instrText>
        </w:r>
        <w:r w:rsidR="000C6C6D">
          <w:rPr>
            <w:noProof/>
            <w:webHidden/>
          </w:rPr>
        </w:r>
        <w:r w:rsidR="000C6C6D">
          <w:rPr>
            <w:noProof/>
            <w:webHidden/>
          </w:rPr>
          <w:fldChar w:fldCharType="separate"/>
        </w:r>
        <w:r w:rsidR="00F05D99">
          <w:rPr>
            <w:noProof/>
            <w:webHidden/>
          </w:rPr>
          <w:t>39</w:t>
        </w:r>
        <w:r w:rsidR="000C6C6D">
          <w:rPr>
            <w:noProof/>
            <w:webHidden/>
          </w:rPr>
          <w:fldChar w:fldCharType="end"/>
        </w:r>
      </w:hyperlink>
    </w:p>
    <w:p w14:paraId="23C72DFD" w14:textId="51F9F24D" w:rsidR="000C6C6D" w:rsidRDefault="00F76DB1">
      <w:pPr>
        <w:pStyle w:val="TOC3"/>
        <w:rPr>
          <w:rFonts w:asciiTheme="minorHAnsi" w:eastAsiaTheme="minorEastAsia" w:hAnsiTheme="minorHAnsi" w:cstheme="minorBidi"/>
          <w:noProof/>
          <w:color w:val="auto"/>
          <w:sz w:val="22"/>
          <w:szCs w:val="22"/>
        </w:rPr>
      </w:pPr>
      <w:hyperlink w:anchor="_Toc12808819" w:history="1">
        <w:r w:rsidR="000C6C6D" w:rsidRPr="000C43DB">
          <w:rPr>
            <w:rStyle w:val="Hyperlink"/>
            <w:noProof/>
          </w:rPr>
          <w:t>5.4.6</w:t>
        </w:r>
        <w:r w:rsidR="000C6C6D">
          <w:rPr>
            <w:rFonts w:asciiTheme="minorHAnsi" w:eastAsiaTheme="minorEastAsia" w:hAnsiTheme="minorHAnsi" w:cstheme="minorBidi"/>
            <w:noProof/>
            <w:color w:val="auto"/>
            <w:sz w:val="22"/>
            <w:szCs w:val="22"/>
          </w:rPr>
          <w:tab/>
        </w:r>
        <w:r w:rsidR="000C6C6D" w:rsidRPr="000C43DB">
          <w:rPr>
            <w:rStyle w:val="Hyperlink"/>
            <w:noProof/>
          </w:rPr>
          <w:t>Alternative Requirements for Inner Radius Examinations of Class 1 Reactor Vessel Nozzles, Section XI</w:t>
        </w:r>
        <w:r w:rsidR="000C6C6D">
          <w:rPr>
            <w:noProof/>
            <w:webHidden/>
          </w:rPr>
          <w:tab/>
        </w:r>
        <w:r w:rsidR="000C6C6D">
          <w:rPr>
            <w:noProof/>
            <w:webHidden/>
          </w:rPr>
          <w:fldChar w:fldCharType="begin"/>
        </w:r>
        <w:r w:rsidR="000C6C6D">
          <w:rPr>
            <w:noProof/>
            <w:webHidden/>
          </w:rPr>
          <w:instrText xml:space="preserve"> PAGEREF _Toc12808819 \h </w:instrText>
        </w:r>
        <w:r w:rsidR="000C6C6D">
          <w:rPr>
            <w:noProof/>
            <w:webHidden/>
          </w:rPr>
        </w:r>
        <w:r w:rsidR="000C6C6D">
          <w:rPr>
            <w:noProof/>
            <w:webHidden/>
          </w:rPr>
          <w:fldChar w:fldCharType="separate"/>
        </w:r>
        <w:r w:rsidR="00F05D99">
          <w:rPr>
            <w:noProof/>
            <w:webHidden/>
          </w:rPr>
          <w:t>40</w:t>
        </w:r>
        <w:r w:rsidR="000C6C6D">
          <w:rPr>
            <w:noProof/>
            <w:webHidden/>
          </w:rPr>
          <w:fldChar w:fldCharType="end"/>
        </w:r>
      </w:hyperlink>
    </w:p>
    <w:p w14:paraId="2B3C16E8" w14:textId="076D1822" w:rsidR="000C6C6D" w:rsidRDefault="00F76DB1">
      <w:pPr>
        <w:pStyle w:val="TOC3"/>
        <w:rPr>
          <w:rFonts w:asciiTheme="minorHAnsi" w:eastAsiaTheme="minorEastAsia" w:hAnsiTheme="minorHAnsi" w:cstheme="minorBidi"/>
          <w:noProof/>
          <w:color w:val="auto"/>
          <w:sz w:val="22"/>
          <w:szCs w:val="22"/>
        </w:rPr>
      </w:pPr>
      <w:hyperlink w:anchor="_Toc12808820" w:history="1">
        <w:r w:rsidR="000C6C6D" w:rsidRPr="000C43DB">
          <w:rPr>
            <w:rStyle w:val="Hyperlink"/>
            <w:noProof/>
          </w:rPr>
          <w:t>5.4.7</w:t>
        </w:r>
        <w:r w:rsidR="000C6C6D">
          <w:rPr>
            <w:rFonts w:asciiTheme="minorHAnsi" w:eastAsiaTheme="minorEastAsia" w:hAnsiTheme="minorHAnsi" w:cstheme="minorBidi"/>
            <w:noProof/>
            <w:color w:val="auto"/>
            <w:sz w:val="22"/>
            <w:szCs w:val="22"/>
          </w:rPr>
          <w:tab/>
        </w:r>
        <w:r w:rsidR="000C6C6D" w:rsidRPr="000C43DB">
          <w:rPr>
            <w:rStyle w:val="Hyperlink"/>
            <w:noProof/>
          </w:rPr>
          <w:t>Qualification Requirements for Dissimilar Metal Piping Welds</w:t>
        </w:r>
        <w:r w:rsidR="000C6C6D">
          <w:rPr>
            <w:noProof/>
            <w:webHidden/>
          </w:rPr>
          <w:tab/>
        </w:r>
        <w:r w:rsidR="000C6C6D">
          <w:rPr>
            <w:noProof/>
            <w:webHidden/>
          </w:rPr>
          <w:fldChar w:fldCharType="begin"/>
        </w:r>
        <w:r w:rsidR="000C6C6D">
          <w:rPr>
            <w:noProof/>
            <w:webHidden/>
          </w:rPr>
          <w:instrText xml:space="preserve"> PAGEREF _Toc12808820 \h </w:instrText>
        </w:r>
        <w:r w:rsidR="000C6C6D">
          <w:rPr>
            <w:noProof/>
            <w:webHidden/>
          </w:rPr>
        </w:r>
        <w:r w:rsidR="000C6C6D">
          <w:rPr>
            <w:noProof/>
            <w:webHidden/>
          </w:rPr>
          <w:fldChar w:fldCharType="separate"/>
        </w:r>
        <w:r w:rsidR="00F05D99">
          <w:rPr>
            <w:noProof/>
            <w:webHidden/>
          </w:rPr>
          <w:t>40</w:t>
        </w:r>
        <w:r w:rsidR="000C6C6D">
          <w:rPr>
            <w:noProof/>
            <w:webHidden/>
          </w:rPr>
          <w:fldChar w:fldCharType="end"/>
        </w:r>
      </w:hyperlink>
    </w:p>
    <w:p w14:paraId="3B478D83" w14:textId="5B5636FF" w:rsidR="000C6C6D" w:rsidRDefault="00F76DB1">
      <w:pPr>
        <w:pStyle w:val="TOC3"/>
        <w:rPr>
          <w:rFonts w:asciiTheme="minorHAnsi" w:eastAsiaTheme="minorEastAsia" w:hAnsiTheme="minorHAnsi" w:cstheme="minorBidi"/>
          <w:noProof/>
          <w:color w:val="auto"/>
          <w:sz w:val="22"/>
          <w:szCs w:val="22"/>
        </w:rPr>
      </w:pPr>
      <w:hyperlink w:anchor="_Toc12808821" w:history="1">
        <w:r w:rsidR="000C6C6D" w:rsidRPr="000C43DB">
          <w:rPr>
            <w:rStyle w:val="Hyperlink"/>
            <w:noProof/>
          </w:rPr>
          <w:t>5.4.8</w:t>
        </w:r>
        <w:r w:rsidR="000C6C6D">
          <w:rPr>
            <w:rFonts w:asciiTheme="minorHAnsi" w:eastAsiaTheme="minorEastAsia" w:hAnsiTheme="minorHAnsi" w:cstheme="minorBidi"/>
            <w:noProof/>
            <w:color w:val="auto"/>
            <w:sz w:val="22"/>
            <w:szCs w:val="22"/>
          </w:rPr>
          <w:tab/>
        </w:r>
        <w:r w:rsidR="000C6C6D" w:rsidRPr="000C43DB">
          <w:rPr>
            <w:rStyle w:val="Hyperlink"/>
            <w:noProof/>
          </w:rPr>
          <w:t>Qualification Requirements for Mandatory Appendix VIII, Piping Examination Conducted from the Inside Surface</w:t>
        </w:r>
        <w:r w:rsidR="000C6C6D">
          <w:rPr>
            <w:noProof/>
            <w:webHidden/>
          </w:rPr>
          <w:tab/>
        </w:r>
        <w:r w:rsidR="000C6C6D">
          <w:rPr>
            <w:noProof/>
            <w:webHidden/>
          </w:rPr>
          <w:fldChar w:fldCharType="begin"/>
        </w:r>
        <w:r w:rsidR="000C6C6D">
          <w:rPr>
            <w:noProof/>
            <w:webHidden/>
          </w:rPr>
          <w:instrText xml:space="preserve"> PAGEREF _Toc12808821 \h </w:instrText>
        </w:r>
        <w:r w:rsidR="000C6C6D">
          <w:rPr>
            <w:noProof/>
            <w:webHidden/>
          </w:rPr>
        </w:r>
        <w:r w:rsidR="000C6C6D">
          <w:rPr>
            <w:noProof/>
            <w:webHidden/>
          </w:rPr>
          <w:fldChar w:fldCharType="separate"/>
        </w:r>
        <w:r w:rsidR="00F05D99">
          <w:rPr>
            <w:noProof/>
            <w:webHidden/>
          </w:rPr>
          <w:t>40</w:t>
        </w:r>
        <w:r w:rsidR="000C6C6D">
          <w:rPr>
            <w:noProof/>
            <w:webHidden/>
          </w:rPr>
          <w:fldChar w:fldCharType="end"/>
        </w:r>
      </w:hyperlink>
    </w:p>
    <w:p w14:paraId="430C9C27" w14:textId="3BC79FE2" w:rsidR="000C6C6D" w:rsidRDefault="00F76DB1">
      <w:pPr>
        <w:pStyle w:val="TOC3"/>
        <w:rPr>
          <w:rFonts w:asciiTheme="minorHAnsi" w:eastAsiaTheme="minorEastAsia" w:hAnsiTheme="minorHAnsi" w:cstheme="minorBidi"/>
          <w:noProof/>
          <w:color w:val="auto"/>
          <w:sz w:val="22"/>
          <w:szCs w:val="22"/>
        </w:rPr>
      </w:pPr>
      <w:hyperlink w:anchor="_Toc12808822" w:history="1">
        <w:r w:rsidR="000C6C6D" w:rsidRPr="000C43DB">
          <w:rPr>
            <w:rStyle w:val="Hyperlink"/>
            <w:noProof/>
          </w:rPr>
          <w:t>5.4.9</w:t>
        </w:r>
        <w:r w:rsidR="000C6C6D">
          <w:rPr>
            <w:rFonts w:asciiTheme="minorHAnsi" w:eastAsiaTheme="minorEastAsia" w:hAnsiTheme="minorHAnsi" w:cstheme="minorBidi"/>
            <w:noProof/>
            <w:color w:val="auto"/>
            <w:sz w:val="22"/>
            <w:szCs w:val="22"/>
          </w:rPr>
          <w:tab/>
        </w:r>
        <w:r w:rsidR="000C6C6D" w:rsidRPr="000C43DB">
          <w:rPr>
            <w:rStyle w:val="Hyperlink"/>
            <w:noProof/>
          </w:rPr>
          <w:t>Alternative Requirements for Boiling-Water Reactor Nozzle Inner Radius and Nozzle</w:t>
        </w:r>
        <w:r w:rsidR="000C6C6D" w:rsidRPr="000C43DB">
          <w:rPr>
            <w:rStyle w:val="Hyperlink"/>
            <w:noProof/>
          </w:rPr>
          <w:noBreakHyphen/>
          <w:t>to</w:t>
        </w:r>
        <w:r w:rsidR="000C6C6D" w:rsidRPr="000C43DB">
          <w:rPr>
            <w:rStyle w:val="Hyperlink"/>
            <w:noProof/>
          </w:rPr>
          <w:noBreakHyphen/>
          <w:t>Shell Welds, Section XI, Division 1</w:t>
        </w:r>
        <w:r w:rsidR="000C6C6D">
          <w:rPr>
            <w:noProof/>
            <w:webHidden/>
          </w:rPr>
          <w:tab/>
        </w:r>
        <w:r w:rsidR="000C6C6D">
          <w:rPr>
            <w:noProof/>
            <w:webHidden/>
          </w:rPr>
          <w:fldChar w:fldCharType="begin"/>
        </w:r>
        <w:r w:rsidR="000C6C6D">
          <w:rPr>
            <w:noProof/>
            <w:webHidden/>
          </w:rPr>
          <w:instrText xml:space="preserve"> PAGEREF _Toc12808822 \h </w:instrText>
        </w:r>
        <w:r w:rsidR="000C6C6D">
          <w:rPr>
            <w:noProof/>
            <w:webHidden/>
          </w:rPr>
        </w:r>
        <w:r w:rsidR="000C6C6D">
          <w:rPr>
            <w:noProof/>
            <w:webHidden/>
          </w:rPr>
          <w:fldChar w:fldCharType="separate"/>
        </w:r>
        <w:r w:rsidR="00F05D99">
          <w:rPr>
            <w:noProof/>
            <w:webHidden/>
          </w:rPr>
          <w:t>41</w:t>
        </w:r>
        <w:r w:rsidR="000C6C6D">
          <w:rPr>
            <w:noProof/>
            <w:webHidden/>
          </w:rPr>
          <w:fldChar w:fldCharType="end"/>
        </w:r>
      </w:hyperlink>
    </w:p>
    <w:p w14:paraId="55CF5B89" w14:textId="5B9A7F69" w:rsidR="000C6C6D" w:rsidRDefault="00F76DB1">
      <w:pPr>
        <w:pStyle w:val="TOC3"/>
        <w:rPr>
          <w:rFonts w:asciiTheme="minorHAnsi" w:eastAsiaTheme="minorEastAsia" w:hAnsiTheme="minorHAnsi" w:cstheme="minorBidi"/>
          <w:noProof/>
          <w:color w:val="auto"/>
          <w:sz w:val="22"/>
          <w:szCs w:val="22"/>
        </w:rPr>
      </w:pPr>
      <w:hyperlink w:anchor="_Toc12808823" w:history="1">
        <w:r w:rsidR="000C6C6D" w:rsidRPr="000C43DB">
          <w:rPr>
            <w:rStyle w:val="Hyperlink"/>
            <w:noProof/>
          </w:rPr>
          <w:t>5.4.10</w:t>
        </w:r>
        <w:r w:rsidR="000C6C6D">
          <w:rPr>
            <w:rFonts w:asciiTheme="minorHAnsi" w:eastAsiaTheme="minorEastAsia" w:hAnsiTheme="minorHAnsi" w:cstheme="minorBidi"/>
            <w:noProof/>
            <w:color w:val="auto"/>
            <w:sz w:val="22"/>
            <w:szCs w:val="22"/>
          </w:rPr>
          <w:tab/>
        </w:r>
        <w:r w:rsidR="000C6C6D" w:rsidRPr="000C43DB">
          <w:rPr>
            <w:rStyle w:val="Hyperlink"/>
            <w:noProof/>
          </w:rPr>
          <w:t>Evaluation Criteria for Temporary Acceptance of Degradation in Moderate</w:t>
        </w:r>
        <w:r w:rsidR="000C6C6D" w:rsidRPr="000C43DB">
          <w:rPr>
            <w:rStyle w:val="Hyperlink"/>
            <w:noProof/>
          </w:rPr>
          <w:noBreakHyphen/>
          <w:t>Energy Class 2 or 3 Vessels and Tanks</w:t>
        </w:r>
        <w:r w:rsidR="000C6C6D">
          <w:rPr>
            <w:noProof/>
            <w:webHidden/>
          </w:rPr>
          <w:tab/>
        </w:r>
        <w:r w:rsidR="000C6C6D">
          <w:rPr>
            <w:noProof/>
            <w:webHidden/>
          </w:rPr>
          <w:fldChar w:fldCharType="begin"/>
        </w:r>
        <w:r w:rsidR="000C6C6D">
          <w:rPr>
            <w:noProof/>
            <w:webHidden/>
          </w:rPr>
          <w:instrText xml:space="preserve"> PAGEREF _Toc12808823 \h </w:instrText>
        </w:r>
        <w:r w:rsidR="000C6C6D">
          <w:rPr>
            <w:noProof/>
            <w:webHidden/>
          </w:rPr>
        </w:r>
        <w:r w:rsidR="000C6C6D">
          <w:rPr>
            <w:noProof/>
            <w:webHidden/>
          </w:rPr>
          <w:fldChar w:fldCharType="separate"/>
        </w:r>
        <w:r w:rsidR="00F05D99">
          <w:rPr>
            <w:noProof/>
            <w:webHidden/>
          </w:rPr>
          <w:t>41</w:t>
        </w:r>
        <w:r w:rsidR="000C6C6D">
          <w:rPr>
            <w:noProof/>
            <w:webHidden/>
          </w:rPr>
          <w:fldChar w:fldCharType="end"/>
        </w:r>
      </w:hyperlink>
    </w:p>
    <w:p w14:paraId="0EF768AB" w14:textId="728C4D25" w:rsidR="000C6C6D" w:rsidRDefault="00F76DB1">
      <w:pPr>
        <w:pStyle w:val="TOC3"/>
        <w:rPr>
          <w:rFonts w:asciiTheme="minorHAnsi" w:eastAsiaTheme="minorEastAsia" w:hAnsiTheme="minorHAnsi" w:cstheme="minorBidi"/>
          <w:noProof/>
          <w:color w:val="auto"/>
          <w:sz w:val="22"/>
          <w:szCs w:val="22"/>
        </w:rPr>
      </w:pPr>
      <w:hyperlink w:anchor="_Toc12808824" w:history="1">
        <w:r w:rsidR="000C6C6D" w:rsidRPr="000C43DB">
          <w:rPr>
            <w:rStyle w:val="Hyperlink"/>
            <w:noProof/>
          </w:rPr>
          <w:t>5.4.11</w:t>
        </w:r>
        <w:r w:rsidR="000C6C6D">
          <w:rPr>
            <w:rFonts w:asciiTheme="minorHAnsi" w:eastAsiaTheme="minorEastAsia" w:hAnsiTheme="minorHAnsi" w:cstheme="minorBidi"/>
            <w:noProof/>
            <w:color w:val="auto"/>
            <w:sz w:val="22"/>
            <w:szCs w:val="22"/>
          </w:rPr>
          <w:tab/>
        </w:r>
        <w:r w:rsidR="000C6C6D" w:rsidRPr="000C43DB">
          <w:rPr>
            <w:rStyle w:val="Hyperlink"/>
            <w:noProof/>
          </w:rPr>
          <w:t>Alternative Examination Coverage Requirements for Examination Category B</w:t>
        </w:r>
        <w:r w:rsidR="000C6C6D" w:rsidRPr="000C43DB">
          <w:rPr>
            <w:rStyle w:val="Hyperlink"/>
            <w:noProof/>
          </w:rPr>
          <w:noBreakHyphen/>
          <w:t>F, B</w:t>
        </w:r>
        <w:r w:rsidR="000C6C6D" w:rsidRPr="000C43DB">
          <w:rPr>
            <w:rStyle w:val="Hyperlink"/>
            <w:noProof/>
          </w:rPr>
          <w:noBreakHyphen/>
          <w:t>J, C</w:t>
        </w:r>
        <w:r w:rsidR="000C6C6D" w:rsidRPr="000C43DB">
          <w:rPr>
            <w:rStyle w:val="Hyperlink"/>
            <w:noProof/>
          </w:rPr>
          <w:noBreakHyphen/>
          <w:t>F</w:t>
        </w:r>
        <w:r w:rsidR="000C6C6D" w:rsidRPr="000C43DB">
          <w:rPr>
            <w:rStyle w:val="Hyperlink"/>
            <w:noProof/>
          </w:rPr>
          <w:noBreakHyphen/>
          <w:t>1, C</w:t>
        </w:r>
        <w:r w:rsidR="000C6C6D" w:rsidRPr="000C43DB">
          <w:rPr>
            <w:rStyle w:val="Hyperlink"/>
            <w:noProof/>
          </w:rPr>
          <w:noBreakHyphen/>
          <w:t>F</w:t>
        </w:r>
        <w:r w:rsidR="000C6C6D" w:rsidRPr="000C43DB">
          <w:rPr>
            <w:rStyle w:val="Hyperlink"/>
            <w:noProof/>
          </w:rPr>
          <w:noBreakHyphen/>
          <w:t>2, and R-A Piping Welds</w:t>
        </w:r>
        <w:r w:rsidR="000C6C6D">
          <w:rPr>
            <w:noProof/>
            <w:webHidden/>
          </w:rPr>
          <w:tab/>
        </w:r>
        <w:r w:rsidR="000C6C6D">
          <w:rPr>
            <w:noProof/>
            <w:webHidden/>
          </w:rPr>
          <w:fldChar w:fldCharType="begin"/>
        </w:r>
        <w:r w:rsidR="000C6C6D">
          <w:rPr>
            <w:noProof/>
            <w:webHidden/>
          </w:rPr>
          <w:instrText xml:space="preserve"> PAGEREF _Toc12808824 \h </w:instrText>
        </w:r>
        <w:r w:rsidR="000C6C6D">
          <w:rPr>
            <w:noProof/>
            <w:webHidden/>
          </w:rPr>
        </w:r>
        <w:r w:rsidR="000C6C6D">
          <w:rPr>
            <w:noProof/>
            <w:webHidden/>
          </w:rPr>
          <w:fldChar w:fldCharType="separate"/>
        </w:r>
        <w:r w:rsidR="00F05D99">
          <w:rPr>
            <w:noProof/>
            <w:webHidden/>
          </w:rPr>
          <w:t>41</w:t>
        </w:r>
        <w:r w:rsidR="000C6C6D">
          <w:rPr>
            <w:noProof/>
            <w:webHidden/>
          </w:rPr>
          <w:fldChar w:fldCharType="end"/>
        </w:r>
      </w:hyperlink>
    </w:p>
    <w:p w14:paraId="4477300D" w14:textId="25C56AE3" w:rsidR="000C6C6D" w:rsidRDefault="00F76DB1">
      <w:pPr>
        <w:pStyle w:val="TOC3"/>
        <w:rPr>
          <w:rFonts w:asciiTheme="minorHAnsi" w:eastAsiaTheme="minorEastAsia" w:hAnsiTheme="minorHAnsi" w:cstheme="minorBidi"/>
          <w:noProof/>
          <w:color w:val="auto"/>
          <w:sz w:val="22"/>
          <w:szCs w:val="22"/>
        </w:rPr>
      </w:pPr>
      <w:hyperlink w:anchor="_Toc12808825" w:history="1">
        <w:r w:rsidR="000C6C6D" w:rsidRPr="000C43DB">
          <w:rPr>
            <w:rStyle w:val="Hyperlink"/>
            <w:noProof/>
          </w:rPr>
          <w:t>5.4.12</w:t>
        </w:r>
        <w:r w:rsidR="000C6C6D">
          <w:rPr>
            <w:rFonts w:asciiTheme="minorHAnsi" w:eastAsiaTheme="minorEastAsia" w:hAnsiTheme="minorHAnsi" w:cstheme="minorBidi"/>
            <w:noProof/>
            <w:color w:val="auto"/>
            <w:sz w:val="22"/>
            <w:szCs w:val="22"/>
          </w:rPr>
          <w:tab/>
        </w:r>
        <w:r w:rsidR="000C6C6D" w:rsidRPr="000C43DB">
          <w:rPr>
            <w:rStyle w:val="Hyperlink"/>
            <w:noProof/>
          </w:rPr>
          <w:t>Optimized Structural Dissimilar Metal Weld Overlay for Mitigation of Pressurized</w:t>
        </w:r>
        <w:r w:rsidR="000C6C6D" w:rsidRPr="000C43DB">
          <w:rPr>
            <w:rStyle w:val="Hyperlink"/>
            <w:noProof/>
          </w:rPr>
          <w:noBreakHyphen/>
          <w:t>Water Reactor Class 1 Items</w:t>
        </w:r>
        <w:r w:rsidR="000C6C6D">
          <w:rPr>
            <w:noProof/>
            <w:webHidden/>
          </w:rPr>
          <w:tab/>
        </w:r>
        <w:r w:rsidR="000C6C6D">
          <w:rPr>
            <w:noProof/>
            <w:webHidden/>
          </w:rPr>
          <w:fldChar w:fldCharType="begin"/>
        </w:r>
        <w:r w:rsidR="000C6C6D">
          <w:rPr>
            <w:noProof/>
            <w:webHidden/>
          </w:rPr>
          <w:instrText xml:space="preserve"> PAGEREF _Toc12808825 \h </w:instrText>
        </w:r>
        <w:r w:rsidR="000C6C6D">
          <w:rPr>
            <w:noProof/>
            <w:webHidden/>
          </w:rPr>
        </w:r>
        <w:r w:rsidR="000C6C6D">
          <w:rPr>
            <w:noProof/>
            <w:webHidden/>
          </w:rPr>
          <w:fldChar w:fldCharType="separate"/>
        </w:r>
        <w:r w:rsidR="00F05D99">
          <w:rPr>
            <w:noProof/>
            <w:webHidden/>
          </w:rPr>
          <w:t>41</w:t>
        </w:r>
        <w:r w:rsidR="000C6C6D">
          <w:rPr>
            <w:noProof/>
            <w:webHidden/>
          </w:rPr>
          <w:fldChar w:fldCharType="end"/>
        </w:r>
      </w:hyperlink>
    </w:p>
    <w:p w14:paraId="2B7B4AF3" w14:textId="67DD80FD" w:rsidR="000C6C6D" w:rsidRDefault="00F76DB1">
      <w:pPr>
        <w:pStyle w:val="TOC3"/>
        <w:rPr>
          <w:rFonts w:asciiTheme="minorHAnsi" w:eastAsiaTheme="minorEastAsia" w:hAnsiTheme="minorHAnsi" w:cstheme="minorBidi"/>
          <w:noProof/>
          <w:color w:val="auto"/>
          <w:sz w:val="22"/>
          <w:szCs w:val="22"/>
        </w:rPr>
      </w:pPr>
      <w:hyperlink w:anchor="_Toc12808826" w:history="1">
        <w:r w:rsidR="000C6C6D" w:rsidRPr="000C43DB">
          <w:rPr>
            <w:rStyle w:val="Hyperlink"/>
            <w:noProof/>
          </w:rPr>
          <w:t>5.4.13</w:t>
        </w:r>
        <w:r w:rsidR="000C6C6D">
          <w:rPr>
            <w:rFonts w:asciiTheme="minorHAnsi" w:eastAsiaTheme="minorEastAsia" w:hAnsiTheme="minorHAnsi" w:cstheme="minorBidi"/>
            <w:noProof/>
            <w:color w:val="auto"/>
            <w:sz w:val="22"/>
            <w:szCs w:val="22"/>
          </w:rPr>
          <w:tab/>
        </w:r>
        <w:r w:rsidR="000C6C6D" w:rsidRPr="000C43DB">
          <w:rPr>
            <w:rStyle w:val="Hyperlink"/>
            <w:noProof/>
          </w:rPr>
          <w:t>Nickel Alloy Reactor Coolant Inlay and Onlay for Mitigation of Pressurized</w:t>
        </w:r>
        <w:r w:rsidR="000C6C6D" w:rsidRPr="000C43DB">
          <w:rPr>
            <w:rStyle w:val="Hyperlink"/>
            <w:noProof/>
          </w:rPr>
          <w:noBreakHyphen/>
          <w:t>Water Reactor Full</w:t>
        </w:r>
        <w:r w:rsidR="000C6C6D" w:rsidRPr="000C43DB">
          <w:rPr>
            <w:rStyle w:val="Hyperlink"/>
            <w:noProof/>
          </w:rPr>
          <w:noBreakHyphen/>
          <w:t>Penetration Circumferential Nickel Alloy Dissimilar Metal Welds in Class 1 Items</w:t>
        </w:r>
        <w:r w:rsidR="000C6C6D">
          <w:rPr>
            <w:noProof/>
            <w:webHidden/>
          </w:rPr>
          <w:tab/>
        </w:r>
        <w:r w:rsidR="000C6C6D">
          <w:rPr>
            <w:noProof/>
            <w:webHidden/>
          </w:rPr>
          <w:fldChar w:fldCharType="begin"/>
        </w:r>
        <w:r w:rsidR="000C6C6D">
          <w:rPr>
            <w:noProof/>
            <w:webHidden/>
          </w:rPr>
          <w:instrText xml:space="preserve"> PAGEREF _Toc12808826 \h </w:instrText>
        </w:r>
        <w:r w:rsidR="000C6C6D">
          <w:rPr>
            <w:noProof/>
            <w:webHidden/>
          </w:rPr>
        </w:r>
        <w:r w:rsidR="000C6C6D">
          <w:rPr>
            <w:noProof/>
            <w:webHidden/>
          </w:rPr>
          <w:fldChar w:fldCharType="separate"/>
        </w:r>
        <w:r w:rsidR="00F05D99">
          <w:rPr>
            <w:noProof/>
            <w:webHidden/>
          </w:rPr>
          <w:t>41</w:t>
        </w:r>
        <w:r w:rsidR="000C6C6D">
          <w:rPr>
            <w:noProof/>
            <w:webHidden/>
          </w:rPr>
          <w:fldChar w:fldCharType="end"/>
        </w:r>
      </w:hyperlink>
    </w:p>
    <w:p w14:paraId="33F71928" w14:textId="1BB37A61" w:rsidR="000C6C6D" w:rsidRDefault="00F76DB1">
      <w:pPr>
        <w:pStyle w:val="TOC3"/>
        <w:rPr>
          <w:rFonts w:asciiTheme="minorHAnsi" w:eastAsiaTheme="minorEastAsia" w:hAnsiTheme="minorHAnsi" w:cstheme="minorBidi"/>
          <w:noProof/>
          <w:color w:val="auto"/>
          <w:sz w:val="22"/>
          <w:szCs w:val="22"/>
        </w:rPr>
      </w:pPr>
      <w:hyperlink w:anchor="_Toc12808827" w:history="1">
        <w:r w:rsidR="000C6C6D" w:rsidRPr="000C43DB">
          <w:rPr>
            <w:rStyle w:val="Hyperlink"/>
            <w:noProof/>
          </w:rPr>
          <w:t>5.4.14</w:t>
        </w:r>
        <w:r w:rsidR="000C6C6D">
          <w:rPr>
            <w:rFonts w:asciiTheme="minorHAnsi" w:eastAsiaTheme="minorEastAsia" w:hAnsiTheme="minorHAnsi" w:cstheme="minorBidi"/>
            <w:noProof/>
            <w:color w:val="auto"/>
            <w:sz w:val="22"/>
            <w:szCs w:val="22"/>
          </w:rPr>
          <w:tab/>
        </w:r>
        <w:r w:rsidR="000C6C6D" w:rsidRPr="000C43DB">
          <w:rPr>
            <w:rStyle w:val="Hyperlink"/>
            <w:noProof/>
          </w:rPr>
          <w:t>Ultrasonic Examination of Cast Austenitic Piping Welds from the Outside Surface, Section XI, Division 1</w:t>
        </w:r>
        <w:r w:rsidR="000C6C6D">
          <w:rPr>
            <w:noProof/>
            <w:webHidden/>
          </w:rPr>
          <w:tab/>
        </w:r>
        <w:r w:rsidR="000C6C6D">
          <w:rPr>
            <w:noProof/>
            <w:webHidden/>
          </w:rPr>
          <w:fldChar w:fldCharType="begin"/>
        </w:r>
        <w:r w:rsidR="000C6C6D">
          <w:rPr>
            <w:noProof/>
            <w:webHidden/>
          </w:rPr>
          <w:instrText xml:space="preserve"> PAGEREF _Toc12808827 \h </w:instrText>
        </w:r>
        <w:r w:rsidR="000C6C6D">
          <w:rPr>
            <w:noProof/>
            <w:webHidden/>
          </w:rPr>
        </w:r>
        <w:r w:rsidR="000C6C6D">
          <w:rPr>
            <w:noProof/>
            <w:webHidden/>
          </w:rPr>
          <w:fldChar w:fldCharType="separate"/>
        </w:r>
        <w:r w:rsidR="00F05D99">
          <w:rPr>
            <w:noProof/>
            <w:webHidden/>
          </w:rPr>
          <w:t>42</w:t>
        </w:r>
        <w:r w:rsidR="000C6C6D">
          <w:rPr>
            <w:noProof/>
            <w:webHidden/>
          </w:rPr>
          <w:fldChar w:fldCharType="end"/>
        </w:r>
      </w:hyperlink>
    </w:p>
    <w:p w14:paraId="298CD4F2" w14:textId="47E31DC7" w:rsidR="000C6C6D" w:rsidRDefault="00F76DB1">
      <w:pPr>
        <w:pStyle w:val="TOC3"/>
        <w:rPr>
          <w:rFonts w:asciiTheme="minorHAnsi" w:eastAsiaTheme="minorEastAsia" w:hAnsiTheme="minorHAnsi" w:cstheme="minorBidi"/>
          <w:noProof/>
          <w:color w:val="auto"/>
          <w:sz w:val="22"/>
          <w:szCs w:val="22"/>
        </w:rPr>
      </w:pPr>
      <w:hyperlink w:anchor="_Toc12808828" w:history="1">
        <w:r w:rsidR="000C6C6D" w:rsidRPr="000C43DB">
          <w:rPr>
            <w:rStyle w:val="Hyperlink"/>
            <w:noProof/>
          </w:rPr>
          <w:t>5.4.15</w:t>
        </w:r>
        <w:r w:rsidR="000C6C6D">
          <w:rPr>
            <w:rFonts w:asciiTheme="minorHAnsi" w:eastAsiaTheme="minorEastAsia" w:hAnsiTheme="minorHAnsi" w:cstheme="minorBidi"/>
            <w:noProof/>
            <w:color w:val="auto"/>
            <w:sz w:val="22"/>
            <w:szCs w:val="22"/>
          </w:rPr>
          <w:tab/>
        </w:r>
        <w:r w:rsidR="000C6C6D" w:rsidRPr="000C43DB">
          <w:rPr>
            <w:rStyle w:val="Hyperlink"/>
            <w:noProof/>
          </w:rPr>
          <w:t>Austenitic Stainless Steel Cladding and Nickel</w:t>
        </w:r>
        <w:r w:rsidR="000C6C6D" w:rsidRPr="000C43DB">
          <w:rPr>
            <w:rStyle w:val="Hyperlink"/>
            <w:noProof/>
          </w:rPr>
          <w:noBreakHyphen/>
          <w:t>Base Cladding Using an Ambient Temperature Machine Gas Tungsten Arc Welding Temper Bead Technique</w:t>
        </w:r>
        <w:r w:rsidR="000C6C6D">
          <w:rPr>
            <w:noProof/>
            <w:webHidden/>
          </w:rPr>
          <w:tab/>
        </w:r>
        <w:r w:rsidR="000C6C6D">
          <w:rPr>
            <w:noProof/>
            <w:webHidden/>
          </w:rPr>
          <w:fldChar w:fldCharType="begin"/>
        </w:r>
        <w:r w:rsidR="000C6C6D">
          <w:rPr>
            <w:noProof/>
            <w:webHidden/>
          </w:rPr>
          <w:instrText xml:space="preserve"> PAGEREF _Toc12808828 \h </w:instrText>
        </w:r>
        <w:r w:rsidR="000C6C6D">
          <w:rPr>
            <w:noProof/>
            <w:webHidden/>
          </w:rPr>
        </w:r>
        <w:r w:rsidR="000C6C6D">
          <w:rPr>
            <w:noProof/>
            <w:webHidden/>
          </w:rPr>
          <w:fldChar w:fldCharType="separate"/>
        </w:r>
        <w:r w:rsidR="00F05D99">
          <w:rPr>
            <w:noProof/>
            <w:webHidden/>
          </w:rPr>
          <w:t>42</w:t>
        </w:r>
        <w:r w:rsidR="000C6C6D">
          <w:rPr>
            <w:noProof/>
            <w:webHidden/>
          </w:rPr>
          <w:fldChar w:fldCharType="end"/>
        </w:r>
      </w:hyperlink>
    </w:p>
    <w:p w14:paraId="1AD21159" w14:textId="12283042" w:rsidR="000C6C6D" w:rsidRDefault="00F76DB1">
      <w:pPr>
        <w:pStyle w:val="TOC3"/>
        <w:rPr>
          <w:rFonts w:asciiTheme="minorHAnsi" w:eastAsiaTheme="minorEastAsia" w:hAnsiTheme="minorHAnsi" w:cstheme="minorBidi"/>
          <w:noProof/>
          <w:color w:val="auto"/>
          <w:sz w:val="22"/>
          <w:szCs w:val="22"/>
        </w:rPr>
      </w:pPr>
      <w:hyperlink w:anchor="_Toc12808829" w:history="1">
        <w:r w:rsidR="000C6C6D" w:rsidRPr="000C43DB">
          <w:rPr>
            <w:rStyle w:val="Hyperlink"/>
            <w:noProof/>
          </w:rPr>
          <w:t>5.4.16</w:t>
        </w:r>
        <w:r w:rsidR="000C6C6D">
          <w:rPr>
            <w:rFonts w:asciiTheme="minorHAnsi" w:eastAsiaTheme="minorEastAsia" w:hAnsiTheme="minorHAnsi" w:cstheme="minorBidi"/>
            <w:noProof/>
            <w:color w:val="auto"/>
            <w:sz w:val="22"/>
            <w:szCs w:val="22"/>
          </w:rPr>
          <w:tab/>
        </w:r>
        <w:r w:rsidR="000C6C6D" w:rsidRPr="000C43DB">
          <w:rPr>
            <w:rStyle w:val="Hyperlink"/>
            <w:noProof/>
          </w:rPr>
          <w:t>Direct Use of the Master Fracture Toughness Curve for Pressure-Retaining Materials of Class 1 Vessels</w:t>
        </w:r>
        <w:r w:rsidR="000C6C6D">
          <w:rPr>
            <w:noProof/>
            <w:webHidden/>
          </w:rPr>
          <w:tab/>
        </w:r>
        <w:r w:rsidR="000C6C6D">
          <w:rPr>
            <w:noProof/>
            <w:webHidden/>
          </w:rPr>
          <w:fldChar w:fldCharType="begin"/>
        </w:r>
        <w:r w:rsidR="000C6C6D">
          <w:rPr>
            <w:noProof/>
            <w:webHidden/>
          </w:rPr>
          <w:instrText xml:space="preserve"> PAGEREF _Toc12808829 \h </w:instrText>
        </w:r>
        <w:r w:rsidR="000C6C6D">
          <w:rPr>
            <w:noProof/>
            <w:webHidden/>
          </w:rPr>
        </w:r>
        <w:r w:rsidR="000C6C6D">
          <w:rPr>
            <w:noProof/>
            <w:webHidden/>
          </w:rPr>
          <w:fldChar w:fldCharType="separate"/>
        </w:r>
        <w:r w:rsidR="00F05D99">
          <w:rPr>
            <w:noProof/>
            <w:webHidden/>
          </w:rPr>
          <w:t>42</w:t>
        </w:r>
        <w:r w:rsidR="000C6C6D">
          <w:rPr>
            <w:noProof/>
            <w:webHidden/>
          </w:rPr>
          <w:fldChar w:fldCharType="end"/>
        </w:r>
      </w:hyperlink>
    </w:p>
    <w:p w14:paraId="07F0371C" w14:textId="08508F1C" w:rsidR="000C6C6D" w:rsidRDefault="00F76DB1">
      <w:pPr>
        <w:pStyle w:val="TOC3"/>
        <w:rPr>
          <w:rFonts w:asciiTheme="minorHAnsi" w:eastAsiaTheme="minorEastAsia" w:hAnsiTheme="minorHAnsi" w:cstheme="minorBidi"/>
          <w:noProof/>
          <w:color w:val="auto"/>
          <w:sz w:val="22"/>
          <w:szCs w:val="22"/>
        </w:rPr>
      </w:pPr>
      <w:hyperlink w:anchor="_Toc12808830" w:history="1">
        <w:r w:rsidR="000C6C6D" w:rsidRPr="000C43DB">
          <w:rPr>
            <w:rStyle w:val="Hyperlink"/>
            <w:noProof/>
          </w:rPr>
          <w:t>5.4.17</w:t>
        </w:r>
        <w:r w:rsidR="000C6C6D">
          <w:rPr>
            <w:rFonts w:asciiTheme="minorHAnsi" w:eastAsiaTheme="minorEastAsia" w:hAnsiTheme="minorHAnsi" w:cstheme="minorBidi"/>
            <w:noProof/>
            <w:color w:val="auto"/>
            <w:sz w:val="22"/>
            <w:szCs w:val="22"/>
          </w:rPr>
          <w:tab/>
        </w:r>
        <w:r w:rsidR="000C6C6D" w:rsidRPr="000C43DB">
          <w:rPr>
            <w:rStyle w:val="Hyperlink"/>
            <w:noProof/>
          </w:rPr>
          <w:t>Ultrasonic Examination in Lieu of Radiography for Welds in Ferritic Pipe</w:t>
        </w:r>
        <w:r w:rsidR="000C6C6D">
          <w:rPr>
            <w:noProof/>
            <w:webHidden/>
          </w:rPr>
          <w:tab/>
        </w:r>
        <w:r w:rsidR="000C6C6D">
          <w:rPr>
            <w:noProof/>
            <w:webHidden/>
          </w:rPr>
          <w:fldChar w:fldCharType="begin"/>
        </w:r>
        <w:r w:rsidR="000C6C6D">
          <w:rPr>
            <w:noProof/>
            <w:webHidden/>
          </w:rPr>
          <w:instrText xml:space="preserve"> PAGEREF _Toc12808830 \h </w:instrText>
        </w:r>
        <w:r w:rsidR="000C6C6D">
          <w:rPr>
            <w:noProof/>
            <w:webHidden/>
          </w:rPr>
        </w:r>
        <w:r w:rsidR="000C6C6D">
          <w:rPr>
            <w:noProof/>
            <w:webHidden/>
          </w:rPr>
          <w:fldChar w:fldCharType="separate"/>
        </w:r>
        <w:r w:rsidR="00F05D99">
          <w:rPr>
            <w:noProof/>
            <w:webHidden/>
          </w:rPr>
          <w:t>42</w:t>
        </w:r>
        <w:r w:rsidR="000C6C6D">
          <w:rPr>
            <w:noProof/>
            <w:webHidden/>
          </w:rPr>
          <w:fldChar w:fldCharType="end"/>
        </w:r>
      </w:hyperlink>
    </w:p>
    <w:p w14:paraId="257EF45B" w14:textId="271C8752" w:rsidR="000C6C6D" w:rsidRDefault="00F76DB1">
      <w:pPr>
        <w:pStyle w:val="TOC3"/>
        <w:rPr>
          <w:rFonts w:asciiTheme="minorHAnsi" w:eastAsiaTheme="minorEastAsia" w:hAnsiTheme="minorHAnsi" w:cstheme="minorBidi"/>
          <w:noProof/>
          <w:color w:val="auto"/>
          <w:sz w:val="22"/>
          <w:szCs w:val="22"/>
        </w:rPr>
      </w:pPr>
      <w:hyperlink w:anchor="_Toc12808831" w:history="1">
        <w:r w:rsidR="000C6C6D" w:rsidRPr="000C43DB">
          <w:rPr>
            <w:rStyle w:val="Hyperlink"/>
            <w:noProof/>
          </w:rPr>
          <w:t>5.4.18</w:t>
        </w:r>
        <w:r w:rsidR="000C6C6D">
          <w:rPr>
            <w:rFonts w:asciiTheme="minorHAnsi" w:eastAsiaTheme="minorEastAsia" w:hAnsiTheme="minorHAnsi" w:cstheme="minorBidi"/>
            <w:noProof/>
            <w:color w:val="auto"/>
            <w:sz w:val="22"/>
            <w:szCs w:val="22"/>
          </w:rPr>
          <w:tab/>
        </w:r>
        <w:r w:rsidR="000C6C6D" w:rsidRPr="000C43DB">
          <w:rPr>
            <w:rStyle w:val="Hyperlink"/>
            <w:noProof/>
          </w:rPr>
          <w:t>Flaw Tolerance Evaluation of Cast Austenitic Stainless Steel Piping, Section XI, Division 1</w:t>
        </w:r>
        <w:r w:rsidR="000C6C6D">
          <w:rPr>
            <w:noProof/>
            <w:webHidden/>
          </w:rPr>
          <w:tab/>
        </w:r>
        <w:r w:rsidR="000C6C6D">
          <w:rPr>
            <w:noProof/>
            <w:webHidden/>
          </w:rPr>
          <w:fldChar w:fldCharType="begin"/>
        </w:r>
        <w:r w:rsidR="000C6C6D">
          <w:rPr>
            <w:noProof/>
            <w:webHidden/>
          </w:rPr>
          <w:instrText xml:space="preserve"> PAGEREF _Toc12808831 \h </w:instrText>
        </w:r>
        <w:r w:rsidR="000C6C6D">
          <w:rPr>
            <w:noProof/>
            <w:webHidden/>
          </w:rPr>
        </w:r>
        <w:r w:rsidR="000C6C6D">
          <w:rPr>
            <w:noProof/>
            <w:webHidden/>
          </w:rPr>
          <w:fldChar w:fldCharType="separate"/>
        </w:r>
        <w:r w:rsidR="00F05D99">
          <w:rPr>
            <w:noProof/>
            <w:webHidden/>
          </w:rPr>
          <w:t>42</w:t>
        </w:r>
        <w:r w:rsidR="000C6C6D">
          <w:rPr>
            <w:noProof/>
            <w:webHidden/>
          </w:rPr>
          <w:fldChar w:fldCharType="end"/>
        </w:r>
      </w:hyperlink>
    </w:p>
    <w:p w14:paraId="12710FF8" w14:textId="27EF1D2F" w:rsidR="000C6C6D" w:rsidRDefault="00F76DB1">
      <w:pPr>
        <w:pStyle w:val="TOC3"/>
        <w:rPr>
          <w:rFonts w:asciiTheme="minorHAnsi" w:eastAsiaTheme="minorEastAsia" w:hAnsiTheme="minorHAnsi" w:cstheme="minorBidi"/>
          <w:noProof/>
          <w:color w:val="auto"/>
          <w:sz w:val="22"/>
          <w:szCs w:val="22"/>
        </w:rPr>
      </w:pPr>
      <w:hyperlink w:anchor="_Toc12808832" w:history="1">
        <w:r w:rsidR="000C6C6D" w:rsidRPr="000C43DB">
          <w:rPr>
            <w:rStyle w:val="Hyperlink"/>
            <w:noProof/>
          </w:rPr>
          <w:t>5.4.19</w:t>
        </w:r>
        <w:r w:rsidR="000C6C6D">
          <w:rPr>
            <w:rFonts w:asciiTheme="minorHAnsi" w:eastAsiaTheme="minorEastAsia" w:hAnsiTheme="minorHAnsi" w:cstheme="minorBidi"/>
            <w:noProof/>
            <w:color w:val="auto"/>
            <w:sz w:val="22"/>
            <w:szCs w:val="22"/>
          </w:rPr>
          <w:tab/>
        </w:r>
        <w:r w:rsidR="000C6C6D" w:rsidRPr="000C43DB">
          <w:rPr>
            <w:rStyle w:val="Hyperlink"/>
            <w:noProof/>
          </w:rPr>
          <w:t>Alternative Pressure Testing Requirements Following Repairs or Replacements for Class 1 Piping between the First and Second Inspection of Isolation Valves, Section XI, Division 1</w:t>
        </w:r>
        <w:r w:rsidR="000C6C6D">
          <w:rPr>
            <w:noProof/>
            <w:webHidden/>
          </w:rPr>
          <w:tab/>
        </w:r>
        <w:r w:rsidR="000C6C6D">
          <w:rPr>
            <w:noProof/>
            <w:webHidden/>
          </w:rPr>
          <w:fldChar w:fldCharType="begin"/>
        </w:r>
        <w:r w:rsidR="000C6C6D">
          <w:rPr>
            <w:noProof/>
            <w:webHidden/>
          </w:rPr>
          <w:instrText xml:space="preserve"> PAGEREF _Toc12808832 \h </w:instrText>
        </w:r>
        <w:r w:rsidR="000C6C6D">
          <w:rPr>
            <w:noProof/>
            <w:webHidden/>
          </w:rPr>
        </w:r>
        <w:r w:rsidR="000C6C6D">
          <w:rPr>
            <w:noProof/>
            <w:webHidden/>
          </w:rPr>
          <w:fldChar w:fldCharType="separate"/>
        </w:r>
        <w:r w:rsidR="00F05D99">
          <w:rPr>
            <w:noProof/>
            <w:webHidden/>
          </w:rPr>
          <w:t>43</w:t>
        </w:r>
        <w:r w:rsidR="000C6C6D">
          <w:rPr>
            <w:noProof/>
            <w:webHidden/>
          </w:rPr>
          <w:fldChar w:fldCharType="end"/>
        </w:r>
      </w:hyperlink>
    </w:p>
    <w:p w14:paraId="167E4675" w14:textId="6B96799C" w:rsidR="000C6C6D" w:rsidRDefault="00F76DB1">
      <w:pPr>
        <w:pStyle w:val="TOC3"/>
        <w:rPr>
          <w:rFonts w:asciiTheme="minorHAnsi" w:eastAsiaTheme="minorEastAsia" w:hAnsiTheme="minorHAnsi" w:cstheme="minorBidi"/>
          <w:noProof/>
          <w:color w:val="auto"/>
          <w:sz w:val="22"/>
          <w:szCs w:val="22"/>
        </w:rPr>
      </w:pPr>
      <w:hyperlink w:anchor="_Toc12808833" w:history="1">
        <w:r w:rsidR="000C6C6D" w:rsidRPr="000C43DB">
          <w:rPr>
            <w:rStyle w:val="Hyperlink"/>
            <w:noProof/>
          </w:rPr>
          <w:t>5.4.20</w:t>
        </w:r>
        <w:r w:rsidR="000C6C6D">
          <w:rPr>
            <w:rFonts w:asciiTheme="minorHAnsi" w:eastAsiaTheme="minorEastAsia" w:hAnsiTheme="minorHAnsi" w:cstheme="minorBidi"/>
            <w:noProof/>
            <w:color w:val="auto"/>
            <w:sz w:val="22"/>
            <w:szCs w:val="22"/>
          </w:rPr>
          <w:tab/>
        </w:r>
        <w:r w:rsidR="000C6C6D" w:rsidRPr="000C43DB">
          <w:rPr>
            <w:rStyle w:val="Hyperlink"/>
            <w:noProof/>
          </w:rPr>
          <w:t>In Situ Visual Testing 3 Examination of Removable Core Support Structures without Removal</w:t>
        </w:r>
        <w:r w:rsidR="000C6C6D">
          <w:rPr>
            <w:noProof/>
            <w:webHidden/>
          </w:rPr>
          <w:tab/>
        </w:r>
        <w:r w:rsidR="000C6C6D">
          <w:rPr>
            <w:noProof/>
            <w:webHidden/>
          </w:rPr>
          <w:fldChar w:fldCharType="begin"/>
        </w:r>
        <w:r w:rsidR="000C6C6D">
          <w:rPr>
            <w:noProof/>
            <w:webHidden/>
          </w:rPr>
          <w:instrText xml:space="preserve"> PAGEREF _Toc12808833 \h </w:instrText>
        </w:r>
        <w:r w:rsidR="000C6C6D">
          <w:rPr>
            <w:noProof/>
            <w:webHidden/>
          </w:rPr>
        </w:r>
        <w:r w:rsidR="000C6C6D">
          <w:rPr>
            <w:noProof/>
            <w:webHidden/>
          </w:rPr>
          <w:fldChar w:fldCharType="separate"/>
        </w:r>
        <w:r w:rsidR="00F05D99">
          <w:rPr>
            <w:noProof/>
            <w:webHidden/>
          </w:rPr>
          <w:t>43</w:t>
        </w:r>
        <w:r w:rsidR="000C6C6D">
          <w:rPr>
            <w:noProof/>
            <w:webHidden/>
          </w:rPr>
          <w:fldChar w:fldCharType="end"/>
        </w:r>
      </w:hyperlink>
    </w:p>
    <w:p w14:paraId="0561B42C" w14:textId="30EC347E" w:rsidR="000C6C6D" w:rsidRDefault="00F76DB1">
      <w:pPr>
        <w:pStyle w:val="TOC3"/>
        <w:rPr>
          <w:rFonts w:asciiTheme="minorHAnsi" w:eastAsiaTheme="minorEastAsia" w:hAnsiTheme="minorHAnsi" w:cstheme="minorBidi"/>
          <w:noProof/>
          <w:color w:val="auto"/>
          <w:sz w:val="22"/>
          <w:szCs w:val="22"/>
        </w:rPr>
      </w:pPr>
      <w:hyperlink w:anchor="_Toc12808834" w:history="1">
        <w:r w:rsidR="000C6C6D" w:rsidRPr="000C43DB">
          <w:rPr>
            <w:rStyle w:val="Hyperlink"/>
            <w:noProof/>
          </w:rPr>
          <w:t>5.4.21</w:t>
        </w:r>
        <w:r w:rsidR="000C6C6D">
          <w:rPr>
            <w:rFonts w:asciiTheme="minorHAnsi" w:eastAsiaTheme="minorEastAsia" w:hAnsiTheme="minorHAnsi" w:cstheme="minorBidi"/>
            <w:noProof/>
            <w:color w:val="auto"/>
            <w:sz w:val="22"/>
            <w:szCs w:val="22"/>
          </w:rPr>
          <w:tab/>
        </w:r>
        <w:r w:rsidR="000C6C6D" w:rsidRPr="000C43DB">
          <w:rPr>
            <w:rStyle w:val="Hyperlink"/>
            <w:noProof/>
          </w:rPr>
          <w:t>Performance-Based Requirements for Extending the Snubber Inservice Visual Examination Interval at Light-Water Reactor Power Plants</w:t>
        </w:r>
        <w:r w:rsidR="000C6C6D">
          <w:rPr>
            <w:noProof/>
            <w:webHidden/>
          </w:rPr>
          <w:tab/>
        </w:r>
        <w:r w:rsidR="000C6C6D">
          <w:rPr>
            <w:noProof/>
            <w:webHidden/>
          </w:rPr>
          <w:fldChar w:fldCharType="begin"/>
        </w:r>
        <w:r w:rsidR="000C6C6D">
          <w:rPr>
            <w:noProof/>
            <w:webHidden/>
          </w:rPr>
          <w:instrText xml:space="preserve"> PAGEREF _Toc12808834 \h </w:instrText>
        </w:r>
        <w:r w:rsidR="000C6C6D">
          <w:rPr>
            <w:noProof/>
            <w:webHidden/>
          </w:rPr>
        </w:r>
        <w:r w:rsidR="000C6C6D">
          <w:rPr>
            <w:noProof/>
            <w:webHidden/>
          </w:rPr>
          <w:fldChar w:fldCharType="separate"/>
        </w:r>
        <w:r w:rsidR="00F05D99">
          <w:rPr>
            <w:noProof/>
            <w:webHidden/>
          </w:rPr>
          <w:t>43</w:t>
        </w:r>
        <w:r w:rsidR="000C6C6D">
          <w:rPr>
            <w:noProof/>
            <w:webHidden/>
          </w:rPr>
          <w:fldChar w:fldCharType="end"/>
        </w:r>
      </w:hyperlink>
    </w:p>
    <w:p w14:paraId="1049C245" w14:textId="3F832708" w:rsidR="000C6C6D" w:rsidRDefault="00F76DB1">
      <w:pPr>
        <w:pStyle w:val="TOC3"/>
        <w:rPr>
          <w:rFonts w:asciiTheme="minorHAnsi" w:eastAsiaTheme="minorEastAsia" w:hAnsiTheme="minorHAnsi" w:cstheme="minorBidi"/>
          <w:noProof/>
          <w:color w:val="auto"/>
          <w:sz w:val="22"/>
          <w:szCs w:val="22"/>
        </w:rPr>
      </w:pPr>
      <w:hyperlink w:anchor="_Toc12808835" w:history="1">
        <w:r w:rsidR="000C6C6D" w:rsidRPr="000C43DB">
          <w:rPr>
            <w:rStyle w:val="Hyperlink"/>
            <w:noProof/>
          </w:rPr>
          <w:t>5.4.22</w:t>
        </w:r>
        <w:r w:rsidR="000C6C6D">
          <w:rPr>
            <w:rFonts w:asciiTheme="minorHAnsi" w:eastAsiaTheme="minorEastAsia" w:hAnsiTheme="minorHAnsi" w:cstheme="minorBidi"/>
            <w:noProof/>
            <w:color w:val="auto"/>
            <w:sz w:val="22"/>
            <w:szCs w:val="22"/>
          </w:rPr>
          <w:tab/>
        </w:r>
        <w:r w:rsidR="000C6C6D" w:rsidRPr="000C43DB">
          <w:rPr>
            <w:rStyle w:val="Hyperlink"/>
            <w:noProof/>
          </w:rPr>
          <w:t>Inservice Test Frequency</w:t>
        </w:r>
        <w:r w:rsidR="000C6C6D">
          <w:rPr>
            <w:noProof/>
            <w:webHidden/>
          </w:rPr>
          <w:tab/>
        </w:r>
        <w:r w:rsidR="000C6C6D">
          <w:rPr>
            <w:noProof/>
            <w:webHidden/>
          </w:rPr>
          <w:fldChar w:fldCharType="begin"/>
        </w:r>
        <w:r w:rsidR="000C6C6D">
          <w:rPr>
            <w:noProof/>
            <w:webHidden/>
          </w:rPr>
          <w:instrText xml:space="preserve"> PAGEREF _Toc12808835 \h </w:instrText>
        </w:r>
        <w:r w:rsidR="000C6C6D">
          <w:rPr>
            <w:noProof/>
            <w:webHidden/>
          </w:rPr>
        </w:r>
        <w:r w:rsidR="000C6C6D">
          <w:rPr>
            <w:noProof/>
            <w:webHidden/>
          </w:rPr>
          <w:fldChar w:fldCharType="separate"/>
        </w:r>
        <w:r w:rsidR="00F05D99">
          <w:rPr>
            <w:noProof/>
            <w:webHidden/>
          </w:rPr>
          <w:t>43</w:t>
        </w:r>
        <w:r w:rsidR="000C6C6D">
          <w:rPr>
            <w:noProof/>
            <w:webHidden/>
          </w:rPr>
          <w:fldChar w:fldCharType="end"/>
        </w:r>
      </w:hyperlink>
    </w:p>
    <w:p w14:paraId="78AE9313" w14:textId="4FADED9C" w:rsidR="000C6C6D" w:rsidRDefault="00F76DB1">
      <w:pPr>
        <w:pStyle w:val="TOC2"/>
        <w:rPr>
          <w:rFonts w:asciiTheme="minorHAnsi" w:eastAsiaTheme="minorEastAsia" w:hAnsiTheme="minorHAnsi" w:cstheme="minorBidi"/>
          <w:noProof/>
          <w:color w:val="auto"/>
          <w:sz w:val="22"/>
          <w:szCs w:val="22"/>
        </w:rPr>
      </w:pPr>
      <w:hyperlink w:anchor="_Toc12808836" w:history="1">
        <w:r w:rsidR="000C6C6D" w:rsidRPr="000C43DB">
          <w:rPr>
            <w:rStyle w:val="Hyperlink"/>
            <w:noProof/>
          </w:rPr>
          <w:t>5.5</w:t>
        </w:r>
        <w:r w:rsidR="000C6C6D">
          <w:rPr>
            <w:rFonts w:asciiTheme="minorHAnsi" w:eastAsiaTheme="minorEastAsia" w:hAnsiTheme="minorHAnsi" w:cstheme="minorBidi"/>
            <w:noProof/>
            <w:color w:val="auto"/>
            <w:sz w:val="22"/>
            <w:szCs w:val="22"/>
          </w:rPr>
          <w:tab/>
        </w:r>
        <w:r w:rsidR="000C6C6D" w:rsidRPr="000C43DB">
          <w:rPr>
            <w:rStyle w:val="Hyperlink"/>
            <w:noProof/>
          </w:rPr>
          <w:t>Total Industry Costs</w:t>
        </w:r>
        <w:r w:rsidR="000C6C6D">
          <w:rPr>
            <w:noProof/>
            <w:webHidden/>
          </w:rPr>
          <w:tab/>
        </w:r>
        <w:r w:rsidR="000C6C6D">
          <w:rPr>
            <w:noProof/>
            <w:webHidden/>
          </w:rPr>
          <w:fldChar w:fldCharType="begin"/>
        </w:r>
        <w:r w:rsidR="000C6C6D">
          <w:rPr>
            <w:noProof/>
            <w:webHidden/>
          </w:rPr>
          <w:instrText xml:space="preserve"> PAGEREF _Toc12808836 \h </w:instrText>
        </w:r>
        <w:r w:rsidR="000C6C6D">
          <w:rPr>
            <w:noProof/>
            <w:webHidden/>
          </w:rPr>
        </w:r>
        <w:r w:rsidR="000C6C6D">
          <w:rPr>
            <w:noProof/>
            <w:webHidden/>
          </w:rPr>
          <w:fldChar w:fldCharType="separate"/>
        </w:r>
        <w:r w:rsidR="00F05D99">
          <w:rPr>
            <w:noProof/>
            <w:webHidden/>
          </w:rPr>
          <w:t>43</w:t>
        </w:r>
        <w:r w:rsidR="000C6C6D">
          <w:rPr>
            <w:noProof/>
            <w:webHidden/>
          </w:rPr>
          <w:fldChar w:fldCharType="end"/>
        </w:r>
      </w:hyperlink>
    </w:p>
    <w:p w14:paraId="5C4D4114" w14:textId="2405C7E6" w:rsidR="000C6C6D" w:rsidRDefault="00F76DB1">
      <w:pPr>
        <w:pStyle w:val="TOC2"/>
        <w:rPr>
          <w:rFonts w:asciiTheme="minorHAnsi" w:eastAsiaTheme="minorEastAsia" w:hAnsiTheme="minorHAnsi" w:cstheme="minorBidi"/>
          <w:noProof/>
          <w:color w:val="auto"/>
          <w:sz w:val="22"/>
          <w:szCs w:val="22"/>
        </w:rPr>
      </w:pPr>
      <w:hyperlink w:anchor="_Toc12808837" w:history="1">
        <w:r w:rsidR="000C6C6D" w:rsidRPr="000C43DB">
          <w:rPr>
            <w:rStyle w:val="Hyperlink"/>
            <w:noProof/>
          </w:rPr>
          <w:t>5.6</w:t>
        </w:r>
        <w:r w:rsidR="000C6C6D">
          <w:rPr>
            <w:rFonts w:asciiTheme="minorHAnsi" w:eastAsiaTheme="minorEastAsia" w:hAnsiTheme="minorHAnsi" w:cstheme="minorBidi"/>
            <w:noProof/>
            <w:color w:val="auto"/>
            <w:sz w:val="22"/>
            <w:szCs w:val="22"/>
          </w:rPr>
          <w:tab/>
        </w:r>
        <w:r w:rsidR="000C6C6D" w:rsidRPr="000C43DB">
          <w:rPr>
            <w:rStyle w:val="Hyperlink"/>
            <w:noProof/>
          </w:rPr>
          <w:t>NRC Implementation</w:t>
        </w:r>
        <w:r w:rsidR="000C6C6D">
          <w:rPr>
            <w:noProof/>
            <w:webHidden/>
          </w:rPr>
          <w:tab/>
        </w:r>
        <w:r w:rsidR="000C6C6D">
          <w:rPr>
            <w:noProof/>
            <w:webHidden/>
          </w:rPr>
          <w:fldChar w:fldCharType="begin"/>
        </w:r>
        <w:r w:rsidR="000C6C6D">
          <w:rPr>
            <w:noProof/>
            <w:webHidden/>
          </w:rPr>
          <w:instrText xml:space="preserve"> PAGEREF _Toc12808837 \h </w:instrText>
        </w:r>
        <w:r w:rsidR="000C6C6D">
          <w:rPr>
            <w:noProof/>
            <w:webHidden/>
          </w:rPr>
        </w:r>
        <w:r w:rsidR="000C6C6D">
          <w:rPr>
            <w:noProof/>
            <w:webHidden/>
          </w:rPr>
          <w:fldChar w:fldCharType="separate"/>
        </w:r>
        <w:r w:rsidR="00F05D99">
          <w:rPr>
            <w:noProof/>
            <w:webHidden/>
          </w:rPr>
          <w:t>44</w:t>
        </w:r>
        <w:r w:rsidR="000C6C6D">
          <w:rPr>
            <w:noProof/>
            <w:webHidden/>
          </w:rPr>
          <w:fldChar w:fldCharType="end"/>
        </w:r>
      </w:hyperlink>
    </w:p>
    <w:p w14:paraId="1AC67BCD" w14:textId="053FB1F5" w:rsidR="000C6C6D" w:rsidRDefault="00F76DB1">
      <w:pPr>
        <w:pStyle w:val="TOC3"/>
        <w:rPr>
          <w:rFonts w:asciiTheme="minorHAnsi" w:eastAsiaTheme="minorEastAsia" w:hAnsiTheme="minorHAnsi" w:cstheme="minorBidi"/>
          <w:noProof/>
          <w:color w:val="auto"/>
          <w:sz w:val="22"/>
          <w:szCs w:val="22"/>
        </w:rPr>
      </w:pPr>
      <w:hyperlink w:anchor="_Toc12808838" w:history="1">
        <w:r w:rsidR="000C6C6D" w:rsidRPr="000C43DB">
          <w:rPr>
            <w:rStyle w:val="Hyperlink"/>
            <w:noProof/>
          </w:rPr>
          <w:t>5.6.1</w:t>
        </w:r>
        <w:r w:rsidR="000C6C6D">
          <w:rPr>
            <w:rFonts w:asciiTheme="minorHAnsi" w:eastAsiaTheme="minorEastAsia" w:hAnsiTheme="minorHAnsi" w:cstheme="minorBidi"/>
            <w:noProof/>
            <w:color w:val="auto"/>
            <w:sz w:val="22"/>
            <w:szCs w:val="22"/>
          </w:rPr>
          <w:tab/>
        </w:r>
        <w:r w:rsidR="000C6C6D" w:rsidRPr="000C43DB">
          <w:rPr>
            <w:rStyle w:val="Hyperlink"/>
            <w:noProof/>
          </w:rPr>
          <w:t>Additional Materials for Subsection NF, Class 1, 2, 3, and Metal Containment Supports Fabricated by Welding</w:t>
        </w:r>
        <w:r w:rsidR="000C6C6D">
          <w:rPr>
            <w:noProof/>
            <w:webHidden/>
          </w:rPr>
          <w:tab/>
        </w:r>
        <w:r w:rsidR="000C6C6D">
          <w:rPr>
            <w:noProof/>
            <w:webHidden/>
          </w:rPr>
          <w:fldChar w:fldCharType="begin"/>
        </w:r>
        <w:r w:rsidR="000C6C6D">
          <w:rPr>
            <w:noProof/>
            <w:webHidden/>
          </w:rPr>
          <w:instrText xml:space="preserve"> PAGEREF _Toc12808838 \h </w:instrText>
        </w:r>
        <w:r w:rsidR="000C6C6D">
          <w:rPr>
            <w:noProof/>
            <w:webHidden/>
          </w:rPr>
        </w:r>
        <w:r w:rsidR="000C6C6D">
          <w:rPr>
            <w:noProof/>
            <w:webHidden/>
          </w:rPr>
          <w:fldChar w:fldCharType="separate"/>
        </w:r>
        <w:r w:rsidR="00F05D99">
          <w:rPr>
            <w:noProof/>
            <w:webHidden/>
          </w:rPr>
          <w:t>44</w:t>
        </w:r>
        <w:r w:rsidR="000C6C6D">
          <w:rPr>
            <w:noProof/>
            <w:webHidden/>
          </w:rPr>
          <w:fldChar w:fldCharType="end"/>
        </w:r>
      </w:hyperlink>
    </w:p>
    <w:p w14:paraId="4B8831A7" w14:textId="032D9600" w:rsidR="000C6C6D" w:rsidRDefault="00F76DB1">
      <w:pPr>
        <w:pStyle w:val="TOC3"/>
        <w:rPr>
          <w:rFonts w:asciiTheme="minorHAnsi" w:eastAsiaTheme="minorEastAsia" w:hAnsiTheme="minorHAnsi" w:cstheme="minorBidi"/>
          <w:noProof/>
          <w:color w:val="auto"/>
          <w:sz w:val="22"/>
          <w:szCs w:val="22"/>
        </w:rPr>
      </w:pPr>
      <w:hyperlink w:anchor="_Toc12808839" w:history="1">
        <w:r w:rsidR="000C6C6D" w:rsidRPr="000C43DB">
          <w:rPr>
            <w:rStyle w:val="Hyperlink"/>
            <w:noProof/>
          </w:rPr>
          <w:t>5.6.2</w:t>
        </w:r>
        <w:r w:rsidR="000C6C6D">
          <w:rPr>
            <w:rFonts w:asciiTheme="minorHAnsi" w:eastAsiaTheme="minorEastAsia" w:hAnsiTheme="minorHAnsi" w:cstheme="minorBidi"/>
            <w:noProof/>
            <w:color w:val="auto"/>
            <w:sz w:val="22"/>
            <w:szCs w:val="22"/>
          </w:rPr>
          <w:tab/>
        </w:r>
        <w:r w:rsidR="000C6C6D" w:rsidRPr="000C43DB">
          <w:rPr>
            <w:rStyle w:val="Hyperlink"/>
            <w:noProof/>
          </w:rPr>
          <w:t>Underwater Welding, Section XI, Division 1</w:t>
        </w:r>
        <w:r w:rsidR="000C6C6D">
          <w:rPr>
            <w:noProof/>
            <w:webHidden/>
          </w:rPr>
          <w:tab/>
        </w:r>
        <w:r w:rsidR="000C6C6D">
          <w:rPr>
            <w:noProof/>
            <w:webHidden/>
          </w:rPr>
          <w:fldChar w:fldCharType="begin"/>
        </w:r>
        <w:r w:rsidR="000C6C6D">
          <w:rPr>
            <w:noProof/>
            <w:webHidden/>
          </w:rPr>
          <w:instrText xml:space="preserve"> PAGEREF _Toc12808839 \h </w:instrText>
        </w:r>
        <w:r w:rsidR="000C6C6D">
          <w:rPr>
            <w:noProof/>
            <w:webHidden/>
          </w:rPr>
        </w:r>
        <w:r w:rsidR="000C6C6D">
          <w:rPr>
            <w:noProof/>
            <w:webHidden/>
          </w:rPr>
          <w:fldChar w:fldCharType="separate"/>
        </w:r>
        <w:r w:rsidR="00F05D99">
          <w:rPr>
            <w:noProof/>
            <w:webHidden/>
          </w:rPr>
          <w:t>44</w:t>
        </w:r>
        <w:r w:rsidR="000C6C6D">
          <w:rPr>
            <w:noProof/>
            <w:webHidden/>
          </w:rPr>
          <w:fldChar w:fldCharType="end"/>
        </w:r>
      </w:hyperlink>
    </w:p>
    <w:p w14:paraId="42E5A6C3" w14:textId="62835F3C" w:rsidR="000C6C6D" w:rsidRDefault="00F76DB1">
      <w:pPr>
        <w:pStyle w:val="TOC3"/>
        <w:rPr>
          <w:rFonts w:asciiTheme="minorHAnsi" w:eastAsiaTheme="minorEastAsia" w:hAnsiTheme="minorHAnsi" w:cstheme="minorBidi"/>
          <w:noProof/>
          <w:color w:val="auto"/>
          <w:sz w:val="22"/>
          <w:szCs w:val="22"/>
        </w:rPr>
      </w:pPr>
      <w:hyperlink w:anchor="_Toc12808840" w:history="1">
        <w:r w:rsidR="000C6C6D" w:rsidRPr="000C43DB">
          <w:rPr>
            <w:rStyle w:val="Hyperlink"/>
            <w:noProof/>
          </w:rPr>
          <w:t>5.6.3</w:t>
        </w:r>
        <w:r w:rsidR="000C6C6D">
          <w:rPr>
            <w:rFonts w:asciiTheme="minorHAnsi" w:eastAsiaTheme="minorEastAsia" w:hAnsiTheme="minorHAnsi" w:cstheme="minorBidi"/>
            <w:noProof/>
            <w:color w:val="auto"/>
            <w:sz w:val="22"/>
            <w:szCs w:val="22"/>
          </w:rPr>
          <w:tab/>
        </w:r>
        <w:r w:rsidR="000C6C6D" w:rsidRPr="000C43DB">
          <w:rPr>
            <w:rStyle w:val="Hyperlink"/>
            <w:noProof/>
          </w:rPr>
          <w:t>Evaluation of Pipe Wall Thinning, Section XI</w:t>
        </w:r>
        <w:r w:rsidR="000C6C6D">
          <w:rPr>
            <w:noProof/>
            <w:webHidden/>
          </w:rPr>
          <w:tab/>
        </w:r>
        <w:r w:rsidR="000C6C6D">
          <w:rPr>
            <w:noProof/>
            <w:webHidden/>
          </w:rPr>
          <w:fldChar w:fldCharType="begin"/>
        </w:r>
        <w:r w:rsidR="000C6C6D">
          <w:rPr>
            <w:noProof/>
            <w:webHidden/>
          </w:rPr>
          <w:instrText xml:space="preserve"> PAGEREF _Toc12808840 \h </w:instrText>
        </w:r>
        <w:r w:rsidR="000C6C6D">
          <w:rPr>
            <w:noProof/>
            <w:webHidden/>
          </w:rPr>
        </w:r>
        <w:r w:rsidR="000C6C6D">
          <w:rPr>
            <w:noProof/>
            <w:webHidden/>
          </w:rPr>
          <w:fldChar w:fldCharType="separate"/>
        </w:r>
        <w:r w:rsidR="00F05D99">
          <w:rPr>
            <w:noProof/>
            <w:webHidden/>
          </w:rPr>
          <w:t>44</w:t>
        </w:r>
        <w:r w:rsidR="000C6C6D">
          <w:rPr>
            <w:noProof/>
            <w:webHidden/>
          </w:rPr>
          <w:fldChar w:fldCharType="end"/>
        </w:r>
      </w:hyperlink>
    </w:p>
    <w:p w14:paraId="7F3B7189" w14:textId="68186B6F" w:rsidR="000C6C6D" w:rsidRDefault="00F76DB1">
      <w:pPr>
        <w:pStyle w:val="TOC3"/>
        <w:rPr>
          <w:rFonts w:asciiTheme="minorHAnsi" w:eastAsiaTheme="minorEastAsia" w:hAnsiTheme="minorHAnsi" w:cstheme="minorBidi"/>
          <w:noProof/>
          <w:color w:val="auto"/>
          <w:sz w:val="22"/>
          <w:szCs w:val="22"/>
        </w:rPr>
      </w:pPr>
      <w:hyperlink w:anchor="_Toc12808841" w:history="1">
        <w:r w:rsidR="000C6C6D" w:rsidRPr="000C43DB">
          <w:rPr>
            <w:rStyle w:val="Hyperlink"/>
            <w:noProof/>
          </w:rPr>
          <w:t>5.6.4</w:t>
        </w:r>
        <w:r w:rsidR="000C6C6D">
          <w:rPr>
            <w:rFonts w:asciiTheme="minorHAnsi" w:eastAsiaTheme="minorEastAsia" w:hAnsiTheme="minorHAnsi" w:cstheme="minorBidi"/>
            <w:noProof/>
            <w:color w:val="auto"/>
            <w:sz w:val="22"/>
            <w:szCs w:val="22"/>
          </w:rPr>
          <w:tab/>
        </w:r>
        <w:r w:rsidR="000C6C6D" w:rsidRPr="000C43DB">
          <w:rPr>
            <w:rStyle w:val="Hyperlink"/>
            <w:noProof/>
          </w:rPr>
          <w:t>Similar and Dissimilar Metal Welding Using an Ambient Temperature Machine Gas Tungsten Arc Welding Temper Bead Technique for Boiling-Water Reactor Control Rod Drive Housing/Stub Tube Repairs</w:t>
        </w:r>
        <w:r w:rsidR="000C6C6D">
          <w:rPr>
            <w:noProof/>
            <w:webHidden/>
          </w:rPr>
          <w:tab/>
        </w:r>
        <w:r w:rsidR="000C6C6D">
          <w:rPr>
            <w:noProof/>
            <w:webHidden/>
          </w:rPr>
          <w:fldChar w:fldCharType="begin"/>
        </w:r>
        <w:r w:rsidR="000C6C6D">
          <w:rPr>
            <w:noProof/>
            <w:webHidden/>
          </w:rPr>
          <w:instrText xml:space="preserve"> PAGEREF _Toc12808841 \h </w:instrText>
        </w:r>
        <w:r w:rsidR="000C6C6D">
          <w:rPr>
            <w:noProof/>
            <w:webHidden/>
          </w:rPr>
        </w:r>
        <w:r w:rsidR="000C6C6D">
          <w:rPr>
            <w:noProof/>
            <w:webHidden/>
          </w:rPr>
          <w:fldChar w:fldCharType="separate"/>
        </w:r>
        <w:r w:rsidR="00F05D99">
          <w:rPr>
            <w:noProof/>
            <w:webHidden/>
          </w:rPr>
          <w:t>44</w:t>
        </w:r>
        <w:r w:rsidR="000C6C6D">
          <w:rPr>
            <w:noProof/>
            <w:webHidden/>
          </w:rPr>
          <w:fldChar w:fldCharType="end"/>
        </w:r>
      </w:hyperlink>
    </w:p>
    <w:p w14:paraId="267F87C9" w14:textId="6CE345D9" w:rsidR="000C6C6D" w:rsidRDefault="00F76DB1">
      <w:pPr>
        <w:pStyle w:val="TOC3"/>
        <w:rPr>
          <w:rFonts w:asciiTheme="minorHAnsi" w:eastAsiaTheme="minorEastAsia" w:hAnsiTheme="minorHAnsi" w:cstheme="minorBidi"/>
          <w:noProof/>
          <w:color w:val="auto"/>
          <w:sz w:val="22"/>
          <w:szCs w:val="22"/>
        </w:rPr>
      </w:pPr>
      <w:hyperlink w:anchor="_Toc12808842" w:history="1">
        <w:r w:rsidR="000C6C6D" w:rsidRPr="000C43DB">
          <w:rPr>
            <w:rStyle w:val="Hyperlink"/>
            <w:noProof/>
          </w:rPr>
          <w:t>5.6.5</w:t>
        </w:r>
        <w:r w:rsidR="000C6C6D">
          <w:rPr>
            <w:rFonts w:asciiTheme="minorHAnsi" w:eastAsiaTheme="minorEastAsia" w:hAnsiTheme="minorHAnsi" w:cstheme="minorBidi"/>
            <w:noProof/>
            <w:color w:val="auto"/>
            <w:sz w:val="22"/>
            <w:szCs w:val="22"/>
          </w:rPr>
          <w:tab/>
        </w:r>
        <w:r w:rsidR="000C6C6D" w:rsidRPr="000C43DB">
          <w:rPr>
            <w:rStyle w:val="Hyperlink"/>
            <w:noProof/>
          </w:rPr>
          <w:t>Similar and Dissimilar Metal Welding Using an Ambient Temperature Machine Gas Tungsten Arc Welding Temper Bead Technique</w:t>
        </w:r>
        <w:r w:rsidR="000C6C6D">
          <w:rPr>
            <w:noProof/>
            <w:webHidden/>
          </w:rPr>
          <w:tab/>
        </w:r>
        <w:r w:rsidR="000C6C6D">
          <w:rPr>
            <w:noProof/>
            <w:webHidden/>
          </w:rPr>
          <w:fldChar w:fldCharType="begin"/>
        </w:r>
        <w:r w:rsidR="000C6C6D">
          <w:rPr>
            <w:noProof/>
            <w:webHidden/>
          </w:rPr>
          <w:instrText xml:space="preserve"> PAGEREF _Toc12808842 \h </w:instrText>
        </w:r>
        <w:r w:rsidR="000C6C6D">
          <w:rPr>
            <w:noProof/>
            <w:webHidden/>
          </w:rPr>
        </w:r>
        <w:r w:rsidR="000C6C6D">
          <w:rPr>
            <w:noProof/>
            <w:webHidden/>
          </w:rPr>
          <w:fldChar w:fldCharType="separate"/>
        </w:r>
        <w:r w:rsidR="00F05D99">
          <w:rPr>
            <w:noProof/>
            <w:webHidden/>
          </w:rPr>
          <w:t>44</w:t>
        </w:r>
        <w:r w:rsidR="000C6C6D">
          <w:rPr>
            <w:noProof/>
            <w:webHidden/>
          </w:rPr>
          <w:fldChar w:fldCharType="end"/>
        </w:r>
      </w:hyperlink>
    </w:p>
    <w:p w14:paraId="0588FCF8" w14:textId="7F5E8CF2" w:rsidR="000C6C6D" w:rsidRDefault="00F76DB1">
      <w:pPr>
        <w:pStyle w:val="TOC3"/>
        <w:rPr>
          <w:rFonts w:asciiTheme="minorHAnsi" w:eastAsiaTheme="minorEastAsia" w:hAnsiTheme="minorHAnsi" w:cstheme="minorBidi"/>
          <w:noProof/>
          <w:color w:val="auto"/>
          <w:sz w:val="22"/>
          <w:szCs w:val="22"/>
        </w:rPr>
      </w:pPr>
      <w:hyperlink w:anchor="_Toc12808843" w:history="1">
        <w:r w:rsidR="000C6C6D" w:rsidRPr="000C43DB">
          <w:rPr>
            <w:rStyle w:val="Hyperlink"/>
            <w:noProof/>
          </w:rPr>
          <w:t>5.6.6</w:t>
        </w:r>
        <w:r w:rsidR="000C6C6D">
          <w:rPr>
            <w:rFonts w:asciiTheme="minorHAnsi" w:eastAsiaTheme="minorEastAsia" w:hAnsiTheme="minorHAnsi" w:cstheme="minorBidi"/>
            <w:noProof/>
            <w:color w:val="auto"/>
            <w:sz w:val="22"/>
            <w:szCs w:val="22"/>
          </w:rPr>
          <w:tab/>
        </w:r>
        <w:r w:rsidR="000C6C6D" w:rsidRPr="000C43DB">
          <w:rPr>
            <w:rStyle w:val="Hyperlink"/>
            <w:noProof/>
          </w:rPr>
          <w:t>Alternative Requirements for Inner Radius Examinations of Class 1 Reactor Vessel Nozzles, Section XI</w:t>
        </w:r>
        <w:r w:rsidR="000C6C6D">
          <w:rPr>
            <w:noProof/>
            <w:webHidden/>
          </w:rPr>
          <w:tab/>
        </w:r>
        <w:r w:rsidR="000C6C6D">
          <w:rPr>
            <w:noProof/>
            <w:webHidden/>
          </w:rPr>
          <w:fldChar w:fldCharType="begin"/>
        </w:r>
        <w:r w:rsidR="000C6C6D">
          <w:rPr>
            <w:noProof/>
            <w:webHidden/>
          </w:rPr>
          <w:instrText xml:space="preserve"> PAGEREF _Toc12808843 \h </w:instrText>
        </w:r>
        <w:r w:rsidR="000C6C6D">
          <w:rPr>
            <w:noProof/>
            <w:webHidden/>
          </w:rPr>
        </w:r>
        <w:r w:rsidR="000C6C6D">
          <w:rPr>
            <w:noProof/>
            <w:webHidden/>
          </w:rPr>
          <w:fldChar w:fldCharType="separate"/>
        </w:r>
        <w:r w:rsidR="00F05D99">
          <w:rPr>
            <w:noProof/>
            <w:webHidden/>
          </w:rPr>
          <w:t>45</w:t>
        </w:r>
        <w:r w:rsidR="000C6C6D">
          <w:rPr>
            <w:noProof/>
            <w:webHidden/>
          </w:rPr>
          <w:fldChar w:fldCharType="end"/>
        </w:r>
      </w:hyperlink>
    </w:p>
    <w:p w14:paraId="735D6C7D" w14:textId="107B7BA5" w:rsidR="000C6C6D" w:rsidRDefault="00F76DB1">
      <w:pPr>
        <w:pStyle w:val="TOC3"/>
        <w:rPr>
          <w:rFonts w:asciiTheme="minorHAnsi" w:eastAsiaTheme="minorEastAsia" w:hAnsiTheme="minorHAnsi" w:cstheme="minorBidi"/>
          <w:noProof/>
          <w:color w:val="auto"/>
          <w:sz w:val="22"/>
          <w:szCs w:val="22"/>
        </w:rPr>
      </w:pPr>
      <w:hyperlink w:anchor="_Toc12808844" w:history="1">
        <w:r w:rsidR="000C6C6D" w:rsidRPr="000C43DB">
          <w:rPr>
            <w:rStyle w:val="Hyperlink"/>
            <w:noProof/>
          </w:rPr>
          <w:t>5.6.7</w:t>
        </w:r>
        <w:r w:rsidR="000C6C6D">
          <w:rPr>
            <w:rFonts w:asciiTheme="minorHAnsi" w:eastAsiaTheme="minorEastAsia" w:hAnsiTheme="minorHAnsi" w:cstheme="minorBidi"/>
            <w:noProof/>
            <w:color w:val="auto"/>
            <w:sz w:val="22"/>
            <w:szCs w:val="22"/>
          </w:rPr>
          <w:tab/>
        </w:r>
        <w:r w:rsidR="000C6C6D" w:rsidRPr="000C43DB">
          <w:rPr>
            <w:rStyle w:val="Hyperlink"/>
            <w:noProof/>
          </w:rPr>
          <w:t>Qualification Requirements for Dissimilar Metal Piping Welds</w:t>
        </w:r>
        <w:r w:rsidR="000C6C6D">
          <w:rPr>
            <w:noProof/>
            <w:webHidden/>
          </w:rPr>
          <w:tab/>
        </w:r>
        <w:r w:rsidR="000C6C6D">
          <w:rPr>
            <w:noProof/>
            <w:webHidden/>
          </w:rPr>
          <w:fldChar w:fldCharType="begin"/>
        </w:r>
        <w:r w:rsidR="000C6C6D">
          <w:rPr>
            <w:noProof/>
            <w:webHidden/>
          </w:rPr>
          <w:instrText xml:space="preserve"> PAGEREF _Toc12808844 \h </w:instrText>
        </w:r>
        <w:r w:rsidR="000C6C6D">
          <w:rPr>
            <w:noProof/>
            <w:webHidden/>
          </w:rPr>
        </w:r>
        <w:r w:rsidR="000C6C6D">
          <w:rPr>
            <w:noProof/>
            <w:webHidden/>
          </w:rPr>
          <w:fldChar w:fldCharType="separate"/>
        </w:r>
        <w:r w:rsidR="00F05D99">
          <w:rPr>
            <w:noProof/>
            <w:webHidden/>
          </w:rPr>
          <w:t>45</w:t>
        </w:r>
        <w:r w:rsidR="000C6C6D">
          <w:rPr>
            <w:noProof/>
            <w:webHidden/>
          </w:rPr>
          <w:fldChar w:fldCharType="end"/>
        </w:r>
      </w:hyperlink>
    </w:p>
    <w:p w14:paraId="6217F2AA" w14:textId="64BD3104" w:rsidR="000C6C6D" w:rsidRDefault="00F76DB1">
      <w:pPr>
        <w:pStyle w:val="TOC3"/>
        <w:rPr>
          <w:rFonts w:asciiTheme="minorHAnsi" w:eastAsiaTheme="minorEastAsia" w:hAnsiTheme="minorHAnsi" w:cstheme="minorBidi"/>
          <w:noProof/>
          <w:color w:val="auto"/>
          <w:sz w:val="22"/>
          <w:szCs w:val="22"/>
        </w:rPr>
      </w:pPr>
      <w:hyperlink w:anchor="_Toc12808845" w:history="1">
        <w:r w:rsidR="000C6C6D" w:rsidRPr="000C43DB">
          <w:rPr>
            <w:rStyle w:val="Hyperlink"/>
            <w:noProof/>
          </w:rPr>
          <w:t>5.6.8</w:t>
        </w:r>
        <w:r w:rsidR="000C6C6D">
          <w:rPr>
            <w:rFonts w:asciiTheme="minorHAnsi" w:eastAsiaTheme="minorEastAsia" w:hAnsiTheme="minorHAnsi" w:cstheme="minorBidi"/>
            <w:noProof/>
            <w:color w:val="auto"/>
            <w:sz w:val="22"/>
            <w:szCs w:val="22"/>
          </w:rPr>
          <w:tab/>
        </w:r>
        <w:r w:rsidR="000C6C6D" w:rsidRPr="000C43DB">
          <w:rPr>
            <w:rStyle w:val="Hyperlink"/>
            <w:noProof/>
          </w:rPr>
          <w:t>Qualification Requirements for Mandatory Appendix VIII Piping Examination Conducted from the Inside Surface</w:t>
        </w:r>
        <w:r w:rsidR="000C6C6D">
          <w:rPr>
            <w:noProof/>
            <w:webHidden/>
          </w:rPr>
          <w:tab/>
        </w:r>
        <w:r w:rsidR="000C6C6D">
          <w:rPr>
            <w:noProof/>
            <w:webHidden/>
          </w:rPr>
          <w:fldChar w:fldCharType="begin"/>
        </w:r>
        <w:r w:rsidR="000C6C6D">
          <w:rPr>
            <w:noProof/>
            <w:webHidden/>
          </w:rPr>
          <w:instrText xml:space="preserve"> PAGEREF _Toc12808845 \h </w:instrText>
        </w:r>
        <w:r w:rsidR="000C6C6D">
          <w:rPr>
            <w:noProof/>
            <w:webHidden/>
          </w:rPr>
        </w:r>
        <w:r w:rsidR="000C6C6D">
          <w:rPr>
            <w:noProof/>
            <w:webHidden/>
          </w:rPr>
          <w:fldChar w:fldCharType="separate"/>
        </w:r>
        <w:r w:rsidR="00F05D99">
          <w:rPr>
            <w:noProof/>
            <w:webHidden/>
          </w:rPr>
          <w:t>45</w:t>
        </w:r>
        <w:r w:rsidR="000C6C6D">
          <w:rPr>
            <w:noProof/>
            <w:webHidden/>
          </w:rPr>
          <w:fldChar w:fldCharType="end"/>
        </w:r>
      </w:hyperlink>
    </w:p>
    <w:p w14:paraId="4BC55C51" w14:textId="46BEE123" w:rsidR="000C6C6D" w:rsidRDefault="00F76DB1">
      <w:pPr>
        <w:pStyle w:val="TOC3"/>
        <w:rPr>
          <w:rFonts w:asciiTheme="minorHAnsi" w:eastAsiaTheme="minorEastAsia" w:hAnsiTheme="minorHAnsi" w:cstheme="minorBidi"/>
          <w:noProof/>
          <w:color w:val="auto"/>
          <w:sz w:val="22"/>
          <w:szCs w:val="22"/>
        </w:rPr>
      </w:pPr>
      <w:hyperlink w:anchor="_Toc12808846" w:history="1">
        <w:r w:rsidR="000C6C6D" w:rsidRPr="000C43DB">
          <w:rPr>
            <w:rStyle w:val="Hyperlink"/>
            <w:noProof/>
          </w:rPr>
          <w:t>5.6.9</w:t>
        </w:r>
        <w:r w:rsidR="000C6C6D">
          <w:rPr>
            <w:rFonts w:asciiTheme="minorHAnsi" w:eastAsiaTheme="minorEastAsia" w:hAnsiTheme="minorHAnsi" w:cstheme="minorBidi"/>
            <w:noProof/>
            <w:color w:val="auto"/>
            <w:sz w:val="22"/>
            <w:szCs w:val="22"/>
          </w:rPr>
          <w:tab/>
        </w:r>
        <w:r w:rsidR="000C6C6D" w:rsidRPr="000C43DB">
          <w:rPr>
            <w:rStyle w:val="Hyperlink"/>
            <w:noProof/>
          </w:rPr>
          <w:t>Alternative Requirements for Boiling</w:t>
        </w:r>
        <w:r w:rsidR="000C6C6D" w:rsidRPr="000C43DB">
          <w:rPr>
            <w:rStyle w:val="Hyperlink"/>
            <w:noProof/>
          </w:rPr>
          <w:noBreakHyphen/>
          <w:t>Water Reactor Nozzle Inner Radius and Nozzle</w:t>
        </w:r>
        <w:r w:rsidR="000C6C6D" w:rsidRPr="000C43DB">
          <w:rPr>
            <w:rStyle w:val="Hyperlink"/>
            <w:noProof/>
          </w:rPr>
          <w:noBreakHyphen/>
          <w:t>to</w:t>
        </w:r>
        <w:r w:rsidR="000C6C6D" w:rsidRPr="000C43DB">
          <w:rPr>
            <w:rStyle w:val="Hyperlink"/>
            <w:noProof/>
          </w:rPr>
          <w:noBreakHyphen/>
          <w:t>Shell Welds, ASME BPV Code, Section XI, Division 1</w:t>
        </w:r>
        <w:r w:rsidR="000C6C6D">
          <w:rPr>
            <w:noProof/>
            <w:webHidden/>
          </w:rPr>
          <w:tab/>
        </w:r>
        <w:r w:rsidR="000C6C6D">
          <w:rPr>
            <w:noProof/>
            <w:webHidden/>
          </w:rPr>
          <w:fldChar w:fldCharType="begin"/>
        </w:r>
        <w:r w:rsidR="000C6C6D">
          <w:rPr>
            <w:noProof/>
            <w:webHidden/>
          </w:rPr>
          <w:instrText xml:space="preserve"> PAGEREF _Toc12808846 \h </w:instrText>
        </w:r>
        <w:r w:rsidR="000C6C6D">
          <w:rPr>
            <w:noProof/>
            <w:webHidden/>
          </w:rPr>
        </w:r>
        <w:r w:rsidR="000C6C6D">
          <w:rPr>
            <w:noProof/>
            <w:webHidden/>
          </w:rPr>
          <w:fldChar w:fldCharType="separate"/>
        </w:r>
        <w:r w:rsidR="00F05D99">
          <w:rPr>
            <w:noProof/>
            <w:webHidden/>
          </w:rPr>
          <w:t>45</w:t>
        </w:r>
        <w:r w:rsidR="000C6C6D">
          <w:rPr>
            <w:noProof/>
            <w:webHidden/>
          </w:rPr>
          <w:fldChar w:fldCharType="end"/>
        </w:r>
      </w:hyperlink>
    </w:p>
    <w:p w14:paraId="6D73733A" w14:textId="7706FCD7" w:rsidR="000C6C6D" w:rsidRDefault="00F76DB1">
      <w:pPr>
        <w:pStyle w:val="TOC3"/>
        <w:rPr>
          <w:rFonts w:asciiTheme="minorHAnsi" w:eastAsiaTheme="minorEastAsia" w:hAnsiTheme="minorHAnsi" w:cstheme="minorBidi"/>
          <w:noProof/>
          <w:color w:val="auto"/>
          <w:sz w:val="22"/>
          <w:szCs w:val="22"/>
        </w:rPr>
      </w:pPr>
      <w:hyperlink w:anchor="_Toc12808847" w:history="1">
        <w:r w:rsidR="000C6C6D" w:rsidRPr="000C43DB">
          <w:rPr>
            <w:rStyle w:val="Hyperlink"/>
            <w:noProof/>
          </w:rPr>
          <w:t>5.6.10</w:t>
        </w:r>
        <w:r w:rsidR="000C6C6D">
          <w:rPr>
            <w:rFonts w:asciiTheme="minorHAnsi" w:eastAsiaTheme="minorEastAsia" w:hAnsiTheme="minorHAnsi" w:cstheme="minorBidi"/>
            <w:noProof/>
            <w:color w:val="auto"/>
            <w:sz w:val="22"/>
            <w:szCs w:val="22"/>
          </w:rPr>
          <w:tab/>
        </w:r>
        <w:r w:rsidR="000C6C6D" w:rsidRPr="000C43DB">
          <w:rPr>
            <w:rStyle w:val="Hyperlink"/>
            <w:noProof/>
          </w:rPr>
          <w:t>Evaluation Criteria for Temporary Acceptance of Degradation in Moderate</w:t>
        </w:r>
        <w:r w:rsidR="000C6C6D" w:rsidRPr="000C43DB">
          <w:rPr>
            <w:rStyle w:val="Hyperlink"/>
            <w:noProof/>
          </w:rPr>
          <w:noBreakHyphen/>
          <w:t>Energy Class 2 or 3 Vessels and Tanks</w:t>
        </w:r>
        <w:r w:rsidR="000C6C6D">
          <w:rPr>
            <w:noProof/>
            <w:webHidden/>
          </w:rPr>
          <w:tab/>
        </w:r>
        <w:r w:rsidR="000C6C6D">
          <w:rPr>
            <w:noProof/>
            <w:webHidden/>
          </w:rPr>
          <w:fldChar w:fldCharType="begin"/>
        </w:r>
        <w:r w:rsidR="000C6C6D">
          <w:rPr>
            <w:noProof/>
            <w:webHidden/>
          </w:rPr>
          <w:instrText xml:space="preserve"> PAGEREF _Toc12808847 \h </w:instrText>
        </w:r>
        <w:r w:rsidR="000C6C6D">
          <w:rPr>
            <w:noProof/>
            <w:webHidden/>
          </w:rPr>
        </w:r>
        <w:r w:rsidR="000C6C6D">
          <w:rPr>
            <w:noProof/>
            <w:webHidden/>
          </w:rPr>
          <w:fldChar w:fldCharType="separate"/>
        </w:r>
        <w:r w:rsidR="00F05D99">
          <w:rPr>
            <w:noProof/>
            <w:webHidden/>
          </w:rPr>
          <w:t>45</w:t>
        </w:r>
        <w:r w:rsidR="000C6C6D">
          <w:rPr>
            <w:noProof/>
            <w:webHidden/>
          </w:rPr>
          <w:fldChar w:fldCharType="end"/>
        </w:r>
      </w:hyperlink>
    </w:p>
    <w:p w14:paraId="0118762E" w14:textId="52271364" w:rsidR="000C6C6D" w:rsidRDefault="00F76DB1">
      <w:pPr>
        <w:pStyle w:val="TOC3"/>
        <w:rPr>
          <w:rFonts w:asciiTheme="minorHAnsi" w:eastAsiaTheme="minorEastAsia" w:hAnsiTheme="minorHAnsi" w:cstheme="minorBidi"/>
          <w:noProof/>
          <w:color w:val="auto"/>
          <w:sz w:val="22"/>
          <w:szCs w:val="22"/>
        </w:rPr>
      </w:pPr>
      <w:hyperlink w:anchor="_Toc12808848" w:history="1">
        <w:r w:rsidR="000C6C6D" w:rsidRPr="000C43DB">
          <w:rPr>
            <w:rStyle w:val="Hyperlink"/>
            <w:noProof/>
          </w:rPr>
          <w:t>5.6.11</w:t>
        </w:r>
        <w:r w:rsidR="000C6C6D">
          <w:rPr>
            <w:rFonts w:asciiTheme="minorHAnsi" w:eastAsiaTheme="minorEastAsia" w:hAnsiTheme="minorHAnsi" w:cstheme="minorBidi"/>
            <w:noProof/>
            <w:color w:val="auto"/>
            <w:sz w:val="22"/>
            <w:szCs w:val="22"/>
          </w:rPr>
          <w:tab/>
        </w:r>
        <w:r w:rsidR="000C6C6D" w:rsidRPr="000C43DB">
          <w:rPr>
            <w:rStyle w:val="Hyperlink"/>
            <w:noProof/>
          </w:rPr>
          <w:t>Alternative Examination Coverage Requirements for Examination Category B</w:t>
        </w:r>
        <w:r w:rsidR="000C6C6D" w:rsidRPr="000C43DB">
          <w:rPr>
            <w:rStyle w:val="Hyperlink"/>
            <w:noProof/>
          </w:rPr>
          <w:noBreakHyphen/>
          <w:t>F, B</w:t>
        </w:r>
        <w:r w:rsidR="000C6C6D" w:rsidRPr="000C43DB">
          <w:rPr>
            <w:rStyle w:val="Hyperlink"/>
            <w:noProof/>
          </w:rPr>
          <w:noBreakHyphen/>
          <w:t>J, C</w:t>
        </w:r>
        <w:r w:rsidR="000C6C6D" w:rsidRPr="000C43DB">
          <w:rPr>
            <w:rStyle w:val="Hyperlink"/>
            <w:noProof/>
          </w:rPr>
          <w:noBreakHyphen/>
          <w:t>F</w:t>
        </w:r>
        <w:r w:rsidR="000C6C6D" w:rsidRPr="000C43DB">
          <w:rPr>
            <w:rStyle w:val="Hyperlink"/>
            <w:noProof/>
          </w:rPr>
          <w:noBreakHyphen/>
          <w:t>1, C</w:t>
        </w:r>
        <w:r w:rsidR="000C6C6D" w:rsidRPr="000C43DB">
          <w:rPr>
            <w:rStyle w:val="Hyperlink"/>
            <w:noProof/>
          </w:rPr>
          <w:noBreakHyphen/>
          <w:t>F</w:t>
        </w:r>
        <w:r w:rsidR="000C6C6D" w:rsidRPr="000C43DB">
          <w:rPr>
            <w:rStyle w:val="Hyperlink"/>
            <w:noProof/>
          </w:rPr>
          <w:noBreakHyphen/>
          <w:t>2, and R-A Piping Welds</w:t>
        </w:r>
        <w:r w:rsidR="000C6C6D">
          <w:rPr>
            <w:noProof/>
            <w:webHidden/>
          </w:rPr>
          <w:tab/>
        </w:r>
        <w:r w:rsidR="000C6C6D">
          <w:rPr>
            <w:noProof/>
            <w:webHidden/>
          </w:rPr>
          <w:fldChar w:fldCharType="begin"/>
        </w:r>
        <w:r w:rsidR="000C6C6D">
          <w:rPr>
            <w:noProof/>
            <w:webHidden/>
          </w:rPr>
          <w:instrText xml:space="preserve"> PAGEREF _Toc12808848 \h </w:instrText>
        </w:r>
        <w:r w:rsidR="000C6C6D">
          <w:rPr>
            <w:noProof/>
            <w:webHidden/>
          </w:rPr>
        </w:r>
        <w:r w:rsidR="000C6C6D">
          <w:rPr>
            <w:noProof/>
            <w:webHidden/>
          </w:rPr>
          <w:fldChar w:fldCharType="separate"/>
        </w:r>
        <w:r w:rsidR="00F05D99">
          <w:rPr>
            <w:noProof/>
            <w:webHidden/>
          </w:rPr>
          <w:t>45</w:t>
        </w:r>
        <w:r w:rsidR="000C6C6D">
          <w:rPr>
            <w:noProof/>
            <w:webHidden/>
          </w:rPr>
          <w:fldChar w:fldCharType="end"/>
        </w:r>
      </w:hyperlink>
    </w:p>
    <w:p w14:paraId="227A6ACD" w14:textId="2066213B" w:rsidR="000C6C6D" w:rsidRDefault="00F76DB1">
      <w:pPr>
        <w:pStyle w:val="TOC3"/>
        <w:rPr>
          <w:rFonts w:asciiTheme="minorHAnsi" w:eastAsiaTheme="minorEastAsia" w:hAnsiTheme="minorHAnsi" w:cstheme="minorBidi"/>
          <w:noProof/>
          <w:color w:val="auto"/>
          <w:sz w:val="22"/>
          <w:szCs w:val="22"/>
        </w:rPr>
      </w:pPr>
      <w:hyperlink w:anchor="_Toc12808849" w:history="1">
        <w:r w:rsidR="000C6C6D" w:rsidRPr="000C43DB">
          <w:rPr>
            <w:rStyle w:val="Hyperlink"/>
            <w:noProof/>
          </w:rPr>
          <w:t>5.6.12</w:t>
        </w:r>
        <w:r w:rsidR="000C6C6D">
          <w:rPr>
            <w:rFonts w:asciiTheme="minorHAnsi" w:eastAsiaTheme="minorEastAsia" w:hAnsiTheme="minorHAnsi" w:cstheme="minorBidi"/>
            <w:noProof/>
            <w:color w:val="auto"/>
            <w:sz w:val="22"/>
            <w:szCs w:val="22"/>
          </w:rPr>
          <w:tab/>
        </w:r>
        <w:r w:rsidR="000C6C6D" w:rsidRPr="000C43DB">
          <w:rPr>
            <w:rStyle w:val="Hyperlink"/>
            <w:noProof/>
          </w:rPr>
          <w:t>Optimized Structural Dissimilar Metal Weld Overlay for Mitigation of Pressurized</w:t>
        </w:r>
        <w:r w:rsidR="000C6C6D" w:rsidRPr="000C43DB">
          <w:rPr>
            <w:rStyle w:val="Hyperlink"/>
            <w:noProof/>
          </w:rPr>
          <w:noBreakHyphen/>
          <w:t>Water Reactor Class 1 Items</w:t>
        </w:r>
        <w:r w:rsidR="000C6C6D">
          <w:rPr>
            <w:noProof/>
            <w:webHidden/>
          </w:rPr>
          <w:tab/>
        </w:r>
        <w:r w:rsidR="000C6C6D">
          <w:rPr>
            <w:noProof/>
            <w:webHidden/>
          </w:rPr>
          <w:fldChar w:fldCharType="begin"/>
        </w:r>
        <w:r w:rsidR="000C6C6D">
          <w:rPr>
            <w:noProof/>
            <w:webHidden/>
          </w:rPr>
          <w:instrText xml:space="preserve"> PAGEREF _Toc12808849 \h </w:instrText>
        </w:r>
        <w:r w:rsidR="000C6C6D">
          <w:rPr>
            <w:noProof/>
            <w:webHidden/>
          </w:rPr>
        </w:r>
        <w:r w:rsidR="000C6C6D">
          <w:rPr>
            <w:noProof/>
            <w:webHidden/>
          </w:rPr>
          <w:fldChar w:fldCharType="separate"/>
        </w:r>
        <w:r w:rsidR="00F05D99">
          <w:rPr>
            <w:noProof/>
            <w:webHidden/>
          </w:rPr>
          <w:t>45</w:t>
        </w:r>
        <w:r w:rsidR="000C6C6D">
          <w:rPr>
            <w:noProof/>
            <w:webHidden/>
          </w:rPr>
          <w:fldChar w:fldCharType="end"/>
        </w:r>
      </w:hyperlink>
    </w:p>
    <w:p w14:paraId="4D5FF4C4" w14:textId="1B4AD8F7" w:rsidR="000C6C6D" w:rsidRDefault="00F76DB1">
      <w:pPr>
        <w:pStyle w:val="TOC3"/>
        <w:rPr>
          <w:rFonts w:asciiTheme="minorHAnsi" w:eastAsiaTheme="minorEastAsia" w:hAnsiTheme="minorHAnsi" w:cstheme="minorBidi"/>
          <w:noProof/>
          <w:color w:val="auto"/>
          <w:sz w:val="22"/>
          <w:szCs w:val="22"/>
        </w:rPr>
      </w:pPr>
      <w:hyperlink w:anchor="_Toc12808850" w:history="1">
        <w:r w:rsidR="000C6C6D" w:rsidRPr="000C43DB">
          <w:rPr>
            <w:rStyle w:val="Hyperlink"/>
            <w:noProof/>
          </w:rPr>
          <w:t>5.6.13</w:t>
        </w:r>
        <w:r w:rsidR="000C6C6D">
          <w:rPr>
            <w:rFonts w:asciiTheme="minorHAnsi" w:eastAsiaTheme="minorEastAsia" w:hAnsiTheme="minorHAnsi" w:cstheme="minorBidi"/>
            <w:noProof/>
            <w:color w:val="auto"/>
            <w:sz w:val="22"/>
            <w:szCs w:val="22"/>
          </w:rPr>
          <w:tab/>
        </w:r>
        <w:r w:rsidR="000C6C6D" w:rsidRPr="000C43DB">
          <w:rPr>
            <w:rStyle w:val="Hyperlink"/>
            <w:noProof/>
          </w:rPr>
          <w:t>Nickel Alloy Reactor Coolant Inlay and Onlay for Mitigation of Pressurized</w:t>
        </w:r>
        <w:r w:rsidR="000C6C6D" w:rsidRPr="000C43DB">
          <w:rPr>
            <w:rStyle w:val="Hyperlink"/>
            <w:noProof/>
          </w:rPr>
          <w:noBreakHyphen/>
          <w:t>Water Reactor Full</w:t>
        </w:r>
        <w:r w:rsidR="000C6C6D" w:rsidRPr="000C43DB">
          <w:rPr>
            <w:rStyle w:val="Hyperlink"/>
            <w:noProof/>
          </w:rPr>
          <w:noBreakHyphen/>
          <w:t>Penetration Circumferential Nickel Alloy Dissimilar Metal Welds in Class 1 Items</w:t>
        </w:r>
        <w:r w:rsidR="000C6C6D">
          <w:rPr>
            <w:noProof/>
            <w:webHidden/>
          </w:rPr>
          <w:tab/>
        </w:r>
        <w:r w:rsidR="000C6C6D">
          <w:rPr>
            <w:noProof/>
            <w:webHidden/>
          </w:rPr>
          <w:fldChar w:fldCharType="begin"/>
        </w:r>
        <w:r w:rsidR="000C6C6D">
          <w:rPr>
            <w:noProof/>
            <w:webHidden/>
          </w:rPr>
          <w:instrText xml:space="preserve"> PAGEREF _Toc12808850 \h </w:instrText>
        </w:r>
        <w:r w:rsidR="000C6C6D">
          <w:rPr>
            <w:noProof/>
            <w:webHidden/>
          </w:rPr>
        </w:r>
        <w:r w:rsidR="000C6C6D">
          <w:rPr>
            <w:noProof/>
            <w:webHidden/>
          </w:rPr>
          <w:fldChar w:fldCharType="separate"/>
        </w:r>
        <w:r w:rsidR="00F05D99">
          <w:rPr>
            <w:noProof/>
            <w:webHidden/>
          </w:rPr>
          <w:t>45</w:t>
        </w:r>
        <w:r w:rsidR="000C6C6D">
          <w:rPr>
            <w:noProof/>
            <w:webHidden/>
          </w:rPr>
          <w:fldChar w:fldCharType="end"/>
        </w:r>
      </w:hyperlink>
    </w:p>
    <w:p w14:paraId="753DF4AE" w14:textId="34E8B1A9" w:rsidR="000C6C6D" w:rsidRDefault="00F76DB1">
      <w:pPr>
        <w:pStyle w:val="TOC3"/>
        <w:rPr>
          <w:rFonts w:asciiTheme="minorHAnsi" w:eastAsiaTheme="minorEastAsia" w:hAnsiTheme="minorHAnsi" w:cstheme="minorBidi"/>
          <w:noProof/>
          <w:color w:val="auto"/>
          <w:sz w:val="22"/>
          <w:szCs w:val="22"/>
        </w:rPr>
      </w:pPr>
      <w:hyperlink w:anchor="_Toc12808851" w:history="1">
        <w:r w:rsidR="000C6C6D" w:rsidRPr="000C43DB">
          <w:rPr>
            <w:rStyle w:val="Hyperlink"/>
            <w:noProof/>
          </w:rPr>
          <w:t>5.6.14</w:t>
        </w:r>
        <w:r w:rsidR="000C6C6D">
          <w:rPr>
            <w:rFonts w:asciiTheme="minorHAnsi" w:eastAsiaTheme="minorEastAsia" w:hAnsiTheme="minorHAnsi" w:cstheme="minorBidi"/>
            <w:noProof/>
            <w:color w:val="auto"/>
            <w:sz w:val="22"/>
            <w:szCs w:val="22"/>
          </w:rPr>
          <w:tab/>
        </w:r>
        <w:r w:rsidR="000C6C6D" w:rsidRPr="000C43DB">
          <w:rPr>
            <w:rStyle w:val="Hyperlink"/>
            <w:noProof/>
          </w:rPr>
          <w:t>Ultrasonic Examination of Cast Austenitic Piping Welds from the Outside Surface, Section XI, Division 1</w:t>
        </w:r>
        <w:r w:rsidR="000C6C6D">
          <w:rPr>
            <w:noProof/>
            <w:webHidden/>
          </w:rPr>
          <w:tab/>
        </w:r>
        <w:r w:rsidR="000C6C6D">
          <w:rPr>
            <w:noProof/>
            <w:webHidden/>
          </w:rPr>
          <w:fldChar w:fldCharType="begin"/>
        </w:r>
        <w:r w:rsidR="000C6C6D">
          <w:rPr>
            <w:noProof/>
            <w:webHidden/>
          </w:rPr>
          <w:instrText xml:space="preserve"> PAGEREF _Toc12808851 \h </w:instrText>
        </w:r>
        <w:r w:rsidR="000C6C6D">
          <w:rPr>
            <w:noProof/>
            <w:webHidden/>
          </w:rPr>
        </w:r>
        <w:r w:rsidR="000C6C6D">
          <w:rPr>
            <w:noProof/>
            <w:webHidden/>
          </w:rPr>
          <w:fldChar w:fldCharType="separate"/>
        </w:r>
        <w:r w:rsidR="00F05D99">
          <w:rPr>
            <w:noProof/>
            <w:webHidden/>
          </w:rPr>
          <w:t>46</w:t>
        </w:r>
        <w:r w:rsidR="000C6C6D">
          <w:rPr>
            <w:noProof/>
            <w:webHidden/>
          </w:rPr>
          <w:fldChar w:fldCharType="end"/>
        </w:r>
      </w:hyperlink>
    </w:p>
    <w:p w14:paraId="64E0A7E7" w14:textId="03CEE655" w:rsidR="000C6C6D" w:rsidRDefault="00F76DB1">
      <w:pPr>
        <w:pStyle w:val="TOC3"/>
        <w:rPr>
          <w:rFonts w:asciiTheme="minorHAnsi" w:eastAsiaTheme="minorEastAsia" w:hAnsiTheme="minorHAnsi" w:cstheme="minorBidi"/>
          <w:noProof/>
          <w:color w:val="auto"/>
          <w:sz w:val="22"/>
          <w:szCs w:val="22"/>
        </w:rPr>
      </w:pPr>
      <w:hyperlink w:anchor="_Toc12808852" w:history="1">
        <w:r w:rsidR="000C6C6D" w:rsidRPr="000C43DB">
          <w:rPr>
            <w:rStyle w:val="Hyperlink"/>
            <w:noProof/>
          </w:rPr>
          <w:t>5.6.15</w:t>
        </w:r>
        <w:r w:rsidR="000C6C6D">
          <w:rPr>
            <w:rFonts w:asciiTheme="minorHAnsi" w:eastAsiaTheme="minorEastAsia" w:hAnsiTheme="minorHAnsi" w:cstheme="minorBidi"/>
            <w:noProof/>
            <w:color w:val="auto"/>
            <w:sz w:val="22"/>
            <w:szCs w:val="22"/>
          </w:rPr>
          <w:tab/>
        </w:r>
        <w:r w:rsidR="000C6C6D" w:rsidRPr="000C43DB">
          <w:rPr>
            <w:rStyle w:val="Hyperlink"/>
            <w:noProof/>
          </w:rPr>
          <w:t>Austenitic Stainless Steel Cladding and Nickel</w:t>
        </w:r>
        <w:r w:rsidR="000C6C6D" w:rsidRPr="000C43DB">
          <w:rPr>
            <w:rStyle w:val="Hyperlink"/>
            <w:noProof/>
          </w:rPr>
          <w:noBreakHyphen/>
          <w:t>Base Cladding Using an Ambient Temperature Machine Gas Tungsten Arc Welding Temper Bead Technique</w:t>
        </w:r>
        <w:r w:rsidR="000C6C6D">
          <w:rPr>
            <w:noProof/>
            <w:webHidden/>
          </w:rPr>
          <w:tab/>
        </w:r>
        <w:r w:rsidR="000C6C6D">
          <w:rPr>
            <w:noProof/>
            <w:webHidden/>
          </w:rPr>
          <w:fldChar w:fldCharType="begin"/>
        </w:r>
        <w:r w:rsidR="000C6C6D">
          <w:rPr>
            <w:noProof/>
            <w:webHidden/>
          </w:rPr>
          <w:instrText xml:space="preserve"> PAGEREF _Toc12808852 \h </w:instrText>
        </w:r>
        <w:r w:rsidR="000C6C6D">
          <w:rPr>
            <w:noProof/>
            <w:webHidden/>
          </w:rPr>
        </w:r>
        <w:r w:rsidR="000C6C6D">
          <w:rPr>
            <w:noProof/>
            <w:webHidden/>
          </w:rPr>
          <w:fldChar w:fldCharType="separate"/>
        </w:r>
        <w:r w:rsidR="00F05D99">
          <w:rPr>
            <w:noProof/>
            <w:webHidden/>
          </w:rPr>
          <w:t>46</w:t>
        </w:r>
        <w:r w:rsidR="000C6C6D">
          <w:rPr>
            <w:noProof/>
            <w:webHidden/>
          </w:rPr>
          <w:fldChar w:fldCharType="end"/>
        </w:r>
      </w:hyperlink>
    </w:p>
    <w:p w14:paraId="199629F4" w14:textId="0EF134FD" w:rsidR="000C6C6D" w:rsidRDefault="00F76DB1">
      <w:pPr>
        <w:pStyle w:val="TOC3"/>
        <w:rPr>
          <w:rFonts w:asciiTheme="minorHAnsi" w:eastAsiaTheme="minorEastAsia" w:hAnsiTheme="minorHAnsi" w:cstheme="minorBidi"/>
          <w:noProof/>
          <w:color w:val="auto"/>
          <w:sz w:val="22"/>
          <w:szCs w:val="22"/>
        </w:rPr>
      </w:pPr>
      <w:hyperlink w:anchor="_Toc12808853" w:history="1">
        <w:r w:rsidR="000C6C6D" w:rsidRPr="000C43DB">
          <w:rPr>
            <w:rStyle w:val="Hyperlink"/>
            <w:noProof/>
          </w:rPr>
          <w:t>5.6.16</w:t>
        </w:r>
        <w:r w:rsidR="000C6C6D">
          <w:rPr>
            <w:rFonts w:asciiTheme="minorHAnsi" w:eastAsiaTheme="minorEastAsia" w:hAnsiTheme="minorHAnsi" w:cstheme="minorBidi"/>
            <w:noProof/>
            <w:color w:val="auto"/>
            <w:sz w:val="22"/>
            <w:szCs w:val="22"/>
          </w:rPr>
          <w:tab/>
        </w:r>
        <w:r w:rsidR="000C6C6D" w:rsidRPr="000C43DB">
          <w:rPr>
            <w:rStyle w:val="Hyperlink"/>
            <w:noProof/>
          </w:rPr>
          <w:t>Direct Use of the Master Fracture Toughness Curve for Pressure</w:t>
        </w:r>
        <w:r w:rsidR="000C6C6D" w:rsidRPr="000C43DB">
          <w:rPr>
            <w:rStyle w:val="Hyperlink"/>
            <w:noProof/>
          </w:rPr>
          <w:noBreakHyphen/>
          <w:t>Retaining Materials of Class 1 Vessels</w:t>
        </w:r>
        <w:r w:rsidR="000C6C6D">
          <w:rPr>
            <w:noProof/>
            <w:webHidden/>
          </w:rPr>
          <w:tab/>
        </w:r>
        <w:r w:rsidR="000C6C6D">
          <w:rPr>
            <w:noProof/>
            <w:webHidden/>
          </w:rPr>
          <w:fldChar w:fldCharType="begin"/>
        </w:r>
        <w:r w:rsidR="000C6C6D">
          <w:rPr>
            <w:noProof/>
            <w:webHidden/>
          </w:rPr>
          <w:instrText xml:space="preserve"> PAGEREF _Toc12808853 \h </w:instrText>
        </w:r>
        <w:r w:rsidR="000C6C6D">
          <w:rPr>
            <w:noProof/>
            <w:webHidden/>
          </w:rPr>
        </w:r>
        <w:r w:rsidR="000C6C6D">
          <w:rPr>
            <w:noProof/>
            <w:webHidden/>
          </w:rPr>
          <w:fldChar w:fldCharType="separate"/>
        </w:r>
        <w:r w:rsidR="00F05D99">
          <w:rPr>
            <w:noProof/>
            <w:webHidden/>
          </w:rPr>
          <w:t>46</w:t>
        </w:r>
        <w:r w:rsidR="000C6C6D">
          <w:rPr>
            <w:noProof/>
            <w:webHidden/>
          </w:rPr>
          <w:fldChar w:fldCharType="end"/>
        </w:r>
      </w:hyperlink>
    </w:p>
    <w:p w14:paraId="30D431BC" w14:textId="1964B238" w:rsidR="000C6C6D" w:rsidRDefault="00F76DB1">
      <w:pPr>
        <w:pStyle w:val="TOC3"/>
        <w:rPr>
          <w:rFonts w:asciiTheme="minorHAnsi" w:eastAsiaTheme="minorEastAsia" w:hAnsiTheme="minorHAnsi" w:cstheme="minorBidi"/>
          <w:noProof/>
          <w:color w:val="auto"/>
          <w:sz w:val="22"/>
          <w:szCs w:val="22"/>
        </w:rPr>
      </w:pPr>
      <w:hyperlink w:anchor="_Toc12808854" w:history="1">
        <w:r w:rsidR="000C6C6D" w:rsidRPr="000C43DB">
          <w:rPr>
            <w:rStyle w:val="Hyperlink"/>
            <w:noProof/>
          </w:rPr>
          <w:t>5.6.17</w:t>
        </w:r>
        <w:r w:rsidR="000C6C6D">
          <w:rPr>
            <w:rFonts w:asciiTheme="minorHAnsi" w:eastAsiaTheme="minorEastAsia" w:hAnsiTheme="minorHAnsi" w:cstheme="minorBidi"/>
            <w:noProof/>
            <w:color w:val="auto"/>
            <w:sz w:val="22"/>
            <w:szCs w:val="22"/>
          </w:rPr>
          <w:tab/>
        </w:r>
        <w:r w:rsidR="000C6C6D" w:rsidRPr="000C43DB">
          <w:rPr>
            <w:rStyle w:val="Hyperlink"/>
            <w:noProof/>
          </w:rPr>
          <w:t>Ultrasonic Examination in Lieu of Radiography for Welds in Ferritic Pipe</w:t>
        </w:r>
        <w:r w:rsidR="000C6C6D">
          <w:rPr>
            <w:noProof/>
            <w:webHidden/>
          </w:rPr>
          <w:tab/>
        </w:r>
        <w:r w:rsidR="000C6C6D">
          <w:rPr>
            <w:noProof/>
            <w:webHidden/>
          </w:rPr>
          <w:fldChar w:fldCharType="begin"/>
        </w:r>
        <w:r w:rsidR="000C6C6D">
          <w:rPr>
            <w:noProof/>
            <w:webHidden/>
          </w:rPr>
          <w:instrText xml:space="preserve"> PAGEREF _Toc12808854 \h </w:instrText>
        </w:r>
        <w:r w:rsidR="000C6C6D">
          <w:rPr>
            <w:noProof/>
            <w:webHidden/>
          </w:rPr>
        </w:r>
        <w:r w:rsidR="000C6C6D">
          <w:rPr>
            <w:noProof/>
            <w:webHidden/>
          </w:rPr>
          <w:fldChar w:fldCharType="separate"/>
        </w:r>
        <w:r w:rsidR="00F05D99">
          <w:rPr>
            <w:noProof/>
            <w:webHidden/>
          </w:rPr>
          <w:t>46</w:t>
        </w:r>
        <w:r w:rsidR="000C6C6D">
          <w:rPr>
            <w:noProof/>
            <w:webHidden/>
          </w:rPr>
          <w:fldChar w:fldCharType="end"/>
        </w:r>
      </w:hyperlink>
    </w:p>
    <w:p w14:paraId="5784C6B2" w14:textId="2A43353F" w:rsidR="000C6C6D" w:rsidRDefault="00F76DB1">
      <w:pPr>
        <w:pStyle w:val="TOC3"/>
        <w:rPr>
          <w:rFonts w:asciiTheme="minorHAnsi" w:eastAsiaTheme="minorEastAsia" w:hAnsiTheme="minorHAnsi" w:cstheme="minorBidi"/>
          <w:noProof/>
          <w:color w:val="auto"/>
          <w:sz w:val="22"/>
          <w:szCs w:val="22"/>
        </w:rPr>
      </w:pPr>
      <w:hyperlink w:anchor="_Toc12808855" w:history="1">
        <w:r w:rsidR="000C6C6D" w:rsidRPr="000C43DB">
          <w:rPr>
            <w:rStyle w:val="Hyperlink"/>
            <w:noProof/>
          </w:rPr>
          <w:t>5.6.18</w:t>
        </w:r>
        <w:r w:rsidR="000C6C6D">
          <w:rPr>
            <w:rFonts w:asciiTheme="minorHAnsi" w:eastAsiaTheme="minorEastAsia" w:hAnsiTheme="minorHAnsi" w:cstheme="minorBidi"/>
            <w:noProof/>
            <w:color w:val="auto"/>
            <w:sz w:val="22"/>
            <w:szCs w:val="22"/>
          </w:rPr>
          <w:tab/>
        </w:r>
        <w:r w:rsidR="000C6C6D" w:rsidRPr="000C43DB">
          <w:rPr>
            <w:rStyle w:val="Hyperlink"/>
            <w:noProof/>
          </w:rPr>
          <w:t>Flaw Tolerance Evaluation of Cast Austenitic Stainless Steel Piping, Section XI, Division 1</w:t>
        </w:r>
        <w:r w:rsidR="000C6C6D">
          <w:rPr>
            <w:noProof/>
            <w:webHidden/>
          </w:rPr>
          <w:tab/>
        </w:r>
        <w:r w:rsidR="000C6C6D">
          <w:rPr>
            <w:noProof/>
            <w:webHidden/>
          </w:rPr>
          <w:fldChar w:fldCharType="begin"/>
        </w:r>
        <w:r w:rsidR="000C6C6D">
          <w:rPr>
            <w:noProof/>
            <w:webHidden/>
          </w:rPr>
          <w:instrText xml:space="preserve"> PAGEREF _Toc12808855 \h </w:instrText>
        </w:r>
        <w:r w:rsidR="000C6C6D">
          <w:rPr>
            <w:noProof/>
            <w:webHidden/>
          </w:rPr>
        </w:r>
        <w:r w:rsidR="000C6C6D">
          <w:rPr>
            <w:noProof/>
            <w:webHidden/>
          </w:rPr>
          <w:fldChar w:fldCharType="separate"/>
        </w:r>
        <w:r w:rsidR="00F05D99">
          <w:rPr>
            <w:noProof/>
            <w:webHidden/>
          </w:rPr>
          <w:t>46</w:t>
        </w:r>
        <w:r w:rsidR="000C6C6D">
          <w:rPr>
            <w:noProof/>
            <w:webHidden/>
          </w:rPr>
          <w:fldChar w:fldCharType="end"/>
        </w:r>
      </w:hyperlink>
    </w:p>
    <w:p w14:paraId="1BC78CDB" w14:textId="14F3007C" w:rsidR="000C6C6D" w:rsidRDefault="00F76DB1">
      <w:pPr>
        <w:pStyle w:val="TOC3"/>
        <w:rPr>
          <w:rFonts w:asciiTheme="minorHAnsi" w:eastAsiaTheme="minorEastAsia" w:hAnsiTheme="minorHAnsi" w:cstheme="minorBidi"/>
          <w:noProof/>
          <w:color w:val="auto"/>
          <w:sz w:val="22"/>
          <w:szCs w:val="22"/>
        </w:rPr>
      </w:pPr>
      <w:hyperlink w:anchor="_Toc12808856" w:history="1">
        <w:r w:rsidR="000C6C6D" w:rsidRPr="000C43DB">
          <w:rPr>
            <w:rStyle w:val="Hyperlink"/>
            <w:noProof/>
          </w:rPr>
          <w:t>5.6.19</w:t>
        </w:r>
        <w:r w:rsidR="000C6C6D">
          <w:rPr>
            <w:rFonts w:asciiTheme="minorHAnsi" w:eastAsiaTheme="minorEastAsia" w:hAnsiTheme="minorHAnsi" w:cstheme="minorBidi"/>
            <w:noProof/>
            <w:color w:val="auto"/>
            <w:sz w:val="22"/>
            <w:szCs w:val="22"/>
          </w:rPr>
          <w:tab/>
        </w:r>
        <w:r w:rsidR="000C6C6D" w:rsidRPr="000C43DB">
          <w:rPr>
            <w:rStyle w:val="Hyperlink"/>
            <w:noProof/>
          </w:rPr>
          <w:t>Alternative Pressure Testing Requirements Following Repairs or Replacements for Class 1 Piping between the First and Second Inspection of Isolation Valves, Section XI, Division 1</w:t>
        </w:r>
        <w:r w:rsidR="000C6C6D">
          <w:rPr>
            <w:noProof/>
            <w:webHidden/>
          </w:rPr>
          <w:tab/>
        </w:r>
        <w:r w:rsidR="000C6C6D">
          <w:rPr>
            <w:noProof/>
            <w:webHidden/>
          </w:rPr>
          <w:fldChar w:fldCharType="begin"/>
        </w:r>
        <w:r w:rsidR="000C6C6D">
          <w:rPr>
            <w:noProof/>
            <w:webHidden/>
          </w:rPr>
          <w:instrText xml:space="preserve"> PAGEREF _Toc12808856 \h </w:instrText>
        </w:r>
        <w:r w:rsidR="000C6C6D">
          <w:rPr>
            <w:noProof/>
            <w:webHidden/>
          </w:rPr>
        </w:r>
        <w:r w:rsidR="000C6C6D">
          <w:rPr>
            <w:noProof/>
            <w:webHidden/>
          </w:rPr>
          <w:fldChar w:fldCharType="separate"/>
        </w:r>
        <w:r w:rsidR="00F05D99">
          <w:rPr>
            <w:noProof/>
            <w:webHidden/>
          </w:rPr>
          <w:t>46</w:t>
        </w:r>
        <w:r w:rsidR="000C6C6D">
          <w:rPr>
            <w:noProof/>
            <w:webHidden/>
          </w:rPr>
          <w:fldChar w:fldCharType="end"/>
        </w:r>
      </w:hyperlink>
    </w:p>
    <w:p w14:paraId="51738081" w14:textId="744F4A78" w:rsidR="000C6C6D" w:rsidRDefault="00F76DB1">
      <w:pPr>
        <w:pStyle w:val="TOC3"/>
        <w:rPr>
          <w:rFonts w:asciiTheme="minorHAnsi" w:eastAsiaTheme="minorEastAsia" w:hAnsiTheme="minorHAnsi" w:cstheme="minorBidi"/>
          <w:noProof/>
          <w:color w:val="auto"/>
          <w:sz w:val="22"/>
          <w:szCs w:val="22"/>
        </w:rPr>
      </w:pPr>
      <w:hyperlink w:anchor="_Toc12808857" w:history="1">
        <w:r w:rsidR="000C6C6D" w:rsidRPr="000C43DB">
          <w:rPr>
            <w:rStyle w:val="Hyperlink"/>
            <w:noProof/>
          </w:rPr>
          <w:t>5.6.20</w:t>
        </w:r>
        <w:r w:rsidR="000C6C6D">
          <w:rPr>
            <w:rFonts w:asciiTheme="minorHAnsi" w:eastAsiaTheme="minorEastAsia" w:hAnsiTheme="minorHAnsi" w:cstheme="minorBidi"/>
            <w:noProof/>
            <w:color w:val="auto"/>
            <w:sz w:val="22"/>
            <w:szCs w:val="22"/>
          </w:rPr>
          <w:tab/>
        </w:r>
        <w:r w:rsidR="000C6C6D" w:rsidRPr="000C43DB">
          <w:rPr>
            <w:rStyle w:val="Hyperlink"/>
            <w:noProof/>
          </w:rPr>
          <w:t>In Situ Visual Testing 3 Examination of Removable Core Support Structures without Removal</w:t>
        </w:r>
        <w:r w:rsidR="000C6C6D">
          <w:rPr>
            <w:noProof/>
            <w:webHidden/>
          </w:rPr>
          <w:tab/>
        </w:r>
        <w:r w:rsidR="000C6C6D">
          <w:rPr>
            <w:noProof/>
            <w:webHidden/>
          </w:rPr>
          <w:fldChar w:fldCharType="begin"/>
        </w:r>
        <w:r w:rsidR="000C6C6D">
          <w:rPr>
            <w:noProof/>
            <w:webHidden/>
          </w:rPr>
          <w:instrText xml:space="preserve"> PAGEREF _Toc12808857 \h </w:instrText>
        </w:r>
        <w:r w:rsidR="000C6C6D">
          <w:rPr>
            <w:noProof/>
            <w:webHidden/>
          </w:rPr>
        </w:r>
        <w:r w:rsidR="000C6C6D">
          <w:rPr>
            <w:noProof/>
            <w:webHidden/>
          </w:rPr>
          <w:fldChar w:fldCharType="separate"/>
        </w:r>
        <w:r w:rsidR="00F05D99">
          <w:rPr>
            <w:noProof/>
            <w:webHidden/>
          </w:rPr>
          <w:t>46</w:t>
        </w:r>
        <w:r w:rsidR="000C6C6D">
          <w:rPr>
            <w:noProof/>
            <w:webHidden/>
          </w:rPr>
          <w:fldChar w:fldCharType="end"/>
        </w:r>
      </w:hyperlink>
    </w:p>
    <w:p w14:paraId="5715B1A0" w14:textId="1F38BC61" w:rsidR="000C6C6D" w:rsidRDefault="00F76DB1">
      <w:pPr>
        <w:pStyle w:val="TOC3"/>
        <w:rPr>
          <w:rFonts w:asciiTheme="minorHAnsi" w:eastAsiaTheme="minorEastAsia" w:hAnsiTheme="minorHAnsi" w:cstheme="minorBidi"/>
          <w:noProof/>
          <w:color w:val="auto"/>
          <w:sz w:val="22"/>
          <w:szCs w:val="22"/>
        </w:rPr>
      </w:pPr>
      <w:hyperlink w:anchor="_Toc12808858" w:history="1">
        <w:r w:rsidR="000C6C6D" w:rsidRPr="000C43DB">
          <w:rPr>
            <w:rStyle w:val="Hyperlink"/>
            <w:noProof/>
          </w:rPr>
          <w:t>5.6.21</w:t>
        </w:r>
        <w:r w:rsidR="000C6C6D">
          <w:rPr>
            <w:rFonts w:asciiTheme="minorHAnsi" w:eastAsiaTheme="minorEastAsia" w:hAnsiTheme="minorHAnsi" w:cstheme="minorBidi"/>
            <w:noProof/>
            <w:color w:val="auto"/>
            <w:sz w:val="22"/>
            <w:szCs w:val="22"/>
          </w:rPr>
          <w:tab/>
        </w:r>
        <w:r w:rsidR="000C6C6D" w:rsidRPr="000C43DB">
          <w:rPr>
            <w:rStyle w:val="Hyperlink"/>
            <w:noProof/>
          </w:rPr>
          <w:t>Performance-Based Requirements for Extending the Snubber Inservice Visual Examination Interval at Light-Water Reactor Power Plants</w:t>
        </w:r>
        <w:r w:rsidR="000C6C6D">
          <w:rPr>
            <w:noProof/>
            <w:webHidden/>
          </w:rPr>
          <w:tab/>
        </w:r>
        <w:r w:rsidR="000C6C6D">
          <w:rPr>
            <w:noProof/>
            <w:webHidden/>
          </w:rPr>
          <w:fldChar w:fldCharType="begin"/>
        </w:r>
        <w:r w:rsidR="000C6C6D">
          <w:rPr>
            <w:noProof/>
            <w:webHidden/>
          </w:rPr>
          <w:instrText xml:space="preserve"> PAGEREF _Toc12808858 \h </w:instrText>
        </w:r>
        <w:r w:rsidR="000C6C6D">
          <w:rPr>
            <w:noProof/>
            <w:webHidden/>
          </w:rPr>
        </w:r>
        <w:r w:rsidR="000C6C6D">
          <w:rPr>
            <w:noProof/>
            <w:webHidden/>
          </w:rPr>
          <w:fldChar w:fldCharType="separate"/>
        </w:r>
        <w:r w:rsidR="00F05D99">
          <w:rPr>
            <w:noProof/>
            <w:webHidden/>
          </w:rPr>
          <w:t>46</w:t>
        </w:r>
        <w:r w:rsidR="000C6C6D">
          <w:rPr>
            <w:noProof/>
            <w:webHidden/>
          </w:rPr>
          <w:fldChar w:fldCharType="end"/>
        </w:r>
      </w:hyperlink>
    </w:p>
    <w:p w14:paraId="764C1C04" w14:textId="29A5C225" w:rsidR="000C6C6D" w:rsidRDefault="00F76DB1">
      <w:pPr>
        <w:pStyle w:val="TOC3"/>
        <w:rPr>
          <w:rFonts w:asciiTheme="minorHAnsi" w:eastAsiaTheme="minorEastAsia" w:hAnsiTheme="minorHAnsi" w:cstheme="minorBidi"/>
          <w:noProof/>
          <w:color w:val="auto"/>
          <w:sz w:val="22"/>
          <w:szCs w:val="22"/>
        </w:rPr>
      </w:pPr>
      <w:hyperlink w:anchor="_Toc12808859" w:history="1">
        <w:r w:rsidR="000C6C6D" w:rsidRPr="000C43DB">
          <w:rPr>
            <w:rStyle w:val="Hyperlink"/>
            <w:noProof/>
          </w:rPr>
          <w:t>5.6.22</w:t>
        </w:r>
        <w:r w:rsidR="000C6C6D">
          <w:rPr>
            <w:rFonts w:asciiTheme="minorHAnsi" w:eastAsiaTheme="minorEastAsia" w:hAnsiTheme="minorHAnsi" w:cstheme="minorBidi"/>
            <w:noProof/>
            <w:color w:val="auto"/>
            <w:sz w:val="22"/>
            <w:szCs w:val="22"/>
          </w:rPr>
          <w:tab/>
        </w:r>
        <w:r w:rsidR="000C6C6D" w:rsidRPr="000C43DB">
          <w:rPr>
            <w:rStyle w:val="Hyperlink"/>
            <w:noProof/>
          </w:rPr>
          <w:t>Inservice Test Frequency</w:t>
        </w:r>
        <w:r w:rsidR="000C6C6D">
          <w:rPr>
            <w:noProof/>
            <w:webHidden/>
          </w:rPr>
          <w:tab/>
        </w:r>
        <w:r w:rsidR="000C6C6D">
          <w:rPr>
            <w:noProof/>
            <w:webHidden/>
          </w:rPr>
          <w:fldChar w:fldCharType="begin"/>
        </w:r>
        <w:r w:rsidR="000C6C6D">
          <w:rPr>
            <w:noProof/>
            <w:webHidden/>
          </w:rPr>
          <w:instrText xml:space="preserve"> PAGEREF _Toc12808859 \h </w:instrText>
        </w:r>
        <w:r w:rsidR="000C6C6D">
          <w:rPr>
            <w:noProof/>
            <w:webHidden/>
          </w:rPr>
        </w:r>
        <w:r w:rsidR="000C6C6D">
          <w:rPr>
            <w:noProof/>
            <w:webHidden/>
          </w:rPr>
          <w:fldChar w:fldCharType="separate"/>
        </w:r>
        <w:r w:rsidR="00F05D99">
          <w:rPr>
            <w:noProof/>
            <w:webHidden/>
          </w:rPr>
          <w:t>47</w:t>
        </w:r>
        <w:r w:rsidR="000C6C6D">
          <w:rPr>
            <w:noProof/>
            <w:webHidden/>
          </w:rPr>
          <w:fldChar w:fldCharType="end"/>
        </w:r>
      </w:hyperlink>
    </w:p>
    <w:p w14:paraId="60DBBDF0" w14:textId="7B2C9575" w:rsidR="000C6C6D" w:rsidRDefault="00F76DB1">
      <w:pPr>
        <w:pStyle w:val="TOC2"/>
        <w:rPr>
          <w:rFonts w:asciiTheme="minorHAnsi" w:eastAsiaTheme="minorEastAsia" w:hAnsiTheme="minorHAnsi" w:cstheme="minorBidi"/>
          <w:noProof/>
          <w:color w:val="auto"/>
          <w:sz w:val="22"/>
          <w:szCs w:val="22"/>
        </w:rPr>
      </w:pPr>
      <w:hyperlink w:anchor="_Toc12808860" w:history="1">
        <w:r w:rsidR="000C6C6D" w:rsidRPr="000C43DB">
          <w:rPr>
            <w:rStyle w:val="Hyperlink"/>
            <w:noProof/>
          </w:rPr>
          <w:t>5.7</w:t>
        </w:r>
        <w:r w:rsidR="000C6C6D">
          <w:rPr>
            <w:rFonts w:asciiTheme="minorHAnsi" w:eastAsiaTheme="minorEastAsia" w:hAnsiTheme="minorHAnsi" w:cstheme="minorBidi"/>
            <w:noProof/>
            <w:color w:val="auto"/>
            <w:sz w:val="22"/>
            <w:szCs w:val="22"/>
          </w:rPr>
          <w:tab/>
        </w:r>
        <w:r w:rsidR="000C6C6D" w:rsidRPr="000C43DB">
          <w:rPr>
            <w:rStyle w:val="Hyperlink"/>
            <w:noProof/>
          </w:rPr>
          <w:t>NRC Operation</w:t>
        </w:r>
        <w:r w:rsidR="000C6C6D">
          <w:rPr>
            <w:noProof/>
            <w:webHidden/>
          </w:rPr>
          <w:tab/>
        </w:r>
        <w:r w:rsidR="000C6C6D">
          <w:rPr>
            <w:noProof/>
            <w:webHidden/>
          </w:rPr>
          <w:fldChar w:fldCharType="begin"/>
        </w:r>
        <w:r w:rsidR="000C6C6D">
          <w:rPr>
            <w:noProof/>
            <w:webHidden/>
          </w:rPr>
          <w:instrText xml:space="preserve"> PAGEREF _Toc12808860 \h </w:instrText>
        </w:r>
        <w:r w:rsidR="000C6C6D">
          <w:rPr>
            <w:noProof/>
            <w:webHidden/>
          </w:rPr>
        </w:r>
        <w:r w:rsidR="000C6C6D">
          <w:rPr>
            <w:noProof/>
            <w:webHidden/>
          </w:rPr>
          <w:fldChar w:fldCharType="separate"/>
        </w:r>
        <w:r w:rsidR="00F05D99">
          <w:rPr>
            <w:noProof/>
            <w:webHidden/>
          </w:rPr>
          <w:t>47</w:t>
        </w:r>
        <w:r w:rsidR="000C6C6D">
          <w:rPr>
            <w:noProof/>
            <w:webHidden/>
          </w:rPr>
          <w:fldChar w:fldCharType="end"/>
        </w:r>
      </w:hyperlink>
    </w:p>
    <w:p w14:paraId="69127D05" w14:textId="473804AC" w:rsidR="000C6C6D" w:rsidRDefault="00F76DB1">
      <w:pPr>
        <w:pStyle w:val="TOC3"/>
        <w:rPr>
          <w:rFonts w:asciiTheme="minorHAnsi" w:eastAsiaTheme="minorEastAsia" w:hAnsiTheme="minorHAnsi" w:cstheme="minorBidi"/>
          <w:noProof/>
          <w:color w:val="auto"/>
          <w:sz w:val="22"/>
          <w:szCs w:val="22"/>
        </w:rPr>
      </w:pPr>
      <w:hyperlink w:anchor="_Toc12808861" w:history="1">
        <w:r w:rsidR="000C6C6D" w:rsidRPr="000C43DB">
          <w:rPr>
            <w:rStyle w:val="Hyperlink"/>
            <w:noProof/>
          </w:rPr>
          <w:t>5.7.1</w:t>
        </w:r>
        <w:r w:rsidR="000C6C6D">
          <w:rPr>
            <w:rFonts w:asciiTheme="minorHAnsi" w:eastAsiaTheme="minorEastAsia" w:hAnsiTheme="minorHAnsi" w:cstheme="minorBidi"/>
            <w:noProof/>
            <w:color w:val="auto"/>
            <w:sz w:val="22"/>
            <w:szCs w:val="22"/>
          </w:rPr>
          <w:tab/>
        </w:r>
        <w:r w:rsidR="000C6C6D" w:rsidRPr="000C43DB">
          <w:rPr>
            <w:rStyle w:val="Hyperlink"/>
            <w:noProof/>
          </w:rPr>
          <w:t>Additional Materials for Subsection NF, Class 1, 2, 3, and Metal Containment Supports Fabricated by Welding</w:t>
        </w:r>
        <w:r w:rsidR="000C6C6D">
          <w:rPr>
            <w:noProof/>
            <w:webHidden/>
          </w:rPr>
          <w:tab/>
        </w:r>
        <w:r w:rsidR="000C6C6D">
          <w:rPr>
            <w:noProof/>
            <w:webHidden/>
          </w:rPr>
          <w:fldChar w:fldCharType="begin"/>
        </w:r>
        <w:r w:rsidR="000C6C6D">
          <w:rPr>
            <w:noProof/>
            <w:webHidden/>
          </w:rPr>
          <w:instrText xml:space="preserve"> PAGEREF _Toc12808861 \h </w:instrText>
        </w:r>
        <w:r w:rsidR="000C6C6D">
          <w:rPr>
            <w:noProof/>
            <w:webHidden/>
          </w:rPr>
        </w:r>
        <w:r w:rsidR="000C6C6D">
          <w:rPr>
            <w:noProof/>
            <w:webHidden/>
          </w:rPr>
          <w:fldChar w:fldCharType="separate"/>
        </w:r>
        <w:r w:rsidR="00F05D99">
          <w:rPr>
            <w:noProof/>
            <w:webHidden/>
          </w:rPr>
          <w:t>47</w:t>
        </w:r>
        <w:r w:rsidR="000C6C6D">
          <w:rPr>
            <w:noProof/>
            <w:webHidden/>
          </w:rPr>
          <w:fldChar w:fldCharType="end"/>
        </w:r>
      </w:hyperlink>
    </w:p>
    <w:p w14:paraId="05532B0C" w14:textId="762C81AF" w:rsidR="000C6C6D" w:rsidRDefault="00F76DB1">
      <w:pPr>
        <w:pStyle w:val="TOC3"/>
        <w:rPr>
          <w:rFonts w:asciiTheme="minorHAnsi" w:eastAsiaTheme="minorEastAsia" w:hAnsiTheme="minorHAnsi" w:cstheme="minorBidi"/>
          <w:noProof/>
          <w:color w:val="auto"/>
          <w:sz w:val="22"/>
          <w:szCs w:val="22"/>
        </w:rPr>
      </w:pPr>
      <w:hyperlink w:anchor="_Toc12808862" w:history="1">
        <w:r w:rsidR="000C6C6D" w:rsidRPr="000C43DB">
          <w:rPr>
            <w:rStyle w:val="Hyperlink"/>
            <w:noProof/>
          </w:rPr>
          <w:t>5.7.2</w:t>
        </w:r>
        <w:r w:rsidR="000C6C6D">
          <w:rPr>
            <w:rFonts w:asciiTheme="minorHAnsi" w:eastAsiaTheme="minorEastAsia" w:hAnsiTheme="minorHAnsi" w:cstheme="minorBidi"/>
            <w:noProof/>
            <w:color w:val="auto"/>
            <w:sz w:val="22"/>
            <w:szCs w:val="22"/>
          </w:rPr>
          <w:tab/>
        </w:r>
        <w:r w:rsidR="000C6C6D" w:rsidRPr="000C43DB">
          <w:rPr>
            <w:rStyle w:val="Hyperlink"/>
            <w:noProof/>
          </w:rPr>
          <w:t>Underwater Welding, Section XI, Division 1</w:t>
        </w:r>
        <w:r w:rsidR="000C6C6D">
          <w:rPr>
            <w:noProof/>
            <w:webHidden/>
          </w:rPr>
          <w:tab/>
        </w:r>
        <w:r w:rsidR="000C6C6D">
          <w:rPr>
            <w:noProof/>
            <w:webHidden/>
          </w:rPr>
          <w:fldChar w:fldCharType="begin"/>
        </w:r>
        <w:r w:rsidR="000C6C6D">
          <w:rPr>
            <w:noProof/>
            <w:webHidden/>
          </w:rPr>
          <w:instrText xml:space="preserve"> PAGEREF _Toc12808862 \h </w:instrText>
        </w:r>
        <w:r w:rsidR="000C6C6D">
          <w:rPr>
            <w:noProof/>
            <w:webHidden/>
          </w:rPr>
        </w:r>
        <w:r w:rsidR="000C6C6D">
          <w:rPr>
            <w:noProof/>
            <w:webHidden/>
          </w:rPr>
          <w:fldChar w:fldCharType="separate"/>
        </w:r>
        <w:r w:rsidR="00F05D99">
          <w:rPr>
            <w:noProof/>
            <w:webHidden/>
          </w:rPr>
          <w:t>48</w:t>
        </w:r>
        <w:r w:rsidR="000C6C6D">
          <w:rPr>
            <w:noProof/>
            <w:webHidden/>
          </w:rPr>
          <w:fldChar w:fldCharType="end"/>
        </w:r>
      </w:hyperlink>
    </w:p>
    <w:p w14:paraId="62A712FF" w14:textId="2B797FC9" w:rsidR="000C6C6D" w:rsidRDefault="00F76DB1">
      <w:pPr>
        <w:pStyle w:val="TOC3"/>
        <w:rPr>
          <w:rFonts w:asciiTheme="minorHAnsi" w:eastAsiaTheme="minorEastAsia" w:hAnsiTheme="minorHAnsi" w:cstheme="minorBidi"/>
          <w:noProof/>
          <w:color w:val="auto"/>
          <w:sz w:val="22"/>
          <w:szCs w:val="22"/>
        </w:rPr>
      </w:pPr>
      <w:hyperlink w:anchor="_Toc12808863" w:history="1">
        <w:r w:rsidR="000C6C6D" w:rsidRPr="000C43DB">
          <w:rPr>
            <w:rStyle w:val="Hyperlink"/>
            <w:noProof/>
          </w:rPr>
          <w:t>5.7.3</w:t>
        </w:r>
        <w:r w:rsidR="000C6C6D">
          <w:rPr>
            <w:rFonts w:asciiTheme="minorHAnsi" w:eastAsiaTheme="minorEastAsia" w:hAnsiTheme="minorHAnsi" w:cstheme="minorBidi"/>
            <w:noProof/>
            <w:color w:val="auto"/>
            <w:sz w:val="22"/>
            <w:szCs w:val="22"/>
          </w:rPr>
          <w:tab/>
        </w:r>
        <w:r w:rsidR="000C6C6D" w:rsidRPr="000C43DB">
          <w:rPr>
            <w:rStyle w:val="Hyperlink"/>
            <w:noProof/>
          </w:rPr>
          <w:t>Evaluation of Pipe Wall Thinning, Section XI</w:t>
        </w:r>
        <w:r w:rsidR="000C6C6D">
          <w:rPr>
            <w:noProof/>
            <w:webHidden/>
          </w:rPr>
          <w:tab/>
        </w:r>
        <w:r w:rsidR="000C6C6D">
          <w:rPr>
            <w:noProof/>
            <w:webHidden/>
          </w:rPr>
          <w:fldChar w:fldCharType="begin"/>
        </w:r>
        <w:r w:rsidR="000C6C6D">
          <w:rPr>
            <w:noProof/>
            <w:webHidden/>
          </w:rPr>
          <w:instrText xml:space="preserve"> PAGEREF _Toc12808863 \h </w:instrText>
        </w:r>
        <w:r w:rsidR="000C6C6D">
          <w:rPr>
            <w:noProof/>
            <w:webHidden/>
          </w:rPr>
        </w:r>
        <w:r w:rsidR="000C6C6D">
          <w:rPr>
            <w:noProof/>
            <w:webHidden/>
          </w:rPr>
          <w:fldChar w:fldCharType="separate"/>
        </w:r>
        <w:r w:rsidR="00F05D99">
          <w:rPr>
            <w:noProof/>
            <w:webHidden/>
          </w:rPr>
          <w:t>48</w:t>
        </w:r>
        <w:r w:rsidR="000C6C6D">
          <w:rPr>
            <w:noProof/>
            <w:webHidden/>
          </w:rPr>
          <w:fldChar w:fldCharType="end"/>
        </w:r>
      </w:hyperlink>
    </w:p>
    <w:p w14:paraId="3E909DD9" w14:textId="700C80BD" w:rsidR="000C6C6D" w:rsidRDefault="00F76DB1">
      <w:pPr>
        <w:pStyle w:val="TOC3"/>
        <w:rPr>
          <w:rFonts w:asciiTheme="minorHAnsi" w:eastAsiaTheme="minorEastAsia" w:hAnsiTheme="minorHAnsi" w:cstheme="minorBidi"/>
          <w:noProof/>
          <w:color w:val="auto"/>
          <w:sz w:val="22"/>
          <w:szCs w:val="22"/>
        </w:rPr>
      </w:pPr>
      <w:hyperlink w:anchor="_Toc12808864" w:history="1">
        <w:r w:rsidR="000C6C6D" w:rsidRPr="000C43DB">
          <w:rPr>
            <w:rStyle w:val="Hyperlink"/>
            <w:noProof/>
          </w:rPr>
          <w:t>5.7.4</w:t>
        </w:r>
        <w:r w:rsidR="000C6C6D">
          <w:rPr>
            <w:rFonts w:asciiTheme="minorHAnsi" w:eastAsiaTheme="minorEastAsia" w:hAnsiTheme="minorHAnsi" w:cstheme="minorBidi"/>
            <w:noProof/>
            <w:color w:val="auto"/>
            <w:sz w:val="22"/>
            <w:szCs w:val="22"/>
          </w:rPr>
          <w:tab/>
        </w:r>
        <w:r w:rsidR="000C6C6D" w:rsidRPr="000C43DB">
          <w:rPr>
            <w:rStyle w:val="Hyperlink"/>
            <w:noProof/>
          </w:rPr>
          <w:t>Similar and Dissimilar Metal Welding Using an Ambient Temperature Machine Gas Tungsten Arc Welding Temper Bead Technique for Boiling-Water Reactor Control Rod Drive Housing/Stub Tube Repairs</w:t>
        </w:r>
        <w:r w:rsidR="000C6C6D">
          <w:rPr>
            <w:noProof/>
            <w:webHidden/>
          </w:rPr>
          <w:tab/>
        </w:r>
        <w:r w:rsidR="000C6C6D">
          <w:rPr>
            <w:noProof/>
            <w:webHidden/>
          </w:rPr>
          <w:fldChar w:fldCharType="begin"/>
        </w:r>
        <w:r w:rsidR="000C6C6D">
          <w:rPr>
            <w:noProof/>
            <w:webHidden/>
          </w:rPr>
          <w:instrText xml:space="preserve"> PAGEREF _Toc12808864 \h </w:instrText>
        </w:r>
        <w:r w:rsidR="000C6C6D">
          <w:rPr>
            <w:noProof/>
            <w:webHidden/>
          </w:rPr>
        </w:r>
        <w:r w:rsidR="000C6C6D">
          <w:rPr>
            <w:noProof/>
            <w:webHidden/>
          </w:rPr>
          <w:fldChar w:fldCharType="separate"/>
        </w:r>
        <w:r w:rsidR="00F05D99">
          <w:rPr>
            <w:noProof/>
            <w:webHidden/>
          </w:rPr>
          <w:t>48</w:t>
        </w:r>
        <w:r w:rsidR="000C6C6D">
          <w:rPr>
            <w:noProof/>
            <w:webHidden/>
          </w:rPr>
          <w:fldChar w:fldCharType="end"/>
        </w:r>
      </w:hyperlink>
    </w:p>
    <w:p w14:paraId="4D04662C" w14:textId="4E48CA11" w:rsidR="000C6C6D" w:rsidRDefault="00F76DB1">
      <w:pPr>
        <w:pStyle w:val="TOC3"/>
        <w:rPr>
          <w:rFonts w:asciiTheme="minorHAnsi" w:eastAsiaTheme="minorEastAsia" w:hAnsiTheme="minorHAnsi" w:cstheme="minorBidi"/>
          <w:noProof/>
          <w:color w:val="auto"/>
          <w:sz w:val="22"/>
          <w:szCs w:val="22"/>
        </w:rPr>
      </w:pPr>
      <w:hyperlink w:anchor="_Toc12808865" w:history="1">
        <w:r w:rsidR="000C6C6D" w:rsidRPr="000C43DB">
          <w:rPr>
            <w:rStyle w:val="Hyperlink"/>
            <w:noProof/>
          </w:rPr>
          <w:t>5.7.5</w:t>
        </w:r>
        <w:r w:rsidR="000C6C6D">
          <w:rPr>
            <w:rFonts w:asciiTheme="minorHAnsi" w:eastAsiaTheme="minorEastAsia" w:hAnsiTheme="minorHAnsi" w:cstheme="minorBidi"/>
            <w:noProof/>
            <w:color w:val="auto"/>
            <w:sz w:val="22"/>
            <w:szCs w:val="22"/>
          </w:rPr>
          <w:tab/>
        </w:r>
        <w:r w:rsidR="000C6C6D" w:rsidRPr="000C43DB">
          <w:rPr>
            <w:rStyle w:val="Hyperlink"/>
            <w:noProof/>
          </w:rPr>
          <w:t>Similar and Dissimilar Metal Welding Using an Ambient Temperature Machine Gas Tungsten Arc Welding Temper Bead Technique</w:t>
        </w:r>
        <w:r w:rsidR="000C6C6D">
          <w:rPr>
            <w:noProof/>
            <w:webHidden/>
          </w:rPr>
          <w:tab/>
        </w:r>
        <w:r w:rsidR="000C6C6D">
          <w:rPr>
            <w:noProof/>
            <w:webHidden/>
          </w:rPr>
          <w:fldChar w:fldCharType="begin"/>
        </w:r>
        <w:r w:rsidR="000C6C6D">
          <w:rPr>
            <w:noProof/>
            <w:webHidden/>
          </w:rPr>
          <w:instrText xml:space="preserve"> PAGEREF _Toc12808865 \h </w:instrText>
        </w:r>
        <w:r w:rsidR="000C6C6D">
          <w:rPr>
            <w:noProof/>
            <w:webHidden/>
          </w:rPr>
        </w:r>
        <w:r w:rsidR="000C6C6D">
          <w:rPr>
            <w:noProof/>
            <w:webHidden/>
          </w:rPr>
          <w:fldChar w:fldCharType="separate"/>
        </w:r>
        <w:r w:rsidR="00F05D99">
          <w:rPr>
            <w:noProof/>
            <w:webHidden/>
          </w:rPr>
          <w:t>48</w:t>
        </w:r>
        <w:r w:rsidR="000C6C6D">
          <w:rPr>
            <w:noProof/>
            <w:webHidden/>
          </w:rPr>
          <w:fldChar w:fldCharType="end"/>
        </w:r>
      </w:hyperlink>
    </w:p>
    <w:p w14:paraId="3CD085BE" w14:textId="25E392AB" w:rsidR="000C6C6D" w:rsidRDefault="00F76DB1">
      <w:pPr>
        <w:pStyle w:val="TOC3"/>
        <w:rPr>
          <w:rFonts w:asciiTheme="minorHAnsi" w:eastAsiaTheme="minorEastAsia" w:hAnsiTheme="minorHAnsi" w:cstheme="minorBidi"/>
          <w:noProof/>
          <w:color w:val="auto"/>
          <w:sz w:val="22"/>
          <w:szCs w:val="22"/>
        </w:rPr>
      </w:pPr>
      <w:hyperlink w:anchor="_Toc12808866" w:history="1">
        <w:r w:rsidR="000C6C6D" w:rsidRPr="000C43DB">
          <w:rPr>
            <w:rStyle w:val="Hyperlink"/>
            <w:noProof/>
          </w:rPr>
          <w:t>5.7.6</w:t>
        </w:r>
        <w:r w:rsidR="000C6C6D">
          <w:rPr>
            <w:rFonts w:asciiTheme="minorHAnsi" w:eastAsiaTheme="minorEastAsia" w:hAnsiTheme="minorHAnsi" w:cstheme="minorBidi"/>
            <w:noProof/>
            <w:color w:val="auto"/>
            <w:sz w:val="22"/>
            <w:szCs w:val="22"/>
          </w:rPr>
          <w:tab/>
        </w:r>
        <w:r w:rsidR="000C6C6D" w:rsidRPr="000C43DB">
          <w:rPr>
            <w:rStyle w:val="Hyperlink"/>
            <w:noProof/>
          </w:rPr>
          <w:t>Alternative Requirements for Inner Radius Examinations of Class 1 Reactor Vessel Nozzles, Section XI</w:t>
        </w:r>
        <w:r w:rsidR="000C6C6D">
          <w:rPr>
            <w:noProof/>
            <w:webHidden/>
          </w:rPr>
          <w:tab/>
        </w:r>
        <w:r w:rsidR="000C6C6D">
          <w:rPr>
            <w:noProof/>
            <w:webHidden/>
          </w:rPr>
          <w:fldChar w:fldCharType="begin"/>
        </w:r>
        <w:r w:rsidR="000C6C6D">
          <w:rPr>
            <w:noProof/>
            <w:webHidden/>
          </w:rPr>
          <w:instrText xml:space="preserve"> PAGEREF _Toc12808866 \h </w:instrText>
        </w:r>
        <w:r w:rsidR="000C6C6D">
          <w:rPr>
            <w:noProof/>
            <w:webHidden/>
          </w:rPr>
        </w:r>
        <w:r w:rsidR="000C6C6D">
          <w:rPr>
            <w:noProof/>
            <w:webHidden/>
          </w:rPr>
          <w:fldChar w:fldCharType="separate"/>
        </w:r>
        <w:r w:rsidR="00F05D99">
          <w:rPr>
            <w:noProof/>
            <w:webHidden/>
          </w:rPr>
          <w:t>48</w:t>
        </w:r>
        <w:r w:rsidR="000C6C6D">
          <w:rPr>
            <w:noProof/>
            <w:webHidden/>
          </w:rPr>
          <w:fldChar w:fldCharType="end"/>
        </w:r>
      </w:hyperlink>
    </w:p>
    <w:p w14:paraId="26A7A91C" w14:textId="58FEE692" w:rsidR="000C6C6D" w:rsidRDefault="00F76DB1">
      <w:pPr>
        <w:pStyle w:val="TOC3"/>
        <w:rPr>
          <w:rFonts w:asciiTheme="minorHAnsi" w:eastAsiaTheme="minorEastAsia" w:hAnsiTheme="minorHAnsi" w:cstheme="minorBidi"/>
          <w:noProof/>
          <w:color w:val="auto"/>
          <w:sz w:val="22"/>
          <w:szCs w:val="22"/>
        </w:rPr>
      </w:pPr>
      <w:hyperlink w:anchor="_Toc12808867" w:history="1">
        <w:r w:rsidR="000C6C6D" w:rsidRPr="000C43DB">
          <w:rPr>
            <w:rStyle w:val="Hyperlink"/>
            <w:noProof/>
          </w:rPr>
          <w:t>5.7.7</w:t>
        </w:r>
        <w:r w:rsidR="000C6C6D">
          <w:rPr>
            <w:rFonts w:asciiTheme="minorHAnsi" w:eastAsiaTheme="minorEastAsia" w:hAnsiTheme="minorHAnsi" w:cstheme="minorBidi"/>
            <w:noProof/>
            <w:color w:val="auto"/>
            <w:sz w:val="22"/>
            <w:szCs w:val="22"/>
          </w:rPr>
          <w:tab/>
        </w:r>
        <w:r w:rsidR="000C6C6D" w:rsidRPr="000C43DB">
          <w:rPr>
            <w:rStyle w:val="Hyperlink"/>
            <w:noProof/>
          </w:rPr>
          <w:t>Qualification Requirements for Dissimilar Metal Piping Welds</w:t>
        </w:r>
        <w:r w:rsidR="000C6C6D">
          <w:rPr>
            <w:noProof/>
            <w:webHidden/>
          </w:rPr>
          <w:tab/>
        </w:r>
        <w:r w:rsidR="000C6C6D">
          <w:rPr>
            <w:noProof/>
            <w:webHidden/>
          </w:rPr>
          <w:fldChar w:fldCharType="begin"/>
        </w:r>
        <w:r w:rsidR="000C6C6D">
          <w:rPr>
            <w:noProof/>
            <w:webHidden/>
          </w:rPr>
          <w:instrText xml:space="preserve"> PAGEREF _Toc12808867 \h </w:instrText>
        </w:r>
        <w:r w:rsidR="000C6C6D">
          <w:rPr>
            <w:noProof/>
            <w:webHidden/>
          </w:rPr>
        </w:r>
        <w:r w:rsidR="000C6C6D">
          <w:rPr>
            <w:noProof/>
            <w:webHidden/>
          </w:rPr>
          <w:fldChar w:fldCharType="separate"/>
        </w:r>
        <w:r w:rsidR="00F05D99">
          <w:rPr>
            <w:noProof/>
            <w:webHidden/>
          </w:rPr>
          <w:t>48</w:t>
        </w:r>
        <w:r w:rsidR="000C6C6D">
          <w:rPr>
            <w:noProof/>
            <w:webHidden/>
          </w:rPr>
          <w:fldChar w:fldCharType="end"/>
        </w:r>
      </w:hyperlink>
    </w:p>
    <w:p w14:paraId="090F5DE8" w14:textId="4BBFAA39" w:rsidR="000C6C6D" w:rsidRDefault="00F76DB1">
      <w:pPr>
        <w:pStyle w:val="TOC3"/>
        <w:rPr>
          <w:rFonts w:asciiTheme="minorHAnsi" w:eastAsiaTheme="minorEastAsia" w:hAnsiTheme="minorHAnsi" w:cstheme="minorBidi"/>
          <w:noProof/>
          <w:color w:val="auto"/>
          <w:sz w:val="22"/>
          <w:szCs w:val="22"/>
        </w:rPr>
      </w:pPr>
      <w:hyperlink w:anchor="_Toc12808868" w:history="1">
        <w:r w:rsidR="000C6C6D" w:rsidRPr="000C43DB">
          <w:rPr>
            <w:rStyle w:val="Hyperlink"/>
            <w:noProof/>
          </w:rPr>
          <w:t>5.7.8</w:t>
        </w:r>
        <w:r w:rsidR="000C6C6D">
          <w:rPr>
            <w:rFonts w:asciiTheme="minorHAnsi" w:eastAsiaTheme="minorEastAsia" w:hAnsiTheme="minorHAnsi" w:cstheme="minorBidi"/>
            <w:noProof/>
            <w:color w:val="auto"/>
            <w:sz w:val="22"/>
            <w:szCs w:val="22"/>
          </w:rPr>
          <w:tab/>
        </w:r>
        <w:r w:rsidR="000C6C6D" w:rsidRPr="000C43DB">
          <w:rPr>
            <w:rStyle w:val="Hyperlink"/>
            <w:noProof/>
          </w:rPr>
          <w:t>Qualification Requirements for Mandatory Appendix VIII Piping Examination Conducted from the Inside Surface</w:t>
        </w:r>
        <w:r w:rsidR="000C6C6D">
          <w:rPr>
            <w:noProof/>
            <w:webHidden/>
          </w:rPr>
          <w:tab/>
        </w:r>
        <w:r w:rsidR="000C6C6D">
          <w:rPr>
            <w:noProof/>
            <w:webHidden/>
          </w:rPr>
          <w:fldChar w:fldCharType="begin"/>
        </w:r>
        <w:r w:rsidR="000C6C6D">
          <w:rPr>
            <w:noProof/>
            <w:webHidden/>
          </w:rPr>
          <w:instrText xml:space="preserve"> PAGEREF _Toc12808868 \h </w:instrText>
        </w:r>
        <w:r w:rsidR="000C6C6D">
          <w:rPr>
            <w:noProof/>
            <w:webHidden/>
          </w:rPr>
        </w:r>
        <w:r w:rsidR="000C6C6D">
          <w:rPr>
            <w:noProof/>
            <w:webHidden/>
          </w:rPr>
          <w:fldChar w:fldCharType="separate"/>
        </w:r>
        <w:r w:rsidR="00F05D99">
          <w:rPr>
            <w:noProof/>
            <w:webHidden/>
          </w:rPr>
          <w:t>48</w:t>
        </w:r>
        <w:r w:rsidR="000C6C6D">
          <w:rPr>
            <w:noProof/>
            <w:webHidden/>
          </w:rPr>
          <w:fldChar w:fldCharType="end"/>
        </w:r>
      </w:hyperlink>
    </w:p>
    <w:p w14:paraId="2D9252BE" w14:textId="71445D6E" w:rsidR="000C6C6D" w:rsidRDefault="00F76DB1">
      <w:pPr>
        <w:pStyle w:val="TOC3"/>
        <w:rPr>
          <w:rFonts w:asciiTheme="minorHAnsi" w:eastAsiaTheme="minorEastAsia" w:hAnsiTheme="minorHAnsi" w:cstheme="minorBidi"/>
          <w:noProof/>
          <w:color w:val="auto"/>
          <w:sz w:val="22"/>
          <w:szCs w:val="22"/>
        </w:rPr>
      </w:pPr>
      <w:hyperlink w:anchor="_Toc12808869" w:history="1">
        <w:r w:rsidR="000C6C6D" w:rsidRPr="000C43DB">
          <w:rPr>
            <w:rStyle w:val="Hyperlink"/>
            <w:noProof/>
          </w:rPr>
          <w:t>5.7.9</w:t>
        </w:r>
        <w:r w:rsidR="000C6C6D">
          <w:rPr>
            <w:rFonts w:asciiTheme="minorHAnsi" w:eastAsiaTheme="minorEastAsia" w:hAnsiTheme="minorHAnsi" w:cstheme="minorBidi"/>
            <w:noProof/>
            <w:color w:val="auto"/>
            <w:sz w:val="22"/>
            <w:szCs w:val="22"/>
          </w:rPr>
          <w:tab/>
        </w:r>
        <w:r w:rsidR="000C6C6D" w:rsidRPr="000C43DB">
          <w:rPr>
            <w:rStyle w:val="Hyperlink"/>
            <w:noProof/>
          </w:rPr>
          <w:t>Alternative Requirements for Boiling</w:t>
        </w:r>
        <w:r w:rsidR="000C6C6D" w:rsidRPr="000C43DB">
          <w:rPr>
            <w:rStyle w:val="Hyperlink"/>
            <w:noProof/>
          </w:rPr>
          <w:noBreakHyphen/>
          <w:t>Water Reactor Nozzle Inner Radius and  Nozzle</w:t>
        </w:r>
        <w:r w:rsidR="000C6C6D" w:rsidRPr="000C43DB">
          <w:rPr>
            <w:rStyle w:val="Hyperlink"/>
            <w:noProof/>
          </w:rPr>
          <w:noBreakHyphen/>
          <w:t>to</w:t>
        </w:r>
        <w:r w:rsidR="000C6C6D" w:rsidRPr="000C43DB">
          <w:rPr>
            <w:rStyle w:val="Hyperlink"/>
            <w:noProof/>
          </w:rPr>
          <w:noBreakHyphen/>
          <w:t>Shell Welds, Section XI, Division 1</w:t>
        </w:r>
        <w:r w:rsidR="000C6C6D">
          <w:rPr>
            <w:noProof/>
            <w:webHidden/>
          </w:rPr>
          <w:tab/>
        </w:r>
        <w:r w:rsidR="000C6C6D">
          <w:rPr>
            <w:noProof/>
            <w:webHidden/>
          </w:rPr>
          <w:fldChar w:fldCharType="begin"/>
        </w:r>
        <w:r w:rsidR="000C6C6D">
          <w:rPr>
            <w:noProof/>
            <w:webHidden/>
          </w:rPr>
          <w:instrText xml:space="preserve"> PAGEREF _Toc12808869 \h </w:instrText>
        </w:r>
        <w:r w:rsidR="000C6C6D">
          <w:rPr>
            <w:noProof/>
            <w:webHidden/>
          </w:rPr>
        </w:r>
        <w:r w:rsidR="000C6C6D">
          <w:rPr>
            <w:noProof/>
            <w:webHidden/>
          </w:rPr>
          <w:fldChar w:fldCharType="separate"/>
        </w:r>
        <w:r w:rsidR="00F05D99">
          <w:rPr>
            <w:noProof/>
            <w:webHidden/>
          </w:rPr>
          <w:t>49</w:t>
        </w:r>
        <w:r w:rsidR="000C6C6D">
          <w:rPr>
            <w:noProof/>
            <w:webHidden/>
          </w:rPr>
          <w:fldChar w:fldCharType="end"/>
        </w:r>
      </w:hyperlink>
    </w:p>
    <w:p w14:paraId="617D051C" w14:textId="1E7BDA1C" w:rsidR="000C6C6D" w:rsidRDefault="00F76DB1">
      <w:pPr>
        <w:pStyle w:val="TOC3"/>
        <w:rPr>
          <w:rFonts w:asciiTheme="minorHAnsi" w:eastAsiaTheme="minorEastAsia" w:hAnsiTheme="minorHAnsi" w:cstheme="minorBidi"/>
          <w:noProof/>
          <w:color w:val="auto"/>
          <w:sz w:val="22"/>
          <w:szCs w:val="22"/>
        </w:rPr>
      </w:pPr>
      <w:hyperlink w:anchor="_Toc12808870" w:history="1">
        <w:r w:rsidR="000C6C6D" w:rsidRPr="000C43DB">
          <w:rPr>
            <w:rStyle w:val="Hyperlink"/>
            <w:noProof/>
          </w:rPr>
          <w:t>5.7.10</w:t>
        </w:r>
        <w:r w:rsidR="000C6C6D">
          <w:rPr>
            <w:rFonts w:asciiTheme="minorHAnsi" w:eastAsiaTheme="minorEastAsia" w:hAnsiTheme="minorHAnsi" w:cstheme="minorBidi"/>
            <w:noProof/>
            <w:color w:val="auto"/>
            <w:sz w:val="22"/>
            <w:szCs w:val="22"/>
          </w:rPr>
          <w:tab/>
        </w:r>
        <w:r w:rsidR="000C6C6D" w:rsidRPr="000C43DB">
          <w:rPr>
            <w:rStyle w:val="Hyperlink"/>
            <w:noProof/>
          </w:rPr>
          <w:t>Evaluation Criteria for Temporary Acceptance of Degradation in Moderate</w:t>
        </w:r>
        <w:r w:rsidR="000C6C6D" w:rsidRPr="000C43DB">
          <w:rPr>
            <w:rStyle w:val="Hyperlink"/>
            <w:noProof/>
          </w:rPr>
          <w:noBreakHyphen/>
          <w:t>Energy Class 2 or 3 Vessels and Tanks</w:t>
        </w:r>
        <w:r w:rsidR="000C6C6D">
          <w:rPr>
            <w:noProof/>
            <w:webHidden/>
          </w:rPr>
          <w:tab/>
        </w:r>
        <w:r w:rsidR="000C6C6D">
          <w:rPr>
            <w:noProof/>
            <w:webHidden/>
          </w:rPr>
          <w:fldChar w:fldCharType="begin"/>
        </w:r>
        <w:r w:rsidR="000C6C6D">
          <w:rPr>
            <w:noProof/>
            <w:webHidden/>
          </w:rPr>
          <w:instrText xml:space="preserve"> PAGEREF _Toc12808870 \h </w:instrText>
        </w:r>
        <w:r w:rsidR="000C6C6D">
          <w:rPr>
            <w:noProof/>
            <w:webHidden/>
          </w:rPr>
        </w:r>
        <w:r w:rsidR="000C6C6D">
          <w:rPr>
            <w:noProof/>
            <w:webHidden/>
          </w:rPr>
          <w:fldChar w:fldCharType="separate"/>
        </w:r>
        <w:r w:rsidR="00F05D99">
          <w:rPr>
            <w:noProof/>
            <w:webHidden/>
          </w:rPr>
          <w:t>49</w:t>
        </w:r>
        <w:r w:rsidR="000C6C6D">
          <w:rPr>
            <w:noProof/>
            <w:webHidden/>
          </w:rPr>
          <w:fldChar w:fldCharType="end"/>
        </w:r>
      </w:hyperlink>
    </w:p>
    <w:p w14:paraId="1439E4F5" w14:textId="796E1657" w:rsidR="000C6C6D" w:rsidRDefault="00F76DB1">
      <w:pPr>
        <w:pStyle w:val="TOC3"/>
        <w:rPr>
          <w:rFonts w:asciiTheme="minorHAnsi" w:eastAsiaTheme="minorEastAsia" w:hAnsiTheme="minorHAnsi" w:cstheme="minorBidi"/>
          <w:noProof/>
          <w:color w:val="auto"/>
          <w:sz w:val="22"/>
          <w:szCs w:val="22"/>
        </w:rPr>
      </w:pPr>
      <w:hyperlink w:anchor="_Toc12808871" w:history="1">
        <w:r w:rsidR="000C6C6D" w:rsidRPr="000C43DB">
          <w:rPr>
            <w:rStyle w:val="Hyperlink"/>
            <w:noProof/>
          </w:rPr>
          <w:t>5.7.11</w:t>
        </w:r>
        <w:r w:rsidR="000C6C6D">
          <w:rPr>
            <w:rFonts w:asciiTheme="minorHAnsi" w:eastAsiaTheme="minorEastAsia" w:hAnsiTheme="minorHAnsi" w:cstheme="minorBidi"/>
            <w:noProof/>
            <w:color w:val="auto"/>
            <w:sz w:val="22"/>
            <w:szCs w:val="22"/>
          </w:rPr>
          <w:tab/>
        </w:r>
        <w:r w:rsidR="000C6C6D" w:rsidRPr="000C43DB">
          <w:rPr>
            <w:rStyle w:val="Hyperlink"/>
            <w:noProof/>
          </w:rPr>
          <w:t>Alternative Examination Coverage Requirements for Examination Category B</w:t>
        </w:r>
        <w:r w:rsidR="000C6C6D" w:rsidRPr="000C43DB">
          <w:rPr>
            <w:rStyle w:val="Hyperlink"/>
            <w:noProof/>
          </w:rPr>
          <w:noBreakHyphen/>
          <w:t>F, B</w:t>
        </w:r>
        <w:r w:rsidR="000C6C6D" w:rsidRPr="000C43DB">
          <w:rPr>
            <w:rStyle w:val="Hyperlink"/>
            <w:noProof/>
          </w:rPr>
          <w:noBreakHyphen/>
          <w:t>J, C</w:t>
        </w:r>
        <w:r w:rsidR="000C6C6D" w:rsidRPr="000C43DB">
          <w:rPr>
            <w:rStyle w:val="Hyperlink"/>
            <w:noProof/>
          </w:rPr>
          <w:noBreakHyphen/>
          <w:t>F</w:t>
        </w:r>
        <w:r w:rsidR="000C6C6D" w:rsidRPr="000C43DB">
          <w:rPr>
            <w:rStyle w:val="Hyperlink"/>
            <w:noProof/>
          </w:rPr>
          <w:noBreakHyphen/>
          <w:t>1, C</w:t>
        </w:r>
        <w:r w:rsidR="000C6C6D" w:rsidRPr="000C43DB">
          <w:rPr>
            <w:rStyle w:val="Hyperlink"/>
            <w:noProof/>
          </w:rPr>
          <w:noBreakHyphen/>
          <w:t>F</w:t>
        </w:r>
        <w:r w:rsidR="000C6C6D" w:rsidRPr="000C43DB">
          <w:rPr>
            <w:rStyle w:val="Hyperlink"/>
            <w:noProof/>
          </w:rPr>
          <w:noBreakHyphen/>
          <w:t>2, and R-A Piping Welds</w:t>
        </w:r>
        <w:r w:rsidR="000C6C6D">
          <w:rPr>
            <w:noProof/>
            <w:webHidden/>
          </w:rPr>
          <w:tab/>
        </w:r>
        <w:r w:rsidR="000C6C6D">
          <w:rPr>
            <w:noProof/>
            <w:webHidden/>
          </w:rPr>
          <w:fldChar w:fldCharType="begin"/>
        </w:r>
        <w:r w:rsidR="000C6C6D">
          <w:rPr>
            <w:noProof/>
            <w:webHidden/>
          </w:rPr>
          <w:instrText xml:space="preserve"> PAGEREF _Toc12808871 \h </w:instrText>
        </w:r>
        <w:r w:rsidR="000C6C6D">
          <w:rPr>
            <w:noProof/>
            <w:webHidden/>
          </w:rPr>
        </w:r>
        <w:r w:rsidR="000C6C6D">
          <w:rPr>
            <w:noProof/>
            <w:webHidden/>
          </w:rPr>
          <w:fldChar w:fldCharType="separate"/>
        </w:r>
        <w:r w:rsidR="00F05D99">
          <w:rPr>
            <w:noProof/>
            <w:webHidden/>
          </w:rPr>
          <w:t>49</w:t>
        </w:r>
        <w:r w:rsidR="000C6C6D">
          <w:rPr>
            <w:noProof/>
            <w:webHidden/>
          </w:rPr>
          <w:fldChar w:fldCharType="end"/>
        </w:r>
      </w:hyperlink>
    </w:p>
    <w:p w14:paraId="0C11400E" w14:textId="59BB3553" w:rsidR="000C6C6D" w:rsidRDefault="00F76DB1">
      <w:pPr>
        <w:pStyle w:val="TOC3"/>
        <w:rPr>
          <w:rFonts w:asciiTheme="minorHAnsi" w:eastAsiaTheme="minorEastAsia" w:hAnsiTheme="minorHAnsi" w:cstheme="minorBidi"/>
          <w:noProof/>
          <w:color w:val="auto"/>
          <w:sz w:val="22"/>
          <w:szCs w:val="22"/>
        </w:rPr>
      </w:pPr>
      <w:hyperlink w:anchor="_Toc12808872" w:history="1">
        <w:r w:rsidR="000C6C6D" w:rsidRPr="000C43DB">
          <w:rPr>
            <w:rStyle w:val="Hyperlink"/>
            <w:noProof/>
          </w:rPr>
          <w:t>5.7.12</w:t>
        </w:r>
        <w:r w:rsidR="000C6C6D">
          <w:rPr>
            <w:rFonts w:asciiTheme="minorHAnsi" w:eastAsiaTheme="minorEastAsia" w:hAnsiTheme="minorHAnsi" w:cstheme="minorBidi"/>
            <w:noProof/>
            <w:color w:val="auto"/>
            <w:sz w:val="22"/>
            <w:szCs w:val="22"/>
          </w:rPr>
          <w:tab/>
        </w:r>
        <w:r w:rsidR="000C6C6D" w:rsidRPr="000C43DB">
          <w:rPr>
            <w:rStyle w:val="Hyperlink"/>
            <w:noProof/>
          </w:rPr>
          <w:t>Optimized Structural Dissimilar Metal Weld Overlay for Mitigation of Pressurized</w:t>
        </w:r>
        <w:r w:rsidR="000C6C6D" w:rsidRPr="000C43DB">
          <w:rPr>
            <w:rStyle w:val="Hyperlink"/>
            <w:noProof/>
          </w:rPr>
          <w:noBreakHyphen/>
          <w:t>Water Reactor Class 1 Items</w:t>
        </w:r>
        <w:r w:rsidR="000C6C6D">
          <w:rPr>
            <w:noProof/>
            <w:webHidden/>
          </w:rPr>
          <w:tab/>
        </w:r>
        <w:r w:rsidR="000C6C6D">
          <w:rPr>
            <w:noProof/>
            <w:webHidden/>
          </w:rPr>
          <w:fldChar w:fldCharType="begin"/>
        </w:r>
        <w:r w:rsidR="000C6C6D">
          <w:rPr>
            <w:noProof/>
            <w:webHidden/>
          </w:rPr>
          <w:instrText xml:space="preserve"> PAGEREF _Toc12808872 \h </w:instrText>
        </w:r>
        <w:r w:rsidR="000C6C6D">
          <w:rPr>
            <w:noProof/>
            <w:webHidden/>
          </w:rPr>
        </w:r>
        <w:r w:rsidR="000C6C6D">
          <w:rPr>
            <w:noProof/>
            <w:webHidden/>
          </w:rPr>
          <w:fldChar w:fldCharType="separate"/>
        </w:r>
        <w:r w:rsidR="00F05D99">
          <w:rPr>
            <w:noProof/>
            <w:webHidden/>
          </w:rPr>
          <w:t>49</w:t>
        </w:r>
        <w:r w:rsidR="000C6C6D">
          <w:rPr>
            <w:noProof/>
            <w:webHidden/>
          </w:rPr>
          <w:fldChar w:fldCharType="end"/>
        </w:r>
      </w:hyperlink>
    </w:p>
    <w:p w14:paraId="0CD323A5" w14:textId="6C9A7E4F" w:rsidR="000C6C6D" w:rsidRDefault="00F76DB1">
      <w:pPr>
        <w:pStyle w:val="TOC3"/>
        <w:rPr>
          <w:rFonts w:asciiTheme="minorHAnsi" w:eastAsiaTheme="minorEastAsia" w:hAnsiTheme="minorHAnsi" w:cstheme="minorBidi"/>
          <w:noProof/>
          <w:color w:val="auto"/>
          <w:sz w:val="22"/>
          <w:szCs w:val="22"/>
        </w:rPr>
      </w:pPr>
      <w:hyperlink w:anchor="_Toc12808873" w:history="1">
        <w:r w:rsidR="000C6C6D" w:rsidRPr="000C43DB">
          <w:rPr>
            <w:rStyle w:val="Hyperlink"/>
            <w:noProof/>
          </w:rPr>
          <w:t>5.7.13</w:t>
        </w:r>
        <w:r w:rsidR="000C6C6D">
          <w:rPr>
            <w:rFonts w:asciiTheme="minorHAnsi" w:eastAsiaTheme="minorEastAsia" w:hAnsiTheme="minorHAnsi" w:cstheme="minorBidi"/>
            <w:noProof/>
            <w:color w:val="auto"/>
            <w:sz w:val="22"/>
            <w:szCs w:val="22"/>
          </w:rPr>
          <w:tab/>
        </w:r>
        <w:r w:rsidR="000C6C6D" w:rsidRPr="000C43DB">
          <w:rPr>
            <w:rStyle w:val="Hyperlink"/>
            <w:noProof/>
          </w:rPr>
          <w:t>Nickel Alloy Reactor Coolant Inlay and Onlay for Mitigation of Pressurized</w:t>
        </w:r>
        <w:r w:rsidR="000C6C6D" w:rsidRPr="000C43DB">
          <w:rPr>
            <w:rStyle w:val="Hyperlink"/>
            <w:noProof/>
          </w:rPr>
          <w:noBreakHyphen/>
          <w:t>Water Reactor Full</w:t>
        </w:r>
        <w:r w:rsidR="000C6C6D" w:rsidRPr="000C43DB">
          <w:rPr>
            <w:rStyle w:val="Hyperlink"/>
            <w:noProof/>
          </w:rPr>
          <w:noBreakHyphen/>
          <w:t>Penetration Circumferential Nickel Alloy Dissimilar Metal Welds in Class 1 Items</w:t>
        </w:r>
        <w:r w:rsidR="000C6C6D">
          <w:rPr>
            <w:noProof/>
            <w:webHidden/>
          </w:rPr>
          <w:tab/>
        </w:r>
        <w:r w:rsidR="000C6C6D">
          <w:rPr>
            <w:noProof/>
            <w:webHidden/>
          </w:rPr>
          <w:fldChar w:fldCharType="begin"/>
        </w:r>
        <w:r w:rsidR="000C6C6D">
          <w:rPr>
            <w:noProof/>
            <w:webHidden/>
          </w:rPr>
          <w:instrText xml:space="preserve"> PAGEREF _Toc12808873 \h </w:instrText>
        </w:r>
        <w:r w:rsidR="000C6C6D">
          <w:rPr>
            <w:noProof/>
            <w:webHidden/>
          </w:rPr>
        </w:r>
        <w:r w:rsidR="000C6C6D">
          <w:rPr>
            <w:noProof/>
            <w:webHidden/>
          </w:rPr>
          <w:fldChar w:fldCharType="separate"/>
        </w:r>
        <w:r w:rsidR="00F05D99">
          <w:rPr>
            <w:noProof/>
            <w:webHidden/>
          </w:rPr>
          <w:t>49</w:t>
        </w:r>
        <w:r w:rsidR="000C6C6D">
          <w:rPr>
            <w:noProof/>
            <w:webHidden/>
          </w:rPr>
          <w:fldChar w:fldCharType="end"/>
        </w:r>
      </w:hyperlink>
    </w:p>
    <w:p w14:paraId="1B0B1A28" w14:textId="77BF6D82" w:rsidR="000C6C6D" w:rsidRDefault="00F76DB1">
      <w:pPr>
        <w:pStyle w:val="TOC3"/>
        <w:rPr>
          <w:rFonts w:asciiTheme="minorHAnsi" w:eastAsiaTheme="minorEastAsia" w:hAnsiTheme="minorHAnsi" w:cstheme="minorBidi"/>
          <w:noProof/>
          <w:color w:val="auto"/>
          <w:sz w:val="22"/>
          <w:szCs w:val="22"/>
        </w:rPr>
      </w:pPr>
      <w:hyperlink w:anchor="_Toc12808874" w:history="1">
        <w:r w:rsidR="000C6C6D" w:rsidRPr="000C43DB">
          <w:rPr>
            <w:rStyle w:val="Hyperlink"/>
            <w:noProof/>
          </w:rPr>
          <w:t>5.7.14</w:t>
        </w:r>
        <w:r w:rsidR="000C6C6D">
          <w:rPr>
            <w:rFonts w:asciiTheme="minorHAnsi" w:eastAsiaTheme="minorEastAsia" w:hAnsiTheme="minorHAnsi" w:cstheme="minorBidi"/>
            <w:noProof/>
            <w:color w:val="auto"/>
            <w:sz w:val="22"/>
            <w:szCs w:val="22"/>
          </w:rPr>
          <w:tab/>
        </w:r>
        <w:r w:rsidR="000C6C6D" w:rsidRPr="000C43DB">
          <w:rPr>
            <w:rStyle w:val="Hyperlink"/>
            <w:noProof/>
          </w:rPr>
          <w:t>Ultrasonic Examination of Cast Austenitic Piping Welds from the Outside Surface, Section XI, Division 1</w:t>
        </w:r>
        <w:r w:rsidR="000C6C6D">
          <w:rPr>
            <w:noProof/>
            <w:webHidden/>
          </w:rPr>
          <w:tab/>
        </w:r>
        <w:r w:rsidR="000C6C6D">
          <w:rPr>
            <w:noProof/>
            <w:webHidden/>
          </w:rPr>
          <w:fldChar w:fldCharType="begin"/>
        </w:r>
        <w:r w:rsidR="000C6C6D">
          <w:rPr>
            <w:noProof/>
            <w:webHidden/>
          </w:rPr>
          <w:instrText xml:space="preserve"> PAGEREF _Toc12808874 \h </w:instrText>
        </w:r>
        <w:r w:rsidR="000C6C6D">
          <w:rPr>
            <w:noProof/>
            <w:webHidden/>
          </w:rPr>
        </w:r>
        <w:r w:rsidR="000C6C6D">
          <w:rPr>
            <w:noProof/>
            <w:webHidden/>
          </w:rPr>
          <w:fldChar w:fldCharType="separate"/>
        </w:r>
        <w:r w:rsidR="00F05D99">
          <w:rPr>
            <w:noProof/>
            <w:webHidden/>
          </w:rPr>
          <w:t>50</w:t>
        </w:r>
        <w:r w:rsidR="000C6C6D">
          <w:rPr>
            <w:noProof/>
            <w:webHidden/>
          </w:rPr>
          <w:fldChar w:fldCharType="end"/>
        </w:r>
      </w:hyperlink>
    </w:p>
    <w:p w14:paraId="13F72043" w14:textId="73EBD1F7" w:rsidR="000C6C6D" w:rsidRDefault="00F76DB1">
      <w:pPr>
        <w:pStyle w:val="TOC3"/>
        <w:rPr>
          <w:rFonts w:asciiTheme="minorHAnsi" w:eastAsiaTheme="minorEastAsia" w:hAnsiTheme="minorHAnsi" w:cstheme="minorBidi"/>
          <w:noProof/>
          <w:color w:val="auto"/>
          <w:sz w:val="22"/>
          <w:szCs w:val="22"/>
        </w:rPr>
      </w:pPr>
      <w:hyperlink w:anchor="_Toc12808875" w:history="1">
        <w:r w:rsidR="000C6C6D" w:rsidRPr="000C43DB">
          <w:rPr>
            <w:rStyle w:val="Hyperlink"/>
            <w:noProof/>
          </w:rPr>
          <w:t>5.7.15</w:t>
        </w:r>
        <w:r w:rsidR="000C6C6D">
          <w:rPr>
            <w:rFonts w:asciiTheme="minorHAnsi" w:eastAsiaTheme="minorEastAsia" w:hAnsiTheme="minorHAnsi" w:cstheme="minorBidi"/>
            <w:noProof/>
            <w:color w:val="auto"/>
            <w:sz w:val="22"/>
            <w:szCs w:val="22"/>
          </w:rPr>
          <w:tab/>
        </w:r>
        <w:r w:rsidR="000C6C6D" w:rsidRPr="000C43DB">
          <w:rPr>
            <w:rStyle w:val="Hyperlink"/>
            <w:noProof/>
          </w:rPr>
          <w:t>Austenitic Stainless Steel Cladding and Nickel</w:t>
        </w:r>
        <w:r w:rsidR="000C6C6D" w:rsidRPr="000C43DB">
          <w:rPr>
            <w:rStyle w:val="Hyperlink"/>
            <w:noProof/>
          </w:rPr>
          <w:noBreakHyphen/>
          <w:t>Base Cladding Using an Ambient Temperature Machine Gas Tungsten Arc Welding Temper Bead Technique</w:t>
        </w:r>
        <w:r w:rsidR="000C6C6D">
          <w:rPr>
            <w:noProof/>
            <w:webHidden/>
          </w:rPr>
          <w:tab/>
        </w:r>
        <w:r w:rsidR="000C6C6D">
          <w:rPr>
            <w:noProof/>
            <w:webHidden/>
          </w:rPr>
          <w:fldChar w:fldCharType="begin"/>
        </w:r>
        <w:r w:rsidR="000C6C6D">
          <w:rPr>
            <w:noProof/>
            <w:webHidden/>
          </w:rPr>
          <w:instrText xml:space="preserve"> PAGEREF _Toc12808875 \h </w:instrText>
        </w:r>
        <w:r w:rsidR="000C6C6D">
          <w:rPr>
            <w:noProof/>
            <w:webHidden/>
          </w:rPr>
        </w:r>
        <w:r w:rsidR="000C6C6D">
          <w:rPr>
            <w:noProof/>
            <w:webHidden/>
          </w:rPr>
          <w:fldChar w:fldCharType="separate"/>
        </w:r>
        <w:r w:rsidR="00F05D99">
          <w:rPr>
            <w:noProof/>
            <w:webHidden/>
          </w:rPr>
          <w:t>50</w:t>
        </w:r>
        <w:r w:rsidR="000C6C6D">
          <w:rPr>
            <w:noProof/>
            <w:webHidden/>
          </w:rPr>
          <w:fldChar w:fldCharType="end"/>
        </w:r>
      </w:hyperlink>
    </w:p>
    <w:p w14:paraId="0A9D78DE" w14:textId="71B85B3B" w:rsidR="000C6C6D" w:rsidRDefault="00F76DB1">
      <w:pPr>
        <w:pStyle w:val="TOC3"/>
        <w:rPr>
          <w:rFonts w:asciiTheme="minorHAnsi" w:eastAsiaTheme="minorEastAsia" w:hAnsiTheme="minorHAnsi" w:cstheme="minorBidi"/>
          <w:noProof/>
          <w:color w:val="auto"/>
          <w:sz w:val="22"/>
          <w:szCs w:val="22"/>
        </w:rPr>
      </w:pPr>
      <w:hyperlink w:anchor="_Toc12808876" w:history="1">
        <w:r w:rsidR="000C6C6D" w:rsidRPr="000C43DB">
          <w:rPr>
            <w:rStyle w:val="Hyperlink"/>
            <w:noProof/>
          </w:rPr>
          <w:t>5.7.16</w:t>
        </w:r>
        <w:r w:rsidR="000C6C6D">
          <w:rPr>
            <w:rFonts w:asciiTheme="minorHAnsi" w:eastAsiaTheme="minorEastAsia" w:hAnsiTheme="minorHAnsi" w:cstheme="minorBidi"/>
            <w:noProof/>
            <w:color w:val="auto"/>
            <w:sz w:val="22"/>
            <w:szCs w:val="22"/>
          </w:rPr>
          <w:tab/>
        </w:r>
        <w:r w:rsidR="000C6C6D" w:rsidRPr="000C43DB">
          <w:rPr>
            <w:rStyle w:val="Hyperlink"/>
            <w:noProof/>
          </w:rPr>
          <w:t>Direct Use of the Master Fracture Toughness Curve for Pressure</w:t>
        </w:r>
        <w:r w:rsidR="000C6C6D" w:rsidRPr="000C43DB">
          <w:rPr>
            <w:rStyle w:val="Hyperlink"/>
            <w:noProof/>
          </w:rPr>
          <w:noBreakHyphen/>
          <w:t>Retaining Materials of Class 1 Vessels</w:t>
        </w:r>
        <w:r w:rsidR="000C6C6D">
          <w:rPr>
            <w:noProof/>
            <w:webHidden/>
          </w:rPr>
          <w:tab/>
        </w:r>
        <w:r w:rsidR="000C6C6D">
          <w:rPr>
            <w:noProof/>
            <w:webHidden/>
          </w:rPr>
          <w:fldChar w:fldCharType="begin"/>
        </w:r>
        <w:r w:rsidR="000C6C6D">
          <w:rPr>
            <w:noProof/>
            <w:webHidden/>
          </w:rPr>
          <w:instrText xml:space="preserve"> PAGEREF _Toc12808876 \h </w:instrText>
        </w:r>
        <w:r w:rsidR="000C6C6D">
          <w:rPr>
            <w:noProof/>
            <w:webHidden/>
          </w:rPr>
        </w:r>
        <w:r w:rsidR="000C6C6D">
          <w:rPr>
            <w:noProof/>
            <w:webHidden/>
          </w:rPr>
          <w:fldChar w:fldCharType="separate"/>
        </w:r>
        <w:r w:rsidR="00F05D99">
          <w:rPr>
            <w:noProof/>
            <w:webHidden/>
          </w:rPr>
          <w:t>50</w:t>
        </w:r>
        <w:r w:rsidR="000C6C6D">
          <w:rPr>
            <w:noProof/>
            <w:webHidden/>
          </w:rPr>
          <w:fldChar w:fldCharType="end"/>
        </w:r>
      </w:hyperlink>
    </w:p>
    <w:p w14:paraId="56329DE9" w14:textId="78ECF88B" w:rsidR="000C6C6D" w:rsidRDefault="00F76DB1">
      <w:pPr>
        <w:pStyle w:val="TOC3"/>
        <w:rPr>
          <w:rFonts w:asciiTheme="minorHAnsi" w:eastAsiaTheme="minorEastAsia" w:hAnsiTheme="minorHAnsi" w:cstheme="minorBidi"/>
          <w:noProof/>
          <w:color w:val="auto"/>
          <w:sz w:val="22"/>
          <w:szCs w:val="22"/>
        </w:rPr>
      </w:pPr>
      <w:hyperlink w:anchor="_Toc12808877" w:history="1">
        <w:r w:rsidR="000C6C6D" w:rsidRPr="000C43DB">
          <w:rPr>
            <w:rStyle w:val="Hyperlink"/>
            <w:noProof/>
          </w:rPr>
          <w:t>5.7.17</w:t>
        </w:r>
        <w:r w:rsidR="000C6C6D">
          <w:rPr>
            <w:rFonts w:asciiTheme="minorHAnsi" w:eastAsiaTheme="minorEastAsia" w:hAnsiTheme="minorHAnsi" w:cstheme="minorBidi"/>
            <w:noProof/>
            <w:color w:val="auto"/>
            <w:sz w:val="22"/>
            <w:szCs w:val="22"/>
          </w:rPr>
          <w:tab/>
        </w:r>
        <w:r w:rsidR="000C6C6D" w:rsidRPr="000C43DB">
          <w:rPr>
            <w:rStyle w:val="Hyperlink"/>
            <w:noProof/>
          </w:rPr>
          <w:t>Ultrasonic Examination in Lieu of Radiography for Welds in Ferritic Pipe</w:t>
        </w:r>
        <w:r w:rsidR="000C6C6D">
          <w:rPr>
            <w:noProof/>
            <w:webHidden/>
          </w:rPr>
          <w:tab/>
        </w:r>
        <w:r w:rsidR="000C6C6D">
          <w:rPr>
            <w:noProof/>
            <w:webHidden/>
          </w:rPr>
          <w:fldChar w:fldCharType="begin"/>
        </w:r>
        <w:r w:rsidR="000C6C6D">
          <w:rPr>
            <w:noProof/>
            <w:webHidden/>
          </w:rPr>
          <w:instrText xml:space="preserve"> PAGEREF _Toc12808877 \h </w:instrText>
        </w:r>
        <w:r w:rsidR="000C6C6D">
          <w:rPr>
            <w:noProof/>
            <w:webHidden/>
          </w:rPr>
        </w:r>
        <w:r w:rsidR="000C6C6D">
          <w:rPr>
            <w:noProof/>
            <w:webHidden/>
          </w:rPr>
          <w:fldChar w:fldCharType="separate"/>
        </w:r>
        <w:r w:rsidR="00F05D99">
          <w:rPr>
            <w:noProof/>
            <w:webHidden/>
          </w:rPr>
          <w:t>50</w:t>
        </w:r>
        <w:r w:rsidR="000C6C6D">
          <w:rPr>
            <w:noProof/>
            <w:webHidden/>
          </w:rPr>
          <w:fldChar w:fldCharType="end"/>
        </w:r>
      </w:hyperlink>
    </w:p>
    <w:p w14:paraId="6EE0D580" w14:textId="688F06AB" w:rsidR="000C6C6D" w:rsidRDefault="00F76DB1">
      <w:pPr>
        <w:pStyle w:val="TOC3"/>
        <w:rPr>
          <w:rFonts w:asciiTheme="minorHAnsi" w:eastAsiaTheme="minorEastAsia" w:hAnsiTheme="minorHAnsi" w:cstheme="minorBidi"/>
          <w:noProof/>
          <w:color w:val="auto"/>
          <w:sz w:val="22"/>
          <w:szCs w:val="22"/>
        </w:rPr>
      </w:pPr>
      <w:hyperlink w:anchor="_Toc12808878" w:history="1">
        <w:r w:rsidR="000C6C6D" w:rsidRPr="000C43DB">
          <w:rPr>
            <w:rStyle w:val="Hyperlink"/>
            <w:noProof/>
          </w:rPr>
          <w:t>5.7.18</w:t>
        </w:r>
        <w:r w:rsidR="000C6C6D">
          <w:rPr>
            <w:rFonts w:asciiTheme="minorHAnsi" w:eastAsiaTheme="minorEastAsia" w:hAnsiTheme="minorHAnsi" w:cstheme="minorBidi"/>
            <w:noProof/>
            <w:color w:val="auto"/>
            <w:sz w:val="22"/>
            <w:szCs w:val="22"/>
          </w:rPr>
          <w:tab/>
        </w:r>
        <w:r w:rsidR="000C6C6D" w:rsidRPr="000C43DB">
          <w:rPr>
            <w:rStyle w:val="Hyperlink"/>
            <w:noProof/>
          </w:rPr>
          <w:t>Flaw Tolerance Evaluation of Cast Austenitic Stainless Steel Piping, Section XI, Division 1</w:t>
        </w:r>
        <w:r w:rsidR="000C6C6D">
          <w:rPr>
            <w:noProof/>
            <w:webHidden/>
          </w:rPr>
          <w:tab/>
        </w:r>
        <w:r w:rsidR="000C6C6D">
          <w:rPr>
            <w:noProof/>
            <w:webHidden/>
          </w:rPr>
          <w:fldChar w:fldCharType="begin"/>
        </w:r>
        <w:r w:rsidR="000C6C6D">
          <w:rPr>
            <w:noProof/>
            <w:webHidden/>
          </w:rPr>
          <w:instrText xml:space="preserve"> PAGEREF _Toc12808878 \h </w:instrText>
        </w:r>
        <w:r w:rsidR="000C6C6D">
          <w:rPr>
            <w:noProof/>
            <w:webHidden/>
          </w:rPr>
        </w:r>
        <w:r w:rsidR="000C6C6D">
          <w:rPr>
            <w:noProof/>
            <w:webHidden/>
          </w:rPr>
          <w:fldChar w:fldCharType="separate"/>
        </w:r>
        <w:r w:rsidR="00F05D99">
          <w:rPr>
            <w:noProof/>
            <w:webHidden/>
          </w:rPr>
          <w:t>50</w:t>
        </w:r>
        <w:r w:rsidR="000C6C6D">
          <w:rPr>
            <w:noProof/>
            <w:webHidden/>
          </w:rPr>
          <w:fldChar w:fldCharType="end"/>
        </w:r>
      </w:hyperlink>
    </w:p>
    <w:p w14:paraId="426B71E2" w14:textId="58EC6DC0" w:rsidR="000C6C6D" w:rsidRDefault="00F76DB1">
      <w:pPr>
        <w:pStyle w:val="TOC3"/>
        <w:rPr>
          <w:rFonts w:asciiTheme="minorHAnsi" w:eastAsiaTheme="minorEastAsia" w:hAnsiTheme="minorHAnsi" w:cstheme="minorBidi"/>
          <w:noProof/>
          <w:color w:val="auto"/>
          <w:sz w:val="22"/>
          <w:szCs w:val="22"/>
        </w:rPr>
      </w:pPr>
      <w:hyperlink w:anchor="_Toc12808879" w:history="1">
        <w:r w:rsidR="000C6C6D" w:rsidRPr="000C43DB">
          <w:rPr>
            <w:rStyle w:val="Hyperlink"/>
            <w:noProof/>
          </w:rPr>
          <w:t>5.7.19</w:t>
        </w:r>
        <w:r w:rsidR="000C6C6D">
          <w:rPr>
            <w:rFonts w:asciiTheme="minorHAnsi" w:eastAsiaTheme="minorEastAsia" w:hAnsiTheme="minorHAnsi" w:cstheme="minorBidi"/>
            <w:noProof/>
            <w:color w:val="auto"/>
            <w:sz w:val="22"/>
            <w:szCs w:val="22"/>
          </w:rPr>
          <w:tab/>
        </w:r>
        <w:r w:rsidR="000C6C6D" w:rsidRPr="000C43DB">
          <w:rPr>
            <w:rStyle w:val="Hyperlink"/>
            <w:noProof/>
          </w:rPr>
          <w:t>Alternative Pressure Testing Requirements Following Repairs or Replacements for Class 1 Piping between the First and Second Inspection of Isolation Valves, Section XI, Division 1</w:t>
        </w:r>
        <w:r w:rsidR="000C6C6D">
          <w:rPr>
            <w:noProof/>
            <w:webHidden/>
          </w:rPr>
          <w:tab/>
        </w:r>
        <w:r w:rsidR="000C6C6D">
          <w:rPr>
            <w:noProof/>
            <w:webHidden/>
          </w:rPr>
          <w:fldChar w:fldCharType="begin"/>
        </w:r>
        <w:r w:rsidR="000C6C6D">
          <w:rPr>
            <w:noProof/>
            <w:webHidden/>
          </w:rPr>
          <w:instrText xml:space="preserve"> PAGEREF _Toc12808879 \h </w:instrText>
        </w:r>
        <w:r w:rsidR="000C6C6D">
          <w:rPr>
            <w:noProof/>
            <w:webHidden/>
          </w:rPr>
        </w:r>
        <w:r w:rsidR="000C6C6D">
          <w:rPr>
            <w:noProof/>
            <w:webHidden/>
          </w:rPr>
          <w:fldChar w:fldCharType="separate"/>
        </w:r>
        <w:r w:rsidR="00F05D99">
          <w:rPr>
            <w:noProof/>
            <w:webHidden/>
          </w:rPr>
          <w:t>51</w:t>
        </w:r>
        <w:r w:rsidR="000C6C6D">
          <w:rPr>
            <w:noProof/>
            <w:webHidden/>
          </w:rPr>
          <w:fldChar w:fldCharType="end"/>
        </w:r>
      </w:hyperlink>
    </w:p>
    <w:p w14:paraId="2EFCB19C" w14:textId="5C7776AB" w:rsidR="000C6C6D" w:rsidRDefault="00F76DB1">
      <w:pPr>
        <w:pStyle w:val="TOC3"/>
        <w:rPr>
          <w:rFonts w:asciiTheme="minorHAnsi" w:eastAsiaTheme="minorEastAsia" w:hAnsiTheme="minorHAnsi" w:cstheme="minorBidi"/>
          <w:noProof/>
          <w:color w:val="auto"/>
          <w:sz w:val="22"/>
          <w:szCs w:val="22"/>
        </w:rPr>
      </w:pPr>
      <w:hyperlink w:anchor="_Toc12808880" w:history="1">
        <w:r w:rsidR="000C6C6D" w:rsidRPr="000C43DB">
          <w:rPr>
            <w:rStyle w:val="Hyperlink"/>
            <w:noProof/>
          </w:rPr>
          <w:t>5.7.20</w:t>
        </w:r>
        <w:r w:rsidR="000C6C6D">
          <w:rPr>
            <w:rFonts w:asciiTheme="minorHAnsi" w:eastAsiaTheme="minorEastAsia" w:hAnsiTheme="minorHAnsi" w:cstheme="minorBidi"/>
            <w:noProof/>
            <w:color w:val="auto"/>
            <w:sz w:val="22"/>
            <w:szCs w:val="22"/>
          </w:rPr>
          <w:tab/>
        </w:r>
        <w:r w:rsidR="000C6C6D" w:rsidRPr="000C43DB">
          <w:rPr>
            <w:rStyle w:val="Hyperlink"/>
            <w:noProof/>
          </w:rPr>
          <w:t>In Situ Visual Testing 3 Examination of Removable Core Support Structures without Removal</w:t>
        </w:r>
        <w:r w:rsidR="000C6C6D">
          <w:rPr>
            <w:noProof/>
            <w:webHidden/>
          </w:rPr>
          <w:tab/>
        </w:r>
        <w:r w:rsidR="000C6C6D">
          <w:rPr>
            <w:noProof/>
            <w:webHidden/>
          </w:rPr>
          <w:fldChar w:fldCharType="begin"/>
        </w:r>
        <w:r w:rsidR="000C6C6D">
          <w:rPr>
            <w:noProof/>
            <w:webHidden/>
          </w:rPr>
          <w:instrText xml:space="preserve"> PAGEREF _Toc12808880 \h </w:instrText>
        </w:r>
        <w:r w:rsidR="000C6C6D">
          <w:rPr>
            <w:noProof/>
            <w:webHidden/>
          </w:rPr>
        </w:r>
        <w:r w:rsidR="000C6C6D">
          <w:rPr>
            <w:noProof/>
            <w:webHidden/>
          </w:rPr>
          <w:fldChar w:fldCharType="separate"/>
        </w:r>
        <w:r w:rsidR="00F05D99">
          <w:rPr>
            <w:noProof/>
            <w:webHidden/>
          </w:rPr>
          <w:t>51</w:t>
        </w:r>
        <w:r w:rsidR="000C6C6D">
          <w:rPr>
            <w:noProof/>
            <w:webHidden/>
          </w:rPr>
          <w:fldChar w:fldCharType="end"/>
        </w:r>
      </w:hyperlink>
    </w:p>
    <w:p w14:paraId="2F368497" w14:textId="0389FB54" w:rsidR="000C6C6D" w:rsidRDefault="00F76DB1">
      <w:pPr>
        <w:pStyle w:val="TOC3"/>
        <w:rPr>
          <w:rFonts w:asciiTheme="minorHAnsi" w:eastAsiaTheme="minorEastAsia" w:hAnsiTheme="minorHAnsi" w:cstheme="minorBidi"/>
          <w:noProof/>
          <w:color w:val="auto"/>
          <w:sz w:val="22"/>
          <w:szCs w:val="22"/>
        </w:rPr>
      </w:pPr>
      <w:hyperlink w:anchor="_Toc12808881" w:history="1">
        <w:r w:rsidR="000C6C6D" w:rsidRPr="000C43DB">
          <w:rPr>
            <w:rStyle w:val="Hyperlink"/>
            <w:noProof/>
          </w:rPr>
          <w:t>5.7.21</w:t>
        </w:r>
        <w:r w:rsidR="000C6C6D">
          <w:rPr>
            <w:rFonts w:asciiTheme="minorHAnsi" w:eastAsiaTheme="minorEastAsia" w:hAnsiTheme="minorHAnsi" w:cstheme="minorBidi"/>
            <w:noProof/>
            <w:color w:val="auto"/>
            <w:sz w:val="22"/>
            <w:szCs w:val="22"/>
          </w:rPr>
          <w:tab/>
        </w:r>
        <w:r w:rsidR="000C6C6D" w:rsidRPr="000C43DB">
          <w:rPr>
            <w:rStyle w:val="Hyperlink"/>
            <w:noProof/>
          </w:rPr>
          <w:t>Performance-Based Requirements for Extending the Snubber Inservice Visual Examination Interval at Light-Water Reactor Power Plants</w:t>
        </w:r>
        <w:r w:rsidR="000C6C6D">
          <w:rPr>
            <w:noProof/>
            <w:webHidden/>
          </w:rPr>
          <w:tab/>
        </w:r>
        <w:r w:rsidR="000C6C6D">
          <w:rPr>
            <w:noProof/>
            <w:webHidden/>
          </w:rPr>
          <w:fldChar w:fldCharType="begin"/>
        </w:r>
        <w:r w:rsidR="000C6C6D">
          <w:rPr>
            <w:noProof/>
            <w:webHidden/>
          </w:rPr>
          <w:instrText xml:space="preserve"> PAGEREF _Toc12808881 \h </w:instrText>
        </w:r>
        <w:r w:rsidR="000C6C6D">
          <w:rPr>
            <w:noProof/>
            <w:webHidden/>
          </w:rPr>
        </w:r>
        <w:r w:rsidR="000C6C6D">
          <w:rPr>
            <w:noProof/>
            <w:webHidden/>
          </w:rPr>
          <w:fldChar w:fldCharType="separate"/>
        </w:r>
        <w:r w:rsidR="00F05D99">
          <w:rPr>
            <w:noProof/>
            <w:webHidden/>
          </w:rPr>
          <w:t>51</w:t>
        </w:r>
        <w:r w:rsidR="000C6C6D">
          <w:rPr>
            <w:noProof/>
            <w:webHidden/>
          </w:rPr>
          <w:fldChar w:fldCharType="end"/>
        </w:r>
      </w:hyperlink>
    </w:p>
    <w:p w14:paraId="5989634E" w14:textId="1CAA134C" w:rsidR="000C6C6D" w:rsidRDefault="00F76DB1">
      <w:pPr>
        <w:pStyle w:val="TOC3"/>
        <w:rPr>
          <w:rFonts w:asciiTheme="minorHAnsi" w:eastAsiaTheme="minorEastAsia" w:hAnsiTheme="minorHAnsi" w:cstheme="minorBidi"/>
          <w:noProof/>
          <w:color w:val="auto"/>
          <w:sz w:val="22"/>
          <w:szCs w:val="22"/>
        </w:rPr>
      </w:pPr>
      <w:hyperlink w:anchor="_Toc12808882" w:history="1">
        <w:r w:rsidR="000C6C6D" w:rsidRPr="000C43DB">
          <w:rPr>
            <w:rStyle w:val="Hyperlink"/>
            <w:noProof/>
          </w:rPr>
          <w:t>5.7.22</w:t>
        </w:r>
        <w:r w:rsidR="000C6C6D">
          <w:rPr>
            <w:rFonts w:asciiTheme="minorHAnsi" w:eastAsiaTheme="minorEastAsia" w:hAnsiTheme="minorHAnsi" w:cstheme="minorBidi"/>
            <w:noProof/>
            <w:color w:val="auto"/>
            <w:sz w:val="22"/>
            <w:szCs w:val="22"/>
          </w:rPr>
          <w:tab/>
        </w:r>
        <w:r w:rsidR="000C6C6D" w:rsidRPr="000C43DB">
          <w:rPr>
            <w:rStyle w:val="Hyperlink"/>
            <w:noProof/>
          </w:rPr>
          <w:t>Inservice Test Frequency</w:t>
        </w:r>
        <w:r w:rsidR="000C6C6D">
          <w:rPr>
            <w:noProof/>
            <w:webHidden/>
          </w:rPr>
          <w:tab/>
        </w:r>
        <w:r w:rsidR="000C6C6D">
          <w:rPr>
            <w:noProof/>
            <w:webHidden/>
          </w:rPr>
          <w:fldChar w:fldCharType="begin"/>
        </w:r>
        <w:r w:rsidR="000C6C6D">
          <w:rPr>
            <w:noProof/>
            <w:webHidden/>
          </w:rPr>
          <w:instrText xml:space="preserve"> PAGEREF _Toc12808882 \h </w:instrText>
        </w:r>
        <w:r w:rsidR="000C6C6D">
          <w:rPr>
            <w:noProof/>
            <w:webHidden/>
          </w:rPr>
        </w:r>
        <w:r w:rsidR="000C6C6D">
          <w:rPr>
            <w:noProof/>
            <w:webHidden/>
          </w:rPr>
          <w:fldChar w:fldCharType="separate"/>
        </w:r>
        <w:r w:rsidR="00F05D99">
          <w:rPr>
            <w:noProof/>
            <w:webHidden/>
          </w:rPr>
          <w:t>51</w:t>
        </w:r>
        <w:r w:rsidR="000C6C6D">
          <w:rPr>
            <w:noProof/>
            <w:webHidden/>
          </w:rPr>
          <w:fldChar w:fldCharType="end"/>
        </w:r>
      </w:hyperlink>
    </w:p>
    <w:p w14:paraId="06B387FF" w14:textId="4509A0D2" w:rsidR="000C6C6D" w:rsidRDefault="00F76DB1">
      <w:pPr>
        <w:pStyle w:val="TOC2"/>
        <w:rPr>
          <w:rFonts w:asciiTheme="minorHAnsi" w:eastAsiaTheme="minorEastAsia" w:hAnsiTheme="minorHAnsi" w:cstheme="minorBidi"/>
          <w:noProof/>
          <w:color w:val="auto"/>
          <w:sz w:val="22"/>
          <w:szCs w:val="22"/>
        </w:rPr>
      </w:pPr>
      <w:hyperlink w:anchor="_Toc12808883" w:history="1">
        <w:r w:rsidR="000C6C6D" w:rsidRPr="000C43DB">
          <w:rPr>
            <w:rStyle w:val="Hyperlink"/>
            <w:noProof/>
          </w:rPr>
          <w:t>5.8</w:t>
        </w:r>
        <w:r w:rsidR="000C6C6D">
          <w:rPr>
            <w:rFonts w:asciiTheme="minorHAnsi" w:eastAsiaTheme="minorEastAsia" w:hAnsiTheme="minorHAnsi" w:cstheme="minorBidi"/>
            <w:noProof/>
            <w:color w:val="auto"/>
            <w:sz w:val="22"/>
            <w:szCs w:val="22"/>
          </w:rPr>
          <w:tab/>
        </w:r>
        <w:r w:rsidR="000C6C6D" w:rsidRPr="000C43DB">
          <w:rPr>
            <w:rStyle w:val="Hyperlink"/>
            <w:noProof/>
          </w:rPr>
          <w:t>Total NRC Costs</w:t>
        </w:r>
        <w:r w:rsidR="000C6C6D">
          <w:rPr>
            <w:noProof/>
            <w:webHidden/>
          </w:rPr>
          <w:tab/>
        </w:r>
        <w:r w:rsidR="000C6C6D">
          <w:rPr>
            <w:noProof/>
            <w:webHidden/>
          </w:rPr>
          <w:fldChar w:fldCharType="begin"/>
        </w:r>
        <w:r w:rsidR="000C6C6D">
          <w:rPr>
            <w:noProof/>
            <w:webHidden/>
          </w:rPr>
          <w:instrText xml:space="preserve"> PAGEREF _Toc12808883 \h </w:instrText>
        </w:r>
        <w:r w:rsidR="000C6C6D">
          <w:rPr>
            <w:noProof/>
            <w:webHidden/>
          </w:rPr>
        </w:r>
        <w:r w:rsidR="000C6C6D">
          <w:rPr>
            <w:noProof/>
            <w:webHidden/>
          </w:rPr>
          <w:fldChar w:fldCharType="separate"/>
        </w:r>
        <w:r w:rsidR="00F05D99">
          <w:rPr>
            <w:noProof/>
            <w:webHidden/>
          </w:rPr>
          <w:t>51</w:t>
        </w:r>
        <w:r w:rsidR="000C6C6D">
          <w:rPr>
            <w:noProof/>
            <w:webHidden/>
          </w:rPr>
          <w:fldChar w:fldCharType="end"/>
        </w:r>
      </w:hyperlink>
    </w:p>
    <w:p w14:paraId="30750141" w14:textId="3BDE467E" w:rsidR="000C6C6D" w:rsidRDefault="00F76DB1">
      <w:pPr>
        <w:pStyle w:val="TOC2"/>
        <w:rPr>
          <w:rFonts w:asciiTheme="minorHAnsi" w:eastAsiaTheme="minorEastAsia" w:hAnsiTheme="minorHAnsi" w:cstheme="minorBidi"/>
          <w:noProof/>
          <w:color w:val="auto"/>
          <w:sz w:val="22"/>
          <w:szCs w:val="22"/>
        </w:rPr>
      </w:pPr>
      <w:hyperlink w:anchor="_Toc12808884" w:history="1">
        <w:r w:rsidR="000C6C6D" w:rsidRPr="000C43DB">
          <w:rPr>
            <w:rStyle w:val="Hyperlink"/>
            <w:noProof/>
          </w:rPr>
          <w:t>5.9</w:t>
        </w:r>
        <w:r w:rsidR="000C6C6D">
          <w:rPr>
            <w:rFonts w:asciiTheme="minorHAnsi" w:eastAsiaTheme="minorEastAsia" w:hAnsiTheme="minorHAnsi" w:cstheme="minorBidi"/>
            <w:noProof/>
            <w:color w:val="auto"/>
            <w:sz w:val="22"/>
            <w:szCs w:val="22"/>
          </w:rPr>
          <w:tab/>
        </w:r>
        <w:r w:rsidR="000C6C6D" w:rsidRPr="000C43DB">
          <w:rPr>
            <w:rStyle w:val="Hyperlink"/>
            <w:noProof/>
          </w:rPr>
          <w:t>Total Costs</w:t>
        </w:r>
        <w:r w:rsidR="000C6C6D">
          <w:rPr>
            <w:noProof/>
            <w:webHidden/>
          </w:rPr>
          <w:tab/>
        </w:r>
        <w:r w:rsidR="000C6C6D">
          <w:rPr>
            <w:noProof/>
            <w:webHidden/>
          </w:rPr>
          <w:fldChar w:fldCharType="begin"/>
        </w:r>
        <w:r w:rsidR="000C6C6D">
          <w:rPr>
            <w:noProof/>
            <w:webHidden/>
          </w:rPr>
          <w:instrText xml:space="preserve"> PAGEREF _Toc12808884 \h </w:instrText>
        </w:r>
        <w:r w:rsidR="000C6C6D">
          <w:rPr>
            <w:noProof/>
            <w:webHidden/>
          </w:rPr>
        </w:r>
        <w:r w:rsidR="000C6C6D">
          <w:rPr>
            <w:noProof/>
            <w:webHidden/>
          </w:rPr>
          <w:fldChar w:fldCharType="separate"/>
        </w:r>
        <w:r w:rsidR="00F05D99">
          <w:rPr>
            <w:noProof/>
            <w:webHidden/>
          </w:rPr>
          <w:t>52</w:t>
        </w:r>
        <w:r w:rsidR="000C6C6D">
          <w:rPr>
            <w:noProof/>
            <w:webHidden/>
          </w:rPr>
          <w:fldChar w:fldCharType="end"/>
        </w:r>
      </w:hyperlink>
    </w:p>
    <w:p w14:paraId="13BDD642" w14:textId="7E67174F" w:rsidR="000C6C6D" w:rsidRDefault="00F76DB1">
      <w:pPr>
        <w:pStyle w:val="TOC2"/>
        <w:rPr>
          <w:rFonts w:asciiTheme="minorHAnsi" w:eastAsiaTheme="minorEastAsia" w:hAnsiTheme="minorHAnsi" w:cstheme="minorBidi"/>
          <w:noProof/>
          <w:color w:val="auto"/>
          <w:sz w:val="22"/>
          <w:szCs w:val="22"/>
        </w:rPr>
      </w:pPr>
      <w:hyperlink w:anchor="_Toc12808885" w:history="1">
        <w:r w:rsidR="000C6C6D" w:rsidRPr="000C43DB">
          <w:rPr>
            <w:rStyle w:val="Hyperlink"/>
            <w:noProof/>
          </w:rPr>
          <w:t>5.10</w:t>
        </w:r>
        <w:r w:rsidR="000C6C6D">
          <w:rPr>
            <w:rFonts w:asciiTheme="minorHAnsi" w:eastAsiaTheme="minorEastAsia" w:hAnsiTheme="minorHAnsi" w:cstheme="minorBidi"/>
            <w:noProof/>
            <w:color w:val="auto"/>
            <w:sz w:val="22"/>
            <w:szCs w:val="22"/>
          </w:rPr>
          <w:tab/>
        </w:r>
        <w:r w:rsidR="000C6C6D" w:rsidRPr="000C43DB">
          <w:rPr>
            <w:rStyle w:val="Hyperlink"/>
            <w:noProof/>
          </w:rPr>
          <w:t>Improvements in Knowledge</w:t>
        </w:r>
        <w:r w:rsidR="000C6C6D">
          <w:rPr>
            <w:noProof/>
            <w:webHidden/>
          </w:rPr>
          <w:tab/>
        </w:r>
        <w:r w:rsidR="000C6C6D">
          <w:rPr>
            <w:noProof/>
            <w:webHidden/>
          </w:rPr>
          <w:fldChar w:fldCharType="begin"/>
        </w:r>
        <w:r w:rsidR="000C6C6D">
          <w:rPr>
            <w:noProof/>
            <w:webHidden/>
          </w:rPr>
          <w:instrText xml:space="preserve"> PAGEREF _Toc12808885 \h </w:instrText>
        </w:r>
        <w:r w:rsidR="000C6C6D">
          <w:rPr>
            <w:noProof/>
            <w:webHidden/>
          </w:rPr>
        </w:r>
        <w:r w:rsidR="000C6C6D">
          <w:rPr>
            <w:noProof/>
            <w:webHidden/>
          </w:rPr>
          <w:fldChar w:fldCharType="separate"/>
        </w:r>
        <w:r w:rsidR="00F05D99">
          <w:rPr>
            <w:noProof/>
            <w:webHidden/>
          </w:rPr>
          <w:t>52</w:t>
        </w:r>
        <w:r w:rsidR="000C6C6D">
          <w:rPr>
            <w:noProof/>
            <w:webHidden/>
          </w:rPr>
          <w:fldChar w:fldCharType="end"/>
        </w:r>
      </w:hyperlink>
    </w:p>
    <w:p w14:paraId="74D16BEE" w14:textId="2860AB98" w:rsidR="000C6C6D" w:rsidRDefault="00F76DB1">
      <w:pPr>
        <w:pStyle w:val="TOC2"/>
        <w:rPr>
          <w:rFonts w:asciiTheme="minorHAnsi" w:eastAsiaTheme="minorEastAsia" w:hAnsiTheme="minorHAnsi" w:cstheme="minorBidi"/>
          <w:noProof/>
          <w:color w:val="auto"/>
          <w:sz w:val="22"/>
          <w:szCs w:val="22"/>
        </w:rPr>
      </w:pPr>
      <w:hyperlink w:anchor="_Toc12808886" w:history="1">
        <w:r w:rsidR="000C6C6D" w:rsidRPr="000C43DB">
          <w:rPr>
            <w:rStyle w:val="Hyperlink"/>
            <w:noProof/>
          </w:rPr>
          <w:t>5.11</w:t>
        </w:r>
        <w:r w:rsidR="000C6C6D">
          <w:rPr>
            <w:rFonts w:asciiTheme="minorHAnsi" w:eastAsiaTheme="minorEastAsia" w:hAnsiTheme="minorHAnsi" w:cstheme="minorBidi"/>
            <w:noProof/>
            <w:color w:val="auto"/>
            <w:sz w:val="22"/>
            <w:szCs w:val="22"/>
          </w:rPr>
          <w:tab/>
        </w:r>
        <w:r w:rsidR="000C6C6D" w:rsidRPr="000C43DB">
          <w:rPr>
            <w:rStyle w:val="Hyperlink"/>
            <w:noProof/>
          </w:rPr>
          <w:t>Regulatory Efficiency</w:t>
        </w:r>
        <w:r w:rsidR="000C6C6D">
          <w:rPr>
            <w:noProof/>
            <w:webHidden/>
          </w:rPr>
          <w:tab/>
        </w:r>
        <w:r w:rsidR="000C6C6D">
          <w:rPr>
            <w:noProof/>
            <w:webHidden/>
          </w:rPr>
          <w:fldChar w:fldCharType="begin"/>
        </w:r>
        <w:r w:rsidR="000C6C6D">
          <w:rPr>
            <w:noProof/>
            <w:webHidden/>
          </w:rPr>
          <w:instrText xml:space="preserve"> PAGEREF _Toc12808886 \h </w:instrText>
        </w:r>
        <w:r w:rsidR="000C6C6D">
          <w:rPr>
            <w:noProof/>
            <w:webHidden/>
          </w:rPr>
        </w:r>
        <w:r w:rsidR="000C6C6D">
          <w:rPr>
            <w:noProof/>
            <w:webHidden/>
          </w:rPr>
          <w:fldChar w:fldCharType="separate"/>
        </w:r>
        <w:r w:rsidR="00F05D99">
          <w:rPr>
            <w:noProof/>
            <w:webHidden/>
          </w:rPr>
          <w:t>52</w:t>
        </w:r>
        <w:r w:rsidR="000C6C6D">
          <w:rPr>
            <w:noProof/>
            <w:webHidden/>
          </w:rPr>
          <w:fldChar w:fldCharType="end"/>
        </w:r>
      </w:hyperlink>
    </w:p>
    <w:p w14:paraId="21266E04" w14:textId="67FD71C4" w:rsidR="000C6C6D" w:rsidRDefault="00F76DB1">
      <w:pPr>
        <w:pStyle w:val="TOC2"/>
        <w:rPr>
          <w:rFonts w:asciiTheme="minorHAnsi" w:eastAsiaTheme="minorEastAsia" w:hAnsiTheme="minorHAnsi" w:cstheme="minorBidi"/>
          <w:noProof/>
          <w:color w:val="auto"/>
          <w:sz w:val="22"/>
          <w:szCs w:val="22"/>
        </w:rPr>
      </w:pPr>
      <w:hyperlink w:anchor="_Toc12808887" w:history="1">
        <w:r w:rsidR="000C6C6D" w:rsidRPr="000C43DB">
          <w:rPr>
            <w:rStyle w:val="Hyperlink"/>
            <w:noProof/>
          </w:rPr>
          <w:t>5.12</w:t>
        </w:r>
        <w:r w:rsidR="000C6C6D">
          <w:rPr>
            <w:rFonts w:asciiTheme="minorHAnsi" w:eastAsiaTheme="minorEastAsia" w:hAnsiTheme="minorHAnsi" w:cstheme="minorBidi"/>
            <w:noProof/>
            <w:color w:val="auto"/>
            <w:sz w:val="22"/>
            <w:szCs w:val="22"/>
          </w:rPr>
          <w:tab/>
        </w:r>
        <w:r w:rsidR="000C6C6D" w:rsidRPr="000C43DB">
          <w:rPr>
            <w:rStyle w:val="Hyperlink"/>
            <w:noProof/>
          </w:rPr>
          <w:t>Other Considerations</w:t>
        </w:r>
        <w:r w:rsidR="000C6C6D">
          <w:rPr>
            <w:noProof/>
            <w:webHidden/>
          </w:rPr>
          <w:tab/>
        </w:r>
        <w:r w:rsidR="000C6C6D">
          <w:rPr>
            <w:noProof/>
            <w:webHidden/>
          </w:rPr>
          <w:fldChar w:fldCharType="begin"/>
        </w:r>
        <w:r w:rsidR="000C6C6D">
          <w:rPr>
            <w:noProof/>
            <w:webHidden/>
          </w:rPr>
          <w:instrText xml:space="preserve"> PAGEREF _Toc12808887 \h </w:instrText>
        </w:r>
        <w:r w:rsidR="000C6C6D">
          <w:rPr>
            <w:noProof/>
            <w:webHidden/>
          </w:rPr>
        </w:r>
        <w:r w:rsidR="000C6C6D">
          <w:rPr>
            <w:noProof/>
            <w:webHidden/>
          </w:rPr>
          <w:fldChar w:fldCharType="separate"/>
        </w:r>
        <w:r w:rsidR="00F05D99">
          <w:rPr>
            <w:noProof/>
            <w:webHidden/>
          </w:rPr>
          <w:t>53</w:t>
        </w:r>
        <w:r w:rsidR="000C6C6D">
          <w:rPr>
            <w:noProof/>
            <w:webHidden/>
          </w:rPr>
          <w:fldChar w:fldCharType="end"/>
        </w:r>
      </w:hyperlink>
    </w:p>
    <w:p w14:paraId="5A57604D" w14:textId="524B22E1" w:rsidR="000C6C6D" w:rsidRDefault="00F76DB1">
      <w:pPr>
        <w:pStyle w:val="TOC3"/>
        <w:rPr>
          <w:rFonts w:asciiTheme="minorHAnsi" w:eastAsiaTheme="minorEastAsia" w:hAnsiTheme="minorHAnsi" w:cstheme="minorBidi"/>
          <w:noProof/>
          <w:color w:val="auto"/>
          <w:sz w:val="22"/>
          <w:szCs w:val="22"/>
        </w:rPr>
      </w:pPr>
      <w:hyperlink w:anchor="_Toc12808888" w:history="1">
        <w:r w:rsidR="000C6C6D" w:rsidRPr="000C43DB">
          <w:rPr>
            <w:rStyle w:val="Hyperlink"/>
            <w:noProof/>
          </w:rPr>
          <w:t>5.12.1</w:t>
        </w:r>
        <w:r w:rsidR="000C6C6D">
          <w:rPr>
            <w:rFonts w:asciiTheme="minorHAnsi" w:eastAsiaTheme="minorEastAsia" w:hAnsiTheme="minorHAnsi" w:cstheme="minorBidi"/>
            <w:noProof/>
            <w:color w:val="auto"/>
            <w:sz w:val="22"/>
            <w:szCs w:val="22"/>
          </w:rPr>
          <w:tab/>
        </w:r>
        <w:r w:rsidR="000C6C6D" w:rsidRPr="000C43DB">
          <w:rPr>
            <w:rStyle w:val="Hyperlink"/>
            <w:noProof/>
          </w:rPr>
          <w:t>National Technology Transfer and Advancement Act of 1995</w:t>
        </w:r>
        <w:r w:rsidR="000C6C6D">
          <w:rPr>
            <w:noProof/>
            <w:webHidden/>
          </w:rPr>
          <w:tab/>
        </w:r>
        <w:r w:rsidR="000C6C6D">
          <w:rPr>
            <w:noProof/>
            <w:webHidden/>
          </w:rPr>
          <w:fldChar w:fldCharType="begin"/>
        </w:r>
        <w:r w:rsidR="000C6C6D">
          <w:rPr>
            <w:noProof/>
            <w:webHidden/>
          </w:rPr>
          <w:instrText xml:space="preserve"> PAGEREF _Toc12808888 \h </w:instrText>
        </w:r>
        <w:r w:rsidR="000C6C6D">
          <w:rPr>
            <w:noProof/>
            <w:webHidden/>
          </w:rPr>
        </w:r>
        <w:r w:rsidR="000C6C6D">
          <w:rPr>
            <w:noProof/>
            <w:webHidden/>
          </w:rPr>
          <w:fldChar w:fldCharType="separate"/>
        </w:r>
        <w:r w:rsidR="00F05D99">
          <w:rPr>
            <w:noProof/>
            <w:webHidden/>
          </w:rPr>
          <w:t>53</w:t>
        </w:r>
        <w:r w:rsidR="000C6C6D">
          <w:rPr>
            <w:noProof/>
            <w:webHidden/>
          </w:rPr>
          <w:fldChar w:fldCharType="end"/>
        </w:r>
      </w:hyperlink>
    </w:p>
    <w:p w14:paraId="6516436F" w14:textId="583283D2" w:rsidR="000C6C6D" w:rsidRDefault="00F76DB1">
      <w:pPr>
        <w:pStyle w:val="TOC3"/>
        <w:rPr>
          <w:rFonts w:asciiTheme="minorHAnsi" w:eastAsiaTheme="minorEastAsia" w:hAnsiTheme="minorHAnsi" w:cstheme="minorBidi"/>
          <w:noProof/>
          <w:color w:val="auto"/>
          <w:sz w:val="22"/>
          <w:szCs w:val="22"/>
        </w:rPr>
      </w:pPr>
      <w:hyperlink w:anchor="_Toc12808889" w:history="1">
        <w:r w:rsidR="000C6C6D" w:rsidRPr="000C43DB">
          <w:rPr>
            <w:rStyle w:val="Hyperlink"/>
            <w:noProof/>
          </w:rPr>
          <w:t>5.12.2</w:t>
        </w:r>
        <w:r w:rsidR="000C6C6D">
          <w:rPr>
            <w:rFonts w:asciiTheme="minorHAnsi" w:eastAsiaTheme="minorEastAsia" w:hAnsiTheme="minorHAnsi" w:cstheme="minorBidi"/>
            <w:noProof/>
            <w:color w:val="auto"/>
            <w:sz w:val="22"/>
            <w:szCs w:val="22"/>
          </w:rPr>
          <w:tab/>
        </w:r>
        <w:r w:rsidR="000C6C6D" w:rsidRPr="000C43DB">
          <w:rPr>
            <w:rStyle w:val="Hyperlink"/>
            <w:noProof/>
          </w:rPr>
          <w:t>Continued NRC Practice of Incorporation by Reference of ASME Code Editions and Addenda into the Code of Federal Regulations</w:t>
        </w:r>
        <w:r w:rsidR="000C6C6D">
          <w:rPr>
            <w:noProof/>
            <w:webHidden/>
          </w:rPr>
          <w:tab/>
        </w:r>
        <w:r w:rsidR="000C6C6D">
          <w:rPr>
            <w:noProof/>
            <w:webHidden/>
          </w:rPr>
          <w:fldChar w:fldCharType="begin"/>
        </w:r>
        <w:r w:rsidR="000C6C6D">
          <w:rPr>
            <w:noProof/>
            <w:webHidden/>
          </w:rPr>
          <w:instrText xml:space="preserve"> PAGEREF _Toc12808889 \h </w:instrText>
        </w:r>
        <w:r w:rsidR="000C6C6D">
          <w:rPr>
            <w:noProof/>
            <w:webHidden/>
          </w:rPr>
        </w:r>
        <w:r w:rsidR="000C6C6D">
          <w:rPr>
            <w:noProof/>
            <w:webHidden/>
          </w:rPr>
          <w:fldChar w:fldCharType="separate"/>
        </w:r>
        <w:r w:rsidR="00F05D99">
          <w:rPr>
            <w:noProof/>
            <w:webHidden/>
          </w:rPr>
          <w:t>53</w:t>
        </w:r>
        <w:r w:rsidR="000C6C6D">
          <w:rPr>
            <w:noProof/>
            <w:webHidden/>
          </w:rPr>
          <w:fldChar w:fldCharType="end"/>
        </w:r>
      </w:hyperlink>
    </w:p>
    <w:p w14:paraId="2225F4E2" w14:textId="59EA784A" w:rsidR="000C6C6D" w:rsidRDefault="00F76DB1">
      <w:pPr>
        <w:pStyle w:val="TOC3"/>
        <w:rPr>
          <w:rFonts w:asciiTheme="minorHAnsi" w:eastAsiaTheme="minorEastAsia" w:hAnsiTheme="minorHAnsi" w:cstheme="minorBidi"/>
          <w:noProof/>
          <w:color w:val="auto"/>
          <w:sz w:val="22"/>
          <w:szCs w:val="22"/>
        </w:rPr>
      </w:pPr>
      <w:hyperlink w:anchor="_Toc12808890" w:history="1">
        <w:r w:rsidR="000C6C6D" w:rsidRPr="000C43DB">
          <w:rPr>
            <w:rStyle w:val="Hyperlink"/>
            <w:noProof/>
          </w:rPr>
          <w:t>5.12.3</w:t>
        </w:r>
        <w:r w:rsidR="000C6C6D">
          <w:rPr>
            <w:rFonts w:asciiTheme="minorHAnsi" w:eastAsiaTheme="minorEastAsia" w:hAnsiTheme="minorHAnsi" w:cstheme="minorBidi"/>
            <w:noProof/>
            <w:color w:val="auto"/>
            <w:sz w:val="22"/>
            <w:szCs w:val="22"/>
          </w:rPr>
          <w:tab/>
        </w:r>
        <w:r w:rsidR="000C6C6D" w:rsidRPr="000C43DB">
          <w:rPr>
            <w:rStyle w:val="Hyperlink"/>
            <w:noProof/>
          </w:rPr>
          <w:t>Increased Public Confidence</w:t>
        </w:r>
        <w:r w:rsidR="000C6C6D">
          <w:rPr>
            <w:noProof/>
            <w:webHidden/>
          </w:rPr>
          <w:tab/>
        </w:r>
        <w:r w:rsidR="000C6C6D">
          <w:rPr>
            <w:noProof/>
            <w:webHidden/>
          </w:rPr>
          <w:fldChar w:fldCharType="begin"/>
        </w:r>
        <w:r w:rsidR="000C6C6D">
          <w:rPr>
            <w:noProof/>
            <w:webHidden/>
          </w:rPr>
          <w:instrText xml:space="preserve"> PAGEREF _Toc12808890 \h </w:instrText>
        </w:r>
        <w:r w:rsidR="000C6C6D">
          <w:rPr>
            <w:noProof/>
            <w:webHidden/>
          </w:rPr>
        </w:r>
        <w:r w:rsidR="000C6C6D">
          <w:rPr>
            <w:noProof/>
            <w:webHidden/>
          </w:rPr>
          <w:fldChar w:fldCharType="separate"/>
        </w:r>
        <w:r w:rsidR="00F05D99">
          <w:rPr>
            <w:noProof/>
            <w:webHidden/>
          </w:rPr>
          <w:t>53</w:t>
        </w:r>
        <w:r w:rsidR="000C6C6D">
          <w:rPr>
            <w:noProof/>
            <w:webHidden/>
          </w:rPr>
          <w:fldChar w:fldCharType="end"/>
        </w:r>
      </w:hyperlink>
    </w:p>
    <w:p w14:paraId="253049BC" w14:textId="40D6BD14" w:rsidR="000C6C6D" w:rsidRDefault="00F76DB1">
      <w:pPr>
        <w:pStyle w:val="TOC3"/>
        <w:rPr>
          <w:rFonts w:asciiTheme="minorHAnsi" w:eastAsiaTheme="minorEastAsia" w:hAnsiTheme="minorHAnsi" w:cstheme="minorBidi"/>
          <w:noProof/>
          <w:color w:val="auto"/>
          <w:sz w:val="22"/>
          <w:szCs w:val="22"/>
        </w:rPr>
      </w:pPr>
      <w:hyperlink w:anchor="_Toc12808891" w:history="1">
        <w:r w:rsidR="000C6C6D" w:rsidRPr="000C43DB">
          <w:rPr>
            <w:rStyle w:val="Hyperlink"/>
            <w:noProof/>
          </w:rPr>
          <w:t>5.12.4</w:t>
        </w:r>
        <w:r w:rsidR="000C6C6D">
          <w:rPr>
            <w:rFonts w:asciiTheme="minorHAnsi" w:eastAsiaTheme="minorEastAsia" w:hAnsiTheme="minorHAnsi" w:cstheme="minorBidi"/>
            <w:noProof/>
            <w:color w:val="auto"/>
            <w:sz w:val="22"/>
            <w:szCs w:val="22"/>
          </w:rPr>
          <w:tab/>
        </w:r>
        <w:r w:rsidR="000C6C6D" w:rsidRPr="000C43DB">
          <w:rPr>
            <w:rStyle w:val="Hyperlink"/>
            <w:noProof/>
          </w:rPr>
          <w:t>Reliable Assessment of Cast Austenitic Stainless Steel Materials</w:t>
        </w:r>
        <w:r w:rsidR="000C6C6D">
          <w:rPr>
            <w:noProof/>
            <w:webHidden/>
          </w:rPr>
          <w:tab/>
        </w:r>
        <w:r w:rsidR="000C6C6D">
          <w:rPr>
            <w:noProof/>
            <w:webHidden/>
          </w:rPr>
          <w:fldChar w:fldCharType="begin"/>
        </w:r>
        <w:r w:rsidR="000C6C6D">
          <w:rPr>
            <w:noProof/>
            <w:webHidden/>
          </w:rPr>
          <w:instrText xml:space="preserve"> PAGEREF _Toc12808891 \h </w:instrText>
        </w:r>
        <w:r w:rsidR="000C6C6D">
          <w:rPr>
            <w:noProof/>
            <w:webHidden/>
          </w:rPr>
        </w:r>
        <w:r w:rsidR="000C6C6D">
          <w:rPr>
            <w:noProof/>
            <w:webHidden/>
          </w:rPr>
          <w:fldChar w:fldCharType="separate"/>
        </w:r>
        <w:r w:rsidR="00F05D99">
          <w:rPr>
            <w:noProof/>
            <w:webHidden/>
          </w:rPr>
          <w:t>53</w:t>
        </w:r>
        <w:r w:rsidR="000C6C6D">
          <w:rPr>
            <w:noProof/>
            <w:webHidden/>
          </w:rPr>
          <w:fldChar w:fldCharType="end"/>
        </w:r>
      </w:hyperlink>
    </w:p>
    <w:p w14:paraId="48897DA6" w14:textId="40E6C391" w:rsidR="000C6C6D" w:rsidRDefault="00F76DB1">
      <w:pPr>
        <w:pStyle w:val="TOC2"/>
        <w:rPr>
          <w:rFonts w:asciiTheme="minorHAnsi" w:eastAsiaTheme="minorEastAsia" w:hAnsiTheme="minorHAnsi" w:cstheme="minorBidi"/>
          <w:noProof/>
          <w:color w:val="auto"/>
          <w:sz w:val="22"/>
          <w:szCs w:val="22"/>
        </w:rPr>
      </w:pPr>
      <w:hyperlink w:anchor="_Toc12808892" w:history="1">
        <w:r w:rsidR="000C6C6D" w:rsidRPr="000C43DB">
          <w:rPr>
            <w:rStyle w:val="Hyperlink"/>
            <w:noProof/>
          </w:rPr>
          <w:t>5.13</w:t>
        </w:r>
        <w:r w:rsidR="000C6C6D">
          <w:rPr>
            <w:rFonts w:asciiTheme="minorHAnsi" w:eastAsiaTheme="minorEastAsia" w:hAnsiTheme="minorHAnsi" w:cstheme="minorBidi"/>
            <w:noProof/>
            <w:color w:val="auto"/>
            <w:sz w:val="22"/>
            <w:szCs w:val="22"/>
          </w:rPr>
          <w:tab/>
        </w:r>
        <w:r w:rsidR="000C6C6D" w:rsidRPr="000C43DB">
          <w:rPr>
            <w:rStyle w:val="Hyperlink"/>
            <w:noProof/>
          </w:rPr>
          <w:t>Uncertainty Analysis</w:t>
        </w:r>
        <w:r w:rsidR="000C6C6D">
          <w:rPr>
            <w:noProof/>
            <w:webHidden/>
          </w:rPr>
          <w:tab/>
        </w:r>
        <w:r w:rsidR="000C6C6D">
          <w:rPr>
            <w:noProof/>
            <w:webHidden/>
          </w:rPr>
          <w:fldChar w:fldCharType="begin"/>
        </w:r>
        <w:r w:rsidR="000C6C6D">
          <w:rPr>
            <w:noProof/>
            <w:webHidden/>
          </w:rPr>
          <w:instrText xml:space="preserve"> PAGEREF _Toc12808892 \h </w:instrText>
        </w:r>
        <w:r w:rsidR="000C6C6D">
          <w:rPr>
            <w:noProof/>
            <w:webHidden/>
          </w:rPr>
        </w:r>
        <w:r w:rsidR="000C6C6D">
          <w:rPr>
            <w:noProof/>
            <w:webHidden/>
          </w:rPr>
          <w:fldChar w:fldCharType="separate"/>
        </w:r>
        <w:r w:rsidR="00F05D99">
          <w:rPr>
            <w:noProof/>
            <w:webHidden/>
          </w:rPr>
          <w:t>53</w:t>
        </w:r>
        <w:r w:rsidR="000C6C6D">
          <w:rPr>
            <w:noProof/>
            <w:webHidden/>
          </w:rPr>
          <w:fldChar w:fldCharType="end"/>
        </w:r>
      </w:hyperlink>
    </w:p>
    <w:p w14:paraId="5DA626AA" w14:textId="659E1D5A" w:rsidR="000C6C6D" w:rsidRDefault="00F76DB1">
      <w:pPr>
        <w:pStyle w:val="TOC3"/>
        <w:rPr>
          <w:rFonts w:asciiTheme="minorHAnsi" w:eastAsiaTheme="minorEastAsia" w:hAnsiTheme="minorHAnsi" w:cstheme="minorBidi"/>
          <w:noProof/>
          <w:color w:val="auto"/>
          <w:sz w:val="22"/>
          <w:szCs w:val="22"/>
        </w:rPr>
      </w:pPr>
      <w:hyperlink w:anchor="_Toc12808893" w:history="1">
        <w:r w:rsidR="000C6C6D" w:rsidRPr="000C43DB">
          <w:rPr>
            <w:rStyle w:val="Hyperlink"/>
            <w:noProof/>
          </w:rPr>
          <w:t>5.13.1</w:t>
        </w:r>
        <w:r w:rsidR="000C6C6D">
          <w:rPr>
            <w:rFonts w:asciiTheme="minorHAnsi" w:eastAsiaTheme="minorEastAsia" w:hAnsiTheme="minorHAnsi" w:cstheme="minorBidi"/>
            <w:noProof/>
            <w:color w:val="auto"/>
            <w:sz w:val="22"/>
            <w:szCs w:val="22"/>
          </w:rPr>
          <w:tab/>
        </w:r>
        <w:r w:rsidR="000C6C6D" w:rsidRPr="000C43DB">
          <w:rPr>
            <w:rStyle w:val="Hyperlink"/>
            <w:noProof/>
          </w:rPr>
          <w:t>Uncertainty Analysis Assumptions</w:t>
        </w:r>
        <w:r w:rsidR="000C6C6D">
          <w:rPr>
            <w:noProof/>
            <w:webHidden/>
          </w:rPr>
          <w:tab/>
        </w:r>
        <w:r w:rsidR="000C6C6D">
          <w:rPr>
            <w:noProof/>
            <w:webHidden/>
          </w:rPr>
          <w:fldChar w:fldCharType="begin"/>
        </w:r>
        <w:r w:rsidR="000C6C6D">
          <w:rPr>
            <w:noProof/>
            <w:webHidden/>
          </w:rPr>
          <w:instrText xml:space="preserve"> PAGEREF _Toc12808893 \h </w:instrText>
        </w:r>
        <w:r w:rsidR="000C6C6D">
          <w:rPr>
            <w:noProof/>
            <w:webHidden/>
          </w:rPr>
        </w:r>
        <w:r w:rsidR="000C6C6D">
          <w:rPr>
            <w:noProof/>
            <w:webHidden/>
          </w:rPr>
          <w:fldChar w:fldCharType="separate"/>
        </w:r>
        <w:r w:rsidR="00F05D99">
          <w:rPr>
            <w:noProof/>
            <w:webHidden/>
          </w:rPr>
          <w:t>54</w:t>
        </w:r>
        <w:r w:rsidR="000C6C6D">
          <w:rPr>
            <w:noProof/>
            <w:webHidden/>
          </w:rPr>
          <w:fldChar w:fldCharType="end"/>
        </w:r>
      </w:hyperlink>
    </w:p>
    <w:p w14:paraId="4A262E09" w14:textId="06E43B56" w:rsidR="000C6C6D" w:rsidRDefault="00F76DB1">
      <w:pPr>
        <w:pStyle w:val="TOC3"/>
        <w:rPr>
          <w:rFonts w:asciiTheme="minorHAnsi" w:eastAsiaTheme="minorEastAsia" w:hAnsiTheme="minorHAnsi" w:cstheme="minorBidi"/>
          <w:noProof/>
          <w:color w:val="auto"/>
          <w:sz w:val="22"/>
          <w:szCs w:val="22"/>
        </w:rPr>
      </w:pPr>
      <w:hyperlink w:anchor="_Toc12808894" w:history="1">
        <w:r w:rsidR="000C6C6D" w:rsidRPr="000C43DB">
          <w:rPr>
            <w:rStyle w:val="Hyperlink"/>
            <w:noProof/>
          </w:rPr>
          <w:t>5.13.2</w:t>
        </w:r>
        <w:r w:rsidR="000C6C6D">
          <w:rPr>
            <w:rFonts w:asciiTheme="minorHAnsi" w:eastAsiaTheme="minorEastAsia" w:hAnsiTheme="minorHAnsi" w:cstheme="minorBidi"/>
            <w:noProof/>
            <w:color w:val="auto"/>
            <w:sz w:val="22"/>
            <w:szCs w:val="22"/>
          </w:rPr>
          <w:tab/>
        </w:r>
        <w:r w:rsidR="000C6C6D" w:rsidRPr="000C43DB">
          <w:rPr>
            <w:rStyle w:val="Hyperlink"/>
            <w:noProof/>
          </w:rPr>
          <w:t>Uncertainty Analysis Results</w:t>
        </w:r>
        <w:r w:rsidR="000C6C6D">
          <w:rPr>
            <w:noProof/>
            <w:webHidden/>
          </w:rPr>
          <w:tab/>
        </w:r>
        <w:r w:rsidR="000C6C6D">
          <w:rPr>
            <w:noProof/>
            <w:webHidden/>
          </w:rPr>
          <w:fldChar w:fldCharType="begin"/>
        </w:r>
        <w:r w:rsidR="000C6C6D">
          <w:rPr>
            <w:noProof/>
            <w:webHidden/>
          </w:rPr>
          <w:instrText xml:space="preserve"> PAGEREF _Toc12808894 \h </w:instrText>
        </w:r>
        <w:r w:rsidR="000C6C6D">
          <w:rPr>
            <w:noProof/>
            <w:webHidden/>
          </w:rPr>
        </w:r>
        <w:r w:rsidR="000C6C6D">
          <w:rPr>
            <w:noProof/>
            <w:webHidden/>
          </w:rPr>
          <w:fldChar w:fldCharType="separate"/>
        </w:r>
        <w:r w:rsidR="00F05D99">
          <w:rPr>
            <w:noProof/>
            <w:webHidden/>
          </w:rPr>
          <w:t>56</w:t>
        </w:r>
        <w:r w:rsidR="000C6C6D">
          <w:rPr>
            <w:noProof/>
            <w:webHidden/>
          </w:rPr>
          <w:fldChar w:fldCharType="end"/>
        </w:r>
      </w:hyperlink>
    </w:p>
    <w:p w14:paraId="35C0E6C9" w14:textId="304D94ED" w:rsidR="000C6C6D" w:rsidRDefault="00F76DB1">
      <w:pPr>
        <w:pStyle w:val="TOC3"/>
        <w:rPr>
          <w:rFonts w:asciiTheme="minorHAnsi" w:eastAsiaTheme="minorEastAsia" w:hAnsiTheme="minorHAnsi" w:cstheme="minorBidi"/>
          <w:noProof/>
          <w:color w:val="auto"/>
          <w:sz w:val="22"/>
          <w:szCs w:val="22"/>
        </w:rPr>
      </w:pPr>
      <w:hyperlink w:anchor="_Toc12808895" w:history="1">
        <w:r w:rsidR="000C6C6D" w:rsidRPr="000C43DB">
          <w:rPr>
            <w:rStyle w:val="Hyperlink"/>
            <w:noProof/>
          </w:rPr>
          <w:t>5.13.3</w:t>
        </w:r>
        <w:r w:rsidR="000C6C6D">
          <w:rPr>
            <w:rFonts w:asciiTheme="minorHAnsi" w:eastAsiaTheme="minorEastAsia" w:hAnsiTheme="minorHAnsi" w:cstheme="minorBidi"/>
            <w:noProof/>
            <w:color w:val="auto"/>
            <w:sz w:val="22"/>
            <w:szCs w:val="22"/>
          </w:rPr>
          <w:tab/>
        </w:r>
        <w:r w:rsidR="000C6C6D" w:rsidRPr="000C43DB">
          <w:rPr>
            <w:rStyle w:val="Hyperlink"/>
            <w:noProof/>
          </w:rPr>
          <w:t>Summary of Uncertainty Analysis</w:t>
        </w:r>
        <w:r w:rsidR="000C6C6D">
          <w:rPr>
            <w:noProof/>
            <w:webHidden/>
          </w:rPr>
          <w:tab/>
        </w:r>
        <w:r w:rsidR="000C6C6D">
          <w:rPr>
            <w:noProof/>
            <w:webHidden/>
          </w:rPr>
          <w:fldChar w:fldCharType="begin"/>
        </w:r>
        <w:r w:rsidR="000C6C6D">
          <w:rPr>
            <w:noProof/>
            <w:webHidden/>
          </w:rPr>
          <w:instrText xml:space="preserve"> PAGEREF _Toc12808895 \h </w:instrText>
        </w:r>
        <w:r w:rsidR="000C6C6D">
          <w:rPr>
            <w:noProof/>
            <w:webHidden/>
          </w:rPr>
        </w:r>
        <w:r w:rsidR="000C6C6D">
          <w:rPr>
            <w:noProof/>
            <w:webHidden/>
          </w:rPr>
          <w:fldChar w:fldCharType="separate"/>
        </w:r>
        <w:r w:rsidR="00F05D99">
          <w:rPr>
            <w:noProof/>
            <w:webHidden/>
          </w:rPr>
          <w:t>58</w:t>
        </w:r>
        <w:r w:rsidR="000C6C6D">
          <w:rPr>
            <w:noProof/>
            <w:webHidden/>
          </w:rPr>
          <w:fldChar w:fldCharType="end"/>
        </w:r>
      </w:hyperlink>
    </w:p>
    <w:p w14:paraId="44628CDA" w14:textId="484ACB08" w:rsidR="000C6C6D" w:rsidRDefault="00F76DB1">
      <w:pPr>
        <w:pStyle w:val="TOC2"/>
        <w:rPr>
          <w:rFonts w:asciiTheme="minorHAnsi" w:eastAsiaTheme="minorEastAsia" w:hAnsiTheme="minorHAnsi" w:cstheme="minorBidi"/>
          <w:noProof/>
          <w:color w:val="auto"/>
          <w:sz w:val="22"/>
          <w:szCs w:val="22"/>
        </w:rPr>
      </w:pPr>
      <w:hyperlink w:anchor="_Toc12808896" w:history="1">
        <w:r w:rsidR="000C6C6D" w:rsidRPr="000C43DB">
          <w:rPr>
            <w:rStyle w:val="Hyperlink"/>
            <w:noProof/>
          </w:rPr>
          <w:t>5.14</w:t>
        </w:r>
        <w:r w:rsidR="000C6C6D">
          <w:rPr>
            <w:rFonts w:asciiTheme="minorHAnsi" w:eastAsiaTheme="minorEastAsia" w:hAnsiTheme="minorHAnsi" w:cstheme="minorBidi"/>
            <w:noProof/>
            <w:color w:val="auto"/>
            <w:sz w:val="22"/>
            <w:szCs w:val="22"/>
          </w:rPr>
          <w:tab/>
        </w:r>
        <w:r w:rsidR="000C6C6D" w:rsidRPr="000C43DB">
          <w:rPr>
            <w:rStyle w:val="Hyperlink"/>
            <w:noProof/>
          </w:rPr>
          <w:t>Disaggregation</w:t>
        </w:r>
        <w:r w:rsidR="000C6C6D">
          <w:rPr>
            <w:noProof/>
            <w:webHidden/>
          </w:rPr>
          <w:tab/>
        </w:r>
        <w:r w:rsidR="000C6C6D">
          <w:rPr>
            <w:noProof/>
            <w:webHidden/>
          </w:rPr>
          <w:fldChar w:fldCharType="begin"/>
        </w:r>
        <w:r w:rsidR="000C6C6D">
          <w:rPr>
            <w:noProof/>
            <w:webHidden/>
          </w:rPr>
          <w:instrText xml:space="preserve"> PAGEREF _Toc12808896 \h </w:instrText>
        </w:r>
        <w:r w:rsidR="000C6C6D">
          <w:rPr>
            <w:noProof/>
            <w:webHidden/>
          </w:rPr>
        </w:r>
        <w:r w:rsidR="000C6C6D">
          <w:rPr>
            <w:noProof/>
            <w:webHidden/>
          </w:rPr>
          <w:fldChar w:fldCharType="separate"/>
        </w:r>
        <w:r w:rsidR="00F05D99">
          <w:rPr>
            <w:noProof/>
            <w:webHidden/>
          </w:rPr>
          <w:t>59</w:t>
        </w:r>
        <w:r w:rsidR="000C6C6D">
          <w:rPr>
            <w:noProof/>
            <w:webHidden/>
          </w:rPr>
          <w:fldChar w:fldCharType="end"/>
        </w:r>
      </w:hyperlink>
    </w:p>
    <w:p w14:paraId="13C26D40" w14:textId="7647DD2D" w:rsidR="000C6C6D" w:rsidRDefault="00F76DB1">
      <w:pPr>
        <w:pStyle w:val="TOC2"/>
        <w:rPr>
          <w:rFonts w:asciiTheme="minorHAnsi" w:eastAsiaTheme="minorEastAsia" w:hAnsiTheme="minorHAnsi" w:cstheme="minorBidi"/>
          <w:noProof/>
          <w:color w:val="auto"/>
          <w:sz w:val="22"/>
          <w:szCs w:val="22"/>
        </w:rPr>
      </w:pPr>
      <w:hyperlink w:anchor="_Toc12808897" w:history="1">
        <w:r w:rsidR="000C6C6D" w:rsidRPr="000C43DB">
          <w:rPr>
            <w:rStyle w:val="Hyperlink"/>
            <w:noProof/>
          </w:rPr>
          <w:t>5.15</w:t>
        </w:r>
        <w:r w:rsidR="000C6C6D">
          <w:rPr>
            <w:rFonts w:asciiTheme="minorHAnsi" w:eastAsiaTheme="minorEastAsia" w:hAnsiTheme="minorHAnsi" w:cstheme="minorBidi"/>
            <w:noProof/>
            <w:color w:val="auto"/>
            <w:sz w:val="22"/>
            <w:szCs w:val="22"/>
          </w:rPr>
          <w:tab/>
        </w:r>
        <w:r w:rsidR="000C6C6D" w:rsidRPr="000C43DB">
          <w:rPr>
            <w:rStyle w:val="Hyperlink"/>
            <w:noProof/>
          </w:rPr>
          <w:t>Summary</w:t>
        </w:r>
        <w:r w:rsidR="000C6C6D">
          <w:rPr>
            <w:noProof/>
            <w:webHidden/>
          </w:rPr>
          <w:tab/>
        </w:r>
        <w:r w:rsidR="000C6C6D">
          <w:rPr>
            <w:noProof/>
            <w:webHidden/>
          </w:rPr>
          <w:fldChar w:fldCharType="begin"/>
        </w:r>
        <w:r w:rsidR="000C6C6D">
          <w:rPr>
            <w:noProof/>
            <w:webHidden/>
          </w:rPr>
          <w:instrText xml:space="preserve"> PAGEREF _Toc12808897 \h </w:instrText>
        </w:r>
        <w:r w:rsidR="000C6C6D">
          <w:rPr>
            <w:noProof/>
            <w:webHidden/>
          </w:rPr>
        </w:r>
        <w:r w:rsidR="000C6C6D">
          <w:rPr>
            <w:noProof/>
            <w:webHidden/>
          </w:rPr>
          <w:fldChar w:fldCharType="separate"/>
        </w:r>
        <w:r w:rsidR="00F05D99">
          <w:rPr>
            <w:noProof/>
            <w:webHidden/>
          </w:rPr>
          <w:t>59</w:t>
        </w:r>
        <w:r w:rsidR="000C6C6D">
          <w:rPr>
            <w:noProof/>
            <w:webHidden/>
          </w:rPr>
          <w:fldChar w:fldCharType="end"/>
        </w:r>
      </w:hyperlink>
    </w:p>
    <w:p w14:paraId="24E5F2DD" w14:textId="2B182C03" w:rsidR="000C6C6D" w:rsidRDefault="00F76DB1">
      <w:pPr>
        <w:pStyle w:val="TOC3"/>
        <w:rPr>
          <w:rFonts w:asciiTheme="minorHAnsi" w:eastAsiaTheme="minorEastAsia" w:hAnsiTheme="minorHAnsi" w:cstheme="minorBidi"/>
          <w:noProof/>
          <w:color w:val="auto"/>
          <w:sz w:val="22"/>
          <w:szCs w:val="22"/>
        </w:rPr>
      </w:pPr>
      <w:hyperlink w:anchor="_Toc12808898" w:history="1">
        <w:r w:rsidR="000C6C6D" w:rsidRPr="000C43DB">
          <w:rPr>
            <w:rStyle w:val="Hyperlink"/>
            <w:noProof/>
          </w:rPr>
          <w:t>5.15.1</w:t>
        </w:r>
        <w:r w:rsidR="000C6C6D">
          <w:rPr>
            <w:rFonts w:asciiTheme="minorHAnsi" w:eastAsiaTheme="minorEastAsia" w:hAnsiTheme="minorHAnsi" w:cstheme="minorBidi"/>
            <w:noProof/>
            <w:color w:val="auto"/>
            <w:sz w:val="22"/>
            <w:szCs w:val="22"/>
          </w:rPr>
          <w:tab/>
        </w:r>
        <w:r w:rsidR="000C6C6D" w:rsidRPr="000C43DB">
          <w:rPr>
            <w:rStyle w:val="Hyperlink"/>
            <w:noProof/>
          </w:rPr>
          <w:t>Quantified Net Benefit</w:t>
        </w:r>
        <w:r w:rsidR="000C6C6D">
          <w:rPr>
            <w:noProof/>
            <w:webHidden/>
          </w:rPr>
          <w:tab/>
        </w:r>
        <w:r w:rsidR="000C6C6D">
          <w:rPr>
            <w:noProof/>
            <w:webHidden/>
          </w:rPr>
          <w:fldChar w:fldCharType="begin"/>
        </w:r>
        <w:r w:rsidR="000C6C6D">
          <w:rPr>
            <w:noProof/>
            <w:webHidden/>
          </w:rPr>
          <w:instrText xml:space="preserve"> PAGEREF _Toc12808898 \h </w:instrText>
        </w:r>
        <w:r w:rsidR="000C6C6D">
          <w:rPr>
            <w:noProof/>
            <w:webHidden/>
          </w:rPr>
        </w:r>
        <w:r w:rsidR="000C6C6D">
          <w:rPr>
            <w:noProof/>
            <w:webHidden/>
          </w:rPr>
          <w:fldChar w:fldCharType="separate"/>
        </w:r>
        <w:r w:rsidR="00F05D99">
          <w:rPr>
            <w:noProof/>
            <w:webHidden/>
          </w:rPr>
          <w:t>59</w:t>
        </w:r>
        <w:r w:rsidR="000C6C6D">
          <w:rPr>
            <w:noProof/>
            <w:webHidden/>
          </w:rPr>
          <w:fldChar w:fldCharType="end"/>
        </w:r>
      </w:hyperlink>
    </w:p>
    <w:p w14:paraId="24A2CE1F" w14:textId="67626B0F" w:rsidR="000C6C6D" w:rsidRDefault="00F76DB1">
      <w:pPr>
        <w:pStyle w:val="TOC3"/>
        <w:rPr>
          <w:rFonts w:asciiTheme="minorHAnsi" w:eastAsiaTheme="minorEastAsia" w:hAnsiTheme="minorHAnsi" w:cstheme="minorBidi"/>
          <w:noProof/>
          <w:color w:val="auto"/>
          <w:sz w:val="22"/>
          <w:szCs w:val="22"/>
        </w:rPr>
      </w:pPr>
      <w:hyperlink w:anchor="_Toc12808899" w:history="1">
        <w:r w:rsidR="000C6C6D" w:rsidRPr="000C43DB">
          <w:rPr>
            <w:rStyle w:val="Hyperlink"/>
            <w:noProof/>
          </w:rPr>
          <w:t>5.15.2</w:t>
        </w:r>
        <w:r w:rsidR="000C6C6D">
          <w:rPr>
            <w:rFonts w:asciiTheme="minorHAnsi" w:eastAsiaTheme="minorEastAsia" w:hAnsiTheme="minorHAnsi" w:cstheme="minorBidi"/>
            <w:noProof/>
            <w:color w:val="auto"/>
            <w:sz w:val="22"/>
            <w:szCs w:val="22"/>
          </w:rPr>
          <w:tab/>
        </w:r>
        <w:r w:rsidR="000C6C6D" w:rsidRPr="000C43DB">
          <w:rPr>
            <w:rStyle w:val="Hyperlink"/>
            <w:noProof/>
          </w:rPr>
          <w:t>Nonquantified Benefits</w:t>
        </w:r>
        <w:r w:rsidR="000C6C6D">
          <w:rPr>
            <w:noProof/>
            <w:webHidden/>
          </w:rPr>
          <w:tab/>
        </w:r>
        <w:r w:rsidR="000C6C6D">
          <w:rPr>
            <w:noProof/>
            <w:webHidden/>
          </w:rPr>
          <w:fldChar w:fldCharType="begin"/>
        </w:r>
        <w:r w:rsidR="000C6C6D">
          <w:rPr>
            <w:noProof/>
            <w:webHidden/>
          </w:rPr>
          <w:instrText xml:space="preserve"> PAGEREF _Toc12808899 \h </w:instrText>
        </w:r>
        <w:r w:rsidR="000C6C6D">
          <w:rPr>
            <w:noProof/>
            <w:webHidden/>
          </w:rPr>
        </w:r>
        <w:r w:rsidR="000C6C6D">
          <w:rPr>
            <w:noProof/>
            <w:webHidden/>
          </w:rPr>
          <w:fldChar w:fldCharType="separate"/>
        </w:r>
        <w:r w:rsidR="00F05D99">
          <w:rPr>
            <w:noProof/>
            <w:webHidden/>
          </w:rPr>
          <w:t>59</w:t>
        </w:r>
        <w:r w:rsidR="000C6C6D">
          <w:rPr>
            <w:noProof/>
            <w:webHidden/>
          </w:rPr>
          <w:fldChar w:fldCharType="end"/>
        </w:r>
      </w:hyperlink>
    </w:p>
    <w:p w14:paraId="14CA39D4" w14:textId="59694B37" w:rsidR="000C6C6D" w:rsidRDefault="00F76DB1">
      <w:pPr>
        <w:pStyle w:val="TOC3"/>
        <w:rPr>
          <w:rFonts w:asciiTheme="minorHAnsi" w:eastAsiaTheme="minorEastAsia" w:hAnsiTheme="minorHAnsi" w:cstheme="minorBidi"/>
          <w:noProof/>
          <w:color w:val="auto"/>
          <w:sz w:val="22"/>
          <w:szCs w:val="22"/>
        </w:rPr>
      </w:pPr>
      <w:hyperlink w:anchor="_Toc12808900" w:history="1">
        <w:r w:rsidR="000C6C6D" w:rsidRPr="000C43DB">
          <w:rPr>
            <w:rStyle w:val="Hyperlink"/>
            <w:noProof/>
          </w:rPr>
          <w:t>5.15.3</w:t>
        </w:r>
        <w:r w:rsidR="000C6C6D">
          <w:rPr>
            <w:rFonts w:asciiTheme="minorHAnsi" w:eastAsiaTheme="minorEastAsia" w:hAnsiTheme="minorHAnsi" w:cstheme="minorBidi"/>
            <w:noProof/>
            <w:color w:val="auto"/>
            <w:sz w:val="22"/>
            <w:szCs w:val="22"/>
          </w:rPr>
          <w:tab/>
        </w:r>
        <w:r w:rsidR="000C6C6D" w:rsidRPr="000C43DB">
          <w:rPr>
            <w:rStyle w:val="Hyperlink"/>
            <w:noProof/>
          </w:rPr>
          <w:t>Nonquantified Costs</w:t>
        </w:r>
        <w:r w:rsidR="000C6C6D">
          <w:rPr>
            <w:noProof/>
            <w:webHidden/>
          </w:rPr>
          <w:tab/>
        </w:r>
        <w:r w:rsidR="000C6C6D">
          <w:rPr>
            <w:noProof/>
            <w:webHidden/>
          </w:rPr>
          <w:fldChar w:fldCharType="begin"/>
        </w:r>
        <w:r w:rsidR="000C6C6D">
          <w:rPr>
            <w:noProof/>
            <w:webHidden/>
          </w:rPr>
          <w:instrText xml:space="preserve"> PAGEREF _Toc12808900 \h </w:instrText>
        </w:r>
        <w:r w:rsidR="000C6C6D">
          <w:rPr>
            <w:noProof/>
            <w:webHidden/>
          </w:rPr>
        </w:r>
        <w:r w:rsidR="000C6C6D">
          <w:rPr>
            <w:noProof/>
            <w:webHidden/>
          </w:rPr>
          <w:fldChar w:fldCharType="separate"/>
        </w:r>
        <w:r w:rsidR="00F05D99">
          <w:rPr>
            <w:noProof/>
            <w:webHidden/>
          </w:rPr>
          <w:t>61</w:t>
        </w:r>
        <w:r w:rsidR="000C6C6D">
          <w:rPr>
            <w:noProof/>
            <w:webHidden/>
          </w:rPr>
          <w:fldChar w:fldCharType="end"/>
        </w:r>
      </w:hyperlink>
    </w:p>
    <w:p w14:paraId="2D194731" w14:textId="79CE9680" w:rsidR="000C6C6D" w:rsidRDefault="00F76DB1">
      <w:pPr>
        <w:pStyle w:val="TOC2"/>
        <w:rPr>
          <w:rFonts w:asciiTheme="minorHAnsi" w:eastAsiaTheme="minorEastAsia" w:hAnsiTheme="minorHAnsi" w:cstheme="minorBidi"/>
          <w:noProof/>
          <w:color w:val="auto"/>
          <w:sz w:val="22"/>
          <w:szCs w:val="22"/>
        </w:rPr>
      </w:pPr>
      <w:hyperlink w:anchor="_Toc12808901" w:history="1">
        <w:r w:rsidR="000C6C6D" w:rsidRPr="000C43DB">
          <w:rPr>
            <w:rStyle w:val="Hyperlink"/>
            <w:noProof/>
          </w:rPr>
          <w:t>5.16</w:t>
        </w:r>
        <w:r w:rsidR="000C6C6D">
          <w:rPr>
            <w:rFonts w:asciiTheme="minorHAnsi" w:eastAsiaTheme="minorEastAsia" w:hAnsiTheme="minorHAnsi" w:cstheme="minorBidi"/>
            <w:noProof/>
            <w:color w:val="auto"/>
            <w:sz w:val="22"/>
            <w:szCs w:val="22"/>
          </w:rPr>
          <w:tab/>
        </w:r>
        <w:r w:rsidR="000C6C6D" w:rsidRPr="000C43DB">
          <w:rPr>
            <w:rStyle w:val="Hyperlink"/>
            <w:noProof/>
          </w:rPr>
          <w:t>Safety Goal Evaluation</w:t>
        </w:r>
        <w:r w:rsidR="000C6C6D">
          <w:rPr>
            <w:noProof/>
            <w:webHidden/>
          </w:rPr>
          <w:tab/>
        </w:r>
        <w:r w:rsidR="000C6C6D">
          <w:rPr>
            <w:noProof/>
            <w:webHidden/>
          </w:rPr>
          <w:fldChar w:fldCharType="begin"/>
        </w:r>
        <w:r w:rsidR="000C6C6D">
          <w:rPr>
            <w:noProof/>
            <w:webHidden/>
          </w:rPr>
          <w:instrText xml:space="preserve"> PAGEREF _Toc12808901 \h </w:instrText>
        </w:r>
        <w:r w:rsidR="000C6C6D">
          <w:rPr>
            <w:noProof/>
            <w:webHidden/>
          </w:rPr>
        </w:r>
        <w:r w:rsidR="000C6C6D">
          <w:rPr>
            <w:noProof/>
            <w:webHidden/>
          </w:rPr>
          <w:fldChar w:fldCharType="separate"/>
        </w:r>
        <w:r w:rsidR="00F05D99">
          <w:rPr>
            <w:noProof/>
            <w:webHidden/>
          </w:rPr>
          <w:t>61</w:t>
        </w:r>
        <w:r w:rsidR="000C6C6D">
          <w:rPr>
            <w:noProof/>
            <w:webHidden/>
          </w:rPr>
          <w:fldChar w:fldCharType="end"/>
        </w:r>
      </w:hyperlink>
    </w:p>
    <w:p w14:paraId="3DCD0016" w14:textId="4BAA4913" w:rsidR="000C6C6D" w:rsidRDefault="00F76DB1">
      <w:pPr>
        <w:pStyle w:val="TOC3"/>
        <w:rPr>
          <w:rFonts w:asciiTheme="minorHAnsi" w:eastAsiaTheme="minorEastAsia" w:hAnsiTheme="minorHAnsi" w:cstheme="minorBidi"/>
          <w:noProof/>
          <w:color w:val="auto"/>
          <w:sz w:val="22"/>
          <w:szCs w:val="22"/>
        </w:rPr>
      </w:pPr>
      <w:hyperlink w:anchor="_Toc12808902" w:history="1">
        <w:r w:rsidR="000C6C6D" w:rsidRPr="000C43DB">
          <w:rPr>
            <w:rStyle w:val="Hyperlink"/>
            <w:noProof/>
          </w:rPr>
          <w:t>5.16.1</w:t>
        </w:r>
        <w:r w:rsidR="000C6C6D">
          <w:rPr>
            <w:rFonts w:asciiTheme="minorHAnsi" w:eastAsiaTheme="minorEastAsia" w:hAnsiTheme="minorHAnsi" w:cstheme="minorBidi"/>
            <w:noProof/>
            <w:color w:val="auto"/>
            <w:sz w:val="22"/>
            <w:szCs w:val="22"/>
          </w:rPr>
          <w:tab/>
        </w:r>
        <w:r w:rsidR="000C6C6D" w:rsidRPr="000C43DB">
          <w:rPr>
            <w:rStyle w:val="Hyperlink"/>
            <w:noProof/>
          </w:rPr>
          <w:t>Section A:  Incorporation by Reference of Later Editions and Addenda of ASME BPV Code, Section III, Division 1</w:t>
        </w:r>
        <w:r w:rsidR="000C6C6D">
          <w:rPr>
            <w:noProof/>
            <w:webHidden/>
          </w:rPr>
          <w:tab/>
        </w:r>
        <w:r w:rsidR="000C6C6D">
          <w:rPr>
            <w:noProof/>
            <w:webHidden/>
          </w:rPr>
          <w:fldChar w:fldCharType="begin"/>
        </w:r>
        <w:r w:rsidR="000C6C6D">
          <w:rPr>
            <w:noProof/>
            <w:webHidden/>
          </w:rPr>
          <w:instrText xml:space="preserve"> PAGEREF _Toc12808902 \h </w:instrText>
        </w:r>
        <w:r w:rsidR="000C6C6D">
          <w:rPr>
            <w:noProof/>
            <w:webHidden/>
          </w:rPr>
        </w:r>
        <w:r w:rsidR="000C6C6D">
          <w:rPr>
            <w:noProof/>
            <w:webHidden/>
          </w:rPr>
          <w:fldChar w:fldCharType="separate"/>
        </w:r>
        <w:r w:rsidR="00F05D99">
          <w:rPr>
            <w:noProof/>
            <w:webHidden/>
          </w:rPr>
          <w:t>62</w:t>
        </w:r>
        <w:r w:rsidR="000C6C6D">
          <w:rPr>
            <w:noProof/>
            <w:webHidden/>
          </w:rPr>
          <w:fldChar w:fldCharType="end"/>
        </w:r>
      </w:hyperlink>
    </w:p>
    <w:p w14:paraId="7C892B4C" w14:textId="5D42D5C9" w:rsidR="000C6C6D" w:rsidRDefault="00F76DB1">
      <w:pPr>
        <w:pStyle w:val="TOC3"/>
        <w:rPr>
          <w:rFonts w:asciiTheme="minorHAnsi" w:eastAsiaTheme="minorEastAsia" w:hAnsiTheme="minorHAnsi" w:cstheme="minorBidi"/>
          <w:noProof/>
          <w:color w:val="auto"/>
          <w:sz w:val="22"/>
          <w:szCs w:val="22"/>
        </w:rPr>
      </w:pPr>
      <w:hyperlink w:anchor="_Toc12808903" w:history="1">
        <w:r w:rsidR="000C6C6D" w:rsidRPr="000C43DB">
          <w:rPr>
            <w:rStyle w:val="Hyperlink"/>
            <w:noProof/>
          </w:rPr>
          <w:t>5.16.2</w:t>
        </w:r>
        <w:r w:rsidR="000C6C6D">
          <w:rPr>
            <w:rFonts w:asciiTheme="minorHAnsi" w:eastAsiaTheme="minorEastAsia" w:hAnsiTheme="minorHAnsi" w:cstheme="minorBidi"/>
            <w:noProof/>
            <w:color w:val="auto"/>
            <w:sz w:val="22"/>
            <w:szCs w:val="22"/>
          </w:rPr>
          <w:tab/>
        </w:r>
        <w:r w:rsidR="000C6C6D" w:rsidRPr="000C43DB">
          <w:rPr>
            <w:rStyle w:val="Hyperlink"/>
            <w:noProof/>
          </w:rPr>
          <w:t>Section B:  Incorporation by Reference of Later Editions and Addenda of Section XI, Division 1, of the ASME BPV Code, and OM Codes</w:t>
        </w:r>
        <w:r w:rsidR="000C6C6D">
          <w:rPr>
            <w:noProof/>
            <w:webHidden/>
          </w:rPr>
          <w:tab/>
        </w:r>
        <w:r w:rsidR="000C6C6D">
          <w:rPr>
            <w:noProof/>
            <w:webHidden/>
          </w:rPr>
          <w:fldChar w:fldCharType="begin"/>
        </w:r>
        <w:r w:rsidR="000C6C6D">
          <w:rPr>
            <w:noProof/>
            <w:webHidden/>
          </w:rPr>
          <w:instrText xml:space="preserve"> PAGEREF _Toc12808903 \h </w:instrText>
        </w:r>
        <w:r w:rsidR="000C6C6D">
          <w:rPr>
            <w:noProof/>
            <w:webHidden/>
          </w:rPr>
        </w:r>
        <w:r w:rsidR="000C6C6D">
          <w:rPr>
            <w:noProof/>
            <w:webHidden/>
          </w:rPr>
          <w:fldChar w:fldCharType="separate"/>
        </w:r>
        <w:r w:rsidR="00F05D99">
          <w:rPr>
            <w:noProof/>
            <w:webHidden/>
          </w:rPr>
          <w:t>62</w:t>
        </w:r>
        <w:r w:rsidR="000C6C6D">
          <w:rPr>
            <w:noProof/>
            <w:webHidden/>
          </w:rPr>
          <w:fldChar w:fldCharType="end"/>
        </w:r>
      </w:hyperlink>
    </w:p>
    <w:p w14:paraId="354F049C" w14:textId="5AC94B40" w:rsidR="000C6C6D" w:rsidRDefault="00F76DB1">
      <w:pPr>
        <w:pStyle w:val="TOC3"/>
        <w:rPr>
          <w:rFonts w:asciiTheme="minorHAnsi" w:eastAsiaTheme="minorEastAsia" w:hAnsiTheme="minorHAnsi" w:cstheme="minorBidi"/>
          <w:noProof/>
          <w:color w:val="auto"/>
          <w:sz w:val="22"/>
          <w:szCs w:val="22"/>
        </w:rPr>
      </w:pPr>
      <w:hyperlink w:anchor="_Toc12808904" w:history="1">
        <w:r w:rsidR="000C6C6D" w:rsidRPr="000C43DB">
          <w:rPr>
            <w:rStyle w:val="Hyperlink"/>
            <w:noProof/>
          </w:rPr>
          <w:t>5.16.3</w:t>
        </w:r>
        <w:r w:rsidR="000C6C6D">
          <w:rPr>
            <w:rFonts w:asciiTheme="minorHAnsi" w:eastAsiaTheme="minorEastAsia" w:hAnsiTheme="minorHAnsi" w:cstheme="minorBidi"/>
            <w:noProof/>
            <w:color w:val="auto"/>
            <w:sz w:val="22"/>
            <w:szCs w:val="22"/>
          </w:rPr>
          <w:tab/>
        </w:r>
        <w:r w:rsidR="000C6C6D" w:rsidRPr="000C43DB">
          <w:rPr>
            <w:rStyle w:val="Hyperlink"/>
            <w:noProof/>
          </w:rPr>
          <w:t>Other Circumstances under Which the NRC Does Not Apply the Backfit Rule to the Endorsement of a Later Code</w:t>
        </w:r>
        <w:r w:rsidR="000C6C6D">
          <w:rPr>
            <w:noProof/>
            <w:webHidden/>
          </w:rPr>
          <w:tab/>
        </w:r>
        <w:r w:rsidR="000C6C6D">
          <w:rPr>
            <w:noProof/>
            <w:webHidden/>
          </w:rPr>
          <w:fldChar w:fldCharType="begin"/>
        </w:r>
        <w:r w:rsidR="000C6C6D">
          <w:rPr>
            <w:noProof/>
            <w:webHidden/>
          </w:rPr>
          <w:instrText xml:space="preserve"> PAGEREF _Toc12808904 \h </w:instrText>
        </w:r>
        <w:r w:rsidR="000C6C6D">
          <w:rPr>
            <w:noProof/>
            <w:webHidden/>
          </w:rPr>
        </w:r>
        <w:r w:rsidR="000C6C6D">
          <w:rPr>
            <w:noProof/>
            <w:webHidden/>
          </w:rPr>
          <w:fldChar w:fldCharType="separate"/>
        </w:r>
        <w:r w:rsidR="00F05D99">
          <w:rPr>
            <w:noProof/>
            <w:webHidden/>
          </w:rPr>
          <w:t>62</w:t>
        </w:r>
        <w:r w:rsidR="000C6C6D">
          <w:rPr>
            <w:noProof/>
            <w:webHidden/>
          </w:rPr>
          <w:fldChar w:fldCharType="end"/>
        </w:r>
      </w:hyperlink>
    </w:p>
    <w:p w14:paraId="3370B435" w14:textId="225F3D66" w:rsidR="000C6C6D" w:rsidRDefault="00F76DB1">
      <w:pPr>
        <w:pStyle w:val="TOC3"/>
        <w:rPr>
          <w:rFonts w:asciiTheme="minorHAnsi" w:eastAsiaTheme="minorEastAsia" w:hAnsiTheme="minorHAnsi" w:cstheme="minorBidi"/>
          <w:noProof/>
          <w:color w:val="auto"/>
          <w:sz w:val="22"/>
          <w:szCs w:val="22"/>
        </w:rPr>
      </w:pPr>
      <w:hyperlink w:anchor="_Toc12808905" w:history="1">
        <w:r w:rsidR="000C6C6D" w:rsidRPr="000C43DB">
          <w:rPr>
            <w:rStyle w:val="Hyperlink"/>
            <w:noProof/>
          </w:rPr>
          <w:t>5.16.4</w:t>
        </w:r>
        <w:r w:rsidR="000C6C6D">
          <w:rPr>
            <w:rFonts w:asciiTheme="minorHAnsi" w:eastAsiaTheme="minorEastAsia" w:hAnsiTheme="minorHAnsi" w:cstheme="minorBidi"/>
            <w:noProof/>
            <w:color w:val="auto"/>
            <w:sz w:val="22"/>
            <w:szCs w:val="22"/>
          </w:rPr>
          <w:tab/>
        </w:r>
        <w:r w:rsidR="000C6C6D" w:rsidRPr="000C43DB">
          <w:rPr>
            <w:rStyle w:val="Hyperlink"/>
            <w:noProof/>
          </w:rPr>
          <w:t>Safety Goal Evaluation Result</w:t>
        </w:r>
        <w:r w:rsidR="000C6C6D">
          <w:rPr>
            <w:noProof/>
            <w:webHidden/>
          </w:rPr>
          <w:tab/>
        </w:r>
        <w:r w:rsidR="000C6C6D">
          <w:rPr>
            <w:noProof/>
            <w:webHidden/>
          </w:rPr>
          <w:fldChar w:fldCharType="begin"/>
        </w:r>
        <w:r w:rsidR="000C6C6D">
          <w:rPr>
            <w:noProof/>
            <w:webHidden/>
          </w:rPr>
          <w:instrText xml:space="preserve"> PAGEREF _Toc12808905 \h </w:instrText>
        </w:r>
        <w:r w:rsidR="000C6C6D">
          <w:rPr>
            <w:noProof/>
            <w:webHidden/>
          </w:rPr>
        </w:r>
        <w:r w:rsidR="000C6C6D">
          <w:rPr>
            <w:noProof/>
            <w:webHidden/>
          </w:rPr>
          <w:fldChar w:fldCharType="separate"/>
        </w:r>
        <w:r w:rsidR="00F05D99">
          <w:rPr>
            <w:noProof/>
            <w:webHidden/>
          </w:rPr>
          <w:t>63</w:t>
        </w:r>
        <w:r w:rsidR="000C6C6D">
          <w:rPr>
            <w:noProof/>
            <w:webHidden/>
          </w:rPr>
          <w:fldChar w:fldCharType="end"/>
        </w:r>
      </w:hyperlink>
    </w:p>
    <w:p w14:paraId="05BE1F70" w14:textId="6C9D5767" w:rsidR="000C6C6D" w:rsidRDefault="00F76DB1">
      <w:pPr>
        <w:pStyle w:val="TOC2"/>
        <w:rPr>
          <w:rFonts w:asciiTheme="minorHAnsi" w:eastAsiaTheme="minorEastAsia" w:hAnsiTheme="minorHAnsi" w:cstheme="minorBidi"/>
          <w:noProof/>
          <w:color w:val="auto"/>
          <w:sz w:val="22"/>
          <w:szCs w:val="22"/>
        </w:rPr>
      </w:pPr>
      <w:hyperlink w:anchor="_Toc12808906" w:history="1">
        <w:r w:rsidR="000C6C6D" w:rsidRPr="000C43DB">
          <w:rPr>
            <w:rStyle w:val="Hyperlink"/>
            <w:noProof/>
          </w:rPr>
          <w:t>5.17</w:t>
        </w:r>
        <w:r w:rsidR="000C6C6D">
          <w:rPr>
            <w:rFonts w:asciiTheme="minorHAnsi" w:eastAsiaTheme="minorEastAsia" w:hAnsiTheme="minorHAnsi" w:cstheme="minorBidi"/>
            <w:noProof/>
            <w:color w:val="auto"/>
            <w:sz w:val="22"/>
            <w:szCs w:val="22"/>
          </w:rPr>
          <w:tab/>
        </w:r>
        <w:r w:rsidR="000C6C6D" w:rsidRPr="000C43DB">
          <w:rPr>
            <w:rStyle w:val="Hyperlink"/>
            <w:noProof/>
          </w:rPr>
          <w:t>Results for the Committee to Review Generic Requirements</w:t>
        </w:r>
        <w:r w:rsidR="000C6C6D">
          <w:rPr>
            <w:noProof/>
            <w:webHidden/>
          </w:rPr>
          <w:tab/>
        </w:r>
        <w:r w:rsidR="000C6C6D">
          <w:rPr>
            <w:noProof/>
            <w:webHidden/>
          </w:rPr>
          <w:fldChar w:fldCharType="begin"/>
        </w:r>
        <w:r w:rsidR="000C6C6D">
          <w:rPr>
            <w:noProof/>
            <w:webHidden/>
          </w:rPr>
          <w:instrText xml:space="preserve"> PAGEREF _Toc12808906 \h </w:instrText>
        </w:r>
        <w:r w:rsidR="000C6C6D">
          <w:rPr>
            <w:noProof/>
            <w:webHidden/>
          </w:rPr>
        </w:r>
        <w:r w:rsidR="000C6C6D">
          <w:rPr>
            <w:noProof/>
            <w:webHidden/>
          </w:rPr>
          <w:fldChar w:fldCharType="separate"/>
        </w:r>
        <w:r w:rsidR="00F05D99">
          <w:rPr>
            <w:noProof/>
            <w:webHidden/>
          </w:rPr>
          <w:t>63</w:t>
        </w:r>
        <w:r w:rsidR="000C6C6D">
          <w:rPr>
            <w:noProof/>
            <w:webHidden/>
          </w:rPr>
          <w:fldChar w:fldCharType="end"/>
        </w:r>
      </w:hyperlink>
    </w:p>
    <w:p w14:paraId="69C8B86B" w14:textId="039DEB35" w:rsidR="000C6C6D" w:rsidRDefault="00F76DB1">
      <w:pPr>
        <w:pStyle w:val="TOC1"/>
        <w:rPr>
          <w:rFonts w:asciiTheme="minorHAnsi" w:eastAsiaTheme="minorEastAsia" w:hAnsiTheme="minorHAnsi" w:cstheme="minorBidi"/>
          <w:color w:val="auto"/>
          <w:sz w:val="22"/>
          <w:szCs w:val="22"/>
        </w:rPr>
      </w:pPr>
      <w:hyperlink w:anchor="_Toc12808907" w:history="1">
        <w:r w:rsidR="000C6C6D" w:rsidRPr="000C43DB">
          <w:rPr>
            <w:rStyle w:val="Hyperlink"/>
          </w:rPr>
          <w:t>6.</w:t>
        </w:r>
        <w:r w:rsidR="000C6C6D">
          <w:rPr>
            <w:rFonts w:asciiTheme="minorHAnsi" w:eastAsiaTheme="minorEastAsia" w:hAnsiTheme="minorHAnsi" w:cstheme="minorBidi"/>
            <w:color w:val="auto"/>
            <w:sz w:val="22"/>
            <w:szCs w:val="22"/>
          </w:rPr>
          <w:tab/>
        </w:r>
        <w:r w:rsidR="000C6C6D" w:rsidRPr="000C43DB">
          <w:rPr>
            <w:rStyle w:val="Hyperlink"/>
          </w:rPr>
          <w:t>Decision Rationale</w:t>
        </w:r>
        <w:r w:rsidR="000C6C6D">
          <w:rPr>
            <w:webHidden/>
          </w:rPr>
          <w:tab/>
        </w:r>
        <w:r w:rsidR="000C6C6D">
          <w:rPr>
            <w:webHidden/>
          </w:rPr>
          <w:fldChar w:fldCharType="begin"/>
        </w:r>
        <w:r w:rsidR="000C6C6D">
          <w:rPr>
            <w:webHidden/>
          </w:rPr>
          <w:instrText xml:space="preserve"> PAGEREF _Toc12808907 \h </w:instrText>
        </w:r>
        <w:r w:rsidR="000C6C6D">
          <w:rPr>
            <w:webHidden/>
          </w:rPr>
        </w:r>
        <w:r w:rsidR="000C6C6D">
          <w:rPr>
            <w:webHidden/>
          </w:rPr>
          <w:fldChar w:fldCharType="separate"/>
        </w:r>
        <w:r w:rsidR="00F05D99">
          <w:rPr>
            <w:webHidden/>
          </w:rPr>
          <w:t>64</w:t>
        </w:r>
        <w:r w:rsidR="000C6C6D">
          <w:rPr>
            <w:webHidden/>
          </w:rPr>
          <w:fldChar w:fldCharType="end"/>
        </w:r>
      </w:hyperlink>
    </w:p>
    <w:p w14:paraId="5457CB91" w14:textId="43747A81" w:rsidR="000C6C6D" w:rsidRDefault="00F76DB1">
      <w:pPr>
        <w:pStyle w:val="TOC1"/>
        <w:rPr>
          <w:rFonts w:asciiTheme="minorHAnsi" w:eastAsiaTheme="minorEastAsia" w:hAnsiTheme="minorHAnsi" w:cstheme="minorBidi"/>
          <w:color w:val="auto"/>
          <w:sz w:val="22"/>
          <w:szCs w:val="22"/>
        </w:rPr>
      </w:pPr>
      <w:hyperlink w:anchor="_Toc12808908" w:history="1">
        <w:r w:rsidR="000C6C6D" w:rsidRPr="000C43DB">
          <w:rPr>
            <w:rStyle w:val="Hyperlink"/>
          </w:rPr>
          <w:t>7.</w:t>
        </w:r>
        <w:r w:rsidR="000C6C6D">
          <w:rPr>
            <w:rFonts w:asciiTheme="minorHAnsi" w:eastAsiaTheme="minorEastAsia" w:hAnsiTheme="minorHAnsi" w:cstheme="minorBidi"/>
            <w:color w:val="auto"/>
            <w:sz w:val="22"/>
            <w:szCs w:val="22"/>
          </w:rPr>
          <w:tab/>
        </w:r>
        <w:r w:rsidR="000C6C6D" w:rsidRPr="000C43DB">
          <w:rPr>
            <w:rStyle w:val="Hyperlink"/>
          </w:rPr>
          <w:t>Implementation Schedule</w:t>
        </w:r>
        <w:r w:rsidR="000C6C6D">
          <w:rPr>
            <w:webHidden/>
          </w:rPr>
          <w:tab/>
        </w:r>
        <w:r w:rsidR="000C6C6D">
          <w:rPr>
            <w:webHidden/>
          </w:rPr>
          <w:fldChar w:fldCharType="begin"/>
        </w:r>
        <w:r w:rsidR="000C6C6D">
          <w:rPr>
            <w:webHidden/>
          </w:rPr>
          <w:instrText xml:space="preserve"> PAGEREF _Toc12808908 \h </w:instrText>
        </w:r>
        <w:r w:rsidR="000C6C6D">
          <w:rPr>
            <w:webHidden/>
          </w:rPr>
        </w:r>
        <w:r w:rsidR="000C6C6D">
          <w:rPr>
            <w:webHidden/>
          </w:rPr>
          <w:fldChar w:fldCharType="separate"/>
        </w:r>
        <w:r w:rsidR="00F05D99">
          <w:rPr>
            <w:webHidden/>
          </w:rPr>
          <w:t>66</w:t>
        </w:r>
        <w:r w:rsidR="000C6C6D">
          <w:rPr>
            <w:webHidden/>
          </w:rPr>
          <w:fldChar w:fldCharType="end"/>
        </w:r>
      </w:hyperlink>
    </w:p>
    <w:p w14:paraId="47296CB1" w14:textId="36749399" w:rsidR="000C6C6D" w:rsidRDefault="00F76DB1">
      <w:pPr>
        <w:pStyle w:val="TOC1"/>
        <w:rPr>
          <w:rFonts w:asciiTheme="minorHAnsi" w:eastAsiaTheme="minorEastAsia" w:hAnsiTheme="minorHAnsi" w:cstheme="minorBidi"/>
          <w:color w:val="auto"/>
          <w:sz w:val="22"/>
          <w:szCs w:val="22"/>
        </w:rPr>
      </w:pPr>
      <w:hyperlink w:anchor="_Toc12808909" w:history="1">
        <w:r w:rsidR="000C6C6D" w:rsidRPr="000C43DB">
          <w:rPr>
            <w:rStyle w:val="Hyperlink"/>
          </w:rPr>
          <w:t>8.</w:t>
        </w:r>
        <w:r w:rsidR="000C6C6D">
          <w:rPr>
            <w:rFonts w:asciiTheme="minorHAnsi" w:eastAsiaTheme="minorEastAsia" w:hAnsiTheme="minorHAnsi" w:cstheme="minorBidi"/>
            <w:color w:val="auto"/>
            <w:sz w:val="22"/>
            <w:szCs w:val="22"/>
          </w:rPr>
          <w:tab/>
        </w:r>
        <w:r w:rsidR="000C6C6D" w:rsidRPr="000C43DB">
          <w:rPr>
            <w:rStyle w:val="Hyperlink"/>
          </w:rPr>
          <w:t>References</w:t>
        </w:r>
        <w:r w:rsidR="000C6C6D">
          <w:rPr>
            <w:webHidden/>
          </w:rPr>
          <w:tab/>
        </w:r>
        <w:r w:rsidR="000C6C6D">
          <w:rPr>
            <w:webHidden/>
          </w:rPr>
          <w:fldChar w:fldCharType="begin"/>
        </w:r>
        <w:r w:rsidR="000C6C6D">
          <w:rPr>
            <w:webHidden/>
          </w:rPr>
          <w:instrText xml:space="preserve"> PAGEREF _Toc12808909 \h </w:instrText>
        </w:r>
        <w:r w:rsidR="000C6C6D">
          <w:rPr>
            <w:webHidden/>
          </w:rPr>
        </w:r>
        <w:r w:rsidR="000C6C6D">
          <w:rPr>
            <w:webHidden/>
          </w:rPr>
          <w:fldChar w:fldCharType="separate"/>
        </w:r>
        <w:r w:rsidR="00F05D99">
          <w:rPr>
            <w:webHidden/>
          </w:rPr>
          <w:t>67</w:t>
        </w:r>
        <w:r w:rsidR="000C6C6D">
          <w:rPr>
            <w:webHidden/>
          </w:rPr>
          <w:fldChar w:fldCharType="end"/>
        </w:r>
      </w:hyperlink>
    </w:p>
    <w:p w14:paraId="57D68EC7" w14:textId="4627B1BC" w:rsidR="000C6C6D" w:rsidRDefault="000C6C6D">
      <w:pPr>
        <w:pStyle w:val="TOC1"/>
        <w:rPr>
          <w:rFonts w:asciiTheme="minorHAnsi" w:eastAsiaTheme="minorEastAsia" w:hAnsiTheme="minorHAnsi" w:cstheme="minorBidi"/>
          <w:color w:val="auto"/>
          <w:sz w:val="22"/>
          <w:szCs w:val="22"/>
        </w:rPr>
      </w:pPr>
      <w:r w:rsidRPr="000C6C6D">
        <w:rPr>
          <w:rStyle w:val="Hyperlink"/>
        </w:rPr>
        <w:t>APPENDIX A</w:t>
      </w:r>
      <w:r>
        <w:rPr>
          <w:rStyle w:val="Hyperlink"/>
        </w:rPr>
        <w:t xml:space="preserve">, </w:t>
      </w:r>
      <w:hyperlink w:anchor="_Toc12808911" w:history="1">
        <w:r w:rsidRPr="000C43DB">
          <w:rPr>
            <w:rStyle w:val="Hyperlink"/>
          </w:rPr>
          <w:t>MAJOR ASSUMPTIONS AND INPUT DATA</w:t>
        </w:r>
        <w:r>
          <w:rPr>
            <w:webHidden/>
          </w:rPr>
          <w:tab/>
          <w:t xml:space="preserve">A - </w:t>
        </w:r>
        <w:r>
          <w:rPr>
            <w:webHidden/>
          </w:rPr>
          <w:fldChar w:fldCharType="begin"/>
        </w:r>
        <w:r>
          <w:rPr>
            <w:webHidden/>
          </w:rPr>
          <w:instrText xml:space="preserve"> PAGEREF _Toc12808911 \h </w:instrText>
        </w:r>
        <w:r>
          <w:rPr>
            <w:webHidden/>
          </w:rPr>
        </w:r>
        <w:r>
          <w:rPr>
            <w:webHidden/>
          </w:rPr>
          <w:fldChar w:fldCharType="separate"/>
        </w:r>
        <w:r w:rsidR="00F05D99">
          <w:rPr>
            <w:webHidden/>
          </w:rPr>
          <w:t>1</w:t>
        </w:r>
        <w:r>
          <w:rPr>
            <w:webHidden/>
          </w:rPr>
          <w:fldChar w:fldCharType="end"/>
        </w:r>
      </w:hyperlink>
    </w:p>
    <w:p w14:paraId="251BF345" w14:textId="77777777" w:rsidR="00D53E6F" w:rsidRDefault="00D53E6F" w:rsidP="00D53E6F">
      <w:pPr>
        <w:tabs>
          <w:tab w:val="left" w:pos="720"/>
          <w:tab w:val="left" w:pos="1440"/>
          <w:tab w:val="right" w:leader="dot" w:pos="9360"/>
        </w:tabs>
        <w:spacing w:line="240" w:lineRule="auto"/>
      </w:pPr>
      <w:r w:rsidRPr="00273771">
        <w:fldChar w:fldCharType="end"/>
      </w:r>
    </w:p>
    <w:p w14:paraId="3C506061" w14:textId="77777777" w:rsidR="00D53E6F" w:rsidRDefault="00D53E6F" w:rsidP="00D53E6F">
      <w:pPr>
        <w:autoSpaceDE/>
        <w:autoSpaceDN/>
        <w:adjustRightInd/>
        <w:spacing w:line="240" w:lineRule="auto"/>
      </w:pPr>
      <w:r>
        <w:br w:type="page"/>
      </w:r>
    </w:p>
    <w:p w14:paraId="728E398F" w14:textId="77777777" w:rsidR="00D53E6F" w:rsidRPr="00772D54" w:rsidRDefault="00D53E6F" w:rsidP="00D53E6F">
      <w:pPr>
        <w:pStyle w:val="Heading1"/>
        <w:spacing w:line="240" w:lineRule="auto"/>
      </w:pPr>
      <w:bookmarkStart w:id="10" w:name="_Toc456098201"/>
      <w:bookmarkStart w:id="11" w:name="_Toc457827214"/>
      <w:bookmarkStart w:id="12" w:name="_Toc12808761"/>
      <w:bookmarkStart w:id="13" w:name="_Toc456098200"/>
      <w:bookmarkStart w:id="14" w:name="_Toc457827213"/>
      <w:bookmarkStart w:id="15" w:name="_Ref470011498"/>
      <w:bookmarkStart w:id="16" w:name="_Ref470011502"/>
      <w:bookmarkStart w:id="17" w:name="_Ref470011543"/>
      <w:bookmarkStart w:id="18" w:name="_Ref470011557"/>
      <w:r w:rsidRPr="00772D54">
        <w:t xml:space="preserve">List of </w:t>
      </w:r>
      <w:r>
        <w:t>Figur</w:t>
      </w:r>
      <w:r w:rsidRPr="00772D54">
        <w:t>es</w:t>
      </w:r>
      <w:bookmarkEnd w:id="10"/>
      <w:bookmarkEnd w:id="11"/>
      <w:bookmarkEnd w:id="12"/>
    </w:p>
    <w:p w14:paraId="5543185C" w14:textId="77777777" w:rsidR="00D53E6F" w:rsidRDefault="00D53E6F" w:rsidP="00D53E6F">
      <w:pPr>
        <w:spacing w:line="240" w:lineRule="auto"/>
      </w:pPr>
    </w:p>
    <w:p w14:paraId="0A0A738B" w14:textId="77777777" w:rsidR="00D53E6F" w:rsidRPr="004F3F15" w:rsidRDefault="00D53E6F" w:rsidP="00D53E6F">
      <w:pPr>
        <w:pStyle w:val="TableofFigures"/>
        <w:tabs>
          <w:tab w:val="right" w:pos="9350"/>
        </w:tabs>
        <w:spacing w:after="40" w:line="240" w:lineRule="auto"/>
        <w:rPr>
          <w:szCs w:val="20"/>
        </w:rPr>
      </w:pPr>
      <w:r w:rsidRPr="004F3F15">
        <w:rPr>
          <w:szCs w:val="20"/>
          <w:u w:val="single"/>
        </w:rPr>
        <w:t>Figure</w:t>
      </w:r>
      <w:r w:rsidRPr="004F3F15">
        <w:rPr>
          <w:szCs w:val="20"/>
        </w:rPr>
        <w:tab/>
      </w:r>
      <w:r w:rsidRPr="004F3F15">
        <w:rPr>
          <w:szCs w:val="20"/>
          <w:u w:val="single"/>
        </w:rPr>
        <w:t>Page</w:t>
      </w:r>
    </w:p>
    <w:p w14:paraId="6360AF01" w14:textId="7F7BBF3A" w:rsidR="002D277A" w:rsidRPr="002D277A" w:rsidRDefault="00D53E6F">
      <w:pPr>
        <w:pStyle w:val="TableofFigures"/>
        <w:tabs>
          <w:tab w:val="right" w:leader="dot" w:pos="9350"/>
        </w:tabs>
        <w:rPr>
          <w:rFonts w:asciiTheme="minorHAnsi" w:eastAsiaTheme="minorEastAsia" w:hAnsiTheme="minorHAnsi" w:cstheme="minorBidi"/>
          <w:noProof/>
          <w:color w:val="auto"/>
        </w:rPr>
      </w:pPr>
      <w:r w:rsidRPr="002D277A">
        <w:fldChar w:fldCharType="begin"/>
      </w:r>
      <w:r w:rsidRPr="002D277A">
        <w:instrText xml:space="preserve"> TOC \h \z \c "Figure" </w:instrText>
      </w:r>
      <w:r w:rsidRPr="002D277A">
        <w:fldChar w:fldCharType="separate"/>
      </w:r>
      <w:hyperlink w:anchor="_Toc9428040" w:history="1">
        <w:r w:rsidR="002D277A" w:rsidRPr="004A7B59">
          <w:rPr>
            <w:rStyle w:val="Hyperlink"/>
            <w:noProof/>
          </w:rPr>
          <w:t>Figure 1  Total Industry Costs (7-Percent NPV) (Alternative 2)</w:t>
        </w:r>
        <w:r w:rsidR="002D277A" w:rsidRPr="002D277A">
          <w:rPr>
            <w:noProof/>
            <w:webHidden/>
          </w:rPr>
          <w:tab/>
        </w:r>
        <w:r w:rsidR="002D277A" w:rsidRPr="002D277A">
          <w:rPr>
            <w:noProof/>
            <w:webHidden/>
          </w:rPr>
          <w:fldChar w:fldCharType="begin"/>
        </w:r>
        <w:r w:rsidR="002D277A" w:rsidRPr="002D277A">
          <w:rPr>
            <w:noProof/>
            <w:webHidden/>
          </w:rPr>
          <w:instrText xml:space="preserve"> PAGEREF _Toc9428040 \h </w:instrText>
        </w:r>
        <w:r w:rsidR="002D277A" w:rsidRPr="002D277A">
          <w:rPr>
            <w:noProof/>
            <w:webHidden/>
          </w:rPr>
        </w:r>
        <w:r w:rsidR="002D277A" w:rsidRPr="002D277A">
          <w:rPr>
            <w:noProof/>
            <w:webHidden/>
          </w:rPr>
          <w:fldChar w:fldCharType="separate"/>
        </w:r>
        <w:r w:rsidR="00F05D99">
          <w:rPr>
            <w:noProof/>
            <w:webHidden/>
          </w:rPr>
          <w:t>56</w:t>
        </w:r>
        <w:r w:rsidR="002D277A" w:rsidRPr="002D277A">
          <w:rPr>
            <w:noProof/>
            <w:webHidden/>
          </w:rPr>
          <w:fldChar w:fldCharType="end"/>
        </w:r>
      </w:hyperlink>
    </w:p>
    <w:p w14:paraId="0F26B2C0" w14:textId="1E81BDBB" w:rsidR="002D277A" w:rsidRPr="002D277A" w:rsidRDefault="00F76DB1">
      <w:pPr>
        <w:pStyle w:val="TableofFigures"/>
        <w:tabs>
          <w:tab w:val="right" w:leader="dot" w:pos="9350"/>
        </w:tabs>
        <w:rPr>
          <w:rFonts w:asciiTheme="minorHAnsi" w:eastAsiaTheme="minorEastAsia" w:hAnsiTheme="minorHAnsi" w:cstheme="minorBidi"/>
          <w:noProof/>
          <w:color w:val="auto"/>
        </w:rPr>
      </w:pPr>
      <w:hyperlink w:anchor="_Toc9428041" w:history="1">
        <w:r w:rsidR="002D277A" w:rsidRPr="004A7B59">
          <w:rPr>
            <w:rStyle w:val="Hyperlink"/>
            <w:noProof/>
          </w:rPr>
          <w:t>Figure 2  Total NRC Costs (7-Percent NPV) (Alternative 2)</w:t>
        </w:r>
        <w:r w:rsidR="002D277A" w:rsidRPr="002D277A">
          <w:rPr>
            <w:noProof/>
            <w:webHidden/>
          </w:rPr>
          <w:tab/>
        </w:r>
        <w:r w:rsidR="002D277A" w:rsidRPr="002D277A">
          <w:rPr>
            <w:noProof/>
            <w:webHidden/>
          </w:rPr>
          <w:fldChar w:fldCharType="begin"/>
        </w:r>
        <w:r w:rsidR="002D277A" w:rsidRPr="002D277A">
          <w:rPr>
            <w:noProof/>
            <w:webHidden/>
          </w:rPr>
          <w:instrText xml:space="preserve"> PAGEREF _Toc9428041 \h </w:instrText>
        </w:r>
        <w:r w:rsidR="002D277A" w:rsidRPr="002D277A">
          <w:rPr>
            <w:noProof/>
            <w:webHidden/>
          </w:rPr>
        </w:r>
        <w:r w:rsidR="002D277A" w:rsidRPr="002D277A">
          <w:rPr>
            <w:noProof/>
            <w:webHidden/>
          </w:rPr>
          <w:fldChar w:fldCharType="separate"/>
        </w:r>
        <w:r w:rsidR="00F05D99">
          <w:rPr>
            <w:noProof/>
            <w:webHidden/>
          </w:rPr>
          <w:t>57</w:t>
        </w:r>
        <w:r w:rsidR="002D277A" w:rsidRPr="002D277A">
          <w:rPr>
            <w:noProof/>
            <w:webHidden/>
          </w:rPr>
          <w:fldChar w:fldCharType="end"/>
        </w:r>
      </w:hyperlink>
    </w:p>
    <w:p w14:paraId="5AA42D1D" w14:textId="4411C453" w:rsidR="002D277A" w:rsidRPr="002D277A" w:rsidRDefault="00F76DB1">
      <w:pPr>
        <w:pStyle w:val="TableofFigures"/>
        <w:tabs>
          <w:tab w:val="right" w:leader="dot" w:pos="9350"/>
        </w:tabs>
        <w:rPr>
          <w:rFonts w:asciiTheme="minorHAnsi" w:eastAsiaTheme="minorEastAsia" w:hAnsiTheme="minorHAnsi" w:cstheme="minorBidi"/>
          <w:noProof/>
          <w:color w:val="auto"/>
        </w:rPr>
      </w:pPr>
      <w:hyperlink w:anchor="_Toc9428042" w:history="1">
        <w:r w:rsidR="002D277A" w:rsidRPr="004A7B59">
          <w:rPr>
            <w:rStyle w:val="Hyperlink"/>
            <w:noProof/>
          </w:rPr>
          <w:t>Figure 3  Total Costs (7-Percent NPV) (Alternative 2)</w:t>
        </w:r>
        <w:r w:rsidR="002D277A" w:rsidRPr="002D277A">
          <w:rPr>
            <w:noProof/>
            <w:webHidden/>
          </w:rPr>
          <w:tab/>
        </w:r>
        <w:r w:rsidR="002D277A" w:rsidRPr="002D277A">
          <w:rPr>
            <w:noProof/>
            <w:webHidden/>
          </w:rPr>
          <w:fldChar w:fldCharType="begin"/>
        </w:r>
        <w:r w:rsidR="002D277A" w:rsidRPr="002D277A">
          <w:rPr>
            <w:noProof/>
            <w:webHidden/>
          </w:rPr>
          <w:instrText xml:space="preserve"> PAGEREF _Toc9428042 \h </w:instrText>
        </w:r>
        <w:r w:rsidR="002D277A" w:rsidRPr="002D277A">
          <w:rPr>
            <w:noProof/>
            <w:webHidden/>
          </w:rPr>
        </w:r>
        <w:r w:rsidR="002D277A" w:rsidRPr="002D277A">
          <w:rPr>
            <w:noProof/>
            <w:webHidden/>
          </w:rPr>
          <w:fldChar w:fldCharType="separate"/>
        </w:r>
        <w:r w:rsidR="00F05D99">
          <w:rPr>
            <w:noProof/>
            <w:webHidden/>
          </w:rPr>
          <w:t>57</w:t>
        </w:r>
        <w:r w:rsidR="002D277A" w:rsidRPr="002D277A">
          <w:rPr>
            <w:noProof/>
            <w:webHidden/>
          </w:rPr>
          <w:fldChar w:fldCharType="end"/>
        </w:r>
      </w:hyperlink>
    </w:p>
    <w:p w14:paraId="6763A8AB" w14:textId="00638500" w:rsidR="002D277A" w:rsidRPr="002D277A" w:rsidRDefault="00F76DB1">
      <w:pPr>
        <w:pStyle w:val="TableofFigures"/>
        <w:tabs>
          <w:tab w:val="right" w:leader="dot" w:pos="9350"/>
        </w:tabs>
        <w:rPr>
          <w:rFonts w:asciiTheme="minorHAnsi" w:eastAsiaTheme="minorEastAsia" w:hAnsiTheme="minorHAnsi" w:cstheme="minorBidi"/>
          <w:noProof/>
          <w:color w:val="auto"/>
        </w:rPr>
      </w:pPr>
      <w:hyperlink w:anchor="_Toc9428043" w:history="1">
        <w:r w:rsidR="002D277A" w:rsidRPr="004A7B59">
          <w:rPr>
            <w:rStyle w:val="Hyperlink"/>
            <w:noProof/>
          </w:rPr>
          <w:t>Figure 4  The Top Eight Variables for which Uncertainty Drives the  Largest Impact on Total Costs (7</w:t>
        </w:r>
        <w:r w:rsidR="002D277A" w:rsidRPr="004A7B59">
          <w:rPr>
            <w:rStyle w:val="Hyperlink"/>
            <w:noProof/>
          </w:rPr>
          <w:noBreakHyphen/>
          <w:t>Percent NPV) (Alternative 2)</w:t>
        </w:r>
        <w:r w:rsidR="002D277A" w:rsidRPr="002D277A">
          <w:rPr>
            <w:noProof/>
            <w:webHidden/>
          </w:rPr>
          <w:tab/>
        </w:r>
        <w:r w:rsidR="002D277A" w:rsidRPr="002D277A">
          <w:rPr>
            <w:noProof/>
            <w:webHidden/>
          </w:rPr>
          <w:fldChar w:fldCharType="begin"/>
        </w:r>
        <w:r w:rsidR="002D277A" w:rsidRPr="002D277A">
          <w:rPr>
            <w:noProof/>
            <w:webHidden/>
          </w:rPr>
          <w:instrText xml:space="preserve"> PAGEREF _Toc9428043 \h </w:instrText>
        </w:r>
        <w:r w:rsidR="002D277A" w:rsidRPr="002D277A">
          <w:rPr>
            <w:noProof/>
            <w:webHidden/>
          </w:rPr>
        </w:r>
        <w:r w:rsidR="002D277A" w:rsidRPr="002D277A">
          <w:rPr>
            <w:noProof/>
            <w:webHidden/>
          </w:rPr>
          <w:fldChar w:fldCharType="separate"/>
        </w:r>
        <w:r w:rsidR="00F05D99">
          <w:rPr>
            <w:noProof/>
            <w:webHidden/>
          </w:rPr>
          <w:t>58</w:t>
        </w:r>
        <w:r w:rsidR="002D277A" w:rsidRPr="002D277A">
          <w:rPr>
            <w:noProof/>
            <w:webHidden/>
          </w:rPr>
          <w:fldChar w:fldCharType="end"/>
        </w:r>
      </w:hyperlink>
    </w:p>
    <w:p w14:paraId="6FEE53B7" w14:textId="77777777" w:rsidR="00D53E6F" w:rsidRDefault="00D53E6F" w:rsidP="00D53E6F">
      <w:pPr>
        <w:spacing w:line="240" w:lineRule="auto"/>
        <w:ind w:left="1440" w:hanging="1440"/>
      </w:pPr>
      <w:r w:rsidRPr="002D277A">
        <w:fldChar w:fldCharType="end"/>
      </w:r>
    </w:p>
    <w:p w14:paraId="250E93D6" w14:textId="77777777" w:rsidR="00D53E6F" w:rsidRPr="00772D54" w:rsidRDefault="00D53E6F" w:rsidP="00D53E6F">
      <w:pPr>
        <w:pStyle w:val="Heading1"/>
        <w:spacing w:line="240" w:lineRule="auto"/>
      </w:pPr>
      <w:bookmarkStart w:id="19" w:name="_Toc12808762"/>
      <w:r w:rsidRPr="00772D54">
        <w:t>List of Tables</w:t>
      </w:r>
      <w:bookmarkEnd w:id="13"/>
      <w:bookmarkEnd w:id="14"/>
      <w:bookmarkEnd w:id="15"/>
      <w:bookmarkEnd w:id="16"/>
      <w:bookmarkEnd w:id="17"/>
      <w:bookmarkEnd w:id="18"/>
      <w:bookmarkEnd w:id="19"/>
    </w:p>
    <w:p w14:paraId="3B4A3210" w14:textId="77777777" w:rsidR="00D53E6F" w:rsidRDefault="00D53E6F" w:rsidP="00D53E6F">
      <w:pPr>
        <w:spacing w:line="240" w:lineRule="auto"/>
      </w:pPr>
    </w:p>
    <w:p w14:paraId="286F67EE" w14:textId="77777777" w:rsidR="00D53E6F" w:rsidRPr="00C5614B" w:rsidRDefault="00D53E6F" w:rsidP="00D53E6F">
      <w:pPr>
        <w:tabs>
          <w:tab w:val="right" w:pos="9360"/>
        </w:tabs>
        <w:spacing w:after="40" w:line="240" w:lineRule="auto"/>
        <w:rPr>
          <w:color w:val="auto"/>
          <w:szCs w:val="20"/>
        </w:rPr>
      </w:pPr>
      <w:r w:rsidRPr="00C5614B">
        <w:rPr>
          <w:szCs w:val="20"/>
          <w:u w:val="single"/>
        </w:rPr>
        <w:t>Table</w:t>
      </w:r>
      <w:r w:rsidRPr="00C5614B">
        <w:rPr>
          <w:szCs w:val="20"/>
        </w:rPr>
        <w:tab/>
      </w:r>
      <w:r w:rsidRPr="00C5614B">
        <w:rPr>
          <w:szCs w:val="20"/>
          <w:u w:val="single"/>
        </w:rPr>
        <w:t>Page</w:t>
      </w:r>
    </w:p>
    <w:p w14:paraId="3C85B609" w14:textId="6C157DCB" w:rsidR="000C35D8" w:rsidRPr="000C35D8" w:rsidRDefault="00D53E6F">
      <w:pPr>
        <w:pStyle w:val="TableofFigures"/>
        <w:tabs>
          <w:tab w:val="right" w:leader="dot" w:pos="9350"/>
        </w:tabs>
        <w:rPr>
          <w:rFonts w:asciiTheme="minorHAnsi" w:eastAsiaTheme="minorEastAsia" w:hAnsiTheme="minorHAnsi" w:cstheme="minorBidi"/>
          <w:noProof/>
          <w:color w:val="auto"/>
        </w:rPr>
      </w:pPr>
      <w:r w:rsidRPr="004A7B59">
        <w:fldChar w:fldCharType="begin"/>
      </w:r>
      <w:r w:rsidRPr="004A7B59">
        <w:instrText xml:space="preserve"> TOC \h \z \c "Table"  \* MERGEFORMAT  \* MERGEFORMAT </w:instrText>
      </w:r>
      <w:r w:rsidRPr="004A7B59">
        <w:fldChar w:fldCharType="separate"/>
      </w:r>
      <w:hyperlink w:anchor="_Toc9428130" w:history="1">
        <w:r w:rsidR="000C35D8" w:rsidRPr="004A7B59">
          <w:rPr>
            <w:rStyle w:val="Hyperlink"/>
            <w:noProof/>
          </w:rPr>
          <w:t>Table 1  Total Costs and Benefits for Alternative 2</w:t>
        </w:r>
        <w:r w:rsidR="008C5138">
          <w:rPr>
            <w:rStyle w:val="Hyperlink"/>
            <w:noProof/>
          </w:rPr>
          <w:t>, The Final Rule</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_Toc9428130 \h </w:instrText>
        </w:r>
        <w:r w:rsidR="000C35D8" w:rsidRPr="000C35D8">
          <w:rPr>
            <w:noProof/>
            <w:webHidden/>
          </w:rPr>
        </w:r>
        <w:r w:rsidR="000C35D8" w:rsidRPr="000C35D8">
          <w:rPr>
            <w:noProof/>
            <w:webHidden/>
          </w:rPr>
          <w:fldChar w:fldCharType="separate"/>
        </w:r>
        <w:r w:rsidR="00F05D99">
          <w:rPr>
            <w:noProof/>
            <w:webHidden/>
          </w:rPr>
          <w:t>xii</w:t>
        </w:r>
        <w:r w:rsidR="000C35D8" w:rsidRPr="000C35D8">
          <w:rPr>
            <w:noProof/>
            <w:webHidden/>
          </w:rPr>
          <w:fldChar w:fldCharType="end"/>
        </w:r>
      </w:hyperlink>
    </w:p>
    <w:p w14:paraId="70A54D96" w14:textId="66F6178F"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31" w:history="1">
        <w:r w:rsidR="000C35D8" w:rsidRPr="004A7B59">
          <w:rPr>
            <w:rStyle w:val="Hyperlink"/>
            <w:noProof/>
          </w:rPr>
          <w:t>Table 2  Current and Future Operating Reactor and Site Information</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_Toc9428131 \h </w:instrText>
        </w:r>
        <w:r w:rsidR="000C35D8" w:rsidRPr="000C35D8">
          <w:rPr>
            <w:noProof/>
            <w:webHidden/>
          </w:rPr>
        </w:r>
        <w:r w:rsidR="000C35D8" w:rsidRPr="000C35D8">
          <w:rPr>
            <w:noProof/>
            <w:webHidden/>
          </w:rPr>
          <w:fldChar w:fldCharType="separate"/>
        </w:r>
        <w:r w:rsidR="00F05D99">
          <w:rPr>
            <w:noProof/>
            <w:webHidden/>
          </w:rPr>
          <w:t>10</w:t>
        </w:r>
        <w:r w:rsidR="000C35D8" w:rsidRPr="000C35D8">
          <w:rPr>
            <w:noProof/>
            <w:webHidden/>
          </w:rPr>
          <w:fldChar w:fldCharType="end"/>
        </w:r>
      </w:hyperlink>
    </w:p>
    <w:p w14:paraId="109E56ED" w14:textId="4080A155"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32" w:history="1">
        <w:r w:rsidR="000C35D8" w:rsidRPr="004A7B59">
          <w:rPr>
            <w:rStyle w:val="Hyperlink"/>
            <w:noProof/>
          </w:rPr>
          <w:t>Table 3  CPI-U Inflator</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_Toc9428132 \h </w:instrText>
        </w:r>
        <w:r w:rsidR="000C35D8" w:rsidRPr="000C35D8">
          <w:rPr>
            <w:noProof/>
            <w:webHidden/>
          </w:rPr>
        </w:r>
        <w:r w:rsidR="000C35D8" w:rsidRPr="000C35D8">
          <w:rPr>
            <w:noProof/>
            <w:webHidden/>
          </w:rPr>
          <w:fldChar w:fldCharType="separate"/>
        </w:r>
        <w:r w:rsidR="00F05D99">
          <w:rPr>
            <w:noProof/>
            <w:webHidden/>
          </w:rPr>
          <w:t>11</w:t>
        </w:r>
        <w:r w:rsidR="000C35D8" w:rsidRPr="000C35D8">
          <w:rPr>
            <w:noProof/>
            <w:webHidden/>
          </w:rPr>
          <w:fldChar w:fldCharType="end"/>
        </w:r>
      </w:hyperlink>
    </w:p>
    <w:p w14:paraId="25797713" w14:textId="7C95D45D"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33" w:history="1">
        <w:r w:rsidR="000C35D8" w:rsidRPr="004A7B59">
          <w:rPr>
            <w:rStyle w:val="Hyperlink"/>
            <w:noProof/>
          </w:rPr>
          <w:t>Table 4  Position Titles and Occupations</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_Toc9428133 \h </w:instrText>
        </w:r>
        <w:r w:rsidR="000C35D8" w:rsidRPr="000C35D8">
          <w:rPr>
            <w:noProof/>
            <w:webHidden/>
          </w:rPr>
        </w:r>
        <w:r w:rsidR="000C35D8" w:rsidRPr="000C35D8">
          <w:rPr>
            <w:noProof/>
            <w:webHidden/>
          </w:rPr>
          <w:fldChar w:fldCharType="separate"/>
        </w:r>
        <w:r w:rsidR="00F05D99">
          <w:rPr>
            <w:noProof/>
            <w:webHidden/>
          </w:rPr>
          <w:t>12</w:t>
        </w:r>
        <w:r w:rsidR="000C35D8" w:rsidRPr="000C35D8">
          <w:rPr>
            <w:noProof/>
            <w:webHidden/>
          </w:rPr>
          <w:fldChar w:fldCharType="end"/>
        </w:r>
      </w:hyperlink>
    </w:p>
    <w:p w14:paraId="3FD9D77D" w14:textId="0D3B727E"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34" w:history="1">
        <w:r w:rsidR="000C35D8" w:rsidRPr="004A7B59">
          <w:rPr>
            <w:rStyle w:val="Hyperlink"/>
            <w:noProof/>
          </w:rPr>
          <w:t>Table 5  NRC</w:t>
        </w:r>
        <w:r w:rsidR="000C35D8" w:rsidRPr="004A7B59">
          <w:rPr>
            <w:rStyle w:val="Hyperlink"/>
            <w:noProof/>
          </w:rPr>
          <w:noBreakHyphen/>
          <w:t>Conditioned ASME Code Cases</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_Toc9428134 \h </w:instrText>
        </w:r>
        <w:r w:rsidR="000C35D8" w:rsidRPr="000C35D8">
          <w:rPr>
            <w:noProof/>
            <w:webHidden/>
          </w:rPr>
        </w:r>
        <w:r w:rsidR="000C35D8" w:rsidRPr="000C35D8">
          <w:rPr>
            <w:noProof/>
            <w:webHidden/>
          </w:rPr>
          <w:fldChar w:fldCharType="separate"/>
        </w:r>
        <w:r w:rsidR="00F05D99">
          <w:rPr>
            <w:noProof/>
            <w:webHidden/>
          </w:rPr>
          <w:t>14</w:t>
        </w:r>
        <w:r w:rsidR="000C35D8" w:rsidRPr="000C35D8">
          <w:rPr>
            <w:noProof/>
            <w:webHidden/>
          </w:rPr>
          <w:fldChar w:fldCharType="end"/>
        </w:r>
      </w:hyperlink>
    </w:p>
    <w:p w14:paraId="232CAA1B" w14:textId="7BAC1E99"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35" w:history="1">
        <w:r w:rsidR="000C35D8" w:rsidRPr="004A7B59">
          <w:rPr>
            <w:rStyle w:val="Hyperlink"/>
            <w:noProof/>
          </w:rPr>
          <w:t>Table 6  Industry Operation—Averted Costs for Code Alternative Requests</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_Toc9428135 \h </w:instrText>
        </w:r>
        <w:r w:rsidR="000C35D8" w:rsidRPr="000C35D8">
          <w:rPr>
            <w:noProof/>
            <w:webHidden/>
          </w:rPr>
        </w:r>
        <w:r w:rsidR="000C35D8" w:rsidRPr="000C35D8">
          <w:rPr>
            <w:noProof/>
            <w:webHidden/>
          </w:rPr>
          <w:fldChar w:fldCharType="separate"/>
        </w:r>
        <w:r w:rsidR="00F05D99">
          <w:rPr>
            <w:noProof/>
            <w:webHidden/>
          </w:rPr>
          <w:t>39</w:t>
        </w:r>
        <w:r w:rsidR="000C35D8" w:rsidRPr="000C35D8">
          <w:rPr>
            <w:noProof/>
            <w:webHidden/>
          </w:rPr>
          <w:fldChar w:fldCharType="end"/>
        </w:r>
      </w:hyperlink>
    </w:p>
    <w:p w14:paraId="0386A388" w14:textId="5A3F7CBC"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36" w:history="1">
        <w:r w:rsidR="000C35D8" w:rsidRPr="004A7B59">
          <w:rPr>
            <w:rStyle w:val="Hyperlink"/>
            <w:noProof/>
          </w:rPr>
          <w:t>Table 7  ASME Code Case N-648-2 Reactor Nozzle Ultrasonic Test Inspection</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_Toc9428136 \h </w:instrText>
        </w:r>
        <w:r w:rsidR="000C35D8" w:rsidRPr="000C35D8">
          <w:rPr>
            <w:noProof/>
            <w:webHidden/>
          </w:rPr>
        </w:r>
        <w:r w:rsidR="000C35D8" w:rsidRPr="000C35D8">
          <w:rPr>
            <w:noProof/>
            <w:webHidden/>
          </w:rPr>
          <w:fldChar w:fldCharType="separate"/>
        </w:r>
        <w:r w:rsidR="00F05D99">
          <w:rPr>
            <w:noProof/>
            <w:webHidden/>
          </w:rPr>
          <w:t>40</w:t>
        </w:r>
        <w:r w:rsidR="000C35D8" w:rsidRPr="000C35D8">
          <w:rPr>
            <w:noProof/>
            <w:webHidden/>
          </w:rPr>
          <w:fldChar w:fldCharType="end"/>
        </w:r>
      </w:hyperlink>
    </w:p>
    <w:p w14:paraId="5F3C4416" w14:textId="4F472E9E"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37" w:history="1">
        <w:r w:rsidR="000C35D8" w:rsidRPr="004A7B59">
          <w:rPr>
            <w:rStyle w:val="Hyperlink"/>
            <w:noProof/>
          </w:rPr>
          <w:t>Table 8  ASME Code Case N-695-1 Piping Examination Relief Request</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_Toc9428137 \h </w:instrText>
        </w:r>
        <w:r w:rsidR="000C35D8" w:rsidRPr="000C35D8">
          <w:rPr>
            <w:noProof/>
            <w:webHidden/>
          </w:rPr>
        </w:r>
        <w:r w:rsidR="000C35D8" w:rsidRPr="000C35D8">
          <w:rPr>
            <w:noProof/>
            <w:webHidden/>
          </w:rPr>
          <w:fldChar w:fldCharType="separate"/>
        </w:r>
        <w:r w:rsidR="00F05D99">
          <w:rPr>
            <w:noProof/>
            <w:webHidden/>
          </w:rPr>
          <w:t>40</w:t>
        </w:r>
        <w:r w:rsidR="000C35D8" w:rsidRPr="000C35D8">
          <w:rPr>
            <w:noProof/>
            <w:webHidden/>
          </w:rPr>
          <w:fldChar w:fldCharType="end"/>
        </w:r>
      </w:hyperlink>
    </w:p>
    <w:p w14:paraId="260CFC3A" w14:textId="027770BD"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38" w:history="1">
        <w:r w:rsidR="000C35D8" w:rsidRPr="004A7B59">
          <w:rPr>
            <w:rStyle w:val="Hyperlink"/>
            <w:noProof/>
          </w:rPr>
          <w:t>Table 9  ASME Code Case N-696-1 Piping Examination Relief Request</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_Toc9428138 \h </w:instrText>
        </w:r>
        <w:r w:rsidR="000C35D8" w:rsidRPr="000C35D8">
          <w:rPr>
            <w:noProof/>
            <w:webHidden/>
          </w:rPr>
        </w:r>
        <w:r w:rsidR="000C35D8" w:rsidRPr="000C35D8">
          <w:rPr>
            <w:noProof/>
            <w:webHidden/>
          </w:rPr>
          <w:fldChar w:fldCharType="separate"/>
        </w:r>
        <w:r w:rsidR="00F05D99">
          <w:rPr>
            <w:noProof/>
            <w:webHidden/>
          </w:rPr>
          <w:t>41</w:t>
        </w:r>
        <w:r w:rsidR="000C35D8" w:rsidRPr="000C35D8">
          <w:rPr>
            <w:noProof/>
            <w:webHidden/>
          </w:rPr>
          <w:fldChar w:fldCharType="end"/>
        </w:r>
      </w:hyperlink>
    </w:p>
    <w:p w14:paraId="5B34F6B0" w14:textId="3EF21BC4"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39" w:history="1">
        <w:r w:rsidR="000C35D8" w:rsidRPr="004A7B59">
          <w:rPr>
            <w:rStyle w:val="Hyperlink"/>
            <w:noProof/>
          </w:rPr>
          <w:t>Table 10  ASME Code Case N-766-1 Inlay and Onlay Repair Relief Requests</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_Toc9428139 \h </w:instrText>
        </w:r>
        <w:r w:rsidR="000C35D8" w:rsidRPr="000C35D8">
          <w:rPr>
            <w:noProof/>
            <w:webHidden/>
          </w:rPr>
        </w:r>
        <w:r w:rsidR="000C35D8" w:rsidRPr="000C35D8">
          <w:rPr>
            <w:noProof/>
            <w:webHidden/>
          </w:rPr>
          <w:fldChar w:fldCharType="separate"/>
        </w:r>
        <w:r w:rsidR="00F05D99">
          <w:rPr>
            <w:noProof/>
            <w:webHidden/>
          </w:rPr>
          <w:t>42</w:t>
        </w:r>
        <w:r w:rsidR="000C35D8" w:rsidRPr="000C35D8">
          <w:rPr>
            <w:noProof/>
            <w:webHidden/>
          </w:rPr>
          <w:fldChar w:fldCharType="end"/>
        </w:r>
      </w:hyperlink>
    </w:p>
    <w:p w14:paraId="19E8B1EE" w14:textId="0D90B7C8"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40" w:history="1">
        <w:r w:rsidR="000C35D8" w:rsidRPr="004A7B59">
          <w:rPr>
            <w:rStyle w:val="Hyperlink"/>
            <w:noProof/>
          </w:rPr>
          <w:t>Table 11  ASME Code Case N-838 CASS Flaw Tolerance Evaluation Relief Requests</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_Toc9428140 \h </w:instrText>
        </w:r>
        <w:r w:rsidR="000C35D8" w:rsidRPr="000C35D8">
          <w:rPr>
            <w:noProof/>
            <w:webHidden/>
          </w:rPr>
        </w:r>
        <w:r w:rsidR="000C35D8" w:rsidRPr="000C35D8">
          <w:rPr>
            <w:noProof/>
            <w:webHidden/>
          </w:rPr>
          <w:fldChar w:fldCharType="separate"/>
        </w:r>
        <w:r w:rsidR="00F05D99">
          <w:rPr>
            <w:noProof/>
            <w:webHidden/>
          </w:rPr>
          <w:t>43</w:t>
        </w:r>
        <w:r w:rsidR="000C35D8" w:rsidRPr="000C35D8">
          <w:rPr>
            <w:noProof/>
            <w:webHidden/>
          </w:rPr>
          <w:fldChar w:fldCharType="end"/>
        </w:r>
      </w:hyperlink>
    </w:p>
    <w:p w14:paraId="0EFEB1D5" w14:textId="5856182F"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41" w:history="1">
        <w:r w:rsidR="000C35D8" w:rsidRPr="004A7B59">
          <w:rPr>
            <w:rStyle w:val="Hyperlink"/>
            <w:noProof/>
          </w:rPr>
          <w:t>Table 12  Total Industry Costs</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_Toc9428141 \h </w:instrText>
        </w:r>
        <w:r w:rsidR="000C35D8" w:rsidRPr="000C35D8">
          <w:rPr>
            <w:noProof/>
            <w:webHidden/>
          </w:rPr>
        </w:r>
        <w:r w:rsidR="000C35D8" w:rsidRPr="000C35D8">
          <w:rPr>
            <w:noProof/>
            <w:webHidden/>
          </w:rPr>
          <w:fldChar w:fldCharType="separate"/>
        </w:r>
        <w:r w:rsidR="00F05D99">
          <w:rPr>
            <w:noProof/>
            <w:webHidden/>
          </w:rPr>
          <w:t>44</w:t>
        </w:r>
        <w:r w:rsidR="000C35D8" w:rsidRPr="000C35D8">
          <w:rPr>
            <w:noProof/>
            <w:webHidden/>
          </w:rPr>
          <w:fldChar w:fldCharType="end"/>
        </w:r>
      </w:hyperlink>
    </w:p>
    <w:p w14:paraId="5BF8FEF6" w14:textId="38C36C7B"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42" w:history="1">
        <w:r w:rsidR="000C35D8" w:rsidRPr="004A7B59">
          <w:rPr>
            <w:rStyle w:val="Hyperlink"/>
            <w:noProof/>
          </w:rPr>
          <w:t>Table 13  NRC Operation Costs—Reviews of Averted ASME Code  Alternative Requests (Operating and New Reactors)</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_Toc9428142 \h </w:instrText>
        </w:r>
        <w:r w:rsidR="000C35D8" w:rsidRPr="000C35D8">
          <w:rPr>
            <w:noProof/>
            <w:webHidden/>
          </w:rPr>
        </w:r>
        <w:r w:rsidR="000C35D8" w:rsidRPr="000C35D8">
          <w:rPr>
            <w:noProof/>
            <w:webHidden/>
          </w:rPr>
          <w:fldChar w:fldCharType="separate"/>
        </w:r>
        <w:r w:rsidR="00F05D99">
          <w:rPr>
            <w:noProof/>
            <w:webHidden/>
          </w:rPr>
          <w:t>47</w:t>
        </w:r>
        <w:r w:rsidR="000C35D8" w:rsidRPr="000C35D8">
          <w:rPr>
            <w:noProof/>
            <w:webHidden/>
          </w:rPr>
          <w:fldChar w:fldCharType="end"/>
        </w:r>
      </w:hyperlink>
    </w:p>
    <w:p w14:paraId="7A5A0140" w14:textId="074B4F7E"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43" w:history="1">
        <w:r w:rsidR="000C35D8" w:rsidRPr="004A7B59">
          <w:rPr>
            <w:rStyle w:val="Hyperlink"/>
            <w:noProof/>
          </w:rPr>
          <w:t>Table 14  ASME Code Case N-695-1 Piping Examination Relief Request Review</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_Toc9428143 \h </w:instrText>
        </w:r>
        <w:r w:rsidR="000C35D8" w:rsidRPr="000C35D8">
          <w:rPr>
            <w:noProof/>
            <w:webHidden/>
          </w:rPr>
        </w:r>
        <w:r w:rsidR="000C35D8" w:rsidRPr="000C35D8">
          <w:rPr>
            <w:noProof/>
            <w:webHidden/>
          </w:rPr>
          <w:fldChar w:fldCharType="separate"/>
        </w:r>
        <w:r w:rsidR="00F05D99">
          <w:rPr>
            <w:noProof/>
            <w:webHidden/>
          </w:rPr>
          <w:t>48</w:t>
        </w:r>
        <w:r w:rsidR="000C35D8" w:rsidRPr="000C35D8">
          <w:rPr>
            <w:noProof/>
            <w:webHidden/>
          </w:rPr>
          <w:fldChar w:fldCharType="end"/>
        </w:r>
      </w:hyperlink>
    </w:p>
    <w:p w14:paraId="69EEE4F1" w14:textId="69EDD33F"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44" w:history="1">
        <w:r w:rsidR="000C35D8" w:rsidRPr="004A7B59">
          <w:rPr>
            <w:rStyle w:val="Hyperlink"/>
            <w:noProof/>
          </w:rPr>
          <w:t>Table 15  ASME Code Case N-696-1 Piping Examination Relief Request Review</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_Toc9428144 \h </w:instrText>
        </w:r>
        <w:r w:rsidR="000C35D8" w:rsidRPr="000C35D8">
          <w:rPr>
            <w:noProof/>
            <w:webHidden/>
          </w:rPr>
        </w:r>
        <w:r w:rsidR="000C35D8" w:rsidRPr="000C35D8">
          <w:rPr>
            <w:noProof/>
            <w:webHidden/>
          </w:rPr>
          <w:fldChar w:fldCharType="separate"/>
        </w:r>
        <w:r w:rsidR="00F05D99">
          <w:rPr>
            <w:noProof/>
            <w:webHidden/>
          </w:rPr>
          <w:t>49</w:t>
        </w:r>
        <w:r w:rsidR="000C35D8" w:rsidRPr="000C35D8">
          <w:rPr>
            <w:noProof/>
            <w:webHidden/>
          </w:rPr>
          <w:fldChar w:fldCharType="end"/>
        </w:r>
      </w:hyperlink>
    </w:p>
    <w:p w14:paraId="0CD1D296" w14:textId="740C0133"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45" w:history="1">
        <w:r w:rsidR="000C35D8" w:rsidRPr="004A7B59">
          <w:rPr>
            <w:rStyle w:val="Hyperlink"/>
            <w:noProof/>
          </w:rPr>
          <w:t>Table 16  ASME Code Case N-766-1 Relief Request Reviews</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_Toc9428145 \h </w:instrText>
        </w:r>
        <w:r w:rsidR="000C35D8" w:rsidRPr="000C35D8">
          <w:rPr>
            <w:noProof/>
            <w:webHidden/>
          </w:rPr>
        </w:r>
        <w:r w:rsidR="000C35D8" w:rsidRPr="000C35D8">
          <w:rPr>
            <w:noProof/>
            <w:webHidden/>
          </w:rPr>
          <w:fldChar w:fldCharType="separate"/>
        </w:r>
        <w:r w:rsidR="00F05D99">
          <w:rPr>
            <w:noProof/>
            <w:webHidden/>
          </w:rPr>
          <w:t>50</w:t>
        </w:r>
        <w:r w:rsidR="000C35D8" w:rsidRPr="000C35D8">
          <w:rPr>
            <w:noProof/>
            <w:webHidden/>
          </w:rPr>
          <w:fldChar w:fldCharType="end"/>
        </w:r>
      </w:hyperlink>
    </w:p>
    <w:p w14:paraId="68888095" w14:textId="370E2404"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46" w:history="1">
        <w:r w:rsidR="000C35D8" w:rsidRPr="004A7B59">
          <w:rPr>
            <w:rStyle w:val="Hyperlink"/>
            <w:noProof/>
          </w:rPr>
          <w:t>Table 17  ASME Code Case N-838 Relief Request Reviews</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_Toc9428146 \h </w:instrText>
        </w:r>
        <w:r w:rsidR="000C35D8" w:rsidRPr="000C35D8">
          <w:rPr>
            <w:noProof/>
            <w:webHidden/>
          </w:rPr>
        </w:r>
        <w:r w:rsidR="000C35D8" w:rsidRPr="000C35D8">
          <w:rPr>
            <w:noProof/>
            <w:webHidden/>
          </w:rPr>
          <w:fldChar w:fldCharType="separate"/>
        </w:r>
        <w:r w:rsidR="00F05D99">
          <w:rPr>
            <w:noProof/>
            <w:webHidden/>
          </w:rPr>
          <w:t>51</w:t>
        </w:r>
        <w:r w:rsidR="000C35D8" w:rsidRPr="000C35D8">
          <w:rPr>
            <w:noProof/>
            <w:webHidden/>
          </w:rPr>
          <w:fldChar w:fldCharType="end"/>
        </w:r>
      </w:hyperlink>
    </w:p>
    <w:p w14:paraId="57B9C7E4" w14:textId="71C71BEE"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47" w:history="1">
        <w:r w:rsidR="000C35D8" w:rsidRPr="004A7B59">
          <w:rPr>
            <w:rStyle w:val="Hyperlink"/>
            <w:noProof/>
          </w:rPr>
          <w:t>Table 18  Total NRC Costs</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_Toc9428147 \h </w:instrText>
        </w:r>
        <w:r w:rsidR="000C35D8" w:rsidRPr="000C35D8">
          <w:rPr>
            <w:noProof/>
            <w:webHidden/>
          </w:rPr>
        </w:r>
        <w:r w:rsidR="000C35D8" w:rsidRPr="000C35D8">
          <w:rPr>
            <w:noProof/>
            <w:webHidden/>
          </w:rPr>
          <w:fldChar w:fldCharType="separate"/>
        </w:r>
        <w:r w:rsidR="00F05D99">
          <w:rPr>
            <w:noProof/>
            <w:webHidden/>
          </w:rPr>
          <w:t>52</w:t>
        </w:r>
        <w:r w:rsidR="000C35D8" w:rsidRPr="000C35D8">
          <w:rPr>
            <w:noProof/>
            <w:webHidden/>
          </w:rPr>
          <w:fldChar w:fldCharType="end"/>
        </w:r>
      </w:hyperlink>
    </w:p>
    <w:p w14:paraId="0D366806" w14:textId="29F512E4"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48" w:history="1">
        <w:r w:rsidR="000C35D8" w:rsidRPr="004A7B59">
          <w:rPr>
            <w:rStyle w:val="Hyperlink"/>
            <w:noProof/>
          </w:rPr>
          <w:t>Table 19  Total Costs</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_Toc9428148 \h </w:instrText>
        </w:r>
        <w:r w:rsidR="000C35D8" w:rsidRPr="000C35D8">
          <w:rPr>
            <w:noProof/>
            <w:webHidden/>
          </w:rPr>
        </w:r>
        <w:r w:rsidR="000C35D8" w:rsidRPr="000C35D8">
          <w:rPr>
            <w:noProof/>
            <w:webHidden/>
          </w:rPr>
          <w:fldChar w:fldCharType="separate"/>
        </w:r>
        <w:r w:rsidR="00F05D99">
          <w:rPr>
            <w:noProof/>
            <w:webHidden/>
          </w:rPr>
          <w:t>52</w:t>
        </w:r>
        <w:r w:rsidR="000C35D8" w:rsidRPr="000C35D8">
          <w:rPr>
            <w:noProof/>
            <w:webHidden/>
          </w:rPr>
          <w:fldChar w:fldCharType="end"/>
        </w:r>
      </w:hyperlink>
    </w:p>
    <w:p w14:paraId="7B415AC2" w14:textId="3E9740B2"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49" w:history="1">
        <w:r w:rsidR="000C35D8" w:rsidRPr="004A7B59">
          <w:rPr>
            <w:rStyle w:val="Hyperlink"/>
            <w:noProof/>
          </w:rPr>
          <w:t>Table 20  Uncertainty Analysis Variables</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_Toc9428149 \h </w:instrText>
        </w:r>
        <w:r w:rsidR="000C35D8" w:rsidRPr="000C35D8">
          <w:rPr>
            <w:noProof/>
            <w:webHidden/>
          </w:rPr>
        </w:r>
        <w:r w:rsidR="000C35D8" w:rsidRPr="000C35D8">
          <w:rPr>
            <w:noProof/>
            <w:webHidden/>
          </w:rPr>
          <w:fldChar w:fldCharType="separate"/>
        </w:r>
        <w:r w:rsidR="00F05D99">
          <w:rPr>
            <w:noProof/>
            <w:webHidden/>
          </w:rPr>
          <w:t>54</w:t>
        </w:r>
        <w:r w:rsidR="000C35D8" w:rsidRPr="000C35D8">
          <w:rPr>
            <w:noProof/>
            <w:webHidden/>
          </w:rPr>
          <w:fldChar w:fldCharType="end"/>
        </w:r>
      </w:hyperlink>
    </w:p>
    <w:p w14:paraId="1543C79B" w14:textId="66D6C3B9"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50" w:history="1">
        <w:r w:rsidR="000C35D8" w:rsidRPr="004A7B59">
          <w:rPr>
            <w:rStyle w:val="Hyperlink"/>
            <w:noProof/>
          </w:rPr>
          <w:t>Table 21  Descriptive Statistics for Uncertainty Results (7-Percent NPV)</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_Toc9428150 \h </w:instrText>
        </w:r>
        <w:r w:rsidR="000C35D8" w:rsidRPr="000C35D8">
          <w:rPr>
            <w:noProof/>
            <w:webHidden/>
          </w:rPr>
        </w:r>
        <w:r w:rsidR="000C35D8" w:rsidRPr="000C35D8">
          <w:rPr>
            <w:noProof/>
            <w:webHidden/>
          </w:rPr>
          <w:fldChar w:fldCharType="separate"/>
        </w:r>
        <w:r w:rsidR="00F05D99">
          <w:rPr>
            <w:noProof/>
            <w:webHidden/>
          </w:rPr>
          <w:t>58</w:t>
        </w:r>
        <w:r w:rsidR="000C35D8" w:rsidRPr="000C35D8">
          <w:rPr>
            <w:noProof/>
            <w:webHidden/>
          </w:rPr>
          <w:fldChar w:fldCharType="end"/>
        </w:r>
      </w:hyperlink>
    </w:p>
    <w:p w14:paraId="644D33FD" w14:textId="48569E7B"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51" w:history="1">
        <w:r w:rsidR="000C35D8" w:rsidRPr="004A7B59">
          <w:rPr>
            <w:rStyle w:val="Hyperlink"/>
            <w:noProof/>
          </w:rPr>
          <w:t>Table 22  Disaggregation</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_Toc9428151 \h </w:instrText>
        </w:r>
        <w:r w:rsidR="000C35D8" w:rsidRPr="000C35D8">
          <w:rPr>
            <w:noProof/>
            <w:webHidden/>
          </w:rPr>
        </w:r>
        <w:r w:rsidR="000C35D8" w:rsidRPr="000C35D8">
          <w:rPr>
            <w:noProof/>
            <w:webHidden/>
          </w:rPr>
          <w:fldChar w:fldCharType="separate"/>
        </w:r>
        <w:r w:rsidR="00F05D99">
          <w:rPr>
            <w:noProof/>
            <w:webHidden/>
          </w:rPr>
          <w:t>59</w:t>
        </w:r>
        <w:r w:rsidR="000C35D8" w:rsidRPr="000C35D8">
          <w:rPr>
            <w:noProof/>
            <w:webHidden/>
          </w:rPr>
          <w:fldChar w:fldCharType="end"/>
        </w:r>
      </w:hyperlink>
    </w:p>
    <w:p w14:paraId="00D050F9" w14:textId="391B7045"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52" w:history="1">
        <w:r w:rsidR="000C35D8" w:rsidRPr="004A7B59">
          <w:rPr>
            <w:rStyle w:val="Hyperlink"/>
            <w:noProof/>
          </w:rPr>
          <w:t>Table 23  Specific CRGR Information Requirements for Regulatory Analysis</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_Toc9428152 \h </w:instrText>
        </w:r>
        <w:r w:rsidR="000C35D8" w:rsidRPr="000C35D8">
          <w:rPr>
            <w:noProof/>
            <w:webHidden/>
          </w:rPr>
        </w:r>
        <w:r w:rsidR="000C35D8" w:rsidRPr="000C35D8">
          <w:rPr>
            <w:noProof/>
            <w:webHidden/>
          </w:rPr>
          <w:fldChar w:fldCharType="separate"/>
        </w:r>
        <w:r w:rsidR="00F05D99">
          <w:rPr>
            <w:noProof/>
            <w:webHidden/>
          </w:rPr>
          <w:t>63</w:t>
        </w:r>
        <w:r w:rsidR="000C35D8" w:rsidRPr="000C35D8">
          <w:rPr>
            <w:noProof/>
            <w:webHidden/>
          </w:rPr>
          <w:fldChar w:fldCharType="end"/>
        </w:r>
      </w:hyperlink>
    </w:p>
    <w:p w14:paraId="52BF0EB0" w14:textId="094514FF" w:rsidR="000C35D8" w:rsidRPr="000C35D8" w:rsidRDefault="00F76DB1">
      <w:pPr>
        <w:pStyle w:val="TableofFigures"/>
        <w:tabs>
          <w:tab w:val="right" w:leader="dot" w:pos="9350"/>
        </w:tabs>
        <w:rPr>
          <w:rFonts w:asciiTheme="minorHAnsi" w:eastAsiaTheme="minorEastAsia" w:hAnsiTheme="minorHAnsi" w:cstheme="minorBidi"/>
          <w:noProof/>
          <w:color w:val="auto"/>
        </w:rPr>
      </w:pPr>
      <w:hyperlink w:anchor="_Toc9428153" w:history="1">
        <w:r w:rsidR="000C35D8" w:rsidRPr="004A7B59">
          <w:rPr>
            <w:rStyle w:val="Hyperlink"/>
            <w:noProof/>
          </w:rPr>
          <w:t>Table 24  Summary of Totals</w:t>
        </w:r>
        <w:r w:rsidR="000C35D8" w:rsidRPr="000C35D8">
          <w:rPr>
            <w:noProof/>
            <w:webHidden/>
          </w:rPr>
          <w:tab/>
        </w:r>
        <w:r w:rsidR="000C35D8" w:rsidRPr="000C35D8">
          <w:rPr>
            <w:noProof/>
            <w:webHidden/>
          </w:rPr>
          <w:fldChar w:fldCharType="begin"/>
        </w:r>
        <w:r w:rsidR="000C35D8" w:rsidRPr="000C35D8">
          <w:rPr>
            <w:noProof/>
            <w:webHidden/>
          </w:rPr>
          <w:instrText xml:space="preserve"> PAGEREF _Toc9428153 \h </w:instrText>
        </w:r>
        <w:r w:rsidR="000C35D8" w:rsidRPr="000C35D8">
          <w:rPr>
            <w:noProof/>
            <w:webHidden/>
          </w:rPr>
        </w:r>
        <w:r w:rsidR="000C35D8" w:rsidRPr="000C35D8">
          <w:rPr>
            <w:noProof/>
            <w:webHidden/>
          </w:rPr>
          <w:fldChar w:fldCharType="separate"/>
        </w:r>
        <w:r w:rsidR="00F05D99">
          <w:rPr>
            <w:noProof/>
            <w:webHidden/>
          </w:rPr>
          <w:t>64</w:t>
        </w:r>
        <w:r w:rsidR="000C35D8" w:rsidRPr="000C35D8">
          <w:rPr>
            <w:noProof/>
            <w:webHidden/>
          </w:rPr>
          <w:fldChar w:fldCharType="end"/>
        </w:r>
      </w:hyperlink>
    </w:p>
    <w:p w14:paraId="6A9A1123" w14:textId="77777777" w:rsidR="00D53E6F" w:rsidRPr="007A0CA3" w:rsidRDefault="00D53E6F" w:rsidP="00D53E6F">
      <w:pPr>
        <w:tabs>
          <w:tab w:val="right" w:pos="9360"/>
        </w:tabs>
        <w:spacing w:line="240" w:lineRule="auto"/>
        <w:ind w:left="1440" w:hanging="1440"/>
        <w:rPr>
          <w:rFonts w:eastAsiaTheme="majorEastAsia"/>
          <w:bCs/>
          <w:sz w:val="24"/>
          <w:szCs w:val="28"/>
        </w:rPr>
      </w:pPr>
      <w:r w:rsidRPr="004A7B59">
        <w:fldChar w:fldCharType="end"/>
      </w:r>
      <w:r w:rsidRPr="007A0CA3">
        <w:br w:type="page"/>
      </w:r>
    </w:p>
    <w:p w14:paraId="33904A0D" w14:textId="77777777" w:rsidR="00D53E6F" w:rsidRPr="001A516E" w:rsidRDefault="00D53E6F" w:rsidP="00D53E6F">
      <w:pPr>
        <w:pStyle w:val="Heading1"/>
        <w:spacing w:line="240" w:lineRule="auto"/>
      </w:pPr>
      <w:bookmarkStart w:id="20" w:name="_Toc456098202"/>
      <w:bookmarkStart w:id="21" w:name="_Toc457827215"/>
      <w:bookmarkStart w:id="22" w:name="_Toc12808763"/>
      <w:r w:rsidRPr="001A516E">
        <w:t>Abbreviations</w:t>
      </w:r>
      <w:r>
        <w:t xml:space="preserve"> and Acronyms</w:t>
      </w:r>
      <w:bookmarkEnd w:id="20"/>
      <w:bookmarkEnd w:id="21"/>
      <w:bookmarkEnd w:id="22"/>
    </w:p>
    <w:p w14:paraId="4175A280" w14:textId="77777777" w:rsidR="00D53E6F" w:rsidRPr="001A516E" w:rsidRDefault="00D53E6F" w:rsidP="00D53E6F">
      <w:pPr>
        <w:spacing w:line="240" w:lineRule="auto"/>
      </w:pPr>
    </w:p>
    <w:p w14:paraId="58E7D0CE" w14:textId="77777777" w:rsidR="00D53E6F" w:rsidRPr="001A516E" w:rsidRDefault="00D53E6F" w:rsidP="00D53E6F">
      <w:pPr>
        <w:spacing w:line="240" w:lineRule="auto"/>
        <w:ind w:left="2880" w:hanging="2880"/>
      </w:pPr>
      <w:r w:rsidRPr="001A516E">
        <w:t>ADAMS</w:t>
      </w:r>
      <w:r>
        <w:tab/>
      </w:r>
      <w:r w:rsidRPr="001A516E">
        <w:t>Agencywide Documents Access and Management System</w:t>
      </w:r>
    </w:p>
    <w:p w14:paraId="5042538A" w14:textId="77777777" w:rsidR="00D53E6F" w:rsidRDefault="00D53E6F" w:rsidP="00D53E6F">
      <w:pPr>
        <w:spacing w:line="240" w:lineRule="auto"/>
        <w:ind w:left="2880" w:hanging="2880"/>
      </w:pPr>
      <w:r w:rsidRPr="001A516E">
        <w:t>ASME</w:t>
      </w:r>
      <w:r>
        <w:tab/>
      </w:r>
      <w:r w:rsidRPr="001A516E">
        <w:t>American Society of Mechanical Engineers</w:t>
      </w:r>
    </w:p>
    <w:p w14:paraId="1B8BB3C5" w14:textId="77777777" w:rsidR="00D53E6F" w:rsidRDefault="00D53E6F" w:rsidP="00D53E6F">
      <w:pPr>
        <w:spacing w:line="240" w:lineRule="auto"/>
        <w:ind w:left="2880" w:hanging="2880"/>
      </w:pPr>
      <w:r>
        <w:t>ASME BPV Code</w:t>
      </w:r>
      <w:r>
        <w:tab/>
        <w:t>ASME Boiler and Pressure Vessel Code</w:t>
      </w:r>
    </w:p>
    <w:p w14:paraId="597C4FDA" w14:textId="77777777" w:rsidR="00D53E6F" w:rsidRDefault="00D53E6F" w:rsidP="00D53E6F">
      <w:pPr>
        <w:spacing w:line="240" w:lineRule="auto"/>
        <w:ind w:left="2880" w:hanging="2880"/>
      </w:pPr>
      <w:r>
        <w:t>ASME Codes</w:t>
      </w:r>
      <w:r>
        <w:tab/>
        <w:t>ASME BPV and OM Codes</w:t>
      </w:r>
    </w:p>
    <w:p w14:paraId="11103C62" w14:textId="77777777" w:rsidR="00D53E6F" w:rsidRDefault="00D53E6F" w:rsidP="00D53E6F">
      <w:pPr>
        <w:spacing w:line="240" w:lineRule="auto"/>
        <w:ind w:left="2880" w:hanging="2880"/>
      </w:pPr>
      <w:r>
        <w:t>ASME OM Code</w:t>
      </w:r>
      <w:r>
        <w:tab/>
        <w:t>ASME Operation and Maintenance Code</w:t>
      </w:r>
    </w:p>
    <w:p w14:paraId="36E93B71" w14:textId="77777777" w:rsidR="00D53E6F" w:rsidRPr="001A516E" w:rsidRDefault="00D53E6F" w:rsidP="00D53E6F">
      <w:pPr>
        <w:spacing w:line="240" w:lineRule="auto"/>
        <w:ind w:left="2880" w:hanging="2880"/>
      </w:pPr>
      <w:r>
        <w:t>ASME OM Committee</w:t>
      </w:r>
      <w:r>
        <w:tab/>
      </w:r>
      <w:r w:rsidRPr="003317FF">
        <w:t xml:space="preserve">ASME </w:t>
      </w:r>
      <w:r>
        <w:t>Committee on Operation and Maintenance of Nuclear Power Plants</w:t>
      </w:r>
    </w:p>
    <w:p w14:paraId="2C9A2E9A" w14:textId="77777777" w:rsidR="00D53E6F" w:rsidRDefault="00D53E6F" w:rsidP="00D53E6F">
      <w:pPr>
        <w:spacing w:line="240" w:lineRule="auto"/>
        <w:ind w:left="2880" w:hanging="2880"/>
      </w:pPr>
    </w:p>
    <w:p w14:paraId="31FA878A" w14:textId="77777777" w:rsidR="00D53E6F" w:rsidRPr="001A516E" w:rsidRDefault="00D53E6F" w:rsidP="00D53E6F">
      <w:pPr>
        <w:spacing w:line="240" w:lineRule="auto"/>
        <w:ind w:left="2880" w:hanging="2880"/>
      </w:pPr>
      <w:r w:rsidRPr="001A516E">
        <w:t>BLS</w:t>
      </w:r>
      <w:r>
        <w:tab/>
      </w:r>
      <w:r w:rsidRPr="001A516E">
        <w:t>Bureau of Labor Statistics</w:t>
      </w:r>
      <w:r>
        <w:t xml:space="preserve"> (U.S. Department of Labor)</w:t>
      </w:r>
    </w:p>
    <w:p w14:paraId="732E7872" w14:textId="77777777" w:rsidR="00D53E6F" w:rsidRDefault="00D53E6F" w:rsidP="00D53E6F">
      <w:pPr>
        <w:spacing w:line="240" w:lineRule="auto"/>
        <w:ind w:left="2880" w:hanging="2880"/>
      </w:pPr>
      <w:r>
        <w:t>BWR</w:t>
      </w:r>
      <w:r>
        <w:tab/>
        <w:t>boiling-water reactor</w:t>
      </w:r>
    </w:p>
    <w:p w14:paraId="58CF99E9" w14:textId="77777777" w:rsidR="00D53E6F" w:rsidRPr="001A516E" w:rsidRDefault="00D53E6F" w:rsidP="00D53E6F">
      <w:pPr>
        <w:spacing w:line="240" w:lineRule="auto"/>
        <w:ind w:left="2880" w:hanging="2880"/>
      </w:pPr>
      <w:r>
        <w:t>BWRVIP</w:t>
      </w:r>
      <w:r>
        <w:tab/>
        <w:t>Boiling</w:t>
      </w:r>
      <w:r>
        <w:noBreakHyphen/>
        <w:t>Water Reactor Vessel Internals Project</w:t>
      </w:r>
    </w:p>
    <w:p w14:paraId="2F505A16" w14:textId="77777777" w:rsidR="00D53E6F" w:rsidRDefault="00D53E6F" w:rsidP="00D53E6F">
      <w:pPr>
        <w:spacing w:line="240" w:lineRule="auto"/>
        <w:ind w:left="2880" w:hanging="2880"/>
      </w:pPr>
    </w:p>
    <w:p w14:paraId="389CBAAF" w14:textId="77777777" w:rsidR="00D53E6F" w:rsidRDefault="00D53E6F" w:rsidP="00D53E6F">
      <w:pPr>
        <w:spacing w:line="240" w:lineRule="auto"/>
        <w:ind w:left="2880" w:hanging="2880"/>
      </w:pPr>
      <w:r>
        <w:t>C</w:t>
      </w:r>
      <w:r>
        <w:tab/>
        <w:t>Celsius</w:t>
      </w:r>
    </w:p>
    <w:p w14:paraId="6FB2AA5B" w14:textId="77777777" w:rsidR="00D53E6F" w:rsidRPr="001A516E" w:rsidRDefault="00D53E6F" w:rsidP="00D53E6F">
      <w:pPr>
        <w:spacing w:line="240" w:lineRule="auto"/>
        <w:ind w:left="2880" w:hanging="2880"/>
      </w:pPr>
      <w:r w:rsidRPr="001A516E">
        <w:t>CASS</w:t>
      </w:r>
      <w:r>
        <w:tab/>
      </w:r>
      <w:r w:rsidRPr="001A516E">
        <w:t>cast austenitic stainless steel</w:t>
      </w:r>
    </w:p>
    <w:p w14:paraId="343E5CA5" w14:textId="77777777" w:rsidR="00D53E6F" w:rsidRPr="001A516E" w:rsidRDefault="00D53E6F" w:rsidP="00D53E6F">
      <w:pPr>
        <w:spacing w:line="240" w:lineRule="auto"/>
        <w:ind w:left="2880" w:hanging="2880"/>
      </w:pPr>
      <w:r w:rsidRPr="001A516E">
        <w:t>CC</w:t>
      </w:r>
      <w:r>
        <w:tab/>
        <w:t>concrete c</w:t>
      </w:r>
      <w:r w:rsidRPr="001A516E">
        <w:t>ontainment</w:t>
      </w:r>
    </w:p>
    <w:p w14:paraId="5774FBE2" w14:textId="77777777" w:rsidR="00D53E6F" w:rsidRPr="001A516E" w:rsidRDefault="00D53E6F" w:rsidP="00D53E6F">
      <w:pPr>
        <w:spacing w:line="240" w:lineRule="auto"/>
        <w:ind w:left="2880" w:hanging="2880"/>
      </w:pPr>
      <w:r w:rsidRPr="001A516E">
        <w:t>CFR</w:t>
      </w:r>
      <w:r>
        <w:tab/>
      </w:r>
      <w:r w:rsidRPr="00A55A51">
        <w:rPr>
          <w:i/>
        </w:rPr>
        <w:t>Code of Federal Regulations</w:t>
      </w:r>
    </w:p>
    <w:p w14:paraId="3DEFF40E" w14:textId="77777777" w:rsidR="00D53E6F" w:rsidRDefault="00D53E6F" w:rsidP="00D53E6F">
      <w:pPr>
        <w:spacing w:line="240" w:lineRule="auto"/>
        <w:ind w:left="2880" w:hanging="2880"/>
      </w:pPr>
      <w:r w:rsidRPr="001A516E">
        <w:t>CPI</w:t>
      </w:r>
      <w:r>
        <w:tab/>
      </w:r>
      <w:r w:rsidRPr="001A516E">
        <w:t>Consumer Price Index</w:t>
      </w:r>
    </w:p>
    <w:p w14:paraId="39728697" w14:textId="77777777" w:rsidR="00D53E6F" w:rsidRDefault="00D53E6F" w:rsidP="00D53E6F">
      <w:pPr>
        <w:spacing w:line="240" w:lineRule="auto"/>
        <w:ind w:left="2880" w:hanging="2880"/>
      </w:pPr>
      <w:r>
        <w:t>CPI-U</w:t>
      </w:r>
      <w:r>
        <w:tab/>
        <w:t>Consumer Price Index for All Urban Consumers</w:t>
      </w:r>
    </w:p>
    <w:p w14:paraId="79A22FF6" w14:textId="77777777" w:rsidR="00D53E6F" w:rsidRPr="001A516E" w:rsidRDefault="00D53E6F" w:rsidP="00D53E6F">
      <w:pPr>
        <w:spacing w:line="240" w:lineRule="auto"/>
        <w:ind w:left="2880" w:hanging="2880"/>
      </w:pPr>
      <w:r>
        <w:t>CRGR</w:t>
      </w:r>
      <w:r>
        <w:tab/>
        <w:t>Committee to Review Generic Requirements</w:t>
      </w:r>
    </w:p>
    <w:p w14:paraId="5E16D9CA" w14:textId="77777777" w:rsidR="00D53E6F" w:rsidRDefault="00D53E6F" w:rsidP="00D53E6F">
      <w:pPr>
        <w:spacing w:line="240" w:lineRule="auto"/>
        <w:ind w:left="2880" w:hanging="2880"/>
      </w:pPr>
    </w:p>
    <w:p w14:paraId="2DAE0A1A" w14:textId="77777777" w:rsidR="00D53E6F" w:rsidRDefault="00D53E6F" w:rsidP="00D53E6F">
      <w:pPr>
        <w:spacing w:line="240" w:lineRule="auto"/>
        <w:ind w:left="2880" w:hanging="2880"/>
      </w:pPr>
      <w:r>
        <w:t>DMW</w:t>
      </w:r>
      <w:r>
        <w:tab/>
        <w:t>dissimilar metal weld</w:t>
      </w:r>
    </w:p>
    <w:p w14:paraId="08C65A9F" w14:textId="77777777" w:rsidR="00D53E6F" w:rsidRDefault="00D53E6F" w:rsidP="00D53E6F">
      <w:pPr>
        <w:spacing w:line="240" w:lineRule="auto"/>
        <w:ind w:left="2880" w:hanging="2880"/>
      </w:pPr>
    </w:p>
    <w:p w14:paraId="3C8F2AB4" w14:textId="77777777" w:rsidR="00D53E6F" w:rsidRDefault="00D53E6F" w:rsidP="00D53E6F">
      <w:pPr>
        <w:spacing w:line="240" w:lineRule="auto"/>
        <w:ind w:left="2880" w:hanging="2880"/>
      </w:pPr>
      <w:r>
        <w:t>E</w:t>
      </w:r>
      <w:r>
        <w:tab/>
        <w:t>energy</w:t>
      </w:r>
    </w:p>
    <w:p w14:paraId="5B6603EB" w14:textId="77777777" w:rsidR="00D53E6F" w:rsidRDefault="00D53E6F" w:rsidP="00D53E6F">
      <w:pPr>
        <w:spacing w:line="240" w:lineRule="auto"/>
        <w:ind w:left="2880" w:hanging="2880"/>
      </w:pPr>
      <w:r>
        <w:t>EPRI</w:t>
      </w:r>
      <w:r>
        <w:tab/>
        <w:t>Electric Power Research Institute</w:t>
      </w:r>
    </w:p>
    <w:p w14:paraId="73B147FA" w14:textId="77777777" w:rsidR="00D53E6F" w:rsidRDefault="00D53E6F" w:rsidP="00D53E6F">
      <w:pPr>
        <w:spacing w:line="240" w:lineRule="auto"/>
        <w:ind w:left="2880" w:hanging="2880"/>
      </w:pPr>
      <w:r>
        <w:t>eV</w:t>
      </w:r>
      <w:r>
        <w:tab/>
        <w:t>electron volt</w:t>
      </w:r>
    </w:p>
    <w:p w14:paraId="73233A74" w14:textId="77777777" w:rsidR="00D53E6F" w:rsidRDefault="00D53E6F" w:rsidP="00D53E6F">
      <w:pPr>
        <w:spacing w:line="240" w:lineRule="auto"/>
        <w:ind w:left="2880" w:hanging="2880"/>
      </w:pPr>
    </w:p>
    <w:p w14:paraId="29865F11" w14:textId="77777777" w:rsidR="00D53E6F" w:rsidRDefault="00D53E6F" w:rsidP="00D53E6F">
      <w:pPr>
        <w:spacing w:line="240" w:lineRule="auto"/>
        <w:ind w:left="2880" w:hanging="2880"/>
      </w:pPr>
      <w:r>
        <w:t>F</w:t>
      </w:r>
      <w:r>
        <w:tab/>
        <w:t>Fahrenheit</w:t>
      </w:r>
    </w:p>
    <w:p w14:paraId="22F9CA72" w14:textId="77777777" w:rsidR="00D53E6F" w:rsidRDefault="00D53E6F" w:rsidP="00D53E6F">
      <w:pPr>
        <w:spacing w:line="240" w:lineRule="auto"/>
        <w:ind w:left="2880" w:hanging="2880"/>
      </w:pPr>
    </w:p>
    <w:p w14:paraId="63D844E3" w14:textId="77777777" w:rsidR="00D53E6F" w:rsidRDefault="00D53E6F" w:rsidP="00D53E6F">
      <w:pPr>
        <w:spacing w:line="240" w:lineRule="auto"/>
        <w:ind w:left="2880" w:hanging="2880"/>
      </w:pPr>
      <w:r w:rsidRPr="001A516E">
        <w:t>GDC</w:t>
      </w:r>
      <w:r>
        <w:tab/>
      </w:r>
      <w:r w:rsidRPr="001A516E">
        <w:t xml:space="preserve">general design </w:t>
      </w:r>
      <w:r>
        <w:t>criterion/</w:t>
      </w:r>
      <w:r w:rsidRPr="001A516E">
        <w:t>criteria</w:t>
      </w:r>
    </w:p>
    <w:p w14:paraId="7AD7B19F" w14:textId="77777777" w:rsidR="00D53E6F" w:rsidRDefault="00D53E6F" w:rsidP="00D53E6F">
      <w:pPr>
        <w:spacing w:line="240" w:lineRule="auto"/>
        <w:ind w:left="2880" w:hanging="2880"/>
      </w:pPr>
    </w:p>
    <w:p w14:paraId="3FC615F3" w14:textId="77777777" w:rsidR="00D53E6F" w:rsidRDefault="00D53E6F" w:rsidP="00D53E6F">
      <w:pPr>
        <w:spacing w:line="240" w:lineRule="auto"/>
        <w:ind w:left="2880" w:hanging="2880"/>
      </w:pPr>
      <w:r>
        <w:t>ID</w:t>
      </w:r>
      <w:r>
        <w:tab/>
        <w:t>inner diameter</w:t>
      </w:r>
    </w:p>
    <w:p w14:paraId="2D44E86A" w14:textId="77777777" w:rsidR="00D53E6F" w:rsidRDefault="00D53E6F" w:rsidP="00D53E6F">
      <w:pPr>
        <w:spacing w:line="240" w:lineRule="auto"/>
        <w:ind w:left="2880" w:hanging="2880"/>
      </w:pPr>
      <w:r>
        <w:t>IGSCC</w:t>
      </w:r>
      <w:r>
        <w:tab/>
      </w:r>
      <w:r>
        <w:rPr>
          <w:bCs/>
        </w:rPr>
        <w:t>intergranular stress</w:t>
      </w:r>
      <w:r>
        <w:rPr>
          <w:bCs/>
        </w:rPr>
        <w:noBreakHyphen/>
        <w:t>corrosion cracking</w:t>
      </w:r>
    </w:p>
    <w:p w14:paraId="4794FBE1" w14:textId="77777777" w:rsidR="00D53E6F" w:rsidRPr="001A516E" w:rsidRDefault="00D53E6F" w:rsidP="00D53E6F">
      <w:pPr>
        <w:spacing w:line="240" w:lineRule="auto"/>
        <w:ind w:left="2880" w:hanging="2880"/>
      </w:pPr>
      <w:r w:rsidRPr="001A516E">
        <w:t>ISI</w:t>
      </w:r>
      <w:r>
        <w:tab/>
      </w:r>
      <w:r w:rsidRPr="001A516E">
        <w:t>inservice inspection</w:t>
      </w:r>
    </w:p>
    <w:p w14:paraId="398FCA9E" w14:textId="77777777" w:rsidR="00D53E6F" w:rsidRPr="001A516E" w:rsidRDefault="00D53E6F" w:rsidP="00D53E6F">
      <w:pPr>
        <w:spacing w:line="240" w:lineRule="auto"/>
        <w:ind w:left="2880" w:hanging="2880"/>
      </w:pPr>
      <w:r w:rsidRPr="001A516E">
        <w:t>IST</w:t>
      </w:r>
      <w:r>
        <w:tab/>
      </w:r>
      <w:r w:rsidRPr="001A516E">
        <w:t>inservice testing</w:t>
      </w:r>
    </w:p>
    <w:p w14:paraId="5C5CEE1B" w14:textId="77777777" w:rsidR="00D53E6F" w:rsidRDefault="00D53E6F" w:rsidP="00D53E6F">
      <w:pPr>
        <w:spacing w:line="240" w:lineRule="auto"/>
        <w:ind w:left="2880" w:hanging="2880"/>
      </w:pPr>
    </w:p>
    <w:p w14:paraId="7427726C" w14:textId="77777777" w:rsidR="00D53E6F" w:rsidRDefault="00D53E6F" w:rsidP="00D53E6F">
      <w:pPr>
        <w:spacing w:line="240" w:lineRule="auto"/>
        <w:ind w:left="2880" w:hanging="2880"/>
      </w:pPr>
      <w:r>
        <w:t>K</w:t>
      </w:r>
      <w:r w:rsidRPr="00562ECF">
        <w:rPr>
          <w:vertAlign w:val="subscript"/>
        </w:rPr>
        <w:t>Ic</w:t>
      </w:r>
      <w:r w:rsidRPr="00DF1707">
        <w:tab/>
        <w:t>plane strain fracture toughness</w:t>
      </w:r>
    </w:p>
    <w:p w14:paraId="285D99AA" w14:textId="630AE74F" w:rsidR="00D53E6F" w:rsidRDefault="00D53E6F" w:rsidP="00D53E6F">
      <w:pPr>
        <w:spacing w:line="240" w:lineRule="auto"/>
        <w:ind w:left="2880" w:hanging="2880"/>
      </w:pPr>
      <w:r>
        <w:t>K</w:t>
      </w:r>
      <w:r w:rsidRPr="00946502">
        <w:rPr>
          <w:vertAlign w:val="subscript"/>
        </w:rPr>
        <w:t>Jc</w:t>
      </w:r>
      <w:r w:rsidRPr="00946502">
        <w:tab/>
      </w:r>
      <w:r>
        <w:t>plane strain fracture toughness characterized by J-integral</w:t>
      </w:r>
    </w:p>
    <w:p w14:paraId="29DCCF1F" w14:textId="77777777" w:rsidR="00D53E6F" w:rsidRDefault="00D53E6F" w:rsidP="00D53E6F">
      <w:pPr>
        <w:spacing w:line="240" w:lineRule="auto"/>
        <w:ind w:left="2880" w:hanging="2880"/>
      </w:pPr>
      <w:r>
        <w:t>kHz</w:t>
      </w:r>
      <w:r>
        <w:tab/>
        <w:t>kilohertz</w:t>
      </w:r>
    </w:p>
    <w:p w14:paraId="1702B33A" w14:textId="77777777" w:rsidR="00D53E6F" w:rsidRDefault="00D53E6F" w:rsidP="00D53E6F">
      <w:pPr>
        <w:spacing w:line="240" w:lineRule="auto"/>
        <w:ind w:left="2880" w:hanging="2880"/>
      </w:pPr>
      <w:r>
        <w:t>ksi</w:t>
      </w:r>
      <w:r>
        <w:tab/>
        <w:t>kilopounds per square inch</w:t>
      </w:r>
    </w:p>
    <w:p w14:paraId="5DA27F2D" w14:textId="77777777" w:rsidR="00D53E6F" w:rsidRDefault="00D53E6F" w:rsidP="00D53E6F">
      <w:pPr>
        <w:spacing w:line="240" w:lineRule="auto"/>
        <w:ind w:left="2880" w:hanging="2880"/>
      </w:pPr>
    </w:p>
    <w:p w14:paraId="3DF5C9A6" w14:textId="77777777" w:rsidR="00D53E6F" w:rsidRDefault="00D53E6F" w:rsidP="00D53E6F">
      <w:pPr>
        <w:spacing w:line="240" w:lineRule="auto"/>
        <w:ind w:left="2880" w:hanging="2880"/>
      </w:pPr>
      <w:r>
        <w:t>LOE</w:t>
      </w:r>
      <w:r>
        <w:tab/>
        <w:t>level of effort</w:t>
      </w:r>
    </w:p>
    <w:p w14:paraId="1945B927" w14:textId="77777777" w:rsidR="00D53E6F" w:rsidRDefault="00D53E6F" w:rsidP="00D53E6F">
      <w:pPr>
        <w:spacing w:line="240" w:lineRule="auto"/>
        <w:ind w:left="2880" w:hanging="2880"/>
      </w:pPr>
    </w:p>
    <w:p w14:paraId="22DCCA76" w14:textId="77777777" w:rsidR="00D53E6F" w:rsidRDefault="00D53E6F" w:rsidP="00D53E6F">
      <w:pPr>
        <w:spacing w:line="240" w:lineRule="auto"/>
        <w:ind w:left="2880" w:hanging="2880"/>
      </w:pPr>
      <w:r w:rsidRPr="001A516E">
        <w:t>MC</w:t>
      </w:r>
      <w:r>
        <w:tab/>
      </w:r>
      <w:r w:rsidRPr="001A516E">
        <w:t>metal containment</w:t>
      </w:r>
    </w:p>
    <w:p w14:paraId="0B4FDAAD" w14:textId="77777777" w:rsidR="00D53E6F" w:rsidRDefault="00D53E6F" w:rsidP="00D53E6F">
      <w:pPr>
        <w:spacing w:line="240" w:lineRule="auto"/>
        <w:ind w:left="2880" w:hanging="2880"/>
      </w:pPr>
      <w:r>
        <w:t>MeV</w:t>
      </w:r>
      <w:r>
        <w:tab/>
        <w:t>million electron volts</w:t>
      </w:r>
    </w:p>
    <w:p w14:paraId="1184CF1B" w14:textId="77777777" w:rsidR="00D53E6F" w:rsidRPr="001A516E" w:rsidRDefault="00D53E6F" w:rsidP="00D53E6F">
      <w:pPr>
        <w:spacing w:line="240" w:lineRule="auto"/>
        <w:ind w:left="2880" w:hanging="2880"/>
      </w:pPr>
      <w:r>
        <w:t>MRP</w:t>
      </w:r>
      <w:r>
        <w:tab/>
      </w:r>
      <w:r w:rsidRPr="00A0305D">
        <w:t>Materials Reliability Program</w:t>
      </w:r>
    </w:p>
    <w:p w14:paraId="2F09F163" w14:textId="77777777" w:rsidR="00D53E6F" w:rsidRDefault="00D53E6F" w:rsidP="00D53E6F">
      <w:pPr>
        <w:spacing w:line="240" w:lineRule="auto"/>
        <w:ind w:left="2880" w:hanging="2880"/>
      </w:pPr>
    </w:p>
    <w:p w14:paraId="2B7E2DBF" w14:textId="77777777" w:rsidR="00D53E6F" w:rsidRDefault="00D53E6F" w:rsidP="00D53E6F">
      <w:pPr>
        <w:spacing w:line="240" w:lineRule="auto"/>
        <w:ind w:left="2880" w:hanging="2880"/>
      </w:pPr>
      <w:r>
        <w:t>n/cm</w:t>
      </w:r>
      <w:r w:rsidRPr="00C80453">
        <w:rPr>
          <w:vertAlign w:val="superscript"/>
        </w:rPr>
        <w:t>2</w:t>
      </w:r>
      <w:r w:rsidRPr="00A0305D">
        <w:tab/>
      </w:r>
      <w:r>
        <w:t>neutrons per square centimeter</w:t>
      </w:r>
    </w:p>
    <w:p w14:paraId="1B589D0D" w14:textId="52873753" w:rsidR="00226AAF" w:rsidRPr="00226AAF" w:rsidRDefault="00226AAF" w:rsidP="00D53E6F">
      <w:pPr>
        <w:spacing w:line="240" w:lineRule="auto"/>
        <w:ind w:left="2880" w:hanging="2880"/>
      </w:pPr>
      <w:r w:rsidRPr="00226AAF">
        <w:t>NAICS</w:t>
      </w:r>
      <w:r w:rsidRPr="00226AAF">
        <w:tab/>
        <w:t>North American Industry Classification System</w:t>
      </w:r>
    </w:p>
    <w:p w14:paraId="22ADB681" w14:textId="77777777" w:rsidR="00D53E6F" w:rsidRPr="001A516E" w:rsidRDefault="00D53E6F" w:rsidP="00D53E6F">
      <w:pPr>
        <w:spacing w:line="240" w:lineRule="auto"/>
        <w:ind w:left="2880" w:hanging="2880"/>
      </w:pPr>
      <w:r w:rsidRPr="001A516E">
        <w:t>NPV</w:t>
      </w:r>
      <w:r>
        <w:tab/>
      </w:r>
      <w:r w:rsidRPr="001A516E">
        <w:t>net present value</w:t>
      </w:r>
    </w:p>
    <w:p w14:paraId="7D3F3C97" w14:textId="77777777" w:rsidR="00D53E6F" w:rsidRDefault="00D53E6F" w:rsidP="00D53E6F">
      <w:pPr>
        <w:spacing w:line="240" w:lineRule="auto"/>
        <w:ind w:left="2880" w:hanging="2880"/>
      </w:pPr>
      <w:r w:rsidRPr="001A516E">
        <w:t>NRC</w:t>
      </w:r>
      <w:r>
        <w:tab/>
      </w:r>
      <w:r w:rsidRPr="001A516E">
        <w:t>U.S. Nuclear Regulatory Commission</w:t>
      </w:r>
    </w:p>
    <w:p w14:paraId="7E0462DD" w14:textId="77777777" w:rsidR="00D53E6F" w:rsidRPr="001A516E" w:rsidRDefault="00D53E6F" w:rsidP="00D53E6F">
      <w:pPr>
        <w:spacing w:line="240" w:lineRule="auto"/>
        <w:ind w:left="2880" w:hanging="2880"/>
      </w:pPr>
      <w:r>
        <w:t>NSAC</w:t>
      </w:r>
      <w:r>
        <w:tab/>
        <w:t>Nuclear Safety Analysis Center (within EPRI)</w:t>
      </w:r>
    </w:p>
    <w:p w14:paraId="0951BBCA" w14:textId="77777777" w:rsidR="00D53E6F" w:rsidRDefault="00D53E6F" w:rsidP="00D53E6F">
      <w:pPr>
        <w:spacing w:line="240" w:lineRule="auto"/>
        <w:ind w:left="2880" w:hanging="2880"/>
      </w:pPr>
      <w:r w:rsidRPr="001A516E">
        <w:t>NTTAA</w:t>
      </w:r>
      <w:r>
        <w:tab/>
      </w:r>
      <w:r w:rsidRPr="001A516E">
        <w:t>National Technology Transfer and Advancement Act</w:t>
      </w:r>
      <w:r>
        <w:t xml:space="preserve"> of 1995</w:t>
      </w:r>
    </w:p>
    <w:p w14:paraId="1F9DDF78" w14:textId="77777777" w:rsidR="00D53E6F" w:rsidRPr="001A516E" w:rsidRDefault="00D53E6F" w:rsidP="00D53E6F">
      <w:pPr>
        <w:spacing w:line="240" w:lineRule="auto"/>
        <w:ind w:left="2880" w:hanging="2880"/>
      </w:pPr>
      <w:r>
        <w:t>NUREG</w:t>
      </w:r>
      <w:r>
        <w:tab/>
        <w:t>NRC technical report</w:t>
      </w:r>
    </w:p>
    <w:p w14:paraId="0692C315" w14:textId="77777777" w:rsidR="00D53E6F" w:rsidRDefault="00D53E6F" w:rsidP="00D53E6F">
      <w:pPr>
        <w:spacing w:line="240" w:lineRule="auto"/>
        <w:ind w:left="2880" w:hanging="2880"/>
      </w:pPr>
    </w:p>
    <w:p w14:paraId="4752B0DB" w14:textId="77777777" w:rsidR="00D53E6F" w:rsidRPr="001A516E" w:rsidRDefault="00D53E6F" w:rsidP="00D53E6F">
      <w:pPr>
        <w:spacing w:line="240" w:lineRule="auto"/>
        <w:ind w:left="2880" w:hanging="2880"/>
      </w:pPr>
      <w:r w:rsidRPr="001A516E">
        <w:t>OMB</w:t>
      </w:r>
      <w:r>
        <w:tab/>
        <w:t>U.S. </w:t>
      </w:r>
      <w:r w:rsidRPr="001A516E">
        <w:t>Office of Management and Budget</w:t>
      </w:r>
    </w:p>
    <w:p w14:paraId="4A578C30" w14:textId="77777777" w:rsidR="00D53E6F" w:rsidRDefault="00D53E6F" w:rsidP="00D53E6F">
      <w:pPr>
        <w:spacing w:line="240" w:lineRule="auto"/>
        <w:ind w:left="2880" w:hanging="2880"/>
      </w:pPr>
    </w:p>
    <w:p w14:paraId="1BA9E3FB" w14:textId="77777777" w:rsidR="00D53E6F" w:rsidRDefault="00D53E6F" w:rsidP="00D53E6F">
      <w:pPr>
        <w:spacing w:line="240" w:lineRule="auto"/>
        <w:ind w:left="2880" w:hanging="2880"/>
      </w:pPr>
      <w:r>
        <w:t>PERT</w:t>
      </w:r>
      <w:r>
        <w:tab/>
        <w:t>program evaluation and review technique</w:t>
      </w:r>
    </w:p>
    <w:p w14:paraId="5F9BE627" w14:textId="77777777" w:rsidR="00D53E6F" w:rsidRDefault="00D53E6F" w:rsidP="00D53E6F">
      <w:pPr>
        <w:spacing w:line="240" w:lineRule="auto"/>
        <w:ind w:left="2880" w:hanging="2880"/>
      </w:pPr>
      <w:r w:rsidRPr="001A516E">
        <w:t>PWR</w:t>
      </w:r>
      <w:r>
        <w:tab/>
        <w:t>pressurized-water</w:t>
      </w:r>
      <w:r w:rsidRPr="001A516E">
        <w:t xml:space="preserve"> reactor</w:t>
      </w:r>
    </w:p>
    <w:p w14:paraId="7AD95B6D" w14:textId="77777777" w:rsidR="00D53E6F" w:rsidRPr="001A516E" w:rsidRDefault="00D53E6F" w:rsidP="00D53E6F">
      <w:pPr>
        <w:spacing w:line="240" w:lineRule="auto"/>
        <w:ind w:left="2880" w:hanging="2880"/>
      </w:pPr>
      <w:r>
        <w:t>PWSCC</w:t>
      </w:r>
      <w:r>
        <w:tab/>
        <w:t>primary water stress-corrosion cracking</w:t>
      </w:r>
    </w:p>
    <w:p w14:paraId="7F956F10" w14:textId="77777777" w:rsidR="00D53E6F" w:rsidRDefault="00D53E6F" w:rsidP="00D53E6F">
      <w:pPr>
        <w:spacing w:line="240" w:lineRule="auto"/>
        <w:ind w:left="2880" w:hanging="2880"/>
      </w:pPr>
    </w:p>
    <w:p w14:paraId="22D2AC6E" w14:textId="77777777" w:rsidR="00D53E6F" w:rsidRDefault="00D53E6F" w:rsidP="00D53E6F">
      <w:pPr>
        <w:spacing w:line="240" w:lineRule="auto"/>
        <w:ind w:left="2880" w:hanging="2880"/>
      </w:pPr>
      <w:r>
        <w:t>RG</w:t>
      </w:r>
      <w:r>
        <w:tab/>
        <w:t>regulatory guide</w:t>
      </w:r>
    </w:p>
    <w:p w14:paraId="072DB5EE" w14:textId="77777777" w:rsidR="00D53E6F" w:rsidRPr="00E963A5" w:rsidRDefault="00D53E6F" w:rsidP="00D53E6F">
      <w:pPr>
        <w:spacing w:line="240" w:lineRule="auto"/>
        <w:ind w:left="2880" w:hanging="2880"/>
      </w:pPr>
      <w:r>
        <w:t>RMS</w:t>
      </w:r>
      <w:r>
        <w:tab/>
        <w:t>root mean square</w:t>
      </w:r>
    </w:p>
    <w:p w14:paraId="7FA92740" w14:textId="77777777" w:rsidR="00D53E6F" w:rsidRDefault="00D53E6F" w:rsidP="00D53E6F">
      <w:pPr>
        <w:spacing w:line="240" w:lineRule="auto"/>
        <w:ind w:left="2880" w:hanging="2880"/>
      </w:pPr>
      <w:r>
        <w:t>RT</w:t>
      </w:r>
      <w:r w:rsidRPr="00C80453">
        <w:rPr>
          <w:vertAlign w:val="subscript"/>
        </w:rPr>
        <w:t>NDT</w:t>
      </w:r>
      <w:r>
        <w:tab/>
      </w:r>
      <w:r w:rsidRPr="00253DDB">
        <w:rPr>
          <w:bCs/>
        </w:rPr>
        <w:t xml:space="preserve">nil-ductility transition </w:t>
      </w:r>
      <w:r>
        <w:t>reference temperature</w:t>
      </w:r>
    </w:p>
    <w:p w14:paraId="1753C082" w14:textId="77777777" w:rsidR="00D53E6F" w:rsidRDefault="00D53E6F" w:rsidP="00D53E6F">
      <w:pPr>
        <w:spacing w:line="240" w:lineRule="auto"/>
        <w:ind w:left="2880" w:hanging="2880"/>
      </w:pPr>
      <w:r>
        <w:t>R/t</w:t>
      </w:r>
      <w:r>
        <w:tab/>
        <w:t>radius-to-thickness ratio</w:t>
      </w:r>
    </w:p>
    <w:p w14:paraId="030CF141" w14:textId="77777777" w:rsidR="00D53E6F" w:rsidRDefault="00D53E6F" w:rsidP="00D53E6F">
      <w:pPr>
        <w:spacing w:line="240" w:lineRule="auto"/>
      </w:pPr>
    </w:p>
    <w:p w14:paraId="228FFCAB" w14:textId="77777777" w:rsidR="00D53E6F" w:rsidRDefault="00D53E6F" w:rsidP="00D53E6F">
      <w:pPr>
        <w:spacing w:line="240" w:lineRule="auto"/>
        <w:ind w:left="2880" w:hanging="2880"/>
      </w:pPr>
      <w:r>
        <w:t>t</w:t>
      </w:r>
      <w:r>
        <w:tab/>
        <w:t>thickness</w:t>
      </w:r>
    </w:p>
    <w:p w14:paraId="08DCEC7E" w14:textId="77777777" w:rsidR="00D53E6F" w:rsidRDefault="00D53E6F" w:rsidP="00D53E6F">
      <w:pPr>
        <w:spacing w:line="240" w:lineRule="auto"/>
        <w:ind w:left="2880" w:hanging="2880"/>
      </w:pPr>
      <w:r>
        <w:t>T</w:t>
      </w:r>
      <w:r>
        <w:tab/>
        <w:t>temperature</w:t>
      </w:r>
    </w:p>
    <w:p w14:paraId="1E694304" w14:textId="77777777" w:rsidR="00D53E6F" w:rsidRPr="00F7644C" w:rsidRDefault="00D53E6F" w:rsidP="00D53E6F">
      <w:pPr>
        <w:spacing w:line="240" w:lineRule="auto"/>
        <w:ind w:left="2880" w:hanging="2880"/>
      </w:pPr>
      <w:r>
        <w:t>T</w:t>
      </w:r>
      <w:r w:rsidRPr="00C80453">
        <w:rPr>
          <w:vertAlign w:val="subscript"/>
        </w:rPr>
        <w:t>o</w:t>
      </w:r>
      <w:r>
        <w:tab/>
      </w:r>
      <w:r w:rsidRPr="00253DDB">
        <w:rPr>
          <w:bCs/>
        </w:rPr>
        <w:t>master curve-based reference temperature</w:t>
      </w:r>
    </w:p>
    <w:p w14:paraId="473CAE7E" w14:textId="77777777" w:rsidR="00D53E6F" w:rsidRDefault="00D53E6F" w:rsidP="00D53E6F">
      <w:pPr>
        <w:spacing w:line="240" w:lineRule="auto"/>
        <w:ind w:left="2880" w:hanging="2880"/>
      </w:pPr>
    </w:p>
    <w:p w14:paraId="7DFF00E5" w14:textId="77777777" w:rsidR="00D53E6F" w:rsidRPr="002E21B5" w:rsidRDefault="00D53E6F" w:rsidP="00D53E6F">
      <w:pPr>
        <w:spacing w:line="240" w:lineRule="auto"/>
        <w:ind w:left="2880" w:hanging="2880"/>
      </w:pPr>
      <w:r w:rsidRPr="002E21B5">
        <w:t>UTS</w:t>
      </w:r>
      <w:r w:rsidRPr="002E21B5">
        <w:tab/>
        <w:t>ultimate tensile strength</w:t>
      </w:r>
    </w:p>
    <w:p w14:paraId="3AD24B53" w14:textId="77777777" w:rsidR="00D53E6F" w:rsidRDefault="00D53E6F" w:rsidP="00D53E6F">
      <w:pPr>
        <w:spacing w:line="240" w:lineRule="auto"/>
        <w:ind w:left="2880" w:hanging="2880"/>
      </w:pPr>
    </w:p>
    <w:p w14:paraId="30A08BFD" w14:textId="77777777" w:rsidR="00D53E6F" w:rsidRDefault="00D53E6F" w:rsidP="00D53E6F">
      <w:pPr>
        <w:spacing w:line="240" w:lineRule="auto"/>
        <w:ind w:left="2880" w:hanging="2880"/>
      </w:pPr>
      <w:r>
        <w:t>VT</w:t>
      </w:r>
      <w:r>
        <w:tab/>
        <w:t>visual testing</w:t>
      </w:r>
    </w:p>
    <w:p w14:paraId="1A2744C6" w14:textId="77777777" w:rsidR="00D53E6F" w:rsidRDefault="00D53E6F" w:rsidP="00D53E6F">
      <w:pPr>
        <w:tabs>
          <w:tab w:val="left" w:pos="2880"/>
        </w:tabs>
        <w:spacing w:line="240" w:lineRule="auto"/>
      </w:pPr>
    </w:p>
    <w:p w14:paraId="6F862DED" w14:textId="77777777" w:rsidR="00D53E6F" w:rsidRPr="00E963A5" w:rsidRDefault="00D53E6F" w:rsidP="00D53E6F">
      <w:pPr>
        <w:tabs>
          <w:tab w:val="left" w:pos="2880"/>
        </w:tabs>
        <w:spacing w:line="240" w:lineRule="auto"/>
      </w:pPr>
    </w:p>
    <w:p w14:paraId="099CE0AD" w14:textId="77777777" w:rsidR="00D53E6F" w:rsidRDefault="00D53E6F" w:rsidP="00D53E6F">
      <w:pPr>
        <w:spacing w:line="240" w:lineRule="auto"/>
        <w:sectPr w:rsidR="00D53E6F" w:rsidSect="00E91144">
          <w:footerReference w:type="default" r:id="rId14"/>
          <w:type w:val="continuous"/>
          <w:pgSz w:w="12240" w:h="15840"/>
          <w:pgMar w:top="1440" w:right="1440" w:bottom="1440" w:left="1440" w:header="720" w:footer="720" w:gutter="0"/>
          <w:pgNumType w:fmt="lowerRoman" w:start="1"/>
          <w:cols w:space="720"/>
          <w:titlePg/>
          <w:docGrid w:linePitch="360"/>
        </w:sectPr>
      </w:pPr>
    </w:p>
    <w:p w14:paraId="6263FED3" w14:textId="77777777" w:rsidR="00D53E6F" w:rsidRDefault="00D53E6F" w:rsidP="00D53E6F">
      <w:pPr>
        <w:pStyle w:val="Heading1"/>
        <w:spacing w:line="240" w:lineRule="auto"/>
      </w:pPr>
      <w:bookmarkStart w:id="23" w:name="_Toc456098204"/>
      <w:bookmarkStart w:id="24" w:name="_Toc12808764"/>
      <w:r>
        <w:t xml:space="preserve">Executive </w:t>
      </w:r>
      <w:r w:rsidRPr="00C926B7">
        <w:t>Summary</w:t>
      </w:r>
      <w:bookmarkEnd w:id="23"/>
      <w:bookmarkEnd w:id="24"/>
    </w:p>
    <w:p w14:paraId="3133C469" w14:textId="77777777" w:rsidR="00D53E6F" w:rsidRPr="00D5077D" w:rsidRDefault="00D53E6F" w:rsidP="00D53E6F">
      <w:pPr>
        <w:spacing w:line="240" w:lineRule="auto"/>
      </w:pPr>
    </w:p>
    <w:p w14:paraId="2A02CF3B" w14:textId="77777777" w:rsidR="00D53E6F" w:rsidRDefault="00D53E6F" w:rsidP="00D53E6F">
      <w:pPr>
        <w:spacing w:line="240" w:lineRule="auto"/>
      </w:pPr>
      <w:r>
        <w:t>The U.S. Nuclear Regulatory Commission (NRC) is amending its regulations to incorporate by reference the latest revisions to three NRC regulatory guides (RGs) that approve new, revised, and reaffirmed American Society of Mechanical Engineers (ASME) Code Cases.  The NRC will incorporate by reference the following three RGs, issued with the final rule:</w:t>
      </w:r>
    </w:p>
    <w:p w14:paraId="48D4D12A" w14:textId="77777777" w:rsidR="00D53E6F" w:rsidRDefault="00D53E6F" w:rsidP="00D53E6F">
      <w:pPr>
        <w:spacing w:line="240" w:lineRule="auto"/>
      </w:pPr>
    </w:p>
    <w:p w14:paraId="27692415" w14:textId="77777777" w:rsidR="00D53E6F" w:rsidRDefault="00D53E6F" w:rsidP="00D53E6F">
      <w:pPr>
        <w:pStyle w:val="ListParagraph"/>
        <w:numPr>
          <w:ilvl w:val="0"/>
          <w:numId w:val="54"/>
        </w:numPr>
        <w:spacing w:line="240" w:lineRule="auto"/>
        <w:ind w:hanging="720"/>
      </w:pPr>
      <w:r>
        <w:t xml:space="preserve">RG 1.84, “Design, Fabrication, and Materials Code Case Acceptability, ASME Section III,” Revision 38 (ADAMS Accession No. </w:t>
      </w:r>
      <w:r w:rsidRPr="00322632">
        <w:t>ML19128A276</w:t>
      </w:r>
      <w:r>
        <w:t>)</w:t>
      </w:r>
    </w:p>
    <w:p w14:paraId="0799FBB8" w14:textId="77777777" w:rsidR="00D53E6F" w:rsidRDefault="00D53E6F" w:rsidP="00D53E6F">
      <w:pPr>
        <w:pStyle w:val="ListParagraph"/>
        <w:spacing w:line="240" w:lineRule="auto"/>
      </w:pPr>
    </w:p>
    <w:p w14:paraId="395A7D43" w14:textId="77777777" w:rsidR="00D53E6F" w:rsidRDefault="00D53E6F" w:rsidP="00D53E6F">
      <w:pPr>
        <w:pStyle w:val="ListParagraph"/>
        <w:numPr>
          <w:ilvl w:val="0"/>
          <w:numId w:val="54"/>
        </w:numPr>
        <w:spacing w:line="240" w:lineRule="auto"/>
        <w:ind w:hanging="720"/>
      </w:pPr>
      <w:r>
        <w:t>RG 1.147, “Inservice Inspection Code Case Acceptability, ASME Section XI, Division 1,” Revision 19 (ADAMS Accession No.</w:t>
      </w:r>
      <w:r w:rsidRPr="00322632">
        <w:t xml:space="preserve"> ML19128A244</w:t>
      </w:r>
      <w:r>
        <w:t>)</w:t>
      </w:r>
    </w:p>
    <w:p w14:paraId="5F844EC0" w14:textId="77777777" w:rsidR="00D53E6F" w:rsidRDefault="00D53E6F" w:rsidP="00D53E6F">
      <w:pPr>
        <w:pStyle w:val="ListParagraph"/>
        <w:spacing w:line="240" w:lineRule="auto"/>
      </w:pPr>
    </w:p>
    <w:p w14:paraId="71CE0CAA" w14:textId="77777777" w:rsidR="00D53E6F" w:rsidRDefault="00D53E6F" w:rsidP="00D53E6F">
      <w:pPr>
        <w:pStyle w:val="ListParagraph"/>
        <w:numPr>
          <w:ilvl w:val="0"/>
          <w:numId w:val="54"/>
        </w:numPr>
        <w:spacing w:line="240" w:lineRule="auto"/>
        <w:ind w:hanging="720"/>
      </w:pPr>
      <w:r>
        <w:t xml:space="preserve">RG 1.192, “Operation and Maintenance Code Case Acceptability, ASME OM Code,” Revision 3 (ADAMS Accession No. </w:t>
      </w:r>
      <w:r w:rsidRPr="00322632">
        <w:t>ML19128A261</w:t>
      </w:r>
      <w:r>
        <w:t>)</w:t>
      </w:r>
    </w:p>
    <w:p w14:paraId="08C8CBB3" w14:textId="77777777" w:rsidR="00D53E6F" w:rsidRDefault="00D53E6F" w:rsidP="00D53E6F">
      <w:pPr>
        <w:spacing w:line="240" w:lineRule="auto"/>
      </w:pPr>
    </w:p>
    <w:p w14:paraId="1A3B41E9" w14:textId="77777777" w:rsidR="00D53E6F" w:rsidRDefault="00D53E6F" w:rsidP="00D53E6F">
      <w:pPr>
        <w:spacing w:line="240" w:lineRule="auto"/>
      </w:pPr>
      <w:r>
        <w:t>This regulatory action allows nuclear power plant licensees and applicants for construction permits, operating licenses, combined licenses, standard design certifications, standard design approvals, and manufacturing licenses to use the ASME Code Cases newly listed in these RGs as voluntary alternatives to engineering standards for the construction, inservice inspection, and inservice testing of nuclear power plant components.</w:t>
      </w:r>
    </w:p>
    <w:p w14:paraId="6E5C3DBE" w14:textId="77777777" w:rsidR="00D53E6F" w:rsidRDefault="00D53E6F" w:rsidP="00D53E6F">
      <w:pPr>
        <w:spacing w:line="240" w:lineRule="auto"/>
      </w:pPr>
    </w:p>
    <w:p w14:paraId="63B98168" w14:textId="6280B3F1" w:rsidR="00D53E6F" w:rsidRPr="007C7E30" w:rsidRDefault="00D53E6F" w:rsidP="00D53E6F">
      <w:pPr>
        <w:spacing w:line="240" w:lineRule="auto"/>
      </w:pPr>
      <w:r w:rsidRPr="007C7E30">
        <w:t xml:space="preserve">The analysis presented in this document examines the benefits and costs of the </w:t>
      </w:r>
      <w:r>
        <w:t>final</w:t>
      </w:r>
      <w:r w:rsidRPr="007C7E30">
        <w:t xml:space="preserve"> </w:t>
      </w:r>
      <w:r>
        <w:t>rule</w:t>
      </w:r>
      <w:r w:rsidRPr="007C7E30">
        <w:t xml:space="preserve"> </w:t>
      </w:r>
      <w:r>
        <w:t xml:space="preserve">and implementing guidance </w:t>
      </w:r>
      <w:r w:rsidRPr="007C7E30">
        <w:t>relative to the baseline case (i.</w:t>
      </w:r>
      <w:r>
        <w:t>e., the no</w:t>
      </w:r>
      <w:r>
        <w:noBreakHyphen/>
        <w:t>action alternative).</w:t>
      </w:r>
    </w:p>
    <w:p w14:paraId="5EA65576" w14:textId="77777777" w:rsidR="00D53E6F" w:rsidRDefault="00D53E6F" w:rsidP="00D53E6F">
      <w:pPr>
        <w:spacing w:line="240" w:lineRule="auto"/>
      </w:pPr>
    </w:p>
    <w:p w14:paraId="2E29722D" w14:textId="7E841996" w:rsidR="00D53E6F" w:rsidRPr="005672EB" w:rsidRDefault="00D53E6F" w:rsidP="00D53E6F">
      <w:pPr>
        <w:spacing w:line="240" w:lineRule="auto"/>
      </w:pPr>
      <w:r>
        <w:t>The NRC has made the following key findings:</w:t>
      </w:r>
    </w:p>
    <w:p w14:paraId="070DE7D1" w14:textId="77777777" w:rsidR="00D53E6F" w:rsidRPr="00C13819" w:rsidRDefault="00D53E6F" w:rsidP="00D53E6F">
      <w:pPr>
        <w:spacing w:line="240" w:lineRule="auto"/>
      </w:pPr>
    </w:p>
    <w:p w14:paraId="3B82EAA2" w14:textId="5FEA6704" w:rsidR="00D53E6F" w:rsidRPr="002813AD" w:rsidRDefault="00D53E6F" w:rsidP="00D53E6F">
      <w:pPr>
        <w:pStyle w:val="ListParagraph"/>
        <w:numPr>
          <w:ilvl w:val="0"/>
          <w:numId w:val="8"/>
        </w:numPr>
        <w:spacing w:line="240" w:lineRule="auto"/>
        <w:ind w:hanging="720"/>
      </w:pPr>
      <w:r w:rsidRPr="00C80453">
        <w:rPr>
          <w:u w:val="single"/>
        </w:rPr>
        <w:t>Final Rule Analysis</w:t>
      </w:r>
      <w:r w:rsidRPr="002813AD">
        <w:t xml:space="preserve">.  The </w:t>
      </w:r>
      <w:r>
        <w:t>final</w:t>
      </w:r>
      <w:r w:rsidRPr="002813AD">
        <w:t xml:space="preserve"> rule recommended by the staff would result in a cost</w:t>
      </w:r>
      <w:r>
        <w:noBreakHyphen/>
      </w:r>
      <w:r w:rsidRPr="002813AD">
        <w:t>justified change (i.e., account</w:t>
      </w:r>
      <w:r>
        <w:t>ing for</w:t>
      </w:r>
      <w:r w:rsidRPr="002813AD">
        <w:t xml:space="preserve"> both costs and benefits)</w:t>
      </w:r>
      <w:r>
        <w:t xml:space="preserve"> </w:t>
      </w:r>
      <w:r w:rsidRPr="002813AD">
        <w:t xml:space="preserve">based on a net </w:t>
      </w:r>
      <w:r>
        <w:t>benefit</w:t>
      </w:r>
      <w:r w:rsidRPr="002813AD">
        <w:t xml:space="preserve"> to the industry that ranges from $</w:t>
      </w:r>
      <w:r>
        <w:t>4.4</w:t>
      </w:r>
      <w:r w:rsidR="00514704">
        <w:t>7</w:t>
      </w:r>
      <w:r w:rsidRPr="002813AD">
        <w:t> million using a 7</w:t>
      </w:r>
      <w:r>
        <w:noBreakHyphen/>
      </w:r>
      <w:r w:rsidRPr="002813AD">
        <w:t>percent discount rate to $</w:t>
      </w:r>
      <w:r>
        <w:t>5.0</w:t>
      </w:r>
      <w:r w:rsidR="00514704">
        <w:t>8</w:t>
      </w:r>
      <w:r>
        <w:t> </w:t>
      </w:r>
      <w:r w:rsidRPr="002813AD">
        <w:t>million using a 3</w:t>
      </w:r>
      <w:r>
        <w:noBreakHyphen/>
      </w:r>
      <w:r w:rsidRPr="002813AD">
        <w:t xml:space="preserve">percent discount rate.  </w:t>
      </w:r>
      <w:r>
        <w:t>Compared</w:t>
      </w:r>
      <w:r w:rsidRPr="002813AD">
        <w:t xml:space="preserve"> to the regulatory baseline, the NRC would realize a net averted cost that ranges from $</w:t>
      </w:r>
      <w:r>
        <w:t>1.87</w:t>
      </w:r>
      <w:r w:rsidRPr="002813AD">
        <w:t> million using a 7</w:t>
      </w:r>
      <w:r>
        <w:noBreakHyphen/>
      </w:r>
      <w:r w:rsidRPr="002813AD">
        <w:t>percent discount rate to $</w:t>
      </w:r>
      <w:r>
        <w:t>2.12</w:t>
      </w:r>
      <w:r w:rsidRPr="002813AD">
        <w:t> million using a 3</w:t>
      </w:r>
      <w:r>
        <w:noBreakHyphen/>
      </w:r>
      <w:r w:rsidRPr="002813AD">
        <w:t xml:space="preserve">percent discount rate.  </w:t>
      </w:r>
      <w:r w:rsidRPr="002813AD">
        <w:fldChar w:fldCharType="begin"/>
      </w:r>
      <w:r w:rsidRPr="002813AD">
        <w:instrText xml:space="preserve"> REF _Ref453163184 \h  \* MERGEFORMAT </w:instrText>
      </w:r>
      <w:r w:rsidRPr="002813AD">
        <w:fldChar w:fldCharType="separate"/>
      </w:r>
      <w:r w:rsidR="00F05D99" w:rsidRPr="00F05D99">
        <w:t xml:space="preserve">Table </w:t>
      </w:r>
      <w:r w:rsidR="00F05D99" w:rsidRPr="00F05D99">
        <w:rPr>
          <w:noProof/>
        </w:rPr>
        <w:t>1</w:t>
      </w:r>
      <w:r w:rsidRPr="002813AD">
        <w:fldChar w:fldCharType="end"/>
      </w:r>
      <w:r w:rsidRPr="002813AD">
        <w:t xml:space="preserve"> shows the total costs and benefits to the industry and the NRC of proceeding with the </w:t>
      </w:r>
      <w:r>
        <w:t>final</w:t>
      </w:r>
      <w:r w:rsidRPr="002813AD">
        <w:t xml:space="preserve"> rule.  The </w:t>
      </w:r>
      <w:r>
        <w:t>final</w:t>
      </w:r>
      <w:r w:rsidRPr="002813AD">
        <w:t xml:space="preserve"> rule alternative would result in net averted costs to the industry and the NRC </w:t>
      </w:r>
      <w:r>
        <w:t xml:space="preserve">that </w:t>
      </w:r>
      <w:r w:rsidRPr="002813AD">
        <w:t>rang</w:t>
      </w:r>
      <w:r>
        <w:t>e</w:t>
      </w:r>
      <w:r w:rsidRPr="002813AD">
        <w:t xml:space="preserve"> from $</w:t>
      </w:r>
      <w:r>
        <w:t>6.3</w:t>
      </w:r>
      <w:r w:rsidR="00514704">
        <w:t>4</w:t>
      </w:r>
      <w:r w:rsidRPr="002813AD">
        <w:t> million using a 7</w:t>
      </w:r>
      <w:r>
        <w:noBreakHyphen/>
      </w:r>
      <w:r w:rsidRPr="002813AD">
        <w:t>percent discount rate to $</w:t>
      </w:r>
      <w:r>
        <w:t>7.</w:t>
      </w:r>
      <w:r w:rsidR="00514704">
        <w:t>20</w:t>
      </w:r>
      <w:r w:rsidRPr="002813AD">
        <w:t> million using a 3</w:t>
      </w:r>
      <w:r>
        <w:noBreakHyphen/>
      </w:r>
      <w:r w:rsidRPr="002813AD">
        <w:t>percent discount rate.</w:t>
      </w:r>
    </w:p>
    <w:p w14:paraId="28701B0D" w14:textId="77777777" w:rsidR="00D53E6F" w:rsidRPr="00915196" w:rsidRDefault="00D53E6F" w:rsidP="00D53E6F">
      <w:pPr>
        <w:pStyle w:val="ListParagraph"/>
        <w:spacing w:line="240" w:lineRule="auto"/>
        <w:rPr>
          <w:highlight w:val="yellow"/>
        </w:rPr>
      </w:pPr>
    </w:p>
    <w:p w14:paraId="6FCA7F29" w14:textId="09CAA0B5" w:rsidR="00D53E6F" w:rsidRPr="00C80453" w:rsidRDefault="00D53E6F" w:rsidP="00D53E6F">
      <w:pPr>
        <w:pStyle w:val="Caption"/>
        <w:spacing w:line="240" w:lineRule="auto"/>
        <w:ind w:left="1080" w:hanging="360"/>
        <w:jc w:val="center"/>
        <w:rPr>
          <w:b/>
        </w:rPr>
      </w:pPr>
      <w:bookmarkStart w:id="25" w:name="_Ref453163184"/>
      <w:bookmarkStart w:id="26" w:name="_Toc454442461"/>
      <w:bookmarkStart w:id="27" w:name="_Toc9428130"/>
      <w:r w:rsidRPr="00C80453">
        <w:rPr>
          <w:b/>
        </w:rPr>
        <w:t xml:space="preserve">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1</w:t>
      </w:r>
      <w:r w:rsidRPr="00C80453">
        <w:rPr>
          <w:b/>
          <w:noProof/>
        </w:rPr>
        <w:fldChar w:fldCharType="end"/>
      </w:r>
      <w:bookmarkEnd w:id="25"/>
      <w:r w:rsidRPr="00C80453">
        <w:rPr>
          <w:b/>
          <w:noProof/>
        </w:rPr>
        <w:t xml:space="preserve">  </w:t>
      </w:r>
      <w:r w:rsidRPr="00C80453">
        <w:rPr>
          <w:b/>
        </w:rPr>
        <w:t>Total Costs and Benefits for Alternative</w:t>
      </w:r>
      <w:bookmarkEnd w:id="26"/>
      <w:r w:rsidRPr="00C80453">
        <w:rPr>
          <w:b/>
        </w:rPr>
        <w:t> 2</w:t>
      </w:r>
      <w:bookmarkEnd w:id="27"/>
      <w:r w:rsidR="008C5138">
        <w:rPr>
          <w:b/>
        </w:rPr>
        <w:t>, The Final Rule</w:t>
      </w:r>
    </w:p>
    <w:p w14:paraId="467D4600" w14:textId="16F429C6" w:rsidR="00D53E6F" w:rsidRDefault="00514704" w:rsidP="00D53E6F">
      <w:pPr>
        <w:pStyle w:val="ListParagraph"/>
        <w:spacing w:line="240" w:lineRule="auto"/>
        <w:ind w:left="1440"/>
      </w:pPr>
      <w:r w:rsidRPr="00514704">
        <w:rPr>
          <w:noProof/>
        </w:rPr>
        <w:drawing>
          <wp:inline distT="0" distB="0" distL="0" distR="0" wp14:anchorId="4E6B2645" wp14:editId="67DCA6B4">
            <wp:extent cx="4602480" cy="285750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2480" cy="2857500"/>
                    </a:xfrm>
                    <a:prstGeom prst="rect">
                      <a:avLst/>
                    </a:prstGeom>
                    <a:noFill/>
                    <a:ln>
                      <a:noFill/>
                    </a:ln>
                  </pic:spPr>
                </pic:pic>
              </a:graphicData>
            </a:graphic>
          </wp:inline>
        </w:drawing>
      </w:r>
    </w:p>
    <w:p w14:paraId="4EF33C73" w14:textId="0476754C" w:rsidR="00D53E6F" w:rsidRDefault="000C35D8" w:rsidP="00D53E6F">
      <w:pPr>
        <w:pStyle w:val="ListParagraph"/>
        <w:spacing w:line="240" w:lineRule="auto"/>
        <w:ind w:left="1440"/>
        <w:rPr>
          <w:sz w:val="18"/>
          <w:szCs w:val="18"/>
        </w:rPr>
      </w:pPr>
      <w:r>
        <w:rPr>
          <w:sz w:val="18"/>
          <w:szCs w:val="18"/>
        </w:rPr>
        <w:t xml:space="preserve">Note:  </w:t>
      </w:r>
      <w:r w:rsidR="00D53E6F" w:rsidRPr="00A0305D">
        <w:rPr>
          <w:sz w:val="18"/>
          <w:szCs w:val="18"/>
        </w:rPr>
        <w:t xml:space="preserve">Totals may differ between tables </w:t>
      </w:r>
      <w:r w:rsidR="00D53E6F">
        <w:rPr>
          <w:sz w:val="18"/>
          <w:szCs w:val="18"/>
        </w:rPr>
        <w:t>because of</w:t>
      </w:r>
      <w:r w:rsidR="00D53E6F" w:rsidRPr="00A0305D">
        <w:rPr>
          <w:sz w:val="18"/>
          <w:szCs w:val="18"/>
        </w:rPr>
        <w:t xml:space="preserve"> rounding</w:t>
      </w:r>
      <w:r w:rsidR="00D53E6F">
        <w:rPr>
          <w:sz w:val="18"/>
          <w:szCs w:val="18"/>
        </w:rPr>
        <w:t>.</w:t>
      </w:r>
    </w:p>
    <w:p w14:paraId="6462E86F" w14:textId="77777777" w:rsidR="00D53E6F" w:rsidRPr="00A0305D" w:rsidRDefault="00D53E6F" w:rsidP="00D53E6F">
      <w:pPr>
        <w:pStyle w:val="ListParagraph"/>
        <w:spacing w:line="240" w:lineRule="auto"/>
        <w:rPr>
          <w:sz w:val="18"/>
          <w:szCs w:val="18"/>
        </w:rPr>
      </w:pPr>
    </w:p>
    <w:p w14:paraId="417BD04D" w14:textId="77777777" w:rsidR="00D53E6F" w:rsidRDefault="00D53E6F" w:rsidP="00D53E6F">
      <w:pPr>
        <w:pStyle w:val="ListParagraph"/>
        <w:numPr>
          <w:ilvl w:val="0"/>
          <w:numId w:val="5"/>
        </w:numPr>
        <w:spacing w:line="240" w:lineRule="auto"/>
        <w:ind w:hanging="720"/>
      </w:pPr>
      <w:r w:rsidRPr="00C80453">
        <w:rPr>
          <w:u w:val="single"/>
        </w:rPr>
        <w:t>Nonquantified Benefits</w:t>
      </w:r>
      <w:r>
        <w:t xml:space="preserve">.  Other benefits of the final rule include the NRC’s continued ability to meet its </w:t>
      </w:r>
      <w:r w:rsidRPr="00BD3549">
        <w:t xml:space="preserve">goal of ensuring the protection of public health and safety and the environment through the approval of new </w:t>
      </w:r>
      <w:r>
        <w:t xml:space="preserve">editions of the </w:t>
      </w:r>
      <w:r w:rsidRPr="00BD3549">
        <w:t xml:space="preserve">ASME </w:t>
      </w:r>
      <w:r>
        <w:t>Boiler and Pressure Vessel Code and ASME Operation and Maintenance Code,</w:t>
      </w:r>
      <w:r w:rsidRPr="00BD3549">
        <w:t xml:space="preserve"> </w:t>
      </w:r>
      <w:r>
        <w:t>which</w:t>
      </w:r>
      <w:r w:rsidRPr="00BD3549">
        <w:t xml:space="preserve"> allow the use of the most current method</w:t>
      </w:r>
      <w:r>
        <w:t xml:space="preserve">s and technology.  </w:t>
      </w:r>
      <w:r w:rsidRPr="005E7100">
        <w:t xml:space="preserve">The </w:t>
      </w:r>
      <w:r>
        <w:t xml:space="preserve">final </w:t>
      </w:r>
      <w:r w:rsidRPr="005E7100">
        <w:t xml:space="preserve">rule is consistent with the provisions of the </w:t>
      </w:r>
      <w:r w:rsidRPr="00AF5FA7">
        <w:t>National Technology Transfer and Advancement Act of 1995</w:t>
      </w:r>
      <w:r w:rsidRPr="005E7100">
        <w:t xml:space="preserve"> and implementing guidance in U.S.</w:t>
      </w:r>
      <w:r>
        <w:t> </w:t>
      </w:r>
      <w:r w:rsidRPr="005E7100">
        <w:t>Office of Management and Budget Circular</w:t>
      </w:r>
      <w:r>
        <w:t> </w:t>
      </w:r>
      <w:r w:rsidRPr="005E7100">
        <w:t>A</w:t>
      </w:r>
      <w:r>
        <w:noBreakHyphen/>
      </w:r>
      <w:r w:rsidRPr="005E7100">
        <w:t xml:space="preserve">119, </w:t>
      </w:r>
      <w:r w:rsidRPr="001E4F06">
        <w:t>“Federal Participation in the Development and Use of Voluntary Consensus Standards and in Conformity Assessment Activities,</w:t>
      </w:r>
      <w:r>
        <w:t>”</w:t>
      </w:r>
      <w:r w:rsidRPr="001E4F06">
        <w:t xml:space="preserve"> </w:t>
      </w:r>
      <w:r>
        <w:t xml:space="preserve">dated January 27, 2016, </w:t>
      </w:r>
      <w:r w:rsidRPr="005E7100">
        <w:t xml:space="preserve">which encourage Federal regulatory agencies to consider adopting voluntary consensus standards as an alternative to </w:t>
      </w:r>
      <w:r w:rsidRPr="004E122F">
        <w:rPr>
          <w:i/>
        </w:rPr>
        <w:t>de novo</w:t>
      </w:r>
      <w:r w:rsidRPr="005E7100">
        <w:rPr>
          <w:i/>
        </w:rPr>
        <w:t xml:space="preserve"> </w:t>
      </w:r>
      <w:r w:rsidRPr="005E7100">
        <w:t>agency development of standards affecting an industry.</w:t>
      </w:r>
      <w:r>
        <w:t xml:space="preserve">  Finally</w:t>
      </w:r>
      <w:r w:rsidRPr="00A0396B">
        <w:t xml:space="preserve">, the </w:t>
      </w:r>
      <w:r>
        <w:t>ASME Code</w:t>
      </w:r>
      <w:r w:rsidRPr="00A0396B">
        <w:t xml:space="preserve"> consensus process is an important part of the regulatory framewor</w:t>
      </w:r>
      <w:r>
        <w:t>k.</w:t>
      </w:r>
    </w:p>
    <w:p w14:paraId="45F2FBFB" w14:textId="77777777" w:rsidR="00D53E6F" w:rsidRDefault="00D53E6F" w:rsidP="00D53E6F">
      <w:pPr>
        <w:pStyle w:val="ListParagraph"/>
        <w:spacing w:line="240" w:lineRule="auto"/>
      </w:pPr>
    </w:p>
    <w:p w14:paraId="15B99624" w14:textId="5B8EC89D" w:rsidR="00D53E6F" w:rsidRPr="002813AD" w:rsidRDefault="00D53E6F" w:rsidP="00D53E6F">
      <w:pPr>
        <w:pStyle w:val="ListParagraph"/>
        <w:numPr>
          <w:ilvl w:val="0"/>
          <w:numId w:val="7"/>
        </w:numPr>
        <w:spacing w:line="240" w:lineRule="auto"/>
        <w:ind w:hanging="720"/>
      </w:pPr>
      <w:r w:rsidRPr="00C80453">
        <w:rPr>
          <w:u w:val="single"/>
        </w:rPr>
        <w:t>Uncertainty Analysis</w:t>
      </w:r>
      <w:r w:rsidRPr="002813AD">
        <w:t xml:space="preserve">.  The regulatory analysis contains a simulation analysis that shows </w:t>
      </w:r>
      <w:r>
        <w:t xml:space="preserve">that </w:t>
      </w:r>
      <w:r w:rsidRPr="002813AD">
        <w:t xml:space="preserve">the estimated mean benefit for this </w:t>
      </w:r>
      <w:r>
        <w:t>final</w:t>
      </w:r>
      <w:r w:rsidRPr="002813AD">
        <w:t xml:space="preserve"> rule is $</w:t>
      </w:r>
      <w:r>
        <w:t>6.3</w:t>
      </w:r>
      <w:r w:rsidR="00514704">
        <w:t>4</w:t>
      </w:r>
      <w:r w:rsidRPr="002813AD">
        <w:t xml:space="preserve"> million with </w:t>
      </w:r>
      <w:r>
        <w:t>greater than 99</w:t>
      </w:r>
      <w:r>
        <w:noBreakHyphen/>
      </w:r>
      <w:r w:rsidRPr="002813AD">
        <w:t xml:space="preserve">percent confidence that the total net benefit is </w:t>
      </w:r>
      <w:r>
        <w:t>greater than $1.9</w:t>
      </w:r>
      <w:r w:rsidR="00514704">
        <w:t>8</w:t>
      </w:r>
      <w:r>
        <w:t> </w:t>
      </w:r>
      <w:r w:rsidRPr="002813AD">
        <w:t>million using a 7</w:t>
      </w:r>
      <w:r>
        <w:noBreakHyphen/>
      </w:r>
      <w:r w:rsidRPr="002813AD">
        <w:t xml:space="preserve">percent discount rate.  A reasonable inference from the uncertainty analysis is that proceeding with the </w:t>
      </w:r>
      <w:r>
        <w:t>final</w:t>
      </w:r>
      <w:r w:rsidRPr="002813AD">
        <w:t xml:space="preserve"> rule represents an efficient use of resources and averted costs to the NRC and the industry.  The factor </w:t>
      </w:r>
      <w:r>
        <w:t xml:space="preserve">that is </w:t>
      </w:r>
      <w:r w:rsidRPr="002813AD">
        <w:t>responsible for the largest variation in averted costs</w:t>
      </w:r>
      <w:r>
        <w:t xml:space="preserve"> is the hours for </w:t>
      </w:r>
      <w:r w:rsidRPr="002813AD">
        <w:t>relief request preparation and submission by industry.</w:t>
      </w:r>
    </w:p>
    <w:p w14:paraId="0BC1A146" w14:textId="77777777" w:rsidR="00D53E6F" w:rsidRDefault="00D53E6F" w:rsidP="00D53E6F">
      <w:pPr>
        <w:pStyle w:val="ListParagraph"/>
        <w:spacing w:line="240" w:lineRule="auto"/>
        <w:ind w:hanging="720"/>
      </w:pPr>
    </w:p>
    <w:p w14:paraId="1E54A4C4" w14:textId="3849072D" w:rsidR="00D53E6F" w:rsidRPr="009C50B8" w:rsidRDefault="00D53E6F" w:rsidP="00D53E6F">
      <w:pPr>
        <w:pStyle w:val="ListParagraph"/>
        <w:keepNext/>
        <w:keepLines/>
        <w:numPr>
          <w:ilvl w:val="0"/>
          <w:numId w:val="7"/>
        </w:numPr>
        <w:spacing w:line="240" w:lineRule="auto"/>
        <w:ind w:hanging="720"/>
      </w:pPr>
      <w:r w:rsidRPr="00C80453">
        <w:rPr>
          <w:u w:val="single"/>
        </w:rPr>
        <w:t>Decision Rationale</w:t>
      </w:r>
      <w:r>
        <w:t>.  When comparing the final rule to the no</w:t>
      </w:r>
      <w:r>
        <w:noBreakHyphen/>
        <w:t xml:space="preserve">action baseline, the </w:t>
      </w:r>
      <w:r w:rsidR="00433120">
        <w:t xml:space="preserve">NRC </w:t>
      </w:r>
      <w:r>
        <w:t xml:space="preserve">concludes that the final rule is justified from a quantitative standpoint because its provisions would result in millions of dollars of net averted costs (i.e., net benefits) to the NRC and the industry.  In addition, the </w:t>
      </w:r>
      <w:r w:rsidR="00433120">
        <w:t xml:space="preserve">NRC </w:t>
      </w:r>
      <w:r>
        <w:t>concludes that the final rule is also justified when considering nonquantified costs and benefits because the significance of the nonquantified benefits outweighs those of the nonquantified costs.</w:t>
      </w:r>
    </w:p>
    <w:p w14:paraId="3041BEBB" w14:textId="77777777" w:rsidR="00D53E6F" w:rsidRPr="009C50B8" w:rsidRDefault="00D53E6F" w:rsidP="00D53E6F">
      <w:pPr>
        <w:spacing w:line="240" w:lineRule="auto"/>
        <w:sectPr w:rsidR="00D53E6F" w:rsidRPr="009C50B8" w:rsidSect="003F4BB0">
          <w:pgSz w:w="12240" w:h="15840"/>
          <w:pgMar w:top="1440" w:right="1440" w:bottom="1440" w:left="1440" w:header="720" w:footer="720" w:gutter="0"/>
          <w:pgNumType w:fmt="lowerRoman"/>
          <w:cols w:space="720"/>
          <w:docGrid w:linePitch="360"/>
        </w:sectPr>
      </w:pPr>
    </w:p>
    <w:p w14:paraId="653EE95E" w14:textId="77777777" w:rsidR="00D53E6F" w:rsidRPr="009A5D4A" w:rsidRDefault="00D53E6F" w:rsidP="00D53E6F">
      <w:pPr>
        <w:pStyle w:val="Heading1"/>
        <w:numPr>
          <w:ilvl w:val="0"/>
          <w:numId w:val="10"/>
        </w:numPr>
        <w:spacing w:line="240" w:lineRule="auto"/>
        <w:ind w:left="360"/>
      </w:pPr>
      <w:bookmarkStart w:id="28" w:name="_Toc456098205"/>
      <w:bookmarkStart w:id="29" w:name="_Toc12808765"/>
      <w:r w:rsidRPr="009A5D4A">
        <w:t>Introduction</w:t>
      </w:r>
      <w:bookmarkEnd w:id="28"/>
      <w:bookmarkEnd w:id="29"/>
    </w:p>
    <w:p w14:paraId="398BA865" w14:textId="77777777" w:rsidR="00D53E6F" w:rsidRPr="00461295" w:rsidRDefault="00D53E6F" w:rsidP="00D53E6F">
      <w:pPr>
        <w:spacing w:line="240" w:lineRule="auto"/>
      </w:pPr>
    </w:p>
    <w:p w14:paraId="3DC7FE16" w14:textId="7B7042C6" w:rsidR="00D53E6F" w:rsidRPr="00BD3549" w:rsidRDefault="00D53E6F" w:rsidP="00D53E6F">
      <w:pPr>
        <w:spacing w:line="240" w:lineRule="auto"/>
      </w:pPr>
      <w:r w:rsidRPr="00461295">
        <w:t xml:space="preserve">This document presents the regulatory analysis </w:t>
      </w:r>
      <w:r>
        <w:t xml:space="preserve">of the final rule </w:t>
      </w:r>
      <w:r w:rsidRPr="00461295">
        <w:t xml:space="preserve">for the </w:t>
      </w:r>
      <w:r>
        <w:t>American Society of Mechanical Engineers (ASME) Code Cases</w:t>
      </w:r>
      <w:r w:rsidRPr="00284B4B">
        <w:t xml:space="preserve"> (Agencywide Documents Access</w:t>
      </w:r>
      <w:r w:rsidRPr="00BD3549">
        <w:t xml:space="preserve"> and Management System (ADAMS) Accession </w:t>
      </w:r>
      <w:r>
        <w:t>No. </w:t>
      </w:r>
      <w:r w:rsidRPr="003109CF">
        <w:t>ML</w:t>
      </w:r>
      <w:r>
        <w:t>1</w:t>
      </w:r>
      <w:r w:rsidR="004D2540">
        <w:t>9156A147</w:t>
      </w:r>
      <w:r>
        <w:t xml:space="preserve"> (package)</w:t>
      </w:r>
      <w:r w:rsidRPr="00BD3549">
        <w:t xml:space="preserve">) and the </w:t>
      </w:r>
      <w:r>
        <w:t xml:space="preserve">following </w:t>
      </w:r>
      <w:r w:rsidRPr="00BD3549">
        <w:t xml:space="preserve">three associated </w:t>
      </w:r>
      <w:r>
        <w:t xml:space="preserve">regulatory </w:t>
      </w:r>
      <w:r w:rsidRPr="00BD3549">
        <w:t>guides</w:t>
      </w:r>
      <w:r>
        <w:t xml:space="preserve"> (RGs) from the</w:t>
      </w:r>
      <w:r w:rsidRPr="00CA17CD">
        <w:t xml:space="preserve"> </w:t>
      </w:r>
      <w:r>
        <w:t>U.S. Nuclear Regulatory Commission (</w:t>
      </w:r>
      <w:r w:rsidRPr="00BD3549">
        <w:t>NRC</w:t>
      </w:r>
      <w:r>
        <w:t>), to be issued with the final rule:</w:t>
      </w:r>
    </w:p>
    <w:p w14:paraId="3C6B7233" w14:textId="77777777" w:rsidR="00D53E6F" w:rsidRPr="00BD3549" w:rsidRDefault="00D53E6F" w:rsidP="00D53E6F">
      <w:pPr>
        <w:spacing w:line="240" w:lineRule="auto"/>
      </w:pPr>
    </w:p>
    <w:p w14:paraId="0108F110" w14:textId="77777777" w:rsidR="00D53E6F" w:rsidRPr="00E568B7" w:rsidRDefault="00D53E6F" w:rsidP="00D53E6F">
      <w:pPr>
        <w:pStyle w:val="ListParagraph"/>
        <w:numPr>
          <w:ilvl w:val="0"/>
          <w:numId w:val="1"/>
        </w:numPr>
        <w:spacing w:line="240" w:lineRule="auto"/>
        <w:ind w:left="720" w:hanging="720"/>
      </w:pPr>
      <w:bookmarkStart w:id="30" w:name="_Hlk7587331"/>
      <w:r w:rsidRPr="00E568B7">
        <w:t>RG 1.84</w:t>
      </w:r>
      <w:bookmarkEnd w:id="30"/>
      <w:r>
        <w:t xml:space="preserve">, </w:t>
      </w:r>
      <w:r w:rsidRPr="00E568B7">
        <w:t>“Design, Fabrication, and Materials Code Case Acceptability, ASME Section III</w:t>
      </w:r>
      <w:r>
        <w:t>,</w:t>
      </w:r>
      <w:r w:rsidRPr="00E568B7">
        <w:t>”</w:t>
      </w:r>
      <w:r>
        <w:t xml:space="preserve"> Revision 38</w:t>
      </w:r>
      <w:r w:rsidRPr="00E568B7">
        <w:t xml:space="preserve"> </w:t>
      </w:r>
      <w:r>
        <w:t>(ADAMS Accession No.</w:t>
      </w:r>
      <w:r w:rsidRPr="00322632">
        <w:t xml:space="preserve"> ML19128A276</w:t>
      </w:r>
      <w:r>
        <w:t>)</w:t>
      </w:r>
    </w:p>
    <w:p w14:paraId="4F14A0D1" w14:textId="77777777" w:rsidR="00D53E6F" w:rsidRPr="00E568B7" w:rsidRDefault="00D53E6F" w:rsidP="00D53E6F">
      <w:pPr>
        <w:pStyle w:val="ListParagraph"/>
        <w:spacing w:line="240" w:lineRule="auto"/>
        <w:ind w:left="0" w:hanging="720"/>
      </w:pPr>
    </w:p>
    <w:p w14:paraId="656A5FFF" w14:textId="77777777" w:rsidR="00D53E6F" w:rsidRPr="00E568B7" w:rsidRDefault="00D53E6F" w:rsidP="00D53E6F">
      <w:pPr>
        <w:pStyle w:val="ListParagraph"/>
        <w:numPr>
          <w:ilvl w:val="0"/>
          <w:numId w:val="1"/>
        </w:numPr>
        <w:spacing w:line="240" w:lineRule="auto"/>
        <w:ind w:left="720" w:hanging="720"/>
      </w:pPr>
      <w:bookmarkStart w:id="31" w:name="_Hlk7587337"/>
      <w:r w:rsidRPr="00E568B7">
        <w:t>RG 1.147</w:t>
      </w:r>
      <w:bookmarkEnd w:id="31"/>
      <w:r w:rsidRPr="00E568B7">
        <w:t>, “Inservice Inspection Code Case Acceptability, ASME Section XI, Division 1</w:t>
      </w:r>
      <w:r>
        <w:t>,</w:t>
      </w:r>
      <w:r w:rsidRPr="00E568B7">
        <w:t>”</w:t>
      </w:r>
      <w:r>
        <w:t xml:space="preserve"> Revision 19</w:t>
      </w:r>
      <w:r w:rsidRPr="00E568B7">
        <w:t xml:space="preserve"> (ADAMS Accession No. </w:t>
      </w:r>
      <w:r w:rsidRPr="00322632">
        <w:t>ML19128A244</w:t>
      </w:r>
      <w:r w:rsidRPr="00E568B7">
        <w:t>)</w:t>
      </w:r>
    </w:p>
    <w:p w14:paraId="3CF1986C" w14:textId="77777777" w:rsidR="00D53E6F" w:rsidRPr="00E568B7" w:rsidRDefault="00D53E6F" w:rsidP="00D53E6F">
      <w:pPr>
        <w:pStyle w:val="ListParagraph"/>
        <w:spacing w:line="240" w:lineRule="auto"/>
        <w:ind w:left="0" w:hanging="720"/>
      </w:pPr>
    </w:p>
    <w:p w14:paraId="1B713876" w14:textId="77777777" w:rsidR="00D53E6F" w:rsidRPr="00E568B7" w:rsidRDefault="00D53E6F" w:rsidP="00D53E6F">
      <w:pPr>
        <w:pStyle w:val="ListParagraph"/>
        <w:numPr>
          <w:ilvl w:val="0"/>
          <w:numId w:val="1"/>
        </w:numPr>
        <w:spacing w:line="240" w:lineRule="auto"/>
        <w:ind w:left="720" w:hanging="720"/>
      </w:pPr>
      <w:bookmarkStart w:id="32" w:name="_Hlk7587342"/>
      <w:r w:rsidRPr="00E568B7">
        <w:t>RG 1.192</w:t>
      </w:r>
      <w:bookmarkEnd w:id="32"/>
      <w:r w:rsidRPr="00E568B7">
        <w:t>, “Operation and Maintenance Code</w:t>
      </w:r>
      <w:r>
        <w:t xml:space="preserve"> Case</w:t>
      </w:r>
      <w:r w:rsidRPr="00E568B7">
        <w:t xml:space="preserve"> Acceptability, ASME OM Code</w:t>
      </w:r>
      <w:r>
        <w:t>,</w:t>
      </w:r>
      <w:r w:rsidRPr="00E568B7">
        <w:t>”</w:t>
      </w:r>
      <w:r>
        <w:t xml:space="preserve"> Revision 3</w:t>
      </w:r>
      <w:r w:rsidRPr="00E568B7">
        <w:t xml:space="preserve"> (ADAMS Accession No. </w:t>
      </w:r>
      <w:r w:rsidRPr="00322632">
        <w:t>ML19128A261</w:t>
      </w:r>
      <w:r w:rsidRPr="00E568B7">
        <w:t>)</w:t>
      </w:r>
    </w:p>
    <w:p w14:paraId="618FB672" w14:textId="77777777" w:rsidR="00D53E6F" w:rsidRPr="00BD3549" w:rsidRDefault="00D53E6F" w:rsidP="00D53E6F">
      <w:pPr>
        <w:spacing w:line="240" w:lineRule="auto"/>
      </w:pPr>
    </w:p>
    <w:p w14:paraId="61571A5D" w14:textId="77777777" w:rsidR="00D53E6F" w:rsidRDefault="00D53E6F" w:rsidP="00D53E6F">
      <w:pPr>
        <w:spacing w:line="240" w:lineRule="auto"/>
      </w:pPr>
      <w:r>
        <w:t xml:space="preserve">The </w:t>
      </w:r>
      <w:r w:rsidRPr="00BD3549">
        <w:t xml:space="preserve">regulatory action </w:t>
      </w:r>
      <w:r>
        <w:t>will incorporate</w:t>
      </w:r>
      <w:r w:rsidRPr="00BD3549">
        <w:t xml:space="preserve"> by reference the latest revisions </w:t>
      </w:r>
      <w:r>
        <w:t>to</w:t>
      </w:r>
      <w:r w:rsidRPr="00BD3549">
        <w:t xml:space="preserve"> </w:t>
      </w:r>
      <w:r>
        <w:t xml:space="preserve">the </w:t>
      </w:r>
      <w:r w:rsidRPr="00BD3549">
        <w:t xml:space="preserve">three </w:t>
      </w:r>
      <w:r>
        <w:t>RG</w:t>
      </w:r>
      <w:r w:rsidRPr="00BD3549">
        <w:t>s</w:t>
      </w:r>
      <w:r>
        <w:t xml:space="preserve"> listed above so that the NRC approves the newly identified ASME Code Cases as alternatives for use to the ASME Boiler and Pressure Vessel Code (ASME BPV Code) and ASME Operations and Maintenance Code (ASME OM Code) editions and addenda</w:t>
      </w:r>
      <w:r w:rsidRPr="00BD3549">
        <w:t>.</w:t>
      </w:r>
    </w:p>
    <w:p w14:paraId="659B51A7" w14:textId="77777777" w:rsidR="00D53E6F" w:rsidRPr="00BD3549" w:rsidRDefault="00D53E6F" w:rsidP="00D53E6F">
      <w:pPr>
        <w:spacing w:line="240" w:lineRule="auto"/>
      </w:pPr>
    </w:p>
    <w:p w14:paraId="129854C7" w14:textId="77777777" w:rsidR="00D53E6F" w:rsidRPr="000B111E" w:rsidRDefault="00D53E6F" w:rsidP="00D53E6F">
      <w:pPr>
        <w:pStyle w:val="Heading1"/>
        <w:numPr>
          <w:ilvl w:val="0"/>
          <w:numId w:val="10"/>
        </w:numPr>
        <w:spacing w:before="0" w:line="240" w:lineRule="auto"/>
        <w:ind w:left="360"/>
      </w:pPr>
      <w:bookmarkStart w:id="33" w:name="_Toc456098206"/>
      <w:bookmarkStart w:id="34" w:name="_Toc457827219"/>
      <w:bookmarkStart w:id="35" w:name="_Toc12808766"/>
      <w:r w:rsidRPr="000B111E">
        <w:t>Statement of the Problem and Objective</w:t>
      </w:r>
      <w:bookmarkEnd w:id="33"/>
      <w:bookmarkEnd w:id="34"/>
      <w:bookmarkEnd w:id="35"/>
    </w:p>
    <w:p w14:paraId="78F9195A" w14:textId="77777777" w:rsidR="00D53E6F" w:rsidRPr="0079252B" w:rsidRDefault="00D53E6F" w:rsidP="00D53E6F">
      <w:pPr>
        <w:spacing w:line="240" w:lineRule="auto"/>
      </w:pPr>
    </w:p>
    <w:p w14:paraId="074E8158" w14:textId="77777777" w:rsidR="00D53E6F" w:rsidRPr="009A5D4A" w:rsidRDefault="00D53E6F" w:rsidP="00D53E6F">
      <w:pPr>
        <w:pStyle w:val="Heading2"/>
        <w:tabs>
          <w:tab w:val="left" w:pos="540"/>
        </w:tabs>
        <w:spacing w:line="240" w:lineRule="auto"/>
      </w:pPr>
      <w:bookmarkStart w:id="36" w:name="_Toc456098207"/>
      <w:bookmarkStart w:id="37" w:name="_Toc12808767"/>
      <w:r>
        <w:t>2.1</w:t>
      </w:r>
      <w:r>
        <w:tab/>
      </w:r>
      <w:bookmarkStart w:id="38" w:name="_Toc457827220"/>
      <w:r w:rsidRPr="009A5D4A">
        <w:t>Background</w:t>
      </w:r>
      <w:bookmarkEnd w:id="36"/>
      <w:bookmarkEnd w:id="37"/>
      <w:bookmarkEnd w:id="38"/>
    </w:p>
    <w:p w14:paraId="69C4B2F5" w14:textId="77777777" w:rsidR="00D53E6F" w:rsidRPr="003317FF" w:rsidRDefault="00D53E6F" w:rsidP="00D53E6F">
      <w:pPr>
        <w:keepNext/>
        <w:spacing w:line="240" w:lineRule="auto"/>
      </w:pPr>
    </w:p>
    <w:p w14:paraId="3A123E5E" w14:textId="77777777" w:rsidR="00D53E6F" w:rsidRPr="003317FF" w:rsidRDefault="00D53E6F" w:rsidP="00D53E6F">
      <w:pPr>
        <w:spacing w:line="240" w:lineRule="auto"/>
      </w:pPr>
      <w:r w:rsidRPr="003317FF">
        <w:t>The general design criteria (GDC) for nuclear power plants in Appendix</w:t>
      </w:r>
      <w:r>
        <w:t> </w:t>
      </w:r>
      <w:r w:rsidRPr="003317FF">
        <w:t xml:space="preserve">A, </w:t>
      </w:r>
      <w:r>
        <w:t>“</w:t>
      </w:r>
      <w:r w:rsidRPr="003317FF">
        <w:t>General Design Criteria for Nuclear Power Plants,</w:t>
      </w:r>
      <w:r>
        <w:t>”</w:t>
      </w:r>
      <w:r w:rsidRPr="003317FF">
        <w:t xml:space="preserve"> to </w:t>
      </w:r>
      <w:r w:rsidRPr="00CE4772">
        <w:t>Title</w:t>
      </w:r>
      <w:r>
        <w:t xml:space="preserve"> 10 of the </w:t>
      </w:r>
      <w:r w:rsidRPr="000D3115">
        <w:rPr>
          <w:i/>
        </w:rPr>
        <w:t>Code of Federal Regulations</w:t>
      </w:r>
      <w:r>
        <w:t xml:space="preserve"> (</w:t>
      </w:r>
      <w:r w:rsidRPr="00CE4772">
        <w:t>10</w:t>
      </w:r>
      <w:r>
        <w:t> CFR) </w:t>
      </w:r>
      <w:r w:rsidRPr="003317FF">
        <w:t>Part</w:t>
      </w:r>
      <w:r>
        <w:t> </w:t>
      </w:r>
      <w:r w:rsidRPr="003317FF">
        <w:t>50</w:t>
      </w:r>
      <w:r>
        <w:t>, “Domestic Licensing of Production and Utilization Facilities,”</w:t>
      </w:r>
      <w:r w:rsidRPr="003317FF">
        <w:t xml:space="preserve"> or, as appropriate, similar requirements in the licensing basis for a reactor facility provide </w:t>
      </w:r>
      <w:r>
        <w:t xml:space="preserve">the </w:t>
      </w:r>
      <w:r w:rsidRPr="003317FF">
        <w:t xml:space="preserve">bases and requirements for </w:t>
      </w:r>
      <w:r>
        <w:t xml:space="preserve">the </w:t>
      </w:r>
      <w:r w:rsidRPr="003317FF">
        <w:t>NRC</w:t>
      </w:r>
      <w:r>
        <w:t>’s</w:t>
      </w:r>
      <w:r w:rsidRPr="003317FF">
        <w:t xml:space="preserve"> assessment of the use of generally recognized codes and standards and the potential for, and consequences of, degradation of the reactor coolant pressure boundary.  The applicable GDC include GDC</w:t>
      </w:r>
      <w:r>
        <w:t> </w:t>
      </w:r>
      <w:r w:rsidRPr="003317FF">
        <w:t xml:space="preserve">1, </w:t>
      </w:r>
      <w:r>
        <w:t>“</w:t>
      </w:r>
      <w:r w:rsidRPr="003317FF">
        <w:t xml:space="preserve">Quality </w:t>
      </w:r>
      <w:r>
        <w:t>S</w:t>
      </w:r>
      <w:r w:rsidRPr="003317FF">
        <w:t xml:space="preserve">tandards and </w:t>
      </w:r>
      <w:r>
        <w:t>R</w:t>
      </w:r>
      <w:r w:rsidRPr="003317FF">
        <w:t>ecords</w:t>
      </w:r>
      <w:r>
        <w:t>”;</w:t>
      </w:r>
      <w:r w:rsidRPr="003317FF">
        <w:t xml:space="preserve"> GDC</w:t>
      </w:r>
      <w:r>
        <w:t> 1</w:t>
      </w:r>
      <w:r w:rsidRPr="003317FF">
        <w:t xml:space="preserve">4, </w:t>
      </w:r>
      <w:r>
        <w:t>“Reactor Coolant Pressure Boundary”;</w:t>
      </w:r>
      <w:r w:rsidRPr="003317FF">
        <w:t xml:space="preserve"> and GDC</w:t>
      </w:r>
      <w:r>
        <w:t> </w:t>
      </w:r>
      <w:r w:rsidRPr="003317FF">
        <w:t xml:space="preserve">32, </w:t>
      </w:r>
      <w:r>
        <w:t>“</w:t>
      </w:r>
      <w:r w:rsidRPr="003317FF">
        <w:t xml:space="preserve">Inspection of </w:t>
      </w:r>
      <w:r>
        <w:t>R</w:t>
      </w:r>
      <w:r w:rsidRPr="003317FF">
        <w:t xml:space="preserve">eactor </w:t>
      </w:r>
      <w:r>
        <w:t>C</w:t>
      </w:r>
      <w:r w:rsidRPr="003317FF">
        <w:t xml:space="preserve">oolant </w:t>
      </w:r>
      <w:r>
        <w:t>P</w:t>
      </w:r>
      <w:r w:rsidRPr="003317FF">
        <w:t xml:space="preserve">ressure </w:t>
      </w:r>
      <w:r>
        <w:t>B</w:t>
      </w:r>
      <w:r w:rsidRPr="003317FF">
        <w:t>oundary.</w:t>
      </w:r>
      <w:r>
        <w:t>”</w:t>
      </w:r>
    </w:p>
    <w:p w14:paraId="68EF5C0F" w14:textId="77777777" w:rsidR="00D53E6F" w:rsidRPr="003317FF" w:rsidRDefault="00D53E6F" w:rsidP="00D53E6F">
      <w:pPr>
        <w:spacing w:line="240" w:lineRule="auto"/>
      </w:pPr>
    </w:p>
    <w:p w14:paraId="41ABA954" w14:textId="77777777" w:rsidR="00D53E6F" w:rsidRDefault="00D53E6F" w:rsidP="00D53E6F">
      <w:pPr>
        <w:keepNext/>
        <w:spacing w:line="240" w:lineRule="auto"/>
      </w:pPr>
      <w:r w:rsidRPr="003317FF">
        <w:t>GDC</w:t>
      </w:r>
      <w:r>
        <w:t> </w:t>
      </w:r>
      <w:r w:rsidRPr="003317FF">
        <w:t>1 requires, in part, th</w:t>
      </w:r>
      <w:r>
        <w:t>e following:</w:t>
      </w:r>
    </w:p>
    <w:p w14:paraId="718BDB59" w14:textId="77777777" w:rsidR="00D53E6F" w:rsidRDefault="00D53E6F" w:rsidP="00D53E6F">
      <w:pPr>
        <w:keepNext/>
        <w:spacing w:line="240" w:lineRule="auto"/>
      </w:pPr>
    </w:p>
    <w:p w14:paraId="1D6ACB63" w14:textId="77777777" w:rsidR="00D53E6F" w:rsidRDefault="00D53E6F" w:rsidP="00D53E6F">
      <w:pPr>
        <w:spacing w:line="240" w:lineRule="auto"/>
        <w:ind w:left="720" w:right="720"/>
      </w:pPr>
      <w:r>
        <w:t>S</w:t>
      </w:r>
      <w:r w:rsidRPr="003317FF">
        <w:t xml:space="preserve">tructures, systems, and components important to safety </w:t>
      </w:r>
      <w:r>
        <w:t xml:space="preserve">shall </w:t>
      </w:r>
      <w:r w:rsidRPr="003317FF">
        <w:t>be designed, fabricated, erected, and tested to quality standards commensurate with the importance of the safety function</w:t>
      </w:r>
      <w:r>
        <w:t>s</w:t>
      </w:r>
      <w:r w:rsidRPr="003317FF">
        <w:t xml:space="preserve"> to be performed.  Where generally recognized codes and standards are used, they </w:t>
      </w:r>
      <w:r>
        <w:t xml:space="preserve">shall </w:t>
      </w:r>
      <w:r w:rsidRPr="003317FF">
        <w:t xml:space="preserve">be identified and evaluated to determine their applicability, adequacy, and sufficiency and </w:t>
      </w:r>
      <w:r>
        <w:t xml:space="preserve">shall </w:t>
      </w:r>
      <w:r w:rsidRPr="003317FF">
        <w:t xml:space="preserve">be supplemented or modified as necessary to </w:t>
      </w:r>
      <w:r>
        <w:t>as</w:t>
      </w:r>
      <w:r w:rsidRPr="003317FF">
        <w:t>sure a quality product in keeping with the required safety function.</w:t>
      </w:r>
    </w:p>
    <w:p w14:paraId="250957BA" w14:textId="77777777" w:rsidR="00D53E6F" w:rsidRDefault="00D53E6F" w:rsidP="00D53E6F">
      <w:pPr>
        <w:spacing w:line="240" w:lineRule="auto"/>
      </w:pPr>
    </w:p>
    <w:p w14:paraId="72774E56" w14:textId="77777777" w:rsidR="00D53E6F" w:rsidRDefault="00D53E6F" w:rsidP="00D53E6F">
      <w:pPr>
        <w:keepNext/>
        <w:spacing w:line="240" w:lineRule="auto"/>
      </w:pPr>
      <w:r>
        <w:t>GDC 14 establishes the following:</w:t>
      </w:r>
    </w:p>
    <w:p w14:paraId="66053C4A" w14:textId="77777777" w:rsidR="00D53E6F" w:rsidRDefault="00D53E6F" w:rsidP="00D53E6F">
      <w:pPr>
        <w:keepNext/>
        <w:spacing w:line="240" w:lineRule="auto"/>
      </w:pPr>
    </w:p>
    <w:p w14:paraId="71E6D73E" w14:textId="77777777" w:rsidR="00D53E6F" w:rsidRDefault="00D53E6F" w:rsidP="00D53E6F">
      <w:pPr>
        <w:spacing w:after="220" w:line="240" w:lineRule="auto"/>
        <w:ind w:left="720" w:right="720"/>
      </w:pPr>
      <w:r>
        <w:t>T</w:t>
      </w:r>
      <w:r w:rsidRPr="004254A5">
        <w:t>he reactor coolant pressure boundary shall be designed, fabricated, erected</w:t>
      </w:r>
      <w:r>
        <w:t>,</w:t>
      </w:r>
      <w:r w:rsidRPr="004254A5">
        <w:t xml:space="preserve"> and tested so as to have an extremely low probability of abnormal leakage, of rapidly propagating failure</w:t>
      </w:r>
      <w:r>
        <w:t>, and of gross rupture.</w:t>
      </w:r>
    </w:p>
    <w:p w14:paraId="3FDC6919" w14:textId="77777777" w:rsidR="00D53E6F" w:rsidRDefault="00D53E6F" w:rsidP="00D53E6F">
      <w:pPr>
        <w:keepNext/>
        <w:spacing w:line="240" w:lineRule="auto"/>
      </w:pPr>
      <w:r w:rsidRPr="004254A5">
        <w:t>Additi</w:t>
      </w:r>
      <w:r>
        <w:t>onally, GDC 32 establishes the following:</w:t>
      </w:r>
    </w:p>
    <w:p w14:paraId="05B8BC6D" w14:textId="77777777" w:rsidR="00D53E6F" w:rsidRDefault="00D53E6F" w:rsidP="00D53E6F">
      <w:pPr>
        <w:keepNext/>
        <w:spacing w:line="240" w:lineRule="auto"/>
      </w:pPr>
    </w:p>
    <w:p w14:paraId="1B215AFF" w14:textId="77777777" w:rsidR="00D53E6F" w:rsidRPr="003317FF" w:rsidRDefault="00D53E6F" w:rsidP="00D53E6F">
      <w:pPr>
        <w:spacing w:line="240" w:lineRule="auto"/>
        <w:ind w:left="720" w:right="720"/>
      </w:pPr>
      <w:r w:rsidRPr="004254A5">
        <w:t xml:space="preserve">Components </w:t>
      </w:r>
      <w:r>
        <w:t>which</w:t>
      </w:r>
      <w:r w:rsidRPr="004254A5">
        <w:t xml:space="preserve"> are part of the reactor coolant pressure boundary shall be designed to permit </w:t>
      </w:r>
      <w:r>
        <w:t>(1) </w:t>
      </w:r>
      <w:r w:rsidRPr="004254A5">
        <w:t>periodic inspection and testing of important areas and features to assess their structural and leaktight integrity</w:t>
      </w:r>
      <w:r>
        <w:t>, and (2) an appropriate material surveillance program for the reactor pressure vessel.</w:t>
      </w:r>
    </w:p>
    <w:p w14:paraId="69ACA15B" w14:textId="77777777" w:rsidR="00D53E6F" w:rsidRPr="003317FF" w:rsidRDefault="00D53E6F" w:rsidP="00D53E6F">
      <w:pPr>
        <w:spacing w:line="240" w:lineRule="auto"/>
      </w:pPr>
    </w:p>
    <w:p w14:paraId="1EB70D28" w14:textId="77777777" w:rsidR="00D53E6F" w:rsidRDefault="00D53E6F" w:rsidP="00D53E6F">
      <w:pPr>
        <w:keepNext/>
        <w:spacing w:line="240" w:lineRule="auto"/>
      </w:pPr>
      <w:r w:rsidRPr="003317FF">
        <w:t xml:space="preserve">The National Technology Transfer and Advancement Act of 1995 </w:t>
      </w:r>
      <w:r>
        <w:t>(Public Law </w:t>
      </w:r>
      <w:r w:rsidRPr="003317FF">
        <w:t>104</w:t>
      </w:r>
      <w:r>
        <w:noBreakHyphen/>
      </w:r>
      <w:r w:rsidRPr="003317FF">
        <w:t>113</w:t>
      </w:r>
      <w:r>
        <w:t xml:space="preserve">) (NTTAA) </w:t>
      </w:r>
      <w:r w:rsidRPr="003317FF">
        <w:t>mandate</w:t>
      </w:r>
      <w:r>
        <w:t>s</w:t>
      </w:r>
      <w:r w:rsidRPr="003317FF">
        <w:t xml:space="preserve"> th</w:t>
      </w:r>
      <w:r>
        <w:t>e following:</w:t>
      </w:r>
    </w:p>
    <w:p w14:paraId="6F807CFD" w14:textId="77777777" w:rsidR="00D53E6F" w:rsidRDefault="00D53E6F" w:rsidP="00D53E6F">
      <w:pPr>
        <w:keepNext/>
        <w:spacing w:line="240" w:lineRule="auto"/>
      </w:pPr>
    </w:p>
    <w:p w14:paraId="2F47DE5D" w14:textId="77777777" w:rsidR="00D53E6F" w:rsidRDefault="00D53E6F" w:rsidP="00D53E6F">
      <w:pPr>
        <w:spacing w:line="240" w:lineRule="auto"/>
        <w:ind w:left="720" w:right="720"/>
      </w:pPr>
      <w:r>
        <w:t>A</w:t>
      </w:r>
      <w:r w:rsidRPr="003317FF">
        <w:t xml:space="preserve">ll Federal agencies </w:t>
      </w:r>
      <w:r>
        <w:t xml:space="preserve">and departments shall </w:t>
      </w:r>
      <w:r w:rsidRPr="003317FF">
        <w:t>use technical standards that are developed or adopted by voluntary consensus standards bodies, using such technical standards as a means to carry out policy objectives or activities determined by the agencies and departments</w:t>
      </w:r>
      <w:r>
        <w:t>.</w:t>
      </w:r>
    </w:p>
    <w:p w14:paraId="732A515A" w14:textId="77777777" w:rsidR="00D53E6F" w:rsidRDefault="00D53E6F" w:rsidP="00D53E6F">
      <w:pPr>
        <w:spacing w:line="240" w:lineRule="auto"/>
      </w:pPr>
    </w:p>
    <w:p w14:paraId="397FD30C" w14:textId="77777777" w:rsidR="00D53E6F" w:rsidRPr="003317FF" w:rsidRDefault="00D53E6F" w:rsidP="00D53E6F">
      <w:pPr>
        <w:spacing w:line="240" w:lineRule="auto"/>
      </w:pPr>
      <w:r w:rsidRPr="003317FF">
        <w:t>In carrying out this legislation, Federal agencies are to consult with voluntary consensus standards bodies and participate with such bodies in develop</w:t>
      </w:r>
      <w:r>
        <w:t>ing</w:t>
      </w:r>
      <w:r w:rsidRPr="003317FF">
        <w:t xml:space="preserve"> technical standards when such participation is in the public interest and </w:t>
      </w:r>
      <w:r>
        <w:t xml:space="preserve">is </w:t>
      </w:r>
      <w:r w:rsidRPr="003317FF">
        <w:t xml:space="preserve">compatible with the agency mission, priorities, and budget resources.  If the technical standards are inconsistent with applicable law or </w:t>
      </w:r>
      <w:r>
        <w:t xml:space="preserve">are </w:t>
      </w:r>
      <w:r w:rsidRPr="003317FF">
        <w:t>otherwise impractical, a Federal agency may elect to use technical standards that are not developed or adopted by voluntary consensus bodies.</w:t>
      </w:r>
    </w:p>
    <w:p w14:paraId="77D035D1" w14:textId="77777777" w:rsidR="00D53E6F" w:rsidRPr="003317FF" w:rsidRDefault="00D53E6F" w:rsidP="00D53E6F">
      <w:pPr>
        <w:spacing w:line="240" w:lineRule="auto"/>
      </w:pPr>
    </w:p>
    <w:p w14:paraId="09AD978D" w14:textId="77777777" w:rsidR="00D53E6F" w:rsidRPr="003317FF" w:rsidRDefault="00D53E6F" w:rsidP="00D53E6F">
      <w:pPr>
        <w:spacing w:line="240" w:lineRule="auto"/>
      </w:pPr>
      <w:r w:rsidRPr="003317FF">
        <w:t xml:space="preserve">Provisions of the ASME BPV Code have been </w:t>
      </w:r>
      <w:r>
        <w:t>used</w:t>
      </w:r>
      <w:r w:rsidRPr="003317FF">
        <w:t xml:space="preserve"> since 1971 as one part of the framework to establish the necessary design, fabrication, construction, testing, and performance requirements for structures, systems, and components important to safety.  </w:t>
      </w:r>
      <w:r>
        <w:t>The</w:t>
      </w:r>
      <w:r w:rsidRPr="003317FF">
        <w:t xml:space="preserve"> ASME standards committees </w:t>
      </w:r>
      <w:r>
        <w:t>that</w:t>
      </w:r>
      <w:r w:rsidRPr="003317FF">
        <w:t xml:space="preserve"> develop, among other things, improved methods for the construction and </w:t>
      </w:r>
      <w:r>
        <w:t>inservice inspection (ISI)</w:t>
      </w:r>
      <w:r w:rsidRPr="003317FF">
        <w:t xml:space="preserve"> of ASME </w:t>
      </w:r>
      <w:r>
        <w:t xml:space="preserve">Code </w:t>
      </w:r>
      <w:r w:rsidRPr="003317FF">
        <w:t>Class</w:t>
      </w:r>
      <w:r>
        <w:t> </w:t>
      </w:r>
      <w:r w:rsidRPr="003317FF">
        <w:t xml:space="preserve">1, 2, </w:t>
      </w:r>
      <w:r>
        <w:t xml:space="preserve">and </w:t>
      </w:r>
      <w:r w:rsidRPr="003317FF">
        <w:t>3</w:t>
      </w:r>
      <w:r>
        <w:t>;</w:t>
      </w:r>
      <w:r w:rsidRPr="003317FF">
        <w:t xml:space="preserve"> metal containment</w:t>
      </w:r>
      <w:r>
        <w:t xml:space="preserve"> (MC</w:t>
      </w:r>
      <w:r w:rsidRPr="003317FF">
        <w:t>)</w:t>
      </w:r>
      <w:r>
        <w:t>;</w:t>
      </w:r>
      <w:r w:rsidRPr="003317FF">
        <w:t xml:space="preserve"> and concrete containment</w:t>
      </w:r>
      <w:r>
        <w:t xml:space="preserve"> (</w:t>
      </w:r>
      <w:r w:rsidRPr="003317FF">
        <w:t>CC) nuclear power plant components</w:t>
      </w:r>
      <w:r>
        <w:t xml:space="preserve"> represent various </w:t>
      </w:r>
      <w:r w:rsidRPr="003317FF">
        <w:t>technical interests (e.g.,</w:t>
      </w:r>
      <w:r>
        <w:t> </w:t>
      </w:r>
      <w:r w:rsidRPr="003317FF">
        <w:t>utility, manufacturing, insurance, regulatory).  This broad spectrum of stakeholders ensure</w:t>
      </w:r>
      <w:r>
        <w:t>s</w:t>
      </w:r>
      <w:r w:rsidRPr="003317FF">
        <w:t xml:space="preserve"> </w:t>
      </w:r>
      <w:r>
        <w:t>that</w:t>
      </w:r>
      <w:r w:rsidRPr="003317FF">
        <w:t xml:space="preserve"> the</w:t>
      </w:r>
      <w:r>
        <w:t>se</w:t>
      </w:r>
      <w:r w:rsidRPr="003317FF">
        <w:t xml:space="preserve"> various</w:t>
      </w:r>
      <w:r>
        <w:t xml:space="preserve"> technical</w:t>
      </w:r>
      <w:r w:rsidRPr="003317FF">
        <w:t xml:space="preserve"> interests</w:t>
      </w:r>
      <w:r>
        <w:t xml:space="preserve"> are considered.</w:t>
      </w:r>
    </w:p>
    <w:p w14:paraId="639BC32E" w14:textId="77777777" w:rsidR="00D53E6F" w:rsidRPr="003317FF" w:rsidRDefault="00D53E6F" w:rsidP="00D53E6F">
      <w:pPr>
        <w:spacing w:line="240" w:lineRule="auto"/>
      </w:pPr>
    </w:p>
    <w:p w14:paraId="699B9612" w14:textId="77777777" w:rsidR="00D53E6F" w:rsidRPr="003317FF" w:rsidRDefault="00D53E6F" w:rsidP="00D53E6F">
      <w:pPr>
        <w:spacing w:line="240" w:lineRule="auto"/>
      </w:pPr>
      <w:r>
        <w:t>A</w:t>
      </w:r>
      <w:r w:rsidRPr="003317FF">
        <w:t xml:space="preserve"> directive </w:t>
      </w:r>
      <w:r>
        <w:t xml:space="preserve">from the </w:t>
      </w:r>
      <w:r w:rsidRPr="003317FF">
        <w:t xml:space="preserve">ASME Board on Nuclear Codes and Standards transferred responsibility for </w:t>
      </w:r>
      <w:r>
        <w:t xml:space="preserve">the </w:t>
      </w:r>
      <w:r w:rsidRPr="003317FF">
        <w:t xml:space="preserve">development and maintenance of rules for the </w:t>
      </w:r>
      <w:r>
        <w:t>inservice testing (IST)</w:t>
      </w:r>
      <w:r w:rsidRPr="003317FF">
        <w:t xml:space="preserve"> of pumps and valves from the ASME </w:t>
      </w:r>
      <w:r>
        <w:t>Section XI</w:t>
      </w:r>
      <w:r w:rsidRPr="003317FF">
        <w:t xml:space="preserve"> Subcommittee on Nuclear Inservice Inspection to the ASME </w:t>
      </w:r>
      <w:r>
        <w:t xml:space="preserve">Committee on Operation and Maintenance of Nuclear Power Plants (ASME </w:t>
      </w:r>
      <w:r w:rsidRPr="003317FF">
        <w:t>OM</w:t>
      </w:r>
      <w:r>
        <w:t> </w:t>
      </w:r>
      <w:r w:rsidRPr="003317FF">
        <w:t>Committee</w:t>
      </w:r>
      <w:r>
        <w:t>).  This led to the development of the ASME OM Code</w:t>
      </w:r>
      <w:r w:rsidRPr="003317FF">
        <w:t xml:space="preserve">.  In 1990, ASME published the initial edition of the </w:t>
      </w:r>
      <w:r>
        <w:t>ASME OM Code that</w:t>
      </w:r>
      <w:r w:rsidRPr="003317FF">
        <w:t xml:space="preserve"> </w:t>
      </w:r>
      <w:r>
        <w:t>provides</w:t>
      </w:r>
      <w:r w:rsidRPr="003317FF">
        <w:t xml:space="preserve"> rules for</w:t>
      </w:r>
      <w:r>
        <w:t xml:space="preserve"> the</w:t>
      </w:r>
      <w:r w:rsidRPr="003317FF">
        <w:t xml:space="preserve"> </w:t>
      </w:r>
      <w:r>
        <w:t xml:space="preserve">IST </w:t>
      </w:r>
      <w:r w:rsidRPr="003317FF">
        <w:t xml:space="preserve">of pumps and valves.  The </w:t>
      </w:r>
      <w:r>
        <w:t xml:space="preserve">ASME </w:t>
      </w:r>
      <w:r w:rsidRPr="003317FF">
        <w:t xml:space="preserve">OM </w:t>
      </w:r>
      <w:r>
        <w:t>Committee continues to maintain</w:t>
      </w:r>
      <w:r w:rsidRPr="003317FF">
        <w:t xml:space="preserve"> the </w:t>
      </w:r>
      <w:r>
        <w:t>ASME OM Code</w:t>
      </w:r>
      <w:r w:rsidRPr="003317FF">
        <w:t>.  ASME</w:t>
      </w:r>
      <w:r>
        <w:t>’s</w:t>
      </w:r>
      <w:r w:rsidRPr="003317FF">
        <w:t xml:space="preserve"> inten</w:t>
      </w:r>
      <w:r>
        <w:t>t was</w:t>
      </w:r>
      <w:r w:rsidRPr="003317FF">
        <w:t xml:space="preserve"> that the </w:t>
      </w:r>
      <w:r>
        <w:t>ASME OM Code</w:t>
      </w:r>
      <w:r w:rsidRPr="003317FF">
        <w:t xml:space="preserve"> </w:t>
      </w:r>
      <w:r>
        <w:t xml:space="preserve">would </w:t>
      </w:r>
      <w:r w:rsidRPr="003317FF">
        <w:t xml:space="preserve">replace </w:t>
      </w:r>
      <w:r>
        <w:t>ASME BPV Code, Section XI, “</w:t>
      </w:r>
      <w:r w:rsidRPr="00265094">
        <w:t>Rules for Inservice Inspection of Nuclear Power Plant Components,”</w:t>
      </w:r>
      <w:r w:rsidRPr="003317FF">
        <w:t xml:space="preserve"> for </w:t>
      </w:r>
      <w:r>
        <w:t>the IST</w:t>
      </w:r>
      <w:r w:rsidRPr="003317FF">
        <w:t xml:space="preserve"> of pumps and valves.  The </w:t>
      </w:r>
      <w:r>
        <w:t>ASME OM</w:t>
      </w:r>
      <w:r w:rsidRPr="003317FF">
        <w:t xml:space="preserve"> Committee no longer updates the </w:t>
      </w:r>
      <w:r>
        <w:t>ASME BPV Code, Section XI,</w:t>
      </w:r>
      <w:r w:rsidRPr="003317FF">
        <w:t xml:space="preserve"> rules for</w:t>
      </w:r>
      <w:r>
        <w:t xml:space="preserve"> the IST </w:t>
      </w:r>
      <w:r w:rsidRPr="003317FF">
        <w:t>of pumps and valves that were previously incorporated by reference into NRC regulations.</w:t>
      </w:r>
    </w:p>
    <w:p w14:paraId="10D932FE" w14:textId="77777777" w:rsidR="00D53E6F" w:rsidRPr="003317FF" w:rsidRDefault="00D53E6F" w:rsidP="00D53E6F">
      <w:pPr>
        <w:spacing w:line="240" w:lineRule="auto"/>
      </w:pPr>
    </w:p>
    <w:p w14:paraId="7785F6D0" w14:textId="77777777" w:rsidR="00D53E6F" w:rsidRDefault="00D53E6F" w:rsidP="00D53E6F">
      <w:pPr>
        <w:spacing w:line="240" w:lineRule="auto"/>
      </w:pPr>
      <w:r>
        <w:t>Under 10 CFR </w:t>
      </w:r>
      <w:bookmarkStart w:id="39" w:name="_Hlk7586677"/>
      <w:r w:rsidRPr="003317FF">
        <w:t>50.55a</w:t>
      </w:r>
      <w:r>
        <w:t>,</w:t>
      </w:r>
      <w:r w:rsidRPr="003317FF">
        <w:t xml:space="preserve"> </w:t>
      </w:r>
      <w:bookmarkEnd w:id="39"/>
      <w:r>
        <w:t xml:space="preserve">“Codes and Standards,” </w:t>
      </w:r>
      <w:r w:rsidRPr="003317FF">
        <w:t xml:space="preserve">the NRC requires nuclear power plant owners </w:t>
      </w:r>
      <w:r>
        <w:t xml:space="preserve">to </w:t>
      </w:r>
      <w:r w:rsidRPr="003317FF">
        <w:t xml:space="preserve">construct </w:t>
      </w:r>
      <w:r>
        <w:t xml:space="preserve">ASME Code </w:t>
      </w:r>
      <w:r w:rsidRPr="003317FF">
        <w:t xml:space="preserve">Class 1, 2, and 3 components in accordance with </w:t>
      </w:r>
      <w:r>
        <w:t xml:space="preserve">ASME BPV Code, </w:t>
      </w:r>
      <w:r w:rsidRPr="003317FF">
        <w:t>Section</w:t>
      </w:r>
      <w:r>
        <w:t> </w:t>
      </w:r>
      <w:r w:rsidRPr="003317FF">
        <w:t xml:space="preserve">III, </w:t>
      </w:r>
      <w:r w:rsidRPr="00265094">
        <w:t xml:space="preserve">“Rules for Construction of Nuclear Power Plant Components,” </w:t>
      </w:r>
      <w:r w:rsidRPr="003317FF">
        <w:t>Division</w:t>
      </w:r>
      <w:r>
        <w:t> </w:t>
      </w:r>
      <w:r w:rsidRPr="003317FF">
        <w:t xml:space="preserve">1.  </w:t>
      </w:r>
      <w:r>
        <w:t>Under 10 CFR 50.55a, the NRC also requires</w:t>
      </w:r>
      <w:r w:rsidRPr="003317FF">
        <w:t xml:space="preserve"> </w:t>
      </w:r>
      <w:r>
        <w:t>applicants or licensees</w:t>
      </w:r>
      <w:r w:rsidRPr="003317FF">
        <w:t xml:space="preserve"> </w:t>
      </w:r>
      <w:r>
        <w:t xml:space="preserve">to </w:t>
      </w:r>
      <w:r w:rsidRPr="003317FF">
        <w:t xml:space="preserve">perform ISI of </w:t>
      </w:r>
      <w:r>
        <w:t xml:space="preserve">ASME Code </w:t>
      </w:r>
      <w:r w:rsidRPr="003317FF">
        <w:t>Class</w:t>
      </w:r>
      <w:r>
        <w:t> </w:t>
      </w:r>
      <w:r w:rsidRPr="003317FF">
        <w:t>1, 2,</w:t>
      </w:r>
      <w:r>
        <w:t> </w:t>
      </w:r>
      <w:r w:rsidRPr="003317FF">
        <w:t>3, MC, and</w:t>
      </w:r>
      <w:r>
        <w:t> </w:t>
      </w:r>
      <w:r w:rsidRPr="003317FF">
        <w:t xml:space="preserve">CC components in accordance with </w:t>
      </w:r>
      <w:r>
        <w:t>ASME BPV Code, Section XI</w:t>
      </w:r>
      <w:r w:rsidRPr="003317FF">
        <w:t>, Division</w:t>
      </w:r>
      <w:r>
        <w:t> </w:t>
      </w:r>
      <w:r w:rsidRPr="003317FF">
        <w:t xml:space="preserve">1, and </w:t>
      </w:r>
      <w:r>
        <w:t>to</w:t>
      </w:r>
      <w:r w:rsidRPr="003317FF">
        <w:t xml:space="preserve"> perform IST of </w:t>
      </w:r>
      <w:r w:rsidRPr="00D0751B">
        <w:t>Class</w:t>
      </w:r>
      <w:r>
        <w:t> </w:t>
      </w:r>
      <w:r w:rsidRPr="00D0751B">
        <w:t>1</w:t>
      </w:r>
      <w:r w:rsidRPr="003317FF">
        <w:t>, 2, and 3 safety</w:t>
      </w:r>
      <w:r>
        <w:noBreakHyphen/>
      </w:r>
      <w:r w:rsidRPr="003317FF">
        <w:t xml:space="preserve">related pumps and valves in accordance with the </w:t>
      </w:r>
      <w:r>
        <w:t>ASME OM Code</w:t>
      </w:r>
      <w:r w:rsidRPr="003317FF">
        <w:t xml:space="preserve">.  </w:t>
      </w:r>
      <w:r>
        <w:t>ASME</w:t>
      </w:r>
      <w:r w:rsidRPr="003317FF">
        <w:t xml:space="preserve"> </w:t>
      </w:r>
      <w:r>
        <w:t xml:space="preserve">develops </w:t>
      </w:r>
      <w:r w:rsidRPr="003317FF">
        <w:t xml:space="preserve">Code </w:t>
      </w:r>
      <w:r>
        <w:t>C</w:t>
      </w:r>
      <w:r w:rsidRPr="003317FF">
        <w:t xml:space="preserve">ases to gain experience with new technology </w:t>
      </w:r>
      <w:r>
        <w:t>before</w:t>
      </w:r>
      <w:r w:rsidRPr="003317FF">
        <w:t xml:space="preserve"> incorporatin</w:t>
      </w:r>
      <w:r>
        <w:t>g it</w:t>
      </w:r>
      <w:r w:rsidRPr="003317FF">
        <w:t xml:space="preserve"> into the </w:t>
      </w:r>
      <w:r>
        <w:t xml:space="preserve">ASME Code, </w:t>
      </w:r>
      <w:r w:rsidRPr="003317FF">
        <w:t>permit licensees to use advances in ISI and IST</w:t>
      </w:r>
      <w:r>
        <w:t>,</w:t>
      </w:r>
      <w:r w:rsidRPr="003317FF">
        <w:t xml:space="preserve"> provide alternative examinations for older plants</w:t>
      </w:r>
      <w:r>
        <w:t>,</w:t>
      </w:r>
      <w:r w:rsidRPr="003317FF">
        <w:t xml:space="preserve"> </w:t>
      </w:r>
      <w:r>
        <w:t>respond promptly</w:t>
      </w:r>
      <w:r w:rsidRPr="003317FF">
        <w:t xml:space="preserve"> to user needs</w:t>
      </w:r>
      <w:r>
        <w:t>,</w:t>
      </w:r>
      <w:r w:rsidRPr="003317FF">
        <w:t xml:space="preserve"> and </w:t>
      </w:r>
      <w:r>
        <w:t>offer</w:t>
      </w:r>
      <w:r w:rsidRPr="003317FF">
        <w:t xml:space="preserve"> a limited</w:t>
      </w:r>
      <w:r>
        <w:t xml:space="preserve"> and</w:t>
      </w:r>
      <w:r w:rsidRPr="003317FF">
        <w:t xml:space="preserve"> clearly focused alternative to specific </w:t>
      </w:r>
      <w:r>
        <w:t>ASME Code</w:t>
      </w:r>
      <w:r w:rsidRPr="003317FF">
        <w:t xml:space="preserve"> provisions.</w:t>
      </w:r>
    </w:p>
    <w:p w14:paraId="695A80C5" w14:textId="77777777" w:rsidR="00D53E6F" w:rsidRPr="003317FF" w:rsidRDefault="00D53E6F" w:rsidP="00D53E6F">
      <w:pPr>
        <w:spacing w:line="240" w:lineRule="auto"/>
      </w:pPr>
    </w:p>
    <w:p w14:paraId="500B0578" w14:textId="77777777" w:rsidR="00D53E6F" w:rsidRPr="00101045" w:rsidRDefault="00D53E6F" w:rsidP="00D53E6F">
      <w:pPr>
        <w:pStyle w:val="Heading2"/>
        <w:tabs>
          <w:tab w:val="left" w:pos="540"/>
        </w:tabs>
        <w:spacing w:line="240" w:lineRule="auto"/>
      </w:pPr>
      <w:bookmarkStart w:id="40" w:name="_Toc456098208"/>
      <w:bookmarkStart w:id="41" w:name="_Toc12808768"/>
      <w:r w:rsidRPr="00101045">
        <w:t>2.2</w:t>
      </w:r>
      <w:r w:rsidRPr="00101045">
        <w:tab/>
      </w:r>
      <w:bookmarkStart w:id="42" w:name="_Toc457827221"/>
      <w:r w:rsidRPr="00101045">
        <w:t>Statement of the Problem</w:t>
      </w:r>
      <w:bookmarkEnd w:id="40"/>
      <w:bookmarkEnd w:id="41"/>
      <w:bookmarkEnd w:id="42"/>
    </w:p>
    <w:p w14:paraId="51DDA8C1" w14:textId="77777777" w:rsidR="00D53E6F" w:rsidRPr="00627485" w:rsidRDefault="00D53E6F" w:rsidP="00D53E6F">
      <w:pPr>
        <w:keepNext/>
        <w:spacing w:line="240" w:lineRule="auto"/>
      </w:pPr>
    </w:p>
    <w:p w14:paraId="3F9FDDFD" w14:textId="77777777" w:rsidR="00D53E6F" w:rsidRPr="00BD3549" w:rsidRDefault="00D53E6F" w:rsidP="00D53E6F">
      <w:pPr>
        <w:spacing w:line="240" w:lineRule="auto"/>
      </w:pPr>
      <w:r>
        <w:t>ASME may revise Code Cases</w:t>
      </w:r>
      <w:r w:rsidRPr="00BD3549">
        <w:t xml:space="preserve"> for many reasons</w:t>
      </w:r>
      <w:r>
        <w:t>,</w:t>
      </w:r>
      <w:r w:rsidRPr="00BD3549">
        <w:t xml:space="preserve"> such as incorporating operational examination and testing experience </w:t>
      </w:r>
      <w:r>
        <w:t xml:space="preserve">into them </w:t>
      </w:r>
      <w:r w:rsidRPr="00BD3549">
        <w:t xml:space="preserve">or </w:t>
      </w:r>
      <w:r>
        <w:t>updating</w:t>
      </w:r>
      <w:r w:rsidRPr="00BD3549">
        <w:t xml:space="preserve"> material requirements based on research results.  </w:t>
      </w:r>
      <w:r>
        <w:t>O</w:t>
      </w:r>
      <w:r w:rsidRPr="00BD3549">
        <w:t>ccasion</w:t>
      </w:r>
      <w:r>
        <w:t>ally</w:t>
      </w:r>
      <w:r w:rsidRPr="00BD3549">
        <w:t>, an inaccuracy in an equation is discovered or an examination</w:t>
      </w:r>
      <w:r>
        <w:t>,</w:t>
      </w:r>
      <w:r w:rsidRPr="00BD3549">
        <w:t xml:space="preserve"> as practiced</w:t>
      </w:r>
      <w:r>
        <w:t>,</w:t>
      </w:r>
      <w:r w:rsidRPr="00BD3549">
        <w:t xml:space="preserve"> is found to be </w:t>
      </w:r>
      <w:r>
        <w:t>in</w:t>
      </w:r>
      <w:r w:rsidRPr="00BD3549">
        <w:t xml:space="preserve">adequate </w:t>
      </w:r>
      <w:r>
        <w:t>in</w:t>
      </w:r>
      <w:r w:rsidRPr="00BD3549">
        <w:t xml:space="preserve"> detect</w:t>
      </w:r>
      <w:r>
        <w:t>ing</w:t>
      </w:r>
      <w:r w:rsidRPr="00BD3549">
        <w:t xml:space="preserve"> a newly discovered degradation mechanism.  </w:t>
      </w:r>
      <w:r>
        <w:t>Therefore</w:t>
      </w:r>
      <w:r w:rsidRPr="00BD3549">
        <w:t>, it follows that</w:t>
      </w:r>
      <w:r>
        <w:t>,</w:t>
      </w:r>
      <w:r w:rsidRPr="00BD3549">
        <w:t xml:space="preserve"> when a licens</w:t>
      </w:r>
      <w:r>
        <w:t>ee initially implements an ASME Code C</w:t>
      </w:r>
      <w:r w:rsidRPr="00BD3549">
        <w:t xml:space="preserve">ase, </w:t>
      </w:r>
      <w:r>
        <w:t>10 CFR </w:t>
      </w:r>
      <w:r w:rsidRPr="00BD3549">
        <w:t xml:space="preserve">50.55a requires the licensee </w:t>
      </w:r>
      <w:r>
        <w:t xml:space="preserve">to </w:t>
      </w:r>
      <w:r w:rsidRPr="00BD3549">
        <w:t>implement the mo</w:t>
      </w:r>
      <w:r>
        <w:t>st recent version of that Code C</w:t>
      </w:r>
      <w:r w:rsidRPr="00BD3549">
        <w:t>ase as listed in the approved or conditionally approved tables</w:t>
      </w:r>
      <w:r>
        <w:t xml:space="preserve"> in 10 CFR 50.55a</w:t>
      </w:r>
      <w:r w:rsidRPr="00BD3549">
        <w:t xml:space="preserve">.  </w:t>
      </w:r>
      <w:r>
        <w:t>An alternative could be submitted and approved through alternative requests under 10 CFR 50.55a(z); in this case, a licensee could request the use of a previous Code Case, and the NRC would evaluate such a request on a case</w:t>
      </w:r>
      <w:r>
        <w:noBreakHyphen/>
        <w:t>by</w:t>
      </w:r>
      <w:r>
        <w:noBreakHyphen/>
        <w:t>case basis.</w:t>
      </w:r>
    </w:p>
    <w:p w14:paraId="7313FFA2" w14:textId="77777777" w:rsidR="00D53E6F" w:rsidRPr="00BD3549" w:rsidRDefault="00D53E6F" w:rsidP="00D53E6F">
      <w:pPr>
        <w:spacing w:line="240" w:lineRule="auto"/>
      </w:pPr>
    </w:p>
    <w:p w14:paraId="6142EA0D" w14:textId="77777777" w:rsidR="00D53E6F" w:rsidRPr="00BD3549" w:rsidRDefault="00D53E6F" w:rsidP="00D53E6F">
      <w:pPr>
        <w:spacing w:line="240" w:lineRule="auto"/>
      </w:pPr>
      <w:r>
        <w:t xml:space="preserve">ASME BPV Code, </w:t>
      </w:r>
      <w:r w:rsidRPr="00BD3549">
        <w:t>Section</w:t>
      </w:r>
      <w:r>
        <w:t> </w:t>
      </w:r>
      <w:r w:rsidRPr="00BD3549">
        <w:t>III</w:t>
      </w:r>
      <w:r>
        <w:t>,</w:t>
      </w:r>
      <w:r w:rsidRPr="00BD3549">
        <w:t xml:space="preserve"> only applies to new construction (i.e.,</w:t>
      </w:r>
      <w:r>
        <w:t xml:space="preserve"> the selection of </w:t>
      </w:r>
      <w:r w:rsidRPr="00BD3549">
        <w:t xml:space="preserve">the edition and addenda to be used in the construction of a plant </w:t>
      </w:r>
      <w:r>
        <w:t>is</w:t>
      </w:r>
      <w:r w:rsidRPr="00BD3549">
        <w:t xml:space="preserve"> based on the date of the construction permit</w:t>
      </w:r>
      <w:r>
        <w:t>,</w:t>
      </w:r>
      <w:r w:rsidRPr="00BD3549">
        <w:t xml:space="preserve"> and </w:t>
      </w:r>
      <w:r>
        <w:t xml:space="preserve">the edition and addenda chosen </w:t>
      </w:r>
      <w:r w:rsidRPr="00BD3549">
        <w:t xml:space="preserve">are not changed after </w:t>
      </w:r>
      <w:r>
        <w:t xml:space="preserve">that date </w:t>
      </w:r>
      <w:r w:rsidRPr="00BD3549">
        <w:t xml:space="preserve">except voluntarily by the licensee).  </w:t>
      </w:r>
      <w:r>
        <w:t>Therefore</w:t>
      </w:r>
      <w:r w:rsidRPr="00BD3549">
        <w:t xml:space="preserve">, if </w:t>
      </w:r>
      <w:r>
        <w:t xml:space="preserve">a licensee implements </w:t>
      </w:r>
      <w:r w:rsidRPr="00BD3549">
        <w:t>a</w:t>
      </w:r>
      <w:r>
        <w:t xml:space="preserve"> Code Case related to ASME</w:t>
      </w:r>
      <w:r w:rsidRPr="00BD3549">
        <w:t xml:space="preserve"> </w:t>
      </w:r>
      <w:r>
        <w:t xml:space="preserve">BPV Code, </w:t>
      </w:r>
      <w:r w:rsidRPr="00BD3549">
        <w:t>Section</w:t>
      </w:r>
      <w:r>
        <w:t> </w:t>
      </w:r>
      <w:r w:rsidRPr="00BD3549">
        <w:t>III</w:t>
      </w:r>
      <w:r>
        <w:t>,</w:t>
      </w:r>
      <w:r w:rsidRPr="00BD3549">
        <w:t xml:space="preserve"> and </w:t>
      </w:r>
      <w:r>
        <w:t xml:space="preserve">if the NRC incorporates by reference </w:t>
      </w:r>
      <w:r w:rsidRPr="00BD3549">
        <w:t>a later version of th</w:t>
      </w:r>
      <w:r>
        <w:t>at</w:t>
      </w:r>
      <w:r w:rsidRPr="00BD3549">
        <w:t xml:space="preserve"> Code </w:t>
      </w:r>
      <w:r>
        <w:t xml:space="preserve">Case </w:t>
      </w:r>
      <w:r w:rsidRPr="00BD3549">
        <w:t xml:space="preserve">into </w:t>
      </w:r>
      <w:r>
        <w:t>10 CFR </w:t>
      </w:r>
      <w:r w:rsidRPr="00BD3549">
        <w:t>50.55a and list</w:t>
      </w:r>
      <w:r>
        <w:t>s it</w:t>
      </w:r>
      <w:r w:rsidRPr="00BD3549">
        <w:t xml:space="preserve"> in the </w:t>
      </w:r>
      <w:r>
        <w:t>tables in RG 1.84, RG 1.147, and RG 1.192</w:t>
      </w:r>
      <w:r w:rsidRPr="00BD3549">
        <w:t xml:space="preserve">, that licensee may use either version of the Code </w:t>
      </w:r>
      <w:r>
        <w:t>C</w:t>
      </w:r>
      <w:r w:rsidRPr="00BD3549">
        <w:t>ase.</w:t>
      </w:r>
    </w:p>
    <w:p w14:paraId="5F19ECD5" w14:textId="77777777" w:rsidR="00D53E6F" w:rsidRPr="00BD3549" w:rsidRDefault="00D53E6F" w:rsidP="00D53E6F">
      <w:pPr>
        <w:spacing w:line="240" w:lineRule="auto"/>
      </w:pPr>
    </w:p>
    <w:p w14:paraId="009F87BE" w14:textId="77777777" w:rsidR="00D53E6F" w:rsidRDefault="00D53E6F" w:rsidP="00D53E6F">
      <w:pPr>
        <w:spacing w:line="240" w:lineRule="auto"/>
      </w:pPr>
      <w:r>
        <w:t xml:space="preserve">Licensee </w:t>
      </w:r>
      <w:r w:rsidRPr="00BD3549">
        <w:t>programs</w:t>
      </w:r>
      <w:r>
        <w:t xml:space="preserve"> under ASME BPV Code, </w:t>
      </w:r>
      <w:r w:rsidRPr="00BD3549">
        <w:t>Section</w:t>
      </w:r>
      <w:r>
        <w:t> </w:t>
      </w:r>
      <w:r w:rsidRPr="00BD3549">
        <w:t>XI</w:t>
      </w:r>
      <w:r>
        <w:t>,</w:t>
      </w:r>
      <w:r w:rsidRPr="00BD3549">
        <w:t xml:space="preserve"> ISI and </w:t>
      </w:r>
      <w:r>
        <w:t xml:space="preserve">ASME </w:t>
      </w:r>
      <w:r w:rsidRPr="00BD3549">
        <w:t xml:space="preserve">OM </w:t>
      </w:r>
      <w:r>
        <w:t xml:space="preserve">Code </w:t>
      </w:r>
      <w:r w:rsidRPr="00BD3549">
        <w:t xml:space="preserve">IST are updated every </w:t>
      </w:r>
      <w:r>
        <w:t>10 </w:t>
      </w:r>
      <w:r w:rsidRPr="00BD3549">
        <w:t xml:space="preserve">years to the latest edition and addenda of </w:t>
      </w:r>
      <w:r>
        <w:t xml:space="preserve">ASME BPV Code, </w:t>
      </w:r>
      <w:r w:rsidRPr="00BD3549">
        <w:t>Section</w:t>
      </w:r>
      <w:r>
        <w:t> </w:t>
      </w:r>
      <w:r w:rsidRPr="00BD3549">
        <w:t>XI</w:t>
      </w:r>
      <w:r>
        <w:t>,</w:t>
      </w:r>
      <w:r w:rsidRPr="00BD3549">
        <w:t xml:space="preserve"> that were incorporated by reference into </w:t>
      </w:r>
      <w:r>
        <w:t>10 CFR </w:t>
      </w:r>
      <w:r w:rsidRPr="00BD3549">
        <w:t xml:space="preserve">50.55a and </w:t>
      </w:r>
      <w:r>
        <w:t xml:space="preserve">are </w:t>
      </w:r>
      <w:r w:rsidRPr="00BD3549">
        <w:t xml:space="preserve">in effect </w:t>
      </w:r>
      <w:r>
        <w:t>12 </w:t>
      </w:r>
      <w:r w:rsidRPr="00BD3549">
        <w:t xml:space="preserve">months before the start of the next inspection interval.  Licensees </w:t>
      </w:r>
      <w:r>
        <w:t>that</w:t>
      </w:r>
      <w:r w:rsidRPr="00BD3549">
        <w:t xml:space="preserve"> were using a</w:t>
      </w:r>
      <w:r>
        <w:t xml:space="preserve">n ASME </w:t>
      </w:r>
      <w:r w:rsidRPr="00BD3549">
        <w:t xml:space="preserve">Code </w:t>
      </w:r>
      <w:r>
        <w:t>C</w:t>
      </w:r>
      <w:r w:rsidRPr="00BD3549">
        <w:t xml:space="preserve">ase </w:t>
      </w:r>
      <w:r>
        <w:t>before</w:t>
      </w:r>
      <w:r w:rsidRPr="00BD3549">
        <w:t xml:space="preserve"> the effective date of its revision may continue to use the previous version for the remainder of the 120</w:t>
      </w:r>
      <w:r>
        <w:noBreakHyphen/>
      </w:r>
      <w:r w:rsidRPr="00BD3549">
        <w:t>month ISI or IST interval</w:t>
      </w:r>
      <w:r>
        <w:t xml:space="preserve"> to relieve them</w:t>
      </w:r>
      <w:r w:rsidRPr="00BD3549">
        <w:t xml:space="preserve"> of the burden of having to update their ISI or IST program each time </w:t>
      </w:r>
      <w:r>
        <w:t xml:space="preserve">ASME revises </w:t>
      </w:r>
      <w:r w:rsidRPr="00BD3549">
        <w:t xml:space="preserve">a Code </w:t>
      </w:r>
      <w:r>
        <w:t>C</w:t>
      </w:r>
      <w:r w:rsidRPr="00BD3549">
        <w:t xml:space="preserve">ase.  </w:t>
      </w:r>
      <w:r>
        <w:t>Because</w:t>
      </w:r>
      <w:r w:rsidRPr="00BD3549">
        <w:t xml:space="preserve"> </w:t>
      </w:r>
      <w:r>
        <w:t>Code Cases</w:t>
      </w:r>
      <w:r w:rsidRPr="00BD3549">
        <w:t xml:space="preserve"> </w:t>
      </w:r>
      <w:r>
        <w:t>apply</w:t>
      </w:r>
      <w:r w:rsidRPr="00BD3549">
        <w:t xml:space="preserve"> to specific editions and addenda and </w:t>
      </w:r>
      <w:r>
        <w:t>because</w:t>
      </w:r>
      <w:r w:rsidRPr="00BD3549">
        <w:t xml:space="preserve"> </w:t>
      </w:r>
      <w:r>
        <w:t>ASME may revise Code Cases</w:t>
      </w:r>
      <w:r w:rsidRPr="00BD3549">
        <w:t xml:space="preserve"> </w:t>
      </w:r>
      <w:r>
        <w:t>that</w:t>
      </w:r>
      <w:r w:rsidRPr="00BD3549">
        <w:t xml:space="preserve"> are no longer accurate or adequate</w:t>
      </w:r>
      <w:r>
        <w:t>,</w:t>
      </w:r>
      <w:r w:rsidRPr="00BD3549">
        <w:t xml:space="preserve"> licensees </w:t>
      </w:r>
      <w:r>
        <w:t xml:space="preserve">that </w:t>
      </w:r>
      <w:r w:rsidRPr="00BD3549">
        <w:t>choos</w:t>
      </w:r>
      <w:r>
        <w:t>e</w:t>
      </w:r>
      <w:r w:rsidRPr="00BD3549">
        <w:t xml:space="preserve"> to continue </w:t>
      </w:r>
      <w:r>
        <w:t>using</w:t>
      </w:r>
      <w:r w:rsidRPr="00BD3549">
        <w:t xml:space="preserve"> a Code </w:t>
      </w:r>
      <w:r>
        <w:t>C</w:t>
      </w:r>
      <w:r w:rsidRPr="00BD3549">
        <w:t>ase during the subsequent ISI interval must</w:t>
      </w:r>
      <w:r>
        <w:t xml:space="preserve"> either (1) </w:t>
      </w:r>
      <w:r w:rsidRPr="00BD3549">
        <w:t xml:space="preserve">implement the latest version </w:t>
      </w:r>
      <w:r>
        <w:t>incorporated by reference</w:t>
      </w:r>
      <w:r w:rsidRPr="00BD3549">
        <w:t xml:space="preserve"> in</w:t>
      </w:r>
      <w:r>
        <w:t>to</w:t>
      </w:r>
      <w:r w:rsidRPr="00BD3549">
        <w:t xml:space="preserve"> </w:t>
      </w:r>
      <w:r>
        <w:t>10 CFR </w:t>
      </w:r>
      <w:r w:rsidRPr="00BD3549">
        <w:t xml:space="preserve">50.55a and listed in the </w:t>
      </w:r>
      <w:r>
        <w:t>RGs or (2) apply for an alternative request under 10 CFR 50.55a(z)</w:t>
      </w:r>
      <w:r w:rsidRPr="00BD3549">
        <w:t>.</w:t>
      </w:r>
    </w:p>
    <w:p w14:paraId="032727C5" w14:textId="77777777" w:rsidR="00D53E6F" w:rsidRDefault="00D53E6F" w:rsidP="00D53E6F">
      <w:pPr>
        <w:spacing w:line="240" w:lineRule="auto"/>
      </w:pPr>
    </w:p>
    <w:p w14:paraId="102D5656" w14:textId="77777777" w:rsidR="00D53E6F" w:rsidRPr="00DA5025" w:rsidRDefault="00D53E6F" w:rsidP="00D53E6F">
      <w:pPr>
        <w:pStyle w:val="Heading2"/>
        <w:tabs>
          <w:tab w:val="left" w:pos="540"/>
        </w:tabs>
        <w:spacing w:line="240" w:lineRule="auto"/>
      </w:pPr>
      <w:bookmarkStart w:id="43" w:name="_Toc456098209"/>
      <w:bookmarkStart w:id="44" w:name="_Toc12808769"/>
      <w:r>
        <w:t>2.3</w:t>
      </w:r>
      <w:r>
        <w:tab/>
      </w:r>
      <w:bookmarkStart w:id="45" w:name="_Toc457827222"/>
      <w:r w:rsidRPr="00DA5025">
        <w:t>Objective</w:t>
      </w:r>
      <w:bookmarkEnd w:id="43"/>
      <w:bookmarkEnd w:id="44"/>
      <w:bookmarkEnd w:id="45"/>
    </w:p>
    <w:p w14:paraId="3655CED6" w14:textId="77777777" w:rsidR="00D53E6F" w:rsidRPr="00DA5025" w:rsidRDefault="00D53E6F" w:rsidP="00D53E6F">
      <w:pPr>
        <w:spacing w:line="240" w:lineRule="auto"/>
      </w:pPr>
    </w:p>
    <w:p w14:paraId="14ECABAB" w14:textId="77777777" w:rsidR="00D53E6F" w:rsidRDefault="00D53E6F" w:rsidP="00D53E6F">
      <w:pPr>
        <w:spacing w:line="240" w:lineRule="auto"/>
      </w:pPr>
      <w:r>
        <w:t>The objective of the final rule</w:t>
      </w:r>
      <w:r w:rsidRPr="00BD3549">
        <w:t xml:space="preserve"> is to </w:t>
      </w:r>
      <w:r>
        <w:t>incorporate by reference</w:t>
      </w:r>
      <w:r w:rsidRPr="00BD3549">
        <w:t xml:space="preserve"> the latest revisions </w:t>
      </w:r>
      <w:r>
        <w:t>to</w:t>
      </w:r>
      <w:r w:rsidRPr="00BD3549">
        <w:t xml:space="preserve"> three </w:t>
      </w:r>
      <w:r>
        <w:t xml:space="preserve">RGs </w:t>
      </w:r>
      <w:r w:rsidRPr="00BD3549">
        <w:t xml:space="preserve">that list </w:t>
      </w:r>
      <w:r>
        <w:t>Code Cases</w:t>
      </w:r>
      <w:r w:rsidRPr="00BD3549">
        <w:t xml:space="preserve"> published by ASME and approved by the NRC</w:t>
      </w:r>
      <w:r>
        <w:t>:</w:t>
      </w:r>
    </w:p>
    <w:p w14:paraId="568278AA" w14:textId="77777777" w:rsidR="00D53E6F" w:rsidRDefault="00D53E6F" w:rsidP="00D53E6F">
      <w:pPr>
        <w:spacing w:line="240" w:lineRule="auto"/>
      </w:pPr>
    </w:p>
    <w:p w14:paraId="665BFEC7" w14:textId="77777777" w:rsidR="00D53E6F" w:rsidRDefault="00D53E6F" w:rsidP="00D53E6F">
      <w:pPr>
        <w:pStyle w:val="ListParagraph"/>
        <w:numPr>
          <w:ilvl w:val="0"/>
          <w:numId w:val="12"/>
        </w:numPr>
        <w:spacing w:line="240" w:lineRule="auto"/>
        <w:ind w:hanging="720"/>
        <w:contextualSpacing w:val="0"/>
      </w:pPr>
      <w:r w:rsidRPr="00BD3549">
        <w:t>RG</w:t>
      </w:r>
      <w:r>
        <w:t> </w:t>
      </w:r>
      <w:r w:rsidRPr="00BD3549">
        <w:t>1.84, Revision</w:t>
      </w:r>
      <w:r>
        <w:t> </w:t>
      </w:r>
      <w:r w:rsidRPr="00BD3549">
        <w:t>3</w:t>
      </w:r>
      <w:r>
        <w:t>8</w:t>
      </w:r>
    </w:p>
    <w:p w14:paraId="7249FD25" w14:textId="77777777" w:rsidR="00D53E6F" w:rsidRDefault="00D53E6F" w:rsidP="00D53E6F">
      <w:pPr>
        <w:pStyle w:val="ListParagraph"/>
        <w:numPr>
          <w:ilvl w:val="0"/>
          <w:numId w:val="12"/>
        </w:numPr>
        <w:spacing w:line="240" w:lineRule="auto"/>
        <w:ind w:hanging="720"/>
        <w:contextualSpacing w:val="0"/>
      </w:pPr>
      <w:r w:rsidRPr="00BD3549">
        <w:t>RG</w:t>
      </w:r>
      <w:r>
        <w:t> </w:t>
      </w:r>
      <w:r w:rsidRPr="00BD3549">
        <w:t>1.147, Revision</w:t>
      </w:r>
      <w:r>
        <w:t> </w:t>
      </w:r>
      <w:r w:rsidRPr="00BD3549">
        <w:t>1</w:t>
      </w:r>
      <w:r>
        <w:t>9</w:t>
      </w:r>
    </w:p>
    <w:p w14:paraId="1B816104" w14:textId="77777777" w:rsidR="00D53E6F" w:rsidRDefault="00D53E6F" w:rsidP="00D53E6F">
      <w:pPr>
        <w:pStyle w:val="ListParagraph"/>
        <w:numPr>
          <w:ilvl w:val="0"/>
          <w:numId w:val="12"/>
        </w:numPr>
        <w:spacing w:line="240" w:lineRule="auto"/>
        <w:ind w:hanging="720"/>
      </w:pPr>
      <w:r w:rsidRPr="00BD3549">
        <w:t>RG</w:t>
      </w:r>
      <w:r>
        <w:t> </w:t>
      </w:r>
      <w:r w:rsidRPr="00BD3549">
        <w:t>1.192, Revision</w:t>
      </w:r>
      <w:r>
        <w:t> 3</w:t>
      </w:r>
    </w:p>
    <w:p w14:paraId="65A473F1" w14:textId="77777777" w:rsidR="00D53E6F" w:rsidRPr="00BD3549" w:rsidRDefault="00D53E6F" w:rsidP="00D53E6F">
      <w:pPr>
        <w:spacing w:line="240" w:lineRule="auto"/>
      </w:pPr>
      <w:r w:rsidRPr="00BD3549">
        <w:t xml:space="preserve">These revisions supersede the </w:t>
      </w:r>
      <w:r>
        <w:t>incorporation by reference</w:t>
      </w:r>
      <w:r w:rsidRPr="00BD3549">
        <w:t xml:space="preserve"> of RG</w:t>
      </w:r>
      <w:r>
        <w:t> </w:t>
      </w:r>
      <w:r w:rsidRPr="00BD3549">
        <w:t>1.84, Revision</w:t>
      </w:r>
      <w:r>
        <w:t> </w:t>
      </w:r>
      <w:r w:rsidRPr="00BD3549">
        <w:t>3</w:t>
      </w:r>
      <w:r>
        <w:t>7, issued March 2017 (NRC 2017a)</w:t>
      </w:r>
      <w:r w:rsidRPr="00BD3549">
        <w:t>; RG</w:t>
      </w:r>
      <w:r>
        <w:t> </w:t>
      </w:r>
      <w:r w:rsidRPr="00BD3549">
        <w:t>1.192, Revision</w:t>
      </w:r>
      <w:r>
        <w:t xml:space="preserve"> 2, issued March 2017 (NRC 2017b); and </w:t>
      </w:r>
      <w:r w:rsidRPr="00BD3549">
        <w:t>RG</w:t>
      </w:r>
      <w:r>
        <w:t> </w:t>
      </w:r>
      <w:r w:rsidRPr="00BD3549">
        <w:t>1.147, Revision</w:t>
      </w:r>
      <w:r>
        <w:t> </w:t>
      </w:r>
      <w:r w:rsidRPr="00BD3549">
        <w:t>1</w:t>
      </w:r>
      <w:r>
        <w:t>8, issued March 2017 (NRC 2017c)</w:t>
      </w:r>
      <w:r w:rsidRPr="00BD3549">
        <w:t xml:space="preserve">.  </w:t>
      </w:r>
      <w:r>
        <w:t>T</w:t>
      </w:r>
      <w:r w:rsidRPr="00BD3549">
        <w:t>his regulatory action improves the effectiveness of future licensing actions</w:t>
      </w:r>
      <w:r>
        <w:t xml:space="preserve">, </w:t>
      </w:r>
      <w:r w:rsidRPr="00BD3549">
        <w:t xml:space="preserve">is consistent with the provisions of the NTTAA </w:t>
      </w:r>
      <w:r>
        <w:t>that</w:t>
      </w:r>
      <w:r w:rsidRPr="00BD3549">
        <w:t xml:space="preserve"> encourage Federal regulatory agencies to consider adopting voluntary consensus standards as an alternative to </w:t>
      </w:r>
      <w:r w:rsidRPr="004E122F">
        <w:rPr>
          <w:i/>
        </w:rPr>
        <w:t>de novo</w:t>
      </w:r>
      <w:r w:rsidRPr="00BD3549">
        <w:rPr>
          <w:i/>
        </w:rPr>
        <w:t xml:space="preserve"> </w:t>
      </w:r>
      <w:r w:rsidRPr="00BD3549">
        <w:t>agency development of standards affecting an industry</w:t>
      </w:r>
      <w:r>
        <w:t xml:space="preserve">, and is </w:t>
      </w:r>
      <w:r w:rsidRPr="00BD3549">
        <w:t xml:space="preserve">consistent with the NRC policy of evaluating the latest version of consensus standards </w:t>
      </w:r>
      <w:r>
        <w:t xml:space="preserve">already approved by the NRC </w:t>
      </w:r>
      <w:r w:rsidRPr="00BD3549">
        <w:t xml:space="preserve">in terms of their suitability for endorsement by regulation or </w:t>
      </w:r>
      <w:r>
        <w:t>RG</w:t>
      </w:r>
      <w:r w:rsidRPr="00BD3549">
        <w:t>.</w:t>
      </w:r>
    </w:p>
    <w:p w14:paraId="7100BF96" w14:textId="77777777" w:rsidR="00D53E6F" w:rsidRPr="00DA5025" w:rsidRDefault="00D53E6F" w:rsidP="00D53E6F">
      <w:pPr>
        <w:spacing w:line="240" w:lineRule="auto"/>
      </w:pPr>
    </w:p>
    <w:p w14:paraId="44C2D1EE" w14:textId="77777777" w:rsidR="00D53E6F" w:rsidRPr="003949A1" w:rsidRDefault="00D53E6F" w:rsidP="00D53E6F">
      <w:pPr>
        <w:pStyle w:val="Heading1"/>
        <w:numPr>
          <w:ilvl w:val="0"/>
          <w:numId w:val="10"/>
        </w:numPr>
        <w:spacing w:before="0" w:line="240" w:lineRule="auto"/>
        <w:ind w:left="360"/>
      </w:pPr>
      <w:bookmarkStart w:id="46" w:name="_Toc456098210"/>
      <w:bookmarkStart w:id="47" w:name="_Toc457827223"/>
      <w:bookmarkStart w:id="48" w:name="_Toc12808770"/>
      <w:r w:rsidRPr="003949A1">
        <w:t xml:space="preserve">Identification and </w:t>
      </w:r>
      <w:r>
        <w:t xml:space="preserve">Preliminary </w:t>
      </w:r>
      <w:r w:rsidRPr="003949A1">
        <w:t>Analysis of Alternative Approaches</w:t>
      </w:r>
      <w:bookmarkEnd w:id="46"/>
      <w:bookmarkEnd w:id="47"/>
      <w:bookmarkEnd w:id="48"/>
    </w:p>
    <w:p w14:paraId="00FC7BCB" w14:textId="77777777" w:rsidR="00D53E6F" w:rsidRPr="003949A1" w:rsidRDefault="00D53E6F" w:rsidP="00D53E6F">
      <w:pPr>
        <w:spacing w:line="240" w:lineRule="auto"/>
      </w:pPr>
    </w:p>
    <w:p w14:paraId="7125D689" w14:textId="77777777" w:rsidR="00D53E6F" w:rsidRDefault="00D53E6F" w:rsidP="00D53E6F">
      <w:pPr>
        <w:spacing w:line="240" w:lineRule="auto"/>
      </w:pPr>
      <w:r>
        <w:t>Based on</w:t>
      </w:r>
      <w:r w:rsidRPr="00FF3A9D">
        <w:t xml:space="preserve"> the existing</w:t>
      </w:r>
      <w:r w:rsidRPr="00052783">
        <w:t xml:space="preserve"> data an</w:t>
      </w:r>
      <w:r w:rsidRPr="00BD3549">
        <w:t xml:space="preserve">d information, </w:t>
      </w:r>
      <w:r>
        <w:t xml:space="preserve">the NRC considers </w:t>
      </w:r>
      <w:r w:rsidRPr="00BD3549">
        <w:t xml:space="preserve">a rule change to be the most effective way to implement the NRC-approved ASME </w:t>
      </w:r>
      <w:r>
        <w:t>Code Cases</w:t>
      </w:r>
      <w:r w:rsidRPr="00BD3549">
        <w:t xml:space="preserve">.  </w:t>
      </w:r>
      <w:r>
        <w:t>The NRC has identified two</w:t>
      </w:r>
      <w:r w:rsidRPr="00BD3549">
        <w:t xml:space="preserve"> alternatives</w:t>
      </w:r>
      <w:r>
        <w:t xml:space="preserve"> to this action:  (1) Alternative 1 is </w:t>
      </w:r>
      <w:r w:rsidRPr="00BD3549">
        <w:t>the no</w:t>
      </w:r>
      <w:r>
        <w:t>-</w:t>
      </w:r>
      <w:r w:rsidRPr="00BD3549">
        <w:t>action alternative (i.e.,</w:t>
      </w:r>
      <w:r>
        <w:t> </w:t>
      </w:r>
      <w:r w:rsidRPr="00BD3549">
        <w:t>status quo, regulatory baseline)</w:t>
      </w:r>
      <w:r>
        <w:t xml:space="preserve">, and (2) Alternative 2 uses rulemaking to incorporate by reference into 10 CFR 50.55a the </w:t>
      </w:r>
      <w:r w:rsidRPr="00BD3549">
        <w:t>NRC</w:t>
      </w:r>
      <w:r>
        <w:noBreakHyphen/>
      </w:r>
      <w:r w:rsidRPr="00BD3549">
        <w:t xml:space="preserve">approved ASME </w:t>
      </w:r>
      <w:r>
        <w:t>Code Cases</w:t>
      </w:r>
      <w:r w:rsidRPr="00BD3549">
        <w:t xml:space="preserve"> in RG 1.84, Revision</w:t>
      </w:r>
      <w:r>
        <w:t> </w:t>
      </w:r>
      <w:r w:rsidRPr="00BD3549">
        <w:t>3</w:t>
      </w:r>
      <w:r>
        <w:t xml:space="preserve">8, and </w:t>
      </w:r>
      <w:r w:rsidRPr="00BD3549">
        <w:t>RG</w:t>
      </w:r>
      <w:r>
        <w:t> </w:t>
      </w:r>
      <w:r w:rsidRPr="00BD3549">
        <w:t>1.147, Revision 1</w:t>
      </w:r>
      <w:r>
        <w:t>9,</w:t>
      </w:r>
      <w:r w:rsidRPr="00BD3549">
        <w:t xml:space="preserve"> and </w:t>
      </w:r>
      <w:r>
        <w:t xml:space="preserve">the ASME </w:t>
      </w:r>
      <w:r w:rsidRPr="00BD3549">
        <w:t xml:space="preserve">OM </w:t>
      </w:r>
      <w:r>
        <w:t>Code Cases</w:t>
      </w:r>
      <w:r w:rsidRPr="00BD3549">
        <w:t xml:space="preserve"> in</w:t>
      </w:r>
      <w:r>
        <w:t> </w:t>
      </w:r>
      <w:r w:rsidRPr="00BD3549">
        <w:t>RG</w:t>
      </w:r>
      <w:r>
        <w:t> </w:t>
      </w:r>
      <w:r w:rsidRPr="00BD3549">
        <w:t>1.192, Revision</w:t>
      </w:r>
      <w:r>
        <w:t> 3</w:t>
      </w:r>
      <w:r w:rsidRPr="00BD3549">
        <w:t>.</w:t>
      </w:r>
    </w:p>
    <w:p w14:paraId="53A44406" w14:textId="77777777" w:rsidR="00D53E6F" w:rsidRPr="003949A1" w:rsidRDefault="00D53E6F" w:rsidP="00D53E6F">
      <w:pPr>
        <w:spacing w:line="240" w:lineRule="auto"/>
      </w:pPr>
    </w:p>
    <w:p w14:paraId="5FD2821B" w14:textId="77777777" w:rsidR="00D53E6F" w:rsidRPr="003949A1" w:rsidRDefault="00D53E6F" w:rsidP="00D53E6F">
      <w:pPr>
        <w:pStyle w:val="Heading2"/>
        <w:tabs>
          <w:tab w:val="left" w:pos="540"/>
        </w:tabs>
        <w:spacing w:line="240" w:lineRule="auto"/>
      </w:pPr>
      <w:bookmarkStart w:id="49" w:name="_Toc456098211"/>
      <w:bookmarkStart w:id="50" w:name="_Toc12808771"/>
      <w:r>
        <w:t>3.1</w:t>
      </w:r>
      <w:r>
        <w:tab/>
      </w:r>
      <w:bookmarkStart w:id="51" w:name="_Toc457827224"/>
      <w:r w:rsidRPr="003949A1">
        <w:t>Alternative 1</w:t>
      </w:r>
      <w:r>
        <w:t>—</w:t>
      </w:r>
      <w:r w:rsidRPr="003949A1">
        <w:t xml:space="preserve">No </w:t>
      </w:r>
      <w:r>
        <w:t>A</w:t>
      </w:r>
      <w:r w:rsidRPr="003949A1">
        <w:t>ction</w:t>
      </w:r>
      <w:bookmarkEnd w:id="49"/>
      <w:bookmarkEnd w:id="50"/>
      <w:bookmarkEnd w:id="51"/>
    </w:p>
    <w:p w14:paraId="29D61D2D" w14:textId="77777777" w:rsidR="00D53E6F" w:rsidRPr="008D4092" w:rsidRDefault="00D53E6F" w:rsidP="00D53E6F">
      <w:pPr>
        <w:spacing w:line="240" w:lineRule="auto"/>
      </w:pPr>
    </w:p>
    <w:p w14:paraId="162A193F" w14:textId="77777777" w:rsidR="00D53E6F" w:rsidRPr="00C966BE" w:rsidRDefault="00D53E6F" w:rsidP="00D53E6F">
      <w:pPr>
        <w:spacing w:line="240" w:lineRule="auto"/>
      </w:pPr>
      <w:r w:rsidRPr="00C966BE">
        <w:t>The no-action alternative (</w:t>
      </w:r>
      <w:r>
        <w:t>i.e., </w:t>
      </w:r>
      <w:r w:rsidRPr="00C966BE">
        <w:t>status quo, regulatory baseline) is a nonrulemaking alternative.  The no</w:t>
      </w:r>
      <w:r w:rsidRPr="00C966BE">
        <w:noBreakHyphen/>
        <w:t xml:space="preserve">action alternative would not revise the NRC’s regulations to incorporate by reference the latest revisions to these three RGs and would not make conforming changes to 10 CFR 50.55a to comply with guidance from the Office of the </w:t>
      </w:r>
      <w:r w:rsidRPr="00FD6794">
        <w:t>Federal Register</w:t>
      </w:r>
      <w:r w:rsidRPr="00C966BE">
        <w:t xml:space="preserve"> for incorporating by reference multiple standards into regulations.  The no</w:t>
      </w:r>
      <w:r w:rsidRPr="00C966BE">
        <w:noBreakHyphen/>
        <w:t xml:space="preserve">action alternative would cause licensees and applicants that </w:t>
      </w:r>
      <w:r>
        <w:t>want</w:t>
      </w:r>
      <w:r w:rsidRPr="00C966BE">
        <w:t xml:space="preserve"> to use these ASME Code Cases to request and receive approval from the NRC for the use of alternatives under 10 CFR 50.55a(z).  The NRC does not recommend this alternative for the following reasons:</w:t>
      </w:r>
    </w:p>
    <w:p w14:paraId="68174DD1" w14:textId="77777777" w:rsidR="00D53E6F" w:rsidRPr="00C966BE" w:rsidRDefault="00D53E6F" w:rsidP="00D53E6F">
      <w:pPr>
        <w:spacing w:line="240" w:lineRule="auto"/>
        <w:rPr>
          <w:color w:val="auto"/>
        </w:rPr>
      </w:pPr>
    </w:p>
    <w:p w14:paraId="61113326" w14:textId="77777777" w:rsidR="00D53E6F" w:rsidRPr="00C966BE" w:rsidRDefault="00D53E6F" w:rsidP="00D53E6F">
      <w:pPr>
        <w:numPr>
          <w:ilvl w:val="0"/>
          <w:numId w:val="13"/>
        </w:numPr>
        <w:spacing w:line="240" w:lineRule="auto"/>
        <w:ind w:hanging="720"/>
        <w:contextualSpacing/>
        <w:rPr>
          <w:color w:val="auto"/>
        </w:rPr>
      </w:pPr>
      <w:r w:rsidRPr="00C966BE">
        <w:rPr>
          <w:color w:val="auto"/>
        </w:rPr>
        <w:t xml:space="preserve">Licensees and applicants would need to submit requests for alternatives to apply </w:t>
      </w:r>
      <w:r>
        <w:rPr>
          <w:color w:val="auto"/>
        </w:rPr>
        <w:t xml:space="preserve">ASME </w:t>
      </w:r>
      <w:r w:rsidRPr="00C966BE">
        <w:rPr>
          <w:color w:val="auto"/>
        </w:rPr>
        <w:t>Code Cases under 10 CFR 50.55a(z) because those Code Cases have not been approved in the RGs and have not been incorporated by reference in</w:t>
      </w:r>
      <w:r>
        <w:rPr>
          <w:color w:val="auto"/>
        </w:rPr>
        <w:t>to</w:t>
      </w:r>
      <w:r w:rsidRPr="00C966BE">
        <w:rPr>
          <w:color w:val="auto"/>
        </w:rPr>
        <w:t xml:space="preserve"> 10 CFR 50.55a.  This process would result in increased regulatory burden to licensees, applicants, and the NRC.</w:t>
      </w:r>
    </w:p>
    <w:p w14:paraId="6BE42C0B" w14:textId="77777777" w:rsidR="00D53E6F" w:rsidRPr="00C966BE" w:rsidRDefault="00D53E6F" w:rsidP="00D53E6F">
      <w:pPr>
        <w:spacing w:line="240" w:lineRule="auto"/>
        <w:ind w:left="720" w:hanging="720"/>
        <w:contextualSpacing/>
        <w:rPr>
          <w:color w:val="auto"/>
        </w:rPr>
      </w:pPr>
    </w:p>
    <w:p w14:paraId="2B7A89C6" w14:textId="77777777" w:rsidR="00D53E6F" w:rsidRDefault="00D53E6F" w:rsidP="00D53E6F">
      <w:pPr>
        <w:numPr>
          <w:ilvl w:val="0"/>
          <w:numId w:val="13"/>
        </w:numPr>
        <w:spacing w:line="240" w:lineRule="auto"/>
        <w:ind w:hanging="720"/>
        <w:contextualSpacing/>
        <w:rPr>
          <w:color w:val="auto"/>
        </w:rPr>
      </w:pPr>
      <w:r>
        <w:t>Alternative 1</w:t>
      </w:r>
      <w:r>
        <w:rPr>
          <w:color w:val="auto"/>
        </w:rPr>
        <w:t xml:space="preserve"> may reduce p</w:t>
      </w:r>
      <w:r w:rsidRPr="00FF3A9D">
        <w:rPr>
          <w:color w:val="auto"/>
        </w:rPr>
        <w:t>ublic</w:t>
      </w:r>
      <w:r w:rsidRPr="00052783">
        <w:rPr>
          <w:color w:val="auto"/>
        </w:rPr>
        <w:t xml:space="preserve"> confidence in the NRC as an effective regulator because ASME periodically publishes, revises, and annuls its Code Cases.  Under Alternative 1, outdated material and possibly inaccurate information wo</w:t>
      </w:r>
      <w:r w:rsidRPr="00180A7F">
        <w:rPr>
          <w:color w:val="auto"/>
        </w:rPr>
        <w:t xml:space="preserve">uld remain incorporated by reference </w:t>
      </w:r>
      <w:r w:rsidRPr="00052783">
        <w:rPr>
          <w:color w:val="auto"/>
        </w:rPr>
        <w:t xml:space="preserve">into </w:t>
      </w:r>
      <w:r w:rsidRPr="00FF3A9D">
        <w:rPr>
          <w:color w:val="auto"/>
        </w:rPr>
        <w:t xml:space="preserve">the </w:t>
      </w:r>
      <w:r w:rsidRPr="00C966BE">
        <w:rPr>
          <w:i/>
          <w:color w:val="auto"/>
        </w:rPr>
        <w:t>Code of Federal Regulations</w:t>
      </w:r>
      <w:r w:rsidRPr="00C966BE">
        <w:rPr>
          <w:color w:val="auto"/>
        </w:rPr>
        <w:t>.</w:t>
      </w:r>
    </w:p>
    <w:p w14:paraId="17043A70" w14:textId="77777777" w:rsidR="00D53E6F" w:rsidRPr="00FF3A9D" w:rsidRDefault="00D53E6F" w:rsidP="00D53E6F">
      <w:pPr>
        <w:spacing w:line="240" w:lineRule="auto"/>
        <w:ind w:left="720"/>
        <w:contextualSpacing/>
        <w:rPr>
          <w:color w:val="auto"/>
        </w:rPr>
      </w:pPr>
    </w:p>
    <w:p w14:paraId="1842956F" w14:textId="77777777" w:rsidR="00D53E6F" w:rsidRDefault="00D53E6F" w:rsidP="00D53E6F">
      <w:pPr>
        <w:spacing w:line="240" w:lineRule="auto"/>
      </w:pPr>
      <w:r>
        <w:rPr>
          <w:color w:val="auto"/>
        </w:rPr>
        <w:t>The no-action</w:t>
      </w:r>
      <w:r w:rsidRPr="00C966BE">
        <w:rPr>
          <w:color w:val="auto"/>
        </w:rPr>
        <w:t xml:space="preserve"> alternative does not meet the intent of </w:t>
      </w:r>
      <w:r>
        <w:rPr>
          <w:color w:val="auto"/>
        </w:rPr>
        <w:t xml:space="preserve">the </w:t>
      </w:r>
      <w:r w:rsidRPr="00C966BE">
        <w:rPr>
          <w:color w:val="auto"/>
        </w:rPr>
        <w:t xml:space="preserve">NTTAA, which encourages Federal regulatory agencies to consider adopting voluntary consensus standards as an alternative to </w:t>
      </w:r>
      <w:r w:rsidRPr="004E122F">
        <w:rPr>
          <w:i/>
          <w:color w:val="auto"/>
        </w:rPr>
        <w:t xml:space="preserve">de novo </w:t>
      </w:r>
      <w:r w:rsidRPr="00FF3A9D">
        <w:rPr>
          <w:color w:val="auto"/>
        </w:rPr>
        <w:t>agency</w:t>
      </w:r>
      <w:r w:rsidRPr="00C966BE">
        <w:rPr>
          <w:color w:val="auto"/>
        </w:rPr>
        <w:t xml:space="preserve"> development of standards affecting an industry.</w:t>
      </w:r>
    </w:p>
    <w:p w14:paraId="4D6B8662" w14:textId="77777777" w:rsidR="00D53E6F" w:rsidRPr="006B46C5" w:rsidRDefault="00D53E6F" w:rsidP="00D53E6F">
      <w:pPr>
        <w:spacing w:line="240" w:lineRule="auto"/>
      </w:pPr>
    </w:p>
    <w:p w14:paraId="310F4D3F" w14:textId="77777777" w:rsidR="00D53E6F" w:rsidRPr="009D3CF6" w:rsidRDefault="00D53E6F" w:rsidP="00D53E6F">
      <w:pPr>
        <w:pStyle w:val="Heading2"/>
        <w:spacing w:line="240" w:lineRule="auto"/>
        <w:ind w:left="720" w:hanging="720"/>
      </w:pPr>
      <w:bookmarkStart w:id="52" w:name="_Toc456098215"/>
      <w:bookmarkStart w:id="53" w:name="_Toc12808772"/>
      <w:r>
        <w:t>3.2</w:t>
      </w:r>
      <w:r>
        <w:tab/>
      </w:r>
      <w:bookmarkStart w:id="54" w:name="_Toc457827228"/>
      <w:r>
        <w:t>Alternative 2—</w:t>
      </w:r>
      <w:bookmarkEnd w:id="52"/>
      <w:bookmarkEnd w:id="54"/>
      <w:r w:rsidRPr="00BD3549">
        <w:t>Incorporate by Reference NRC</w:t>
      </w:r>
      <w:r>
        <w:noBreakHyphen/>
      </w:r>
      <w:r w:rsidRPr="00BD3549">
        <w:t>Approved ASME BPV and OM</w:t>
      </w:r>
      <w:r>
        <w:t> Code Cases</w:t>
      </w:r>
      <w:bookmarkEnd w:id="53"/>
    </w:p>
    <w:p w14:paraId="33133617" w14:textId="77777777" w:rsidR="00D53E6F" w:rsidRPr="009D3CF6" w:rsidRDefault="00D53E6F" w:rsidP="00D53E6F">
      <w:pPr>
        <w:keepNext/>
        <w:spacing w:line="240" w:lineRule="auto"/>
      </w:pPr>
    </w:p>
    <w:p w14:paraId="030EDFC9" w14:textId="77777777" w:rsidR="00D53E6F" w:rsidRPr="006F4E88" w:rsidRDefault="00D53E6F" w:rsidP="00D53E6F">
      <w:pPr>
        <w:spacing w:line="240" w:lineRule="auto"/>
      </w:pPr>
      <w:r w:rsidRPr="006F4E88">
        <w:t xml:space="preserve">Alternative 2 would incorporate by reference the latest revisions to the RGs </w:t>
      </w:r>
      <w:r>
        <w:t xml:space="preserve">that </w:t>
      </w:r>
      <w:r w:rsidRPr="006F4E88">
        <w:t>list</w:t>
      </w:r>
      <w:r>
        <w:t xml:space="preserve"> NRC</w:t>
      </w:r>
      <w:r>
        <w:noBreakHyphen/>
        <w:t>approved</w:t>
      </w:r>
      <w:r w:rsidRPr="006F4E88">
        <w:t xml:space="preserve"> ASME Code Cases.  This alternative would allow licensees and applicants to implement these ASME Code Cases and their conditions and modifications, if any, without seeking prior NRC approval.  This alternative continues the NRC’s </w:t>
      </w:r>
      <w:r>
        <w:t>use</w:t>
      </w:r>
      <w:r w:rsidRPr="006F4E88">
        <w:t xml:space="preserve"> of periodic rulemakings to incorporate by reference in 10 CFR 50.55a the latest </w:t>
      </w:r>
      <w:r>
        <w:t xml:space="preserve">versions of </w:t>
      </w:r>
      <w:r w:rsidRPr="006F4E88">
        <w:t>RGs that list NRC</w:t>
      </w:r>
      <w:r w:rsidRPr="006F4E88">
        <w:noBreakHyphen/>
        <w:t>approved alternatives to the provisions of the ASME BPV and OM Code</w:t>
      </w:r>
      <w:r>
        <w:t>s</w:t>
      </w:r>
      <w:r w:rsidRPr="006F4E88">
        <w:t>.</w:t>
      </w:r>
    </w:p>
    <w:p w14:paraId="6CABC3CF" w14:textId="77777777" w:rsidR="00D53E6F" w:rsidRPr="006F4E88" w:rsidRDefault="00D53E6F" w:rsidP="00D53E6F">
      <w:pPr>
        <w:spacing w:line="240" w:lineRule="auto"/>
        <w:rPr>
          <w:color w:val="auto"/>
        </w:rPr>
      </w:pPr>
    </w:p>
    <w:p w14:paraId="1483D956" w14:textId="77777777" w:rsidR="00D53E6F" w:rsidRDefault="00D53E6F" w:rsidP="00D53E6F">
      <w:pPr>
        <w:spacing w:line="240" w:lineRule="auto"/>
      </w:pPr>
      <w:r w:rsidRPr="006F4E88">
        <w:rPr>
          <w:color w:val="auto"/>
        </w:rPr>
        <w:t xml:space="preserve">The NRC </w:t>
      </w:r>
      <w:r>
        <w:rPr>
          <w:color w:val="auto"/>
        </w:rPr>
        <w:t>is pursuing</w:t>
      </w:r>
      <w:r w:rsidRPr="006F4E88">
        <w:rPr>
          <w:color w:val="auto"/>
        </w:rPr>
        <w:t xml:space="preserve"> the rulemaking alternative for the following reasons:</w:t>
      </w:r>
    </w:p>
    <w:p w14:paraId="21356979" w14:textId="77777777" w:rsidR="00D53E6F" w:rsidRDefault="00D53E6F" w:rsidP="00D53E6F">
      <w:pPr>
        <w:spacing w:line="240" w:lineRule="auto"/>
      </w:pPr>
    </w:p>
    <w:p w14:paraId="191C0766" w14:textId="77777777" w:rsidR="00D53E6F" w:rsidRPr="00BD3549" w:rsidRDefault="00D53E6F" w:rsidP="00D53E6F">
      <w:pPr>
        <w:pStyle w:val="ListParagraph"/>
        <w:numPr>
          <w:ilvl w:val="0"/>
          <w:numId w:val="9"/>
        </w:numPr>
        <w:spacing w:line="240" w:lineRule="auto"/>
        <w:ind w:hanging="720"/>
      </w:pPr>
      <w:r>
        <w:t>T</w:t>
      </w:r>
      <w:r w:rsidRPr="00BD3549">
        <w:t xml:space="preserve">his alternative </w:t>
      </w:r>
      <w:r>
        <w:t>reduces the</w:t>
      </w:r>
      <w:r w:rsidRPr="00BD3549">
        <w:t xml:space="preserve"> regulatory burden </w:t>
      </w:r>
      <w:r>
        <w:t xml:space="preserve">on applicants or holders of licenses for nuclear power plants </w:t>
      </w:r>
      <w:r w:rsidRPr="00BD3549">
        <w:t>by eliminating the need to submit plant</w:t>
      </w:r>
      <w:r>
        <w:noBreakHyphen/>
      </w:r>
      <w:r w:rsidRPr="00BD3549">
        <w:t xml:space="preserve">specific requests for alternatives in accordance with </w:t>
      </w:r>
      <w:r>
        <w:t>10 CFR </w:t>
      </w:r>
      <w:r w:rsidRPr="00BD3549">
        <w:t>50.55a(z)</w:t>
      </w:r>
      <w:r>
        <w:t>,</w:t>
      </w:r>
      <w:r w:rsidRPr="00BD3549">
        <w:t xml:space="preserve"> and </w:t>
      </w:r>
      <w:r>
        <w:t xml:space="preserve">it reduces the need </w:t>
      </w:r>
      <w:r w:rsidRPr="00BD3549">
        <w:t>for the NRC to review those submittals.</w:t>
      </w:r>
    </w:p>
    <w:p w14:paraId="63548F9F" w14:textId="77777777" w:rsidR="00D53E6F" w:rsidRPr="00BD3549" w:rsidRDefault="00D53E6F" w:rsidP="00D53E6F">
      <w:pPr>
        <w:pStyle w:val="ListParagraph"/>
        <w:spacing w:line="240" w:lineRule="auto"/>
        <w:ind w:hanging="720"/>
      </w:pPr>
    </w:p>
    <w:p w14:paraId="3E16B01D" w14:textId="77777777" w:rsidR="00D53E6F" w:rsidRDefault="00D53E6F" w:rsidP="00D53E6F">
      <w:pPr>
        <w:pStyle w:val="ListParagraph"/>
        <w:numPr>
          <w:ilvl w:val="0"/>
          <w:numId w:val="9"/>
        </w:numPr>
        <w:spacing w:line="240" w:lineRule="auto"/>
        <w:ind w:hanging="720"/>
      </w:pPr>
      <w:r>
        <w:t xml:space="preserve">This alternative </w:t>
      </w:r>
      <w:r w:rsidRPr="00D41352">
        <w:t>meets the NRC</w:t>
      </w:r>
      <w:r>
        <w:t>’s</w:t>
      </w:r>
      <w:r w:rsidRPr="00D41352">
        <w:t xml:space="preserve"> goal of ensuring the protection of public health and safety and the environment by continuing to provide NRC approval of new ASME Code </w:t>
      </w:r>
      <w:r>
        <w:t xml:space="preserve">editions </w:t>
      </w:r>
      <w:r w:rsidRPr="00D41352">
        <w:t>that allow the use of the most c</w:t>
      </w:r>
      <w:r>
        <w:t>urrent methods and technology.</w:t>
      </w:r>
    </w:p>
    <w:p w14:paraId="076F0ADA" w14:textId="77777777" w:rsidR="00D53E6F" w:rsidRDefault="00D53E6F" w:rsidP="00D53E6F">
      <w:pPr>
        <w:pStyle w:val="ListParagraph"/>
        <w:spacing w:line="240" w:lineRule="auto"/>
        <w:ind w:hanging="720"/>
      </w:pPr>
    </w:p>
    <w:p w14:paraId="49FFF728" w14:textId="77777777" w:rsidR="00D53E6F" w:rsidRDefault="00D53E6F" w:rsidP="00D53E6F">
      <w:pPr>
        <w:pStyle w:val="ListParagraph"/>
        <w:numPr>
          <w:ilvl w:val="0"/>
          <w:numId w:val="9"/>
        </w:numPr>
        <w:spacing w:line="240" w:lineRule="auto"/>
        <w:ind w:hanging="720"/>
      </w:pPr>
      <w:r w:rsidRPr="00BD3549">
        <w:t>This alternative support</w:t>
      </w:r>
      <w:r>
        <w:t>s</w:t>
      </w:r>
      <w:r w:rsidRPr="00BD3549">
        <w:t xml:space="preserve"> the NRC’s goal of maintaining an open regulatory process by informing the public about </w:t>
      </w:r>
      <w:r>
        <w:t xml:space="preserve">the process </w:t>
      </w:r>
      <w:r w:rsidRPr="00BD3549">
        <w:t xml:space="preserve">and by </w:t>
      </w:r>
      <w:r>
        <w:t>giving the public</w:t>
      </w:r>
      <w:r w:rsidRPr="00BD3549">
        <w:t xml:space="preserve"> the opportunity to participate in </w:t>
      </w:r>
      <w:r>
        <w:t>it</w:t>
      </w:r>
      <w:r w:rsidRPr="00BD3549">
        <w:t>.</w:t>
      </w:r>
    </w:p>
    <w:p w14:paraId="7BB98894" w14:textId="77777777" w:rsidR="00D53E6F" w:rsidRDefault="00D53E6F" w:rsidP="00D53E6F">
      <w:pPr>
        <w:pStyle w:val="ListParagraph"/>
        <w:spacing w:line="240" w:lineRule="auto"/>
        <w:ind w:hanging="720"/>
      </w:pPr>
    </w:p>
    <w:p w14:paraId="17B987CF" w14:textId="77777777" w:rsidR="00D53E6F" w:rsidRPr="00BD3549" w:rsidRDefault="00D53E6F" w:rsidP="00D53E6F">
      <w:pPr>
        <w:pStyle w:val="ListParagraph"/>
        <w:numPr>
          <w:ilvl w:val="0"/>
          <w:numId w:val="9"/>
        </w:numPr>
        <w:spacing w:line="240" w:lineRule="auto"/>
        <w:ind w:hanging="720"/>
      </w:pPr>
      <w:r w:rsidRPr="00BD3549">
        <w:t xml:space="preserve">This alternative supports the </w:t>
      </w:r>
      <w:r>
        <w:t>NRC’s</w:t>
      </w:r>
      <w:r w:rsidRPr="00BD3549">
        <w:t xml:space="preserve"> commitment to participat</w:t>
      </w:r>
      <w:r>
        <w:t>ing</w:t>
      </w:r>
      <w:r w:rsidRPr="00BD3549">
        <w:t xml:space="preserve"> in the national consensus standard process through the approval of these ASME </w:t>
      </w:r>
      <w:r>
        <w:t>Code editions, and it conforms to NTTAA requirements</w:t>
      </w:r>
      <w:r w:rsidRPr="00BD3549">
        <w:t>.</w:t>
      </w:r>
    </w:p>
    <w:p w14:paraId="439BD55C" w14:textId="77777777" w:rsidR="00D53E6F" w:rsidRPr="00BD3549" w:rsidRDefault="00D53E6F" w:rsidP="00D53E6F">
      <w:pPr>
        <w:pStyle w:val="ListParagraph"/>
        <w:spacing w:line="240" w:lineRule="auto"/>
        <w:ind w:hanging="720"/>
      </w:pPr>
    </w:p>
    <w:p w14:paraId="4C54F700" w14:textId="77777777" w:rsidR="00D53E6F" w:rsidRDefault="00D53E6F" w:rsidP="00D53E6F">
      <w:pPr>
        <w:pStyle w:val="ListParagraph"/>
        <w:numPr>
          <w:ilvl w:val="0"/>
          <w:numId w:val="9"/>
        </w:numPr>
        <w:spacing w:line="240" w:lineRule="auto"/>
        <w:ind w:hanging="720"/>
      </w:pPr>
      <w:r w:rsidRPr="00BD3549">
        <w:t xml:space="preserve">The </w:t>
      </w:r>
      <w:r>
        <w:t>initial burden on the NRC</w:t>
      </w:r>
      <w:r w:rsidRPr="00BD3549">
        <w:t xml:space="preserve"> to update the regulations by </w:t>
      </w:r>
      <w:r>
        <w:t>incorporating by reference</w:t>
      </w:r>
      <w:r w:rsidRPr="00BD3549">
        <w:t xml:space="preserve"> the editions and addenda of the ASME BPV and OM Codes</w:t>
      </w:r>
      <w:r>
        <w:t xml:space="preserve"> cited here</w:t>
      </w:r>
      <w:r w:rsidRPr="00BD3549">
        <w:t xml:space="preserve"> </w:t>
      </w:r>
      <w:r>
        <w:t xml:space="preserve">is more than </w:t>
      </w:r>
      <w:r w:rsidRPr="00BD3549">
        <w:t xml:space="preserve">offset by the reduction in the number of plant-specific </w:t>
      </w:r>
      <w:r>
        <w:t>alternative</w:t>
      </w:r>
      <w:r w:rsidRPr="00BD3549">
        <w:t xml:space="preserve"> requests that the </w:t>
      </w:r>
      <w:r>
        <w:t>NRC would otherwise evaluate</w:t>
      </w:r>
      <w:r w:rsidRPr="00BD3549">
        <w:t xml:space="preserve">.  </w:t>
      </w:r>
      <w:r>
        <w:t>Section 5 of this regulatory analysis discusses t</w:t>
      </w:r>
      <w:r w:rsidRPr="00BD3549">
        <w:t>he costs and benefits</w:t>
      </w:r>
      <w:r>
        <w:t xml:space="preserve"> of this alternative relative to the regulatory baseline (Alternative 1)</w:t>
      </w:r>
      <w:r w:rsidRPr="00BD3549">
        <w:t>.</w:t>
      </w:r>
    </w:p>
    <w:p w14:paraId="729486E6" w14:textId="77777777" w:rsidR="00D53E6F" w:rsidRPr="001A35F6" w:rsidRDefault="00D53E6F" w:rsidP="00D53E6F">
      <w:pPr>
        <w:spacing w:line="240" w:lineRule="auto"/>
      </w:pPr>
    </w:p>
    <w:p w14:paraId="470825D5" w14:textId="77777777" w:rsidR="00D53E6F" w:rsidRPr="00135820" w:rsidRDefault="00D53E6F" w:rsidP="00D53E6F">
      <w:pPr>
        <w:pStyle w:val="Heading1"/>
        <w:numPr>
          <w:ilvl w:val="0"/>
          <w:numId w:val="10"/>
        </w:numPr>
        <w:spacing w:before="0" w:line="240" w:lineRule="auto"/>
        <w:ind w:left="360"/>
      </w:pPr>
      <w:bookmarkStart w:id="55" w:name="_Ref386989918"/>
      <w:bookmarkStart w:id="56" w:name="_Toc456098216"/>
      <w:bookmarkStart w:id="57" w:name="_Toc457827229"/>
      <w:bookmarkStart w:id="58" w:name="_Toc12808773"/>
      <w:r>
        <w:t xml:space="preserve">Estimation and </w:t>
      </w:r>
      <w:r w:rsidRPr="00135820">
        <w:t>Evaluation of Costs</w:t>
      </w:r>
      <w:bookmarkEnd w:id="55"/>
      <w:bookmarkEnd w:id="56"/>
      <w:bookmarkEnd w:id="57"/>
      <w:r>
        <w:t xml:space="preserve"> and Benefits</w:t>
      </w:r>
      <w:bookmarkEnd w:id="58"/>
    </w:p>
    <w:p w14:paraId="1EA03505" w14:textId="77777777" w:rsidR="00D53E6F" w:rsidRPr="00135820" w:rsidRDefault="00D53E6F" w:rsidP="00D53E6F">
      <w:pPr>
        <w:spacing w:line="240" w:lineRule="auto"/>
      </w:pPr>
    </w:p>
    <w:p w14:paraId="031ED617" w14:textId="77777777" w:rsidR="00D53E6F" w:rsidRDefault="00D53E6F" w:rsidP="00D53E6F">
      <w:pPr>
        <w:spacing w:line="240" w:lineRule="auto"/>
      </w:pPr>
      <w:r w:rsidRPr="00135820">
        <w:t xml:space="preserve">This section </w:t>
      </w:r>
      <w:r>
        <w:t>presents the process for evaluating</w:t>
      </w:r>
      <w:r w:rsidRPr="00135820">
        <w:t xml:space="preserve"> the costs</w:t>
      </w:r>
      <w:r>
        <w:t xml:space="preserve"> and benefits</w:t>
      </w:r>
      <w:r w:rsidRPr="00135820">
        <w:t xml:space="preserve"> expected to result from each alternative relative to the regulatory baseline</w:t>
      </w:r>
      <w:r>
        <w:t xml:space="preserve"> (Alternative 1)</w:t>
      </w:r>
      <w:r w:rsidRPr="00135820">
        <w:t xml:space="preserve">.  </w:t>
      </w:r>
      <w:r>
        <w:t>A</w:t>
      </w:r>
      <w:r w:rsidRPr="00135820">
        <w:t xml:space="preserve">ll costs and benefits are </w:t>
      </w:r>
      <w:r>
        <w:t>monetized, when possible</w:t>
      </w:r>
      <w:r w:rsidRPr="00135820">
        <w:t xml:space="preserve">.  The total costs and benefits </w:t>
      </w:r>
      <w:r>
        <w:t>are then</w:t>
      </w:r>
      <w:r w:rsidRPr="00135820">
        <w:t xml:space="preserve"> summed to determine whether the difference between the costs and benefits </w:t>
      </w:r>
      <w:r>
        <w:t>results in</w:t>
      </w:r>
      <w:r w:rsidRPr="00135820">
        <w:t xml:space="preserve"> a positive benefit.  </w:t>
      </w:r>
      <w:r>
        <w:t>I</w:t>
      </w:r>
      <w:r w:rsidRPr="00135820">
        <w:t>n some cases</w:t>
      </w:r>
      <w:r>
        <w:t>,</w:t>
      </w:r>
      <w:r w:rsidRPr="00135820">
        <w:t xml:space="preserve"> </w:t>
      </w:r>
      <w:r>
        <w:t xml:space="preserve">costs and </w:t>
      </w:r>
      <w:r w:rsidRPr="00135820">
        <w:t>benefits</w:t>
      </w:r>
      <w:r>
        <w:t xml:space="preserve"> are</w:t>
      </w:r>
      <w:r w:rsidRPr="00135820">
        <w:t xml:space="preserve"> not </w:t>
      </w:r>
      <w:r>
        <w:t>monetized</w:t>
      </w:r>
      <w:r w:rsidRPr="00135820">
        <w:t xml:space="preserve"> because meaningful quantification is not possible.</w:t>
      </w:r>
    </w:p>
    <w:p w14:paraId="5107D897" w14:textId="77777777" w:rsidR="00D53E6F" w:rsidRPr="00135820" w:rsidRDefault="00D53E6F" w:rsidP="00D53E6F">
      <w:pPr>
        <w:spacing w:line="240" w:lineRule="auto"/>
      </w:pPr>
    </w:p>
    <w:p w14:paraId="350D0774" w14:textId="77777777" w:rsidR="00D53E6F" w:rsidRPr="00135820" w:rsidRDefault="00D53E6F" w:rsidP="00D53E6F">
      <w:pPr>
        <w:pStyle w:val="Heading2"/>
        <w:tabs>
          <w:tab w:val="left" w:pos="540"/>
        </w:tabs>
        <w:spacing w:line="240" w:lineRule="auto"/>
      </w:pPr>
      <w:bookmarkStart w:id="59" w:name="_Toc456098217"/>
      <w:bookmarkStart w:id="60" w:name="_Toc12808774"/>
      <w:r>
        <w:t>4.1</w:t>
      </w:r>
      <w:r>
        <w:tab/>
      </w:r>
      <w:bookmarkStart w:id="61" w:name="_Toc457827230"/>
      <w:r w:rsidRPr="00135820">
        <w:t>Identification of Affected Attributes</w:t>
      </w:r>
      <w:bookmarkEnd w:id="59"/>
      <w:bookmarkEnd w:id="60"/>
      <w:bookmarkEnd w:id="61"/>
    </w:p>
    <w:p w14:paraId="4FE3BB84" w14:textId="77777777" w:rsidR="00D53E6F" w:rsidRPr="00135820" w:rsidRDefault="00D53E6F" w:rsidP="00D53E6F">
      <w:pPr>
        <w:spacing w:line="240" w:lineRule="auto"/>
      </w:pPr>
    </w:p>
    <w:p w14:paraId="6E9D90A4" w14:textId="64A516E6" w:rsidR="00D53E6F" w:rsidRPr="00135820" w:rsidRDefault="00D53E6F" w:rsidP="00D53E6F">
      <w:pPr>
        <w:spacing w:line="240" w:lineRule="auto"/>
      </w:pPr>
      <w:r w:rsidRPr="00135820">
        <w:t>This section identifies the components of the public and private sectors, commonly referred to as attributes</w:t>
      </w:r>
      <w:r>
        <w:t>,</w:t>
      </w:r>
      <w:r w:rsidRPr="00135820">
        <w:t xml:space="preserve"> </w:t>
      </w:r>
      <w:r>
        <w:t>that</w:t>
      </w:r>
      <w:r w:rsidRPr="00135820">
        <w:t xml:space="preserve"> are expected to be affected by the alternatives identified in </w:t>
      </w:r>
      <w:r>
        <w:t>S</w:t>
      </w:r>
      <w:r w:rsidRPr="00135820">
        <w:t>ection</w:t>
      </w:r>
      <w:r>
        <w:t> </w:t>
      </w:r>
      <w:r w:rsidRPr="00135820">
        <w:t xml:space="preserve">3.  The alternatives would apply to licensees and applicants </w:t>
      </w:r>
      <w:r>
        <w:t>for</w:t>
      </w:r>
      <w:r w:rsidRPr="00135820">
        <w:t xml:space="preserve"> nuclear power plants and nuclear power plant design certifications.  The NRC believes that nuclear power plant licensees w</w:t>
      </w:r>
      <w:r>
        <w:t>ould</w:t>
      </w:r>
      <w:r w:rsidRPr="00135820">
        <w:t xml:space="preserve"> be the primary beneficiaries.  </w:t>
      </w:r>
      <w:r w:rsidR="00173B30">
        <w:t>The NRC</w:t>
      </w:r>
      <w:r>
        <w:t xml:space="preserve"> developed a</w:t>
      </w:r>
      <w:r w:rsidRPr="00135820">
        <w:t xml:space="preserve">n inventory of the impacted attributes using the list in </w:t>
      </w:r>
      <w:r>
        <w:t>NUREG/BR</w:t>
      </w:r>
      <w:r>
        <w:noBreakHyphen/>
        <w:t>0058, “</w:t>
      </w:r>
      <w:r w:rsidRPr="002A3407">
        <w:t>Regulatory Analysis Guidelines of the U.S.</w:t>
      </w:r>
      <w:r>
        <w:t> </w:t>
      </w:r>
      <w:r w:rsidRPr="002A3407">
        <w:t>Nuclear Regulatory Commission</w:t>
      </w:r>
      <w:r>
        <w:t xml:space="preserve">,” </w:t>
      </w:r>
      <w:r w:rsidR="0001793A">
        <w:t xml:space="preserve">draft </w:t>
      </w:r>
      <w:r>
        <w:t>Revision 5,</w:t>
      </w:r>
      <w:r w:rsidRPr="00135820">
        <w:t xml:space="preserve"> </w:t>
      </w:r>
      <w:r>
        <w:t>issued March 2018 (NRC 2018a)</w:t>
      </w:r>
      <w:r w:rsidRPr="00135820">
        <w:t>.</w:t>
      </w:r>
    </w:p>
    <w:p w14:paraId="2DC2CDAE" w14:textId="77777777" w:rsidR="00D53E6F" w:rsidRPr="00135820" w:rsidRDefault="00D53E6F" w:rsidP="00D53E6F">
      <w:pPr>
        <w:spacing w:line="240" w:lineRule="auto"/>
      </w:pPr>
    </w:p>
    <w:p w14:paraId="2559477B" w14:textId="77777777" w:rsidR="00D53E6F" w:rsidRPr="00135820" w:rsidRDefault="00D53E6F" w:rsidP="00373E67">
      <w:pPr>
        <w:keepNext/>
        <w:spacing w:line="240" w:lineRule="auto"/>
      </w:pPr>
      <w:r w:rsidRPr="00135820">
        <w:t xml:space="preserve">The </w:t>
      </w:r>
      <w:r>
        <w:t xml:space="preserve">rule would affect the following </w:t>
      </w:r>
      <w:r w:rsidRPr="00135820">
        <w:t>attributes:</w:t>
      </w:r>
    </w:p>
    <w:p w14:paraId="6D180728" w14:textId="77777777" w:rsidR="00D53E6F" w:rsidRPr="00135820" w:rsidRDefault="00D53E6F" w:rsidP="00373E67">
      <w:pPr>
        <w:keepNext/>
        <w:spacing w:line="240" w:lineRule="auto"/>
      </w:pPr>
    </w:p>
    <w:p w14:paraId="4DD782B1" w14:textId="77777777" w:rsidR="00D53E6F" w:rsidRPr="00CA7C7A" w:rsidRDefault="00D53E6F" w:rsidP="00D53E6F">
      <w:pPr>
        <w:pStyle w:val="ListParagraph"/>
        <w:numPr>
          <w:ilvl w:val="0"/>
          <w:numId w:val="3"/>
        </w:numPr>
        <w:spacing w:line="240" w:lineRule="auto"/>
        <w:ind w:hanging="720"/>
      </w:pPr>
      <w:r w:rsidRPr="00CA7C7A">
        <w:rPr>
          <w:u w:val="single"/>
        </w:rPr>
        <w:t>Public Health (Accident)</w:t>
      </w:r>
      <w:r w:rsidRPr="00CA7C7A">
        <w:t xml:space="preserve">.  </w:t>
      </w:r>
      <w:r w:rsidRPr="00BD3549">
        <w:t xml:space="preserve">This attribute </w:t>
      </w:r>
      <w:r>
        <w:t>accounts for</w:t>
      </w:r>
      <w:r w:rsidRPr="00BD3549">
        <w:t xml:space="preserve"> expected changes in radiation exposure to the public caused by changes in accident frequencies or accident consequences associated with the </w:t>
      </w:r>
      <w:r>
        <w:t>alternative</w:t>
      </w:r>
      <w:r w:rsidRPr="00BD3549">
        <w:t xml:space="preserve"> (i.e.,</w:t>
      </w:r>
      <w:r>
        <w:t> </w:t>
      </w:r>
      <w:r w:rsidRPr="00BD3549">
        <w:t xml:space="preserve">delta risk).  </w:t>
      </w:r>
      <w:r>
        <w:t>Alternative 2, as compared to the regulatory baseline (Alternative 1),</w:t>
      </w:r>
      <w:r w:rsidRPr="00BD3549">
        <w:t xml:space="preserve"> meets the NRC</w:t>
      </w:r>
      <w:r>
        <w:t>’s</w:t>
      </w:r>
      <w:r w:rsidRPr="00BD3549">
        <w:t xml:space="preserve"> goal of ensuring the protection of public health and safety and the environment by continuing to provide </w:t>
      </w:r>
      <w:r>
        <w:t xml:space="preserve">the </w:t>
      </w:r>
      <w:r w:rsidRPr="00BD3549">
        <w:t>NRC</w:t>
      </w:r>
      <w:r>
        <w:t>’s</w:t>
      </w:r>
      <w:r w:rsidRPr="00BD3549">
        <w:t xml:space="preserve"> approval of new ASME </w:t>
      </w:r>
      <w:r>
        <w:t>Code Cases</w:t>
      </w:r>
      <w:r w:rsidRPr="00BD3549">
        <w:t xml:space="preserve"> that allow the use of the most current methods and technology</w:t>
      </w:r>
      <w:r>
        <w:t xml:space="preserve"> and that may decrease the likelihood of an accident and, therefore, decrease the overall risk to public health</w:t>
      </w:r>
      <w:r w:rsidRPr="00BD3549">
        <w:t>.</w:t>
      </w:r>
    </w:p>
    <w:p w14:paraId="5FBD8F33" w14:textId="77777777" w:rsidR="00D53E6F" w:rsidRPr="00CA7C7A" w:rsidRDefault="00D53E6F" w:rsidP="004A7B59">
      <w:pPr>
        <w:pStyle w:val="ListParagraph"/>
        <w:spacing w:line="240" w:lineRule="auto"/>
      </w:pPr>
    </w:p>
    <w:p w14:paraId="062B7BA3" w14:textId="77777777" w:rsidR="00D53E6F" w:rsidRPr="00CA7C7A" w:rsidRDefault="00D53E6F" w:rsidP="00D53E6F">
      <w:pPr>
        <w:pStyle w:val="ListParagraph"/>
        <w:numPr>
          <w:ilvl w:val="0"/>
          <w:numId w:val="3"/>
        </w:numPr>
        <w:spacing w:line="240" w:lineRule="auto"/>
        <w:ind w:hanging="720"/>
      </w:pPr>
      <w:r w:rsidRPr="00CA7C7A">
        <w:rPr>
          <w:u w:val="single"/>
        </w:rPr>
        <w:t>Occupational Health (Accident)</w:t>
      </w:r>
      <w:r w:rsidRPr="00CA7C7A">
        <w:t xml:space="preserve">.  </w:t>
      </w:r>
      <w:r w:rsidRPr="00BD3549">
        <w:t xml:space="preserve">This attribute measures </w:t>
      </w:r>
      <w:r>
        <w:t>immediate and long</w:t>
      </w:r>
      <w:r>
        <w:noBreakHyphen/>
        <w:t xml:space="preserve">term </w:t>
      </w:r>
      <w:r w:rsidRPr="00BD3549">
        <w:t>health effects</w:t>
      </w:r>
      <w:r>
        <w:t xml:space="preserve"> experienced by</w:t>
      </w:r>
      <w:r w:rsidRPr="00BD3549">
        <w:t xml:space="preserve"> site workers because of changes in accident frequency or accident </w:t>
      </w:r>
      <w:r>
        <w:t>consequences associated with the alternative (i.e., delta risk)</w:t>
      </w:r>
      <w:r w:rsidRPr="00BD3549">
        <w:t xml:space="preserve">.  A decrease in worker radiological exposure is </w:t>
      </w:r>
      <w:r>
        <w:t>a decrease in risk (i.e., a benefit)</w:t>
      </w:r>
      <w:r w:rsidRPr="00BD3549">
        <w:t xml:space="preserve">; an increase in worker exposures is </w:t>
      </w:r>
      <w:r>
        <w:t>an increase in risk (i.e., a negative benefit).</w:t>
      </w:r>
      <w:r w:rsidRPr="00BD3549">
        <w:t xml:space="preserve">  The use of ASME </w:t>
      </w:r>
      <w:r>
        <w:t>Code Cases</w:t>
      </w:r>
      <w:r w:rsidRPr="00BD3549">
        <w:t xml:space="preserve"> may </w:t>
      </w:r>
      <w:r>
        <w:t xml:space="preserve">decrease the incremental risk to </w:t>
      </w:r>
      <w:r w:rsidRPr="00BD3549">
        <w:t>occupational health</w:t>
      </w:r>
      <w:r>
        <w:t xml:space="preserve"> following an accident</w:t>
      </w:r>
      <w:r w:rsidRPr="00BD3549">
        <w:t xml:space="preserve">, but </w:t>
      </w:r>
      <w:r>
        <w:t xml:space="preserve">this effect is </w:t>
      </w:r>
      <w:r w:rsidRPr="00BD3549">
        <w:t xml:space="preserve">not easily quantifiable.  For example, advances in ISI and IST may </w:t>
      </w:r>
      <w:r>
        <w:t>lead to</w:t>
      </w:r>
      <w:r w:rsidRPr="00BD3549">
        <w:t xml:space="preserve"> an incremental decrease in the </w:t>
      </w:r>
      <w:r>
        <w:t>frequency</w:t>
      </w:r>
      <w:r w:rsidRPr="00BD3549">
        <w:t xml:space="preserve"> of an accident</w:t>
      </w:r>
      <w:r>
        <w:t>,</w:t>
      </w:r>
      <w:r w:rsidRPr="00BD3549">
        <w:t xml:space="preserve"> </w:t>
      </w:r>
      <w:r>
        <w:t xml:space="preserve">thus </w:t>
      </w:r>
      <w:r w:rsidRPr="00BD3549">
        <w:t xml:space="preserve">resulting in </w:t>
      </w:r>
      <w:r>
        <w:t xml:space="preserve">averted </w:t>
      </w:r>
      <w:r w:rsidRPr="00BD3549">
        <w:t xml:space="preserve">worker </w:t>
      </w:r>
      <w:r>
        <w:t xml:space="preserve">postaccident radiological </w:t>
      </w:r>
      <w:r w:rsidRPr="00BD3549">
        <w:t>exposure</w:t>
      </w:r>
      <w:r>
        <w:t>,</w:t>
      </w:r>
      <w:r w:rsidRPr="00BD3549">
        <w:t xml:space="preserve"> </w:t>
      </w:r>
      <w:r>
        <w:t>as</w:t>
      </w:r>
      <w:r w:rsidRPr="00BD3549">
        <w:t xml:space="preserve"> compared to the regulatory baseline</w:t>
      </w:r>
      <w:r>
        <w:t>.</w:t>
      </w:r>
    </w:p>
    <w:p w14:paraId="4D32C31A" w14:textId="77777777" w:rsidR="00D53E6F" w:rsidRPr="00CA7C7A" w:rsidRDefault="00D53E6F" w:rsidP="004A7B59">
      <w:pPr>
        <w:pStyle w:val="ListParagraph"/>
        <w:spacing w:line="240" w:lineRule="auto"/>
      </w:pPr>
    </w:p>
    <w:p w14:paraId="2F73A0B3" w14:textId="77777777" w:rsidR="00D53E6F" w:rsidRPr="00CA7C7A" w:rsidRDefault="00D53E6F" w:rsidP="00D53E6F">
      <w:pPr>
        <w:pStyle w:val="ListParagraph"/>
        <w:numPr>
          <w:ilvl w:val="0"/>
          <w:numId w:val="3"/>
        </w:numPr>
        <w:spacing w:line="240" w:lineRule="auto"/>
        <w:ind w:hanging="720"/>
      </w:pPr>
      <w:r w:rsidRPr="00CA7C7A">
        <w:rPr>
          <w:u w:val="single"/>
        </w:rPr>
        <w:t>Occupational Health (Routine)</w:t>
      </w:r>
      <w:r w:rsidRPr="00CA7C7A">
        <w:t xml:space="preserve">.  </w:t>
      </w:r>
      <w:r w:rsidRPr="00BD3549">
        <w:t>This attribute accounts for radiological exposures to workers during normal facility operations (i.e.,</w:t>
      </w:r>
      <w:r>
        <w:t> </w:t>
      </w:r>
      <w:r w:rsidRPr="00BD3549">
        <w:t xml:space="preserve">nonaccident situations).  </w:t>
      </w:r>
      <w:r>
        <w:t>Some operations will cause</w:t>
      </w:r>
      <w:r w:rsidRPr="00BD3549">
        <w:t xml:space="preserve"> an increase in worker exposures; sometimes this </w:t>
      </w:r>
      <w:r>
        <w:t xml:space="preserve">increase </w:t>
      </w:r>
      <w:r w:rsidRPr="00BD3549">
        <w:t>will be a one</w:t>
      </w:r>
      <w:r>
        <w:noBreakHyphen/>
      </w:r>
      <w:r w:rsidRPr="00BD3549">
        <w:t>time effect (e.g.,</w:t>
      </w:r>
      <w:r>
        <w:t> </w:t>
      </w:r>
      <w:r w:rsidRPr="00BD3549">
        <w:t xml:space="preserve">installation or modification of equipment in a </w:t>
      </w:r>
      <w:r>
        <w:t>radiation</w:t>
      </w:r>
      <w:r w:rsidRPr="00BD3549">
        <w:t xml:space="preserve"> area), and sometimes it will be an ongoing effect (e.g.,</w:t>
      </w:r>
      <w:r>
        <w:t> </w:t>
      </w:r>
      <w:r w:rsidRPr="00BD3549">
        <w:t xml:space="preserve">routine surveillance or maintenance of contaminated equipment or equipment in a radiation area).  The use of ASME </w:t>
      </w:r>
      <w:r>
        <w:t>Code Cases</w:t>
      </w:r>
      <w:r w:rsidRPr="00BD3549">
        <w:t xml:space="preserve"> </w:t>
      </w:r>
      <w:r>
        <w:t xml:space="preserve">may </w:t>
      </w:r>
      <w:r w:rsidRPr="00BD3549">
        <w:t xml:space="preserve">affect occupational health </w:t>
      </w:r>
      <w:r>
        <w:t>as a result of radiological exposure during the time required to perform additional weld examinations and pressure testing called for in the Code Case conditions.  This additional work will result in increased occupational radiation exposure, as compared to the regulatory baseline.</w:t>
      </w:r>
    </w:p>
    <w:p w14:paraId="01E8CE38" w14:textId="77777777" w:rsidR="00D53E6F" w:rsidRPr="00CA7C7A" w:rsidRDefault="00D53E6F" w:rsidP="004A7B59">
      <w:pPr>
        <w:pStyle w:val="ListParagraph"/>
        <w:spacing w:line="240" w:lineRule="auto"/>
      </w:pPr>
    </w:p>
    <w:p w14:paraId="5B3BEFFE" w14:textId="77777777" w:rsidR="00D53E6F" w:rsidRPr="00CA7C7A" w:rsidRDefault="00D53E6F" w:rsidP="00D53E6F">
      <w:pPr>
        <w:pStyle w:val="ListParagraph"/>
        <w:numPr>
          <w:ilvl w:val="0"/>
          <w:numId w:val="4"/>
        </w:numPr>
        <w:spacing w:line="240" w:lineRule="auto"/>
        <w:ind w:hanging="720"/>
      </w:pPr>
      <w:r w:rsidRPr="00CA7C7A">
        <w:rPr>
          <w:u w:val="single"/>
        </w:rPr>
        <w:t>Industry Implementation</w:t>
      </w:r>
      <w:r w:rsidRPr="00CA7C7A">
        <w:t xml:space="preserve">.  </w:t>
      </w:r>
      <w:r w:rsidRPr="00BD3549">
        <w:t xml:space="preserve">This attribute accounts for the projected net economic effect on the affected licensees </w:t>
      </w:r>
      <w:r>
        <w:t>as they</w:t>
      </w:r>
      <w:r w:rsidRPr="00BD3549">
        <w:t xml:space="preserve"> implement the mandated changes.  Costs include procedural and administrative activities</w:t>
      </w:r>
      <w:r>
        <w:t xml:space="preserve"> related to maintenance, inspection, or testing procedures.</w:t>
      </w:r>
    </w:p>
    <w:p w14:paraId="2572BF37" w14:textId="77777777" w:rsidR="00D53E6F" w:rsidRPr="00CA7C7A" w:rsidRDefault="00D53E6F" w:rsidP="004A7B59">
      <w:pPr>
        <w:pStyle w:val="ListParagraph"/>
        <w:spacing w:line="240" w:lineRule="auto"/>
      </w:pPr>
    </w:p>
    <w:p w14:paraId="3E1E6697" w14:textId="77777777" w:rsidR="00D53E6F" w:rsidRPr="006F4E88" w:rsidRDefault="00D53E6F" w:rsidP="00D53E6F">
      <w:pPr>
        <w:pStyle w:val="ListParagraph"/>
        <w:numPr>
          <w:ilvl w:val="0"/>
          <w:numId w:val="4"/>
        </w:numPr>
        <w:spacing w:line="240" w:lineRule="auto"/>
        <w:ind w:hanging="720"/>
        <w:rPr>
          <w:color w:val="auto"/>
        </w:rPr>
      </w:pPr>
      <w:r w:rsidRPr="00CA7C7A">
        <w:rPr>
          <w:u w:val="single"/>
        </w:rPr>
        <w:t>Industry Operation</w:t>
      </w:r>
      <w:r w:rsidRPr="00CA7C7A">
        <w:t xml:space="preserve">.  </w:t>
      </w:r>
      <w:r w:rsidRPr="006F4E88">
        <w:t xml:space="preserve">This attribute accounts for the projected net economic effect on all affected licensees caused by routine and recurring activities required by the alternative.  Under </w:t>
      </w:r>
      <w:r>
        <w:t>Alternative</w:t>
      </w:r>
      <w:r w:rsidRPr="006F4E88">
        <w:t> 2, a licensee of a nuclear power plant would no longer be required to submit a</w:t>
      </w:r>
      <w:r>
        <w:t>n ASME</w:t>
      </w:r>
      <w:r w:rsidRPr="006F4E88">
        <w:t xml:space="preserve"> Code Case alternative request under 10 CFR 50.55a(z), which would provide a net benefit (i.e., averted cost) to the licensee.</w:t>
      </w:r>
    </w:p>
    <w:p w14:paraId="2F527EE1" w14:textId="77777777" w:rsidR="00D53E6F" w:rsidRPr="004A7B59" w:rsidRDefault="00D53E6F" w:rsidP="00560F67">
      <w:pPr>
        <w:pStyle w:val="ListParagraph"/>
        <w:spacing w:line="240" w:lineRule="auto"/>
      </w:pPr>
    </w:p>
    <w:p w14:paraId="0ADA5748" w14:textId="77777777" w:rsidR="00D53E6F" w:rsidRPr="006F4E88" w:rsidRDefault="00D53E6F" w:rsidP="00D53E6F">
      <w:pPr>
        <w:spacing w:line="240" w:lineRule="auto"/>
        <w:ind w:left="720"/>
        <w:rPr>
          <w:color w:val="auto"/>
        </w:rPr>
      </w:pPr>
      <w:r w:rsidRPr="006F4E88">
        <w:rPr>
          <w:color w:val="auto"/>
        </w:rPr>
        <w:t xml:space="preserve">Under 10 CFR 50.55a, the NRC requires nuclear power plant </w:t>
      </w:r>
      <w:r>
        <w:rPr>
          <w:color w:val="auto"/>
        </w:rPr>
        <w:t>applicants and licensees</w:t>
      </w:r>
      <w:r w:rsidRPr="006F4E88">
        <w:rPr>
          <w:color w:val="auto"/>
        </w:rPr>
        <w:t xml:space="preserve"> to construct Class 1, 2, and 3 components in accordance with </w:t>
      </w:r>
      <w:r>
        <w:rPr>
          <w:color w:val="auto"/>
        </w:rPr>
        <w:t xml:space="preserve">ASME BPV Code, </w:t>
      </w:r>
      <w:r w:rsidRPr="006F4E88">
        <w:rPr>
          <w:color w:val="auto"/>
        </w:rPr>
        <w:t xml:space="preserve">Section III, Division 1.  Under 10 CFR 50.55a, the NRC also requires </w:t>
      </w:r>
      <w:r>
        <w:rPr>
          <w:color w:val="auto"/>
        </w:rPr>
        <w:t>applicants and licensees</w:t>
      </w:r>
      <w:r w:rsidRPr="006F4E88" w:rsidDel="00697FB6">
        <w:rPr>
          <w:color w:val="auto"/>
        </w:rPr>
        <w:t xml:space="preserve"> </w:t>
      </w:r>
      <w:r w:rsidRPr="006F4E88">
        <w:rPr>
          <w:color w:val="auto"/>
        </w:rPr>
        <w:t xml:space="preserve">to perform ISI of Class 1, Class 2, Class 3, Class MC, and Class CC components in accordance with </w:t>
      </w:r>
      <w:r>
        <w:rPr>
          <w:color w:val="auto"/>
        </w:rPr>
        <w:t xml:space="preserve">ASME BPV Code, </w:t>
      </w:r>
      <w:r w:rsidRPr="006F4E88">
        <w:rPr>
          <w:color w:val="auto"/>
        </w:rPr>
        <w:t>Section XI, Division 1, and to perform IST of Class 1, Class 2, and Class</w:t>
      </w:r>
      <w:r>
        <w:rPr>
          <w:color w:val="auto"/>
        </w:rPr>
        <w:t> </w:t>
      </w:r>
      <w:r w:rsidRPr="006F4E88">
        <w:rPr>
          <w:color w:val="auto"/>
        </w:rPr>
        <w:t>3 safety</w:t>
      </w:r>
      <w:r w:rsidRPr="006F4E88">
        <w:rPr>
          <w:color w:val="auto"/>
        </w:rPr>
        <w:noBreakHyphen/>
        <w:t xml:space="preserve">related pumps and valves in accordance with the ASME OM Code.  Until 2012, ASME issued new editions of the </w:t>
      </w:r>
      <w:r>
        <w:rPr>
          <w:color w:val="auto"/>
        </w:rPr>
        <w:t xml:space="preserve">ASME </w:t>
      </w:r>
      <w:r w:rsidRPr="006F4E88">
        <w:rPr>
          <w:color w:val="auto"/>
        </w:rPr>
        <w:t>BPV Code every 3</w:t>
      </w:r>
      <w:r>
        <w:rPr>
          <w:color w:val="auto"/>
        </w:rPr>
        <w:t> </w:t>
      </w:r>
      <w:r w:rsidRPr="006F4E88">
        <w:rPr>
          <w:color w:val="auto"/>
        </w:rPr>
        <w:t xml:space="preserve">years and addenda to the editions annually except in </w:t>
      </w:r>
      <w:r>
        <w:rPr>
          <w:color w:val="auto"/>
        </w:rPr>
        <w:t xml:space="preserve">the </w:t>
      </w:r>
      <w:r w:rsidRPr="006F4E88">
        <w:rPr>
          <w:color w:val="auto"/>
        </w:rPr>
        <w:t xml:space="preserve">years when </w:t>
      </w:r>
      <w:r>
        <w:rPr>
          <w:color w:val="auto"/>
        </w:rPr>
        <w:t xml:space="preserve">it issued </w:t>
      </w:r>
      <w:r w:rsidRPr="006F4E88">
        <w:rPr>
          <w:color w:val="auto"/>
        </w:rPr>
        <w:t>a new edition.  Similarly, ASME has published new editions and addenda of the ASME OM Code regularly.  Starting in 2012, ASME decided to issue editions of its BPV and OM Code</w:t>
      </w:r>
      <w:r>
        <w:rPr>
          <w:color w:val="auto"/>
        </w:rPr>
        <w:t>s</w:t>
      </w:r>
      <w:r w:rsidRPr="006F4E88">
        <w:rPr>
          <w:color w:val="auto"/>
        </w:rPr>
        <w:t xml:space="preserve"> (no addenda) every 2</w:t>
      </w:r>
      <w:r>
        <w:rPr>
          <w:color w:val="auto"/>
        </w:rPr>
        <w:t> </w:t>
      </w:r>
      <w:r w:rsidRPr="006F4E88">
        <w:rPr>
          <w:color w:val="auto"/>
        </w:rPr>
        <w:t>years.  ASME also publishes Code Cases quarterly (ASME BPV Code</w:t>
      </w:r>
      <w:r>
        <w:rPr>
          <w:color w:val="auto"/>
        </w:rPr>
        <w:t>,</w:t>
      </w:r>
      <w:r w:rsidRPr="006F4E88">
        <w:rPr>
          <w:color w:val="auto"/>
        </w:rPr>
        <w:t xml:space="preserve"> Sections III and XI) or every </w:t>
      </w:r>
      <w:r>
        <w:rPr>
          <w:color w:val="auto"/>
        </w:rPr>
        <w:t>2 </w:t>
      </w:r>
      <w:r w:rsidRPr="006F4E88">
        <w:rPr>
          <w:color w:val="auto"/>
        </w:rPr>
        <w:t xml:space="preserve">years (ASME OM Code) to provide alternatives to existing </w:t>
      </w:r>
      <w:r>
        <w:rPr>
          <w:color w:val="auto"/>
        </w:rPr>
        <w:t xml:space="preserve">ASME </w:t>
      </w:r>
      <w:r w:rsidRPr="006F4E88">
        <w:rPr>
          <w:color w:val="auto"/>
        </w:rPr>
        <w:t xml:space="preserve">Code requirements developed and approved by ASME.  </w:t>
      </w:r>
      <w:r>
        <w:rPr>
          <w:color w:val="auto"/>
        </w:rPr>
        <w:t xml:space="preserve">ASME develops </w:t>
      </w:r>
      <w:r w:rsidRPr="006F4E88">
        <w:rPr>
          <w:color w:val="auto"/>
        </w:rPr>
        <w:t>Code Cases to allow licensees to gain experience with new technology before</w:t>
      </w:r>
      <w:r>
        <w:rPr>
          <w:color w:val="auto"/>
        </w:rPr>
        <w:t xml:space="preserve"> its</w:t>
      </w:r>
      <w:r w:rsidRPr="006F4E88">
        <w:rPr>
          <w:color w:val="auto"/>
        </w:rPr>
        <w:t xml:space="preserve"> incorporation into the ASME Code, permit licensees to use advances in ISI and IST, provide alternative examinations for older plants, </w:t>
      </w:r>
      <w:r>
        <w:rPr>
          <w:color w:val="auto"/>
        </w:rPr>
        <w:t>respond</w:t>
      </w:r>
      <w:r w:rsidRPr="006F4E88">
        <w:rPr>
          <w:color w:val="auto"/>
        </w:rPr>
        <w:t xml:space="preserve"> </w:t>
      </w:r>
      <w:r>
        <w:rPr>
          <w:color w:val="auto"/>
        </w:rPr>
        <w:t>promptly</w:t>
      </w:r>
      <w:r w:rsidRPr="006F4E88">
        <w:rPr>
          <w:color w:val="auto"/>
        </w:rPr>
        <w:t xml:space="preserve"> to user needs, and </w:t>
      </w:r>
      <w:r>
        <w:rPr>
          <w:color w:val="auto"/>
        </w:rPr>
        <w:t>offer</w:t>
      </w:r>
      <w:r w:rsidRPr="006F4E88">
        <w:rPr>
          <w:color w:val="auto"/>
        </w:rPr>
        <w:t xml:space="preserve"> a limited and clearly focused alternative to specific ASME Code provisions.</w:t>
      </w:r>
    </w:p>
    <w:p w14:paraId="75531AF4" w14:textId="77777777" w:rsidR="00D53E6F" w:rsidRPr="004A7B59" w:rsidRDefault="00D53E6F" w:rsidP="00560F67">
      <w:pPr>
        <w:pStyle w:val="ListParagraph"/>
        <w:spacing w:line="240" w:lineRule="auto"/>
      </w:pPr>
    </w:p>
    <w:p w14:paraId="103DEC84" w14:textId="77777777" w:rsidR="00D53E6F" w:rsidRDefault="00D53E6F" w:rsidP="00D53E6F">
      <w:pPr>
        <w:spacing w:line="240" w:lineRule="auto"/>
        <w:ind w:left="720"/>
        <w:rPr>
          <w:color w:val="auto"/>
        </w:rPr>
      </w:pPr>
      <w:r w:rsidRPr="006F4E88">
        <w:rPr>
          <w:color w:val="auto"/>
        </w:rPr>
        <w:t xml:space="preserve">Under </w:t>
      </w:r>
      <w:r>
        <w:rPr>
          <w:color w:val="auto"/>
        </w:rPr>
        <w:t>Alternative</w:t>
      </w:r>
      <w:r w:rsidRPr="006F4E88">
        <w:rPr>
          <w:color w:val="auto"/>
        </w:rPr>
        <w:t xml:space="preserve"> 2, applicants </w:t>
      </w:r>
      <w:r>
        <w:rPr>
          <w:color w:val="auto"/>
        </w:rPr>
        <w:t xml:space="preserve">and </w:t>
      </w:r>
      <w:r w:rsidRPr="006F4E88">
        <w:rPr>
          <w:color w:val="auto"/>
        </w:rPr>
        <w:t xml:space="preserve">licensees are allowed to implement endorsed ASME Code Cases and their conditions and modifications without seeking prior NRC approval.  This alternative continues the NRC’s </w:t>
      </w:r>
      <w:r>
        <w:rPr>
          <w:color w:val="auto"/>
        </w:rPr>
        <w:t>use</w:t>
      </w:r>
      <w:r w:rsidRPr="006F4E88">
        <w:rPr>
          <w:color w:val="auto"/>
        </w:rPr>
        <w:t xml:space="preserve"> of periodic rulemakings to incorporate by reference in 10 CFR 50.55a the latest RGs that list NRC</w:t>
      </w:r>
      <w:r w:rsidRPr="006F4E88">
        <w:rPr>
          <w:color w:val="auto"/>
        </w:rPr>
        <w:noBreakHyphen/>
        <w:t>approved alternatives to the provisions of the ASME BPV and OM Code</w:t>
      </w:r>
      <w:r>
        <w:rPr>
          <w:color w:val="auto"/>
        </w:rPr>
        <w:t>s</w:t>
      </w:r>
      <w:r w:rsidRPr="006F4E88">
        <w:rPr>
          <w:color w:val="auto"/>
        </w:rPr>
        <w:t>.</w:t>
      </w:r>
    </w:p>
    <w:p w14:paraId="32A750C1" w14:textId="77777777" w:rsidR="00D53E6F" w:rsidRDefault="00D53E6F" w:rsidP="00D53E6F">
      <w:pPr>
        <w:spacing w:line="240" w:lineRule="auto"/>
        <w:ind w:left="720"/>
        <w:rPr>
          <w:color w:val="auto"/>
        </w:rPr>
      </w:pPr>
    </w:p>
    <w:p w14:paraId="57D1DCEB" w14:textId="77777777" w:rsidR="00D53E6F" w:rsidRPr="006F4E88" w:rsidRDefault="00D53E6F" w:rsidP="00D53E6F">
      <w:pPr>
        <w:spacing w:line="240" w:lineRule="auto"/>
        <w:ind w:left="720"/>
        <w:rPr>
          <w:color w:val="auto"/>
        </w:rPr>
      </w:pPr>
      <w:r w:rsidRPr="006F4E88">
        <w:rPr>
          <w:color w:val="auto"/>
        </w:rPr>
        <w:t xml:space="preserve">The </w:t>
      </w:r>
      <w:r>
        <w:rPr>
          <w:color w:val="auto"/>
        </w:rPr>
        <w:t xml:space="preserve">NRC considers ASME </w:t>
      </w:r>
      <w:r w:rsidRPr="006F4E88">
        <w:rPr>
          <w:color w:val="auto"/>
        </w:rPr>
        <w:t xml:space="preserve">Code Case requests and subsequent costs </w:t>
      </w:r>
      <w:r>
        <w:rPr>
          <w:color w:val="auto"/>
        </w:rPr>
        <w:t>as</w:t>
      </w:r>
      <w:r w:rsidRPr="006F4E88">
        <w:rPr>
          <w:color w:val="auto"/>
        </w:rPr>
        <w:t xml:space="preserve"> “sunk”</w:t>
      </w:r>
      <w:r>
        <w:rPr>
          <w:color w:val="auto"/>
        </w:rPr>
        <w:t xml:space="preserve"> costs</w:t>
      </w:r>
      <w:r w:rsidRPr="006F4E88">
        <w:rPr>
          <w:color w:val="auto"/>
        </w:rPr>
        <w:t xml:space="preserve"> (i.e.,</w:t>
      </w:r>
      <w:r>
        <w:rPr>
          <w:color w:val="auto"/>
        </w:rPr>
        <w:t xml:space="preserve"> costs that have </w:t>
      </w:r>
      <w:r w:rsidRPr="006F4E88">
        <w:rPr>
          <w:color w:val="auto"/>
        </w:rPr>
        <w:t>already</w:t>
      </w:r>
      <w:r>
        <w:rPr>
          <w:color w:val="auto"/>
        </w:rPr>
        <w:t xml:space="preserve"> been</w:t>
      </w:r>
      <w:r w:rsidRPr="006F4E88">
        <w:rPr>
          <w:color w:val="auto"/>
        </w:rPr>
        <w:t xml:space="preserve"> incurred) for issued design certifications, submitted design certifications under review, and reactor applications submitted to the </w:t>
      </w:r>
      <w:r>
        <w:rPr>
          <w:color w:val="auto"/>
        </w:rPr>
        <w:t>agency</w:t>
      </w:r>
      <w:r w:rsidRPr="006F4E88">
        <w:rPr>
          <w:color w:val="auto"/>
        </w:rPr>
        <w:t>.</w:t>
      </w:r>
    </w:p>
    <w:p w14:paraId="29151749" w14:textId="77777777" w:rsidR="00D53E6F" w:rsidRPr="00CA7C7A" w:rsidRDefault="00D53E6F" w:rsidP="00D53E6F">
      <w:pPr>
        <w:pStyle w:val="ListParagraph"/>
        <w:spacing w:line="240" w:lineRule="auto"/>
      </w:pPr>
    </w:p>
    <w:p w14:paraId="292B2549" w14:textId="77777777" w:rsidR="00D53E6F" w:rsidRDefault="00D53E6F" w:rsidP="00D53E6F">
      <w:pPr>
        <w:pStyle w:val="ListParagraph"/>
        <w:numPr>
          <w:ilvl w:val="0"/>
          <w:numId w:val="4"/>
        </w:numPr>
        <w:spacing w:line="240" w:lineRule="auto"/>
        <w:ind w:hanging="720"/>
      </w:pPr>
      <w:r w:rsidRPr="0012255B">
        <w:rPr>
          <w:u w:val="single"/>
        </w:rPr>
        <w:t>NRC Implementation</w:t>
      </w:r>
      <w:r w:rsidRPr="00CA7C7A">
        <w:t xml:space="preserve">.  </w:t>
      </w:r>
      <w:r w:rsidRPr="00BD3549">
        <w:t xml:space="preserve">This attribute accounts for the projected net economic effect on the NRC to place the alternative into operation.  </w:t>
      </w:r>
      <w:r>
        <w:t>To implement Alternative 2, the NRC incurs a cost in relation to Alternative 1 (i.e., regulatory baseline) for developing the proposed and final rule and for updating the corresponding guidance in RG 1.84, RG 1.147, and RG 1.192</w:t>
      </w:r>
      <w:r w:rsidRPr="00BD3549">
        <w:t>.</w:t>
      </w:r>
      <w:r>
        <w:t xml:space="preserve">  At the final rule stage, these costs are considered </w:t>
      </w:r>
      <w:bookmarkStart w:id="62" w:name="_Hlk7595335"/>
      <w:r>
        <w:t xml:space="preserve">sunk costs </w:t>
      </w:r>
      <w:bookmarkEnd w:id="62"/>
      <w:r>
        <w:t>and are not included in the cost estimate.</w:t>
      </w:r>
    </w:p>
    <w:p w14:paraId="77422C38" w14:textId="77777777" w:rsidR="00D53E6F" w:rsidRPr="00CA7C7A" w:rsidRDefault="00D53E6F" w:rsidP="004A7B59">
      <w:pPr>
        <w:pStyle w:val="ListParagraph"/>
        <w:spacing w:line="240" w:lineRule="auto"/>
      </w:pPr>
    </w:p>
    <w:p w14:paraId="40A76438" w14:textId="77777777" w:rsidR="00D53E6F" w:rsidRDefault="00D53E6F" w:rsidP="00D53E6F">
      <w:pPr>
        <w:pStyle w:val="ListParagraph"/>
        <w:numPr>
          <w:ilvl w:val="0"/>
          <w:numId w:val="4"/>
        </w:numPr>
        <w:spacing w:line="240" w:lineRule="auto"/>
        <w:ind w:hanging="720"/>
      </w:pPr>
      <w:r w:rsidRPr="00BB54B2">
        <w:rPr>
          <w:u w:val="single"/>
        </w:rPr>
        <w:t>NRC Operation</w:t>
      </w:r>
      <w:r w:rsidRPr="00BB54B2">
        <w:t xml:space="preserve">.  </w:t>
      </w:r>
      <w:r w:rsidRPr="00BD3549">
        <w:t xml:space="preserve">This attribute accounts for the projected net economic effect on the NRC after the </w:t>
      </w:r>
      <w:r>
        <w:t>alternative is implemented</w:t>
      </w:r>
      <w:r w:rsidRPr="00BD3549">
        <w:t xml:space="preserve">.  </w:t>
      </w:r>
      <w:r>
        <w:t>If the NRC does not approve an ASME Code Case that a licensee or applicant wants to use, the licensee or applicant would need to request, under 10 CFR 50.55a(z), permission to use the</w:t>
      </w:r>
      <w:r w:rsidRPr="00BD3549">
        <w:t xml:space="preserve"> ASME </w:t>
      </w:r>
      <w:r>
        <w:t xml:space="preserve">Code Cases through a submittal.  This submittal requires additional NRC staff time to evaluate the Code Case to determine its acceptability and whether any </w:t>
      </w:r>
      <w:r w:rsidRPr="00BD3549">
        <w:t>limitations or modifications</w:t>
      </w:r>
      <w:r>
        <w:t xml:space="preserve"> should apply.  Under Alternative 2, these Code Case alternative requests would not be required, which results in a net benefit (i.e., averted cost) for the NRC.</w:t>
      </w:r>
    </w:p>
    <w:p w14:paraId="70BC8631" w14:textId="77777777" w:rsidR="00D53E6F" w:rsidRDefault="00D53E6F" w:rsidP="00D53E6F">
      <w:pPr>
        <w:pStyle w:val="ListParagraph"/>
        <w:spacing w:line="240" w:lineRule="auto"/>
      </w:pPr>
    </w:p>
    <w:p w14:paraId="0B74FB71" w14:textId="77777777" w:rsidR="00D53E6F" w:rsidRPr="00CA7C7A" w:rsidRDefault="00D53E6F" w:rsidP="00D53E6F">
      <w:pPr>
        <w:pStyle w:val="ListParagraph"/>
        <w:spacing w:line="240" w:lineRule="auto"/>
      </w:pPr>
      <w:r>
        <w:t>Because the NRC’s costs to review requests for ASME Code Case alternatives submitted to the agency before the effective date of the final rule are sunk costs, this regulatory analysis does not consider them further.</w:t>
      </w:r>
    </w:p>
    <w:p w14:paraId="21DED86C" w14:textId="77777777" w:rsidR="00D53E6F" w:rsidRPr="00CA7C7A" w:rsidRDefault="00D53E6F" w:rsidP="00D53E6F">
      <w:pPr>
        <w:pStyle w:val="ListParagraph"/>
        <w:spacing w:line="240" w:lineRule="auto"/>
      </w:pPr>
    </w:p>
    <w:p w14:paraId="7D216DD0" w14:textId="2C6C4F52" w:rsidR="00D53E6F" w:rsidRPr="00CA7C7A" w:rsidRDefault="00D53E6F" w:rsidP="00D53E6F">
      <w:pPr>
        <w:pStyle w:val="ListParagraph"/>
        <w:numPr>
          <w:ilvl w:val="0"/>
          <w:numId w:val="4"/>
        </w:numPr>
        <w:spacing w:line="240" w:lineRule="auto"/>
        <w:ind w:hanging="720"/>
      </w:pPr>
      <w:r w:rsidRPr="00CA7C7A">
        <w:rPr>
          <w:u w:val="single"/>
        </w:rPr>
        <w:t>Improvements in Knowledge</w:t>
      </w:r>
      <w:r w:rsidRPr="00CA7C7A">
        <w:t xml:space="preserve">.  </w:t>
      </w:r>
      <w:r w:rsidRPr="00BD3549">
        <w:t>This attribute accounts for</w:t>
      </w:r>
      <w:r>
        <w:t xml:space="preserve"> improvements in knowledge by industry and the NRC </w:t>
      </w:r>
      <w:r w:rsidRPr="00BD3549">
        <w:t>gain</w:t>
      </w:r>
      <w:r>
        <w:t>ing</w:t>
      </w:r>
      <w:r w:rsidRPr="00BD3549">
        <w:t xml:space="preserve"> experience with new technology </w:t>
      </w:r>
      <w:r>
        <w:t>before</w:t>
      </w:r>
      <w:r w:rsidRPr="00BD3549">
        <w:t xml:space="preserve"> </w:t>
      </w:r>
      <w:r>
        <w:t xml:space="preserve">its </w:t>
      </w:r>
      <w:r w:rsidRPr="00BD3549">
        <w:t>incorporation into the ASME Code</w:t>
      </w:r>
      <w:r>
        <w:t>s</w:t>
      </w:r>
      <w:r w:rsidRPr="00BD3549">
        <w:t xml:space="preserve"> </w:t>
      </w:r>
      <w:r>
        <w:t xml:space="preserve">and by </w:t>
      </w:r>
      <w:r w:rsidRPr="00BD3549">
        <w:t>permit</w:t>
      </w:r>
      <w:r>
        <w:t>ting</w:t>
      </w:r>
      <w:r w:rsidRPr="00BD3549">
        <w:t xml:space="preserve"> licensees to </w:t>
      </w:r>
      <w:r>
        <w:t>use advances in ISI and IST</w:t>
      </w:r>
      <w:r w:rsidRPr="00BD3549">
        <w:t xml:space="preserve">.  </w:t>
      </w:r>
      <w:r>
        <w:t>Improvements in ISI and IST may also result in the earlier identification of material or equipment degradation that, if it should remain undetected, could cause further degradation that eventually leads to a plant transient</w:t>
      </w:r>
      <w:r w:rsidRPr="001A7C84">
        <w:t xml:space="preserve"> or the unavailability of plant equipment to respond to a plant transient</w:t>
      </w:r>
      <w:r w:rsidRPr="00BD3549">
        <w:t>.</w:t>
      </w:r>
    </w:p>
    <w:p w14:paraId="067EC8D1" w14:textId="77777777" w:rsidR="00D53E6F" w:rsidRPr="007028AC" w:rsidRDefault="00D53E6F" w:rsidP="004A7B59">
      <w:pPr>
        <w:pStyle w:val="ListParagraph"/>
        <w:spacing w:line="240" w:lineRule="auto"/>
      </w:pPr>
    </w:p>
    <w:p w14:paraId="48EA9DF7" w14:textId="77777777" w:rsidR="00D53E6F" w:rsidRPr="007028AC" w:rsidRDefault="00D53E6F" w:rsidP="00D53E6F">
      <w:pPr>
        <w:pStyle w:val="ListParagraph"/>
        <w:numPr>
          <w:ilvl w:val="0"/>
          <w:numId w:val="4"/>
        </w:numPr>
        <w:spacing w:line="240" w:lineRule="auto"/>
        <w:ind w:hanging="720"/>
      </w:pPr>
      <w:r w:rsidRPr="007028AC">
        <w:rPr>
          <w:u w:val="single"/>
        </w:rPr>
        <w:t>Regulatory Efficiency</w:t>
      </w:r>
      <w:r w:rsidRPr="007028AC">
        <w:t xml:space="preserve">.  </w:t>
      </w:r>
      <w:r w:rsidRPr="00BD3549">
        <w:t>This attribute accounts for</w:t>
      </w:r>
      <w:r>
        <w:t xml:space="preserve"> regulatory and compliance improvements resulting from the implementation of Alternative 2, as compared to the regulatory baseline.  </w:t>
      </w:r>
      <w:r w:rsidRPr="002B08D8">
        <w:t>Alternative</w:t>
      </w:r>
      <w:r>
        <w:t> </w:t>
      </w:r>
      <w:r w:rsidRPr="002B08D8">
        <w:t xml:space="preserve">2 would increase regulatory efficiency </w:t>
      </w:r>
      <w:r>
        <w:t>because</w:t>
      </w:r>
      <w:r w:rsidRPr="002B08D8">
        <w:t xml:space="preserve"> licensees </w:t>
      </w:r>
      <w:r>
        <w:t xml:space="preserve">and applicants </w:t>
      </w:r>
      <w:r w:rsidRPr="002B08D8">
        <w:t xml:space="preserve">that wish to </w:t>
      </w:r>
      <w:r>
        <w:t>use NRC</w:t>
      </w:r>
      <w:r>
        <w:noBreakHyphen/>
        <w:t>approved ASME Code Cases</w:t>
      </w:r>
      <w:r w:rsidRPr="002B08D8">
        <w:t xml:space="preserve"> would not require </w:t>
      </w:r>
      <w:r>
        <w:t>10 CFR 50.55a(z) alternative requests</w:t>
      </w:r>
      <w:r w:rsidRPr="002B08D8">
        <w:t xml:space="preserve">.  Further, </w:t>
      </w:r>
      <w:r>
        <w:t>Alternative </w:t>
      </w:r>
      <w:r w:rsidRPr="002B08D8">
        <w:t xml:space="preserve">2 </w:t>
      </w:r>
      <w:r>
        <w:t>is</w:t>
      </w:r>
      <w:r w:rsidRPr="002B08D8">
        <w:t xml:space="preserve"> consistent with the NTTAA</w:t>
      </w:r>
      <w:r>
        <w:t xml:space="preserve"> provisions that</w:t>
      </w:r>
      <w:r w:rsidRPr="002B08D8">
        <w:t xml:space="preserve"> encourage Federal agencies to consider adopting voluntary consensus standards as an alternative to </w:t>
      </w:r>
      <w:r w:rsidRPr="004E122F">
        <w:rPr>
          <w:i/>
        </w:rPr>
        <w:t>de novo</w:t>
      </w:r>
      <w:r w:rsidRPr="00466E1F">
        <w:rPr>
          <w:i/>
        </w:rPr>
        <w:t xml:space="preserve"> </w:t>
      </w:r>
      <w:r w:rsidRPr="002B08D8">
        <w:t xml:space="preserve">agency development of standards affecting an industry.  </w:t>
      </w:r>
      <w:r>
        <w:t>Alternative </w:t>
      </w:r>
      <w:r w:rsidRPr="002B08D8">
        <w:t xml:space="preserve">2 </w:t>
      </w:r>
      <w:r>
        <w:t>is</w:t>
      </w:r>
      <w:r w:rsidRPr="002B08D8">
        <w:t xml:space="preserve"> consistent with </w:t>
      </w:r>
      <w:r>
        <w:t xml:space="preserve">the </w:t>
      </w:r>
      <w:r w:rsidRPr="002B08D8">
        <w:t>NRC</w:t>
      </w:r>
      <w:r>
        <w:t>’s</w:t>
      </w:r>
      <w:r w:rsidRPr="002B08D8">
        <w:t xml:space="preserve"> policy of evaluating the latest versions of consensus standards in terms of their suitability for endorsement by regulations and </w:t>
      </w:r>
      <w:r>
        <w:t>RG</w:t>
      </w:r>
      <w:r w:rsidRPr="002B08D8">
        <w:t xml:space="preserve">s.  </w:t>
      </w:r>
      <w:r>
        <w:t>In addition</w:t>
      </w:r>
      <w:r w:rsidRPr="002B08D8">
        <w:t xml:space="preserve">, </w:t>
      </w:r>
      <w:r>
        <w:t>Alternative </w:t>
      </w:r>
      <w:r w:rsidRPr="002B08D8">
        <w:t xml:space="preserve">2 </w:t>
      </w:r>
      <w:r>
        <w:t>is</w:t>
      </w:r>
      <w:r w:rsidRPr="002B08D8">
        <w:t xml:space="preserve"> consistent with </w:t>
      </w:r>
      <w:r>
        <w:t xml:space="preserve">the </w:t>
      </w:r>
      <w:r w:rsidRPr="002B08D8">
        <w:t>NRC’s goal to harmonize with international standards to improve regulatory efficiency for both the NRC and international standards groups</w:t>
      </w:r>
      <w:r w:rsidRPr="00BD3549">
        <w:t>.</w:t>
      </w:r>
    </w:p>
    <w:p w14:paraId="6BBAF4BB" w14:textId="77777777" w:rsidR="00D53E6F" w:rsidRPr="007028AC" w:rsidRDefault="00D53E6F" w:rsidP="004A7B59">
      <w:pPr>
        <w:pStyle w:val="ListParagraph"/>
        <w:spacing w:line="240" w:lineRule="auto"/>
      </w:pPr>
    </w:p>
    <w:p w14:paraId="7E4B8844" w14:textId="77777777" w:rsidR="00D53E6F" w:rsidRPr="007028AC" w:rsidRDefault="00D53E6F" w:rsidP="00D53E6F">
      <w:pPr>
        <w:pStyle w:val="ListParagraph"/>
        <w:numPr>
          <w:ilvl w:val="0"/>
          <w:numId w:val="4"/>
        </w:numPr>
        <w:spacing w:line="240" w:lineRule="auto"/>
        <w:ind w:hanging="720"/>
      </w:pPr>
      <w:r w:rsidRPr="007028AC">
        <w:rPr>
          <w:u w:val="single"/>
        </w:rPr>
        <w:t>Other Considerations</w:t>
      </w:r>
      <w:r w:rsidRPr="007028AC">
        <w:t xml:space="preserve">.  This attribute accounts for considerations that are not captured in the preceding attributes.  Specifically, this attribute accounts for how </w:t>
      </w:r>
      <w:r>
        <w:t>Alternative 2</w:t>
      </w:r>
      <w:r w:rsidRPr="007028AC">
        <w:t xml:space="preserve"> meets specific requirements of the Commission, helps achieve NRC policy, and provides other advantages or detriments.</w:t>
      </w:r>
    </w:p>
    <w:p w14:paraId="32B78CEB" w14:textId="77777777" w:rsidR="00D53E6F" w:rsidRPr="007028AC" w:rsidRDefault="00D53E6F" w:rsidP="004A7B59">
      <w:pPr>
        <w:pStyle w:val="ListParagraph"/>
        <w:spacing w:line="240" w:lineRule="auto"/>
      </w:pPr>
    </w:p>
    <w:p w14:paraId="46A5E2B8" w14:textId="77777777" w:rsidR="00D53E6F" w:rsidRDefault="00D53E6F" w:rsidP="00D53E6F">
      <w:pPr>
        <w:pStyle w:val="ListParagraph"/>
        <w:numPr>
          <w:ilvl w:val="0"/>
          <w:numId w:val="4"/>
        </w:numPr>
        <w:spacing w:line="240" w:lineRule="auto"/>
        <w:ind w:hanging="720"/>
      </w:pPr>
      <w:r w:rsidRPr="007028AC">
        <w:rPr>
          <w:u w:val="single"/>
        </w:rPr>
        <w:t>Attributes with No Effects</w:t>
      </w:r>
      <w:r w:rsidRPr="007028AC">
        <w:t xml:space="preserve">.  </w:t>
      </w:r>
      <w:r w:rsidRPr="00BD3549">
        <w:t xml:space="preserve">Attributes </w:t>
      </w:r>
      <w:r>
        <w:t>that are not expected to</w:t>
      </w:r>
      <w:r w:rsidRPr="00BD3549">
        <w:t xml:space="preserve"> </w:t>
      </w:r>
      <w:r>
        <w:t xml:space="preserve">contribute to the results </w:t>
      </w:r>
      <w:r w:rsidRPr="00BD3549">
        <w:t>under any of the alternatives include public health (routine)</w:t>
      </w:r>
      <w:r>
        <w:t>;</w:t>
      </w:r>
      <w:r w:rsidRPr="00BD3549">
        <w:t xml:space="preserve"> offsite property</w:t>
      </w:r>
      <w:r>
        <w:t>;</w:t>
      </w:r>
      <w:r w:rsidRPr="00BD3549">
        <w:t xml:space="preserve"> onsite property</w:t>
      </w:r>
      <w:r>
        <w:t>;</w:t>
      </w:r>
      <w:r w:rsidRPr="00BD3549">
        <w:t xml:space="preserve"> other </w:t>
      </w:r>
      <w:r>
        <w:t>G</w:t>
      </w:r>
      <w:r w:rsidRPr="00BD3549">
        <w:t>overnment, general public, safeguards</w:t>
      </w:r>
      <w:r>
        <w:t>,</w:t>
      </w:r>
      <w:r w:rsidRPr="00BD3549">
        <w:t xml:space="preserve"> and security considerations</w:t>
      </w:r>
      <w:r>
        <w:t>;</w:t>
      </w:r>
      <w:r w:rsidRPr="00BD3549">
        <w:t xml:space="preserve"> </w:t>
      </w:r>
      <w:r>
        <w:t xml:space="preserve">and </w:t>
      </w:r>
      <w:r w:rsidRPr="00BD3549">
        <w:t xml:space="preserve">environmental considerations </w:t>
      </w:r>
      <w:r>
        <w:t xml:space="preserve">that </w:t>
      </w:r>
      <w:r w:rsidRPr="00BD3549">
        <w:t xml:space="preserve">address </w:t>
      </w:r>
      <w:r>
        <w:t>S</w:t>
      </w:r>
      <w:r w:rsidRPr="00BD3549">
        <w:t>ection</w:t>
      </w:r>
      <w:r>
        <w:t> </w:t>
      </w:r>
      <w:r w:rsidRPr="00BD3549">
        <w:t>102(2) of the National Environmental Policy Act of 19</w:t>
      </w:r>
      <w:r>
        <w:t>6</w:t>
      </w:r>
      <w:r w:rsidRPr="00BD3549">
        <w:t>9.</w:t>
      </w:r>
    </w:p>
    <w:p w14:paraId="64F79465" w14:textId="77777777" w:rsidR="00D53E6F" w:rsidRPr="007028AC" w:rsidRDefault="00D53E6F" w:rsidP="00D53E6F">
      <w:pPr>
        <w:pStyle w:val="ListParagraph"/>
        <w:spacing w:line="240" w:lineRule="auto"/>
      </w:pPr>
    </w:p>
    <w:p w14:paraId="0904C195" w14:textId="77777777" w:rsidR="00D53E6F" w:rsidRPr="00461295" w:rsidRDefault="00D53E6F" w:rsidP="00D53E6F">
      <w:pPr>
        <w:pStyle w:val="Heading2"/>
        <w:tabs>
          <w:tab w:val="left" w:pos="540"/>
        </w:tabs>
        <w:spacing w:line="240" w:lineRule="auto"/>
      </w:pPr>
      <w:bookmarkStart w:id="63" w:name="_Toc456098218"/>
      <w:bookmarkStart w:id="64" w:name="_Toc12808775"/>
      <w:r>
        <w:t>4.2</w:t>
      </w:r>
      <w:r>
        <w:tab/>
      </w:r>
      <w:bookmarkStart w:id="65" w:name="_Toc457827231"/>
      <w:r w:rsidRPr="00461295">
        <w:t>Analytical Methodology</w:t>
      </w:r>
      <w:bookmarkEnd w:id="63"/>
      <w:bookmarkEnd w:id="64"/>
      <w:bookmarkEnd w:id="65"/>
    </w:p>
    <w:p w14:paraId="16833145" w14:textId="77777777" w:rsidR="00D53E6F" w:rsidRPr="00044B76" w:rsidRDefault="00D53E6F" w:rsidP="00D53E6F">
      <w:pPr>
        <w:keepNext/>
        <w:spacing w:line="240" w:lineRule="auto"/>
      </w:pPr>
    </w:p>
    <w:p w14:paraId="4205EA20" w14:textId="77777777" w:rsidR="00D53E6F" w:rsidRPr="00044B76" w:rsidRDefault="00D53E6F" w:rsidP="00D53E6F">
      <w:pPr>
        <w:spacing w:line="240" w:lineRule="auto"/>
      </w:pPr>
      <w:r w:rsidRPr="00044B76">
        <w:t>This section describes the process used to evaluate costs</w:t>
      </w:r>
      <w:r>
        <w:t xml:space="preserve"> and benefits</w:t>
      </w:r>
      <w:r w:rsidRPr="00044B76">
        <w:t xml:space="preserve"> associated with the alternatives.  The </w:t>
      </w:r>
      <w:r w:rsidRPr="00044B76">
        <w:rPr>
          <w:iCs/>
        </w:rPr>
        <w:t>benefits</w:t>
      </w:r>
      <w:r w:rsidRPr="00044B76">
        <w:t xml:space="preserve"> include any desirable changes in affected attributes (e.g.,</w:t>
      </w:r>
      <w:r>
        <w:t> </w:t>
      </w:r>
      <w:r w:rsidRPr="00044B76">
        <w:t xml:space="preserve">monetary savings, improved safety, and improved security).  The </w:t>
      </w:r>
      <w:r w:rsidRPr="00044B76">
        <w:rPr>
          <w:iCs/>
        </w:rPr>
        <w:t>costs</w:t>
      </w:r>
      <w:r w:rsidRPr="00044B76">
        <w:t xml:space="preserve"> include any undesirable changes in affected attributes (e.g.,</w:t>
      </w:r>
      <w:r>
        <w:t> </w:t>
      </w:r>
      <w:r w:rsidRPr="00044B76">
        <w:t>monetary costs, increased exposures).</w:t>
      </w:r>
    </w:p>
    <w:p w14:paraId="77F3A118" w14:textId="77777777" w:rsidR="00D53E6F" w:rsidRPr="00044B76" w:rsidRDefault="00D53E6F" w:rsidP="00D53E6F">
      <w:pPr>
        <w:spacing w:line="240" w:lineRule="auto"/>
      </w:pPr>
    </w:p>
    <w:p w14:paraId="5877FCE5" w14:textId="0931EBDD" w:rsidR="00D53E6F" w:rsidRPr="006C11AF" w:rsidRDefault="00D53E6F" w:rsidP="00D53E6F">
      <w:pPr>
        <w:spacing w:line="240" w:lineRule="auto"/>
      </w:pPr>
      <w:r>
        <w:t>The</w:t>
      </w:r>
      <w:r w:rsidRPr="00044B76">
        <w:t xml:space="preserve"> analysis </w:t>
      </w:r>
      <w:r>
        <w:t xml:space="preserve">quantitatively </w:t>
      </w:r>
      <w:r w:rsidRPr="00044B76">
        <w:t xml:space="preserve">evaluates </w:t>
      </w:r>
      <w:r>
        <w:t>4 of the 10 affected attributes:  (1) </w:t>
      </w:r>
      <w:r w:rsidRPr="00044B76">
        <w:t>industry imp</w:t>
      </w:r>
      <w:r>
        <w:t>lementation, (2) industry operation, (3) </w:t>
      </w:r>
      <w:r w:rsidRPr="00044B76">
        <w:t xml:space="preserve">NRC implementation, and </w:t>
      </w:r>
      <w:r>
        <w:t>(4) </w:t>
      </w:r>
      <w:r w:rsidRPr="00044B76">
        <w:t xml:space="preserve">NRC operation.  Quantitative analysis requires a baseline characterization of the affected society, including factors such as the number of affected entities, the nature of the activities currently </w:t>
      </w:r>
      <w:r>
        <w:t>performed</w:t>
      </w:r>
      <w:r w:rsidRPr="00044B76">
        <w:t xml:space="preserve">, and the types of systems and procedures that licensees or applicants would implement or </w:t>
      </w:r>
      <w:r>
        <w:t xml:space="preserve">would </w:t>
      </w:r>
      <w:r w:rsidRPr="00044B76">
        <w:t xml:space="preserve">no longer implement because of the alternatives.  </w:t>
      </w:r>
      <w:r>
        <w:t xml:space="preserve">Where possible, the </w:t>
      </w:r>
      <w:r w:rsidR="00433120">
        <w:t xml:space="preserve">NRC </w:t>
      </w:r>
      <w:r>
        <w:t xml:space="preserve">calculated costs for these four attributes using three-point estimates to quantify the uncertainty in these estimates.  The individual sections for each of the provisions include the detailed cost tables used in this regulatory analysis.  </w:t>
      </w:r>
      <w:r w:rsidRPr="00044B76">
        <w:t xml:space="preserve">The </w:t>
      </w:r>
      <w:r w:rsidR="00433120">
        <w:t>NRC</w:t>
      </w:r>
      <w:r>
        <w:t xml:space="preserve"> evaluated the </w:t>
      </w:r>
      <w:r w:rsidRPr="00044B76">
        <w:t xml:space="preserve">remaining </w:t>
      </w:r>
      <w:r>
        <w:t>six</w:t>
      </w:r>
      <w:r w:rsidRPr="00044B76">
        <w:t xml:space="preserve"> attributes qualitative</w:t>
      </w:r>
      <w:r>
        <w:t>ly</w:t>
      </w:r>
      <w:r w:rsidRPr="00044B76">
        <w:t xml:space="preserve"> because the benefits </w:t>
      </w:r>
      <w:r>
        <w:t xml:space="preserve">that </w:t>
      </w:r>
      <w:r w:rsidRPr="00044B76">
        <w:t>relat</w:t>
      </w:r>
      <w:r>
        <w:t>e</w:t>
      </w:r>
      <w:r w:rsidRPr="00044B76">
        <w:t xml:space="preserve"> to consistent policy application and improvements in ISI and IST techniques</w:t>
      </w:r>
      <w:r>
        <w:t xml:space="preserve"> as they affect these six attributes are not easily quantifiable or because the data necessary to quantify and monetize </w:t>
      </w:r>
      <w:r w:rsidRPr="006C11AF">
        <w:t xml:space="preserve">the impacts </w:t>
      </w:r>
      <w:r>
        <w:t>are not available</w:t>
      </w:r>
      <w:r w:rsidRPr="006C11AF">
        <w:t>.</w:t>
      </w:r>
    </w:p>
    <w:p w14:paraId="0E2DBBAE" w14:textId="77777777" w:rsidR="00D53E6F" w:rsidRPr="006C11AF" w:rsidRDefault="00D53E6F" w:rsidP="00D53E6F">
      <w:pPr>
        <w:spacing w:line="240" w:lineRule="auto"/>
      </w:pPr>
    </w:p>
    <w:p w14:paraId="0B85B790" w14:textId="5B323E8C" w:rsidR="00D53E6F" w:rsidRDefault="00173B30" w:rsidP="00D53E6F">
      <w:pPr>
        <w:spacing w:line="240" w:lineRule="auto"/>
      </w:pPr>
      <w:r>
        <w:t>The NRC</w:t>
      </w:r>
      <w:r w:rsidR="00D53E6F">
        <w:t xml:space="preserve"> documented its assumptions throughout this regulatory analysis.  For reader convenience, Appendix A summarizes the major assumptions and input data used in this analysis</w:t>
      </w:r>
      <w:r w:rsidR="00D53E6F" w:rsidRPr="006C11AF">
        <w:t>.</w:t>
      </w:r>
    </w:p>
    <w:p w14:paraId="23DFCF61" w14:textId="77777777" w:rsidR="00D53E6F" w:rsidRDefault="00D53E6F" w:rsidP="00D53E6F">
      <w:pPr>
        <w:spacing w:line="240" w:lineRule="auto"/>
      </w:pPr>
    </w:p>
    <w:p w14:paraId="5C237B54" w14:textId="77777777" w:rsidR="00D53E6F" w:rsidRPr="004D0C3A" w:rsidRDefault="00D53E6F" w:rsidP="00D53E6F">
      <w:pPr>
        <w:pStyle w:val="Heading3"/>
        <w:tabs>
          <w:tab w:val="left" w:pos="720"/>
        </w:tabs>
        <w:spacing w:line="240" w:lineRule="auto"/>
      </w:pPr>
      <w:bookmarkStart w:id="66" w:name="_Toc456098219"/>
      <w:bookmarkStart w:id="67" w:name="_Toc12808776"/>
      <w:r>
        <w:t>4.2.1</w:t>
      </w:r>
      <w:r>
        <w:tab/>
      </w:r>
      <w:bookmarkStart w:id="68" w:name="_Toc457827232"/>
      <w:r w:rsidRPr="004D0C3A">
        <w:t>Regulatory Baseline</w:t>
      </w:r>
      <w:bookmarkEnd w:id="66"/>
      <w:bookmarkEnd w:id="67"/>
      <w:bookmarkEnd w:id="68"/>
    </w:p>
    <w:p w14:paraId="583F1D1B" w14:textId="76F23575" w:rsidR="00D53E6F" w:rsidRPr="004D0C3A" w:rsidRDefault="00D53E6F" w:rsidP="00D53E6F">
      <w:pPr>
        <w:keepNext/>
        <w:spacing w:line="240" w:lineRule="auto"/>
      </w:pPr>
    </w:p>
    <w:p w14:paraId="084C7B9D" w14:textId="04820557" w:rsidR="00D53E6F" w:rsidRDefault="00D53E6F" w:rsidP="00D53E6F">
      <w:pPr>
        <w:spacing w:after="220" w:line="240" w:lineRule="auto"/>
      </w:pPr>
      <w:r w:rsidRPr="004D0C3A">
        <w:t>This regulatory analysis provides the incremental impacts of t</w:t>
      </w:r>
      <w:r>
        <w:t xml:space="preserve">he final rule relative to a </w:t>
      </w:r>
      <w:r w:rsidRPr="004D0C3A">
        <w:t xml:space="preserve">baseline that reflects anticipated behavior </w:t>
      </w:r>
      <w:r>
        <w:t>if</w:t>
      </w:r>
      <w:r w:rsidRPr="004D0C3A">
        <w:t xml:space="preserve"> </w:t>
      </w:r>
      <w:r>
        <w:t xml:space="preserve">the </w:t>
      </w:r>
      <w:r w:rsidRPr="004D0C3A">
        <w:t xml:space="preserve">NRC </w:t>
      </w:r>
      <w:r>
        <w:t xml:space="preserve">does not </w:t>
      </w:r>
      <w:r w:rsidRPr="004D0C3A">
        <w:t xml:space="preserve">undertake regulatory or nonregulatory action.  </w:t>
      </w:r>
      <w:r>
        <w:t xml:space="preserve">The regulatory baseline assumes full compliance with existing NRC requirements, including current regulations and relevant orders.  This is consistent with NUREG/BR-0058, </w:t>
      </w:r>
      <w:r w:rsidR="0001793A">
        <w:t>(NRC 2018a)</w:t>
      </w:r>
      <w:r>
        <w:t>, which states that “in evaluating a new requirement, the staff should assume that all existing NRC and Agreement State requirements have been implemented.”</w:t>
      </w:r>
      <w:r w:rsidRPr="004D0C3A">
        <w:t xml:space="preserve">  </w:t>
      </w:r>
      <w:r w:rsidRPr="006C11AF">
        <w:t>Section</w:t>
      </w:r>
      <w:r>
        <w:t> </w:t>
      </w:r>
      <w:r>
        <w:fldChar w:fldCharType="begin"/>
      </w:r>
      <w:r>
        <w:instrText xml:space="preserve"> REF _Ref393196136 \r \h  \* MERGEFORMAT </w:instrText>
      </w:r>
      <w:r>
        <w:fldChar w:fldCharType="separate"/>
      </w:r>
      <w:r w:rsidR="00F05D99">
        <w:t>5</w:t>
      </w:r>
      <w:r>
        <w:fldChar w:fldCharType="end"/>
      </w:r>
      <w:r w:rsidRPr="004D0C3A">
        <w:t xml:space="preserve"> of this regulatory analysis presents the estimated incremental costs and benefits of the alternatives </w:t>
      </w:r>
      <w:r>
        <w:t>compared</w:t>
      </w:r>
      <w:r w:rsidRPr="004D0C3A">
        <w:t xml:space="preserve"> to this baseline.</w:t>
      </w:r>
    </w:p>
    <w:p w14:paraId="792EF19A" w14:textId="77777777" w:rsidR="00D53E6F" w:rsidRPr="004D0C3A" w:rsidRDefault="00D53E6F" w:rsidP="00D53E6F">
      <w:pPr>
        <w:pStyle w:val="Heading3"/>
        <w:tabs>
          <w:tab w:val="left" w:pos="720"/>
        </w:tabs>
        <w:spacing w:line="240" w:lineRule="auto"/>
      </w:pPr>
      <w:bookmarkStart w:id="69" w:name="_Toc456098220"/>
      <w:bookmarkStart w:id="70" w:name="_Toc12808777"/>
      <w:r>
        <w:t>4.2.2</w:t>
      </w:r>
      <w:r>
        <w:tab/>
      </w:r>
      <w:bookmarkStart w:id="71" w:name="_Toc457827233"/>
      <w:r w:rsidRPr="004D0C3A">
        <w:t>Affected Entities</w:t>
      </w:r>
      <w:bookmarkEnd w:id="69"/>
      <w:bookmarkEnd w:id="70"/>
      <w:bookmarkEnd w:id="71"/>
    </w:p>
    <w:p w14:paraId="18F78A4C" w14:textId="77777777" w:rsidR="00D53E6F" w:rsidRPr="004D0C3A" w:rsidRDefault="00D53E6F" w:rsidP="00D53E6F">
      <w:pPr>
        <w:keepNext/>
        <w:spacing w:line="240" w:lineRule="auto"/>
      </w:pPr>
    </w:p>
    <w:p w14:paraId="6B814812" w14:textId="77777777" w:rsidR="00D53E6F" w:rsidRPr="004D0C3A" w:rsidRDefault="00D53E6F" w:rsidP="00D53E6F">
      <w:pPr>
        <w:spacing w:line="240" w:lineRule="auto"/>
      </w:pPr>
      <w:r>
        <w:t>This final rule could affect all operating light-water nuclear power reactors and new reactors expected to begin commercial operation within the next 6 years, as follows:</w:t>
      </w:r>
    </w:p>
    <w:p w14:paraId="59B6B8CC" w14:textId="77777777" w:rsidR="00D53E6F" w:rsidRPr="004D0C3A" w:rsidRDefault="00D53E6F" w:rsidP="00D53E6F">
      <w:pPr>
        <w:spacing w:line="240" w:lineRule="auto"/>
      </w:pPr>
    </w:p>
    <w:p w14:paraId="51DC576E" w14:textId="77777777" w:rsidR="00D53E6F" w:rsidRDefault="00D53E6F" w:rsidP="00D53E6F">
      <w:pPr>
        <w:pStyle w:val="ListParagraph"/>
        <w:numPr>
          <w:ilvl w:val="0"/>
          <w:numId w:val="2"/>
        </w:numPr>
        <w:spacing w:line="240" w:lineRule="auto"/>
        <w:ind w:left="720" w:hanging="720"/>
      </w:pPr>
      <w:r w:rsidRPr="00EF673A">
        <w:rPr>
          <w:u w:val="single"/>
        </w:rPr>
        <w:t xml:space="preserve">Nuclear </w:t>
      </w:r>
      <w:r>
        <w:rPr>
          <w:u w:val="single"/>
        </w:rPr>
        <w:t>F</w:t>
      </w:r>
      <w:r w:rsidRPr="00EF673A">
        <w:rPr>
          <w:u w:val="single"/>
        </w:rPr>
        <w:t>acilities</w:t>
      </w:r>
      <w:r>
        <w:t>.  The analysis models 57 plant sites that contain one or more operating U.S. light-water nuclear power reactor units in 2020, which decreases to 53 plant sites in 2025.</w:t>
      </w:r>
      <w:r w:rsidRPr="00554067">
        <w:rPr>
          <w:rStyle w:val="FootnoteReference"/>
          <w:sz w:val="24"/>
          <w:vertAlign w:val="superscript"/>
        </w:rPr>
        <w:footnoteReference w:id="2"/>
      </w:r>
    </w:p>
    <w:p w14:paraId="0D12F154" w14:textId="77777777" w:rsidR="00D53E6F" w:rsidRPr="00AD57AD" w:rsidRDefault="00D53E6F" w:rsidP="004A7B59">
      <w:pPr>
        <w:pStyle w:val="ListParagraph"/>
        <w:spacing w:line="240" w:lineRule="auto"/>
      </w:pPr>
    </w:p>
    <w:p w14:paraId="2AC0D93E" w14:textId="77777777" w:rsidR="00D53E6F" w:rsidRDefault="00D53E6F" w:rsidP="00D53E6F">
      <w:pPr>
        <w:pStyle w:val="ListParagraph"/>
        <w:numPr>
          <w:ilvl w:val="0"/>
          <w:numId w:val="2"/>
        </w:numPr>
        <w:spacing w:line="240" w:lineRule="auto"/>
        <w:ind w:left="720" w:hanging="720"/>
      </w:pPr>
      <w:r w:rsidRPr="00EF673A">
        <w:rPr>
          <w:u w:val="single"/>
        </w:rPr>
        <w:t xml:space="preserve">Operating </w:t>
      </w:r>
      <w:r>
        <w:rPr>
          <w:u w:val="single"/>
        </w:rPr>
        <w:t>R</w:t>
      </w:r>
      <w:r w:rsidRPr="00EF673A">
        <w:rPr>
          <w:u w:val="single"/>
        </w:rPr>
        <w:t xml:space="preserve">eactor </w:t>
      </w:r>
      <w:r>
        <w:rPr>
          <w:u w:val="single"/>
        </w:rPr>
        <w:t>U</w:t>
      </w:r>
      <w:r w:rsidRPr="00EF673A">
        <w:rPr>
          <w:u w:val="single"/>
        </w:rPr>
        <w:t>nits</w:t>
      </w:r>
      <w:r>
        <w:t>.</w:t>
      </w:r>
      <w:r w:rsidRPr="00554067">
        <w:t xml:space="preserve"> </w:t>
      </w:r>
      <w:r w:rsidRPr="004D0C3A">
        <w:t xml:space="preserve"> The analysis models </w:t>
      </w:r>
      <w:r>
        <w:t>93 reactor units at the time of the issuance of the final rule in 2020, which decreases to 88 reactor units in 2025.</w:t>
      </w:r>
    </w:p>
    <w:p w14:paraId="435ADC11" w14:textId="77777777" w:rsidR="00D53E6F" w:rsidRDefault="00D53E6F" w:rsidP="00D53E6F">
      <w:pPr>
        <w:pStyle w:val="ListParagraph"/>
        <w:spacing w:line="240" w:lineRule="auto"/>
      </w:pPr>
    </w:p>
    <w:p w14:paraId="56F075EF" w14:textId="636918C8" w:rsidR="00D53E6F" w:rsidRDefault="00D53E6F" w:rsidP="00D53E6F">
      <w:pPr>
        <w:pStyle w:val="ListParagraph"/>
        <w:numPr>
          <w:ilvl w:val="0"/>
          <w:numId w:val="2"/>
        </w:numPr>
        <w:spacing w:line="240" w:lineRule="auto"/>
        <w:ind w:left="720" w:hanging="720"/>
      </w:pPr>
      <w:r w:rsidRPr="00EF673A">
        <w:rPr>
          <w:u w:val="single"/>
        </w:rPr>
        <w:t xml:space="preserve">Future </w:t>
      </w:r>
      <w:r>
        <w:rPr>
          <w:u w:val="single"/>
        </w:rPr>
        <w:t>O</w:t>
      </w:r>
      <w:r w:rsidRPr="00EF673A">
        <w:rPr>
          <w:u w:val="single"/>
        </w:rPr>
        <w:t xml:space="preserve">perating </w:t>
      </w:r>
      <w:r>
        <w:rPr>
          <w:u w:val="single"/>
        </w:rPr>
        <w:t>R</w:t>
      </w:r>
      <w:r w:rsidRPr="00EF673A">
        <w:rPr>
          <w:u w:val="single"/>
        </w:rPr>
        <w:t xml:space="preserve">eactor </w:t>
      </w:r>
      <w:r>
        <w:rPr>
          <w:u w:val="single"/>
        </w:rPr>
        <w:t>U</w:t>
      </w:r>
      <w:r w:rsidRPr="00EF673A">
        <w:rPr>
          <w:u w:val="single"/>
        </w:rPr>
        <w:t>nits</w:t>
      </w:r>
      <w:r>
        <w:t>.</w:t>
      </w:r>
      <w:r w:rsidRPr="004D0C3A">
        <w:t xml:space="preserve">  </w:t>
      </w:r>
      <w:r w:rsidRPr="000A42CD">
        <w:t>The</w:t>
      </w:r>
      <w:r w:rsidRPr="004D0C3A">
        <w:t xml:space="preserve"> </w:t>
      </w:r>
      <w:r w:rsidR="00173B30">
        <w:t>NRC</w:t>
      </w:r>
      <w:r w:rsidRPr="00BD3549">
        <w:t xml:space="preserve"> assumes </w:t>
      </w:r>
      <w:r>
        <w:t>that</w:t>
      </w:r>
      <w:r w:rsidRPr="00BD3549">
        <w:t xml:space="preserve"> </w:t>
      </w:r>
      <w:bookmarkStart w:id="72" w:name="_Hlk7598837"/>
      <w:r>
        <w:t>Vogtle</w:t>
      </w:r>
      <w:bookmarkEnd w:id="72"/>
      <w:r>
        <w:t xml:space="preserve"> Units 3 and 4 will commence commercial operation in 2021 and 2022, respectively.  As of April 2019, there are six power reactor licensees that hold combined licenses for Fermi, Unit 3; North Anna Power Station, Unit 3; William States Lee III Nuclear Station, Units 1 and 2; and Turkey Point Nuclear Generating Station, Units 6 and 7.  These six units have no published construction schedule and would not be operational within the time horizon of this analysis.</w:t>
      </w:r>
    </w:p>
    <w:p w14:paraId="61E93819" w14:textId="77777777" w:rsidR="00D53E6F" w:rsidRDefault="00D53E6F" w:rsidP="00D53E6F">
      <w:pPr>
        <w:pStyle w:val="ListParagraph"/>
        <w:spacing w:line="240" w:lineRule="auto"/>
      </w:pPr>
    </w:p>
    <w:p w14:paraId="3301FAF6" w14:textId="1726E976" w:rsidR="00D31E3D" w:rsidRDefault="00B3351F" w:rsidP="00D31E3D">
      <w:pPr>
        <w:spacing w:line="240" w:lineRule="auto"/>
      </w:pPr>
      <w:r>
        <w:t>Table 2</w:t>
      </w:r>
      <w:r w:rsidR="008B2A6C">
        <w:t xml:space="preserve"> </w:t>
      </w:r>
      <w:r w:rsidR="00D31E3D" w:rsidRPr="006A6189">
        <w:t>lis</w:t>
      </w:r>
      <w:r w:rsidR="00D31E3D">
        <w:t xml:space="preserve">ts the number of operating plants and the number of sites that the </w:t>
      </w:r>
      <w:r w:rsidR="00433120">
        <w:t>NRC</w:t>
      </w:r>
      <w:r w:rsidR="00D31E3D">
        <w:t xml:space="preserve"> used in performing this analysis and includes Vogtle Electric Generating Plant (Vogtle), Units 3 and 4, which are projected to commence commercial operation in the years 2021 and 2022.</w:t>
      </w:r>
    </w:p>
    <w:p w14:paraId="6E056CCE" w14:textId="77777777" w:rsidR="00D31E3D" w:rsidRDefault="00D31E3D" w:rsidP="00D31E3D">
      <w:pPr>
        <w:spacing w:line="240" w:lineRule="auto"/>
      </w:pPr>
    </w:p>
    <w:p w14:paraId="612C18F0" w14:textId="06B5EAE1" w:rsidR="00D31E3D" w:rsidRPr="00C80453" w:rsidRDefault="00D31E3D" w:rsidP="00D31E3D">
      <w:pPr>
        <w:pStyle w:val="Caption"/>
        <w:jc w:val="center"/>
        <w:rPr>
          <w:b/>
        </w:rPr>
      </w:pPr>
      <w:bookmarkStart w:id="73" w:name="_Toc9428131"/>
      <w:r w:rsidRPr="00C80453">
        <w:rPr>
          <w:b/>
        </w:rPr>
        <w:t xml:space="preserve">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2</w:t>
      </w:r>
      <w:r w:rsidRPr="00C80453">
        <w:rPr>
          <w:b/>
          <w:noProof/>
        </w:rPr>
        <w:fldChar w:fldCharType="end"/>
      </w:r>
      <w:r w:rsidRPr="00C80453">
        <w:rPr>
          <w:b/>
        </w:rPr>
        <w:t xml:space="preserve">  Current and Future Operating Reactor and Site Information</w:t>
      </w:r>
      <w:bookmarkEnd w:id="73"/>
    </w:p>
    <w:p w14:paraId="73C5A3FF" w14:textId="77777777" w:rsidR="00D31E3D" w:rsidRPr="004D0C3A" w:rsidRDefault="00D31E3D" w:rsidP="00D31E3D">
      <w:pPr>
        <w:pStyle w:val="ListParagraph"/>
        <w:spacing w:line="240" w:lineRule="auto"/>
        <w:ind w:left="1710" w:firstLine="720"/>
      </w:pPr>
      <w:r w:rsidRPr="00B07A53">
        <w:rPr>
          <w:noProof/>
        </w:rPr>
        <w:drawing>
          <wp:inline distT="0" distB="0" distL="0" distR="0" wp14:anchorId="0455372A" wp14:editId="5431E97A">
            <wp:extent cx="29337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33700" cy="1295400"/>
                    </a:xfrm>
                    <a:prstGeom prst="rect">
                      <a:avLst/>
                    </a:prstGeom>
                    <a:noFill/>
                    <a:ln>
                      <a:noFill/>
                    </a:ln>
                  </pic:spPr>
                </pic:pic>
              </a:graphicData>
            </a:graphic>
          </wp:inline>
        </w:drawing>
      </w:r>
    </w:p>
    <w:p w14:paraId="1D7088C3" w14:textId="102868C1" w:rsidR="00D31E3D" w:rsidRDefault="00D31E3D" w:rsidP="004A7B59">
      <w:pPr>
        <w:spacing w:line="240" w:lineRule="auto"/>
      </w:pPr>
    </w:p>
    <w:p w14:paraId="4B1A14F6" w14:textId="77777777" w:rsidR="00D53E6F" w:rsidRDefault="00D53E6F" w:rsidP="00D53E6F">
      <w:pPr>
        <w:pStyle w:val="Heading3"/>
        <w:tabs>
          <w:tab w:val="left" w:pos="720"/>
        </w:tabs>
        <w:spacing w:line="240" w:lineRule="auto"/>
      </w:pPr>
      <w:bookmarkStart w:id="74" w:name="_Toc456098221"/>
      <w:bookmarkStart w:id="75" w:name="_Toc12808778"/>
      <w:r>
        <w:t>4.2.3</w:t>
      </w:r>
      <w:r>
        <w:tab/>
      </w:r>
      <w:bookmarkStart w:id="76" w:name="_Toc457827234"/>
      <w:r>
        <w:t>Base Year</w:t>
      </w:r>
      <w:bookmarkEnd w:id="74"/>
      <w:bookmarkEnd w:id="75"/>
      <w:bookmarkEnd w:id="76"/>
    </w:p>
    <w:p w14:paraId="42A30133" w14:textId="77777777" w:rsidR="00D53E6F" w:rsidRDefault="00D53E6F" w:rsidP="00D53E6F">
      <w:pPr>
        <w:keepNext/>
        <w:spacing w:line="240" w:lineRule="auto"/>
      </w:pPr>
    </w:p>
    <w:p w14:paraId="0271E795" w14:textId="4AD7088B" w:rsidR="00D53E6F" w:rsidRDefault="00D53E6F" w:rsidP="00D53E6F">
      <w:pPr>
        <w:spacing w:line="240" w:lineRule="auto"/>
      </w:pPr>
      <w:r>
        <w:t xml:space="preserve">All monetized costs are expressed in 2019 dollars.  Ongoing costs of operation related to the alternative being analyzed are assumed to begin no earlier than 30 days after publication of the final rule in the </w:t>
      </w:r>
      <w:r w:rsidRPr="006E3B2F">
        <w:rPr>
          <w:i/>
        </w:rPr>
        <w:t>Code of Federal Regulations</w:t>
      </w:r>
      <w:r>
        <w:t xml:space="preserve"> unless otherwise stated, and they are modeled on an annual cost basis.  The </w:t>
      </w:r>
      <w:r w:rsidR="00173B30">
        <w:t>NRC</w:t>
      </w:r>
      <w:r>
        <w:t xml:space="preserve"> assumes that the rule will be effective in late 2019.</w:t>
      </w:r>
    </w:p>
    <w:p w14:paraId="66CE01BD" w14:textId="77777777" w:rsidR="00D53E6F" w:rsidRDefault="00D53E6F" w:rsidP="00D53E6F">
      <w:pPr>
        <w:spacing w:line="240" w:lineRule="auto"/>
      </w:pPr>
    </w:p>
    <w:p w14:paraId="08259BDD" w14:textId="366F8A93" w:rsidR="00D53E6F" w:rsidRDefault="00D53E6F" w:rsidP="00D53E6F">
      <w:pPr>
        <w:spacing w:line="240" w:lineRule="auto"/>
      </w:pPr>
      <w:r>
        <w:t xml:space="preserve">Estimates are made for recurring annual operating expenses.  The values for annual operating expenses are modeled as a constant expense for each year of the analysis horizon.  </w:t>
      </w:r>
      <w:r w:rsidR="00173B30">
        <w:t>The NRC</w:t>
      </w:r>
      <w:r>
        <w:t xml:space="preserve"> performed a discounted cash flow calculation to discount these annual expenses to 2019 dollar values.</w:t>
      </w:r>
    </w:p>
    <w:p w14:paraId="25D91C7E" w14:textId="77777777" w:rsidR="00D53E6F" w:rsidRPr="00044B76" w:rsidRDefault="00D53E6F" w:rsidP="00D53E6F">
      <w:pPr>
        <w:spacing w:line="240" w:lineRule="auto"/>
      </w:pPr>
    </w:p>
    <w:p w14:paraId="1526D1E3" w14:textId="77777777" w:rsidR="00D53E6F" w:rsidRPr="004D0C3A" w:rsidRDefault="00D53E6F" w:rsidP="00D53E6F">
      <w:pPr>
        <w:pStyle w:val="Heading3"/>
        <w:tabs>
          <w:tab w:val="left" w:pos="720"/>
        </w:tabs>
        <w:spacing w:line="240" w:lineRule="auto"/>
      </w:pPr>
      <w:bookmarkStart w:id="77" w:name="_Toc456098222"/>
      <w:bookmarkStart w:id="78" w:name="_Toc12808779"/>
      <w:r>
        <w:t>4.2.4</w:t>
      </w:r>
      <w:r>
        <w:tab/>
      </w:r>
      <w:bookmarkStart w:id="79" w:name="_Toc457827235"/>
      <w:r w:rsidRPr="004D0C3A">
        <w:t>Discount Rates</w:t>
      </w:r>
      <w:bookmarkEnd w:id="77"/>
      <w:bookmarkEnd w:id="78"/>
      <w:bookmarkEnd w:id="79"/>
    </w:p>
    <w:p w14:paraId="0D4EA937" w14:textId="77777777" w:rsidR="00D53E6F" w:rsidRPr="004D0C3A" w:rsidRDefault="00D53E6F" w:rsidP="00D53E6F">
      <w:pPr>
        <w:keepNext/>
        <w:spacing w:line="240" w:lineRule="auto"/>
      </w:pPr>
    </w:p>
    <w:p w14:paraId="1DBE5BDA" w14:textId="1709AA52" w:rsidR="00D53E6F" w:rsidRDefault="00D53E6F" w:rsidP="00D53E6F">
      <w:pPr>
        <w:spacing w:line="240" w:lineRule="auto"/>
      </w:pPr>
      <w:r w:rsidRPr="004D0C3A">
        <w:t xml:space="preserve">In accordance with guidance from </w:t>
      </w:r>
      <w:r>
        <w:t>U.S. </w:t>
      </w:r>
      <w:r w:rsidRPr="004D0C3A">
        <w:t>Office of Management and Budget (OMB) Circular No.</w:t>
      </w:r>
      <w:r>
        <w:t> </w:t>
      </w:r>
      <w:r w:rsidRPr="004D0C3A">
        <w:t>A</w:t>
      </w:r>
      <w:r>
        <w:noBreakHyphen/>
      </w:r>
      <w:r w:rsidRPr="004D0C3A">
        <w:t>4</w:t>
      </w:r>
      <w:r>
        <w:t xml:space="preserve">, “Regulatory Analysis,” issued September 2003 (OMB 2003), </w:t>
      </w:r>
      <w:r w:rsidRPr="004D0C3A">
        <w:t>and NUREG/BR</w:t>
      </w:r>
      <w:r>
        <w:noBreakHyphen/>
      </w:r>
      <w:r w:rsidRPr="004D0C3A">
        <w:t xml:space="preserve">0058, </w:t>
      </w:r>
      <w:r w:rsidR="0001793A">
        <w:t xml:space="preserve">draft </w:t>
      </w:r>
      <w:r>
        <w:t>Revision 5</w:t>
      </w:r>
      <w:r w:rsidRPr="004D0C3A">
        <w:t xml:space="preserve">, </w:t>
      </w:r>
      <w:r>
        <w:t xml:space="preserve">net </w:t>
      </w:r>
      <w:r w:rsidRPr="004D0C3A">
        <w:t>present</w:t>
      </w:r>
      <w:r>
        <w:t xml:space="preserve"> value</w:t>
      </w:r>
      <w:r w:rsidRPr="004D0C3A">
        <w:t xml:space="preserve"> </w:t>
      </w:r>
      <w:r>
        <w:t xml:space="preserve">(NPV) </w:t>
      </w:r>
      <w:r w:rsidRPr="004D0C3A">
        <w:t>calculations are used to determine how much society would need to invest today to ensure that the designated dollar amount is available</w:t>
      </w:r>
      <w:r>
        <w:t xml:space="preserve"> in a given year in the future. </w:t>
      </w:r>
      <w:r w:rsidRPr="004D0C3A">
        <w:t xml:space="preserve"> By using </w:t>
      </w:r>
      <w:r>
        <w:t>NPV</w:t>
      </w:r>
      <w:r w:rsidRPr="004D0C3A">
        <w:t>s, costs and benefits</w:t>
      </w:r>
      <w:r>
        <w:t xml:space="preserve"> (</w:t>
      </w:r>
      <w:r w:rsidRPr="004D0C3A">
        <w:t xml:space="preserve">regardless of when </w:t>
      </w:r>
      <w:r>
        <w:t>they are</w:t>
      </w:r>
      <w:r w:rsidRPr="004D0C3A">
        <w:t xml:space="preserve"> incurred</w:t>
      </w:r>
      <w:r>
        <w:t>)</w:t>
      </w:r>
      <w:r w:rsidRPr="004D0C3A">
        <w:t xml:space="preserve"> are valued to a reference year for comparison.</w:t>
      </w:r>
      <w:r>
        <w:t xml:space="preserve"> </w:t>
      </w:r>
      <w:r w:rsidRPr="004D0C3A">
        <w:t xml:space="preserve"> The choice of a discount rate and its associated conceptual basis is a topic of ongoing discussion within the Federal Government.  Based on OMB Circular No</w:t>
      </w:r>
      <w:r>
        <w:t>. </w:t>
      </w:r>
      <w:r w:rsidRPr="004D0C3A">
        <w:t xml:space="preserve">A-4 and consistent with NRC past practice and guidance, present-worth calculations </w:t>
      </w:r>
      <w:r>
        <w:t>in this analysis use</w:t>
      </w:r>
      <w:r w:rsidRPr="004D0C3A">
        <w:t xml:space="preserve"> </w:t>
      </w:r>
      <w:r>
        <w:t>3</w:t>
      </w:r>
      <w:r>
        <w:noBreakHyphen/>
      </w:r>
      <w:r w:rsidRPr="004D0C3A">
        <w:t xml:space="preserve">percent and </w:t>
      </w:r>
      <w:r>
        <w:t>7</w:t>
      </w:r>
      <w:r>
        <w:noBreakHyphen/>
      </w:r>
      <w:r w:rsidRPr="004D0C3A">
        <w:t>percent real discount rates.</w:t>
      </w:r>
      <w:r>
        <w:t xml:space="preserve"> </w:t>
      </w:r>
      <w:r w:rsidRPr="004D0C3A">
        <w:t xml:space="preserve"> A </w:t>
      </w:r>
      <w:r>
        <w:t>3</w:t>
      </w:r>
      <w:r>
        <w:noBreakHyphen/>
      </w:r>
      <w:r w:rsidRPr="004D0C3A">
        <w:t>percent discount rate approximates the real rate of return on long</w:t>
      </w:r>
      <w:r>
        <w:noBreakHyphen/>
      </w:r>
      <w:r w:rsidRPr="004D0C3A">
        <w:t xml:space="preserve">term </w:t>
      </w:r>
      <w:r>
        <w:t>G</w:t>
      </w:r>
      <w:r w:rsidRPr="004D0C3A">
        <w:t xml:space="preserve">overnment debt, which serves as a proxy for the real rate of return on savings to reflect reliance on a social rate of time </w:t>
      </w:r>
      <w:r>
        <w:t>preference discounting concept.</w:t>
      </w:r>
      <w:r w:rsidRPr="00A05161">
        <w:rPr>
          <w:rStyle w:val="FootnoteReference"/>
          <w:vertAlign w:val="superscript"/>
        </w:rPr>
        <w:footnoteReference w:id="3"/>
      </w:r>
      <w:r>
        <w:t xml:space="preserve"> </w:t>
      </w:r>
      <w:r w:rsidRPr="004D0C3A">
        <w:t xml:space="preserve"> A </w:t>
      </w:r>
      <w:r>
        <w:t>7</w:t>
      </w:r>
      <w:r>
        <w:noBreakHyphen/>
      </w:r>
      <w:r w:rsidRPr="004D0C3A">
        <w:t xml:space="preserve">percent discount rate approximates the marginal pretax real rate of return on an average investment in the private sector, and </w:t>
      </w:r>
      <w:r>
        <w:t xml:space="preserve">it </w:t>
      </w:r>
      <w:r w:rsidRPr="004D0C3A">
        <w:t xml:space="preserve">is the appropriate discount rate whenever the main effect of a regulation is to displace or alter the use of capital in the private sector.  A </w:t>
      </w:r>
      <w:r>
        <w:t>7</w:t>
      </w:r>
      <w:r>
        <w:noBreakHyphen/>
      </w:r>
      <w:r w:rsidRPr="004D0C3A">
        <w:t>percent rate is consistent with an opportunity cost</w:t>
      </w:r>
      <w:r w:rsidRPr="004D0C3A">
        <w:rPr>
          <w:rStyle w:val="FootnoteReference"/>
          <w:vertAlign w:val="superscript"/>
        </w:rPr>
        <w:footnoteReference w:id="4"/>
      </w:r>
      <w:r w:rsidRPr="004D0C3A">
        <w:t xml:space="preserve"> of capital concept to reflect the time value of resources directed to meet regulatory requirements.</w:t>
      </w:r>
    </w:p>
    <w:p w14:paraId="2AD68EDE" w14:textId="77777777" w:rsidR="00D53E6F" w:rsidRPr="004D0C3A" w:rsidRDefault="00D53E6F" w:rsidP="00D53E6F">
      <w:pPr>
        <w:spacing w:line="240" w:lineRule="auto"/>
      </w:pPr>
    </w:p>
    <w:p w14:paraId="043397DE" w14:textId="77777777" w:rsidR="00D53E6F" w:rsidRDefault="00D53E6F" w:rsidP="00D53E6F">
      <w:pPr>
        <w:pStyle w:val="Heading3"/>
        <w:tabs>
          <w:tab w:val="left" w:pos="720"/>
        </w:tabs>
        <w:spacing w:line="240" w:lineRule="auto"/>
      </w:pPr>
      <w:bookmarkStart w:id="80" w:name="_Ref448229252"/>
      <w:bookmarkStart w:id="81" w:name="_Toc456098223"/>
      <w:bookmarkStart w:id="82" w:name="_Toc12808780"/>
      <w:r>
        <w:t>4.2.5</w:t>
      </w:r>
      <w:r>
        <w:tab/>
      </w:r>
      <w:bookmarkStart w:id="83" w:name="_Toc457827236"/>
      <w:r>
        <w:t>Cost/Benefit Inflators</w:t>
      </w:r>
      <w:bookmarkEnd w:id="80"/>
      <w:bookmarkEnd w:id="81"/>
      <w:bookmarkEnd w:id="82"/>
      <w:bookmarkEnd w:id="83"/>
    </w:p>
    <w:p w14:paraId="4A55E27C" w14:textId="77777777" w:rsidR="00D53E6F" w:rsidRDefault="00D53E6F" w:rsidP="00D53E6F">
      <w:pPr>
        <w:keepNext/>
        <w:spacing w:line="240" w:lineRule="auto"/>
      </w:pPr>
    </w:p>
    <w:p w14:paraId="5BDE89C9" w14:textId="7023E737" w:rsidR="00D53E6F" w:rsidRDefault="00173B30" w:rsidP="00D53E6F">
      <w:pPr>
        <w:spacing w:after="220" w:line="240" w:lineRule="auto"/>
      </w:pPr>
      <w:r>
        <w:t>The NRC</w:t>
      </w:r>
      <w:r w:rsidR="00D53E6F" w:rsidRPr="00612D78">
        <w:t xml:space="preserve"> estimated</w:t>
      </w:r>
      <w:r w:rsidR="00D53E6F">
        <w:t xml:space="preserve"> the analysis inputs for some attributes based on the values published in NUREG/BR</w:t>
      </w:r>
      <w:r w:rsidR="00D53E6F">
        <w:noBreakHyphen/>
        <w:t>0058 (NRC 2018a), or other sources as referenced, which are provided in prior</w:t>
      </w:r>
      <w:r w:rsidR="00D53E6F">
        <w:noBreakHyphen/>
        <w:t>year dollars.  To evaluate the costs and benefits consistently, these inputs are put into base</w:t>
      </w:r>
      <w:r w:rsidR="00D53E6F">
        <w:noBreakHyphen/>
        <w:t>year dollars.  The most common inflator is the Consumer Price Index for All Urban Consumers (CPI</w:t>
      </w:r>
      <w:r w:rsidR="00D53E6F">
        <w:noBreakHyphen/>
        <w:t>U), which was developed by the U.S. Department of Labor, Bureau of Labor Statistics (BLS, 2018).  Using the CPI-U, the prior</w:t>
      </w:r>
      <w:r w:rsidR="00D53E6F">
        <w:noBreakHyphen/>
        <w:t>year dollars are converted to 2019 dollars.  The following formula is used to determine the amount in 2019 dollars:</w:t>
      </w:r>
    </w:p>
    <w:p w14:paraId="0358BC97" w14:textId="77777777" w:rsidR="00D53E6F" w:rsidRDefault="00F76DB1" w:rsidP="00D53E6F">
      <w:pPr>
        <w:spacing w:line="240" w:lineRule="auto"/>
      </w:pPr>
      <m:oMathPara>
        <m:oMath>
          <m:f>
            <m:fPr>
              <m:ctrlPr>
                <w:rPr>
                  <w:rFonts w:ascii="Cambria Math" w:hAnsi="Cambria Math"/>
                </w:rPr>
              </m:ctrlPr>
            </m:fPr>
            <m:num>
              <m:sSub>
                <m:sSubPr>
                  <m:ctrlPr>
                    <w:rPr>
                      <w:rFonts w:ascii="Cambria Math" w:hAnsi="Cambria Math"/>
                    </w:rPr>
                  </m:ctrlPr>
                </m:sSubPr>
                <m:e>
                  <m:r>
                    <w:rPr>
                      <w:rFonts w:ascii="Cambria Math" w:hAnsi="Cambria Math"/>
                    </w:rPr>
                    <m:t>CPI</m:t>
                  </m:r>
                  <m:r>
                    <m:rPr>
                      <m:sty m:val="p"/>
                    </m:rPr>
                    <w:rPr>
                      <w:rFonts w:ascii="Cambria Math" w:hAnsi="Cambria Math"/>
                    </w:rPr>
                    <m:t>-</m:t>
                  </m:r>
                  <m:r>
                    <w:rPr>
                      <w:rFonts w:ascii="Cambria Math" w:hAnsi="Cambria Math"/>
                    </w:rPr>
                    <m:t>U</m:t>
                  </m:r>
                </m:e>
                <m:sub>
                  <m:r>
                    <m:rPr>
                      <m:sty m:val="p"/>
                    </m:rPr>
                    <w:rPr>
                      <w:rFonts w:ascii="Cambria Math" w:hAnsi="Cambria Math"/>
                    </w:rPr>
                    <m:t>2019</m:t>
                  </m:r>
                </m:sub>
              </m:sSub>
            </m:num>
            <m:den>
              <m:sSub>
                <m:sSubPr>
                  <m:ctrlPr>
                    <w:rPr>
                      <w:rFonts w:ascii="Cambria Math" w:hAnsi="Cambria Math"/>
                    </w:rPr>
                  </m:ctrlPr>
                </m:sSubPr>
                <m:e>
                  <m:r>
                    <w:rPr>
                      <w:rFonts w:ascii="Cambria Math" w:hAnsi="Cambria Math"/>
                    </w:rPr>
                    <m:t>CPI</m:t>
                  </m:r>
                  <m:r>
                    <m:rPr>
                      <m:sty m:val="p"/>
                    </m:rPr>
                    <w:rPr>
                      <w:rFonts w:ascii="Cambria Math" w:hAnsi="Cambria Math"/>
                    </w:rPr>
                    <m:t>-</m:t>
                  </m:r>
                  <m:r>
                    <w:rPr>
                      <w:rFonts w:ascii="Cambria Math" w:hAnsi="Cambria Math"/>
                    </w:rPr>
                    <m:t>U</m:t>
                  </m:r>
                </m:e>
                <m:sub>
                  <m:r>
                    <w:rPr>
                      <w:rFonts w:ascii="Cambria Math" w:hAnsi="Cambria Math"/>
                    </w:rPr>
                    <m:t>Base</m:t>
                  </m:r>
                  <m:r>
                    <m:rPr>
                      <m:sty m:val="p"/>
                    </m:rPr>
                    <w:rPr>
                      <w:rFonts w:ascii="Cambria Math" w:hAnsi="Cambria Math"/>
                    </w:rPr>
                    <m:t xml:space="preserve"> </m:t>
                  </m:r>
                  <m:r>
                    <w:rPr>
                      <w:rFonts w:ascii="Cambria Math" w:hAnsi="Cambria Math"/>
                    </w:rPr>
                    <m:t>Year</m:t>
                  </m:r>
                </m:sub>
              </m:sSub>
            </m:den>
          </m:f>
          <m:r>
            <m:rPr>
              <m:sty m:val="p"/>
            </m:rPr>
            <w:rPr>
              <w:rFonts w:ascii="Cambria Math" w:hAnsi="Cambria Math"/>
            </w:rPr>
            <m:t xml:space="preserve"> </m:t>
          </m:r>
          <m:r>
            <w:rPr>
              <w:rFonts w:ascii="Cambria Math" w:hAnsi="Cambria Math"/>
            </w:rPr>
            <m:t>x</m:t>
          </m:r>
          <m:r>
            <m:rPr>
              <m:sty m:val="p"/>
            </m:rPr>
            <w:rPr>
              <w:rFonts w:ascii="Cambria Math" w:hAnsi="Cambria Math"/>
            </w:rPr>
            <m:t xml:space="preserve"> </m:t>
          </m:r>
          <m:sSub>
            <m:sSubPr>
              <m:ctrlPr>
                <w:rPr>
                  <w:rFonts w:ascii="Cambria Math" w:hAnsi="Cambria Math"/>
                </w:rPr>
              </m:ctrlPr>
            </m:sSubPr>
            <m:e>
              <m:r>
                <w:rPr>
                  <w:rFonts w:ascii="Cambria Math" w:hAnsi="Cambria Math"/>
                </w:rPr>
                <m:t>Value</m:t>
              </m:r>
            </m:e>
            <m:sub>
              <m:r>
                <w:rPr>
                  <w:rFonts w:ascii="Cambria Math" w:hAnsi="Cambria Math"/>
                </w:rPr>
                <m:t>Base</m:t>
              </m:r>
              <m:r>
                <m:rPr>
                  <m:sty m:val="p"/>
                </m:rPr>
                <w:rPr>
                  <w:rFonts w:ascii="Cambria Math" w:hAnsi="Cambria Math"/>
                </w:rPr>
                <m:t xml:space="preserve"> </m:t>
              </m:r>
              <m:r>
                <w:rPr>
                  <w:rFonts w:ascii="Cambria Math" w:hAnsi="Cambria Math"/>
                </w:rPr>
                <m:t>Year</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Value</m:t>
              </m:r>
            </m:e>
            <m:sub>
              <m:r>
                <m:rPr>
                  <m:sty m:val="p"/>
                </m:rPr>
                <w:rPr>
                  <w:rFonts w:ascii="Cambria Math" w:hAnsi="Cambria Math"/>
                </w:rPr>
                <m:t>2019</m:t>
              </m:r>
            </m:sub>
          </m:sSub>
        </m:oMath>
      </m:oMathPara>
    </w:p>
    <w:p w14:paraId="7E4794CA" w14:textId="77777777" w:rsidR="00D53E6F" w:rsidRDefault="00D53E6F" w:rsidP="00D53E6F">
      <w:pPr>
        <w:spacing w:line="240" w:lineRule="auto"/>
      </w:pPr>
    </w:p>
    <w:p w14:paraId="1B240278" w14:textId="29C12FB1" w:rsidR="00D53E6F" w:rsidRDefault="00D53E6F" w:rsidP="00D53E6F">
      <w:pPr>
        <w:spacing w:line="240" w:lineRule="auto"/>
      </w:pPr>
      <w:r w:rsidRPr="000B636B">
        <w:fldChar w:fldCharType="begin"/>
      </w:r>
      <w:r w:rsidRPr="006D47D8">
        <w:instrText xml:space="preserve"> REF _Ref454874380 \h </w:instrText>
      </w:r>
      <w:r w:rsidRPr="00F3608B">
        <w:rPr>
          <w:b/>
        </w:rPr>
        <w:instrText xml:space="preserve"> \* MERGEFORMAT </w:instrText>
      </w:r>
      <w:r w:rsidRPr="000B636B">
        <w:fldChar w:fldCharType="separate"/>
      </w:r>
      <w:r w:rsidR="00F05D99" w:rsidRPr="00F05D99">
        <w:t xml:space="preserve">Table </w:t>
      </w:r>
      <w:r w:rsidR="00F05D99" w:rsidRPr="00F05D99">
        <w:rPr>
          <w:noProof/>
        </w:rPr>
        <w:t>3</w:t>
      </w:r>
      <w:r w:rsidRPr="000B636B">
        <w:fldChar w:fldCharType="end"/>
      </w:r>
      <w:r w:rsidRPr="000B636B">
        <w:t xml:space="preserve"> </w:t>
      </w:r>
      <w:r>
        <w:t>summarizes the values of CPI-U used in this regulatory analysis.</w:t>
      </w:r>
    </w:p>
    <w:p w14:paraId="4F7F7D73" w14:textId="77777777" w:rsidR="00D53E6F" w:rsidRDefault="00D53E6F" w:rsidP="00D53E6F">
      <w:pPr>
        <w:spacing w:line="240" w:lineRule="auto"/>
      </w:pPr>
    </w:p>
    <w:p w14:paraId="68FC8608" w14:textId="2E8910CD" w:rsidR="00D53E6F" w:rsidRPr="00C80453" w:rsidRDefault="00D53E6F" w:rsidP="00D53E6F">
      <w:pPr>
        <w:pStyle w:val="Caption"/>
        <w:spacing w:line="240" w:lineRule="auto"/>
        <w:ind w:left="1080" w:hanging="1080"/>
        <w:jc w:val="center"/>
        <w:rPr>
          <w:b/>
        </w:rPr>
      </w:pPr>
      <w:bookmarkStart w:id="84" w:name="_Ref454874380"/>
      <w:bookmarkStart w:id="85" w:name="_Toc393790899"/>
      <w:bookmarkStart w:id="86" w:name="_Toc393791033"/>
      <w:bookmarkStart w:id="87" w:name="_Toc454442462"/>
      <w:bookmarkStart w:id="88" w:name="_Toc457827382"/>
      <w:bookmarkStart w:id="89" w:name="_Toc9428132"/>
      <w:r w:rsidRPr="00C80453">
        <w:rPr>
          <w:b/>
        </w:rPr>
        <w:t xml:space="preserve">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3</w:t>
      </w:r>
      <w:r w:rsidRPr="00C80453">
        <w:rPr>
          <w:b/>
          <w:noProof/>
        </w:rPr>
        <w:fldChar w:fldCharType="end"/>
      </w:r>
      <w:bookmarkEnd w:id="84"/>
      <w:r w:rsidRPr="00C80453">
        <w:rPr>
          <w:b/>
          <w:noProof/>
        </w:rPr>
        <w:t xml:space="preserve">  CPI-U</w:t>
      </w:r>
      <w:r w:rsidRPr="00C80453">
        <w:rPr>
          <w:b/>
        </w:rPr>
        <w:t xml:space="preserve"> Inflator</w:t>
      </w:r>
      <w:bookmarkEnd w:id="85"/>
      <w:bookmarkEnd w:id="86"/>
      <w:bookmarkEnd w:id="87"/>
      <w:bookmarkEnd w:id="88"/>
      <w:bookmarkEnd w:id="89"/>
    </w:p>
    <w:tbl>
      <w:tblPr>
        <w:tblW w:w="6390" w:type="dxa"/>
        <w:jc w:val="center"/>
        <w:tblLook w:val="04A0" w:firstRow="1" w:lastRow="0" w:firstColumn="1" w:lastColumn="0" w:noHBand="0" w:noVBand="1"/>
      </w:tblPr>
      <w:tblGrid>
        <w:gridCol w:w="1620"/>
        <w:gridCol w:w="1755"/>
        <w:gridCol w:w="3015"/>
      </w:tblGrid>
      <w:tr w:rsidR="00D53E6F" w:rsidRPr="00612D78" w14:paraId="705C8938" w14:textId="77777777" w:rsidTr="004A7B59">
        <w:trPr>
          <w:trHeight w:val="592"/>
          <w:jc w:val="center"/>
        </w:trPr>
        <w:tc>
          <w:tcPr>
            <w:tcW w:w="1620"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3AAED845" w14:textId="77777777" w:rsidR="00D53E6F" w:rsidRPr="00C80453" w:rsidRDefault="00D53E6F" w:rsidP="00E91144">
            <w:pPr>
              <w:spacing w:line="240" w:lineRule="auto"/>
              <w:jc w:val="center"/>
              <w:rPr>
                <w:b/>
              </w:rPr>
            </w:pPr>
            <w:r w:rsidRPr="00C80453">
              <w:rPr>
                <w:b/>
              </w:rPr>
              <w:t>Base Year</w:t>
            </w:r>
          </w:p>
        </w:tc>
        <w:tc>
          <w:tcPr>
            <w:tcW w:w="1755" w:type="dxa"/>
            <w:tcBorders>
              <w:top w:val="single" w:sz="8" w:space="0" w:color="auto"/>
              <w:left w:val="nil"/>
              <w:bottom w:val="single" w:sz="8" w:space="0" w:color="auto"/>
              <w:right w:val="single" w:sz="8" w:space="0" w:color="auto"/>
            </w:tcBorders>
            <w:shd w:val="clear" w:color="auto" w:fill="auto"/>
            <w:vAlign w:val="center"/>
            <w:hideMark/>
          </w:tcPr>
          <w:p w14:paraId="60AB901A" w14:textId="77777777" w:rsidR="00D53E6F" w:rsidRPr="00C80453" w:rsidRDefault="00D53E6F" w:rsidP="00E91144">
            <w:pPr>
              <w:spacing w:line="240" w:lineRule="auto"/>
              <w:jc w:val="center"/>
              <w:rPr>
                <w:b/>
              </w:rPr>
            </w:pPr>
            <w:r w:rsidRPr="00C80453">
              <w:rPr>
                <w:b/>
              </w:rPr>
              <w:t>CPI-U Annual Average</w:t>
            </w:r>
            <w:r w:rsidRPr="00C80453">
              <w:rPr>
                <w:b/>
                <w:vertAlign w:val="superscript"/>
              </w:rPr>
              <w:t>a</w:t>
            </w:r>
          </w:p>
        </w:tc>
        <w:tc>
          <w:tcPr>
            <w:tcW w:w="3015" w:type="dxa"/>
            <w:tcBorders>
              <w:top w:val="single" w:sz="8" w:space="0" w:color="auto"/>
              <w:left w:val="nil"/>
              <w:bottom w:val="single" w:sz="8" w:space="0" w:color="auto"/>
              <w:right w:val="single" w:sz="12" w:space="0" w:color="auto"/>
            </w:tcBorders>
            <w:shd w:val="clear" w:color="auto" w:fill="auto"/>
            <w:vAlign w:val="center"/>
            <w:hideMark/>
          </w:tcPr>
          <w:p w14:paraId="30C428C3" w14:textId="1D86A540" w:rsidR="00D53E6F" w:rsidRPr="008D1400" w:rsidRDefault="00D53E6F" w:rsidP="00E91144">
            <w:pPr>
              <w:spacing w:line="240" w:lineRule="auto"/>
              <w:jc w:val="center"/>
              <w:rPr>
                <w:b/>
                <w:vertAlign w:val="superscript"/>
              </w:rPr>
            </w:pPr>
            <w:r w:rsidRPr="00C80453">
              <w:rPr>
                <w:b/>
              </w:rPr>
              <w:t>Actual/Forecast Percent Change from Previous Year</w:t>
            </w:r>
          </w:p>
        </w:tc>
      </w:tr>
      <w:tr w:rsidR="00D53E6F" w:rsidRPr="00BC0251" w14:paraId="00CCFDAC" w14:textId="77777777" w:rsidTr="004A7B59">
        <w:trPr>
          <w:trHeight w:val="300"/>
          <w:jc w:val="center"/>
        </w:trPr>
        <w:tc>
          <w:tcPr>
            <w:tcW w:w="1620" w:type="dxa"/>
            <w:tcBorders>
              <w:top w:val="single" w:sz="4" w:space="0" w:color="auto"/>
              <w:left w:val="single" w:sz="12" w:space="0" w:color="auto"/>
              <w:bottom w:val="single" w:sz="8" w:space="0" w:color="auto"/>
              <w:right w:val="single" w:sz="8" w:space="0" w:color="auto"/>
            </w:tcBorders>
            <w:shd w:val="clear" w:color="auto" w:fill="auto"/>
            <w:vAlign w:val="center"/>
          </w:tcPr>
          <w:p w14:paraId="29091504" w14:textId="77777777" w:rsidR="00D53E6F" w:rsidRPr="00BC0251" w:rsidRDefault="00D53E6F" w:rsidP="004A7B59">
            <w:pPr>
              <w:spacing w:line="240" w:lineRule="auto"/>
              <w:jc w:val="center"/>
            </w:pPr>
            <w:r w:rsidRPr="00BC0251">
              <w:t>2016</w:t>
            </w:r>
          </w:p>
        </w:tc>
        <w:tc>
          <w:tcPr>
            <w:tcW w:w="1755" w:type="dxa"/>
            <w:tcBorders>
              <w:top w:val="nil"/>
              <w:left w:val="nil"/>
              <w:bottom w:val="single" w:sz="4" w:space="0" w:color="auto"/>
              <w:right w:val="single" w:sz="8" w:space="0" w:color="auto"/>
            </w:tcBorders>
            <w:shd w:val="clear" w:color="auto" w:fill="auto"/>
            <w:vAlign w:val="center"/>
          </w:tcPr>
          <w:p w14:paraId="5C78150A" w14:textId="77777777" w:rsidR="00D53E6F" w:rsidRDefault="00D53E6F" w:rsidP="004A7B59">
            <w:pPr>
              <w:spacing w:line="240" w:lineRule="auto"/>
              <w:jc w:val="center"/>
            </w:pPr>
            <w:r>
              <w:t>240.007</w:t>
            </w:r>
          </w:p>
        </w:tc>
        <w:tc>
          <w:tcPr>
            <w:tcW w:w="3015" w:type="dxa"/>
            <w:tcBorders>
              <w:top w:val="nil"/>
              <w:left w:val="nil"/>
              <w:bottom w:val="single" w:sz="8" w:space="0" w:color="auto"/>
              <w:right w:val="single" w:sz="12" w:space="0" w:color="auto"/>
            </w:tcBorders>
            <w:shd w:val="clear" w:color="auto" w:fill="auto"/>
            <w:noWrap/>
            <w:vAlign w:val="center"/>
          </w:tcPr>
          <w:p w14:paraId="05CC11A1" w14:textId="77777777" w:rsidR="00D53E6F" w:rsidRPr="00BC0251" w:rsidRDefault="00D53E6F" w:rsidP="004A7B59">
            <w:pPr>
              <w:spacing w:line="240" w:lineRule="auto"/>
              <w:jc w:val="center"/>
            </w:pPr>
          </w:p>
        </w:tc>
      </w:tr>
      <w:tr w:rsidR="00D53E6F" w:rsidRPr="00BC0251" w14:paraId="63884153" w14:textId="77777777" w:rsidTr="004A7B59">
        <w:trPr>
          <w:trHeight w:val="300"/>
          <w:jc w:val="center"/>
        </w:trPr>
        <w:tc>
          <w:tcPr>
            <w:tcW w:w="1620" w:type="dxa"/>
            <w:tcBorders>
              <w:top w:val="single" w:sz="4" w:space="0" w:color="auto"/>
              <w:left w:val="single" w:sz="12" w:space="0" w:color="auto"/>
              <w:bottom w:val="single" w:sz="8" w:space="0" w:color="auto"/>
              <w:right w:val="single" w:sz="8" w:space="0" w:color="auto"/>
            </w:tcBorders>
            <w:shd w:val="clear" w:color="auto" w:fill="auto"/>
            <w:vAlign w:val="center"/>
          </w:tcPr>
          <w:p w14:paraId="532C5B18" w14:textId="77777777" w:rsidR="00D53E6F" w:rsidRPr="00BC0251" w:rsidRDefault="00D53E6F" w:rsidP="004A7B59">
            <w:pPr>
              <w:spacing w:line="240" w:lineRule="auto"/>
              <w:jc w:val="center"/>
            </w:pPr>
            <w:r w:rsidRPr="00BC0251">
              <w:t>2017</w:t>
            </w:r>
          </w:p>
        </w:tc>
        <w:tc>
          <w:tcPr>
            <w:tcW w:w="1755" w:type="dxa"/>
            <w:tcBorders>
              <w:top w:val="nil"/>
              <w:left w:val="nil"/>
              <w:bottom w:val="single" w:sz="4" w:space="0" w:color="auto"/>
              <w:right w:val="single" w:sz="8" w:space="0" w:color="auto"/>
            </w:tcBorders>
            <w:shd w:val="clear" w:color="auto" w:fill="auto"/>
            <w:vAlign w:val="center"/>
          </w:tcPr>
          <w:p w14:paraId="67AF769E" w14:textId="77777777" w:rsidR="00D53E6F" w:rsidRDefault="00D53E6F" w:rsidP="004A7B59">
            <w:pPr>
              <w:spacing w:line="240" w:lineRule="auto"/>
              <w:jc w:val="center"/>
            </w:pPr>
            <w:r>
              <w:rPr>
                <w:color w:val="000000"/>
              </w:rPr>
              <w:t>245.120</w:t>
            </w:r>
          </w:p>
        </w:tc>
        <w:tc>
          <w:tcPr>
            <w:tcW w:w="3015" w:type="dxa"/>
            <w:tcBorders>
              <w:top w:val="nil"/>
              <w:left w:val="nil"/>
              <w:bottom w:val="single" w:sz="8" w:space="0" w:color="auto"/>
              <w:right w:val="single" w:sz="12" w:space="0" w:color="auto"/>
            </w:tcBorders>
            <w:shd w:val="clear" w:color="auto" w:fill="auto"/>
            <w:noWrap/>
            <w:vAlign w:val="center"/>
          </w:tcPr>
          <w:p w14:paraId="51667AF7" w14:textId="77777777" w:rsidR="00D53E6F" w:rsidRPr="00BC0251" w:rsidRDefault="00D53E6F" w:rsidP="004A7B59">
            <w:pPr>
              <w:spacing w:line="240" w:lineRule="auto"/>
              <w:jc w:val="center"/>
            </w:pPr>
            <w:r>
              <w:rPr>
                <w:color w:val="000000"/>
              </w:rPr>
              <w:t>2.13%</w:t>
            </w:r>
          </w:p>
        </w:tc>
      </w:tr>
      <w:tr w:rsidR="00D53E6F" w:rsidRPr="00BC0251" w14:paraId="3BD40529" w14:textId="77777777" w:rsidTr="004A7B59">
        <w:trPr>
          <w:trHeight w:val="300"/>
          <w:jc w:val="center"/>
        </w:trPr>
        <w:tc>
          <w:tcPr>
            <w:tcW w:w="1620" w:type="dxa"/>
            <w:tcBorders>
              <w:top w:val="single" w:sz="4" w:space="0" w:color="auto"/>
              <w:left w:val="single" w:sz="12" w:space="0" w:color="auto"/>
              <w:bottom w:val="single" w:sz="8" w:space="0" w:color="auto"/>
              <w:right w:val="single" w:sz="8" w:space="0" w:color="auto"/>
            </w:tcBorders>
            <w:shd w:val="clear" w:color="auto" w:fill="auto"/>
            <w:vAlign w:val="center"/>
            <w:hideMark/>
          </w:tcPr>
          <w:p w14:paraId="7D3F070F" w14:textId="77777777" w:rsidR="00D53E6F" w:rsidRPr="00BC0251" w:rsidRDefault="00D53E6F" w:rsidP="004A7B59">
            <w:pPr>
              <w:spacing w:line="240" w:lineRule="auto"/>
              <w:jc w:val="center"/>
            </w:pPr>
            <w:r>
              <w:t>2018</w:t>
            </w:r>
          </w:p>
        </w:tc>
        <w:tc>
          <w:tcPr>
            <w:tcW w:w="1755" w:type="dxa"/>
            <w:tcBorders>
              <w:top w:val="nil"/>
              <w:left w:val="nil"/>
              <w:bottom w:val="single" w:sz="4" w:space="0" w:color="auto"/>
              <w:right w:val="single" w:sz="8" w:space="0" w:color="auto"/>
            </w:tcBorders>
            <w:shd w:val="clear" w:color="auto" w:fill="auto"/>
            <w:vAlign w:val="center"/>
            <w:hideMark/>
          </w:tcPr>
          <w:p w14:paraId="75FEB897" w14:textId="1C0C4382" w:rsidR="00D53E6F" w:rsidRPr="00BC0251" w:rsidRDefault="00D53E6F" w:rsidP="00560F67">
            <w:pPr>
              <w:spacing w:line="240" w:lineRule="auto"/>
              <w:jc w:val="center"/>
            </w:pPr>
            <w:r>
              <w:t>25</w:t>
            </w:r>
            <w:r w:rsidR="00560F67">
              <w:t>1</w:t>
            </w:r>
            <w:r>
              <w:t>.</w:t>
            </w:r>
            <w:r w:rsidR="00560F67">
              <w:t>107</w:t>
            </w:r>
          </w:p>
        </w:tc>
        <w:tc>
          <w:tcPr>
            <w:tcW w:w="3015" w:type="dxa"/>
            <w:tcBorders>
              <w:top w:val="nil"/>
              <w:left w:val="nil"/>
              <w:bottom w:val="single" w:sz="8" w:space="0" w:color="auto"/>
              <w:right w:val="single" w:sz="12" w:space="0" w:color="auto"/>
            </w:tcBorders>
            <w:shd w:val="clear" w:color="auto" w:fill="auto"/>
            <w:noWrap/>
            <w:vAlign w:val="center"/>
            <w:hideMark/>
          </w:tcPr>
          <w:p w14:paraId="47FC79A8" w14:textId="121E5D7C" w:rsidR="00D53E6F" w:rsidRPr="00BC0251" w:rsidRDefault="00D53E6F" w:rsidP="00560F67">
            <w:pPr>
              <w:spacing w:line="240" w:lineRule="auto"/>
              <w:jc w:val="center"/>
            </w:pPr>
            <w:r>
              <w:t>2.</w:t>
            </w:r>
            <w:r w:rsidR="00560F67">
              <w:t>44</w:t>
            </w:r>
            <w:r>
              <w:t>%</w:t>
            </w:r>
          </w:p>
        </w:tc>
      </w:tr>
      <w:tr w:rsidR="00D53E6F" w:rsidRPr="00BC0251" w14:paraId="4C03FA83" w14:textId="77777777" w:rsidTr="004A7B59">
        <w:trPr>
          <w:trHeight w:val="300"/>
          <w:jc w:val="center"/>
        </w:trPr>
        <w:tc>
          <w:tcPr>
            <w:tcW w:w="1620" w:type="dxa"/>
            <w:tcBorders>
              <w:top w:val="nil"/>
              <w:left w:val="single" w:sz="12" w:space="0" w:color="auto"/>
              <w:bottom w:val="single" w:sz="12" w:space="0" w:color="auto"/>
              <w:right w:val="single" w:sz="8" w:space="0" w:color="auto"/>
            </w:tcBorders>
            <w:shd w:val="clear" w:color="auto" w:fill="auto"/>
            <w:vAlign w:val="center"/>
            <w:hideMark/>
          </w:tcPr>
          <w:p w14:paraId="4FD6DBA6" w14:textId="77777777" w:rsidR="00D53E6F" w:rsidRPr="00BC0251" w:rsidRDefault="00D53E6F" w:rsidP="004A7B59">
            <w:pPr>
              <w:spacing w:line="240" w:lineRule="auto"/>
              <w:jc w:val="center"/>
            </w:pPr>
            <w:r>
              <w:t>2019</w:t>
            </w:r>
          </w:p>
        </w:tc>
        <w:tc>
          <w:tcPr>
            <w:tcW w:w="1755" w:type="dxa"/>
            <w:tcBorders>
              <w:top w:val="single" w:sz="4" w:space="0" w:color="auto"/>
              <w:left w:val="nil"/>
              <w:bottom w:val="single" w:sz="12" w:space="0" w:color="auto"/>
              <w:right w:val="single" w:sz="8" w:space="0" w:color="auto"/>
            </w:tcBorders>
            <w:shd w:val="clear" w:color="auto" w:fill="auto"/>
            <w:vAlign w:val="center"/>
            <w:hideMark/>
          </w:tcPr>
          <w:p w14:paraId="00B53C69" w14:textId="1882C1BE" w:rsidR="00D53E6F" w:rsidRPr="00537B63" w:rsidRDefault="00D53E6F" w:rsidP="00560F67">
            <w:pPr>
              <w:autoSpaceDE/>
              <w:autoSpaceDN/>
              <w:adjustRightInd/>
              <w:spacing w:line="240" w:lineRule="auto"/>
              <w:jc w:val="center"/>
              <w:rPr>
                <w:color w:val="000000"/>
              </w:rPr>
            </w:pPr>
            <w:r>
              <w:rPr>
                <w:color w:val="000000"/>
              </w:rPr>
              <w:t>256.</w:t>
            </w:r>
            <w:r w:rsidR="00560F67">
              <w:rPr>
                <w:color w:val="000000"/>
              </w:rPr>
              <w:t>129</w:t>
            </w:r>
          </w:p>
        </w:tc>
        <w:tc>
          <w:tcPr>
            <w:tcW w:w="3015" w:type="dxa"/>
            <w:tcBorders>
              <w:top w:val="nil"/>
              <w:left w:val="nil"/>
              <w:bottom w:val="single" w:sz="12" w:space="0" w:color="auto"/>
              <w:right w:val="single" w:sz="12" w:space="0" w:color="auto"/>
            </w:tcBorders>
            <w:shd w:val="clear" w:color="auto" w:fill="auto"/>
            <w:noWrap/>
            <w:vAlign w:val="center"/>
            <w:hideMark/>
          </w:tcPr>
          <w:p w14:paraId="43DB3819" w14:textId="77777777" w:rsidR="00D53E6F" w:rsidRPr="00BC0251" w:rsidRDefault="00D53E6F" w:rsidP="004A7B59">
            <w:pPr>
              <w:spacing w:line="240" w:lineRule="auto"/>
              <w:jc w:val="center"/>
            </w:pPr>
            <w:r>
              <w:rPr>
                <w:color w:val="000000"/>
              </w:rPr>
              <w:t>2.00%</w:t>
            </w:r>
          </w:p>
        </w:tc>
      </w:tr>
    </w:tbl>
    <w:p w14:paraId="4FAE5A51" w14:textId="63068501" w:rsidR="00D53E6F" w:rsidRPr="00C80453" w:rsidRDefault="00D53E6F" w:rsidP="004A7B59">
      <w:pPr>
        <w:spacing w:line="240" w:lineRule="auto"/>
        <w:ind w:left="1800" w:right="1440" w:hanging="360"/>
        <w:rPr>
          <w:sz w:val="18"/>
          <w:szCs w:val="18"/>
        </w:rPr>
      </w:pPr>
      <w:r w:rsidRPr="00C80453">
        <w:rPr>
          <w:sz w:val="18"/>
          <w:szCs w:val="18"/>
          <w:vertAlign w:val="superscript"/>
        </w:rPr>
        <w:t>a</w:t>
      </w:r>
      <w:r w:rsidRPr="00C80453">
        <w:rPr>
          <w:sz w:val="18"/>
          <w:szCs w:val="18"/>
        </w:rPr>
        <w:tab/>
        <w:t xml:space="preserve">BLS Statistics, “Databases, Tables &amp; Calculators by Subject:  </w:t>
      </w:r>
      <w:r w:rsidR="00583646" w:rsidRPr="00583646">
        <w:rPr>
          <w:sz w:val="18"/>
          <w:szCs w:val="18"/>
        </w:rPr>
        <w:t>One-Screen Data Search: CPI-All Urban Consumers</w:t>
      </w:r>
      <w:r w:rsidR="00226AAF">
        <w:rPr>
          <w:sz w:val="18"/>
          <w:szCs w:val="18"/>
        </w:rPr>
        <w:t xml:space="preserve">, U.S. city average/All Items, </w:t>
      </w:r>
      <w:r w:rsidR="00583646" w:rsidRPr="00583646">
        <w:rPr>
          <w:sz w:val="18"/>
          <w:szCs w:val="18"/>
        </w:rPr>
        <w:t>not seasonally adjusted</w:t>
      </w:r>
      <w:r w:rsidRPr="00C80453">
        <w:rPr>
          <w:sz w:val="18"/>
          <w:szCs w:val="18"/>
        </w:rPr>
        <w:t>” (BLS 2019b).</w:t>
      </w:r>
    </w:p>
    <w:p w14:paraId="173AB370" w14:textId="77777777" w:rsidR="00D53E6F" w:rsidRPr="002B7A39" w:rsidRDefault="00D53E6F" w:rsidP="00D53E6F">
      <w:pPr>
        <w:spacing w:line="240" w:lineRule="auto"/>
      </w:pPr>
    </w:p>
    <w:p w14:paraId="420291B3" w14:textId="77777777" w:rsidR="00D53E6F" w:rsidRPr="004D0C3A" w:rsidRDefault="00D53E6F" w:rsidP="00D53E6F">
      <w:pPr>
        <w:pStyle w:val="Heading3"/>
        <w:tabs>
          <w:tab w:val="left" w:pos="720"/>
        </w:tabs>
        <w:spacing w:line="240" w:lineRule="auto"/>
      </w:pPr>
      <w:bookmarkStart w:id="90" w:name="_Toc456098224"/>
      <w:bookmarkStart w:id="91" w:name="_Toc12808781"/>
      <w:r>
        <w:t>4.2.6</w:t>
      </w:r>
      <w:r>
        <w:tab/>
      </w:r>
      <w:bookmarkStart w:id="92" w:name="_Toc457827237"/>
      <w:r w:rsidRPr="004D0C3A">
        <w:t>Labor Rates</w:t>
      </w:r>
      <w:bookmarkEnd w:id="90"/>
      <w:bookmarkEnd w:id="91"/>
      <w:bookmarkEnd w:id="92"/>
    </w:p>
    <w:p w14:paraId="779C5AD6" w14:textId="77777777" w:rsidR="00D53E6F" w:rsidRPr="004D0C3A" w:rsidRDefault="00D53E6F" w:rsidP="00D53E6F">
      <w:pPr>
        <w:keepNext/>
        <w:spacing w:line="240" w:lineRule="auto"/>
      </w:pPr>
    </w:p>
    <w:p w14:paraId="4455C9A4" w14:textId="6C068FF9" w:rsidR="00D53E6F" w:rsidRPr="004D0C3A" w:rsidRDefault="00D53E6F" w:rsidP="00D53E6F">
      <w:pPr>
        <w:spacing w:line="240" w:lineRule="auto"/>
      </w:pPr>
      <w:r w:rsidRPr="004D0C3A">
        <w:t xml:space="preserve">For </w:t>
      </w:r>
      <w:r>
        <w:t xml:space="preserve">the purposes of this </w:t>
      </w:r>
      <w:r w:rsidRPr="004D0C3A">
        <w:t xml:space="preserve">regulatory analysis, </w:t>
      </w:r>
      <w:r>
        <w:t xml:space="preserve">the </w:t>
      </w:r>
      <w:r w:rsidR="00433120">
        <w:t>NRC</w:t>
      </w:r>
      <w:r>
        <w:t xml:space="preserve"> applied strict incremental cost principles to develop </w:t>
      </w:r>
      <w:r w:rsidRPr="004D0C3A">
        <w:t xml:space="preserve">labor rates </w:t>
      </w:r>
      <w:r>
        <w:t>that include</w:t>
      </w:r>
      <w:r w:rsidRPr="004D0C3A">
        <w:t xml:space="preserve"> only </w:t>
      </w:r>
      <w:r>
        <w:t xml:space="preserve">labor and material </w:t>
      </w:r>
      <w:r w:rsidRPr="004D0C3A">
        <w:t xml:space="preserve">costs that are directly related to the implementation and operation and maintenance of the </w:t>
      </w:r>
      <w:r>
        <w:t>final rule</w:t>
      </w:r>
      <w:r w:rsidRPr="004D0C3A">
        <w:t xml:space="preserve"> requirement</w:t>
      </w:r>
      <w:r>
        <w:t>s</w:t>
      </w:r>
      <w:r w:rsidRPr="004D0C3A">
        <w:t xml:space="preserve">.  This approach is consistent with </w:t>
      </w:r>
      <w:r>
        <w:t xml:space="preserve">the </w:t>
      </w:r>
      <w:r w:rsidRPr="004D0C3A">
        <w:t>guidance in NUREG/CR-356</w:t>
      </w:r>
      <w:r>
        <w:t>8</w:t>
      </w:r>
      <w:r w:rsidRPr="004D0C3A">
        <w:t xml:space="preserve">, </w:t>
      </w:r>
      <w:r>
        <w:t>“</w:t>
      </w:r>
      <w:r w:rsidRPr="004D0C3A">
        <w:t>A Handbo</w:t>
      </w:r>
      <w:r>
        <w:t>ok for Value-Impact Assessment,” issued December 1983</w:t>
      </w:r>
      <w:r w:rsidRPr="004D0C3A">
        <w:t xml:space="preserve"> </w:t>
      </w:r>
      <w:r>
        <w:t xml:space="preserve">(NRC 1983), </w:t>
      </w:r>
      <w:r w:rsidRPr="004D0C3A">
        <w:t>and general cost-benefit methodology.  The NRC incremental labor rate is $1</w:t>
      </w:r>
      <w:r>
        <w:t>29 per hour</w:t>
      </w:r>
      <w:r w:rsidRPr="004D0C3A">
        <w:t>.</w:t>
      </w:r>
      <w:r w:rsidRPr="004D0C3A">
        <w:rPr>
          <w:rStyle w:val="FootnoteReference"/>
          <w:sz w:val="24"/>
          <w:vertAlign w:val="superscript"/>
        </w:rPr>
        <w:footnoteReference w:id="5"/>
      </w:r>
    </w:p>
    <w:p w14:paraId="2A2562D5" w14:textId="77777777" w:rsidR="00D53E6F" w:rsidRPr="004D0C3A" w:rsidRDefault="00D53E6F" w:rsidP="00D53E6F">
      <w:pPr>
        <w:spacing w:line="240" w:lineRule="auto"/>
      </w:pPr>
    </w:p>
    <w:p w14:paraId="774D5F71" w14:textId="6B4E668B" w:rsidR="00D53E6F" w:rsidRDefault="00173B30" w:rsidP="00D53E6F">
      <w:pPr>
        <w:spacing w:line="240" w:lineRule="auto"/>
      </w:pPr>
      <w:r>
        <w:rPr>
          <w:rFonts w:eastAsiaTheme="minorEastAsia"/>
          <w:lang w:eastAsia="ja-JP"/>
        </w:rPr>
        <w:t>The NRC</w:t>
      </w:r>
      <w:r w:rsidR="00D53E6F" w:rsidRPr="00ED1D75">
        <w:rPr>
          <w:rFonts w:eastAsiaTheme="minorEastAsia"/>
          <w:lang w:eastAsia="ja-JP"/>
        </w:rPr>
        <w:t xml:space="preserve"> used the </w:t>
      </w:r>
      <w:r w:rsidR="00D53E6F">
        <w:rPr>
          <w:rFonts w:eastAsiaTheme="minorEastAsia"/>
          <w:lang w:eastAsia="ja-JP"/>
        </w:rPr>
        <w:t xml:space="preserve">2018 BLS </w:t>
      </w:r>
      <w:r w:rsidR="00D53E6F" w:rsidRPr="00ED1D75">
        <w:rPr>
          <w:rFonts w:eastAsiaTheme="minorEastAsia"/>
          <w:lang w:eastAsia="ja-JP"/>
        </w:rPr>
        <w:t>Occupational Employment and Wages data</w:t>
      </w:r>
      <w:r w:rsidR="00D53E6F">
        <w:rPr>
          <w:rFonts w:eastAsiaTheme="minorEastAsia"/>
          <w:lang w:eastAsia="ja-JP"/>
        </w:rPr>
        <w:t xml:space="preserve"> (</w:t>
      </w:r>
      <w:hyperlink r:id="rId17" w:history="1">
        <w:r w:rsidR="00D53E6F" w:rsidRPr="00087540">
          <w:rPr>
            <w:rStyle w:val="Hyperlink"/>
            <w:rFonts w:eastAsiaTheme="minorEastAsia"/>
            <w:lang w:eastAsia="ja-JP"/>
          </w:rPr>
          <w:t>https://www.bls.gov</w:t>
        </w:r>
      </w:hyperlink>
      <w:r w:rsidR="00D53E6F">
        <w:rPr>
          <w:rFonts w:eastAsiaTheme="minorEastAsia"/>
          <w:lang w:eastAsia="ja-JP"/>
        </w:rPr>
        <w:t>)</w:t>
      </w:r>
      <w:r w:rsidR="00D53E6F" w:rsidRPr="005368D1">
        <w:rPr>
          <w:rFonts w:eastAsiaTheme="minorEastAsia"/>
          <w:lang w:eastAsia="ja-JP"/>
        </w:rPr>
        <w:t>,</w:t>
      </w:r>
      <w:r w:rsidR="00D53E6F" w:rsidRPr="00ED1D75">
        <w:rPr>
          <w:rFonts w:eastAsiaTheme="minorEastAsia"/>
          <w:lang w:eastAsia="ja-JP"/>
        </w:rPr>
        <w:t xml:space="preserve"> which provided labor categories and the mean hourly wage rate by job type</w:t>
      </w:r>
      <w:r w:rsidR="00D53E6F">
        <w:rPr>
          <w:rFonts w:eastAsiaTheme="minorEastAsia"/>
          <w:lang w:eastAsia="ja-JP"/>
        </w:rPr>
        <w:t>, and used the inflator discussed above to inflate the labor rate data to 2019 dollars</w:t>
      </w:r>
      <w:r w:rsidR="00D53E6F" w:rsidRPr="00ED1D75">
        <w:rPr>
          <w:rFonts w:eastAsiaTheme="minorEastAsia"/>
          <w:lang w:eastAsia="ja-JP"/>
        </w:rPr>
        <w:t>.</w:t>
      </w:r>
      <w:r w:rsidR="00D53E6F">
        <w:rPr>
          <w:rFonts w:eastAsiaTheme="minorEastAsia"/>
          <w:lang w:eastAsia="ja-JP"/>
        </w:rPr>
        <w:t xml:space="preserve">  The labor</w:t>
      </w:r>
      <w:r w:rsidR="00D53E6F" w:rsidRPr="00DE1299">
        <w:rPr>
          <w:rFonts w:eastAsiaTheme="minorEastAsia"/>
          <w:lang w:eastAsia="ja-JP"/>
        </w:rPr>
        <w:t xml:space="preserve"> rates </w:t>
      </w:r>
      <w:r w:rsidR="00D53E6F">
        <w:rPr>
          <w:rFonts w:eastAsiaTheme="minorEastAsia"/>
          <w:lang w:eastAsia="ja-JP"/>
        </w:rPr>
        <w:t xml:space="preserve">used in the analysis </w:t>
      </w:r>
      <w:r w:rsidR="00D53E6F" w:rsidRPr="00DE1299">
        <w:rPr>
          <w:rFonts w:eastAsiaTheme="minorEastAsia"/>
          <w:lang w:eastAsia="ja-JP"/>
        </w:rPr>
        <w:t xml:space="preserve">reflect total </w:t>
      </w:r>
      <w:r w:rsidR="00D53E6F">
        <w:rPr>
          <w:rFonts w:eastAsiaTheme="minorEastAsia"/>
          <w:lang w:eastAsia="ja-JP"/>
        </w:rPr>
        <w:t xml:space="preserve">hourly </w:t>
      </w:r>
      <w:r w:rsidR="00D53E6F" w:rsidRPr="00DE1299">
        <w:rPr>
          <w:rFonts w:eastAsiaTheme="minorEastAsia"/>
          <w:lang w:eastAsia="ja-JP"/>
        </w:rPr>
        <w:t xml:space="preserve">compensation, which includes </w:t>
      </w:r>
      <w:r w:rsidR="00D53E6F">
        <w:rPr>
          <w:rFonts w:eastAsiaTheme="minorEastAsia"/>
          <w:lang w:eastAsia="ja-JP"/>
        </w:rPr>
        <w:t xml:space="preserve">wages and nonwage benefits (using a burden factor </w:t>
      </w:r>
      <w:r w:rsidR="00D53E6F" w:rsidRPr="008831F5">
        <w:rPr>
          <w:rFonts w:eastAsiaTheme="minorEastAsia"/>
          <w:lang w:eastAsia="ja-JP"/>
        </w:rPr>
        <w:t>of</w:t>
      </w:r>
      <w:r w:rsidR="00D53E6F">
        <w:rPr>
          <w:rFonts w:eastAsiaTheme="minorEastAsia"/>
          <w:lang w:eastAsia="ja-JP"/>
        </w:rPr>
        <w:t> </w:t>
      </w:r>
      <w:r w:rsidR="00D53E6F" w:rsidRPr="008831F5">
        <w:rPr>
          <w:rFonts w:eastAsiaTheme="minorEastAsia"/>
          <w:lang w:eastAsia="ja-JP"/>
        </w:rPr>
        <w:t>2.</w:t>
      </w:r>
      <w:r w:rsidR="00D53E6F">
        <w:rPr>
          <w:rFonts w:eastAsiaTheme="minorEastAsia"/>
          <w:lang w:eastAsia="ja-JP"/>
        </w:rPr>
        <w:t xml:space="preserve">4 that applies to contract labor and </w:t>
      </w:r>
      <w:r w:rsidR="00FB4DE0">
        <w:rPr>
          <w:rFonts w:eastAsiaTheme="minorEastAsia"/>
          <w:lang w:eastAsia="ja-JP"/>
        </w:rPr>
        <w:t>is generally applicable to</w:t>
      </w:r>
      <w:r w:rsidR="00D53E6F">
        <w:rPr>
          <w:rFonts w:eastAsiaTheme="minorEastAsia"/>
          <w:lang w:eastAsia="ja-JP"/>
        </w:rPr>
        <w:t xml:space="preserve"> regular </w:t>
      </w:r>
      <w:r w:rsidR="00FB4DE0">
        <w:rPr>
          <w:rFonts w:eastAsiaTheme="minorEastAsia"/>
          <w:lang w:eastAsia="ja-JP"/>
        </w:rPr>
        <w:t xml:space="preserve">nuclear power plant </w:t>
      </w:r>
      <w:r w:rsidR="00D53E6F">
        <w:rPr>
          <w:rFonts w:eastAsiaTheme="minorEastAsia"/>
          <w:lang w:eastAsia="ja-JP"/>
        </w:rPr>
        <w:t>employees</w:t>
      </w:r>
      <w:r w:rsidR="00D53E6F" w:rsidRPr="008831F5">
        <w:rPr>
          <w:rFonts w:eastAsiaTheme="minorEastAsia"/>
          <w:lang w:eastAsia="ja-JP"/>
        </w:rPr>
        <w:t>)</w:t>
      </w:r>
      <w:r w:rsidR="00D53E6F" w:rsidRPr="008831F5">
        <w:t xml:space="preserve">.  </w:t>
      </w:r>
      <w:r>
        <w:t>The NRC</w:t>
      </w:r>
      <w:r w:rsidR="00D53E6F">
        <w:t xml:space="preserve"> used the </w:t>
      </w:r>
      <w:r w:rsidR="00D53E6F" w:rsidRPr="008831F5">
        <w:t>BLS data tables to select appropriate hourly labor rates for performing the estimated procedural</w:t>
      </w:r>
      <w:r w:rsidR="00D53E6F">
        <w:t>-</w:t>
      </w:r>
      <w:r w:rsidR="00D53E6F" w:rsidRPr="008831F5">
        <w:t>, licensing</w:t>
      </w:r>
      <w:r w:rsidR="00D53E6F">
        <w:t>-</w:t>
      </w:r>
      <w:r w:rsidR="00D53E6F" w:rsidRPr="008831F5">
        <w:t xml:space="preserve">, and </w:t>
      </w:r>
      <w:r w:rsidR="00FB4DE0">
        <w:t>plant</w:t>
      </w:r>
      <w:r w:rsidR="00D53E6F">
        <w:t>-</w:t>
      </w:r>
      <w:r w:rsidR="00D53E6F" w:rsidRPr="008831F5">
        <w:t xml:space="preserve">related work necessary during and following implementation of the alternative.  In establishing this labor rate, wages paid </w:t>
      </w:r>
      <w:r w:rsidR="00D53E6F">
        <w:t>to</w:t>
      </w:r>
      <w:r w:rsidR="00D53E6F" w:rsidRPr="008831F5">
        <w:t xml:space="preserve"> the individuals performing the work plus the associated fringe benefit component of labor cost (i.e.,</w:t>
      </w:r>
      <w:r w:rsidR="00D53E6F">
        <w:t> </w:t>
      </w:r>
      <w:r w:rsidR="00D53E6F" w:rsidRPr="008831F5">
        <w:t>the time for plant management over and above those directly expensed) are considered incremental expenses and are included.</w:t>
      </w:r>
      <w:r w:rsidR="00D53E6F">
        <w:t xml:space="preserve">  </w:t>
      </w:r>
      <w:r w:rsidR="00D53E6F" w:rsidRPr="000B636B">
        <w:rPr>
          <w:highlight w:val="yellow"/>
        </w:rPr>
        <w:fldChar w:fldCharType="begin"/>
      </w:r>
      <w:r w:rsidR="00D53E6F" w:rsidRPr="006D47D8">
        <w:instrText xml:space="preserve"> REF _Ref448319675 \h </w:instrText>
      </w:r>
      <w:r w:rsidR="00D53E6F" w:rsidRPr="00F3608B">
        <w:rPr>
          <w:b/>
          <w:highlight w:val="yellow"/>
        </w:rPr>
        <w:instrText xml:space="preserve"> \* MERGEFORMAT </w:instrText>
      </w:r>
      <w:r w:rsidR="00D53E6F" w:rsidRPr="000B636B">
        <w:rPr>
          <w:highlight w:val="yellow"/>
        </w:rPr>
      </w:r>
      <w:r w:rsidR="00D53E6F" w:rsidRPr="000B636B">
        <w:rPr>
          <w:highlight w:val="yellow"/>
        </w:rPr>
        <w:fldChar w:fldCharType="separate"/>
      </w:r>
      <w:r w:rsidR="00F05D99" w:rsidRPr="00F05D99">
        <w:t xml:space="preserve">Table </w:t>
      </w:r>
      <w:r w:rsidR="00F05D99" w:rsidRPr="00F05D99">
        <w:rPr>
          <w:noProof/>
        </w:rPr>
        <w:t>4</w:t>
      </w:r>
      <w:r w:rsidR="00D53E6F" w:rsidRPr="000B636B">
        <w:rPr>
          <w:highlight w:val="yellow"/>
        </w:rPr>
        <w:fldChar w:fldCharType="end"/>
      </w:r>
      <w:r w:rsidR="00D53E6F" w:rsidRPr="000B636B">
        <w:t xml:space="preserve"> s</w:t>
      </w:r>
      <w:r w:rsidR="00D53E6F">
        <w:t>ummarizes</w:t>
      </w:r>
      <w:r w:rsidR="00D53E6F" w:rsidRPr="008831F5">
        <w:t xml:space="preserve"> the </w:t>
      </w:r>
      <w:r w:rsidR="00D53E6F">
        <w:t xml:space="preserve">BLS </w:t>
      </w:r>
      <w:r w:rsidR="00D53E6F" w:rsidRPr="008831F5">
        <w:t xml:space="preserve">labor categories </w:t>
      </w:r>
      <w:r w:rsidR="00D53E6F">
        <w:t>that</w:t>
      </w:r>
      <w:r w:rsidR="00D53E6F" w:rsidRPr="008831F5">
        <w:t xml:space="preserve"> </w:t>
      </w:r>
      <w:r w:rsidR="00D53E6F">
        <w:t xml:space="preserve">the </w:t>
      </w:r>
      <w:r w:rsidR="00433120">
        <w:t>NRC</w:t>
      </w:r>
      <w:r w:rsidR="00D53E6F">
        <w:t xml:space="preserve"> used</w:t>
      </w:r>
      <w:r w:rsidR="00D53E6F" w:rsidRPr="008831F5">
        <w:t xml:space="preserve"> to </w:t>
      </w:r>
      <w:r w:rsidR="00D53E6F">
        <w:t xml:space="preserve">estimate industry labor costs to </w:t>
      </w:r>
      <w:r w:rsidR="00D53E6F" w:rsidRPr="008831F5">
        <w:t xml:space="preserve">implement this </w:t>
      </w:r>
      <w:r w:rsidR="00D53E6F">
        <w:t>final rule,</w:t>
      </w:r>
      <w:r w:rsidR="00D53E6F" w:rsidRPr="008831F5">
        <w:t xml:space="preserve"> </w:t>
      </w:r>
      <w:r w:rsidR="00D53E6F">
        <w:t>and</w:t>
      </w:r>
      <w:r w:rsidR="00D53E6F" w:rsidRPr="008831F5">
        <w:t xml:space="preserve"> </w:t>
      </w:r>
      <w:r w:rsidR="00D53E6F">
        <w:t xml:space="preserve">Appendix A lists the industry labor rates that the </w:t>
      </w:r>
      <w:r w:rsidR="00433120">
        <w:t>NRC</w:t>
      </w:r>
      <w:r w:rsidR="00D53E6F">
        <w:t xml:space="preserve"> used in the analysis.  The </w:t>
      </w:r>
      <w:r w:rsidR="00433120">
        <w:t>NRC</w:t>
      </w:r>
      <w:r w:rsidR="00D53E6F">
        <w:t xml:space="preserve"> performed an u</w:t>
      </w:r>
      <w:r w:rsidR="00D53E6F" w:rsidRPr="008831F5">
        <w:t>ncertainty analys</w:t>
      </w:r>
      <w:r w:rsidR="00D53E6F">
        <w:t>i</w:t>
      </w:r>
      <w:r w:rsidR="00D53E6F" w:rsidRPr="008831F5">
        <w:t>s</w:t>
      </w:r>
      <w:r w:rsidR="00D53E6F">
        <w:t>, which is</w:t>
      </w:r>
      <w:r w:rsidR="00D53E6F" w:rsidRPr="008831F5">
        <w:t xml:space="preserve"> </w:t>
      </w:r>
      <w:r w:rsidR="00D53E6F">
        <w:t>discussed</w:t>
      </w:r>
      <w:r w:rsidR="00D53E6F" w:rsidRPr="008831F5">
        <w:t xml:space="preserve"> in Section</w:t>
      </w:r>
      <w:r w:rsidR="00D53E6F">
        <w:t> 5.13.</w:t>
      </w:r>
    </w:p>
    <w:p w14:paraId="6E5358A0" w14:textId="144C5CCD" w:rsidR="00D53E6F" w:rsidRDefault="00D53E6F" w:rsidP="00D53E6F">
      <w:pPr>
        <w:spacing w:line="240" w:lineRule="auto"/>
      </w:pPr>
    </w:p>
    <w:p w14:paraId="0E7BE598" w14:textId="25C29915" w:rsidR="00D53E6F" w:rsidRPr="00C80453" w:rsidRDefault="00D53E6F" w:rsidP="00D53E6F">
      <w:pPr>
        <w:pStyle w:val="Caption"/>
        <w:spacing w:line="240" w:lineRule="auto"/>
        <w:ind w:left="1080" w:hanging="1080"/>
        <w:jc w:val="center"/>
        <w:rPr>
          <w:b/>
        </w:rPr>
      </w:pPr>
      <w:bookmarkStart w:id="93" w:name="_Ref448319675"/>
      <w:bookmarkStart w:id="94" w:name="_Toc454442463"/>
      <w:bookmarkStart w:id="95" w:name="_Toc457827383"/>
      <w:bookmarkStart w:id="96" w:name="_Toc9428133"/>
      <w:r w:rsidRPr="00C80453">
        <w:rPr>
          <w:b/>
        </w:rPr>
        <w:t xml:space="preserve">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4</w:t>
      </w:r>
      <w:r w:rsidRPr="00C80453">
        <w:rPr>
          <w:b/>
          <w:noProof/>
        </w:rPr>
        <w:fldChar w:fldCharType="end"/>
      </w:r>
      <w:bookmarkEnd w:id="93"/>
      <w:r w:rsidRPr="00C80453">
        <w:rPr>
          <w:b/>
          <w:noProof/>
        </w:rPr>
        <w:t xml:space="preserve">  </w:t>
      </w:r>
      <w:r w:rsidRPr="00C80453">
        <w:rPr>
          <w:b/>
        </w:rPr>
        <w:t>Position Titles and Occupations</w:t>
      </w:r>
      <w:bookmarkEnd w:id="94"/>
      <w:bookmarkEnd w:id="95"/>
      <w:bookmarkEnd w:id="96"/>
    </w:p>
    <w:tbl>
      <w:tblPr>
        <w:tblW w:w="9445" w:type="dxa"/>
        <w:tblLook w:val="04A0" w:firstRow="1" w:lastRow="0" w:firstColumn="1" w:lastColumn="0" w:noHBand="0" w:noVBand="1"/>
      </w:tblPr>
      <w:tblGrid>
        <w:gridCol w:w="2245"/>
        <w:gridCol w:w="7200"/>
      </w:tblGrid>
      <w:tr w:rsidR="00D53E6F" w:rsidRPr="00B12BE9" w14:paraId="5CBFBEA9" w14:textId="77777777" w:rsidTr="004A7B59">
        <w:trPr>
          <w:trHeight w:val="629"/>
          <w:tblHead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3A83F" w14:textId="77777777" w:rsidR="00D53E6F" w:rsidRPr="00C80453" w:rsidRDefault="00D53E6F" w:rsidP="00E91144">
            <w:pPr>
              <w:autoSpaceDE/>
              <w:autoSpaceDN/>
              <w:adjustRightInd/>
              <w:spacing w:line="240" w:lineRule="auto"/>
              <w:jc w:val="center"/>
              <w:rPr>
                <w:rFonts w:eastAsia="Times New Roman"/>
                <w:b/>
                <w:bCs/>
                <w:color w:val="000000"/>
              </w:rPr>
            </w:pPr>
            <w:bookmarkStart w:id="97" w:name="RANGE!A1"/>
            <w:r w:rsidRPr="00C80453">
              <w:rPr>
                <w:rFonts w:eastAsia="Times New Roman"/>
                <w:b/>
                <w:bCs/>
                <w:color w:val="000000"/>
              </w:rPr>
              <w:t>Position Title</w:t>
            </w:r>
            <w:bookmarkEnd w:id="97"/>
            <w:r>
              <w:rPr>
                <w:rFonts w:eastAsia="Times New Roman"/>
                <w:b/>
                <w:bCs/>
                <w:color w:val="000000"/>
              </w:rPr>
              <w:br/>
            </w:r>
            <w:r w:rsidRPr="00C80453">
              <w:rPr>
                <w:rFonts w:eastAsia="Times New Roman"/>
                <w:b/>
                <w:bCs/>
                <w:color w:val="000000"/>
              </w:rPr>
              <w:t>(in This Regulatory Analysis)</w:t>
            </w:r>
          </w:p>
        </w:tc>
        <w:tc>
          <w:tcPr>
            <w:tcW w:w="7200" w:type="dxa"/>
            <w:tcBorders>
              <w:top w:val="single" w:sz="4" w:space="0" w:color="auto"/>
              <w:left w:val="nil"/>
              <w:bottom w:val="single" w:sz="4" w:space="0" w:color="auto"/>
              <w:right w:val="single" w:sz="4" w:space="0" w:color="auto"/>
            </w:tcBorders>
            <w:shd w:val="clear" w:color="auto" w:fill="auto"/>
            <w:vAlign w:val="center"/>
            <w:hideMark/>
          </w:tcPr>
          <w:p w14:paraId="6CFA6348" w14:textId="77777777" w:rsidR="00D53E6F" w:rsidRPr="00C80453" w:rsidRDefault="00D53E6F" w:rsidP="00E91144">
            <w:pPr>
              <w:autoSpaceDE/>
              <w:autoSpaceDN/>
              <w:adjustRightInd/>
              <w:spacing w:line="240" w:lineRule="auto"/>
              <w:jc w:val="center"/>
              <w:rPr>
                <w:rFonts w:eastAsia="Times New Roman"/>
                <w:b/>
                <w:bCs/>
                <w:color w:val="000000"/>
              </w:rPr>
            </w:pPr>
            <w:r w:rsidRPr="00C80453">
              <w:rPr>
                <w:rFonts w:eastAsia="Times New Roman"/>
                <w:b/>
                <w:bCs/>
                <w:color w:val="000000"/>
              </w:rPr>
              <w:t>Standard Occupational Classification</w:t>
            </w:r>
          </w:p>
        </w:tc>
      </w:tr>
      <w:tr w:rsidR="00D53E6F" w:rsidRPr="00B12BE9" w14:paraId="1B5B04FE" w14:textId="77777777" w:rsidTr="004A7B59">
        <w:trPr>
          <w:trHeight w:val="251"/>
        </w:trPr>
        <w:tc>
          <w:tcPr>
            <w:tcW w:w="22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023CD3" w14:textId="77777777" w:rsidR="00D53E6F" w:rsidRPr="00C80453" w:rsidRDefault="00D53E6F" w:rsidP="00E91144">
            <w:pPr>
              <w:autoSpaceDE/>
              <w:autoSpaceDN/>
              <w:adjustRightInd/>
              <w:spacing w:line="240" w:lineRule="auto"/>
              <w:rPr>
                <w:rFonts w:eastAsia="Times New Roman"/>
                <w:color w:val="000000"/>
              </w:rPr>
            </w:pPr>
            <w:r w:rsidRPr="00C80453">
              <w:rPr>
                <w:rFonts w:eastAsia="Times New Roman"/>
                <w:color w:val="000000"/>
              </w:rPr>
              <w:t>Managers</w:t>
            </w:r>
          </w:p>
        </w:tc>
        <w:tc>
          <w:tcPr>
            <w:tcW w:w="7200" w:type="dxa"/>
            <w:tcBorders>
              <w:top w:val="nil"/>
              <w:left w:val="nil"/>
              <w:bottom w:val="single" w:sz="4" w:space="0" w:color="auto"/>
              <w:right w:val="single" w:sz="4" w:space="0" w:color="auto"/>
            </w:tcBorders>
            <w:shd w:val="clear" w:color="auto" w:fill="auto"/>
            <w:vAlign w:val="center"/>
            <w:hideMark/>
          </w:tcPr>
          <w:p w14:paraId="47E445EA" w14:textId="77777777" w:rsidR="00D53E6F" w:rsidRPr="00C80453" w:rsidRDefault="00D53E6F" w:rsidP="00E91144">
            <w:pPr>
              <w:autoSpaceDE/>
              <w:autoSpaceDN/>
              <w:adjustRightInd/>
              <w:spacing w:line="240" w:lineRule="auto"/>
              <w:rPr>
                <w:rFonts w:eastAsia="Times New Roman"/>
                <w:color w:val="000000"/>
              </w:rPr>
            </w:pPr>
            <w:r w:rsidRPr="00C80453">
              <w:rPr>
                <w:rFonts w:eastAsia="Times New Roman"/>
                <w:color w:val="000000"/>
              </w:rPr>
              <w:t>Top Executives (111000)</w:t>
            </w:r>
          </w:p>
        </w:tc>
      </w:tr>
      <w:tr w:rsidR="00D53E6F" w:rsidRPr="00B12BE9" w14:paraId="45EEE793" w14:textId="77777777" w:rsidTr="004A7B59">
        <w:trPr>
          <w:trHeight w:val="269"/>
        </w:trPr>
        <w:tc>
          <w:tcPr>
            <w:tcW w:w="2245" w:type="dxa"/>
            <w:vMerge/>
            <w:tcBorders>
              <w:top w:val="nil"/>
              <w:left w:val="single" w:sz="4" w:space="0" w:color="auto"/>
              <w:bottom w:val="single" w:sz="4" w:space="0" w:color="auto"/>
              <w:right w:val="single" w:sz="4" w:space="0" w:color="auto"/>
            </w:tcBorders>
            <w:vAlign w:val="center"/>
          </w:tcPr>
          <w:p w14:paraId="0DDB35BB" w14:textId="77777777" w:rsidR="00D53E6F" w:rsidRPr="00C80453" w:rsidRDefault="00D53E6F" w:rsidP="00E91144">
            <w:pPr>
              <w:autoSpaceDE/>
              <w:autoSpaceDN/>
              <w:adjustRightInd/>
              <w:spacing w:line="240" w:lineRule="auto"/>
              <w:rPr>
                <w:rFonts w:eastAsia="Times New Roman"/>
                <w:color w:val="000000"/>
              </w:rPr>
            </w:pPr>
          </w:p>
        </w:tc>
        <w:tc>
          <w:tcPr>
            <w:tcW w:w="7200" w:type="dxa"/>
            <w:tcBorders>
              <w:top w:val="nil"/>
              <w:left w:val="nil"/>
              <w:bottom w:val="single" w:sz="4" w:space="0" w:color="auto"/>
              <w:right w:val="single" w:sz="4" w:space="0" w:color="auto"/>
            </w:tcBorders>
            <w:shd w:val="clear" w:color="auto" w:fill="auto"/>
            <w:vAlign w:val="center"/>
          </w:tcPr>
          <w:p w14:paraId="2DA8F5EA" w14:textId="77777777" w:rsidR="00D53E6F" w:rsidRPr="00C80453" w:rsidRDefault="00D53E6F" w:rsidP="00E91144">
            <w:pPr>
              <w:autoSpaceDE/>
              <w:autoSpaceDN/>
              <w:adjustRightInd/>
              <w:spacing w:line="240" w:lineRule="auto"/>
              <w:rPr>
                <w:rFonts w:eastAsia="Times New Roman"/>
                <w:color w:val="000000"/>
              </w:rPr>
            </w:pPr>
            <w:r w:rsidRPr="00C80453">
              <w:rPr>
                <w:rFonts w:eastAsia="Times New Roman"/>
                <w:color w:val="000000"/>
              </w:rPr>
              <w:t>Chief Executives (111011)</w:t>
            </w:r>
          </w:p>
        </w:tc>
      </w:tr>
      <w:tr w:rsidR="00D53E6F" w:rsidRPr="00B12BE9" w14:paraId="2FF68348" w14:textId="77777777" w:rsidTr="004A7B59">
        <w:trPr>
          <w:trHeight w:val="269"/>
        </w:trPr>
        <w:tc>
          <w:tcPr>
            <w:tcW w:w="2245" w:type="dxa"/>
            <w:vMerge/>
            <w:tcBorders>
              <w:top w:val="nil"/>
              <w:left w:val="single" w:sz="4" w:space="0" w:color="auto"/>
              <w:bottom w:val="single" w:sz="4" w:space="0" w:color="auto"/>
              <w:right w:val="single" w:sz="4" w:space="0" w:color="auto"/>
            </w:tcBorders>
            <w:vAlign w:val="center"/>
          </w:tcPr>
          <w:p w14:paraId="7936DCDF" w14:textId="77777777" w:rsidR="00D53E6F" w:rsidRPr="00C80453" w:rsidRDefault="00D53E6F" w:rsidP="00E91144">
            <w:pPr>
              <w:autoSpaceDE/>
              <w:autoSpaceDN/>
              <w:adjustRightInd/>
              <w:spacing w:line="240" w:lineRule="auto"/>
              <w:rPr>
                <w:rFonts w:eastAsia="Times New Roman"/>
                <w:color w:val="000000"/>
              </w:rPr>
            </w:pPr>
          </w:p>
        </w:tc>
        <w:tc>
          <w:tcPr>
            <w:tcW w:w="7200" w:type="dxa"/>
            <w:tcBorders>
              <w:top w:val="nil"/>
              <w:left w:val="nil"/>
              <w:bottom w:val="single" w:sz="4" w:space="0" w:color="auto"/>
              <w:right w:val="single" w:sz="4" w:space="0" w:color="auto"/>
            </w:tcBorders>
            <w:shd w:val="clear" w:color="auto" w:fill="auto"/>
            <w:vAlign w:val="center"/>
          </w:tcPr>
          <w:p w14:paraId="48C45B7C" w14:textId="77777777" w:rsidR="00D53E6F" w:rsidRPr="00C80453" w:rsidRDefault="00D53E6F" w:rsidP="00E91144">
            <w:pPr>
              <w:autoSpaceDE/>
              <w:autoSpaceDN/>
              <w:adjustRightInd/>
              <w:spacing w:line="240" w:lineRule="auto"/>
              <w:rPr>
                <w:rFonts w:eastAsia="Times New Roman"/>
                <w:color w:val="000000"/>
              </w:rPr>
            </w:pPr>
            <w:r w:rsidRPr="00C80453">
              <w:rPr>
                <w:rFonts w:eastAsia="Times New Roman"/>
                <w:color w:val="000000"/>
              </w:rPr>
              <w:t>General and Operations Managers (111021)</w:t>
            </w:r>
          </w:p>
        </w:tc>
      </w:tr>
      <w:tr w:rsidR="00D53E6F" w:rsidRPr="00B12BE9" w14:paraId="2BE697A2" w14:textId="77777777" w:rsidTr="004A7B59">
        <w:trPr>
          <w:trHeight w:val="269"/>
        </w:trPr>
        <w:tc>
          <w:tcPr>
            <w:tcW w:w="2245" w:type="dxa"/>
            <w:vMerge/>
            <w:tcBorders>
              <w:top w:val="nil"/>
              <w:left w:val="single" w:sz="4" w:space="0" w:color="auto"/>
              <w:bottom w:val="single" w:sz="4" w:space="0" w:color="auto"/>
              <w:right w:val="single" w:sz="4" w:space="0" w:color="auto"/>
            </w:tcBorders>
            <w:vAlign w:val="center"/>
          </w:tcPr>
          <w:p w14:paraId="1F1735D4" w14:textId="77777777" w:rsidR="00D53E6F" w:rsidRPr="00C80453" w:rsidRDefault="00D53E6F" w:rsidP="00E91144">
            <w:pPr>
              <w:autoSpaceDE/>
              <w:autoSpaceDN/>
              <w:adjustRightInd/>
              <w:spacing w:line="240" w:lineRule="auto"/>
              <w:rPr>
                <w:rFonts w:eastAsia="Times New Roman"/>
                <w:color w:val="000000"/>
              </w:rPr>
            </w:pPr>
          </w:p>
        </w:tc>
        <w:tc>
          <w:tcPr>
            <w:tcW w:w="7200" w:type="dxa"/>
            <w:tcBorders>
              <w:top w:val="nil"/>
              <w:left w:val="nil"/>
              <w:bottom w:val="single" w:sz="4" w:space="0" w:color="auto"/>
              <w:right w:val="single" w:sz="4" w:space="0" w:color="auto"/>
            </w:tcBorders>
            <w:shd w:val="clear" w:color="auto" w:fill="auto"/>
            <w:vAlign w:val="center"/>
          </w:tcPr>
          <w:p w14:paraId="5878C33B" w14:textId="77777777" w:rsidR="00D53E6F" w:rsidRPr="00C80453" w:rsidRDefault="00D53E6F" w:rsidP="00E91144">
            <w:pPr>
              <w:autoSpaceDE/>
              <w:autoSpaceDN/>
              <w:adjustRightInd/>
              <w:spacing w:line="240" w:lineRule="auto"/>
              <w:rPr>
                <w:rFonts w:eastAsia="Times New Roman"/>
                <w:color w:val="000000"/>
              </w:rPr>
            </w:pPr>
            <w:r w:rsidRPr="00C80453">
              <w:rPr>
                <w:rFonts w:eastAsia="Times New Roman"/>
                <w:color w:val="000000"/>
              </w:rPr>
              <w:t>Industrial Production Managers (113051)</w:t>
            </w:r>
          </w:p>
        </w:tc>
      </w:tr>
      <w:tr w:rsidR="00D53E6F" w:rsidRPr="00B12BE9" w14:paraId="09F2CE8A" w14:textId="77777777" w:rsidTr="004A7B59">
        <w:trPr>
          <w:trHeight w:val="269"/>
        </w:trPr>
        <w:tc>
          <w:tcPr>
            <w:tcW w:w="2245" w:type="dxa"/>
            <w:vMerge/>
            <w:tcBorders>
              <w:top w:val="nil"/>
              <w:left w:val="single" w:sz="4" w:space="0" w:color="auto"/>
              <w:bottom w:val="single" w:sz="4" w:space="0" w:color="auto"/>
              <w:right w:val="single" w:sz="4" w:space="0" w:color="auto"/>
            </w:tcBorders>
            <w:vAlign w:val="center"/>
          </w:tcPr>
          <w:p w14:paraId="4853FC97" w14:textId="77777777" w:rsidR="00D53E6F" w:rsidRPr="00C80453" w:rsidRDefault="00D53E6F" w:rsidP="00E91144">
            <w:pPr>
              <w:autoSpaceDE/>
              <w:autoSpaceDN/>
              <w:adjustRightInd/>
              <w:spacing w:line="240" w:lineRule="auto"/>
              <w:rPr>
                <w:rFonts w:eastAsia="Times New Roman"/>
                <w:color w:val="000000"/>
              </w:rPr>
            </w:pPr>
          </w:p>
        </w:tc>
        <w:tc>
          <w:tcPr>
            <w:tcW w:w="7200" w:type="dxa"/>
            <w:tcBorders>
              <w:top w:val="nil"/>
              <w:left w:val="nil"/>
              <w:bottom w:val="single" w:sz="4" w:space="0" w:color="auto"/>
              <w:right w:val="single" w:sz="4" w:space="0" w:color="auto"/>
            </w:tcBorders>
            <w:shd w:val="clear" w:color="auto" w:fill="auto"/>
            <w:vAlign w:val="center"/>
          </w:tcPr>
          <w:p w14:paraId="590E056B" w14:textId="77777777" w:rsidR="00D53E6F" w:rsidRPr="00C80453" w:rsidRDefault="00D53E6F" w:rsidP="00E91144">
            <w:pPr>
              <w:autoSpaceDE/>
              <w:autoSpaceDN/>
              <w:adjustRightInd/>
              <w:spacing w:line="240" w:lineRule="auto"/>
              <w:rPr>
                <w:rFonts w:eastAsia="Times New Roman"/>
                <w:color w:val="000000"/>
              </w:rPr>
            </w:pPr>
            <w:r w:rsidRPr="00C80453">
              <w:rPr>
                <w:rFonts w:eastAsia="Times New Roman"/>
                <w:color w:val="000000"/>
              </w:rPr>
              <w:t>First-Line Supervisors of Mechanics Installers and Repairers (491011)</w:t>
            </w:r>
          </w:p>
        </w:tc>
      </w:tr>
      <w:tr w:rsidR="00D53E6F" w:rsidRPr="00B12BE9" w14:paraId="680B16BE" w14:textId="77777777" w:rsidTr="004A7B59">
        <w:trPr>
          <w:trHeight w:val="269"/>
        </w:trPr>
        <w:tc>
          <w:tcPr>
            <w:tcW w:w="2245" w:type="dxa"/>
            <w:vMerge/>
            <w:tcBorders>
              <w:top w:val="nil"/>
              <w:left w:val="single" w:sz="4" w:space="0" w:color="auto"/>
              <w:bottom w:val="single" w:sz="4" w:space="0" w:color="auto"/>
              <w:right w:val="single" w:sz="4" w:space="0" w:color="auto"/>
            </w:tcBorders>
            <w:vAlign w:val="center"/>
          </w:tcPr>
          <w:p w14:paraId="42EA307E" w14:textId="77777777" w:rsidR="00D53E6F" w:rsidRPr="00C80453" w:rsidRDefault="00D53E6F" w:rsidP="00E91144">
            <w:pPr>
              <w:autoSpaceDE/>
              <w:autoSpaceDN/>
              <w:adjustRightInd/>
              <w:spacing w:line="240" w:lineRule="auto"/>
              <w:rPr>
                <w:rFonts w:eastAsia="Times New Roman"/>
                <w:color w:val="000000"/>
              </w:rPr>
            </w:pPr>
          </w:p>
        </w:tc>
        <w:tc>
          <w:tcPr>
            <w:tcW w:w="7200" w:type="dxa"/>
            <w:tcBorders>
              <w:top w:val="nil"/>
              <w:left w:val="nil"/>
              <w:bottom w:val="single" w:sz="4" w:space="0" w:color="auto"/>
              <w:right w:val="single" w:sz="4" w:space="0" w:color="auto"/>
            </w:tcBorders>
            <w:shd w:val="clear" w:color="auto" w:fill="auto"/>
            <w:vAlign w:val="center"/>
          </w:tcPr>
          <w:p w14:paraId="2D5319A2" w14:textId="77777777" w:rsidR="00D53E6F" w:rsidRPr="00C80453" w:rsidRDefault="00D53E6F" w:rsidP="00E91144">
            <w:pPr>
              <w:autoSpaceDE/>
              <w:autoSpaceDN/>
              <w:adjustRightInd/>
              <w:spacing w:line="240" w:lineRule="auto"/>
              <w:rPr>
                <w:rFonts w:eastAsia="Times New Roman"/>
                <w:color w:val="000000"/>
              </w:rPr>
            </w:pPr>
            <w:r w:rsidRPr="00C80453">
              <w:rPr>
                <w:rFonts w:eastAsia="Times New Roman"/>
                <w:color w:val="000000"/>
              </w:rPr>
              <w:t>First-Line Supervisors of Production and Operating Workers (511011)</w:t>
            </w:r>
          </w:p>
        </w:tc>
      </w:tr>
      <w:tr w:rsidR="00D53E6F" w:rsidRPr="00B12BE9" w14:paraId="5B1D2C50" w14:textId="77777777" w:rsidTr="004A7B59">
        <w:trPr>
          <w:trHeight w:val="269"/>
        </w:trPr>
        <w:tc>
          <w:tcPr>
            <w:tcW w:w="2245" w:type="dxa"/>
            <w:vMerge w:val="restart"/>
            <w:tcBorders>
              <w:top w:val="nil"/>
              <w:left w:val="single" w:sz="4" w:space="0" w:color="auto"/>
              <w:bottom w:val="single" w:sz="4" w:space="0" w:color="auto"/>
              <w:right w:val="single" w:sz="4" w:space="0" w:color="auto"/>
            </w:tcBorders>
            <w:shd w:val="clear" w:color="auto" w:fill="auto"/>
            <w:vAlign w:val="center"/>
            <w:hideMark/>
          </w:tcPr>
          <w:p w14:paraId="0C746E63" w14:textId="77777777" w:rsidR="00D53E6F" w:rsidRPr="00C80453" w:rsidRDefault="00D53E6F" w:rsidP="00E91144">
            <w:pPr>
              <w:autoSpaceDE/>
              <w:autoSpaceDN/>
              <w:adjustRightInd/>
              <w:spacing w:line="240" w:lineRule="auto"/>
              <w:rPr>
                <w:rFonts w:eastAsia="Times New Roman"/>
                <w:color w:val="000000"/>
              </w:rPr>
            </w:pPr>
            <w:r w:rsidRPr="00C80453">
              <w:rPr>
                <w:rFonts w:eastAsia="Times New Roman"/>
                <w:color w:val="000000"/>
              </w:rPr>
              <w:t>Technical Staff</w:t>
            </w:r>
          </w:p>
        </w:tc>
        <w:tc>
          <w:tcPr>
            <w:tcW w:w="7200" w:type="dxa"/>
            <w:tcBorders>
              <w:top w:val="nil"/>
              <w:left w:val="nil"/>
              <w:bottom w:val="single" w:sz="4" w:space="0" w:color="auto"/>
              <w:right w:val="single" w:sz="4" w:space="0" w:color="auto"/>
            </w:tcBorders>
            <w:shd w:val="clear" w:color="auto" w:fill="auto"/>
            <w:vAlign w:val="center"/>
            <w:hideMark/>
          </w:tcPr>
          <w:p w14:paraId="69BB8D00" w14:textId="77777777" w:rsidR="00D53E6F" w:rsidRPr="00C80453" w:rsidRDefault="00D53E6F" w:rsidP="00E91144">
            <w:pPr>
              <w:autoSpaceDE/>
              <w:autoSpaceDN/>
              <w:adjustRightInd/>
              <w:spacing w:line="240" w:lineRule="auto"/>
              <w:rPr>
                <w:rFonts w:eastAsia="Times New Roman"/>
                <w:color w:val="000000"/>
              </w:rPr>
            </w:pPr>
            <w:r w:rsidRPr="00C80453">
              <w:rPr>
                <w:rFonts w:eastAsia="Times New Roman"/>
                <w:color w:val="000000"/>
              </w:rPr>
              <w:t>Nuclear Engineers (172161)</w:t>
            </w:r>
          </w:p>
        </w:tc>
      </w:tr>
      <w:tr w:rsidR="00D53E6F" w:rsidRPr="00B12BE9" w14:paraId="510616BD" w14:textId="77777777" w:rsidTr="004A7B59">
        <w:trPr>
          <w:trHeight w:val="260"/>
        </w:trPr>
        <w:tc>
          <w:tcPr>
            <w:tcW w:w="2245" w:type="dxa"/>
            <w:vMerge/>
            <w:tcBorders>
              <w:top w:val="nil"/>
              <w:left w:val="single" w:sz="4" w:space="0" w:color="auto"/>
              <w:bottom w:val="single" w:sz="4" w:space="0" w:color="auto"/>
              <w:right w:val="single" w:sz="4" w:space="0" w:color="auto"/>
            </w:tcBorders>
            <w:vAlign w:val="center"/>
          </w:tcPr>
          <w:p w14:paraId="0939E7CF" w14:textId="77777777" w:rsidR="00D53E6F" w:rsidRPr="00C80453" w:rsidRDefault="00D53E6F" w:rsidP="00E91144">
            <w:pPr>
              <w:autoSpaceDE/>
              <w:autoSpaceDN/>
              <w:adjustRightInd/>
              <w:spacing w:line="240" w:lineRule="auto"/>
              <w:rPr>
                <w:rFonts w:eastAsia="Times New Roman"/>
                <w:color w:val="000000"/>
              </w:rPr>
            </w:pPr>
          </w:p>
        </w:tc>
        <w:tc>
          <w:tcPr>
            <w:tcW w:w="7200" w:type="dxa"/>
            <w:tcBorders>
              <w:top w:val="nil"/>
              <w:left w:val="nil"/>
              <w:bottom w:val="single" w:sz="4" w:space="0" w:color="auto"/>
              <w:right w:val="single" w:sz="4" w:space="0" w:color="auto"/>
            </w:tcBorders>
            <w:shd w:val="clear" w:color="auto" w:fill="auto"/>
            <w:vAlign w:val="center"/>
          </w:tcPr>
          <w:p w14:paraId="0D7EB583" w14:textId="77777777" w:rsidR="00D53E6F" w:rsidRPr="00C80453" w:rsidRDefault="00D53E6F" w:rsidP="00E91144">
            <w:pPr>
              <w:autoSpaceDE/>
              <w:autoSpaceDN/>
              <w:adjustRightInd/>
              <w:spacing w:line="240" w:lineRule="auto"/>
              <w:rPr>
                <w:rFonts w:eastAsia="Times New Roman"/>
                <w:color w:val="000000"/>
              </w:rPr>
            </w:pPr>
            <w:r w:rsidRPr="00C80453">
              <w:rPr>
                <w:rFonts w:eastAsia="Times New Roman"/>
                <w:color w:val="000000"/>
              </w:rPr>
              <w:t>Physicists (192012)</w:t>
            </w:r>
          </w:p>
        </w:tc>
      </w:tr>
      <w:tr w:rsidR="00D53E6F" w:rsidRPr="00B12BE9" w14:paraId="463AC3E8" w14:textId="77777777" w:rsidTr="004A7B59">
        <w:trPr>
          <w:trHeight w:val="260"/>
        </w:trPr>
        <w:tc>
          <w:tcPr>
            <w:tcW w:w="2245" w:type="dxa"/>
            <w:vMerge/>
            <w:tcBorders>
              <w:top w:val="nil"/>
              <w:left w:val="single" w:sz="4" w:space="0" w:color="auto"/>
              <w:bottom w:val="single" w:sz="4" w:space="0" w:color="auto"/>
              <w:right w:val="single" w:sz="4" w:space="0" w:color="auto"/>
            </w:tcBorders>
            <w:vAlign w:val="center"/>
            <w:hideMark/>
          </w:tcPr>
          <w:p w14:paraId="71A33AAE" w14:textId="77777777" w:rsidR="00D53E6F" w:rsidRPr="00C80453" w:rsidRDefault="00D53E6F" w:rsidP="00E91144">
            <w:pPr>
              <w:autoSpaceDE/>
              <w:autoSpaceDN/>
              <w:adjustRightInd/>
              <w:spacing w:line="240" w:lineRule="auto"/>
              <w:rPr>
                <w:rFonts w:eastAsia="Times New Roman"/>
                <w:color w:val="000000"/>
              </w:rPr>
            </w:pPr>
          </w:p>
        </w:tc>
        <w:tc>
          <w:tcPr>
            <w:tcW w:w="7200" w:type="dxa"/>
            <w:tcBorders>
              <w:top w:val="nil"/>
              <w:left w:val="nil"/>
              <w:bottom w:val="single" w:sz="4" w:space="0" w:color="auto"/>
              <w:right w:val="single" w:sz="4" w:space="0" w:color="auto"/>
            </w:tcBorders>
            <w:shd w:val="clear" w:color="auto" w:fill="auto"/>
            <w:vAlign w:val="center"/>
            <w:hideMark/>
          </w:tcPr>
          <w:p w14:paraId="1E0F263D" w14:textId="77777777" w:rsidR="00D53E6F" w:rsidRPr="00C80453" w:rsidRDefault="00D53E6F" w:rsidP="00E91144">
            <w:pPr>
              <w:autoSpaceDE/>
              <w:autoSpaceDN/>
              <w:adjustRightInd/>
              <w:spacing w:line="240" w:lineRule="auto"/>
              <w:rPr>
                <w:rFonts w:eastAsia="Times New Roman"/>
                <w:color w:val="000000"/>
              </w:rPr>
            </w:pPr>
            <w:r w:rsidRPr="00C80453">
              <w:rPr>
                <w:rFonts w:eastAsia="Times New Roman"/>
                <w:color w:val="000000"/>
              </w:rPr>
              <w:t>Nuclear Technicians (194051)</w:t>
            </w:r>
          </w:p>
        </w:tc>
      </w:tr>
      <w:tr w:rsidR="00D53E6F" w:rsidRPr="00B12BE9" w14:paraId="648161B3" w14:textId="77777777" w:rsidTr="004A7B59">
        <w:trPr>
          <w:trHeight w:val="260"/>
        </w:trPr>
        <w:tc>
          <w:tcPr>
            <w:tcW w:w="2245" w:type="dxa"/>
            <w:vMerge/>
            <w:tcBorders>
              <w:top w:val="nil"/>
              <w:left w:val="single" w:sz="4" w:space="0" w:color="auto"/>
              <w:bottom w:val="single" w:sz="4" w:space="0" w:color="auto"/>
              <w:right w:val="single" w:sz="4" w:space="0" w:color="auto"/>
            </w:tcBorders>
            <w:vAlign w:val="center"/>
          </w:tcPr>
          <w:p w14:paraId="577A7BA3" w14:textId="77777777" w:rsidR="00D53E6F" w:rsidRPr="00C80453" w:rsidRDefault="00D53E6F" w:rsidP="00E91144">
            <w:pPr>
              <w:autoSpaceDE/>
              <w:autoSpaceDN/>
              <w:adjustRightInd/>
              <w:spacing w:line="240" w:lineRule="auto"/>
              <w:rPr>
                <w:rFonts w:eastAsia="Times New Roman"/>
                <w:color w:val="000000"/>
              </w:rPr>
            </w:pPr>
          </w:p>
        </w:tc>
        <w:tc>
          <w:tcPr>
            <w:tcW w:w="7200" w:type="dxa"/>
            <w:tcBorders>
              <w:top w:val="nil"/>
              <w:left w:val="nil"/>
              <w:bottom w:val="single" w:sz="4" w:space="0" w:color="auto"/>
              <w:right w:val="single" w:sz="4" w:space="0" w:color="auto"/>
            </w:tcBorders>
            <w:shd w:val="clear" w:color="auto" w:fill="auto"/>
            <w:vAlign w:val="center"/>
          </w:tcPr>
          <w:p w14:paraId="10E60CAF" w14:textId="77777777" w:rsidR="00D53E6F" w:rsidRPr="00C80453" w:rsidRDefault="00D53E6F" w:rsidP="00E91144">
            <w:pPr>
              <w:autoSpaceDE/>
              <w:autoSpaceDN/>
              <w:adjustRightInd/>
              <w:spacing w:line="240" w:lineRule="auto"/>
              <w:rPr>
                <w:rFonts w:eastAsia="Times New Roman"/>
                <w:color w:val="000000"/>
              </w:rPr>
            </w:pPr>
            <w:r w:rsidRPr="00C80453">
              <w:rPr>
                <w:rFonts w:eastAsia="Times New Roman"/>
                <w:color w:val="000000"/>
              </w:rPr>
              <w:t>Industrial Machinery Mechanics (499041)</w:t>
            </w:r>
          </w:p>
        </w:tc>
      </w:tr>
      <w:tr w:rsidR="00D53E6F" w:rsidRPr="00B12BE9" w14:paraId="5C8FE390" w14:textId="77777777" w:rsidTr="004A7B59">
        <w:trPr>
          <w:trHeight w:val="260"/>
        </w:trPr>
        <w:tc>
          <w:tcPr>
            <w:tcW w:w="2245" w:type="dxa"/>
            <w:vMerge/>
            <w:tcBorders>
              <w:top w:val="nil"/>
              <w:left w:val="single" w:sz="4" w:space="0" w:color="auto"/>
              <w:bottom w:val="single" w:sz="4" w:space="0" w:color="auto"/>
              <w:right w:val="single" w:sz="4" w:space="0" w:color="auto"/>
            </w:tcBorders>
            <w:vAlign w:val="center"/>
            <w:hideMark/>
          </w:tcPr>
          <w:p w14:paraId="528DFED8" w14:textId="77777777" w:rsidR="00D53E6F" w:rsidRPr="00C80453" w:rsidRDefault="00D53E6F" w:rsidP="00E91144">
            <w:pPr>
              <w:autoSpaceDE/>
              <w:autoSpaceDN/>
              <w:adjustRightInd/>
              <w:spacing w:line="240" w:lineRule="auto"/>
              <w:rPr>
                <w:rFonts w:eastAsia="Times New Roman"/>
                <w:color w:val="000000"/>
              </w:rPr>
            </w:pPr>
          </w:p>
        </w:tc>
        <w:tc>
          <w:tcPr>
            <w:tcW w:w="7200" w:type="dxa"/>
            <w:tcBorders>
              <w:top w:val="nil"/>
              <w:left w:val="nil"/>
              <w:bottom w:val="single" w:sz="4" w:space="0" w:color="auto"/>
              <w:right w:val="single" w:sz="4" w:space="0" w:color="auto"/>
            </w:tcBorders>
            <w:shd w:val="clear" w:color="auto" w:fill="auto"/>
            <w:vAlign w:val="center"/>
            <w:hideMark/>
          </w:tcPr>
          <w:p w14:paraId="2C76971C" w14:textId="77777777" w:rsidR="00D53E6F" w:rsidRPr="00C80453" w:rsidRDefault="00D53E6F" w:rsidP="00E91144">
            <w:pPr>
              <w:autoSpaceDE/>
              <w:autoSpaceDN/>
              <w:adjustRightInd/>
              <w:spacing w:line="240" w:lineRule="auto"/>
              <w:rPr>
                <w:rFonts w:eastAsia="Times New Roman"/>
                <w:color w:val="000000"/>
              </w:rPr>
            </w:pPr>
            <w:r w:rsidRPr="00C80453">
              <w:rPr>
                <w:rFonts w:eastAsia="Times New Roman"/>
                <w:color w:val="000000"/>
              </w:rPr>
              <w:t>Nuclear Power Reactor Operators (518011)</w:t>
            </w:r>
          </w:p>
        </w:tc>
      </w:tr>
      <w:tr w:rsidR="00D53E6F" w:rsidRPr="00B12BE9" w14:paraId="0539AD56" w14:textId="77777777" w:rsidTr="004A7B59">
        <w:trPr>
          <w:trHeight w:val="260"/>
        </w:trPr>
        <w:tc>
          <w:tcPr>
            <w:tcW w:w="2245" w:type="dxa"/>
            <w:vMerge w:val="restart"/>
            <w:tcBorders>
              <w:top w:val="nil"/>
              <w:left w:val="single" w:sz="4" w:space="0" w:color="auto"/>
              <w:bottom w:val="single" w:sz="4" w:space="0" w:color="auto"/>
              <w:right w:val="single" w:sz="4" w:space="0" w:color="auto"/>
            </w:tcBorders>
            <w:shd w:val="clear" w:color="auto" w:fill="auto"/>
            <w:vAlign w:val="center"/>
            <w:hideMark/>
          </w:tcPr>
          <w:p w14:paraId="1719F5B7" w14:textId="77777777" w:rsidR="00D53E6F" w:rsidRPr="00C80453" w:rsidRDefault="00D53E6F" w:rsidP="00E91144">
            <w:pPr>
              <w:autoSpaceDE/>
              <w:autoSpaceDN/>
              <w:adjustRightInd/>
              <w:spacing w:line="240" w:lineRule="auto"/>
              <w:rPr>
                <w:rFonts w:eastAsia="Times New Roman"/>
                <w:color w:val="000000"/>
              </w:rPr>
            </w:pPr>
            <w:r w:rsidRPr="00C80453">
              <w:rPr>
                <w:rFonts w:eastAsia="Times New Roman"/>
                <w:color w:val="000000"/>
              </w:rPr>
              <w:t>Administrative Staff</w:t>
            </w:r>
          </w:p>
        </w:tc>
        <w:tc>
          <w:tcPr>
            <w:tcW w:w="7200" w:type="dxa"/>
            <w:tcBorders>
              <w:top w:val="nil"/>
              <w:left w:val="nil"/>
              <w:bottom w:val="single" w:sz="4" w:space="0" w:color="auto"/>
              <w:right w:val="single" w:sz="4" w:space="0" w:color="auto"/>
            </w:tcBorders>
            <w:shd w:val="clear" w:color="auto" w:fill="auto"/>
            <w:vAlign w:val="center"/>
            <w:hideMark/>
          </w:tcPr>
          <w:p w14:paraId="59F41E42" w14:textId="77777777" w:rsidR="00D53E6F" w:rsidRPr="00C80453" w:rsidRDefault="00D53E6F" w:rsidP="00E91144">
            <w:pPr>
              <w:autoSpaceDE/>
              <w:autoSpaceDN/>
              <w:adjustRightInd/>
              <w:spacing w:line="240" w:lineRule="auto"/>
              <w:rPr>
                <w:rFonts w:eastAsia="Times New Roman"/>
                <w:color w:val="000000"/>
              </w:rPr>
            </w:pPr>
            <w:r w:rsidRPr="00C80453">
              <w:rPr>
                <w:rFonts w:eastAsia="Times New Roman"/>
                <w:color w:val="000000"/>
              </w:rPr>
              <w:t>Office and Administrative Support Occupations (430000)</w:t>
            </w:r>
          </w:p>
        </w:tc>
      </w:tr>
      <w:tr w:rsidR="00D53E6F" w:rsidRPr="00B12BE9" w14:paraId="6C67806E" w14:textId="77777777" w:rsidTr="004A7B59">
        <w:trPr>
          <w:trHeight w:val="260"/>
        </w:trPr>
        <w:tc>
          <w:tcPr>
            <w:tcW w:w="2245" w:type="dxa"/>
            <w:vMerge/>
            <w:tcBorders>
              <w:top w:val="nil"/>
              <w:left w:val="single" w:sz="4" w:space="0" w:color="auto"/>
              <w:bottom w:val="single" w:sz="4" w:space="0" w:color="auto"/>
              <w:right w:val="single" w:sz="4" w:space="0" w:color="auto"/>
            </w:tcBorders>
            <w:vAlign w:val="center"/>
            <w:hideMark/>
          </w:tcPr>
          <w:p w14:paraId="10BB6A2D" w14:textId="77777777" w:rsidR="00D53E6F" w:rsidRPr="00C80453" w:rsidRDefault="00D53E6F" w:rsidP="00E91144">
            <w:pPr>
              <w:autoSpaceDE/>
              <w:autoSpaceDN/>
              <w:adjustRightInd/>
              <w:spacing w:line="240" w:lineRule="auto"/>
              <w:rPr>
                <w:rFonts w:eastAsia="Times New Roman"/>
                <w:color w:val="000000"/>
              </w:rPr>
            </w:pPr>
          </w:p>
        </w:tc>
        <w:tc>
          <w:tcPr>
            <w:tcW w:w="7200" w:type="dxa"/>
            <w:tcBorders>
              <w:top w:val="nil"/>
              <w:left w:val="nil"/>
              <w:bottom w:val="single" w:sz="4" w:space="0" w:color="auto"/>
              <w:right w:val="single" w:sz="4" w:space="0" w:color="auto"/>
            </w:tcBorders>
            <w:shd w:val="clear" w:color="auto" w:fill="auto"/>
            <w:vAlign w:val="center"/>
            <w:hideMark/>
          </w:tcPr>
          <w:p w14:paraId="00E50117" w14:textId="77777777" w:rsidR="00D53E6F" w:rsidRPr="00C80453" w:rsidRDefault="00D53E6F" w:rsidP="00E91144">
            <w:pPr>
              <w:autoSpaceDE/>
              <w:autoSpaceDN/>
              <w:adjustRightInd/>
              <w:spacing w:line="240" w:lineRule="auto"/>
              <w:rPr>
                <w:rFonts w:eastAsia="Times New Roman"/>
                <w:color w:val="000000"/>
              </w:rPr>
            </w:pPr>
            <w:r w:rsidRPr="00C80453">
              <w:rPr>
                <w:rFonts w:eastAsia="Times New Roman"/>
                <w:color w:val="000000"/>
              </w:rPr>
              <w:t>First-Line Supervisors of Office and Administrative Support Workers (431011)</w:t>
            </w:r>
          </w:p>
        </w:tc>
      </w:tr>
      <w:tr w:rsidR="00D53E6F" w:rsidRPr="00B12BE9" w14:paraId="3C28D75B" w14:textId="77777777" w:rsidTr="004A7B59">
        <w:trPr>
          <w:trHeight w:val="251"/>
        </w:trPr>
        <w:tc>
          <w:tcPr>
            <w:tcW w:w="2245" w:type="dxa"/>
            <w:vMerge/>
            <w:tcBorders>
              <w:top w:val="nil"/>
              <w:left w:val="single" w:sz="4" w:space="0" w:color="auto"/>
              <w:bottom w:val="single" w:sz="4" w:space="0" w:color="auto"/>
              <w:right w:val="single" w:sz="4" w:space="0" w:color="auto"/>
            </w:tcBorders>
            <w:vAlign w:val="center"/>
            <w:hideMark/>
          </w:tcPr>
          <w:p w14:paraId="59B6FB30" w14:textId="77777777" w:rsidR="00D53E6F" w:rsidRPr="00C80453" w:rsidRDefault="00D53E6F" w:rsidP="00E91144">
            <w:pPr>
              <w:autoSpaceDE/>
              <w:autoSpaceDN/>
              <w:adjustRightInd/>
              <w:spacing w:line="240" w:lineRule="auto"/>
              <w:rPr>
                <w:rFonts w:eastAsia="Times New Roman"/>
                <w:color w:val="000000"/>
              </w:rPr>
            </w:pPr>
          </w:p>
        </w:tc>
        <w:tc>
          <w:tcPr>
            <w:tcW w:w="7200" w:type="dxa"/>
            <w:tcBorders>
              <w:top w:val="nil"/>
              <w:left w:val="nil"/>
              <w:bottom w:val="single" w:sz="4" w:space="0" w:color="auto"/>
              <w:right w:val="single" w:sz="4" w:space="0" w:color="auto"/>
            </w:tcBorders>
            <w:shd w:val="clear" w:color="auto" w:fill="auto"/>
            <w:vAlign w:val="center"/>
            <w:hideMark/>
          </w:tcPr>
          <w:p w14:paraId="5BCF5626" w14:textId="77777777" w:rsidR="00D53E6F" w:rsidRPr="00C80453" w:rsidRDefault="00D53E6F" w:rsidP="00E91144">
            <w:pPr>
              <w:autoSpaceDE/>
              <w:autoSpaceDN/>
              <w:adjustRightInd/>
              <w:spacing w:line="240" w:lineRule="auto"/>
              <w:rPr>
                <w:rFonts w:eastAsia="Times New Roman"/>
                <w:color w:val="000000"/>
              </w:rPr>
            </w:pPr>
            <w:r w:rsidRPr="00C80453">
              <w:rPr>
                <w:rFonts w:eastAsia="Times New Roman"/>
                <w:color w:val="000000"/>
              </w:rPr>
              <w:t>Office Clerks, General (439061)</w:t>
            </w:r>
          </w:p>
        </w:tc>
      </w:tr>
      <w:tr w:rsidR="00D53E6F" w:rsidRPr="00B12BE9" w14:paraId="2B0E68EE" w14:textId="77777777" w:rsidTr="004A7B59">
        <w:trPr>
          <w:trHeight w:val="260"/>
        </w:trPr>
        <w:tc>
          <w:tcPr>
            <w:tcW w:w="2245" w:type="dxa"/>
            <w:vMerge w:val="restart"/>
            <w:tcBorders>
              <w:top w:val="nil"/>
              <w:left w:val="single" w:sz="4" w:space="0" w:color="auto"/>
              <w:bottom w:val="single" w:sz="4" w:space="0" w:color="auto"/>
              <w:right w:val="single" w:sz="4" w:space="0" w:color="auto"/>
            </w:tcBorders>
            <w:shd w:val="clear" w:color="auto" w:fill="auto"/>
            <w:vAlign w:val="center"/>
            <w:hideMark/>
          </w:tcPr>
          <w:p w14:paraId="05DA98F3" w14:textId="2954B71B" w:rsidR="00D53E6F" w:rsidRPr="00C80453" w:rsidRDefault="00D53E6F" w:rsidP="00E91144">
            <w:pPr>
              <w:autoSpaceDE/>
              <w:autoSpaceDN/>
              <w:adjustRightInd/>
              <w:spacing w:line="240" w:lineRule="auto"/>
              <w:rPr>
                <w:rFonts w:eastAsia="Times New Roman"/>
                <w:color w:val="000000"/>
              </w:rPr>
            </w:pPr>
            <w:r w:rsidRPr="00C80453">
              <w:rPr>
                <w:rFonts w:eastAsia="Times New Roman"/>
                <w:color w:val="000000"/>
              </w:rPr>
              <w:t>Licensing Staff</w:t>
            </w:r>
          </w:p>
        </w:tc>
        <w:tc>
          <w:tcPr>
            <w:tcW w:w="7200" w:type="dxa"/>
            <w:tcBorders>
              <w:top w:val="nil"/>
              <w:left w:val="nil"/>
              <w:bottom w:val="single" w:sz="4" w:space="0" w:color="auto"/>
              <w:right w:val="single" w:sz="4" w:space="0" w:color="auto"/>
            </w:tcBorders>
            <w:shd w:val="clear" w:color="auto" w:fill="auto"/>
            <w:vAlign w:val="center"/>
            <w:hideMark/>
          </w:tcPr>
          <w:p w14:paraId="2E2A626B" w14:textId="77777777" w:rsidR="00D53E6F" w:rsidRPr="00C80453" w:rsidRDefault="00D53E6F" w:rsidP="00E91144">
            <w:pPr>
              <w:autoSpaceDE/>
              <w:autoSpaceDN/>
              <w:adjustRightInd/>
              <w:spacing w:line="240" w:lineRule="auto"/>
              <w:rPr>
                <w:rFonts w:eastAsia="Times New Roman"/>
                <w:color w:val="000000"/>
              </w:rPr>
            </w:pPr>
            <w:r w:rsidRPr="00C80453">
              <w:rPr>
                <w:rFonts w:eastAsia="Times New Roman"/>
                <w:color w:val="000000"/>
              </w:rPr>
              <w:t>Lawyers (231011)</w:t>
            </w:r>
          </w:p>
        </w:tc>
      </w:tr>
      <w:tr w:rsidR="00D53E6F" w:rsidRPr="00B12BE9" w14:paraId="6A33259F" w14:textId="77777777" w:rsidTr="004A7B59">
        <w:trPr>
          <w:trHeight w:val="251"/>
        </w:trPr>
        <w:tc>
          <w:tcPr>
            <w:tcW w:w="2245" w:type="dxa"/>
            <w:vMerge/>
            <w:tcBorders>
              <w:top w:val="nil"/>
              <w:left w:val="single" w:sz="4" w:space="0" w:color="auto"/>
              <w:bottom w:val="single" w:sz="4" w:space="0" w:color="auto"/>
              <w:right w:val="single" w:sz="4" w:space="0" w:color="auto"/>
            </w:tcBorders>
            <w:vAlign w:val="center"/>
          </w:tcPr>
          <w:p w14:paraId="62DC45EE" w14:textId="77777777" w:rsidR="00D53E6F" w:rsidRPr="00C80453" w:rsidRDefault="00D53E6F" w:rsidP="00E91144">
            <w:pPr>
              <w:autoSpaceDE/>
              <w:autoSpaceDN/>
              <w:adjustRightInd/>
              <w:spacing w:line="240" w:lineRule="auto"/>
              <w:rPr>
                <w:rFonts w:eastAsia="Times New Roman"/>
                <w:color w:val="000000"/>
              </w:rPr>
            </w:pPr>
          </w:p>
        </w:tc>
        <w:tc>
          <w:tcPr>
            <w:tcW w:w="7200" w:type="dxa"/>
            <w:tcBorders>
              <w:top w:val="nil"/>
              <w:left w:val="nil"/>
              <w:bottom w:val="single" w:sz="4" w:space="0" w:color="auto"/>
              <w:right w:val="single" w:sz="4" w:space="0" w:color="auto"/>
            </w:tcBorders>
            <w:shd w:val="clear" w:color="auto" w:fill="auto"/>
            <w:vAlign w:val="center"/>
          </w:tcPr>
          <w:p w14:paraId="3773A2A3" w14:textId="77777777" w:rsidR="00D53E6F" w:rsidRPr="00C80453" w:rsidRDefault="00D53E6F" w:rsidP="00E91144">
            <w:pPr>
              <w:autoSpaceDE/>
              <w:autoSpaceDN/>
              <w:adjustRightInd/>
              <w:spacing w:line="240" w:lineRule="auto"/>
              <w:rPr>
                <w:rFonts w:eastAsia="Times New Roman"/>
                <w:color w:val="000000"/>
              </w:rPr>
            </w:pPr>
            <w:r w:rsidRPr="00C80453">
              <w:rPr>
                <w:rFonts w:eastAsia="Times New Roman"/>
                <w:color w:val="000000"/>
              </w:rPr>
              <w:t>Paralegals and Legal Assistants (232011)</w:t>
            </w:r>
          </w:p>
        </w:tc>
      </w:tr>
    </w:tbl>
    <w:p w14:paraId="47373FDE" w14:textId="77777777" w:rsidR="00D53E6F" w:rsidRPr="00FB4DE0" w:rsidRDefault="00D53E6F" w:rsidP="00D53E6F">
      <w:pPr>
        <w:spacing w:line="240" w:lineRule="auto"/>
        <w:rPr>
          <w:sz w:val="18"/>
          <w:szCs w:val="18"/>
        </w:rPr>
      </w:pPr>
      <w:bookmarkStart w:id="98" w:name="_Toc456098225"/>
      <w:r w:rsidRPr="00FB4DE0">
        <w:rPr>
          <w:sz w:val="18"/>
          <w:szCs w:val="18"/>
        </w:rPr>
        <w:t>Source:  BLS, “NAICS Code:  North American Industry Classification System Code,” issued January 2019 (BLS 2019a).</w:t>
      </w:r>
    </w:p>
    <w:p w14:paraId="2D9A1233" w14:textId="77777777" w:rsidR="00D53E6F" w:rsidRPr="00FB4DE0" w:rsidRDefault="00D53E6F" w:rsidP="00D53E6F">
      <w:pPr>
        <w:spacing w:line="240" w:lineRule="auto"/>
      </w:pPr>
    </w:p>
    <w:p w14:paraId="0AB8ED3F" w14:textId="77777777" w:rsidR="00D53E6F" w:rsidRPr="004D0C3A" w:rsidRDefault="00D53E6F" w:rsidP="00D53E6F">
      <w:pPr>
        <w:pStyle w:val="Heading3"/>
        <w:tabs>
          <w:tab w:val="left" w:pos="720"/>
        </w:tabs>
        <w:spacing w:line="240" w:lineRule="auto"/>
      </w:pPr>
      <w:bookmarkStart w:id="99" w:name="_Toc12808782"/>
      <w:r>
        <w:t>4.2.7</w:t>
      </w:r>
      <w:r>
        <w:tab/>
      </w:r>
      <w:bookmarkStart w:id="100" w:name="_Toc457827238"/>
      <w:r w:rsidRPr="004D0C3A">
        <w:t>Sign Conventions</w:t>
      </w:r>
      <w:bookmarkEnd w:id="98"/>
      <w:bookmarkEnd w:id="99"/>
      <w:bookmarkEnd w:id="100"/>
    </w:p>
    <w:p w14:paraId="73723EA2" w14:textId="77777777" w:rsidR="00D53E6F" w:rsidRPr="004D0C3A" w:rsidRDefault="00D53E6F" w:rsidP="00D53E6F">
      <w:pPr>
        <w:spacing w:line="240" w:lineRule="auto"/>
      </w:pPr>
    </w:p>
    <w:p w14:paraId="00D9C843" w14:textId="77777777" w:rsidR="00D53E6F" w:rsidRDefault="00D53E6F" w:rsidP="00D53E6F">
      <w:pPr>
        <w:spacing w:line="240" w:lineRule="auto"/>
      </w:pPr>
      <w:r w:rsidRPr="006757F5">
        <w:t>The sign conventions</w:t>
      </w:r>
      <w:r w:rsidRPr="00F65906">
        <w:t xml:space="preserve"> used</w:t>
      </w:r>
      <w:r w:rsidRPr="004D0C3A">
        <w:t xml:space="preserve"> in this analysis are </w:t>
      </w:r>
      <w:r>
        <w:t xml:space="preserve">that </w:t>
      </w:r>
      <w:r w:rsidRPr="004D0C3A">
        <w:t>all favorable consequences for the alternative are positive and all adverse consequences for the alternative are negative.  Negative values are shown using parentheses (e.g., negative $500 is displayed as ($500)).</w:t>
      </w:r>
    </w:p>
    <w:p w14:paraId="3DE46C1C" w14:textId="77777777" w:rsidR="00D53E6F" w:rsidRPr="004D0C3A" w:rsidRDefault="00D53E6F" w:rsidP="00D53E6F">
      <w:pPr>
        <w:spacing w:line="240" w:lineRule="auto"/>
      </w:pPr>
    </w:p>
    <w:p w14:paraId="7F1449BB" w14:textId="77777777" w:rsidR="00D53E6F" w:rsidRPr="00B04D87" w:rsidRDefault="00D53E6F" w:rsidP="00D53E6F">
      <w:pPr>
        <w:pStyle w:val="Heading3"/>
        <w:tabs>
          <w:tab w:val="left" w:pos="720"/>
        </w:tabs>
        <w:spacing w:line="240" w:lineRule="auto"/>
      </w:pPr>
      <w:bookmarkStart w:id="101" w:name="_Toc456098226"/>
      <w:bookmarkStart w:id="102" w:name="_Toc12808783"/>
      <w:r>
        <w:t>4.2.8</w:t>
      </w:r>
      <w:r>
        <w:tab/>
      </w:r>
      <w:bookmarkStart w:id="103" w:name="_Toc457827239"/>
      <w:r w:rsidRPr="00B04D87">
        <w:t>Analysis Horizon</w:t>
      </w:r>
      <w:bookmarkEnd w:id="101"/>
      <w:bookmarkEnd w:id="102"/>
      <w:bookmarkEnd w:id="103"/>
    </w:p>
    <w:p w14:paraId="485D9540" w14:textId="77777777" w:rsidR="00D53E6F" w:rsidRDefault="00D53E6F" w:rsidP="00D53E6F">
      <w:pPr>
        <w:keepNext/>
        <w:spacing w:line="240" w:lineRule="auto"/>
      </w:pPr>
    </w:p>
    <w:p w14:paraId="49339E14" w14:textId="77777777" w:rsidR="00D53E6F" w:rsidRDefault="00D53E6F" w:rsidP="00D53E6F">
      <w:pPr>
        <w:spacing w:line="240" w:lineRule="auto"/>
      </w:pPr>
      <w:r>
        <w:t>The ASME Code Cases are in effect for a span of 3 years following the issuance of the final rule and are renewable once for 3 additional years for a total of 6 years.</w:t>
      </w:r>
    </w:p>
    <w:p w14:paraId="5C443955" w14:textId="77777777" w:rsidR="00D53E6F" w:rsidRDefault="00D53E6F" w:rsidP="00D53E6F">
      <w:pPr>
        <w:spacing w:line="240" w:lineRule="auto"/>
      </w:pPr>
    </w:p>
    <w:p w14:paraId="40586A70" w14:textId="77777777" w:rsidR="00D53E6F" w:rsidRDefault="00D53E6F" w:rsidP="00D53E6F">
      <w:pPr>
        <w:pStyle w:val="Heading3"/>
        <w:tabs>
          <w:tab w:val="left" w:pos="720"/>
        </w:tabs>
        <w:spacing w:line="240" w:lineRule="auto"/>
      </w:pPr>
      <w:bookmarkStart w:id="104" w:name="_Toc456098227"/>
      <w:bookmarkStart w:id="105" w:name="_Toc12808784"/>
      <w:r>
        <w:t>4.2.9</w:t>
      </w:r>
      <w:r>
        <w:tab/>
      </w:r>
      <w:bookmarkStart w:id="106" w:name="_Toc457827240"/>
      <w:r>
        <w:t>Cost Estimation</w:t>
      </w:r>
      <w:bookmarkEnd w:id="104"/>
      <w:bookmarkEnd w:id="105"/>
      <w:bookmarkEnd w:id="106"/>
    </w:p>
    <w:p w14:paraId="1AF82E7F" w14:textId="77777777" w:rsidR="00D53E6F" w:rsidRDefault="00D53E6F" w:rsidP="00D53E6F">
      <w:pPr>
        <w:keepNext/>
        <w:spacing w:line="240" w:lineRule="auto"/>
      </w:pPr>
    </w:p>
    <w:p w14:paraId="3E1C6F84" w14:textId="3C59D8AF" w:rsidR="00D53E6F" w:rsidRPr="00BF5AC4" w:rsidRDefault="00D53E6F" w:rsidP="00D53E6F">
      <w:pPr>
        <w:spacing w:line="240" w:lineRule="auto"/>
        <w:rPr>
          <w:rFonts w:eastAsiaTheme="minorEastAsia"/>
          <w:lang w:eastAsia="ja-JP"/>
        </w:rPr>
      </w:pPr>
      <w:r>
        <w:rPr>
          <w:rFonts w:eastAsiaTheme="minorEastAsia"/>
          <w:lang w:eastAsia="ja-JP"/>
        </w:rPr>
        <w:t>T</w:t>
      </w:r>
      <w:r w:rsidRPr="00BF5AC4">
        <w:rPr>
          <w:rFonts w:eastAsiaTheme="minorEastAsia"/>
          <w:lang w:eastAsia="ja-JP"/>
        </w:rPr>
        <w:t xml:space="preserve">o estimate the costs associated with the </w:t>
      </w:r>
      <w:r>
        <w:rPr>
          <w:rFonts w:eastAsiaTheme="minorEastAsia"/>
          <w:lang w:eastAsia="ja-JP"/>
        </w:rPr>
        <w:t>evaluated alternatives</w:t>
      </w:r>
      <w:r w:rsidRPr="00BF5AC4">
        <w:rPr>
          <w:rFonts w:eastAsiaTheme="minorEastAsia"/>
          <w:lang w:eastAsia="ja-JP"/>
        </w:rPr>
        <w:t xml:space="preserve">, the </w:t>
      </w:r>
      <w:r w:rsidR="00433120">
        <w:rPr>
          <w:rFonts w:eastAsiaTheme="minorEastAsia"/>
          <w:lang w:eastAsia="ja-JP"/>
        </w:rPr>
        <w:t>NRC</w:t>
      </w:r>
      <w:r w:rsidRPr="00BF5AC4">
        <w:rPr>
          <w:rFonts w:eastAsiaTheme="minorEastAsia"/>
          <w:lang w:eastAsia="ja-JP"/>
        </w:rPr>
        <w:t xml:space="preserve"> used a work breakdown approach to deconstruct </w:t>
      </w:r>
      <w:r>
        <w:rPr>
          <w:rFonts w:eastAsiaTheme="minorEastAsia"/>
          <w:lang w:eastAsia="ja-JP"/>
        </w:rPr>
        <w:t>each requirement down to its</w:t>
      </w:r>
      <w:r w:rsidRPr="00BF5AC4">
        <w:rPr>
          <w:rFonts w:eastAsiaTheme="minorEastAsia"/>
          <w:lang w:eastAsia="ja-JP"/>
        </w:rPr>
        <w:t xml:space="preserve"> </w:t>
      </w:r>
      <w:r>
        <w:rPr>
          <w:rFonts w:eastAsiaTheme="minorEastAsia"/>
          <w:lang w:eastAsia="ja-JP"/>
        </w:rPr>
        <w:t>mandated</w:t>
      </w:r>
      <w:r w:rsidRPr="00BF5AC4">
        <w:rPr>
          <w:rFonts w:eastAsiaTheme="minorEastAsia"/>
          <w:lang w:eastAsia="ja-JP"/>
        </w:rPr>
        <w:t xml:space="preserve"> activities.  For each required activity, the NRC further subdivided the work across labor categories (i.e.,</w:t>
      </w:r>
      <w:r>
        <w:rPr>
          <w:rFonts w:eastAsiaTheme="minorEastAsia"/>
          <w:lang w:eastAsia="ja-JP"/>
        </w:rPr>
        <w:t> executives, managers, technical staff, administrative staff, and licensing staff</w:t>
      </w:r>
      <w:r w:rsidRPr="00BF5AC4">
        <w:rPr>
          <w:rFonts w:eastAsiaTheme="minorEastAsia"/>
          <w:lang w:eastAsia="ja-JP"/>
        </w:rPr>
        <w:t xml:space="preserve">).  The </w:t>
      </w:r>
      <w:r w:rsidR="00433120">
        <w:rPr>
          <w:rFonts w:eastAsiaTheme="minorEastAsia"/>
          <w:lang w:eastAsia="ja-JP"/>
        </w:rPr>
        <w:t xml:space="preserve">NRC </w:t>
      </w:r>
      <w:r w:rsidRPr="00BF5AC4">
        <w:rPr>
          <w:rFonts w:eastAsiaTheme="minorEastAsia"/>
          <w:lang w:eastAsia="ja-JP"/>
        </w:rPr>
        <w:t>estimated the required level of effort (LOE) for each required activity</w:t>
      </w:r>
      <w:r>
        <w:rPr>
          <w:rFonts w:eastAsiaTheme="minorEastAsia"/>
          <w:lang w:eastAsia="ja-JP"/>
        </w:rPr>
        <w:t xml:space="preserve"> and used a blended labor rate</w:t>
      </w:r>
      <w:r w:rsidRPr="00BF5AC4">
        <w:rPr>
          <w:rFonts w:eastAsiaTheme="minorEastAsia"/>
          <w:lang w:eastAsia="ja-JP"/>
        </w:rPr>
        <w:t xml:space="preserve"> to develop cost estimates.</w:t>
      </w:r>
    </w:p>
    <w:p w14:paraId="63EEE954" w14:textId="77777777" w:rsidR="00D53E6F" w:rsidRPr="00BF5AC4" w:rsidRDefault="00D53E6F" w:rsidP="00D53E6F">
      <w:pPr>
        <w:spacing w:line="240" w:lineRule="auto"/>
      </w:pPr>
    </w:p>
    <w:p w14:paraId="5F7A1534" w14:textId="4CD28572" w:rsidR="00D53E6F" w:rsidRPr="00BF5AC4" w:rsidRDefault="00D53E6F" w:rsidP="00D53E6F">
      <w:pPr>
        <w:spacing w:line="240" w:lineRule="auto"/>
        <w:rPr>
          <w:rFonts w:eastAsiaTheme="minorEastAsia"/>
          <w:lang w:eastAsia="ja-JP"/>
        </w:rPr>
      </w:pPr>
      <w:r w:rsidRPr="00BF5AC4">
        <w:rPr>
          <w:rFonts w:eastAsiaTheme="minorEastAsia"/>
          <w:lang w:eastAsia="ja-JP"/>
        </w:rPr>
        <w:t xml:space="preserve">The </w:t>
      </w:r>
      <w:r w:rsidR="00433120">
        <w:rPr>
          <w:rFonts w:eastAsiaTheme="minorEastAsia"/>
          <w:lang w:eastAsia="ja-JP"/>
        </w:rPr>
        <w:t>NRC</w:t>
      </w:r>
      <w:r>
        <w:rPr>
          <w:rFonts w:eastAsiaTheme="minorEastAsia"/>
          <w:lang w:eastAsia="ja-JP"/>
        </w:rPr>
        <w:t xml:space="preserve"> </w:t>
      </w:r>
      <w:r w:rsidRPr="00BF5AC4">
        <w:rPr>
          <w:rFonts w:eastAsiaTheme="minorEastAsia"/>
          <w:lang w:eastAsia="ja-JP"/>
        </w:rPr>
        <w:t xml:space="preserve">gathered data from several sources and consulted </w:t>
      </w:r>
      <w:r>
        <w:rPr>
          <w:rFonts w:eastAsiaTheme="minorEastAsia"/>
          <w:lang w:eastAsia="ja-JP"/>
        </w:rPr>
        <w:t xml:space="preserve">ASME Code working group members </w:t>
      </w:r>
      <w:r w:rsidRPr="00BF5AC4">
        <w:rPr>
          <w:rFonts w:eastAsiaTheme="minorEastAsia"/>
          <w:lang w:eastAsia="ja-JP"/>
        </w:rPr>
        <w:t xml:space="preserve">to develop </w:t>
      </w:r>
      <w:r>
        <w:rPr>
          <w:rFonts w:eastAsiaTheme="minorEastAsia"/>
          <w:lang w:eastAsia="ja-JP"/>
        </w:rPr>
        <w:t xml:space="preserve">LOE and unit cost estimates in accordance with the Paperwork Reduction Act of 1980.  </w:t>
      </w:r>
      <w:r w:rsidR="00173B30">
        <w:rPr>
          <w:rFonts w:eastAsiaTheme="minorEastAsia"/>
          <w:lang w:eastAsia="ja-JP"/>
        </w:rPr>
        <w:t>The NRC</w:t>
      </w:r>
      <w:r>
        <w:rPr>
          <w:rFonts w:eastAsiaTheme="minorEastAsia"/>
          <w:lang w:eastAsia="ja-JP"/>
        </w:rPr>
        <w:t xml:space="preserve"> </w:t>
      </w:r>
      <w:r w:rsidRPr="00BF5AC4">
        <w:rPr>
          <w:rFonts w:eastAsiaTheme="minorEastAsia"/>
          <w:lang w:eastAsia="ja-JP"/>
        </w:rPr>
        <w:t>applied several cost</w:t>
      </w:r>
      <w:r>
        <w:rPr>
          <w:rFonts w:eastAsiaTheme="minorEastAsia"/>
          <w:lang w:eastAsia="ja-JP"/>
        </w:rPr>
        <w:noBreakHyphen/>
      </w:r>
      <w:r w:rsidRPr="00BF5AC4">
        <w:rPr>
          <w:rFonts w:eastAsiaTheme="minorEastAsia"/>
          <w:lang w:eastAsia="ja-JP"/>
        </w:rPr>
        <w:t>estimation methods in this analysis</w:t>
      </w:r>
      <w:r>
        <w:rPr>
          <w:rFonts w:eastAsiaTheme="minorEastAsia"/>
          <w:lang w:eastAsia="ja-JP"/>
        </w:rPr>
        <w:t xml:space="preserve"> and used its collective </w:t>
      </w:r>
      <w:r w:rsidRPr="00BF5AC4">
        <w:rPr>
          <w:rFonts w:eastAsiaTheme="minorEastAsia"/>
          <w:lang w:eastAsia="ja-JP"/>
        </w:rPr>
        <w:t xml:space="preserve">professional knowledge and judgment to estimate many of the costs and benefits.  Additionally, </w:t>
      </w:r>
      <w:r w:rsidR="00433120">
        <w:rPr>
          <w:rFonts w:eastAsiaTheme="minorEastAsia"/>
          <w:lang w:eastAsia="ja-JP"/>
        </w:rPr>
        <w:t>the NRC</w:t>
      </w:r>
      <w:r>
        <w:rPr>
          <w:rFonts w:eastAsiaTheme="minorEastAsia"/>
          <w:lang w:eastAsia="ja-JP"/>
        </w:rPr>
        <w:t xml:space="preserve"> used </w:t>
      </w:r>
      <w:r w:rsidRPr="00BF5AC4">
        <w:rPr>
          <w:rFonts w:eastAsiaTheme="minorEastAsia"/>
          <w:lang w:eastAsia="ja-JP"/>
        </w:rPr>
        <w:t>a</w:t>
      </w:r>
      <w:r>
        <w:rPr>
          <w:rFonts w:eastAsiaTheme="minorEastAsia"/>
          <w:lang w:eastAsia="ja-JP"/>
        </w:rPr>
        <w:t>n engineering</w:t>
      </w:r>
      <w:r w:rsidRPr="00BF5AC4">
        <w:rPr>
          <w:rFonts w:eastAsiaTheme="minorEastAsia"/>
          <w:lang w:eastAsia="ja-JP"/>
        </w:rPr>
        <w:t xml:space="preserve"> buildup method, </w:t>
      </w:r>
      <w:r>
        <w:rPr>
          <w:rFonts w:eastAsiaTheme="minorEastAsia"/>
          <w:lang w:eastAsia="ja-JP"/>
        </w:rPr>
        <w:t>informal discussions with licensees</w:t>
      </w:r>
      <w:r w:rsidRPr="00BF5AC4">
        <w:rPr>
          <w:rFonts w:eastAsiaTheme="minorEastAsia"/>
          <w:lang w:eastAsia="ja-JP"/>
        </w:rPr>
        <w:t>, and extrapolation techniques to estimate costs and benefits.</w:t>
      </w:r>
    </w:p>
    <w:p w14:paraId="698C55FD" w14:textId="77777777" w:rsidR="00D53E6F" w:rsidRPr="00AA724B" w:rsidRDefault="00D53E6F" w:rsidP="00D53E6F">
      <w:pPr>
        <w:spacing w:line="240" w:lineRule="auto"/>
        <w:rPr>
          <w:rFonts w:eastAsiaTheme="minorEastAsia"/>
          <w:lang w:eastAsia="ja-JP"/>
        </w:rPr>
      </w:pPr>
    </w:p>
    <w:p w14:paraId="47CBAC8B" w14:textId="43563769" w:rsidR="00D53E6F" w:rsidRPr="00BF5AC4" w:rsidRDefault="00D53E6F" w:rsidP="00D53E6F">
      <w:pPr>
        <w:spacing w:line="240" w:lineRule="auto"/>
        <w:rPr>
          <w:rFonts w:eastAsiaTheme="minorEastAsia"/>
          <w:lang w:eastAsia="ja-JP"/>
        </w:rPr>
      </w:pPr>
      <w:r>
        <w:rPr>
          <w:rFonts w:eastAsiaTheme="minorEastAsia"/>
          <w:lang w:eastAsia="ja-JP"/>
        </w:rPr>
        <w:t xml:space="preserve">The </w:t>
      </w:r>
      <w:r w:rsidR="00433120">
        <w:rPr>
          <w:rFonts w:eastAsiaTheme="minorEastAsia"/>
          <w:lang w:eastAsia="ja-JP"/>
        </w:rPr>
        <w:t xml:space="preserve">NRC </w:t>
      </w:r>
      <w:r>
        <w:rPr>
          <w:rFonts w:eastAsiaTheme="minorEastAsia"/>
          <w:lang w:eastAsia="ja-JP"/>
        </w:rPr>
        <w:t>began by estimating some activities</w:t>
      </w:r>
      <w:r w:rsidRPr="00BF5AC4">
        <w:rPr>
          <w:rFonts w:eastAsiaTheme="minorEastAsia"/>
          <w:lang w:eastAsia="ja-JP"/>
        </w:rPr>
        <w:t xml:space="preserve"> using the engineering buildup method of cost estimation, which combine</w:t>
      </w:r>
      <w:r>
        <w:rPr>
          <w:rFonts w:eastAsiaTheme="minorEastAsia"/>
          <w:lang w:eastAsia="ja-JP"/>
        </w:rPr>
        <w:t>s</w:t>
      </w:r>
      <w:r w:rsidRPr="00BF5AC4">
        <w:rPr>
          <w:rFonts w:eastAsiaTheme="minorEastAsia"/>
          <w:lang w:eastAsia="ja-JP"/>
        </w:rPr>
        <w:t xml:space="preserve"> incremental costs of an activity from the bottom up to estimate a total cost.  For this step, the NRC reviewed previous license </w:t>
      </w:r>
      <w:r>
        <w:rPr>
          <w:rFonts w:eastAsiaTheme="minorEastAsia"/>
          <w:lang w:eastAsia="ja-JP"/>
        </w:rPr>
        <w:t>submittals,</w:t>
      </w:r>
      <w:r w:rsidRPr="00BF5AC4">
        <w:rPr>
          <w:rFonts w:eastAsiaTheme="minorEastAsia"/>
          <w:lang w:eastAsia="ja-JP"/>
        </w:rPr>
        <w:t xml:space="preserve"> </w:t>
      </w:r>
      <w:r>
        <w:rPr>
          <w:rFonts w:eastAsiaTheme="minorEastAsia"/>
          <w:lang w:eastAsia="ja-JP"/>
        </w:rPr>
        <w:t>determined the number of pages in</w:t>
      </w:r>
      <w:r w:rsidRPr="00BF5AC4">
        <w:rPr>
          <w:rFonts w:eastAsiaTheme="minorEastAsia"/>
          <w:lang w:eastAsia="ja-JP"/>
        </w:rPr>
        <w:t xml:space="preserve"> each section, </w:t>
      </w:r>
      <w:r>
        <w:rPr>
          <w:rFonts w:eastAsiaTheme="minorEastAsia"/>
          <w:lang w:eastAsia="ja-JP"/>
        </w:rPr>
        <w:t>and then</w:t>
      </w:r>
      <w:r w:rsidRPr="00BF5AC4">
        <w:rPr>
          <w:rFonts w:eastAsiaTheme="minorEastAsia"/>
          <w:lang w:eastAsia="ja-JP"/>
        </w:rPr>
        <w:t xml:space="preserve"> used these data to develop preliminary </w:t>
      </w:r>
      <w:r>
        <w:rPr>
          <w:rFonts w:eastAsiaTheme="minorEastAsia"/>
          <w:lang w:eastAsia="ja-JP"/>
        </w:rPr>
        <w:t>LOEs.</w:t>
      </w:r>
    </w:p>
    <w:p w14:paraId="6BA71DF8" w14:textId="77777777" w:rsidR="00D53E6F" w:rsidRPr="00BF5AC4" w:rsidRDefault="00D53E6F" w:rsidP="00D53E6F">
      <w:pPr>
        <w:spacing w:line="240" w:lineRule="auto"/>
        <w:rPr>
          <w:rFonts w:eastAsiaTheme="minorEastAsia"/>
          <w:lang w:eastAsia="ja-JP"/>
        </w:rPr>
      </w:pPr>
    </w:p>
    <w:p w14:paraId="0535AC42" w14:textId="05754CF2" w:rsidR="00D53E6F" w:rsidRPr="00BF5AC4" w:rsidRDefault="00D53E6F" w:rsidP="00D53E6F">
      <w:pPr>
        <w:spacing w:line="240" w:lineRule="auto"/>
        <w:rPr>
          <w:rFonts w:eastAsiaTheme="minorEastAsia"/>
          <w:lang w:eastAsia="ja-JP"/>
        </w:rPr>
      </w:pPr>
      <w:r w:rsidRPr="00BF5AC4">
        <w:rPr>
          <w:rFonts w:eastAsiaTheme="minorEastAsia"/>
          <w:lang w:eastAsia="ja-JP"/>
        </w:rPr>
        <w:t xml:space="preserve">The </w:t>
      </w:r>
      <w:r w:rsidR="00433120">
        <w:rPr>
          <w:rFonts w:eastAsiaTheme="minorEastAsia"/>
          <w:lang w:eastAsia="ja-JP"/>
        </w:rPr>
        <w:t>NRC</w:t>
      </w:r>
      <w:r w:rsidR="00433120" w:rsidRPr="00BF5AC4">
        <w:rPr>
          <w:rFonts w:eastAsiaTheme="minorEastAsia"/>
          <w:lang w:eastAsia="ja-JP"/>
        </w:rPr>
        <w:t xml:space="preserve"> </w:t>
      </w:r>
      <w:r w:rsidRPr="00BF5AC4">
        <w:rPr>
          <w:rFonts w:eastAsiaTheme="minorEastAsia"/>
          <w:lang w:eastAsia="ja-JP"/>
        </w:rPr>
        <w:t xml:space="preserve">consulted </w:t>
      </w:r>
      <w:r>
        <w:rPr>
          <w:rFonts w:eastAsiaTheme="minorEastAsia"/>
          <w:lang w:eastAsia="ja-JP"/>
        </w:rPr>
        <w:t>subject</w:t>
      </w:r>
      <w:r>
        <w:rPr>
          <w:rFonts w:eastAsiaTheme="minorEastAsia"/>
          <w:lang w:eastAsia="ja-JP"/>
        </w:rPr>
        <w:noBreakHyphen/>
        <w:t>matter</w:t>
      </w:r>
      <w:r w:rsidRPr="00BF5AC4">
        <w:rPr>
          <w:rFonts w:eastAsiaTheme="minorEastAsia"/>
          <w:lang w:eastAsia="ja-JP"/>
        </w:rPr>
        <w:t xml:space="preserve"> experts within and outside the agency to develop most of the LOE estimates used in the analysis.  For example, </w:t>
      </w:r>
      <w:r>
        <w:rPr>
          <w:rFonts w:eastAsiaTheme="minorEastAsia"/>
          <w:lang w:eastAsia="ja-JP"/>
        </w:rPr>
        <w:t>to</w:t>
      </w:r>
      <w:r w:rsidRPr="00BF5AC4">
        <w:rPr>
          <w:rFonts w:eastAsiaTheme="minorEastAsia"/>
          <w:lang w:eastAsia="ja-JP"/>
        </w:rPr>
        <w:t xml:space="preserve"> </w:t>
      </w:r>
      <w:r>
        <w:rPr>
          <w:rFonts w:eastAsiaTheme="minorEastAsia"/>
          <w:lang w:eastAsia="ja-JP"/>
        </w:rPr>
        <w:t xml:space="preserve">estimate licensee </w:t>
      </w:r>
      <w:r w:rsidRPr="00BF5AC4">
        <w:rPr>
          <w:rFonts w:eastAsiaTheme="minorEastAsia"/>
          <w:lang w:eastAsia="ja-JP"/>
        </w:rPr>
        <w:t>cost</w:t>
      </w:r>
      <w:r>
        <w:rPr>
          <w:rFonts w:eastAsiaTheme="minorEastAsia"/>
          <w:lang w:eastAsia="ja-JP"/>
        </w:rPr>
        <w:t>s</w:t>
      </w:r>
      <w:r w:rsidRPr="00BF5AC4">
        <w:rPr>
          <w:rFonts w:eastAsiaTheme="minorEastAsia"/>
          <w:lang w:eastAsia="ja-JP"/>
        </w:rPr>
        <w:t xml:space="preserve"> and </w:t>
      </w:r>
      <w:r>
        <w:rPr>
          <w:rFonts w:eastAsiaTheme="minorEastAsia"/>
          <w:lang w:eastAsia="ja-JP"/>
        </w:rPr>
        <w:t>averted costs (benefits) related to the NRC conditions on the ASME Codes in the</w:t>
      </w:r>
      <w:r w:rsidRPr="00BF5AC4">
        <w:rPr>
          <w:rFonts w:eastAsiaTheme="minorEastAsia"/>
          <w:lang w:eastAsia="ja-JP"/>
        </w:rPr>
        <w:t xml:space="preserve"> </w:t>
      </w:r>
      <w:r>
        <w:rPr>
          <w:rFonts w:eastAsiaTheme="minorEastAsia"/>
          <w:lang w:eastAsia="ja-JP"/>
        </w:rPr>
        <w:t>final</w:t>
      </w:r>
      <w:r w:rsidRPr="00BF5AC4">
        <w:rPr>
          <w:rFonts w:eastAsiaTheme="minorEastAsia"/>
          <w:lang w:eastAsia="ja-JP"/>
        </w:rPr>
        <w:t xml:space="preserve"> rule, </w:t>
      </w:r>
      <w:r w:rsidR="00433120">
        <w:rPr>
          <w:rFonts w:eastAsiaTheme="minorEastAsia"/>
          <w:lang w:eastAsia="ja-JP"/>
        </w:rPr>
        <w:t>the NRC</w:t>
      </w:r>
      <w:r w:rsidRPr="00BF5AC4">
        <w:rPr>
          <w:rFonts w:eastAsiaTheme="minorEastAsia"/>
          <w:lang w:eastAsia="ja-JP"/>
        </w:rPr>
        <w:t xml:space="preserve"> consulted licensees </w:t>
      </w:r>
      <w:r>
        <w:rPr>
          <w:rFonts w:eastAsiaTheme="minorEastAsia"/>
          <w:lang w:eastAsia="ja-JP"/>
        </w:rPr>
        <w:t>for information on the associated LOE</w:t>
      </w:r>
      <w:r w:rsidRPr="00BF5AC4">
        <w:rPr>
          <w:rFonts w:eastAsiaTheme="minorEastAsia"/>
          <w:lang w:eastAsia="ja-JP"/>
        </w:rPr>
        <w:t xml:space="preserve">.  </w:t>
      </w:r>
      <w:r>
        <w:rPr>
          <w:rFonts w:eastAsiaTheme="minorEastAsia"/>
          <w:lang w:eastAsia="ja-JP"/>
        </w:rPr>
        <w:t>T</w:t>
      </w:r>
      <w:r w:rsidRPr="00BF5AC4">
        <w:rPr>
          <w:rFonts w:eastAsiaTheme="minorEastAsia"/>
          <w:lang w:eastAsia="ja-JP"/>
        </w:rPr>
        <w:t xml:space="preserve">he </w:t>
      </w:r>
      <w:r w:rsidR="00433120">
        <w:rPr>
          <w:rFonts w:eastAsiaTheme="minorEastAsia"/>
          <w:lang w:eastAsia="ja-JP"/>
        </w:rPr>
        <w:t>NRC</w:t>
      </w:r>
      <w:r w:rsidR="00433120" w:rsidRPr="00BF5AC4">
        <w:rPr>
          <w:rFonts w:eastAsiaTheme="minorEastAsia"/>
          <w:lang w:eastAsia="ja-JP"/>
        </w:rPr>
        <w:t xml:space="preserve"> </w:t>
      </w:r>
      <w:r w:rsidRPr="00BF5AC4">
        <w:rPr>
          <w:rFonts w:eastAsiaTheme="minorEastAsia"/>
          <w:lang w:eastAsia="ja-JP"/>
        </w:rPr>
        <w:t xml:space="preserve">contributed to the estimation of </w:t>
      </w:r>
      <w:r>
        <w:rPr>
          <w:rFonts w:eastAsiaTheme="minorEastAsia"/>
          <w:lang w:eastAsia="ja-JP"/>
        </w:rPr>
        <w:t>LOE for review</w:t>
      </w:r>
      <w:r>
        <w:rPr>
          <w:rFonts w:eastAsiaTheme="minorEastAsia"/>
          <w:lang w:eastAsia="ja-JP"/>
        </w:rPr>
        <w:noBreakHyphen/>
      </w:r>
      <w:r w:rsidRPr="00BF5AC4">
        <w:rPr>
          <w:rFonts w:eastAsiaTheme="minorEastAsia"/>
          <w:lang w:eastAsia="ja-JP"/>
        </w:rPr>
        <w:t>related activities.</w:t>
      </w:r>
    </w:p>
    <w:p w14:paraId="771E0882" w14:textId="3F4DE654" w:rsidR="00D53E6F" w:rsidRPr="00BF5AC4" w:rsidRDefault="00D53E6F" w:rsidP="00D53E6F">
      <w:pPr>
        <w:spacing w:line="240" w:lineRule="auto"/>
        <w:rPr>
          <w:rFonts w:eastAsiaTheme="minorEastAsia"/>
          <w:lang w:eastAsia="ja-JP"/>
        </w:rPr>
      </w:pPr>
    </w:p>
    <w:p w14:paraId="56396DB1" w14:textId="10AC547F" w:rsidR="00D53E6F" w:rsidRPr="00BF5AC4" w:rsidRDefault="00D53E6F" w:rsidP="00D53E6F">
      <w:pPr>
        <w:spacing w:line="240" w:lineRule="auto"/>
        <w:rPr>
          <w:rFonts w:eastAsiaTheme="minorEastAsia"/>
          <w:lang w:eastAsia="ja-JP"/>
        </w:rPr>
      </w:pPr>
      <w:r>
        <w:rPr>
          <w:rFonts w:eastAsiaTheme="minorEastAsia"/>
          <w:lang w:eastAsia="ja-JP"/>
        </w:rPr>
        <w:t xml:space="preserve">The </w:t>
      </w:r>
      <w:r w:rsidR="00433120">
        <w:rPr>
          <w:rFonts w:eastAsiaTheme="minorEastAsia"/>
          <w:lang w:eastAsia="ja-JP"/>
        </w:rPr>
        <w:t xml:space="preserve">NRC </w:t>
      </w:r>
      <w:r>
        <w:rPr>
          <w:rFonts w:eastAsiaTheme="minorEastAsia"/>
          <w:lang w:eastAsia="ja-JP"/>
        </w:rPr>
        <w:t>extrapolated</w:t>
      </w:r>
      <w:r w:rsidRPr="00BF5AC4">
        <w:rPr>
          <w:rFonts w:eastAsiaTheme="minorEastAsia"/>
          <w:lang w:eastAsia="ja-JP"/>
        </w:rPr>
        <w:t xml:space="preserve"> some </w:t>
      </w:r>
      <w:r>
        <w:rPr>
          <w:rFonts w:eastAsiaTheme="minorEastAsia"/>
          <w:lang w:eastAsia="ja-JP"/>
        </w:rPr>
        <w:t xml:space="preserve">estimations of </w:t>
      </w:r>
      <w:r w:rsidRPr="00BF5AC4">
        <w:rPr>
          <w:rFonts w:eastAsiaTheme="minorEastAsia"/>
          <w:lang w:eastAsia="ja-JP"/>
        </w:rPr>
        <w:t>cost activities</w:t>
      </w:r>
      <w:r>
        <w:rPr>
          <w:rFonts w:eastAsiaTheme="minorEastAsia"/>
          <w:lang w:eastAsia="ja-JP"/>
        </w:rPr>
        <w:t xml:space="preserve"> by</w:t>
      </w:r>
      <w:r w:rsidRPr="00BF5AC4">
        <w:rPr>
          <w:rFonts w:eastAsiaTheme="minorEastAsia"/>
          <w:lang w:eastAsia="ja-JP"/>
        </w:rPr>
        <w:t xml:space="preserve"> </w:t>
      </w:r>
      <w:r>
        <w:rPr>
          <w:rFonts w:eastAsiaTheme="minorEastAsia"/>
          <w:lang w:eastAsia="ja-JP"/>
        </w:rPr>
        <w:t>using</w:t>
      </w:r>
      <w:r w:rsidRPr="00BF5AC4">
        <w:rPr>
          <w:rFonts w:eastAsiaTheme="minorEastAsia"/>
          <w:lang w:eastAsia="ja-JP"/>
        </w:rPr>
        <w:t xml:space="preserve"> actual past or current costs to estimate the future cost of similar activities.  For </w:t>
      </w:r>
      <w:r>
        <w:rPr>
          <w:rFonts w:eastAsiaTheme="minorEastAsia"/>
          <w:lang w:eastAsia="ja-JP"/>
        </w:rPr>
        <w:t>example</w:t>
      </w:r>
      <w:r w:rsidRPr="00BF5AC4">
        <w:rPr>
          <w:rFonts w:eastAsiaTheme="minorEastAsia"/>
          <w:lang w:eastAsia="ja-JP"/>
        </w:rPr>
        <w:t xml:space="preserve">, to calculate the estimated </w:t>
      </w:r>
      <w:r>
        <w:rPr>
          <w:rFonts w:eastAsiaTheme="minorEastAsia"/>
          <w:lang w:eastAsia="ja-JP"/>
        </w:rPr>
        <w:t xml:space="preserve">averted </w:t>
      </w:r>
      <w:r w:rsidRPr="00BF5AC4">
        <w:rPr>
          <w:rFonts w:eastAsiaTheme="minorEastAsia"/>
          <w:lang w:eastAsia="ja-JP"/>
        </w:rPr>
        <w:t xml:space="preserve">costs of </w:t>
      </w:r>
      <w:r>
        <w:rPr>
          <w:rFonts w:eastAsiaTheme="minorEastAsia"/>
          <w:lang w:eastAsia="ja-JP"/>
        </w:rPr>
        <w:t xml:space="preserve">alternative requests, </w:t>
      </w:r>
      <w:r w:rsidR="00433120">
        <w:rPr>
          <w:rFonts w:eastAsiaTheme="minorEastAsia"/>
          <w:lang w:eastAsia="ja-JP"/>
        </w:rPr>
        <w:t>the NRC</w:t>
      </w:r>
      <w:r>
        <w:rPr>
          <w:rFonts w:eastAsiaTheme="minorEastAsia"/>
          <w:lang w:eastAsia="ja-JP"/>
        </w:rPr>
        <w:t xml:space="preserve"> used data from past projects to determine</w:t>
      </w:r>
      <w:r w:rsidRPr="00BF5AC4">
        <w:rPr>
          <w:rFonts w:eastAsiaTheme="minorEastAsia"/>
          <w:lang w:eastAsia="ja-JP"/>
        </w:rPr>
        <w:t xml:space="preserve"> the labor categories </w:t>
      </w:r>
      <w:r>
        <w:rPr>
          <w:rFonts w:eastAsiaTheme="minorEastAsia"/>
          <w:lang w:eastAsia="ja-JP"/>
        </w:rPr>
        <w:t xml:space="preserve">of </w:t>
      </w:r>
      <w:r w:rsidR="00433120">
        <w:rPr>
          <w:rFonts w:eastAsiaTheme="minorEastAsia"/>
          <w:lang w:eastAsia="ja-JP"/>
        </w:rPr>
        <w:t>the NRC</w:t>
      </w:r>
      <w:r>
        <w:rPr>
          <w:rFonts w:eastAsiaTheme="minorEastAsia"/>
          <w:lang w:eastAsia="ja-JP"/>
        </w:rPr>
        <w:t xml:space="preserve"> who would perform the work and to estimate the amount of time required</w:t>
      </w:r>
      <w:r w:rsidRPr="00BF5AC4">
        <w:rPr>
          <w:rFonts w:eastAsiaTheme="minorEastAsia"/>
          <w:lang w:eastAsia="ja-JP"/>
        </w:rPr>
        <w:t xml:space="preserve"> </w:t>
      </w:r>
      <w:r>
        <w:rPr>
          <w:rFonts w:eastAsiaTheme="minorEastAsia"/>
          <w:lang w:eastAsia="ja-JP"/>
        </w:rPr>
        <w:t>under each category to complete</w:t>
      </w:r>
      <w:r w:rsidRPr="00BF5AC4">
        <w:rPr>
          <w:rFonts w:eastAsiaTheme="minorEastAsia"/>
          <w:lang w:eastAsia="ja-JP"/>
        </w:rPr>
        <w:t xml:space="preserve"> the work.  </w:t>
      </w:r>
      <w:r>
        <w:rPr>
          <w:rFonts w:eastAsiaTheme="minorEastAsia"/>
          <w:lang w:eastAsia="ja-JP"/>
        </w:rPr>
        <w:t>If</w:t>
      </w:r>
      <w:r w:rsidRPr="00BF5AC4">
        <w:rPr>
          <w:rFonts w:eastAsiaTheme="minorEastAsia"/>
          <w:lang w:eastAsia="ja-JP"/>
        </w:rPr>
        <w:t xml:space="preserve"> data</w:t>
      </w:r>
      <w:r>
        <w:rPr>
          <w:rFonts w:eastAsiaTheme="minorEastAsia"/>
          <w:lang w:eastAsia="ja-JP"/>
        </w:rPr>
        <w:t xml:space="preserve"> were not available</w:t>
      </w:r>
      <w:r w:rsidRPr="00BF5AC4">
        <w:rPr>
          <w:rFonts w:eastAsiaTheme="minorEastAsia"/>
          <w:lang w:eastAsia="ja-JP"/>
        </w:rPr>
        <w:t xml:space="preserve">, </w:t>
      </w:r>
      <w:r w:rsidR="00433120">
        <w:rPr>
          <w:rFonts w:eastAsiaTheme="minorEastAsia"/>
          <w:lang w:eastAsia="ja-JP"/>
        </w:rPr>
        <w:t>the NRC</w:t>
      </w:r>
      <w:r>
        <w:rPr>
          <w:rFonts w:eastAsiaTheme="minorEastAsia"/>
          <w:lang w:eastAsia="ja-JP"/>
        </w:rPr>
        <w:t xml:space="preserve"> estimated the LOE based on</w:t>
      </w:r>
      <w:r w:rsidRPr="00BF5AC4">
        <w:rPr>
          <w:rFonts w:eastAsiaTheme="minorEastAsia"/>
          <w:lang w:eastAsia="ja-JP"/>
        </w:rPr>
        <w:t xml:space="preserve"> similar steps in the process for which data </w:t>
      </w:r>
      <w:r>
        <w:rPr>
          <w:rFonts w:eastAsiaTheme="minorEastAsia"/>
          <w:lang w:eastAsia="ja-JP"/>
        </w:rPr>
        <w:t>were</w:t>
      </w:r>
      <w:r w:rsidRPr="00BF5AC4">
        <w:rPr>
          <w:rFonts w:eastAsiaTheme="minorEastAsia"/>
          <w:lang w:eastAsia="ja-JP"/>
        </w:rPr>
        <w:t xml:space="preserve"> available.</w:t>
      </w:r>
    </w:p>
    <w:p w14:paraId="743212EA" w14:textId="77777777" w:rsidR="00D53E6F" w:rsidRPr="00BF5AC4" w:rsidRDefault="00D53E6F" w:rsidP="00D53E6F">
      <w:pPr>
        <w:spacing w:line="240" w:lineRule="auto"/>
        <w:rPr>
          <w:rFonts w:eastAsiaTheme="minorEastAsia"/>
          <w:lang w:eastAsia="ja-JP"/>
        </w:rPr>
      </w:pPr>
    </w:p>
    <w:p w14:paraId="400C7F43" w14:textId="15B5A402" w:rsidR="00D53E6F" w:rsidRDefault="00D53E6F" w:rsidP="00D53E6F">
      <w:pPr>
        <w:spacing w:line="240" w:lineRule="auto"/>
        <w:rPr>
          <w:rFonts w:eastAsiaTheme="minorEastAsia"/>
          <w:lang w:eastAsia="ja-JP"/>
        </w:rPr>
      </w:pPr>
      <w:r w:rsidRPr="00BF5AC4">
        <w:rPr>
          <w:rFonts w:eastAsiaTheme="minorEastAsia"/>
          <w:lang w:eastAsia="ja-JP"/>
        </w:rPr>
        <w:t xml:space="preserve">To </w:t>
      </w:r>
      <w:r>
        <w:rPr>
          <w:rFonts w:eastAsiaTheme="minorEastAsia"/>
          <w:lang w:eastAsia="ja-JP"/>
        </w:rPr>
        <w:t xml:space="preserve">evaluate the effect of </w:t>
      </w:r>
      <w:r w:rsidRPr="00BF5AC4">
        <w:rPr>
          <w:rFonts w:eastAsiaTheme="minorEastAsia"/>
          <w:lang w:eastAsia="ja-JP"/>
        </w:rPr>
        <w:t xml:space="preserve">uncertainty in the model, </w:t>
      </w:r>
      <w:r w:rsidR="00433120">
        <w:rPr>
          <w:rFonts w:eastAsiaTheme="minorEastAsia"/>
          <w:lang w:eastAsia="ja-JP"/>
        </w:rPr>
        <w:t>the NRC</w:t>
      </w:r>
      <w:r w:rsidRPr="00BF5AC4">
        <w:rPr>
          <w:rFonts w:eastAsiaTheme="minorEastAsia"/>
          <w:lang w:eastAsia="ja-JP"/>
        </w:rPr>
        <w:t xml:space="preserve"> </w:t>
      </w:r>
      <w:r>
        <w:rPr>
          <w:rFonts w:eastAsiaTheme="minorEastAsia"/>
          <w:lang w:eastAsia="ja-JP"/>
        </w:rPr>
        <w:t>used</w:t>
      </w:r>
      <w:r w:rsidRPr="00BF5AC4">
        <w:rPr>
          <w:rFonts w:eastAsiaTheme="minorEastAsia"/>
          <w:lang w:eastAsia="ja-JP"/>
        </w:rPr>
        <w:t xml:space="preserve"> Monte Carlo simulation, which is an approach to uncertainty analysis </w:t>
      </w:r>
      <w:r>
        <w:rPr>
          <w:rFonts w:eastAsiaTheme="minorEastAsia"/>
          <w:lang w:eastAsia="ja-JP"/>
        </w:rPr>
        <w:t>in which</w:t>
      </w:r>
      <w:r w:rsidRPr="00BF5AC4">
        <w:rPr>
          <w:rFonts w:eastAsiaTheme="minorEastAsia"/>
          <w:lang w:eastAsia="ja-JP"/>
        </w:rPr>
        <w:t xml:space="preserve"> input variables are expressed as distributions.  </w:t>
      </w:r>
      <w:r w:rsidR="00173B30">
        <w:rPr>
          <w:rFonts w:eastAsiaTheme="minorEastAsia"/>
          <w:lang w:eastAsia="ja-JP"/>
        </w:rPr>
        <w:t>The NRC</w:t>
      </w:r>
      <w:r>
        <w:rPr>
          <w:rFonts w:eastAsiaTheme="minorEastAsia"/>
          <w:lang w:eastAsia="ja-JP"/>
        </w:rPr>
        <w:t xml:space="preserve"> ran the simulation </w:t>
      </w:r>
      <w:r w:rsidRPr="00BC2DB2">
        <w:rPr>
          <w:rFonts w:eastAsiaTheme="minorEastAsia"/>
          <w:lang w:eastAsia="ja-JP"/>
        </w:rPr>
        <w:t>10,000</w:t>
      </w:r>
      <w:r w:rsidRPr="00BF5AC4">
        <w:rPr>
          <w:rFonts w:eastAsiaTheme="minorEastAsia"/>
          <w:lang w:eastAsia="ja-JP"/>
        </w:rPr>
        <w:t xml:space="preserve"> times and </w:t>
      </w:r>
      <w:r>
        <w:rPr>
          <w:rFonts w:eastAsiaTheme="minorEastAsia"/>
          <w:lang w:eastAsia="ja-JP"/>
        </w:rPr>
        <w:t xml:space="preserve">chose </w:t>
      </w:r>
      <w:r w:rsidRPr="00BF5AC4">
        <w:rPr>
          <w:rFonts w:eastAsiaTheme="minorEastAsia"/>
          <w:lang w:eastAsia="ja-JP"/>
        </w:rPr>
        <w:t>values at random from the distributions of the input variables</w:t>
      </w:r>
      <w:r>
        <w:rPr>
          <w:rFonts w:eastAsiaTheme="minorEastAsia"/>
          <w:lang w:eastAsia="ja-JP"/>
        </w:rPr>
        <w:t xml:space="preserve"> provided in </w:t>
      </w:r>
      <w:r w:rsidRPr="00537B63">
        <w:rPr>
          <w:rFonts w:eastAsiaTheme="minorEastAsia"/>
          <w:lang w:eastAsia="ja-JP"/>
        </w:rPr>
        <w:fldChar w:fldCharType="begin"/>
      </w:r>
      <w:r w:rsidRPr="00537B63">
        <w:rPr>
          <w:rFonts w:eastAsiaTheme="minorEastAsia"/>
          <w:lang w:eastAsia="ja-JP"/>
        </w:rPr>
        <w:instrText xml:space="preserve"> REF _Ref453770338 \h  \* MERGEFORMAT </w:instrText>
      </w:r>
      <w:r w:rsidRPr="00537B63">
        <w:rPr>
          <w:rFonts w:eastAsiaTheme="minorEastAsia"/>
          <w:lang w:eastAsia="ja-JP"/>
        </w:rPr>
      </w:r>
      <w:r w:rsidRPr="00537B63">
        <w:rPr>
          <w:rFonts w:eastAsiaTheme="minorEastAsia"/>
          <w:lang w:eastAsia="ja-JP"/>
        </w:rPr>
        <w:fldChar w:fldCharType="separate"/>
      </w:r>
      <w:r w:rsidR="00F05D99" w:rsidRPr="00F05D99">
        <w:t xml:space="preserve">Table </w:t>
      </w:r>
      <w:r w:rsidR="00F05D99" w:rsidRPr="00F05D99">
        <w:rPr>
          <w:noProof/>
        </w:rPr>
        <w:t>20</w:t>
      </w:r>
      <w:r w:rsidRPr="00537B63">
        <w:rPr>
          <w:rFonts w:eastAsiaTheme="minorEastAsia"/>
          <w:lang w:eastAsia="ja-JP"/>
        </w:rPr>
        <w:fldChar w:fldCharType="end"/>
      </w:r>
      <w:r>
        <w:rPr>
          <w:rFonts w:eastAsiaTheme="minorEastAsia"/>
          <w:lang w:eastAsia="ja-JP"/>
        </w:rPr>
        <w:t xml:space="preserve">.  </w:t>
      </w:r>
      <w:r w:rsidRPr="00BF5AC4">
        <w:rPr>
          <w:rFonts w:eastAsiaTheme="minorEastAsia"/>
          <w:lang w:eastAsia="ja-JP"/>
        </w:rPr>
        <w:t xml:space="preserve">The result was a distribution of values for the output variable of interest.  Monte Carlo simulation also </w:t>
      </w:r>
      <w:r>
        <w:rPr>
          <w:rFonts w:eastAsiaTheme="minorEastAsia"/>
          <w:lang w:eastAsia="ja-JP"/>
        </w:rPr>
        <w:t>enables users</w:t>
      </w:r>
      <w:r w:rsidRPr="00BF5AC4">
        <w:rPr>
          <w:rFonts w:eastAsiaTheme="minorEastAsia"/>
          <w:lang w:eastAsia="ja-JP"/>
        </w:rPr>
        <w:t xml:space="preserve"> to determine the input variables that have the greatest effect on the value of the output variable.  </w:t>
      </w:r>
      <w:r>
        <w:rPr>
          <w:rFonts w:eastAsiaTheme="minorEastAsia"/>
          <w:lang w:eastAsia="ja-JP"/>
        </w:rPr>
        <w:t>Section 5.13 describes</w:t>
      </w:r>
      <w:r w:rsidRPr="00BF5AC4">
        <w:rPr>
          <w:rFonts w:eastAsiaTheme="minorEastAsia"/>
          <w:lang w:eastAsia="ja-JP"/>
        </w:rPr>
        <w:t xml:space="preserve"> the Monte Carlo simulation methods </w:t>
      </w:r>
      <w:r>
        <w:rPr>
          <w:rFonts w:eastAsiaTheme="minorEastAsia"/>
          <w:lang w:eastAsia="ja-JP"/>
        </w:rPr>
        <w:t xml:space="preserve">in detail </w:t>
      </w:r>
      <w:r w:rsidRPr="00BF5AC4">
        <w:rPr>
          <w:rFonts w:eastAsiaTheme="minorEastAsia"/>
          <w:lang w:eastAsia="ja-JP"/>
        </w:rPr>
        <w:t xml:space="preserve">and </w:t>
      </w:r>
      <w:r>
        <w:rPr>
          <w:rFonts w:eastAsiaTheme="minorEastAsia"/>
          <w:lang w:eastAsia="ja-JP"/>
        </w:rPr>
        <w:t>presents</w:t>
      </w:r>
      <w:r w:rsidRPr="00BF5AC4">
        <w:rPr>
          <w:rFonts w:eastAsiaTheme="minorEastAsia"/>
          <w:lang w:eastAsia="ja-JP"/>
        </w:rPr>
        <w:t xml:space="preserve"> the results.</w:t>
      </w:r>
    </w:p>
    <w:p w14:paraId="3A7B08AE" w14:textId="77777777" w:rsidR="00D53E6F" w:rsidRPr="00BF5AC4" w:rsidRDefault="00D53E6F" w:rsidP="00D53E6F">
      <w:pPr>
        <w:spacing w:line="240" w:lineRule="auto"/>
        <w:rPr>
          <w:rFonts w:eastAsiaTheme="minorEastAsia"/>
          <w:lang w:eastAsia="ja-JP"/>
        </w:rPr>
      </w:pPr>
    </w:p>
    <w:p w14:paraId="1D08BECC" w14:textId="77777777" w:rsidR="00D53E6F" w:rsidRPr="00342F2B" w:rsidRDefault="00D53E6F" w:rsidP="00D53E6F">
      <w:pPr>
        <w:pStyle w:val="Heading3"/>
        <w:tabs>
          <w:tab w:val="left" w:pos="720"/>
        </w:tabs>
        <w:spacing w:line="240" w:lineRule="auto"/>
      </w:pPr>
      <w:bookmarkStart w:id="107" w:name="_Toc456098228"/>
      <w:bookmarkStart w:id="108" w:name="_Toc12808785"/>
      <w:r>
        <w:t>4.2.10</w:t>
      </w:r>
      <w:r>
        <w:tab/>
      </w:r>
      <w:bookmarkStart w:id="109" w:name="_Toc457827241"/>
      <w:r>
        <w:t>NRC</w:t>
      </w:r>
      <w:r>
        <w:noBreakHyphen/>
        <w:t xml:space="preserve">Conditioned </w:t>
      </w:r>
      <w:bookmarkEnd w:id="109"/>
      <w:r>
        <w:t>ASME Code</w:t>
      </w:r>
      <w:bookmarkEnd w:id="107"/>
      <w:r>
        <w:t xml:space="preserve"> Cases</w:t>
      </w:r>
      <w:bookmarkEnd w:id="108"/>
    </w:p>
    <w:p w14:paraId="738C6BCD" w14:textId="77777777" w:rsidR="00D53E6F" w:rsidRDefault="00D53E6F" w:rsidP="00D53E6F">
      <w:pPr>
        <w:spacing w:line="240" w:lineRule="auto"/>
      </w:pPr>
    </w:p>
    <w:p w14:paraId="6D10938D" w14:textId="6A5216D7" w:rsidR="00D53E6F" w:rsidRDefault="00D53E6F" w:rsidP="00D53E6F">
      <w:pPr>
        <w:spacing w:line="240" w:lineRule="auto"/>
      </w:pPr>
      <w:r>
        <w:t>The NRC analyzes ASME Code Cases to determine whether the Code Cases are (1) acceptable without conditions, (2) generally acceptable with conditions, or (3) not approved.  When the NRC generally approves ASME Code Cases with conditions, licensees may incur additional regulatory burden to meet the NRC</w:t>
      </w:r>
      <w:r>
        <w:noBreakHyphen/>
        <w:t xml:space="preserve">conditioned ASME Code Cases (i.e., Code Cases with new conditions as a result of this final rule).  </w:t>
      </w:r>
      <w:r w:rsidRPr="005A5E07">
        <w:t xml:space="preserve">The conditions would specify </w:t>
      </w:r>
      <w:r>
        <w:t>(</w:t>
      </w:r>
      <w:r w:rsidRPr="005A5E07">
        <w:t>for each applicable Code Case</w:t>
      </w:r>
      <w:r>
        <w:t>)</w:t>
      </w:r>
      <w:r w:rsidRPr="005A5E07">
        <w:t xml:space="preserve"> the additional activities that must be performed, the limits on the activities specified in the Code Case, and the supplemental information needed to provide clarity.  </w:t>
      </w:r>
      <w:r>
        <w:t xml:space="preserve">Table 2 in </w:t>
      </w:r>
      <w:r w:rsidRPr="00BD3549">
        <w:t>RG</w:t>
      </w:r>
      <w:r>
        <w:t> </w:t>
      </w:r>
      <w:r w:rsidRPr="00BD3549">
        <w:t>1.84, RG</w:t>
      </w:r>
      <w:r>
        <w:t> </w:t>
      </w:r>
      <w:r w:rsidRPr="00BD3549">
        <w:t xml:space="preserve">1.147, </w:t>
      </w:r>
      <w:r>
        <w:t xml:space="preserve">and </w:t>
      </w:r>
      <w:r w:rsidRPr="00BD3549">
        <w:t>RG</w:t>
      </w:r>
      <w:r>
        <w:t> </w:t>
      </w:r>
      <w:r w:rsidRPr="00BD3549">
        <w:t>1.192</w:t>
      </w:r>
      <w:r>
        <w:t xml:space="preserve"> lists the ASME Code Cases that are acceptable as long as licensees use them with the identified conditions</w:t>
      </w:r>
      <w:r w:rsidRPr="005A5E07">
        <w:t>.  The</w:t>
      </w:r>
      <w:r>
        <w:t xml:space="preserve"> final rule and the RGs</w:t>
      </w:r>
      <w:r w:rsidRPr="005A5E07">
        <w:t xml:space="preserve"> </w:t>
      </w:r>
      <w:r>
        <w:t xml:space="preserve">discuss the </w:t>
      </w:r>
      <w:r w:rsidRPr="005A5E07">
        <w:t xml:space="preserve">NRC’s evaluation of the </w:t>
      </w:r>
      <w:r>
        <w:t>Code Cases</w:t>
      </w:r>
      <w:r w:rsidRPr="005A5E07">
        <w:t xml:space="preserve"> and the reasons for the</w:t>
      </w:r>
      <w:r>
        <w:t xml:space="preserve"> agency</w:t>
      </w:r>
      <w:r w:rsidRPr="005A5E07">
        <w:t xml:space="preserve">’s </w:t>
      </w:r>
      <w:r>
        <w:t>conditions</w:t>
      </w:r>
      <w:r w:rsidRPr="005A5E07">
        <w:t>.</w:t>
      </w:r>
      <w:r>
        <w:t xml:space="preserve">  The NRC</w:t>
      </w:r>
      <w:r>
        <w:noBreakHyphen/>
        <w:t>conditioned ASME Code Cases place an additional resource burden on applicants and licensees under the affected attribute of industry operation</w:t>
      </w:r>
      <w:r w:rsidRPr="006E5706">
        <w:t xml:space="preserve">.  </w:t>
      </w:r>
      <w:r w:rsidRPr="000B636B">
        <w:fldChar w:fldCharType="begin"/>
      </w:r>
      <w:r w:rsidRPr="006D47D8">
        <w:instrText xml:space="preserve"> REF _Ref494704736 \h </w:instrText>
      </w:r>
      <w:r w:rsidRPr="00C80453">
        <w:instrText xml:space="preserve"> \* MERGEFORMAT </w:instrText>
      </w:r>
      <w:r w:rsidRPr="000B636B">
        <w:fldChar w:fldCharType="separate"/>
      </w:r>
      <w:r w:rsidR="00F05D99" w:rsidRPr="00F05D99">
        <w:t xml:space="preserve">Table </w:t>
      </w:r>
      <w:r w:rsidR="00F05D99" w:rsidRPr="00F05D99">
        <w:rPr>
          <w:noProof/>
        </w:rPr>
        <w:t>5</w:t>
      </w:r>
      <w:r w:rsidRPr="000B636B">
        <w:fldChar w:fldCharType="end"/>
      </w:r>
      <w:r w:rsidRPr="000B636B">
        <w:t xml:space="preserve"> </w:t>
      </w:r>
      <w:r w:rsidRPr="000D50A2">
        <w:t>lists</w:t>
      </w:r>
      <w:r>
        <w:t xml:space="preserve"> the NRC</w:t>
      </w:r>
      <w:r>
        <w:noBreakHyphen/>
        <w:t>conditioned ASME Code Cases that are included in this rule.</w:t>
      </w:r>
    </w:p>
    <w:p w14:paraId="11C89CCC" w14:textId="0A373923" w:rsidR="00D53E6F" w:rsidRPr="00C80453" w:rsidRDefault="00D53E6F" w:rsidP="00D53E6F">
      <w:pPr>
        <w:pStyle w:val="Caption"/>
        <w:spacing w:line="240" w:lineRule="auto"/>
        <w:ind w:left="1080" w:hanging="1080"/>
        <w:jc w:val="center"/>
        <w:rPr>
          <w:b/>
        </w:rPr>
      </w:pPr>
      <w:bookmarkStart w:id="110" w:name="_Ref494704736"/>
      <w:bookmarkStart w:id="111" w:name="_Toc9428134"/>
      <w:r w:rsidRPr="00C80453">
        <w:rPr>
          <w:b/>
        </w:rPr>
        <w:t xml:space="preserve">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5</w:t>
      </w:r>
      <w:r w:rsidRPr="00C80453">
        <w:rPr>
          <w:b/>
          <w:noProof/>
        </w:rPr>
        <w:fldChar w:fldCharType="end"/>
      </w:r>
      <w:bookmarkEnd w:id="110"/>
      <w:r w:rsidRPr="00C80453">
        <w:rPr>
          <w:b/>
        </w:rPr>
        <w:t xml:space="preserve">  </w:t>
      </w:r>
      <w:r>
        <w:rPr>
          <w:b/>
        </w:rPr>
        <w:t>NRC</w:t>
      </w:r>
      <w:r>
        <w:rPr>
          <w:b/>
        </w:rPr>
        <w:noBreakHyphen/>
      </w:r>
      <w:r w:rsidRPr="00C80453">
        <w:rPr>
          <w:b/>
        </w:rPr>
        <w:t xml:space="preserve">Conditioned </w:t>
      </w:r>
      <w:r>
        <w:rPr>
          <w:b/>
        </w:rPr>
        <w:t xml:space="preserve">ASME </w:t>
      </w:r>
      <w:r w:rsidRPr="00C80453">
        <w:rPr>
          <w:b/>
        </w:rPr>
        <w:t>Code Cases</w:t>
      </w:r>
      <w:bookmarkEnd w:id="111"/>
    </w:p>
    <w:tbl>
      <w:tblPr>
        <w:tblStyle w:val="TableGrid"/>
        <w:tblW w:w="0" w:type="auto"/>
        <w:tblLook w:val="04A0" w:firstRow="1" w:lastRow="0" w:firstColumn="1" w:lastColumn="0" w:noHBand="0" w:noVBand="1"/>
      </w:tblPr>
      <w:tblGrid>
        <w:gridCol w:w="1083"/>
        <w:gridCol w:w="1883"/>
        <w:gridCol w:w="4137"/>
        <w:gridCol w:w="2473"/>
      </w:tblGrid>
      <w:tr w:rsidR="00D53E6F" w:rsidRPr="0018405A" w14:paraId="1EA31DCF" w14:textId="77777777" w:rsidTr="004A7B59">
        <w:trPr>
          <w:tblHeader/>
        </w:trPr>
        <w:tc>
          <w:tcPr>
            <w:tcW w:w="1088" w:type="dxa"/>
            <w:tcBorders>
              <w:bottom w:val="single" w:sz="4" w:space="0" w:color="auto"/>
            </w:tcBorders>
            <w:vAlign w:val="center"/>
          </w:tcPr>
          <w:p w14:paraId="5833FEB2" w14:textId="77777777" w:rsidR="00D53E6F" w:rsidRPr="00703E62" w:rsidRDefault="00D53E6F" w:rsidP="00E91144">
            <w:pPr>
              <w:keepNext/>
              <w:jc w:val="center"/>
              <w:rPr>
                <w:b/>
                <w:sz w:val="20"/>
                <w:szCs w:val="20"/>
              </w:rPr>
            </w:pPr>
            <w:r>
              <w:rPr>
                <w:b/>
                <w:sz w:val="20"/>
                <w:szCs w:val="20"/>
              </w:rPr>
              <w:t>R</w:t>
            </w:r>
            <w:r w:rsidRPr="00703E62">
              <w:rPr>
                <w:b/>
                <w:sz w:val="20"/>
                <w:szCs w:val="20"/>
              </w:rPr>
              <w:t>G Listing</w:t>
            </w:r>
          </w:p>
        </w:tc>
        <w:tc>
          <w:tcPr>
            <w:tcW w:w="1592" w:type="dxa"/>
            <w:tcBorders>
              <w:bottom w:val="single" w:sz="4" w:space="0" w:color="auto"/>
            </w:tcBorders>
            <w:vAlign w:val="center"/>
          </w:tcPr>
          <w:p w14:paraId="5DBEE288" w14:textId="77777777" w:rsidR="00D53E6F" w:rsidRPr="00703E62" w:rsidRDefault="00D53E6F" w:rsidP="00E91144">
            <w:pPr>
              <w:keepNext/>
              <w:jc w:val="center"/>
              <w:rPr>
                <w:b/>
                <w:sz w:val="20"/>
                <w:szCs w:val="20"/>
              </w:rPr>
            </w:pPr>
            <w:r>
              <w:rPr>
                <w:b/>
                <w:sz w:val="20"/>
                <w:szCs w:val="20"/>
              </w:rPr>
              <w:t>NRC</w:t>
            </w:r>
            <w:r>
              <w:rPr>
                <w:b/>
                <w:sz w:val="20"/>
                <w:szCs w:val="20"/>
              </w:rPr>
              <w:noBreakHyphen/>
            </w:r>
            <w:r w:rsidRPr="00703E62">
              <w:rPr>
                <w:b/>
                <w:sz w:val="20"/>
                <w:szCs w:val="20"/>
              </w:rPr>
              <w:t xml:space="preserve">Conditioned </w:t>
            </w:r>
            <w:r>
              <w:rPr>
                <w:b/>
                <w:sz w:val="20"/>
                <w:szCs w:val="20"/>
              </w:rPr>
              <w:t xml:space="preserve">ASME </w:t>
            </w:r>
            <w:r w:rsidRPr="00703E62">
              <w:rPr>
                <w:b/>
                <w:sz w:val="20"/>
                <w:szCs w:val="20"/>
              </w:rPr>
              <w:t>Code Case Number</w:t>
            </w:r>
          </w:p>
        </w:tc>
        <w:tc>
          <w:tcPr>
            <w:tcW w:w="4176" w:type="dxa"/>
            <w:tcBorders>
              <w:bottom w:val="single" w:sz="4" w:space="0" w:color="auto"/>
            </w:tcBorders>
            <w:vAlign w:val="center"/>
          </w:tcPr>
          <w:p w14:paraId="7F055C83" w14:textId="77777777" w:rsidR="00D53E6F" w:rsidRPr="00703E62" w:rsidRDefault="00D53E6F" w:rsidP="00E91144">
            <w:pPr>
              <w:keepNext/>
              <w:jc w:val="center"/>
              <w:rPr>
                <w:b/>
                <w:sz w:val="20"/>
                <w:szCs w:val="20"/>
              </w:rPr>
            </w:pPr>
            <w:r w:rsidRPr="00703E62">
              <w:rPr>
                <w:b/>
                <w:sz w:val="20"/>
                <w:szCs w:val="20"/>
              </w:rPr>
              <w:t>New Condition Description</w:t>
            </w:r>
            <w:r w:rsidRPr="00703E62">
              <w:rPr>
                <w:b/>
                <w:sz w:val="20"/>
                <w:szCs w:val="20"/>
                <w:vertAlign w:val="superscript"/>
              </w:rPr>
              <w:t>a</w:t>
            </w:r>
          </w:p>
        </w:tc>
        <w:tc>
          <w:tcPr>
            <w:tcW w:w="2494" w:type="dxa"/>
            <w:tcBorders>
              <w:bottom w:val="single" w:sz="4" w:space="0" w:color="auto"/>
            </w:tcBorders>
            <w:vAlign w:val="center"/>
          </w:tcPr>
          <w:p w14:paraId="0BBAF704" w14:textId="77777777" w:rsidR="00D53E6F" w:rsidRPr="00703E62" w:rsidRDefault="00D53E6F" w:rsidP="00E91144">
            <w:pPr>
              <w:keepNext/>
              <w:jc w:val="center"/>
              <w:rPr>
                <w:b/>
                <w:sz w:val="20"/>
                <w:szCs w:val="20"/>
              </w:rPr>
            </w:pPr>
            <w:r w:rsidRPr="00703E62">
              <w:rPr>
                <w:b/>
                <w:sz w:val="20"/>
                <w:szCs w:val="20"/>
              </w:rPr>
              <w:t>Incremental Resources Required</w:t>
            </w:r>
            <w:r w:rsidRPr="00703E62">
              <w:rPr>
                <w:b/>
                <w:sz w:val="20"/>
                <w:szCs w:val="20"/>
                <w:vertAlign w:val="superscript"/>
              </w:rPr>
              <w:t>b</w:t>
            </w:r>
          </w:p>
        </w:tc>
      </w:tr>
      <w:tr w:rsidR="00D53E6F" w:rsidRPr="0018405A" w14:paraId="36E8C4EA" w14:textId="77777777" w:rsidTr="00E91144">
        <w:tc>
          <w:tcPr>
            <w:tcW w:w="1088" w:type="dxa"/>
            <w:tcBorders>
              <w:bottom w:val="single" w:sz="4" w:space="0" w:color="auto"/>
            </w:tcBorders>
            <w:shd w:val="clear" w:color="auto" w:fill="auto"/>
          </w:tcPr>
          <w:p w14:paraId="72BB615E" w14:textId="77777777" w:rsidR="00D53E6F" w:rsidRPr="00703E62" w:rsidRDefault="00D53E6F" w:rsidP="00E91144">
            <w:pPr>
              <w:rPr>
                <w:sz w:val="18"/>
                <w:szCs w:val="18"/>
              </w:rPr>
            </w:pPr>
            <w:r>
              <w:rPr>
                <w:sz w:val="18"/>
                <w:szCs w:val="18"/>
              </w:rPr>
              <w:t>RG 1.84</w:t>
            </w:r>
          </w:p>
        </w:tc>
        <w:tc>
          <w:tcPr>
            <w:tcW w:w="1592" w:type="dxa"/>
            <w:tcBorders>
              <w:bottom w:val="single" w:sz="4" w:space="0" w:color="auto"/>
            </w:tcBorders>
            <w:shd w:val="clear" w:color="auto" w:fill="auto"/>
          </w:tcPr>
          <w:p w14:paraId="199344D1" w14:textId="77777777" w:rsidR="00D53E6F" w:rsidRPr="00703E62" w:rsidRDefault="00D53E6F" w:rsidP="00E91144">
            <w:pPr>
              <w:jc w:val="center"/>
              <w:rPr>
                <w:sz w:val="18"/>
                <w:szCs w:val="18"/>
              </w:rPr>
            </w:pPr>
            <w:r>
              <w:rPr>
                <w:sz w:val="18"/>
                <w:szCs w:val="18"/>
              </w:rPr>
              <w:t>N-71-19</w:t>
            </w:r>
          </w:p>
        </w:tc>
        <w:tc>
          <w:tcPr>
            <w:tcW w:w="4176" w:type="dxa"/>
            <w:tcBorders>
              <w:bottom w:val="single" w:sz="4" w:space="0" w:color="auto"/>
            </w:tcBorders>
            <w:shd w:val="clear" w:color="auto" w:fill="auto"/>
          </w:tcPr>
          <w:p w14:paraId="41C3CE88" w14:textId="46B7EBDD" w:rsidR="00D53E6F" w:rsidRPr="002537EE" w:rsidRDefault="00D53E6F" w:rsidP="00E91144">
            <w:pPr>
              <w:pStyle w:val="ListParagraph"/>
              <w:numPr>
                <w:ilvl w:val="0"/>
                <w:numId w:val="14"/>
              </w:numPr>
              <w:rPr>
                <w:sz w:val="18"/>
                <w:szCs w:val="18"/>
              </w:rPr>
            </w:pPr>
            <w:r w:rsidRPr="002537EE">
              <w:rPr>
                <w:sz w:val="18"/>
                <w:szCs w:val="18"/>
              </w:rPr>
              <w:t>The maximum measured ultimate tensile strength (UTS) of the component support material must not exceed 170</w:t>
            </w:r>
            <w:r>
              <w:rPr>
                <w:sz w:val="18"/>
                <w:szCs w:val="18"/>
              </w:rPr>
              <w:t> kilopounds per square inch (</w:t>
            </w:r>
            <w:r w:rsidRPr="002537EE">
              <w:rPr>
                <w:sz w:val="18"/>
                <w:szCs w:val="18"/>
              </w:rPr>
              <w:t>ksi</w:t>
            </w:r>
            <w:r>
              <w:rPr>
                <w:sz w:val="18"/>
                <w:szCs w:val="18"/>
              </w:rPr>
              <w:t>)</w:t>
            </w:r>
            <w:r w:rsidRPr="002537EE">
              <w:rPr>
                <w:sz w:val="18"/>
                <w:szCs w:val="18"/>
              </w:rPr>
              <w:t xml:space="preserve"> in view of the susceptibility of high strength materials to brittleness and </w:t>
            </w:r>
            <w:r w:rsidR="000E4E69" w:rsidRPr="002537EE">
              <w:rPr>
                <w:sz w:val="18"/>
                <w:szCs w:val="18"/>
              </w:rPr>
              <w:t>stress</w:t>
            </w:r>
            <w:r w:rsidR="000E4E69">
              <w:rPr>
                <w:sz w:val="18"/>
                <w:szCs w:val="18"/>
              </w:rPr>
              <w:noBreakHyphen/>
            </w:r>
            <w:r w:rsidRPr="002537EE">
              <w:rPr>
                <w:sz w:val="18"/>
                <w:szCs w:val="18"/>
              </w:rPr>
              <w:t>corrosion cracking.</w:t>
            </w:r>
          </w:p>
          <w:p w14:paraId="0FD711A0" w14:textId="77777777" w:rsidR="00D53E6F" w:rsidRPr="002537EE" w:rsidRDefault="00D53E6F" w:rsidP="00E91144">
            <w:pPr>
              <w:pStyle w:val="ListParagraph"/>
              <w:numPr>
                <w:ilvl w:val="0"/>
                <w:numId w:val="14"/>
              </w:numPr>
              <w:rPr>
                <w:sz w:val="18"/>
                <w:szCs w:val="18"/>
              </w:rPr>
            </w:pPr>
            <w:r w:rsidRPr="002537EE">
              <w:rPr>
                <w:sz w:val="18"/>
                <w:szCs w:val="18"/>
              </w:rPr>
              <w:t>In the last sentence of paragraph 5.2 of Code Case N-71-19, reference must be made to paragraph 5.3.2.3, “Alternative Atmosphere Exposure Time Periods Established by Test,” of the AWS D1.1 Code for the evidence presented to and accepted by the Authorized Inspector concerning exposure of electrodes for a longer period of time.</w:t>
            </w:r>
          </w:p>
          <w:p w14:paraId="48CBCEE9" w14:textId="28AE0952" w:rsidR="00D53E6F" w:rsidRPr="002537EE" w:rsidRDefault="00D53E6F" w:rsidP="00E91144">
            <w:pPr>
              <w:pStyle w:val="ListParagraph"/>
              <w:numPr>
                <w:ilvl w:val="0"/>
                <w:numId w:val="14"/>
              </w:numPr>
              <w:rPr>
                <w:sz w:val="18"/>
                <w:szCs w:val="18"/>
              </w:rPr>
            </w:pPr>
            <w:r w:rsidRPr="002537EE">
              <w:rPr>
                <w:sz w:val="18"/>
                <w:szCs w:val="18"/>
              </w:rPr>
              <w:t>Paragraph 16.2.2 of Code Case N-71-19 is not acceptable as written and must be replaced with the following:</w:t>
            </w:r>
            <w:r>
              <w:rPr>
                <w:sz w:val="18"/>
                <w:szCs w:val="18"/>
              </w:rPr>
              <w:t xml:space="preserve"> </w:t>
            </w:r>
            <w:r w:rsidRPr="002537EE">
              <w:rPr>
                <w:sz w:val="18"/>
                <w:szCs w:val="18"/>
              </w:rPr>
              <w:t xml:space="preserve"> “When not exempted by 16.2.1 above, the post weld heat treatment must be performed in accordance with NF</w:t>
            </w:r>
            <w:r w:rsidR="000E4E69">
              <w:rPr>
                <w:sz w:val="18"/>
                <w:szCs w:val="18"/>
              </w:rPr>
              <w:noBreakHyphen/>
            </w:r>
            <w:r w:rsidRPr="002537EE">
              <w:rPr>
                <w:sz w:val="18"/>
                <w:szCs w:val="18"/>
              </w:rPr>
              <w:t>4622 except that ASTM A-710 Grade</w:t>
            </w:r>
            <w:r>
              <w:rPr>
                <w:sz w:val="18"/>
                <w:szCs w:val="18"/>
              </w:rPr>
              <w:t> </w:t>
            </w:r>
            <w:r w:rsidRPr="002537EE">
              <w:rPr>
                <w:sz w:val="18"/>
                <w:szCs w:val="18"/>
              </w:rPr>
              <w:t>A Material must be at least 1000°F (540°C) and must not exceed 1150°F (620°C) for Class 1 and 2 material and 1175°F (640°C) for Class 3 material.</w:t>
            </w:r>
            <w:r>
              <w:rPr>
                <w:sz w:val="18"/>
                <w:szCs w:val="18"/>
              </w:rPr>
              <w:t>”</w:t>
            </w:r>
          </w:p>
          <w:p w14:paraId="4DCDABCB" w14:textId="707C6610" w:rsidR="00D53E6F" w:rsidRPr="002537EE" w:rsidRDefault="00D53E6F" w:rsidP="00E91144">
            <w:pPr>
              <w:pStyle w:val="ListParagraph"/>
              <w:numPr>
                <w:ilvl w:val="0"/>
                <w:numId w:val="14"/>
              </w:numPr>
              <w:rPr>
                <w:sz w:val="18"/>
                <w:szCs w:val="18"/>
              </w:rPr>
            </w:pPr>
            <w:r w:rsidRPr="002537EE">
              <w:rPr>
                <w:sz w:val="18"/>
                <w:szCs w:val="18"/>
              </w:rPr>
              <w:t xml:space="preserve">The new holding time-at-temperature for weld thickness (nominal) must be 30 minutes for welds </w:t>
            </w:r>
            <w:r w:rsidR="000E4E69">
              <w:rPr>
                <w:sz w:val="18"/>
                <w:szCs w:val="18"/>
              </w:rPr>
              <w:t>0.5</w:t>
            </w:r>
            <w:r>
              <w:rPr>
                <w:sz w:val="18"/>
                <w:szCs w:val="18"/>
              </w:rPr>
              <w:t> </w:t>
            </w:r>
            <w:r w:rsidRPr="002537EE">
              <w:rPr>
                <w:sz w:val="18"/>
                <w:szCs w:val="18"/>
              </w:rPr>
              <w:t>inch or less, 1</w:t>
            </w:r>
            <w:r>
              <w:rPr>
                <w:sz w:val="18"/>
                <w:szCs w:val="18"/>
              </w:rPr>
              <w:t> </w:t>
            </w:r>
            <w:r w:rsidRPr="002537EE">
              <w:rPr>
                <w:sz w:val="18"/>
                <w:szCs w:val="18"/>
              </w:rPr>
              <w:t xml:space="preserve">hour per inch of thickness for welds over </w:t>
            </w:r>
            <w:r w:rsidR="000E4E69">
              <w:rPr>
                <w:sz w:val="18"/>
                <w:szCs w:val="18"/>
              </w:rPr>
              <w:t>0.5</w:t>
            </w:r>
            <w:r>
              <w:rPr>
                <w:sz w:val="18"/>
                <w:szCs w:val="18"/>
              </w:rPr>
              <w:t> </w:t>
            </w:r>
            <w:r w:rsidRPr="002537EE">
              <w:rPr>
                <w:sz w:val="18"/>
                <w:szCs w:val="18"/>
              </w:rPr>
              <w:t>inch to 5</w:t>
            </w:r>
            <w:r>
              <w:rPr>
                <w:sz w:val="18"/>
                <w:szCs w:val="18"/>
              </w:rPr>
              <w:t> </w:t>
            </w:r>
            <w:r w:rsidRPr="002537EE">
              <w:rPr>
                <w:sz w:val="18"/>
                <w:szCs w:val="18"/>
              </w:rPr>
              <w:t>inches, and for thicknesses over 5</w:t>
            </w:r>
            <w:r>
              <w:rPr>
                <w:sz w:val="18"/>
                <w:szCs w:val="18"/>
              </w:rPr>
              <w:t> </w:t>
            </w:r>
            <w:r w:rsidRPr="002537EE">
              <w:rPr>
                <w:sz w:val="18"/>
                <w:szCs w:val="18"/>
              </w:rPr>
              <w:t>inches, 5</w:t>
            </w:r>
            <w:r>
              <w:rPr>
                <w:sz w:val="18"/>
                <w:szCs w:val="18"/>
              </w:rPr>
              <w:t> </w:t>
            </w:r>
            <w:r w:rsidRPr="002537EE">
              <w:rPr>
                <w:sz w:val="18"/>
                <w:szCs w:val="18"/>
              </w:rPr>
              <w:t>hours plus 15</w:t>
            </w:r>
            <w:r>
              <w:rPr>
                <w:sz w:val="18"/>
                <w:szCs w:val="18"/>
              </w:rPr>
              <w:t> </w:t>
            </w:r>
            <w:r w:rsidRPr="002537EE">
              <w:rPr>
                <w:sz w:val="18"/>
                <w:szCs w:val="18"/>
              </w:rPr>
              <w:t>minutes for each additional inch over 5</w:t>
            </w:r>
            <w:r>
              <w:rPr>
                <w:sz w:val="18"/>
                <w:szCs w:val="18"/>
              </w:rPr>
              <w:t> </w:t>
            </w:r>
            <w:r w:rsidRPr="002537EE">
              <w:rPr>
                <w:sz w:val="18"/>
                <w:szCs w:val="18"/>
              </w:rPr>
              <w:t>inches.</w:t>
            </w:r>
          </w:p>
          <w:p w14:paraId="66445AD8" w14:textId="77777777" w:rsidR="00D53E6F" w:rsidRPr="002537EE" w:rsidRDefault="00D53E6F" w:rsidP="00E91144">
            <w:pPr>
              <w:pStyle w:val="ListParagraph"/>
              <w:numPr>
                <w:ilvl w:val="0"/>
                <w:numId w:val="14"/>
              </w:numPr>
              <w:rPr>
                <w:sz w:val="18"/>
                <w:szCs w:val="18"/>
              </w:rPr>
            </w:pPr>
            <w:r w:rsidRPr="002537EE">
              <w:rPr>
                <w:sz w:val="18"/>
                <w:szCs w:val="18"/>
              </w:rPr>
              <w:t>The fracture toughness requirements as listed in this Code Case apply only to piping supports and not to Class</w:t>
            </w:r>
            <w:r>
              <w:rPr>
                <w:sz w:val="18"/>
                <w:szCs w:val="18"/>
              </w:rPr>
              <w:t> </w:t>
            </w:r>
            <w:r w:rsidRPr="002537EE">
              <w:rPr>
                <w:sz w:val="18"/>
                <w:szCs w:val="18"/>
              </w:rPr>
              <w:t>1, 2 and 3 component supports.</w:t>
            </w:r>
          </w:p>
          <w:p w14:paraId="675DF0F9" w14:textId="77777777" w:rsidR="00D53E6F" w:rsidRDefault="00D53E6F" w:rsidP="00E91144">
            <w:pPr>
              <w:pStyle w:val="ListParagraph"/>
              <w:numPr>
                <w:ilvl w:val="0"/>
                <w:numId w:val="14"/>
              </w:numPr>
              <w:rPr>
                <w:sz w:val="18"/>
                <w:szCs w:val="18"/>
              </w:rPr>
            </w:pPr>
            <w:r w:rsidRPr="002537EE">
              <w:rPr>
                <w:sz w:val="18"/>
                <w:szCs w:val="18"/>
              </w:rPr>
              <w:t>When welding P-Number materials listed in the Code Case, the corresponding S-Number welding requirements shall apply.</w:t>
            </w:r>
          </w:p>
        </w:tc>
        <w:tc>
          <w:tcPr>
            <w:tcW w:w="2494" w:type="dxa"/>
            <w:tcBorders>
              <w:bottom w:val="single" w:sz="4" w:space="0" w:color="auto"/>
            </w:tcBorders>
            <w:shd w:val="clear" w:color="auto" w:fill="auto"/>
          </w:tcPr>
          <w:p w14:paraId="19F27EDD" w14:textId="77777777" w:rsidR="00D53E6F" w:rsidRDefault="00D53E6F" w:rsidP="00E91144">
            <w:pPr>
              <w:pStyle w:val="ListParagraph"/>
              <w:numPr>
                <w:ilvl w:val="0"/>
                <w:numId w:val="15"/>
              </w:numPr>
              <w:rPr>
                <w:sz w:val="18"/>
                <w:szCs w:val="18"/>
              </w:rPr>
            </w:pPr>
            <w:r>
              <w:rPr>
                <w:sz w:val="18"/>
                <w:szCs w:val="18"/>
              </w:rPr>
              <w:t>This condition is identical to the condition in the previous version of the Code Case; therefore, no incremental resources are expected.</w:t>
            </w:r>
          </w:p>
          <w:p w14:paraId="06F9A82D" w14:textId="77777777" w:rsidR="00D53E6F" w:rsidRDefault="00D53E6F" w:rsidP="00E91144">
            <w:pPr>
              <w:pStyle w:val="ListParagraph"/>
              <w:numPr>
                <w:ilvl w:val="0"/>
                <w:numId w:val="15"/>
              </w:numPr>
              <w:rPr>
                <w:sz w:val="18"/>
                <w:szCs w:val="18"/>
              </w:rPr>
            </w:pPr>
            <w:r>
              <w:rPr>
                <w:sz w:val="18"/>
                <w:szCs w:val="18"/>
              </w:rPr>
              <w:t>This condition is identical to another condition in the previous version of the Code Case; therefore, no incremental resources are expected.</w:t>
            </w:r>
          </w:p>
          <w:p w14:paraId="32B56931" w14:textId="77777777" w:rsidR="00D53E6F" w:rsidRDefault="00D53E6F" w:rsidP="00E91144">
            <w:pPr>
              <w:pStyle w:val="ListParagraph"/>
              <w:numPr>
                <w:ilvl w:val="0"/>
                <w:numId w:val="15"/>
              </w:numPr>
              <w:rPr>
                <w:sz w:val="18"/>
                <w:szCs w:val="18"/>
              </w:rPr>
            </w:pPr>
            <w:r>
              <w:rPr>
                <w:sz w:val="18"/>
                <w:szCs w:val="18"/>
              </w:rPr>
              <w:t>This condition is identical to another condition in the previous version of the Code Case; therefore, no incremental resources are expected.</w:t>
            </w:r>
          </w:p>
          <w:p w14:paraId="74914208" w14:textId="77777777" w:rsidR="00D53E6F" w:rsidRDefault="00D53E6F" w:rsidP="00E91144">
            <w:pPr>
              <w:pStyle w:val="ListParagraph"/>
              <w:numPr>
                <w:ilvl w:val="0"/>
                <w:numId w:val="15"/>
              </w:numPr>
              <w:rPr>
                <w:sz w:val="18"/>
                <w:szCs w:val="18"/>
              </w:rPr>
            </w:pPr>
            <w:r>
              <w:rPr>
                <w:sz w:val="18"/>
                <w:szCs w:val="18"/>
              </w:rPr>
              <w:t>This condition is functionally identical to another condition in the previous version of the Code Case except for the correction of a typo; therefore, no incremental resources are expected.</w:t>
            </w:r>
          </w:p>
          <w:p w14:paraId="039F26D2" w14:textId="77777777" w:rsidR="00D53E6F" w:rsidRDefault="00D53E6F" w:rsidP="00E91144">
            <w:pPr>
              <w:pStyle w:val="ListParagraph"/>
              <w:numPr>
                <w:ilvl w:val="0"/>
                <w:numId w:val="15"/>
              </w:numPr>
              <w:rPr>
                <w:sz w:val="18"/>
                <w:szCs w:val="18"/>
              </w:rPr>
            </w:pPr>
            <w:r>
              <w:rPr>
                <w:sz w:val="18"/>
                <w:szCs w:val="18"/>
              </w:rPr>
              <w:t>This condition is identical to another condition in the previous version of the Code Case; therefore, no incremental resources are expected.</w:t>
            </w:r>
          </w:p>
          <w:p w14:paraId="0BA0E7C9" w14:textId="77777777" w:rsidR="00D53E6F" w:rsidRDefault="00D53E6F" w:rsidP="00E91144">
            <w:pPr>
              <w:pStyle w:val="ListParagraph"/>
              <w:numPr>
                <w:ilvl w:val="0"/>
                <w:numId w:val="15"/>
              </w:numPr>
              <w:rPr>
                <w:sz w:val="18"/>
                <w:szCs w:val="18"/>
              </w:rPr>
            </w:pPr>
            <w:r>
              <w:rPr>
                <w:sz w:val="18"/>
                <w:szCs w:val="18"/>
              </w:rPr>
              <w:t>This new condition is an administrative change to address the relabeling of S</w:t>
            </w:r>
            <w:r>
              <w:rPr>
                <w:sz w:val="18"/>
                <w:szCs w:val="18"/>
              </w:rPr>
              <w:noBreakHyphen/>
              <w:t>number materials to P</w:t>
            </w:r>
            <w:r>
              <w:rPr>
                <w:sz w:val="18"/>
                <w:szCs w:val="18"/>
              </w:rPr>
              <w:noBreakHyphen/>
              <w:t>number materials; therefore, no incremental resources are expected.</w:t>
            </w:r>
          </w:p>
        </w:tc>
      </w:tr>
      <w:tr w:rsidR="00D53E6F" w:rsidRPr="0018405A" w14:paraId="4B11D799" w14:textId="77777777" w:rsidTr="00E91144">
        <w:tc>
          <w:tcPr>
            <w:tcW w:w="1088" w:type="dxa"/>
            <w:shd w:val="clear" w:color="auto" w:fill="auto"/>
          </w:tcPr>
          <w:p w14:paraId="1AD71602" w14:textId="77777777" w:rsidR="00D53E6F" w:rsidRPr="00703E62" w:rsidRDefault="00D53E6F" w:rsidP="00E91144">
            <w:pPr>
              <w:rPr>
                <w:sz w:val="18"/>
                <w:szCs w:val="18"/>
              </w:rPr>
            </w:pPr>
            <w:r>
              <w:rPr>
                <w:sz w:val="18"/>
                <w:szCs w:val="18"/>
              </w:rPr>
              <w:t>RG 1.147</w:t>
            </w:r>
          </w:p>
        </w:tc>
        <w:tc>
          <w:tcPr>
            <w:tcW w:w="1592" w:type="dxa"/>
            <w:shd w:val="clear" w:color="auto" w:fill="auto"/>
          </w:tcPr>
          <w:p w14:paraId="48740BC4" w14:textId="77777777" w:rsidR="00D53E6F" w:rsidRPr="00703E62" w:rsidRDefault="00D53E6F" w:rsidP="00E91144">
            <w:pPr>
              <w:jc w:val="center"/>
              <w:rPr>
                <w:sz w:val="18"/>
                <w:szCs w:val="18"/>
              </w:rPr>
            </w:pPr>
            <w:r>
              <w:rPr>
                <w:sz w:val="18"/>
                <w:szCs w:val="18"/>
              </w:rPr>
              <w:t>N-516</w:t>
            </w:r>
            <w:r w:rsidRPr="00703E62">
              <w:rPr>
                <w:sz w:val="18"/>
                <w:szCs w:val="18"/>
              </w:rPr>
              <w:t>-4</w:t>
            </w:r>
          </w:p>
        </w:tc>
        <w:tc>
          <w:tcPr>
            <w:tcW w:w="4176" w:type="dxa"/>
            <w:shd w:val="clear" w:color="auto" w:fill="auto"/>
          </w:tcPr>
          <w:p w14:paraId="26F42B28" w14:textId="77777777" w:rsidR="00D53E6F" w:rsidRDefault="00D53E6F" w:rsidP="00E91144">
            <w:pPr>
              <w:pStyle w:val="ListParagraph"/>
              <w:numPr>
                <w:ilvl w:val="0"/>
                <w:numId w:val="44"/>
              </w:numPr>
              <w:rPr>
                <w:sz w:val="18"/>
                <w:szCs w:val="18"/>
              </w:rPr>
            </w:pPr>
            <w:r w:rsidRPr="00467926">
              <w:rPr>
                <w:sz w:val="18"/>
                <w:szCs w:val="18"/>
              </w:rPr>
              <w:t>Licensees must obtain NRC approval in accordance with 10 CFR 50.55a(z) regarding the welding technique to be used prior to performing welding on ferritic material exposed to fast neutron fluence greater than 1</w:t>
            </w:r>
            <w:r>
              <w:rPr>
                <w:sz w:val="18"/>
                <w:szCs w:val="18"/>
              </w:rPr>
              <w:t> </w:t>
            </w:r>
            <w:r w:rsidRPr="00467926">
              <w:rPr>
                <w:sz w:val="18"/>
                <w:szCs w:val="18"/>
              </w:rPr>
              <w:t>x</w:t>
            </w:r>
            <w:r>
              <w:rPr>
                <w:sz w:val="18"/>
                <w:szCs w:val="18"/>
              </w:rPr>
              <w:t> </w:t>
            </w:r>
            <w:r w:rsidRPr="00467926">
              <w:rPr>
                <w:sz w:val="18"/>
                <w:szCs w:val="18"/>
              </w:rPr>
              <w:t>10</w:t>
            </w:r>
            <w:r w:rsidRPr="009913BC">
              <w:rPr>
                <w:sz w:val="18"/>
                <w:szCs w:val="18"/>
                <w:vertAlign w:val="superscript"/>
              </w:rPr>
              <w:t>17</w:t>
            </w:r>
            <w:r>
              <w:rPr>
                <w:sz w:val="18"/>
                <w:szCs w:val="18"/>
              </w:rPr>
              <w:t> </w:t>
            </w:r>
            <w:r w:rsidRPr="00467926">
              <w:rPr>
                <w:sz w:val="18"/>
                <w:szCs w:val="18"/>
              </w:rPr>
              <w:t>n/cm</w:t>
            </w:r>
            <w:r w:rsidRPr="00942305">
              <w:rPr>
                <w:sz w:val="18"/>
                <w:szCs w:val="18"/>
                <w:vertAlign w:val="superscript"/>
              </w:rPr>
              <w:t>2</w:t>
            </w:r>
            <w:r w:rsidRPr="00467926">
              <w:rPr>
                <w:sz w:val="18"/>
                <w:szCs w:val="18"/>
              </w:rPr>
              <w:t xml:space="preserve"> (E</w:t>
            </w:r>
            <w:r>
              <w:rPr>
                <w:sz w:val="18"/>
                <w:szCs w:val="18"/>
              </w:rPr>
              <w:t> </w:t>
            </w:r>
            <w:r w:rsidRPr="00467926">
              <w:rPr>
                <w:sz w:val="18"/>
                <w:szCs w:val="18"/>
              </w:rPr>
              <w:t>&gt;</w:t>
            </w:r>
            <w:r>
              <w:rPr>
                <w:sz w:val="18"/>
                <w:szCs w:val="18"/>
              </w:rPr>
              <w:t> </w:t>
            </w:r>
            <w:r w:rsidRPr="00467926">
              <w:rPr>
                <w:sz w:val="18"/>
                <w:szCs w:val="18"/>
              </w:rPr>
              <w:t>1</w:t>
            </w:r>
            <w:r>
              <w:rPr>
                <w:sz w:val="18"/>
                <w:szCs w:val="18"/>
              </w:rPr>
              <w:t> </w:t>
            </w:r>
            <w:r w:rsidRPr="00467926">
              <w:rPr>
                <w:sz w:val="18"/>
                <w:szCs w:val="18"/>
              </w:rPr>
              <w:t>MeV).</w:t>
            </w:r>
          </w:p>
          <w:p w14:paraId="002865EB" w14:textId="77777777" w:rsidR="00D53E6F" w:rsidRDefault="00D53E6F" w:rsidP="00E91144">
            <w:pPr>
              <w:pStyle w:val="ListParagraph"/>
              <w:numPr>
                <w:ilvl w:val="0"/>
                <w:numId w:val="44"/>
              </w:numPr>
              <w:rPr>
                <w:sz w:val="18"/>
                <w:szCs w:val="18"/>
              </w:rPr>
            </w:pPr>
            <w:r w:rsidRPr="00467926">
              <w:rPr>
                <w:sz w:val="18"/>
                <w:szCs w:val="18"/>
              </w:rPr>
              <w:t>Licensees must obtain NRC approval in accordance with 10 CFR 50.55a(z) regarding the welding technique to be used prior to performing welding on austenitic material other than P</w:t>
            </w:r>
            <w:r>
              <w:rPr>
                <w:sz w:val="18"/>
                <w:szCs w:val="18"/>
              </w:rPr>
              <w:noBreakHyphen/>
            </w:r>
            <w:r w:rsidRPr="00467926">
              <w:rPr>
                <w:sz w:val="18"/>
                <w:szCs w:val="18"/>
              </w:rPr>
              <w:t>No.</w:t>
            </w:r>
            <w:r>
              <w:rPr>
                <w:sz w:val="18"/>
                <w:szCs w:val="18"/>
              </w:rPr>
              <w:t> </w:t>
            </w:r>
            <w:r w:rsidRPr="00467926">
              <w:rPr>
                <w:sz w:val="18"/>
                <w:szCs w:val="18"/>
              </w:rPr>
              <w:t>8</w:t>
            </w:r>
            <w:r>
              <w:rPr>
                <w:sz w:val="18"/>
                <w:szCs w:val="18"/>
              </w:rPr>
              <w:t> </w:t>
            </w:r>
            <w:r w:rsidRPr="00467926">
              <w:rPr>
                <w:sz w:val="18"/>
                <w:szCs w:val="18"/>
              </w:rPr>
              <w:t>material exposed to thermal neutron fluence greater than 1 x 10</w:t>
            </w:r>
            <w:r w:rsidRPr="009913BC">
              <w:rPr>
                <w:sz w:val="18"/>
                <w:szCs w:val="18"/>
                <w:vertAlign w:val="superscript"/>
              </w:rPr>
              <w:t>17</w:t>
            </w:r>
            <w:r w:rsidRPr="00467926">
              <w:rPr>
                <w:sz w:val="18"/>
                <w:szCs w:val="18"/>
              </w:rPr>
              <w:t xml:space="preserve"> n/cm</w:t>
            </w:r>
            <w:r w:rsidRPr="00942305">
              <w:rPr>
                <w:sz w:val="18"/>
                <w:szCs w:val="18"/>
                <w:vertAlign w:val="superscript"/>
              </w:rPr>
              <w:t>2</w:t>
            </w:r>
            <w:r w:rsidRPr="00467926">
              <w:rPr>
                <w:sz w:val="18"/>
                <w:szCs w:val="18"/>
              </w:rPr>
              <w:t xml:space="preserve"> (E</w:t>
            </w:r>
            <w:r>
              <w:rPr>
                <w:sz w:val="18"/>
                <w:szCs w:val="18"/>
              </w:rPr>
              <w:t> </w:t>
            </w:r>
            <w:r w:rsidRPr="00467926">
              <w:rPr>
                <w:sz w:val="18"/>
                <w:szCs w:val="18"/>
              </w:rPr>
              <w:t>&lt;</w:t>
            </w:r>
            <w:r>
              <w:rPr>
                <w:sz w:val="18"/>
                <w:szCs w:val="18"/>
              </w:rPr>
              <w:t> </w:t>
            </w:r>
            <w:r w:rsidRPr="00467926">
              <w:rPr>
                <w:sz w:val="18"/>
                <w:szCs w:val="18"/>
              </w:rPr>
              <w:t>0.5</w:t>
            </w:r>
            <w:r>
              <w:rPr>
                <w:sz w:val="18"/>
                <w:szCs w:val="18"/>
              </w:rPr>
              <w:t> </w:t>
            </w:r>
            <w:r w:rsidRPr="00467926">
              <w:rPr>
                <w:sz w:val="18"/>
                <w:szCs w:val="18"/>
              </w:rPr>
              <w:t>eV).</w:t>
            </w:r>
          </w:p>
          <w:p w14:paraId="28DA8751" w14:textId="77777777" w:rsidR="00D53E6F" w:rsidRPr="001327C9" w:rsidRDefault="00D53E6F" w:rsidP="00E91144">
            <w:pPr>
              <w:pStyle w:val="ListParagraph"/>
              <w:numPr>
                <w:ilvl w:val="0"/>
                <w:numId w:val="44"/>
              </w:numPr>
              <w:rPr>
                <w:sz w:val="18"/>
                <w:szCs w:val="18"/>
              </w:rPr>
            </w:pPr>
            <w:r w:rsidRPr="00467926">
              <w:rPr>
                <w:sz w:val="18"/>
                <w:szCs w:val="18"/>
              </w:rPr>
              <w:t>Licensees must obtain NRC approval in accordance with 10 CFR 50.55a(z) regarding the welding technique to be used prior to performing welding on P-No. 8 austenitic material exposed to thermal neutron fluence greater than 1</w:t>
            </w:r>
            <w:r>
              <w:rPr>
                <w:sz w:val="18"/>
                <w:szCs w:val="18"/>
              </w:rPr>
              <w:t> </w:t>
            </w:r>
            <w:r w:rsidRPr="00467926">
              <w:rPr>
                <w:sz w:val="18"/>
                <w:szCs w:val="18"/>
              </w:rPr>
              <w:t>x</w:t>
            </w:r>
            <w:r>
              <w:rPr>
                <w:sz w:val="18"/>
                <w:szCs w:val="18"/>
              </w:rPr>
              <w:t> </w:t>
            </w:r>
            <w:r w:rsidRPr="00467926">
              <w:rPr>
                <w:sz w:val="18"/>
                <w:szCs w:val="18"/>
              </w:rPr>
              <w:t>10</w:t>
            </w:r>
            <w:r w:rsidRPr="00942305">
              <w:rPr>
                <w:sz w:val="18"/>
                <w:szCs w:val="18"/>
                <w:vertAlign w:val="superscript"/>
              </w:rPr>
              <w:t>17</w:t>
            </w:r>
            <w:r>
              <w:rPr>
                <w:sz w:val="18"/>
                <w:szCs w:val="18"/>
              </w:rPr>
              <w:t> </w:t>
            </w:r>
            <w:r w:rsidRPr="00467926">
              <w:rPr>
                <w:sz w:val="18"/>
                <w:szCs w:val="18"/>
              </w:rPr>
              <w:t>n/cm</w:t>
            </w:r>
            <w:r w:rsidRPr="00942305">
              <w:rPr>
                <w:sz w:val="18"/>
                <w:szCs w:val="18"/>
                <w:vertAlign w:val="superscript"/>
              </w:rPr>
              <w:t>2</w:t>
            </w:r>
            <w:r w:rsidRPr="00467926">
              <w:rPr>
                <w:sz w:val="18"/>
                <w:szCs w:val="18"/>
              </w:rPr>
              <w:t xml:space="preserve"> (E &lt; 0.5 eV) and measured or calculated helium concentration of the material greater than 0.1 atomic parts per million.</w:t>
            </w:r>
          </w:p>
        </w:tc>
        <w:tc>
          <w:tcPr>
            <w:tcW w:w="2494" w:type="dxa"/>
            <w:shd w:val="clear" w:color="auto" w:fill="auto"/>
          </w:tcPr>
          <w:p w14:paraId="628608F0" w14:textId="77777777" w:rsidR="00D53E6F" w:rsidRPr="001327C9" w:rsidRDefault="00D53E6F" w:rsidP="00E91144">
            <w:pPr>
              <w:pStyle w:val="ListParagraph"/>
              <w:ind w:left="0"/>
              <w:rPr>
                <w:sz w:val="18"/>
                <w:szCs w:val="18"/>
              </w:rPr>
            </w:pPr>
            <w:r>
              <w:rPr>
                <w:sz w:val="18"/>
                <w:szCs w:val="18"/>
              </w:rPr>
              <w:t>Conditions 1–3 clarify the existing condition of N</w:t>
            </w:r>
            <w:r>
              <w:rPr>
                <w:sz w:val="18"/>
                <w:szCs w:val="18"/>
              </w:rPr>
              <w:noBreakHyphen/>
              <w:t>516</w:t>
            </w:r>
            <w:r>
              <w:rPr>
                <w:sz w:val="18"/>
                <w:szCs w:val="18"/>
              </w:rPr>
              <w:noBreakHyphen/>
              <w:t>3 to be consistent with the existing requirements in ASME BPV Code, Section XI, IWA</w:t>
            </w:r>
            <w:r>
              <w:rPr>
                <w:sz w:val="18"/>
                <w:szCs w:val="18"/>
              </w:rPr>
              <w:noBreakHyphen/>
              <w:t>4660.</w:t>
            </w:r>
          </w:p>
        </w:tc>
      </w:tr>
      <w:tr w:rsidR="00D53E6F" w:rsidRPr="0018405A" w14:paraId="6C70EA62" w14:textId="77777777" w:rsidTr="00E91144">
        <w:tc>
          <w:tcPr>
            <w:tcW w:w="1088" w:type="dxa"/>
            <w:shd w:val="clear" w:color="auto" w:fill="auto"/>
          </w:tcPr>
          <w:p w14:paraId="0688DE74" w14:textId="77777777" w:rsidR="00D53E6F" w:rsidRPr="009721CC" w:rsidRDefault="00D53E6F" w:rsidP="00E91144">
            <w:pPr>
              <w:rPr>
                <w:sz w:val="18"/>
                <w:szCs w:val="18"/>
              </w:rPr>
            </w:pPr>
            <w:r>
              <w:rPr>
                <w:sz w:val="18"/>
                <w:szCs w:val="18"/>
              </w:rPr>
              <w:t>RG 1.147</w:t>
            </w:r>
          </w:p>
        </w:tc>
        <w:tc>
          <w:tcPr>
            <w:tcW w:w="1592" w:type="dxa"/>
            <w:shd w:val="clear" w:color="auto" w:fill="auto"/>
          </w:tcPr>
          <w:p w14:paraId="4BCAC1C3" w14:textId="77777777" w:rsidR="00D53E6F" w:rsidRPr="009721CC" w:rsidRDefault="00D53E6F" w:rsidP="00E91144">
            <w:pPr>
              <w:jc w:val="center"/>
              <w:rPr>
                <w:sz w:val="18"/>
                <w:szCs w:val="18"/>
              </w:rPr>
            </w:pPr>
            <w:r w:rsidRPr="009721CC">
              <w:rPr>
                <w:sz w:val="18"/>
                <w:szCs w:val="18"/>
              </w:rPr>
              <w:t>N-597-3</w:t>
            </w:r>
          </w:p>
        </w:tc>
        <w:tc>
          <w:tcPr>
            <w:tcW w:w="4176" w:type="dxa"/>
            <w:shd w:val="clear" w:color="auto" w:fill="auto"/>
          </w:tcPr>
          <w:p w14:paraId="3C782377" w14:textId="4D49FAC1" w:rsidR="00D53E6F" w:rsidRPr="009721CC" w:rsidRDefault="009D6F63" w:rsidP="009D6F63">
            <w:pPr>
              <w:pStyle w:val="ListParagraph"/>
              <w:numPr>
                <w:ilvl w:val="0"/>
                <w:numId w:val="16"/>
              </w:numPr>
              <w:rPr>
                <w:sz w:val="18"/>
                <w:szCs w:val="18"/>
              </w:rPr>
            </w:pPr>
            <w:r w:rsidRPr="009D6F63">
              <w:rPr>
                <w:sz w:val="18"/>
                <w:szCs w:val="18"/>
              </w:rPr>
              <w:t>The use of N-597-3 for any degradation mechanisms other than flow accelerated corrosion is not authorized unless an alternative is proposed and approved in accordance with 10 CFR 50.55a(z).</w:t>
            </w:r>
          </w:p>
          <w:p w14:paraId="67F56CF6" w14:textId="7156BDD3" w:rsidR="00D53E6F" w:rsidRPr="009721CC" w:rsidRDefault="00A31905" w:rsidP="00E91144">
            <w:pPr>
              <w:pStyle w:val="ListParagraph"/>
              <w:numPr>
                <w:ilvl w:val="0"/>
                <w:numId w:val="16"/>
              </w:numPr>
              <w:rPr>
                <w:sz w:val="18"/>
                <w:szCs w:val="18"/>
              </w:rPr>
            </w:pPr>
            <w:r>
              <w:rPr>
                <w:sz w:val="18"/>
                <w:szCs w:val="18"/>
              </w:rPr>
              <w:t xml:space="preserve">The </w:t>
            </w:r>
            <w:r w:rsidR="00D53E6F" w:rsidRPr="009721CC">
              <w:rPr>
                <w:sz w:val="18"/>
                <w:szCs w:val="18"/>
              </w:rPr>
              <w:t>Code Case must be supplemented by the provisions of EPRI</w:t>
            </w:r>
            <w:r>
              <w:rPr>
                <w:sz w:val="18"/>
                <w:szCs w:val="18"/>
              </w:rPr>
              <w:t>/</w:t>
            </w:r>
            <w:r w:rsidR="00D53E6F" w:rsidRPr="009721CC">
              <w:rPr>
                <w:sz w:val="18"/>
                <w:szCs w:val="18"/>
              </w:rPr>
              <w:t xml:space="preserve">Nuclear Safety Analysis Center Report </w:t>
            </w:r>
            <w:r>
              <w:rPr>
                <w:sz w:val="18"/>
                <w:szCs w:val="18"/>
              </w:rPr>
              <w:t>EPRI/NSAC-</w:t>
            </w:r>
            <w:r w:rsidR="00D53E6F" w:rsidRPr="009721CC">
              <w:rPr>
                <w:sz w:val="18"/>
                <w:szCs w:val="18"/>
              </w:rPr>
              <w:t>202L-2 for developing the inspection requirements, the method of predicting the rate of wall thickness loss, and the value of the predicted remaining wall thickness</w:t>
            </w:r>
            <w:r w:rsidR="00D53E6F">
              <w:rPr>
                <w:sz w:val="18"/>
                <w:szCs w:val="18"/>
              </w:rPr>
              <w:t>.</w:t>
            </w:r>
          </w:p>
          <w:p w14:paraId="4D620650" w14:textId="4BFD5BA3" w:rsidR="00D53E6F" w:rsidRPr="009721CC" w:rsidRDefault="00D53E6F" w:rsidP="00E91144">
            <w:pPr>
              <w:pStyle w:val="ListParagraph"/>
              <w:numPr>
                <w:ilvl w:val="0"/>
                <w:numId w:val="16"/>
              </w:numPr>
              <w:rPr>
                <w:sz w:val="18"/>
                <w:szCs w:val="18"/>
              </w:rPr>
            </w:pPr>
            <w:r w:rsidRPr="009721CC">
              <w:rPr>
                <w:sz w:val="18"/>
                <w:szCs w:val="18"/>
              </w:rPr>
              <w:t>Components affected by flow</w:t>
            </w:r>
            <w:r>
              <w:rPr>
                <w:sz w:val="18"/>
                <w:szCs w:val="18"/>
              </w:rPr>
              <w:noBreakHyphen/>
            </w:r>
            <w:r w:rsidRPr="009721CC">
              <w:rPr>
                <w:sz w:val="18"/>
                <w:szCs w:val="18"/>
              </w:rPr>
              <w:t xml:space="preserve">accelerated corrosion to which this Code Case </w:t>
            </w:r>
            <w:r>
              <w:rPr>
                <w:sz w:val="18"/>
                <w:szCs w:val="18"/>
              </w:rPr>
              <w:t>is</w:t>
            </w:r>
            <w:r w:rsidRPr="009721CC">
              <w:rPr>
                <w:sz w:val="18"/>
                <w:szCs w:val="18"/>
              </w:rPr>
              <w:t xml:space="preserve"> applied must be repaired or replaced in accordance with the </w:t>
            </w:r>
            <w:r w:rsidR="00D96B6D">
              <w:rPr>
                <w:sz w:val="18"/>
                <w:szCs w:val="18"/>
              </w:rPr>
              <w:t>C</w:t>
            </w:r>
            <w:r w:rsidRPr="009721CC">
              <w:rPr>
                <w:sz w:val="18"/>
                <w:szCs w:val="18"/>
              </w:rPr>
              <w:t xml:space="preserve">onstruction </w:t>
            </w:r>
            <w:r w:rsidR="00D96B6D">
              <w:rPr>
                <w:sz w:val="18"/>
                <w:szCs w:val="18"/>
              </w:rPr>
              <w:t>C</w:t>
            </w:r>
            <w:r w:rsidR="00D96B6D" w:rsidRPr="009721CC">
              <w:rPr>
                <w:sz w:val="18"/>
                <w:szCs w:val="18"/>
              </w:rPr>
              <w:t xml:space="preserve">ode </w:t>
            </w:r>
            <w:r w:rsidRPr="009721CC">
              <w:rPr>
                <w:sz w:val="18"/>
                <w:szCs w:val="18"/>
              </w:rPr>
              <w:t xml:space="preserve">of </w:t>
            </w:r>
            <w:r w:rsidR="00D96B6D">
              <w:rPr>
                <w:sz w:val="18"/>
                <w:szCs w:val="18"/>
              </w:rPr>
              <w:t>R</w:t>
            </w:r>
            <w:r w:rsidR="00D96B6D" w:rsidRPr="009721CC">
              <w:rPr>
                <w:sz w:val="18"/>
                <w:szCs w:val="18"/>
              </w:rPr>
              <w:t xml:space="preserve">ecord </w:t>
            </w:r>
            <w:r w:rsidRPr="009721CC">
              <w:rPr>
                <w:sz w:val="18"/>
                <w:szCs w:val="18"/>
              </w:rPr>
              <w:t xml:space="preserve">and </w:t>
            </w:r>
            <w:r w:rsidR="00D96B6D">
              <w:rPr>
                <w:sz w:val="18"/>
                <w:szCs w:val="18"/>
              </w:rPr>
              <w:t>the o</w:t>
            </w:r>
            <w:r w:rsidRPr="009721CC">
              <w:rPr>
                <w:sz w:val="18"/>
                <w:szCs w:val="18"/>
              </w:rPr>
              <w:t xml:space="preserve">wner’s requirements or a later </w:t>
            </w:r>
            <w:r w:rsidR="00D96B6D" w:rsidRPr="009721CC">
              <w:rPr>
                <w:sz w:val="18"/>
                <w:szCs w:val="18"/>
              </w:rPr>
              <w:t>NR</w:t>
            </w:r>
            <w:r w:rsidR="00D96B6D">
              <w:rPr>
                <w:sz w:val="18"/>
                <w:szCs w:val="18"/>
              </w:rPr>
              <w:t>C-</w:t>
            </w:r>
            <w:r w:rsidRPr="009721CC">
              <w:rPr>
                <w:sz w:val="18"/>
                <w:szCs w:val="18"/>
              </w:rPr>
              <w:t>approved edition of Section</w:t>
            </w:r>
            <w:r>
              <w:rPr>
                <w:sz w:val="18"/>
                <w:szCs w:val="18"/>
              </w:rPr>
              <w:t> </w:t>
            </w:r>
            <w:r w:rsidRPr="009721CC">
              <w:rPr>
                <w:sz w:val="18"/>
                <w:szCs w:val="18"/>
              </w:rPr>
              <w:t xml:space="preserve">III </w:t>
            </w:r>
            <w:r w:rsidR="00D96B6D">
              <w:rPr>
                <w:sz w:val="18"/>
                <w:szCs w:val="18"/>
              </w:rPr>
              <w:t>[</w:t>
            </w:r>
            <w:r w:rsidRPr="009721CC">
              <w:rPr>
                <w:sz w:val="18"/>
                <w:szCs w:val="18"/>
              </w:rPr>
              <w:t>of the ASME Code</w:t>
            </w:r>
            <w:r w:rsidR="00D96B6D">
              <w:rPr>
                <w:sz w:val="18"/>
                <w:szCs w:val="18"/>
              </w:rPr>
              <w:t>]</w:t>
            </w:r>
            <w:r w:rsidRPr="009721CC">
              <w:rPr>
                <w:sz w:val="18"/>
                <w:szCs w:val="18"/>
              </w:rPr>
              <w:t xml:space="preserve"> </w:t>
            </w:r>
            <w:r w:rsidR="00D96B6D">
              <w:rPr>
                <w:sz w:val="18"/>
                <w:szCs w:val="18"/>
              </w:rPr>
              <w:t>before</w:t>
            </w:r>
            <w:r w:rsidRPr="009721CC">
              <w:rPr>
                <w:sz w:val="18"/>
                <w:szCs w:val="18"/>
              </w:rPr>
              <w:t xml:space="preserve"> the value of t</w:t>
            </w:r>
            <w:r w:rsidRPr="009721CC">
              <w:rPr>
                <w:sz w:val="18"/>
                <w:szCs w:val="18"/>
                <w:vertAlign w:val="subscript"/>
              </w:rPr>
              <w:t>p</w:t>
            </w:r>
            <w:r w:rsidRPr="009721CC">
              <w:rPr>
                <w:sz w:val="18"/>
                <w:szCs w:val="18"/>
              </w:rPr>
              <w:t xml:space="preserve"> reach</w:t>
            </w:r>
            <w:r w:rsidR="00D96B6D">
              <w:rPr>
                <w:sz w:val="18"/>
                <w:szCs w:val="18"/>
              </w:rPr>
              <w:t>es</w:t>
            </w:r>
            <w:r w:rsidRPr="009721CC">
              <w:rPr>
                <w:sz w:val="18"/>
                <w:szCs w:val="18"/>
              </w:rPr>
              <w:t xml:space="preserve"> the allowable minimum wall thickness, t</w:t>
            </w:r>
            <w:r w:rsidRPr="009721CC">
              <w:rPr>
                <w:sz w:val="18"/>
                <w:szCs w:val="18"/>
                <w:vertAlign w:val="subscript"/>
              </w:rPr>
              <w:t>min</w:t>
            </w:r>
            <w:r w:rsidRPr="009721CC">
              <w:rPr>
                <w:sz w:val="18"/>
                <w:szCs w:val="18"/>
              </w:rPr>
              <w:t xml:space="preserve">, as specified in </w:t>
            </w:r>
            <w:r w:rsidR="00D96B6D">
              <w:rPr>
                <w:sz w:val="18"/>
                <w:szCs w:val="18"/>
              </w:rPr>
              <w:t>Figure</w:t>
            </w:r>
            <w:r w:rsidR="00D96B6D">
              <w:rPr>
                <w:sz w:val="18"/>
                <w:szCs w:val="18"/>
              </w:rPr>
              <w:noBreakHyphen/>
            </w:r>
            <w:r w:rsidRPr="009721CC">
              <w:rPr>
                <w:sz w:val="18"/>
                <w:szCs w:val="18"/>
              </w:rPr>
              <w:t>3622.1(a)(1) of this Code Case</w:t>
            </w:r>
            <w:r>
              <w:rPr>
                <w:sz w:val="18"/>
                <w:szCs w:val="18"/>
              </w:rPr>
              <w:t>.</w:t>
            </w:r>
          </w:p>
          <w:p w14:paraId="449908F3" w14:textId="77777777" w:rsidR="00D53E6F" w:rsidRPr="009721CC" w:rsidRDefault="00D53E6F" w:rsidP="00E91144">
            <w:pPr>
              <w:pStyle w:val="ListParagraph"/>
              <w:numPr>
                <w:ilvl w:val="0"/>
                <w:numId w:val="16"/>
              </w:numPr>
              <w:rPr>
                <w:sz w:val="18"/>
                <w:szCs w:val="18"/>
              </w:rPr>
            </w:pPr>
            <w:r w:rsidRPr="009721CC">
              <w:rPr>
                <w:sz w:val="18"/>
                <w:szCs w:val="18"/>
              </w:rPr>
              <w:t>For those components that do not require immediate repair or replacement, the rate of wall thickness loss is to be used to determine a suitable inspection frequency so that repair or replacement occurs prior to reaching allowable minimum wall thickness, t</w:t>
            </w:r>
            <w:r w:rsidRPr="009721CC">
              <w:rPr>
                <w:sz w:val="18"/>
                <w:szCs w:val="18"/>
                <w:vertAlign w:val="subscript"/>
              </w:rPr>
              <w:t>min</w:t>
            </w:r>
            <w:r w:rsidRPr="000D3115">
              <w:rPr>
                <w:sz w:val="18"/>
                <w:szCs w:val="18"/>
              </w:rPr>
              <w:t>.</w:t>
            </w:r>
          </w:p>
          <w:p w14:paraId="3DF91C9B" w14:textId="51B15E5F" w:rsidR="00D53E6F" w:rsidRPr="009721CC" w:rsidRDefault="00D53E6F" w:rsidP="00E91144">
            <w:pPr>
              <w:pStyle w:val="ListParagraph"/>
              <w:numPr>
                <w:ilvl w:val="0"/>
                <w:numId w:val="16"/>
              </w:numPr>
              <w:rPr>
                <w:sz w:val="18"/>
                <w:szCs w:val="18"/>
              </w:rPr>
            </w:pPr>
            <w:r w:rsidRPr="009721CC">
              <w:rPr>
                <w:sz w:val="18"/>
                <w:szCs w:val="18"/>
              </w:rPr>
              <w:t>Allows the use of this Code Case to calculate wall thinning for moderate-energy Class</w:t>
            </w:r>
            <w:r>
              <w:rPr>
                <w:sz w:val="18"/>
                <w:szCs w:val="18"/>
              </w:rPr>
              <w:t> </w:t>
            </w:r>
            <w:r w:rsidRPr="009721CC">
              <w:rPr>
                <w:sz w:val="18"/>
                <w:szCs w:val="18"/>
              </w:rPr>
              <w:t>2 and 3 piping using criteria in Code Case N-513-</w:t>
            </w:r>
            <w:r w:rsidR="00D96B6D">
              <w:rPr>
                <w:sz w:val="18"/>
                <w:szCs w:val="18"/>
              </w:rPr>
              <w:t>4</w:t>
            </w:r>
            <w:r w:rsidRPr="009721CC">
              <w:rPr>
                <w:sz w:val="18"/>
                <w:szCs w:val="18"/>
              </w:rPr>
              <w:t>, for temporary acceptance until the next refueling outage</w:t>
            </w:r>
            <w:r>
              <w:rPr>
                <w:sz w:val="18"/>
                <w:szCs w:val="18"/>
              </w:rPr>
              <w:t>.</w:t>
            </w:r>
          </w:p>
          <w:p w14:paraId="18CB4758" w14:textId="35973DF0" w:rsidR="00D53E6F" w:rsidRPr="009721CC" w:rsidRDefault="00D53E6F" w:rsidP="00E91144">
            <w:pPr>
              <w:pStyle w:val="ListParagraph"/>
              <w:numPr>
                <w:ilvl w:val="0"/>
                <w:numId w:val="16"/>
              </w:numPr>
              <w:rPr>
                <w:sz w:val="18"/>
                <w:szCs w:val="18"/>
              </w:rPr>
            </w:pPr>
            <w:r w:rsidRPr="009721CC">
              <w:rPr>
                <w:sz w:val="18"/>
                <w:szCs w:val="18"/>
              </w:rPr>
              <w:t>Prohibit</w:t>
            </w:r>
            <w:r w:rsidR="00841E5E">
              <w:rPr>
                <w:sz w:val="18"/>
                <w:szCs w:val="18"/>
              </w:rPr>
              <w:t>s</w:t>
            </w:r>
            <w:r w:rsidRPr="009721CC">
              <w:rPr>
                <w:sz w:val="18"/>
                <w:szCs w:val="18"/>
              </w:rPr>
              <w:t xml:space="preserve"> the use of this Code Case in evaluating through-wall leakage conditions</w:t>
            </w:r>
            <w:r>
              <w:rPr>
                <w:sz w:val="18"/>
                <w:szCs w:val="18"/>
              </w:rPr>
              <w:t>.</w:t>
            </w:r>
          </w:p>
        </w:tc>
        <w:tc>
          <w:tcPr>
            <w:tcW w:w="2494" w:type="dxa"/>
            <w:shd w:val="clear" w:color="auto" w:fill="auto"/>
          </w:tcPr>
          <w:p w14:paraId="497CB710" w14:textId="77777777" w:rsidR="00D53E6F" w:rsidRPr="009721CC" w:rsidRDefault="00D53E6F" w:rsidP="00E91144">
            <w:pPr>
              <w:pStyle w:val="ListParagraph"/>
              <w:numPr>
                <w:ilvl w:val="0"/>
                <w:numId w:val="17"/>
              </w:numPr>
              <w:rPr>
                <w:sz w:val="18"/>
                <w:szCs w:val="18"/>
              </w:rPr>
            </w:pPr>
            <w:r>
              <w:rPr>
                <w:sz w:val="18"/>
                <w:szCs w:val="18"/>
              </w:rPr>
              <w:t>A s</w:t>
            </w:r>
            <w:r w:rsidRPr="009721CC">
              <w:rPr>
                <w:sz w:val="18"/>
                <w:szCs w:val="18"/>
              </w:rPr>
              <w:t>ubstanti</w:t>
            </w:r>
            <w:r>
              <w:rPr>
                <w:sz w:val="18"/>
                <w:szCs w:val="18"/>
              </w:rPr>
              <w:t>ve</w:t>
            </w:r>
            <w:r w:rsidRPr="009721CC">
              <w:rPr>
                <w:sz w:val="18"/>
                <w:szCs w:val="18"/>
              </w:rPr>
              <w:t>ly similar condition exists in N</w:t>
            </w:r>
            <w:r>
              <w:rPr>
                <w:sz w:val="18"/>
                <w:szCs w:val="18"/>
              </w:rPr>
              <w:noBreakHyphen/>
            </w:r>
            <w:r w:rsidRPr="009721CC">
              <w:rPr>
                <w:sz w:val="18"/>
                <w:szCs w:val="18"/>
              </w:rPr>
              <w:t>597</w:t>
            </w:r>
            <w:r>
              <w:rPr>
                <w:sz w:val="18"/>
                <w:szCs w:val="18"/>
              </w:rPr>
              <w:noBreakHyphen/>
            </w:r>
            <w:r w:rsidRPr="009721CC">
              <w:rPr>
                <w:sz w:val="18"/>
                <w:szCs w:val="18"/>
              </w:rPr>
              <w:t>2</w:t>
            </w:r>
            <w:r>
              <w:rPr>
                <w:sz w:val="18"/>
                <w:szCs w:val="18"/>
              </w:rPr>
              <w:t>;</w:t>
            </w:r>
            <w:r w:rsidRPr="009721CC">
              <w:rPr>
                <w:sz w:val="18"/>
                <w:szCs w:val="18"/>
              </w:rPr>
              <w:t xml:space="preserve"> therefore</w:t>
            </w:r>
            <w:r>
              <w:rPr>
                <w:sz w:val="18"/>
                <w:szCs w:val="18"/>
              </w:rPr>
              <w:t>,</w:t>
            </w:r>
            <w:r w:rsidRPr="009721CC">
              <w:rPr>
                <w:sz w:val="18"/>
                <w:szCs w:val="18"/>
              </w:rPr>
              <w:t xml:space="preserve"> no incremental resources</w:t>
            </w:r>
            <w:r>
              <w:rPr>
                <w:sz w:val="18"/>
                <w:szCs w:val="18"/>
              </w:rPr>
              <w:t xml:space="preserve"> are expected.</w:t>
            </w:r>
          </w:p>
          <w:p w14:paraId="5087AE36" w14:textId="77777777" w:rsidR="00D53E6F" w:rsidRPr="009721CC" w:rsidRDefault="00D53E6F" w:rsidP="00E91144">
            <w:pPr>
              <w:pStyle w:val="ListParagraph"/>
              <w:numPr>
                <w:ilvl w:val="0"/>
                <w:numId w:val="17"/>
              </w:numPr>
              <w:rPr>
                <w:sz w:val="18"/>
                <w:szCs w:val="18"/>
              </w:rPr>
            </w:pPr>
            <w:r>
              <w:rPr>
                <w:sz w:val="18"/>
                <w:szCs w:val="18"/>
              </w:rPr>
              <w:t>An i</w:t>
            </w:r>
            <w:r w:rsidRPr="009721CC">
              <w:rPr>
                <w:sz w:val="18"/>
                <w:szCs w:val="18"/>
              </w:rPr>
              <w:t>dentical condition exists in N</w:t>
            </w:r>
            <w:r>
              <w:rPr>
                <w:sz w:val="18"/>
                <w:szCs w:val="18"/>
              </w:rPr>
              <w:noBreakHyphen/>
            </w:r>
            <w:r w:rsidRPr="009721CC">
              <w:rPr>
                <w:sz w:val="18"/>
                <w:szCs w:val="18"/>
              </w:rPr>
              <w:t>597</w:t>
            </w:r>
            <w:r>
              <w:rPr>
                <w:sz w:val="18"/>
                <w:szCs w:val="18"/>
              </w:rPr>
              <w:noBreakHyphen/>
            </w:r>
            <w:r w:rsidRPr="009721CC">
              <w:rPr>
                <w:sz w:val="18"/>
                <w:szCs w:val="18"/>
              </w:rPr>
              <w:t>2</w:t>
            </w:r>
            <w:r>
              <w:rPr>
                <w:sz w:val="18"/>
                <w:szCs w:val="18"/>
              </w:rPr>
              <w:t>;</w:t>
            </w:r>
            <w:r w:rsidRPr="009721CC">
              <w:rPr>
                <w:sz w:val="18"/>
                <w:szCs w:val="18"/>
              </w:rPr>
              <w:t xml:space="preserve"> therefore</w:t>
            </w:r>
            <w:r>
              <w:rPr>
                <w:sz w:val="18"/>
                <w:szCs w:val="18"/>
              </w:rPr>
              <w:t>,</w:t>
            </w:r>
            <w:r w:rsidRPr="009721CC">
              <w:rPr>
                <w:sz w:val="18"/>
                <w:szCs w:val="18"/>
              </w:rPr>
              <w:t xml:space="preserve"> no incremental resources</w:t>
            </w:r>
            <w:r>
              <w:rPr>
                <w:sz w:val="18"/>
                <w:szCs w:val="18"/>
              </w:rPr>
              <w:t xml:space="preserve"> are expected.</w:t>
            </w:r>
          </w:p>
          <w:p w14:paraId="00333FD0" w14:textId="77777777" w:rsidR="00D53E6F" w:rsidRPr="009721CC" w:rsidRDefault="00D53E6F" w:rsidP="00E91144">
            <w:pPr>
              <w:pStyle w:val="ListParagraph"/>
              <w:numPr>
                <w:ilvl w:val="0"/>
                <w:numId w:val="17"/>
              </w:numPr>
              <w:rPr>
                <w:sz w:val="18"/>
                <w:szCs w:val="18"/>
              </w:rPr>
            </w:pPr>
            <w:r>
              <w:rPr>
                <w:sz w:val="18"/>
                <w:szCs w:val="18"/>
              </w:rPr>
              <w:t>An i</w:t>
            </w:r>
            <w:r w:rsidRPr="009721CC">
              <w:rPr>
                <w:sz w:val="18"/>
                <w:szCs w:val="18"/>
              </w:rPr>
              <w:t>dentical condition exists in N</w:t>
            </w:r>
            <w:r>
              <w:rPr>
                <w:sz w:val="18"/>
                <w:szCs w:val="18"/>
              </w:rPr>
              <w:noBreakHyphen/>
            </w:r>
            <w:r w:rsidRPr="009721CC">
              <w:rPr>
                <w:sz w:val="18"/>
                <w:szCs w:val="18"/>
              </w:rPr>
              <w:t>597</w:t>
            </w:r>
            <w:r>
              <w:rPr>
                <w:sz w:val="18"/>
                <w:szCs w:val="18"/>
              </w:rPr>
              <w:noBreakHyphen/>
            </w:r>
            <w:r w:rsidRPr="009721CC">
              <w:rPr>
                <w:sz w:val="18"/>
                <w:szCs w:val="18"/>
              </w:rPr>
              <w:t>2</w:t>
            </w:r>
            <w:r>
              <w:rPr>
                <w:sz w:val="18"/>
                <w:szCs w:val="18"/>
              </w:rPr>
              <w:t>;</w:t>
            </w:r>
            <w:r w:rsidRPr="009721CC">
              <w:rPr>
                <w:sz w:val="18"/>
                <w:szCs w:val="18"/>
              </w:rPr>
              <w:t xml:space="preserve"> therefore</w:t>
            </w:r>
            <w:r>
              <w:rPr>
                <w:sz w:val="18"/>
                <w:szCs w:val="18"/>
              </w:rPr>
              <w:t>,</w:t>
            </w:r>
            <w:r w:rsidRPr="009721CC">
              <w:rPr>
                <w:sz w:val="18"/>
                <w:szCs w:val="18"/>
              </w:rPr>
              <w:t xml:space="preserve"> no incremental resources</w:t>
            </w:r>
            <w:r>
              <w:rPr>
                <w:sz w:val="18"/>
                <w:szCs w:val="18"/>
              </w:rPr>
              <w:t xml:space="preserve"> are expected.</w:t>
            </w:r>
          </w:p>
          <w:p w14:paraId="4923BB25" w14:textId="77777777" w:rsidR="00D53E6F" w:rsidRPr="009721CC" w:rsidRDefault="00D53E6F" w:rsidP="00E91144">
            <w:pPr>
              <w:pStyle w:val="ListParagraph"/>
              <w:numPr>
                <w:ilvl w:val="0"/>
                <w:numId w:val="17"/>
              </w:numPr>
              <w:rPr>
                <w:sz w:val="18"/>
                <w:szCs w:val="18"/>
              </w:rPr>
            </w:pPr>
            <w:r>
              <w:rPr>
                <w:sz w:val="18"/>
                <w:szCs w:val="18"/>
              </w:rPr>
              <w:t>A s</w:t>
            </w:r>
            <w:r w:rsidRPr="009721CC">
              <w:rPr>
                <w:sz w:val="18"/>
                <w:szCs w:val="18"/>
              </w:rPr>
              <w:t>ubstantively identical condition exists in N</w:t>
            </w:r>
            <w:r>
              <w:rPr>
                <w:sz w:val="18"/>
                <w:szCs w:val="18"/>
              </w:rPr>
              <w:noBreakHyphen/>
            </w:r>
            <w:r w:rsidRPr="009721CC">
              <w:rPr>
                <w:sz w:val="18"/>
                <w:szCs w:val="18"/>
              </w:rPr>
              <w:t>597</w:t>
            </w:r>
            <w:r>
              <w:rPr>
                <w:sz w:val="18"/>
                <w:szCs w:val="18"/>
              </w:rPr>
              <w:noBreakHyphen/>
            </w:r>
            <w:r w:rsidRPr="009721CC">
              <w:rPr>
                <w:sz w:val="18"/>
                <w:szCs w:val="18"/>
              </w:rPr>
              <w:t>2</w:t>
            </w:r>
            <w:r>
              <w:rPr>
                <w:sz w:val="18"/>
                <w:szCs w:val="18"/>
              </w:rPr>
              <w:t>;</w:t>
            </w:r>
            <w:r w:rsidRPr="009721CC">
              <w:rPr>
                <w:sz w:val="18"/>
                <w:szCs w:val="18"/>
              </w:rPr>
              <w:t xml:space="preserve"> therefore</w:t>
            </w:r>
            <w:r>
              <w:rPr>
                <w:sz w:val="18"/>
                <w:szCs w:val="18"/>
              </w:rPr>
              <w:t xml:space="preserve">, </w:t>
            </w:r>
            <w:r w:rsidRPr="009721CC">
              <w:rPr>
                <w:sz w:val="18"/>
                <w:szCs w:val="18"/>
              </w:rPr>
              <w:t>no incremental resources</w:t>
            </w:r>
            <w:r>
              <w:rPr>
                <w:sz w:val="18"/>
                <w:szCs w:val="18"/>
              </w:rPr>
              <w:t xml:space="preserve"> are expected.</w:t>
            </w:r>
            <w:r w:rsidRPr="009721CC">
              <w:rPr>
                <w:sz w:val="18"/>
                <w:szCs w:val="18"/>
              </w:rPr>
              <w:t xml:space="preserve"> </w:t>
            </w:r>
          </w:p>
          <w:p w14:paraId="7ACF5733" w14:textId="56076D9C" w:rsidR="00D53E6F" w:rsidRPr="009721CC" w:rsidRDefault="00D53E6F" w:rsidP="00E91144">
            <w:pPr>
              <w:pStyle w:val="ListParagraph"/>
              <w:numPr>
                <w:ilvl w:val="0"/>
                <w:numId w:val="17"/>
              </w:numPr>
              <w:rPr>
                <w:sz w:val="18"/>
                <w:szCs w:val="18"/>
              </w:rPr>
            </w:pPr>
            <w:r>
              <w:rPr>
                <w:sz w:val="18"/>
                <w:szCs w:val="18"/>
              </w:rPr>
              <w:t>A s</w:t>
            </w:r>
            <w:r w:rsidRPr="009721CC">
              <w:rPr>
                <w:sz w:val="18"/>
                <w:szCs w:val="18"/>
              </w:rPr>
              <w:t>ubstantively identical condition exists in N</w:t>
            </w:r>
            <w:r>
              <w:rPr>
                <w:sz w:val="18"/>
                <w:szCs w:val="18"/>
              </w:rPr>
              <w:noBreakHyphen/>
            </w:r>
            <w:r w:rsidRPr="009721CC">
              <w:rPr>
                <w:sz w:val="18"/>
                <w:szCs w:val="18"/>
              </w:rPr>
              <w:t>597</w:t>
            </w:r>
            <w:r>
              <w:rPr>
                <w:sz w:val="18"/>
                <w:szCs w:val="18"/>
              </w:rPr>
              <w:noBreakHyphen/>
            </w:r>
            <w:r w:rsidRPr="009721CC">
              <w:rPr>
                <w:sz w:val="18"/>
                <w:szCs w:val="18"/>
              </w:rPr>
              <w:t>2</w:t>
            </w:r>
            <w:r>
              <w:rPr>
                <w:sz w:val="18"/>
                <w:szCs w:val="18"/>
              </w:rPr>
              <w:t>;</w:t>
            </w:r>
            <w:r w:rsidRPr="009721CC">
              <w:rPr>
                <w:sz w:val="18"/>
                <w:szCs w:val="18"/>
              </w:rPr>
              <w:t xml:space="preserve"> therefore</w:t>
            </w:r>
            <w:r>
              <w:rPr>
                <w:sz w:val="18"/>
                <w:szCs w:val="18"/>
              </w:rPr>
              <w:t>,</w:t>
            </w:r>
            <w:r w:rsidRPr="009721CC">
              <w:rPr>
                <w:sz w:val="18"/>
                <w:szCs w:val="18"/>
              </w:rPr>
              <w:t xml:space="preserve"> no incremental resources</w:t>
            </w:r>
            <w:r>
              <w:rPr>
                <w:sz w:val="18"/>
                <w:szCs w:val="18"/>
              </w:rPr>
              <w:t xml:space="preserve"> are expected.</w:t>
            </w:r>
          </w:p>
          <w:p w14:paraId="7F51492B" w14:textId="77777777" w:rsidR="00D53E6F" w:rsidRPr="009721CC" w:rsidRDefault="00D53E6F" w:rsidP="00E91144">
            <w:pPr>
              <w:pStyle w:val="ListParagraph"/>
              <w:numPr>
                <w:ilvl w:val="0"/>
                <w:numId w:val="17"/>
              </w:numPr>
              <w:rPr>
                <w:sz w:val="18"/>
                <w:szCs w:val="18"/>
              </w:rPr>
            </w:pPr>
            <w:r>
              <w:rPr>
                <w:sz w:val="18"/>
                <w:szCs w:val="18"/>
              </w:rPr>
              <w:t>A s</w:t>
            </w:r>
            <w:r w:rsidRPr="009721CC">
              <w:rPr>
                <w:sz w:val="18"/>
                <w:szCs w:val="18"/>
              </w:rPr>
              <w:t>ubstantially similar condition exists in N</w:t>
            </w:r>
            <w:r>
              <w:rPr>
                <w:sz w:val="18"/>
                <w:szCs w:val="18"/>
              </w:rPr>
              <w:noBreakHyphen/>
            </w:r>
            <w:r w:rsidRPr="009721CC">
              <w:rPr>
                <w:sz w:val="18"/>
                <w:szCs w:val="18"/>
              </w:rPr>
              <w:t>597</w:t>
            </w:r>
            <w:r>
              <w:rPr>
                <w:sz w:val="18"/>
                <w:szCs w:val="18"/>
              </w:rPr>
              <w:noBreakHyphen/>
            </w:r>
            <w:r w:rsidRPr="009721CC">
              <w:rPr>
                <w:sz w:val="18"/>
                <w:szCs w:val="18"/>
              </w:rPr>
              <w:t>2</w:t>
            </w:r>
            <w:r>
              <w:rPr>
                <w:sz w:val="18"/>
                <w:szCs w:val="18"/>
              </w:rPr>
              <w:t>;</w:t>
            </w:r>
            <w:r w:rsidRPr="009721CC">
              <w:rPr>
                <w:sz w:val="18"/>
                <w:szCs w:val="18"/>
              </w:rPr>
              <w:t xml:space="preserve"> therefore</w:t>
            </w:r>
            <w:r>
              <w:rPr>
                <w:sz w:val="18"/>
                <w:szCs w:val="18"/>
              </w:rPr>
              <w:t>,</w:t>
            </w:r>
            <w:r w:rsidRPr="009721CC">
              <w:rPr>
                <w:sz w:val="18"/>
                <w:szCs w:val="18"/>
              </w:rPr>
              <w:t xml:space="preserve"> no incremental resources</w:t>
            </w:r>
            <w:r>
              <w:rPr>
                <w:sz w:val="18"/>
                <w:szCs w:val="18"/>
              </w:rPr>
              <w:t xml:space="preserve"> are expected.</w:t>
            </w:r>
          </w:p>
        </w:tc>
      </w:tr>
      <w:tr w:rsidR="00D53E6F" w:rsidRPr="0018405A" w14:paraId="253B2F73" w14:textId="77777777" w:rsidTr="00E91144">
        <w:tc>
          <w:tcPr>
            <w:tcW w:w="1088" w:type="dxa"/>
            <w:shd w:val="clear" w:color="auto" w:fill="auto"/>
          </w:tcPr>
          <w:p w14:paraId="42DCA3DE" w14:textId="77777777" w:rsidR="00D53E6F" w:rsidRPr="00703E62" w:rsidRDefault="00D53E6F" w:rsidP="00E91144">
            <w:pPr>
              <w:rPr>
                <w:sz w:val="18"/>
                <w:szCs w:val="18"/>
              </w:rPr>
            </w:pPr>
            <w:r>
              <w:rPr>
                <w:sz w:val="18"/>
                <w:szCs w:val="18"/>
              </w:rPr>
              <w:t>RG 1.147</w:t>
            </w:r>
          </w:p>
        </w:tc>
        <w:tc>
          <w:tcPr>
            <w:tcW w:w="1592" w:type="dxa"/>
            <w:shd w:val="clear" w:color="auto" w:fill="auto"/>
          </w:tcPr>
          <w:p w14:paraId="258755A4" w14:textId="77777777" w:rsidR="00D53E6F" w:rsidRDefault="00D53E6F" w:rsidP="00E91144">
            <w:pPr>
              <w:jc w:val="center"/>
              <w:rPr>
                <w:sz w:val="18"/>
                <w:szCs w:val="18"/>
              </w:rPr>
            </w:pPr>
            <w:r w:rsidRPr="00703E62">
              <w:rPr>
                <w:sz w:val="18"/>
                <w:szCs w:val="18"/>
              </w:rPr>
              <w:t>N-</w:t>
            </w:r>
            <w:r>
              <w:rPr>
                <w:sz w:val="18"/>
                <w:szCs w:val="18"/>
              </w:rPr>
              <w:t>606-2</w:t>
            </w:r>
          </w:p>
        </w:tc>
        <w:tc>
          <w:tcPr>
            <w:tcW w:w="4176" w:type="dxa"/>
            <w:shd w:val="clear" w:color="auto" w:fill="auto"/>
          </w:tcPr>
          <w:p w14:paraId="53ED2DD3" w14:textId="77777777" w:rsidR="00D53E6F" w:rsidRPr="002800D0" w:rsidRDefault="00D53E6F" w:rsidP="00E91144">
            <w:pPr>
              <w:pStyle w:val="ListParagraph"/>
              <w:numPr>
                <w:ilvl w:val="0"/>
                <w:numId w:val="19"/>
              </w:numPr>
              <w:rPr>
                <w:sz w:val="18"/>
                <w:szCs w:val="18"/>
              </w:rPr>
            </w:pPr>
            <w:r w:rsidRPr="00C073BB">
              <w:rPr>
                <w:sz w:val="18"/>
                <w:szCs w:val="18"/>
              </w:rPr>
              <w:t>Prior to welding, an examination or verification must be performed to ensure proper preparation of the base metal, and that the surface is properly contoured so that an acceptable weld can be produced.  This verification is to be required in the welding procedure</w:t>
            </w:r>
            <w:r>
              <w:rPr>
                <w:sz w:val="18"/>
                <w:szCs w:val="18"/>
              </w:rPr>
              <w:t>.</w:t>
            </w:r>
          </w:p>
        </w:tc>
        <w:tc>
          <w:tcPr>
            <w:tcW w:w="2494" w:type="dxa"/>
            <w:shd w:val="clear" w:color="auto" w:fill="auto"/>
          </w:tcPr>
          <w:p w14:paraId="4D03C8CD" w14:textId="77777777" w:rsidR="00D53E6F" w:rsidRPr="002800D0" w:rsidRDefault="00D53E6F" w:rsidP="00E91144">
            <w:pPr>
              <w:pStyle w:val="ListParagraph"/>
              <w:numPr>
                <w:ilvl w:val="0"/>
                <w:numId w:val="18"/>
              </w:numPr>
              <w:rPr>
                <w:sz w:val="18"/>
                <w:szCs w:val="18"/>
              </w:rPr>
            </w:pPr>
            <w:r>
              <w:rPr>
                <w:sz w:val="18"/>
                <w:szCs w:val="18"/>
              </w:rPr>
              <w:t>An i</w:t>
            </w:r>
            <w:r w:rsidRPr="0046358C">
              <w:rPr>
                <w:sz w:val="18"/>
                <w:szCs w:val="18"/>
              </w:rPr>
              <w:t>d</w:t>
            </w:r>
            <w:r>
              <w:rPr>
                <w:sz w:val="18"/>
                <w:szCs w:val="18"/>
              </w:rPr>
              <w:t>entical condition exists in N</w:t>
            </w:r>
            <w:r>
              <w:rPr>
                <w:sz w:val="18"/>
                <w:szCs w:val="18"/>
              </w:rPr>
              <w:noBreakHyphen/>
              <w:t>606</w:t>
            </w:r>
            <w:r>
              <w:rPr>
                <w:sz w:val="18"/>
                <w:szCs w:val="18"/>
              </w:rPr>
              <w:noBreakHyphen/>
              <w:t>1;</w:t>
            </w:r>
            <w:r w:rsidRPr="0046358C">
              <w:rPr>
                <w:sz w:val="18"/>
                <w:szCs w:val="18"/>
              </w:rPr>
              <w:t xml:space="preserve"> therefore</w:t>
            </w:r>
            <w:r>
              <w:rPr>
                <w:sz w:val="18"/>
                <w:szCs w:val="18"/>
              </w:rPr>
              <w:t xml:space="preserve">, </w:t>
            </w:r>
            <w:r w:rsidRPr="0046358C">
              <w:rPr>
                <w:sz w:val="18"/>
                <w:szCs w:val="18"/>
              </w:rPr>
              <w:t>no incremental resources</w:t>
            </w:r>
            <w:r>
              <w:rPr>
                <w:sz w:val="18"/>
                <w:szCs w:val="18"/>
              </w:rPr>
              <w:t xml:space="preserve"> are expected.</w:t>
            </w:r>
          </w:p>
        </w:tc>
      </w:tr>
      <w:tr w:rsidR="00D53E6F" w:rsidRPr="0018405A" w14:paraId="4477CBA2" w14:textId="77777777" w:rsidTr="00E91144">
        <w:tc>
          <w:tcPr>
            <w:tcW w:w="1088" w:type="dxa"/>
            <w:shd w:val="clear" w:color="auto" w:fill="auto"/>
          </w:tcPr>
          <w:p w14:paraId="6A98137C" w14:textId="77777777" w:rsidR="00D53E6F" w:rsidRPr="00703E62" w:rsidRDefault="00D53E6F" w:rsidP="00E91144">
            <w:pPr>
              <w:rPr>
                <w:sz w:val="18"/>
                <w:szCs w:val="18"/>
              </w:rPr>
            </w:pPr>
            <w:r>
              <w:rPr>
                <w:sz w:val="18"/>
                <w:szCs w:val="18"/>
              </w:rPr>
              <w:t>RG 1.147</w:t>
            </w:r>
          </w:p>
        </w:tc>
        <w:tc>
          <w:tcPr>
            <w:tcW w:w="1592" w:type="dxa"/>
            <w:shd w:val="clear" w:color="auto" w:fill="auto"/>
          </w:tcPr>
          <w:p w14:paraId="67306B8A" w14:textId="77777777" w:rsidR="00D53E6F" w:rsidRPr="00703E62" w:rsidRDefault="00D53E6F" w:rsidP="00E91144">
            <w:pPr>
              <w:jc w:val="center"/>
              <w:rPr>
                <w:sz w:val="18"/>
                <w:szCs w:val="18"/>
              </w:rPr>
            </w:pPr>
            <w:r>
              <w:rPr>
                <w:sz w:val="18"/>
                <w:szCs w:val="18"/>
              </w:rPr>
              <w:t>N-638-7</w:t>
            </w:r>
          </w:p>
        </w:tc>
        <w:tc>
          <w:tcPr>
            <w:tcW w:w="4176" w:type="dxa"/>
            <w:shd w:val="clear" w:color="auto" w:fill="auto"/>
          </w:tcPr>
          <w:p w14:paraId="479A71C3" w14:textId="77777777" w:rsidR="00D53E6F" w:rsidRPr="00384C3F" w:rsidRDefault="00D53E6F" w:rsidP="00E91144">
            <w:pPr>
              <w:pStyle w:val="ListParagraph"/>
              <w:numPr>
                <w:ilvl w:val="0"/>
                <w:numId w:val="21"/>
              </w:numPr>
              <w:rPr>
                <w:sz w:val="18"/>
                <w:szCs w:val="18"/>
              </w:rPr>
            </w:pPr>
            <w:r>
              <w:rPr>
                <w:bCs/>
                <w:sz w:val="18"/>
                <w:szCs w:val="18"/>
              </w:rPr>
              <w:t>D</w:t>
            </w:r>
            <w:r w:rsidRPr="00C073BB">
              <w:rPr>
                <w:bCs/>
                <w:sz w:val="18"/>
                <w:szCs w:val="18"/>
              </w:rPr>
              <w:t>emonstration for ultrasonic examination of the repaired volume is required using representative samples which contain construction type flaws</w:t>
            </w:r>
            <w:r>
              <w:rPr>
                <w:bCs/>
                <w:sz w:val="18"/>
                <w:szCs w:val="18"/>
              </w:rPr>
              <w:t>.</w:t>
            </w:r>
          </w:p>
        </w:tc>
        <w:tc>
          <w:tcPr>
            <w:tcW w:w="2494" w:type="dxa"/>
            <w:shd w:val="clear" w:color="auto" w:fill="auto"/>
          </w:tcPr>
          <w:p w14:paraId="0B0B1D82" w14:textId="7AF06A78" w:rsidR="00D53E6F" w:rsidRPr="00384C3F" w:rsidRDefault="00D53E6F" w:rsidP="00647C0C">
            <w:pPr>
              <w:pStyle w:val="ListParagraph"/>
              <w:numPr>
                <w:ilvl w:val="0"/>
                <w:numId w:val="20"/>
              </w:numPr>
              <w:rPr>
                <w:sz w:val="18"/>
                <w:szCs w:val="18"/>
              </w:rPr>
            </w:pPr>
            <w:r>
              <w:rPr>
                <w:sz w:val="18"/>
                <w:szCs w:val="18"/>
              </w:rPr>
              <w:t>An i</w:t>
            </w:r>
            <w:r w:rsidRPr="0046358C">
              <w:rPr>
                <w:sz w:val="18"/>
                <w:szCs w:val="18"/>
              </w:rPr>
              <w:t>d</w:t>
            </w:r>
            <w:r>
              <w:rPr>
                <w:sz w:val="18"/>
                <w:szCs w:val="18"/>
              </w:rPr>
              <w:t>entical condition exists in N</w:t>
            </w:r>
            <w:r>
              <w:rPr>
                <w:sz w:val="18"/>
                <w:szCs w:val="18"/>
              </w:rPr>
              <w:noBreakHyphen/>
              <w:t>638</w:t>
            </w:r>
            <w:r>
              <w:rPr>
                <w:sz w:val="18"/>
                <w:szCs w:val="18"/>
              </w:rPr>
              <w:noBreakHyphen/>
              <w:t>6;</w:t>
            </w:r>
            <w:r w:rsidRPr="0046358C">
              <w:rPr>
                <w:sz w:val="18"/>
                <w:szCs w:val="18"/>
              </w:rPr>
              <w:t xml:space="preserve"> therefore</w:t>
            </w:r>
            <w:r>
              <w:rPr>
                <w:sz w:val="18"/>
                <w:szCs w:val="18"/>
              </w:rPr>
              <w:t>,</w:t>
            </w:r>
            <w:r w:rsidRPr="0046358C">
              <w:rPr>
                <w:sz w:val="18"/>
                <w:szCs w:val="18"/>
              </w:rPr>
              <w:t xml:space="preserve"> no incremental resources</w:t>
            </w:r>
            <w:r>
              <w:rPr>
                <w:sz w:val="18"/>
                <w:szCs w:val="18"/>
              </w:rPr>
              <w:t xml:space="preserve"> are expected.</w:t>
            </w:r>
          </w:p>
        </w:tc>
      </w:tr>
      <w:tr w:rsidR="00D53E6F" w:rsidRPr="0018405A" w14:paraId="75B2BBD5" w14:textId="77777777" w:rsidTr="00E91144">
        <w:tc>
          <w:tcPr>
            <w:tcW w:w="1088" w:type="dxa"/>
            <w:shd w:val="clear" w:color="auto" w:fill="auto"/>
          </w:tcPr>
          <w:p w14:paraId="42CBE3A9" w14:textId="77777777" w:rsidR="00D53E6F" w:rsidRPr="00703E62" w:rsidRDefault="00D53E6F" w:rsidP="00E91144">
            <w:pPr>
              <w:rPr>
                <w:sz w:val="18"/>
                <w:szCs w:val="18"/>
              </w:rPr>
            </w:pPr>
            <w:r>
              <w:rPr>
                <w:sz w:val="18"/>
                <w:szCs w:val="18"/>
              </w:rPr>
              <w:t>RG 1.147</w:t>
            </w:r>
          </w:p>
        </w:tc>
        <w:tc>
          <w:tcPr>
            <w:tcW w:w="1592" w:type="dxa"/>
            <w:shd w:val="clear" w:color="auto" w:fill="auto"/>
          </w:tcPr>
          <w:p w14:paraId="22E9B41F" w14:textId="77777777" w:rsidR="00D53E6F" w:rsidRDefault="00D53E6F" w:rsidP="00E91144">
            <w:pPr>
              <w:jc w:val="center"/>
              <w:rPr>
                <w:sz w:val="18"/>
                <w:szCs w:val="18"/>
              </w:rPr>
            </w:pPr>
            <w:r>
              <w:rPr>
                <w:sz w:val="18"/>
                <w:szCs w:val="18"/>
              </w:rPr>
              <w:t>N-648-2</w:t>
            </w:r>
          </w:p>
        </w:tc>
        <w:tc>
          <w:tcPr>
            <w:tcW w:w="4176" w:type="dxa"/>
            <w:shd w:val="clear" w:color="auto" w:fill="auto"/>
          </w:tcPr>
          <w:p w14:paraId="7AAFC80C" w14:textId="4BB847D6" w:rsidR="00D53E6F" w:rsidRPr="00703E62" w:rsidRDefault="00D53E6F" w:rsidP="00564ACD">
            <w:pPr>
              <w:pStyle w:val="ListParagraph"/>
              <w:numPr>
                <w:ilvl w:val="0"/>
                <w:numId w:val="22"/>
              </w:numPr>
              <w:rPr>
                <w:sz w:val="18"/>
                <w:szCs w:val="18"/>
              </w:rPr>
            </w:pPr>
            <w:r w:rsidRPr="00A471E7">
              <w:rPr>
                <w:sz w:val="18"/>
                <w:szCs w:val="18"/>
              </w:rPr>
              <w:t xml:space="preserve">This Code Case shall not be used to eliminate the preservice or inservice volumetric examination of plants with a </w:t>
            </w:r>
            <w:r w:rsidR="00564ACD">
              <w:rPr>
                <w:sz w:val="18"/>
                <w:szCs w:val="18"/>
              </w:rPr>
              <w:t>c</w:t>
            </w:r>
            <w:r w:rsidRPr="00A471E7">
              <w:rPr>
                <w:sz w:val="18"/>
                <w:szCs w:val="18"/>
              </w:rPr>
              <w:t xml:space="preserve">ombined </w:t>
            </w:r>
            <w:r w:rsidR="00564ACD">
              <w:rPr>
                <w:sz w:val="18"/>
                <w:szCs w:val="18"/>
              </w:rPr>
              <w:t>o</w:t>
            </w:r>
            <w:r w:rsidRPr="00A471E7">
              <w:rPr>
                <w:sz w:val="18"/>
                <w:szCs w:val="18"/>
              </w:rPr>
              <w:t xml:space="preserve">perating </w:t>
            </w:r>
            <w:r w:rsidR="00564ACD">
              <w:rPr>
                <w:sz w:val="18"/>
                <w:szCs w:val="18"/>
              </w:rPr>
              <w:t>l</w:t>
            </w:r>
            <w:r w:rsidRPr="00A471E7">
              <w:rPr>
                <w:sz w:val="18"/>
                <w:szCs w:val="18"/>
              </w:rPr>
              <w:t xml:space="preserve">icense </w:t>
            </w:r>
            <w:r w:rsidR="00564ACD">
              <w:rPr>
                <w:sz w:val="18"/>
                <w:szCs w:val="18"/>
              </w:rPr>
              <w:t>under</w:t>
            </w:r>
            <w:r w:rsidRPr="00A471E7">
              <w:rPr>
                <w:sz w:val="18"/>
                <w:szCs w:val="18"/>
              </w:rPr>
              <w:t xml:space="preserve"> 10</w:t>
            </w:r>
            <w:r>
              <w:rPr>
                <w:sz w:val="18"/>
                <w:szCs w:val="18"/>
              </w:rPr>
              <w:t> </w:t>
            </w:r>
            <w:r w:rsidRPr="00A471E7">
              <w:rPr>
                <w:sz w:val="18"/>
                <w:szCs w:val="18"/>
              </w:rPr>
              <w:t>CFR</w:t>
            </w:r>
            <w:r>
              <w:rPr>
                <w:sz w:val="18"/>
                <w:szCs w:val="18"/>
              </w:rPr>
              <w:t> </w:t>
            </w:r>
            <w:r w:rsidRPr="00A471E7">
              <w:rPr>
                <w:sz w:val="18"/>
                <w:szCs w:val="18"/>
              </w:rPr>
              <w:t>Part</w:t>
            </w:r>
            <w:r>
              <w:rPr>
                <w:sz w:val="18"/>
                <w:szCs w:val="18"/>
              </w:rPr>
              <w:t> </w:t>
            </w:r>
            <w:r w:rsidRPr="00A471E7">
              <w:rPr>
                <w:sz w:val="18"/>
                <w:szCs w:val="18"/>
              </w:rPr>
              <w:t>52, or a plant that receives its operating license after October</w:t>
            </w:r>
            <w:r>
              <w:rPr>
                <w:sz w:val="18"/>
                <w:szCs w:val="18"/>
              </w:rPr>
              <w:t> </w:t>
            </w:r>
            <w:r w:rsidRPr="00A471E7">
              <w:rPr>
                <w:sz w:val="18"/>
                <w:szCs w:val="18"/>
              </w:rPr>
              <w:t>22,</w:t>
            </w:r>
            <w:r>
              <w:rPr>
                <w:sz w:val="18"/>
                <w:szCs w:val="18"/>
              </w:rPr>
              <w:t> </w:t>
            </w:r>
            <w:r w:rsidRPr="00A471E7">
              <w:rPr>
                <w:sz w:val="18"/>
                <w:szCs w:val="18"/>
              </w:rPr>
              <w:t>2015.</w:t>
            </w:r>
          </w:p>
        </w:tc>
        <w:tc>
          <w:tcPr>
            <w:tcW w:w="2494" w:type="dxa"/>
            <w:shd w:val="clear" w:color="auto" w:fill="auto"/>
          </w:tcPr>
          <w:p w14:paraId="449A7CCE" w14:textId="77777777" w:rsidR="00D53E6F" w:rsidRPr="00A471E7" w:rsidRDefault="00D53E6F" w:rsidP="00E91144">
            <w:pPr>
              <w:pStyle w:val="ListParagraph"/>
              <w:numPr>
                <w:ilvl w:val="0"/>
                <w:numId w:val="23"/>
              </w:numPr>
              <w:rPr>
                <w:sz w:val="18"/>
                <w:szCs w:val="18"/>
              </w:rPr>
            </w:pPr>
            <w:r>
              <w:rPr>
                <w:sz w:val="18"/>
                <w:szCs w:val="18"/>
              </w:rPr>
              <w:t>Incremental resources exist for inservice examinations but not for preservice examinations, which were already prohibited by the previous version of the Code Case.</w:t>
            </w:r>
          </w:p>
        </w:tc>
      </w:tr>
      <w:tr w:rsidR="00D53E6F" w:rsidRPr="0018405A" w14:paraId="57BE3E47" w14:textId="77777777" w:rsidTr="00E91144">
        <w:tc>
          <w:tcPr>
            <w:tcW w:w="1088" w:type="dxa"/>
            <w:shd w:val="clear" w:color="auto" w:fill="auto"/>
          </w:tcPr>
          <w:p w14:paraId="64DCC1C7" w14:textId="77777777" w:rsidR="00D53E6F" w:rsidRPr="00703E62" w:rsidRDefault="00D53E6F" w:rsidP="00E91144">
            <w:pPr>
              <w:rPr>
                <w:sz w:val="18"/>
                <w:szCs w:val="18"/>
              </w:rPr>
            </w:pPr>
            <w:r>
              <w:rPr>
                <w:sz w:val="18"/>
                <w:szCs w:val="18"/>
              </w:rPr>
              <w:t>RG 1.147</w:t>
            </w:r>
          </w:p>
        </w:tc>
        <w:tc>
          <w:tcPr>
            <w:tcW w:w="1592" w:type="dxa"/>
            <w:shd w:val="clear" w:color="auto" w:fill="auto"/>
          </w:tcPr>
          <w:p w14:paraId="0402E29D" w14:textId="77777777" w:rsidR="00D53E6F" w:rsidRDefault="00D53E6F" w:rsidP="00E91144">
            <w:pPr>
              <w:jc w:val="center"/>
              <w:rPr>
                <w:sz w:val="18"/>
                <w:szCs w:val="18"/>
              </w:rPr>
            </w:pPr>
            <w:r>
              <w:rPr>
                <w:sz w:val="18"/>
                <w:szCs w:val="18"/>
              </w:rPr>
              <w:t>N-695-1</w:t>
            </w:r>
          </w:p>
        </w:tc>
        <w:tc>
          <w:tcPr>
            <w:tcW w:w="4176" w:type="dxa"/>
            <w:shd w:val="clear" w:color="auto" w:fill="auto"/>
          </w:tcPr>
          <w:p w14:paraId="7DBC430D" w14:textId="7C652111" w:rsidR="00D53E6F" w:rsidRDefault="00D53E6F" w:rsidP="002F1D27">
            <w:pPr>
              <w:pStyle w:val="ListParagraph"/>
              <w:numPr>
                <w:ilvl w:val="0"/>
                <w:numId w:val="24"/>
              </w:numPr>
              <w:rPr>
                <w:sz w:val="18"/>
                <w:szCs w:val="18"/>
              </w:rPr>
            </w:pPr>
            <w:r>
              <w:rPr>
                <w:sz w:val="18"/>
                <w:szCs w:val="18"/>
              </w:rPr>
              <w:t>Examiners</w:t>
            </w:r>
            <w:r w:rsidRPr="00A471E7">
              <w:rPr>
                <w:sz w:val="18"/>
                <w:szCs w:val="18"/>
              </w:rPr>
              <w:t xml:space="preserve"> qualified using the 0.25</w:t>
            </w:r>
            <w:r>
              <w:rPr>
                <w:sz w:val="18"/>
                <w:szCs w:val="18"/>
              </w:rPr>
              <w:t> </w:t>
            </w:r>
            <w:r w:rsidRPr="00A471E7">
              <w:rPr>
                <w:sz w:val="18"/>
                <w:szCs w:val="18"/>
              </w:rPr>
              <w:t xml:space="preserve">RMS error for measuring the depths of flaws using </w:t>
            </w:r>
            <w:r w:rsidR="00564ACD">
              <w:rPr>
                <w:sz w:val="18"/>
                <w:szCs w:val="18"/>
              </w:rPr>
              <w:t xml:space="preserve">Code Case </w:t>
            </w:r>
            <w:r w:rsidRPr="00A471E7">
              <w:rPr>
                <w:sz w:val="18"/>
                <w:szCs w:val="18"/>
              </w:rPr>
              <w:t>N</w:t>
            </w:r>
            <w:r>
              <w:rPr>
                <w:sz w:val="18"/>
                <w:szCs w:val="18"/>
              </w:rPr>
              <w:noBreakHyphen/>
            </w:r>
            <w:r w:rsidRPr="00A471E7">
              <w:rPr>
                <w:sz w:val="18"/>
                <w:szCs w:val="18"/>
              </w:rPr>
              <w:t>695</w:t>
            </w:r>
            <w:r>
              <w:rPr>
                <w:sz w:val="18"/>
                <w:szCs w:val="18"/>
              </w:rPr>
              <w:noBreakHyphen/>
            </w:r>
            <w:r w:rsidRPr="00A471E7">
              <w:rPr>
                <w:sz w:val="18"/>
                <w:szCs w:val="18"/>
              </w:rPr>
              <w:t>1 are not qualified to depth</w:t>
            </w:r>
            <w:r w:rsidR="00564ACD">
              <w:rPr>
                <w:sz w:val="18"/>
                <w:szCs w:val="18"/>
              </w:rPr>
              <w:noBreakHyphen/>
            </w:r>
            <w:r w:rsidRPr="00A471E7">
              <w:rPr>
                <w:sz w:val="18"/>
                <w:szCs w:val="18"/>
              </w:rPr>
              <w:t>size inner diameter (ID) surface breaking flaws greater than 50</w:t>
            </w:r>
            <w:r w:rsidR="002F1D27">
              <w:rPr>
                <w:sz w:val="18"/>
                <w:szCs w:val="18"/>
              </w:rPr>
              <w:t>-percent</w:t>
            </w:r>
            <w:r w:rsidR="002F1D27" w:rsidRPr="00A471E7">
              <w:rPr>
                <w:sz w:val="18"/>
                <w:szCs w:val="18"/>
              </w:rPr>
              <w:t xml:space="preserve"> </w:t>
            </w:r>
            <w:r w:rsidRPr="00A471E7">
              <w:rPr>
                <w:sz w:val="18"/>
                <w:szCs w:val="18"/>
              </w:rPr>
              <w:t>through</w:t>
            </w:r>
            <w:r>
              <w:rPr>
                <w:sz w:val="18"/>
                <w:szCs w:val="18"/>
              </w:rPr>
              <w:t>-</w:t>
            </w:r>
            <w:r w:rsidRPr="00A471E7">
              <w:rPr>
                <w:sz w:val="18"/>
                <w:szCs w:val="18"/>
              </w:rPr>
              <w:t>wall in dissimilar metal welds 2.1</w:t>
            </w:r>
            <w:r>
              <w:rPr>
                <w:sz w:val="18"/>
                <w:szCs w:val="18"/>
              </w:rPr>
              <w:t> </w:t>
            </w:r>
            <w:r w:rsidRPr="00A471E7">
              <w:rPr>
                <w:sz w:val="18"/>
                <w:szCs w:val="18"/>
              </w:rPr>
              <w:t xml:space="preserve">inches or greater in thickness.  </w:t>
            </w:r>
            <w:r w:rsidR="002F1D27">
              <w:rPr>
                <w:sz w:val="18"/>
                <w:szCs w:val="18"/>
              </w:rPr>
              <w:t>If</w:t>
            </w:r>
            <w:r w:rsidR="002F1D27" w:rsidRPr="00A471E7">
              <w:rPr>
                <w:sz w:val="18"/>
                <w:szCs w:val="18"/>
              </w:rPr>
              <w:t xml:space="preserve"> </w:t>
            </w:r>
            <w:r w:rsidRPr="00A471E7">
              <w:rPr>
                <w:sz w:val="18"/>
                <w:szCs w:val="18"/>
              </w:rPr>
              <w:t xml:space="preserve">an inspector qualified using </w:t>
            </w:r>
            <w:r w:rsidR="002F1D27">
              <w:rPr>
                <w:sz w:val="18"/>
                <w:szCs w:val="18"/>
              </w:rPr>
              <w:t xml:space="preserve">Code Case </w:t>
            </w:r>
            <w:r w:rsidRPr="00A471E7">
              <w:rPr>
                <w:sz w:val="18"/>
                <w:szCs w:val="18"/>
              </w:rPr>
              <w:t>N-695-1 measures a flaw as greater than 50</w:t>
            </w:r>
            <w:r w:rsidR="002F1D27">
              <w:rPr>
                <w:sz w:val="18"/>
                <w:szCs w:val="18"/>
              </w:rPr>
              <w:t>-percent</w:t>
            </w:r>
            <w:r w:rsidRPr="00A471E7">
              <w:rPr>
                <w:sz w:val="18"/>
                <w:szCs w:val="18"/>
              </w:rPr>
              <w:t xml:space="preserve"> through</w:t>
            </w:r>
            <w:r>
              <w:rPr>
                <w:sz w:val="18"/>
                <w:szCs w:val="18"/>
              </w:rPr>
              <w:noBreakHyphen/>
            </w:r>
            <w:r w:rsidRPr="00A471E7">
              <w:rPr>
                <w:sz w:val="18"/>
                <w:szCs w:val="18"/>
              </w:rPr>
              <w:t>wall in a dissimilar metal weld from the inner diameter</w:t>
            </w:r>
            <w:r>
              <w:rPr>
                <w:sz w:val="18"/>
                <w:szCs w:val="18"/>
              </w:rPr>
              <w:t>,</w:t>
            </w:r>
            <w:r w:rsidRPr="00A471E7">
              <w:rPr>
                <w:sz w:val="18"/>
                <w:szCs w:val="18"/>
              </w:rPr>
              <w:t xml:space="preserve"> the flaw shall be considered to have an indeterminate depth.</w:t>
            </w:r>
          </w:p>
        </w:tc>
        <w:tc>
          <w:tcPr>
            <w:tcW w:w="2494" w:type="dxa"/>
            <w:shd w:val="clear" w:color="auto" w:fill="auto"/>
          </w:tcPr>
          <w:p w14:paraId="3A653565" w14:textId="77777777" w:rsidR="00D53E6F" w:rsidRDefault="00D53E6F" w:rsidP="00E91144">
            <w:pPr>
              <w:pStyle w:val="ListParagraph"/>
              <w:numPr>
                <w:ilvl w:val="0"/>
                <w:numId w:val="25"/>
              </w:numPr>
              <w:rPr>
                <w:sz w:val="18"/>
                <w:szCs w:val="18"/>
              </w:rPr>
            </w:pPr>
            <w:r>
              <w:rPr>
                <w:sz w:val="18"/>
                <w:szCs w:val="18"/>
              </w:rPr>
              <w:t>This condition would require a verbal review of the weld with the NRC staff and, therefore, would require incremental resources.  However, in over 15 years of operating experience, this situation has not occurred.  Incremental resources would be required based on an assumption that this condition would happen one time in 6 years.</w:t>
            </w:r>
          </w:p>
        </w:tc>
      </w:tr>
      <w:tr w:rsidR="00D53E6F" w:rsidRPr="0018405A" w14:paraId="7C1968F9" w14:textId="77777777" w:rsidTr="00E91144">
        <w:tc>
          <w:tcPr>
            <w:tcW w:w="1088" w:type="dxa"/>
            <w:shd w:val="clear" w:color="auto" w:fill="auto"/>
          </w:tcPr>
          <w:p w14:paraId="38681AC9" w14:textId="77777777" w:rsidR="00D53E6F" w:rsidRPr="00703E62" w:rsidRDefault="00D53E6F" w:rsidP="00E91144">
            <w:pPr>
              <w:rPr>
                <w:sz w:val="18"/>
                <w:szCs w:val="18"/>
              </w:rPr>
            </w:pPr>
            <w:r>
              <w:rPr>
                <w:sz w:val="18"/>
                <w:szCs w:val="18"/>
              </w:rPr>
              <w:t>RG 1.147</w:t>
            </w:r>
          </w:p>
        </w:tc>
        <w:tc>
          <w:tcPr>
            <w:tcW w:w="1592" w:type="dxa"/>
            <w:shd w:val="clear" w:color="auto" w:fill="auto"/>
          </w:tcPr>
          <w:p w14:paraId="0CD86791" w14:textId="77777777" w:rsidR="00D53E6F" w:rsidRDefault="00D53E6F" w:rsidP="00E91144">
            <w:pPr>
              <w:jc w:val="center"/>
              <w:rPr>
                <w:sz w:val="18"/>
                <w:szCs w:val="18"/>
              </w:rPr>
            </w:pPr>
            <w:r>
              <w:rPr>
                <w:sz w:val="18"/>
                <w:szCs w:val="18"/>
              </w:rPr>
              <w:t>N-696-1</w:t>
            </w:r>
          </w:p>
        </w:tc>
        <w:tc>
          <w:tcPr>
            <w:tcW w:w="4176" w:type="dxa"/>
            <w:shd w:val="clear" w:color="auto" w:fill="auto"/>
          </w:tcPr>
          <w:p w14:paraId="6509D148" w14:textId="3936874C" w:rsidR="00D53E6F" w:rsidRPr="00703E62" w:rsidRDefault="00D53E6F" w:rsidP="002F1D27">
            <w:pPr>
              <w:pStyle w:val="ListParagraph"/>
              <w:numPr>
                <w:ilvl w:val="0"/>
                <w:numId w:val="45"/>
              </w:numPr>
              <w:rPr>
                <w:sz w:val="18"/>
                <w:szCs w:val="18"/>
              </w:rPr>
            </w:pPr>
            <w:r>
              <w:rPr>
                <w:sz w:val="18"/>
                <w:szCs w:val="18"/>
              </w:rPr>
              <w:t>Examiners</w:t>
            </w:r>
            <w:r w:rsidRPr="00A471E7">
              <w:rPr>
                <w:sz w:val="18"/>
                <w:szCs w:val="18"/>
              </w:rPr>
              <w:t xml:space="preserve"> qualified using the 0.25</w:t>
            </w:r>
            <w:r>
              <w:rPr>
                <w:sz w:val="18"/>
                <w:szCs w:val="18"/>
              </w:rPr>
              <w:t> </w:t>
            </w:r>
            <w:r w:rsidRPr="00A471E7">
              <w:rPr>
                <w:sz w:val="18"/>
                <w:szCs w:val="18"/>
              </w:rPr>
              <w:t xml:space="preserve">RMS error for measuring the depths of flaws using </w:t>
            </w:r>
            <w:r w:rsidR="002F1D27">
              <w:rPr>
                <w:sz w:val="18"/>
                <w:szCs w:val="18"/>
              </w:rPr>
              <w:t xml:space="preserve">Code Case </w:t>
            </w:r>
            <w:r w:rsidRPr="00A471E7">
              <w:rPr>
                <w:sz w:val="18"/>
                <w:szCs w:val="18"/>
              </w:rPr>
              <w:t>N</w:t>
            </w:r>
            <w:r>
              <w:rPr>
                <w:sz w:val="18"/>
                <w:szCs w:val="18"/>
              </w:rPr>
              <w:noBreakHyphen/>
            </w:r>
            <w:r w:rsidRPr="00A471E7">
              <w:rPr>
                <w:sz w:val="18"/>
                <w:szCs w:val="18"/>
              </w:rPr>
              <w:t>696</w:t>
            </w:r>
            <w:r>
              <w:rPr>
                <w:sz w:val="18"/>
                <w:szCs w:val="18"/>
              </w:rPr>
              <w:noBreakHyphen/>
            </w:r>
            <w:r w:rsidRPr="00A471E7">
              <w:rPr>
                <w:sz w:val="18"/>
                <w:szCs w:val="18"/>
              </w:rPr>
              <w:t xml:space="preserve">1 </w:t>
            </w:r>
            <w:r w:rsidRPr="00135628">
              <w:rPr>
                <w:sz w:val="18"/>
                <w:szCs w:val="18"/>
              </w:rPr>
              <w:t xml:space="preserve">in dissimilar metal or austenitic welds </w:t>
            </w:r>
            <w:r w:rsidRPr="00A471E7">
              <w:rPr>
                <w:sz w:val="18"/>
                <w:szCs w:val="18"/>
              </w:rPr>
              <w:t>are not qualified to depth-size inner diameter (ID) surface breaking flaws greater than 50</w:t>
            </w:r>
            <w:r w:rsidR="002F1D27">
              <w:rPr>
                <w:sz w:val="18"/>
                <w:szCs w:val="18"/>
              </w:rPr>
              <w:t>-percent</w:t>
            </w:r>
            <w:r w:rsidRPr="00A471E7">
              <w:rPr>
                <w:sz w:val="18"/>
                <w:szCs w:val="18"/>
              </w:rPr>
              <w:t xml:space="preserve"> through</w:t>
            </w:r>
            <w:r>
              <w:rPr>
                <w:sz w:val="18"/>
                <w:szCs w:val="18"/>
              </w:rPr>
              <w:noBreakHyphen/>
            </w:r>
            <w:r w:rsidRPr="00A471E7">
              <w:rPr>
                <w:sz w:val="18"/>
                <w:szCs w:val="18"/>
              </w:rPr>
              <w:t>wall</w:t>
            </w:r>
            <w:r>
              <w:rPr>
                <w:sz w:val="18"/>
                <w:szCs w:val="18"/>
              </w:rPr>
              <w:t xml:space="preserve"> </w:t>
            </w:r>
            <w:r w:rsidRPr="00135628">
              <w:rPr>
                <w:sz w:val="18"/>
                <w:szCs w:val="18"/>
              </w:rPr>
              <w:t>in dissimilar metal or austenitic welds</w:t>
            </w:r>
            <w:r w:rsidRPr="00A471E7">
              <w:rPr>
                <w:sz w:val="18"/>
                <w:szCs w:val="18"/>
              </w:rPr>
              <w:t xml:space="preserve"> 2.1 inches or greater in thickness.  When an </w:t>
            </w:r>
            <w:r>
              <w:rPr>
                <w:sz w:val="18"/>
                <w:szCs w:val="18"/>
              </w:rPr>
              <w:t>examiner</w:t>
            </w:r>
            <w:r w:rsidRPr="00A471E7">
              <w:rPr>
                <w:sz w:val="18"/>
                <w:szCs w:val="18"/>
              </w:rPr>
              <w:t xml:space="preserve"> qualified using </w:t>
            </w:r>
            <w:r w:rsidR="002F1D27">
              <w:rPr>
                <w:sz w:val="18"/>
                <w:szCs w:val="18"/>
              </w:rPr>
              <w:t xml:space="preserve">Code Case </w:t>
            </w:r>
            <w:r w:rsidRPr="00A471E7">
              <w:rPr>
                <w:sz w:val="18"/>
                <w:szCs w:val="18"/>
              </w:rPr>
              <w:t>N</w:t>
            </w:r>
            <w:r>
              <w:rPr>
                <w:sz w:val="18"/>
                <w:szCs w:val="18"/>
              </w:rPr>
              <w:noBreakHyphen/>
            </w:r>
            <w:r w:rsidRPr="00A471E7">
              <w:rPr>
                <w:sz w:val="18"/>
                <w:szCs w:val="18"/>
              </w:rPr>
              <w:t>696</w:t>
            </w:r>
            <w:r>
              <w:rPr>
                <w:sz w:val="18"/>
                <w:szCs w:val="18"/>
              </w:rPr>
              <w:noBreakHyphen/>
            </w:r>
            <w:r w:rsidRPr="00A471E7">
              <w:rPr>
                <w:sz w:val="18"/>
                <w:szCs w:val="18"/>
              </w:rPr>
              <w:t>1 measures a flaw as greater than 50</w:t>
            </w:r>
            <w:r w:rsidR="002F1D27">
              <w:rPr>
                <w:sz w:val="18"/>
                <w:szCs w:val="18"/>
              </w:rPr>
              <w:t>-percent</w:t>
            </w:r>
            <w:r w:rsidRPr="00A471E7">
              <w:rPr>
                <w:sz w:val="18"/>
                <w:szCs w:val="18"/>
              </w:rPr>
              <w:t xml:space="preserve"> through</w:t>
            </w:r>
            <w:r>
              <w:rPr>
                <w:sz w:val="18"/>
                <w:szCs w:val="18"/>
              </w:rPr>
              <w:noBreakHyphen/>
              <w:t>wall in a</w:t>
            </w:r>
            <w:r w:rsidRPr="00135628">
              <w:rPr>
                <w:sz w:val="18"/>
                <w:szCs w:val="18"/>
              </w:rPr>
              <w:t xml:space="preserve"> diss</w:t>
            </w:r>
            <w:r>
              <w:rPr>
                <w:sz w:val="18"/>
                <w:szCs w:val="18"/>
              </w:rPr>
              <w:t>imilar metal or austenitic weld</w:t>
            </w:r>
            <w:r w:rsidRPr="00A471E7">
              <w:rPr>
                <w:sz w:val="18"/>
                <w:szCs w:val="18"/>
              </w:rPr>
              <w:t xml:space="preserve"> from the </w:t>
            </w:r>
            <w:r>
              <w:rPr>
                <w:sz w:val="18"/>
                <w:szCs w:val="18"/>
              </w:rPr>
              <w:t>ID,</w:t>
            </w:r>
            <w:r w:rsidRPr="00A471E7">
              <w:rPr>
                <w:sz w:val="18"/>
                <w:szCs w:val="18"/>
              </w:rPr>
              <w:t xml:space="preserve"> the flaw shall be considered to have an indeterminate depth.</w:t>
            </w:r>
          </w:p>
        </w:tc>
        <w:tc>
          <w:tcPr>
            <w:tcW w:w="2494" w:type="dxa"/>
            <w:shd w:val="clear" w:color="auto" w:fill="auto"/>
          </w:tcPr>
          <w:p w14:paraId="44AEAC6B" w14:textId="77777777" w:rsidR="00D53E6F" w:rsidRPr="00075E74" w:rsidRDefault="00D53E6F" w:rsidP="00E91144">
            <w:pPr>
              <w:pStyle w:val="ListParagraph"/>
              <w:numPr>
                <w:ilvl w:val="0"/>
                <w:numId w:val="46"/>
              </w:numPr>
              <w:rPr>
                <w:sz w:val="18"/>
                <w:szCs w:val="18"/>
              </w:rPr>
            </w:pPr>
            <w:r>
              <w:rPr>
                <w:sz w:val="18"/>
                <w:szCs w:val="18"/>
              </w:rPr>
              <w:t>This condition would require a verbal review of the weld with NRC staff and, therefore, would require incremental resources.  However, in over 15 years of operating experience, this situation has not occurred.  Incremental resources would be required based on an assumption that this condition would happen one time in 6 years.</w:t>
            </w:r>
          </w:p>
        </w:tc>
      </w:tr>
      <w:tr w:rsidR="00D53E6F" w:rsidRPr="0018405A" w14:paraId="7B162C7D" w14:textId="77777777" w:rsidTr="00E91144">
        <w:tc>
          <w:tcPr>
            <w:tcW w:w="1088" w:type="dxa"/>
            <w:shd w:val="clear" w:color="auto" w:fill="auto"/>
          </w:tcPr>
          <w:p w14:paraId="75DD0C12" w14:textId="77777777" w:rsidR="00D53E6F" w:rsidRPr="00703E62" w:rsidRDefault="00D53E6F" w:rsidP="00E91144">
            <w:pPr>
              <w:rPr>
                <w:sz w:val="18"/>
                <w:szCs w:val="18"/>
              </w:rPr>
            </w:pPr>
            <w:r>
              <w:rPr>
                <w:sz w:val="18"/>
                <w:szCs w:val="18"/>
              </w:rPr>
              <w:t>RG 1.147</w:t>
            </w:r>
          </w:p>
        </w:tc>
        <w:tc>
          <w:tcPr>
            <w:tcW w:w="1592" w:type="dxa"/>
            <w:shd w:val="clear" w:color="auto" w:fill="auto"/>
          </w:tcPr>
          <w:p w14:paraId="3C24F2DE" w14:textId="77777777" w:rsidR="00D53E6F" w:rsidRDefault="00D53E6F" w:rsidP="00E91144">
            <w:pPr>
              <w:jc w:val="center"/>
              <w:rPr>
                <w:sz w:val="18"/>
                <w:szCs w:val="18"/>
              </w:rPr>
            </w:pPr>
            <w:r>
              <w:rPr>
                <w:sz w:val="18"/>
                <w:szCs w:val="18"/>
              </w:rPr>
              <w:t>N-702</w:t>
            </w:r>
          </w:p>
        </w:tc>
        <w:tc>
          <w:tcPr>
            <w:tcW w:w="4176" w:type="dxa"/>
            <w:shd w:val="clear" w:color="auto" w:fill="auto"/>
          </w:tcPr>
          <w:p w14:paraId="708610E0" w14:textId="77777777" w:rsidR="00D53E6F" w:rsidRDefault="00D53E6F" w:rsidP="00E91144">
            <w:pPr>
              <w:pStyle w:val="ListParagraph"/>
              <w:numPr>
                <w:ilvl w:val="0"/>
                <w:numId w:val="26"/>
              </w:numPr>
              <w:rPr>
                <w:sz w:val="18"/>
                <w:szCs w:val="18"/>
              </w:rPr>
            </w:pPr>
            <w:r w:rsidRPr="00C65F44">
              <w:rPr>
                <w:sz w:val="18"/>
                <w:szCs w:val="18"/>
              </w:rPr>
              <w:t>The applicability of Code Case N-702 for the first 40 years of operation must be demonstrated by satisfying the criteria in Section 5.0 of NRC Safety Evaluation regarding BWRVIP-108 dated December</w:t>
            </w:r>
            <w:r>
              <w:rPr>
                <w:sz w:val="18"/>
                <w:szCs w:val="18"/>
              </w:rPr>
              <w:t> </w:t>
            </w:r>
            <w:r w:rsidRPr="00C65F44">
              <w:rPr>
                <w:sz w:val="18"/>
                <w:szCs w:val="18"/>
              </w:rPr>
              <w:t>18,</w:t>
            </w:r>
            <w:r>
              <w:rPr>
                <w:sz w:val="18"/>
                <w:szCs w:val="18"/>
              </w:rPr>
              <w:t> </w:t>
            </w:r>
            <w:r w:rsidRPr="00C65F44">
              <w:rPr>
                <w:sz w:val="18"/>
                <w:szCs w:val="18"/>
              </w:rPr>
              <w:t>2007 (</w:t>
            </w:r>
            <w:r>
              <w:rPr>
                <w:sz w:val="18"/>
                <w:szCs w:val="18"/>
              </w:rPr>
              <w:t>ADAMS Accession No. </w:t>
            </w:r>
            <w:r w:rsidRPr="00C65F44">
              <w:rPr>
                <w:sz w:val="18"/>
                <w:szCs w:val="18"/>
              </w:rPr>
              <w:t>ML073600374) or Section 5.0 of NRC Safety Evaluation regarding BWRVIP-241 dated April</w:t>
            </w:r>
            <w:r>
              <w:rPr>
                <w:sz w:val="18"/>
                <w:szCs w:val="18"/>
              </w:rPr>
              <w:t> </w:t>
            </w:r>
            <w:r w:rsidRPr="00C65F44">
              <w:rPr>
                <w:sz w:val="18"/>
                <w:szCs w:val="18"/>
              </w:rPr>
              <w:t>19,</w:t>
            </w:r>
            <w:r>
              <w:rPr>
                <w:sz w:val="18"/>
                <w:szCs w:val="18"/>
              </w:rPr>
              <w:t> </w:t>
            </w:r>
            <w:r w:rsidRPr="00C65F44">
              <w:rPr>
                <w:sz w:val="18"/>
                <w:szCs w:val="18"/>
              </w:rPr>
              <w:t>2013 (</w:t>
            </w:r>
            <w:r>
              <w:rPr>
                <w:sz w:val="18"/>
                <w:szCs w:val="18"/>
              </w:rPr>
              <w:t>ADAMS Accession No. </w:t>
            </w:r>
            <w:r w:rsidRPr="00C65F44">
              <w:rPr>
                <w:sz w:val="18"/>
                <w:szCs w:val="18"/>
              </w:rPr>
              <w:t>ML13071A240).</w:t>
            </w:r>
          </w:p>
          <w:p w14:paraId="62426699" w14:textId="77777777" w:rsidR="00D53E6F" w:rsidRDefault="00D53E6F" w:rsidP="00E91144">
            <w:pPr>
              <w:pStyle w:val="ListParagraph"/>
              <w:numPr>
                <w:ilvl w:val="0"/>
                <w:numId w:val="26"/>
              </w:numPr>
              <w:rPr>
                <w:sz w:val="18"/>
                <w:szCs w:val="18"/>
              </w:rPr>
            </w:pPr>
            <w:r w:rsidRPr="003828B4">
              <w:rPr>
                <w:sz w:val="18"/>
                <w:szCs w:val="18"/>
              </w:rPr>
              <w:t xml:space="preserve">The use of Code Case N-702 </w:t>
            </w:r>
            <w:r>
              <w:rPr>
                <w:sz w:val="18"/>
                <w:szCs w:val="18"/>
              </w:rPr>
              <w:t xml:space="preserve">in </w:t>
            </w:r>
            <w:r w:rsidRPr="003828B4">
              <w:rPr>
                <w:sz w:val="18"/>
                <w:szCs w:val="18"/>
              </w:rPr>
              <w:t xml:space="preserve">the period of extended operation is </w:t>
            </w:r>
            <w:r>
              <w:rPr>
                <w:sz w:val="18"/>
                <w:szCs w:val="18"/>
              </w:rPr>
              <w:t>not approved</w:t>
            </w:r>
            <w:r w:rsidRPr="003828B4">
              <w:rPr>
                <w:sz w:val="18"/>
                <w:szCs w:val="18"/>
              </w:rPr>
              <w:t>.</w:t>
            </w:r>
          </w:p>
          <w:p w14:paraId="2866D3ED" w14:textId="7BF14FB7" w:rsidR="00D53E6F" w:rsidRDefault="00D53E6F" w:rsidP="002F1D27">
            <w:pPr>
              <w:pStyle w:val="ListParagraph"/>
              <w:numPr>
                <w:ilvl w:val="0"/>
                <w:numId w:val="26"/>
              </w:numPr>
              <w:rPr>
                <w:sz w:val="18"/>
                <w:szCs w:val="18"/>
              </w:rPr>
            </w:pPr>
            <w:r w:rsidRPr="003828B4">
              <w:rPr>
                <w:sz w:val="18"/>
                <w:szCs w:val="18"/>
              </w:rPr>
              <w:t>If VT-1 is used, it shall utilize Code Case</w:t>
            </w:r>
            <w:r>
              <w:rPr>
                <w:sz w:val="18"/>
                <w:szCs w:val="18"/>
              </w:rPr>
              <w:t> </w:t>
            </w:r>
            <w:r w:rsidRPr="003828B4">
              <w:rPr>
                <w:sz w:val="18"/>
                <w:szCs w:val="18"/>
              </w:rPr>
              <w:t>N-648-2, “Alternative Requirements for Inner Radius Examination of Class 1 Reactor Vessel Nozzles, Section XI Division 1,” with associated required conditions specified in Regulatory Guide</w:t>
            </w:r>
            <w:r>
              <w:rPr>
                <w:sz w:val="18"/>
                <w:szCs w:val="18"/>
              </w:rPr>
              <w:t> </w:t>
            </w:r>
            <w:r w:rsidRPr="003828B4">
              <w:rPr>
                <w:sz w:val="18"/>
                <w:szCs w:val="18"/>
              </w:rPr>
              <w:t>1.147.</w:t>
            </w:r>
          </w:p>
        </w:tc>
        <w:tc>
          <w:tcPr>
            <w:tcW w:w="2494" w:type="dxa"/>
            <w:shd w:val="clear" w:color="auto" w:fill="auto"/>
          </w:tcPr>
          <w:p w14:paraId="0BDCE47F" w14:textId="77777777" w:rsidR="00D53E6F" w:rsidRDefault="00D53E6F" w:rsidP="00E91144">
            <w:pPr>
              <w:pStyle w:val="ListParagraph"/>
              <w:numPr>
                <w:ilvl w:val="0"/>
                <w:numId w:val="27"/>
              </w:numPr>
              <w:rPr>
                <w:sz w:val="18"/>
                <w:szCs w:val="18"/>
              </w:rPr>
            </w:pPr>
            <w:r>
              <w:rPr>
                <w:sz w:val="18"/>
                <w:szCs w:val="18"/>
              </w:rPr>
              <w:t>This condition is consistent with the approach that licensees used before the Code Case existed; therefore, no incremental resources are expected.</w:t>
            </w:r>
          </w:p>
          <w:p w14:paraId="343694DC" w14:textId="77777777" w:rsidR="00D53E6F" w:rsidRDefault="00D53E6F" w:rsidP="00E91144">
            <w:pPr>
              <w:pStyle w:val="ListParagraph"/>
              <w:numPr>
                <w:ilvl w:val="0"/>
                <w:numId w:val="27"/>
              </w:numPr>
              <w:rPr>
                <w:sz w:val="18"/>
                <w:szCs w:val="18"/>
              </w:rPr>
            </w:pPr>
            <w:r>
              <w:rPr>
                <w:sz w:val="18"/>
                <w:szCs w:val="18"/>
              </w:rPr>
              <w:t>This condition is consistent with the approach that licensees used before the Code Case existed; therefore, no incremental resources are expected.</w:t>
            </w:r>
          </w:p>
          <w:p w14:paraId="2CF982A8" w14:textId="77777777" w:rsidR="00D53E6F" w:rsidRDefault="00D53E6F" w:rsidP="00E91144">
            <w:pPr>
              <w:pStyle w:val="ListParagraph"/>
              <w:numPr>
                <w:ilvl w:val="0"/>
                <w:numId w:val="27"/>
              </w:numPr>
              <w:rPr>
                <w:sz w:val="18"/>
                <w:szCs w:val="18"/>
              </w:rPr>
            </w:pPr>
            <w:r>
              <w:rPr>
                <w:sz w:val="18"/>
                <w:szCs w:val="18"/>
              </w:rPr>
              <w:t>This condition is consistent with the approach that licensees used before the Code Case existed; therefore, no incremental resources are expected.</w:t>
            </w:r>
          </w:p>
        </w:tc>
      </w:tr>
      <w:tr w:rsidR="00D53E6F" w:rsidRPr="0018405A" w14:paraId="7923110C" w14:textId="77777777" w:rsidTr="00E91144">
        <w:tc>
          <w:tcPr>
            <w:tcW w:w="1088" w:type="dxa"/>
            <w:shd w:val="clear" w:color="auto" w:fill="auto"/>
          </w:tcPr>
          <w:p w14:paraId="1CB59FDD" w14:textId="77777777" w:rsidR="00D53E6F" w:rsidRPr="00703E62" w:rsidRDefault="00D53E6F" w:rsidP="00E91144">
            <w:pPr>
              <w:rPr>
                <w:sz w:val="18"/>
                <w:szCs w:val="18"/>
              </w:rPr>
            </w:pPr>
            <w:r>
              <w:rPr>
                <w:sz w:val="18"/>
                <w:szCs w:val="18"/>
              </w:rPr>
              <w:t>RG 1.147</w:t>
            </w:r>
          </w:p>
        </w:tc>
        <w:tc>
          <w:tcPr>
            <w:tcW w:w="1592" w:type="dxa"/>
            <w:shd w:val="clear" w:color="auto" w:fill="auto"/>
          </w:tcPr>
          <w:p w14:paraId="7EC29CDA" w14:textId="77777777" w:rsidR="00D53E6F" w:rsidRDefault="00D53E6F" w:rsidP="00E91144">
            <w:pPr>
              <w:jc w:val="center"/>
              <w:rPr>
                <w:sz w:val="18"/>
                <w:szCs w:val="18"/>
              </w:rPr>
            </w:pPr>
            <w:r>
              <w:rPr>
                <w:sz w:val="18"/>
                <w:szCs w:val="18"/>
              </w:rPr>
              <w:t>N-705</w:t>
            </w:r>
          </w:p>
        </w:tc>
        <w:tc>
          <w:tcPr>
            <w:tcW w:w="4176" w:type="dxa"/>
            <w:shd w:val="clear" w:color="auto" w:fill="auto"/>
          </w:tcPr>
          <w:p w14:paraId="0B08408C" w14:textId="1D33C176" w:rsidR="00D53E6F" w:rsidRPr="00703E62" w:rsidRDefault="00D53E6F" w:rsidP="002F1D27">
            <w:pPr>
              <w:pStyle w:val="ListParagraph"/>
              <w:numPr>
                <w:ilvl w:val="0"/>
                <w:numId w:val="48"/>
              </w:numPr>
              <w:rPr>
                <w:sz w:val="18"/>
                <w:szCs w:val="18"/>
              </w:rPr>
            </w:pPr>
            <w:r>
              <w:rPr>
                <w:sz w:val="18"/>
                <w:szCs w:val="18"/>
              </w:rPr>
              <w:t>T</w:t>
            </w:r>
            <w:r w:rsidRPr="00FA06B8">
              <w:rPr>
                <w:sz w:val="18"/>
                <w:szCs w:val="18"/>
              </w:rPr>
              <w:t xml:space="preserve">he Code repair or replacement activity </w:t>
            </w:r>
            <w:r w:rsidR="002F1D27">
              <w:rPr>
                <w:sz w:val="18"/>
                <w:szCs w:val="18"/>
              </w:rPr>
              <w:t xml:space="preserve">that was </w:t>
            </w:r>
            <w:r w:rsidRPr="00FA06B8">
              <w:rPr>
                <w:sz w:val="18"/>
                <w:szCs w:val="18"/>
              </w:rPr>
              <w:t xml:space="preserve">temporarily deferred under the provisions of this Code Case shall be performed during the </w:t>
            </w:r>
            <w:r>
              <w:rPr>
                <w:sz w:val="18"/>
                <w:szCs w:val="18"/>
              </w:rPr>
              <w:t>next scheduled refueling outage for through-wall flaws.</w:t>
            </w:r>
            <w:r w:rsidRPr="00FA06B8">
              <w:rPr>
                <w:sz w:val="18"/>
                <w:szCs w:val="18"/>
              </w:rPr>
              <w:t xml:space="preserve"> </w:t>
            </w:r>
            <w:r>
              <w:rPr>
                <w:sz w:val="18"/>
                <w:szCs w:val="18"/>
              </w:rPr>
              <w:t xml:space="preserve"> </w:t>
            </w:r>
          </w:p>
        </w:tc>
        <w:tc>
          <w:tcPr>
            <w:tcW w:w="2494" w:type="dxa"/>
            <w:shd w:val="clear" w:color="auto" w:fill="auto"/>
          </w:tcPr>
          <w:p w14:paraId="56A0FD52" w14:textId="45C98208" w:rsidR="00D53E6F" w:rsidRPr="00703E62" w:rsidRDefault="00D53E6F" w:rsidP="00E91144">
            <w:pPr>
              <w:pStyle w:val="ListParagraph"/>
              <w:numPr>
                <w:ilvl w:val="0"/>
                <w:numId w:val="47"/>
              </w:numPr>
              <w:rPr>
                <w:sz w:val="18"/>
                <w:szCs w:val="18"/>
              </w:rPr>
            </w:pPr>
            <w:r>
              <w:rPr>
                <w:sz w:val="18"/>
                <w:szCs w:val="18"/>
              </w:rPr>
              <w:t>There is no incremental cost impact.</w:t>
            </w:r>
          </w:p>
        </w:tc>
      </w:tr>
      <w:tr w:rsidR="00D53E6F" w:rsidRPr="0018405A" w14:paraId="69609DBC" w14:textId="77777777" w:rsidTr="00E91144">
        <w:tc>
          <w:tcPr>
            <w:tcW w:w="1088" w:type="dxa"/>
            <w:shd w:val="clear" w:color="auto" w:fill="auto"/>
          </w:tcPr>
          <w:p w14:paraId="5151E687" w14:textId="77777777" w:rsidR="00D53E6F" w:rsidRPr="00703E62" w:rsidRDefault="00D53E6F" w:rsidP="00E91144">
            <w:pPr>
              <w:rPr>
                <w:sz w:val="18"/>
                <w:szCs w:val="18"/>
              </w:rPr>
            </w:pPr>
            <w:r>
              <w:rPr>
                <w:sz w:val="18"/>
                <w:szCs w:val="18"/>
              </w:rPr>
              <w:t>RG 1.147</w:t>
            </w:r>
          </w:p>
        </w:tc>
        <w:tc>
          <w:tcPr>
            <w:tcW w:w="1592" w:type="dxa"/>
            <w:shd w:val="clear" w:color="auto" w:fill="auto"/>
          </w:tcPr>
          <w:p w14:paraId="4E05BBE8" w14:textId="77777777" w:rsidR="00D53E6F" w:rsidRDefault="00D53E6F" w:rsidP="00E91144">
            <w:pPr>
              <w:jc w:val="center"/>
              <w:rPr>
                <w:sz w:val="18"/>
                <w:szCs w:val="18"/>
              </w:rPr>
            </w:pPr>
            <w:r>
              <w:rPr>
                <w:sz w:val="18"/>
                <w:szCs w:val="18"/>
              </w:rPr>
              <w:t>N-711-1</w:t>
            </w:r>
          </w:p>
        </w:tc>
        <w:tc>
          <w:tcPr>
            <w:tcW w:w="4176" w:type="dxa"/>
            <w:shd w:val="clear" w:color="auto" w:fill="auto"/>
          </w:tcPr>
          <w:p w14:paraId="4D069E94" w14:textId="31887753" w:rsidR="00D53E6F" w:rsidRPr="00703E62" w:rsidRDefault="00D53E6F" w:rsidP="00E91144">
            <w:pPr>
              <w:pStyle w:val="ListParagraph"/>
              <w:numPr>
                <w:ilvl w:val="0"/>
                <w:numId w:val="28"/>
              </w:numPr>
              <w:rPr>
                <w:sz w:val="18"/>
                <w:szCs w:val="18"/>
              </w:rPr>
            </w:pPr>
            <w:r w:rsidRPr="00FA06B8">
              <w:rPr>
                <w:sz w:val="18"/>
                <w:szCs w:val="18"/>
              </w:rPr>
              <w:t xml:space="preserve">Code Case </w:t>
            </w:r>
            <w:r w:rsidR="002F1D27">
              <w:rPr>
                <w:sz w:val="18"/>
                <w:szCs w:val="18"/>
              </w:rPr>
              <w:t xml:space="preserve">N-711-1 </w:t>
            </w:r>
            <w:r w:rsidRPr="00FA06B8">
              <w:rPr>
                <w:sz w:val="18"/>
                <w:szCs w:val="18"/>
              </w:rPr>
              <w:t>shall not be used to redefine the required examination volume for preservice examinations or when the postulated degradation mech</w:t>
            </w:r>
            <w:r>
              <w:rPr>
                <w:sz w:val="18"/>
                <w:szCs w:val="18"/>
              </w:rPr>
              <w:t>anism for piping welds is PWSCC,</w:t>
            </w:r>
            <w:r w:rsidRPr="00FA06B8">
              <w:rPr>
                <w:sz w:val="18"/>
                <w:szCs w:val="18"/>
              </w:rPr>
              <w:t xml:space="preserve"> or crevice corrosion degradation mechanisms</w:t>
            </w:r>
            <w:r>
              <w:rPr>
                <w:sz w:val="18"/>
                <w:szCs w:val="18"/>
              </w:rPr>
              <w:t>.</w:t>
            </w:r>
          </w:p>
        </w:tc>
        <w:tc>
          <w:tcPr>
            <w:tcW w:w="2494" w:type="dxa"/>
            <w:shd w:val="clear" w:color="auto" w:fill="auto"/>
          </w:tcPr>
          <w:p w14:paraId="11FE71CE" w14:textId="77777777" w:rsidR="00D53E6F" w:rsidRPr="00703E62" w:rsidRDefault="00D53E6F" w:rsidP="00E91144">
            <w:pPr>
              <w:pStyle w:val="ListParagraph"/>
              <w:numPr>
                <w:ilvl w:val="0"/>
                <w:numId w:val="29"/>
              </w:numPr>
              <w:rPr>
                <w:sz w:val="18"/>
                <w:szCs w:val="18"/>
              </w:rPr>
            </w:pPr>
            <w:r>
              <w:rPr>
                <w:sz w:val="18"/>
                <w:szCs w:val="18"/>
              </w:rPr>
              <w:t>This condition clarifies that no degradation mechanism is present during preservice examinations; the Code Case refers to the owner’s program for intergranular stress</w:t>
            </w:r>
            <w:r>
              <w:rPr>
                <w:sz w:val="18"/>
                <w:szCs w:val="18"/>
              </w:rPr>
              <w:noBreakHyphen/>
              <w:t>corrosion cracking (IGSCC) and does not provide a direction for crevice corrosion.  Therefore, there is no cost impact.</w:t>
            </w:r>
          </w:p>
        </w:tc>
      </w:tr>
      <w:tr w:rsidR="00D53E6F" w:rsidRPr="0018405A" w14:paraId="1FBDBF96" w14:textId="77777777" w:rsidTr="00E91144">
        <w:tc>
          <w:tcPr>
            <w:tcW w:w="1088" w:type="dxa"/>
            <w:shd w:val="clear" w:color="auto" w:fill="auto"/>
          </w:tcPr>
          <w:p w14:paraId="3A903473" w14:textId="77777777" w:rsidR="00D53E6F" w:rsidRPr="00703E62" w:rsidRDefault="00D53E6F" w:rsidP="00E91144">
            <w:pPr>
              <w:rPr>
                <w:sz w:val="18"/>
                <w:szCs w:val="18"/>
              </w:rPr>
            </w:pPr>
            <w:r>
              <w:rPr>
                <w:sz w:val="18"/>
                <w:szCs w:val="18"/>
              </w:rPr>
              <w:t>RG 1.147</w:t>
            </w:r>
          </w:p>
        </w:tc>
        <w:tc>
          <w:tcPr>
            <w:tcW w:w="1592" w:type="dxa"/>
            <w:shd w:val="clear" w:color="auto" w:fill="auto"/>
          </w:tcPr>
          <w:p w14:paraId="493902FB" w14:textId="77777777" w:rsidR="00D53E6F" w:rsidRDefault="00D53E6F" w:rsidP="00E91144">
            <w:pPr>
              <w:jc w:val="center"/>
              <w:rPr>
                <w:sz w:val="18"/>
                <w:szCs w:val="18"/>
              </w:rPr>
            </w:pPr>
            <w:r>
              <w:rPr>
                <w:sz w:val="18"/>
                <w:szCs w:val="18"/>
              </w:rPr>
              <w:t>N-754-1</w:t>
            </w:r>
          </w:p>
        </w:tc>
        <w:tc>
          <w:tcPr>
            <w:tcW w:w="4176" w:type="dxa"/>
            <w:shd w:val="clear" w:color="auto" w:fill="auto"/>
          </w:tcPr>
          <w:p w14:paraId="2B3443E8" w14:textId="77777777" w:rsidR="00D53E6F" w:rsidRDefault="00D53E6F" w:rsidP="00E91144">
            <w:pPr>
              <w:pStyle w:val="ListParagraph"/>
              <w:numPr>
                <w:ilvl w:val="0"/>
                <w:numId w:val="30"/>
              </w:numPr>
              <w:rPr>
                <w:sz w:val="18"/>
                <w:szCs w:val="18"/>
              </w:rPr>
            </w:pPr>
            <w:r w:rsidRPr="00AE6BA0">
              <w:rPr>
                <w:sz w:val="18"/>
                <w:szCs w:val="18"/>
              </w:rPr>
              <w:t>The conditions imposed on the optimized weld overlay design in NRC safety evaluation for the topical report, “Materials Reliability Program (MRP): Technical Basis for Preemptive Weld Overlays for Alloy 82/182 Butt Welds in PWRs (MRP-169),” Revision</w:t>
            </w:r>
            <w:r>
              <w:rPr>
                <w:sz w:val="18"/>
                <w:szCs w:val="18"/>
              </w:rPr>
              <w:t> </w:t>
            </w:r>
            <w:r w:rsidRPr="00AE6BA0">
              <w:rPr>
                <w:sz w:val="18"/>
                <w:szCs w:val="18"/>
              </w:rPr>
              <w:t>1</w:t>
            </w:r>
            <w:r>
              <w:rPr>
                <w:sz w:val="18"/>
                <w:szCs w:val="18"/>
              </w:rPr>
              <w:noBreakHyphen/>
            </w:r>
            <w:r w:rsidRPr="00AE6BA0">
              <w:rPr>
                <w:sz w:val="18"/>
                <w:szCs w:val="18"/>
              </w:rPr>
              <w:t>A, Electric Power Research Institute (ADAMS Accession Nos.</w:t>
            </w:r>
            <w:r>
              <w:rPr>
                <w:sz w:val="18"/>
                <w:szCs w:val="18"/>
              </w:rPr>
              <w:t> </w:t>
            </w:r>
            <w:r w:rsidRPr="00AE6BA0">
              <w:rPr>
                <w:sz w:val="18"/>
                <w:szCs w:val="18"/>
              </w:rPr>
              <w:t>ML101620010 and ML101660468) must be satisfied.</w:t>
            </w:r>
          </w:p>
          <w:p w14:paraId="0F1DE444" w14:textId="4E6F0A0A" w:rsidR="00D53E6F" w:rsidRPr="00AE6BA0" w:rsidRDefault="00D53E6F" w:rsidP="00E91144">
            <w:pPr>
              <w:pStyle w:val="ListParagraph"/>
              <w:numPr>
                <w:ilvl w:val="0"/>
                <w:numId w:val="30"/>
              </w:numPr>
              <w:rPr>
                <w:sz w:val="18"/>
                <w:szCs w:val="18"/>
              </w:rPr>
            </w:pPr>
            <w:r w:rsidRPr="00747EEE">
              <w:rPr>
                <w:sz w:val="18"/>
                <w:szCs w:val="18"/>
              </w:rPr>
              <w:t xml:space="preserve">In lieu of the preservice and inservice examinations as specified in Section 3(c) of the </w:t>
            </w:r>
            <w:r>
              <w:rPr>
                <w:sz w:val="18"/>
                <w:szCs w:val="18"/>
              </w:rPr>
              <w:t>Code Case</w:t>
            </w:r>
            <w:r w:rsidRPr="00747EEE">
              <w:rPr>
                <w:sz w:val="18"/>
                <w:szCs w:val="18"/>
              </w:rPr>
              <w:t>, the optimized weld overlay must be examined in accordance with 10</w:t>
            </w:r>
            <w:r>
              <w:rPr>
                <w:sz w:val="18"/>
                <w:szCs w:val="18"/>
              </w:rPr>
              <w:t> </w:t>
            </w:r>
            <w:r w:rsidRPr="00747EEE">
              <w:rPr>
                <w:sz w:val="18"/>
                <w:szCs w:val="18"/>
              </w:rPr>
              <w:t>CFR</w:t>
            </w:r>
            <w:r>
              <w:rPr>
                <w:sz w:val="18"/>
                <w:szCs w:val="18"/>
              </w:rPr>
              <w:t> </w:t>
            </w:r>
            <w:r w:rsidRPr="00747EEE">
              <w:rPr>
                <w:sz w:val="18"/>
                <w:szCs w:val="18"/>
              </w:rPr>
              <w:t>50.55a(g)(6)(ii)(F)</w:t>
            </w:r>
            <w:r>
              <w:rPr>
                <w:sz w:val="18"/>
                <w:szCs w:val="18"/>
              </w:rPr>
              <w:t>.</w:t>
            </w:r>
          </w:p>
        </w:tc>
        <w:tc>
          <w:tcPr>
            <w:tcW w:w="2494" w:type="dxa"/>
            <w:shd w:val="clear" w:color="auto" w:fill="auto"/>
          </w:tcPr>
          <w:p w14:paraId="08CAB509" w14:textId="77777777" w:rsidR="00D53E6F" w:rsidRDefault="00D53E6F" w:rsidP="00E91144">
            <w:pPr>
              <w:pStyle w:val="ListParagraph"/>
              <w:numPr>
                <w:ilvl w:val="0"/>
                <w:numId w:val="31"/>
              </w:numPr>
              <w:rPr>
                <w:sz w:val="18"/>
                <w:szCs w:val="18"/>
              </w:rPr>
            </w:pPr>
            <w:r>
              <w:rPr>
                <w:sz w:val="18"/>
                <w:szCs w:val="18"/>
              </w:rPr>
              <w:t>An i</w:t>
            </w:r>
            <w:r w:rsidRPr="004F6EF1">
              <w:rPr>
                <w:sz w:val="18"/>
                <w:szCs w:val="18"/>
              </w:rPr>
              <w:t>dent</w:t>
            </w:r>
            <w:r>
              <w:rPr>
                <w:sz w:val="18"/>
                <w:szCs w:val="18"/>
              </w:rPr>
              <w:t>ical condition exists in N</w:t>
            </w:r>
            <w:r>
              <w:rPr>
                <w:sz w:val="18"/>
                <w:szCs w:val="18"/>
              </w:rPr>
              <w:noBreakHyphen/>
              <w:t>754;</w:t>
            </w:r>
            <w:r w:rsidRPr="004F6EF1">
              <w:rPr>
                <w:sz w:val="18"/>
                <w:szCs w:val="18"/>
              </w:rPr>
              <w:t xml:space="preserve"> therefore</w:t>
            </w:r>
            <w:r>
              <w:rPr>
                <w:sz w:val="18"/>
                <w:szCs w:val="18"/>
              </w:rPr>
              <w:t>,</w:t>
            </w:r>
            <w:r w:rsidRPr="004F6EF1">
              <w:rPr>
                <w:sz w:val="18"/>
                <w:szCs w:val="18"/>
              </w:rPr>
              <w:t xml:space="preserve"> no incremental resources</w:t>
            </w:r>
            <w:r>
              <w:rPr>
                <w:sz w:val="18"/>
                <w:szCs w:val="18"/>
              </w:rPr>
              <w:t xml:space="preserve"> are expected.</w:t>
            </w:r>
          </w:p>
          <w:p w14:paraId="638FD3D0" w14:textId="77777777" w:rsidR="00D53E6F" w:rsidRPr="00C65F44" w:rsidRDefault="00D53E6F" w:rsidP="00E91144">
            <w:pPr>
              <w:pStyle w:val="ListParagraph"/>
              <w:numPr>
                <w:ilvl w:val="0"/>
                <w:numId w:val="31"/>
              </w:numPr>
              <w:rPr>
                <w:sz w:val="18"/>
                <w:szCs w:val="18"/>
              </w:rPr>
            </w:pPr>
            <w:r>
              <w:rPr>
                <w:sz w:val="18"/>
                <w:szCs w:val="18"/>
              </w:rPr>
              <w:t>An i</w:t>
            </w:r>
            <w:r w:rsidRPr="004F6EF1">
              <w:rPr>
                <w:sz w:val="18"/>
                <w:szCs w:val="18"/>
              </w:rPr>
              <w:t>dent</w:t>
            </w:r>
            <w:r>
              <w:rPr>
                <w:sz w:val="18"/>
                <w:szCs w:val="18"/>
              </w:rPr>
              <w:t>ical condition exists in N</w:t>
            </w:r>
            <w:r>
              <w:rPr>
                <w:sz w:val="18"/>
                <w:szCs w:val="18"/>
              </w:rPr>
              <w:noBreakHyphen/>
              <w:t>754;</w:t>
            </w:r>
            <w:r w:rsidRPr="004F6EF1">
              <w:rPr>
                <w:sz w:val="18"/>
                <w:szCs w:val="18"/>
              </w:rPr>
              <w:t xml:space="preserve"> therefore</w:t>
            </w:r>
            <w:r>
              <w:rPr>
                <w:sz w:val="18"/>
                <w:szCs w:val="18"/>
              </w:rPr>
              <w:t>,</w:t>
            </w:r>
            <w:r w:rsidRPr="004F6EF1">
              <w:rPr>
                <w:sz w:val="18"/>
                <w:szCs w:val="18"/>
              </w:rPr>
              <w:t xml:space="preserve"> no incremental resources</w:t>
            </w:r>
            <w:r>
              <w:rPr>
                <w:sz w:val="18"/>
                <w:szCs w:val="18"/>
              </w:rPr>
              <w:t xml:space="preserve"> are expected.</w:t>
            </w:r>
          </w:p>
        </w:tc>
      </w:tr>
      <w:tr w:rsidR="00D53E6F" w:rsidRPr="0018405A" w14:paraId="364C6D89" w14:textId="77777777" w:rsidTr="00E91144">
        <w:tc>
          <w:tcPr>
            <w:tcW w:w="1088" w:type="dxa"/>
            <w:shd w:val="clear" w:color="auto" w:fill="auto"/>
          </w:tcPr>
          <w:p w14:paraId="4D6B9BFB" w14:textId="77777777" w:rsidR="00D53E6F" w:rsidRPr="00703E62" w:rsidRDefault="00D53E6F" w:rsidP="00E91144">
            <w:pPr>
              <w:rPr>
                <w:sz w:val="18"/>
                <w:szCs w:val="18"/>
              </w:rPr>
            </w:pPr>
            <w:r>
              <w:rPr>
                <w:sz w:val="18"/>
                <w:szCs w:val="18"/>
              </w:rPr>
              <w:t>RG 1.147</w:t>
            </w:r>
          </w:p>
        </w:tc>
        <w:tc>
          <w:tcPr>
            <w:tcW w:w="1592" w:type="dxa"/>
            <w:shd w:val="clear" w:color="auto" w:fill="auto"/>
          </w:tcPr>
          <w:p w14:paraId="344BD8C1" w14:textId="77777777" w:rsidR="00D53E6F" w:rsidRDefault="00D53E6F" w:rsidP="00E91144">
            <w:pPr>
              <w:jc w:val="center"/>
              <w:rPr>
                <w:sz w:val="18"/>
                <w:szCs w:val="18"/>
              </w:rPr>
            </w:pPr>
            <w:r>
              <w:rPr>
                <w:sz w:val="18"/>
                <w:szCs w:val="18"/>
              </w:rPr>
              <w:t>N-766-1</w:t>
            </w:r>
          </w:p>
        </w:tc>
        <w:tc>
          <w:tcPr>
            <w:tcW w:w="4176" w:type="dxa"/>
            <w:shd w:val="clear" w:color="auto" w:fill="auto"/>
          </w:tcPr>
          <w:p w14:paraId="5CC74585" w14:textId="38FB1194" w:rsidR="00D53E6F" w:rsidRDefault="00D53E6F" w:rsidP="00E91144">
            <w:pPr>
              <w:pStyle w:val="ListParagraph"/>
              <w:numPr>
                <w:ilvl w:val="0"/>
                <w:numId w:val="32"/>
              </w:numPr>
              <w:rPr>
                <w:sz w:val="18"/>
                <w:szCs w:val="18"/>
              </w:rPr>
            </w:pPr>
            <w:r w:rsidRPr="003828B4">
              <w:rPr>
                <w:sz w:val="18"/>
                <w:szCs w:val="18"/>
              </w:rPr>
              <w:t xml:space="preserve">Credit cannot be taken to </w:t>
            </w:r>
            <w:r>
              <w:rPr>
                <w:sz w:val="18"/>
                <w:szCs w:val="18"/>
              </w:rPr>
              <w:t xml:space="preserve">reduce </w:t>
            </w:r>
            <w:r w:rsidRPr="008E3769">
              <w:rPr>
                <w:sz w:val="18"/>
                <w:szCs w:val="18"/>
              </w:rPr>
              <w:t xml:space="preserve">preservice and inservice inspection requirements specified by this Code </w:t>
            </w:r>
            <w:r>
              <w:rPr>
                <w:sz w:val="18"/>
                <w:szCs w:val="18"/>
              </w:rPr>
              <w:t xml:space="preserve">Case </w:t>
            </w:r>
            <w:r w:rsidRPr="003828B4">
              <w:rPr>
                <w:sz w:val="18"/>
                <w:szCs w:val="18"/>
              </w:rPr>
              <w:t>on an inlay or onlay if an inlay or onlay is applied to an Alloy</w:t>
            </w:r>
            <w:r>
              <w:rPr>
                <w:sz w:val="18"/>
                <w:szCs w:val="18"/>
              </w:rPr>
              <w:t> </w:t>
            </w:r>
            <w:r w:rsidRPr="003828B4">
              <w:rPr>
                <w:sz w:val="18"/>
                <w:szCs w:val="18"/>
              </w:rPr>
              <w:t xml:space="preserve">82/182 dissimilar metal weld </w:t>
            </w:r>
            <w:r w:rsidR="002F1D27">
              <w:rPr>
                <w:sz w:val="18"/>
                <w:szCs w:val="18"/>
              </w:rPr>
              <w:t>that</w:t>
            </w:r>
            <w:r w:rsidR="002F1D27" w:rsidRPr="003828B4">
              <w:rPr>
                <w:sz w:val="18"/>
                <w:szCs w:val="18"/>
              </w:rPr>
              <w:t xml:space="preserve"> </w:t>
            </w:r>
            <w:r w:rsidRPr="003828B4">
              <w:rPr>
                <w:sz w:val="18"/>
                <w:szCs w:val="18"/>
              </w:rPr>
              <w:t>contains an axial indication that has a depth of more than 25</w:t>
            </w:r>
            <w:r>
              <w:rPr>
                <w:sz w:val="18"/>
                <w:szCs w:val="18"/>
              </w:rPr>
              <w:t> </w:t>
            </w:r>
            <w:r w:rsidRPr="003828B4">
              <w:rPr>
                <w:sz w:val="18"/>
                <w:szCs w:val="18"/>
              </w:rPr>
              <w:t xml:space="preserve">percent of the pipe wall thickness and a length of more than </w:t>
            </w:r>
            <w:r w:rsidR="002F1D27">
              <w:rPr>
                <w:sz w:val="18"/>
                <w:szCs w:val="18"/>
              </w:rPr>
              <w:t>one-</w:t>
            </w:r>
            <w:r w:rsidRPr="003828B4">
              <w:rPr>
                <w:sz w:val="18"/>
                <w:szCs w:val="18"/>
              </w:rPr>
              <w:t xml:space="preserve">half </w:t>
            </w:r>
            <w:r w:rsidR="002F1D27">
              <w:rPr>
                <w:sz w:val="18"/>
                <w:szCs w:val="18"/>
              </w:rPr>
              <w:t xml:space="preserve">of the </w:t>
            </w:r>
            <w:r w:rsidRPr="003828B4">
              <w:rPr>
                <w:sz w:val="18"/>
                <w:szCs w:val="18"/>
              </w:rPr>
              <w:t>axial width of the dissimilar metal weld, or a circumferential indication that has a depth of more than 25</w:t>
            </w:r>
            <w:r>
              <w:rPr>
                <w:sz w:val="18"/>
                <w:szCs w:val="18"/>
              </w:rPr>
              <w:t> </w:t>
            </w:r>
            <w:r w:rsidRPr="003828B4">
              <w:rPr>
                <w:sz w:val="18"/>
                <w:szCs w:val="18"/>
              </w:rPr>
              <w:t>percent of the pipe wall thickness and a length of more than 20</w:t>
            </w:r>
            <w:r>
              <w:rPr>
                <w:sz w:val="18"/>
                <w:szCs w:val="18"/>
              </w:rPr>
              <w:t> </w:t>
            </w:r>
            <w:r w:rsidRPr="003828B4">
              <w:rPr>
                <w:sz w:val="18"/>
                <w:szCs w:val="18"/>
              </w:rPr>
              <w:t>percent of the circumference of the pipe.</w:t>
            </w:r>
          </w:p>
          <w:p w14:paraId="63C2DE40" w14:textId="3AB70D48" w:rsidR="00D53E6F" w:rsidRPr="00265B3C" w:rsidRDefault="00D53E6F" w:rsidP="00E91144">
            <w:pPr>
              <w:pStyle w:val="ListParagraph"/>
              <w:numPr>
                <w:ilvl w:val="0"/>
                <w:numId w:val="32"/>
              </w:numPr>
              <w:rPr>
                <w:sz w:val="18"/>
                <w:szCs w:val="18"/>
              </w:rPr>
            </w:pPr>
            <w:r w:rsidRPr="003828B4">
              <w:rPr>
                <w:bCs/>
                <w:sz w:val="18"/>
                <w:szCs w:val="18"/>
              </w:rPr>
              <w:t xml:space="preserve">In lieu of paragraph 2(e) of the </w:t>
            </w:r>
            <w:r>
              <w:rPr>
                <w:bCs/>
                <w:sz w:val="18"/>
                <w:szCs w:val="18"/>
              </w:rPr>
              <w:t>Code Case</w:t>
            </w:r>
            <w:r w:rsidRPr="003828B4">
              <w:rPr>
                <w:bCs/>
                <w:sz w:val="18"/>
                <w:szCs w:val="18"/>
              </w:rPr>
              <w:t>, pipe</w:t>
            </w:r>
            <w:r w:rsidR="002F1D27">
              <w:rPr>
                <w:bCs/>
                <w:sz w:val="18"/>
                <w:szCs w:val="18"/>
              </w:rPr>
              <w:t>s</w:t>
            </w:r>
            <w:r w:rsidRPr="003828B4">
              <w:rPr>
                <w:bCs/>
                <w:sz w:val="18"/>
                <w:szCs w:val="18"/>
              </w:rPr>
              <w:t xml:space="preserve"> with any thickness of inlay or onlay must be evaluated for weld shrinkage, pipe system flexibility, and additional weight of the inlay or onlay.</w:t>
            </w:r>
          </w:p>
          <w:p w14:paraId="45D51C69" w14:textId="3BF4BE6E" w:rsidR="00D53E6F" w:rsidRPr="00265B3C" w:rsidRDefault="00D53E6F" w:rsidP="00E91144">
            <w:pPr>
              <w:pStyle w:val="ListParagraph"/>
              <w:numPr>
                <w:ilvl w:val="0"/>
                <w:numId w:val="32"/>
              </w:numPr>
              <w:rPr>
                <w:sz w:val="18"/>
                <w:szCs w:val="18"/>
              </w:rPr>
            </w:pPr>
            <w:r w:rsidRPr="003828B4">
              <w:rPr>
                <w:bCs/>
                <w:sz w:val="18"/>
                <w:szCs w:val="18"/>
              </w:rPr>
              <w:t>If an inlay or onlay is applied to an Alloy</w:t>
            </w:r>
            <w:r>
              <w:rPr>
                <w:bCs/>
                <w:sz w:val="18"/>
                <w:szCs w:val="18"/>
              </w:rPr>
              <w:t> </w:t>
            </w:r>
            <w:r w:rsidRPr="003828B4">
              <w:rPr>
                <w:bCs/>
                <w:sz w:val="18"/>
                <w:szCs w:val="18"/>
              </w:rPr>
              <w:t xml:space="preserve">82/182 dissimilar metal weld </w:t>
            </w:r>
            <w:r w:rsidR="002F1D27">
              <w:rPr>
                <w:bCs/>
                <w:sz w:val="18"/>
                <w:szCs w:val="18"/>
              </w:rPr>
              <w:t>that</w:t>
            </w:r>
            <w:r w:rsidR="002F1D27" w:rsidRPr="003828B4">
              <w:rPr>
                <w:bCs/>
                <w:sz w:val="18"/>
                <w:szCs w:val="18"/>
              </w:rPr>
              <w:t xml:space="preserve"> </w:t>
            </w:r>
            <w:r w:rsidRPr="003828B4">
              <w:rPr>
                <w:bCs/>
                <w:sz w:val="18"/>
                <w:szCs w:val="18"/>
              </w:rPr>
              <w:t xml:space="preserve">contains an indication that exceeds the acceptance standards of </w:t>
            </w:r>
            <w:r w:rsidR="00497FFB">
              <w:rPr>
                <w:bCs/>
                <w:sz w:val="18"/>
                <w:szCs w:val="18"/>
              </w:rPr>
              <w:t xml:space="preserve">Section XI, </w:t>
            </w:r>
            <w:r w:rsidRPr="003828B4">
              <w:rPr>
                <w:bCs/>
                <w:sz w:val="18"/>
                <w:szCs w:val="18"/>
              </w:rPr>
              <w:t>IWB-3514 and</w:t>
            </w:r>
            <w:r w:rsidR="00497FFB">
              <w:rPr>
                <w:bCs/>
                <w:sz w:val="18"/>
                <w:szCs w:val="18"/>
              </w:rPr>
              <w:t xml:space="preserve"> that</w:t>
            </w:r>
            <w:r w:rsidRPr="003828B4">
              <w:rPr>
                <w:bCs/>
                <w:sz w:val="18"/>
                <w:szCs w:val="18"/>
              </w:rPr>
              <w:t xml:space="preserve"> is accepted for continued service in accordance with </w:t>
            </w:r>
            <w:r w:rsidR="00497FFB">
              <w:rPr>
                <w:bCs/>
                <w:sz w:val="18"/>
                <w:szCs w:val="18"/>
              </w:rPr>
              <w:t xml:space="preserve">Section XI, </w:t>
            </w:r>
            <w:r w:rsidRPr="003828B4">
              <w:rPr>
                <w:bCs/>
                <w:sz w:val="18"/>
                <w:szCs w:val="18"/>
              </w:rPr>
              <w:t>IWB</w:t>
            </w:r>
            <w:r>
              <w:rPr>
                <w:bCs/>
                <w:sz w:val="18"/>
                <w:szCs w:val="18"/>
              </w:rPr>
              <w:noBreakHyphen/>
            </w:r>
            <w:r w:rsidRPr="003828B4">
              <w:rPr>
                <w:bCs/>
                <w:sz w:val="18"/>
                <w:szCs w:val="18"/>
              </w:rPr>
              <w:t>3132.3 or IWB</w:t>
            </w:r>
            <w:r>
              <w:rPr>
                <w:bCs/>
                <w:sz w:val="18"/>
                <w:szCs w:val="18"/>
              </w:rPr>
              <w:noBreakHyphen/>
            </w:r>
            <w:r w:rsidRPr="003828B4">
              <w:rPr>
                <w:bCs/>
                <w:sz w:val="18"/>
                <w:szCs w:val="18"/>
              </w:rPr>
              <w:t>3142.4, the subject weld must be inspected in three successive examinations after inlay or onlay installation.</w:t>
            </w:r>
          </w:p>
          <w:p w14:paraId="1BAFB5D9" w14:textId="77777777" w:rsidR="00D53E6F" w:rsidRPr="00D92254" w:rsidRDefault="00D53E6F" w:rsidP="00E91144">
            <w:pPr>
              <w:pStyle w:val="ListParagraph"/>
              <w:numPr>
                <w:ilvl w:val="0"/>
                <w:numId w:val="32"/>
              </w:numPr>
              <w:rPr>
                <w:sz w:val="18"/>
                <w:szCs w:val="18"/>
              </w:rPr>
            </w:pPr>
            <w:r w:rsidRPr="003828B4">
              <w:rPr>
                <w:bCs/>
                <w:sz w:val="18"/>
                <w:szCs w:val="18"/>
              </w:rPr>
              <w:t>Any detectable subsurface indication discovered by eddy current testing in the inlay or onlay during acceptance examinations is prohibited to remain in service.</w:t>
            </w:r>
          </w:p>
          <w:p w14:paraId="3EE0072B" w14:textId="181F88FC" w:rsidR="00D53E6F" w:rsidRPr="00703E62" w:rsidRDefault="00D53E6F" w:rsidP="00497FFB">
            <w:pPr>
              <w:pStyle w:val="ListParagraph"/>
              <w:numPr>
                <w:ilvl w:val="0"/>
                <w:numId w:val="32"/>
              </w:numPr>
              <w:rPr>
                <w:sz w:val="18"/>
                <w:szCs w:val="18"/>
              </w:rPr>
            </w:pPr>
            <w:r w:rsidRPr="003828B4">
              <w:rPr>
                <w:bCs/>
                <w:sz w:val="18"/>
                <w:szCs w:val="18"/>
              </w:rPr>
              <w:t>The flaw analysis of paragraph</w:t>
            </w:r>
            <w:r>
              <w:rPr>
                <w:bCs/>
                <w:sz w:val="18"/>
                <w:szCs w:val="18"/>
              </w:rPr>
              <w:t> </w:t>
            </w:r>
            <w:r w:rsidRPr="003828B4">
              <w:rPr>
                <w:bCs/>
                <w:sz w:val="18"/>
                <w:szCs w:val="18"/>
              </w:rPr>
              <w:t xml:space="preserve">2(d) of the </w:t>
            </w:r>
            <w:r w:rsidR="00497FFB">
              <w:rPr>
                <w:bCs/>
                <w:sz w:val="18"/>
                <w:szCs w:val="18"/>
              </w:rPr>
              <w:t>Code C</w:t>
            </w:r>
            <w:r w:rsidRPr="003828B4">
              <w:rPr>
                <w:bCs/>
                <w:sz w:val="18"/>
                <w:szCs w:val="18"/>
              </w:rPr>
              <w:t xml:space="preserve">ase shall also consider primary water stress </w:t>
            </w:r>
            <w:r w:rsidR="00497FFB" w:rsidRPr="003828B4">
              <w:rPr>
                <w:bCs/>
                <w:sz w:val="18"/>
                <w:szCs w:val="18"/>
              </w:rPr>
              <w:t>corrosion</w:t>
            </w:r>
            <w:r w:rsidR="00497FFB">
              <w:rPr>
                <w:bCs/>
                <w:sz w:val="18"/>
                <w:szCs w:val="18"/>
              </w:rPr>
              <w:t>-</w:t>
            </w:r>
            <w:r w:rsidRPr="003828B4">
              <w:rPr>
                <w:bCs/>
                <w:sz w:val="18"/>
                <w:szCs w:val="18"/>
              </w:rPr>
              <w:t xml:space="preserve">cracking growth in the circumferential and axial directions, in accordance with </w:t>
            </w:r>
            <w:r w:rsidR="00497FFB">
              <w:rPr>
                <w:bCs/>
                <w:sz w:val="18"/>
                <w:szCs w:val="18"/>
              </w:rPr>
              <w:t xml:space="preserve">Section XI, </w:t>
            </w:r>
            <w:r w:rsidRPr="003828B4">
              <w:rPr>
                <w:bCs/>
                <w:sz w:val="18"/>
                <w:szCs w:val="18"/>
              </w:rPr>
              <w:t>IWB-3640.</w:t>
            </w:r>
          </w:p>
        </w:tc>
        <w:tc>
          <w:tcPr>
            <w:tcW w:w="2494" w:type="dxa"/>
            <w:shd w:val="clear" w:color="auto" w:fill="auto"/>
          </w:tcPr>
          <w:p w14:paraId="337FE572" w14:textId="77777777" w:rsidR="00D53E6F" w:rsidRDefault="00D53E6F" w:rsidP="00E91144">
            <w:pPr>
              <w:pStyle w:val="ListParagraph"/>
              <w:numPr>
                <w:ilvl w:val="0"/>
                <w:numId w:val="33"/>
              </w:numPr>
              <w:rPr>
                <w:sz w:val="18"/>
                <w:szCs w:val="18"/>
              </w:rPr>
            </w:pPr>
            <w:r w:rsidRPr="00C073BB">
              <w:rPr>
                <w:sz w:val="18"/>
                <w:szCs w:val="18"/>
              </w:rPr>
              <w:t>Incremental resources</w:t>
            </w:r>
            <w:r>
              <w:rPr>
                <w:sz w:val="18"/>
                <w:szCs w:val="18"/>
              </w:rPr>
              <w:t xml:space="preserve"> are needed </w:t>
            </w:r>
            <w:r w:rsidRPr="00C073BB">
              <w:rPr>
                <w:sz w:val="18"/>
                <w:szCs w:val="18"/>
              </w:rPr>
              <w:t xml:space="preserve">to use </w:t>
            </w:r>
            <w:r>
              <w:rPr>
                <w:sz w:val="18"/>
                <w:szCs w:val="18"/>
              </w:rPr>
              <w:t>N</w:t>
            </w:r>
            <w:r>
              <w:rPr>
                <w:sz w:val="18"/>
                <w:szCs w:val="18"/>
              </w:rPr>
              <w:noBreakHyphen/>
              <w:t>754-1</w:t>
            </w:r>
            <w:r w:rsidRPr="00C073BB">
              <w:rPr>
                <w:sz w:val="18"/>
                <w:szCs w:val="18"/>
              </w:rPr>
              <w:t xml:space="preserve"> for </w:t>
            </w:r>
            <w:r>
              <w:rPr>
                <w:sz w:val="18"/>
                <w:szCs w:val="18"/>
              </w:rPr>
              <w:t>welds that do not meet these requirements.</w:t>
            </w:r>
          </w:p>
          <w:p w14:paraId="4C9224AC" w14:textId="77777777" w:rsidR="00D53E6F" w:rsidRDefault="00D53E6F" w:rsidP="00E91144">
            <w:pPr>
              <w:pStyle w:val="ListParagraph"/>
              <w:numPr>
                <w:ilvl w:val="0"/>
                <w:numId w:val="33"/>
              </w:numPr>
              <w:rPr>
                <w:sz w:val="18"/>
                <w:szCs w:val="18"/>
              </w:rPr>
            </w:pPr>
            <w:r>
              <w:rPr>
                <w:sz w:val="18"/>
                <w:szCs w:val="18"/>
              </w:rPr>
              <w:t>This condition clarifies the weld examination process; therefore, no incremental resources are expected.</w:t>
            </w:r>
          </w:p>
          <w:p w14:paraId="1D95C7A8" w14:textId="77777777" w:rsidR="00D53E6F" w:rsidRDefault="00D53E6F" w:rsidP="00E91144">
            <w:pPr>
              <w:pStyle w:val="ListParagraph"/>
              <w:numPr>
                <w:ilvl w:val="0"/>
                <w:numId w:val="33"/>
              </w:numPr>
              <w:rPr>
                <w:sz w:val="18"/>
                <w:szCs w:val="18"/>
              </w:rPr>
            </w:pPr>
            <w:r>
              <w:rPr>
                <w:sz w:val="18"/>
                <w:szCs w:val="18"/>
              </w:rPr>
              <w:t>This condition clarifies the existing requirements; therefore, no incremental resources are expected.</w:t>
            </w:r>
          </w:p>
          <w:p w14:paraId="16194476" w14:textId="77777777" w:rsidR="00D53E6F" w:rsidRDefault="00D53E6F" w:rsidP="00E91144">
            <w:pPr>
              <w:pStyle w:val="ListParagraph"/>
              <w:numPr>
                <w:ilvl w:val="0"/>
                <w:numId w:val="33"/>
              </w:numPr>
              <w:rPr>
                <w:sz w:val="18"/>
                <w:szCs w:val="18"/>
              </w:rPr>
            </w:pPr>
            <w:r>
              <w:rPr>
                <w:sz w:val="18"/>
                <w:szCs w:val="18"/>
              </w:rPr>
              <w:t>This condition clarifies the expectations of the welding process; therefore, no incremental resources are expected.</w:t>
            </w:r>
          </w:p>
          <w:p w14:paraId="626420D5" w14:textId="388D1341" w:rsidR="00D53E6F" w:rsidRPr="00703E62" w:rsidRDefault="00D53E6F" w:rsidP="00E91144">
            <w:pPr>
              <w:pStyle w:val="ListParagraph"/>
              <w:numPr>
                <w:ilvl w:val="0"/>
                <w:numId w:val="33"/>
              </w:numPr>
              <w:rPr>
                <w:sz w:val="18"/>
                <w:szCs w:val="18"/>
              </w:rPr>
            </w:pPr>
            <w:r>
              <w:rPr>
                <w:sz w:val="18"/>
                <w:szCs w:val="18"/>
              </w:rPr>
              <w:t>This condition clarifies the expectations of Paragraph 2d of the Code Case; therefore, no incremental resources are expected.</w:t>
            </w:r>
          </w:p>
        </w:tc>
      </w:tr>
      <w:tr w:rsidR="00D53E6F" w:rsidRPr="0018405A" w14:paraId="013CBD78" w14:textId="77777777" w:rsidTr="00E91144">
        <w:tc>
          <w:tcPr>
            <w:tcW w:w="1088" w:type="dxa"/>
            <w:shd w:val="clear" w:color="auto" w:fill="auto"/>
          </w:tcPr>
          <w:p w14:paraId="2D12F8A9" w14:textId="77777777" w:rsidR="00D53E6F" w:rsidRPr="00703E62" w:rsidRDefault="00D53E6F" w:rsidP="00E91144">
            <w:pPr>
              <w:rPr>
                <w:sz w:val="18"/>
                <w:szCs w:val="18"/>
              </w:rPr>
            </w:pPr>
            <w:r>
              <w:rPr>
                <w:sz w:val="18"/>
                <w:szCs w:val="18"/>
              </w:rPr>
              <w:t>RG 1.147</w:t>
            </w:r>
          </w:p>
        </w:tc>
        <w:tc>
          <w:tcPr>
            <w:tcW w:w="1592" w:type="dxa"/>
            <w:shd w:val="clear" w:color="auto" w:fill="auto"/>
          </w:tcPr>
          <w:p w14:paraId="4BDA47B5" w14:textId="77777777" w:rsidR="00D53E6F" w:rsidRDefault="00D53E6F" w:rsidP="00E91144">
            <w:pPr>
              <w:jc w:val="center"/>
              <w:rPr>
                <w:sz w:val="18"/>
                <w:szCs w:val="18"/>
              </w:rPr>
            </w:pPr>
            <w:r>
              <w:rPr>
                <w:sz w:val="18"/>
                <w:szCs w:val="18"/>
              </w:rPr>
              <w:t>N-824</w:t>
            </w:r>
          </w:p>
        </w:tc>
        <w:tc>
          <w:tcPr>
            <w:tcW w:w="4176" w:type="dxa"/>
            <w:shd w:val="clear" w:color="auto" w:fill="auto"/>
          </w:tcPr>
          <w:p w14:paraId="0FFDBC34" w14:textId="2AE70F78" w:rsidR="00D53E6F" w:rsidRDefault="00D53E6F" w:rsidP="00E91144">
            <w:pPr>
              <w:pStyle w:val="ListParagraph"/>
              <w:numPr>
                <w:ilvl w:val="0"/>
                <w:numId w:val="34"/>
              </w:numPr>
              <w:rPr>
                <w:sz w:val="18"/>
                <w:szCs w:val="18"/>
              </w:rPr>
            </w:pPr>
            <w:r w:rsidRPr="0056336F">
              <w:rPr>
                <w:sz w:val="18"/>
                <w:szCs w:val="18"/>
              </w:rPr>
              <w:t>Instead of Paragraph 1(c)(1)(–c)(–2), licensees shall use a phased array search unit with a center frequency of 500</w:t>
            </w:r>
            <w:r>
              <w:rPr>
                <w:sz w:val="18"/>
                <w:szCs w:val="18"/>
              </w:rPr>
              <w:t> kilohertz (</w:t>
            </w:r>
            <w:r w:rsidRPr="0056336F">
              <w:rPr>
                <w:sz w:val="18"/>
                <w:szCs w:val="18"/>
              </w:rPr>
              <w:t>kHz</w:t>
            </w:r>
            <w:r>
              <w:rPr>
                <w:sz w:val="18"/>
                <w:szCs w:val="18"/>
              </w:rPr>
              <w:t>)</w:t>
            </w:r>
            <w:r w:rsidRPr="0056336F">
              <w:rPr>
                <w:sz w:val="18"/>
                <w:szCs w:val="18"/>
              </w:rPr>
              <w:t xml:space="preserve"> with a tolerance of ±</w:t>
            </w:r>
            <w:r>
              <w:rPr>
                <w:sz w:val="18"/>
                <w:szCs w:val="18"/>
              </w:rPr>
              <w:t> </w:t>
            </w:r>
            <w:r w:rsidRPr="0056336F">
              <w:rPr>
                <w:sz w:val="18"/>
                <w:szCs w:val="18"/>
              </w:rPr>
              <w:t>20 percent</w:t>
            </w:r>
            <w:r w:rsidR="00497FFB">
              <w:rPr>
                <w:sz w:val="18"/>
                <w:szCs w:val="18"/>
              </w:rPr>
              <w:t xml:space="preserve"> for piping greater than 1.6 in (41 mm) thick</w:t>
            </w:r>
            <w:r w:rsidRPr="0056336F">
              <w:rPr>
                <w:sz w:val="18"/>
                <w:szCs w:val="18"/>
              </w:rPr>
              <w:t>.</w:t>
            </w:r>
          </w:p>
          <w:p w14:paraId="1429DB61" w14:textId="23A25FA9" w:rsidR="00D53E6F" w:rsidRDefault="00D53E6F" w:rsidP="00497FFB">
            <w:pPr>
              <w:pStyle w:val="ListParagraph"/>
              <w:numPr>
                <w:ilvl w:val="0"/>
                <w:numId w:val="34"/>
              </w:numPr>
              <w:rPr>
                <w:sz w:val="18"/>
                <w:szCs w:val="18"/>
              </w:rPr>
            </w:pPr>
            <w:r w:rsidRPr="0056336F">
              <w:rPr>
                <w:sz w:val="18"/>
                <w:szCs w:val="18"/>
              </w:rPr>
              <w:t>Instead of Paragraph 1(c)(1)(–d), the phased array search unit must produce angles including</w:t>
            </w:r>
            <w:r w:rsidR="00497FFB">
              <w:rPr>
                <w:sz w:val="18"/>
                <w:szCs w:val="18"/>
              </w:rPr>
              <w:t xml:space="preserve"> those at</w:t>
            </w:r>
            <w:r w:rsidRPr="0056336F">
              <w:rPr>
                <w:sz w:val="18"/>
                <w:szCs w:val="18"/>
              </w:rPr>
              <w:t xml:space="preserve">, but not limited to, 30 to 55 degrees with a maximum increment of </w:t>
            </w:r>
            <w:r w:rsidR="00497FFB" w:rsidRPr="0056336F">
              <w:rPr>
                <w:sz w:val="18"/>
                <w:szCs w:val="18"/>
              </w:rPr>
              <w:t>5</w:t>
            </w:r>
            <w:r w:rsidR="00497FFB">
              <w:rPr>
                <w:sz w:val="18"/>
                <w:szCs w:val="18"/>
              </w:rPr>
              <w:t> </w:t>
            </w:r>
            <w:r w:rsidRPr="0056336F">
              <w:rPr>
                <w:sz w:val="18"/>
                <w:szCs w:val="18"/>
              </w:rPr>
              <w:t>degrees.</w:t>
            </w:r>
          </w:p>
        </w:tc>
        <w:tc>
          <w:tcPr>
            <w:tcW w:w="2494" w:type="dxa"/>
            <w:shd w:val="clear" w:color="auto" w:fill="auto"/>
          </w:tcPr>
          <w:p w14:paraId="24D1CC77" w14:textId="77777777" w:rsidR="00D53E6F" w:rsidRDefault="00D53E6F" w:rsidP="00E91144">
            <w:pPr>
              <w:pStyle w:val="ListParagraph"/>
              <w:numPr>
                <w:ilvl w:val="0"/>
                <w:numId w:val="35"/>
              </w:numPr>
              <w:rPr>
                <w:sz w:val="18"/>
                <w:szCs w:val="18"/>
              </w:rPr>
            </w:pPr>
            <w:r>
              <w:rPr>
                <w:sz w:val="18"/>
                <w:szCs w:val="18"/>
              </w:rPr>
              <w:t>This condition is already incorporated by reference into 10 CFR 50.55a; therefore, no incremental resources are expected.</w:t>
            </w:r>
          </w:p>
          <w:p w14:paraId="1F9DBBDD" w14:textId="77777777" w:rsidR="00D53E6F" w:rsidRPr="00C073BB" w:rsidRDefault="00D53E6F" w:rsidP="00E91144">
            <w:pPr>
              <w:pStyle w:val="ListParagraph"/>
              <w:numPr>
                <w:ilvl w:val="0"/>
                <w:numId w:val="35"/>
              </w:numPr>
              <w:rPr>
                <w:sz w:val="18"/>
                <w:szCs w:val="18"/>
              </w:rPr>
            </w:pPr>
            <w:r>
              <w:rPr>
                <w:sz w:val="18"/>
                <w:szCs w:val="18"/>
              </w:rPr>
              <w:t>The condition is already incorporated by reference into 10 CFR 50.55a; therefore, no incremental resources are expected.</w:t>
            </w:r>
          </w:p>
        </w:tc>
      </w:tr>
      <w:tr w:rsidR="00D53E6F" w:rsidRPr="0018405A" w14:paraId="55572BEE" w14:textId="77777777" w:rsidTr="00E91144">
        <w:tc>
          <w:tcPr>
            <w:tcW w:w="1088" w:type="dxa"/>
            <w:shd w:val="clear" w:color="auto" w:fill="auto"/>
          </w:tcPr>
          <w:p w14:paraId="123D5035" w14:textId="77777777" w:rsidR="00D53E6F" w:rsidRPr="00703E62" w:rsidRDefault="00D53E6F" w:rsidP="00E91144">
            <w:pPr>
              <w:rPr>
                <w:sz w:val="18"/>
                <w:szCs w:val="18"/>
              </w:rPr>
            </w:pPr>
            <w:r>
              <w:rPr>
                <w:sz w:val="18"/>
                <w:szCs w:val="18"/>
              </w:rPr>
              <w:t>RG 1.147</w:t>
            </w:r>
          </w:p>
        </w:tc>
        <w:tc>
          <w:tcPr>
            <w:tcW w:w="1592" w:type="dxa"/>
            <w:shd w:val="clear" w:color="auto" w:fill="auto"/>
          </w:tcPr>
          <w:p w14:paraId="553AA9CA" w14:textId="77777777" w:rsidR="00D53E6F" w:rsidRDefault="00D53E6F" w:rsidP="00E91144">
            <w:pPr>
              <w:jc w:val="center"/>
              <w:rPr>
                <w:sz w:val="18"/>
                <w:szCs w:val="18"/>
              </w:rPr>
            </w:pPr>
            <w:r>
              <w:rPr>
                <w:sz w:val="18"/>
                <w:szCs w:val="18"/>
              </w:rPr>
              <w:t>N-829</w:t>
            </w:r>
          </w:p>
        </w:tc>
        <w:tc>
          <w:tcPr>
            <w:tcW w:w="4176" w:type="dxa"/>
            <w:shd w:val="clear" w:color="auto" w:fill="auto"/>
          </w:tcPr>
          <w:p w14:paraId="469099FD" w14:textId="77777777" w:rsidR="00D53E6F" w:rsidRPr="00703E62" w:rsidRDefault="00D53E6F" w:rsidP="00E91144">
            <w:pPr>
              <w:pStyle w:val="ListParagraph"/>
              <w:numPr>
                <w:ilvl w:val="0"/>
                <w:numId w:val="49"/>
              </w:numPr>
              <w:rPr>
                <w:sz w:val="18"/>
                <w:szCs w:val="18"/>
              </w:rPr>
            </w:pPr>
            <w:r>
              <w:rPr>
                <w:sz w:val="18"/>
                <w:szCs w:val="18"/>
              </w:rPr>
              <w:t>T</w:t>
            </w:r>
            <w:r w:rsidRPr="00E862E1">
              <w:rPr>
                <w:sz w:val="18"/>
                <w:szCs w:val="18"/>
              </w:rPr>
              <w:t xml:space="preserve">he provisions of </w:t>
            </w:r>
            <w:r>
              <w:rPr>
                <w:sz w:val="18"/>
                <w:szCs w:val="18"/>
              </w:rPr>
              <w:t xml:space="preserve">this Code Case, </w:t>
            </w:r>
            <w:r w:rsidRPr="00E862E1">
              <w:rPr>
                <w:sz w:val="18"/>
                <w:szCs w:val="18"/>
              </w:rPr>
              <w:t>paragraph</w:t>
            </w:r>
            <w:r>
              <w:rPr>
                <w:sz w:val="18"/>
                <w:szCs w:val="18"/>
              </w:rPr>
              <w:t> </w:t>
            </w:r>
            <w:r w:rsidRPr="00E862E1">
              <w:rPr>
                <w:sz w:val="18"/>
                <w:szCs w:val="18"/>
              </w:rPr>
              <w:t>3(e)(2) or 3(e)(3) may only be used when it is impractical to use the interpass temperature measurement methods described in paragraph</w:t>
            </w:r>
            <w:r>
              <w:rPr>
                <w:sz w:val="18"/>
                <w:szCs w:val="18"/>
              </w:rPr>
              <w:t> </w:t>
            </w:r>
            <w:r w:rsidRPr="00E862E1">
              <w:rPr>
                <w:sz w:val="18"/>
                <w:szCs w:val="18"/>
              </w:rPr>
              <w:t>3(e)(1), such as in situations where the weldment area is inaccessible</w:t>
            </w:r>
            <w:r>
              <w:rPr>
                <w:sz w:val="18"/>
                <w:szCs w:val="18"/>
              </w:rPr>
              <w:t xml:space="preserve"> </w:t>
            </w:r>
            <w:r w:rsidRPr="00E862E1">
              <w:rPr>
                <w:sz w:val="18"/>
                <w:szCs w:val="18"/>
              </w:rPr>
              <w:t>or when there are extenuating radiological conditions</w:t>
            </w:r>
            <w:r>
              <w:rPr>
                <w:sz w:val="18"/>
                <w:szCs w:val="18"/>
              </w:rPr>
              <w:t>.</w:t>
            </w:r>
          </w:p>
        </w:tc>
        <w:tc>
          <w:tcPr>
            <w:tcW w:w="2494" w:type="dxa"/>
            <w:shd w:val="clear" w:color="auto" w:fill="auto"/>
          </w:tcPr>
          <w:p w14:paraId="34705AC6" w14:textId="77777777" w:rsidR="00D53E6F" w:rsidRPr="00703E62" w:rsidRDefault="00D53E6F" w:rsidP="00E91144">
            <w:pPr>
              <w:pStyle w:val="ListParagraph"/>
              <w:numPr>
                <w:ilvl w:val="0"/>
                <w:numId w:val="50"/>
              </w:numPr>
              <w:rPr>
                <w:sz w:val="18"/>
                <w:szCs w:val="18"/>
              </w:rPr>
            </w:pPr>
            <w:r>
              <w:rPr>
                <w:sz w:val="18"/>
                <w:szCs w:val="18"/>
              </w:rPr>
              <w:t>There is no appreciable cost difference between the temperature measurement techniques of these paragraphs; therefore, no incremental resources are expected.</w:t>
            </w:r>
          </w:p>
        </w:tc>
      </w:tr>
      <w:tr w:rsidR="00D53E6F" w:rsidRPr="0018405A" w14:paraId="29D7F72B" w14:textId="77777777" w:rsidTr="00E91144">
        <w:tc>
          <w:tcPr>
            <w:tcW w:w="1088" w:type="dxa"/>
            <w:shd w:val="clear" w:color="auto" w:fill="auto"/>
          </w:tcPr>
          <w:p w14:paraId="0C3D26AD" w14:textId="77777777" w:rsidR="00D53E6F" w:rsidRPr="00703E62" w:rsidRDefault="00D53E6F" w:rsidP="00E91144">
            <w:pPr>
              <w:rPr>
                <w:sz w:val="18"/>
                <w:szCs w:val="18"/>
              </w:rPr>
            </w:pPr>
            <w:r>
              <w:rPr>
                <w:sz w:val="18"/>
                <w:szCs w:val="18"/>
              </w:rPr>
              <w:t>RG 1.147</w:t>
            </w:r>
          </w:p>
        </w:tc>
        <w:tc>
          <w:tcPr>
            <w:tcW w:w="1592" w:type="dxa"/>
            <w:shd w:val="clear" w:color="auto" w:fill="auto"/>
          </w:tcPr>
          <w:p w14:paraId="21016CD4" w14:textId="77777777" w:rsidR="00D53E6F" w:rsidRDefault="00D53E6F" w:rsidP="00E91144">
            <w:pPr>
              <w:jc w:val="center"/>
              <w:rPr>
                <w:sz w:val="18"/>
                <w:szCs w:val="18"/>
              </w:rPr>
            </w:pPr>
            <w:r>
              <w:rPr>
                <w:sz w:val="18"/>
                <w:szCs w:val="18"/>
              </w:rPr>
              <w:t>N-830</w:t>
            </w:r>
          </w:p>
        </w:tc>
        <w:tc>
          <w:tcPr>
            <w:tcW w:w="4176" w:type="dxa"/>
            <w:shd w:val="clear" w:color="auto" w:fill="auto"/>
          </w:tcPr>
          <w:p w14:paraId="4EB8BA69" w14:textId="6849D32A" w:rsidR="00D53E6F" w:rsidRPr="00703E62" w:rsidRDefault="00D53E6F" w:rsidP="00497FFB">
            <w:pPr>
              <w:pStyle w:val="ListParagraph"/>
              <w:numPr>
                <w:ilvl w:val="0"/>
                <w:numId w:val="36"/>
              </w:numPr>
              <w:rPr>
                <w:sz w:val="18"/>
                <w:szCs w:val="18"/>
              </w:rPr>
            </w:pPr>
            <w:r>
              <w:rPr>
                <w:sz w:val="18"/>
                <w:szCs w:val="18"/>
              </w:rPr>
              <w:t>T</w:t>
            </w:r>
            <w:r w:rsidRPr="00E862E1">
              <w:rPr>
                <w:sz w:val="18"/>
                <w:szCs w:val="18"/>
              </w:rPr>
              <w:t>he use of the provision in Paragraph (f) of the Code Case</w:t>
            </w:r>
            <w:r w:rsidR="00497FFB">
              <w:rPr>
                <w:sz w:val="18"/>
                <w:szCs w:val="18"/>
              </w:rPr>
              <w:t>, which provides</w:t>
            </w:r>
            <w:r w:rsidRPr="00E862E1">
              <w:rPr>
                <w:sz w:val="18"/>
                <w:szCs w:val="18"/>
              </w:rPr>
              <w:t xml:space="preserve"> for an alternative to limiting the lower shelf of the 95%</w:t>
            </w:r>
            <w:r>
              <w:rPr>
                <w:sz w:val="18"/>
                <w:szCs w:val="18"/>
              </w:rPr>
              <w:t> </w:t>
            </w:r>
            <w:r w:rsidRPr="00E862E1">
              <w:rPr>
                <w:sz w:val="18"/>
                <w:szCs w:val="18"/>
              </w:rPr>
              <w:t>lower tolerance bound Master Curve toughness, K</w:t>
            </w:r>
            <w:r w:rsidRPr="00C80453">
              <w:rPr>
                <w:sz w:val="18"/>
                <w:szCs w:val="18"/>
                <w:vertAlign w:val="subscript"/>
              </w:rPr>
              <w:t>JC</w:t>
            </w:r>
            <w:r w:rsidRPr="00E862E1">
              <w:rPr>
                <w:sz w:val="18"/>
                <w:szCs w:val="18"/>
              </w:rPr>
              <w:t xml:space="preserve">-lower 95%, to a value consistent with the </w:t>
            </w:r>
            <w:r w:rsidRPr="00946502">
              <w:rPr>
                <w:sz w:val="18"/>
                <w:szCs w:val="18"/>
              </w:rPr>
              <w:t xml:space="preserve">current plane strain fracture toughness </w:t>
            </w:r>
            <w:r>
              <w:rPr>
                <w:sz w:val="18"/>
                <w:szCs w:val="18"/>
              </w:rPr>
              <w:t>(</w:t>
            </w:r>
            <w:r w:rsidRPr="00946502">
              <w:rPr>
                <w:sz w:val="18"/>
                <w:szCs w:val="18"/>
              </w:rPr>
              <w:t>K</w:t>
            </w:r>
            <w:r w:rsidRPr="00C80453">
              <w:rPr>
                <w:sz w:val="18"/>
                <w:szCs w:val="18"/>
                <w:vertAlign w:val="subscript"/>
              </w:rPr>
              <w:t>IC</w:t>
            </w:r>
            <w:r>
              <w:rPr>
                <w:sz w:val="18"/>
                <w:szCs w:val="18"/>
              </w:rPr>
              <w:t>)</w:t>
            </w:r>
            <w:r w:rsidRPr="00E862E1">
              <w:rPr>
                <w:sz w:val="18"/>
                <w:szCs w:val="18"/>
              </w:rPr>
              <w:t xml:space="preserve"> curve is prohibited</w:t>
            </w:r>
            <w:r>
              <w:rPr>
                <w:sz w:val="18"/>
                <w:szCs w:val="18"/>
              </w:rPr>
              <w:t>.</w:t>
            </w:r>
          </w:p>
        </w:tc>
        <w:tc>
          <w:tcPr>
            <w:tcW w:w="2494" w:type="dxa"/>
            <w:shd w:val="clear" w:color="auto" w:fill="auto"/>
          </w:tcPr>
          <w:p w14:paraId="1FD42D3B" w14:textId="77777777" w:rsidR="00D53E6F" w:rsidRPr="00703E62" w:rsidRDefault="00D53E6F" w:rsidP="00E91144">
            <w:pPr>
              <w:pStyle w:val="ListParagraph"/>
              <w:numPr>
                <w:ilvl w:val="0"/>
                <w:numId w:val="37"/>
              </w:numPr>
              <w:rPr>
                <w:sz w:val="18"/>
                <w:szCs w:val="18"/>
              </w:rPr>
            </w:pPr>
            <w:r>
              <w:rPr>
                <w:sz w:val="18"/>
                <w:szCs w:val="18"/>
              </w:rPr>
              <w:t>This condition clarifies the use of the provision in Paragraph (f) of N</w:t>
            </w:r>
            <w:r>
              <w:rPr>
                <w:sz w:val="18"/>
                <w:szCs w:val="18"/>
              </w:rPr>
              <w:noBreakHyphen/>
              <w:t>830 to ensure that the analysis uses a single methodology applied to the entire curve; therefore, no incremental resources are expected.</w:t>
            </w:r>
          </w:p>
        </w:tc>
      </w:tr>
      <w:tr w:rsidR="00D53E6F" w:rsidRPr="0018405A" w14:paraId="65A03AAA" w14:textId="77777777" w:rsidTr="00E91144">
        <w:tc>
          <w:tcPr>
            <w:tcW w:w="1088" w:type="dxa"/>
            <w:shd w:val="clear" w:color="auto" w:fill="auto"/>
          </w:tcPr>
          <w:p w14:paraId="5D31F214" w14:textId="77777777" w:rsidR="00D53E6F" w:rsidRPr="00703E62" w:rsidRDefault="00D53E6F" w:rsidP="00E91144">
            <w:pPr>
              <w:rPr>
                <w:sz w:val="18"/>
                <w:szCs w:val="18"/>
              </w:rPr>
            </w:pPr>
            <w:r>
              <w:rPr>
                <w:sz w:val="18"/>
                <w:szCs w:val="18"/>
              </w:rPr>
              <w:t>RG 1.147</w:t>
            </w:r>
          </w:p>
        </w:tc>
        <w:tc>
          <w:tcPr>
            <w:tcW w:w="1592" w:type="dxa"/>
            <w:shd w:val="clear" w:color="auto" w:fill="auto"/>
          </w:tcPr>
          <w:p w14:paraId="6020D1B7" w14:textId="77777777" w:rsidR="00D53E6F" w:rsidRDefault="00D53E6F" w:rsidP="00E91144">
            <w:pPr>
              <w:jc w:val="center"/>
              <w:rPr>
                <w:sz w:val="18"/>
                <w:szCs w:val="18"/>
              </w:rPr>
            </w:pPr>
            <w:r>
              <w:rPr>
                <w:sz w:val="18"/>
                <w:szCs w:val="18"/>
              </w:rPr>
              <w:t>N-831</w:t>
            </w:r>
          </w:p>
        </w:tc>
        <w:tc>
          <w:tcPr>
            <w:tcW w:w="4176" w:type="dxa"/>
            <w:shd w:val="clear" w:color="auto" w:fill="auto"/>
          </w:tcPr>
          <w:p w14:paraId="661A3B43" w14:textId="77777777" w:rsidR="00D53E6F" w:rsidRPr="00703E62" w:rsidRDefault="00D53E6F" w:rsidP="00E91144">
            <w:pPr>
              <w:pStyle w:val="ListParagraph"/>
              <w:numPr>
                <w:ilvl w:val="0"/>
                <w:numId w:val="38"/>
              </w:numPr>
              <w:rPr>
                <w:sz w:val="18"/>
                <w:szCs w:val="18"/>
              </w:rPr>
            </w:pPr>
            <w:r>
              <w:rPr>
                <w:sz w:val="18"/>
                <w:szCs w:val="18"/>
              </w:rPr>
              <w:t xml:space="preserve">The Code Case </w:t>
            </w:r>
            <w:r w:rsidRPr="00AD47CF">
              <w:rPr>
                <w:sz w:val="18"/>
                <w:szCs w:val="18"/>
              </w:rPr>
              <w:t>is prohibited for use in new reactor construction</w:t>
            </w:r>
            <w:r>
              <w:rPr>
                <w:sz w:val="18"/>
                <w:szCs w:val="18"/>
              </w:rPr>
              <w:t>.</w:t>
            </w:r>
          </w:p>
        </w:tc>
        <w:tc>
          <w:tcPr>
            <w:tcW w:w="2494" w:type="dxa"/>
            <w:shd w:val="clear" w:color="auto" w:fill="auto"/>
          </w:tcPr>
          <w:p w14:paraId="176054C1" w14:textId="77777777" w:rsidR="00D53E6F" w:rsidRPr="00703E62" w:rsidRDefault="00D53E6F" w:rsidP="00E91144">
            <w:pPr>
              <w:pStyle w:val="ListParagraph"/>
              <w:numPr>
                <w:ilvl w:val="0"/>
                <w:numId w:val="39"/>
              </w:numPr>
              <w:rPr>
                <w:sz w:val="18"/>
                <w:szCs w:val="18"/>
              </w:rPr>
            </w:pPr>
            <w:r>
              <w:rPr>
                <w:sz w:val="18"/>
                <w:szCs w:val="18"/>
              </w:rPr>
              <w:t>New reactors can use radiography instead of N</w:t>
            </w:r>
            <w:r>
              <w:rPr>
                <w:sz w:val="18"/>
                <w:szCs w:val="18"/>
              </w:rPr>
              <w:noBreakHyphen/>
              <w:t>831; therefore, no incremental costs or resources are expected because shutting down or lengthening an outage would not be necessary.</w:t>
            </w:r>
          </w:p>
        </w:tc>
      </w:tr>
      <w:tr w:rsidR="00D53E6F" w14:paraId="2F6A4AFC" w14:textId="77777777" w:rsidTr="00E91144">
        <w:tc>
          <w:tcPr>
            <w:tcW w:w="1088" w:type="dxa"/>
            <w:shd w:val="clear" w:color="auto" w:fill="auto"/>
          </w:tcPr>
          <w:p w14:paraId="4EF781B2" w14:textId="77777777" w:rsidR="00D53E6F" w:rsidRDefault="00D53E6F" w:rsidP="00E91144">
            <w:pPr>
              <w:rPr>
                <w:sz w:val="18"/>
                <w:szCs w:val="18"/>
              </w:rPr>
            </w:pPr>
            <w:r>
              <w:rPr>
                <w:sz w:val="18"/>
                <w:szCs w:val="18"/>
              </w:rPr>
              <w:t>RG 1.147</w:t>
            </w:r>
          </w:p>
        </w:tc>
        <w:tc>
          <w:tcPr>
            <w:tcW w:w="1592" w:type="dxa"/>
            <w:shd w:val="clear" w:color="auto" w:fill="auto"/>
          </w:tcPr>
          <w:p w14:paraId="08375FC3" w14:textId="77777777" w:rsidR="00D53E6F" w:rsidRDefault="00D53E6F" w:rsidP="00E91144">
            <w:pPr>
              <w:jc w:val="center"/>
              <w:rPr>
                <w:bCs/>
                <w:sz w:val="18"/>
                <w:szCs w:val="18"/>
              </w:rPr>
            </w:pPr>
            <w:r>
              <w:rPr>
                <w:bCs/>
                <w:sz w:val="18"/>
                <w:szCs w:val="18"/>
              </w:rPr>
              <w:t>N-838</w:t>
            </w:r>
          </w:p>
        </w:tc>
        <w:tc>
          <w:tcPr>
            <w:tcW w:w="4176" w:type="dxa"/>
            <w:shd w:val="clear" w:color="auto" w:fill="auto"/>
          </w:tcPr>
          <w:p w14:paraId="4F616400" w14:textId="77777777" w:rsidR="00D53E6F" w:rsidRPr="0056336F" w:rsidRDefault="00D53E6F" w:rsidP="00E91144">
            <w:pPr>
              <w:pStyle w:val="ListParagraph"/>
              <w:numPr>
                <w:ilvl w:val="0"/>
                <w:numId w:val="41"/>
              </w:numPr>
              <w:rPr>
                <w:sz w:val="18"/>
                <w:szCs w:val="18"/>
              </w:rPr>
            </w:pPr>
            <w:r w:rsidRPr="0056336F">
              <w:rPr>
                <w:sz w:val="18"/>
                <w:szCs w:val="18"/>
              </w:rPr>
              <w:t>Code Case N-838 shall not be used to evaluate flaws in cast austenitic stainless steel piping where the delta ferrite content exceeds 25</w:t>
            </w:r>
            <w:r>
              <w:rPr>
                <w:sz w:val="18"/>
                <w:szCs w:val="18"/>
              </w:rPr>
              <w:t> </w:t>
            </w:r>
            <w:r w:rsidRPr="0056336F">
              <w:rPr>
                <w:sz w:val="18"/>
                <w:szCs w:val="18"/>
              </w:rPr>
              <w:t>percent.</w:t>
            </w:r>
          </w:p>
        </w:tc>
        <w:tc>
          <w:tcPr>
            <w:tcW w:w="2494" w:type="dxa"/>
            <w:shd w:val="clear" w:color="auto" w:fill="auto"/>
          </w:tcPr>
          <w:p w14:paraId="66463BA0" w14:textId="77777777" w:rsidR="00D53E6F" w:rsidRDefault="00D53E6F" w:rsidP="00E91144">
            <w:pPr>
              <w:pStyle w:val="ListParagraph"/>
              <w:numPr>
                <w:ilvl w:val="0"/>
                <w:numId w:val="40"/>
              </w:numPr>
              <w:rPr>
                <w:sz w:val="18"/>
                <w:szCs w:val="18"/>
              </w:rPr>
            </w:pPr>
            <w:r>
              <w:rPr>
                <w:sz w:val="18"/>
                <w:szCs w:val="18"/>
              </w:rPr>
              <w:t>Incremental costs would be expected for the submittal of a relief request to the NRC before the Code Case can be used.</w:t>
            </w:r>
          </w:p>
        </w:tc>
      </w:tr>
      <w:tr w:rsidR="00D53E6F" w14:paraId="49894ED0" w14:textId="77777777" w:rsidTr="00E91144">
        <w:tc>
          <w:tcPr>
            <w:tcW w:w="1088" w:type="dxa"/>
            <w:shd w:val="clear" w:color="auto" w:fill="auto"/>
          </w:tcPr>
          <w:p w14:paraId="1BCB6191" w14:textId="77777777" w:rsidR="00D53E6F" w:rsidRPr="00B1054C" w:rsidRDefault="00D53E6F" w:rsidP="00E91144">
            <w:pPr>
              <w:rPr>
                <w:sz w:val="18"/>
                <w:szCs w:val="18"/>
              </w:rPr>
            </w:pPr>
            <w:r>
              <w:rPr>
                <w:sz w:val="18"/>
                <w:szCs w:val="18"/>
              </w:rPr>
              <w:t>RG 1.147</w:t>
            </w:r>
          </w:p>
        </w:tc>
        <w:tc>
          <w:tcPr>
            <w:tcW w:w="1592" w:type="dxa"/>
            <w:shd w:val="clear" w:color="auto" w:fill="auto"/>
          </w:tcPr>
          <w:p w14:paraId="646ABE1B" w14:textId="77777777" w:rsidR="00D53E6F" w:rsidRDefault="00D53E6F" w:rsidP="00E91144">
            <w:pPr>
              <w:jc w:val="center"/>
              <w:rPr>
                <w:bCs/>
                <w:sz w:val="18"/>
                <w:szCs w:val="18"/>
              </w:rPr>
            </w:pPr>
            <w:r>
              <w:rPr>
                <w:bCs/>
                <w:sz w:val="18"/>
                <w:szCs w:val="18"/>
              </w:rPr>
              <w:t>N-843</w:t>
            </w:r>
          </w:p>
        </w:tc>
        <w:tc>
          <w:tcPr>
            <w:tcW w:w="4176" w:type="dxa"/>
            <w:shd w:val="clear" w:color="auto" w:fill="auto"/>
          </w:tcPr>
          <w:p w14:paraId="6E0C081E" w14:textId="7336F0BC" w:rsidR="00D53E6F" w:rsidRPr="003E309D" w:rsidRDefault="00D53E6F" w:rsidP="00497FFB">
            <w:pPr>
              <w:pStyle w:val="ListParagraph"/>
              <w:numPr>
                <w:ilvl w:val="0"/>
                <w:numId w:val="51"/>
              </w:numPr>
              <w:rPr>
                <w:sz w:val="18"/>
                <w:szCs w:val="18"/>
              </w:rPr>
            </w:pPr>
            <w:r w:rsidRPr="0056336F">
              <w:rPr>
                <w:sz w:val="18"/>
                <w:szCs w:val="18"/>
              </w:rPr>
              <w:t xml:space="preserve">If the portions of the system </w:t>
            </w:r>
            <w:r w:rsidR="00497FFB">
              <w:rPr>
                <w:sz w:val="18"/>
                <w:szCs w:val="18"/>
              </w:rPr>
              <w:t>that requires</w:t>
            </w:r>
            <w:r w:rsidR="00497FFB" w:rsidRPr="0056336F">
              <w:rPr>
                <w:sz w:val="18"/>
                <w:szCs w:val="18"/>
              </w:rPr>
              <w:t xml:space="preserve"> </w:t>
            </w:r>
            <w:r w:rsidRPr="0056336F">
              <w:rPr>
                <w:sz w:val="18"/>
                <w:szCs w:val="18"/>
              </w:rPr>
              <w:t>pressure testing are associated with more than one safety function</w:t>
            </w:r>
            <w:r w:rsidR="00497FFB">
              <w:rPr>
                <w:sz w:val="18"/>
                <w:szCs w:val="18"/>
              </w:rPr>
              <w:t>,</w:t>
            </w:r>
            <w:r w:rsidRPr="0056336F">
              <w:rPr>
                <w:sz w:val="18"/>
                <w:szCs w:val="18"/>
              </w:rPr>
              <w:t xml:space="preserve"> the pressure test and visual examination VT-2 shall be performed during a test conducted at the higher of the operating pressures for the respective system safety functions.</w:t>
            </w:r>
          </w:p>
        </w:tc>
        <w:tc>
          <w:tcPr>
            <w:tcW w:w="2494" w:type="dxa"/>
            <w:shd w:val="clear" w:color="auto" w:fill="auto"/>
          </w:tcPr>
          <w:p w14:paraId="5EA05FD5" w14:textId="77777777" w:rsidR="00D53E6F" w:rsidRDefault="00D53E6F" w:rsidP="00E91144">
            <w:pPr>
              <w:pStyle w:val="ListParagraph"/>
              <w:numPr>
                <w:ilvl w:val="0"/>
                <w:numId w:val="52"/>
              </w:numPr>
              <w:rPr>
                <w:sz w:val="18"/>
                <w:szCs w:val="18"/>
              </w:rPr>
            </w:pPr>
            <w:r>
              <w:rPr>
                <w:sz w:val="18"/>
                <w:szCs w:val="18"/>
              </w:rPr>
              <w:t>This condition clarifies that a test should be performed at the higher pressure in accordance with the standard procedure; therefore, no incremental costs are expected.</w:t>
            </w:r>
          </w:p>
        </w:tc>
      </w:tr>
      <w:tr w:rsidR="00D53E6F" w14:paraId="20DFD34F" w14:textId="77777777" w:rsidTr="00E91144">
        <w:tc>
          <w:tcPr>
            <w:tcW w:w="1088" w:type="dxa"/>
            <w:shd w:val="clear" w:color="auto" w:fill="auto"/>
          </w:tcPr>
          <w:p w14:paraId="33A152A3" w14:textId="77777777" w:rsidR="00D53E6F" w:rsidRPr="00B1054C" w:rsidRDefault="00D53E6F" w:rsidP="00E91144">
            <w:pPr>
              <w:rPr>
                <w:sz w:val="18"/>
                <w:szCs w:val="18"/>
              </w:rPr>
            </w:pPr>
            <w:r>
              <w:rPr>
                <w:sz w:val="18"/>
                <w:szCs w:val="18"/>
              </w:rPr>
              <w:t>RG 1.147</w:t>
            </w:r>
          </w:p>
        </w:tc>
        <w:tc>
          <w:tcPr>
            <w:tcW w:w="1592" w:type="dxa"/>
            <w:shd w:val="clear" w:color="auto" w:fill="auto"/>
          </w:tcPr>
          <w:p w14:paraId="4EEBFF38" w14:textId="77777777" w:rsidR="00D53E6F" w:rsidRDefault="00D53E6F" w:rsidP="00E91144">
            <w:pPr>
              <w:jc w:val="center"/>
              <w:rPr>
                <w:bCs/>
                <w:sz w:val="18"/>
                <w:szCs w:val="18"/>
              </w:rPr>
            </w:pPr>
            <w:r w:rsidRPr="00703E62">
              <w:rPr>
                <w:sz w:val="18"/>
                <w:szCs w:val="18"/>
              </w:rPr>
              <w:t>N-</w:t>
            </w:r>
            <w:r>
              <w:rPr>
                <w:sz w:val="18"/>
                <w:szCs w:val="18"/>
              </w:rPr>
              <w:t>849</w:t>
            </w:r>
          </w:p>
        </w:tc>
        <w:tc>
          <w:tcPr>
            <w:tcW w:w="4176" w:type="dxa"/>
            <w:shd w:val="clear" w:color="auto" w:fill="auto"/>
          </w:tcPr>
          <w:p w14:paraId="4EAAF689" w14:textId="1715D31D" w:rsidR="00D53E6F" w:rsidRDefault="00D53E6F" w:rsidP="00E91144">
            <w:pPr>
              <w:pStyle w:val="ListParagraph"/>
              <w:numPr>
                <w:ilvl w:val="0"/>
                <w:numId w:val="42"/>
              </w:numPr>
              <w:rPr>
                <w:sz w:val="18"/>
                <w:szCs w:val="18"/>
              </w:rPr>
            </w:pPr>
            <w:r w:rsidRPr="007570C0">
              <w:rPr>
                <w:sz w:val="18"/>
                <w:szCs w:val="18"/>
              </w:rPr>
              <w:t xml:space="preserve">Use of Code Case </w:t>
            </w:r>
            <w:r w:rsidR="00497FFB">
              <w:rPr>
                <w:sz w:val="18"/>
                <w:szCs w:val="18"/>
              </w:rPr>
              <w:t xml:space="preserve">N-849 </w:t>
            </w:r>
            <w:r w:rsidRPr="007570C0">
              <w:rPr>
                <w:sz w:val="18"/>
                <w:szCs w:val="18"/>
              </w:rPr>
              <w:t>is limited to plants that are designed with accessible core support structures to allow for in-situ inspection</w:t>
            </w:r>
            <w:r>
              <w:rPr>
                <w:sz w:val="18"/>
                <w:szCs w:val="18"/>
              </w:rPr>
              <w:t>.</w:t>
            </w:r>
          </w:p>
          <w:p w14:paraId="0FC0D4E4" w14:textId="292585C4" w:rsidR="00D53E6F" w:rsidRPr="004D7522" w:rsidRDefault="00497FFB" w:rsidP="00497FFB">
            <w:pPr>
              <w:pStyle w:val="ListParagraph"/>
              <w:numPr>
                <w:ilvl w:val="0"/>
                <w:numId w:val="42"/>
              </w:numPr>
              <w:rPr>
                <w:sz w:val="18"/>
                <w:szCs w:val="18"/>
              </w:rPr>
            </w:pPr>
            <w:r>
              <w:rPr>
                <w:bCs/>
                <w:sz w:val="18"/>
                <w:szCs w:val="18"/>
              </w:rPr>
              <w:t xml:space="preserve">Before the </w:t>
            </w:r>
            <w:r w:rsidR="00D53E6F" w:rsidRPr="004D7522">
              <w:rPr>
                <w:bCs/>
                <w:sz w:val="18"/>
                <w:szCs w:val="18"/>
              </w:rPr>
              <w:t xml:space="preserve">initial plant startup, </w:t>
            </w:r>
            <w:r>
              <w:rPr>
                <w:bCs/>
                <w:sz w:val="18"/>
                <w:szCs w:val="18"/>
              </w:rPr>
              <w:t>a</w:t>
            </w:r>
            <w:r w:rsidRPr="004D7522">
              <w:rPr>
                <w:bCs/>
                <w:sz w:val="18"/>
                <w:szCs w:val="18"/>
              </w:rPr>
              <w:t xml:space="preserve"> </w:t>
            </w:r>
            <w:r w:rsidR="00D53E6F" w:rsidRPr="004D7522">
              <w:rPr>
                <w:bCs/>
                <w:sz w:val="18"/>
                <w:szCs w:val="18"/>
              </w:rPr>
              <w:t>VT</w:t>
            </w:r>
            <w:r w:rsidR="00D53E6F">
              <w:rPr>
                <w:bCs/>
                <w:sz w:val="18"/>
                <w:szCs w:val="18"/>
              </w:rPr>
              <w:noBreakHyphen/>
            </w:r>
            <w:r w:rsidR="00D53E6F" w:rsidRPr="004D7522">
              <w:rPr>
                <w:bCs/>
                <w:sz w:val="18"/>
                <w:szCs w:val="18"/>
              </w:rPr>
              <w:t xml:space="preserve">3 examination shall be </w:t>
            </w:r>
            <w:r w:rsidR="00D53E6F" w:rsidRPr="006251CA">
              <w:rPr>
                <w:bCs/>
                <w:sz w:val="18"/>
                <w:szCs w:val="18"/>
              </w:rPr>
              <w:t xml:space="preserve">performed with the core support structure removed, </w:t>
            </w:r>
            <w:r w:rsidR="006251CA" w:rsidRPr="006251CA">
              <w:rPr>
                <w:sz w:val="18"/>
                <w:szCs w:val="18"/>
              </w:rPr>
              <w:t>as required by ASME Section XI, IWB</w:t>
            </w:r>
            <w:r w:rsidR="006251CA" w:rsidRPr="006251CA">
              <w:rPr>
                <w:sz w:val="18"/>
                <w:szCs w:val="18"/>
              </w:rPr>
              <w:noBreakHyphen/>
              <w:t>2500</w:t>
            </w:r>
            <w:r w:rsidR="006251CA" w:rsidRPr="006251CA">
              <w:rPr>
                <w:sz w:val="18"/>
                <w:szCs w:val="18"/>
              </w:rPr>
              <w:noBreakHyphen/>
              <w:t xml:space="preserve">1, </w:t>
            </w:r>
            <w:r w:rsidR="00D53E6F" w:rsidRPr="006251CA">
              <w:rPr>
                <w:bCs/>
                <w:sz w:val="18"/>
                <w:szCs w:val="18"/>
              </w:rPr>
              <w:t>and shall include all surfaces that are accessible when the core</w:t>
            </w:r>
            <w:r w:rsidR="00D53E6F" w:rsidRPr="00F350F0">
              <w:rPr>
                <w:bCs/>
                <w:sz w:val="18"/>
                <w:szCs w:val="18"/>
              </w:rPr>
              <w:t xml:space="preserve"> support structure is removed, including all load bearing and contact surfaces</w:t>
            </w:r>
            <w:r w:rsidR="00D53E6F" w:rsidRPr="0056336F">
              <w:rPr>
                <w:bCs/>
                <w:sz w:val="18"/>
                <w:szCs w:val="18"/>
              </w:rPr>
              <w:t>.</w:t>
            </w:r>
          </w:p>
        </w:tc>
        <w:tc>
          <w:tcPr>
            <w:tcW w:w="2494" w:type="dxa"/>
            <w:shd w:val="clear" w:color="auto" w:fill="auto"/>
          </w:tcPr>
          <w:p w14:paraId="73B3F09D" w14:textId="1F89687A" w:rsidR="00D53E6F" w:rsidRDefault="00D53E6F" w:rsidP="00E91144">
            <w:pPr>
              <w:pStyle w:val="ListParagraph"/>
              <w:numPr>
                <w:ilvl w:val="0"/>
                <w:numId w:val="43"/>
              </w:numPr>
              <w:rPr>
                <w:sz w:val="18"/>
                <w:szCs w:val="18"/>
              </w:rPr>
            </w:pPr>
            <w:r>
              <w:rPr>
                <w:sz w:val="18"/>
                <w:szCs w:val="18"/>
              </w:rPr>
              <w:t>This condition clarifies the intent of the Code Case as it passed through committee</w:t>
            </w:r>
            <w:r w:rsidR="00226AAF">
              <w:rPr>
                <w:sz w:val="18"/>
                <w:szCs w:val="18"/>
              </w:rPr>
              <w:t xml:space="preserve">.  </w:t>
            </w:r>
            <w:r>
              <w:rPr>
                <w:sz w:val="18"/>
                <w:szCs w:val="18"/>
              </w:rPr>
              <w:t>This Code Case does not apply to the current operating fleet; therefore, no incremental resources are expected.</w:t>
            </w:r>
          </w:p>
          <w:p w14:paraId="5922A34E" w14:textId="77777777" w:rsidR="00D53E6F" w:rsidRPr="00502EC9" w:rsidRDefault="00D53E6F" w:rsidP="00E91144">
            <w:pPr>
              <w:pStyle w:val="ListParagraph"/>
              <w:numPr>
                <w:ilvl w:val="0"/>
                <w:numId w:val="43"/>
              </w:numPr>
              <w:rPr>
                <w:sz w:val="18"/>
                <w:szCs w:val="18"/>
              </w:rPr>
            </w:pPr>
            <w:r>
              <w:rPr>
                <w:sz w:val="18"/>
                <w:szCs w:val="18"/>
              </w:rPr>
              <w:t>This condition clarifies existing code requirements; therefore, no incremental resources are expected.</w:t>
            </w:r>
          </w:p>
        </w:tc>
      </w:tr>
      <w:tr w:rsidR="00D53E6F" w14:paraId="48A01706" w14:textId="77777777" w:rsidTr="00E91144">
        <w:tc>
          <w:tcPr>
            <w:tcW w:w="1088" w:type="dxa"/>
            <w:shd w:val="clear" w:color="auto" w:fill="auto"/>
          </w:tcPr>
          <w:p w14:paraId="45BA4DB9" w14:textId="77777777" w:rsidR="00D53E6F" w:rsidRDefault="00D53E6F" w:rsidP="00E91144">
            <w:pPr>
              <w:rPr>
                <w:sz w:val="18"/>
                <w:szCs w:val="18"/>
              </w:rPr>
            </w:pPr>
            <w:r>
              <w:rPr>
                <w:sz w:val="18"/>
                <w:szCs w:val="18"/>
              </w:rPr>
              <w:t>RG 1.192</w:t>
            </w:r>
          </w:p>
        </w:tc>
        <w:tc>
          <w:tcPr>
            <w:tcW w:w="1592" w:type="dxa"/>
            <w:shd w:val="clear" w:color="auto" w:fill="auto"/>
          </w:tcPr>
          <w:p w14:paraId="17448BC0" w14:textId="77777777" w:rsidR="00D53E6F" w:rsidRPr="00703E62" w:rsidRDefault="00D53E6F" w:rsidP="00E91144">
            <w:pPr>
              <w:jc w:val="center"/>
              <w:rPr>
                <w:sz w:val="18"/>
                <w:szCs w:val="18"/>
              </w:rPr>
            </w:pPr>
            <w:r>
              <w:rPr>
                <w:sz w:val="18"/>
                <w:szCs w:val="18"/>
              </w:rPr>
              <w:t>OMN-13</w:t>
            </w:r>
          </w:p>
        </w:tc>
        <w:tc>
          <w:tcPr>
            <w:tcW w:w="4176" w:type="dxa"/>
            <w:shd w:val="clear" w:color="auto" w:fill="auto"/>
          </w:tcPr>
          <w:p w14:paraId="3BB1FA8D" w14:textId="1B1D7E67" w:rsidR="00D53E6F" w:rsidRPr="007570C0" w:rsidRDefault="00D53E6F" w:rsidP="006251CA">
            <w:pPr>
              <w:pStyle w:val="ListParagraph"/>
              <w:numPr>
                <w:ilvl w:val="0"/>
                <w:numId w:val="55"/>
              </w:numPr>
              <w:rPr>
                <w:sz w:val="18"/>
                <w:szCs w:val="18"/>
              </w:rPr>
            </w:pPr>
            <w:r w:rsidRPr="004F23B4">
              <w:rPr>
                <w:sz w:val="18"/>
                <w:szCs w:val="18"/>
              </w:rPr>
              <w:t>This Code Case is applicable to the editions and addenda of the OM Code listed in §50.55a(a)(1)(iv).  Although Code Case OMN</w:t>
            </w:r>
            <w:r>
              <w:rPr>
                <w:sz w:val="18"/>
                <w:szCs w:val="18"/>
              </w:rPr>
              <w:noBreakHyphen/>
            </w:r>
            <w:r w:rsidRPr="004F23B4">
              <w:rPr>
                <w:sz w:val="18"/>
                <w:szCs w:val="18"/>
              </w:rPr>
              <w:t>13 has an applicability statement in its inquiry and reply, the guidance in Code Case OMN</w:t>
            </w:r>
            <w:r>
              <w:rPr>
                <w:sz w:val="18"/>
                <w:szCs w:val="18"/>
              </w:rPr>
              <w:noBreakHyphen/>
            </w:r>
            <w:r w:rsidRPr="004F23B4">
              <w:rPr>
                <w:sz w:val="18"/>
                <w:szCs w:val="18"/>
              </w:rPr>
              <w:t xml:space="preserve">13 is acceptable for application at nuclear power plants with a Code of </w:t>
            </w:r>
            <w:r>
              <w:rPr>
                <w:sz w:val="18"/>
                <w:szCs w:val="18"/>
              </w:rPr>
              <w:t>R</w:t>
            </w:r>
            <w:r w:rsidRPr="004F23B4">
              <w:rPr>
                <w:sz w:val="18"/>
                <w:szCs w:val="18"/>
              </w:rPr>
              <w:t xml:space="preserve">ecord of any edition or addenda of the OM Code incorporated by reference in §50.55a as listed in paragraph </w:t>
            </w:r>
            <w:r w:rsidR="006251CA">
              <w:rPr>
                <w:sz w:val="18"/>
                <w:szCs w:val="18"/>
              </w:rPr>
              <w:t>10 CFR 50.55a</w:t>
            </w:r>
            <w:r w:rsidRPr="004F23B4">
              <w:rPr>
                <w:sz w:val="18"/>
                <w:szCs w:val="18"/>
              </w:rPr>
              <w:t>(a)(1)(iv).</w:t>
            </w:r>
          </w:p>
        </w:tc>
        <w:tc>
          <w:tcPr>
            <w:tcW w:w="2494" w:type="dxa"/>
            <w:shd w:val="clear" w:color="auto" w:fill="auto"/>
          </w:tcPr>
          <w:p w14:paraId="35E5B6BC" w14:textId="77777777" w:rsidR="00D53E6F" w:rsidRDefault="00D53E6F" w:rsidP="00E91144">
            <w:pPr>
              <w:pStyle w:val="ListParagraph"/>
              <w:numPr>
                <w:ilvl w:val="0"/>
                <w:numId w:val="57"/>
              </w:numPr>
              <w:rPr>
                <w:sz w:val="18"/>
                <w:szCs w:val="18"/>
              </w:rPr>
            </w:pPr>
            <w:r>
              <w:rPr>
                <w:sz w:val="18"/>
                <w:szCs w:val="18"/>
              </w:rPr>
              <w:t>This condition relaxes the applicability requirements that will avert relief requests from three sites or less.</w:t>
            </w:r>
          </w:p>
        </w:tc>
      </w:tr>
      <w:tr w:rsidR="00D53E6F" w14:paraId="290960C8" w14:textId="77777777" w:rsidTr="00E91144">
        <w:tc>
          <w:tcPr>
            <w:tcW w:w="1088" w:type="dxa"/>
            <w:shd w:val="clear" w:color="auto" w:fill="auto"/>
          </w:tcPr>
          <w:p w14:paraId="40A01B05" w14:textId="77777777" w:rsidR="00D53E6F" w:rsidRDefault="00D53E6F" w:rsidP="00E91144">
            <w:pPr>
              <w:rPr>
                <w:sz w:val="18"/>
                <w:szCs w:val="18"/>
              </w:rPr>
            </w:pPr>
            <w:r>
              <w:rPr>
                <w:sz w:val="18"/>
                <w:szCs w:val="18"/>
              </w:rPr>
              <w:t>RG 1.192</w:t>
            </w:r>
          </w:p>
        </w:tc>
        <w:tc>
          <w:tcPr>
            <w:tcW w:w="1592" w:type="dxa"/>
            <w:shd w:val="clear" w:color="auto" w:fill="auto"/>
          </w:tcPr>
          <w:p w14:paraId="5939607D" w14:textId="77777777" w:rsidR="00D53E6F" w:rsidRPr="00703E62" w:rsidRDefault="00D53E6F" w:rsidP="00E91144">
            <w:pPr>
              <w:jc w:val="center"/>
              <w:rPr>
                <w:sz w:val="18"/>
                <w:szCs w:val="18"/>
              </w:rPr>
            </w:pPr>
            <w:r>
              <w:rPr>
                <w:sz w:val="18"/>
                <w:szCs w:val="18"/>
              </w:rPr>
              <w:t>OMN-20</w:t>
            </w:r>
          </w:p>
        </w:tc>
        <w:tc>
          <w:tcPr>
            <w:tcW w:w="4176" w:type="dxa"/>
            <w:shd w:val="clear" w:color="auto" w:fill="auto"/>
          </w:tcPr>
          <w:p w14:paraId="093774CE" w14:textId="77777777" w:rsidR="00D53E6F" w:rsidRPr="007570C0" w:rsidRDefault="00D53E6F" w:rsidP="00E91144">
            <w:pPr>
              <w:pStyle w:val="ListParagraph"/>
              <w:numPr>
                <w:ilvl w:val="0"/>
                <w:numId w:val="56"/>
              </w:numPr>
              <w:rPr>
                <w:sz w:val="18"/>
                <w:szCs w:val="18"/>
              </w:rPr>
            </w:pPr>
            <w:r w:rsidRPr="004F23B4">
              <w:rPr>
                <w:iCs/>
                <w:sz w:val="18"/>
                <w:szCs w:val="18"/>
              </w:rPr>
              <w:t>This Code Case is applicable to the editions and addenda of the OM Code listed in §50.55a(a)(1)(iv).</w:t>
            </w:r>
            <w:r w:rsidRPr="004F23B4">
              <w:rPr>
                <w:bCs/>
                <w:sz w:val="18"/>
                <w:szCs w:val="18"/>
              </w:rPr>
              <w:t xml:space="preserve">  Although Code Case OMN</w:t>
            </w:r>
            <w:r>
              <w:rPr>
                <w:bCs/>
                <w:sz w:val="18"/>
                <w:szCs w:val="18"/>
              </w:rPr>
              <w:noBreakHyphen/>
            </w:r>
            <w:r w:rsidRPr="004F23B4">
              <w:rPr>
                <w:bCs/>
                <w:sz w:val="18"/>
                <w:szCs w:val="18"/>
              </w:rPr>
              <w:t>20 has an applicability statement in its inquiry and reply, the guidance in Code Case OMN</w:t>
            </w:r>
            <w:r>
              <w:rPr>
                <w:bCs/>
                <w:sz w:val="18"/>
                <w:szCs w:val="18"/>
              </w:rPr>
              <w:noBreakHyphen/>
            </w:r>
            <w:r w:rsidRPr="004F23B4">
              <w:rPr>
                <w:bCs/>
                <w:sz w:val="18"/>
                <w:szCs w:val="18"/>
              </w:rPr>
              <w:t xml:space="preserve">20 is acceptable for application at nuclear power plants with a Code of </w:t>
            </w:r>
            <w:r>
              <w:rPr>
                <w:bCs/>
                <w:sz w:val="18"/>
                <w:szCs w:val="18"/>
              </w:rPr>
              <w:t>[R]</w:t>
            </w:r>
            <w:r w:rsidRPr="004F23B4">
              <w:rPr>
                <w:bCs/>
                <w:sz w:val="18"/>
                <w:szCs w:val="18"/>
              </w:rPr>
              <w:t>ecord of any edition or addenda of the OM Code incorporated by reference in §50.55a as listed in paragraph</w:t>
            </w:r>
            <w:r>
              <w:rPr>
                <w:bCs/>
                <w:sz w:val="18"/>
                <w:szCs w:val="18"/>
              </w:rPr>
              <w:t> </w:t>
            </w:r>
            <w:r w:rsidRPr="004F23B4">
              <w:rPr>
                <w:bCs/>
                <w:sz w:val="18"/>
                <w:szCs w:val="18"/>
              </w:rPr>
              <w:t>(a)(1)(iv).</w:t>
            </w:r>
          </w:p>
        </w:tc>
        <w:tc>
          <w:tcPr>
            <w:tcW w:w="2494" w:type="dxa"/>
            <w:shd w:val="clear" w:color="auto" w:fill="auto"/>
          </w:tcPr>
          <w:p w14:paraId="2F88AAB3" w14:textId="77777777" w:rsidR="00D53E6F" w:rsidRDefault="00D53E6F" w:rsidP="00E91144">
            <w:pPr>
              <w:pStyle w:val="ListParagraph"/>
              <w:numPr>
                <w:ilvl w:val="0"/>
                <w:numId w:val="58"/>
              </w:numPr>
              <w:rPr>
                <w:sz w:val="18"/>
                <w:szCs w:val="18"/>
              </w:rPr>
            </w:pPr>
            <w:r>
              <w:rPr>
                <w:sz w:val="18"/>
                <w:szCs w:val="18"/>
              </w:rPr>
              <w:t>This condition relaxes the applicability requirements that will avert relief requests from three sites or less.</w:t>
            </w:r>
          </w:p>
        </w:tc>
      </w:tr>
    </w:tbl>
    <w:p w14:paraId="67D2A4A2" w14:textId="6C4599E0" w:rsidR="00D53E6F" w:rsidRPr="00FB4DE0" w:rsidRDefault="00D53E6F" w:rsidP="004A7B59">
      <w:pPr>
        <w:spacing w:line="240" w:lineRule="auto"/>
        <w:ind w:left="360" w:hanging="360"/>
        <w:rPr>
          <w:sz w:val="18"/>
          <w:szCs w:val="18"/>
        </w:rPr>
      </w:pPr>
      <w:r w:rsidRPr="00FB4DE0">
        <w:rPr>
          <w:sz w:val="18"/>
          <w:szCs w:val="18"/>
          <w:vertAlign w:val="superscript"/>
        </w:rPr>
        <w:t>a</w:t>
      </w:r>
      <w:r w:rsidRPr="00FB4DE0">
        <w:rPr>
          <w:sz w:val="18"/>
          <w:szCs w:val="18"/>
        </w:rPr>
        <w:t xml:space="preserve"> </w:t>
      </w:r>
      <w:r w:rsidRPr="00FB4DE0">
        <w:rPr>
          <w:sz w:val="18"/>
          <w:szCs w:val="18"/>
        </w:rPr>
        <w:tab/>
        <w:t xml:space="preserve">This information is </w:t>
      </w:r>
      <w:r w:rsidR="004A7B59">
        <w:rPr>
          <w:sz w:val="18"/>
          <w:szCs w:val="18"/>
        </w:rPr>
        <w:t>taken</w:t>
      </w:r>
      <w:r w:rsidRPr="00FB4DE0">
        <w:rPr>
          <w:sz w:val="18"/>
          <w:szCs w:val="18"/>
        </w:rPr>
        <w:t xml:space="preserve"> from the respective RG.</w:t>
      </w:r>
    </w:p>
    <w:p w14:paraId="1702BBBD" w14:textId="452D1951" w:rsidR="00D53E6F" w:rsidRPr="00FB4DE0" w:rsidRDefault="00D53E6F" w:rsidP="00D53E6F">
      <w:pPr>
        <w:spacing w:line="240" w:lineRule="auto"/>
        <w:ind w:left="360" w:hanging="360"/>
        <w:rPr>
          <w:sz w:val="18"/>
          <w:szCs w:val="18"/>
        </w:rPr>
      </w:pPr>
      <w:r w:rsidRPr="00FB4DE0">
        <w:rPr>
          <w:sz w:val="18"/>
          <w:szCs w:val="18"/>
          <w:vertAlign w:val="superscript"/>
        </w:rPr>
        <w:t>b</w:t>
      </w:r>
      <w:r w:rsidRPr="00FB4DE0">
        <w:rPr>
          <w:sz w:val="18"/>
          <w:szCs w:val="18"/>
        </w:rPr>
        <w:t xml:space="preserve"> </w:t>
      </w:r>
      <w:r w:rsidRPr="00FB4DE0">
        <w:rPr>
          <w:sz w:val="18"/>
          <w:szCs w:val="18"/>
        </w:rPr>
        <w:tab/>
        <w:t>These incremental resources are the additional resources necessary to conform to the NRC</w:t>
      </w:r>
      <w:r w:rsidRPr="00FB4DE0">
        <w:rPr>
          <w:sz w:val="18"/>
          <w:szCs w:val="18"/>
        </w:rPr>
        <w:noBreakHyphen/>
        <w:t>conditioned ASME Code Case when using (1) the same Code Case with no NRC conditions as the baseline, (2) new Code Cases with the unconditioned new Code Case as the baseline, or (3) the existing edition of the Code Case as the baseline if the Code Case is not new.</w:t>
      </w:r>
    </w:p>
    <w:p w14:paraId="5EE8EFD0" w14:textId="77777777" w:rsidR="00D53E6F" w:rsidRPr="004A7B59" w:rsidRDefault="00D53E6F" w:rsidP="00D53E6F">
      <w:pPr>
        <w:spacing w:line="240" w:lineRule="auto"/>
        <w:ind w:left="360" w:hanging="360"/>
      </w:pPr>
    </w:p>
    <w:p w14:paraId="2944FA92" w14:textId="77777777" w:rsidR="00D53E6F" w:rsidRPr="009C0051" w:rsidRDefault="00D53E6F" w:rsidP="00D53E6F">
      <w:pPr>
        <w:pStyle w:val="Heading2"/>
        <w:tabs>
          <w:tab w:val="left" w:pos="540"/>
        </w:tabs>
        <w:spacing w:line="240" w:lineRule="auto"/>
      </w:pPr>
      <w:bookmarkStart w:id="112" w:name="_Toc456098230"/>
      <w:bookmarkStart w:id="113" w:name="_Toc12808786"/>
      <w:r>
        <w:t>4.3</w:t>
      </w:r>
      <w:r>
        <w:tab/>
      </w:r>
      <w:bookmarkStart w:id="114" w:name="_Toc457827243"/>
      <w:r w:rsidRPr="009C0051">
        <w:t>Data</w:t>
      </w:r>
      <w:bookmarkEnd w:id="112"/>
      <w:bookmarkEnd w:id="113"/>
      <w:bookmarkEnd w:id="114"/>
    </w:p>
    <w:p w14:paraId="564D7E1E" w14:textId="77777777" w:rsidR="00D53E6F" w:rsidRPr="009C0051" w:rsidRDefault="00D53E6F" w:rsidP="00D53E6F">
      <w:pPr>
        <w:keepNext/>
        <w:spacing w:line="240" w:lineRule="auto"/>
      </w:pPr>
    </w:p>
    <w:p w14:paraId="75EC1EE2" w14:textId="59544716" w:rsidR="00D53E6F" w:rsidRDefault="00D53E6F" w:rsidP="00D53E6F">
      <w:pPr>
        <w:spacing w:line="240" w:lineRule="auto"/>
      </w:pPr>
      <w:r>
        <w:t xml:space="preserve">This analysis discusses the data and assumptions used in analyzing the quantifiable impacts associated with each alternative.  </w:t>
      </w:r>
      <w:r w:rsidR="00173B30">
        <w:t>The NRC</w:t>
      </w:r>
      <w:r>
        <w:t xml:space="preserve"> used data from subject</w:t>
      </w:r>
      <w:r>
        <w:noBreakHyphen/>
        <w:t xml:space="preserve">matter experts, knowledge gained from past rulemakings, and information gathered during public meetings and from correspondence to collect data for this analysis.  Quantitative and qualitative (i.e., nonquantified) information on attributes affected by the evaluated alternatives came from </w:t>
      </w:r>
      <w:r w:rsidR="00433120">
        <w:t>the NRC</w:t>
      </w:r>
      <w:r>
        <w:t xml:space="preserve"> and from public comments on the regulatory analyses provided with the proposed rule.  The NRC considered the potential differences between the new requirements and the current requirements and incorporated the incremental changes into this regulatory analysis</w:t>
      </w:r>
      <w:r w:rsidRPr="009C0051">
        <w:t>.</w:t>
      </w:r>
    </w:p>
    <w:p w14:paraId="7E69CA12" w14:textId="77777777" w:rsidR="00D53E6F" w:rsidRDefault="00D53E6F" w:rsidP="00D53E6F">
      <w:pPr>
        <w:spacing w:line="240" w:lineRule="auto"/>
      </w:pPr>
    </w:p>
    <w:p w14:paraId="3B7A0C0D" w14:textId="77777777" w:rsidR="00D53E6F" w:rsidRPr="009C0051" w:rsidRDefault="00D53E6F" w:rsidP="00D53E6F">
      <w:pPr>
        <w:pStyle w:val="Heading1"/>
        <w:numPr>
          <w:ilvl w:val="0"/>
          <w:numId w:val="10"/>
        </w:numPr>
        <w:spacing w:before="0" w:line="240" w:lineRule="auto"/>
        <w:ind w:left="360"/>
      </w:pPr>
      <w:bookmarkStart w:id="115" w:name="_Ref393196136"/>
      <w:bookmarkStart w:id="116" w:name="_Toc456098231"/>
      <w:bookmarkStart w:id="117" w:name="_Toc457827244"/>
      <w:bookmarkStart w:id="118" w:name="_Toc12808787"/>
      <w:r w:rsidRPr="009C0051">
        <w:t>Results</w:t>
      </w:r>
      <w:bookmarkEnd w:id="115"/>
      <w:bookmarkEnd w:id="116"/>
      <w:bookmarkEnd w:id="117"/>
      <w:bookmarkEnd w:id="118"/>
    </w:p>
    <w:p w14:paraId="542D1DC5" w14:textId="77777777" w:rsidR="00D53E6F" w:rsidRPr="00976A87" w:rsidRDefault="00D53E6F" w:rsidP="00D53E6F">
      <w:pPr>
        <w:keepNext/>
        <w:spacing w:line="240" w:lineRule="auto"/>
      </w:pPr>
    </w:p>
    <w:p w14:paraId="61DC009B" w14:textId="77777777" w:rsidR="00D53E6F" w:rsidRPr="00976A87" w:rsidRDefault="00D53E6F" w:rsidP="00D53E6F">
      <w:pPr>
        <w:spacing w:line="240" w:lineRule="auto"/>
      </w:pPr>
      <w:r w:rsidRPr="00B15203">
        <w:rPr>
          <w:color w:val="auto"/>
        </w:rPr>
        <w:t xml:space="preserve">This section presents the quantitative and qualitative results by attribute relative to the regulatory baseline.  As described in the previous sections, costs and benefits are quantified where possible </w:t>
      </w:r>
      <w:r w:rsidRPr="00B15203">
        <w:rPr>
          <w:color w:val="231F20"/>
        </w:rPr>
        <w:t xml:space="preserve">and can have either a positive or a negative algebraic sign, depending on whether the alternative has a favorable or adverse effect </w:t>
      </w:r>
      <w:r>
        <w:rPr>
          <w:color w:val="231F20"/>
        </w:rPr>
        <w:t>compared</w:t>
      </w:r>
      <w:r w:rsidRPr="00B15203">
        <w:rPr>
          <w:color w:val="231F20"/>
        </w:rPr>
        <w:t xml:space="preserve"> to the regulatory baseline (</w:t>
      </w:r>
      <w:r>
        <w:rPr>
          <w:color w:val="231F20"/>
        </w:rPr>
        <w:t>A</w:t>
      </w:r>
      <w:r w:rsidRPr="00B15203">
        <w:rPr>
          <w:color w:val="231F20"/>
        </w:rPr>
        <w:t>lternative</w:t>
      </w:r>
      <w:r>
        <w:rPr>
          <w:color w:val="231F20"/>
        </w:rPr>
        <w:t> </w:t>
      </w:r>
      <w:r w:rsidRPr="00B15203">
        <w:rPr>
          <w:color w:val="231F20"/>
        </w:rPr>
        <w:t xml:space="preserve">1).  </w:t>
      </w:r>
      <w:r>
        <w:rPr>
          <w:color w:val="auto"/>
        </w:rPr>
        <w:t>This section discusses, qualitatively,</w:t>
      </w:r>
      <w:r w:rsidRPr="00B15203">
        <w:rPr>
          <w:color w:val="auto"/>
        </w:rPr>
        <w:t xml:space="preserve"> those attributes that are not easily represented in monetary values.  Although this </w:t>
      </w:r>
      <w:r w:rsidRPr="00C80453">
        <w:rPr>
          <w:color w:val="auto"/>
        </w:rPr>
        <w:t>ex ante</w:t>
      </w:r>
      <w:r w:rsidRPr="00B15203">
        <w:rPr>
          <w:color w:val="auto"/>
        </w:rPr>
        <w:t xml:space="preserve"> cost-benefit analysis</w:t>
      </w:r>
      <w:r w:rsidRPr="00B15203">
        <w:rPr>
          <w:color w:val="auto"/>
          <w:sz w:val="24"/>
          <w:vertAlign w:val="superscript"/>
        </w:rPr>
        <w:footnoteReference w:id="6"/>
      </w:r>
      <w:r w:rsidRPr="00B15203">
        <w:rPr>
          <w:color w:val="auto"/>
        </w:rPr>
        <w:t xml:space="preserve"> provides information that can be used when deciding whether to select an alternative, the analysis is based on estimates of the future costs and benefits.  Whether the estimates hold in the future, the process of conducting regulatory analyses has value in and of itself because it helps decisionmakers think indepth about specific alternatives and their associated results.</w:t>
      </w:r>
    </w:p>
    <w:p w14:paraId="501025AE" w14:textId="77777777" w:rsidR="00D53E6F" w:rsidRPr="00976A87" w:rsidRDefault="00D53E6F" w:rsidP="00D53E6F">
      <w:pPr>
        <w:spacing w:line="240" w:lineRule="auto"/>
      </w:pPr>
    </w:p>
    <w:p w14:paraId="16826938" w14:textId="77777777" w:rsidR="00D53E6F" w:rsidRPr="00976A87" w:rsidRDefault="00D53E6F" w:rsidP="00D53E6F">
      <w:pPr>
        <w:spacing w:line="240" w:lineRule="auto"/>
      </w:pPr>
      <w:r>
        <w:t>NUREG/BR-0058, Appendix D,</w:t>
      </w:r>
      <w:r w:rsidRPr="00BD3549">
        <w:t xml:space="preserve"> state</w:t>
      </w:r>
      <w:r>
        <w:t>s</w:t>
      </w:r>
      <w:r w:rsidRPr="00BD3549">
        <w:t xml:space="preserve"> that the NRC’s periodic review and endorsement of consensus standards</w:t>
      </w:r>
      <w:r>
        <w:t>,</w:t>
      </w:r>
      <w:r w:rsidRPr="00BD3549">
        <w:t xml:space="preserve"> such a</w:t>
      </w:r>
      <w:r>
        <w:t>s new versions of the ASME Code</w:t>
      </w:r>
      <w:r w:rsidRPr="00BD3549">
        <w:t xml:space="preserve"> and </w:t>
      </w:r>
      <w:r>
        <w:t xml:space="preserve">the </w:t>
      </w:r>
      <w:r w:rsidRPr="00BD3549">
        <w:t xml:space="preserve">associated </w:t>
      </w:r>
      <w:r>
        <w:t>Code Cases,</w:t>
      </w:r>
      <w:r w:rsidRPr="00BD3549">
        <w:t xml:space="preserve"> </w:t>
      </w:r>
      <w:r>
        <w:t>are</w:t>
      </w:r>
      <w:r w:rsidRPr="00BD3549">
        <w:t xml:space="preserve"> special case</w:t>
      </w:r>
      <w:r>
        <w:t xml:space="preserve">s </w:t>
      </w:r>
      <w:r w:rsidRPr="00BD3549">
        <w:t>because consensus standards have already undergone extensive external review and have been endorsed by industry.  In additio</w:t>
      </w:r>
      <w:r>
        <w:t>n, endorsement of the ASME Code</w:t>
      </w:r>
      <w:r w:rsidRPr="00BD3549">
        <w:t xml:space="preserve"> and </w:t>
      </w:r>
      <w:r>
        <w:t>Code Cases</w:t>
      </w:r>
      <w:r w:rsidRPr="00BD3549">
        <w:t xml:space="preserve"> has been</w:t>
      </w:r>
      <w:r>
        <w:t xml:space="preserve"> a</w:t>
      </w:r>
      <w:r w:rsidRPr="00BD3549">
        <w:t xml:space="preserve"> longstanding NRC policy.  Licensees and applicants participate in the development of the ASME Cod</w:t>
      </w:r>
      <w:r>
        <w:t>e</w:t>
      </w:r>
      <w:r w:rsidRPr="00BD3549">
        <w:t xml:space="preserve"> and </w:t>
      </w:r>
      <w:r>
        <w:t>Code Cases</w:t>
      </w:r>
      <w:r w:rsidRPr="00BD3549">
        <w:t xml:space="preserve"> and are aware that </w:t>
      </w:r>
      <w:r>
        <w:t xml:space="preserve">the </w:t>
      </w:r>
      <w:r w:rsidRPr="00BD3549">
        <w:t xml:space="preserve">periodic updating of the ASME Code is part of the regulatory process.  </w:t>
      </w:r>
      <w:r>
        <w:t>Code Cases</w:t>
      </w:r>
      <w:r w:rsidRPr="00BD3549">
        <w:t xml:space="preserve"> are ASME</w:t>
      </w:r>
      <w:r>
        <w:noBreakHyphen/>
      </w:r>
      <w:r w:rsidRPr="00BD3549">
        <w:t>developed alternati</w:t>
      </w:r>
      <w:r>
        <w:t>ves to the ASME BPV and OM Codes</w:t>
      </w:r>
      <w:r w:rsidRPr="00BD3549">
        <w:t xml:space="preserve"> that licensees and applicants may voluntarily choose to adopt</w:t>
      </w:r>
      <w:r>
        <w:t xml:space="preserve"> without an alternative request</w:t>
      </w:r>
      <w:r w:rsidRPr="00BD3549">
        <w:t xml:space="preserve"> if </w:t>
      </w:r>
      <w:r>
        <w:t xml:space="preserve">the Code Cases are </w:t>
      </w:r>
      <w:r w:rsidRPr="00BD3549">
        <w:t xml:space="preserve">approved through </w:t>
      </w:r>
      <w:r>
        <w:t>incorporation by reference</w:t>
      </w:r>
      <w:r w:rsidRPr="00BD3549">
        <w:t xml:space="preserve"> in</w:t>
      </w:r>
      <w:r>
        <w:t>to</w:t>
      </w:r>
      <w:r w:rsidRPr="00BD3549">
        <w:t xml:space="preserve"> the NRC’s regulations.  Finally, </w:t>
      </w:r>
      <w:r>
        <w:t>endorsement of the ASME Code</w:t>
      </w:r>
      <w:r w:rsidRPr="00BD3549">
        <w:t xml:space="preserve"> and </w:t>
      </w:r>
      <w:r>
        <w:t>Code Cases</w:t>
      </w:r>
      <w:r w:rsidRPr="00BD3549">
        <w:t xml:space="preserve"> is consistent with the </w:t>
      </w:r>
      <w:r>
        <w:t>NTTAA because</w:t>
      </w:r>
      <w:r w:rsidRPr="00BD3549">
        <w:t xml:space="preserve"> the NRC has determined that sound regulatory reasons</w:t>
      </w:r>
      <w:r>
        <w:t xml:space="preserve"> exist</w:t>
      </w:r>
      <w:r w:rsidRPr="00BD3549">
        <w:t xml:space="preserve"> for establishing regulatory requirements for design, maintenance, ISI, and IST and examination by rulemaking.</w:t>
      </w:r>
    </w:p>
    <w:p w14:paraId="240B3721" w14:textId="77777777" w:rsidR="00D53E6F" w:rsidRPr="00976A87" w:rsidRDefault="00D53E6F" w:rsidP="00D53E6F">
      <w:pPr>
        <w:spacing w:line="240" w:lineRule="auto"/>
      </w:pPr>
    </w:p>
    <w:p w14:paraId="5D4E9FCA" w14:textId="77777777" w:rsidR="00D53E6F" w:rsidRDefault="00D53E6F" w:rsidP="00D53E6F">
      <w:pPr>
        <w:spacing w:line="240" w:lineRule="auto"/>
      </w:pPr>
      <w:r w:rsidRPr="00BD3549">
        <w:t xml:space="preserve">In a typical incorporation of </w:t>
      </w:r>
      <w:r>
        <w:t>Code Cases</w:t>
      </w:r>
      <w:r w:rsidRPr="00BD3549">
        <w:t>, the NRC endorsements can involve hundreds, if not thousands, of individual provisions.  Evaluating the benefit</w:t>
      </w:r>
      <w:r>
        <w:t xml:space="preserve"> in relation to</w:t>
      </w:r>
      <w:r w:rsidRPr="00BD3549">
        <w:t xml:space="preserve"> the cost of each individual provision in this regulatory analysis would be prohibitive, and such an exercise </w:t>
      </w:r>
      <w:r>
        <w:t xml:space="preserve">would have limited </w:t>
      </w:r>
      <w:r w:rsidRPr="00BD3549">
        <w:t xml:space="preserve">value.  </w:t>
      </w:r>
      <w:r>
        <w:t>Therefore</w:t>
      </w:r>
      <w:r w:rsidRPr="00BD3549">
        <w:t>, this regulatory analysis does not evaluate</w:t>
      </w:r>
      <w:r>
        <w:t xml:space="preserve"> the</w:t>
      </w:r>
      <w:r w:rsidRPr="00BD3549">
        <w:t xml:space="preserve"> individual requirements of the consensus standards.</w:t>
      </w:r>
    </w:p>
    <w:p w14:paraId="2C54E811" w14:textId="77777777" w:rsidR="00D53E6F" w:rsidRDefault="00D53E6F" w:rsidP="00D53E6F">
      <w:pPr>
        <w:spacing w:line="240" w:lineRule="auto"/>
      </w:pPr>
    </w:p>
    <w:p w14:paraId="5057AC4A" w14:textId="77777777" w:rsidR="00D53E6F" w:rsidRDefault="00D53E6F" w:rsidP="00D53E6F">
      <w:pPr>
        <w:spacing w:line="240" w:lineRule="auto"/>
      </w:pPr>
      <w:r>
        <w:t>However, when the NRC either (1) imposes conditions or exceptions on the use of an ASME Code provision or (2) requires licensees to adopt provisions of the ASME Code on an expedited schedule (i.e., sooner than the 120</w:t>
      </w:r>
      <w:r>
        <w:noBreakHyphen/>
        <w:t>month updating interval in 10 CFR 50.55a), the agency prepares a regulatory analysis that is limited to the consideration of those provisions or circumstances for which the NRC is imposing conditions.  Both cases—the NRC’s imposition of a new condition on an ASME Code provision that has already been incorporated by the NRC or the required adoption of provisions on an expedited schedule—represent situations where a regulatory analysis would be justified as a matter of regulatory policy.</w:t>
      </w:r>
    </w:p>
    <w:p w14:paraId="4E798419" w14:textId="77777777" w:rsidR="00D53E6F" w:rsidRPr="00976A87" w:rsidRDefault="00D53E6F" w:rsidP="00D53E6F">
      <w:pPr>
        <w:spacing w:line="240" w:lineRule="auto"/>
      </w:pPr>
    </w:p>
    <w:p w14:paraId="26CD9E88" w14:textId="77777777" w:rsidR="00D53E6F" w:rsidRPr="00461295" w:rsidRDefault="00D53E6F" w:rsidP="00D53E6F">
      <w:pPr>
        <w:pStyle w:val="Heading2"/>
        <w:tabs>
          <w:tab w:val="left" w:pos="540"/>
        </w:tabs>
        <w:spacing w:line="240" w:lineRule="auto"/>
      </w:pPr>
      <w:bookmarkStart w:id="119" w:name="_Toc456098232"/>
      <w:bookmarkStart w:id="120" w:name="_Toc12808788"/>
      <w:r>
        <w:t>5.1</w:t>
      </w:r>
      <w:r>
        <w:tab/>
      </w:r>
      <w:bookmarkStart w:id="121" w:name="_Toc457827245"/>
      <w:r w:rsidRPr="00461295">
        <w:t>Public Health (Accident)</w:t>
      </w:r>
      <w:bookmarkEnd w:id="119"/>
      <w:bookmarkEnd w:id="120"/>
      <w:bookmarkEnd w:id="121"/>
    </w:p>
    <w:p w14:paraId="39478D04" w14:textId="77777777" w:rsidR="00D53E6F" w:rsidRPr="00976A87" w:rsidRDefault="00D53E6F" w:rsidP="00D53E6F">
      <w:pPr>
        <w:keepNext/>
        <w:spacing w:line="240" w:lineRule="auto"/>
      </w:pPr>
    </w:p>
    <w:p w14:paraId="08F9A27B" w14:textId="77777777" w:rsidR="00D53E6F" w:rsidRPr="00976A87" w:rsidRDefault="00D53E6F" w:rsidP="00D53E6F">
      <w:pPr>
        <w:spacing w:line="240" w:lineRule="auto"/>
      </w:pPr>
      <w:r w:rsidRPr="00BD3549">
        <w:t xml:space="preserve">Industry practice to adopt ASME BPV and OM </w:t>
      </w:r>
      <w:r>
        <w:t>Code Cases</w:t>
      </w:r>
      <w:r w:rsidRPr="00BD3549">
        <w:t xml:space="preserve"> </w:t>
      </w:r>
      <w:r>
        <w:t>through</w:t>
      </w:r>
      <w:r w:rsidRPr="00BD3549">
        <w:t xml:space="preserve"> </w:t>
      </w:r>
      <w:r>
        <w:t>their incorporation by reference</w:t>
      </w:r>
      <w:r w:rsidRPr="00BD3549">
        <w:t xml:space="preserve"> into the regulations may incrementally reduce the likelihood of a radiological accident </w:t>
      </w:r>
      <w:r>
        <w:t xml:space="preserve">in </w:t>
      </w:r>
      <w:r w:rsidRPr="00BD3549">
        <w:t xml:space="preserve">a positive, but not easily quantifiable, manner.  Pursuing </w:t>
      </w:r>
      <w:r>
        <w:t>Alternative </w:t>
      </w:r>
      <w:r w:rsidRPr="00BD3549">
        <w:t>2 would continue to meet the NRC</w:t>
      </w:r>
      <w:r>
        <w:t>’s</w:t>
      </w:r>
      <w:r w:rsidRPr="00BD3549">
        <w:t xml:space="preserve"> goal of maintaining safety by </w:t>
      </w:r>
      <w:r>
        <w:t>still</w:t>
      </w:r>
      <w:r w:rsidRPr="00BD3549">
        <w:t xml:space="preserve"> provid</w:t>
      </w:r>
      <w:r>
        <w:t>ing</w:t>
      </w:r>
      <w:r w:rsidRPr="00BD3549">
        <w:t xml:space="preserve"> </w:t>
      </w:r>
      <w:r>
        <w:t xml:space="preserve">the </w:t>
      </w:r>
      <w:r w:rsidRPr="00BD3549">
        <w:t>NRC</w:t>
      </w:r>
      <w:r>
        <w:t>’s</w:t>
      </w:r>
      <w:r w:rsidRPr="00BD3549">
        <w:t xml:space="preserve"> approval of new ASME </w:t>
      </w:r>
      <w:r>
        <w:t>Code Cases</w:t>
      </w:r>
      <w:r w:rsidRPr="00BD3549">
        <w:t xml:space="preserve"> </w:t>
      </w:r>
      <w:r>
        <w:t xml:space="preserve">to allow licensees </w:t>
      </w:r>
      <w:r w:rsidRPr="00BD3549">
        <w:t xml:space="preserve">to gain experience with new technology </w:t>
      </w:r>
      <w:r>
        <w:t>before</w:t>
      </w:r>
      <w:r w:rsidRPr="00BD3549">
        <w:t xml:space="preserve"> </w:t>
      </w:r>
      <w:r>
        <w:t xml:space="preserve">its </w:t>
      </w:r>
      <w:r w:rsidRPr="00BD3549">
        <w:t>incorporation into the ASME Code</w:t>
      </w:r>
      <w:r>
        <w:t>s.  Alternative 2 would also</w:t>
      </w:r>
      <w:r w:rsidRPr="00BD3549">
        <w:t xml:space="preserve"> permit licensees to use advances in ISI and IST</w:t>
      </w:r>
      <w:r>
        <w:t>,</w:t>
      </w:r>
      <w:r w:rsidRPr="00BD3549">
        <w:t xml:space="preserve"> provide alternative examinations for older plants, </w:t>
      </w:r>
      <w:r>
        <w:t>respond promptly</w:t>
      </w:r>
      <w:r w:rsidRPr="00BD3549">
        <w:t xml:space="preserve"> to user needs</w:t>
      </w:r>
      <w:r>
        <w:t xml:space="preserve">, </w:t>
      </w:r>
      <w:r w:rsidRPr="00BD3549">
        <w:t xml:space="preserve">and </w:t>
      </w:r>
      <w:r>
        <w:t>offer</w:t>
      </w:r>
      <w:r w:rsidRPr="00BD3549">
        <w:t xml:space="preserve"> a limited</w:t>
      </w:r>
      <w:r>
        <w:t xml:space="preserve"> and</w:t>
      </w:r>
      <w:r w:rsidRPr="00BD3549">
        <w:t xml:space="preserve"> clearly focused alternative to specific ASME Code provisions.  </w:t>
      </w:r>
      <w:r>
        <w:t>Improvements in ISI and IST may also result in the earlier identification of material degradation that, if undetected, could lead to further degradation that eventually causes a plant transient.  For these reasons</w:t>
      </w:r>
      <w:r w:rsidRPr="00BD3549">
        <w:t xml:space="preserve">, </w:t>
      </w:r>
      <w:r>
        <w:t>Alternative </w:t>
      </w:r>
      <w:r w:rsidRPr="00BD3549">
        <w:t xml:space="preserve">2 maintains the same level </w:t>
      </w:r>
      <w:r>
        <w:t xml:space="preserve">of, </w:t>
      </w:r>
      <w:r w:rsidRPr="00BD3549">
        <w:t>or may provide an incremental improvement in</w:t>
      </w:r>
      <w:r>
        <w:t>,</w:t>
      </w:r>
      <w:r w:rsidRPr="00BD3549">
        <w:t xml:space="preserve"> safety</w:t>
      </w:r>
      <w:r>
        <w:t xml:space="preserve"> as</w:t>
      </w:r>
      <w:r w:rsidRPr="00BD3549">
        <w:t xml:space="preserve"> compared to the regulatory baseline.</w:t>
      </w:r>
    </w:p>
    <w:p w14:paraId="6BDAFBDB" w14:textId="77777777" w:rsidR="00D53E6F" w:rsidRPr="008E2466" w:rsidRDefault="00D53E6F" w:rsidP="00D53E6F">
      <w:pPr>
        <w:spacing w:line="240" w:lineRule="auto"/>
      </w:pPr>
    </w:p>
    <w:p w14:paraId="4AFD0315" w14:textId="77777777" w:rsidR="00D53E6F" w:rsidRPr="00461295" w:rsidRDefault="00D53E6F" w:rsidP="00D53E6F">
      <w:pPr>
        <w:pStyle w:val="Heading2"/>
        <w:tabs>
          <w:tab w:val="left" w:pos="540"/>
        </w:tabs>
        <w:spacing w:line="240" w:lineRule="auto"/>
      </w:pPr>
      <w:bookmarkStart w:id="122" w:name="_Toc456098233"/>
      <w:bookmarkStart w:id="123" w:name="_Toc12808789"/>
      <w:r>
        <w:t>5.2</w:t>
      </w:r>
      <w:r>
        <w:tab/>
      </w:r>
      <w:bookmarkStart w:id="124" w:name="_Toc457827246"/>
      <w:r w:rsidRPr="00461295">
        <w:t>Occupational Health (Accident and Routine)</w:t>
      </w:r>
      <w:bookmarkEnd w:id="122"/>
      <w:bookmarkEnd w:id="123"/>
      <w:bookmarkEnd w:id="124"/>
    </w:p>
    <w:p w14:paraId="676C26A6" w14:textId="77777777" w:rsidR="00D53E6F" w:rsidRPr="00976A87" w:rsidRDefault="00D53E6F" w:rsidP="00D53E6F">
      <w:pPr>
        <w:keepNext/>
        <w:spacing w:line="240" w:lineRule="auto"/>
      </w:pPr>
    </w:p>
    <w:p w14:paraId="3B13AF55" w14:textId="2E9CB952" w:rsidR="00D53E6F" w:rsidRPr="00F06E0E" w:rsidRDefault="00D53E6F" w:rsidP="00D53E6F">
      <w:pPr>
        <w:spacing w:line="240" w:lineRule="auto"/>
      </w:pPr>
      <w:r w:rsidRPr="00F06E0E">
        <w:t xml:space="preserve">The NRC’s practice </w:t>
      </w:r>
      <w:r>
        <w:t>of</w:t>
      </w:r>
      <w:r w:rsidRPr="00F06E0E">
        <w:t xml:space="preserve"> review</w:t>
      </w:r>
      <w:r>
        <w:t>ing</w:t>
      </w:r>
      <w:r w:rsidRPr="00F06E0E">
        <w:t xml:space="preserve"> ASME BPV and OM Code Cases, determin</w:t>
      </w:r>
      <w:r>
        <w:t>ing</w:t>
      </w:r>
      <w:r w:rsidRPr="00F06E0E">
        <w:t xml:space="preserve"> their acceptability, and specify</w:t>
      </w:r>
      <w:r>
        <w:t>ing</w:t>
      </w:r>
      <w:r w:rsidRPr="00F06E0E">
        <w:t xml:space="preserve"> its finding</w:t>
      </w:r>
      <w:r>
        <w:t>s</w:t>
      </w:r>
      <w:r w:rsidRPr="00F06E0E">
        <w:t xml:space="preserve"> in RGs that are incorporated by reference into the regulations ensures that the mandated ASME Code requirements and approved </w:t>
      </w:r>
      <w:r>
        <w:t xml:space="preserve">ASME </w:t>
      </w:r>
      <w:r w:rsidRPr="00F06E0E">
        <w:t xml:space="preserve">Code alternatives result in an acceptable level of quality and safety.  Pursuing </w:t>
      </w:r>
      <w:r>
        <w:t>Alternative</w:t>
      </w:r>
      <w:r w:rsidRPr="00F06E0E">
        <w:t> 2</w:t>
      </w:r>
      <w:r>
        <w:t xml:space="preserve"> (the rule alternative)</w:t>
      </w:r>
      <w:r w:rsidRPr="00F06E0E">
        <w:t xml:space="preserve"> would continue to meet the NRC’s goal of maintaining safety, permit</w:t>
      </w:r>
      <w:r>
        <w:t>ting</w:t>
      </w:r>
      <w:r w:rsidRPr="00F06E0E">
        <w:t xml:space="preserve"> licensees to use ISI and IST advancements, provid</w:t>
      </w:r>
      <w:r>
        <w:t>ing</w:t>
      </w:r>
      <w:r w:rsidRPr="00F06E0E">
        <w:t xml:space="preserve"> alternative examinations, respond</w:t>
      </w:r>
      <w:r>
        <w:t>ing</w:t>
      </w:r>
      <w:r w:rsidRPr="00F06E0E">
        <w:t xml:space="preserve"> to user needs, and </w:t>
      </w:r>
      <w:r>
        <w:t>offering</w:t>
      </w:r>
      <w:r w:rsidRPr="00F06E0E">
        <w:t xml:space="preserve"> alternatives to ASME Code provisions.  The NRC expects that </w:t>
      </w:r>
      <w:r>
        <w:t>the</w:t>
      </w:r>
      <w:r w:rsidRPr="00F06E0E">
        <w:t xml:space="preserve"> voluntary use of NRC-approved Code Cases </w:t>
      </w:r>
      <w:r>
        <w:t xml:space="preserve">by licensees and applicants </w:t>
      </w:r>
      <w:r w:rsidRPr="00F06E0E">
        <w:t xml:space="preserve">would reduce occupational radiation exposure in a positive, but not easily quantifiable, manner.  For example, the NRC expects that the use of the approved </w:t>
      </w:r>
      <w:r>
        <w:t xml:space="preserve">ASME </w:t>
      </w:r>
      <w:r w:rsidRPr="00F06E0E">
        <w:t>Code Cases would result in an incremental decrease in the likelihood of an accident and would reduce worker radiological exposures during routine inspections or testing</w:t>
      </w:r>
      <w:r>
        <w:t xml:space="preserve"> as </w:t>
      </w:r>
      <w:r w:rsidRPr="00F06E0E">
        <w:t>compared to the regulatory baseline.</w:t>
      </w:r>
    </w:p>
    <w:p w14:paraId="7D3A2179" w14:textId="77777777" w:rsidR="00D53E6F" w:rsidRPr="00F06E0E" w:rsidRDefault="00D53E6F" w:rsidP="00D53E6F">
      <w:pPr>
        <w:spacing w:line="240" w:lineRule="auto"/>
        <w:rPr>
          <w:color w:val="auto"/>
        </w:rPr>
      </w:pPr>
    </w:p>
    <w:p w14:paraId="3A2317BE" w14:textId="77777777" w:rsidR="00D53E6F" w:rsidRDefault="00D53E6F" w:rsidP="00D53E6F">
      <w:pPr>
        <w:spacing w:line="240" w:lineRule="auto"/>
      </w:pPr>
      <w:r>
        <w:t>Alternative</w:t>
      </w:r>
      <w:r w:rsidRPr="00F06E0E">
        <w:t> 2</w:t>
      </w:r>
      <w:r>
        <w:t xml:space="preserve"> </w:t>
      </w:r>
      <w:r w:rsidRPr="00F06E0E">
        <w:rPr>
          <w:color w:val="auto"/>
        </w:rPr>
        <w:t>would allow licensees and applicants to voluntarily apply NRC</w:t>
      </w:r>
      <w:r>
        <w:rPr>
          <w:color w:val="auto"/>
        </w:rPr>
        <w:noBreakHyphen/>
      </w:r>
      <w:r w:rsidRPr="00F06E0E">
        <w:rPr>
          <w:color w:val="auto"/>
        </w:rPr>
        <w:t xml:space="preserve">approved </w:t>
      </w:r>
      <w:r>
        <w:rPr>
          <w:color w:val="auto"/>
        </w:rPr>
        <w:t xml:space="preserve">ASME </w:t>
      </w:r>
      <w:r w:rsidRPr="00F06E0E">
        <w:rPr>
          <w:color w:val="auto"/>
        </w:rPr>
        <w:t>Code Cases, sometimes with NRC</w:t>
      </w:r>
      <w:r w:rsidRPr="00F06E0E">
        <w:rPr>
          <w:color w:val="auto"/>
        </w:rPr>
        <w:noBreakHyphen/>
        <w:t xml:space="preserve">specified conditions.  The NRC lists the approved </w:t>
      </w:r>
      <w:r>
        <w:rPr>
          <w:color w:val="auto"/>
        </w:rPr>
        <w:t xml:space="preserve">ASME </w:t>
      </w:r>
      <w:r w:rsidRPr="00F06E0E">
        <w:rPr>
          <w:color w:val="auto"/>
        </w:rPr>
        <w:t xml:space="preserve">Code Cases in </w:t>
      </w:r>
      <w:r>
        <w:rPr>
          <w:color w:val="auto"/>
        </w:rPr>
        <w:t>RG 1.84, RG 1.147, and RG 1.192, which</w:t>
      </w:r>
      <w:r w:rsidRPr="00F06E0E">
        <w:rPr>
          <w:color w:val="auto"/>
        </w:rPr>
        <w:t xml:space="preserve"> are incorporated by reference in</w:t>
      </w:r>
      <w:r>
        <w:rPr>
          <w:color w:val="auto"/>
        </w:rPr>
        <w:t>to</w:t>
      </w:r>
      <w:r w:rsidRPr="00F06E0E">
        <w:rPr>
          <w:color w:val="auto"/>
        </w:rPr>
        <w:t xml:space="preserve"> 10</w:t>
      </w:r>
      <w:r>
        <w:rPr>
          <w:color w:val="auto"/>
        </w:rPr>
        <w:t> </w:t>
      </w:r>
      <w:r w:rsidRPr="00F06E0E">
        <w:rPr>
          <w:color w:val="auto"/>
        </w:rPr>
        <w:t>CFR</w:t>
      </w:r>
      <w:r>
        <w:rPr>
          <w:color w:val="auto"/>
        </w:rPr>
        <w:t> </w:t>
      </w:r>
      <w:r w:rsidRPr="00F06E0E">
        <w:rPr>
          <w:color w:val="auto"/>
        </w:rPr>
        <w:t>50.55a.</w:t>
      </w:r>
    </w:p>
    <w:p w14:paraId="6F52A65E" w14:textId="77777777" w:rsidR="00D53E6F" w:rsidRDefault="00D53E6F" w:rsidP="00D53E6F">
      <w:pPr>
        <w:spacing w:line="240" w:lineRule="auto"/>
      </w:pPr>
    </w:p>
    <w:p w14:paraId="50C555E4" w14:textId="77777777" w:rsidR="00D53E6F" w:rsidRDefault="00D53E6F" w:rsidP="00D53E6F">
      <w:pPr>
        <w:pStyle w:val="Heading2"/>
        <w:tabs>
          <w:tab w:val="left" w:pos="540"/>
        </w:tabs>
        <w:spacing w:line="240" w:lineRule="auto"/>
      </w:pPr>
      <w:bookmarkStart w:id="125" w:name="_Ref386964349"/>
      <w:bookmarkStart w:id="126" w:name="_Toc456098234"/>
      <w:bookmarkStart w:id="127" w:name="_Toc12808790"/>
      <w:r>
        <w:t>5.3</w:t>
      </w:r>
      <w:r>
        <w:tab/>
      </w:r>
      <w:bookmarkStart w:id="128" w:name="_Toc457827247"/>
      <w:r w:rsidRPr="00461295">
        <w:t>Industry Implementation</w:t>
      </w:r>
      <w:bookmarkEnd w:id="125"/>
      <w:bookmarkEnd w:id="126"/>
      <w:bookmarkEnd w:id="127"/>
      <w:bookmarkEnd w:id="128"/>
    </w:p>
    <w:p w14:paraId="3D7CDB7A" w14:textId="77777777" w:rsidR="00D53E6F" w:rsidRPr="00976A87" w:rsidRDefault="00D53E6F" w:rsidP="00D53E6F">
      <w:pPr>
        <w:keepNext/>
        <w:spacing w:line="240" w:lineRule="auto"/>
      </w:pPr>
    </w:p>
    <w:p w14:paraId="79FCB461" w14:textId="77777777" w:rsidR="00D53E6F" w:rsidRDefault="00D53E6F" w:rsidP="00D53E6F">
      <w:pPr>
        <w:spacing w:line="240" w:lineRule="auto"/>
      </w:pPr>
      <w:r w:rsidRPr="00976A87">
        <w:t xml:space="preserve">This attribute accounts for the projected net economic effect on the affected licensees </w:t>
      </w:r>
      <w:r>
        <w:t>resulting from their implementation of</w:t>
      </w:r>
      <w:r w:rsidRPr="00976A87">
        <w:t xml:space="preserve"> the </w:t>
      </w:r>
      <w:r>
        <w:t xml:space="preserve">regulatory </w:t>
      </w:r>
      <w:r w:rsidRPr="00976A87">
        <w:t>changes</w:t>
      </w:r>
      <w:r>
        <w:t xml:space="preserve"> (conditions on the ASME Code editions)</w:t>
      </w:r>
      <w:r w:rsidRPr="00976A87">
        <w:t>.  Additional costs above the regulatory baseline are negative</w:t>
      </w:r>
      <w:r>
        <w:t>,</w:t>
      </w:r>
      <w:r w:rsidRPr="00976A87">
        <w:t xml:space="preserve"> and cost savings and averted costs are positive.</w:t>
      </w:r>
    </w:p>
    <w:p w14:paraId="6EA0DE01" w14:textId="77777777" w:rsidR="00D53E6F" w:rsidRPr="0066004C" w:rsidRDefault="00D53E6F" w:rsidP="00D53E6F">
      <w:pPr>
        <w:spacing w:line="240" w:lineRule="auto"/>
      </w:pPr>
    </w:p>
    <w:p w14:paraId="2C71B471" w14:textId="77777777" w:rsidR="00D53E6F" w:rsidRPr="00706C8A" w:rsidRDefault="00D53E6F" w:rsidP="00D53E6F">
      <w:pPr>
        <w:pStyle w:val="Heading3"/>
        <w:spacing w:line="240" w:lineRule="auto"/>
        <w:ind w:left="720" w:hanging="720"/>
      </w:pPr>
      <w:bookmarkStart w:id="129" w:name="_Toc456098236"/>
      <w:bookmarkStart w:id="130" w:name="_Toc12808791"/>
      <w:r>
        <w:t>5.3.1</w:t>
      </w:r>
      <w:r w:rsidRPr="00706C8A">
        <w:tab/>
      </w:r>
      <w:bookmarkEnd w:id="129"/>
      <w:r w:rsidRPr="00C87607">
        <w:rPr>
          <w:szCs w:val="22"/>
        </w:rPr>
        <w:t xml:space="preserve">Additional Materials for Subsection NF, Class 1, 2, 3, and </w:t>
      </w:r>
      <w:r>
        <w:rPr>
          <w:szCs w:val="22"/>
        </w:rPr>
        <w:t>Metal Containment</w:t>
      </w:r>
      <w:r w:rsidRPr="00C87607">
        <w:rPr>
          <w:szCs w:val="22"/>
        </w:rPr>
        <w:t xml:space="preserve"> Supports Fabricated by Welding</w:t>
      </w:r>
      <w:bookmarkEnd w:id="130"/>
    </w:p>
    <w:p w14:paraId="21241211" w14:textId="77777777" w:rsidR="00D53E6F" w:rsidRDefault="00D53E6F" w:rsidP="00D53E6F">
      <w:pPr>
        <w:spacing w:line="240" w:lineRule="auto"/>
        <w:rPr>
          <w:iCs/>
        </w:rPr>
      </w:pPr>
    </w:p>
    <w:p w14:paraId="7FD5E6CC" w14:textId="77777777" w:rsidR="00D53E6F" w:rsidRDefault="00D53E6F" w:rsidP="00D53E6F">
      <w:pPr>
        <w:spacing w:line="240" w:lineRule="auto"/>
      </w:pPr>
      <w:r w:rsidRPr="001D24C0">
        <w:t xml:space="preserve">The first condition on </w:t>
      </w:r>
      <w:r>
        <w:t xml:space="preserve">ASME </w:t>
      </w:r>
      <w:r w:rsidRPr="001D24C0">
        <w:t>Code Case N-71-19 is identical to the first condition on</w:t>
      </w:r>
      <w:r>
        <w:t xml:space="preserve"> </w:t>
      </w:r>
      <w:bookmarkStart w:id="131" w:name="_Hlk7679490"/>
      <w:r>
        <w:t>ASME</w:t>
      </w:r>
      <w:bookmarkEnd w:id="131"/>
      <w:r w:rsidRPr="001D24C0">
        <w:t xml:space="preserve"> Code Case</w:t>
      </w:r>
      <w:r>
        <w:t> </w:t>
      </w:r>
      <w:r w:rsidRPr="001D24C0">
        <w:t>N</w:t>
      </w:r>
      <w:r>
        <w:noBreakHyphen/>
      </w:r>
      <w:r w:rsidRPr="001D24C0">
        <w:t>71</w:t>
      </w:r>
      <w:r>
        <w:noBreakHyphen/>
      </w:r>
      <w:r w:rsidRPr="001D24C0">
        <w:t>18</w:t>
      </w:r>
      <w:r>
        <w:t>,</w:t>
      </w:r>
      <w:r w:rsidRPr="001D24C0">
        <w:t xml:space="preserve"> </w:t>
      </w:r>
      <w:r>
        <w:t>which</w:t>
      </w:r>
      <w:r w:rsidRPr="001D24C0">
        <w:t xml:space="preserve"> the NRC first approved in RG</w:t>
      </w:r>
      <w:r>
        <w:t> </w:t>
      </w:r>
      <w:r w:rsidRPr="001D24C0">
        <w:t>1.84</w:t>
      </w:r>
      <w:r>
        <w:t>, Revision 33, issued</w:t>
      </w:r>
      <w:r w:rsidRPr="001D24C0">
        <w:t xml:space="preserve"> August</w:t>
      </w:r>
      <w:r>
        <w:t> </w:t>
      </w:r>
      <w:r w:rsidRPr="001D24C0">
        <w:t>2005.  The condition state</w:t>
      </w:r>
      <w:r>
        <w:t>s the following:</w:t>
      </w:r>
    </w:p>
    <w:p w14:paraId="4C040B08" w14:textId="77777777" w:rsidR="00D53E6F" w:rsidRDefault="00D53E6F" w:rsidP="00D53E6F">
      <w:pPr>
        <w:spacing w:line="240" w:lineRule="auto"/>
      </w:pPr>
    </w:p>
    <w:p w14:paraId="52281389" w14:textId="77777777" w:rsidR="00D53E6F" w:rsidRDefault="00D53E6F" w:rsidP="00D53E6F">
      <w:pPr>
        <w:spacing w:line="240" w:lineRule="auto"/>
        <w:ind w:left="720" w:right="720"/>
      </w:pPr>
      <w:r w:rsidRPr="001D24C0">
        <w:t>The maximum measu</w:t>
      </w:r>
      <w:r>
        <w:t>red ultimate tensile strength</w:t>
      </w:r>
      <w:r w:rsidRPr="001D24C0">
        <w:t xml:space="preserve"> </w:t>
      </w:r>
      <w:r>
        <w:t xml:space="preserve">(UTS) </w:t>
      </w:r>
      <w:r w:rsidRPr="001D24C0">
        <w:t xml:space="preserve">of the component support material must not exceed 170 </w:t>
      </w:r>
      <w:r w:rsidRPr="00304070">
        <w:t>ksi</w:t>
      </w:r>
      <w:r w:rsidRPr="001D24C0">
        <w:t xml:space="preserve"> in view of the susceptibility of high</w:t>
      </w:r>
      <w:r>
        <w:noBreakHyphen/>
      </w:r>
      <w:r w:rsidRPr="001D24C0">
        <w:t>strength materials to brittleness and stress corrosion cracking.</w:t>
      </w:r>
    </w:p>
    <w:p w14:paraId="6682629B" w14:textId="77777777" w:rsidR="00D53E6F" w:rsidRDefault="00D53E6F" w:rsidP="00D53E6F">
      <w:pPr>
        <w:spacing w:line="240" w:lineRule="auto"/>
      </w:pPr>
    </w:p>
    <w:p w14:paraId="330DCD78" w14:textId="77777777" w:rsidR="00D53E6F" w:rsidRDefault="00D53E6F" w:rsidP="00D53E6F">
      <w:pPr>
        <w:spacing w:line="240" w:lineRule="auto"/>
      </w:pPr>
      <w:r>
        <w:t xml:space="preserve">ASME </w:t>
      </w:r>
      <w:r w:rsidRPr="001D24C0">
        <w:t>Code Case N</w:t>
      </w:r>
      <w:r w:rsidRPr="001D24C0">
        <w:noBreakHyphen/>
        <w:t>71-19</w:t>
      </w:r>
      <w:r>
        <w:t xml:space="preserve"> does not address t</w:t>
      </w:r>
      <w:r w:rsidRPr="001D24C0">
        <w:t>he reasons for imposing this condition</w:t>
      </w:r>
      <w:r>
        <w:t>;</w:t>
      </w:r>
      <w:r w:rsidRPr="001D24C0">
        <w:t xml:space="preserve"> therefore</w:t>
      </w:r>
      <w:r>
        <w:t>,</w:t>
      </w:r>
      <w:r w:rsidRPr="001D24C0">
        <w:t xml:space="preserve"> RG</w:t>
      </w:r>
      <w:r>
        <w:t> </w:t>
      </w:r>
      <w:r w:rsidRPr="001D24C0">
        <w:t>1.84</w:t>
      </w:r>
      <w:r>
        <w:t xml:space="preserve">, Revision 38, will retain </w:t>
      </w:r>
      <w:r w:rsidRPr="001D24C0">
        <w:t>this condition</w:t>
      </w:r>
      <w:r>
        <w:t>.</w:t>
      </w:r>
    </w:p>
    <w:p w14:paraId="3390436B" w14:textId="77777777" w:rsidR="00D53E6F" w:rsidRPr="001D24C0" w:rsidRDefault="00D53E6F" w:rsidP="00D53E6F">
      <w:pPr>
        <w:spacing w:line="240" w:lineRule="auto"/>
      </w:pPr>
    </w:p>
    <w:p w14:paraId="40773D02" w14:textId="77777777" w:rsidR="00D53E6F" w:rsidRDefault="00D53E6F" w:rsidP="00D53E6F">
      <w:pPr>
        <w:spacing w:line="240" w:lineRule="auto"/>
      </w:pPr>
      <w:r w:rsidRPr="001D24C0">
        <w:t>The second condition on</w:t>
      </w:r>
      <w:r>
        <w:t xml:space="preserve"> ASME</w:t>
      </w:r>
      <w:r w:rsidRPr="001D24C0">
        <w:t xml:space="preserve"> Code Case N-71-19 is an update to the third condition </w:t>
      </w:r>
      <w:r>
        <w:t>i</w:t>
      </w:r>
      <w:r w:rsidRPr="001D24C0">
        <w:t>n Revision</w:t>
      </w:r>
      <w:r>
        <w:t> </w:t>
      </w:r>
      <w:r w:rsidRPr="001D24C0">
        <w:t>18 of the Code Case</w:t>
      </w:r>
      <w:r>
        <w:t xml:space="preserve">. </w:t>
      </w:r>
      <w:r w:rsidRPr="001D24C0">
        <w:t xml:space="preserve"> </w:t>
      </w:r>
      <w:r>
        <w:t>T</w:t>
      </w:r>
      <w:r w:rsidRPr="001D24C0">
        <w:t xml:space="preserve">his condition has been modified </w:t>
      </w:r>
      <w:r>
        <w:t>to</w:t>
      </w:r>
      <w:r w:rsidRPr="001D24C0">
        <w:t xml:space="preserve"> reference the correct sentence and paragraph of the revised Code Case and </w:t>
      </w:r>
      <w:r>
        <w:t xml:space="preserve">to </w:t>
      </w:r>
      <w:r w:rsidRPr="001D24C0">
        <w:t xml:space="preserve">refer to </w:t>
      </w:r>
      <w:r>
        <w:t>P</w:t>
      </w:r>
      <w:r w:rsidRPr="001D24C0">
        <w:t>aragraph</w:t>
      </w:r>
      <w:r>
        <w:t> </w:t>
      </w:r>
      <w:r w:rsidRPr="001D24C0">
        <w:t xml:space="preserve">5.2 of the Code Case instead of </w:t>
      </w:r>
      <w:r>
        <w:t>P</w:t>
      </w:r>
      <w:r w:rsidRPr="001D24C0">
        <w:t>aragraph</w:t>
      </w:r>
      <w:r>
        <w:t> </w:t>
      </w:r>
      <w:r w:rsidRPr="001D24C0">
        <w:t xml:space="preserve">5.5 to </w:t>
      </w:r>
      <w:r>
        <w:t>cite the following:</w:t>
      </w:r>
    </w:p>
    <w:p w14:paraId="396C4719" w14:textId="77777777" w:rsidR="00D53E6F" w:rsidRDefault="00D53E6F" w:rsidP="00D53E6F">
      <w:pPr>
        <w:spacing w:line="240" w:lineRule="auto"/>
      </w:pPr>
    </w:p>
    <w:p w14:paraId="09F06DF7" w14:textId="77777777" w:rsidR="00D53E6F" w:rsidRDefault="00D53E6F" w:rsidP="00D53E6F">
      <w:pPr>
        <w:spacing w:line="240" w:lineRule="auto"/>
        <w:ind w:left="720" w:right="720"/>
      </w:pPr>
      <w:r w:rsidRPr="001D24C0">
        <w:t xml:space="preserve">5.3.2.3, </w:t>
      </w:r>
      <w:r>
        <w:t>“</w:t>
      </w:r>
      <w:r w:rsidRPr="001D24C0">
        <w:t>Alternative Atmosphere Exposure Time Periods Es</w:t>
      </w:r>
      <w:r>
        <w:t>tablished by Test,” of the American Welding Society</w:t>
      </w:r>
      <w:r w:rsidRPr="001D24C0">
        <w:t xml:space="preserve"> D1.1 Code for the evidence presented to and accepted by the Authorized Inspector concerning exposure of electrodes for a longer period of time. </w:t>
      </w:r>
    </w:p>
    <w:p w14:paraId="67B75513" w14:textId="77777777" w:rsidR="00D53E6F" w:rsidRDefault="00D53E6F" w:rsidP="00D53E6F">
      <w:pPr>
        <w:spacing w:line="240" w:lineRule="auto"/>
      </w:pPr>
    </w:p>
    <w:p w14:paraId="7F47AA84" w14:textId="77777777" w:rsidR="00D53E6F" w:rsidRDefault="00D53E6F" w:rsidP="00D53E6F">
      <w:pPr>
        <w:spacing w:line="240" w:lineRule="auto"/>
      </w:pPr>
      <w:r w:rsidRPr="001D24C0">
        <w:t xml:space="preserve">The basis for this change is that </w:t>
      </w:r>
      <w:r>
        <w:t>ASME has renumbered P</w:t>
      </w:r>
      <w:r w:rsidRPr="001D24C0">
        <w:t>aragraph</w:t>
      </w:r>
      <w:r>
        <w:t> </w:t>
      </w:r>
      <w:r w:rsidRPr="001D24C0">
        <w:t xml:space="preserve">5.5 of the Code Case </w:t>
      </w:r>
      <w:r>
        <w:t>as</w:t>
      </w:r>
      <w:r w:rsidRPr="001D24C0">
        <w:t xml:space="preserve"> </w:t>
      </w:r>
      <w:r>
        <w:t>Paragraph </w:t>
      </w:r>
      <w:r w:rsidRPr="001D24C0">
        <w:t xml:space="preserve">5.2.  </w:t>
      </w:r>
      <w:r>
        <w:t xml:space="preserve">ASME </w:t>
      </w:r>
      <w:r w:rsidRPr="001D24C0">
        <w:t>Code Case</w:t>
      </w:r>
      <w:r>
        <w:t> </w:t>
      </w:r>
      <w:r w:rsidRPr="001D24C0">
        <w:t>N</w:t>
      </w:r>
      <w:r>
        <w:noBreakHyphen/>
      </w:r>
      <w:r w:rsidRPr="001D24C0">
        <w:t>71</w:t>
      </w:r>
      <w:r>
        <w:noBreakHyphen/>
      </w:r>
      <w:r w:rsidRPr="001D24C0">
        <w:t>19</w:t>
      </w:r>
      <w:r>
        <w:t xml:space="preserve"> does not address t</w:t>
      </w:r>
      <w:r w:rsidRPr="001D24C0">
        <w:t>he reasons for imposing this condition</w:t>
      </w:r>
      <w:r>
        <w:t>;</w:t>
      </w:r>
      <w:r w:rsidRPr="001D24C0">
        <w:t xml:space="preserve"> therefore</w:t>
      </w:r>
      <w:r>
        <w:t>,</w:t>
      </w:r>
      <w:r w:rsidRPr="001D24C0">
        <w:t xml:space="preserve"> RG</w:t>
      </w:r>
      <w:r>
        <w:t> </w:t>
      </w:r>
      <w:r w:rsidRPr="001D24C0">
        <w:t>1.84</w:t>
      </w:r>
      <w:r>
        <w:t xml:space="preserve">, Revision 38, will retain </w:t>
      </w:r>
      <w:r w:rsidRPr="001D24C0">
        <w:t>this condition.</w:t>
      </w:r>
    </w:p>
    <w:p w14:paraId="7B658A60" w14:textId="77777777" w:rsidR="00D53E6F" w:rsidRPr="001D24C0" w:rsidRDefault="00D53E6F" w:rsidP="00D53E6F">
      <w:pPr>
        <w:spacing w:line="240" w:lineRule="auto"/>
      </w:pPr>
    </w:p>
    <w:p w14:paraId="017A91F8" w14:textId="77777777" w:rsidR="00D53E6F" w:rsidRDefault="00D53E6F" w:rsidP="00D53E6F">
      <w:pPr>
        <w:spacing w:line="240" w:lineRule="auto"/>
      </w:pPr>
      <w:r w:rsidRPr="001D24C0">
        <w:t xml:space="preserve">The third condition on </w:t>
      </w:r>
      <w:r>
        <w:t xml:space="preserve">ASME </w:t>
      </w:r>
      <w:r w:rsidRPr="001D24C0">
        <w:t xml:space="preserve">Code Case N-71-19 is substantively the same as the fourth condition on </w:t>
      </w:r>
      <w:r>
        <w:t xml:space="preserve">ASME </w:t>
      </w:r>
      <w:r w:rsidRPr="001D24C0">
        <w:t>Code Case N-71-18</w:t>
      </w:r>
      <w:r>
        <w:t>, which</w:t>
      </w:r>
      <w:r w:rsidRPr="001D24C0">
        <w:t xml:space="preserve"> the NRC first approved in RG</w:t>
      </w:r>
      <w:r>
        <w:t> </w:t>
      </w:r>
      <w:r w:rsidRPr="001D24C0">
        <w:t>1.84</w:t>
      </w:r>
      <w:r>
        <w:t>, Revision 33,</w:t>
      </w:r>
      <w:r w:rsidRPr="001D24C0">
        <w:t xml:space="preserve"> except that it now references the renumbered paragraphs of the revised Code Case.  The condition now reads</w:t>
      </w:r>
      <w:r>
        <w:t xml:space="preserve"> as follows:</w:t>
      </w:r>
    </w:p>
    <w:p w14:paraId="563E8BC4" w14:textId="77777777" w:rsidR="00D53E6F" w:rsidRDefault="00D53E6F" w:rsidP="00D53E6F">
      <w:pPr>
        <w:spacing w:line="240" w:lineRule="auto"/>
      </w:pPr>
    </w:p>
    <w:p w14:paraId="3884D2A5" w14:textId="77777777" w:rsidR="00D53E6F" w:rsidRDefault="00D53E6F" w:rsidP="00D53E6F">
      <w:pPr>
        <w:spacing w:line="240" w:lineRule="auto"/>
        <w:ind w:left="720" w:right="720"/>
      </w:pPr>
      <w:r w:rsidRPr="001D24C0">
        <w:t>Paragraph 16.2.2 of Code Case N-71-19 is not acceptable as written and must be replaced with the following:</w:t>
      </w:r>
      <w:r>
        <w:t xml:space="preserve"> </w:t>
      </w:r>
      <w:r w:rsidRPr="001D24C0">
        <w:t xml:space="preserve"> </w:t>
      </w:r>
      <w:r>
        <w:t>“</w:t>
      </w:r>
      <w:r w:rsidRPr="001D24C0">
        <w:t>When not exempted by 16.2.1 above, the post weld heat treatment must be performed in accordance with NF</w:t>
      </w:r>
      <w:r>
        <w:noBreakHyphen/>
      </w:r>
      <w:r w:rsidRPr="001D24C0">
        <w:t>4622 except that ASTM</w:t>
      </w:r>
      <w:r>
        <w:t> </w:t>
      </w:r>
      <w:r w:rsidRPr="001D24C0">
        <w:t>A</w:t>
      </w:r>
      <w:r>
        <w:noBreakHyphen/>
      </w:r>
      <w:r w:rsidRPr="001D24C0">
        <w:t>710 Grade A Material must be at least 1000°F (540°C) and must not exceed 1150°F (620°C) for Class 1 and 2 material and 1175°F (640°C) for Class</w:t>
      </w:r>
      <w:r>
        <w:t> </w:t>
      </w:r>
      <w:r w:rsidRPr="001D24C0">
        <w:t>3 material.</w:t>
      </w:r>
      <w:r>
        <w:t>”</w:t>
      </w:r>
    </w:p>
    <w:p w14:paraId="5A91CD38" w14:textId="77777777" w:rsidR="00D53E6F" w:rsidRDefault="00D53E6F" w:rsidP="00D53E6F">
      <w:pPr>
        <w:spacing w:line="240" w:lineRule="auto"/>
        <w:ind w:left="720" w:right="720"/>
      </w:pPr>
    </w:p>
    <w:p w14:paraId="267ACFE9" w14:textId="77777777" w:rsidR="00D53E6F" w:rsidRDefault="00D53E6F" w:rsidP="00D53E6F">
      <w:pPr>
        <w:spacing w:line="240" w:lineRule="auto"/>
      </w:pPr>
      <w:r>
        <w:t xml:space="preserve">ASME </w:t>
      </w:r>
      <w:r w:rsidRPr="001D24C0">
        <w:t>Code Case N</w:t>
      </w:r>
      <w:r w:rsidRPr="001D24C0">
        <w:noBreakHyphen/>
        <w:t>71-19</w:t>
      </w:r>
      <w:r>
        <w:t xml:space="preserve"> does not address t</w:t>
      </w:r>
      <w:r w:rsidRPr="001D24C0">
        <w:t>he reasons for imposing this condition</w:t>
      </w:r>
      <w:r>
        <w:t>;</w:t>
      </w:r>
      <w:r w:rsidRPr="001D24C0">
        <w:t xml:space="preserve"> therefore</w:t>
      </w:r>
      <w:r>
        <w:t>,</w:t>
      </w:r>
      <w:r w:rsidRPr="001D24C0">
        <w:t xml:space="preserve"> RG</w:t>
      </w:r>
      <w:r>
        <w:t> </w:t>
      </w:r>
      <w:r w:rsidRPr="001D24C0">
        <w:t>1.84</w:t>
      </w:r>
      <w:r>
        <w:t xml:space="preserve">, Revision 38, will retain </w:t>
      </w:r>
      <w:r w:rsidRPr="001D24C0">
        <w:t>this condition.</w:t>
      </w:r>
    </w:p>
    <w:p w14:paraId="5086ED11" w14:textId="77777777" w:rsidR="00D53E6F" w:rsidRPr="001D24C0" w:rsidRDefault="00D53E6F" w:rsidP="00D53E6F">
      <w:pPr>
        <w:spacing w:line="240" w:lineRule="auto"/>
      </w:pPr>
    </w:p>
    <w:p w14:paraId="634193B1" w14:textId="77777777" w:rsidR="00D53E6F" w:rsidRDefault="00D53E6F" w:rsidP="00D53E6F">
      <w:pPr>
        <w:spacing w:line="240" w:lineRule="auto"/>
      </w:pPr>
      <w:r w:rsidRPr="001D24C0">
        <w:t xml:space="preserve">The fourth condition on </w:t>
      </w:r>
      <w:r>
        <w:t xml:space="preserve">ASME </w:t>
      </w:r>
      <w:r w:rsidRPr="001D24C0">
        <w:t xml:space="preserve">Code Case N-71-19 is identical to the fifth condition on </w:t>
      </w:r>
      <w:r>
        <w:t xml:space="preserve">ASME </w:t>
      </w:r>
      <w:r w:rsidRPr="001D24C0">
        <w:t>Code Case</w:t>
      </w:r>
      <w:r>
        <w:t> </w:t>
      </w:r>
      <w:r w:rsidRPr="001D24C0">
        <w:t>N</w:t>
      </w:r>
      <w:r>
        <w:noBreakHyphen/>
      </w:r>
      <w:r w:rsidRPr="001D24C0">
        <w:t>71</w:t>
      </w:r>
      <w:r>
        <w:noBreakHyphen/>
      </w:r>
      <w:r w:rsidRPr="001D24C0">
        <w:t>18</w:t>
      </w:r>
      <w:r>
        <w:t>, which</w:t>
      </w:r>
      <w:r w:rsidRPr="001D24C0">
        <w:t xml:space="preserve"> the NRC first approved in RG</w:t>
      </w:r>
      <w:r>
        <w:t> </w:t>
      </w:r>
      <w:r w:rsidRPr="001D24C0">
        <w:t>1.84</w:t>
      </w:r>
      <w:r>
        <w:t>, Revision 33</w:t>
      </w:r>
      <w:r w:rsidRPr="001D24C0">
        <w:t>.  The condition state</w:t>
      </w:r>
      <w:r>
        <w:t>s</w:t>
      </w:r>
      <w:r w:rsidRPr="001D24C0">
        <w:t xml:space="preserve"> </w:t>
      </w:r>
      <w:r>
        <w:t>the following:</w:t>
      </w:r>
    </w:p>
    <w:p w14:paraId="65CBEA6E" w14:textId="77777777" w:rsidR="00D53E6F" w:rsidRDefault="00D53E6F" w:rsidP="00D53E6F">
      <w:pPr>
        <w:spacing w:line="240" w:lineRule="auto"/>
      </w:pPr>
    </w:p>
    <w:p w14:paraId="5AED64D6" w14:textId="77777777" w:rsidR="00D53E6F" w:rsidRDefault="00D53E6F" w:rsidP="00D53E6F">
      <w:pPr>
        <w:spacing w:line="240" w:lineRule="auto"/>
        <w:ind w:left="720" w:right="720"/>
      </w:pPr>
      <w:r w:rsidRPr="001D24C0">
        <w:t>The new holding time-at-temperature for weld thickness (nominal) must be 30</w:t>
      </w:r>
      <w:r>
        <w:t> </w:t>
      </w:r>
      <w:r w:rsidRPr="001D24C0">
        <w:t xml:space="preserve">minutes </w:t>
      </w:r>
      <w:r>
        <w:t>1/2 </w:t>
      </w:r>
      <w:r w:rsidRPr="001D24C0">
        <w:t>inch or less, 1 hour per inch of thickness for welds over 1/2</w:t>
      </w:r>
      <w:r>
        <w:t> </w:t>
      </w:r>
      <w:r w:rsidRPr="001D24C0">
        <w:t>inch to 5</w:t>
      </w:r>
      <w:r>
        <w:t> </w:t>
      </w:r>
      <w:r w:rsidRPr="001D24C0">
        <w:t>inches, and for thicknesses over 5 inches, 5 hours plus 15</w:t>
      </w:r>
      <w:r>
        <w:t> </w:t>
      </w:r>
      <w:r w:rsidRPr="001D24C0">
        <w:t>minutes for each additional inch over 5</w:t>
      </w:r>
      <w:r>
        <w:t> </w:t>
      </w:r>
      <w:r w:rsidRPr="001D24C0">
        <w:t>inches.</w:t>
      </w:r>
    </w:p>
    <w:p w14:paraId="60424EA4" w14:textId="77777777" w:rsidR="00D53E6F" w:rsidRDefault="00D53E6F" w:rsidP="00D53E6F">
      <w:pPr>
        <w:spacing w:line="240" w:lineRule="auto"/>
      </w:pPr>
    </w:p>
    <w:p w14:paraId="6ACFCECE" w14:textId="77777777" w:rsidR="00D53E6F" w:rsidRDefault="00D53E6F" w:rsidP="00D53E6F">
      <w:pPr>
        <w:spacing w:line="240" w:lineRule="auto"/>
      </w:pPr>
      <w:r>
        <w:t xml:space="preserve">ASME </w:t>
      </w:r>
      <w:r w:rsidRPr="001D24C0">
        <w:t>Code Case</w:t>
      </w:r>
      <w:r>
        <w:t> </w:t>
      </w:r>
      <w:r w:rsidRPr="001D24C0">
        <w:t>N</w:t>
      </w:r>
      <w:r>
        <w:noBreakHyphen/>
      </w:r>
      <w:r w:rsidRPr="001D24C0">
        <w:t>71</w:t>
      </w:r>
      <w:r>
        <w:noBreakHyphen/>
      </w:r>
      <w:r w:rsidRPr="001D24C0">
        <w:t>19</w:t>
      </w:r>
      <w:r>
        <w:t xml:space="preserve"> does not address t</w:t>
      </w:r>
      <w:r w:rsidRPr="001D24C0">
        <w:t>he reasons for imposing this condition</w:t>
      </w:r>
      <w:r>
        <w:t>;</w:t>
      </w:r>
      <w:r w:rsidRPr="001D24C0">
        <w:t xml:space="preserve"> therefore</w:t>
      </w:r>
      <w:r>
        <w:t>,</w:t>
      </w:r>
      <w:r w:rsidRPr="001D24C0">
        <w:t xml:space="preserve"> RG</w:t>
      </w:r>
      <w:r>
        <w:t> </w:t>
      </w:r>
      <w:r w:rsidRPr="001D24C0">
        <w:t>1.84</w:t>
      </w:r>
      <w:r>
        <w:t xml:space="preserve">, </w:t>
      </w:r>
      <w:r w:rsidRPr="001D24C0">
        <w:t>Revision</w:t>
      </w:r>
      <w:r>
        <w:t> </w:t>
      </w:r>
      <w:r w:rsidRPr="001D24C0">
        <w:t>38</w:t>
      </w:r>
      <w:r>
        <w:t xml:space="preserve">, will retain </w:t>
      </w:r>
      <w:r w:rsidRPr="001D24C0">
        <w:t>this condition.</w:t>
      </w:r>
    </w:p>
    <w:p w14:paraId="413D9DE3" w14:textId="77777777" w:rsidR="00D53E6F" w:rsidRPr="001D24C0" w:rsidRDefault="00D53E6F" w:rsidP="00D53E6F">
      <w:pPr>
        <w:spacing w:line="240" w:lineRule="auto"/>
      </w:pPr>
    </w:p>
    <w:p w14:paraId="73DEDA6A" w14:textId="77777777" w:rsidR="00D53E6F" w:rsidRDefault="00D53E6F" w:rsidP="00D53E6F">
      <w:pPr>
        <w:spacing w:line="240" w:lineRule="auto"/>
      </w:pPr>
      <w:r w:rsidRPr="001D24C0">
        <w:t xml:space="preserve">The fifth condition on </w:t>
      </w:r>
      <w:r>
        <w:t xml:space="preserve">ASME </w:t>
      </w:r>
      <w:r w:rsidRPr="001D24C0">
        <w:t xml:space="preserve">Code Case N-71-19 is identical to the sixth condition on </w:t>
      </w:r>
      <w:r>
        <w:t xml:space="preserve">ASME </w:t>
      </w:r>
      <w:r w:rsidRPr="001D24C0">
        <w:t>Code Case</w:t>
      </w:r>
      <w:r>
        <w:t> </w:t>
      </w:r>
      <w:r w:rsidRPr="001D24C0">
        <w:t>N</w:t>
      </w:r>
      <w:r>
        <w:noBreakHyphen/>
      </w:r>
      <w:r w:rsidRPr="001D24C0">
        <w:t>71</w:t>
      </w:r>
      <w:r>
        <w:noBreakHyphen/>
      </w:r>
      <w:r w:rsidRPr="001D24C0">
        <w:t>18</w:t>
      </w:r>
      <w:r>
        <w:t>, which</w:t>
      </w:r>
      <w:r w:rsidRPr="001D24C0">
        <w:t xml:space="preserve"> the NRC first approved in RG</w:t>
      </w:r>
      <w:r>
        <w:t> </w:t>
      </w:r>
      <w:r w:rsidRPr="001D24C0">
        <w:t>1.84</w:t>
      </w:r>
      <w:r>
        <w:t xml:space="preserve">, </w:t>
      </w:r>
      <w:r w:rsidRPr="001D24C0">
        <w:t>Revision</w:t>
      </w:r>
      <w:r>
        <w:t> </w:t>
      </w:r>
      <w:r w:rsidRPr="001D24C0">
        <w:t>33.  The condition state</w:t>
      </w:r>
      <w:r>
        <w:t>s the following:</w:t>
      </w:r>
    </w:p>
    <w:p w14:paraId="476E0340" w14:textId="77777777" w:rsidR="00D53E6F" w:rsidRDefault="00D53E6F" w:rsidP="00D53E6F">
      <w:pPr>
        <w:spacing w:line="240" w:lineRule="auto"/>
      </w:pPr>
    </w:p>
    <w:p w14:paraId="627F9A12" w14:textId="382F9C1A" w:rsidR="00D53E6F" w:rsidRDefault="00D53E6F" w:rsidP="00D53E6F">
      <w:pPr>
        <w:spacing w:line="240" w:lineRule="auto"/>
        <w:ind w:left="720" w:right="720"/>
      </w:pPr>
      <w:r w:rsidRPr="001D24C0">
        <w:t>The fracture toughness requirements as listed in this Code Case apply only to piping supports and not to Class 1, 2 and 3 component supports.</w:t>
      </w:r>
    </w:p>
    <w:p w14:paraId="54468CFD" w14:textId="77777777" w:rsidR="00D53E6F" w:rsidRDefault="00D53E6F" w:rsidP="00D53E6F">
      <w:pPr>
        <w:spacing w:line="240" w:lineRule="auto"/>
      </w:pPr>
    </w:p>
    <w:p w14:paraId="319BA7B1" w14:textId="77777777" w:rsidR="00D53E6F" w:rsidRDefault="00D53E6F" w:rsidP="00D53E6F">
      <w:pPr>
        <w:spacing w:line="240" w:lineRule="auto"/>
      </w:pPr>
      <w:r>
        <w:t xml:space="preserve">ASME </w:t>
      </w:r>
      <w:r w:rsidRPr="001D24C0">
        <w:t>Code Case</w:t>
      </w:r>
      <w:r>
        <w:t> </w:t>
      </w:r>
      <w:r w:rsidRPr="001D24C0">
        <w:t>N</w:t>
      </w:r>
      <w:r>
        <w:noBreakHyphen/>
      </w:r>
      <w:r w:rsidRPr="001D24C0">
        <w:t>71</w:t>
      </w:r>
      <w:r>
        <w:noBreakHyphen/>
      </w:r>
      <w:r w:rsidRPr="001D24C0">
        <w:t>19</w:t>
      </w:r>
      <w:r>
        <w:t xml:space="preserve"> does not address t</w:t>
      </w:r>
      <w:r w:rsidRPr="001D24C0">
        <w:t>he reasons for imposing this condition</w:t>
      </w:r>
      <w:r>
        <w:t>;</w:t>
      </w:r>
      <w:r w:rsidRPr="001D24C0">
        <w:t xml:space="preserve"> therefore</w:t>
      </w:r>
      <w:r>
        <w:t>,</w:t>
      </w:r>
      <w:r w:rsidRPr="001D24C0">
        <w:t xml:space="preserve"> RG</w:t>
      </w:r>
      <w:r>
        <w:t> </w:t>
      </w:r>
      <w:r w:rsidRPr="001D24C0">
        <w:t>1.84</w:t>
      </w:r>
      <w:r>
        <w:t xml:space="preserve">, </w:t>
      </w:r>
      <w:r w:rsidRPr="001D24C0">
        <w:t>Revision</w:t>
      </w:r>
      <w:r>
        <w:t> </w:t>
      </w:r>
      <w:r w:rsidRPr="001D24C0">
        <w:t>38</w:t>
      </w:r>
      <w:r>
        <w:t xml:space="preserve">, will retain </w:t>
      </w:r>
      <w:r w:rsidRPr="001D24C0">
        <w:t>this condition.</w:t>
      </w:r>
    </w:p>
    <w:p w14:paraId="3B7D0CB7" w14:textId="77777777" w:rsidR="00D53E6F" w:rsidRDefault="00D53E6F" w:rsidP="00D53E6F">
      <w:pPr>
        <w:spacing w:line="240" w:lineRule="auto"/>
      </w:pPr>
    </w:p>
    <w:p w14:paraId="475D9309" w14:textId="01ADE303" w:rsidR="00D53E6F" w:rsidRDefault="00D53E6F" w:rsidP="00AE1198">
      <w:pPr>
        <w:spacing w:line="240" w:lineRule="auto"/>
      </w:pPr>
      <w:r>
        <w:t>The new sixth condition states that, w</w:t>
      </w:r>
      <w:r w:rsidRPr="00093721">
        <w:t xml:space="preserve">hen welding </w:t>
      </w:r>
      <w:r>
        <w:t xml:space="preserve">the </w:t>
      </w:r>
      <w:r w:rsidRPr="00093721">
        <w:t>P-</w:t>
      </w:r>
      <w:r>
        <w:t>n</w:t>
      </w:r>
      <w:r w:rsidRPr="00093721">
        <w:t xml:space="preserve">umber materials listed in the </w:t>
      </w:r>
      <w:r>
        <w:t xml:space="preserve">ASME </w:t>
      </w:r>
      <w:r w:rsidRPr="00093721">
        <w:t>Code Case,</w:t>
      </w:r>
      <w:r>
        <w:t xml:space="preserve"> </w:t>
      </w:r>
      <w:r w:rsidRPr="00093721">
        <w:t>the corresponding S-</w:t>
      </w:r>
      <w:r>
        <w:t>n</w:t>
      </w:r>
      <w:r w:rsidRPr="00093721">
        <w:t xml:space="preserve">umber welding requirements shall apply. </w:t>
      </w:r>
      <w:r>
        <w:t xml:space="preserve"> </w:t>
      </w:r>
      <w:r w:rsidRPr="00093721">
        <w:t>This Code Case revision</w:t>
      </w:r>
      <w:r>
        <w:t xml:space="preserve"> and</w:t>
      </w:r>
      <w:r w:rsidRPr="00093721">
        <w:t xml:space="preserve"> all previous revisions provide for the use of materials not listed in ASME</w:t>
      </w:r>
      <w:r>
        <w:t xml:space="preserve"> BPV</w:t>
      </w:r>
      <w:r w:rsidRPr="00093721">
        <w:t xml:space="preserve"> Code</w:t>
      </w:r>
      <w:r>
        <w:t xml:space="preserve">, </w:t>
      </w:r>
      <w:r w:rsidRPr="00093721">
        <w:t xml:space="preserve">Section II, Part D, </w:t>
      </w:r>
      <w:r>
        <w:t xml:space="preserve">and </w:t>
      </w:r>
      <w:r w:rsidRPr="00093721">
        <w:t xml:space="preserve">provide exemptions to </w:t>
      </w:r>
      <w:r>
        <w:t>the p</w:t>
      </w:r>
      <w:r w:rsidRPr="00093721">
        <w:t>ost</w:t>
      </w:r>
      <w:r>
        <w:t>w</w:t>
      </w:r>
      <w:r w:rsidRPr="00093721">
        <w:t xml:space="preserve">eld </w:t>
      </w:r>
      <w:r>
        <w:t>h</w:t>
      </w:r>
      <w:r w:rsidRPr="00093721">
        <w:t>eat</w:t>
      </w:r>
      <w:r>
        <w:t xml:space="preserve"> treatment </w:t>
      </w:r>
      <w:r w:rsidRPr="00093721">
        <w:t xml:space="preserve">requirements listed in </w:t>
      </w:r>
      <w:r>
        <w:t xml:space="preserve">ASME BPV Code, </w:t>
      </w:r>
      <w:r w:rsidRPr="00093721">
        <w:t>Section III, Article</w:t>
      </w:r>
      <w:r>
        <w:t xml:space="preserve"> </w:t>
      </w:r>
      <w:r w:rsidRPr="00093721">
        <w:t>NF-4622</w:t>
      </w:r>
      <w:r>
        <w:t>,</w:t>
      </w:r>
      <w:r w:rsidRPr="00093721">
        <w:t xml:space="preserve"> for materials </w:t>
      </w:r>
      <w:r>
        <w:t xml:space="preserve">that are </w:t>
      </w:r>
      <w:r w:rsidRPr="00093721">
        <w:t xml:space="preserve">up to </w:t>
      </w:r>
      <w:r>
        <w:t>10.16 centimeters (</w:t>
      </w:r>
      <w:r w:rsidRPr="00093721">
        <w:t>4</w:t>
      </w:r>
      <w:r>
        <w:t> </w:t>
      </w:r>
      <w:r w:rsidRPr="00093721">
        <w:t>inches</w:t>
      </w:r>
      <w:r>
        <w:t>)</w:t>
      </w:r>
      <w:r w:rsidRPr="00093721">
        <w:t xml:space="preserve"> in thickness.  Therefore, if a user applies this Code Case as</w:t>
      </w:r>
      <w:r>
        <w:t xml:space="preserve"> </w:t>
      </w:r>
      <w:r w:rsidRPr="00093721">
        <w:t>written and uses a P</w:t>
      </w:r>
      <w:r>
        <w:noBreakHyphen/>
        <w:t>n</w:t>
      </w:r>
      <w:r w:rsidRPr="00093721">
        <w:t>umber</w:t>
      </w:r>
      <w:r>
        <w:t xml:space="preserve"> </w:t>
      </w:r>
      <w:r w:rsidRPr="00093721">
        <w:t xml:space="preserve">material </w:t>
      </w:r>
      <w:r>
        <w:t>(</w:t>
      </w:r>
      <w:r w:rsidRPr="00093721">
        <w:t>listed in the tables</w:t>
      </w:r>
      <w:r>
        <w:t>) that</w:t>
      </w:r>
      <w:r w:rsidRPr="00093721">
        <w:t xml:space="preserve"> was previously assigned an</w:t>
      </w:r>
      <w:r>
        <w:t xml:space="preserve"> </w:t>
      </w:r>
      <w:r w:rsidRPr="00093721">
        <w:t>S</w:t>
      </w:r>
      <w:r>
        <w:noBreakHyphen/>
        <w:t>n</w:t>
      </w:r>
      <w:r w:rsidRPr="00093721">
        <w:t xml:space="preserve">umber, </w:t>
      </w:r>
      <w:r>
        <w:t>the user</w:t>
      </w:r>
      <w:r w:rsidRPr="00093721">
        <w:t xml:space="preserve"> do</w:t>
      </w:r>
      <w:r>
        <w:t>es</w:t>
      </w:r>
      <w:r w:rsidRPr="00093721">
        <w:t xml:space="preserve"> not have to follow the special welding</w:t>
      </w:r>
      <w:r>
        <w:t xml:space="preserve"> </w:t>
      </w:r>
      <w:r w:rsidRPr="00093721">
        <w:t xml:space="preserve">requirements unless </w:t>
      </w:r>
      <w:r>
        <w:t>it wishes</w:t>
      </w:r>
      <w:r w:rsidRPr="00093721">
        <w:t xml:space="preserve"> to be exempted from the </w:t>
      </w:r>
      <w:r>
        <w:t>p</w:t>
      </w:r>
      <w:r w:rsidRPr="00093721">
        <w:t>ost</w:t>
      </w:r>
      <w:r>
        <w:t>w</w:t>
      </w:r>
      <w:r w:rsidRPr="00093721">
        <w:t xml:space="preserve">eld </w:t>
      </w:r>
      <w:r>
        <w:t>h</w:t>
      </w:r>
      <w:r w:rsidRPr="00093721">
        <w:t>eat</w:t>
      </w:r>
      <w:r>
        <w:t xml:space="preserve"> treatment </w:t>
      </w:r>
      <w:r w:rsidRPr="00093721">
        <w:t xml:space="preserve">requirements listed in </w:t>
      </w:r>
      <w:r>
        <w:t xml:space="preserve">ASME BPV Code, </w:t>
      </w:r>
      <w:r w:rsidRPr="00093721">
        <w:t>Section</w:t>
      </w:r>
      <w:r>
        <w:t> </w:t>
      </w:r>
      <w:r w:rsidRPr="00093721">
        <w:t>III, Article</w:t>
      </w:r>
      <w:r>
        <w:t> </w:t>
      </w:r>
      <w:r w:rsidRPr="00093721">
        <w:t>NF-4622.  Using materials assigned an</w:t>
      </w:r>
      <w:r>
        <w:t xml:space="preserve"> </w:t>
      </w:r>
      <w:r w:rsidRPr="00093721">
        <w:t>S</w:t>
      </w:r>
      <w:r>
        <w:noBreakHyphen/>
        <w:t>n</w:t>
      </w:r>
      <w:r w:rsidRPr="00093721">
        <w:t>umber in the Code Case would still require the user to follow</w:t>
      </w:r>
      <w:r>
        <w:t xml:space="preserve"> </w:t>
      </w:r>
      <w:r w:rsidRPr="00093721">
        <w:t xml:space="preserve">all special welding requirements regardless of whether </w:t>
      </w:r>
      <w:r>
        <w:t>p</w:t>
      </w:r>
      <w:r w:rsidRPr="00093721">
        <w:t>ost</w:t>
      </w:r>
      <w:r>
        <w:t>w</w:t>
      </w:r>
      <w:r w:rsidRPr="00093721">
        <w:t xml:space="preserve">eld </w:t>
      </w:r>
      <w:r>
        <w:t>h</w:t>
      </w:r>
      <w:r w:rsidRPr="00093721">
        <w:t>eat</w:t>
      </w:r>
      <w:r>
        <w:t xml:space="preserve"> treatment</w:t>
      </w:r>
      <w:r w:rsidRPr="00093721">
        <w:t xml:space="preserve"> is</w:t>
      </w:r>
      <w:r>
        <w:t xml:space="preserve"> </w:t>
      </w:r>
      <w:r w:rsidRPr="00093721">
        <w:t>exempted.</w:t>
      </w:r>
      <w:r>
        <w:t xml:space="preserve">  </w:t>
      </w:r>
      <w:r w:rsidR="00AE1198" w:rsidRPr="00AE1198">
        <w:t>The NRC believes that these special welding requirements should apply to P</w:t>
      </w:r>
      <w:r w:rsidR="00017E80">
        <w:t>-n</w:t>
      </w:r>
      <w:r w:rsidR="00AE1198" w:rsidRPr="00AE1198">
        <w:t xml:space="preserve">umber materials, regardless of whether or not the user wants to be exempted from postweld heat treatment, given that the materials have not changed.  </w:t>
      </w:r>
      <w:r w:rsidRPr="00093721">
        <w:t>An additional condition on the use of this Code Case is</w:t>
      </w:r>
      <w:r>
        <w:t xml:space="preserve"> necessary</w:t>
      </w:r>
      <w:r w:rsidRPr="00093721">
        <w:t xml:space="preserve"> to address the </w:t>
      </w:r>
      <w:r>
        <w:t xml:space="preserve">issues </w:t>
      </w:r>
      <w:r w:rsidRPr="00093721">
        <w:t>above.  This new condition would not</w:t>
      </w:r>
      <w:r>
        <w:t xml:space="preserve"> </w:t>
      </w:r>
      <w:r w:rsidRPr="00093721">
        <w:t>impose any additional restrictions on the use of this Code Case</w:t>
      </w:r>
      <w:r>
        <w:t xml:space="preserve"> </w:t>
      </w:r>
      <w:r w:rsidRPr="00093721">
        <w:t xml:space="preserve">from those </w:t>
      </w:r>
      <w:r>
        <w:t xml:space="preserve">already </w:t>
      </w:r>
      <w:r w:rsidRPr="00093721">
        <w:t>placed on the previous revisions.</w:t>
      </w:r>
    </w:p>
    <w:p w14:paraId="6BDE8FD7" w14:textId="77777777" w:rsidR="00D53E6F" w:rsidRDefault="00D53E6F" w:rsidP="00D53E6F">
      <w:pPr>
        <w:spacing w:line="240" w:lineRule="auto"/>
      </w:pPr>
    </w:p>
    <w:p w14:paraId="5441278F" w14:textId="77777777" w:rsidR="00D53E6F" w:rsidRPr="00481A2B" w:rsidRDefault="00D53E6F" w:rsidP="00D53E6F">
      <w:pPr>
        <w:spacing w:after="220" w:line="240" w:lineRule="auto"/>
      </w:pPr>
      <w:r>
        <w:t>The NRC does not expect industry to incur incremental implementation costs as a result of these identical, substantively identical, or administrative conditions.</w:t>
      </w:r>
    </w:p>
    <w:p w14:paraId="62978DE9" w14:textId="77777777" w:rsidR="00D53E6F" w:rsidRPr="00101045" w:rsidRDefault="00D53E6F" w:rsidP="00D53E6F">
      <w:pPr>
        <w:pStyle w:val="Heading3"/>
        <w:spacing w:line="240" w:lineRule="auto"/>
        <w:ind w:left="720" w:hanging="720"/>
      </w:pPr>
      <w:bookmarkStart w:id="132" w:name="_Toc456098237"/>
      <w:bookmarkStart w:id="133" w:name="_Toc12808792"/>
      <w:r>
        <w:t>5.3.2</w:t>
      </w:r>
      <w:r w:rsidRPr="00101045">
        <w:tab/>
      </w:r>
      <w:bookmarkEnd w:id="132"/>
      <w:r w:rsidRPr="004C46E3">
        <w:rPr>
          <w:szCs w:val="22"/>
        </w:rPr>
        <w:t>Underwater Welding, Section XI, Division</w:t>
      </w:r>
      <w:r>
        <w:rPr>
          <w:szCs w:val="22"/>
        </w:rPr>
        <w:t> 1</w:t>
      </w:r>
      <w:bookmarkEnd w:id="133"/>
    </w:p>
    <w:p w14:paraId="6B2C123D" w14:textId="77777777" w:rsidR="00D53E6F" w:rsidRDefault="00D53E6F" w:rsidP="00D53E6F">
      <w:pPr>
        <w:keepNext/>
        <w:spacing w:line="240" w:lineRule="auto"/>
      </w:pPr>
    </w:p>
    <w:p w14:paraId="14C48BE6" w14:textId="77777777" w:rsidR="00D53E6F" w:rsidRDefault="00D53E6F" w:rsidP="00D53E6F">
      <w:pPr>
        <w:spacing w:line="240" w:lineRule="auto"/>
        <w:rPr>
          <w:iCs/>
        </w:rPr>
      </w:pPr>
      <w:r w:rsidRPr="009B197E">
        <w:rPr>
          <w:iCs/>
        </w:rPr>
        <w:t>RG 1.147 conditiona</w:t>
      </w:r>
      <w:r w:rsidRPr="006A6189">
        <w:rPr>
          <w:iCs/>
        </w:rPr>
        <w:t>lly</w:t>
      </w:r>
      <w:r>
        <w:rPr>
          <w:iCs/>
        </w:rPr>
        <w:t xml:space="preserve"> accepted</w:t>
      </w:r>
      <w:r w:rsidRPr="001D24C0">
        <w:rPr>
          <w:iCs/>
        </w:rPr>
        <w:t xml:space="preserve"> </w:t>
      </w:r>
      <w:r>
        <w:rPr>
          <w:iCs/>
        </w:rPr>
        <w:t>t</w:t>
      </w:r>
      <w:r w:rsidRPr="001D24C0">
        <w:rPr>
          <w:iCs/>
        </w:rPr>
        <w:t xml:space="preserve">he previously approved revision of </w:t>
      </w:r>
      <w:r>
        <w:rPr>
          <w:iCs/>
        </w:rPr>
        <w:t xml:space="preserve">ASME </w:t>
      </w:r>
      <w:r w:rsidRPr="001D24C0">
        <w:rPr>
          <w:iCs/>
        </w:rPr>
        <w:t>Code Case</w:t>
      </w:r>
      <w:r>
        <w:rPr>
          <w:iCs/>
        </w:rPr>
        <w:t> </w:t>
      </w:r>
      <w:r w:rsidRPr="001D24C0">
        <w:rPr>
          <w:iCs/>
        </w:rPr>
        <w:t>N</w:t>
      </w:r>
      <w:r>
        <w:rPr>
          <w:iCs/>
        </w:rPr>
        <w:noBreakHyphen/>
      </w:r>
      <w:r w:rsidRPr="001D24C0">
        <w:rPr>
          <w:iCs/>
        </w:rPr>
        <w:t>516</w:t>
      </w:r>
      <w:r>
        <w:rPr>
          <w:iCs/>
        </w:rPr>
        <w:noBreakHyphen/>
      </w:r>
      <w:r w:rsidRPr="001D24C0">
        <w:rPr>
          <w:iCs/>
        </w:rPr>
        <w:t xml:space="preserve">3 to require licensees </w:t>
      </w:r>
      <w:r>
        <w:rPr>
          <w:iCs/>
        </w:rPr>
        <w:t xml:space="preserve">to </w:t>
      </w:r>
      <w:r w:rsidRPr="001D24C0">
        <w:rPr>
          <w:iCs/>
        </w:rPr>
        <w:t>obtain NRC approval in accordance with 10</w:t>
      </w:r>
      <w:r>
        <w:rPr>
          <w:iCs/>
        </w:rPr>
        <w:t> </w:t>
      </w:r>
      <w:r w:rsidRPr="001D24C0">
        <w:rPr>
          <w:iCs/>
        </w:rPr>
        <w:t>CFR</w:t>
      </w:r>
      <w:r>
        <w:rPr>
          <w:iCs/>
        </w:rPr>
        <w:t> </w:t>
      </w:r>
      <w:r w:rsidRPr="001D24C0">
        <w:rPr>
          <w:iCs/>
        </w:rPr>
        <w:t xml:space="preserve">50.55a(z) </w:t>
      </w:r>
      <w:r>
        <w:rPr>
          <w:iCs/>
        </w:rPr>
        <w:t>for</w:t>
      </w:r>
      <w:r w:rsidRPr="001D24C0">
        <w:rPr>
          <w:iCs/>
        </w:rPr>
        <w:t xml:space="preserve"> the technique to be used in the weld repair or replacement of irradiated material underwater.  The rationale for this condition was </w:t>
      </w:r>
      <w:r>
        <w:rPr>
          <w:iCs/>
        </w:rPr>
        <w:t xml:space="preserve">the knowledge </w:t>
      </w:r>
      <w:r w:rsidRPr="001D24C0">
        <w:rPr>
          <w:iCs/>
        </w:rPr>
        <w:t xml:space="preserve">that materials subjected to high neutron fluence could not be welded without cracking.  However, the condition applied to </w:t>
      </w:r>
      <w:r>
        <w:rPr>
          <w:iCs/>
        </w:rPr>
        <w:t xml:space="preserve">ASME </w:t>
      </w:r>
      <w:r w:rsidRPr="001D24C0">
        <w:rPr>
          <w:iCs/>
        </w:rPr>
        <w:t>Code Case</w:t>
      </w:r>
      <w:r>
        <w:rPr>
          <w:iCs/>
        </w:rPr>
        <w:t> </w:t>
      </w:r>
      <w:r w:rsidRPr="001D24C0">
        <w:rPr>
          <w:iCs/>
        </w:rPr>
        <w:t>N</w:t>
      </w:r>
      <w:r>
        <w:rPr>
          <w:iCs/>
        </w:rPr>
        <w:noBreakHyphen/>
      </w:r>
      <w:r w:rsidRPr="001D24C0">
        <w:rPr>
          <w:iCs/>
        </w:rPr>
        <w:t>516</w:t>
      </w:r>
      <w:r>
        <w:rPr>
          <w:iCs/>
        </w:rPr>
        <w:noBreakHyphen/>
      </w:r>
      <w:r w:rsidRPr="001D24C0">
        <w:rPr>
          <w:iCs/>
        </w:rPr>
        <w:t>3 did not provide any guidance on what level of neutron irradiation could be considered a threshold for weldability.</w:t>
      </w:r>
    </w:p>
    <w:p w14:paraId="5337B305" w14:textId="77777777" w:rsidR="00D53E6F" w:rsidRPr="001D24C0" w:rsidRDefault="00D53E6F" w:rsidP="00D53E6F">
      <w:pPr>
        <w:spacing w:line="240" w:lineRule="auto"/>
        <w:rPr>
          <w:iCs/>
        </w:rPr>
      </w:pPr>
    </w:p>
    <w:p w14:paraId="1ADBB710" w14:textId="77777777" w:rsidR="00D53E6F" w:rsidRDefault="00D53E6F" w:rsidP="00D53E6F">
      <w:pPr>
        <w:spacing w:line="240" w:lineRule="auto"/>
        <w:rPr>
          <w:iCs/>
        </w:rPr>
      </w:pPr>
      <w:r w:rsidRPr="001D24C0">
        <w:rPr>
          <w:iCs/>
        </w:rPr>
        <w:t xml:space="preserve">The technical basis for imposing conditions on the welding of irradiated materials is that neutrons can generate helium atoms within the metal lattice through transmutation of various isotopes of boron or nickel.  At high temperatures, such as </w:t>
      </w:r>
      <w:r>
        <w:rPr>
          <w:iCs/>
        </w:rPr>
        <w:t xml:space="preserve">those that </w:t>
      </w:r>
      <w:r w:rsidRPr="001D24C0">
        <w:rPr>
          <w:iCs/>
        </w:rPr>
        <w:t>occur during welding, these helium atoms rapidly diffuse though the metal lattice, forming helium bubbles.  In sufficient concentration, these helium atoms can cause grain boundary cracking in the fusion zones and heat affected zones during the heatup/cooldown cycle.</w:t>
      </w:r>
    </w:p>
    <w:p w14:paraId="7A0A9808" w14:textId="77777777" w:rsidR="00D53E6F" w:rsidRPr="001D24C0" w:rsidRDefault="00D53E6F" w:rsidP="00D53E6F">
      <w:pPr>
        <w:spacing w:line="240" w:lineRule="auto"/>
        <w:rPr>
          <w:iCs/>
        </w:rPr>
      </w:pPr>
    </w:p>
    <w:p w14:paraId="03776618" w14:textId="77777777" w:rsidR="00D53E6F" w:rsidRDefault="00D53E6F" w:rsidP="00D53E6F">
      <w:pPr>
        <w:spacing w:line="240" w:lineRule="auto"/>
        <w:rPr>
          <w:iCs/>
        </w:rPr>
      </w:pPr>
      <w:r w:rsidRPr="001D24C0">
        <w:rPr>
          <w:iCs/>
        </w:rPr>
        <w:t xml:space="preserve">During </w:t>
      </w:r>
      <w:r>
        <w:rPr>
          <w:iCs/>
        </w:rPr>
        <w:t>r</w:t>
      </w:r>
      <w:r w:rsidRPr="001D24C0">
        <w:rPr>
          <w:iCs/>
        </w:rPr>
        <w:t>ulemaking for the 2009</w:t>
      </w:r>
      <w:r>
        <w:rPr>
          <w:iCs/>
        </w:rPr>
        <w:t>–</w:t>
      </w:r>
      <w:r w:rsidRPr="001D24C0">
        <w:rPr>
          <w:iCs/>
        </w:rPr>
        <w:t>2013 Editions of the ASME</w:t>
      </w:r>
      <w:r>
        <w:rPr>
          <w:iCs/>
        </w:rPr>
        <w:t xml:space="preserve"> BPV</w:t>
      </w:r>
      <w:r w:rsidRPr="001D24C0">
        <w:rPr>
          <w:iCs/>
        </w:rPr>
        <w:t xml:space="preserve"> Code, </w:t>
      </w:r>
      <w:r>
        <w:rPr>
          <w:iCs/>
        </w:rPr>
        <w:t xml:space="preserve">in “Final Regulatory Analysis for Final Rule:  Incorporation by Reference of American Society of Mechanical Engineers Codes and Code Cases,” issued April 2017 (NRC 2017d), </w:t>
      </w:r>
      <w:r w:rsidRPr="001D24C0">
        <w:rPr>
          <w:iCs/>
        </w:rPr>
        <w:t xml:space="preserve">the NRC adopted </w:t>
      </w:r>
      <w:r>
        <w:rPr>
          <w:iCs/>
        </w:rPr>
        <w:t>c</w:t>
      </w:r>
      <w:r w:rsidRPr="001D24C0">
        <w:rPr>
          <w:iCs/>
        </w:rPr>
        <w:t>onditions that should be applied to Section</w:t>
      </w:r>
      <w:r>
        <w:rPr>
          <w:iCs/>
        </w:rPr>
        <w:t> </w:t>
      </w:r>
      <w:r w:rsidRPr="001D24C0">
        <w:rPr>
          <w:iCs/>
        </w:rPr>
        <w:t>XI, Article IWA-4660</w:t>
      </w:r>
      <w:r>
        <w:rPr>
          <w:iCs/>
        </w:rPr>
        <w:t>,</w:t>
      </w:r>
      <w:r w:rsidRPr="001D24C0">
        <w:rPr>
          <w:iCs/>
        </w:rPr>
        <w:t xml:space="preserve"> </w:t>
      </w:r>
      <w:r>
        <w:rPr>
          <w:iCs/>
        </w:rPr>
        <w:t>for</w:t>
      </w:r>
      <w:r w:rsidRPr="001D24C0">
        <w:rPr>
          <w:iCs/>
        </w:rPr>
        <w:t xml:space="preserve"> underwater welding on irradiated materials.  These </w:t>
      </w:r>
      <w:r>
        <w:rPr>
          <w:iCs/>
        </w:rPr>
        <w:t>c</w:t>
      </w:r>
      <w:r w:rsidRPr="001D24C0">
        <w:rPr>
          <w:iCs/>
        </w:rPr>
        <w:t>onditions provide guidance on what level of neutron irradiation or helium content would require approval by the NRC because of the impact of neutron fluence on weldability</w:t>
      </w:r>
      <w:r>
        <w:rPr>
          <w:iCs/>
        </w:rPr>
        <w:t>.  They also give</w:t>
      </w:r>
      <w:r w:rsidRPr="001D24C0">
        <w:rPr>
          <w:iCs/>
        </w:rPr>
        <w:t xml:space="preserve"> separate criteria for three generic classes of material: </w:t>
      </w:r>
      <w:r>
        <w:rPr>
          <w:iCs/>
        </w:rPr>
        <w:t xml:space="preserve"> (1) </w:t>
      </w:r>
      <w:r w:rsidRPr="001D24C0">
        <w:rPr>
          <w:iCs/>
        </w:rPr>
        <w:t xml:space="preserve">ferritic material, </w:t>
      </w:r>
      <w:r>
        <w:rPr>
          <w:iCs/>
        </w:rPr>
        <w:t>(2) </w:t>
      </w:r>
      <w:r w:rsidRPr="001D24C0">
        <w:rPr>
          <w:iCs/>
        </w:rPr>
        <w:t>austenitic material other than P</w:t>
      </w:r>
      <w:r>
        <w:rPr>
          <w:iCs/>
        </w:rPr>
        <w:noBreakHyphen/>
        <w:t>number </w:t>
      </w:r>
      <w:r w:rsidRPr="001D24C0">
        <w:rPr>
          <w:iCs/>
        </w:rPr>
        <w:t>8 (e.g.</w:t>
      </w:r>
      <w:r>
        <w:rPr>
          <w:iCs/>
        </w:rPr>
        <w:t>,</w:t>
      </w:r>
      <w:r w:rsidRPr="001D24C0">
        <w:rPr>
          <w:iCs/>
        </w:rPr>
        <w:t xml:space="preserve"> nickel</w:t>
      </w:r>
      <w:r>
        <w:rPr>
          <w:iCs/>
        </w:rPr>
        <w:noBreakHyphen/>
      </w:r>
      <w:r w:rsidRPr="001D24C0">
        <w:rPr>
          <w:iCs/>
        </w:rPr>
        <w:t>based alloys)</w:t>
      </w:r>
      <w:r>
        <w:rPr>
          <w:iCs/>
        </w:rPr>
        <w:t>,</w:t>
      </w:r>
      <w:r w:rsidRPr="001D24C0">
        <w:rPr>
          <w:iCs/>
        </w:rPr>
        <w:t xml:space="preserve"> and </w:t>
      </w:r>
      <w:r>
        <w:rPr>
          <w:iCs/>
        </w:rPr>
        <w:t>(3) </w:t>
      </w:r>
      <w:r w:rsidRPr="001D24C0">
        <w:rPr>
          <w:iCs/>
        </w:rPr>
        <w:t>P</w:t>
      </w:r>
      <w:r>
        <w:rPr>
          <w:iCs/>
        </w:rPr>
        <w:noBreakHyphen/>
        <w:t>number</w:t>
      </w:r>
      <w:r w:rsidRPr="001D24C0">
        <w:rPr>
          <w:iCs/>
        </w:rPr>
        <w:t xml:space="preserve"> 8 austenitic material (e.g.</w:t>
      </w:r>
      <w:r>
        <w:rPr>
          <w:iCs/>
        </w:rPr>
        <w:t>, </w:t>
      </w:r>
      <w:r w:rsidRPr="001D24C0">
        <w:rPr>
          <w:iCs/>
        </w:rPr>
        <w:t xml:space="preserve">stainless steel alloys).  These </w:t>
      </w:r>
      <w:r>
        <w:rPr>
          <w:iCs/>
        </w:rPr>
        <w:t>c</w:t>
      </w:r>
      <w:r w:rsidRPr="001D24C0">
        <w:rPr>
          <w:iCs/>
        </w:rPr>
        <w:t>onditions are currently l</w:t>
      </w:r>
      <w:r>
        <w:rPr>
          <w:iCs/>
        </w:rPr>
        <w:t>isted in 10 CFR 50.55a(b)(2)(xii), and although they apply</w:t>
      </w:r>
      <w:r w:rsidRPr="001D24C0">
        <w:rPr>
          <w:iCs/>
        </w:rPr>
        <w:t xml:space="preserve"> to underwater welding performed in accordance with IWA</w:t>
      </w:r>
      <w:r>
        <w:rPr>
          <w:iCs/>
        </w:rPr>
        <w:noBreakHyphen/>
      </w:r>
      <w:r w:rsidRPr="001D24C0">
        <w:rPr>
          <w:iCs/>
        </w:rPr>
        <w:t xml:space="preserve">4660, they do not apply to underwater welding performed in accordance with </w:t>
      </w:r>
      <w:r>
        <w:rPr>
          <w:iCs/>
        </w:rPr>
        <w:t xml:space="preserve">ASME </w:t>
      </w:r>
      <w:r w:rsidRPr="001D24C0">
        <w:rPr>
          <w:iCs/>
        </w:rPr>
        <w:t>Code Case N-516-4.</w:t>
      </w:r>
    </w:p>
    <w:p w14:paraId="16944B83" w14:textId="77777777" w:rsidR="00D53E6F" w:rsidRPr="001D24C0" w:rsidRDefault="00D53E6F" w:rsidP="00D53E6F">
      <w:pPr>
        <w:spacing w:line="240" w:lineRule="auto"/>
        <w:rPr>
          <w:iCs/>
        </w:rPr>
      </w:pPr>
    </w:p>
    <w:p w14:paraId="52219B2F" w14:textId="790BF1D2" w:rsidR="00D53E6F" w:rsidRDefault="00D53E6F" w:rsidP="00D53E6F">
      <w:pPr>
        <w:spacing w:line="240" w:lineRule="auto"/>
        <w:rPr>
          <w:iCs/>
        </w:rPr>
      </w:pPr>
      <w:r w:rsidRPr="001D24C0">
        <w:rPr>
          <w:iCs/>
        </w:rPr>
        <w:t>Therefore</w:t>
      </w:r>
      <w:r>
        <w:rPr>
          <w:iCs/>
        </w:rPr>
        <w:t>,</w:t>
      </w:r>
      <w:r w:rsidRPr="001D24C0">
        <w:rPr>
          <w:iCs/>
        </w:rPr>
        <w:t xml:space="preserve"> </w:t>
      </w:r>
      <w:r>
        <w:rPr>
          <w:iCs/>
        </w:rPr>
        <w:t>the</w:t>
      </w:r>
      <w:r w:rsidRPr="001D24C0">
        <w:rPr>
          <w:iCs/>
        </w:rPr>
        <w:t xml:space="preserve"> </w:t>
      </w:r>
      <w:r w:rsidR="00EC6186">
        <w:rPr>
          <w:iCs/>
        </w:rPr>
        <w:t>NRC</w:t>
      </w:r>
      <w:r w:rsidR="00B01C86">
        <w:rPr>
          <w:iCs/>
        </w:rPr>
        <w:t xml:space="preserve"> </w:t>
      </w:r>
      <w:r>
        <w:rPr>
          <w:iCs/>
        </w:rPr>
        <w:t>approv</w:t>
      </w:r>
      <w:r w:rsidR="00B01C86">
        <w:rPr>
          <w:iCs/>
        </w:rPr>
        <w:t>es</w:t>
      </w:r>
      <w:r w:rsidRPr="001D24C0">
        <w:rPr>
          <w:iCs/>
        </w:rPr>
        <w:t xml:space="preserve"> </w:t>
      </w:r>
      <w:r>
        <w:rPr>
          <w:iCs/>
        </w:rPr>
        <w:t xml:space="preserve">ASME </w:t>
      </w:r>
      <w:r w:rsidRPr="001D24C0">
        <w:rPr>
          <w:iCs/>
        </w:rPr>
        <w:t xml:space="preserve">Code Case N-516-4 with the following </w:t>
      </w:r>
      <w:r>
        <w:rPr>
          <w:iCs/>
        </w:rPr>
        <w:t xml:space="preserve">three </w:t>
      </w:r>
      <w:r w:rsidRPr="001D24C0">
        <w:rPr>
          <w:iCs/>
        </w:rPr>
        <w:t>conditions for underwater welding</w:t>
      </w:r>
      <w:r>
        <w:rPr>
          <w:iCs/>
        </w:rPr>
        <w:t>:</w:t>
      </w:r>
    </w:p>
    <w:p w14:paraId="6E4B358F" w14:textId="77777777" w:rsidR="00D53E6F" w:rsidRDefault="00D53E6F" w:rsidP="00D53E6F">
      <w:pPr>
        <w:spacing w:line="240" w:lineRule="auto"/>
        <w:rPr>
          <w:iCs/>
        </w:rPr>
      </w:pPr>
    </w:p>
    <w:p w14:paraId="5652A6D5" w14:textId="77777777" w:rsidR="00D53E6F" w:rsidRPr="006A6189" w:rsidRDefault="00D53E6F" w:rsidP="00D53E6F">
      <w:pPr>
        <w:pStyle w:val="ListParagraph"/>
        <w:numPr>
          <w:ilvl w:val="0"/>
          <w:numId w:val="59"/>
        </w:numPr>
        <w:spacing w:line="240" w:lineRule="auto"/>
        <w:ind w:hanging="720"/>
        <w:rPr>
          <w:iCs/>
        </w:rPr>
      </w:pPr>
      <w:r w:rsidRPr="006A6189">
        <w:rPr>
          <w:iCs/>
        </w:rPr>
        <w:t>The first condition captures the 10 CFR 50.55a(b)(2)(xii) requirement for underwater welding of fer</w:t>
      </w:r>
      <w:r w:rsidRPr="009352C4">
        <w:rPr>
          <w:iCs/>
        </w:rPr>
        <w:t xml:space="preserve">ritic materials and states that licensees must obtain NRC approval in accordance with 10 CFR 50.55a(z) for the welding technique to be used </w:t>
      </w:r>
      <w:r w:rsidRPr="006D47D8">
        <w:rPr>
          <w:iCs/>
        </w:rPr>
        <w:t>before they can perform welding on ferritic material exposed to fast neutron fluence greater than 1x10</w:t>
      </w:r>
      <w:r w:rsidRPr="006D47D8">
        <w:rPr>
          <w:iCs/>
          <w:vertAlign w:val="superscript"/>
        </w:rPr>
        <w:t>17</w:t>
      </w:r>
      <w:r w:rsidRPr="006D47D8">
        <w:rPr>
          <w:iCs/>
        </w:rPr>
        <w:t> neutrons per square centimeter (n/cm</w:t>
      </w:r>
      <w:r w:rsidRPr="006D47D8">
        <w:rPr>
          <w:iCs/>
          <w:vertAlign w:val="superscript"/>
        </w:rPr>
        <w:t>2</w:t>
      </w:r>
      <w:r w:rsidRPr="006D47D8">
        <w:rPr>
          <w:iCs/>
        </w:rPr>
        <w:t>) (</w:t>
      </w:r>
      <w:r>
        <w:t>energy (</w:t>
      </w:r>
      <w:r w:rsidRPr="006A6189">
        <w:rPr>
          <w:iCs/>
        </w:rPr>
        <w:t>E</w:t>
      </w:r>
      <w:r>
        <w:rPr>
          <w:iCs/>
        </w:rPr>
        <w:t>)</w:t>
      </w:r>
      <w:r w:rsidRPr="006A6189">
        <w:rPr>
          <w:iCs/>
        </w:rPr>
        <w:t> &gt; 1 </w:t>
      </w:r>
      <w:r>
        <w:rPr>
          <w:iCs/>
        </w:rPr>
        <w:t>million electron volts (</w:t>
      </w:r>
      <w:r w:rsidRPr="006A6189">
        <w:rPr>
          <w:iCs/>
        </w:rPr>
        <w:t>MeV)).</w:t>
      </w:r>
    </w:p>
    <w:p w14:paraId="3BD72B32" w14:textId="77777777" w:rsidR="00D53E6F" w:rsidRDefault="00D53E6F" w:rsidP="004A7B59">
      <w:pPr>
        <w:spacing w:line="240" w:lineRule="auto"/>
        <w:rPr>
          <w:iCs/>
        </w:rPr>
      </w:pPr>
    </w:p>
    <w:p w14:paraId="48A0F3A2" w14:textId="77777777" w:rsidR="00D53E6F" w:rsidRPr="009352C4" w:rsidRDefault="00D53E6F" w:rsidP="00D53E6F">
      <w:pPr>
        <w:pStyle w:val="ListParagraph"/>
        <w:numPr>
          <w:ilvl w:val="0"/>
          <w:numId w:val="59"/>
        </w:numPr>
        <w:spacing w:line="240" w:lineRule="auto"/>
        <w:ind w:hanging="720"/>
        <w:rPr>
          <w:iCs/>
        </w:rPr>
      </w:pPr>
      <w:r w:rsidRPr="006A6189">
        <w:rPr>
          <w:iCs/>
        </w:rPr>
        <w:t xml:space="preserve">The second condition captures the 10 CFR 50.55a(b)(2)(xii) requirement for underwater welding of austenitic </w:t>
      </w:r>
      <w:r w:rsidRPr="009352C4">
        <w:rPr>
          <w:iCs/>
        </w:rPr>
        <w:t>materials that are not P</w:t>
      </w:r>
      <w:r w:rsidRPr="009352C4">
        <w:rPr>
          <w:iCs/>
        </w:rPr>
        <w:noBreakHyphen/>
        <w:t>number 8 materials and states that licensees must obtain NRC approval in accordance with 10 CFR</w:t>
      </w:r>
      <w:r w:rsidRPr="006D47D8">
        <w:rPr>
          <w:iCs/>
        </w:rPr>
        <w:t> 50.55a(z) for the welding technique to be used before they can perform welding on austenitic material other than P</w:t>
      </w:r>
      <w:r w:rsidRPr="006D47D8">
        <w:rPr>
          <w:iCs/>
        </w:rPr>
        <w:noBreakHyphen/>
        <w:t>number 8 material</w:t>
      </w:r>
      <w:r>
        <w:rPr>
          <w:iCs/>
        </w:rPr>
        <w:t>s</w:t>
      </w:r>
      <w:r w:rsidRPr="009352C4">
        <w:rPr>
          <w:iCs/>
        </w:rPr>
        <w:t xml:space="preserve"> exposed to thermal neutron fluence greater than 1x10</w:t>
      </w:r>
      <w:r w:rsidRPr="009352C4">
        <w:rPr>
          <w:iCs/>
          <w:vertAlign w:val="superscript"/>
        </w:rPr>
        <w:t>17</w:t>
      </w:r>
      <w:r>
        <w:rPr>
          <w:iCs/>
          <w:vertAlign w:val="superscript"/>
        </w:rPr>
        <w:t> </w:t>
      </w:r>
      <w:r w:rsidRPr="006A6189">
        <w:rPr>
          <w:iCs/>
        </w:rPr>
        <w:t>n/cm</w:t>
      </w:r>
      <w:r w:rsidRPr="006A6189">
        <w:rPr>
          <w:iCs/>
          <w:vertAlign w:val="superscript"/>
        </w:rPr>
        <w:t>2</w:t>
      </w:r>
      <w:r w:rsidRPr="006A6189">
        <w:rPr>
          <w:iCs/>
        </w:rPr>
        <w:t xml:space="preserve"> (E &lt; 0.5 eV</w:t>
      </w:r>
      <w:r w:rsidRPr="009352C4">
        <w:rPr>
          <w:iCs/>
        </w:rPr>
        <w:t>).</w:t>
      </w:r>
    </w:p>
    <w:p w14:paraId="61AF58DA" w14:textId="77777777" w:rsidR="00D53E6F" w:rsidRDefault="00D53E6F" w:rsidP="00D53E6F">
      <w:pPr>
        <w:spacing w:line="240" w:lineRule="auto"/>
        <w:ind w:hanging="720"/>
        <w:rPr>
          <w:iCs/>
        </w:rPr>
      </w:pPr>
    </w:p>
    <w:p w14:paraId="1EF09C95" w14:textId="77777777" w:rsidR="00D53E6F" w:rsidRPr="006D47D8" w:rsidRDefault="00D53E6F" w:rsidP="00D53E6F">
      <w:pPr>
        <w:pStyle w:val="ListParagraph"/>
        <w:numPr>
          <w:ilvl w:val="0"/>
          <w:numId w:val="59"/>
        </w:numPr>
        <w:spacing w:line="240" w:lineRule="auto"/>
        <w:ind w:hanging="720"/>
        <w:rPr>
          <w:iCs/>
        </w:rPr>
      </w:pPr>
      <w:r w:rsidRPr="006A6189">
        <w:rPr>
          <w:iCs/>
        </w:rPr>
        <w:t>The third condition captures the 10 CFR 50.55a(b)(2)(xii) requirement for underwater welding of austenitic P</w:t>
      </w:r>
      <w:r w:rsidRPr="009352C4">
        <w:rPr>
          <w:iCs/>
        </w:rPr>
        <w:noBreakHyphen/>
        <w:t xml:space="preserve">number 8 materials and states that licensees must obtain NRC approval in accordance with 10 CFR 50.55a(z) </w:t>
      </w:r>
      <w:r w:rsidRPr="006D47D8">
        <w:rPr>
          <w:iCs/>
        </w:rPr>
        <w:t xml:space="preserve">for </w:t>
      </w:r>
      <w:r>
        <w:rPr>
          <w:iCs/>
        </w:rPr>
        <w:t xml:space="preserve">use of </w:t>
      </w:r>
      <w:r w:rsidRPr="009352C4">
        <w:rPr>
          <w:iCs/>
        </w:rPr>
        <w:t>the welding technique be</w:t>
      </w:r>
      <w:r w:rsidRPr="006D47D8">
        <w:rPr>
          <w:iCs/>
        </w:rPr>
        <w:t>fore perform</w:t>
      </w:r>
      <w:r>
        <w:rPr>
          <w:iCs/>
        </w:rPr>
        <w:t>ing</w:t>
      </w:r>
      <w:r w:rsidRPr="009352C4">
        <w:rPr>
          <w:iCs/>
        </w:rPr>
        <w:t xml:space="preserve"> welding on P</w:t>
      </w:r>
      <w:r w:rsidRPr="006D47D8">
        <w:rPr>
          <w:iCs/>
        </w:rPr>
        <w:noBreakHyphen/>
        <w:t>number 8 austenitic material</w:t>
      </w:r>
      <w:r>
        <w:rPr>
          <w:iCs/>
        </w:rPr>
        <w:t>s</w:t>
      </w:r>
      <w:r w:rsidRPr="009352C4">
        <w:rPr>
          <w:iCs/>
        </w:rPr>
        <w:t xml:space="preserve"> exposed to thermal neutron fluence greater than 1x</w:t>
      </w:r>
      <w:r w:rsidRPr="006D47D8">
        <w:rPr>
          <w:iCs/>
        </w:rPr>
        <w:t>10</w:t>
      </w:r>
      <w:r w:rsidRPr="006D47D8">
        <w:rPr>
          <w:iCs/>
          <w:vertAlign w:val="superscript"/>
        </w:rPr>
        <w:t>17</w:t>
      </w:r>
      <w:r w:rsidRPr="006D47D8">
        <w:rPr>
          <w:iCs/>
        </w:rPr>
        <w:t> n/cm</w:t>
      </w:r>
      <w:r w:rsidRPr="006D47D8">
        <w:rPr>
          <w:iCs/>
          <w:vertAlign w:val="superscript"/>
        </w:rPr>
        <w:t>2</w:t>
      </w:r>
      <w:r w:rsidRPr="006D47D8">
        <w:rPr>
          <w:iCs/>
        </w:rPr>
        <w:t xml:space="preserve"> (E &lt; 0.5 eV) and measured or calculated helium concentration of the material</w:t>
      </w:r>
      <w:r>
        <w:rPr>
          <w:iCs/>
        </w:rPr>
        <w:t>s</w:t>
      </w:r>
      <w:r w:rsidRPr="009352C4">
        <w:rPr>
          <w:iCs/>
        </w:rPr>
        <w:t xml:space="preserve"> greater than 0.</w:t>
      </w:r>
      <w:r w:rsidRPr="006D47D8">
        <w:rPr>
          <w:iCs/>
        </w:rPr>
        <w:t>1 atomic part per million.</w:t>
      </w:r>
    </w:p>
    <w:p w14:paraId="0FB3BD80" w14:textId="77777777" w:rsidR="00D53E6F" w:rsidRDefault="00D53E6F" w:rsidP="00D53E6F">
      <w:pPr>
        <w:spacing w:line="240" w:lineRule="auto"/>
        <w:rPr>
          <w:iCs/>
        </w:rPr>
      </w:pPr>
    </w:p>
    <w:p w14:paraId="7D7981E8" w14:textId="77777777" w:rsidR="00D53E6F" w:rsidRDefault="00D53E6F" w:rsidP="00D53E6F">
      <w:pPr>
        <w:spacing w:line="240" w:lineRule="auto"/>
      </w:pPr>
      <w:r>
        <w:t>Because these conditions capture existing requirements, the NRC does not expect industry to incur incremental implementation costs.</w:t>
      </w:r>
    </w:p>
    <w:p w14:paraId="39799A24" w14:textId="77777777" w:rsidR="00D53E6F" w:rsidRDefault="00D53E6F" w:rsidP="00D53E6F">
      <w:pPr>
        <w:spacing w:line="240" w:lineRule="auto"/>
      </w:pPr>
    </w:p>
    <w:p w14:paraId="091B3079" w14:textId="77777777" w:rsidR="00D53E6F" w:rsidRDefault="00D53E6F" w:rsidP="00D53E6F">
      <w:pPr>
        <w:pStyle w:val="Heading3"/>
        <w:ind w:left="720" w:hanging="720"/>
      </w:pPr>
      <w:bookmarkStart w:id="134" w:name="_Toc12808793"/>
      <w:r>
        <w:t>5.3.3</w:t>
      </w:r>
      <w:r>
        <w:tab/>
      </w:r>
      <w:r w:rsidRPr="00C87607">
        <w:rPr>
          <w:szCs w:val="22"/>
        </w:rPr>
        <w:t>Evaluation of Pipe Wall Thinning</w:t>
      </w:r>
      <w:r>
        <w:rPr>
          <w:szCs w:val="22"/>
        </w:rPr>
        <w:t>,</w:t>
      </w:r>
      <w:r w:rsidRPr="00C87607">
        <w:rPr>
          <w:szCs w:val="22"/>
        </w:rPr>
        <w:t xml:space="preserve"> Section XI</w:t>
      </w:r>
      <w:bookmarkEnd w:id="134"/>
    </w:p>
    <w:p w14:paraId="731F39D1" w14:textId="77777777" w:rsidR="00D53E6F" w:rsidRDefault="00D53E6F" w:rsidP="00D53E6F">
      <w:pPr>
        <w:spacing w:line="240" w:lineRule="auto"/>
      </w:pPr>
    </w:p>
    <w:p w14:paraId="0FF9F90B" w14:textId="5A48F767" w:rsidR="00D53E6F" w:rsidRDefault="00D53E6F" w:rsidP="00D53E6F">
      <w:pPr>
        <w:spacing w:line="240" w:lineRule="auto"/>
        <w:rPr>
          <w:bCs/>
        </w:rPr>
      </w:pPr>
      <w:r w:rsidRPr="000C257F">
        <w:rPr>
          <w:bCs/>
        </w:rPr>
        <w:t xml:space="preserve">The conditions on </w:t>
      </w:r>
      <w:r>
        <w:rPr>
          <w:bCs/>
        </w:rPr>
        <w:t xml:space="preserve">ASME Code Case </w:t>
      </w:r>
      <w:r w:rsidRPr="000C257F">
        <w:rPr>
          <w:bCs/>
        </w:rPr>
        <w:t xml:space="preserve">N-597-3 are </w:t>
      </w:r>
      <w:r>
        <w:rPr>
          <w:bCs/>
        </w:rPr>
        <w:t>carried over</w:t>
      </w:r>
      <w:r w:rsidRPr="000C257F">
        <w:rPr>
          <w:bCs/>
        </w:rPr>
        <w:t xml:space="preserve"> from the previous version of </w:t>
      </w:r>
      <w:r>
        <w:rPr>
          <w:bCs/>
        </w:rPr>
        <w:t>ASME C</w:t>
      </w:r>
      <w:r w:rsidRPr="000C257F">
        <w:rPr>
          <w:bCs/>
        </w:rPr>
        <w:t xml:space="preserve">ode </w:t>
      </w:r>
      <w:r>
        <w:rPr>
          <w:bCs/>
        </w:rPr>
        <w:t>C</w:t>
      </w:r>
      <w:r w:rsidRPr="000C257F">
        <w:rPr>
          <w:bCs/>
        </w:rPr>
        <w:t>ase N-597-2; however</w:t>
      </w:r>
      <w:r>
        <w:rPr>
          <w:bCs/>
        </w:rPr>
        <w:t>,</w:t>
      </w:r>
      <w:r w:rsidRPr="000C257F">
        <w:rPr>
          <w:bCs/>
        </w:rPr>
        <w:t xml:space="preserve"> </w:t>
      </w:r>
      <w:r w:rsidR="00433120">
        <w:rPr>
          <w:bCs/>
        </w:rPr>
        <w:t>the NRC</w:t>
      </w:r>
      <w:r w:rsidRPr="000C257F">
        <w:rPr>
          <w:bCs/>
        </w:rPr>
        <w:t xml:space="preserve"> made revisions to clarify the intent of the conditions.  The first condition on </w:t>
      </w:r>
      <w:r>
        <w:rPr>
          <w:bCs/>
        </w:rPr>
        <w:t>ASME Code Case N-597-3 addresses the</w:t>
      </w:r>
      <w:r w:rsidRPr="000C257F">
        <w:rPr>
          <w:bCs/>
        </w:rPr>
        <w:t xml:space="preserve"> NRC’s concerns </w:t>
      </w:r>
      <w:r>
        <w:rPr>
          <w:bCs/>
        </w:rPr>
        <w:t>about</w:t>
      </w:r>
      <w:r w:rsidRPr="000C257F">
        <w:rPr>
          <w:bCs/>
        </w:rPr>
        <w:t xml:space="preserve"> how the corrosion rate and associated uncertainties will be determined when </w:t>
      </w:r>
      <w:r>
        <w:rPr>
          <w:bCs/>
        </w:rPr>
        <w:t>ASME Code Case </w:t>
      </w:r>
      <w:r w:rsidRPr="000C257F">
        <w:rPr>
          <w:bCs/>
        </w:rPr>
        <w:t>N-597-3 is applied to evaluate the wall thinning in pipes for degradation mechanisms other than flow</w:t>
      </w:r>
      <w:r>
        <w:rPr>
          <w:bCs/>
        </w:rPr>
        <w:noBreakHyphen/>
      </w:r>
      <w:r w:rsidRPr="000C257F">
        <w:rPr>
          <w:bCs/>
        </w:rPr>
        <w:t xml:space="preserve">accelerated corrosion.  Therefore, the </w:t>
      </w:r>
      <w:r>
        <w:rPr>
          <w:bCs/>
        </w:rPr>
        <w:t>agency</w:t>
      </w:r>
      <w:r w:rsidRPr="000C257F">
        <w:rPr>
          <w:bCs/>
        </w:rPr>
        <w:t xml:space="preserve"> is </w:t>
      </w:r>
      <w:r>
        <w:rPr>
          <w:bCs/>
        </w:rPr>
        <w:t>imposing</w:t>
      </w:r>
      <w:r w:rsidRPr="000C257F">
        <w:rPr>
          <w:bCs/>
        </w:rPr>
        <w:t xml:space="preserve"> a condition that requires the </w:t>
      </w:r>
      <w:r>
        <w:rPr>
          <w:bCs/>
        </w:rPr>
        <w:t xml:space="preserve">NRC to review and approve the </w:t>
      </w:r>
      <w:r w:rsidRPr="000C257F">
        <w:rPr>
          <w:bCs/>
        </w:rPr>
        <w:t xml:space="preserve">corrosion rate </w:t>
      </w:r>
      <w:r>
        <w:rPr>
          <w:bCs/>
        </w:rPr>
        <w:t>before</w:t>
      </w:r>
      <w:r w:rsidRPr="000C257F">
        <w:rPr>
          <w:bCs/>
        </w:rPr>
        <w:t xml:space="preserve"> </w:t>
      </w:r>
      <w:r>
        <w:rPr>
          <w:bCs/>
        </w:rPr>
        <w:t>application</w:t>
      </w:r>
      <w:r w:rsidRPr="000C257F">
        <w:rPr>
          <w:bCs/>
        </w:rPr>
        <w:t xml:space="preserve"> of the Code Case.</w:t>
      </w:r>
    </w:p>
    <w:p w14:paraId="03D3E70D" w14:textId="77777777" w:rsidR="00D53E6F" w:rsidRPr="000C257F" w:rsidRDefault="00D53E6F" w:rsidP="00D53E6F">
      <w:pPr>
        <w:spacing w:line="240" w:lineRule="auto"/>
        <w:rPr>
          <w:bCs/>
        </w:rPr>
      </w:pPr>
    </w:p>
    <w:p w14:paraId="73539F35" w14:textId="77777777" w:rsidR="00D53E6F" w:rsidRDefault="00D53E6F" w:rsidP="00D53E6F">
      <w:pPr>
        <w:spacing w:line="240" w:lineRule="auto"/>
        <w:rPr>
          <w:bCs/>
        </w:rPr>
      </w:pPr>
      <w:r w:rsidRPr="000C257F">
        <w:rPr>
          <w:bCs/>
        </w:rPr>
        <w:t xml:space="preserve">The second condition on </w:t>
      </w:r>
      <w:r>
        <w:rPr>
          <w:bCs/>
        </w:rPr>
        <w:t xml:space="preserve">ASME </w:t>
      </w:r>
      <w:r w:rsidRPr="000C257F">
        <w:rPr>
          <w:bCs/>
        </w:rPr>
        <w:t>Code Case N-597-3 has two parts that allow the use of this Code Case to mitigate flow</w:t>
      </w:r>
      <w:r>
        <w:rPr>
          <w:bCs/>
        </w:rPr>
        <w:noBreakHyphen/>
      </w:r>
      <w:r w:rsidRPr="000C257F">
        <w:rPr>
          <w:bCs/>
        </w:rPr>
        <w:t xml:space="preserve">accelerated corrosion but only if both of the requirements of the condition are met.  </w:t>
      </w:r>
      <w:r>
        <w:rPr>
          <w:bCs/>
        </w:rPr>
        <w:t xml:space="preserve">Because the </w:t>
      </w:r>
      <w:r w:rsidRPr="000C257F">
        <w:rPr>
          <w:bCs/>
        </w:rPr>
        <w:t>calculati</w:t>
      </w:r>
      <w:r>
        <w:rPr>
          <w:bCs/>
        </w:rPr>
        <w:t>on of</w:t>
      </w:r>
      <w:r w:rsidRPr="000C257F">
        <w:rPr>
          <w:bCs/>
        </w:rPr>
        <w:t xml:space="preserve"> wall thinning</w:t>
      </w:r>
      <w:r>
        <w:rPr>
          <w:bCs/>
        </w:rPr>
        <w:t xml:space="preserve"> is inherently difficult</w:t>
      </w:r>
      <w:r w:rsidRPr="000C257F">
        <w:rPr>
          <w:bCs/>
        </w:rPr>
        <w:t xml:space="preserve">, </w:t>
      </w:r>
      <w:r>
        <w:rPr>
          <w:bCs/>
        </w:rPr>
        <w:t>the first part of Condition 2</w:t>
      </w:r>
      <w:r w:rsidRPr="000C257F">
        <w:rPr>
          <w:bCs/>
        </w:rPr>
        <w:t xml:space="preserve"> requires that the use of </w:t>
      </w:r>
      <w:r>
        <w:rPr>
          <w:bCs/>
        </w:rPr>
        <w:t xml:space="preserve">ASME Code Case </w:t>
      </w:r>
      <w:r w:rsidRPr="000C257F">
        <w:rPr>
          <w:bCs/>
        </w:rPr>
        <w:t xml:space="preserve">N-597-3 on flow-accelerated corrosion piping must be supplemented by the provisions of </w:t>
      </w:r>
      <w:r>
        <w:rPr>
          <w:bCs/>
        </w:rPr>
        <w:t>Electric Power Research Institute (</w:t>
      </w:r>
      <w:r w:rsidRPr="000C257F">
        <w:rPr>
          <w:bCs/>
        </w:rPr>
        <w:t>EPRI</w:t>
      </w:r>
      <w:r>
        <w:rPr>
          <w:bCs/>
        </w:rPr>
        <w:t>)</w:t>
      </w:r>
      <w:r w:rsidRPr="000C257F">
        <w:rPr>
          <w:bCs/>
        </w:rPr>
        <w:t xml:space="preserve"> Nuclear Safe</w:t>
      </w:r>
      <w:r>
        <w:rPr>
          <w:bCs/>
        </w:rPr>
        <w:t>ty Analysis Center (NSAC)</w:t>
      </w:r>
      <w:r>
        <w:rPr>
          <w:bCs/>
        </w:rPr>
        <w:noBreakHyphen/>
        <w:t>202L</w:t>
      </w:r>
      <w:r>
        <w:rPr>
          <w:bCs/>
        </w:rPr>
        <w:noBreakHyphen/>
      </w:r>
      <w:r w:rsidRPr="000C257F">
        <w:rPr>
          <w:bCs/>
        </w:rPr>
        <w:t>2, “Recommendations for an Effective Flow</w:t>
      </w:r>
      <w:r>
        <w:rPr>
          <w:bCs/>
        </w:rPr>
        <w:noBreakHyphen/>
      </w:r>
      <w:r w:rsidRPr="000C257F">
        <w:rPr>
          <w:bCs/>
        </w:rPr>
        <w:t xml:space="preserve">Accelerated Corrosion Program,” </w:t>
      </w:r>
      <w:r>
        <w:rPr>
          <w:bCs/>
        </w:rPr>
        <w:t xml:space="preserve">issued </w:t>
      </w:r>
      <w:r w:rsidRPr="000C257F">
        <w:rPr>
          <w:bCs/>
        </w:rPr>
        <w:t>April</w:t>
      </w:r>
      <w:r>
        <w:rPr>
          <w:bCs/>
        </w:rPr>
        <w:t> </w:t>
      </w:r>
      <w:r w:rsidRPr="000C257F">
        <w:rPr>
          <w:bCs/>
        </w:rPr>
        <w:t>1999</w:t>
      </w:r>
      <w:r>
        <w:rPr>
          <w:bCs/>
        </w:rPr>
        <w:t xml:space="preserve"> (EPRI 1999)</w:t>
      </w:r>
      <w:r w:rsidRPr="000C257F">
        <w:rPr>
          <w:bCs/>
        </w:rPr>
        <w:t xml:space="preserve">, which </w:t>
      </w:r>
      <w:r>
        <w:rPr>
          <w:bCs/>
        </w:rPr>
        <w:t>includes</w:t>
      </w:r>
      <w:r w:rsidRPr="000C257F">
        <w:rPr>
          <w:bCs/>
        </w:rPr>
        <w:t xml:space="preserve"> rigorous provisions to minimize wall thinning.</w:t>
      </w:r>
    </w:p>
    <w:p w14:paraId="6A0FAB03" w14:textId="77777777" w:rsidR="00D53E6F" w:rsidRPr="000C257F" w:rsidRDefault="00D53E6F" w:rsidP="00D53E6F">
      <w:pPr>
        <w:spacing w:line="240" w:lineRule="auto"/>
        <w:rPr>
          <w:bCs/>
        </w:rPr>
      </w:pPr>
    </w:p>
    <w:p w14:paraId="76208E8B" w14:textId="77777777" w:rsidR="00D53E6F" w:rsidRDefault="00D53E6F" w:rsidP="00D53E6F">
      <w:pPr>
        <w:spacing w:line="240" w:lineRule="auto"/>
        <w:rPr>
          <w:bCs/>
        </w:rPr>
      </w:pPr>
      <w:r w:rsidRPr="000C257F">
        <w:rPr>
          <w:bCs/>
        </w:rPr>
        <w:t>The first part of Condition 2 (i.e.</w:t>
      </w:r>
      <w:r>
        <w:rPr>
          <w:bCs/>
        </w:rPr>
        <w:t>,</w:t>
      </w:r>
      <w:r w:rsidRPr="000C257F">
        <w:rPr>
          <w:bCs/>
        </w:rPr>
        <w:t xml:space="preserve"> </w:t>
      </w:r>
      <w:r>
        <w:rPr>
          <w:bCs/>
        </w:rPr>
        <w:t>Condition </w:t>
      </w:r>
      <w:r w:rsidRPr="000C257F">
        <w:rPr>
          <w:bCs/>
        </w:rPr>
        <w:t xml:space="preserve">2(a)) on </w:t>
      </w:r>
      <w:r>
        <w:rPr>
          <w:bCs/>
        </w:rPr>
        <w:t xml:space="preserve">ASME </w:t>
      </w:r>
      <w:r w:rsidRPr="000C257F">
        <w:rPr>
          <w:bCs/>
        </w:rPr>
        <w:t>Code Case N</w:t>
      </w:r>
      <w:r>
        <w:rPr>
          <w:bCs/>
        </w:rPr>
        <w:noBreakHyphen/>
      </w:r>
      <w:r w:rsidRPr="000C257F">
        <w:rPr>
          <w:bCs/>
        </w:rPr>
        <w:t>597</w:t>
      </w:r>
      <w:r>
        <w:rPr>
          <w:bCs/>
        </w:rPr>
        <w:noBreakHyphen/>
      </w:r>
      <w:r w:rsidRPr="000C257F">
        <w:rPr>
          <w:bCs/>
        </w:rPr>
        <w:t xml:space="preserve">3 is identical to the first condition on </w:t>
      </w:r>
      <w:r>
        <w:rPr>
          <w:bCs/>
        </w:rPr>
        <w:t xml:space="preserve">ASME </w:t>
      </w:r>
      <w:r w:rsidRPr="000C257F">
        <w:rPr>
          <w:bCs/>
        </w:rPr>
        <w:t>Code Case N-597-2 that was first approved by the NRC in RG</w:t>
      </w:r>
      <w:r>
        <w:rPr>
          <w:bCs/>
        </w:rPr>
        <w:t> </w:t>
      </w:r>
      <w:r w:rsidRPr="000C257F">
        <w:rPr>
          <w:bCs/>
        </w:rPr>
        <w:t>1.147</w:t>
      </w:r>
      <w:r>
        <w:rPr>
          <w:bCs/>
        </w:rPr>
        <w:t>, Revision 15,</w:t>
      </w:r>
      <w:r w:rsidRPr="000C257F">
        <w:rPr>
          <w:bCs/>
        </w:rPr>
        <w:t xml:space="preserve"> </w:t>
      </w:r>
      <w:r>
        <w:rPr>
          <w:bCs/>
        </w:rPr>
        <w:t>issued</w:t>
      </w:r>
      <w:r w:rsidRPr="000C257F">
        <w:rPr>
          <w:bCs/>
        </w:rPr>
        <w:t xml:space="preserve"> October</w:t>
      </w:r>
      <w:r>
        <w:rPr>
          <w:bCs/>
        </w:rPr>
        <w:t> </w:t>
      </w:r>
      <w:r w:rsidRPr="000C257F">
        <w:rPr>
          <w:bCs/>
        </w:rPr>
        <w:t>2007.  The condition state</w:t>
      </w:r>
      <w:r>
        <w:rPr>
          <w:bCs/>
        </w:rPr>
        <w:t>s the following:</w:t>
      </w:r>
    </w:p>
    <w:p w14:paraId="5A095F62" w14:textId="77777777" w:rsidR="00D53E6F" w:rsidRDefault="00D53E6F" w:rsidP="00D53E6F">
      <w:pPr>
        <w:spacing w:line="240" w:lineRule="auto"/>
        <w:rPr>
          <w:bCs/>
        </w:rPr>
      </w:pPr>
    </w:p>
    <w:p w14:paraId="349D1A3A" w14:textId="77777777" w:rsidR="00D53E6F" w:rsidRDefault="00D53E6F" w:rsidP="00D53E6F">
      <w:pPr>
        <w:spacing w:line="240" w:lineRule="auto"/>
        <w:ind w:left="720" w:right="720"/>
        <w:rPr>
          <w:bCs/>
        </w:rPr>
      </w:pPr>
      <w:r w:rsidRPr="000C257F">
        <w:rPr>
          <w:bCs/>
        </w:rPr>
        <w:t xml:space="preserve">Code Case must be supplemented by the provisions of EPRI Nuclear Safety Analysis Center Report 202L-2, </w:t>
      </w:r>
      <w:r>
        <w:rPr>
          <w:bCs/>
        </w:rPr>
        <w:t>“</w:t>
      </w:r>
      <w:r w:rsidRPr="000C257F">
        <w:rPr>
          <w:bCs/>
        </w:rPr>
        <w:t>Recommendations for an Effective Flow Accelerated Corrosion Program</w:t>
      </w:r>
      <w:r>
        <w:rPr>
          <w:bCs/>
        </w:rPr>
        <w:t>,”</w:t>
      </w:r>
      <w:r w:rsidRPr="000C257F">
        <w:rPr>
          <w:bCs/>
        </w:rPr>
        <w:t xml:space="preserve"> April 1999, for developing the inspection requirements, the method of predicting the rate of wall thickness loss, and the value of the predicted remaining wall thickness.  As used in NSAC</w:t>
      </w:r>
      <w:r>
        <w:rPr>
          <w:bCs/>
        </w:rPr>
        <w:noBreakHyphen/>
      </w:r>
      <w:r w:rsidRPr="000C257F">
        <w:rPr>
          <w:bCs/>
        </w:rPr>
        <w:t>202L</w:t>
      </w:r>
      <w:r>
        <w:rPr>
          <w:bCs/>
        </w:rPr>
        <w:noBreakHyphen/>
      </w:r>
      <w:r w:rsidRPr="000C257F">
        <w:rPr>
          <w:bCs/>
        </w:rPr>
        <w:t xml:space="preserve">R2, the term </w:t>
      </w:r>
      <w:r>
        <w:rPr>
          <w:bCs/>
        </w:rPr>
        <w:t>“</w:t>
      </w:r>
      <w:r w:rsidRPr="000C257F">
        <w:rPr>
          <w:bCs/>
        </w:rPr>
        <w:t>should</w:t>
      </w:r>
      <w:r>
        <w:rPr>
          <w:bCs/>
        </w:rPr>
        <w:t>”</w:t>
      </w:r>
      <w:r w:rsidRPr="000C257F">
        <w:rPr>
          <w:bCs/>
        </w:rPr>
        <w:t xml:space="preserve"> is to be applied as </w:t>
      </w:r>
      <w:r>
        <w:rPr>
          <w:bCs/>
        </w:rPr>
        <w:t>“</w:t>
      </w:r>
      <w:r w:rsidRPr="000C257F">
        <w:rPr>
          <w:bCs/>
        </w:rPr>
        <w:t>shall</w:t>
      </w:r>
      <w:r>
        <w:rPr>
          <w:bCs/>
        </w:rPr>
        <w:t>”</w:t>
      </w:r>
      <w:r w:rsidRPr="000C257F">
        <w:rPr>
          <w:bCs/>
        </w:rPr>
        <w:t xml:space="preserve"> (i.e.,</w:t>
      </w:r>
      <w:r>
        <w:rPr>
          <w:bCs/>
        </w:rPr>
        <w:t> </w:t>
      </w:r>
      <w:r w:rsidRPr="000C257F">
        <w:rPr>
          <w:bCs/>
        </w:rPr>
        <w:t>a requirement).</w:t>
      </w:r>
    </w:p>
    <w:p w14:paraId="0A0404EE" w14:textId="77777777" w:rsidR="00D53E6F" w:rsidRDefault="00D53E6F" w:rsidP="00D53E6F">
      <w:pPr>
        <w:spacing w:line="240" w:lineRule="auto"/>
        <w:ind w:left="720"/>
        <w:rPr>
          <w:bCs/>
        </w:rPr>
      </w:pPr>
    </w:p>
    <w:p w14:paraId="573DDA7A" w14:textId="77777777" w:rsidR="00D53E6F" w:rsidRDefault="00D53E6F" w:rsidP="00D53E6F">
      <w:pPr>
        <w:spacing w:line="240" w:lineRule="auto"/>
        <w:rPr>
          <w:bCs/>
        </w:rPr>
      </w:pPr>
      <w:r>
        <w:rPr>
          <w:bCs/>
        </w:rPr>
        <w:t>ASME Code Case N-597-</w:t>
      </w:r>
      <w:r w:rsidRPr="000C257F">
        <w:rPr>
          <w:bCs/>
        </w:rPr>
        <w:t>3</w:t>
      </w:r>
      <w:r>
        <w:rPr>
          <w:bCs/>
        </w:rPr>
        <w:t xml:space="preserve"> does not address t</w:t>
      </w:r>
      <w:r w:rsidRPr="000C257F">
        <w:rPr>
          <w:bCs/>
        </w:rPr>
        <w:t>he NRC’s reasons for imposing this condition</w:t>
      </w:r>
      <w:r>
        <w:rPr>
          <w:bCs/>
        </w:rPr>
        <w:t xml:space="preserve">; </w:t>
      </w:r>
      <w:r w:rsidRPr="000C257F">
        <w:rPr>
          <w:bCs/>
        </w:rPr>
        <w:t>therefore</w:t>
      </w:r>
      <w:r>
        <w:rPr>
          <w:bCs/>
        </w:rPr>
        <w:t>,</w:t>
      </w:r>
      <w:r w:rsidRPr="000C257F">
        <w:rPr>
          <w:bCs/>
        </w:rPr>
        <w:t xml:space="preserve"> </w:t>
      </w:r>
      <w:r>
        <w:rPr>
          <w:bCs/>
        </w:rPr>
        <w:t>RG 1.147, Revision 19, will retain this condition.</w:t>
      </w:r>
    </w:p>
    <w:p w14:paraId="7AF3671D" w14:textId="77777777" w:rsidR="00D53E6F" w:rsidRPr="000C257F" w:rsidRDefault="00D53E6F" w:rsidP="00D53E6F">
      <w:pPr>
        <w:spacing w:line="240" w:lineRule="auto"/>
        <w:rPr>
          <w:bCs/>
        </w:rPr>
      </w:pPr>
    </w:p>
    <w:p w14:paraId="66C7B9D8" w14:textId="77777777" w:rsidR="00D53E6F" w:rsidRDefault="00D53E6F" w:rsidP="00D53E6F">
      <w:pPr>
        <w:spacing w:line="240" w:lineRule="auto"/>
        <w:rPr>
          <w:bCs/>
        </w:rPr>
      </w:pPr>
      <w:r>
        <w:rPr>
          <w:bCs/>
        </w:rPr>
        <w:t xml:space="preserve">The second part of </w:t>
      </w:r>
      <w:r w:rsidRPr="000C257F">
        <w:rPr>
          <w:bCs/>
        </w:rPr>
        <w:t>Condition 2 (i.e.</w:t>
      </w:r>
      <w:r>
        <w:rPr>
          <w:bCs/>
        </w:rPr>
        <w:t>, Condition </w:t>
      </w:r>
      <w:r w:rsidRPr="000C257F">
        <w:rPr>
          <w:bCs/>
        </w:rPr>
        <w:t xml:space="preserve">2(b)) on </w:t>
      </w:r>
      <w:r>
        <w:rPr>
          <w:bCs/>
        </w:rPr>
        <w:t xml:space="preserve">ASME </w:t>
      </w:r>
      <w:r w:rsidRPr="000C257F">
        <w:rPr>
          <w:bCs/>
        </w:rPr>
        <w:t xml:space="preserve">Code Case N-597-3 is identical to the second condition on </w:t>
      </w:r>
      <w:r>
        <w:rPr>
          <w:bCs/>
        </w:rPr>
        <w:t xml:space="preserve">ASME </w:t>
      </w:r>
      <w:r w:rsidRPr="000C257F">
        <w:rPr>
          <w:bCs/>
        </w:rPr>
        <w:t>Code Case N-597-2 that was first approved by the NRC in RG</w:t>
      </w:r>
      <w:r>
        <w:rPr>
          <w:bCs/>
        </w:rPr>
        <w:t> </w:t>
      </w:r>
      <w:r w:rsidRPr="000C257F">
        <w:rPr>
          <w:bCs/>
        </w:rPr>
        <w:t>1.147</w:t>
      </w:r>
      <w:r>
        <w:rPr>
          <w:bCs/>
        </w:rPr>
        <w:t>, Revision 15</w:t>
      </w:r>
      <w:r w:rsidRPr="000C257F">
        <w:rPr>
          <w:bCs/>
        </w:rPr>
        <w:t>.  The condition state</w:t>
      </w:r>
      <w:r>
        <w:rPr>
          <w:bCs/>
        </w:rPr>
        <w:t>s</w:t>
      </w:r>
      <w:r w:rsidRPr="000C257F">
        <w:rPr>
          <w:bCs/>
        </w:rPr>
        <w:t xml:space="preserve"> </w:t>
      </w:r>
      <w:r>
        <w:rPr>
          <w:bCs/>
        </w:rPr>
        <w:t>the following:</w:t>
      </w:r>
    </w:p>
    <w:p w14:paraId="17318C7B" w14:textId="77777777" w:rsidR="00D53E6F" w:rsidRDefault="00D53E6F" w:rsidP="00D53E6F">
      <w:pPr>
        <w:spacing w:line="240" w:lineRule="auto"/>
        <w:rPr>
          <w:bCs/>
        </w:rPr>
      </w:pPr>
    </w:p>
    <w:p w14:paraId="62E70B92" w14:textId="77777777" w:rsidR="00D53E6F" w:rsidRDefault="00D53E6F" w:rsidP="004A7B59">
      <w:pPr>
        <w:spacing w:line="240" w:lineRule="auto"/>
        <w:ind w:left="720" w:right="720"/>
        <w:rPr>
          <w:bCs/>
        </w:rPr>
      </w:pPr>
      <w:r w:rsidRPr="000C257F">
        <w:rPr>
          <w:bCs/>
        </w:rPr>
        <w:t>Components affected by flow</w:t>
      </w:r>
      <w:r>
        <w:rPr>
          <w:bCs/>
        </w:rPr>
        <w:noBreakHyphen/>
      </w:r>
      <w:r w:rsidRPr="000C257F">
        <w:rPr>
          <w:bCs/>
        </w:rPr>
        <w:t xml:space="preserve">accelerated corrosion to which this Code Case are applied must be repaired or replaced in accordance with the construction code of record and owner’s requirements or a later NRC approved edition of Section III, </w:t>
      </w:r>
      <w:r>
        <w:rPr>
          <w:bCs/>
        </w:rPr>
        <w:t>“</w:t>
      </w:r>
      <w:r w:rsidRPr="000C257F">
        <w:rPr>
          <w:bCs/>
        </w:rPr>
        <w:t>Rules for Construction of Nuclear Power Plant Components,</w:t>
      </w:r>
      <w:r>
        <w:rPr>
          <w:bCs/>
        </w:rPr>
        <w:t>”</w:t>
      </w:r>
      <w:r w:rsidRPr="000C257F">
        <w:rPr>
          <w:bCs/>
        </w:rPr>
        <w:t xml:space="preserve"> of the ASME Code prior to the value of t</w:t>
      </w:r>
      <w:r w:rsidRPr="00C80453">
        <w:rPr>
          <w:bCs/>
          <w:vertAlign w:val="subscript"/>
        </w:rPr>
        <w:t>p</w:t>
      </w:r>
      <w:r w:rsidRPr="000C257F">
        <w:rPr>
          <w:bCs/>
        </w:rPr>
        <w:t xml:space="preserve"> reaching the allowable minimum wall th</w:t>
      </w:r>
      <w:r>
        <w:rPr>
          <w:bCs/>
        </w:rPr>
        <w:t>ickness, t</w:t>
      </w:r>
      <w:r w:rsidRPr="004C3C6A">
        <w:rPr>
          <w:bCs/>
          <w:vertAlign w:val="subscript"/>
        </w:rPr>
        <w:t>min</w:t>
      </w:r>
      <w:r>
        <w:rPr>
          <w:bCs/>
        </w:rPr>
        <w:t xml:space="preserve">, as specified in </w:t>
      </w:r>
      <w:r>
        <w:rPr>
          <w:bCs/>
        </w:rPr>
        <w:noBreakHyphen/>
      </w:r>
      <w:r w:rsidRPr="000C257F">
        <w:rPr>
          <w:bCs/>
        </w:rPr>
        <w:t>3622.1(a)(1) of this Code Case.</w:t>
      </w:r>
    </w:p>
    <w:p w14:paraId="63BDEA65" w14:textId="77777777" w:rsidR="008057B7" w:rsidRDefault="008057B7" w:rsidP="008057B7">
      <w:pPr>
        <w:spacing w:line="240" w:lineRule="auto"/>
        <w:rPr>
          <w:bCs/>
        </w:rPr>
      </w:pPr>
    </w:p>
    <w:p w14:paraId="54B3C56B" w14:textId="77777777" w:rsidR="00D53E6F" w:rsidRDefault="00D53E6F" w:rsidP="008057B7">
      <w:pPr>
        <w:spacing w:line="240" w:lineRule="auto"/>
        <w:rPr>
          <w:bCs/>
        </w:rPr>
      </w:pPr>
      <w:r w:rsidRPr="000C257F">
        <w:rPr>
          <w:bCs/>
        </w:rPr>
        <w:t xml:space="preserve">Alternatively, use of the </w:t>
      </w:r>
      <w:r>
        <w:rPr>
          <w:bCs/>
        </w:rPr>
        <w:t xml:space="preserve">ASME </w:t>
      </w:r>
      <w:r w:rsidRPr="000C257F">
        <w:rPr>
          <w:bCs/>
        </w:rPr>
        <w:t xml:space="preserve">Code Case is subject to NRC review and approval </w:t>
      </w:r>
      <w:r>
        <w:rPr>
          <w:bCs/>
        </w:rPr>
        <w:t>in accordance with</w:t>
      </w:r>
      <w:r w:rsidRPr="000C257F">
        <w:rPr>
          <w:bCs/>
        </w:rPr>
        <w:t xml:space="preserve"> </w:t>
      </w:r>
      <w:r>
        <w:rPr>
          <w:bCs/>
        </w:rPr>
        <w:t>10 CFR</w:t>
      </w:r>
      <w:r w:rsidRPr="000C257F">
        <w:rPr>
          <w:bCs/>
        </w:rPr>
        <w:t xml:space="preserve"> 50.55a(z).  </w:t>
      </w:r>
      <w:r>
        <w:rPr>
          <w:bCs/>
        </w:rPr>
        <w:t xml:space="preserve">ASME </w:t>
      </w:r>
      <w:r w:rsidRPr="000C257F">
        <w:rPr>
          <w:bCs/>
        </w:rPr>
        <w:t>Code Case N</w:t>
      </w:r>
      <w:r>
        <w:rPr>
          <w:bCs/>
        </w:rPr>
        <w:noBreakHyphen/>
      </w:r>
      <w:r w:rsidRPr="000C257F">
        <w:rPr>
          <w:bCs/>
        </w:rPr>
        <w:t>597</w:t>
      </w:r>
      <w:r>
        <w:rPr>
          <w:bCs/>
        </w:rPr>
        <w:noBreakHyphen/>
      </w:r>
      <w:r w:rsidRPr="000C257F">
        <w:rPr>
          <w:bCs/>
        </w:rPr>
        <w:t>3</w:t>
      </w:r>
      <w:r>
        <w:rPr>
          <w:bCs/>
        </w:rPr>
        <w:t xml:space="preserve"> does not address t</w:t>
      </w:r>
      <w:r w:rsidRPr="000C257F">
        <w:rPr>
          <w:bCs/>
        </w:rPr>
        <w:t>he NRC’s reasons for imposing this condition</w:t>
      </w:r>
      <w:r>
        <w:rPr>
          <w:bCs/>
        </w:rPr>
        <w:t xml:space="preserve">; </w:t>
      </w:r>
      <w:r w:rsidRPr="000C257F">
        <w:rPr>
          <w:bCs/>
        </w:rPr>
        <w:t>therefore</w:t>
      </w:r>
      <w:r>
        <w:rPr>
          <w:bCs/>
        </w:rPr>
        <w:t>,</w:t>
      </w:r>
      <w:r w:rsidRPr="000C257F">
        <w:rPr>
          <w:bCs/>
        </w:rPr>
        <w:t xml:space="preserve"> RG 1.147</w:t>
      </w:r>
      <w:r>
        <w:rPr>
          <w:bCs/>
        </w:rPr>
        <w:t>, Revision 19, will retain this condition</w:t>
      </w:r>
      <w:r w:rsidRPr="000C257F">
        <w:rPr>
          <w:bCs/>
        </w:rPr>
        <w:t>.</w:t>
      </w:r>
    </w:p>
    <w:p w14:paraId="0FA96A7F" w14:textId="77777777" w:rsidR="00D53E6F" w:rsidRPr="000C257F" w:rsidRDefault="00D53E6F" w:rsidP="00D53E6F">
      <w:pPr>
        <w:spacing w:line="240" w:lineRule="auto"/>
        <w:rPr>
          <w:bCs/>
        </w:rPr>
      </w:pPr>
    </w:p>
    <w:p w14:paraId="71674EB2" w14:textId="77777777" w:rsidR="00D53E6F" w:rsidRDefault="00D53E6F" w:rsidP="00D53E6F">
      <w:pPr>
        <w:spacing w:line="240" w:lineRule="auto"/>
        <w:rPr>
          <w:bCs/>
        </w:rPr>
      </w:pPr>
      <w:r w:rsidRPr="000C257F">
        <w:rPr>
          <w:bCs/>
        </w:rPr>
        <w:t>The third condition on</w:t>
      </w:r>
      <w:r>
        <w:rPr>
          <w:bCs/>
        </w:rPr>
        <w:t xml:space="preserve"> ASME</w:t>
      </w:r>
      <w:r w:rsidRPr="000C257F">
        <w:rPr>
          <w:bCs/>
        </w:rPr>
        <w:t xml:space="preserve"> Code Case N-597-3 is identical to the </w:t>
      </w:r>
      <w:r>
        <w:rPr>
          <w:bCs/>
        </w:rPr>
        <w:t>fourth condition on ASME Code Case N</w:t>
      </w:r>
      <w:r>
        <w:rPr>
          <w:bCs/>
        </w:rPr>
        <w:noBreakHyphen/>
      </w:r>
      <w:r w:rsidRPr="000C257F">
        <w:rPr>
          <w:bCs/>
        </w:rPr>
        <w:t>597</w:t>
      </w:r>
      <w:r>
        <w:rPr>
          <w:bCs/>
        </w:rPr>
        <w:noBreakHyphen/>
      </w:r>
      <w:r w:rsidRPr="000C257F">
        <w:rPr>
          <w:bCs/>
        </w:rPr>
        <w:t>2 that was first approved by the NRC in RG 1.147</w:t>
      </w:r>
      <w:r>
        <w:rPr>
          <w:bCs/>
        </w:rPr>
        <w:t>,</w:t>
      </w:r>
      <w:r w:rsidRPr="000C257F">
        <w:rPr>
          <w:bCs/>
        </w:rPr>
        <w:t xml:space="preserve"> Revision</w:t>
      </w:r>
      <w:r>
        <w:rPr>
          <w:bCs/>
        </w:rPr>
        <w:t> </w:t>
      </w:r>
      <w:r w:rsidRPr="000C257F">
        <w:rPr>
          <w:bCs/>
        </w:rPr>
        <w:t>15.  The condition stated that</w:t>
      </w:r>
      <w:r>
        <w:rPr>
          <w:bCs/>
        </w:rPr>
        <w:t>,</w:t>
      </w:r>
      <w:r w:rsidRPr="000C257F">
        <w:rPr>
          <w:bCs/>
        </w:rPr>
        <w:t xml:space="preserve"> for those components that do not require immediate repair or replacement, the rate of wall thickness loss is to be used to determine a suitable inspection frequency so that repair or replacement occurs </w:t>
      </w:r>
      <w:r>
        <w:rPr>
          <w:bCs/>
        </w:rPr>
        <w:t>before the value of</w:t>
      </w:r>
      <w:r w:rsidRPr="000C257F">
        <w:rPr>
          <w:bCs/>
        </w:rPr>
        <w:t xml:space="preserve"> t</w:t>
      </w:r>
      <w:r w:rsidRPr="004A1DE8">
        <w:rPr>
          <w:bCs/>
          <w:vertAlign w:val="subscript"/>
        </w:rPr>
        <w:t>p</w:t>
      </w:r>
      <w:r w:rsidRPr="000C257F">
        <w:rPr>
          <w:bCs/>
        </w:rPr>
        <w:t xml:space="preserve"> reach</w:t>
      </w:r>
      <w:r>
        <w:rPr>
          <w:bCs/>
        </w:rPr>
        <w:t>es</w:t>
      </w:r>
      <w:r w:rsidRPr="000C257F">
        <w:rPr>
          <w:bCs/>
        </w:rPr>
        <w:t xml:space="preserve"> </w:t>
      </w:r>
      <w:r>
        <w:rPr>
          <w:bCs/>
        </w:rPr>
        <w:t xml:space="preserve">the </w:t>
      </w:r>
      <w:r w:rsidRPr="000C257F">
        <w:rPr>
          <w:bCs/>
        </w:rPr>
        <w:t>allowable minimum wall thickness</w:t>
      </w:r>
      <w:r>
        <w:rPr>
          <w:bCs/>
        </w:rPr>
        <w:t>, t</w:t>
      </w:r>
      <w:r w:rsidRPr="004C3C6A">
        <w:rPr>
          <w:bCs/>
          <w:vertAlign w:val="subscript"/>
        </w:rPr>
        <w:t>min</w:t>
      </w:r>
      <w:r w:rsidRPr="000C257F">
        <w:rPr>
          <w:bCs/>
        </w:rPr>
        <w:t xml:space="preserve">.  </w:t>
      </w:r>
      <w:r>
        <w:rPr>
          <w:bCs/>
        </w:rPr>
        <w:t xml:space="preserve">ASME </w:t>
      </w:r>
      <w:r w:rsidRPr="000C257F">
        <w:rPr>
          <w:bCs/>
        </w:rPr>
        <w:t>Code Case N</w:t>
      </w:r>
      <w:r>
        <w:rPr>
          <w:bCs/>
        </w:rPr>
        <w:noBreakHyphen/>
      </w:r>
      <w:r w:rsidRPr="000C257F">
        <w:rPr>
          <w:bCs/>
        </w:rPr>
        <w:t>597</w:t>
      </w:r>
      <w:r>
        <w:rPr>
          <w:bCs/>
        </w:rPr>
        <w:noBreakHyphen/>
      </w:r>
      <w:r w:rsidRPr="000C257F">
        <w:rPr>
          <w:bCs/>
        </w:rPr>
        <w:t>3</w:t>
      </w:r>
      <w:r>
        <w:rPr>
          <w:bCs/>
        </w:rPr>
        <w:t xml:space="preserve"> does not address t</w:t>
      </w:r>
      <w:r w:rsidRPr="000C257F">
        <w:rPr>
          <w:bCs/>
        </w:rPr>
        <w:t>he NRC’s reasons for imposing this condition</w:t>
      </w:r>
      <w:r>
        <w:rPr>
          <w:bCs/>
        </w:rPr>
        <w:t xml:space="preserve">; </w:t>
      </w:r>
      <w:r w:rsidRPr="000C257F">
        <w:rPr>
          <w:bCs/>
        </w:rPr>
        <w:t>therefore</w:t>
      </w:r>
      <w:r>
        <w:rPr>
          <w:bCs/>
        </w:rPr>
        <w:t>,</w:t>
      </w:r>
      <w:r w:rsidRPr="000C257F">
        <w:rPr>
          <w:bCs/>
        </w:rPr>
        <w:t xml:space="preserve"> RG 1.147</w:t>
      </w:r>
      <w:r>
        <w:rPr>
          <w:bCs/>
        </w:rPr>
        <w:t>, Revision 19, will retain this condition</w:t>
      </w:r>
      <w:r w:rsidRPr="000C257F">
        <w:rPr>
          <w:bCs/>
        </w:rPr>
        <w:t>.</w:t>
      </w:r>
    </w:p>
    <w:p w14:paraId="2342E439" w14:textId="77777777" w:rsidR="00D53E6F" w:rsidRPr="000C257F" w:rsidRDefault="00D53E6F" w:rsidP="00D53E6F">
      <w:pPr>
        <w:spacing w:line="240" w:lineRule="auto"/>
        <w:rPr>
          <w:bCs/>
        </w:rPr>
      </w:pPr>
    </w:p>
    <w:p w14:paraId="583A255D" w14:textId="77777777" w:rsidR="00D53E6F" w:rsidRDefault="00D53E6F" w:rsidP="00D53E6F">
      <w:pPr>
        <w:spacing w:line="240" w:lineRule="auto"/>
        <w:rPr>
          <w:bCs/>
        </w:rPr>
      </w:pPr>
      <w:r w:rsidRPr="000C257F">
        <w:rPr>
          <w:bCs/>
        </w:rPr>
        <w:t xml:space="preserve">The fourth condition on </w:t>
      </w:r>
      <w:r>
        <w:rPr>
          <w:bCs/>
        </w:rPr>
        <w:t xml:space="preserve">ASME </w:t>
      </w:r>
      <w:r w:rsidRPr="000C257F">
        <w:rPr>
          <w:bCs/>
        </w:rPr>
        <w:t xml:space="preserve">Code Case N-597-3 is updated from the sixth condition on </w:t>
      </w:r>
      <w:r>
        <w:rPr>
          <w:bCs/>
        </w:rPr>
        <w:t xml:space="preserve">ASME </w:t>
      </w:r>
      <w:r w:rsidRPr="000C257F">
        <w:rPr>
          <w:bCs/>
        </w:rPr>
        <w:t>Code Case N</w:t>
      </w:r>
      <w:r>
        <w:rPr>
          <w:bCs/>
        </w:rPr>
        <w:noBreakHyphen/>
      </w:r>
      <w:r w:rsidRPr="000C257F">
        <w:rPr>
          <w:bCs/>
        </w:rPr>
        <w:t>597</w:t>
      </w:r>
      <w:r>
        <w:rPr>
          <w:bCs/>
        </w:rPr>
        <w:noBreakHyphen/>
      </w:r>
      <w:r w:rsidRPr="000C257F">
        <w:rPr>
          <w:bCs/>
        </w:rPr>
        <w:t>2 that was first approved by the NRC in RG 1.147</w:t>
      </w:r>
      <w:r>
        <w:rPr>
          <w:bCs/>
        </w:rPr>
        <w:t>, Revision 17, issued</w:t>
      </w:r>
      <w:r w:rsidRPr="000C257F">
        <w:rPr>
          <w:bCs/>
        </w:rPr>
        <w:t xml:space="preserve"> August</w:t>
      </w:r>
      <w:r>
        <w:rPr>
          <w:bCs/>
        </w:rPr>
        <w:t> </w:t>
      </w:r>
      <w:r w:rsidRPr="000C257F">
        <w:rPr>
          <w:bCs/>
        </w:rPr>
        <w:t xml:space="preserve">2014.  This condition allows the use of </w:t>
      </w:r>
      <w:r>
        <w:rPr>
          <w:bCs/>
        </w:rPr>
        <w:t xml:space="preserve">ASME </w:t>
      </w:r>
      <w:r w:rsidRPr="000C257F">
        <w:rPr>
          <w:bCs/>
        </w:rPr>
        <w:t>Code Case N-597-3 to calculate wall thinning for moderate-energy Class 2 and 3 piping</w:t>
      </w:r>
      <w:r>
        <w:rPr>
          <w:bCs/>
        </w:rPr>
        <w:t xml:space="preserve">, </w:t>
      </w:r>
      <w:r w:rsidRPr="000C257F">
        <w:rPr>
          <w:bCs/>
        </w:rPr>
        <w:t xml:space="preserve">using criteria in </w:t>
      </w:r>
      <w:r>
        <w:rPr>
          <w:bCs/>
        </w:rPr>
        <w:t xml:space="preserve">ASME </w:t>
      </w:r>
      <w:r w:rsidRPr="000C257F">
        <w:rPr>
          <w:bCs/>
        </w:rPr>
        <w:t>Code Case</w:t>
      </w:r>
      <w:r>
        <w:rPr>
          <w:bCs/>
        </w:rPr>
        <w:t> </w:t>
      </w:r>
      <w:r w:rsidRPr="000C257F">
        <w:rPr>
          <w:bCs/>
        </w:rPr>
        <w:t>N</w:t>
      </w:r>
      <w:r>
        <w:rPr>
          <w:bCs/>
        </w:rPr>
        <w:noBreakHyphen/>
      </w:r>
      <w:r w:rsidRPr="000C257F">
        <w:rPr>
          <w:bCs/>
        </w:rPr>
        <w:t>513</w:t>
      </w:r>
      <w:r>
        <w:rPr>
          <w:bCs/>
        </w:rPr>
        <w:noBreakHyphen/>
      </w:r>
      <w:r w:rsidRPr="000C257F">
        <w:rPr>
          <w:bCs/>
        </w:rPr>
        <w:t>2</w:t>
      </w:r>
      <w:r>
        <w:rPr>
          <w:bCs/>
        </w:rPr>
        <w:t>,</w:t>
      </w:r>
      <w:r w:rsidRPr="000C257F">
        <w:rPr>
          <w:bCs/>
        </w:rPr>
        <w:t xml:space="preserve"> for temporary acceptance (</w:t>
      </w:r>
      <w:r>
        <w:rPr>
          <w:bCs/>
        </w:rPr>
        <w:t>i.e., </w:t>
      </w:r>
      <w:r w:rsidRPr="000C257F">
        <w:rPr>
          <w:bCs/>
        </w:rPr>
        <w:t xml:space="preserve">until the next refueling outage).  </w:t>
      </w:r>
      <w:r>
        <w:rPr>
          <w:bCs/>
        </w:rPr>
        <w:t>ASME Code Case N</w:t>
      </w:r>
      <w:r>
        <w:rPr>
          <w:bCs/>
        </w:rPr>
        <w:noBreakHyphen/>
      </w:r>
      <w:r w:rsidRPr="000C257F">
        <w:rPr>
          <w:bCs/>
        </w:rPr>
        <w:t>597</w:t>
      </w:r>
      <w:r>
        <w:rPr>
          <w:bCs/>
        </w:rPr>
        <w:noBreakHyphen/>
      </w:r>
      <w:r w:rsidRPr="000C257F">
        <w:rPr>
          <w:bCs/>
        </w:rPr>
        <w:t>3</w:t>
      </w:r>
      <w:r>
        <w:rPr>
          <w:bCs/>
        </w:rPr>
        <w:t xml:space="preserve"> does not address t</w:t>
      </w:r>
      <w:r w:rsidRPr="000C257F">
        <w:rPr>
          <w:bCs/>
        </w:rPr>
        <w:t>he NRC’s reasons for imposing this condition</w:t>
      </w:r>
      <w:r>
        <w:rPr>
          <w:bCs/>
        </w:rPr>
        <w:t xml:space="preserve">; </w:t>
      </w:r>
      <w:r w:rsidRPr="000C257F">
        <w:rPr>
          <w:bCs/>
        </w:rPr>
        <w:t>therefore</w:t>
      </w:r>
      <w:r>
        <w:rPr>
          <w:bCs/>
        </w:rPr>
        <w:t>,</w:t>
      </w:r>
      <w:r w:rsidRPr="000C257F">
        <w:rPr>
          <w:bCs/>
        </w:rPr>
        <w:t xml:space="preserve"> RG 1.147</w:t>
      </w:r>
      <w:r>
        <w:rPr>
          <w:bCs/>
        </w:rPr>
        <w:t>, Revision 19, will retain this condition</w:t>
      </w:r>
      <w:r w:rsidRPr="000C257F">
        <w:rPr>
          <w:bCs/>
        </w:rPr>
        <w:t>.</w:t>
      </w:r>
    </w:p>
    <w:p w14:paraId="49B845A3" w14:textId="77777777" w:rsidR="00D53E6F" w:rsidRPr="000C257F" w:rsidRDefault="00D53E6F" w:rsidP="00D53E6F">
      <w:pPr>
        <w:spacing w:line="240" w:lineRule="auto"/>
        <w:rPr>
          <w:bCs/>
        </w:rPr>
      </w:pPr>
    </w:p>
    <w:p w14:paraId="3D546AC9" w14:textId="77777777" w:rsidR="00D53E6F" w:rsidRDefault="00D53E6F" w:rsidP="00D53E6F">
      <w:pPr>
        <w:spacing w:line="240" w:lineRule="auto"/>
      </w:pPr>
      <w:r w:rsidRPr="000C257F">
        <w:rPr>
          <w:bCs/>
        </w:rPr>
        <w:t xml:space="preserve">The fifth condition is </w:t>
      </w:r>
      <w:r>
        <w:rPr>
          <w:bCs/>
        </w:rPr>
        <w:t>also an</w:t>
      </w:r>
      <w:r w:rsidRPr="000C257F">
        <w:rPr>
          <w:bCs/>
        </w:rPr>
        <w:t xml:space="preserve"> update from the sixth condition on </w:t>
      </w:r>
      <w:r>
        <w:rPr>
          <w:bCs/>
        </w:rPr>
        <w:t xml:space="preserve">ASME </w:t>
      </w:r>
      <w:r w:rsidRPr="000C257F">
        <w:rPr>
          <w:bCs/>
        </w:rPr>
        <w:t>Code Case N</w:t>
      </w:r>
      <w:r>
        <w:rPr>
          <w:bCs/>
        </w:rPr>
        <w:noBreakHyphen/>
      </w:r>
      <w:r w:rsidRPr="000C257F">
        <w:rPr>
          <w:bCs/>
        </w:rPr>
        <w:t>597</w:t>
      </w:r>
      <w:r>
        <w:rPr>
          <w:bCs/>
        </w:rPr>
        <w:noBreakHyphen/>
      </w:r>
      <w:r w:rsidRPr="000C257F">
        <w:rPr>
          <w:bCs/>
        </w:rPr>
        <w:t>2 that was first approved by the NRC in RG 1.147</w:t>
      </w:r>
      <w:r>
        <w:rPr>
          <w:bCs/>
        </w:rPr>
        <w:t>, Revision 17,</w:t>
      </w:r>
      <w:r w:rsidRPr="000C257F">
        <w:rPr>
          <w:bCs/>
        </w:rPr>
        <w:t xml:space="preserve"> and prohibits the use of this Code Case in evaluating through-wall leakage conditions.  The NRC finds it difficult to authorize the use</w:t>
      </w:r>
      <w:r>
        <w:rPr>
          <w:bCs/>
        </w:rPr>
        <w:t xml:space="preserve"> of</w:t>
      </w:r>
      <w:r w:rsidRPr="000C257F">
        <w:rPr>
          <w:bCs/>
        </w:rPr>
        <w:t xml:space="preserve"> this Code Case for evaluation of through</w:t>
      </w:r>
      <w:r>
        <w:rPr>
          <w:bCs/>
        </w:rPr>
        <w:noBreakHyphen/>
      </w:r>
      <w:r w:rsidRPr="000C257F">
        <w:rPr>
          <w:bCs/>
        </w:rPr>
        <w:t>wall leakage in high</w:t>
      </w:r>
      <w:r>
        <w:rPr>
          <w:bCs/>
        </w:rPr>
        <w:noBreakHyphen/>
      </w:r>
      <w:r w:rsidRPr="000C257F">
        <w:rPr>
          <w:bCs/>
        </w:rPr>
        <w:t>energy piping</w:t>
      </w:r>
      <w:r>
        <w:rPr>
          <w:bCs/>
        </w:rPr>
        <w:t xml:space="preserve"> because of</w:t>
      </w:r>
      <w:r w:rsidRPr="000C257F">
        <w:rPr>
          <w:bCs/>
        </w:rPr>
        <w:t xml:space="preserve"> the consequences and safety implications associated with pipe failure.</w:t>
      </w:r>
    </w:p>
    <w:p w14:paraId="6A91826D" w14:textId="77777777" w:rsidR="00D53E6F" w:rsidRDefault="00D53E6F" w:rsidP="00D53E6F">
      <w:pPr>
        <w:spacing w:line="240" w:lineRule="auto"/>
      </w:pPr>
    </w:p>
    <w:p w14:paraId="6B456E88" w14:textId="77777777" w:rsidR="00D53E6F" w:rsidRDefault="00D53E6F" w:rsidP="00D53E6F">
      <w:pPr>
        <w:spacing w:line="240" w:lineRule="auto"/>
      </w:pPr>
      <w:r>
        <w:t>Because all of the conditions on ASME Code Case N-597-3 are either identical or substantively identical to conditions on ASME Code Case N-597-2, the NRC does not expect industry to incur incremental implementation costs as a result of these conditions.</w:t>
      </w:r>
    </w:p>
    <w:p w14:paraId="61AE3690" w14:textId="77777777" w:rsidR="00D53E6F" w:rsidRDefault="00D53E6F" w:rsidP="00D53E6F">
      <w:pPr>
        <w:spacing w:line="240" w:lineRule="auto"/>
      </w:pPr>
    </w:p>
    <w:p w14:paraId="73702686" w14:textId="77777777" w:rsidR="00D53E6F" w:rsidRDefault="00D53E6F" w:rsidP="00D53E6F">
      <w:pPr>
        <w:pStyle w:val="Heading3"/>
        <w:tabs>
          <w:tab w:val="left" w:pos="720"/>
        </w:tabs>
        <w:spacing w:line="240" w:lineRule="auto"/>
        <w:ind w:left="720" w:hanging="720"/>
      </w:pPr>
      <w:bookmarkStart w:id="135" w:name="_Toc456098238"/>
      <w:bookmarkStart w:id="136" w:name="_Toc12808794"/>
      <w:r>
        <w:t>5.3.4</w:t>
      </w:r>
      <w:r>
        <w:tab/>
      </w:r>
      <w:bookmarkEnd w:id="135"/>
      <w:r w:rsidRPr="00C87607">
        <w:rPr>
          <w:szCs w:val="22"/>
        </w:rPr>
        <w:t xml:space="preserve">Similar and Dissimilar Metal Welding Using </w:t>
      </w:r>
      <w:r>
        <w:rPr>
          <w:szCs w:val="22"/>
        </w:rPr>
        <w:t xml:space="preserve">an </w:t>
      </w:r>
      <w:r w:rsidRPr="00C87607">
        <w:rPr>
          <w:szCs w:val="22"/>
        </w:rPr>
        <w:t xml:space="preserve">Ambient Temperature Machine </w:t>
      </w:r>
      <w:r>
        <w:rPr>
          <w:szCs w:val="22"/>
        </w:rPr>
        <w:t xml:space="preserve">Gas Tungsten Arc Welding </w:t>
      </w:r>
      <w:r w:rsidRPr="00C87607">
        <w:rPr>
          <w:szCs w:val="22"/>
        </w:rPr>
        <w:t xml:space="preserve">Temper Bead Technique for </w:t>
      </w:r>
      <w:r>
        <w:rPr>
          <w:szCs w:val="22"/>
        </w:rPr>
        <w:t>Boiling-Water Reactor</w:t>
      </w:r>
      <w:r w:rsidRPr="00C87607">
        <w:rPr>
          <w:szCs w:val="22"/>
        </w:rPr>
        <w:t xml:space="preserve"> </w:t>
      </w:r>
      <w:r>
        <w:rPr>
          <w:szCs w:val="22"/>
        </w:rPr>
        <w:t>Control Rod Drive</w:t>
      </w:r>
      <w:r w:rsidRPr="00C87607">
        <w:rPr>
          <w:szCs w:val="22"/>
        </w:rPr>
        <w:t xml:space="preserve"> Housing/Stub Tube Repairs</w:t>
      </w:r>
      <w:bookmarkEnd w:id="136"/>
    </w:p>
    <w:p w14:paraId="3082D852" w14:textId="77777777" w:rsidR="00D53E6F" w:rsidRDefault="00D53E6F" w:rsidP="00D53E6F">
      <w:pPr>
        <w:spacing w:line="240" w:lineRule="auto"/>
        <w:rPr>
          <w:rStyle w:val="Emphasis"/>
          <w:i w:val="0"/>
        </w:rPr>
      </w:pPr>
    </w:p>
    <w:p w14:paraId="26B17C29" w14:textId="77777777" w:rsidR="00D53E6F" w:rsidRDefault="00D53E6F" w:rsidP="00D53E6F">
      <w:pPr>
        <w:spacing w:line="240" w:lineRule="auto"/>
      </w:pPr>
      <w:r w:rsidRPr="00765BF5">
        <w:t>The condition on ASME</w:t>
      </w:r>
      <w:r>
        <w:t xml:space="preserve"> </w:t>
      </w:r>
      <w:r w:rsidRPr="001D24C0">
        <w:t xml:space="preserve">Code Case N-606-2 is identical to the condition on </w:t>
      </w:r>
      <w:r>
        <w:t>ASME</w:t>
      </w:r>
      <w:r w:rsidRPr="001D24C0">
        <w:t xml:space="preserve"> Code Case</w:t>
      </w:r>
      <w:r>
        <w:t> </w:t>
      </w:r>
      <w:r w:rsidRPr="001D24C0">
        <w:t>N</w:t>
      </w:r>
      <w:r w:rsidRPr="001D24C0">
        <w:noBreakHyphen/>
        <w:t>606</w:t>
      </w:r>
      <w:r>
        <w:noBreakHyphen/>
      </w:r>
      <w:r w:rsidRPr="001D24C0">
        <w:t>1</w:t>
      </w:r>
      <w:r>
        <w:t>, which</w:t>
      </w:r>
      <w:r w:rsidRPr="001D24C0">
        <w:t xml:space="preserve"> </w:t>
      </w:r>
      <w:r>
        <w:t xml:space="preserve">the NRC </w:t>
      </w:r>
      <w:r w:rsidRPr="001D24C0">
        <w:t>first approved in RG</w:t>
      </w:r>
      <w:r>
        <w:t> </w:t>
      </w:r>
      <w:r w:rsidRPr="001D24C0">
        <w:t>1.147</w:t>
      </w:r>
      <w:r>
        <w:t xml:space="preserve">, </w:t>
      </w:r>
      <w:r w:rsidRPr="001D24C0">
        <w:t>Revision</w:t>
      </w:r>
      <w:r>
        <w:t> </w:t>
      </w:r>
      <w:r w:rsidRPr="001D24C0">
        <w:t>13</w:t>
      </w:r>
      <w:r>
        <w:t>, issued</w:t>
      </w:r>
      <w:r w:rsidRPr="001D24C0">
        <w:t xml:space="preserve"> Jan</w:t>
      </w:r>
      <w:r>
        <w:t>uary 2004 (reprint).  The condition states</w:t>
      </w:r>
      <w:r w:rsidRPr="001D24C0">
        <w:t xml:space="preserve"> </w:t>
      </w:r>
      <w:r>
        <w:t>the following:</w:t>
      </w:r>
    </w:p>
    <w:p w14:paraId="01F4F77B" w14:textId="77777777" w:rsidR="00D53E6F" w:rsidRDefault="00D53E6F" w:rsidP="00D53E6F">
      <w:pPr>
        <w:spacing w:line="240" w:lineRule="auto"/>
      </w:pPr>
    </w:p>
    <w:p w14:paraId="2DC6E135" w14:textId="77777777" w:rsidR="00D53E6F" w:rsidRDefault="00D53E6F" w:rsidP="00D53E6F">
      <w:pPr>
        <w:spacing w:line="240" w:lineRule="auto"/>
        <w:ind w:left="720" w:right="720"/>
      </w:pPr>
      <w:r w:rsidRPr="001D24C0">
        <w:t>Prior to welding, an examination or verification must be performed to ensure proper preparation of the base metal, and that the surface is properly contoured so that an acceptable weld can be produced.  This verification is to be required in the welding procedure.</w:t>
      </w:r>
    </w:p>
    <w:p w14:paraId="41BA7896" w14:textId="77777777" w:rsidR="00D53E6F" w:rsidRDefault="00D53E6F" w:rsidP="00D53E6F">
      <w:pPr>
        <w:spacing w:line="240" w:lineRule="auto"/>
      </w:pPr>
    </w:p>
    <w:p w14:paraId="29B0E42A" w14:textId="77777777" w:rsidR="00D53E6F" w:rsidRDefault="00D53E6F" w:rsidP="00D53E6F">
      <w:pPr>
        <w:spacing w:line="240" w:lineRule="auto"/>
      </w:pPr>
      <w:r>
        <w:t xml:space="preserve">ASME </w:t>
      </w:r>
      <w:r w:rsidRPr="001D24C0">
        <w:t xml:space="preserve">Code </w:t>
      </w:r>
      <w:r>
        <w:t>Case N-</w:t>
      </w:r>
      <w:r w:rsidRPr="001D24C0">
        <w:t>606-2</w:t>
      </w:r>
      <w:r>
        <w:t xml:space="preserve"> does not address t</w:t>
      </w:r>
      <w:r w:rsidRPr="001D24C0">
        <w:t>he reasons for imposing this condition</w:t>
      </w:r>
      <w:r>
        <w:t>;</w:t>
      </w:r>
      <w:r w:rsidRPr="001D24C0">
        <w:t xml:space="preserve"> therefore</w:t>
      </w:r>
      <w:r>
        <w:t>,</w:t>
      </w:r>
      <w:r w:rsidRPr="001D24C0">
        <w:t xml:space="preserve"> RG</w:t>
      </w:r>
      <w:r>
        <w:t> </w:t>
      </w:r>
      <w:r w:rsidRPr="001D24C0">
        <w:t>1.147</w:t>
      </w:r>
      <w:r>
        <w:t xml:space="preserve">, Revision 19, will retain </w:t>
      </w:r>
      <w:r w:rsidRPr="001D24C0">
        <w:t>this condition.</w:t>
      </w:r>
      <w:r>
        <w:t xml:space="preserve">  The NRC does not expect industry to incur</w:t>
      </w:r>
      <w:r w:rsidDel="00F27BF3">
        <w:t xml:space="preserve"> </w:t>
      </w:r>
      <w:r>
        <w:t>incremental implementation costs associated with this identical condition.</w:t>
      </w:r>
    </w:p>
    <w:p w14:paraId="022DF8A7" w14:textId="77777777" w:rsidR="00D53E6F" w:rsidRPr="00A6526B" w:rsidRDefault="00D53E6F" w:rsidP="00D53E6F">
      <w:pPr>
        <w:spacing w:line="240" w:lineRule="auto"/>
      </w:pPr>
    </w:p>
    <w:p w14:paraId="38A8C688" w14:textId="77777777" w:rsidR="00D53E6F" w:rsidRDefault="00D53E6F" w:rsidP="00D53E6F">
      <w:pPr>
        <w:pStyle w:val="Heading3"/>
        <w:spacing w:line="240" w:lineRule="auto"/>
        <w:ind w:left="720" w:hanging="720"/>
      </w:pPr>
      <w:bookmarkStart w:id="137" w:name="_Toc456098239"/>
      <w:bookmarkStart w:id="138" w:name="_Toc12808795"/>
      <w:r>
        <w:t>5.3.5</w:t>
      </w:r>
      <w:r>
        <w:tab/>
      </w:r>
      <w:bookmarkEnd w:id="137"/>
      <w:r w:rsidRPr="0072340A">
        <w:rPr>
          <w:szCs w:val="22"/>
        </w:rPr>
        <w:t xml:space="preserve">Similar and Dissimilar Metal Welding Using </w:t>
      </w:r>
      <w:r>
        <w:rPr>
          <w:szCs w:val="22"/>
        </w:rPr>
        <w:t xml:space="preserve">an </w:t>
      </w:r>
      <w:r w:rsidRPr="0072340A">
        <w:rPr>
          <w:szCs w:val="22"/>
        </w:rPr>
        <w:t xml:space="preserve">Ambient Temperature Machine </w:t>
      </w:r>
      <w:r w:rsidRPr="00534C1D">
        <w:rPr>
          <w:szCs w:val="22"/>
        </w:rPr>
        <w:t>Gas Tungsten Arc Welding</w:t>
      </w:r>
      <w:r w:rsidRPr="0072340A">
        <w:rPr>
          <w:szCs w:val="22"/>
        </w:rPr>
        <w:t xml:space="preserve"> Temper Bead Technique</w:t>
      </w:r>
      <w:bookmarkEnd w:id="138"/>
    </w:p>
    <w:p w14:paraId="3DD51B29" w14:textId="77777777" w:rsidR="00D53E6F" w:rsidRDefault="00D53E6F" w:rsidP="00D53E6F">
      <w:pPr>
        <w:keepNext/>
        <w:spacing w:line="240" w:lineRule="auto"/>
      </w:pPr>
    </w:p>
    <w:p w14:paraId="337FD6E0" w14:textId="77777777" w:rsidR="00D53E6F" w:rsidRDefault="00D53E6F" w:rsidP="00D53E6F">
      <w:pPr>
        <w:spacing w:line="240" w:lineRule="auto"/>
        <w:rPr>
          <w:bCs/>
          <w:iCs/>
        </w:rPr>
      </w:pPr>
      <w:r w:rsidRPr="001D24C0">
        <w:rPr>
          <w:bCs/>
          <w:iCs/>
        </w:rPr>
        <w:t xml:space="preserve">The condition on </w:t>
      </w:r>
      <w:r>
        <w:rPr>
          <w:bCs/>
          <w:iCs/>
        </w:rPr>
        <w:t xml:space="preserve">ASME </w:t>
      </w:r>
      <w:r w:rsidRPr="001D24C0">
        <w:rPr>
          <w:bCs/>
          <w:iCs/>
        </w:rPr>
        <w:t xml:space="preserve">Code Case N-638-7 is identical to the condition on </w:t>
      </w:r>
      <w:r>
        <w:rPr>
          <w:bCs/>
          <w:iCs/>
        </w:rPr>
        <w:t xml:space="preserve">ASME </w:t>
      </w:r>
      <w:r w:rsidRPr="001D24C0">
        <w:rPr>
          <w:bCs/>
          <w:iCs/>
        </w:rPr>
        <w:t>Code Case</w:t>
      </w:r>
      <w:r>
        <w:rPr>
          <w:bCs/>
          <w:iCs/>
        </w:rPr>
        <w:t> </w:t>
      </w:r>
      <w:r w:rsidRPr="001D24C0">
        <w:rPr>
          <w:bCs/>
          <w:iCs/>
        </w:rPr>
        <w:t>N</w:t>
      </w:r>
      <w:r w:rsidRPr="001D24C0">
        <w:rPr>
          <w:bCs/>
          <w:iCs/>
        </w:rPr>
        <w:noBreakHyphen/>
        <w:t>638</w:t>
      </w:r>
      <w:r>
        <w:rPr>
          <w:bCs/>
          <w:iCs/>
        </w:rPr>
        <w:noBreakHyphen/>
      </w:r>
      <w:r w:rsidRPr="001D24C0">
        <w:rPr>
          <w:bCs/>
          <w:iCs/>
        </w:rPr>
        <w:t>6</w:t>
      </w:r>
      <w:r>
        <w:rPr>
          <w:bCs/>
          <w:iCs/>
        </w:rPr>
        <w:t>, which</w:t>
      </w:r>
      <w:r w:rsidRPr="001D24C0">
        <w:rPr>
          <w:bCs/>
          <w:iCs/>
        </w:rPr>
        <w:t xml:space="preserve"> the NRC first approved in </w:t>
      </w:r>
      <w:r>
        <w:rPr>
          <w:bCs/>
          <w:iCs/>
        </w:rPr>
        <w:t xml:space="preserve">the final rule for </w:t>
      </w:r>
      <w:r w:rsidRPr="001D24C0">
        <w:rPr>
          <w:bCs/>
          <w:iCs/>
        </w:rPr>
        <w:t>RG 1.147</w:t>
      </w:r>
      <w:r>
        <w:rPr>
          <w:bCs/>
          <w:iCs/>
        </w:rPr>
        <w:t>, Revision 18</w:t>
      </w:r>
      <w:r w:rsidRPr="001D24C0">
        <w:rPr>
          <w:bCs/>
          <w:iCs/>
        </w:rPr>
        <w:t xml:space="preserve"> </w:t>
      </w:r>
      <w:r>
        <w:rPr>
          <w:bCs/>
          <w:iCs/>
        </w:rPr>
        <w:t>(NRC 2017e).  The condition</w:t>
      </w:r>
      <w:r w:rsidRPr="001D24C0">
        <w:rPr>
          <w:bCs/>
          <w:iCs/>
        </w:rPr>
        <w:t xml:space="preserve"> states</w:t>
      </w:r>
      <w:r>
        <w:rPr>
          <w:bCs/>
          <w:iCs/>
        </w:rPr>
        <w:t xml:space="preserve"> the following:</w:t>
      </w:r>
    </w:p>
    <w:p w14:paraId="4A632731" w14:textId="77777777" w:rsidR="00D53E6F" w:rsidRDefault="00D53E6F" w:rsidP="00D53E6F">
      <w:pPr>
        <w:spacing w:line="240" w:lineRule="auto"/>
        <w:rPr>
          <w:bCs/>
          <w:iCs/>
        </w:rPr>
      </w:pPr>
    </w:p>
    <w:p w14:paraId="58E35825" w14:textId="77777777" w:rsidR="00D53E6F" w:rsidRDefault="00D53E6F" w:rsidP="00D53E6F">
      <w:pPr>
        <w:spacing w:line="240" w:lineRule="auto"/>
        <w:ind w:left="720" w:right="720"/>
        <w:rPr>
          <w:bCs/>
          <w:iCs/>
        </w:rPr>
      </w:pPr>
      <w:r w:rsidRPr="001D24C0">
        <w:rPr>
          <w:bCs/>
          <w:iCs/>
        </w:rPr>
        <w:t>Demonstration for ultrasonic examination of the repaired volume is required using representative samples which contain construction type flaws.</w:t>
      </w:r>
    </w:p>
    <w:p w14:paraId="24B95903" w14:textId="77777777" w:rsidR="00D53E6F" w:rsidRDefault="00D53E6F" w:rsidP="00D53E6F">
      <w:pPr>
        <w:spacing w:line="240" w:lineRule="auto"/>
        <w:rPr>
          <w:bCs/>
          <w:iCs/>
        </w:rPr>
      </w:pPr>
    </w:p>
    <w:p w14:paraId="75988C32" w14:textId="77777777" w:rsidR="00D53E6F" w:rsidRDefault="00D53E6F" w:rsidP="00D53E6F">
      <w:pPr>
        <w:spacing w:line="240" w:lineRule="auto"/>
      </w:pPr>
      <w:r>
        <w:rPr>
          <w:iCs/>
        </w:rPr>
        <w:t xml:space="preserve">ASME </w:t>
      </w:r>
      <w:r w:rsidRPr="001D24C0">
        <w:rPr>
          <w:bCs/>
          <w:iCs/>
        </w:rPr>
        <w:t>Code Case</w:t>
      </w:r>
      <w:r>
        <w:rPr>
          <w:bCs/>
          <w:iCs/>
        </w:rPr>
        <w:t> </w:t>
      </w:r>
      <w:r w:rsidRPr="001D24C0">
        <w:rPr>
          <w:bCs/>
          <w:iCs/>
        </w:rPr>
        <w:t>N</w:t>
      </w:r>
      <w:r>
        <w:rPr>
          <w:bCs/>
          <w:iCs/>
        </w:rPr>
        <w:noBreakHyphen/>
      </w:r>
      <w:r w:rsidRPr="001D24C0">
        <w:rPr>
          <w:bCs/>
          <w:iCs/>
        </w:rPr>
        <w:t>638</w:t>
      </w:r>
      <w:r>
        <w:rPr>
          <w:bCs/>
          <w:iCs/>
        </w:rPr>
        <w:noBreakHyphen/>
      </w:r>
      <w:r w:rsidRPr="001D24C0">
        <w:rPr>
          <w:bCs/>
          <w:iCs/>
        </w:rPr>
        <w:t>7</w:t>
      </w:r>
      <w:r>
        <w:rPr>
          <w:bCs/>
          <w:iCs/>
        </w:rPr>
        <w:t xml:space="preserve"> does not address t</w:t>
      </w:r>
      <w:r w:rsidRPr="001D24C0">
        <w:rPr>
          <w:bCs/>
          <w:iCs/>
        </w:rPr>
        <w:t>he reasons for imposing this condition</w:t>
      </w:r>
      <w:r>
        <w:rPr>
          <w:bCs/>
          <w:iCs/>
        </w:rPr>
        <w:t>;</w:t>
      </w:r>
      <w:r w:rsidRPr="001D24C0">
        <w:rPr>
          <w:bCs/>
          <w:iCs/>
        </w:rPr>
        <w:t xml:space="preserve"> therefore</w:t>
      </w:r>
      <w:r>
        <w:rPr>
          <w:bCs/>
          <w:iCs/>
        </w:rPr>
        <w:t>,</w:t>
      </w:r>
      <w:r w:rsidRPr="001D24C0">
        <w:rPr>
          <w:bCs/>
          <w:iCs/>
        </w:rPr>
        <w:t xml:space="preserve"> RG</w:t>
      </w:r>
      <w:r>
        <w:rPr>
          <w:bCs/>
          <w:iCs/>
        </w:rPr>
        <w:t> </w:t>
      </w:r>
      <w:r w:rsidRPr="001D24C0">
        <w:rPr>
          <w:bCs/>
          <w:iCs/>
        </w:rPr>
        <w:t>1.147</w:t>
      </w:r>
      <w:r>
        <w:rPr>
          <w:bCs/>
          <w:iCs/>
        </w:rPr>
        <w:t xml:space="preserve">, Revision 19, will retain </w:t>
      </w:r>
      <w:r w:rsidRPr="001D24C0">
        <w:rPr>
          <w:bCs/>
          <w:iCs/>
        </w:rPr>
        <w:t>this condition.</w:t>
      </w:r>
      <w:r>
        <w:rPr>
          <w:bCs/>
          <w:iCs/>
        </w:rPr>
        <w:t xml:space="preserve">  </w:t>
      </w:r>
      <w:r>
        <w:t>The NRC does not expect industry to incur incremental implementation costs associated with this identical condition.</w:t>
      </w:r>
    </w:p>
    <w:p w14:paraId="78475EA2" w14:textId="77777777" w:rsidR="00D53E6F" w:rsidRPr="00500171" w:rsidRDefault="00D53E6F" w:rsidP="00D53E6F">
      <w:pPr>
        <w:spacing w:line="240" w:lineRule="auto"/>
      </w:pPr>
    </w:p>
    <w:p w14:paraId="65067272" w14:textId="77777777" w:rsidR="00D53E6F" w:rsidRDefault="00D53E6F" w:rsidP="00D53E6F">
      <w:pPr>
        <w:pStyle w:val="Heading3"/>
        <w:tabs>
          <w:tab w:val="left" w:pos="720"/>
        </w:tabs>
        <w:spacing w:line="240" w:lineRule="auto"/>
        <w:ind w:left="720" w:hanging="720"/>
      </w:pPr>
      <w:bookmarkStart w:id="139" w:name="_Toc456098240"/>
      <w:bookmarkStart w:id="140" w:name="_Toc12808796"/>
      <w:r>
        <w:t>5.3.6</w:t>
      </w:r>
      <w:r>
        <w:tab/>
      </w:r>
      <w:bookmarkEnd w:id="139"/>
      <w:r w:rsidRPr="0072340A">
        <w:rPr>
          <w:szCs w:val="22"/>
        </w:rPr>
        <w:t>Alternative Requirements for Inner Radius Examinations of Class 1 Reactor Vessel Nozzles</w:t>
      </w:r>
      <w:r>
        <w:rPr>
          <w:szCs w:val="22"/>
        </w:rPr>
        <w:t>,</w:t>
      </w:r>
      <w:r w:rsidRPr="0072340A">
        <w:rPr>
          <w:szCs w:val="22"/>
        </w:rPr>
        <w:t xml:space="preserve"> Section XI</w:t>
      </w:r>
      <w:bookmarkEnd w:id="140"/>
    </w:p>
    <w:p w14:paraId="43617A85" w14:textId="77777777" w:rsidR="00D53E6F" w:rsidRDefault="00D53E6F" w:rsidP="00D53E6F">
      <w:pPr>
        <w:keepNext/>
        <w:spacing w:line="240" w:lineRule="auto"/>
      </w:pPr>
    </w:p>
    <w:p w14:paraId="0DA62ADE" w14:textId="77777777" w:rsidR="00D53E6F" w:rsidRPr="001D24C0" w:rsidRDefault="00D53E6F" w:rsidP="00D53E6F">
      <w:pPr>
        <w:spacing w:line="240" w:lineRule="auto"/>
        <w:rPr>
          <w:bCs/>
        </w:rPr>
      </w:pPr>
      <w:r w:rsidRPr="004A7B9C">
        <w:rPr>
          <w:bCs/>
        </w:rPr>
        <w:t>The NRC is imposing one condition for ASME Code Case N-648-2, which is related to</w:t>
      </w:r>
      <w:r w:rsidRPr="001D24C0">
        <w:rPr>
          <w:bCs/>
        </w:rPr>
        <w:t xml:space="preserve"> preservice inspections.  </w:t>
      </w:r>
      <w:r>
        <w:rPr>
          <w:bCs/>
        </w:rPr>
        <w:t xml:space="preserve">ASME </w:t>
      </w:r>
      <w:r w:rsidRPr="001D24C0">
        <w:rPr>
          <w:bCs/>
        </w:rPr>
        <w:t>Code Case</w:t>
      </w:r>
      <w:r w:rsidRPr="004A7B9C">
        <w:rPr>
          <w:bCs/>
        </w:rPr>
        <w:t xml:space="preserve"> </w:t>
      </w:r>
      <w:r w:rsidRPr="001D24C0">
        <w:rPr>
          <w:bCs/>
        </w:rPr>
        <w:t xml:space="preserve">N-648-2 </w:t>
      </w:r>
      <w:r w:rsidRPr="001D24C0">
        <w:rPr>
          <w:bCs/>
          <w:iCs/>
        </w:rPr>
        <w:t xml:space="preserve">shall not be used to eliminate the preservice or inservice volumetric examination of plants with a </w:t>
      </w:r>
      <w:r>
        <w:rPr>
          <w:bCs/>
          <w:iCs/>
        </w:rPr>
        <w:t>c</w:t>
      </w:r>
      <w:r w:rsidRPr="001D24C0">
        <w:rPr>
          <w:bCs/>
          <w:iCs/>
        </w:rPr>
        <w:t xml:space="preserve">ombined </w:t>
      </w:r>
      <w:r>
        <w:rPr>
          <w:bCs/>
          <w:iCs/>
        </w:rPr>
        <w:t>l</w:t>
      </w:r>
      <w:r w:rsidRPr="001D24C0">
        <w:rPr>
          <w:bCs/>
          <w:iCs/>
        </w:rPr>
        <w:t xml:space="preserve">icense </w:t>
      </w:r>
      <w:r>
        <w:rPr>
          <w:bCs/>
          <w:iCs/>
        </w:rPr>
        <w:t>under</w:t>
      </w:r>
      <w:r w:rsidRPr="001D24C0">
        <w:rPr>
          <w:bCs/>
          <w:iCs/>
        </w:rPr>
        <w:t xml:space="preserve"> 10</w:t>
      </w:r>
      <w:r>
        <w:rPr>
          <w:bCs/>
          <w:iCs/>
        </w:rPr>
        <w:t> </w:t>
      </w:r>
      <w:r w:rsidRPr="001D24C0">
        <w:rPr>
          <w:bCs/>
          <w:iCs/>
        </w:rPr>
        <w:t>CFR</w:t>
      </w:r>
      <w:r>
        <w:rPr>
          <w:bCs/>
          <w:iCs/>
        </w:rPr>
        <w:t> </w:t>
      </w:r>
      <w:r w:rsidRPr="001D24C0">
        <w:rPr>
          <w:bCs/>
          <w:iCs/>
        </w:rPr>
        <w:t>Part</w:t>
      </w:r>
      <w:r>
        <w:rPr>
          <w:bCs/>
          <w:iCs/>
        </w:rPr>
        <w:t> </w:t>
      </w:r>
      <w:r w:rsidRPr="001D24C0">
        <w:rPr>
          <w:bCs/>
          <w:iCs/>
        </w:rPr>
        <w:t xml:space="preserve">52, </w:t>
      </w:r>
      <w:r>
        <w:rPr>
          <w:bCs/>
          <w:iCs/>
        </w:rPr>
        <w:t>“</w:t>
      </w:r>
      <w:r w:rsidRPr="006D63B2">
        <w:rPr>
          <w:bCs/>
          <w:iCs/>
          <w:lang w:val="en"/>
        </w:rPr>
        <w:t xml:space="preserve">Licenses, Certifications, </w:t>
      </w:r>
      <w:r>
        <w:rPr>
          <w:bCs/>
          <w:iCs/>
          <w:lang w:val="en"/>
        </w:rPr>
        <w:t>a</w:t>
      </w:r>
      <w:r w:rsidRPr="006D63B2">
        <w:rPr>
          <w:bCs/>
          <w:iCs/>
          <w:lang w:val="en"/>
        </w:rPr>
        <w:t xml:space="preserve">nd Approvals </w:t>
      </w:r>
      <w:r>
        <w:rPr>
          <w:bCs/>
          <w:iCs/>
          <w:lang w:val="en"/>
        </w:rPr>
        <w:t>f</w:t>
      </w:r>
      <w:r w:rsidRPr="006D63B2">
        <w:rPr>
          <w:bCs/>
          <w:iCs/>
          <w:lang w:val="en"/>
        </w:rPr>
        <w:t>or Nuclear Power Plants</w:t>
      </w:r>
      <w:r>
        <w:rPr>
          <w:bCs/>
          <w:iCs/>
          <w:lang w:val="en"/>
        </w:rPr>
        <w:t>,”</w:t>
      </w:r>
      <w:r w:rsidRPr="006D63B2">
        <w:rPr>
          <w:bCs/>
          <w:iCs/>
        </w:rPr>
        <w:t xml:space="preserve"> </w:t>
      </w:r>
      <w:r w:rsidRPr="001D24C0">
        <w:rPr>
          <w:bCs/>
          <w:iCs/>
        </w:rPr>
        <w:t>or a plant that receive</w:t>
      </w:r>
      <w:r>
        <w:rPr>
          <w:bCs/>
          <w:iCs/>
        </w:rPr>
        <w:t>d</w:t>
      </w:r>
      <w:r w:rsidRPr="001D24C0">
        <w:rPr>
          <w:bCs/>
          <w:iCs/>
        </w:rPr>
        <w:t xml:space="preserve"> its operating license after October</w:t>
      </w:r>
      <w:r>
        <w:rPr>
          <w:bCs/>
          <w:iCs/>
        </w:rPr>
        <w:t> </w:t>
      </w:r>
      <w:r w:rsidRPr="001D24C0">
        <w:rPr>
          <w:bCs/>
          <w:iCs/>
        </w:rPr>
        <w:t>22,</w:t>
      </w:r>
      <w:r>
        <w:rPr>
          <w:bCs/>
          <w:iCs/>
        </w:rPr>
        <w:t> </w:t>
      </w:r>
      <w:r w:rsidRPr="001D24C0">
        <w:rPr>
          <w:bCs/>
          <w:iCs/>
        </w:rPr>
        <w:t>2015.</w:t>
      </w:r>
    </w:p>
    <w:p w14:paraId="3AC7455D" w14:textId="77777777" w:rsidR="00D53E6F" w:rsidRDefault="00D53E6F" w:rsidP="00D53E6F">
      <w:pPr>
        <w:spacing w:line="240" w:lineRule="auto"/>
        <w:rPr>
          <w:bCs/>
        </w:rPr>
      </w:pPr>
    </w:p>
    <w:p w14:paraId="09BCDBE7" w14:textId="3C481CD6" w:rsidR="00D53E6F" w:rsidRDefault="00173B30" w:rsidP="00D53E6F">
      <w:pPr>
        <w:spacing w:line="240" w:lineRule="auto"/>
        <w:rPr>
          <w:bCs/>
        </w:rPr>
      </w:pPr>
      <w:r>
        <w:rPr>
          <w:bCs/>
        </w:rPr>
        <w:t>The NRC</w:t>
      </w:r>
      <w:r w:rsidR="00D53E6F">
        <w:rPr>
          <w:bCs/>
        </w:rPr>
        <w:t>’s</w:t>
      </w:r>
      <w:r w:rsidR="00D53E6F" w:rsidRPr="006F21E2">
        <w:rPr>
          <w:bCs/>
        </w:rPr>
        <w:t xml:space="preserve"> position on</w:t>
      </w:r>
      <w:r w:rsidR="00D53E6F" w:rsidRPr="00374797">
        <w:rPr>
          <w:bCs/>
        </w:rPr>
        <w:t xml:space="preserve"> </w:t>
      </w:r>
      <w:r w:rsidR="00D53E6F">
        <w:rPr>
          <w:bCs/>
        </w:rPr>
        <w:t xml:space="preserve">ASME </w:t>
      </w:r>
      <w:r w:rsidR="00D53E6F" w:rsidRPr="001D24C0">
        <w:rPr>
          <w:bCs/>
        </w:rPr>
        <w:t xml:space="preserve">Code Case </w:t>
      </w:r>
      <w:r w:rsidR="00D53E6F">
        <w:t xml:space="preserve">N-648-2 </w:t>
      </w:r>
      <w:r w:rsidR="00D53E6F" w:rsidRPr="001D24C0">
        <w:rPr>
          <w:bCs/>
        </w:rPr>
        <w:t xml:space="preserve">is that the required preservice volumetric examinations should be performed on all vessel nozzles for comparison with </w:t>
      </w:r>
      <w:r w:rsidR="00D53E6F">
        <w:rPr>
          <w:bCs/>
        </w:rPr>
        <w:t xml:space="preserve">later </w:t>
      </w:r>
      <w:r w:rsidR="00D53E6F" w:rsidRPr="001D24C0">
        <w:rPr>
          <w:bCs/>
        </w:rPr>
        <w:t xml:space="preserve">volumetric examinations </w:t>
      </w:r>
      <w:r w:rsidR="00D53E6F">
        <w:rPr>
          <w:bCs/>
        </w:rPr>
        <w:t>if</w:t>
      </w:r>
      <w:r w:rsidR="00D53E6F" w:rsidRPr="001D24C0">
        <w:rPr>
          <w:bCs/>
        </w:rPr>
        <w:t xml:space="preserve"> indications </w:t>
      </w:r>
      <w:r w:rsidR="00D53E6F">
        <w:rPr>
          <w:bCs/>
        </w:rPr>
        <w:t>are</w:t>
      </w:r>
      <w:r w:rsidR="00D53E6F" w:rsidRPr="001D24C0">
        <w:rPr>
          <w:bCs/>
        </w:rPr>
        <w:t xml:space="preserve"> found.  </w:t>
      </w:r>
      <w:r w:rsidR="00D53E6F" w:rsidRPr="001D24C0">
        <w:t xml:space="preserve">Eliminating the volumetric preservice or inservice examination is </w:t>
      </w:r>
      <w:r w:rsidR="00D53E6F">
        <w:t>based</w:t>
      </w:r>
      <w:r w:rsidR="00D53E6F" w:rsidRPr="001D24C0">
        <w:t xml:space="preserve"> on </w:t>
      </w:r>
      <w:r w:rsidR="00D53E6F">
        <w:t xml:space="preserve">the </w:t>
      </w:r>
      <w:r w:rsidR="00D53E6F" w:rsidRPr="001D24C0">
        <w:t xml:space="preserve">good operating experience </w:t>
      </w:r>
      <w:r w:rsidR="00D53E6F">
        <w:t>of</w:t>
      </w:r>
      <w:r w:rsidR="00D53E6F" w:rsidRPr="001D24C0">
        <w:t xml:space="preserve"> </w:t>
      </w:r>
      <w:r w:rsidR="00D53E6F">
        <w:t xml:space="preserve">the </w:t>
      </w:r>
      <w:r w:rsidR="00D53E6F" w:rsidRPr="001D24C0">
        <w:t>existing fleet, which has not found any inner radius cracking in the nozzles within</w:t>
      </w:r>
      <w:r w:rsidR="00D53E6F">
        <w:t xml:space="preserve"> the</w:t>
      </w:r>
      <w:r w:rsidR="00D53E6F" w:rsidRPr="001D24C0">
        <w:t xml:space="preserve"> scope of the </w:t>
      </w:r>
      <w:r w:rsidR="00D53E6F">
        <w:t>Code Case</w:t>
      </w:r>
      <w:r w:rsidR="00D53E6F" w:rsidRPr="001D24C0">
        <w:t xml:space="preserve">.  </w:t>
      </w:r>
      <w:r w:rsidR="00D53E6F" w:rsidRPr="001D24C0">
        <w:rPr>
          <w:bCs/>
        </w:rPr>
        <w:t xml:space="preserve">At this time, the new reactor designs have no inspection history or operating experience available to support eliminating the periodic volumetric examination of the nozzles in question.  </w:t>
      </w:r>
      <w:r w:rsidR="00D53E6F">
        <w:rPr>
          <w:bCs/>
        </w:rPr>
        <w:t>The u</w:t>
      </w:r>
      <w:r w:rsidR="00D53E6F" w:rsidRPr="001D24C0">
        <w:rPr>
          <w:bCs/>
        </w:rPr>
        <w:t xml:space="preserve">se of </w:t>
      </w:r>
      <w:r w:rsidR="00D53E6F">
        <w:rPr>
          <w:bCs/>
        </w:rPr>
        <w:t xml:space="preserve">ASME </w:t>
      </w:r>
      <w:r w:rsidR="00D53E6F" w:rsidRPr="001D24C0">
        <w:rPr>
          <w:bCs/>
        </w:rPr>
        <w:t>Code Case N</w:t>
      </w:r>
      <w:r w:rsidR="00D53E6F">
        <w:rPr>
          <w:bCs/>
        </w:rPr>
        <w:noBreakHyphen/>
      </w:r>
      <w:r w:rsidR="00D53E6F" w:rsidRPr="001D24C0">
        <w:rPr>
          <w:bCs/>
        </w:rPr>
        <w:t>648</w:t>
      </w:r>
      <w:r w:rsidR="00D53E6F">
        <w:rPr>
          <w:bCs/>
        </w:rPr>
        <w:noBreakHyphen/>
      </w:r>
      <w:r w:rsidR="00D53E6F" w:rsidRPr="001D24C0">
        <w:rPr>
          <w:bCs/>
        </w:rPr>
        <w:t xml:space="preserve">2 would not eliminate preservice examinations for the existing fleet </w:t>
      </w:r>
      <w:r w:rsidR="00D53E6F">
        <w:rPr>
          <w:bCs/>
        </w:rPr>
        <w:t>because</w:t>
      </w:r>
      <w:r w:rsidR="00D53E6F" w:rsidRPr="001D24C0">
        <w:rPr>
          <w:bCs/>
        </w:rPr>
        <w:t xml:space="preserve"> all plants have already completed a preservice examination.</w:t>
      </w:r>
    </w:p>
    <w:p w14:paraId="2D4CDB9A" w14:textId="77777777" w:rsidR="00D53E6F" w:rsidRDefault="00D53E6F" w:rsidP="00D53E6F">
      <w:pPr>
        <w:spacing w:line="240" w:lineRule="auto"/>
        <w:rPr>
          <w:bCs/>
        </w:rPr>
      </w:pPr>
    </w:p>
    <w:p w14:paraId="78915CA3" w14:textId="77777777" w:rsidR="00D53E6F" w:rsidRDefault="00D53E6F" w:rsidP="00D53E6F">
      <w:pPr>
        <w:spacing w:line="240" w:lineRule="auto"/>
      </w:pPr>
      <w:r>
        <w:t xml:space="preserve">A condition on </w:t>
      </w:r>
      <w:r>
        <w:rPr>
          <w:bCs/>
        </w:rPr>
        <w:t xml:space="preserve">ASME </w:t>
      </w:r>
      <w:r w:rsidRPr="001D24C0">
        <w:rPr>
          <w:bCs/>
        </w:rPr>
        <w:t xml:space="preserve">Code Case </w:t>
      </w:r>
      <w:r>
        <w:t>N-648-1 already prohibits preservice examinations.  The NRC does not expect industry to incur incremental implementation costs associated with this condition; however, the agency does expect industry to incur incremental operation costs for this condition, as discussed in Section 5.4.6.</w:t>
      </w:r>
    </w:p>
    <w:p w14:paraId="7B9BD42B" w14:textId="77777777" w:rsidR="00D53E6F" w:rsidRPr="00500171" w:rsidRDefault="00D53E6F" w:rsidP="00D53E6F">
      <w:pPr>
        <w:spacing w:line="240" w:lineRule="auto"/>
      </w:pPr>
    </w:p>
    <w:p w14:paraId="242778AC" w14:textId="77777777" w:rsidR="00D53E6F" w:rsidRDefault="00D53E6F" w:rsidP="00D53E6F">
      <w:pPr>
        <w:pStyle w:val="Heading3"/>
        <w:spacing w:line="240" w:lineRule="auto"/>
        <w:ind w:left="720" w:hanging="720"/>
      </w:pPr>
      <w:bookmarkStart w:id="141" w:name="_Toc456098241"/>
      <w:bookmarkStart w:id="142" w:name="_Toc12808797"/>
      <w:r>
        <w:t>5.3.7</w:t>
      </w:r>
      <w:r>
        <w:tab/>
      </w:r>
      <w:bookmarkEnd w:id="141"/>
      <w:r w:rsidRPr="001D24C0">
        <w:rPr>
          <w:szCs w:val="22"/>
        </w:rPr>
        <w:t xml:space="preserve">Qualification Requirements for </w:t>
      </w:r>
      <w:r>
        <w:rPr>
          <w:szCs w:val="22"/>
        </w:rPr>
        <w:t>Dissimilar Metal Piping Welds</w:t>
      </w:r>
      <w:bookmarkEnd w:id="142"/>
    </w:p>
    <w:p w14:paraId="194D2C7D" w14:textId="77777777" w:rsidR="00D53E6F" w:rsidRDefault="00D53E6F" w:rsidP="00D53E6F">
      <w:pPr>
        <w:spacing w:line="240" w:lineRule="auto"/>
      </w:pPr>
    </w:p>
    <w:p w14:paraId="40B06E42" w14:textId="3586FF3B" w:rsidR="00D53E6F" w:rsidRDefault="00D53E6F" w:rsidP="00D53E6F">
      <w:pPr>
        <w:spacing w:line="240" w:lineRule="auto"/>
      </w:pPr>
      <w:r>
        <w:t xml:space="preserve">ASME </w:t>
      </w:r>
      <w:r w:rsidRPr="001D24C0">
        <w:t xml:space="preserve">Code Case N-695-1 provides alternative rules for ultrasonic inspections of dissimilar metal welds </w:t>
      </w:r>
      <w:r>
        <w:t xml:space="preserve">(DMWs) </w:t>
      </w:r>
      <w:r w:rsidRPr="001D24C0">
        <w:t xml:space="preserve">from the inner and outer surfaces.  </w:t>
      </w:r>
      <w:r>
        <w:t xml:space="preserve">ASME developed </w:t>
      </w:r>
      <w:r w:rsidRPr="001D24C0">
        <w:t>Code Case</w:t>
      </w:r>
      <w:r>
        <w:t> </w:t>
      </w:r>
      <w:r w:rsidRPr="001D24C0">
        <w:t>N</w:t>
      </w:r>
      <w:r>
        <w:noBreakHyphen/>
      </w:r>
      <w:r w:rsidRPr="001D24C0">
        <w:t xml:space="preserve">695 </w:t>
      </w:r>
      <w:r>
        <w:t xml:space="preserve">in </w:t>
      </w:r>
      <w:r w:rsidRPr="001D24C0">
        <w:t xml:space="preserve">ASME </w:t>
      </w:r>
      <w:r>
        <w:t xml:space="preserve">BPV </w:t>
      </w:r>
      <w:r w:rsidRPr="001D24C0">
        <w:t>Code</w:t>
      </w:r>
      <w:r>
        <w:t>,</w:t>
      </w:r>
      <w:r w:rsidRPr="001D24C0">
        <w:t xml:space="preserve"> Section</w:t>
      </w:r>
      <w:r>
        <w:t> </w:t>
      </w:r>
      <w:r w:rsidRPr="001D24C0">
        <w:t>XI</w:t>
      </w:r>
      <w:r>
        <w:t>,</w:t>
      </w:r>
      <w:r w:rsidRPr="001D24C0">
        <w:t xml:space="preserve"> editions </w:t>
      </w:r>
      <w:r>
        <w:t>before</w:t>
      </w:r>
      <w:r w:rsidRPr="001D24C0">
        <w:t xml:space="preserve"> 2007</w:t>
      </w:r>
      <w:r>
        <w:t xml:space="preserve"> </w:t>
      </w:r>
      <w:r w:rsidRPr="001D24C0">
        <w:t xml:space="preserve">to allow for inspections from the inner surface.  </w:t>
      </w:r>
      <w:r>
        <w:t>However, n</w:t>
      </w:r>
      <w:r w:rsidRPr="001D24C0">
        <w:t>o inspection vendor was able to meet the depth</w:t>
      </w:r>
      <w:r>
        <w:noBreakHyphen/>
      </w:r>
      <w:r w:rsidRPr="001D24C0">
        <w:t xml:space="preserve">sizing requirements of </w:t>
      </w:r>
      <w:r>
        <w:t xml:space="preserve">the </w:t>
      </w:r>
      <w:r w:rsidRPr="001D24C0">
        <w:t>0</w:t>
      </w:r>
      <w:r>
        <w:t>.125</w:t>
      </w:r>
      <w:r>
        <w:noBreakHyphen/>
        <w:t>inch root mean square (RMS)</w:t>
      </w:r>
      <w:r w:rsidRPr="001D24C0">
        <w:t xml:space="preserve"> error.  The NRC ha</w:t>
      </w:r>
      <w:r>
        <w:t>s</w:t>
      </w:r>
      <w:r w:rsidRPr="001D24C0">
        <w:t xml:space="preserve"> granted relief to several licensees to allow the use of alternate depth</w:t>
      </w:r>
      <w:r>
        <w:noBreakHyphen/>
      </w:r>
      <w:r w:rsidRPr="001D24C0">
        <w:t>sizing requirements.  The NRC reviewed the depth</w:t>
      </w:r>
      <w:r>
        <w:noBreakHyphen/>
      </w:r>
      <w:r w:rsidRPr="001D24C0">
        <w:t xml:space="preserve">sizing results at </w:t>
      </w:r>
      <w:r>
        <w:t>EPRI’s</w:t>
      </w:r>
      <w:r w:rsidRPr="001D24C0">
        <w:t xml:space="preserve"> Performan</w:t>
      </w:r>
      <w:r>
        <w:t>ce Demonstration Initiative</w:t>
      </w:r>
      <w:r w:rsidRPr="001D24C0">
        <w:t xml:space="preserve"> for procedures </w:t>
      </w:r>
      <w:r>
        <w:t>that can</w:t>
      </w:r>
      <w:r w:rsidRPr="001D24C0">
        <w:t xml:space="preserve"> achieve </w:t>
      </w:r>
      <w:r>
        <w:t>an RMS</w:t>
      </w:r>
      <w:r w:rsidRPr="001D24C0">
        <w:t xml:space="preserve"> error over 0.125</w:t>
      </w:r>
      <w:r>
        <w:t> </w:t>
      </w:r>
      <w:r w:rsidRPr="001D24C0">
        <w:t>inch but less than 0.25</w:t>
      </w:r>
      <w:r>
        <w:t> </w:t>
      </w:r>
      <w:r w:rsidRPr="001D24C0">
        <w:t>inch.  The review found that the inspectors tend to oversize small flaws and undersize deep flaws.  The flaws sized by the inspectors as 50</w:t>
      </w:r>
      <w:r>
        <w:noBreakHyphen/>
      </w:r>
      <w:r w:rsidRPr="001D24C0">
        <w:t>percent though</w:t>
      </w:r>
      <w:r>
        <w:noBreakHyphen/>
      </w:r>
      <w:r w:rsidRPr="001D24C0">
        <w:t xml:space="preserve">wall or less were accurately or conservatively measured.  </w:t>
      </w:r>
      <w:r>
        <w:t>H</w:t>
      </w:r>
      <w:r w:rsidRPr="001D24C0">
        <w:t xml:space="preserve">owever, </w:t>
      </w:r>
      <w:r>
        <w:t xml:space="preserve">in </w:t>
      </w:r>
      <w:r w:rsidRPr="001D24C0">
        <w:t>some instances</w:t>
      </w:r>
      <w:r>
        <w:t xml:space="preserve">, </w:t>
      </w:r>
      <w:r w:rsidRPr="001D24C0">
        <w:t xml:space="preserve">very large flaws </w:t>
      </w:r>
      <w:r>
        <w:t>were</w:t>
      </w:r>
      <w:r w:rsidRPr="001D24C0">
        <w:t xml:space="preserve"> measured as significantly smaller than the true state, but </w:t>
      </w:r>
      <w:r>
        <w:t>such flaws</w:t>
      </w:r>
      <w:r w:rsidRPr="001D24C0">
        <w:t xml:space="preserve"> were not measured as less than 50</w:t>
      </w:r>
      <w:r>
        <w:noBreakHyphen/>
      </w:r>
      <w:r w:rsidRPr="001D24C0">
        <w:t>percent through-wall.</w:t>
      </w:r>
    </w:p>
    <w:p w14:paraId="4B82B251" w14:textId="77777777" w:rsidR="00D53E6F" w:rsidRDefault="00D53E6F" w:rsidP="00D53E6F">
      <w:pPr>
        <w:spacing w:line="240" w:lineRule="auto"/>
      </w:pPr>
    </w:p>
    <w:p w14:paraId="6FFFAD2E" w14:textId="1B15A366" w:rsidR="00D53E6F" w:rsidRDefault="00D53E6F" w:rsidP="00D53E6F">
      <w:pPr>
        <w:spacing w:line="240" w:lineRule="auto"/>
      </w:pPr>
      <w:r>
        <w:t xml:space="preserve">ASME </w:t>
      </w:r>
      <w:r w:rsidRPr="001D24C0">
        <w:t>Code Case N-695-1 changes the depth</w:t>
      </w:r>
      <w:r>
        <w:noBreakHyphen/>
      </w:r>
      <w:r w:rsidRPr="001D24C0">
        <w:t>sizing requirements for inner-surface examinations of test blocks of 2.1</w:t>
      </w:r>
      <w:r>
        <w:t> </w:t>
      </w:r>
      <w:r w:rsidRPr="001D24C0">
        <w:t xml:space="preserve">inches or greater </w:t>
      </w:r>
      <w:r>
        <w:t xml:space="preserve">in </w:t>
      </w:r>
      <w:r w:rsidRPr="001D24C0">
        <w:t>thickness to 0.25</w:t>
      </w:r>
      <w:r>
        <w:t> </w:t>
      </w:r>
      <w:r w:rsidRPr="001D24C0">
        <w:t>inch.  This change is in line with the granted relief requests and with the NRC</w:t>
      </w:r>
      <w:r>
        <w:t>’s</w:t>
      </w:r>
      <w:r w:rsidRPr="001D24C0">
        <w:t xml:space="preserve"> review of the Performan</w:t>
      </w:r>
      <w:r>
        <w:t>ce Demonstration Institute</w:t>
      </w:r>
      <w:r w:rsidRPr="001D24C0">
        <w:t xml:space="preserve"> test results.</w:t>
      </w:r>
    </w:p>
    <w:p w14:paraId="3EA3C329" w14:textId="77777777" w:rsidR="00D53E6F" w:rsidRDefault="00D53E6F" w:rsidP="00D53E6F">
      <w:pPr>
        <w:spacing w:line="240" w:lineRule="auto"/>
      </w:pPr>
    </w:p>
    <w:p w14:paraId="2B82C2B4" w14:textId="77777777" w:rsidR="00D53E6F" w:rsidRDefault="00D53E6F" w:rsidP="00D53E6F">
      <w:pPr>
        <w:spacing w:line="240" w:lineRule="auto"/>
      </w:pPr>
      <w:r w:rsidRPr="001D24C0">
        <w:t>The depth-sizing capabilities of the inspections do not provide sufficient confidence in the ability of an inspector qualified using a 0.25</w:t>
      </w:r>
      <w:r>
        <w:noBreakHyphen/>
      </w:r>
      <w:r w:rsidRPr="001D24C0">
        <w:t xml:space="preserve">inch </w:t>
      </w:r>
      <w:r>
        <w:t>RMS</w:t>
      </w:r>
      <w:r w:rsidRPr="001D24C0">
        <w:t xml:space="preserve"> error to accurately measure the depth of deep flaws.  </w:t>
      </w:r>
      <w:r>
        <w:t xml:space="preserve">The NRC is imposing a condition on ASME </w:t>
      </w:r>
      <w:r w:rsidRPr="001D24C0">
        <w:t>Code Case N</w:t>
      </w:r>
      <w:r>
        <w:noBreakHyphen/>
      </w:r>
      <w:r w:rsidRPr="001D24C0">
        <w:t>695</w:t>
      </w:r>
      <w:r>
        <w:noBreakHyphen/>
      </w:r>
      <w:r w:rsidRPr="001D24C0">
        <w:t xml:space="preserve">1 </w:t>
      </w:r>
      <w:r>
        <w:t>stating</w:t>
      </w:r>
      <w:r w:rsidRPr="001D24C0">
        <w:t xml:space="preserve"> that any surface</w:t>
      </w:r>
      <w:r>
        <w:noBreakHyphen/>
      </w:r>
      <w:r w:rsidRPr="001D24C0">
        <w:t>connected flaw sized over 50</w:t>
      </w:r>
      <w:r>
        <w:noBreakHyphen/>
      </w:r>
      <w:r w:rsidRPr="001D24C0">
        <w:t xml:space="preserve">percent through-wall should be considered </w:t>
      </w:r>
      <w:r>
        <w:t xml:space="preserve">to be </w:t>
      </w:r>
      <w:r w:rsidRPr="001D24C0">
        <w:t>of indeterminate size</w:t>
      </w:r>
      <w:r>
        <w:t>.</w:t>
      </w:r>
    </w:p>
    <w:p w14:paraId="52743FD1" w14:textId="77777777" w:rsidR="00D53E6F" w:rsidRDefault="00D53E6F" w:rsidP="00D53E6F">
      <w:pPr>
        <w:spacing w:line="240" w:lineRule="auto"/>
      </w:pPr>
    </w:p>
    <w:p w14:paraId="50C11941" w14:textId="77777777" w:rsidR="00D53E6F" w:rsidRDefault="00D53E6F" w:rsidP="00D53E6F">
      <w:pPr>
        <w:spacing w:line="240" w:lineRule="auto"/>
      </w:pPr>
      <w:r w:rsidRPr="001D24C0">
        <w:t xml:space="preserve">The NRC </w:t>
      </w:r>
      <w:r>
        <w:t>approves ASME</w:t>
      </w:r>
      <w:r w:rsidRPr="001D24C0">
        <w:t xml:space="preserve"> Code Case N-695-</w:t>
      </w:r>
      <w:r>
        <w:t>1 with the following condition:</w:t>
      </w:r>
    </w:p>
    <w:p w14:paraId="1AF2B4C6" w14:textId="77777777" w:rsidR="00D53E6F" w:rsidRDefault="00D53E6F" w:rsidP="00D53E6F">
      <w:pPr>
        <w:spacing w:line="240" w:lineRule="auto"/>
      </w:pPr>
    </w:p>
    <w:p w14:paraId="6C0DC174" w14:textId="77777777" w:rsidR="00D53E6F" w:rsidRDefault="00D53E6F" w:rsidP="00D53E6F">
      <w:pPr>
        <w:spacing w:line="240" w:lineRule="auto"/>
        <w:ind w:left="720" w:right="720"/>
      </w:pPr>
      <w:r w:rsidRPr="001D24C0">
        <w:t xml:space="preserve">Inspectors qualified using the 0.25 </w:t>
      </w:r>
      <w:r>
        <w:t>root mean square</w:t>
      </w:r>
      <w:r w:rsidRPr="001D24C0">
        <w:t xml:space="preserve"> error for measuring the depths of flaws using N-695-1 are not qualified to depth-size inner diameter (ID) surface breaking flaws greater than 50% through-wall in dissimilar metal welds 2.1</w:t>
      </w:r>
      <w:r>
        <w:t> </w:t>
      </w:r>
      <w:r w:rsidRPr="001D24C0">
        <w:t>inches or greater in thickness.  When an inspector qualified using N</w:t>
      </w:r>
      <w:r>
        <w:noBreakHyphen/>
      </w:r>
      <w:r w:rsidRPr="001D24C0">
        <w:t>695</w:t>
      </w:r>
      <w:r>
        <w:noBreakHyphen/>
      </w:r>
      <w:r w:rsidRPr="001D24C0">
        <w:t>1 measures a flaw as greater than 50% through-wall in a dissimilar metal weld from the inner diameter</w:t>
      </w:r>
      <w:r>
        <w:t>,</w:t>
      </w:r>
      <w:r w:rsidRPr="001D24C0">
        <w:t xml:space="preserve"> the flaw shall be considered to have an indeterminate depth.</w:t>
      </w:r>
    </w:p>
    <w:p w14:paraId="66C381D0" w14:textId="77777777" w:rsidR="00D53E6F" w:rsidRDefault="00D53E6F" w:rsidP="00D53E6F">
      <w:pPr>
        <w:spacing w:line="240" w:lineRule="auto"/>
      </w:pPr>
    </w:p>
    <w:p w14:paraId="7558005F" w14:textId="77777777" w:rsidR="00D53E6F" w:rsidRPr="001D24C0" w:rsidRDefault="00D53E6F" w:rsidP="00D53E6F">
      <w:pPr>
        <w:spacing w:line="240" w:lineRule="auto"/>
      </w:pPr>
      <w:r>
        <w:t>The NRC does not expect industry to incur incremental implementation costs for this condition; however, the agency does expect industry to incur incremental operation costs as a result of relief requests, as discussed in Section </w:t>
      </w:r>
      <w:r w:rsidRPr="001E431A">
        <w:t>5.4.7</w:t>
      </w:r>
      <w:r>
        <w:t>.</w:t>
      </w:r>
    </w:p>
    <w:p w14:paraId="4C13275C" w14:textId="77777777" w:rsidR="00D53E6F" w:rsidRPr="00500171" w:rsidRDefault="00D53E6F" w:rsidP="00D53E6F">
      <w:pPr>
        <w:spacing w:line="240" w:lineRule="auto"/>
      </w:pPr>
    </w:p>
    <w:p w14:paraId="15D9CF2A" w14:textId="77777777" w:rsidR="00D53E6F" w:rsidRDefault="00D53E6F" w:rsidP="00D53E6F">
      <w:pPr>
        <w:pStyle w:val="Heading3"/>
        <w:spacing w:line="240" w:lineRule="auto"/>
        <w:ind w:left="720" w:hanging="720"/>
      </w:pPr>
      <w:bookmarkStart w:id="143" w:name="_Toc456098242"/>
      <w:bookmarkStart w:id="144" w:name="_Toc12808798"/>
      <w:r>
        <w:t>5.3.8</w:t>
      </w:r>
      <w:r>
        <w:tab/>
      </w:r>
      <w:bookmarkEnd w:id="143"/>
      <w:r w:rsidRPr="0072340A">
        <w:rPr>
          <w:szCs w:val="22"/>
        </w:rPr>
        <w:t>Qualification Requirements for Mandatory Appendix VIII Piping Examination Conducted from the Inside Surface</w:t>
      </w:r>
      <w:bookmarkEnd w:id="144"/>
    </w:p>
    <w:p w14:paraId="5FED3075" w14:textId="77777777" w:rsidR="00D53E6F" w:rsidRDefault="00D53E6F" w:rsidP="00D53E6F">
      <w:pPr>
        <w:keepNext/>
        <w:spacing w:line="240" w:lineRule="auto"/>
      </w:pPr>
    </w:p>
    <w:p w14:paraId="2968ED2B" w14:textId="77777777" w:rsidR="00D53E6F" w:rsidRDefault="00D53E6F" w:rsidP="00D53E6F">
      <w:pPr>
        <w:spacing w:line="240" w:lineRule="auto"/>
        <w:rPr>
          <w:bCs/>
        </w:rPr>
      </w:pPr>
      <w:r>
        <w:rPr>
          <w:bCs/>
        </w:rPr>
        <w:t xml:space="preserve">ASME </w:t>
      </w:r>
      <w:r w:rsidRPr="001D24C0">
        <w:rPr>
          <w:bCs/>
        </w:rPr>
        <w:t>Code Case N-696-1 provides alternative rules for ultrasonic inspections of Supplement</w:t>
      </w:r>
      <w:r>
        <w:rPr>
          <w:bCs/>
        </w:rPr>
        <w:t> </w:t>
      </w:r>
      <w:r w:rsidRPr="001D24C0">
        <w:rPr>
          <w:bCs/>
        </w:rPr>
        <w:t>2, 3</w:t>
      </w:r>
      <w:r>
        <w:rPr>
          <w:bCs/>
        </w:rPr>
        <w:t>,</w:t>
      </w:r>
      <w:r w:rsidRPr="001D24C0">
        <w:rPr>
          <w:bCs/>
        </w:rPr>
        <w:t xml:space="preserve"> and 10 welds from the inner and outer surfaces.  </w:t>
      </w:r>
      <w:r>
        <w:rPr>
          <w:bCs/>
        </w:rPr>
        <w:t xml:space="preserve">The justifications for ASME </w:t>
      </w:r>
      <w:r w:rsidRPr="001D24C0">
        <w:rPr>
          <w:bCs/>
        </w:rPr>
        <w:t xml:space="preserve">Code Case </w:t>
      </w:r>
      <w:r>
        <w:rPr>
          <w:bCs/>
        </w:rPr>
        <w:t>N</w:t>
      </w:r>
      <w:r>
        <w:rPr>
          <w:bCs/>
        </w:rPr>
        <w:noBreakHyphen/>
        <w:t>696</w:t>
      </w:r>
      <w:r>
        <w:rPr>
          <w:bCs/>
        </w:rPr>
        <w:noBreakHyphen/>
        <w:t xml:space="preserve">1 are the same as those for ASME </w:t>
      </w:r>
      <w:r w:rsidRPr="001D24C0">
        <w:rPr>
          <w:bCs/>
        </w:rPr>
        <w:t xml:space="preserve">Code Case </w:t>
      </w:r>
      <w:r>
        <w:rPr>
          <w:bCs/>
        </w:rPr>
        <w:t>N</w:t>
      </w:r>
      <w:r>
        <w:rPr>
          <w:bCs/>
        </w:rPr>
        <w:noBreakHyphen/>
        <w:t>695</w:t>
      </w:r>
      <w:r>
        <w:rPr>
          <w:bCs/>
        </w:rPr>
        <w:noBreakHyphen/>
        <w:t>1 described above, while the condition varies in the specification of the weld metals:</w:t>
      </w:r>
    </w:p>
    <w:p w14:paraId="395F5D58" w14:textId="77777777" w:rsidR="00D53E6F" w:rsidRDefault="00D53E6F" w:rsidP="00D53E6F">
      <w:pPr>
        <w:spacing w:line="240" w:lineRule="auto"/>
        <w:rPr>
          <w:bCs/>
        </w:rPr>
      </w:pPr>
    </w:p>
    <w:p w14:paraId="1A8CC0D4" w14:textId="77777777" w:rsidR="00D53E6F" w:rsidRDefault="00D53E6F" w:rsidP="00D53E6F">
      <w:pPr>
        <w:spacing w:line="240" w:lineRule="auto"/>
        <w:ind w:left="720" w:right="720"/>
      </w:pPr>
      <w:bookmarkStart w:id="145" w:name="_Hlk8276559"/>
      <w:r w:rsidRPr="00056F03">
        <w:t>Examiners qualified using the 0.25 RMS error for measuring the depths of flaws using N</w:t>
      </w:r>
      <w:r>
        <w:noBreakHyphen/>
      </w:r>
      <w:r w:rsidRPr="00056F03">
        <w:t>696</w:t>
      </w:r>
      <w:r>
        <w:noBreakHyphen/>
      </w:r>
      <w:r w:rsidRPr="00056F03">
        <w:t>1 in dissimilar metal or austenitic welds are not qualified to depth</w:t>
      </w:r>
      <w:r>
        <w:noBreakHyphen/>
      </w:r>
      <w:r w:rsidRPr="00056F03">
        <w:t>size inner diameter (ID) surface breaking flaws greater than 50 percent through</w:t>
      </w:r>
      <w:r>
        <w:noBreakHyphen/>
      </w:r>
      <w:r w:rsidRPr="00056F03">
        <w:t>wall in dissimilar metal or austenitic weld metal welds 2.1</w:t>
      </w:r>
      <w:r>
        <w:t> </w:t>
      </w:r>
      <w:r w:rsidRPr="00056F03">
        <w:t>inches or greater in thickness.  When an Examiner qualified using N-696-1 measures a flaw as greater than 50 percent through</w:t>
      </w:r>
      <w:r>
        <w:noBreakHyphen/>
      </w:r>
      <w:r w:rsidRPr="00056F03">
        <w:t>wall in a dissimilar metal or austenitic weld from the ID, the flaw shall be considered to have an indeterminate depth.</w:t>
      </w:r>
    </w:p>
    <w:bookmarkEnd w:id="145"/>
    <w:p w14:paraId="24CE3FE9" w14:textId="77777777" w:rsidR="00D53E6F" w:rsidRDefault="00D53E6F" w:rsidP="00D53E6F">
      <w:pPr>
        <w:spacing w:line="240" w:lineRule="auto"/>
        <w:rPr>
          <w:bCs/>
        </w:rPr>
      </w:pPr>
    </w:p>
    <w:p w14:paraId="17769EA5" w14:textId="77777777" w:rsidR="00D53E6F" w:rsidRDefault="00D53E6F" w:rsidP="00D53E6F">
      <w:pPr>
        <w:spacing w:line="240" w:lineRule="auto"/>
      </w:pPr>
      <w:r>
        <w:t>The NRC does not expect industry to incur incremental implementation costs for this condition; however, the agency does expect industry to incur incremental operation costs as a result of relief requests, as discussed in Section </w:t>
      </w:r>
      <w:r w:rsidRPr="00B03E25">
        <w:t>5.4.8</w:t>
      </w:r>
      <w:r>
        <w:t>.</w:t>
      </w:r>
    </w:p>
    <w:p w14:paraId="3CB0E0FB" w14:textId="77777777" w:rsidR="00D53E6F" w:rsidRPr="00AA6066" w:rsidRDefault="00D53E6F" w:rsidP="00D53E6F">
      <w:pPr>
        <w:spacing w:line="240" w:lineRule="auto"/>
      </w:pPr>
    </w:p>
    <w:p w14:paraId="68B3CA22" w14:textId="77777777" w:rsidR="00D53E6F" w:rsidRDefault="00D53E6F" w:rsidP="00D53E6F">
      <w:pPr>
        <w:pStyle w:val="Heading3"/>
        <w:spacing w:line="240" w:lineRule="auto"/>
        <w:ind w:left="720" w:hanging="720"/>
        <w:rPr>
          <w:szCs w:val="22"/>
        </w:rPr>
      </w:pPr>
      <w:bookmarkStart w:id="146" w:name="_Toc456098243"/>
      <w:bookmarkStart w:id="147" w:name="_Toc12808799"/>
      <w:r>
        <w:t>5.3.9</w:t>
      </w:r>
      <w:r>
        <w:tab/>
      </w:r>
      <w:bookmarkEnd w:id="146"/>
      <w:r w:rsidRPr="001D24C0">
        <w:rPr>
          <w:szCs w:val="22"/>
        </w:rPr>
        <w:t>Alternative Requirements for Boiling</w:t>
      </w:r>
      <w:r>
        <w:rPr>
          <w:szCs w:val="22"/>
        </w:rPr>
        <w:noBreakHyphen/>
      </w:r>
      <w:r w:rsidRPr="001D24C0">
        <w:rPr>
          <w:szCs w:val="22"/>
        </w:rPr>
        <w:t>Water Reactor Nozzle Inner Radius and Nozzle</w:t>
      </w:r>
      <w:r>
        <w:rPr>
          <w:szCs w:val="22"/>
        </w:rPr>
        <w:noBreakHyphen/>
      </w:r>
      <w:r w:rsidRPr="001D24C0">
        <w:rPr>
          <w:szCs w:val="22"/>
        </w:rPr>
        <w:t>to</w:t>
      </w:r>
      <w:r>
        <w:rPr>
          <w:szCs w:val="22"/>
        </w:rPr>
        <w:noBreakHyphen/>
      </w:r>
      <w:r w:rsidRPr="001D24C0">
        <w:rPr>
          <w:szCs w:val="22"/>
        </w:rPr>
        <w:t>Shell Welds, Section XI, Division 1</w:t>
      </w:r>
      <w:bookmarkEnd w:id="147"/>
    </w:p>
    <w:p w14:paraId="545E6918" w14:textId="77777777" w:rsidR="00D53E6F" w:rsidRDefault="00D53E6F" w:rsidP="00D53E6F">
      <w:pPr>
        <w:keepNext/>
        <w:spacing w:line="240" w:lineRule="auto"/>
      </w:pPr>
    </w:p>
    <w:p w14:paraId="76599120" w14:textId="42651414" w:rsidR="00D53E6F" w:rsidRDefault="00D53E6F" w:rsidP="00D53E6F">
      <w:pPr>
        <w:spacing w:line="240" w:lineRule="auto"/>
      </w:pPr>
      <w:r w:rsidRPr="008F0227">
        <w:t xml:space="preserve">The NRC previously accepted with conditions </w:t>
      </w:r>
      <w:r>
        <w:t xml:space="preserve">ASME </w:t>
      </w:r>
      <w:r w:rsidRPr="008F0227">
        <w:t>Code Case N-702 in RG</w:t>
      </w:r>
      <w:r>
        <w:t> </w:t>
      </w:r>
      <w:r w:rsidRPr="008F0227">
        <w:t>1.147, Revision</w:t>
      </w:r>
      <w:r>
        <w:t> </w:t>
      </w:r>
      <w:r w:rsidRPr="008F0227">
        <w:t>18.  For RG</w:t>
      </w:r>
      <w:r>
        <w:t> </w:t>
      </w:r>
      <w:r w:rsidRPr="008F0227">
        <w:t>1.147</w:t>
      </w:r>
      <w:r>
        <w:t>, Revision 19,</w:t>
      </w:r>
      <w:r w:rsidRPr="008F0227">
        <w:t xml:space="preserve"> the NRC </w:t>
      </w:r>
      <w:r>
        <w:t>is imposing</w:t>
      </w:r>
      <w:r w:rsidRPr="008F0227">
        <w:t xml:space="preserve"> revisions to the conditions on </w:t>
      </w:r>
      <w:r>
        <w:t>ASME Code Case </w:t>
      </w:r>
      <w:r w:rsidRPr="008F0227">
        <w:t>N</w:t>
      </w:r>
      <w:r>
        <w:noBreakHyphen/>
      </w:r>
      <w:r w:rsidRPr="008F0227">
        <w:t>702.  The original conditions in RG 1.147, Revision</w:t>
      </w:r>
      <w:r>
        <w:t> </w:t>
      </w:r>
      <w:r w:rsidRPr="008F0227">
        <w:t>17</w:t>
      </w:r>
      <w:r>
        <w:t>,</w:t>
      </w:r>
      <w:r w:rsidRPr="008F0227">
        <w:t xml:space="preserve"> were consistent with </w:t>
      </w:r>
      <w:r>
        <w:t xml:space="preserve">the </w:t>
      </w:r>
      <w:r w:rsidRPr="008F0227">
        <w:t>established review procedure for all applicants before August</w:t>
      </w:r>
      <w:r>
        <w:t> </w:t>
      </w:r>
      <w:r w:rsidRPr="008F0227">
        <w:t>2014 for the original 40</w:t>
      </w:r>
      <w:r>
        <w:noBreakHyphen/>
      </w:r>
      <w:r w:rsidRPr="008F0227">
        <w:t>year operati</w:t>
      </w:r>
      <w:r>
        <w:t>ng period.  The conditions were required</w:t>
      </w:r>
      <w:r w:rsidRPr="008F0227">
        <w:t xml:space="preserve"> to ensure that the probability of vessel nozzle failure meets the NRC</w:t>
      </w:r>
      <w:r>
        <w:t>’s</w:t>
      </w:r>
      <w:r w:rsidRPr="008F0227">
        <w:t xml:space="preserve"> safety goal.  During the 40</w:t>
      </w:r>
      <w:r>
        <w:noBreakHyphen/>
      </w:r>
      <w:r w:rsidRPr="008F0227">
        <w:t>year operati</w:t>
      </w:r>
      <w:r>
        <w:t>ng period</w:t>
      </w:r>
      <w:r w:rsidRPr="008F0227">
        <w:t>, past reviews by the NRC have indicated that all licensees evaluated the condition adequately and that future NRC review</w:t>
      </w:r>
      <w:r>
        <w:t>s are</w:t>
      </w:r>
      <w:r w:rsidRPr="008F0227">
        <w:t xml:space="preserve"> not </w:t>
      </w:r>
      <w:r>
        <w:t>necessary.</w:t>
      </w:r>
      <w:r w:rsidRPr="008F0227">
        <w:t xml:space="preserve">  </w:t>
      </w:r>
      <w:r>
        <w:t>A</w:t>
      </w:r>
      <w:r w:rsidRPr="008F0227">
        <w:t>pplications are prohibited</w:t>
      </w:r>
      <w:r>
        <w:t xml:space="preserve"> for the extended operation period to enable</w:t>
      </w:r>
      <w:r w:rsidRPr="008F0227">
        <w:t xml:space="preserve"> licensees </w:t>
      </w:r>
      <w:r>
        <w:t>to</w:t>
      </w:r>
      <w:r w:rsidRPr="008F0227">
        <w:t xml:space="preserve"> submit relief requests based on Appendix</w:t>
      </w:r>
      <w:r>
        <w:t> </w:t>
      </w:r>
      <w:r w:rsidRPr="008F0227">
        <w:t>A, “BWR Nozzle Radii and Nozzle</w:t>
      </w:r>
      <w:r>
        <w:noBreakHyphen/>
      </w:r>
      <w:r w:rsidRPr="008F0227">
        <w:t>to</w:t>
      </w:r>
      <w:r>
        <w:noBreakHyphen/>
      </w:r>
      <w:r w:rsidRPr="008F0227">
        <w:t>Vessel Welds Demonstration of Compliance with the Technical Information Requirements of the License Renewal Rule (10</w:t>
      </w:r>
      <w:r>
        <w:t> </w:t>
      </w:r>
      <w:r w:rsidRPr="008F0227">
        <w:t>CFR</w:t>
      </w:r>
      <w:r>
        <w:t> </w:t>
      </w:r>
      <w:r w:rsidRPr="008F0227">
        <w:t xml:space="preserve">54.21),” </w:t>
      </w:r>
      <w:r>
        <w:t>to Boiling</w:t>
      </w:r>
      <w:r>
        <w:noBreakHyphen/>
        <w:t>Water Reactor Vessel Internals Project (</w:t>
      </w:r>
      <w:bookmarkStart w:id="148" w:name="_Hlk8020585"/>
      <w:r w:rsidRPr="008F0227">
        <w:t>BWRVIP</w:t>
      </w:r>
      <w:r>
        <w:t>)</w:t>
      </w:r>
      <w:r>
        <w:noBreakHyphen/>
      </w:r>
      <w:r w:rsidRPr="008F0227">
        <w:t>241</w:t>
      </w:r>
      <w:bookmarkEnd w:id="148"/>
      <w:r w:rsidRPr="008F0227">
        <w:t xml:space="preserve">, </w:t>
      </w:r>
      <w:r>
        <w:rPr>
          <w:color w:val="auto"/>
        </w:rPr>
        <w:t>“BWR Vessel and Internals Project</w:t>
      </w:r>
      <w:r w:rsidR="008057B7">
        <w:rPr>
          <w:color w:val="auto"/>
        </w:rPr>
        <w:t xml:space="preserve"> </w:t>
      </w:r>
      <w:r>
        <w:rPr>
          <w:color w:val="auto"/>
        </w:rPr>
        <w:t>Probabilistic Fracture Mechanics Evaluation for the Nozzle-to-Vessel Shell Welds and</w:t>
      </w:r>
      <w:r w:rsidR="008057B7">
        <w:rPr>
          <w:color w:val="auto"/>
        </w:rPr>
        <w:t xml:space="preserve"> </w:t>
      </w:r>
      <w:r>
        <w:rPr>
          <w:color w:val="auto"/>
        </w:rPr>
        <w:t xml:space="preserve">Nozzle Blend Radii,” </w:t>
      </w:r>
      <w:r w:rsidR="008057B7" w:rsidRPr="002C3A54">
        <w:rPr>
          <w:bCs/>
        </w:rPr>
        <w:t>dated</w:t>
      </w:r>
      <w:r w:rsidR="008057B7">
        <w:rPr>
          <w:bCs/>
        </w:rPr>
        <w:t> </w:t>
      </w:r>
      <w:r w:rsidRPr="002C3A54">
        <w:rPr>
          <w:bCs/>
        </w:rPr>
        <w:t>April 19, 2013</w:t>
      </w:r>
      <w:r>
        <w:rPr>
          <w:bCs/>
        </w:rPr>
        <w:t xml:space="preserve">, </w:t>
      </w:r>
      <w:r>
        <w:rPr>
          <w:color w:val="auto"/>
        </w:rPr>
        <w:t xml:space="preserve">which the agency </w:t>
      </w:r>
      <w:r w:rsidRPr="008F0227">
        <w:t>approved on April</w:t>
      </w:r>
      <w:r>
        <w:t> </w:t>
      </w:r>
      <w:r w:rsidRPr="008F0227">
        <w:t>26,</w:t>
      </w:r>
      <w:r>
        <w:t> </w:t>
      </w:r>
      <w:r w:rsidRPr="008F0227">
        <w:t xml:space="preserve">2017, or </w:t>
      </w:r>
      <w:r>
        <w:t xml:space="preserve">to submit </w:t>
      </w:r>
      <w:r w:rsidRPr="008F0227">
        <w:t xml:space="preserve">plant-specific probabilistic fracture mechanics analyses.  Therefore, </w:t>
      </w:r>
      <w:r>
        <w:t>the NRC is revising</w:t>
      </w:r>
      <w:r w:rsidRPr="008F0227">
        <w:t xml:space="preserve"> the </w:t>
      </w:r>
      <w:r>
        <w:t xml:space="preserve">condition in </w:t>
      </w:r>
      <w:r w:rsidRPr="008F0227">
        <w:t>RG</w:t>
      </w:r>
      <w:r>
        <w:t> </w:t>
      </w:r>
      <w:r w:rsidRPr="008F0227">
        <w:t>1.147, Revision</w:t>
      </w:r>
      <w:r>
        <w:t> </w:t>
      </w:r>
      <w:r w:rsidRPr="008F0227">
        <w:t>17</w:t>
      </w:r>
      <w:r>
        <w:t>,</w:t>
      </w:r>
      <w:r w:rsidRPr="008F0227">
        <w:t xml:space="preserve"> to reflect the changes stated in this paragraph.</w:t>
      </w:r>
    </w:p>
    <w:p w14:paraId="652179A6" w14:textId="77777777" w:rsidR="00D53E6F" w:rsidRPr="008F0227" w:rsidRDefault="00D53E6F" w:rsidP="00D53E6F">
      <w:pPr>
        <w:spacing w:line="240" w:lineRule="auto"/>
      </w:pPr>
    </w:p>
    <w:p w14:paraId="5044CD6A" w14:textId="77777777" w:rsidR="00D53E6F" w:rsidRDefault="00D53E6F" w:rsidP="00D53E6F">
      <w:pPr>
        <w:spacing w:line="240" w:lineRule="auto"/>
      </w:pPr>
      <w:r w:rsidRPr="008F0227">
        <w:t>Consistent with the safety evaluations for all prior ASME Code Case N</w:t>
      </w:r>
      <w:r>
        <w:noBreakHyphen/>
      </w:r>
      <w:r w:rsidRPr="008F0227">
        <w:t xml:space="preserve">702 applicants, </w:t>
      </w:r>
      <w:r>
        <w:t xml:space="preserve">the NRC has added </w:t>
      </w:r>
      <w:r w:rsidRPr="008F0227">
        <w:t xml:space="preserve">a condition on visual examination to </w:t>
      </w:r>
      <w:r>
        <w:t>reaffirm</w:t>
      </w:r>
      <w:r w:rsidRPr="008F0227">
        <w:t xml:space="preserve"> that </w:t>
      </w:r>
      <w:r>
        <w:t>it</w:t>
      </w:r>
      <w:r w:rsidRPr="008F0227">
        <w:t xml:space="preserve"> is </w:t>
      </w:r>
      <w:r>
        <w:t xml:space="preserve">not </w:t>
      </w:r>
      <w:r w:rsidRPr="008F0227">
        <w:t xml:space="preserve">relaxing the licensees’ practice </w:t>
      </w:r>
      <w:r>
        <w:t>of</w:t>
      </w:r>
      <w:r w:rsidRPr="008F0227">
        <w:t xml:space="preserve"> </w:t>
      </w:r>
      <w:r>
        <w:t>conducting visual testing 1 (VT</w:t>
      </w:r>
      <w:r>
        <w:noBreakHyphen/>
      </w:r>
      <w:r w:rsidRPr="008F0227">
        <w:t>1</w:t>
      </w:r>
      <w:r>
        <w:t>)</w:t>
      </w:r>
      <w:r w:rsidRPr="008F0227">
        <w:t xml:space="preserve"> on nozzle inner radii.</w:t>
      </w:r>
    </w:p>
    <w:p w14:paraId="7A893BDD" w14:textId="77777777" w:rsidR="00D53E6F" w:rsidRPr="008F0227" w:rsidRDefault="00D53E6F" w:rsidP="00D53E6F">
      <w:pPr>
        <w:spacing w:line="240" w:lineRule="auto"/>
      </w:pPr>
    </w:p>
    <w:p w14:paraId="7DCA7DC0" w14:textId="77777777" w:rsidR="00D53E6F" w:rsidRDefault="00D53E6F" w:rsidP="00D53E6F">
      <w:pPr>
        <w:rPr>
          <w:bCs/>
        </w:rPr>
      </w:pPr>
      <w:r w:rsidRPr="008F0227">
        <w:rPr>
          <w:bCs/>
        </w:rPr>
        <w:t xml:space="preserve">The revised conditions on </w:t>
      </w:r>
      <w:r>
        <w:rPr>
          <w:bCs/>
        </w:rPr>
        <w:t xml:space="preserve">ASME </w:t>
      </w:r>
      <w:r w:rsidRPr="008F0227">
        <w:rPr>
          <w:bCs/>
        </w:rPr>
        <w:t>Code Case N-702 state the following:</w:t>
      </w:r>
    </w:p>
    <w:p w14:paraId="5C472150" w14:textId="77777777" w:rsidR="00D53E6F" w:rsidRDefault="00D53E6F" w:rsidP="00D53E6F">
      <w:pPr>
        <w:keepNext/>
        <w:keepLines/>
        <w:spacing w:line="240" w:lineRule="auto"/>
        <w:rPr>
          <w:bCs/>
        </w:rPr>
      </w:pPr>
    </w:p>
    <w:p w14:paraId="2FD5EFED" w14:textId="77777777" w:rsidR="00D53E6F" w:rsidRPr="002C3A54" w:rsidRDefault="00D53E6F" w:rsidP="00D53E6F">
      <w:pPr>
        <w:keepNext/>
        <w:keepLines/>
        <w:spacing w:line="240" w:lineRule="auto"/>
        <w:ind w:left="720" w:right="720"/>
        <w:rPr>
          <w:bCs/>
        </w:rPr>
      </w:pPr>
      <w:r w:rsidRPr="002C3A54">
        <w:rPr>
          <w:bCs/>
        </w:rPr>
        <w:t>The applicability of Code Case N-702 for the first 40</w:t>
      </w:r>
      <w:r>
        <w:rPr>
          <w:bCs/>
        </w:rPr>
        <w:t> </w:t>
      </w:r>
      <w:r w:rsidRPr="002C3A54">
        <w:rPr>
          <w:bCs/>
        </w:rPr>
        <w:t>years of operation must be demonstrated by satisfying the criteria in Section</w:t>
      </w:r>
      <w:r>
        <w:rPr>
          <w:bCs/>
        </w:rPr>
        <w:t> </w:t>
      </w:r>
      <w:r w:rsidRPr="002C3A54">
        <w:rPr>
          <w:bCs/>
        </w:rPr>
        <w:t>5.0 of NRC Safety Evaluation regarding BWRVIP-108 dated December 18, 2007 (</w:t>
      </w:r>
      <w:r>
        <w:rPr>
          <w:bCs/>
        </w:rPr>
        <w:t>ADAMS Accession No. </w:t>
      </w:r>
      <w:r w:rsidRPr="002C3A54">
        <w:rPr>
          <w:bCs/>
        </w:rPr>
        <w:t>ML073600374) or Section</w:t>
      </w:r>
      <w:r>
        <w:rPr>
          <w:bCs/>
        </w:rPr>
        <w:t> </w:t>
      </w:r>
      <w:r w:rsidRPr="002C3A54">
        <w:rPr>
          <w:bCs/>
        </w:rPr>
        <w:t>5.0 of NRC Safety Evaluation regarding BWRVIP</w:t>
      </w:r>
      <w:r>
        <w:rPr>
          <w:bCs/>
        </w:rPr>
        <w:noBreakHyphen/>
      </w:r>
      <w:r w:rsidRPr="002C3A54">
        <w:rPr>
          <w:bCs/>
        </w:rPr>
        <w:t>241 dated April 19, 2013 (</w:t>
      </w:r>
      <w:r>
        <w:rPr>
          <w:bCs/>
        </w:rPr>
        <w:t>ADAMS Accession No. </w:t>
      </w:r>
      <w:r w:rsidRPr="002C3A54">
        <w:rPr>
          <w:bCs/>
        </w:rPr>
        <w:t>ML13071A240).</w:t>
      </w:r>
    </w:p>
    <w:p w14:paraId="3D622639" w14:textId="77777777" w:rsidR="00D53E6F" w:rsidRPr="002C3A54" w:rsidRDefault="00D53E6F" w:rsidP="00D53E6F">
      <w:pPr>
        <w:spacing w:line="240" w:lineRule="auto"/>
        <w:ind w:left="720" w:right="720"/>
        <w:rPr>
          <w:bCs/>
        </w:rPr>
      </w:pPr>
    </w:p>
    <w:p w14:paraId="79612B5A" w14:textId="77777777" w:rsidR="00D53E6F" w:rsidRPr="008F0227" w:rsidRDefault="00D53E6F" w:rsidP="00D53E6F">
      <w:pPr>
        <w:spacing w:line="240" w:lineRule="auto"/>
        <w:ind w:left="720" w:right="720"/>
        <w:rPr>
          <w:bCs/>
        </w:rPr>
      </w:pPr>
      <w:r w:rsidRPr="002C3A54">
        <w:rPr>
          <w:bCs/>
        </w:rPr>
        <w:t>The use of Code Case N-702 in the period of extended operation is not approved.</w:t>
      </w:r>
    </w:p>
    <w:p w14:paraId="1FC902F3" w14:textId="77777777" w:rsidR="00D53E6F" w:rsidRDefault="00D53E6F" w:rsidP="00D53E6F">
      <w:pPr>
        <w:spacing w:line="240" w:lineRule="auto"/>
      </w:pPr>
    </w:p>
    <w:p w14:paraId="7D82E370" w14:textId="77777777" w:rsidR="00D53E6F" w:rsidRDefault="00D53E6F" w:rsidP="00D53E6F">
      <w:pPr>
        <w:spacing w:line="240" w:lineRule="auto"/>
      </w:pPr>
      <w:r>
        <w:t>The NRC does not expect industry to incur incremental implementation costs as a result of these conditions, which are consistent with the approach that licensees used before the existence of the ASME Code Case.</w:t>
      </w:r>
    </w:p>
    <w:p w14:paraId="215C449D" w14:textId="77777777" w:rsidR="00D53E6F" w:rsidRPr="00BF1AC8" w:rsidRDefault="00D53E6F" w:rsidP="00D53E6F">
      <w:pPr>
        <w:spacing w:line="240" w:lineRule="auto"/>
      </w:pPr>
    </w:p>
    <w:p w14:paraId="6BC0F780" w14:textId="77777777" w:rsidR="00D53E6F" w:rsidRDefault="00D53E6F" w:rsidP="00D53E6F">
      <w:pPr>
        <w:pStyle w:val="Heading3"/>
        <w:spacing w:line="240" w:lineRule="auto"/>
        <w:ind w:left="900" w:hanging="900"/>
      </w:pPr>
      <w:bookmarkStart w:id="149" w:name="_Toc12808800"/>
      <w:r>
        <w:t>5.3.10</w:t>
      </w:r>
      <w:r>
        <w:tab/>
      </w:r>
      <w:r w:rsidRPr="0072340A">
        <w:rPr>
          <w:szCs w:val="22"/>
        </w:rPr>
        <w:t>Evaluation Criteria for Temporary Acceptance of Degradation in Moderate</w:t>
      </w:r>
      <w:r>
        <w:rPr>
          <w:szCs w:val="22"/>
        </w:rPr>
        <w:noBreakHyphen/>
      </w:r>
      <w:r w:rsidRPr="0072340A">
        <w:rPr>
          <w:szCs w:val="22"/>
        </w:rPr>
        <w:t>Energy Class</w:t>
      </w:r>
      <w:r>
        <w:rPr>
          <w:szCs w:val="22"/>
        </w:rPr>
        <w:t> </w:t>
      </w:r>
      <w:r w:rsidRPr="0072340A">
        <w:rPr>
          <w:szCs w:val="22"/>
        </w:rPr>
        <w:t>2 or 3 Vessels and Tanks</w:t>
      </w:r>
      <w:bookmarkEnd w:id="149"/>
    </w:p>
    <w:p w14:paraId="64E3D9BE" w14:textId="77777777" w:rsidR="00D53E6F" w:rsidRDefault="00D53E6F" w:rsidP="00D53E6F">
      <w:pPr>
        <w:spacing w:line="240" w:lineRule="auto"/>
      </w:pPr>
    </w:p>
    <w:p w14:paraId="688BA38E" w14:textId="19C0DBFA" w:rsidR="008C5138" w:rsidRDefault="00D53E6F" w:rsidP="008C5138">
      <w:pPr>
        <w:spacing w:line="240" w:lineRule="auto"/>
      </w:pPr>
      <w:r w:rsidRPr="00711192">
        <w:rPr>
          <w:bCs/>
        </w:rPr>
        <w:t xml:space="preserve">The NRC </w:t>
      </w:r>
      <w:r>
        <w:rPr>
          <w:bCs/>
        </w:rPr>
        <w:t>previously</w:t>
      </w:r>
      <w:r w:rsidRPr="00711192">
        <w:rPr>
          <w:bCs/>
        </w:rPr>
        <w:t xml:space="preserve"> accepted </w:t>
      </w:r>
      <w:r>
        <w:rPr>
          <w:bCs/>
        </w:rPr>
        <w:t xml:space="preserve">ASME </w:t>
      </w:r>
      <w:r w:rsidRPr="00711192">
        <w:rPr>
          <w:bCs/>
        </w:rPr>
        <w:t xml:space="preserve">Code Case N-705 in </w:t>
      </w:r>
      <w:r>
        <w:rPr>
          <w:bCs/>
        </w:rPr>
        <w:t>RG </w:t>
      </w:r>
      <w:r w:rsidRPr="00711192">
        <w:rPr>
          <w:bCs/>
        </w:rPr>
        <w:t>1.147, Revision</w:t>
      </w:r>
      <w:r>
        <w:rPr>
          <w:bCs/>
        </w:rPr>
        <w:t> </w:t>
      </w:r>
      <w:r w:rsidRPr="00711192">
        <w:rPr>
          <w:bCs/>
        </w:rPr>
        <w:t xml:space="preserve">16, </w:t>
      </w:r>
      <w:r>
        <w:rPr>
          <w:bCs/>
        </w:rPr>
        <w:t xml:space="preserve">issued October 2010, </w:t>
      </w:r>
      <w:r w:rsidRPr="00711192">
        <w:rPr>
          <w:bCs/>
        </w:rPr>
        <w:t>w</w:t>
      </w:r>
      <w:r>
        <w:rPr>
          <w:bCs/>
        </w:rPr>
        <w:t>ithout conditions, and t</w:t>
      </w:r>
      <w:r w:rsidRPr="00711192">
        <w:rPr>
          <w:bCs/>
        </w:rPr>
        <w:t>he revised Code Case in Supplement</w:t>
      </w:r>
      <w:r>
        <w:rPr>
          <w:bCs/>
        </w:rPr>
        <w:t> </w:t>
      </w:r>
      <w:r w:rsidRPr="00711192">
        <w:rPr>
          <w:bCs/>
        </w:rPr>
        <w:t>11</w:t>
      </w:r>
      <w:r w:rsidRPr="00711192">
        <w:t xml:space="preserve"> </w:t>
      </w:r>
      <w:r>
        <w:t xml:space="preserve">only </w:t>
      </w:r>
      <w:r w:rsidRPr="00711192">
        <w:rPr>
          <w:bCs/>
        </w:rPr>
        <w:t xml:space="preserve">contains editorial changes.  However, </w:t>
      </w:r>
      <w:r w:rsidR="00433120">
        <w:rPr>
          <w:bCs/>
        </w:rPr>
        <w:t>the NRC</w:t>
      </w:r>
      <w:r w:rsidRPr="00711192">
        <w:rPr>
          <w:bCs/>
        </w:rPr>
        <w:t xml:space="preserve"> has identified an area of concern.  </w:t>
      </w:r>
      <w:r w:rsidR="008C5138" w:rsidRPr="008C5138">
        <w:t>The Code Case is applicable to the temporary acceptance of degradation, which could be a through wall leak, and would permit a vessel or tank to leak coolant for 26 months without repair or replacement.</w:t>
      </w:r>
      <w:r w:rsidR="008C5138">
        <w:t xml:space="preserve"> </w:t>
      </w:r>
      <w:r w:rsidR="008C5138" w:rsidRPr="008C5138">
        <w:t xml:space="preserve"> Paragraph 1(d) of Code Case N</w:t>
      </w:r>
      <w:r w:rsidR="008C5138" w:rsidRPr="008C5138">
        <w:noBreakHyphen/>
        <w:t>705 states that the evaluation period is the operational time for which the temporary acceptance criteria are satisfied (i.e., evaluation period ≤ t</w:t>
      </w:r>
      <w:r w:rsidR="008C5138" w:rsidRPr="008C5138">
        <w:rPr>
          <w:vertAlign w:val="subscript"/>
        </w:rPr>
        <w:t>allow</w:t>
      </w:r>
      <w:r w:rsidR="008C5138" w:rsidRPr="008C5138">
        <w:t xml:space="preserve"> ) but not greater than 26 months from the initial discovery of the condition.</w:t>
      </w:r>
      <w:r w:rsidR="008C5138">
        <w:t xml:space="preserve"> </w:t>
      </w:r>
      <w:r w:rsidR="008C5138" w:rsidRPr="008C5138">
        <w:t xml:space="preserve"> </w:t>
      </w:r>
      <w:r w:rsidR="008C5138">
        <w:t>T</w:t>
      </w:r>
      <w:r w:rsidR="008C5138" w:rsidRPr="008C5138">
        <w:t>he NRC finds that flaws which are not through-wall that have been evaluated in accordance with the code case should be allowed to remain in service the entire length of the period evaluated by the code case (i.e. up to 26 months).</w:t>
      </w:r>
      <w:r w:rsidR="008C5138">
        <w:t xml:space="preserve"> </w:t>
      </w:r>
      <w:r w:rsidR="008C5138" w:rsidRPr="008C5138">
        <w:t xml:space="preserve"> The evaluation methods of the code case reasonably assure the structural integrity of the component will not be impacted during the period of the evaluation.</w:t>
      </w:r>
      <w:r w:rsidR="008C5138">
        <w:t xml:space="preserve"> </w:t>
      </w:r>
      <w:r w:rsidR="008C5138" w:rsidRPr="008C5138">
        <w:t xml:space="preserve"> However, the NRC finds that through-wall flaws accepted in accordance with the code case should be subject to repair/replacement at the next refueling outage.</w:t>
      </w:r>
      <w:r w:rsidR="008C5138">
        <w:t xml:space="preserve"> </w:t>
      </w:r>
      <w:r w:rsidR="008C5138" w:rsidRPr="008C5138">
        <w:t xml:space="preserve"> Therefore, the NRC imposes the following condition on </w:t>
      </w:r>
      <w:r w:rsidR="008C5138">
        <w:t>ASME C</w:t>
      </w:r>
      <w:r w:rsidR="008C5138" w:rsidRPr="008C5138">
        <w:t>ode Case N</w:t>
      </w:r>
      <w:r w:rsidR="008C5138" w:rsidRPr="008C5138">
        <w:noBreakHyphen/>
        <w:t>705:</w:t>
      </w:r>
      <w:r w:rsidR="008C5138">
        <w:t xml:space="preserve">  </w:t>
      </w:r>
    </w:p>
    <w:p w14:paraId="710C943B" w14:textId="77777777" w:rsidR="00D53E6F" w:rsidRDefault="00D53E6F" w:rsidP="00D53E6F">
      <w:pPr>
        <w:spacing w:line="240" w:lineRule="auto"/>
        <w:rPr>
          <w:bCs/>
        </w:rPr>
      </w:pPr>
    </w:p>
    <w:p w14:paraId="0A9F84B6" w14:textId="5348770B" w:rsidR="00D53E6F" w:rsidRDefault="008C5138" w:rsidP="00D53E6F">
      <w:pPr>
        <w:spacing w:line="240" w:lineRule="auto"/>
        <w:ind w:left="720" w:right="720"/>
      </w:pPr>
      <w:r w:rsidRPr="008C5138">
        <w:t>The ASME Code repair or replacement activity temporarily deferred under the provisions of this Code Case shall be performed no later than the next scheduled refueling</w:t>
      </w:r>
      <w:r>
        <w:t xml:space="preserve"> outage for through-wall flaws.</w:t>
      </w:r>
    </w:p>
    <w:p w14:paraId="24B2F58A" w14:textId="77777777" w:rsidR="00D53E6F" w:rsidRDefault="00D53E6F" w:rsidP="00D53E6F">
      <w:pPr>
        <w:spacing w:line="240" w:lineRule="auto"/>
      </w:pPr>
    </w:p>
    <w:p w14:paraId="00826430" w14:textId="1FA60304" w:rsidR="00D53E6F" w:rsidRDefault="00D53E6F" w:rsidP="00D53E6F">
      <w:pPr>
        <w:spacing w:line="240" w:lineRule="auto"/>
      </w:pPr>
      <w:r>
        <w:t>The NRC does not expect industry to incur incremental costs associated with this condition.</w:t>
      </w:r>
    </w:p>
    <w:p w14:paraId="3ECE698D" w14:textId="77777777" w:rsidR="008C5138" w:rsidRDefault="008C5138" w:rsidP="00D53E6F">
      <w:pPr>
        <w:spacing w:line="240" w:lineRule="auto"/>
      </w:pPr>
    </w:p>
    <w:p w14:paraId="292BD511" w14:textId="77777777" w:rsidR="00D53E6F" w:rsidRDefault="00D53E6F" w:rsidP="00D53E6F">
      <w:pPr>
        <w:pStyle w:val="Heading3"/>
        <w:spacing w:line="240" w:lineRule="auto"/>
        <w:ind w:left="900" w:hanging="900"/>
      </w:pPr>
      <w:bookmarkStart w:id="150" w:name="_Ref393268035"/>
      <w:bookmarkStart w:id="151" w:name="_Toc456098244"/>
      <w:bookmarkStart w:id="152" w:name="_Toc12808801"/>
      <w:r>
        <w:t>5.3.11</w:t>
      </w:r>
      <w:r>
        <w:tab/>
      </w:r>
      <w:bookmarkEnd w:id="150"/>
      <w:bookmarkEnd w:id="151"/>
      <w:r w:rsidRPr="0072340A">
        <w:rPr>
          <w:szCs w:val="22"/>
        </w:rPr>
        <w:t>Alternative Examination Coverage Requirements for Examination Category B</w:t>
      </w:r>
      <w:r>
        <w:rPr>
          <w:szCs w:val="22"/>
        </w:rPr>
        <w:noBreakHyphen/>
      </w:r>
      <w:r w:rsidRPr="0072340A">
        <w:rPr>
          <w:szCs w:val="22"/>
        </w:rPr>
        <w:t>F, B</w:t>
      </w:r>
      <w:r>
        <w:rPr>
          <w:szCs w:val="22"/>
        </w:rPr>
        <w:noBreakHyphen/>
      </w:r>
      <w:r w:rsidRPr="0072340A">
        <w:rPr>
          <w:szCs w:val="22"/>
        </w:rPr>
        <w:t>J, C</w:t>
      </w:r>
      <w:r>
        <w:rPr>
          <w:szCs w:val="22"/>
        </w:rPr>
        <w:noBreakHyphen/>
      </w:r>
      <w:r w:rsidRPr="0072340A">
        <w:rPr>
          <w:szCs w:val="22"/>
        </w:rPr>
        <w:t>F</w:t>
      </w:r>
      <w:r>
        <w:rPr>
          <w:szCs w:val="22"/>
        </w:rPr>
        <w:noBreakHyphen/>
      </w:r>
      <w:r w:rsidRPr="0072340A">
        <w:rPr>
          <w:szCs w:val="22"/>
        </w:rPr>
        <w:t>1, C</w:t>
      </w:r>
      <w:r>
        <w:rPr>
          <w:szCs w:val="22"/>
        </w:rPr>
        <w:noBreakHyphen/>
      </w:r>
      <w:r w:rsidRPr="0072340A">
        <w:rPr>
          <w:szCs w:val="22"/>
        </w:rPr>
        <w:t>F</w:t>
      </w:r>
      <w:r>
        <w:rPr>
          <w:szCs w:val="22"/>
        </w:rPr>
        <w:noBreakHyphen/>
      </w:r>
      <w:r w:rsidRPr="0072340A">
        <w:rPr>
          <w:szCs w:val="22"/>
        </w:rPr>
        <w:t>2, and R</w:t>
      </w:r>
      <w:r>
        <w:rPr>
          <w:szCs w:val="22"/>
        </w:rPr>
        <w:noBreakHyphen/>
      </w:r>
      <w:r w:rsidRPr="0072340A">
        <w:rPr>
          <w:szCs w:val="22"/>
        </w:rPr>
        <w:t>A Piping Welds</w:t>
      </w:r>
      <w:bookmarkEnd w:id="152"/>
    </w:p>
    <w:p w14:paraId="1199A869" w14:textId="77777777" w:rsidR="00D53E6F" w:rsidRDefault="00D53E6F" w:rsidP="00D53E6F">
      <w:pPr>
        <w:keepNext/>
        <w:spacing w:line="240" w:lineRule="auto"/>
      </w:pPr>
    </w:p>
    <w:p w14:paraId="4EDE7AF4" w14:textId="77777777" w:rsidR="00D53E6F" w:rsidRDefault="00D53E6F" w:rsidP="00D53E6F">
      <w:pPr>
        <w:spacing w:line="240" w:lineRule="auto"/>
        <w:rPr>
          <w:bCs/>
        </w:rPr>
      </w:pPr>
      <w:bookmarkStart w:id="153" w:name="_Ref392070178"/>
      <w:r>
        <w:rPr>
          <w:bCs/>
        </w:rPr>
        <w:t xml:space="preserve">The NRC first listed ASME </w:t>
      </w:r>
      <w:r w:rsidRPr="001D24C0">
        <w:rPr>
          <w:bCs/>
        </w:rPr>
        <w:t>Code Case N-711 as unacceptable for use in RG</w:t>
      </w:r>
      <w:r>
        <w:rPr>
          <w:bCs/>
        </w:rPr>
        <w:t> </w:t>
      </w:r>
      <w:r w:rsidRPr="001D24C0">
        <w:rPr>
          <w:bCs/>
        </w:rPr>
        <w:t>1.193</w:t>
      </w:r>
      <w:r>
        <w:rPr>
          <w:bCs/>
        </w:rPr>
        <w:t xml:space="preserve">, “ASME Code Cases Not Approved for Use,” Revision 3, issued </w:t>
      </w:r>
      <w:r w:rsidRPr="001D24C0">
        <w:rPr>
          <w:bCs/>
        </w:rPr>
        <w:t>October</w:t>
      </w:r>
      <w:r>
        <w:rPr>
          <w:bCs/>
        </w:rPr>
        <w:t> </w:t>
      </w:r>
      <w:r w:rsidRPr="001D24C0">
        <w:rPr>
          <w:bCs/>
        </w:rPr>
        <w:t>2010</w:t>
      </w:r>
      <w:r>
        <w:rPr>
          <w:bCs/>
        </w:rPr>
        <w:t xml:space="preserve"> (NRC 2010)</w:t>
      </w:r>
      <w:r w:rsidRPr="001D24C0">
        <w:rPr>
          <w:bCs/>
        </w:rPr>
        <w:t xml:space="preserve">.  </w:t>
      </w:r>
      <w:r>
        <w:rPr>
          <w:bCs/>
        </w:rPr>
        <w:t xml:space="preserve">ASME created ASME </w:t>
      </w:r>
      <w:r w:rsidRPr="001D24C0">
        <w:rPr>
          <w:bCs/>
        </w:rPr>
        <w:t>Code Case</w:t>
      </w:r>
      <w:r>
        <w:rPr>
          <w:bCs/>
        </w:rPr>
        <w:t> </w:t>
      </w:r>
      <w:r w:rsidRPr="001D24C0">
        <w:rPr>
          <w:bCs/>
        </w:rPr>
        <w:t xml:space="preserve">N-711-1 to incorporate several NRC conditions for the use of </w:t>
      </w:r>
      <w:r>
        <w:rPr>
          <w:bCs/>
        </w:rPr>
        <w:t xml:space="preserve">ASME </w:t>
      </w:r>
      <w:r w:rsidRPr="001D24C0">
        <w:rPr>
          <w:bCs/>
        </w:rPr>
        <w:t>Code Case</w:t>
      </w:r>
      <w:r>
        <w:rPr>
          <w:bCs/>
        </w:rPr>
        <w:t> </w:t>
      </w:r>
      <w:r w:rsidRPr="001D24C0">
        <w:rPr>
          <w:bCs/>
        </w:rPr>
        <w:t>N</w:t>
      </w:r>
      <w:r>
        <w:rPr>
          <w:bCs/>
        </w:rPr>
        <w:noBreakHyphen/>
      </w:r>
      <w:r w:rsidRPr="001D24C0">
        <w:rPr>
          <w:bCs/>
        </w:rPr>
        <w:t>711</w:t>
      </w:r>
      <w:r>
        <w:rPr>
          <w:bCs/>
        </w:rPr>
        <w:t>.</w:t>
      </w:r>
      <w:r w:rsidRPr="001D24C0">
        <w:rPr>
          <w:bCs/>
        </w:rPr>
        <w:t xml:space="preserve"> </w:t>
      </w:r>
      <w:r>
        <w:rPr>
          <w:bCs/>
        </w:rPr>
        <w:t xml:space="preserve"> This Code Case</w:t>
      </w:r>
      <w:r w:rsidRPr="001D24C0">
        <w:rPr>
          <w:bCs/>
        </w:rPr>
        <w:t xml:space="preserve"> provide</w:t>
      </w:r>
      <w:r>
        <w:rPr>
          <w:bCs/>
        </w:rPr>
        <w:t>s</w:t>
      </w:r>
      <w:r w:rsidRPr="001D24C0">
        <w:rPr>
          <w:bCs/>
        </w:rPr>
        <w:t xml:space="preserve"> requirements for determining an alternative required examination volume</w:t>
      </w:r>
      <w:r>
        <w:rPr>
          <w:bCs/>
        </w:rPr>
        <w:t>.  This alternative volume</w:t>
      </w:r>
      <w:r w:rsidRPr="001D24C0">
        <w:rPr>
          <w:bCs/>
        </w:rPr>
        <w:t xml:space="preserve"> is defined as the volume of primary interest based on the postulated degradation mechanism in a particular piping weld.</w:t>
      </w:r>
    </w:p>
    <w:p w14:paraId="481FCAAE" w14:textId="77777777" w:rsidR="00D53E6F" w:rsidRPr="001D24C0" w:rsidRDefault="00D53E6F" w:rsidP="00D53E6F">
      <w:pPr>
        <w:spacing w:line="240" w:lineRule="auto"/>
        <w:rPr>
          <w:bCs/>
        </w:rPr>
      </w:pPr>
    </w:p>
    <w:p w14:paraId="06AF43E4" w14:textId="77777777" w:rsidR="00D53E6F" w:rsidRDefault="00D53E6F" w:rsidP="00D53E6F">
      <w:pPr>
        <w:spacing w:line="240" w:lineRule="auto"/>
        <w:rPr>
          <w:bCs/>
        </w:rPr>
      </w:pPr>
      <w:r w:rsidRPr="001D24C0">
        <w:rPr>
          <w:bCs/>
        </w:rPr>
        <w:t xml:space="preserve">The NRC finds </w:t>
      </w:r>
      <w:r>
        <w:rPr>
          <w:bCs/>
        </w:rPr>
        <w:t xml:space="preserve">ASME </w:t>
      </w:r>
      <w:r w:rsidRPr="001D24C0">
        <w:rPr>
          <w:bCs/>
        </w:rPr>
        <w:t>Code Case N-711-</w:t>
      </w:r>
      <w:r>
        <w:rPr>
          <w:bCs/>
        </w:rPr>
        <w:t>1 acceptable with the following condition:</w:t>
      </w:r>
    </w:p>
    <w:p w14:paraId="0CCC2AAB" w14:textId="77777777" w:rsidR="00D53E6F" w:rsidRDefault="00D53E6F" w:rsidP="00D53E6F">
      <w:pPr>
        <w:spacing w:line="240" w:lineRule="auto"/>
        <w:rPr>
          <w:bCs/>
        </w:rPr>
      </w:pPr>
    </w:p>
    <w:p w14:paraId="0F8D9560" w14:textId="77777777" w:rsidR="00D53E6F" w:rsidRDefault="00D53E6F" w:rsidP="00D53E6F">
      <w:pPr>
        <w:spacing w:line="240" w:lineRule="auto"/>
        <w:ind w:left="720" w:right="720"/>
        <w:rPr>
          <w:bCs/>
        </w:rPr>
      </w:pPr>
      <w:r w:rsidRPr="00274C8B">
        <w:rPr>
          <w:bCs/>
        </w:rPr>
        <w:t>Code Case N-711-1 shall not be used to redefine the required examination volume for preservice examinations or when the postulated degradation mechanism for piping welds is PWSCC, or crevice corrosion degradation mechanisms.</w:t>
      </w:r>
    </w:p>
    <w:p w14:paraId="45A840A4" w14:textId="77777777" w:rsidR="00D53E6F" w:rsidRDefault="00D53E6F" w:rsidP="00D53E6F">
      <w:pPr>
        <w:spacing w:line="240" w:lineRule="auto"/>
        <w:rPr>
          <w:bCs/>
        </w:rPr>
      </w:pPr>
    </w:p>
    <w:p w14:paraId="62C4B954" w14:textId="1AA20FB5" w:rsidR="00D53E6F" w:rsidRDefault="00D53E6F" w:rsidP="00D53E6F">
      <w:pPr>
        <w:spacing w:line="240" w:lineRule="auto"/>
        <w:rPr>
          <w:bCs/>
        </w:rPr>
      </w:pPr>
      <w:r>
        <w:rPr>
          <w:bCs/>
        </w:rPr>
        <w:t xml:space="preserve">There is no degradation method during preservice; therefore, the ASME Code Case would not apply.  </w:t>
      </w:r>
      <w:r w:rsidRPr="001D24C0">
        <w:rPr>
          <w:bCs/>
        </w:rPr>
        <w:t xml:space="preserve">For </w:t>
      </w:r>
      <w:r w:rsidRPr="00394101">
        <w:rPr>
          <w:bCs/>
        </w:rPr>
        <w:t>primary water stress</w:t>
      </w:r>
      <w:r>
        <w:rPr>
          <w:bCs/>
        </w:rPr>
        <w:noBreakHyphen/>
      </w:r>
      <w:r w:rsidRPr="00394101">
        <w:rPr>
          <w:bCs/>
        </w:rPr>
        <w:t>corrosion crack</w:t>
      </w:r>
      <w:r>
        <w:rPr>
          <w:bCs/>
        </w:rPr>
        <w:t>ing (PWSCC)</w:t>
      </w:r>
      <w:r w:rsidRPr="001D24C0">
        <w:rPr>
          <w:bCs/>
        </w:rPr>
        <w:t xml:space="preserve">, </w:t>
      </w:r>
      <w:r w:rsidR="00433120">
        <w:rPr>
          <w:bCs/>
        </w:rPr>
        <w:t>the NRC</w:t>
      </w:r>
      <w:r w:rsidRPr="001D24C0">
        <w:rPr>
          <w:bCs/>
        </w:rPr>
        <w:t xml:space="preserve"> finds that the examination volume must meet the requirements of ASME Code Case N</w:t>
      </w:r>
      <w:r>
        <w:rPr>
          <w:bCs/>
        </w:rPr>
        <w:noBreakHyphen/>
      </w:r>
      <w:r w:rsidRPr="001D24C0">
        <w:rPr>
          <w:bCs/>
        </w:rPr>
        <w:t>770</w:t>
      </w:r>
      <w:r>
        <w:rPr>
          <w:bCs/>
        </w:rPr>
        <w:noBreakHyphen/>
      </w:r>
      <w:r w:rsidRPr="001D24C0">
        <w:rPr>
          <w:bCs/>
        </w:rPr>
        <w:t xml:space="preserve">1 </w:t>
      </w:r>
      <w:r>
        <w:rPr>
          <w:bCs/>
        </w:rPr>
        <w:t>with the conditions in</w:t>
      </w:r>
      <w:r w:rsidRPr="001D24C0">
        <w:rPr>
          <w:bCs/>
        </w:rPr>
        <w:t xml:space="preserve"> 10</w:t>
      </w:r>
      <w:r>
        <w:rPr>
          <w:bCs/>
        </w:rPr>
        <w:t> </w:t>
      </w:r>
      <w:r w:rsidRPr="001D24C0">
        <w:rPr>
          <w:bCs/>
        </w:rPr>
        <w:t>CFR</w:t>
      </w:r>
      <w:r>
        <w:rPr>
          <w:bCs/>
        </w:rPr>
        <w:t> </w:t>
      </w:r>
      <w:r w:rsidRPr="001D24C0">
        <w:rPr>
          <w:bCs/>
        </w:rPr>
        <w:t xml:space="preserve">50.55a(g)(6)(ii)(F).  For </w:t>
      </w:r>
      <w:r>
        <w:rPr>
          <w:bCs/>
        </w:rPr>
        <w:t>IGSCC</w:t>
      </w:r>
      <w:r w:rsidRPr="001D24C0">
        <w:rPr>
          <w:bCs/>
        </w:rPr>
        <w:t xml:space="preserve"> and </w:t>
      </w:r>
      <w:r>
        <w:rPr>
          <w:bCs/>
        </w:rPr>
        <w:t>crevice corrosion</w:t>
      </w:r>
      <w:r w:rsidRPr="001D24C0">
        <w:rPr>
          <w:bCs/>
        </w:rPr>
        <w:t>, the Code Case does not define a volume of primary interest</w:t>
      </w:r>
      <w:r>
        <w:rPr>
          <w:bCs/>
        </w:rPr>
        <w:t xml:space="preserve">; </w:t>
      </w:r>
      <w:r w:rsidRPr="001D24C0">
        <w:rPr>
          <w:bCs/>
        </w:rPr>
        <w:t>therefore</w:t>
      </w:r>
      <w:r>
        <w:rPr>
          <w:bCs/>
        </w:rPr>
        <w:t>,</w:t>
      </w:r>
      <w:r w:rsidRPr="001D24C0">
        <w:rPr>
          <w:bCs/>
        </w:rPr>
        <w:t xml:space="preserve"> it cannot be used for these degradation mechanisms.  The Code Case requires selection of an alternative inspection location within the same risk region or category if it will improve the examination coverage of </w:t>
      </w:r>
      <w:r>
        <w:rPr>
          <w:bCs/>
        </w:rPr>
        <w:t>the volume of primary interest.  Further, the Code Case refers to the owner’s program for IGSCC.</w:t>
      </w:r>
    </w:p>
    <w:p w14:paraId="3006BEFB" w14:textId="77777777" w:rsidR="00D53E6F" w:rsidRDefault="00D53E6F" w:rsidP="00D53E6F">
      <w:pPr>
        <w:spacing w:line="240" w:lineRule="auto"/>
        <w:rPr>
          <w:bCs/>
        </w:rPr>
      </w:pPr>
    </w:p>
    <w:p w14:paraId="0DD97981" w14:textId="56415C42" w:rsidR="00D53E6F" w:rsidRDefault="00D53E6F" w:rsidP="00D53E6F">
      <w:pPr>
        <w:spacing w:line="240" w:lineRule="auto"/>
      </w:pPr>
      <w:r>
        <w:rPr>
          <w:bCs/>
        </w:rPr>
        <w:t>T</w:t>
      </w:r>
      <w:r w:rsidRPr="001D24C0">
        <w:rPr>
          <w:bCs/>
        </w:rPr>
        <w:t xml:space="preserve">he licensee’s 90-day postoutage report of activities </w:t>
      </w:r>
      <w:r>
        <w:rPr>
          <w:bCs/>
        </w:rPr>
        <w:t>must identify the u</w:t>
      </w:r>
      <w:r w:rsidRPr="001D24C0">
        <w:rPr>
          <w:bCs/>
        </w:rPr>
        <w:t xml:space="preserve">se of the </w:t>
      </w:r>
      <w:r>
        <w:rPr>
          <w:bCs/>
        </w:rPr>
        <w:t xml:space="preserve">ASME </w:t>
      </w:r>
      <w:r w:rsidRPr="001D24C0">
        <w:rPr>
          <w:bCs/>
        </w:rPr>
        <w:t>Code Case</w:t>
      </w:r>
      <w:r>
        <w:rPr>
          <w:bCs/>
        </w:rPr>
        <w:t xml:space="preserve"> and</w:t>
      </w:r>
      <w:r w:rsidRPr="001D24C0">
        <w:rPr>
          <w:bCs/>
        </w:rPr>
        <w:t xml:space="preserve"> the examination category, weld number, weld description, </w:t>
      </w:r>
      <w:r>
        <w:rPr>
          <w:bCs/>
        </w:rPr>
        <w:t xml:space="preserve">and </w:t>
      </w:r>
      <w:r w:rsidRPr="001D24C0">
        <w:rPr>
          <w:bCs/>
        </w:rPr>
        <w:t>percent coverage and a description of limitation.  The NRC determine</w:t>
      </w:r>
      <w:r>
        <w:rPr>
          <w:bCs/>
        </w:rPr>
        <w:t>d</w:t>
      </w:r>
      <w:r w:rsidRPr="001D24C0">
        <w:rPr>
          <w:bCs/>
        </w:rPr>
        <w:t xml:space="preserve"> that the Code Case provides a suitable process for determining the appropriate volume of primary interest based on the degradation mechanism postulated by the degradation mechanism analysis except as noted in the </w:t>
      </w:r>
      <w:r>
        <w:rPr>
          <w:bCs/>
        </w:rPr>
        <w:t>final</w:t>
      </w:r>
      <w:r w:rsidRPr="001D24C0">
        <w:rPr>
          <w:bCs/>
        </w:rPr>
        <w:t xml:space="preserve"> condition.</w:t>
      </w:r>
      <w:r>
        <w:rPr>
          <w:bCs/>
        </w:rPr>
        <w:t xml:space="preserve">  The NRC </w:t>
      </w:r>
      <w:r>
        <w:t xml:space="preserve">does not expect industry to incur </w:t>
      </w:r>
      <w:r>
        <w:rPr>
          <w:bCs/>
        </w:rPr>
        <w:t>incremental implementation costs associated with this condition.</w:t>
      </w:r>
    </w:p>
    <w:p w14:paraId="6B1706ED" w14:textId="77777777" w:rsidR="00D53E6F" w:rsidRDefault="00D53E6F" w:rsidP="00D53E6F">
      <w:pPr>
        <w:spacing w:line="240" w:lineRule="auto"/>
      </w:pPr>
    </w:p>
    <w:p w14:paraId="6D71B3B9" w14:textId="77777777" w:rsidR="00D53E6F" w:rsidRDefault="00D53E6F" w:rsidP="00D53E6F">
      <w:pPr>
        <w:pStyle w:val="Heading3"/>
        <w:spacing w:line="240" w:lineRule="auto"/>
        <w:ind w:left="907" w:hanging="907"/>
      </w:pPr>
      <w:bookmarkStart w:id="154" w:name="_Toc12808802"/>
      <w:r>
        <w:t>5.3.12</w:t>
      </w:r>
      <w:r>
        <w:tab/>
      </w:r>
      <w:r w:rsidRPr="0072340A">
        <w:rPr>
          <w:szCs w:val="22"/>
        </w:rPr>
        <w:t xml:space="preserve">Optimized Structural Dissimilar Metal Weld Overlay for Mitigation of </w:t>
      </w:r>
      <w:r>
        <w:rPr>
          <w:szCs w:val="22"/>
        </w:rPr>
        <w:t>Pressurized</w:t>
      </w:r>
      <w:r>
        <w:rPr>
          <w:szCs w:val="22"/>
        </w:rPr>
        <w:noBreakHyphen/>
        <w:t>Water Reactor</w:t>
      </w:r>
      <w:r w:rsidRPr="0072340A">
        <w:rPr>
          <w:szCs w:val="22"/>
        </w:rPr>
        <w:t xml:space="preserve"> Class</w:t>
      </w:r>
      <w:r>
        <w:rPr>
          <w:szCs w:val="22"/>
        </w:rPr>
        <w:t> </w:t>
      </w:r>
      <w:r w:rsidRPr="0072340A">
        <w:rPr>
          <w:szCs w:val="22"/>
        </w:rPr>
        <w:t>1 Items</w:t>
      </w:r>
      <w:bookmarkEnd w:id="154"/>
    </w:p>
    <w:p w14:paraId="3E08A356" w14:textId="77777777" w:rsidR="00D53E6F" w:rsidRDefault="00D53E6F" w:rsidP="00D53E6F">
      <w:pPr>
        <w:keepNext/>
        <w:spacing w:line="240" w:lineRule="auto"/>
      </w:pPr>
    </w:p>
    <w:p w14:paraId="6C6F0011" w14:textId="7496CE5D" w:rsidR="00D53E6F" w:rsidRDefault="00D53E6F" w:rsidP="00D53E6F">
      <w:pPr>
        <w:spacing w:line="240" w:lineRule="auto"/>
        <w:rPr>
          <w:bCs/>
        </w:rPr>
      </w:pPr>
      <w:r>
        <w:t xml:space="preserve">The NRC </w:t>
      </w:r>
      <w:r>
        <w:rPr>
          <w:rFonts w:eastAsia="Times New Roman"/>
          <w:bCs/>
          <w:color w:val="auto"/>
        </w:rPr>
        <w:t>approv</w:t>
      </w:r>
      <w:r w:rsidR="00B01C86">
        <w:rPr>
          <w:rFonts w:eastAsia="Times New Roman"/>
          <w:bCs/>
          <w:color w:val="auto"/>
        </w:rPr>
        <w:t>es</w:t>
      </w:r>
      <w:r>
        <w:rPr>
          <w:rFonts w:eastAsia="Times New Roman"/>
          <w:bCs/>
          <w:color w:val="auto"/>
        </w:rPr>
        <w:t xml:space="preserve"> ASME Code Case N-754-1 with two conditions.  ASME Code Case N</w:t>
      </w:r>
      <w:r>
        <w:rPr>
          <w:rFonts w:eastAsia="Times New Roman"/>
          <w:bCs/>
          <w:color w:val="auto"/>
        </w:rPr>
        <w:noBreakHyphen/>
        <w:t>754 concerns the use of optimized structural weld overlays as an alternative to full</w:t>
      </w:r>
      <w:r>
        <w:rPr>
          <w:rFonts w:eastAsia="Times New Roman"/>
          <w:bCs/>
          <w:color w:val="auto"/>
        </w:rPr>
        <w:noBreakHyphen/>
        <w:t>structure overlays for mitigation of flaws in large</w:t>
      </w:r>
      <w:r>
        <w:rPr>
          <w:rFonts w:eastAsia="Times New Roman"/>
          <w:bCs/>
          <w:color w:val="auto"/>
        </w:rPr>
        <w:noBreakHyphen/>
        <w:t xml:space="preserve">diameter piping.  </w:t>
      </w:r>
      <w:r w:rsidRPr="00394101">
        <w:rPr>
          <w:bCs/>
        </w:rPr>
        <w:t>The first condition on Code Case</w:t>
      </w:r>
      <w:r>
        <w:rPr>
          <w:bCs/>
        </w:rPr>
        <w:t> </w:t>
      </w:r>
      <w:r w:rsidRPr="00394101">
        <w:rPr>
          <w:bCs/>
        </w:rPr>
        <w:t>N</w:t>
      </w:r>
      <w:r>
        <w:rPr>
          <w:bCs/>
        </w:rPr>
        <w:noBreakHyphen/>
      </w:r>
      <w:r w:rsidRPr="00394101">
        <w:rPr>
          <w:bCs/>
        </w:rPr>
        <w:t>754</w:t>
      </w:r>
      <w:r>
        <w:rPr>
          <w:bCs/>
        </w:rPr>
        <w:noBreakHyphen/>
      </w:r>
      <w:r w:rsidRPr="00394101">
        <w:rPr>
          <w:bCs/>
        </w:rPr>
        <w:t xml:space="preserve">1 is the same as the first condition on </w:t>
      </w:r>
      <w:r>
        <w:rPr>
          <w:bCs/>
        </w:rPr>
        <w:t xml:space="preserve">ASME Code Case </w:t>
      </w:r>
      <w:r w:rsidRPr="00394101">
        <w:rPr>
          <w:bCs/>
        </w:rPr>
        <w:t>N-754</w:t>
      </w:r>
      <w:r>
        <w:rPr>
          <w:bCs/>
        </w:rPr>
        <w:t xml:space="preserve"> that</w:t>
      </w:r>
      <w:r w:rsidRPr="00394101">
        <w:rPr>
          <w:bCs/>
        </w:rPr>
        <w:t xml:space="preserve"> </w:t>
      </w:r>
      <w:r>
        <w:rPr>
          <w:bCs/>
        </w:rPr>
        <w:t>the NRC</w:t>
      </w:r>
      <w:r w:rsidRPr="00394101">
        <w:rPr>
          <w:bCs/>
        </w:rPr>
        <w:t xml:space="preserve"> first approved in RG</w:t>
      </w:r>
      <w:r>
        <w:rPr>
          <w:bCs/>
        </w:rPr>
        <w:t> </w:t>
      </w:r>
      <w:r w:rsidRPr="00394101">
        <w:rPr>
          <w:bCs/>
        </w:rPr>
        <w:t>1.147</w:t>
      </w:r>
      <w:r>
        <w:rPr>
          <w:bCs/>
        </w:rPr>
        <w:t>, Revision 18</w:t>
      </w:r>
      <w:r w:rsidRPr="00394101">
        <w:rPr>
          <w:bCs/>
        </w:rPr>
        <w:t>.  The condition state</w:t>
      </w:r>
      <w:r>
        <w:rPr>
          <w:bCs/>
        </w:rPr>
        <w:t>s</w:t>
      </w:r>
      <w:r w:rsidRPr="00394101">
        <w:rPr>
          <w:bCs/>
        </w:rPr>
        <w:t xml:space="preserve"> </w:t>
      </w:r>
      <w:r>
        <w:rPr>
          <w:bCs/>
        </w:rPr>
        <w:t>the following</w:t>
      </w:r>
      <w:r w:rsidRPr="00394101">
        <w:rPr>
          <w:bCs/>
        </w:rPr>
        <w:t>:</w:t>
      </w:r>
    </w:p>
    <w:p w14:paraId="7962869B" w14:textId="77777777" w:rsidR="00D53E6F" w:rsidRDefault="00D53E6F" w:rsidP="00D53E6F">
      <w:pPr>
        <w:spacing w:line="240" w:lineRule="auto"/>
        <w:rPr>
          <w:bCs/>
        </w:rPr>
      </w:pPr>
    </w:p>
    <w:p w14:paraId="53D2E104" w14:textId="77777777" w:rsidR="00D53E6F" w:rsidRDefault="00D53E6F" w:rsidP="00D53E6F">
      <w:pPr>
        <w:spacing w:line="240" w:lineRule="auto"/>
        <w:ind w:left="720" w:right="720"/>
        <w:rPr>
          <w:bCs/>
        </w:rPr>
      </w:pPr>
      <w:r w:rsidRPr="00274C8B">
        <w:rPr>
          <w:bCs/>
        </w:rPr>
        <w:t>The conditions imposed on the optimized weld overlay design in NRC safety evaluation for the topical report, “Materials Reliability Program (MRP): Technical Basis for Preemptive Weld Overlays for Alloy 82/182 Butt Welds in PWRs (MRP</w:t>
      </w:r>
      <w:r>
        <w:rPr>
          <w:bCs/>
        </w:rPr>
        <w:noBreakHyphen/>
      </w:r>
      <w:r w:rsidRPr="00274C8B">
        <w:rPr>
          <w:bCs/>
        </w:rPr>
        <w:t>169),” Revision 1-A, Electric Power Research Institute (ADAMS Accession Nos. ML101620010 and ML101660468) must be satisfied.</w:t>
      </w:r>
    </w:p>
    <w:p w14:paraId="5C0F4845" w14:textId="77777777" w:rsidR="00D53E6F" w:rsidRDefault="00D53E6F" w:rsidP="00D53E6F">
      <w:pPr>
        <w:spacing w:line="240" w:lineRule="auto"/>
        <w:rPr>
          <w:bCs/>
        </w:rPr>
      </w:pPr>
    </w:p>
    <w:p w14:paraId="51545588" w14:textId="77777777" w:rsidR="00D53E6F" w:rsidRDefault="00D53E6F" w:rsidP="00D53E6F">
      <w:pPr>
        <w:spacing w:line="240" w:lineRule="auto"/>
        <w:rPr>
          <w:bCs/>
        </w:rPr>
      </w:pPr>
      <w:r>
        <w:rPr>
          <w:bCs/>
        </w:rPr>
        <w:t xml:space="preserve">ASME </w:t>
      </w:r>
      <w:r w:rsidRPr="00394101">
        <w:rPr>
          <w:bCs/>
        </w:rPr>
        <w:t>Code Case N</w:t>
      </w:r>
      <w:r>
        <w:rPr>
          <w:bCs/>
        </w:rPr>
        <w:noBreakHyphen/>
      </w:r>
      <w:r w:rsidRPr="00394101">
        <w:rPr>
          <w:bCs/>
        </w:rPr>
        <w:t>754-1</w:t>
      </w:r>
      <w:r>
        <w:rPr>
          <w:bCs/>
        </w:rPr>
        <w:t xml:space="preserve"> does not address t</w:t>
      </w:r>
      <w:r w:rsidRPr="00394101">
        <w:rPr>
          <w:bCs/>
        </w:rPr>
        <w:t>he reasons for imposing this condition</w:t>
      </w:r>
      <w:r>
        <w:rPr>
          <w:bCs/>
        </w:rPr>
        <w:t>;</w:t>
      </w:r>
      <w:r w:rsidRPr="00394101">
        <w:rPr>
          <w:bCs/>
        </w:rPr>
        <w:t xml:space="preserve"> therefore</w:t>
      </w:r>
      <w:r>
        <w:rPr>
          <w:bCs/>
        </w:rPr>
        <w:t>,</w:t>
      </w:r>
      <w:r w:rsidRPr="00394101">
        <w:rPr>
          <w:bCs/>
        </w:rPr>
        <w:t xml:space="preserve"> RG</w:t>
      </w:r>
      <w:r>
        <w:rPr>
          <w:bCs/>
        </w:rPr>
        <w:t> </w:t>
      </w:r>
      <w:r w:rsidRPr="00394101">
        <w:rPr>
          <w:bCs/>
        </w:rPr>
        <w:t>1.147</w:t>
      </w:r>
      <w:r>
        <w:rPr>
          <w:bCs/>
        </w:rPr>
        <w:t xml:space="preserve">, Revision 19, will retain </w:t>
      </w:r>
      <w:r w:rsidRPr="00394101">
        <w:rPr>
          <w:bCs/>
        </w:rPr>
        <w:t>this condition.</w:t>
      </w:r>
    </w:p>
    <w:p w14:paraId="2B6233C6" w14:textId="77777777" w:rsidR="00D53E6F" w:rsidRPr="00394101" w:rsidRDefault="00D53E6F" w:rsidP="00D53E6F">
      <w:pPr>
        <w:spacing w:line="240" w:lineRule="auto"/>
        <w:rPr>
          <w:bCs/>
        </w:rPr>
      </w:pPr>
    </w:p>
    <w:p w14:paraId="716905F3" w14:textId="77777777" w:rsidR="00D53E6F" w:rsidRDefault="00D53E6F" w:rsidP="00D53E6F">
      <w:pPr>
        <w:spacing w:line="240" w:lineRule="auto"/>
        <w:rPr>
          <w:bCs/>
        </w:rPr>
      </w:pPr>
      <w:r w:rsidRPr="00394101">
        <w:rPr>
          <w:bCs/>
        </w:rPr>
        <w:t xml:space="preserve">The second condition on </w:t>
      </w:r>
      <w:r>
        <w:rPr>
          <w:bCs/>
        </w:rPr>
        <w:t xml:space="preserve">ASME </w:t>
      </w:r>
      <w:r w:rsidRPr="00394101">
        <w:rPr>
          <w:bCs/>
        </w:rPr>
        <w:t xml:space="preserve">Code Case N-754-1 is </w:t>
      </w:r>
      <w:r>
        <w:rPr>
          <w:bCs/>
        </w:rPr>
        <w:t>similar to</w:t>
      </w:r>
      <w:r w:rsidRPr="00394101">
        <w:rPr>
          <w:bCs/>
        </w:rPr>
        <w:t xml:space="preserve"> the second condition on </w:t>
      </w:r>
      <w:r>
        <w:rPr>
          <w:bCs/>
        </w:rPr>
        <w:t xml:space="preserve">ASME Code Case </w:t>
      </w:r>
      <w:r w:rsidRPr="00394101">
        <w:rPr>
          <w:bCs/>
        </w:rPr>
        <w:t>N</w:t>
      </w:r>
      <w:r w:rsidRPr="00394101">
        <w:rPr>
          <w:bCs/>
        </w:rPr>
        <w:noBreakHyphen/>
        <w:t>754</w:t>
      </w:r>
      <w:r>
        <w:rPr>
          <w:bCs/>
        </w:rPr>
        <w:t xml:space="preserve"> that</w:t>
      </w:r>
      <w:r w:rsidRPr="00394101">
        <w:rPr>
          <w:bCs/>
        </w:rPr>
        <w:t xml:space="preserve"> the NRC</w:t>
      </w:r>
      <w:r>
        <w:rPr>
          <w:bCs/>
        </w:rPr>
        <w:t xml:space="preserve"> approved</w:t>
      </w:r>
      <w:r w:rsidRPr="00394101">
        <w:rPr>
          <w:bCs/>
        </w:rPr>
        <w:t xml:space="preserve"> in RG</w:t>
      </w:r>
      <w:r>
        <w:rPr>
          <w:bCs/>
        </w:rPr>
        <w:t> </w:t>
      </w:r>
      <w:r w:rsidRPr="00394101">
        <w:rPr>
          <w:bCs/>
        </w:rPr>
        <w:t>1.147</w:t>
      </w:r>
      <w:r>
        <w:rPr>
          <w:bCs/>
        </w:rPr>
        <w:t>, Revision 18</w:t>
      </w:r>
      <w:r w:rsidRPr="00394101">
        <w:rPr>
          <w:bCs/>
        </w:rPr>
        <w:t xml:space="preserve">.  The </w:t>
      </w:r>
      <w:r>
        <w:rPr>
          <w:bCs/>
        </w:rPr>
        <w:t xml:space="preserve">second </w:t>
      </w:r>
      <w:r w:rsidRPr="00394101">
        <w:rPr>
          <w:bCs/>
        </w:rPr>
        <w:t xml:space="preserve">condition </w:t>
      </w:r>
      <w:r>
        <w:rPr>
          <w:bCs/>
        </w:rPr>
        <w:t>states the following:</w:t>
      </w:r>
    </w:p>
    <w:p w14:paraId="65161F01" w14:textId="77777777" w:rsidR="00D53E6F" w:rsidRDefault="00D53E6F" w:rsidP="00D53E6F">
      <w:pPr>
        <w:spacing w:line="240" w:lineRule="auto"/>
        <w:rPr>
          <w:bCs/>
        </w:rPr>
      </w:pPr>
    </w:p>
    <w:p w14:paraId="1CB06094" w14:textId="77777777" w:rsidR="00D53E6F" w:rsidRDefault="00D53E6F" w:rsidP="00D53E6F">
      <w:pPr>
        <w:spacing w:line="240" w:lineRule="auto"/>
        <w:ind w:left="720" w:right="720"/>
        <w:rPr>
          <w:bCs/>
        </w:rPr>
      </w:pPr>
      <w:r w:rsidRPr="00394101">
        <w:rPr>
          <w:bCs/>
        </w:rPr>
        <w:t>The preservice and inservice inspections of the overlaid weld must satisfy 10</w:t>
      </w:r>
      <w:r>
        <w:rPr>
          <w:bCs/>
        </w:rPr>
        <w:t> </w:t>
      </w:r>
      <w:r w:rsidRPr="00394101">
        <w:rPr>
          <w:bCs/>
        </w:rPr>
        <w:t>CFR</w:t>
      </w:r>
      <w:r>
        <w:rPr>
          <w:bCs/>
        </w:rPr>
        <w:t> </w:t>
      </w:r>
      <w:r w:rsidRPr="00394101">
        <w:rPr>
          <w:bCs/>
        </w:rPr>
        <w:t>50.55a(g)(6)(ii)(F).</w:t>
      </w:r>
    </w:p>
    <w:p w14:paraId="3575C0DE" w14:textId="77777777" w:rsidR="00D53E6F" w:rsidRDefault="00D53E6F" w:rsidP="00D53E6F">
      <w:pPr>
        <w:spacing w:line="240" w:lineRule="auto"/>
        <w:rPr>
          <w:bCs/>
        </w:rPr>
      </w:pPr>
    </w:p>
    <w:p w14:paraId="0174D9D9" w14:textId="77777777" w:rsidR="00D53E6F" w:rsidRDefault="00D53E6F" w:rsidP="00D53E6F">
      <w:pPr>
        <w:spacing w:line="240" w:lineRule="auto"/>
        <w:rPr>
          <w:bCs/>
        </w:rPr>
      </w:pPr>
      <w:r>
        <w:rPr>
          <w:bCs/>
        </w:rPr>
        <w:t xml:space="preserve">ASME </w:t>
      </w:r>
      <w:r w:rsidRPr="00394101">
        <w:rPr>
          <w:bCs/>
        </w:rPr>
        <w:t>Code Case N</w:t>
      </w:r>
      <w:r>
        <w:rPr>
          <w:bCs/>
        </w:rPr>
        <w:noBreakHyphen/>
      </w:r>
      <w:r w:rsidRPr="00394101">
        <w:rPr>
          <w:bCs/>
        </w:rPr>
        <w:t>754</w:t>
      </w:r>
      <w:r>
        <w:rPr>
          <w:bCs/>
        </w:rPr>
        <w:noBreakHyphen/>
      </w:r>
      <w:r w:rsidRPr="00394101">
        <w:rPr>
          <w:bCs/>
        </w:rPr>
        <w:t>1</w:t>
      </w:r>
      <w:r>
        <w:rPr>
          <w:bCs/>
        </w:rPr>
        <w:t xml:space="preserve"> does not address t</w:t>
      </w:r>
      <w:r w:rsidRPr="00394101">
        <w:rPr>
          <w:bCs/>
        </w:rPr>
        <w:t>he reasons for imposing this condition</w:t>
      </w:r>
      <w:r>
        <w:rPr>
          <w:bCs/>
        </w:rPr>
        <w:t>;</w:t>
      </w:r>
      <w:r w:rsidRPr="00394101">
        <w:rPr>
          <w:bCs/>
        </w:rPr>
        <w:t xml:space="preserve"> therefore</w:t>
      </w:r>
      <w:r>
        <w:rPr>
          <w:bCs/>
        </w:rPr>
        <w:t>,</w:t>
      </w:r>
      <w:r w:rsidRPr="00394101">
        <w:rPr>
          <w:bCs/>
        </w:rPr>
        <w:t xml:space="preserve"> RG</w:t>
      </w:r>
      <w:r>
        <w:rPr>
          <w:bCs/>
        </w:rPr>
        <w:t> </w:t>
      </w:r>
      <w:r w:rsidRPr="00394101">
        <w:rPr>
          <w:bCs/>
        </w:rPr>
        <w:t>1.147</w:t>
      </w:r>
      <w:r>
        <w:rPr>
          <w:bCs/>
        </w:rPr>
        <w:t>, Revision 19, will retain this condition with the following modified language for clarity:</w:t>
      </w:r>
    </w:p>
    <w:p w14:paraId="7AD5FB19" w14:textId="77777777" w:rsidR="00D53E6F" w:rsidRDefault="00D53E6F" w:rsidP="00D53E6F">
      <w:pPr>
        <w:spacing w:line="240" w:lineRule="auto"/>
        <w:rPr>
          <w:bCs/>
        </w:rPr>
      </w:pPr>
    </w:p>
    <w:p w14:paraId="7E0EE0CC" w14:textId="77777777" w:rsidR="00D53E6F" w:rsidRDefault="00D53E6F" w:rsidP="00D53E6F">
      <w:pPr>
        <w:spacing w:line="240" w:lineRule="auto"/>
        <w:ind w:left="720" w:right="720"/>
        <w:rPr>
          <w:bCs/>
        </w:rPr>
      </w:pPr>
      <w:r w:rsidRPr="00274C8B">
        <w:rPr>
          <w:bCs/>
        </w:rPr>
        <w:t>In lieu of the pre-service and inservice examinations as specified in Section</w:t>
      </w:r>
      <w:r>
        <w:rPr>
          <w:bCs/>
        </w:rPr>
        <w:t> </w:t>
      </w:r>
      <w:r w:rsidRPr="00274C8B">
        <w:rPr>
          <w:bCs/>
        </w:rPr>
        <w:t>3(c) of the code case, the optimized weld overlay must be examined in accordance with 10</w:t>
      </w:r>
      <w:r>
        <w:rPr>
          <w:bCs/>
        </w:rPr>
        <w:t> </w:t>
      </w:r>
      <w:r w:rsidRPr="00274C8B">
        <w:rPr>
          <w:bCs/>
        </w:rPr>
        <w:t>CFR</w:t>
      </w:r>
      <w:r>
        <w:rPr>
          <w:bCs/>
        </w:rPr>
        <w:t> </w:t>
      </w:r>
      <w:r w:rsidRPr="00274C8B">
        <w:rPr>
          <w:bCs/>
        </w:rPr>
        <w:t>50.55a(g)(6)(ii)(F).</w:t>
      </w:r>
    </w:p>
    <w:p w14:paraId="1BD2DB16" w14:textId="77777777" w:rsidR="00D53E6F" w:rsidRDefault="00D53E6F" w:rsidP="00D53E6F">
      <w:pPr>
        <w:spacing w:line="240" w:lineRule="auto"/>
        <w:rPr>
          <w:bCs/>
        </w:rPr>
      </w:pPr>
    </w:p>
    <w:p w14:paraId="032BA0E8" w14:textId="77777777" w:rsidR="00D53E6F" w:rsidRPr="00325469" w:rsidRDefault="00D53E6F" w:rsidP="00D53E6F">
      <w:pPr>
        <w:spacing w:line="240" w:lineRule="auto"/>
        <w:rPr>
          <w:rFonts w:eastAsia="Calibri"/>
        </w:rPr>
      </w:pPr>
      <w:r>
        <w:rPr>
          <w:bCs/>
        </w:rPr>
        <w:t xml:space="preserve">The NRC </w:t>
      </w:r>
      <w:r>
        <w:t>does not expect industry to incur</w:t>
      </w:r>
      <w:r>
        <w:rPr>
          <w:bCs/>
        </w:rPr>
        <w:t xml:space="preserve"> incremental implementation costs associated with these essentially identical and clarifying conditions.</w:t>
      </w:r>
    </w:p>
    <w:p w14:paraId="3BC88374" w14:textId="77777777" w:rsidR="00D53E6F" w:rsidRPr="00B54656" w:rsidRDefault="00D53E6F" w:rsidP="00D53E6F">
      <w:pPr>
        <w:spacing w:line="240" w:lineRule="auto"/>
      </w:pPr>
    </w:p>
    <w:p w14:paraId="1667C233" w14:textId="5877B880" w:rsidR="00D53E6F" w:rsidRDefault="00D53E6F" w:rsidP="00D53E6F">
      <w:pPr>
        <w:pStyle w:val="Heading3"/>
        <w:spacing w:line="240" w:lineRule="auto"/>
        <w:ind w:left="900" w:hanging="900"/>
      </w:pPr>
      <w:bookmarkStart w:id="155" w:name="_Ref422735652"/>
      <w:bookmarkStart w:id="156" w:name="_Toc456098245"/>
      <w:bookmarkStart w:id="157" w:name="_Toc12808803"/>
      <w:r>
        <w:t>5.3.13</w:t>
      </w:r>
      <w:r>
        <w:tab/>
      </w:r>
      <w:bookmarkStart w:id="158" w:name="_Toc457827258"/>
      <w:r w:rsidRPr="0072340A">
        <w:rPr>
          <w:szCs w:val="22"/>
        </w:rPr>
        <w:t xml:space="preserve">Nickel Alloy Reactor Coolant Inlay and Onlay for Mitigation of </w:t>
      </w:r>
      <w:r>
        <w:rPr>
          <w:szCs w:val="22"/>
        </w:rPr>
        <w:t>Pressurized</w:t>
      </w:r>
      <w:r>
        <w:rPr>
          <w:szCs w:val="22"/>
        </w:rPr>
        <w:noBreakHyphen/>
        <w:t>Water Reactor</w:t>
      </w:r>
      <w:r w:rsidRPr="0072340A">
        <w:rPr>
          <w:szCs w:val="22"/>
        </w:rPr>
        <w:t xml:space="preserve"> Full</w:t>
      </w:r>
      <w:r>
        <w:rPr>
          <w:szCs w:val="22"/>
        </w:rPr>
        <w:noBreakHyphen/>
      </w:r>
      <w:r w:rsidRPr="0072340A">
        <w:rPr>
          <w:szCs w:val="22"/>
        </w:rPr>
        <w:t>Penetration Circumferential Nickel Alloy Dissimilar Metal Welds in Class</w:t>
      </w:r>
      <w:r>
        <w:rPr>
          <w:szCs w:val="22"/>
        </w:rPr>
        <w:t> </w:t>
      </w:r>
      <w:r w:rsidRPr="0072340A">
        <w:rPr>
          <w:szCs w:val="22"/>
        </w:rPr>
        <w:t>1</w:t>
      </w:r>
      <w:r w:rsidR="003A577E">
        <w:rPr>
          <w:szCs w:val="22"/>
        </w:rPr>
        <w:t> </w:t>
      </w:r>
      <w:r w:rsidRPr="0072340A">
        <w:rPr>
          <w:szCs w:val="22"/>
        </w:rPr>
        <w:t>Items</w:t>
      </w:r>
      <w:bookmarkEnd w:id="153"/>
      <w:bookmarkEnd w:id="155"/>
      <w:bookmarkEnd w:id="156"/>
      <w:bookmarkEnd w:id="157"/>
      <w:bookmarkEnd w:id="158"/>
    </w:p>
    <w:p w14:paraId="2591ECD4" w14:textId="77777777" w:rsidR="00D53E6F" w:rsidRDefault="00D53E6F" w:rsidP="00D53E6F">
      <w:pPr>
        <w:keepNext/>
        <w:spacing w:line="240" w:lineRule="auto"/>
      </w:pPr>
    </w:p>
    <w:p w14:paraId="6A3753BC" w14:textId="77777777" w:rsidR="00D53E6F" w:rsidRDefault="00D53E6F" w:rsidP="00D53E6F">
      <w:pPr>
        <w:spacing w:line="240" w:lineRule="auto"/>
        <w:rPr>
          <w:bCs/>
        </w:rPr>
      </w:pPr>
      <w:r>
        <w:rPr>
          <w:bCs/>
        </w:rPr>
        <w:t xml:space="preserve">ASME </w:t>
      </w:r>
      <w:r w:rsidRPr="00394101">
        <w:rPr>
          <w:bCs/>
        </w:rPr>
        <w:t>Code Case N-766-1 contains provisions for repairing nickel-based Alloy</w:t>
      </w:r>
      <w:r>
        <w:rPr>
          <w:bCs/>
        </w:rPr>
        <w:t> </w:t>
      </w:r>
      <w:r w:rsidRPr="00394101">
        <w:rPr>
          <w:bCs/>
        </w:rPr>
        <w:t xml:space="preserve">82/182 dissimilar metal butt welds in Class 1 piping using weld inlay and onlay.  </w:t>
      </w:r>
      <w:r>
        <w:rPr>
          <w:bCs/>
        </w:rPr>
        <w:t>T</w:t>
      </w:r>
      <w:r w:rsidRPr="00394101">
        <w:rPr>
          <w:bCs/>
        </w:rPr>
        <w:t xml:space="preserve">he Code Case provides adequate requirements </w:t>
      </w:r>
      <w:r>
        <w:rPr>
          <w:bCs/>
        </w:rPr>
        <w:t>for</w:t>
      </w:r>
      <w:r w:rsidRPr="00394101">
        <w:rPr>
          <w:bCs/>
        </w:rPr>
        <w:t xml:space="preserve"> the design, installation, pressure testing, and examinations of the inlay and onlay.  </w:t>
      </w:r>
      <w:r>
        <w:rPr>
          <w:bCs/>
        </w:rPr>
        <w:t>T</w:t>
      </w:r>
      <w:r w:rsidRPr="00394101">
        <w:rPr>
          <w:bCs/>
        </w:rPr>
        <w:t>he weld inlay and onlay using the Code Case provides reasonable assurance that the structural integrity of the repaired pipe will be maintained.  However, certain provisions of the Code Case are inadequate</w:t>
      </w:r>
      <w:r>
        <w:rPr>
          <w:bCs/>
        </w:rPr>
        <w:t>; therefore, the NRC has imposed five conditions</w:t>
      </w:r>
      <w:r w:rsidRPr="00394101">
        <w:rPr>
          <w:bCs/>
        </w:rPr>
        <w:t>.</w:t>
      </w:r>
    </w:p>
    <w:p w14:paraId="67944184" w14:textId="77777777" w:rsidR="00D53E6F" w:rsidRPr="00394101" w:rsidRDefault="00D53E6F" w:rsidP="00D53E6F">
      <w:pPr>
        <w:spacing w:line="240" w:lineRule="auto"/>
        <w:rPr>
          <w:bCs/>
        </w:rPr>
      </w:pPr>
    </w:p>
    <w:p w14:paraId="3DA24636" w14:textId="77777777" w:rsidR="00D53E6F" w:rsidRDefault="00D53E6F" w:rsidP="00D53E6F">
      <w:pPr>
        <w:spacing w:line="240" w:lineRule="auto"/>
        <w:rPr>
          <w:bCs/>
        </w:rPr>
      </w:pPr>
      <w:r w:rsidRPr="00394101">
        <w:rPr>
          <w:bCs/>
        </w:rPr>
        <w:t xml:space="preserve">The first condition on </w:t>
      </w:r>
      <w:r>
        <w:rPr>
          <w:bCs/>
        </w:rPr>
        <w:t xml:space="preserve">ASME </w:t>
      </w:r>
      <w:r w:rsidRPr="00394101">
        <w:rPr>
          <w:bCs/>
        </w:rPr>
        <w:t xml:space="preserve">Code Case N-766-1 is new and prohibits the </w:t>
      </w:r>
      <w:r>
        <w:rPr>
          <w:bCs/>
        </w:rPr>
        <w:t xml:space="preserve">reduction of </w:t>
      </w:r>
      <w:r w:rsidRPr="00394101">
        <w:rPr>
          <w:bCs/>
        </w:rPr>
        <w:t>inspection requirements of this Code Case for inlays or onlays applied to Alloy</w:t>
      </w:r>
      <w:r>
        <w:rPr>
          <w:bCs/>
        </w:rPr>
        <w:t> </w:t>
      </w:r>
      <w:r w:rsidRPr="00394101">
        <w:rPr>
          <w:bCs/>
        </w:rPr>
        <w:t xml:space="preserve">82/182 </w:t>
      </w:r>
      <w:r>
        <w:rPr>
          <w:bCs/>
        </w:rPr>
        <w:t>DMW</w:t>
      </w:r>
      <w:r w:rsidRPr="00394101">
        <w:rPr>
          <w:bCs/>
        </w:rPr>
        <w:t>s</w:t>
      </w:r>
      <w:r>
        <w:rPr>
          <w:bCs/>
        </w:rPr>
        <w:t>,</w:t>
      </w:r>
      <w:r w:rsidRPr="00394101">
        <w:rPr>
          <w:bCs/>
        </w:rPr>
        <w:t xml:space="preserve"> which contain an axial indication that has a depth of more than 25</w:t>
      </w:r>
      <w:r>
        <w:rPr>
          <w:bCs/>
        </w:rPr>
        <w:t> </w:t>
      </w:r>
      <w:r w:rsidRPr="00394101">
        <w:rPr>
          <w:bCs/>
        </w:rPr>
        <w:t xml:space="preserve">percent of the pipe wall thickness and a length of more than half </w:t>
      </w:r>
      <w:r>
        <w:rPr>
          <w:bCs/>
        </w:rPr>
        <w:t xml:space="preserve">the </w:t>
      </w:r>
      <w:r w:rsidRPr="00394101">
        <w:rPr>
          <w:bCs/>
        </w:rPr>
        <w:t xml:space="preserve">axial width of the </w:t>
      </w:r>
      <w:r>
        <w:rPr>
          <w:bCs/>
        </w:rPr>
        <w:t>DMW</w:t>
      </w:r>
      <w:r w:rsidRPr="00394101">
        <w:rPr>
          <w:bCs/>
        </w:rPr>
        <w:t xml:space="preserve"> or a circumferential indication that has a depth of more than 25</w:t>
      </w:r>
      <w:r>
        <w:rPr>
          <w:bCs/>
        </w:rPr>
        <w:t> </w:t>
      </w:r>
      <w:r w:rsidRPr="00394101">
        <w:rPr>
          <w:bCs/>
        </w:rPr>
        <w:t>percent of the pipe wall thickness and a length of more than 20</w:t>
      </w:r>
      <w:r>
        <w:rPr>
          <w:bCs/>
        </w:rPr>
        <w:t> </w:t>
      </w:r>
      <w:r w:rsidRPr="00394101">
        <w:rPr>
          <w:bCs/>
        </w:rPr>
        <w:t>percent of the circumference of the pipe.  Paragraph</w:t>
      </w:r>
      <w:r>
        <w:rPr>
          <w:bCs/>
        </w:rPr>
        <w:t> </w:t>
      </w:r>
      <w:r w:rsidRPr="00394101">
        <w:rPr>
          <w:bCs/>
        </w:rPr>
        <w:t xml:space="preserve">1(c)(1) of the Code Case states </w:t>
      </w:r>
      <w:r>
        <w:rPr>
          <w:bCs/>
        </w:rPr>
        <w:t>the following</w:t>
      </w:r>
      <w:r w:rsidRPr="00394101">
        <w:rPr>
          <w:bCs/>
        </w:rPr>
        <w:t>:</w:t>
      </w:r>
    </w:p>
    <w:p w14:paraId="156C569E" w14:textId="77777777" w:rsidR="00D53E6F" w:rsidRPr="00394101" w:rsidRDefault="00D53E6F" w:rsidP="00D53E6F">
      <w:pPr>
        <w:spacing w:line="240" w:lineRule="auto"/>
        <w:rPr>
          <w:bCs/>
        </w:rPr>
      </w:pPr>
    </w:p>
    <w:p w14:paraId="7843AC6F" w14:textId="77777777" w:rsidR="00D53E6F" w:rsidRDefault="00D53E6F" w:rsidP="00D53E6F">
      <w:pPr>
        <w:spacing w:line="240" w:lineRule="auto"/>
        <w:ind w:left="720" w:right="720"/>
        <w:rPr>
          <w:bCs/>
        </w:rPr>
      </w:pPr>
      <w:r w:rsidRPr="00394101">
        <w:rPr>
          <w:bCs/>
        </w:rPr>
        <w:t>Indications detected in the examination of 3(b)(1) that exceed the acceptance standards of IWB</w:t>
      </w:r>
      <w:r>
        <w:rPr>
          <w:bCs/>
        </w:rPr>
        <w:noBreakHyphen/>
      </w:r>
      <w:r w:rsidRPr="00394101">
        <w:rPr>
          <w:bCs/>
        </w:rPr>
        <w:t>3514 shall be corrected in accordance with the defect removal requirements of IWA</w:t>
      </w:r>
      <w:r>
        <w:rPr>
          <w:bCs/>
        </w:rPr>
        <w:noBreakHyphen/>
      </w:r>
      <w:r w:rsidRPr="00394101">
        <w:rPr>
          <w:bCs/>
        </w:rPr>
        <w:t xml:space="preserve">4000. </w:t>
      </w:r>
      <w:r>
        <w:rPr>
          <w:bCs/>
        </w:rPr>
        <w:t xml:space="preserve"> </w:t>
      </w:r>
      <w:r w:rsidRPr="00394101">
        <w:rPr>
          <w:bCs/>
        </w:rPr>
        <w:t>Alternatively, indications that do not meet the acceptance standards of IWB</w:t>
      </w:r>
      <w:r>
        <w:rPr>
          <w:bCs/>
        </w:rPr>
        <w:noBreakHyphen/>
      </w:r>
      <w:r w:rsidRPr="00394101">
        <w:rPr>
          <w:bCs/>
        </w:rPr>
        <w:t>3514 may be accepted by analytical evaluation in accordance with IWB</w:t>
      </w:r>
      <w:r>
        <w:rPr>
          <w:bCs/>
        </w:rPr>
        <w:noBreakHyphen/>
      </w:r>
      <w:r w:rsidRPr="00394101">
        <w:rPr>
          <w:bCs/>
        </w:rPr>
        <w:t>3600</w:t>
      </w:r>
      <w:r>
        <w:rPr>
          <w:bCs/>
        </w:rPr>
        <w:t>.</w:t>
      </w:r>
    </w:p>
    <w:p w14:paraId="573B11A3" w14:textId="77777777" w:rsidR="00D53E6F" w:rsidRPr="00394101" w:rsidRDefault="00D53E6F" w:rsidP="00D53E6F">
      <w:pPr>
        <w:spacing w:line="240" w:lineRule="auto"/>
        <w:rPr>
          <w:bCs/>
        </w:rPr>
      </w:pPr>
    </w:p>
    <w:p w14:paraId="10208909" w14:textId="2812673D" w:rsidR="00D53E6F" w:rsidRDefault="00D53E6F" w:rsidP="00D53E6F">
      <w:pPr>
        <w:spacing w:line="240" w:lineRule="auto"/>
        <w:rPr>
          <w:bCs/>
        </w:rPr>
      </w:pPr>
      <w:r w:rsidRPr="00394101">
        <w:rPr>
          <w:bCs/>
        </w:rPr>
        <w:t>The above alternative would allow a flaw with a maximum depth of 75</w:t>
      </w:r>
      <w:r>
        <w:rPr>
          <w:bCs/>
        </w:rPr>
        <w:noBreakHyphen/>
      </w:r>
      <w:r w:rsidRPr="00394101">
        <w:rPr>
          <w:bCs/>
        </w:rPr>
        <w:t>percent through</w:t>
      </w:r>
      <w:r>
        <w:rPr>
          <w:bCs/>
        </w:rPr>
        <w:noBreakHyphen/>
      </w:r>
      <w:r w:rsidRPr="00394101">
        <w:rPr>
          <w:bCs/>
        </w:rPr>
        <w:t xml:space="preserve">wall to remain in service in accordance with ASME </w:t>
      </w:r>
      <w:r>
        <w:rPr>
          <w:bCs/>
        </w:rPr>
        <w:t xml:space="preserve">BPV </w:t>
      </w:r>
      <w:r w:rsidRPr="00394101">
        <w:rPr>
          <w:bCs/>
        </w:rPr>
        <w:t>Code</w:t>
      </w:r>
      <w:r>
        <w:rPr>
          <w:bCs/>
        </w:rPr>
        <w:t>,</w:t>
      </w:r>
      <w:r w:rsidRPr="00394101">
        <w:rPr>
          <w:bCs/>
        </w:rPr>
        <w:t xml:space="preserve"> Section XI, IWB</w:t>
      </w:r>
      <w:r>
        <w:rPr>
          <w:bCs/>
        </w:rPr>
        <w:noBreakHyphen/>
      </w:r>
      <w:r w:rsidRPr="00394101">
        <w:rPr>
          <w:bCs/>
        </w:rPr>
        <w:t xml:space="preserve">3643.  Even if the inlay or onlay will isolate the </w:t>
      </w:r>
      <w:r>
        <w:rPr>
          <w:bCs/>
        </w:rPr>
        <w:t>DMW</w:t>
      </w:r>
      <w:r w:rsidRPr="00394101">
        <w:rPr>
          <w:bCs/>
        </w:rPr>
        <w:t xml:space="preserve"> from the reactor coolant to minimize the potential for stress</w:t>
      </w:r>
      <w:r>
        <w:rPr>
          <w:bCs/>
        </w:rPr>
        <w:noBreakHyphen/>
      </w:r>
      <w:r w:rsidRPr="00394101">
        <w:rPr>
          <w:bCs/>
        </w:rPr>
        <w:t>corrosion cracking, the NRC finds that having a 75</w:t>
      </w:r>
      <w:r>
        <w:rPr>
          <w:bCs/>
        </w:rPr>
        <w:noBreakHyphen/>
      </w:r>
      <w:r w:rsidRPr="00394101">
        <w:rPr>
          <w:bCs/>
        </w:rPr>
        <w:t>percent flaw in the Alloy</w:t>
      </w:r>
      <w:r>
        <w:rPr>
          <w:bCs/>
        </w:rPr>
        <w:t> </w:t>
      </w:r>
      <w:r w:rsidRPr="00394101">
        <w:rPr>
          <w:bCs/>
        </w:rPr>
        <w:t>82/182 weld does not provide reasonable assurance of the structural integrity of the pipe.  The NRC finds that the indication in the Alloy</w:t>
      </w:r>
      <w:r>
        <w:rPr>
          <w:bCs/>
        </w:rPr>
        <w:t> </w:t>
      </w:r>
      <w:r w:rsidRPr="00394101">
        <w:rPr>
          <w:bCs/>
        </w:rPr>
        <w:t>82/182 weld needs to be limited in size to ensure structural integrity of the weld.</w:t>
      </w:r>
    </w:p>
    <w:p w14:paraId="4B35EA8C" w14:textId="77777777" w:rsidR="00D53E6F" w:rsidRPr="00394101" w:rsidRDefault="00D53E6F" w:rsidP="00D53E6F">
      <w:pPr>
        <w:spacing w:line="240" w:lineRule="auto"/>
        <w:rPr>
          <w:bCs/>
        </w:rPr>
      </w:pPr>
    </w:p>
    <w:p w14:paraId="6E73D340" w14:textId="77777777" w:rsidR="00D53E6F" w:rsidRDefault="00D53E6F" w:rsidP="00D53E6F">
      <w:pPr>
        <w:spacing w:line="240" w:lineRule="auto"/>
        <w:rPr>
          <w:bCs/>
        </w:rPr>
      </w:pPr>
      <w:r w:rsidRPr="00394101">
        <w:rPr>
          <w:bCs/>
        </w:rPr>
        <w:t xml:space="preserve">The second condition on </w:t>
      </w:r>
      <w:r>
        <w:rPr>
          <w:bCs/>
        </w:rPr>
        <w:t xml:space="preserve">ASME </w:t>
      </w:r>
      <w:r w:rsidRPr="00394101">
        <w:rPr>
          <w:bCs/>
        </w:rPr>
        <w:t>Code Case N-766-1 is new and modifies the Code Case to require that pip</w:t>
      </w:r>
      <w:r>
        <w:rPr>
          <w:bCs/>
        </w:rPr>
        <w:t>ing</w:t>
      </w:r>
      <w:r w:rsidRPr="00394101">
        <w:rPr>
          <w:bCs/>
        </w:rPr>
        <w:t xml:space="preserve"> with any thickness of inlay or onlay must be evaluated for weld shrinkage, pipe system flexibility, and additional weight of the inlay or onlay.  Paragraph 2(e) of the Code Case states </w:t>
      </w:r>
      <w:r>
        <w:rPr>
          <w:bCs/>
        </w:rPr>
        <w:t>the following</w:t>
      </w:r>
      <w:r w:rsidRPr="00394101">
        <w:rPr>
          <w:bCs/>
        </w:rPr>
        <w:t>:</w:t>
      </w:r>
    </w:p>
    <w:p w14:paraId="6C7C28A5" w14:textId="77777777" w:rsidR="00D53E6F" w:rsidRPr="00394101" w:rsidRDefault="00D53E6F" w:rsidP="00D53E6F">
      <w:pPr>
        <w:spacing w:line="240" w:lineRule="auto"/>
        <w:rPr>
          <w:bCs/>
        </w:rPr>
      </w:pPr>
    </w:p>
    <w:p w14:paraId="72303F72" w14:textId="77777777" w:rsidR="00D53E6F" w:rsidRDefault="00D53E6F" w:rsidP="00D53E6F">
      <w:pPr>
        <w:spacing w:line="240" w:lineRule="auto"/>
        <w:ind w:left="720" w:right="720"/>
        <w:rPr>
          <w:bCs/>
        </w:rPr>
      </w:pPr>
      <w:r w:rsidRPr="00394101">
        <w:rPr>
          <w:bCs/>
        </w:rPr>
        <w:t>If the inlay or onlay deposited in accordance with this Case is thicker than 1/8t, where t is the original nominal DMW thickness, the effects of any change in applied loads, as a result of weld shrinkage from the entire inlay or onlay, on other items in the piping system (e.g., support loads and clearances, nozzle loads, and changes in system flexibility and weight due to the inlay or onlay) shall be evaluated.  Existing flaws previously accepted by analytical evaluation shall be evaluated in accordance with IWB</w:t>
      </w:r>
      <w:r w:rsidRPr="00394101">
        <w:rPr>
          <w:bCs/>
        </w:rPr>
        <w:noBreakHyphen/>
        <w:t>3640</w:t>
      </w:r>
      <w:r>
        <w:rPr>
          <w:bCs/>
        </w:rPr>
        <w:t>.</w:t>
      </w:r>
    </w:p>
    <w:p w14:paraId="3FFEDBD8" w14:textId="77777777" w:rsidR="00D53E6F" w:rsidRPr="00394101" w:rsidRDefault="00D53E6F" w:rsidP="00D53E6F">
      <w:pPr>
        <w:spacing w:line="240" w:lineRule="auto"/>
        <w:rPr>
          <w:bCs/>
        </w:rPr>
      </w:pPr>
    </w:p>
    <w:p w14:paraId="2F44C8CF" w14:textId="650F69F9" w:rsidR="00D53E6F" w:rsidRPr="008057B7" w:rsidRDefault="00D53E6F" w:rsidP="00D53E6F">
      <w:pPr>
        <w:spacing w:line="240" w:lineRule="auto"/>
        <w:rPr>
          <w:bCs/>
        </w:rPr>
      </w:pPr>
      <w:r w:rsidRPr="008057B7">
        <w:rPr>
          <w:bCs/>
        </w:rPr>
        <w:t>The NRC finds that a pipe with any thickness of inlay or onlay must be evaluated for weld shrinkage, pipe system flexibility, and the additional weight of the inlay or onlay.  This clarifies the expected welding process; it is not a new requirement.</w:t>
      </w:r>
    </w:p>
    <w:p w14:paraId="7CD870C8" w14:textId="77777777" w:rsidR="00D53E6F" w:rsidRPr="008057B7" w:rsidRDefault="00D53E6F" w:rsidP="00D53E6F">
      <w:pPr>
        <w:spacing w:line="240" w:lineRule="auto"/>
        <w:rPr>
          <w:bCs/>
        </w:rPr>
      </w:pPr>
    </w:p>
    <w:p w14:paraId="166BA2B8" w14:textId="1B6154FE" w:rsidR="00D53E6F" w:rsidRPr="008057B7" w:rsidRDefault="00D53E6F" w:rsidP="00D53E6F">
      <w:pPr>
        <w:spacing w:line="240" w:lineRule="auto"/>
        <w:rPr>
          <w:bCs/>
        </w:rPr>
      </w:pPr>
      <w:r w:rsidRPr="008057B7">
        <w:rPr>
          <w:bCs/>
        </w:rPr>
        <w:t>The third condition on ASME Code Case N-766-1 is new.  The third condition sets reexamination requirements for inlay or onlay when applied to Alloy 82/182 DMWs with any indication that it exceeds the acceptance standards of ASME BPV Code, Section XI, IWB</w:t>
      </w:r>
      <w:r w:rsidRPr="008057B7">
        <w:rPr>
          <w:bCs/>
        </w:rPr>
        <w:noBreakHyphen/>
        <w:t>3514 and is accepted for continued service in accordance with IWB</w:t>
      </w:r>
      <w:r w:rsidRPr="008057B7">
        <w:rPr>
          <w:bCs/>
        </w:rPr>
        <w:noBreakHyphen/>
        <w:t>3132.3 or IWB</w:t>
      </w:r>
      <w:r w:rsidRPr="008057B7">
        <w:rPr>
          <w:bCs/>
        </w:rPr>
        <w:noBreakHyphen/>
        <w:t>3142.4.  This condition states that the subject weld must be inspected in three successive examinations after the installation of the inlay or onlay.  The NRC has concerns about the Code Case permitting indications exceeding IWB</w:t>
      </w:r>
      <w:r w:rsidRPr="008057B7">
        <w:rPr>
          <w:bCs/>
        </w:rPr>
        <w:noBreakHyphen/>
        <w:t>3514 to remain in service after inlay or onlay installation based on the analytical evaluation of IWB</w:t>
      </w:r>
      <w:r w:rsidRPr="008057B7">
        <w:rPr>
          <w:bCs/>
        </w:rPr>
        <w:noBreakHyphen/>
        <w:t>3600.  IWB</w:t>
      </w:r>
      <w:r w:rsidRPr="008057B7">
        <w:rPr>
          <w:bCs/>
        </w:rPr>
        <w:noBreakHyphen/>
        <w:t>2420 requires three successive examinations for indications that are permitted to remain in service per IWB</w:t>
      </w:r>
      <w:r w:rsidRPr="008057B7">
        <w:rPr>
          <w:bCs/>
        </w:rPr>
        <w:noBreakHyphen/>
        <w:t>3600.  The Code Case does not discuss the three successive examinations.  If an inlay or onlay is applied to an Alloy 82/182 DMW that contains an indication that exceeds the acceptance standards of IWB-3514 and is accepted for continued service in accordance with IWB-3132.3 or IWB</w:t>
      </w:r>
      <w:r w:rsidRPr="008057B7">
        <w:rPr>
          <w:bCs/>
        </w:rPr>
        <w:noBreakHyphen/>
        <w:t>3142.4, the subject weld must be inspected in three successive examinations after inlay or onlay installation.  The NRC is imposing this condition to ensure performance of the three successive examinations.</w:t>
      </w:r>
    </w:p>
    <w:p w14:paraId="3A4E1C46" w14:textId="77777777" w:rsidR="00D53E6F" w:rsidRPr="008057B7" w:rsidRDefault="00D53E6F" w:rsidP="00D53E6F">
      <w:pPr>
        <w:spacing w:line="240" w:lineRule="auto"/>
        <w:rPr>
          <w:bCs/>
        </w:rPr>
      </w:pPr>
    </w:p>
    <w:p w14:paraId="619F8271" w14:textId="77777777" w:rsidR="00D53E6F" w:rsidRDefault="00D53E6F" w:rsidP="00D53E6F">
      <w:pPr>
        <w:spacing w:line="240" w:lineRule="auto"/>
        <w:rPr>
          <w:bCs/>
        </w:rPr>
      </w:pPr>
      <w:r w:rsidRPr="008057B7">
        <w:rPr>
          <w:bCs/>
        </w:rPr>
        <w:t>The fourth condition on ASME Code Case N-766-1 is new and prohibits an inlay or onlay from remaining in service when eddy current testing during acceptance examinations discovers a detectable subsurface indication.  Operational experience has shown that subsurface flaws on Alloy 52 welds for upper heads may be very near the surface.  However, these flaws are undetectable by liquid dye penetrant because there are no surface</w:t>
      </w:r>
      <w:r w:rsidRPr="008057B7">
        <w:rPr>
          <w:bCs/>
        </w:rPr>
        <w:noBreakHyphen/>
        <w:t>breaking aspects during initial construction.  Nevertheless, in multiple cases, after a plant goes through one or two cycles of operation, these defects become exposed to the primary coolant.  The exposure of these subsurface defects to primary coolant challenges the effectiveness of the Alloy 52 weld</w:t>
      </w:r>
      <w:r w:rsidRPr="00394101">
        <w:rPr>
          <w:bCs/>
        </w:rPr>
        <w:t xml:space="preserve"> mitigation of only 3</w:t>
      </w:r>
      <w:r>
        <w:rPr>
          <w:bCs/>
        </w:rPr>
        <w:t> millimeters</w:t>
      </w:r>
      <w:r w:rsidRPr="00394101">
        <w:rPr>
          <w:bCs/>
        </w:rPr>
        <w:t xml:space="preserve"> in total thickness.  In the upper head scenario, these welds are inspected </w:t>
      </w:r>
      <w:r>
        <w:rPr>
          <w:bCs/>
        </w:rPr>
        <w:t xml:space="preserve">during </w:t>
      </w:r>
      <w:r w:rsidRPr="00394101">
        <w:rPr>
          <w:bCs/>
        </w:rPr>
        <w:t xml:space="preserve">each outage.  </w:t>
      </w:r>
      <w:r>
        <w:rPr>
          <w:bCs/>
        </w:rPr>
        <w:t>T</w:t>
      </w:r>
      <w:r w:rsidRPr="00394101">
        <w:rPr>
          <w:bCs/>
        </w:rPr>
        <w:t>o allow the extension of the inspection frequency to that defined by 10</w:t>
      </w:r>
      <w:r>
        <w:rPr>
          <w:bCs/>
        </w:rPr>
        <w:t> </w:t>
      </w:r>
      <w:r w:rsidRPr="00394101">
        <w:rPr>
          <w:bCs/>
        </w:rPr>
        <w:t>CFR</w:t>
      </w:r>
      <w:r>
        <w:rPr>
          <w:bCs/>
        </w:rPr>
        <w:t> </w:t>
      </w:r>
      <w:r w:rsidRPr="00394101">
        <w:rPr>
          <w:bCs/>
        </w:rPr>
        <w:t xml:space="preserve">50.55a(g)(6)(ii)(F), the NRC found that all subsurface indications detectable by eddy current examination should be removed from the </w:t>
      </w:r>
      <w:r>
        <w:rPr>
          <w:bCs/>
        </w:rPr>
        <w:t>A</w:t>
      </w:r>
      <w:r w:rsidRPr="00394101">
        <w:rPr>
          <w:bCs/>
        </w:rPr>
        <w:t>lloy</w:t>
      </w:r>
      <w:r>
        <w:rPr>
          <w:bCs/>
        </w:rPr>
        <w:t> </w:t>
      </w:r>
      <w:r w:rsidRPr="00394101">
        <w:rPr>
          <w:bCs/>
        </w:rPr>
        <w:t>52 weld layer.</w:t>
      </w:r>
      <w:r>
        <w:rPr>
          <w:bCs/>
        </w:rPr>
        <w:t xml:space="preserve">  This clarifies the expected welding process; it is not a new requirement in that sense.</w:t>
      </w:r>
    </w:p>
    <w:p w14:paraId="3F5C2129" w14:textId="77777777" w:rsidR="00D53E6F" w:rsidRPr="00394101" w:rsidRDefault="00D53E6F" w:rsidP="00D53E6F">
      <w:pPr>
        <w:spacing w:line="240" w:lineRule="auto"/>
        <w:rPr>
          <w:bCs/>
        </w:rPr>
      </w:pPr>
    </w:p>
    <w:p w14:paraId="4C710240" w14:textId="00065E75" w:rsidR="00D53E6F" w:rsidRDefault="00D53E6F" w:rsidP="00D53E6F">
      <w:pPr>
        <w:spacing w:line="240" w:lineRule="auto"/>
        <w:rPr>
          <w:bCs/>
        </w:rPr>
      </w:pPr>
      <w:r w:rsidRPr="00394101">
        <w:rPr>
          <w:bCs/>
        </w:rPr>
        <w:t xml:space="preserve">The fifth condition on </w:t>
      </w:r>
      <w:r>
        <w:rPr>
          <w:bCs/>
        </w:rPr>
        <w:t xml:space="preserve">ASME </w:t>
      </w:r>
      <w:r w:rsidRPr="00394101">
        <w:rPr>
          <w:bCs/>
        </w:rPr>
        <w:t xml:space="preserve">Code Case N-766-1 is new and requires </w:t>
      </w:r>
      <w:r>
        <w:rPr>
          <w:bCs/>
        </w:rPr>
        <w:t>the</w:t>
      </w:r>
      <w:r w:rsidRPr="00394101">
        <w:rPr>
          <w:bCs/>
        </w:rPr>
        <w:t xml:space="preserve"> flaw analysis of </w:t>
      </w:r>
      <w:r>
        <w:rPr>
          <w:bCs/>
        </w:rPr>
        <w:t>P</w:t>
      </w:r>
      <w:r w:rsidRPr="00394101">
        <w:rPr>
          <w:bCs/>
        </w:rPr>
        <w:t>aragraph</w:t>
      </w:r>
      <w:r>
        <w:rPr>
          <w:bCs/>
        </w:rPr>
        <w:t> </w:t>
      </w:r>
      <w:r w:rsidRPr="00394101">
        <w:rPr>
          <w:bCs/>
        </w:rPr>
        <w:t xml:space="preserve">2(d) of the Code Case </w:t>
      </w:r>
      <w:r>
        <w:rPr>
          <w:bCs/>
        </w:rPr>
        <w:t>to</w:t>
      </w:r>
      <w:r w:rsidRPr="00394101">
        <w:rPr>
          <w:bCs/>
        </w:rPr>
        <w:t xml:space="preserve"> consider </w:t>
      </w:r>
      <w:r>
        <w:rPr>
          <w:bCs/>
        </w:rPr>
        <w:t>PWSCC</w:t>
      </w:r>
      <w:r w:rsidRPr="00394101">
        <w:rPr>
          <w:bCs/>
        </w:rPr>
        <w:t xml:space="preserve"> growth in the circumferential and axial directions in accordance with IWB</w:t>
      </w:r>
      <w:r>
        <w:rPr>
          <w:bCs/>
        </w:rPr>
        <w:noBreakHyphen/>
      </w:r>
      <w:r w:rsidRPr="00394101">
        <w:rPr>
          <w:bCs/>
        </w:rPr>
        <w:t xml:space="preserve">3640.  The postulated flaw evaluation in the Code Case requires only a fatigue analysis.  Conservative generic analysis by the NRC has raised the concern that a </w:t>
      </w:r>
      <w:r>
        <w:rPr>
          <w:bCs/>
        </w:rPr>
        <w:t>PWSCC</w:t>
      </w:r>
      <w:r w:rsidRPr="00394101">
        <w:rPr>
          <w:bCs/>
        </w:rPr>
        <w:t xml:space="preserve"> could potentially grow through the inner </w:t>
      </w:r>
      <w:r>
        <w:rPr>
          <w:bCs/>
        </w:rPr>
        <w:t>A</w:t>
      </w:r>
      <w:r w:rsidRPr="00394101">
        <w:rPr>
          <w:bCs/>
        </w:rPr>
        <w:t>lloy</w:t>
      </w:r>
      <w:r>
        <w:rPr>
          <w:bCs/>
        </w:rPr>
        <w:t> </w:t>
      </w:r>
      <w:r w:rsidRPr="00394101">
        <w:rPr>
          <w:bCs/>
        </w:rPr>
        <w:t xml:space="preserve">52 weld layer and into the highly susceptible </w:t>
      </w:r>
      <w:r>
        <w:rPr>
          <w:bCs/>
        </w:rPr>
        <w:t>A</w:t>
      </w:r>
      <w:r w:rsidRPr="00394101">
        <w:rPr>
          <w:bCs/>
        </w:rPr>
        <w:t>lloy</w:t>
      </w:r>
      <w:r>
        <w:rPr>
          <w:bCs/>
        </w:rPr>
        <w:t> </w:t>
      </w:r>
      <w:r w:rsidRPr="00394101">
        <w:rPr>
          <w:bCs/>
        </w:rPr>
        <w:t>82/182 weld material to a depth of 75</w:t>
      </w:r>
      <w:r>
        <w:rPr>
          <w:bCs/>
        </w:rPr>
        <w:noBreakHyphen/>
      </w:r>
      <w:r w:rsidRPr="00394101">
        <w:rPr>
          <w:bCs/>
        </w:rPr>
        <w:t>percent through-wall within the period of reexamination frequency required by 10</w:t>
      </w:r>
      <w:r>
        <w:rPr>
          <w:bCs/>
        </w:rPr>
        <w:t> </w:t>
      </w:r>
      <w:r w:rsidRPr="00394101">
        <w:rPr>
          <w:bCs/>
        </w:rPr>
        <w:t>CFR</w:t>
      </w:r>
      <w:r>
        <w:rPr>
          <w:bCs/>
        </w:rPr>
        <w:t> </w:t>
      </w:r>
      <w:r w:rsidRPr="00394101">
        <w:rPr>
          <w:bCs/>
        </w:rPr>
        <w:t xml:space="preserve">50.55a(g)(6)(ii)(F).  Therefore, users of this Code Case will verify, for each weld, that </w:t>
      </w:r>
      <w:r>
        <w:rPr>
          <w:bCs/>
        </w:rPr>
        <w:t>a PWSCC</w:t>
      </w:r>
      <w:r w:rsidRPr="00394101">
        <w:rPr>
          <w:bCs/>
        </w:rPr>
        <w:t xml:space="preserve"> will not reach a depth of 75</w:t>
      </w:r>
      <w:r>
        <w:rPr>
          <w:bCs/>
        </w:rPr>
        <w:noBreakHyphen/>
      </w:r>
      <w:r w:rsidRPr="00394101">
        <w:rPr>
          <w:bCs/>
        </w:rPr>
        <w:t>percent through</w:t>
      </w:r>
      <w:r>
        <w:rPr>
          <w:bCs/>
        </w:rPr>
        <w:noBreakHyphen/>
      </w:r>
      <w:r w:rsidRPr="00394101">
        <w:rPr>
          <w:bCs/>
        </w:rPr>
        <w:t>wall within the required reinspection interval.</w:t>
      </w:r>
      <w:r>
        <w:rPr>
          <w:bCs/>
        </w:rPr>
        <w:t xml:space="preserve">  This clarifies the expectations of Paragraph 2(d) of the Code Case and has no additional burden.</w:t>
      </w:r>
    </w:p>
    <w:p w14:paraId="267041B8" w14:textId="77777777" w:rsidR="00D53E6F" w:rsidRDefault="00D53E6F" w:rsidP="00D53E6F">
      <w:pPr>
        <w:spacing w:line="240" w:lineRule="auto"/>
        <w:rPr>
          <w:bCs/>
        </w:rPr>
      </w:pPr>
    </w:p>
    <w:p w14:paraId="3B95FBF9" w14:textId="77777777" w:rsidR="00D53E6F" w:rsidRDefault="00D53E6F" w:rsidP="00D53E6F">
      <w:pPr>
        <w:spacing w:line="240" w:lineRule="auto"/>
        <w:rPr>
          <w:bCs/>
        </w:rPr>
      </w:pPr>
      <w:r>
        <w:rPr>
          <w:bCs/>
        </w:rPr>
        <w:t xml:space="preserve">The NRC </w:t>
      </w:r>
      <w:r>
        <w:t>does not expect industry to incur</w:t>
      </w:r>
      <w:r>
        <w:rPr>
          <w:bCs/>
        </w:rPr>
        <w:t xml:space="preserve"> incremental implementation costs as a result of these conditions.  However, the first condition does result in incremental operation costs</w:t>
      </w:r>
      <w:r w:rsidRPr="0071729F">
        <w:rPr>
          <w:bCs/>
        </w:rPr>
        <w:t xml:space="preserve"> </w:t>
      </w:r>
      <w:r>
        <w:rPr>
          <w:bCs/>
        </w:rPr>
        <w:t>to industry, as discussed in Section 5.4.13.</w:t>
      </w:r>
    </w:p>
    <w:p w14:paraId="03F047EB" w14:textId="77777777" w:rsidR="00D53E6F" w:rsidRDefault="00D53E6F" w:rsidP="00D53E6F">
      <w:pPr>
        <w:spacing w:line="240" w:lineRule="auto"/>
        <w:rPr>
          <w:lang w:val="en"/>
        </w:rPr>
      </w:pPr>
    </w:p>
    <w:p w14:paraId="3403A849" w14:textId="77777777" w:rsidR="00D53E6F" w:rsidRDefault="00D53E6F" w:rsidP="00D53E6F">
      <w:pPr>
        <w:pStyle w:val="Heading3"/>
        <w:spacing w:line="240" w:lineRule="auto"/>
        <w:ind w:left="900" w:hanging="900"/>
      </w:pPr>
      <w:bookmarkStart w:id="159" w:name="_Toc12808804"/>
      <w:r>
        <w:t>5.3.14</w:t>
      </w:r>
      <w:r>
        <w:tab/>
      </w:r>
      <w:r w:rsidRPr="0037779F">
        <w:rPr>
          <w:szCs w:val="22"/>
        </w:rPr>
        <w:t>Ultrasonic Examination of Cast Austenitic Piping Welds</w:t>
      </w:r>
      <w:r>
        <w:rPr>
          <w:szCs w:val="22"/>
        </w:rPr>
        <w:t xml:space="preserve"> f</w:t>
      </w:r>
      <w:r w:rsidRPr="0037779F">
        <w:rPr>
          <w:szCs w:val="22"/>
        </w:rPr>
        <w:t>rom the Outside Surface, Section</w:t>
      </w:r>
      <w:r>
        <w:rPr>
          <w:szCs w:val="22"/>
        </w:rPr>
        <w:t> </w:t>
      </w:r>
      <w:r w:rsidRPr="0037779F">
        <w:rPr>
          <w:szCs w:val="22"/>
        </w:rPr>
        <w:t>XI, Division</w:t>
      </w:r>
      <w:r>
        <w:rPr>
          <w:szCs w:val="22"/>
        </w:rPr>
        <w:t> </w:t>
      </w:r>
      <w:r w:rsidRPr="0037779F">
        <w:rPr>
          <w:szCs w:val="22"/>
        </w:rPr>
        <w:t>1</w:t>
      </w:r>
      <w:bookmarkEnd w:id="159"/>
    </w:p>
    <w:p w14:paraId="0B5BCEEA" w14:textId="77777777" w:rsidR="00D53E6F" w:rsidRDefault="00D53E6F" w:rsidP="00D53E6F">
      <w:pPr>
        <w:spacing w:line="240" w:lineRule="auto"/>
      </w:pPr>
    </w:p>
    <w:p w14:paraId="5C1DAB0B" w14:textId="77777777" w:rsidR="00D53E6F" w:rsidRDefault="00D53E6F" w:rsidP="00D53E6F">
      <w:pPr>
        <w:spacing w:line="240" w:lineRule="auto"/>
        <w:rPr>
          <w:bCs/>
        </w:rPr>
      </w:pPr>
      <w:r>
        <w:rPr>
          <w:bCs/>
        </w:rPr>
        <w:t xml:space="preserve">ASME </w:t>
      </w:r>
      <w:r w:rsidRPr="00394101">
        <w:rPr>
          <w:bCs/>
        </w:rPr>
        <w:t>Code Case N-824 is a new Code Case for the examination of c</w:t>
      </w:r>
      <w:r w:rsidRPr="0074599C">
        <w:rPr>
          <w:bCs/>
        </w:rPr>
        <w:t xml:space="preserve">ast </w:t>
      </w:r>
      <w:r w:rsidRPr="00394101">
        <w:rPr>
          <w:bCs/>
        </w:rPr>
        <w:t>a</w:t>
      </w:r>
      <w:r w:rsidRPr="0074599C">
        <w:rPr>
          <w:bCs/>
        </w:rPr>
        <w:t xml:space="preserve">ustenitic </w:t>
      </w:r>
      <w:r w:rsidRPr="00394101">
        <w:rPr>
          <w:bCs/>
        </w:rPr>
        <w:t>p</w:t>
      </w:r>
      <w:r w:rsidRPr="0074599C">
        <w:rPr>
          <w:bCs/>
        </w:rPr>
        <w:t xml:space="preserve">iping </w:t>
      </w:r>
      <w:r w:rsidRPr="00394101">
        <w:rPr>
          <w:bCs/>
        </w:rPr>
        <w:t>w</w:t>
      </w:r>
      <w:r w:rsidRPr="0074599C">
        <w:rPr>
          <w:bCs/>
        </w:rPr>
        <w:t xml:space="preserve">elds </w:t>
      </w:r>
      <w:r w:rsidRPr="00394101">
        <w:rPr>
          <w:bCs/>
        </w:rPr>
        <w:t>f</w:t>
      </w:r>
      <w:r w:rsidRPr="0074599C">
        <w:rPr>
          <w:bCs/>
        </w:rPr>
        <w:t xml:space="preserve">rom the </w:t>
      </w:r>
      <w:r w:rsidRPr="00394101">
        <w:rPr>
          <w:bCs/>
        </w:rPr>
        <w:t>o</w:t>
      </w:r>
      <w:r w:rsidRPr="0074599C">
        <w:rPr>
          <w:bCs/>
        </w:rPr>
        <w:t xml:space="preserve">utside </w:t>
      </w:r>
      <w:r w:rsidRPr="00394101">
        <w:rPr>
          <w:bCs/>
        </w:rPr>
        <w:t>s</w:t>
      </w:r>
      <w:r w:rsidRPr="0074599C">
        <w:rPr>
          <w:bCs/>
        </w:rPr>
        <w:t>urface</w:t>
      </w:r>
      <w:r w:rsidRPr="00394101">
        <w:rPr>
          <w:bCs/>
        </w:rPr>
        <w:t xml:space="preserve">. </w:t>
      </w:r>
      <w:r>
        <w:rPr>
          <w:bCs/>
        </w:rPr>
        <w:t xml:space="preserve"> Using</w:t>
      </w:r>
      <w:r w:rsidRPr="00394101">
        <w:rPr>
          <w:bCs/>
        </w:rPr>
        <w:t xml:space="preserve"> NUREG/CR-6933</w:t>
      </w:r>
      <w:r>
        <w:rPr>
          <w:bCs/>
        </w:rPr>
        <w:t>, “</w:t>
      </w:r>
      <w:r>
        <w:t>Assessment of Crack Detection in Heavy-Walled Cast Stainless Steel Piping Welds Using Advanced Low</w:t>
      </w:r>
      <w:r>
        <w:noBreakHyphen/>
        <w:t>Frequency Ultrasonic Methods,” issued March 2007 (NRC 2007),</w:t>
      </w:r>
      <w:r w:rsidRPr="00394101">
        <w:rPr>
          <w:bCs/>
        </w:rPr>
        <w:t xml:space="preserve"> and NUREG/CR-7122, </w:t>
      </w:r>
      <w:r>
        <w:t xml:space="preserve">“An Evaluation of Ultrasonic Phased Array Testing for Cast Austenitic Stainless Steel Pressurizer Surge Line Piping Welds,” issued March 2012 (NRC 2012), the NRC </w:t>
      </w:r>
      <w:r w:rsidRPr="00394101">
        <w:rPr>
          <w:bCs/>
        </w:rPr>
        <w:t xml:space="preserve">has </w:t>
      </w:r>
      <w:r>
        <w:rPr>
          <w:bCs/>
        </w:rPr>
        <w:t>determined that inspections of cast austenitic stainless steel</w:t>
      </w:r>
      <w:r w:rsidRPr="00394101">
        <w:rPr>
          <w:bCs/>
        </w:rPr>
        <w:t xml:space="preserve"> </w:t>
      </w:r>
      <w:r>
        <w:rPr>
          <w:bCs/>
        </w:rPr>
        <w:t xml:space="preserve">(CASS) </w:t>
      </w:r>
      <w:r w:rsidRPr="00394101">
        <w:rPr>
          <w:bCs/>
        </w:rPr>
        <w:t xml:space="preserve">materials are very challenging and </w:t>
      </w:r>
      <w:r>
        <w:rPr>
          <w:bCs/>
        </w:rPr>
        <w:t xml:space="preserve">that </w:t>
      </w:r>
      <w:r w:rsidRPr="00394101">
        <w:rPr>
          <w:bCs/>
        </w:rPr>
        <w:t xml:space="preserve">sufficient technical basis exists to </w:t>
      </w:r>
      <w:r>
        <w:rPr>
          <w:bCs/>
        </w:rPr>
        <w:t xml:space="preserve">add </w:t>
      </w:r>
      <w:r w:rsidRPr="00394101">
        <w:rPr>
          <w:bCs/>
        </w:rPr>
        <w:t>condition</w:t>
      </w:r>
      <w:r>
        <w:rPr>
          <w:bCs/>
        </w:rPr>
        <w:t>s to</w:t>
      </w:r>
      <w:r w:rsidRPr="00394101">
        <w:rPr>
          <w:bCs/>
        </w:rPr>
        <w:t xml:space="preserve"> the </w:t>
      </w:r>
      <w:r>
        <w:rPr>
          <w:bCs/>
        </w:rPr>
        <w:t>Code Case</w:t>
      </w:r>
      <w:r w:rsidRPr="00394101">
        <w:rPr>
          <w:bCs/>
        </w:rPr>
        <w:t xml:space="preserve"> to bring </w:t>
      </w:r>
      <w:r>
        <w:rPr>
          <w:bCs/>
        </w:rPr>
        <w:t>it</w:t>
      </w:r>
      <w:r w:rsidRPr="00394101">
        <w:rPr>
          <w:bCs/>
        </w:rPr>
        <w:t xml:space="preserve"> into agreement with NUREG/CR</w:t>
      </w:r>
      <w:r>
        <w:rPr>
          <w:bCs/>
        </w:rPr>
        <w:noBreakHyphen/>
      </w:r>
      <w:r w:rsidRPr="00394101">
        <w:rPr>
          <w:bCs/>
        </w:rPr>
        <w:t>6933</w:t>
      </w:r>
      <w:r>
        <w:rPr>
          <w:bCs/>
        </w:rPr>
        <w:t xml:space="preserve"> and </w:t>
      </w:r>
      <w:r w:rsidRPr="00394101">
        <w:rPr>
          <w:bCs/>
        </w:rPr>
        <w:t>NUREG/CR</w:t>
      </w:r>
      <w:r>
        <w:rPr>
          <w:bCs/>
        </w:rPr>
        <w:noBreakHyphen/>
      </w:r>
      <w:r w:rsidRPr="00394101">
        <w:rPr>
          <w:bCs/>
        </w:rPr>
        <w:t>7122.  The</w:t>
      </w:r>
      <w:r>
        <w:rPr>
          <w:bCs/>
        </w:rPr>
        <w:t>se</w:t>
      </w:r>
      <w:r w:rsidRPr="00394101">
        <w:rPr>
          <w:bCs/>
        </w:rPr>
        <w:t xml:space="preserve"> reports also show that </w:t>
      </w:r>
      <w:r>
        <w:rPr>
          <w:bCs/>
        </w:rPr>
        <w:t>CASS</w:t>
      </w:r>
      <w:r w:rsidRPr="00394101">
        <w:rPr>
          <w:bCs/>
        </w:rPr>
        <w:t xml:space="preserve"> materials produce high levels of coherent noise.  The noise signals can be confusing and mask flaw indications.</w:t>
      </w:r>
    </w:p>
    <w:p w14:paraId="79379C22" w14:textId="77777777" w:rsidR="00D53E6F" w:rsidRDefault="00D53E6F" w:rsidP="00D53E6F">
      <w:pPr>
        <w:spacing w:line="240" w:lineRule="auto"/>
        <w:rPr>
          <w:bCs/>
        </w:rPr>
      </w:pPr>
      <w:r w:rsidRPr="00394101">
        <w:rPr>
          <w:bCs/>
        </w:rPr>
        <w:t>The use of dual</w:t>
      </w:r>
      <w:r>
        <w:rPr>
          <w:bCs/>
        </w:rPr>
        <w:noBreakHyphen/>
      </w:r>
      <w:r w:rsidRPr="00394101">
        <w:rPr>
          <w:bCs/>
        </w:rPr>
        <w:t>element</w:t>
      </w:r>
      <w:r>
        <w:rPr>
          <w:bCs/>
        </w:rPr>
        <w:t>,</w:t>
      </w:r>
      <w:r w:rsidRPr="00394101">
        <w:rPr>
          <w:bCs/>
        </w:rPr>
        <w:t xml:space="preserve"> phased-array search units showed the most promise in obtaining meaningful responses from flaws.  For this reason, the NRC </w:t>
      </w:r>
      <w:r>
        <w:rPr>
          <w:bCs/>
        </w:rPr>
        <w:t xml:space="preserve">has </w:t>
      </w:r>
      <w:r w:rsidRPr="00394101">
        <w:rPr>
          <w:bCs/>
        </w:rPr>
        <w:t>add</w:t>
      </w:r>
      <w:r>
        <w:rPr>
          <w:bCs/>
        </w:rPr>
        <w:t>ed</w:t>
      </w:r>
      <w:r w:rsidRPr="00394101">
        <w:rPr>
          <w:bCs/>
        </w:rPr>
        <w:t xml:space="preserve"> a condition to require the use of dual, transmit</w:t>
      </w:r>
      <w:r>
        <w:rPr>
          <w:bCs/>
        </w:rPr>
        <w:noBreakHyphen/>
      </w:r>
      <w:r w:rsidRPr="00394101">
        <w:rPr>
          <w:bCs/>
        </w:rPr>
        <w:t>receive, refracted longitudinal wave, multielement phased</w:t>
      </w:r>
      <w:r>
        <w:rPr>
          <w:bCs/>
        </w:rPr>
        <w:noBreakHyphen/>
      </w:r>
      <w:r w:rsidRPr="00394101">
        <w:rPr>
          <w:bCs/>
        </w:rPr>
        <w:t xml:space="preserve">array search units when </w:t>
      </w:r>
      <w:r>
        <w:rPr>
          <w:bCs/>
        </w:rPr>
        <w:t>using</w:t>
      </w:r>
      <w:r w:rsidRPr="00394101">
        <w:rPr>
          <w:bCs/>
        </w:rPr>
        <w:t xml:space="preserve"> </w:t>
      </w:r>
      <w:r>
        <w:rPr>
          <w:bCs/>
        </w:rPr>
        <w:t xml:space="preserve">ASME Code Case </w:t>
      </w:r>
      <w:r w:rsidRPr="00394101">
        <w:rPr>
          <w:bCs/>
        </w:rPr>
        <w:t xml:space="preserve">N-824 for the examination of </w:t>
      </w:r>
      <w:r>
        <w:rPr>
          <w:bCs/>
        </w:rPr>
        <w:t>CASS</w:t>
      </w:r>
      <w:r w:rsidRPr="00394101">
        <w:rPr>
          <w:bCs/>
        </w:rPr>
        <w:t xml:space="preserve"> components.</w:t>
      </w:r>
    </w:p>
    <w:p w14:paraId="656DCE11" w14:textId="77777777" w:rsidR="00D53E6F" w:rsidRPr="00394101" w:rsidRDefault="00D53E6F" w:rsidP="00D53E6F">
      <w:pPr>
        <w:spacing w:line="240" w:lineRule="auto"/>
        <w:rPr>
          <w:bCs/>
        </w:rPr>
      </w:pPr>
    </w:p>
    <w:p w14:paraId="40875CFC" w14:textId="77777777" w:rsidR="00D53E6F" w:rsidRDefault="00D53E6F" w:rsidP="00D53E6F">
      <w:pPr>
        <w:spacing w:after="220" w:line="240" w:lineRule="auto"/>
        <w:rPr>
          <w:bCs/>
        </w:rPr>
      </w:pPr>
      <w:bookmarkStart w:id="160" w:name="_Hlk8025960"/>
      <w:r w:rsidRPr="00394101">
        <w:rPr>
          <w:bCs/>
        </w:rPr>
        <w:t xml:space="preserve">NUREG/CR-6933 </w:t>
      </w:r>
      <w:bookmarkEnd w:id="160"/>
      <w:r w:rsidRPr="00394101">
        <w:rPr>
          <w:bCs/>
        </w:rPr>
        <w:t xml:space="preserve">and </w:t>
      </w:r>
      <w:bookmarkStart w:id="161" w:name="_Hlk8025969"/>
      <w:r w:rsidRPr="00394101">
        <w:rPr>
          <w:bCs/>
        </w:rPr>
        <w:t>NUREG/CR</w:t>
      </w:r>
      <w:r>
        <w:rPr>
          <w:bCs/>
        </w:rPr>
        <w:noBreakHyphen/>
      </w:r>
      <w:r w:rsidRPr="00394101">
        <w:rPr>
          <w:bCs/>
        </w:rPr>
        <w:t>7122</w:t>
      </w:r>
      <w:r>
        <w:rPr>
          <w:bCs/>
        </w:rPr>
        <w:t xml:space="preserve"> </w:t>
      </w:r>
      <w:bookmarkEnd w:id="161"/>
      <w:r>
        <w:rPr>
          <w:bCs/>
        </w:rPr>
        <w:t>describe t</w:t>
      </w:r>
      <w:r w:rsidRPr="00394101">
        <w:rPr>
          <w:bCs/>
        </w:rPr>
        <w:t xml:space="preserve">he optimum inspection frequencies for examining </w:t>
      </w:r>
      <w:r>
        <w:rPr>
          <w:bCs/>
        </w:rPr>
        <w:t>CASS</w:t>
      </w:r>
      <w:r w:rsidRPr="00394101">
        <w:rPr>
          <w:bCs/>
        </w:rPr>
        <w:t xml:space="preserve"> components of various thicknesses.  For this reason, the NRC is </w:t>
      </w:r>
      <w:r>
        <w:rPr>
          <w:bCs/>
        </w:rPr>
        <w:t>proposing to add</w:t>
      </w:r>
      <w:r w:rsidRPr="00394101">
        <w:rPr>
          <w:bCs/>
        </w:rPr>
        <w:t xml:space="preserve"> a condition to require that ultrasonic examinations performed to implement ASME Code Case</w:t>
      </w:r>
      <w:r>
        <w:rPr>
          <w:bCs/>
        </w:rPr>
        <w:t> </w:t>
      </w:r>
      <w:r w:rsidRPr="00394101">
        <w:rPr>
          <w:bCs/>
        </w:rPr>
        <w:t>N</w:t>
      </w:r>
      <w:r>
        <w:rPr>
          <w:bCs/>
        </w:rPr>
        <w:noBreakHyphen/>
      </w:r>
      <w:r w:rsidRPr="00394101">
        <w:rPr>
          <w:bCs/>
        </w:rPr>
        <w:t>824 on piping greater than 1.6</w:t>
      </w:r>
      <w:r>
        <w:rPr>
          <w:bCs/>
        </w:rPr>
        <w:t> </w:t>
      </w:r>
      <w:r w:rsidRPr="00394101">
        <w:rPr>
          <w:bCs/>
        </w:rPr>
        <w:t>inches thick use a phased</w:t>
      </w:r>
      <w:r>
        <w:rPr>
          <w:bCs/>
        </w:rPr>
        <w:noBreakHyphen/>
      </w:r>
      <w:r w:rsidRPr="00394101">
        <w:rPr>
          <w:bCs/>
        </w:rPr>
        <w:t>array search unit with a center frequency of 500</w:t>
      </w:r>
      <w:r>
        <w:rPr>
          <w:bCs/>
        </w:rPr>
        <w:t> </w:t>
      </w:r>
      <w:r w:rsidRPr="00394101">
        <w:rPr>
          <w:bCs/>
        </w:rPr>
        <w:t>kHz with a tolerance of ±20</w:t>
      </w:r>
      <w:r>
        <w:rPr>
          <w:bCs/>
        </w:rPr>
        <w:t> </w:t>
      </w:r>
      <w:r w:rsidRPr="00394101">
        <w:rPr>
          <w:bCs/>
        </w:rPr>
        <w:t>percent.</w:t>
      </w:r>
    </w:p>
    <w:p w14:paraId="2406FE39" w14:textId="4B52F77F" w:rsidR="00D53E6F" w:rsidRDefault="00D53E6F" w:rsidP="00D53E6F">
      <w:pPr>
        <w:spacing w:line="240" w:lineRule="auto"/>
        <w:rPr>
          <w:bCs/>
        </w:rPr>
      </w:pPr>
      <w:r w:rsidRPr="00394101">
        <w:rPr>
          <w:bCs/>
        </w:rPr>
        <w:t xml:space="preserve">NUREG/CR-6933 shows that the grain structure of </w:t>
      </w:r>
      <w:r>
        <w:rPr>
          <w:bCs/>
        </w:rPr>
        <w:t>CASS</w:t>
      </w:r>
      <w:r w:rsidRPr="00394101">
        <w:rPr>
          <w:bCs/>
        </w:rPr>
        <w:t xml:space="preserve"> can reduce the effectiveness of some inspection angles</w:t>
      </w:r>
      <w:r>
        <w:rPr>
          <w:bCs/>
        </w:rPr>
        <w:t xml:space="preserve"> (i.e.,</w:t>
      </w:r>
      <w:r w:rsidRPr="00394101">
        <w:rPr>
          <w:bCs/>
        </w:rPr>
        <w:t xml:space="preserve"> angles including, but not limited to, 30 to 55</w:t>
      </w:r>
      <w:r>
        <w:rPr>
          <w:bCs/>
        </w:rPr>
        <w:t> </w:t>
      </w:r>
      <w:r w:rsidRPr="00394101">
        <w:rPr>
          <w:bCs/>
        </w:rPr>
        <w:t>degrees with a maximum increment of 5</w:t>
      </w:r>
      <w:r>
        <w:rPr>
          <w:bCs/>
        </w:rPr>
        <w:t> </w:t>
      </w:r>
      <w:r w:rsidRPr="00394101">
        <w:rPr>
          <w:bCs/>
        </w:rPr>
        <w:t>degrees</w:t>
      </w:r>
      <w:r>
        <w:rPr>
          <w:bCs/>
        </w:rPr>
        <w:t>)</w:t>
      </w:r>
      <w:r w:rsidRPr="00394101">
        <w:rPr>
          <w:bCs/>
        </w:rPr>
        <w:t>.  Because the NRC is requiring the use of a phased</w:t>
      </w:r>
      <w:r>
        <w:rPr>
          <w:bCs/>
        </w:rPr>
        <w:noBreakHyphen/>
      </w:r>
      <w:r w:rsidRPr="00394101">
        <w:rPr>
          <w:bCs/>
        </w:rPr>
        <w:t xml:space="preserve">array search unit, </w:t>
      </w:r>
      <w:r w:rsidR="00433120">
        <w:rPr>
          <w:bCs/>
        </w:rPr>
        <w:t>the NRC</w:t>
      </w:r>
      <w:r w:rsidRPr="00394101">
        <w:rPr>
          <w:bCs/>
        </w:rPr>
        <w:t xml:space="preserve"> finds that the use of the phased</w:t>
      </w:r>
      <w:r>
        <w:rPr>
          <w:bCs/>
        </w:rPr>
        <w:noBreakHyphen/>
      </w:r>
      <w:r w:rsidRPr="00394101">
        <w:rPr>
          <w:bCs/>
        </w:rPr>
        <w:t xml:space="preserve">array search unit must be limited so that the unit is used at inspection angles </w:t>
      </w:r>
      <w:r>
        <w:rPr>
          <w:bCs/>
        </w:rPr>
        <w:t>that</w:t>
      </w:r>
      <w:r w:rsidRPr="00394101">
        <w:rPr>
          <w:bCs/>
        </w:rPr>
        <w:t xml:space="preserve"> would provide acceptable results.  For this reason, the NRC is add</w:t>
      </w:r>
      <w:r w:rsidR="00C67CBD">
        <w:rPr>
          <w:bCs/>
        </w:rPr>
        <w:t>ing</w:t>
      </w:r>
      <w:r w:rsidRPr="00394101">
        <w:rPr>
          <w:bCs/>
        </w:rPr>
        <w:t xml:space="preserve"> a condition to require that ultrasonic examinations</w:t>
      </w:r>
      <w:r w:rsidR="00C67CBD">
        <w:rPr>
          <w:bCs/>
        </w:rPr>
        <w:t>, which are</w:t>
      </w:r>
      <w:r w:rsidRPr="00394101">
        <w:rPr>
          <w:bCs/>
        </w:rPr>
        <w:t xml:space="preserve"> performed to implement ASME Code Case</w:t>
      </w:r>
      <w:r>
        <w:rPr>
          <w:bCs/>
        </w:rPr>
        <w:t> </w:t>
      </w:r>
      <w:r w:rsidRPr="00394101">
        <w:rPr>
          <w:bCs/>
        </w:rPr>
        <w:t>N</w:t>
      </w:r>
      <w:r>
        <w:rPr>
          <w:bCs/>
        </w:rPr>
        <w:noBreakHyphen/>
      </w:r>
      <w:r w:rsidRPr="00394101">
        <w:rPr>
          <w:bCs/>
        </w:rPr>
        <w:t>824</w:t>
      </w:r>
      <w:r w:rsidR="00C67CBD">
        <w:rPr>
          <w:bCs/>
        </w:rPr>
        <w:t>,</w:t>
      </w:r>
      <w:r w:rsidRPr="00394101">
        <w:rPr>
          <w:bCs/>
        </w:rPr>
        <w:t xml:space="preserve"> use a phased</w:t>
      </w:r>
      <w:r>
        <w:rPr>
          <w:bCs/>
        </w:rPr>
        <w:noBreakHyphen/>
      </w:r>
      <w:r w:rsidRPr="00394101">
        <w:rPr>
          <w:bCs/>
        </w:rPr>
        <w:t xml:space="preserve">array search unit </w:t>
      </w:r>
      <w:r>
        <w:rPr>
          <w:bCs/>
        </w:rPr>
        <w:t>that</w:t>
      </w:r>
      <w:r w:rsidRPr="00394101">
        <w:rPr>
          <w:bCs/>
        </w:rPr>
        <w:t xml:space="preserve"> produce</w:t>
      </w:r>
      <w:r>
        <w:rPr>
          <w:bCs/>
        </w:rPr>
        <w:t>s</w:t>
      </w:r>
      <w:r w:rsidRPr="00394101">
        <w:rPr>
          <w:bCs/>
        </w:rPr>
        <w:t xml:space="preserve"> angles including, but not limited to, 30 to 55 degrees with a maximum increment of 5</w:t>
      </w:r>
      <w:r>
        <w:rPr>
          <w:bCs/>
        </w:rPr>
        <w:t> </w:t>
      </w:r>
      <w:r w:rsidRPr="00394101">
        <w:rPr>
          <w:bCs/>
        </w:rPr>
        <w:t>degrees.</w:t>
      </w:r>
    </w:p>
    <w:p w14:paraId="3B539FE8" w14:textId="77777777" w:rsidR="00D53E6F" w:rsidRDefault="00D53E6F" w:rsidP="00D53E6F">
      <w:pPr>
        <w:spacing w:line="240" w:lineRule="auto"/>
        <w:rPr>
          <w:bCs/>
        </w:rPr>
      </w:pPr>
    </w:p>
    <w:p w14:paraId="122A60E6" w14:textId="77777777" w:rsidR="00D53E6F" w:rsidRDefault="00D53E6F" w:rsidP="00D53E6F">
      <w:pPr>
        <w:spacing w:line="240" w:lineRule="auto"/>
        <w:rPr>
          <w:bCs/>
        </w:rPr>
      </w:pPr>
      <w:r w:rsidRPr="00394101">
        <w:rPr>
          <w:bCs/>
        </w:rPr>
        <w:t>Therefore</w:t>
      </w:r>
      <w:r>
        <w:rPr>
          <w:bCs/>
        </w:rPr>
        <w:t>,</w:t>
      </w:r>
      <w:r w:rsidRPr="00394101">
        <w:rPr>
          <w:bCs/>
        </w:rPr>
        <w:t xml:space="preserve"> the N</w:t>
      </w:r>
      <w:r>
        <w:rPr>
          <w:bCs/>
        </w:rPr>
        <w:t>RC finds ASME Code Case N-824 acceptab</w:t>
      </w:r>
      <w:r w:rsidRPr="00394101">
        <w:rPr>
          <w:bCs/>
        </w:rPr>
        <w:t>le with the following conditions:</w:t>
      </w:r>
    </w:p>
    <w:p w14:paraId="7ED41451" w14:textId="77777777" w:rsidR="00D53E6F" w:rsidRDefault="00D53E6F" w:rsidP="00D53E6F">
      <w:pPr>
        <w:spacing w:line="240" w:lineRule="auto"/>
        <w:rPr>
          <w:bCs/>
        </w:rPr>
      </w:pPr>
    </w:p>
    <w:p w14:paraId="291C738B" w14:textId="77777777" w:rsidR="00D53E6F" w:rsidRPr="00F81F93" w:rsidRDefault="00D53E6F" w:rsidP="00D53E6F">
      <w:pPr>
        <w:spacing w:line="240" w:lineRule="auto"/>
        <w:ind w:left="720" w:right="720"/>
      </w:pPr>
      <w:r w:rsidRPr="005710D4">
        <w:rPr>
          <w:bCs/>
        </w:rPr>
        <w:t>Instead of paragraph 1(c)(1)(–c)(–2), licensees shall use a phased</w:t>
      </w:r>
      <w:r w:rsidRPr="005710D4">
        <w:rPr>
          <w:bCs/>
        </w:rPr>
        <w:noBreakHyphen/>
        <w:t>array search unit with a center frequency of 500 kHz with a tolerance of ± 20 percent.</w:t>
      </w:r>
    </w:p>
    <w:p w14:paraId="438968BF" w14:textId="77777777" w:rsidR="00D53E6F" w:rsidRPr="00B45BB6" w:rsidRDefault="00D53E6F" w:rsidP="00D53E6F">
      <w:pPr>
        <w:pStyle w:val="ListParagraph"/>
        <w:spacing w:line="240" w:lineRule="auto"/>
        <w:ind w:right="720"/>
      </w:pPr>
    </w:p>
    <w:p w14:paraId="09844BA5" w14:textId="77777777" w:rsidR="00D53E6F" w:rsidRPr="00E7158A" w:rsidRDefault="00D53E6F" w:rsidP="00D53E6F">
      <w:pPr>
        <w:spacing w:line="240" w:lineRule="auto"/>
        <w:ind w:left="720" w:right="720"/>
      </w:pPr>
      <w:r w:rsidRPr="005710D4">
        <w:rPr>
          <w:bCs/>
        </w:rPr>
        <w:t>Instead of paragraph 1(c)(1)(–d), the phased</w:t>
      </w:r>
      <w:r w:rsidRPr="005710D4">
        <w:rPr>
          <w:bCs/>
        </w:rPr>
        <w:noBreakHyphen/>
        <w:t>array search unit must produce angles including, but not limited to, 30 to 55 degrees with a maximum increment of 5 degrees.</w:t>
      </w:r>
    </w:p>
    <w:p w14:paraId="3356ADC4" w14:textId="77777777" w:rsidR="00D53E6F" w:rsidRPr="00E7158A" w:rsidRDefault="00D53E6F" w:rsidP="00D53E6F">
      <w:pPr>
        <w:pStyle w:val="ListParagraph"/>
        <w:spacing w:line="240" w:lineRule="auto"/>
        <w:rPr>
          <w:bCs/>
        </w:rPr>
      </w:pPr>
    </w:p>
    <w:p w14:paraId="1F551438" w14:textId="77777777" w:rsidR="00D53E6F" w:rsidRDefault="00D53E6F" w:rsidP="00D53E6F">
      <w:pPr>
        <w:pStyle w:val="ListParagraph"/>
        <w:spacing w:line="240" w:lineRule="auto"/>
        <w:ind w:left="0"/>
      </w:pPr>
      <w:r>
        <w:rPr>
          <w:bCs/>
        </w:rPr>
        <w:t>The NRC approved t</w:t>
      </w:r>
      <w:r w:rsidRPr="00E7158A">
        <w:rPr>
          <w:bCs/>
        </w:rPr>
        <w:t xml:space="preserve">hese conditions </w:t>
      </w:r>
      <w:r w:rsidRPr="00F81F93">
        <w:rPr>
          <w:bCs/>
        </w:rPr>
        <w:t xml:space="preserve">under </w:t>
      </w:r>
      <w:r w:rsidRPr="00B45BB6">
        <w:rPr>
          <w:bCs/>
        </w:rPr>
        <w:t>10</w:t>
      </w:r>
      <w:r>
        <w:rPr>
          <w:bCs/>
        </w:rPr>
        <w:t> </w:t>
      </w:r>
      <w:r w:rsidRPr="00E7158A">
        <w:rPr>
          <w:bCs/>
        </w:rPr>
        <w:t>CFR</w:t>
      </w:r>
      <w:r>
        <w:rPr>
          <w:bCs/>
        </w:rPr>
        <w:t> </w:t>
      </w:r>
      <w:r w:rsidRPr="00E7158A">
        <w:rPr>
          <w:bCs/>
        </w:rPr>
        <w:t xml:space="preserve">50.55a in a previous ASME Code </w:t>
      </w:r>
      <w:r>
        <w:rPr>
          <w:bCs/>
        </w:rPr>
        <w:t>e</w:t>
      </w:r>
      <w:r w:rsidRPr="00E7158A">
        <w:rPr>
          <w:bCs/>
        </w:rPr>
        <w:t>dition final rule (</w:t>
      </w:r>
      <w:r>
        <w:rPr>
          <w:bCs/>
        </w:rPr>
        <w:t>NRC 2017e</w:t>
      </w:r>
      <w:r w:rsidRPr="00E7158A">
        <w:rPr>
          <w:bCs/>
        </w:rPr>
        <w:t>).</w:t>
      </w:r>
    </w:p>
    <w:p w14:paraId="1DF55DEB" w14:textId="77777777" w:rsidR="00D53E6F" w:rsidRDefault="00D53E6F" w:rsidP="00D53E6F">
      <w:pPr>
        <w:spacing w:line="240" w:lineRule="auto"/>
      </w:pPr>
    </w:p>
    <w:p w14:paraId="6920D556" w14:textId="77777777" w:rsidR="00D53E6F" w:rsidRDefault="00D53E6F" w:rsidP="00D53E6F">
      <w:pPr>
        <w:spacing w:line="240" w:lineRule="auto"/>
      </w:pPr>
      <w:r>
        <w:t>Because these conditions were previously approved and the final regulatory analysis estimated the costs at that time (NRC 2017e), the NRC does not expect industry to incur incremental implementation costs as a result of the conditions.</w:t>
      </w:r>
    </w:p>
    <w:p w14:paraId="2BA543B2" w14:textId="77777777" w:rsidR="00D53E6F" w:rsidRDefault="00D53E6F" w:rsidP="00D53E6F">
      <w:pPr>
        <w:spacing w:line="240" w:lineRule="auto"/>
      </w:pPr>
    </w:p>
    <w:p w14:paraId="7E22DC60" w14:textId="77777777" w:rsidR="00D53E6F" w:rsidRDefault="00D53E6F" w:rsidP="00D53E6F">
      <w:pPr>
        <w:pStyle w:val="Heading3"/>
        <w:spacing w:line="240" w:lineRule="auto"/>
      </w:pPr>
      <w:bookmarkStart w:id="162" w:name="_Toc456098247"/>
      <w:bookmarkStart w:id="163" w:name="_Toc12808805"/>
      <w:r>
        <w:t>5.3.15</w:t>
      </w:r>
      <w:r>
        <w:tab/>
      </w:r>
      <w:bookmarkEnd w:id="162"/>
      <w:r w:rsidRPr="0072340A">
        <w:rPr>
          <w:szCs w:val="22"/>
        </w:rPr>
        <w:t>Austenitic Stainless Steel Cladding and Nickel</w:t>
      </w:r>
      <w:r>
        <w:rPr>
          <w:szCs w:val="22"/>
        </w:rPr>
        <w:noBreakHyphen/>
      </w:r>
      <w:r w:rsidRPr="0072340A">
        <w:rPr>
          <w:szCs w:val="22"/>
        </w:rPr>
        <w:t xml:space="preserve">Base Cladding Using </w:t>
      </w:r>
      <w:r>
        <w:rPr>
          <w:szCs w:val="22"/>
        </w:rPr>
        <w:t xml:space="preserve">an </w:t>
      </w:r>
      <w:r w:rsidRPr="0072340A">
        <w:rPr>
          <w:szCs w:val="22"/>
        </w:rPr>
        <w:t xml:space="preserve">Ambient Temperature Machine </w:t>
      </w:r>
      <w:r w:rsidRPr="00534C1D">
        <w:rPr>
          <w:szCs w:val="22"/>
        </w:rPr>
        <w:t>Gas Tungsten Arc Welding</w:t>
      </w:r>
      <w:r w:rsidRPr="0072340A">
        <w:rPr>
          <w:szCs w:val="22"/>
        </w:rPr>
        <w:t xml:space="preserve"> Temper Bead Technique</w:t>
      </w:r>
      <w:bookmarkEnd w:id="163"/>
    </w:p>
    <w:p w14:paraId="1A6D517A" w14:textId="77777777" w:rsidR="00D53E6F" w:rsidRDefault="00D53E6F" w:rsidP="00D53E6F">
      <w:pPr>
        <w:keepNext/>
        <w:spacing w:line="240" w:lineRule="auto"/>
      </w:pPr>
    </w:p>
    <w:p w14:paraId="6EDB7FDF" w14:textId="77777777" w:rsidR="00D53E6F" w:rsidRDefault="00D53E6F" w:rsidP="00D53E6F">
      <w:pPr>
        <w:spacing w:line="240" w:lineRule="auto"/>
      </w:pPr>
      <w:r>
        <w:t xml:space="preserve">ASME </w:t>
      </w:r>
      <w:r w:rsidRPr="00253DDB">
        <w:t xml:space="preserve">Code Case N-829 is a new Code Case for the use of </w:t>
      </w:r>
      <w:r>
        <w:t xml:space="preserve">an </w:t>
      </w:r>
      <w:r w:rsidRPr="00253DDB">
        <w:t>automatic or machine</w:t>
      </w:r>
      <w:r>
        <w:t xml:space="preserve"> gas tungsten arc welding</w:t>
      </w:r>
      <w:r w:rsidRPr="00253DDB">
        <w:t xml:space="preserve"> temper bead technique </w:t>
      </w:r>
      <w:r>
        <w:t>to</w:t>
      </w:r>
      <w:r w:rsidRPr="00253DDB">
        <w:t xml:space="preserve"> repair stainless steel cladding and nickel</w:t>
      </w:r>
      <w:r>
        <w:noBreakHyphen/>
      </w:r>
      <w:r w:rsidRPr="00253DDB">
        <w:t xml:space="preserve">base cladding without the specified preheat or postweld heat treatment </w:t>
      </w:r>
      <w:r>
        <w:t xml:space="preserve">described </w:t>
      </w:r>
      <w:r w:rsidRPr="00253DDB">
        <w:t xml:space="preserve">in </w:t>
      </w:r>
      <w:r>
        <w:t xml:space="preserve">ASME BPV Code, </w:t>
      </w:r>
      <w:r w:rsidRPr="00253DDB">
        <w:t>Section</w:t>
      </w:r>
      <w:r>
        <w:t> </w:t>
      </w:r>
      <w:r w:rsidRPr="00253DDB">
        <w:t>XI, IWA</w:t>
      </w:r>
      <w:r>
        <w:noBreakHyphen/>
      </w:r>
      <w:r w:rsidRPr="00253DDB">
        <w:t>4411.</w:t>
      </w:r>
    </w:p>
    <w:p w14:paraId="75C583F2" w14:textId="77777777" w:rsidR="00D53E6F" w:rsidRPr="00253DDB" w:rsidRDefault="00D53E6F" w:rsidP="00D53E6F">
      <w:pPr>
        <w:spacing w:line="240" w:lineRule="auto"/>
      </w:pPr>
    </w:p>
    <w:p w14:paraId="3563D785" w14:textId="77777777" w:rsidR="00D53E6F" w:rsidRDefault="00D53E6F" w:rsidP="00D53E6F">
      <w:pPr>
        <w:spacing w:line="240" w:lineRule="auto"/>
      </w:pPr>
      <w:r w:rsidRPr="00253DDB">
        <w:t xml:space="preserve">The NRC finds the </w:t>
      </w:r>
      <w:r>
        <w:t xml:space="preserve">ASME </w:t>
      </w:r>
      <w:r w:rsidRPr="00253DDB">
        <w:t xml:space="preserve">Code Case acceptable on the condition that the provisions of </w:t>
      </w:r>
      <w:r>
        <w:t xml:space="preserve">ASME </w:t>
      </w:r>
      <w:r w:rsidRPr="00253DDB">
        <w:t>Code Case</w:t>
      </w:r>
      <w:r>
        <w:t> </w:t>
      </w:r>
      <w:r w:rsidRPr="00253DDB">
        <w:t>N</w:t>
      </w:r>
      <w:r>
        <w:noBreakHyphen/>
      </w:r>
      <w:r w:rsidRPr="00253DDB">
        <w:t xml:space="preserve">829, </w:t>
      </w:r>
      <w:r>
        <w:t>P</w:t>
      </w:r>
      <w:r w:rsidRPr="00253DDB">
        <w:t>aragraph</w:t>
      </w:r>
      <w:r>
        <w:t> </w:t>
      </w:r>
      <w:r w:rsidRPr="00253DDB">
        <w:t>3(e)(2) or 3(e)(3)</w:t>
      </w:r>
      <w:r>
        <w:t>,</w:t>
      </w:r>
      <w:r w:rsidRPr="00253DDB">
        <w:t xml:space="preserve"> may be used only when it is impractical to use the direct interpass temperature measurement methods described in </w:t>
      </w:r>
      <w:r>
        <w:t xml:space="preserve">ASME </w:t>
      </w:r>
      <w:r w:rsidRPr="00253DDB">
        <w:t>Code Case</w:t>
      </w:r>
      <w:r>
        <w:t> </w:t>
      </w:r>
      <w:r w:rsidRPr="00253DDB">
        <w:t>N</w:t>
      </w:r>
      <w:r>
        <w:noBreakHyphen/>
      </w:r>
      <w:r w:rsidRPr="00253DDB">
        <w:t xml:space="preserve">829, </w:t>
      </w:r>
      <w:r>
        <w:t>P</w:t>
      </w:r>
      <w:r w:rsidRPr="00253DDB">
        <w:t>aragraph</w:t>
      </w:r>
      <w:r>
        <w:t> </w:t>
      </w:r>
      <w:r w:rsidRPr="00253DDB">
        <w:t>3(e)(1)</w:t>
      </w:r>
      <w:r>
        <w:t xml:space="preserve"> (e.g., in</w:t>
      </w:r>
      <w:r w:rsidRPr="00253DDB">
        <w:t xml:space="preserve"> weldment area</w:t>
      </w:r>
      <w:r>
        <w:t>s</w:t>
      </w:r>
      <w:r w:rsidRPr="00253DDB">
        <w:t xml:space="preserve"> </w:t>
      </w:r>
      <w:r>
        <w:t>that are</w:t>
      </w:r>
      <w:r w:rsidRPr="00253DDB">
        <w:t xml:space="preserve"> inaccessible (i.e.,</w:t>
      </w:r>
      <w:r>
        <w:t> </w:t>
      </w:r>
      <w:r w:rsidRPr="00253DDB">
        <w:t xml:space="preserve">internal bore welding) or </w:t>
      </w:r>
      <w:r>
        <w:t xml:space="preserve">in areas with </w:t>
      </w:r>
      <w:r w:rsidRPr="00253DDB">
        <w:t>extenuating radiological conditions</w:t>
      </w:r>
      <w:r>
        <w:t>)</w:t>
      </w:r>
      <w:r w:rsidRPr="00253DDB">
        <w:t>.  The NRC has determined that interpass temperature measurement is critical to obtaining acceptable corrosion resistance</w:t>
      </w:r>
      <w:r>
        <w:t xml:space="preserve"> or</w:t>
      </w:r>
      <w:r w:rsidRPr="00253DDB">
        <w:t xml:space="preserve"> notch toughness</w:t>
      </w:r>
      <w:r>
        <w:t>, or both,</w:t>
      </w:r>
      <w:r w:rsidRPr="00253DDB">
        <w:t xml:space="preserve"> in a weld.  </w:t>
      </w:r>
      <w:r>
        <w:t xml:space="preserve">Alternate methods, </w:t>
      </w:r>
      <w:r w:rsidRPr="00253DDB">
        <w:t xml:space="preserve">such as the calculation method </w:t>
      </w:r>
      <w:r>
        <w:t>described in</w:t>
      </w:r>
      <w:r w:rsidRPr="00253DDB">
        <w:t xml:space="preserve"> </w:t>
      </w:r>
      <w:r>
        <w:t xml:space="preserve">ASME </w:t>
      </w:r>
      <w:r w:rsidRPr="00253DDB">
        <w:t>Code Case</w:t>
      </w:r>
      <w:r>
        <w:t> </w:t>
      </w:r>
      <w:r w:rsidRPr="00253DDB">
        <w:t>N</w:t>
      </w:r>
      <w:r>
        <w:noBreakHyphen/>
      </w:r>
      <w:r w:rsidRPr="00253DDB">
        <w:t>829</w:t>
      </w:r>
      <w:r>
        <w:t>, S</w:t>
      </w:r>
      <w:r w:rsidRPr="00253DDB">
        <w:t>ection</w:t>
      </w:r>
      <w:r>
        <w:t> </w:t>
      </w:r>
      <w:r w:rsidRPr="00253DDB">
        <w:t>3(e)(2)</w:t>
      </w:r>
      <w:r>
        <w:t>,</w:t>
      </w:r>
      <w:r w:rsidRPr="00253DDB">
        <w:t xml:space="preserve"> or the weld coupon test method </w:t>
      </w:r>
      <w:r>
        <w:t>described</w:t>
      </w:r>
      <w:r w:rsidRPr="00253DDB">
        <w:t xml:space="preserve"> in </w:t>
      </w:r>
      <w:r>
        <w:t xml:space="preserve">ASME </w:t>
      </w:r>
      <w:r w:rsidRPr="00253DDB">
        <w:t>Code Case</w:t>
      </w:r>
      <w:r>
        <w:t> </w:t>
      </w:r>
      <w:r w:rsidRPr="00253DDB">
        <w:t>N</w:t>
      </w:r>
      <w:r>
        <w:noBreakHyphen/>
      </w:r>
      <w:r w:rsidRPr="00253DDB">
        <w:t>829</w:t>
      </w:r>
      <w:r>
        <w:t>, S</w:t>
      </w:r>
      <w:r w:rsidRPr="00253DDB">
        <w:t>ection</w:t>
      </w:r>
      <w:r>
        <w:t> </w:t>
      </w:r>
      <w:r w:rsidRPr="00253DDB">
        <w:t>3(e)(3)</w:t>
      </w:r>
      <w:r>
        <w:t xml:space="preserve">, shall only be allowed </w:t>
      </w:r>
      <w:r w:rsidRPr="00253DDB">
        <w:t xml:space="preserve">in areas </w:t>
      </w:r>
      <w:r>
        <w:t>that</w:t>
      </w:r>
      <w:r w:rsidRPr="00253DDB">
        <w:t xml:space="preserve"> are totally inaccessible to temperature measurement devices or </w:t>
      </w:r>
      <w:r>
        <w:t>in areas with</w:t>
      </w:r>
      <w:r w:rsidRPr="00253DDB">
        <w:t xml:space="preserve"> extenuating radiological conditions.</w:t>
      </w:r>
    </w:p>
    <w:p w14:paraId="524FE5DA" w14:textId="77777777" w:rsidR="00D53E6F" w:rsidRDefault="00D53E6F" w:rsidP="00D53E6F">
      <w:pPr>
        <w:spacing w:line="240" w:lineRule="auto"/>
      </w:pPr>
    </w:p>
    <w:p w14:paraId="5E31C28C" w14:textId="48ED9D72" w:rsidR="00D53E6F" w:rsidRPr="00EE4BD9" w:rsidRDefault="00173B30" w:rsidP="00D53E6F">
      <w:pPr>
        <w:spacing w:line="240" w:lineRule="auto"/>
      </w:pPr>
      <w:r>
        <w:t>The NRC</w:t>
      </w:r>
      <w:r w:rsidR="00D53E6F">
        <w:t xml:space="preserve"> estimates that the temperature measurement techniques of the ASME Code Case do not differ significantly in cost; therefore, the NRC does not expect industry to incur incremental implementation costs as a result of this condition.</w:t>
      </w:r>
    </w:p>
    <w:p w14:paraId="36015358" w14:textId="77777777" w:rsidR="00D53E6F" w:rsidRPr="006F7BFB" w:rsidRDefault="00D53E6F" w:rsidP="00D53E6F">
      <w:pPr>
        <w:spacing w:line="240" w:lineRule="auto"/>
      </w:pPr>
    </w:p>
    <w:p w14:paraId="6BE732AE" w14:textId="77777777" w:rsidR="00D53E6F" w:rsidRDefault="00D53E6F" w:rsidP="00D53E6F">
      <w:pPr>
        <w:pStyle w:val="Heading3"/>
        <w:keepLines/>
        <w:spacing w:line="240" w:lineRule="auto"/>
        <w:ind w:left="900" w:hanging="900"/>
      </w:pPr>
      <w:bookmarkStart w:id="164" w:name="_Toc456098248"/>
      <w:bookmarkStart w:id="165" w:name="_Toc12808806"/>
      <w:r>
        <w:t>5.3.16</w:t>
      </w:r>
      <w:r>
        <w:tab/>
      </w:r>
      <w:bookmarkEnd w:id="164"/>
      <w:r w:rsidRPr="0072340A">
        <w:rPr>
          <w:szCs w:val="22"/>
        </w:rPr>
        <w:t xml:space="preserve">Direct Use of </w:t>
      </w:r>
      <w:r>
        <w:rPr>
          <w:szCs w:val="22"/>
        </w:rPr>
        <w:t xml:space="preserve">the </w:t>
      </w:r>
      <w:r w:rsidRPr="0072340A">
        <w:rPr>
          <w:szCs w:val="22"/>
        </w:rPr>
        <w:t>Master Fracture Toughness Curve for Pressure</w:t>
      </w:r>
      <w:r>
        <w:rPr>
          <w:szCs w:val="22"/>
        </w:rPr>
        <w:noBreakHyphen/>
      </w:r>
      <w:r w:rsidRPr="0072340A">
        <w:rPr>
          <w:szCs w:val="22"/>
        </w:rPr>
        <w:t>Retaining Materials of Class</w:t>
      </w:r>
      <w:r>
        <w:rPr>
          <w:szCs w:val="22"/>
        </w:rPr>
        <w:t> </w:t>
      </w:r>
      <w:r w:rsidRPr="0072340A">
        <w:rPr>
          <w:szCs w:val="22"/>
        </w:rPr>
        <w:t>1 Vessels</w:t>
      </w:r>
      <w:bookmarkEnd w:id="165"/>
    </w:p>
    <w:p w14:paraId="1F9023A4" w14:textId="77777777" w:rsidR="00D53E6F" w:rsidRDefault="00D53E6F" w:rsidP="00D53E6F">
      <w:pPr>
        <w:keepNext/>
        <w:keepLines/>
        <w:spacing w:line="240" w:lineRule="auto"/>
      </w:pPr>
    </w:p>
    <w:p w14:paraId="77B409BD" w14:textId="0C9D0723" w:rsidR="00D53E6F" w:rsidRDefault="00D53E6F" w:rsidP="00D53E6F">
      <w:pPr>
        <w:keepNext/>
        <w:keepLines/>
        <w:spacing w:line="240" w:lineRule="auto"/>
        <w:rPr>
          <w:bCs/>
        </w:rPr>
      </w:pPr>
      <w:r w:rsidRPr="00D42A32">
        <w:rPr>
          <w:bCs/>
        </w:rPr>
        <w:t>The 2013 edition of the</w:t>
      </w:r>
      <w:r w:rsidRPr="00253DDB">
        <w:rPr>
          <w:bCs/>
        </w:rPr>
        <w:t xml:space="preserve"> ASME Code </w:t>
      </w:r>
      <w:r>
        <w:rPr>
          <w:bCs/>
        </w:rPr>
        <w:t xml:space="preserve">introduced ASME </w:t>
      </w:r>
      <w:r w:rsidRPr="00253DDB">
        <w:rPr>
          <w:bCs/>
        </w:rPr>
        <w:t>Code Case N-830.  This Code Case outlines the use of a material</w:t>
      </w:r>
      <w:r>
        <w:rPr>
          <w:bCs/>
        </w:rPr>
        <w:noBreakHyphen/>
      </w:r>
      <w:r w:rsidRPr="00253DDB">
        <w:rPr>
          <w:bCs/>
        </w:rPr>
        <w:t>specific master curve as an alternative fracture toughness curve for crack initiation, K</w:t>
      </w:r>
      <w:r w:rsidRPr="00182518">
        <w:rPr>
          <w:bCs/>
          <w:vertAlign w:val="subscript"/>
        </w:rPr>
        <w:t>IC</w:t>
      </w:r>
      <w:r w:rsidRPr="00253DDB">
        <w:rPr>
          <w:bCs/>
        </w:rPr>
        <w:t xml:space="preserve">, in </w:t>
      </w:r>
      <w:r>
        <w:rPr>
          <w:bCs/>
        </w:rPr>
        <w:t xml:space="preserve">ASME BPV Code, </w:t>
      </w:r>
      <w:r w:rsidRPr="00253DDB">
        <w:rPr>
          <w:bCs/>
        </w:rPr>
        <w:t>Section</w:t>
      </w:r>
      <w:r>
        <w:rPr>
          <w:bCs/>
        </w:rPr>
        <w:t> </w:t>
      </w:r>
      <w:r w:rsidRPr="00253DDB">
        <w:rPr>
          <w:bCs/>
        </w:rPr>
        <w:t>XI, Division</w:t>
      </w:r>
      <w:r>
        <w:rPr>
          <w:bCs/>
        </w:rPr>
        <w:t> </w:t>
      </w:r>
      <w:r w:rsidRPr="00253DDB">
        <w:rPr>
          <w:bCs/>
        </w:rPr>
        <w:t>1, Appendices</w:t>
      </w:r>
      <w:r>
        <w:rPr>
          <w:bCs/>
        </w:rPr>
        <w:t> </w:t>
      </w:r>
      <w:r w:rsidRPr="00253DDB">
        <w:rPr>
          <w:bCs/>
        </w:rPr>
        <w:t>A and G, for Class</w:t>
      </w:r>
      <w:r>
        <w:rPr>
          <w:bCs/>
        </w:rPr>
        <w:t> </w:t>
      </w:r>
      <w:r w:rsidRPr="00253DDB">
        <w:rPr>
          <w:bCs/>
        </w:rPr>
        <w:t>1 pressure</w:t>
      </w:r>
      <w:r>
        <w:rPr>
          <w:bCs/>
        </w:rPr>
        <w:noBreakHyphen/>
      </w:r>
      <w:r w:rsidRPr="00253DDB">
        <w:rPr>
          <w:bCs/>
        </w:rPr>
        <w:t>retaining materials other than bolting.</w:t>
      </w:r>
    </w:p>
    <w:p w14:paraId="50E69C95" w14:textId="77777777" w:rsidR="00D53E6F" w:rsidRPr="00253DDB" w:rsidRDefault="00D53E6F" w:rsidP="00D53E6F">
      <w:pPr>
        <w:spacing w:line="240" w:lineRule="auto"/>
        <w:rPr>
          <w:bCs/>
        </w:rPr>
      </w:pPr>
    </w:p>
    <w:p w14:paraId="3A11E2F6" w14:textId="3706BD03" w:rsidR="00D53E6F" w:rsidRDefault="00D53E6F" w:rsidP="00D53E6F">
      <w:pPr>
        <w:spacing w:line="240" w:lineRule="auto"/>
        <w:rPr>
          <w:bCs/>
        </w:rPr>
      </w:pPr>
      <w:r w:rsidRPr="00253DDB">
        <w:t xml:space="preserve">The NRC finds </w:t>
      </w:r>
      <w:r>
        <w:t xml:space="preserve">ASME </w:t>
      </w:r>
      <w:r w:rsidRPr="00253DDB">
        <w:t xml:space="preserve">Code Case </w:t>
      </w:r>
      <w:r w:rsidRPr="00253DDB">
        <w:rPr>
          <w:bCs/>
        </w:rPr>
        <w:t>N-830</w:t>
      </w:r>
      <w:r>
        <w:rPr>
          <w:bCs/>
        </w:rPr>
        <w:t xml:space="preserve"> </w:t>
      </w:r>
      <w:r w:rsidRPr="00253DDB">
        <w:t xml:space="preserve">acceptable with one condition to prohibit the use of the provision in </w:t>
      </w:r>
      <w:r>
        <w:t>P</w:t>
      </w:r>
      <w:r w:rsidRPr="00253DDB">
        <w:t>aragraph</w:t>
      </w:r>
      <w:r>
        <w:t> </w:t>
      </w:r>
      <w:r w:rsidRPr="00253DDB">
        <w:t>(f) of the Code Case</w:t>
      </w:r>
      <w:r>
        <w:t>, which</w:t>
      </w:r>
      <w:r w:rsidRPr="00253DDB">
        <w:t xml:space="preserve"> allows the </w:t>
      </w:r>
      <w:r w:rsidRPr="00253DDB">
        <w:rPr>
          <w:bCs/>
        </w:rPr>
        <w:t>use of an alternative to limiting the lower shelf of the 95</w:t>
      </w:r>
      <w:r>
        <w:rPr>
          <w:bCs/>
        </w:rPr>
        <w:noBreakHyphen/>
        <w:t>percent</w:t>
      </w:r>
      <w:r w:rsidRPr="00253DDB">
        <w:rPr>
          <w:bCs/>
        </w:rPr>
        <w:t xml:space="preserve"> lower tolerance bound </w:t>
      </w:r>
      <w:r>
        <w:rPr>
          <w:bCs/>
        </w:rPr>
        <w:t>m</w:t>
      </w:r>
      <w:r w:rsidRPr="00253DDB">
        <w:rPr>
          <w:bCs/>
        </w:rPr>
        <w:t xml:space="preserve">aster </w:t>
      </w:r>
      <w:r>
        <w:rPr>
          <w:bCs/>
        </w:rPr>
        <w:t>c</w:t>
      </w:r>
      <w:r w:rsidRPr="00253DDB">
        <w:rPr>
          <w:bCs/>
        </w:rPr>
        <w:t>urve toughness, K</w:t>
      </w:r>
      <w:r w:rsidRPr="00253DDB">
        <w:rPr>
          <w:bCs/>
          <w:vertAlign w:val="subscript"/>
        </w:rPr>
        <w:t>JC</w:t>
      </w:r>
      <w:r>
        <w:rPr>
          <w:bCs/>
          <w:vertAlign w:val="subscript"/>
        </w:rPr>
        <w:noBreakHyphen/>
      </w:r>
      <w:r w:rsidRPr="00253DDB">
        <w:rPr>
          <w:bCs/>
          <w:vertAlign w:val="subscript"/>
        </w:rPr>
        <w:t>lower</w:t>
      </w:r>
      <w:r>
        <w:rPr>
          <w:bCs/>
          <w:vertAlign w:val="subscript"/>
        </w:rPr>
        <w:t> </w:t>
      </w:r>
      <w:r w:rsidRPr="00253DDB">
        <w:rPr>
          <w:bCs/>
          <w:vertAlign w:val="subscript"/>
        </w:rPr>
        <w:t>95%</w:t>
      </w:r>
      <w:r w:rsidRPr="00253DDB">
        <w:rPr>
          <w:bCs/>
        </w:rPr>
        <w:t>, to a value consistent with the current K</w:t>
      </w:r>
      <w:r w:rsidRPr="00C80453">
        <w:rPr>
          <w:bCs/>
          <w:vertAlign w:val="subscript"/>
        </w:rPr>
        <w:t>IC</w:t>
      </w:r>
      <w:r w:rsidRPr="00253DDB">
        <w:rPr>
          <w:bCs/>
        </w:rPr>
        <w:t xml:space="preserve"> curve.  </w:t>
      </w:r>
      <w:r>
        <w:rPr>
          <w:bCs/>
        </w:rPr>
        <w:t xml:space="preserve">ASME </w:t>
      </w:r>
      <w:r w:rsidRPr="00253DDB">
        <w:rPr>
          <w:bCs/>
        </w:rPr>
        <w:t>Code Case N</w:t>
      </w:r>
      <w:r>
        <w:rPr>
          <w:bCs/>
        </w:rPr>
        <w:noBreakHyphen/>
      </w:r>
      <w:r w:rsidRPr="00253DDB">
        <w:rPr>
          <w:bCs/>
        </w:rPr>
        <w:t>830 contains provisions for using the K</w:t>
      </w:r>
      <w:r w:rsidRPr="00253DDB">
        <w:rPr>
          <w:bCs/>
          <w:vertAlign w:val="subscript"/>
        </w:rPr>
        <w:t>JC</w:t>
      </w:r>
      <w:r>
        <w:rPr>
          <w:bCs/>
          <w:vertAlign w:val="subscript"/>
        </w:rPr>
        <w:noBreakHyphen/>
      </w:r>
      <w:r w:rsidRPr="00253DDB">
        <w:rPr>
          <w:bCs/>
          <w:vertAlign w:val="subscript"/>
        </w:rPr>
        <w:t>lower 95%</w:t>
      </w:r>
      <w:r w:rsidRPr="00253DDB">
        <w:rPr>
          <w:bCs/>
        </w:rPr>
        <w:t xml:space="preserve"> curve and the master curve-based reference temperature T</w:t>
      </w:r>
      <w:r w:rsidRPr="00253DDB">
        <w:rPr>
          <w:bCs/>
          <w:vertAlign w:val="subscript"/>
        </w:rPr>
        <w:t>o</w:t>
      </w:r>
      <w:r w:rsidRPr="00253DDB">
        <w:rPr>
          <w:bCs/>
        </w:rPr>
        <w:t xml:space="preserve"> as an alternative to the K</w:t>
      </w:r>
      <w:r w:rsidRPr="00C80453">
        <w:rPr>
          <w:bCs/>
          <w:vertAlign w:val="subscript"/>
        </w:rPr>
        <w:t xml:space="preserve">IC </w:t>
      </w:r>
      <w:r w:rsidRPr="00253DDB">
        <w:rPr>
          <w:bCs/>
        </w:rPr>
        <w:t xml:space="preserve">curve and the nil-ductility transition reference temperature </w:t>
      </w:r>
      <w:r>
        <w:rPr>
          <w:bCs/>
        </w:rPr>
        <w:t>(</w:t>
      </w:r>
      <w:r w:rsidRPr="00253DDB">
        <w:rPr>
          <w:bCs/>
        </w:rPr>
        <w:t>RT</w:t>
      </w:r>
      <w:r w:rsidRPr="00253DDB">
        <w:rPr>
          <w:bCs/>
          <w:vertAlign w:val="subscript"/>
        </w:rPr>
        <w:t>NDT</w:t>
      </w:r>
      <w:r>
        <w:rPr>
          <w:bCs/>
        </w:rPr>
        <w:t>)</w:t>
      </w:r>
      <w:r w:rsidRPr="00253DDB">
        <w:rPr>
          <w:bCs/>
        </w:rPr>
        <w:t xml:space="preserve"> in Appendices</w:t>
      </w:r>
      <w:r>
        <w:rPr>
          <w:bCs/>
        </w:rPr>
        <w:t> </w:t>
      </w:r>
      <w:r w:rsidRPr="00253DDB">
        <w:rPr>
          <w:bCs/>
        </w:rPr>
        <w:t xml:space="preserve">A and G of the ASME </w:t>
      </w:r>
      <w:r>
        <w:rPr>
          <w:bCs/>
        </w:rPr>
        <w:t xml:space="preserve">BPV </w:t>
      </w:r>
      <w:r w:rsidRPr="00253DDB">
        <w:rPr>
          <w:bCs/>
        </w:rPr>
        <w:t>Code</w:t>
      </w:r>
      <w:r>
        <w:rPr>
          <w:bCs/>
        </w:rPr>
        <w:t>,</w:t>
      </w:r>
      <w:r w:rsidRPr="00253DDB">
        <w:rPr>
          <w:bCs/>
        </w:rPr>
        <w:t xml:space="preserve"> Section</w:t>
      </w:r>
      <w:r>
        <w:rPr>
          <w:bCs/>
        </w:rPr>
        <w:t> </w:t>
      </w:r>
      <w:r w:rsidRPr="00253DDB">
        <w:rPr>
          <w:bCs/>
        </w:rPr>
        <w:t xml:space="preserve">XI.  </w:t>
      </w:r>
      <w:r>
        <w:rPr>
          <w:bCs/>
        </w:rPr>
        <w:t xml:space="preserve">The reference temperature </w:t>
      </w:r>
      <w:r w:rsidRPr="00253DDB">
        <w:rPr>
          <w:bCs/>
        </w:rPr>
        <w:t>T</w:t>
      </w:r>
      <w:r w:rsidRPr="00253DDB">
        <w:rPr>
          <w:bCs/>
          <w:vertAlign w:val="subscript"/>
        </w:rPr>
        <w:t>o</w:t>
      </w:r>
      <w:r w:rsidRPr="00253DDB">
        <w:rPr>
          <w:bCs/>
        </w:rPr>
        <w:t xml:space="preserve"> is determined in accordance with </w:t>
      </w:r>
      <w:r>
        <w:rPr>
          <w:bCs/>
        </w:rPr>
        <w:t xml:space="preserve">American Society for Testing and Materials </w:t>
      </w:r>
      <w:r w:rsidRPr="00253DDB">
        <w:rPr>
          <w:bCs/>
        </w:rPr>
        <w:t>International</w:t>
      </w:r>
      <w:r>
        <w:rPr>
          <w:bCs/>
        </w:rPr>
        <w:t xml:space="preserve"> (ASTM)</w:t>
      </w:r>
      <w:r w:rsidRPr="00253DDB">
        <w:rPr>
          <w:bCs/>
        </w:rPr>
        <w:t xml:space="preserve"> Standard E1921, “Standard Test Method for Determination of Reference Temperature, T</w:t>
      </w:r>
      <w:r w:rsidRPr="00253DDB">
        <w:rPr>
          <w:bCs/>
          <w:vertAlign w:val="subscript"/>
        </w:rPr>
        <w:t>o</w:t>
      </w:r>
      <w:r w:rsidRPr="00253DDB">
        <w:rPr>
          <w:bCs/>
        </w:rPr>
        <w:t>, for Ferritic Steels in the Transition Range,”</w:t>
      </w:r>
      <w:r>
        <w:rPr>
          <w:bCs/>
        </w:rPr>
        <w:t xml:space="preserve"> </w:t>
      </w:r>
      <w:r w:rsidRPr="00253DDB">
        <w:rPr>
          <w:bCs/>
        </w:rPr>
        <w:t>from direct fracture toughness testing data.  The RT</w:t>
      </w:r>
      <w:r w:rsidRPr="00253DDB">
        <w:rPr>
          <w:bCs/>
          <w:vertAlign w:val="subscript"/>
        </w:rPr>
        <w:t>NDT</w:t>
      </w:r>
      <w:r w:rsidRPr="00253DDB">
        <w:rPr>
          <w:bCs/>
        </w:rPr>
        <w:t xml:space="preserve"> is determined in accordance with ASME </w:t>
      </w:r>
      <w:r>
        <w:rPr>
          <w:bCs/>
        </w:rPr>
        <w:t xml:space="preserve">BPV </w:t>
      </w:r>
      <w:r w:rsidRPr="00253DDB">
        <w:rPr>
          <w:bCs/>
        </w:rPr>
        <w:t>Code, Section</w:t>
      </w:r>
      <w:r>
        <w:rPr>
          <w:bCs/>
        </w:rPr>
        <w:t> </w:t>
      </w:r>
      <w:r w:rsidRPr="00253DDB">
        <w:rPr>
          <w:bCs/>
        </w:rPr>
        <w:t>III, NB</w:t>
      </w:r>
      <w:r>
        <w:rPr>
          <w:bCs/>
        </w:rPr>
        <w:noBreakHyphen/>
      </w:r>
      <w:r w:rsidRPr="00253DDB">
        <w:rPr>
          <w:bCs/>
        </w:rPr>
        <w:t>2330, “Test Requirements and Acceptance Standards,” from indirect Charpy V</w:t>
      </w:r>
      <w:r>
        <w:rPr>
          <w:bCs/>
        </w:rPr>
        <w:noBreakHyphen/>
      </w:r>
      <w:r w:rsidRPr="00253DDB">
        <w:rPr>
          <w:bCs/>
        </w:rPr>
        <w:t xml:space="preserve">notch testing data, and </w:t>
      </w:r>
      <w:r>
        <w:rPr>
          <w:bCs/>
        </w:rPr>
        <w:t>RG </w:t>
      </w:r>
      <w:r w:rsidRPr="00253DDB">
        <w:rPr>
          <w:bCs/>
        </w:rPr>
        <w:t>1.99, “Radiation Embrittlement of Reactor Vessel Materials</w:t>
      </w:r>
      <w:r>
        <w:rPr>
          <w:bCs/>
        </w:rPr>
        <w:t>,</w:t>
      </w:r>
      <w:r w:rsidRPr="00253DDB">
        <w:rPr>
          <w:bCs/>
        </w:rPr>
        <w:t xml:space="preserve">” </w:t>
      </w:r>
      <w:r>
        <w:rPr>
          <w:bCs/>
        </w:rPr>
        <w:t xml:space="preserve">Revision 2, issued May 1988 (NRC 1988). </w:t>
      </w:r>
      <w:r w:rsidRPr="00253DDB">
        <w:rPr>
          <w:bCs/>
        </w:rPr>
        <w:t xml:space="preserve"> Considering the entire test data at a wide range of T-RT</w:t>
      </w:r>
      <w:r w:rsidRPr="00253DDB">
        <w:rPr>
          <w:bCs/>
          <w:vertAlign w:val="subscript"/>
        </w:rPr>
        <w:t>NDT</w:t>
      </w:r>
      <w:r w:rsidRPr="00253DDB">
        <w:rPr>
          <w:bCs/>
        </w:rPr>
        <w:t xml:space="preserve"> (-400</w:t>
      </w:r>
      <w:r>
        <w:rPr>
          <w:bCs/>
        </w:rPr>
        <w:t xml:space="preserve"> degrees Fahrenheit (</w:t>
      </w:r>
      <w:r w:rsidRPr="00253DDB">
        <w:rPr>
          <w:bCs/>
        </w:rPr>
        <w:t>F</w:t>
      </w:r>
      <w:r>
        <w:rPr>
          <w:bCs/>
        </w:rPr>
        <w:t>)</w:t>
      </w:r>
      <w:r w:rsidRPr="00253DDB">
        <w:rPr>
          <w:bCs/>
        </w:rPr>
        <w:t xml:space="preserve"> to 100</w:t>
      </w:r>
      <w:r>
        <w:rPr>
          <w:bCs/>
        </w:rPr>
        <w:t xml:space="preserve"> degrees </w:t>
      </w:r>
      <w:r w:rsidRPr="00253DDB">
        <w:rPr>
          <w:bCs/>
        </w:rPr>
        <w:t>F), the NRC found that the current K</w:t>
      </w:r>
      <w:r w:rsidRPr="00C80453">
        <w:rPr>
          <w:bCs/>
          <w:vertAlign w:val="subscript"/>
        </w:rPr>
        <w:t>IC</w:t>
      </w:r>
      <w:r w:rsidRPr="00253DDB">
        <w:rPr>
          <w:bCs/>
        </w:rPr>
        <w:t xml:space="preserve"> curve also represents approximately a 95</w:t>
      </w:r>
      <w:r>
        <w:rPr>
          <w:bCs/>
        </w:rPr>
        <w:noBreakHyphen/>
      </w:r>
      <w:r w:rsidRPr="00253DDB">
        <w:rPr>
          <w:bCs/>
        </w:rPr>
        <w:t xml:space="preserve">percent lower tolerance bound for the data.  </w:t>
      </w:r>
      <w:r>
        <w:rPr>
          <w:bCs/>
        </w:rPr>
        <w:t>Therefore</w:t>
      </w:r>
      <w:r w:rsidRPr="00253DDB">
        <w:rPr>
          <w:bCs/>
        </w:rPr>
        <w:t xml:space="preserve">, using </w:t>
      </w:r>
      <w:r>
        <w:rPr>
          <w:bCs/>
        </w:rPr>
        <w:t xml:space="preserve">the </w:t>
      </w:r>
      <w:r w:rsidRPr="00253DDB">
        <w:rPr>
          <w:bCs/>
        </w:rPr>
        <w:t>K</w:t>
      </w:r>
      <w:r w:rsidRPr="00253DDB">
        <w:rPr>
          <w:bCs/>
          <w:vertAlign w:val="subscript"/>
        </w:rPr>
        <w:t>JC-lower 95%</w:t>
      </w:r>
      <w:r w:rsidRPr="00253DDB">
        <w:rPr>
          <w:bCs/>
        </w:rPr>
        <w:t xml:space="preserve"> curve based on </w:t>
      </w:r>
      <w:r>
        <w:rPr>
          <w:bCs/>
        </w:rPr>
        <w:t>the m</w:t>
      </w:r>
      <w:r w:rsidRPr="00253DDB">
        <w:rPr>
          <w:bCs/>
        </w:rPr>
        <w:t xml:space="preserve">aster </w:t>
      </w:r>
      <w:r>
        <w:rPr>
          <w:bCs/>
        </w:rPr>
        <w:t>c</w:t>
      </w:r>
      <w:r w:rsidRPr="00253DDB">
        <w:rPr>
          <w:bCs/>
        </w:rPr>
        <w:t xml:space="preserve">urve is acceptable.  However, </w:t>
      </w:r>
      <w:r>
        <w:rPr>
          <w:bCs/>
        </w:rPr>
        <w:t>because</w:t>
      </w:r>
      <w:r w:rsidRPr="00253DDB">
        <w:rPr>
          <w:bCs/>
        </w:rPr>
        <w:t xml:space="preserve"> </w:t>
      </w:r>
      <w:r>
        <w:rPr>
          <w:bCs/>
        </w:rPr>
        <w:t>P</w:t>
      </w:r>
      <w:r w:rsidRPr="00253DDB">
        <w:rPr>
          <w:bCs/>
        </w:rPr>
        <w:t>aragraph</w:t>
      </w:r>
      <w:r>
        <w:rPr>
          <w:bCs/>
        </w:rPr>
        <w:t> </w:t>
      </w:r>
      <w:r w:rsidRPr="00253DDB">
        <w:rPr>
          <w:bCs/>
        </w:rPr>
        <w:t>(f) provides a significant deviation from the K</w:t>
      </w:r>
      <w:r w:rsidRPr="00253DDB">
        <w:rPr>
          <w:bCs/>
          <w:vertAlign w:val="subscript"/>
        </w:rPr>
        <w:t>JC</w:t>
      </w:r>
      <w:r>
        <w:rPr>
          <w:bCs/>
          <w:vertAlign w:val="subscript"/>
        </w:rPr>
        <w:noBreakHyphen/>
      </w:r>
      <w:r w:rsidRPr="00253DDB">
        <w:rPr>
          <w:bCs/>
          <w:vertAlign w:val="subscript"/>
        </w:rPr>
        <w:t>lower</w:t>
      </w:r>
      <w:r>
        <w:rPr>
          <w:bCs/>
          <w:vertAlign w:val="subscript"/>
        </w:rPr>
        <w:t> </w:t>
      </w:r>
      <w:r w:rsidRPr="00253DDB">
        <w:rPr>
          <w:bCs/>
          <w:vertAlign w:val="subscript"/>
        </w:rPr>
        <w:t>95%</w:t>
      </w:r>
      <w:r w:rsidRPr="00253DDB">
        <w:rPr>
          <w:bCs/>
        </w:rPr>
        <w:t xml:space="preserve"> curve for (T-T</w:t>
      </w:r>
      <w:r w:rsidRPr="00253DDB">
        <w:rPr>
          <w:bCs/>
          <w:vertAlign w:val="subscript"/>
        </w:rPr>
        <w:t>o</w:t>
      </w:r>
      <w:r w:rsidRPr="00253DDB">
        <w:rPr>
          <w:bCs/>
        </w:rPr>
        <w:t xml:space="preserve">) below </w:t>
      </w:r>
      <w:r>
        <w:rPr>
          <w:bCs/>
        </w:rPr>
        <w:t>-</w:t>
      </w:r>
      <w:r w:rsidRPr="00253DDB">
        <w:rPr>
          <w:bCs/>
        </w:rPr>
        <w:t>115</w:t>
      </w:r>
      <w:r>
        <w:rPr>
          <w:bCs/>
        </w:rPr>
        <w:t xml:space="preserve"> degrees </w:t>
      </w:r>
      <w:r w:rsidRPr="00253DDB">
        <w:rPr>
          <w:bCs/>
        </w:rPr>
        <w:t>F in a nonconservative manner without justification</w:t>
      </w:r>
      <w:r>
        <w:rPr>
          <w:bCs/>
        </w:rPr>
        <w:t>,</w:t>
      </w:r>
      <w:r w:rsidRPr="00253DDB">
        <w:rPr>
          <w:bCs/>
        </w:rPr>
        <w:t xml:space="preserve"> </w:t>
      </w:r>
      <w:r>
        <w:rPr>
          <w:bCs/>
        </w:rPr>
        <w:t>t</w:t>
      </w:r>
      <w:r w:rsidRPr="00253DDB">
        <w:rPr>
          <w:bCs/>
        </w:rPr>
        <w:t xml:space="preserve">he NRC determined that </w:t>
      </w:r>
      <w:r>
        <w:rPr>
          <w:bCs/>
        </w:rPr>
        <w:t>P</w:t>
      </w:r>
      <w:r w:rsidRPr="00253DDB">
        <w:rPr>
          <w:bCs/>
        </w:rPr>
        <w:t>aragraph</w:t>
      </w:r>
      <w:r>
        <w:rPr>
          <w:bCs/>
        </w:rPr>
        <w:t> </w:t>
      </w:r>
      <w:r w:rsidRPr="00253DDB">
        <w:rPr>
          <w:bCs/>
        </w:rPr>
        <w:t xml:space="preserve">(f) of </w:t>
      </w:r>
      <w:r>
        <w:rPr>
          <w:bCs/>
        </w:rPr>
        <w:t xml:space="preserve">ASME Code Case </w:t>
      </w:r>
      <w:r w:rsidRPr="00253DDB">
        <w:rPr>
          <w:bCs/>
        </w:rPr>
        <w:t>N</w:t>
      </w:r>
      <w:r>
        <w:rPr>
          <w:bCs/>
        </w:rPr>
        <w:noBreakHyphen/>
      </w:r>
      <w:r w:rsidRPr="00253DDB">
        <w:rPr>
          <w:bCs/>
        </w:rPr>
        <w:t>830 must not be applied.</w:t>
      </w:r>
    </w:p>
    <w:p w14:paraId="5B3CC13F" w14:textId="77777777" w:rsidR="00D53E6F" w:rsidRDefault="00D53E6F" w:rsidP="00D53E6F">
      <w:pPr>
        <w:spacing w:line="240" w:lineRule="auto"/>
        <w:rPr>
          <w:bCs/>
        </w:rPr>
      </w:pPr>
    </w:p>
    <w:p w14:paraId="44CE6B79" w14:textId="77777777" w:rsidR="00D53E6F" w:rsidRDefault="00D53E6F" w:rsidP="00D53E6F">
      <w:pPr>
        <w:spacing w:line="240" w:lineRule="auto"/>
      </w:pPr>
      <w:r>
        <w:t>The NRC does not expect industry to incur incremental implementation costs as a result of this condition, which clarifies that the analysis will use a single curve.</w:t>
      </w:r>
    </w:p>
    <w:p w14:paraId="3DFDD5C7" w14:textId="77777777" w:rsidR="00D53E6F" w:rsidRDefault="00D53E6F" w:rsidP="00D53E6F">
      <w:pPr>
        <w:spacing w:line="240" w:lineRule="auto"/>
      </w:pPr>
    </w:p>
    <w:p w14:paraId="4DFEFE72" w14:textId="77777777" w:rsidR="00D53E6F" w:rsidRDefault="00D53E6F" w:rsidP="00D53E6F">
      <w:pPr>
        <w:pStyle w:val="Heading3"/>
        <w:spacing w:line="240" w:lineRule="auto"/>
        <w:ind w:left="900" w:hanging="900"/>
      </w:pPr>
      <w:bookmarkStart w:id="166" w:name="_Toc456098249"/>
      <w:bookmarkStart w:id="167" w:name="_Toc12808807"/>
      <w:r>
        <w:t>5.3.17</w:t>
      </w:r>
      <w:r>
        <w:tab/>
      </w:r>
      <w:bookmarkEnd w:id="166"/>
      <w:r w:rsidRPr="007E4E29">
        <w:rPr>
          <w:szCs w:val="22"/>
        </w:rPr>
        <w:t>Ultrasonic Examination in Lieu of Radiography for Welds in Ferritic Pipe</w:t>
      </w:r>
      <w:bookmarkEnd w:id="167"/>
    </w:p>
    <w:p w14:paraId="4A743C5F" w14:textId="77777777" w:rsidR="00D53E6F" w:rsidRDefault="00D53E6F" w:rsidP="00D53E6F">
      <w:pPr>
        <w:keepNext/>
        <w:spacing w:line="240" w:lineRule="auto"/>
      </w:pPr>
    </w:p>
    <w:p w14:paraId="683CE3FF" w14:textId="77777777" w:rsidR="00D53E6F" w:rsidRPr="00253DDB" w:rsidRDefault="00D53E6F" w:rsidP="00D53E6F">
      <w:pPr>
        <w:pStyle w:val="Caption"/>
        <w:keepNext w:val="0"/>
        <w:spacing w:line="240" w:lineRule="auto"/>
      </w:pPr>
      <w:r>
        <w:t xml:space="preserve">ASME </w:t>
      </w:r>
      <w:r w:rsidRPr="00253DDB">
        <w:t>Code Case N-831 is a new Code Case</w:t>
      </w:r>
      <w:r>
        <w:t xml:space="preserve"> that</w:t>
      </w:r>
      <w:r w:rsidRPr="00253DDB">
        <w:t xml:space="preserve"> provides an alternati</w:t>
      </w:r>
      <w:r>
        <w:t xml:space="preserve">ve to radiographic testing </w:t>
      </w:r>
      <w:r w:rsidRPr="00253DDB">
        <w:t xml:space="preserve">when it is required by the construction code for </w:t>
      </w:r>
      <w:r>
        <w:t xml:space="preserve">ASME BPV Code, </w:t>
      </w:r>
      <w:r w:rsidRPr="00253DDB">
        <w:t>Section</w:t>
      </w:r>
      <w:r>
        <w:t> </w:t>
      </w:r>
      <w:r w:rsidRPr="00253DDB">
        <w:t>Xl repair</w:t>
      </w:r>
      <w:r>
        <w:t xml:space="preserve"> and </w:t>
      </w:r>
      <w:r w:rsidRPr="00253DDB">
        <w:t>replacement activities.  This Code Case describes the requirements for inspecting ferritic welds for fabrication fla</w:t>
      </w:r>
      <w:r>
        <w:t>ws using ultrasonic testing</w:t>
      </w:r>
      <w:r w:rsidRPr="00253DDB">
        <w:t xml:space="preserve"> as an alternative to the current requirements to use radiography.  The Code Case describes the scanning methods, recordkeeping</w:t>
      </w:r>
      <w:r>
        <w:t>,</w:t>
      </w:r>
      <w:r w:rsidRPr="00253DDB">
        <w:t xml:space="preserve"> and performance demonstration qualification requirements for the ultrasonic procedures, equipment, and personnel.</w:t>
      </w:r>
    </w:p>
    <w:p w14:paraId="0303A587" w14:textId="77777777" w:rsidR="00D53E6F" w:rsidRDefault="00D53E6F" w:rsidP="00D53E6F">
      <w:pPr>
        <w:pStyle w:val="Caption"/>
        <w:keepNext w:val="0"/>
        <w:spacing w:after="0" w:line="240" w:lineRule="auto"/>
      </w:pPr>
      <w:r w:rsidRPr="00253DDB">
        <w:t xml:space="preserve">The NRC finds </w:t>
      </w:r>
      <w:r>
        <w:t xml:space="preserve">ASME </w:t>
      </w:r>
      <w:r w:rsidRPr="00253DDB">
        <w:t xml:space="preserve">Code Case N-831 acceptable with the condition that it is prohibited for use in new reactor construction.  History has shown that the combined use of </w:t>
      </w:r>
      <w:r>
        <w:t>radiographic testing</w:t>
      </w:r>
      <w:r w:rsidRPr="00253DDB">
        <w:t xml:space="preserve"> for weld fabrication examinations followed by the use of </w:t>
      </w:r>
      <w:r>
        <w:t>ultrasonic testing</w:t>
      </w:r>
      <w:r w:rsidRPr="00253DDB">
        <w:t xml:space="preserve"> f</w:t>
      </w:r>
      <w:r>
        <w:t>or preservice inspections and ISIs</w:t>
      </w:r>
      <w:r w:rsidRPr="00253DDB">
        <w:t xml:space="preserve"> ensures that workmanship is maintained (with </w:t>
      </w:r>
      <w:r>
        <w:t>radiographic testing</w:t>
      </w:r>
      <w:r w:rsidRPr="00253DDB">
        <w:t xml:space="preserve">) while potentially critical planar fabrication flaws are not put into service (with </w:t>
      </w:r>
      <w:r>
        <w:t>ultrasonic testing</w:t>
      </w:r>
      <w:r w:rsidRPr="00253DDB">
        <w:t xml:space="preserve">).  Until studies are completed that demonstrate the ability of </w:t>
      </w:r>
      <w:r>
        <w:t>ultrasonic testing</w:t>
      </w:r>
      <w:r w:rsidRPr="00253DDB">
        <w:t xml:space="preserve"> to replace </w:t>
      </w:r>
      <w:r>
        <w:t>radiographic testing</w:t>
      </w:r>
      <w:r w:rsidRPr="00253DDB">
        <w:t xml:space="preserve"> (repair</w:t>
      </w:r>
      <w:r>
        <w:t xml:space="preserve"> and </w:t>
      </w:r>
      <w:r w:rsidRPr="00253DDB">
        <w:t>replacement activit</w:t>
      </w:r>
      <w:r>
        <w:t>ies</w:t>
      </w:r>
      <w:r w:rsidRPr="00253DDB">
        <w:t xml:space="preserve">), the NRC will not </w:t>
      </w:r>
      <w:r>
        <w:t>generally</w:t>
      </w:r>
      <w:r w:rsidRPr="00253DDB">
        <w:t xml:space="preserve"> allow the substitut</w:t>
      </w:r>
      <w:r>
        <w:t>ion</w:t>
      </w:r>
      <w:r w:rsidRPr="00253DDB">
        <w:t xml:space="preserve"> of </w:t>
      </w:r>
      <w:r>
        <w:t>ultrasonic testing</w:t>
      </w:r>
      <w:r w:rsidRPr="00253DDB">
        <w:t xml:space="preserve"> </w:t>
      </w:r>
      <w:r>
        <w:t>for</w:t>
      </w:r>
      <w:r w:rsidRPr="00253DDB">
        <w:t xml:space="preserve"> </w:t>
      </w:r>
      <w:r>
        <w:t>radiographic testing</w:t>
      </w:r>
      <w:r w:rsidRPr="00253DDB">
        <w:t xml:space="preserve"> </w:t>
      </w:r>
      <w:r>
        <w:t>in</w:t>
      </w:r>
      <w:r w:rsidRPr="00253DDB">
        <w:t xml:space="preserve"> weld fabrication examinations.  In addition, ultrasonic examinations are not equivalent to radiographic examinations </w:t>
      </w:r>
      <w:r>
        <w:t>because</w:t>
      </w:r>
      <w:r w:rsidRPr="00253DDB">
        <w:t xml:space="preserve"> they use different physical mechanisms to detect and characterize discontinuities.  These differences in physical mechanisms result in several key differences in sensitivity and discrimination capability.  </w:t>
      </w:r>
      <w:r>
        <w:t>Because</w:t>
      </w:r>
      <w:r w:rsidRPr="00253DDB">
        <w:t xml:space="preserve"> of these differences</w:t>
      </w:r>
      <w:r>
        <w:t xml:space="preserve"> and</w:t>
      </w:r>
      <w:r w:rsidRPr="00253DDB">
        <w:t xml:space="preserve"> the inherent strengths of each of the methods, the two methods are not considered to be interchangeable but </w:t>
      </w:r>
      <w:r>
        <w:t xml:space="preserve">instead </w:t>
      </w:r>
      <w:r w:rsidRPr="00253DDB">
        <w:t xml:space="preserve">are complementary.  Therefore, </w:t>
      </w:r>
      <w:r>
        <w:t xml:space="preserve">the NRC determined that </w:t>
      </w:r>
      <w:r w:rsidRPr="00253DDB">
        <w:t xml:space="preserve">this </w:t>
      </w:r>
      <w:r>
        <w:t xml:space="preserve">ASME </w:t>
      </w:r>
      <w:r w:rsidRPr="00253DDB">
        <w:t>Code Case is not acceptable for use on new reactor construction.</w:t>
      </w:r>
    </w:p>
    <w:p w14:paraId="3DF1D122" w14:textId="77777777" w:rsidR="00D53E6F" w:rsidRDefault="00D53E6F" w:rsidP="00D53E6F">
      <w:pPr>
        <w:spacing w:line="240" w:lineRule="auto"/>
      </w:pPr>
    </w:p>
    <w:p w14:paraId="00F0DBD3" w14:textId="188DF748" w:rsidR="00D53E6F" w:rsidRPr="00C33226" w:rsidRDefault="00D53E6F" w:rsidP="00D53E6F">
      <w:pPr>
        <w:spacing w:line="240" w:lineRule="auto"/>
      </w:pPr>
      <w:r>
        <w:t>This condition will require new reactors under construction to use radiography.  The NRC estimates that industry will not incur incremental implementation costs for using radiation as compared to existing methods because the time required to set up and perform radiography examinations is approximately equal to the time required to use existing methods.  Additionally, new reactors under construction would not incur any incremental costs to shut down or extend an outage to perform the radiography.</w:t>
      </w:r>
    </w:p>
    <w:p w14:paraId="332DE94C" w14:textId="77777777" w:rsidR="00D53E6F" w:rsidRDefault="00D53E6F" w:rsidP="00D53E6F">
      <w:pPr>
        <w:spacing w:line="240" w:lineRule="auto"/>
      </w:pPr>
    </w:p>
    <w:p w14:paraId="035BD292" w14:textId="77777777" w:rsidR="00D53E6F" w:rsidRDefault="00D53E6F" w:rsidP="00D53E6F">
      <w:pPr>
        <w:pStyle w:val="Heading3"/>
        <w:spacing w:line="240" w:lineRule="auto"/>
        <w:ind w:left="900" w:hanging="900"/>
        <w:rPr>
          <w:szCs w:val="22"/>
        </w:rPr>
      </w:pPr>
      <w:bookmarkStart w:id="168" w:name="_Toc12808808"/>
      <w:r>
        <w:t>5.3.18</w:t>
      </w:r>
      <w:r>
        <w:tab/>
      </w:r>
      <w:r w:rsidRPr="00394101">
        <w:rPr>
          <w:szCs w:val="22"/>
        </w:rPr>
        <w:t>Flaw Tolerance Evaluation of Cast Austenitic Stainless Steel Piping</w:t>
      </w:r>
      <w:r>
        <w:rPr>
          <w:szCs w:val="22"/>
        </w:rPr>
        <w:t>,</w:t>
      </w:r>
      <w:r w:rsidRPr="00394101">
        <w:rPr>
          <w:szCs w:val="22"/>
        </w:rPr>
        <w:t xml:space="preserve"> Section</w:t>
      </w:r>
      <w:r>
        <w:rPr>
          <w:szCs w:val="22"/>
        </w:rPr>
        <w:t> </w:t>
      </w:r>
      <w:r w:rsidRPr="00394101">
        <w:rPr>
          <w:szCs w:val="22"/>
        </w:rPr>
        <w:t>XI, Division</w:t>
      </w:r>
      <w:r>
        <w:rPr>
          <w:szCs w:val="22"/>
        </w:rPr>
        <w:t> </w:t>
      </w:r>
      <w:r w:rsidRPr="00394101">
        <w:rPr>
          <w:szCs w:val="22"/>
        </w:rPr>
        <w:t>1</w:t>
      </w:r>
      <w:bookmarkEnd w:id="168"/>
    </w:p>
    <w:p w14:paraId="74A9CE5D" w14:textId="77777777" w:rsidR="00D53E6F" w:rsidRDefault="00D53E6F" w:rsidP="00D53E6F">
      <w:pPr>
        <w:spacing w:line="240" w:lineRule="auto"/>
      </w:pPr>
    </w:p>
    <w:p w14:paraId="315ECB7F" w14:textId="06581EA9" w:rsidR="00D53E6F" w:rsidRDefault="00D53E6F" w:rsidP="00D53E6F">
      <w:pPr>
        <w:spacing w:line="240" w:lineRule="auto"/>
        <w:ind w:right="720"/>
        <w:rPr>
          <w:bCs/>
        </w:rPr>
      </w:pPr>
      <w:r>
        <w:rPr>
          <w:bCs/>
        </w:rPr>
        <w:t xml:space="preserve">The </w:t>
      </w:r>
      <w:r w:rsidRPr="00394101">
        <w:rPr>
          <w:bCs/>
        </w:rPr>
        <w:t xml:space="preserve">NRC </w:t>
      </w:r>
      <w:r>
        <w:rPr>
          <w:bCs/>
        </w:rPr>
        <w:t>approv</w:t>
      </w:r>
      <w:r w:rsidR="00B01C86">
        <w:rPr>
          <w:bCs/>
        </w:rPr>
        <w:t>es</w:t>
      </w:r>
      <w:r w:rsidRPr="00394101">
        <w:rPr>
          <w:bCs/>
        </w:rPr>
        <w:t xml:space="preserve"> </w:t>
      </w:r>
      <w:r>
        <w:rPr>
          <w:bCs/>
        </w:rPr>
        <w:t xml:space="preserve">ASME </w:t>
      </w:r>
      <w:r w:rsidRPr="00394101">
        <w:rPr>
          <w:bCs/>
        </w:rPr>
        <w:t xml:space="preserve">Code Case N-838 with the following condition: </w:t>
      </w:r>
      <w:r>
        <w:rPr>
          <w:bCs/>
        </w:rPr>
        <w:t xml:space="preserve"> </w:t>
      </w:r>
    </w:p>
    <w:p w14:paraId="1CB19331" w14:textId="77777777" w:rsidR="00D53E6F" w:rsidRDefault="00D53E6F" w:rsidP="00D53E6F">
      <w:pPr>
        <w:spacing w:line="240" w:lineRule="auto"/>
        <w:ind w:right="720"/>
        <w:rPr>
          <w:bCs/>
        </w:rPr>
      </w:pPr>
    </w:p>
    <w:p w14:paraId="63688049" w14:textId="77777777" w:rsidR="00D53E6F" w:rsidRDefault="00D53E6F" w:rsidP="00D53E6F">
      <w:pPr>
        <w:spacing w:line="240" w:lineRule="auto"/>
        <w:ind w:left="720" w:right="720"/>
        <w:rPr>
          <w:bCs/>
        </w:rPr>
      </w:pPr>
      <w:r w:rsidRPr="0074599C">
        <w:rPr>
          <w:bCs/>
        </w:rPr>
        <w:t xml:space="preserve">Code Case N-838 shall not be used to evaluate flaws in </w:t>
      </w:r>
      <w:r>
        <w:rPr>
          <w:bCs/>
        </w:rPr>
        <w:t>CASS</w:t>
      </w:r>
      <w:r w:rsidRPr="0074599C">
        <w:rPr>
          <w:bCs/>
        </w:rPr>
        <w:t xml:space="preserve"> piping where the delta ferrite content exceeds 25</w:t>
      </w:r>
      <w:r>
        <w:rPr>
          <w:bCs/>
        </w:rPr>
        <w:t> </w:t>
      </w:r>
      <w:r w:rsidRPr="0074599C">
        <w:rPr>
          <w:bCs/>
        </w:rPr>
        <w:t>percent.</w:t>
      </w:r>
    </w:p>
    <w:p w14:paraId="3B0E6748" w14:textId="77777777" w:rsidR="00D53E6F" w:rsidRPr="00394101" w:rsidRDefault="00D53E6F" w:rsidP="00D53E6F">
      <w:pPr>
        <w:spacing w:line="240" w:lineRule="auto"/>
        <w:rPr>
          <w:bCs/>
        </w:rPr>
      </w:pPr>
    </w:p>
    <w:p w14:paraId="329D0B2D" w14:textId="7D9CEF44" w:rsidR="00D53E6F" w:rsidRDefault="00D53E6F" w:rsidP="00D53E6F">
      <w:pPr>
        <w:spacing w:line="240" w:lineRule="auto"/>
        <w:rPr>
          <w:bCs/>
        </w:rPr>
      </w:pPr>
      <w:r>
        <w:rPr>
          <w:bCs/>
        </w:rPr>
        <w:t xml:space="preserve">ASME </w:t>
      </w:r>
      <w:r w:rsidRPr="00394101">
        <w:rPr>
          <w:bCs/>
        </w:rPr>
        <w:t>Code Case N-838 contains provisions for performing a postulated flaw tolerance ev</w:t>
      </w:r>
      <w:r>
        <w:rPr>
          <w:bCs/>
        </w:rPr>
        <w:t xml:space="preserve">aluation of ASME Class 1 and 2 CASS </w:t>
      </w:r>
      <w:r w:rsidRPr="00394101">
        <w:rPr>
          <w:bCs/>
        </w:rPr>
        <w:t>piping with delta ferrite exceeding 20</w:t>
      </w:r>
      <w:r>
        <w:rPr>
          <w:bCs/>
        </w:rPr>
        <w:t> percent</w:t>
      </w:r>
      <w:r w:rsidRPr="00394101">
        <w:rPr>
          <w:bCs/>
        </w:rPr>
        <w:t xml:space="preserve">.  The </w:t>
      </w:r>
      <w:r>
        <w:rPr>
          <w:bCs/>
        </w:rPr>
        <w:t>Code Case</w:t>
      </w:r>
      <w:r w:rsidRPr="00394101">
        <w:rPr>
          <w:bCs/>
        </w:rPr>
        <w:t xml:space="preserve"> recommend</w:t>
      </w:r>
      <w:r>
        <w:rPr>
          <w:bCs/>
        </w:rPr>
        <w:t>s a</w:t>
      </w:r>
      <w:r w:rsidRPr="00394101">
        <w:rPr>
          <w:bCs/>
        </w:rPr>
        <w:t xml:space="preserve"> target flaw size for the qualification of nondestructive examination methods along with an approach that may be used to justify a larger target flaw size, if needed. </w:t>
      </w:r>
      <w:r w:rsidRPr="0074599C">
        <w:rPr>
          <w:bCs/>
        </w:rPr>
        <w:t xml:space="preserve"> </w:t>
      </w:r>
      <w:r w:rsidRPr="00394101">
        <w:rPr>
          <w:bCs/>
        </w:rPr>
        <w:t xml:space="preserve">The </w:t>
      </w:r>
      <w:r>
        <w:rPr>
          <w:bCs/>
        </w:rPr>
        <w:t>Code Case</w:t>
      </w:r>
      <w:r w:rsidRPr="00394101">
        <w:rPr>
          <w:bCs/>
        </w:rPr>
        <w:t xml:space="preserve"> is intended for the flaw tolerance evaluation of postulated flaws in </w:t>
      </w:r>
      <w:r>
        <w:rPr>
          <w:bCs/>
        </w:rPr>
        <w:t xml:space="preserve">CASS </w:t>
      </w:r>
      <w:r w:rsidRPr="00394101">
        <w:rPr>
          <w:bCs/>
        </w:rPr>
        <w:t>base metal adjacent to welds, in conjunction with license renewal commitments.</w:t>
      </w:r>
      <w:r>
        <w:rPr>
          <w:bCs/>
        </w:rPr>
        <w:t xml:space="preserve">  </w:t>
      </w:r>
      <w:r w:rsidRPr="00394101">
        <w:rPr>
          <w:bCs/>
        </w:rPr>
        <w:t xml:space="preserve">The NRC notes that the </w:t>
      </w:r>
      <w:r>
        <w:rPr>
          <w:bCs/>
        </w:rPr>
        <w:t>Code Case</w:t>
      </w:r>
      <w:r w:rsidRPr="00394101">
        <w:rPr>
          <w:bCs/>
        </w:rPr>
        <w:t xml:space="preserve"> is limited in application and provides restrictions so that </w:t>
      </w:r>
      <w:r>
        <w:rPr>
          <w:bCs/>
        </w:rPr>
        <w:t>it</w:t>
      </w:r>
      <w:r w:rsidRPr="00394101">
        <w:rPr>
          <w:bCs/>
        </w:rPr>
        <w:t xml:space="preserve"> will not be misused.  For example, the </w:t>
      </w:r>
      <w:r>
        <w:rPr>
          <w:bCs/>
        </w:rPr>
        <w:t>Code Case</w:t>
      </w:r>
      <w:r w:rsidRPr="00394101">
        <w:rPr>
          <w:bCs/>
        </w:rPr>
        <w:t xml:space="preserve"> </w:t>
      </w:r>
      <w:r>
        <w:rPr>
          <w:bCs/>
        </w:rPr>
        <w:t>applies</w:t>
      </w:r>
      <w:r w:rsidRPr="00394101">
        <w:rPr>
          <w:bCs/>
        </w:rPr>
        <w:t xml:space="preserve"> to portions of Class</w:t>
      </w:r>
      <w:r>
        <w:rPr>
          <w:bCs/>
        </w:rPr>
        <w:t> </w:t>
      </w:r>
      <w:r w:rsidRPr="00394101">
        <w:rPr>
          <w:bCs/>
        </w:rPr>
        <w:t xml:space="preserve">1 and 2 piping </w:t>
      </w:r>
      <w:r>
        <w:rPr>
          <w:bCs/>
        </w:rPr>
        <w:t>made</w:t>
      </w:r>
      <w:r w:rsidRPr="00394101">
        <w:rPr>
          <w:bCs/>
        </w:rPr>
        <w:t xml:space="preserve"> of SA</w:t>
      </w:r>
      <w:r>
        <w:rPr>
          <w:bCs/>
        </w:rPr>
        <w:noBreakHyphen/>
      </w:r>
      <w:r w:rsidRPr="00394101">
        <w:rPr>
          <w:bCs/>
        </w:rPr>
        <w:t>351 statically</w:t>
      </w:r>
      <w:r>
        <w:rPr>
          <w:bCs/>
        </w:rPr>
        <w:t xml:space="preserve"> </w:t>
      </w:r>
      <w:r w:rsidRPr="00394101">
        <w:rPr>
          <w:bCs/>
        </w:rPr>
        <w:t>or centrifugally</w:t>
      </w:r>
      <w:r>
        <w:rPr>
          <w:bCs/>
        </w:rPr>
        <w:t xml:space="preserve"> </w:t>
      </w:r>
      <w:r w:rsidRPr="00394101">
        <w:rPr>
          <w:bCs/>
        </w:rPr>
        <w:t>cast Grades</w:t>
      </w:r>
      <w:r>
        <w:rPr>
          <w:bCs/>
        </w:rPr>
        <w:t> </w:t>
      </w:r>
      <w:r w:rsidRPr="00394101">
        <w:rPr>
          <w:bCs/>
        </w:rPr>
        <w:t>CF3, CF3A, CF3M, CF8, CF8A</w:t>
      </w:r>
      <w:r>
        <w:rPr>
          <w:bCs/>
        </w:rPr>
        <w:t>,</w:t>
      </w:r>
      <w:r w:rsidRPr="00394101">
        <w:rPr>
          <w:bCs/>
        </w:rPr>
        <w:t xml:space="preserve"> and CF8M base metal with delta ferrite exceeding 20</w:t>
      </w:r>
      <w:r>
        <w:rPr>
          <w:bCs/>
        </w:rPr>
        <w:t> percent</w:t>
      </w:r>
      <w:r w:rsidRPr="00394101">
        <w:rPr>
          <w:bCs/>
        </w:rPr>
        <w:t xml:space="preserve"> and niobium or columbium content not greater than 0.2</w:t>
      </w:r>
      <w:r>
        <w:rPr>
          <w:bCs/>
        </w:rPr>
        <w:t> </w:t>
      </w:r>
      <w:r w:rsidRPr="00394101">
        <w:rPr>
          <w:bCs/>
        </w:rPr>
        <w:t xml:space="preserve">weight </w:t>
      </w:r>
      <w:r>
        <w:rPr>
          <w:bCs/>
        </w:rPr>
        <w:t>percent</w:t>
      </w:r>
      <w:r w:rsidRPr="00394101">
        <w:rPr>
          <w:bCs/>
        </w:rPr>
        <w:t xml:space="preserve">.  This </w:t>
      </w:r>
      <w:r>
        <w:rPr>
          <w:bCs/>
        </w:rPr>
        <w:t>Code Case</w:t>
      </w:r>
      <w:r w:rsidRPr="00394101">
        <w:rPr>
          <w:bCs/>
        </w:rPr>
        <w:t xml:space="preserve"> is limited </w:t>
      </w:r>
      <w:r>
        <w:rPr>
          <w:bCs/>
        </w:rPr>
        <w:t>in</w:t>
      </w:r>
      <w:r w:rsidRPr="00394101">
        <w:rPr>
          <w:bCs/>
        </w:rPr>
        <w:t xml:space="preserve"> </w:t>
      </w:r>
      <w:r>
        <w:rPr>
          <w:bCs/>
        </w:rPr>
        <w:t>application</w:t>
      </w:r>
      <w:r w:rsidRPr="00394101">
        <w:rPr>
          <w:bCs/>
        </w:rPr>
        <w:t xml:space="preserve"> to </w:t>
      </w:r>
      <w:r>
        <w:rPr>
          <w:bCs/>
        </w:rPr>
        <w:t xml:space="preserve">the </w:t>
      </w:r>
      <w:r w:rsidRPr="00394101">
        <w:rPr>
          <w:bCs/>
        </w:rPr>
        <w:t xml:space="preserve">thermally aged </w:t>
      </w:r>
      <w:r>
        <w:rPr>
          <w:bCs/>
        </w:rPr>
        <w:t xml:space="preserve">CASS </w:t>
      </w:r>
      <w:r w:rsidRPr="00394101">
        <w:rPr>
          <w:bCs/>
        </w:rPr>
        <w:t xml:space="preserve">material types </w:t>
      </w:r>
      <w:r>
        <w:rPr>
          <w:bCs/>
        </w:rPr>
        <w:t xml:space="preserve">mentioned </w:t>
      </w:r>
      <w:r w:rsidRPr="00394101">
        <w:rPr>
          <w:bCs/>
        </w:rPr>
        <w:t>above with normal operating temperatures between 500</w:t>
      </w:r>
      <w:r>
        <w:rPr>
          <w:bCs/>
        </w:rPr>
        <w:t xml:space="preserve"> degrees </w:t>
      </w:r>
      <w:r w:rsidRPr="00394101">
        <w:rPr>
          <w:bCs/>
        </w:rPr>
        <w:t>F and 662</w:t>
      </w:r>
      <w:r>
        <w:rPr>
          <w:bCs/>
        </w:rPr>
        <w:t> degrees </w:t>
      </w:r>
      <w:r w:rsidRPr="00394101">
        <w:rPr>
          <w:bCs/>
        </w:rPr>
        <w:t xml:space="preserve">F. </w:t>
      </w:r>
      <w:r w:rsidRPr="0074599C">
        <w:rPr>
          <w:bCs/>
        </w:rPr>
        <w:t xml:space="preserve"> </w:t>
      </w:r>
      <w:r w:rsidRPr="00394101">
        <w:rPr>
          <w:bCs/>
        </w:rPr>
        <w:t xml:space="preserve">The </w:t>
      </w:r>
      <w:r>
        <w:rPr>
          <w:bCs/>
        </w:rPr>
        <w:t>Code Case</w:t>
      </w:r>
      <w:r w:rsidRPr="00394101">
        <w:rPr>
          <w:bCs/>
        </w:rPr>
        <w:t xml:space="preserve"> </w:t>
      </w:r>
      <w:r>
        <w:rPr>
          <w:bCs/>
        </w:rPr>
        <w:t>does not apply</w:t>
      </w:r>
      <w:r w:rsidRPr="00394101">
        <w:rPr>
          <w:bCs/>
        </w:rPr>
        <w:t xml:space="preserve"> </w:t>
      </w:r>
      <w:r>
        <w:rPr>
          <w:bCs/>
        </w:rPr>
        <w:t>to the</w:t>
      </w:r>
      <w:r w:rsidRPr="00394101">
        <w:rPr>
          <w:bCs/>
        </w:rPr>
        <w:t xml:space="preserve"> evaluation of detected flaws.  Section</w:t>
      </w:r>
      <w:r>
        <w:rPr>
          <w:bCs/>
        </w:rPr>
        <w:t> </w:t>
      </w:r>
      <w:r w:rsidRPr="00394101">
        <w:rPr>
          <w:bCs/>
        </w:rPr>
        <w:t xml:space="preserve">3 of the </w:t>
      </w:r>
      <w:r>
        <w:rPr>
          <w:bCs/>
        </w:rPr>
        <w:t>Code Case</w:t>
      </w:r>
      <w:r w:rsidRPr="00394101">
        <w:rPr>
          <w:bCs/>
        </w:rPr>
        <w:t xml:space="preserve"> provides specific analytical evaluation procedures for the pipe mean</w:t>
      </w:r>
      <w:r>
        <w:rPr>
          <w:bCs/>
        </w:rPr>
        <w:t xml:space="preserve"> </w:t>
      </w:r>
      <w:r w:rsidRPr="00394101">
        <w:rPr>
          <w:bCs/>
        </w:rPr>
        <w:t>radius</w:t>
      </w:r>
      <w:r>
        <w:rPr>
          <w:bCs/>
        </w:rPr>
        <w:noBreakHyphen/>
      </w:r>
      <w:r w:rsidRPr="00394101">
        <w:rPr>
          <w:bCs/>
        </w:rPr>
        <w:t>to</w:t>
      </w:r>
      <w:r>
        <w:rPr>
          <w:bCs/>
        </w:rPr>
        <w:noBreakHyphen/>
      </w:r>
      <w:r w:rsidRPr="00394101">
        <w:rPr>
          <w:bCs/>
        </w:rPr>
        <w:t xml:space="preserve">thickness </w:t>
      </w:r>
      <w:r>
        <w:rPr>
          <w:bCs/>
        </w:rPr>
        <w:t>(</w:t>
      </w:r>
      <w:r w:rsidRPr="0074599C">
        <w:rPr>
          <w:bCs/>
        </w:rPr>
        <w:t>R</w:t>
      </w:r>
      <w:r w:rsidRPr="00394101">
        <w:rPr>
          <w:bCs/>
        </w:rPr>
        <w:t>/</w:t>
      </w:r>
      <w:r w:rsidRPr="0074599C">
        <w:rPr>
          <w:bCs/>
        </w:rPr>
        <w:t>t</w:t>
      </w:r>
      <w:r>
        <w:rPr>
          <w:bCs/>
        </w:rPr>
        <w:t>)</w:t>
      </w:r>
      <w:r w:rsidRPr="00394101">
        <w:rPr>
          <w:bCs/>
        </w:rPr>
        <w:t xml:space="preserve"> ratio greater and less than </w:t>
      </w:r>
      <w:r>
        <w:rPr>
          <w:bCs/>
        </w:rPr>
        <w:t>10</w:t>
      </w:r>
      <w:r w:rsidRPr="00394101">
        <w:rPr>
          <w:bCs/>
        </w:rPr>
        <w:t>.  Tables</w:t>
      </w:r>
      <w:r>
        <w:rPr>
          <w:bCs/>
        </w:rPr>
        <w:t> </w:t>
      </w:r>
      <w:r w:rsidRPr="00394101">
        <w:rPr>
          <w:bCs/>
        </w:rPr>
        <w:t xml:space="preserve">1 through 4 </w:t>
      </w:r>
      <w:r>
        <w:rPr>
          <w:bCs/>
        </w:rPr>
        <w:t xml:space="preserve">of the Code Case </w:t>
      </w:r>
      <w:r w:rsidRPr="00394101">
        <w:rPr>
          <w:bCs/>
        </w:rPr>
        <w:t xml:space="preserve">provide </w:t>
      </w:r>
      <w:r>
        <w:rPr>
          <w:bCs/>
        </w:rPr>
        <w:t xml:space="preserve">the </w:t>
      </w:r>
      <w:r w:rsidRPr="00394101">
        <w:rPr>
          <w:bCs/>
        </w:rPr>
        <w:t>maximum tolerable flaw depth</w:t>
      </w:r>
      <w:r>
        <w:rPr>
          <w:bCs/>
        </w:rPr>
        <w:noBreakHyphen/>
      </w:r>
      <w:r w:rsidRPr="00394101">
        <w:rPr>
          <w:bCs/>
        </w:rPr>
        <w:t>to</w:t>
      </w:r>
      <w:r>
        <w:rPr>
          <w:bCs/>
        </w:rPr>
        <w:noBreakHyphen/>
      </w:r>
      <w:r w:rsidRPr="00394101">
        <w:rPr>
          <w:bCs/>
        </w:rPr>
        <w:t>thickness ratio</w:t>
      </w:r>
      <w:r>
        <w:rPr>
          <w:bCs/>
        </w:rPr>
        <w:t>s</w:t>
      </w:r>
      <w:r w:rsidRPr="00394101">
        <w:rPr>
          <w:bCs/>
        </w:rPr>
        <w:t xml:space="preserve"> for circumference and axial flaws.</w:t>
      </w:r>
    </w:p>
    <w:p w14:paraId="4DC284E7" w14:textId="77777777" w:rsidR="00D53E6F" w:rsidRPr="00394101" w:rsidRDefault="00D53E6F" w:rsidP="00D53E6F">
      <w:pPr>
        <w:spacing w:line="240" w:lineRule="auto"/>
        <w:rPr>
          <w:bCs/>
        </w:rPr>
      </w:pPr>
    </w:p>
    <w:p w14:paraId="3A717DAA" w14:textId="0893F48D" w:rsidR="00D53E6F" w:rsidRDefault="00D53E6F" w:rsidP="00D53E6F">
      <w:pPr>
        <w:spacing w:line="240" w:lineRule="auto"/>
        <w:rPr>
          <w:bCs/>
        </w:rPr>
      </w:pPr>
      <w:r w:rsidRPr="00394101">
        <w:rPr>
          <w:bCs/>
        </w:rPr>
        <w:t xml:space="preserve">However, </w:t>
      </w:r>
      <w:r w:rsidR="00433120">
        <w:rPr>
          <w:bCs/>
        </w:rPr>
        <w:t>the NRC</w:t>
      </w:r>
      <w:r w:rsidRPr="00394101">
        <w:rPr>
          <w:bCs/>
        </w:rPr>
        <w:t xml:space="preserve"> finds that </w:t>
      </w:r>
      <w:r>
        <w:rPr>
          <w:bCs/>
        </w:rPr>
        <w:t>P</w:t>
      </w:r>
      <w:r w:rsidRPr="00394101">
        <w:rPr>
          <w:bCs/>
        </w:rPr>
        <w:t xml:space="preserve">aragraph 3(c) of the </w:t>
      </w:r>
      <w:r>
        <w:rPr>
          <w:bCs/>
        </w:rPr>
        <w:t>ASME Code Case is</w:t>
      </w:r>
      <w:r w:rsidRPr="00394101">
        <w:rPr>
          <w:bCs/>
        </w:rPr>
        <w:t xml:space="preserve"> inadequate.  Paragraph</w:t>
      </w:r>
      <w:r>
        <w:rPr>
          <w:bCs/>
        </w:rPr>
        <w:t> </w:t>
      </w:r>
      <w:r w:rsidRPr="00394101">
        <w:rPr>
          <w:bCs/>
        </w:rPr>
        <w:t>3(c) specifies that</w:t>
      </w:r>
      <w:r>
        <w:rPr>
          <w:bCs/>
        </w:rPr>
        <w:t>,</w:t>
      </w:r>
      <w:r w:rsidRPr="00394101">
        <w:rPr>
          <w:bCs/>
        </w:rPr>
        <w:t xml:space="preserve"> for delta ferrite exceeding 25</w:t>
      </w:r>
      <w:r>
        <w:rPr>
          <w:bCs/>
        </w:rPr>
        <w:t xml:space="preserve"> percent</w:t>
      </w:r>
      <w:r w:rsidRPr="00394101">
        <w:rPr>
          <w:bCs/>
        </w:rPr>
        <w:t xml:space="preserve"> or </w:t>
      </w:r>
      <w:r>
        <w:rPr>
          <w:bCs/>
        </w:rPr>
        <w:t xml:space="preserve">a </w:t>
      </w:r>
      <w:r w:rsidRPr="00394101">
        <w:rPr>
          <w:bCs/>
        </w:rPr>
        <w:t xml:space="preserve">pipe mean </w:t>
      </w:r>
      <w:r>
        <w:rPr>
          <w:bCs/>
        </w:rPr>
        <w:t>R/t</w:t>
      </w:r>
      <w:r w:rsidRPr="00394101">
        <w:rPr>
          <w:bCs/>
        </w:rPr>
        <w:t xml:space="preserve"> ratio exceeding</w:t>
      </w:r>
      <w:r>
        <w:rPr>
          <w:bCs/>
        </w:rPr>
        <w:t> </w:t>
      </w:r>
      <w:r w:rsidRPr="00394101">
        <w:rPr>
          <w:bCs/>
        </w:rPr>
        <w:t>10, the flaw tolerance evaluation shall be performed</w:t>
      </w:r>
      <w:r>
        <w:rPr>
          <w:bCs/>
        </w:rPr>
        <w:t xml:space="preserve"> using</w:t>
      </w:r>
      <w:r w:rsidRPr="00394101">
        <w:rPr>
          <w:bCs/>
        </w:rPr>
        <w:t xml:space="preserve"> representative data to determine the maximum tolerable flaw depths applicable to the </w:t>
      </w:r>
      <w:r>
        <w:rPr>
          <w:bCs/>
        </w:rPr>
        <w:t xml:space="preserve">CASS </w:t>
      </w:r>
      <w:r w:rsidRPr="00394101">
        <w:rPr>
          <w:bCs/>
        </w:rPr>
        <w:t xml:space="preserve">base metal and </w:t>
      </w:r>
      <w:r w:rsidRPr="0074599C">
        <w:rPr>
          <w:bCs/>
        </w:rPr>
        <w:t>R</w:t>
      </w:r>
      <w:r w:rsidRPr="00394101">
        <w:rPr>
          <w:bCs/>
        </w:rPr>
        <w:t>/</w:t>
      </w:r>
      <w:r w:rsidRPr="0074599C">
        <w:rPr>
          <w:bCs/>
        </w:rPr>
        <w:t xml:space="preserve">t </w:t>
      </w:r>
      <w:r>
        <w:rPr>
          <w:bCs/>
        </w:rPr>
        <w:t xml:space="preserve">ratio </w:t>
      </w:r>
      <w:r w:rsidRPr="00394101">
        <w:rPr>
          <w:bCs/>
        </w:rPr>
        <w:t>in</w:t>
      </w:r>
      <w:r>
        <w:rPr>
          <w:bCs/>
        </w:rPr>
        <w:t xml:space="preserve">stead </w:t>
      </w:r>
      <w:r w:rsidRPr="00394101">
        <w:rPr>
          <w:bCs/>
        </w:rPr>
        <w:t>of Tables</w:t>
      </w:r>
      <w:r>
        <w:rPr>
          <w:bCs/>
        </w:rPr>
        <w:t> </w:t>
      </w:r>
      <w:r w:rsidRPr="00394101">
        <w:rPr>
          <w:bCs/>
        </w:rPr>
        <w:t xml:space="preserve">1 through 4 of the </w:t>
      </w:r>
      <w:r>
        <w:rPr>
          <w:bCs/>
        </w:rPr>
        <w:t>Code Case</w:t>
      </w:r>
      <w:r w:rsidRPr="00394101">
        <w:rPr>
          <w:bCs/>
        </w:rPr>
        <w:t>.</w:t>
      </w:r>
    </w:p>
    <w:p w14:paraId="2EEEC43E" w14:textId="77777777" w:rsidR="00D53E6F" w:rsidRPr="00394101" w:rsidRDefault="00D53E6F" w:rsidP="00D53E6F">
      <w:pPr>
        <w:spacing w:line="240" w:lineRule="auto"/>
        <w:rPr>
          <w:bCs/>
        </w:rPr>
      </w:pPr>
    </w:p>
    <w:p w14:paraId="18EB3E11" w14:textId="74C72958" w:rsidR="00D53E6F" w:rsidRDefault="00173B30" w:rsidP="00D53E6F">
      <w:pPr>
        <w:spacing w:line="240" w:lineRule="auto"/>
      </w:pPr>
      <w:r>
        <w:rPr>
          <w:bCs/>
        </w:rPr>
        <w:t>The NRC</w:t>
      </w:r>
      <w:r w:rsidR="00D53E6F" w:rsidRPr="00394101">
        <w:rPr>
          <w:bCs/>
        </w:rPr>
        <w:t xml:space="preserve"> notes that the open source literature</w:t>
      </w:r>
      <w:r w:rsidR="00D53E6F">
        <w:rPr>
          <w:bCs/>
        </w:rPr>
        <w:t xml:space="preserve"> provides</w:t>
      </w:r>
      <w:r w:rsidR="00D53E6F" w:rsidRPr="00394101">
        <w:rPr>
          <w:bCs/>
        </w:rPr>
        <w:t xml:space="preserve"> </w:t>
      </w:r>
      <w:r w:rsidR="00D53E6F">
        <w:rPr>
          <w:bCs/>
        </w:rPr>
        <w:t>i</w:t>
      </w:r>
      <w:r w:rsidR="00D53E6F" w:rsidRPr="00394101">
        <w:rPr>
          <w:bCs/>
        </w:rPr>
        <w:t>nsufficient</w:t>
      </w:r>
      <w:r w:rsidR="00D53E6F" w:rsidRPr="00394101" w:rsidDel="00302C78">
        <w:rPr>
          <w:bCs/>
        </w:rPr>
        <w:t xml:space="preserve"> </w:t>
      </w:r>
      <w:r w:rsidR="00D53E6F" w:rsidRPr="00394101">
        <w:rPr>
          <w:bCs/>
        </w:rPr>
        <w:t xml:space="preserve">fracture toughness data for </w:t>
      </w:r>
      <w:r w:rsidR="00D53E6F">
        <w:rPr>
          <w:bCs/>
        </w:rPr>
        <w:t>CASS</w:t>
      </w:r>
      <w:r w:rsidR="00D53E6F" w:rsidRPr="00394101">
        <w:rPr>
          <w:bCs/>
        </w:rPr>
        <w:t xml:space="preserve"> that </w:t>
      </w:r>
      <w:r w:rsidR="00D53E6F">
        <w:rPr>
          <w:bCs/>
        </w:rPr>
        <w:t>contains</w:t>
      </w:r>
      <w:r w:rsidR="00D53E6F" w:rsidRPr="00394101">
        <w:rPr>
          <w:bCs/>
        </w:rPr>
        <w:t xml:space="preserve"> </w:t>
      </w:r>
      <w:r w:rsidR="00D53E6F">
        <w:rPr>
          <w:bCs/>
        </w:rPr>
        <w:t>more</w:t>
      </w:r>
      <w:r w:rsidR="00D53E6F" w:rsidRPr="00394101">
        <w:rPr>
          <w:bCs/>
        </w:rPr>
        <w:t xml:space="preserve"> than 25</w:t>
      </w:r>
      <w:r w:rsidR="00D53E6F">
        <w:rPr>
          <w:bCs/>
        </w:rPr>
        <w:noBreakHyphen/>
      </w:r>
      <w:r w:rsidR="00D53E6F" w:rsidRPr="00394101">
        <w:rPr>
          <w:bCs/>
        </w:rPr>
        <w:t>percent</w:t>
      </w:r>
      <w:r w:rsidR="00D53E6F">
        <w:rPr>
          <w:bCs/>
        </w:rPr>
        <w:t xml:space="preserve"> delta ferrite</w:t>
      </w:r>
      <w:r w:rsidR="00D53E6F" w:rsidRPr="00394101">
        <w:rPr>
          <w:bCs/>
        </w:rPr>
        <w:t xml:space="preserve">.  </w:t>
      </w:r>
      <w:r w:rsidR="00D53E6F">
        <w:rPr>
          <w:bCs/>
        </w:rPr>
        <w:t>Therefore</w:t>
      </w:r>
      <w:r w:rsidR="00D53E6F" w:rsidRPr="00394101">
        <w:rPr>
          <w:bCs/>
        </w:rPr>
        <w:t xml:space="preserve">, </w:t>
      </w:r>
      <w:r w:rsidR="00433120">
        <w:rPr>
          <w:bCs/>
        </w:rPr>
        <w:t>the NRC</w:t>
      </w:r>
      <w:r w:rsidR="00D53E6F" w:rsidRPr="00394101">
        <w:rPr>
          <w:bCs/>
        </w:rPr>
        <w:t xml:space="preserve"> needs to review flow tolerance evaluations to ensure that the flaw tolerance evaluations are adequate</w:t>
      </w:r>
      <w:r w:rsidR="00D53E6F">
        <w:rPr>
          <w:bCs/>
        </w:rPr>
        <w:t>ly</w:t>
      </w:r>
      <w:r w:rsidR="00D53E6F" w:rsidRPr="00394101">
        <w:rPr>
          <w:bCs/>
        </w:rPr>
        <w:t xml:space="preserve"> conservati</w:t>
      </w:r>
      <w:r w:rsidR="00D53E6F">
        <w:rPr>
          <w:bCs/>
        </w:rPr>
        <w:t>ve</w:t>
      </w:r>
      <w:r w:rsidR="00D53E6F" w:rsidRPr="00394101">
        <w:rPr>
          <w:bCs/>
        </w:rPr>
        <w:t xml:space="preserve">.  Therefore, </w:t>
      </w:r>
      <w:r w:rsidR="00433120">
        <w:rPr>
          <w:bCs/>
        </w:rPr>
        <w:t>the NRC</w:t>
      </w:r>
      <w:r w:rsidR="00D53E6F" w:rsidRPr="00394101">
        <w:rPr>
          <w:bCs/>
        </w:rPr>
        <w:t xml:space="preserve"> </w:t>
      </w:r>
      <w:r w:rsidR="00D53E6F">
        <w:rPr>
          <w:bCs/>
        </w:rPr>
        <w:t>has imposed</w:t>
      </w:r>
      <w:r w:rsidR="00D53E6F" w:rsidRPr="00394101">
        <w:rPr>
          <w:bCs/>
        </w:rPr>
        <w:t xml:space="preserve"> a condition to prohibit the use of this </w:t>
      </w:r>
      <w:r w:rsidR="00D53E6F">
        <w:rPr>
          <w:bCs/>
        </w:rPr>
        <w:t>ASME Code Case</w:t>
      </w:r>
      <w:r w:rsidR="00D53E6F" w:rsidRPr="00394101">
        <w:rPr>
          <w:bCs/>
        </w:rPr>
        <w:t xml:space="preserve"> whe</w:t>
      </w:r>
      <w:r w:rsidR="00D53E6F">
        <w:rPr>
          <w:bCs/>
        </w:rPr>
        <w:t>n</w:t>
      </w:r>
      <w:r w:rsidR="00D53E6F" w:rsidRPr="00394101">
        <w:rPr>
          <w:bCs/>
        </w:rPr>
        <w:t xml:space="preserve"> delta ferrite in </w:t>
      </w:r>
      <w:r w:rsidR="00D53E6F">
        <w:rPr>
          <w:bCs/>
        </w:rPr>
        <w:t>CASS</w:t>
      </w:r>
      <w:r w:rsidR="00D53E6F" w:rsidRPr="00394101">
        <w:rPr>
          <w:bCs/>
        </w:rPr>
        <w:t xml:space="preserve"> piping exceeds 25</w:t>
      </w:r>
      <w:r w:rsidR="00D53E6F">
        <w:rPr>
          <w:bCs/>
        </w:rPr>
        <w:t> </w:t>
      </w:r>
      <w:r w:rsidR="00D53E6F" w:rsidRPr="00394101">
        <w:rPr>
          <w:bCs/>
        </w:rPr>
        <w:t>percent.</w:t>
      </w:r>
      <w:r w:rsidR="00D53E6F">
        <w:rPr>
          <w:bCs/>
        </w:rPr>
        <w:t xml:space="preserve">  The NRC </w:t>
      </w:r>
      <w:r w:rsidR="00D53E6F">
        <w:t>does not expect industry to incur</w:t>
      </w:r>
      <w:r w:rsidR="00D53E6F">
        <w:rPr>
          <w:bCs/>
        </w:rPr>
        <w:t xml:space="preserve"> incremental implementation costs as a result of this condition; however, the agency does expect </w:t>
      </w:r>
      <w:r w:rsidR="00D53E6F">
        <w:t xml:space="preserve">industry to incur </w:t>
      </w:r>
      <w:r w:rsidR="00D53E6F">
        <w:rPr>
          <w:bCs/>
        </w:rPr>
        <w:t>operation costs as a result of relief requests, as discussed in Section 5.4.18.</w:t>
      </w:r>
    </w:p>
    <w:p w14:paraId="13B8C6DA" w14:textId="77777777" w:rsidR="00D53E6F" w:rsidRPr="00E25CAE" w:rsidRDefault="00D53E6F" w:rsidP="00D53E6F">
      <w:pPr>
        <w:spacing w:line="240" w:lineRule="auto"/>
      </w:pPr>
    </w:p>
    <w:p w14:paraId="32B16746" w14:textId="77777777" w:rsidR="00D53E6F" w:rsidRPr="00A653C9" w:rsidRDefault="00D53E6F" w:rsidP="00D53E6F">
      <w:pPr>
        <w:pStyle w:val="Heading3"/>
        <w:numPr>
          <w:ilvl w:val="2"/>
          <w:numId w:val="33"/>
        </w:numPr>
        <w:spacing w:line="240" w:lineRule="auto"/>
        <w:ind w:left="900" w:hanging="900"/>
        <w:rPr>
          <w:szCs w:val="22"/>
        </w:rPr>
      </w:pPr>
      <w:bookmarkStart w:id="169" w:name="_Toc12808809"/>
      <w:r w:rsidRPr="00394101">
        <w:rPr>
          <w:bCs w:val="0"/>
          <w:szCs w:val="22"/>
        </w:rPr>
        <w:t>Alternative Pressure Testing Requirements Following Repairs or Replacements for Class</w:t>
      </w:r>
      <w:r>
        <w:rPr>
          <w:bCs w:val="0"/>
          <w:szCs w:val="22"/>
        </w:rPr>
        <w:t> </w:t>
      </w:r>
      <w:r w:rsidRPr="00394101">
        <w:rPr>
          <w:bCs w:val="0"/>
          <w:szCs w:val="22"/>
        </w:rPr>
        <w:t xml:space="preserve">1 Piping between the First and Second Inspection </w:t>
      </w:r>
      <w:r>
        <w:rPr>
          <w:bCs w:val="0"/>
          <w:szCs w:val="22"/>
        </w:rPr>
        <w:t xml:space="preserve">of </w:t>
      </w:r>
      <w:r w:rsidRPr="00394101">
        <w:rPr>
          <w:bCs w:val="0"/>
          <w:szCs w:val="22"/>
        </w:rPr>
        <w:t>Isolation Valves,</w:t>
      </w:r>
      <w:r w:rsidRPr="001A3E8E">
        <w:rPr>
          <w:szCs w:val="22"/>
        </w:rPr>
        <w:t xml:space="preserve"> </w:t>
      </w:r>
      <w:r w:rsidRPr="00394101">
        <w:rPr>
          <w:bCs w:val="0"/>
          <w:szCs w:val="22"/>
        </w:rPr>
        <w:t>Section</w:t>
      </w:r>
      <w:r>
        <w:rPr>
          <w:bCs w:val="0"/>
          <w:szCs w:val="22"/>
        </w:rPr>
        <w:t> </w:t>
      </w:r>
      <w:r w:rsidRPr="00394101">
        <w:rPr>
          <w:bCs w:val="0"/>
          <w:szCs w:val="22"/>
        </w:rPr>
        <w:t>XI, Division</w:t>
      </w:r>
      <w:r>
        <w:rPr>
          <w:bCs w:val="0"/>
          <w:szCs w:val="22"/>
        </w:rPr>
        <w:t> </w:t>
      </w:r>
      <w:r w:rsidRPr="00394101">
        <w:rPr>
          <w:bCs w:val="0"/>
          <w:szCs w:val="22"/>
        </w:rPr>
        <w:t>1</w:t>
      </w:r>
      <w:bookmarkEnd w:id="169"/>
    </w:p>
    <w:p w14:paraId="5AD3A63F" w14:textId="77777777" w:rsidR="00D53E6F" w:rsidRDefault="00D53E6F" w:rsidP="00D53E6F">
      <w:pPr>
        <w:keepNext/>
        <w:spacing w:line="240" w:lineRule="auto"/>
      </w:pPr>
    </w:p>
    <w:p w14:paraId="049D931C" w14:textId="2452EDA7" w:rsidR="00D53E6F" w:rsidRDefault="00D53E6F" w:rsidP="00D53E6F">
      <w:pPr>
        <w:spacing w:line="240" w:lineRule="auto"/>
        <w:rPr>
          <w:bCs/>
        </w:rPr>
      </w:pPr>
      <w:r>
        <w:rPr>
          <w:bCs/>
        </w:rPr>
        <w:t xml:space="preserve">ASME </w:t>
      </w:r>
      <w:r w:rsidRPr="00394101">
        <w:rPr>
          <w:bCs/>
        </w:rPr>
        <w:t xml:space="preserve">Code Case N-843 is consistent with alternatives granted by the NRC.  </w:t>
      </w:r>
      <w:r w:rsidR="00173B30">
        <w:rPr>
          <w:bCs/>
        </w:rPr>
        <w:t>The NRC</w:t>
      </w:r>
      <w:r w:rsidRPr="00394101">
        <w:rPr>
          <w:bCs/>
        </w:rPr>
        <w:t xml:space="preserve"> originally voted </w:t>
      </w:r>
      <w:r>
        <w:rPr>
          <w:bCs/>
        </w:rPr>
        <w:t>against</w:t>
      </w:r>
      <w:r w:rsidRPr="00394101">
        <w:rPr>
          <w:bCs/>
        </w:rPr>
        <w:t xml:space="preserve"> this </w:t>
      </w:r>
      <w:r>
        <w:rPr>
          <w:bCs/>
        </w:rPr>
        <w:t>Code Case</w:t>
      </w:r>
      <w:r w:rsidRPr="00394101">
        <w:rPr>
          <w:bCs/>
        </w:rPr>
        <w:t xml:space="preserve"> </w:t>
      </w:r>
      <w:r>
        <w:rPr>
          <w:bCs/>
        </w:rPr>
        <w:t>because of the inclusion of</w:t>
      </w:r>
      <w:r w:rsidRPr="00394101">
        <w:rPr>
          <w:bCs/>
        </w:rPr>
        <w:t xml:space="preserve"> return lines</w:t>
      </w:r>
      <w:r>
        <w:rPr>
          <w:bCs/>
        </w:rPr>
        <w:t>,</w:t>
      </w:r>
      <w:r w:rsidRPr="00394101">
        <w:rPr>
          <w:bCs/>
        </w:rPr>
        <w:t xml:space="preserve"> which could have allowed significantly lower pressures to be used on </w:t>
      </w:r>
      <w:r>
        <w:rPr>
          <w:bCs/>
        </w:rPr>
        <w:t>C</w:t>
      </w:r>
      <w:r w:rsidRPr="00394101">
        <w:rPr>
          <w:bCs/>
        </w:rPr>
        <w:t>lass</w:t>
      </w:r>
      <w:r>
        <w:rPr>
          <w:bCs/>
        </w:rPr>
        <w:t> </w:t>
      </w:r>
      <w:r w:rsidRPr="00394101">
        <w:rPr>
          <w:bCs/>
        </w:rPr>
        <w:t>1 portions of return lines.  Therefore</w:t>
      </w:r>
      <w:r>
        <w:rPr>
          <w:bCs/>
        </w:rPr>
        <w:t>, the</w:t>
      </w:r>
      <w:r w:rsidRPr="00394101">
        <w:rPr>
          <w:bCs/>
        </w:rPr>
        <w:t xml:space="preserve"> </w:t>
      </w:r>
      <w:r w:rsidR="00173B30">
        <w:rPr>
          <w:bCs/>
        </w:rPr>
        <w:t>NRC</w:t>
      </w:r>
      <w:r w:rsidRPr="00394101">
        <w:rPr>
          <w:bCs/>
        </w:rPr>
        <w:t xml:space="preserve"> </w:t>
      </w:r>
      <w:r>
        <w:rPr>
          <w:bCs/>
        </w:rPr>
        <w:t>has imposed</w:t>
      </w:r>
      <w:r w:rsidRPr="00394101">
        <w:rPr>
          <w:bCs/>
        </w:rPr>
        <w:t xml:space="preserve"> the following condition to ensure </w:t>
      </w:r>
      <w:r>
        <w:rPr>
          <w:bCs/>
        </w:rPr>
        <w:t xml:space="preserve">that </w:t>
      </w:r>
      <w:r w:rsidRPr="00394101">
        <w:rPr>
          <w:bCs/>
        </w:rPr>
        <w:t>the injection lines are tested at the highest pressure of the lines</w:t>
      </w:r>
      <w:r>
        <w:rPr>
          <w:bCs/>
        </w:rPr>
        <w:t>’</w:t>
      </w:r>
      <w:r w:rsidRPr="00394101">
        <w:rPr>
          <w:bCs/>
        </w:rPr>
        <w:t xml:space="preserve"> intended safety function</w:t>
      </w:r>
      <w:r>
        <w:rPr>
          <w:bCs/>
        </w:rPr>
        <w:t>:</w:t>
      </w:r>
    </w:p>
    <w:p w14:paraId="2C2152F1" w14:textId="77777777" w:rsidR="00D53E6F" w:rsidRPr="00394101" w:rsidRDefault="00D53E6F" w:rsidP="00D53E6F">
      <w:pPr>
        <w:spacing w:line="240" w:lineRule="auto"/>
        <w:rPr>
          <w:bCs/>
        </w:rPr>
      </w:pPr>
    </w:p>
    <w:p w14:paraId="1577C31E" w14:textId="77777777" w:rsidR="00D53E6F" w:rsidRDefault="00D53E6F" w:rsidP="00D53E6F">
      <w:pPr>
        <w:spacing w:line="240" w:lineRule="auto"/>
        <w:ind w:left="720" w:right="720"/>
        <w:rPr>
          <w:bCs/>
        </w:rPr>
      </w:pPr>
      <w:r>
        <w:rPr>
          <w:bCs/>
        </w:rPr>
        <w:t>[I]</w:t>
      </w:r>
      <w:r w:rsidRPr="0074599C">
        <w:rPr>
          <w:bCs/>
        </w:rPr>
        <w:t>f the portions of the system requiring pressure testing are associated with more than one safety function</w:t>
      </w:r>
      <w:r>
        <w:rPr>
          <w:bCs/>
        </w:rPr>
        <w:t>,</w:t>
      </w:r>
      <w:r w:rsidRPr="0074599C">
        <w:rPr>
          <w:bCs/>
        </w:rPr>
        <w:t xml:space="preserve"> the pressure test and visual examination VT-2 shall be performed during a test conducted at the higher of the operating pressures for the respective system safety functions</w:t>
      </w:r>
      <w:r>
        <w:rPr>
          <w:bCs/>
        </w:rPr>
        <w:t xml:space="preserve">.  </w:t>
      </w:r>
    </w:p>
    <w:p w14:paraId="2E850807" w14:textId="77777777" w:rsidR="00D53E6F" w:rsidRDefault="00D53E6F" w:rsidP="00D53E6F">
      <w:pPr>
        <w:spacing w:line="240" w:lineRule="auto"/>
        <w:rPr>
          <w:bCs/>
        </w:rPr>
      </w:pPr>
    </w:p>
    <w:p w14:paraId="4091BBE0" w14:textId="77777777" w:rsidR="00D53E6F" w:rsidRPr="00394101" w:rsidRDefault="00D53E6F" w:rsidP="00D53E6F">
      <w:pPr>
        <w:spacing w:line="240" w:lineRule="auto"/>
        <w:rPr>
          <w:bCs/>
        </w:rPr>
      </w:pPr>
      <w:r>
        <w:rPr>
          <w:bCs/>
        </w:rPr>
        <w:t xml:space="preserve">This clarifying condition represents good engineering practice and does not impose additional requirements beyond those typical for pressure testing.  Therefore, the NRC </w:t>
      </w:r>
      <w:r>
        <w:t>does not expect industry to incur</w:t>
      </w:r>
      <w:r>
        <w:rPr>
          <w:bCs/>
        </w:rPr>
        <w:t xml:space="preserve"> incremental implementation costs as a result of this condition.</w:t>
      </w:r>
    </w:p>
    <w:p w14:paraId="31E15738" w14:textId="77777777" w:rsidR="00D53E6F" w:rsidRDefault="00D53E6F" w:rsidP="00D53E6F">
      <w:pPr>
        <w:spacing w:line="240" w:lineRule="auto"/>
      </w:pPr>
    </w:p>
    <w:p w14:paraId="2CDBC6D4" w14:textId="77777777" w:rsidR="00D53E6F" w:rsidRPr="00A653C9" w:rsidRDefault="00D53E6F" w:rsidP="00D53E6F">
      <w:pPr>
        <w:pStyle w:val="Heading3"/>
        <w:numPr>
          <w:ilvl w:val="2"/>
          <w:numId w:val="33"/>
        </w:numPr>
        <w:spacing w:line="240" w:lineRule="auto"/>
        <w:ind w:left="900" w:hanging="900"/>
        <w:rPr>
          <w:szCs w:val="22"/>
        </w:rPr>
      </w:pPr>
      <w:bookmarkStart w:id="170" w:name="_Toc12808810"/>
      <w:r w:rsidRPr="00A653C9">
        <w:rPr>
          <w:szCs w:val="22"/>
        </w:rPr>
        <w:t>In</w:t>
      </w:r>
      <w:r>
        <w:rPr>
          <w:szCs w:val="22"/>
        </w:rPr>
        <w:t xml:space="preserve"> S</w:t>
      </w:r>
      <w:r w:rsidRPr="00A653C9">
        <w:rPr>
          <w:szCs w:val="22"/>
        </w:rPr>
        <w:t xml:space="preserve">itu </w:t>
      </w:r>
      <w:r>
        <w:rPr>
          <w:szCs w:val="22"/>
        </w:rPr>
        <w:t xml:space="preserve">Visual Testing </w:t>
      </w:r>
      <w:r w:rsidRPr="00A653C9">
        <w:rPr>
          <w:szCs w:val="22"/>
        </w:rPr>
        <w:t>3 Examination of Removable Core Support Structures without Removal</w:t>
      </w:r>
      <w:bookmarkEnd w:id="170"/>
    </w:p>
    <w:p w14:paraId="0667716F" w14:textId="77777777" w:rsidR="00D53E6F" w:rsidRDefault="00D53E6F" w:rsidP="00D53E6F">
      <w:pPr>
        <w:spacing w:line="240" w:lineRule="auto"/>
      </w:pPr>
    </w:p>
    <w:p w14:paraId="49776E90" w14:textId="77777777" w:rsidR="00D53E6F" w:rsidRPr="00253DDB" w:rsidRDefault="00D53E6F" w:rsidP="00D53E6F">
      <w:pPr>
        <w:spacing w:line="240" w:lineRule="auto"/>
      </w:pPr>
      <w:r>
        <w:rPr>
          <w:bCs/>
        </w:rPr>
        <w:t xml:space="preserve">ASME </w:t>
      </w:r>
      <w:r w:rsidRPr="00253DDB">
        <w:rPr>
          <w:bCs/>
        </w:rPr>
        <w:t xml:space="preserve">Code Case N-849 is a new Code Case introduced in the 2013 Edition of </w:t>
      </w:r>
      <w:r>
        <w:rPr>
          <w:bCs/>
        </w:rPr>
        <w:t xml:space="preserve">the </w:t>
      </w:r>
      <w:r w:rsidRPr="00253DDB">
        <w:rPr>
          <w:bCs/>
        </w:rPr>
        <w:t xml:space="preserve">ASME </w:t>
      </w:r>
      <w:r>
        <w:rPr>
          <w:bCs/>
        </w:rPr>
        <w:t xml:space="preserve">BPV </w:t>
      </w:r>
      <w:r w:rsidRPr="00253DDB">
        <w:rPr>
          <w:bCs/>
        </w:rPr>
        <w:t xml:space="preserve">Code. </w:t>
      </w:r>
      <w:r>
        <w:rPr>
          <w:bCs/>
        </w:rPr>
        <w:t xml:space="preserve"> </w:t>
      </w:r>
      <w:r w:rsidRPr="00253DDB">
        <w:rPr>
          <w:bCs/>
        </w:rPr>
        <w:t>This Code Case is meant to provide guidelines for allowing the VT</w:t>
      </w:r>
      <w:r>
        <w:rPr>
          <w:bCs/>
        </w:rPr>
        <w:noBreakHyphen/>
      </w:r>
      <w:r w:rsidRPr="00253DDB">
        <w:rPr>
          <w:bCs/>
        </w:rPr>
        <w:t>3 inspection requirements of Table</w:t>
      </w:r>
      <w:r>
        <w:rPr>
          <w:bCs/>
        </w:rPr>
        <w:t> </w:t>
      </w:r>
      <w:r w:rsidRPr="00253DDB">
        <w:rPr>
          <w:bCs/>
        </w:rPr>
        <w:t xml:space="preserve">IWB-2500-1 for preservice or inservice inspections of the core support structures to be performed without the removal of the core support structure.  </w:t>
      </w:r>
      <w:r w:rsidRPr="00253DDB">
        <w:t>The NRC finds the Code Case acceptable with two conditions.</w:t>
      </w:r>
    </w:p>
    <w:p w14:paraId="05D96FD8" w14:textId="77777777" w:rsidR="00D53E6F" w:rsidRDefault="00D53E6F" w:rsidP="00D53E6F">
      <w:pPr>
        <w:spacing w:line="240" w:lineRule="auto"/>
      </w:pPr>
    </w:p>
    <w:p w14:paraId="01A469AB" w14:textId="77777777" w:rsidR="00D53E6F" w:rsidRPr="00253DDB" w:rsidRDefault="00D53E6F" w:rsidP="00D53E6F">
      <w:pPr>
        <w:spacing w:line="240" w:lineRule="auto"/>
        <w:rPr>
          <w:bCs/>
        </w:rPr>
      </w:pPr>
      <w:r w:rsidRPr="00253DDB">
        <w:t xml:space="preserve">The first condition </w:t>
      </w:r>
      <w:r w:rsidRPr="00253DDB">
        <w:rPr>
          <w:bCs/>
        </w:rPr>
        <w:t xml:space="preserve">limits </w:t>
      </w:r>
      <w:r>
        <w:rPr>
          <w:bCs/>
        </w:rPr>
        <w:t>the</w:t>
      </w:r>
      <w:r w:rsidRPr="00253DDB">
        <w:rPr>
          <w:bCs/>
        </w:rPr>
        <w:t xml:space="preserve"> use </w:t>
      </w:r>
      <w:r>
        <w:rPr>
          <w:bCs/>
        </w:rPr>
        <w:t xml:space="preserve">of ASME </w:t>
      </w:r>
      <w:r w:rsidRPr="00253DDB">
        <w:rPr>
          <w:bCs/>
        </w:rPr>
        <w:t>Code Case N-849 to plants that are designed with accessible core support structures to allow for in</w:t>
      </w:r>
      <w:r>
        <w:rPr>
          <w:bCs/>
        </w:rPr>
        <w:t xml:space="preserve"> </w:t>
      </w:r>
      <w:r w:rsidRPr="00253DDB">
        <w:rPr>
          <w:bCs/>
        </w:rPr>
        <w:t xml:space="preserve">situ inspection.  </w:t>
      </w:r>
      <w:r>
        <w:rPr>
          <w:bCs/>
        </w:rPr>
        <w:t xml:space="preserve">ASME </w:t>
      </w:r>
      <w:r w:rsidRPr="00253DDB">
        <w:rPr>
          <w:bCs/>
        </w:rPr>
        <w:t>Code Case</w:t>
      </w:r>
      <w:r>
        <w:rPr>
          <w:bCs/>
        </w:rPr>
        <w:t> </w:t>
      </w:r>
      <w:r w:rsidRPr="00253DDB">
        <w:rPr>
          <w:bCs/>
        </w:rPr>
        <w:t>N</w:t>
      </w:r>
      <w:r>
        <w:rPr>
          <w:bCs/>
        </w:rPr>
        <w:noBreakHyphen/>
      </w:r>
      <w:r w:rsidRPr="00253DDB">
        <w:rPr>
          <w:bCs/>
        </w:rPr>
        <w:t>849 allows the performance of VT</w:t>
      </w:r>
      <w:r>
        <w:rPr>
          <w:bCs/>
        </w:rPr>
        <w:noBreakHyphen/>
      </w:r>
      <w:r w:rsidRPr="00253DDB">
        <w:rPr>
          <w:bCs/>
        </w:rPr>
        <w:t xml:space="preserve">3 preservice or inservice visual examinations of removable core support structures in situ using a remote examination system.  </w:t>
      </w:r>
      <w:r>
        <w:rPr>
          <w:bCs/>
        </w:rPr>
        <w:t xml:space="preserve">The </w:t>
      </w:r>
      <w:r w:rsidRPr="00253DDB">
        <w:rPr>
          <w:bCs/>
        </w:rPr>
        <w:t xml:space="preserve">Code Case </w:t>
      </w:r>
      <w:r>
        <w:rPr>
          <w:bCs/>
        </w:rPr>
        <w:t>includes a provision</w:t>
      </w:r>
      <w:r w:rsidRPr="00253DDB">
        <w:rPr>
          <w:bCs/>
        </w:rPr>
        <w:t xml:space="preserve"> that all surfaces accessible for examination when the structure is removed shall be accessible when the structure is in situ except for load bearing and contact surfaces</w:t>
      </w:r>
      <w:r>
        <w:rPr>
          <w:bCs/>
        </w:rPr>
        <w:t xml:space="preserve"> that</w:t>
      </w:r>
      <w:r w:rsidRPr="00253DDB">
        <w:rPr>
          <w:bCs/>
        </w:rPr>
        <w:t xml:space="preserve"> would be inspected only when the core barrel is removed.</w:t>
      </w:r>
      <w:r w:rsidRPr="00253DDB">
        <w:t xml:space="preserve">  </w:t>
      </w:r>
      <w:r w:rsidRPr="00253DDB">
        <w:rPr>
          <w:bCs/>
        </w:rPr>
        <w:t>Designs for new reactors, such as small modular reactors, may include accessibility of the annulus between the core barrel and the reactor vessel.  Unlike new</w:t>
      </w:r>
      <w:r>
        <w:rPr>
          <w:bCs/>
        </w:rPr>
        <w:t>ly designed</w:t>
      </w:r>
      <w:r w:rsidRPr="00253DDB">
        <w:rPr>
          <w:bCs/>
        </w:rPr>
        <w:t xml:space="preserve"> reactor</w:t>
      </w:r>
      <w:r>
        <w:rPr>
          <w:bCs/>
        </w:rPr>
        <w:t>s</w:t>
      </w:r>
      <w:r w:rsidRPr="00253DDB">
        <w:rPr>
          <w:bCs/>
        </w:rPr>
        <w:t>, currently operating plants were not designed to allow in</w:t>
      </w:r>
      <w:r>
        <w:rPr>
          <w:bCs/>
        </w:rPr>
        <w:t xml:space="preserve"> </w:t>
      </w:r>
      <w:r w:rsidRPr="00253DDB">
        <w:rPr>
          <w:bCs/>
        </w:rPr>
        <w:t>situ VT</w:t>
      </w:r>
      <w:r>
        <w:rPr>
          <w:bCs/>
        </w:rPr>
        <w:noBreakHyphen/>
      </w:r>
      <w:r w:rsidRPr="00253DDB">
        <w:rPr>
          <w:bCs/>
        </w:rPr>
        <w:t xml:space="preserve">3 examinations.  There are no industry survey results of the current fleet to provide an evaluation of operating plant inspection findings.  Therefore, </w:t>
      </w:r>
      <w:r>
        <w:rPr>
          <w:bCs/>
        </w:rPr>
        <w:t xml:space="preserve">the </w:t>
      </w:r>
      <w:r w:rsidRPr="00253DDB">
        <w:rPr>
          <w:bCs/>
        </w:rPr>
        <w:t xml:space="preserve">applicability </w:t>
      </w:r>
      <w:r>
        <w:rPr>
          <w:bCs/>
        </w:rPr>
        <w:t xml:space="preserve">of the Code Case </w:t>
      </w:r>
      <w:r w:rsidRPr="00253DDB">
        <w:rPr>
          <w:bCs/>
        </w:rPr>
        <w:t>to the designs of currently operating plants has not been satisfactorily addressed.</w:t>
      </w:r>
      <w:r>
        <w:rPr>
          <w:bCs/>
        </w:rPr>
        <w:t xml:space="preserve">  Furthermore, this condition is a clarifying condition because it reflects the ASME committee’s intent.</w:t>
      </w:r>
    </w:p>
    <w:p w14:paraId="1B768171" w14:textId="77777777" w:rsidR="00D53E6F" w:rsidRDefault="00D53E6F" w:rsidP="00D53E6F">
      <w:pPr>
        <w:spacing w:line="240" w:lineRule="auto"/>
      </w:pPr>
    </w:p>
    <w:p w14:paraId="2C5087FF" w14:textId="77777777" w:rsidR="00D53E6F" w:rsidRDefault="00D53E6F" w:rsidP="00D53E6F">
      <w:pPr>
        <w:spacing w:after="220" w:line="240" w:lineRule="auto"/>
        <w:rPr>
          <w:bCs/>
        </w:rPr>
      </w:pPr>
      <w:r w:rsidRPr="00253DDB">
        <w:t xml:space="preserve">The second condition on </w:t>
      </w:r>
      <w:r>
        <w:t xml:space="preserve">ASME </w:t>
      </w:r>
      <w:r w:rsidRPr="00253DDB">
        <w:rPr>
          <w:bCs/>
        </w:rPr>
        <w:t>Code Case N-849 requires that</w:t>
      </w:r>
      <w:r>
        <w:rPr>
          <w:bCs/>
        </w:rPr>
        <w:t>,</w:t>
      </w:r>
      <w:r w:rsidRPr="00253DDB">
        <w:rPr>
          <w:bCs/>
        </w:rPr>
        <w:t xml:space="preserve"> </w:t>
      </w:r>
      <w:r>
        <w:rPr>
          <w:bCs/>
        </w:rPr>
        <w:t>before</w:t>
      </w:r>
      <w:r w:rsidRPr="00253DDB">
        <w:rPr>
          <w:bCs/>
        </w:rPr>
        <w:t xml:space="preserve"> initial plant startup, the VT</w:t>
      </w:r>
      <w:r>
        <w:rPr>
          <w:bCs/>
        </w:rPr>
        <w:noBreakHyphen/>
      </w:r>
      <w:r w:rsidRPr="00253DDB">
        <w:rPr>
          <w:bCs/>
        </w:rPr>
        <w:t xml:space="preserve">3 preservice examination </w:t>
      </w:r>
      <w:r>
        <w:rPr>
          <w:bCs/>
        </w:rPr>
        <w:t>must</w:t>
      </w:r>
      <w:r w:rsidRPr="00253DDB">
        <w:rPr>
          <w:bCs/>
        </w:rPr>
        <w:t xml:space="preserve"> be performed with the core support structure removed, as required by ASME </w:t>
      </w:r>
      <w:r>
        <w:rPr>
          <w:bCs/>
        </w:rPr>
        <w:t xml:space="preserve">BPV Code, </w:t>
      </w:r>
      <w:r w:rsidRPr="00253DDB">
        <w:rPr>
          <w:bCs/>
        </w:rPr>
        <w:t>Section</w:t>
      </w:r>
      <w:r>
        <w:rPr>
          <w:bCs/>
        </w:rPr>
        <w:t> </w:t>
      </w:r>
      <w:r w:rsidRPr="00253DDB">
        <w:rPr>
          <w:bCs/>
        </w:rPr>
        <w:t xml:space="preserve">XI, IWB-2500-1.  The NRC has concerns that a preservice examination would not be performed on the load bearing and contact surfaces even though the surfaces would be accessible </w:t>
      </w:r>
      <w:r>
        <w:rPr>
          <w:bCs/>
        </w:rPr>
        <w:t>before</w:t>
      </w:r>
      <w:r w:rsidRPr="00253DDB">
        <w:rPr>
          <w:bCs/>
        </w:rPr>
        <w:t xml:space="preserve"> install</w:t>
      </w:r>
      <w:r>
        <w:rPr>
          <w:bCs/>
        </w:rPr>
        <w:t>ation of</w:t>
      </w:r>
      <w:r w:rsidRPr="00253DDB">
        <w:rPr>
          <w:bCs/>
        </w:rPr>
        <w:t xml:space="preserve"> the core support structure. </w:t>
      </w:r>
      <w:r>
        <w:rPr>
          <w:bCs/>
        </w:rPr>
        <w:t xml:space="preserve"> No</w:t>
      </w:r>
      <w:r w:rsidRPr="00253DDB">
        <w:rPr>
          <w:bCs/>
        </w:rPr>
        <w:t xml:space="preserve"> evidence </w:t>
      </w:r>
      <w:r>
        <w:rPr>
          <w:bCs/>
        </w:rPr>
        <w:t xml:space="preserve">exists </w:t>
      </w:r>
      <w:r w:rsidRPr="00253DDB">
        <w:rPr>
          <w:bCs/>
        </w:rPr>
        <w:t>that the in</w:t>
      </w:r>
      <w:r>
        <w:rPr>
          <w:bCs/>
        </w:rPr>
        <w:t> </w:t>
      </w:r>
      <w:r w:rsidRPr="00253DDB">
        <w:rPr>
          <w:bCs/>
        </w:rPr>
        <w:t>situ examination will achieve the same coverage as the examination with the core support structure removed.</w:t>
      </w:r>
      <w:r>
        <w:rPr>
          <w:bCs/>
        </w:rPr>
        <w:t xml:space="preserve">  This clarifying condition reflects existing ASME Code requirements.</w:t>
      </w:r>
    </w:p>
    <w:p w14:paraId="287E0C9B" w14:textId="77777777" w:rsidR="00D53E6F" w:rsidRDefault="00D53E6F" w:rsidP="00D53E6F">
      <w:pPr>
        <w:spacing w:line="240" w:lineRule="auto"/>
      </w:pPr>
      <w:r>
        <w:rPr>
          <w:bCs/>
        </w:rPr>
        <w:t xml:space="preserve">The NRC </w:t>
      </w:r>
      <w:r>
        <w:t>does not expect industry to incur</w:t>
      </w:r>
      <w:r>
        <w:rPr>
          <w:bCs/>
        </w:rPr>
        <w:t xml:space="preserve"> incremental implementation costs as a result of these clarifying conditions.</w:t>
      </w:r>
    </w:p>
    <w:p w14:paraId="06B652AB" w14:textId="77777777" w:rsidR="00D53E6F" w:rsidRDefault="00D53E6F" w:rsidP="00D53E6F">
      <w:pPr>
        <w:spacing w:line="240" w:lineRule="auto"/>
      </w:pPr>
    </w:p>
    <w:p w14:paraId="1B8E165E" w14:textId="77777777" w:rsidR="00D53E6F" w:rsidRPr="00A653C9" w:rsidRDefault="00D53E6F" w:rsidP="00D53E6F">
      <w:pPr>
        <w:pStyle w:val="Heading3"/>
        <w:numPr>
          <w:ilvl w:val="2"/>
          <w:numId w:val="33"/>
        </w:numPr>
        <w:spacing w:line="240" w:lineRule="auto"/>
        <w:ind w:left="900" w:hanging="900"/>
        <w:rPr>
          <w:szCs w:val="22"/>
        </w:rPr>
      </w:pPr>
      <w:bookmarkStart w:id="171" w:name="_Toc12808811"/>
      <w:r w:rsidRPr="0041220A">
        <w:rPr>
          <w:szCs w:val="22"/>
        </w:rPr>
        <w:t xml:space="preserve">Performance-Based Requirements for Extending </w:t>
      </w:r>
      <w:r>
        <w:rPr>
          <w:szCs w:val="22"/>
        </w:rPr>
        <w:t xml:space="preserve">the </w:t>
      </w:r>
      <w:r w:rsidRPr="0041220A">
        <w:rPr>
          <w:szCs w:val="22"/>
        </w:rPr>
        <w:t xml:space="preserve">Snubber Inservice Visual Examination Interval at </w:t>
      </w:r>
      <w:r>
        <w:rPr>
          <w:szCs w:val="22"/>
        </w:rPr>
        <w:t>Light-Water Reactor</w:t>
      </w:r>
      <w:r w:rsidRPr="0041220A">
        <w:rPr>
          <w:szCs w:val="22"/>
        </w:rPr>
        <w:t xml:space="preserve"> Power Plants</w:t>
      </w:r>
      <w:bookmarkEnd w:id="171"/>
    </w:p>
    <w:p w14:paraId="34FCE4BC" w14:textId="77777777" w:rsidR="00D53E6F" w:rsidRDefault="00D53E6F" w:rsidP="00D53E6F">
      <w:pPr>
        <w:spacing w:line="240" w:lineRule="auto"/>
      </w:pPr>
    </w:p>
    <w:p w14:paraId="64DFD48D" w14:textId="77777777" w:rsidR="00D53E6F" w:rsidRDefault="00D53E6F" w:rsidP="00D53E6F">
      <w:pPr>
        <w:spacing w:line="240" w:lineRule="auto"/>
      </w:pPr>
      <w:r>
        <w:t>The NRC has added the following condition on ASME Code Case OMN-13, which relaxes the applicability of the Code Case in response to public comments from the final rule:</w:t>
      </w:r>
    </w:p>
    <w:p w14:paraId="79EA1C05" w14:textId="77777777" w:rsidR="00D53E6F" w:rsidRDefault="00D53E6F" w:rsidP="00D53E6F">
      <w:pPr>
        <w:spacing w:line="240" w:lineRule="auto"/>
      </w:pPr>
    </w:p>
    <w:p w14:paraId="2541D877" w14:textId="77777777" w:rsidR="00D53E6F" w:rsidRPr="0041220A" w:rsidRDefault="00D53E6F" w:rsidP="00D53E6F">
      <w:pPr>
        <w:spacing w:line="240" w:lineRule="auto"/>
        <w:ind w:left="720" w:right="720"/>
        <w:rPr>
          <w:bCs/>
        </w:rPr>
      </w:pPr>
      <w:r w:rsidRPr="0041220A">
        <w:rPr>
          <w:bCs/>
        </w:rPr>
        <w:t>This Code Case is applicable to the editions and addenda of the OM Code listed in §50.55a(a)(1)(iv).  Although Code Case OMN</w:t>
      </w:r>
      <w:r>
        <w:rPr>
          <w:bCs/>
        </w:rPr>
        <w:noBreakHyphen/>
      </w:r>
      <w:r w:rsidRPr="0041220A">
        <w:rPr>
          <w:bCs/>
        </w:rPr>
        <w:t>13 has an applicability statement in its inquiry and reply, the guidance in Code Case OMN</w:t>
      </w:r>
      <w:r>
        <w:rPr>
          <w:bCs/>
        </w:rPr>
        <w:noBreakHyphen/>
      </w:r>
      <w:r w:rsidRPr="0041220A">
        <w:rPr>
          <w:bCs/>
        </w:rPr>
        <w:t xml:space="preserve">13 is acceptable for application at nuclear power plants with a Code of </w:t>
      </w:r>
      <w:r>
        <w:rPr>
          <w:bCs/>
        </w:rPr>
        <w:t>[R]</w:t>
      </w:r>
      <w:r w:rsidRPr="0041220A">
        <w:rPr>
          <w:bCs/>
        </w:rPr>
        <w:t>ecord of any edition or addenda of the OM Code incorporated by reference in §50.55a as listed in paragraph (a)(1)(iv).</w:t>
      </w:r>
    </w:p>
    <w:p w14:paraId="6A1A0F64" w14:textId="77777777" w:rsidR="00D53E6F" w:rsidRDefault="00D53E6F" w:rsidP="00D53E6F">
      <w:pPr>
        <w:spacing w:line="240" w:lineRule="auto"/>
      </w:pPr>
    </w:p>
    <w:p w14:paraId="04CD5815" w14:textId="1C73D9D1" w:rsidR="00D53E6F" w:rsidRDefault="00173B30" w:rsidP="00D53E6F">
      <w:pPr>
        <w:spacing w:line="240" w:lineRule="auto"/>
      </w:pPr>
      <w:r>
        <w:t>The NRC</w:t>
      </w:r>
      <w:r w:rsidR="00D53E6F">
        <w:t xml:space="preserve"> expects this relaxation to avert ASME Code Case relief requests, as discussed in Section 5.4.</w:t>
      </w:r>
    </w:p>
    <w:p w14:paraId="54B8CE8E" w14:textId="77777777" w:rsidR="00D53E6F" w:rsidRDefault="00D53E6F" w:rsidP="00D53E6F">
      <w:pPr>
        <w:spacing w:line="240" w:lineRule="auto"/>
      </w:pPr>
    </w:p>
    <w:p w14:paraId="50D90EE0" w14:textId="77777777" w:rsidR="00D53E6F" w:rsidRPr="00A653C9" w:rsidRDefault="00D53E6F" w:rsidP="00D53E6F">
      <w:pPr>
        <w:pStyle w:val="Heading3"/>
        <w:numPr>
          <w:ilvl w:val="2"/>
          <w:numId w:val="33"/>
        </w:numPr>
        <w:spacing w:line="240" w:lineRule="auto"/>
        <w:ind w:left="900" w:hanging="900"/>
        <w:rPr>
          <w:szCs w:val="22"/>
        </w:rPr>
      </w:pPr>
      <w:bookmarkStart w:id="172" w:name="_Toc12808812"/>
      <w:r w:rsidRPr="0041220A">
        <w:rPr>
          <w:szCs w:val="22"/>
        </w:rPr>
        <w:t>Inservice Test Frequency</w:t>
      </w:r>
      <w:bookmarkEnd w:id="172"/>
    </w:p>
    <w:p w14:paraId="321C99CB" w14:textId="77777777" w:rsidR="00D53E6F" w:rsidRDefault="00D53E6F" w:rsidP="00D53E6F">
      <w:pPr>
        <w:keepNext/>
        <w:spacing w:line="240" w:lineRule="auto"/>
      </w:pPr>
    </w:p>
    <w:p w14:paraId="0E44C23D" w14:textId="77777777" w:rsidR="00D53E6F" w:rsidRDefault="00D53E6F" w:rsidP="00D53E6F">
      <w:pPr>
        <w:spacing w:line="240" w:lineRule="auto"/>
      </w:pPr>
      <w:r>
        <w:t>The NRC has modified the following condition on ASME Code Case OMN-20 to relax the applicability of the Code Case in response to public comments from the final rule:</w:t>
      </w:r>
    </w:p>
    <w:p w14:paraId="7EDC4831" w14:textId="77777777" w:rsidR="00D53E6F" w:rsidRDefault="00D53E6F" w:rsidP="00D53E6F">
      <w:pPr>
        <w:spacing w:line="240" w:lineRule="auto"/>
      </w:pPr>
    </w:p>
    <w:p w14:paraId="63CA7C2E" w14:textId="77777777" w:rsidR="00D53E6F" w:rsidRDefault="00D53E6F" w:rsidP="00D53E6F">
      <w:pPr>
        <w:spacing w:line="240" w:lineRule="auto"/>
        <w:ind w:left="720" w:right="720"/>
        <w:rPr>
          <w:bCs/>
        </w:rPr>
      </w:pPr>
      <w:r w:rsidRPr="0041220A">
        <w:rPr>
          <w:bCs/>
        </w:rPr>
        <w:t>This Code Case is applicable to the editions and addenda of the OM Code listed in §50.55a(a)(1)(iv).  Although Code Case OMN</w:t>
      </w:r>
      <w:r>
        <w:rPr>
          <w:bCs/>
        </w:rPr>
        <w:noBreakHyphen/>
      </w:r>
      <w:r w:rsidRPr="0041220A">
        <w:rPr>
          <w:bCs/>
        </w:rPr>
        <w:t>20 has an applicability statement in its inquiry and reply, the guidance in Code Case OMN</w:t>
      </w:r>
      <w:r>
        <w:rPr>
          <w:bCs/>
        </w:rPr>
        <w:noBreakHyphen/>
      </w:r>
      <w:r w:rsidRPr="0041220A">
        <w:rPr>
          <w:bCs/>
        </w:rPr>
        <w:t xml:space="preserve">20 is acceptable for application at nuclear power plants with a Code of </w:t>
      </w:r>
      <w:r>
        <w:rPr>
          <w:bCs/>
        </w:rPr>
        <w:t>[R]</w:t>
      </w:r>
      <w:r w:rsidRPr="0041220A">
        <w:rPr>
          <w:bCs/>
        </w:rPr>
        <w:t>ecord of any edition or addenda of the OM Code incorporated by reference in §50.55a as listed in paragraph (a)(1)(iv).</w:t>
      </w:r>
    </w:p>
    <w:p w14:paraId="6A0ADEA1" w14:textId="77777777" w:rsidR="00D53E6F" w:rsidRPr="0041220A" w:rsidRDefault="00D53E6F" w:rsidP="00D53E6F">
      <w:pPr>
        <w:spacing w:line="240" w:lineRule="auto"/>
        <w:ind w:left="720" w:right="720"/>
        <w:rPr>
          <w:bCs/>
        </w:rPr>
      </w:pPr>
    </w:p>
    <w:p w14:paraId="3E0BB23C" w14:textId="2377D89B" w:rsidR="00D53E6F" w:rsidRDefault="00173B30" w:rsidP="00D53E6F">
      <w:pPr>
        <w:spacing w:line="240" w:lineRule="auto"/>
      </w:pPr>
      <w:r>
        <w:t>The NRC</w:t>
      </w:r>
      <w:r w:rsidR="00D53E6F">
        <w:t xml:space="preserve"> expects this relaxation to avert Code Case relief requests, as discussed in </w:t>
      </w:r>
      <w:r w:rsidR="00D53E6F" w:rsidRPr="00C75B0B">
        <w:t>Sections</w:t>
      </w:r>
      <w:r w:rsidR="00D53E6F">
        <w:t> </w:t>
      </w:r>
      <w:r w:rsidR="00D53E6F" w:rsidRPr="00C75B0B">
        <w:t>5</w:t>
      </w:r>
      <w:r w:rsidR="00D53E6F">
        <w:t>.4 and 5.</w:t>
      </w:r>
      <w:r w:rsidR="0060590B">
        <w:t>7</w:t>
      </w:r>
      <w:r w:rsidR="00D53E6F">
        <w:t>.</w:t>
      </w:r>
    </w:p>
    <w:p w14:paraId="61C18947" w14:textId="77777777" w:rsidR="00D53E6F" w:rsidRPr="009B247B" w:rsidRDefault="00D53E6F" w:rsidP="00D53E6F">
      <w:pPr>
        <w:spacing w:line="240" w:lineRule="auto"/>
      </w:pPr>
    </w:p>
    <w:p w14:paraId="58BC4EB2" w14:textId="77777777" w:rsidR="00D53E6F" w:rsidRPr="00461295" w:rsidRDefault="00D53E6F" w:rsidP="00D53E6F">
      <w:pPr>
        <w:pStyle w:val="Heading2"/>
        <w:tabs>
          <w:tab w:val="left" w:pos="540"/>
        </w:tabs>
        <w:spacing w:line="240" w:lineRule="auto"/>
      </w:pPr>
      <w:bookmarkStart w:id="173" w:name="_Ref422721898"/>
      <w:bookmarkStart w:id="174" w:name="_Toc456098259"/>
      <w:bookmarkStart w:id="175" w:name="_Toc12808813"/>
      <w:r>
        <w:t>5.4</w:t>
      </w:r>
      <w:r>
        <w:tab/>
      </w:r>
      <w:bookmarkStart w:id="176" w:name="_Toc457827272"/>
      <w:r w:rsidRPr="00461295">
        <w:t>Industry Operation</w:t>
      </w:r>
      <w:bookmarkEnd w:id="173"/>
      <w:bookmarkEnd w:id="174"/>
      <w:bookmarkEnd w:id="175"/>
      <w:bookmarkEnd w:id="176"/>
    </w:p>
    <w:p w14:paraId="4B23DDB4" w14:textId="77777777" w:rsidR="00D53E6F" w:rsidRPr="00CE50C7" w:rsidRDefault="00D53E6F" w:rsidP="00D53E6F">
      <w:pPr>
        <w:keepNext/>
        <w:spacing w:line="240" w:lineRule="auto"/>
      </w:pPr>
    </w:p>
    <w:p w14:paraId="39FD1077" w14:textId="77777777" w:rsidR="00D53E6F" w:rsidRPr="0001063B" w:rsidRDefault="00D53E6F" w:rsidP="00D53E6F">
      <w:pPr>
        <w:spacing w:line="240" w:lineRule="auto"/>
      </w:pPr>
      <w:r w:rsidRPr="0001063B">
        <w:t xml:space="preserve">This attribute accounts for the projected net economic effect </w:t>
      </w:r>
      <w:r>
        <w:t>of</w:t>
      </w:r>
      <w:r w:rsidRPr="0001063B">
        <w:t xml:space="preserve"> routine and recurring activities required by the alternative </w:t>
      </w:r>
      <w:r>
        <w:t>for</w:t>
      </w:r>
      <w:r w:rsidRPr="0001063B">
        <w:t xml:space="preserve"> all affected licensees.  Under </w:t>
      </w:r>
      <w:r>
        <w:t>Alternative 2</w:t>
      </w:r>
      <w:r w:rsidRPr="0001063B">
        <w:t>, a nuclear power plant</w:t>
      </w:r>
      <w:r>
        <w:t xml:space="preserve"> licensee</w:t>
      </w:r>
      <w:r w:rsidRPr="0001063B">
        <w:t xml:space="preserve"> </w:t>
      </w:r>
      <w:r>
        <w:t>would</w:t>
      </w:r>
      <w:r w:rsidRPr="0001063B">
        <w:t xml:space="preserve"> </w:t>
      </w:r>
      <w:r>
        <w:t xml:space="preserve">not need to submit an </w:t>
      </w:r>
      <w:r w:rsidRPr="0001063B">
        <w:t xml:space="preserve">alternative request under the new </w:t>
      </w:r>
      <w:r>
        <w:t>10 CFR </w:t>
      </w:r>
      <w:r w:rsidRPr="0001063B">
        <w:t xml:space="preserve">50.55a(z) </w:t>
      </w:r>
      <w:r>
        <w:t xml:space="preserve">or a relief request under 10 CFR 50.55a(f) or (g) to receive </w:t>
      </w:r>
      <w:r w:rsidRPr="00BB54B2">
        <w:t xml:space="preserve">permission to use </w:t>
      </w:r>
      <w:r>
        <w:t>a later edition or addendum of the ASME Codes (</w:t>
      </w:r>
      <w:r w:rsidRPr="00BB54B2">
        <w:t xml:space="preserve">as an alternative to the </w:t>
      </w:r>
      <w:r>
        <w:t>ASME Code</w:t>
      </w:r>
      <w:r w:rsidRPr="00BB54B2">
        <w:t xml:space="preserve"> provisions</w:t>
      </w:r>
      <w:r>
        <w:t>) that</w:t>
      </w:r>
      <w:r w:rsidRPr="0001063B">
        <w:t xml:space="preserve"> provide</w:t>
      </w:r>
      <w:r>
        <w:t>s</w:t>
      </w:r>
      <w:r w:rsidRPr="0001063B">
        <w:t xml:space="preserve"> a net benefit (i.e.,</w:t>
      </w:r>
      <w:r>
        <w:t> </w:t>
      </w:r>
      <w:r w:rsidRPr="0001063B">
        <w:t>averted cost) to the licensee.</w:t>
      </w:r>
    </w:p>
    <w:p w14:paraId="3C6D8969" w14:textId="77777777" w:rsidR="00D53E6F" w:rsidRDefault="00D53E6F" w:rsidP="00D53E6F">
      <w:pPr>
        <w:spacing w:line="240" w:lineRule="auto"/>
      </w:pPr>
    </w:p>
    <w:p w14:paraId="513D555D" w14:textId="77777777" w:rsidR="00D53E6F" w:rsidRPr="00CE50C7" w:rsidRDefault="00D53E6F" w:rsidP="00D53E6F">
      <w:pPr>
        <w:spacing w:line="240" w:lineRule="auto"/>
      </w:pPr>
      <w:r w:rsidRPr="00CE50C7">
        <w:t xml:space="preserve">The use of </w:t>
      </w:r>
      <w:r>
        <w:t xml:space="preserve">later editions and addenda of the </w:t>
      </w:r>
      <w:r w:rsidRPr="00CE50C7">
        <w:t xml:space="preserve">ASME BPV and </w:t>
      </w:r>
      <w:r>
        <w:t xml:space="preserve">OM Codes would benefit </w:t>
      </w:r>
      <w:r w:rsidRPr="00CE50C7">
        <w:t xml:space="preserve">NRC nuclear power plant licensees and applicants for several reasons.  </w:t>
      </w:r>
      <w:r>
        <w:t xml:space="preserve">Later editions and addenda may </w:t>
      </w:r>
      <w:r w:rsidRPr="00CE50C7">
        <w:t>introduc</w:t>
      </w:r>
      <w:r>
        <w:t>e</w:t>
      </w:r>
      <w:r w:rsidRPr="00CE50C7">
        <w:t xml:space="preserve"> the use of advanced techniques, procedures, and measures.  </w:t>
      </w:r>
      <w:r>
        <w:t>Alternative 2</w:t>
      </w:r>
      <w:r w:rsidRPr="00CE50C7">
        <w:t xml:space="preserve"> has the advantage that, on implementation of the </w:t>
      </w:r>
      <w:r>
        <w:t>final rule</w:t>
      </w:r>
      <w:r w:rsidRPr="00CE50C7">
        <w:t>, licensees and applicants w</w:t>
      </w:r>
      <w:r>
        <w:t>ould</w:t>
      </w:r>
      <w:r w:rsidRPr="00CE50C7">
        <w:t xml:space="preserve"> be able to </w:t>
      </w:r>
      <w:r>
        <w:t xml:space="preserve">voluntarily ask to use a more recent edition or addenda of the </w:t>
      </w:r>
      <w:r w:rsidRPr="00CE50C7">
        <w:t xml:space="preserve">ASME BPV and </w:t>
      </w:r>
      <w:r>
        <w:t>OM Codes under 10 CFR 50.55a(f)(4)(iv) and (g)(4)(iv).</w:t>
      </w:r>
      <w:r w:rsidRPr="00CC4446">
        <w:rPr>
          <w:rStyle w:val="FootnoteReference"/>
          <w:vertAlign w:val="superscript"/>
        </w:rPr>
        <w:footnoteReference w:id="7"/>
      </w:r>
    </w:p>
    <w:p w14:paraId="3900B0EB" w14:textId="77777777" w:rsidR="00D53E6F" w:rsidRPr="00CE50C7" w:rsidRDefault="00D53E6F" w:rsidP="00D53E6F">
      <w:pPr>
        <w:spacing w:line="240" w:lineRule="auto"/>
      </w:pPr>
    </w:p>
    <w:p w14:paraId="6A9002EE" w14:textId="77777777" w:rsidR="00D53E6F" w:rsidRDefault="00D53E6F" w:rsidP="00D53E6F">
      <w:pPr>
        <w:spacing w:line="240" w:lineRule="auto"/>
      </w:pPr>
      <w:r w:rsidRPr="00CE50C7">
        <w:t xml:space="preserve">Submission of an alternative request to the NRC is not a trivial matter.  Once ASME issues a Code </w:t>
      </w:r>
      <w:r>
        <w:t>edition</w:t>
      </w:r>
      <w:r w:rsidRPr="00CE50C7">
        <w:t xml:space="preserve">, the licensee or applicant must </w:t>
      </w:r>
      <w:r>
        <w:t>determine</w:t>
      </w:r>
      <w:r w:rsidRPr="00CE50C7">
        <w:t xml:space="preserve"> the applicability of the </w:t>
      </w:r>
      <w:r>
        <w:t>edition</w:t>
      </w:r>
      <w:r w:rsidRPr="00CE50C7">
        <w:t xml:space="preserve"> to its facility and the benefit derived</w:t>
      </w:r>
      <w:r>
        <w:t xml:space="preserve"> from its use</w:t>
      </w:r>
      <w:r w:rsidRPr="00CE50C7">
        <w:t>.  If the licensee or applicant determine</w:t>
      </w:r>
      <w:r>
        <w:t>s</w:t>
      </w:r>
      <w:r w:rsidRPr="00CE50C7">
        <w:t xml:space="preserve"> that use of the </w:t>
      </w:r>
      <w:r>
        <w:t xml:space="preserve">ASME </w:t>
      </w:r>
      <w:r w:rsidRPr="00CE50C7">
        <w:t>Code would be beneficial</w:t>
      </w:r>
      <w:r>
        <w:t>,</w:t>
      </w:r>
      <w:r w:rsidRPr="00CE50C7">
        <w:t xml:space="preserve"> </w:t>
      </w:r>
      <w:r>
        <w:t>but the NRC has not approved the ASME Code edition</w:t>
      </w:r>
      <w:r w:rsidRPr="00CE50C7">
        <w:t xml:space="preserve">, </w:t>
      </w:r>
      <w:r>
        <w:t xml:space="preserve">the licensee or applicant must prepare </w:t>
      </w:r>
      <w:r w:rsidRPr="00CE50C7">
        <w:t xml:space="preserve">a request for the use of the </w:t>
      </w:r>
      <w:r>
        <w:t xml:space="preserve">ASME </w:t>
      </w:r>
      <w:r w:rsidRPr="00CE50C7">
        <w:t>Code alternative</w:t>
      </w:r>
      <w:r>
        <w:t>,</w:t>
      </w:r>
      <w:r w:rsidRPr="00CE50C7">
        <w:t xml:space="preserve"> and appropriate levels of licensee or applicant management must review and approve the request </w:t>
      </w:r>
      <w:r>
        <w:t>before submitting it</w:t>
      </w:r>
      <w:r w:rsidRPr="00CE50C7">
        <w:t xml:space="preserve"> to the NRC.  A review of </w:t>
      </w:r>
      <w:r>
        <w:t xml:space="preserve">ASME </w:t>
      </w:r>
      <w:r w:rsidRPr="00CE50C7">
        <w:t>Code alternat</w:t>
      </w:r>
      <w:r>
        <w:t>iv</w:t>
      </w:r>
      <w:r w:rsidRPr="00CE50C7">
        <w:t xml:space="preserve">e requests submitted to the NRC over the last </w:t>
      </w:r>
      <w:r>
        <w:t>5 </w:t>
      </w:r>
      <w:r w:rsidRPr="00CE50C7">
        <w:t xml:space="preserve">years </w:t>
      </w:r>
      <w:r>
        <w:t>indicated</w:t>
      </w:r>
      <w:r w:rsidRPr="00CE50C7">
        <w:t xml:space="preserve"> that these submittals ranged from a few pages to several hundred pages with an average of approximately 32</w:t>
      </w:r>
      <w:r>
        <w:t> </w:t>
      </w:r>
      <w:r w:rsidRPr="00CE50C7">
        <w:t xml:space="preserve">pages </w:t>
      </w:r>
      <w:r>
        <w:t>of</w:t>
      </w:r>
      <w:r w:rsidRPr="00CE50C7">
        <w:t xml:space="preserve"> average technical complexity</w:t>
      </w:r>
      <w:r>
        <w:t>.</w:t>
      </w:r>
    </w:p>
    <w:p w14:paraId="31CD6351" w14:textId="77777777" w:rsidR="00D53E6F" w:rsidRDefault="00D53E6F" w:rsidP="00D53E6F">
      <w:pPr>
        <w:spacing w:line="240" w:lineRule="auto"/>
      </w:pPr>
    </w:p>
    <w:p w14:paraId="2F67E1C2" w14:textId="77777777" w:rsidR="00D53E6F" w:rsidRPr="00CE50C7" w:rsidRDefault="00D53E6F" w:rsidP="00D53E6F">
      <w:pPr>
        <w:spacing w:line="240" w:lineRule="auto"/>
      </w:pPr>
      <w:r w:rsidRPr="00CE50C7">
        <w:t>Therefore, the</w:t>
      </w:r>
      <w:r>
        <w:t xml:space="preserve"> NRC estimates that an ASME Code alternative</w:t>
      </w:r>
      <w:r w:rsidRPr="00CE50C7">
        <w:t xml:space="preserve"> submittal </w:t>
      </w:r>
      <w:r>
        <w:t xml:space="preserve">will </w:t>
      </w:r>
      <w:r w:rsidRPr="00CE50C7">
        <w:t xml:space="preserve">require an average of </w:t>
      </w:r>
      <w:r>
        <w:t>280 </w:t>
      </w:r>
      <w:r w:rsidRPr="00CE50C7">
        <w:t xml:space="preserve">hours of effort to develop the technical justification and an additional </w:t>
      </w:r>
      <w:r>
        <w:t>10</w:t>
      </w:r>
      <w:r w:rsidRPr="00CE50C7">
        <w:t>0</w:t>
      </w:r>
      <w:r>
        <w:t> </w:t>
      </w:r>
      <w:r w:rsidRPr="00CE50C7">
        <w:t xml:space="preserve">hours to research, review, approve, process, and submit the document to the NRC for </w:t>
      </w:r>
      <w:r>
        <w:t xml:space="preserve">the </w:t>
      </w:r>
      <w:r w:rsidRPr="00CE50C7">
        <w:t xml:space="preserve">use of alternatives under </w:t>
      </w:r>
      <w:r>
        <w:t>10 CFR </w:t>
      </w:r>
      <w:r w:rsidRPr="00CE50C7">
        <w:t>50.55a(z)</w:t>
      </w:r>
      <w:r>
        <w:t xml:space="preserve"> (for a total of 380 hours per submittal)</w:t>
      </w:r>
      <w:r w:rsidRPr="00CE50C7">
        <w:t xml:space="preserve">.  The NRC assumes that licensees or applicants would decide whether </w:t>
      </w:r>
      <w:r>
        <w:t xml:space="preserve">to request the use of </w:t>
      </w:r>
      <w:r w:rsidRPr="00CE50C7">
        <w:t xml:space="preserve">an alternative by weighing the cost against the benefit to be derived.  In some cases, licensees may decide to forfeit the benefits of using </w:t>
      </w:r>
      <w:r>
        <w:t>newer ASME Code editions</w:t>
      </w:r>
      <w:r w:rsidRPr="00CE50C7">
        <w:t>, whether in terms of radiological considerations or burden reduction.</w:t>
      </w:r>
    </w:p>
    <w:p w14:paraId="3F4CA652" w14:textId="77777777" w:rsidR="00D53E6F" w:rsidRDefault="00D53E6F" w:rsidP="00D53E6F">
      <w:pPr>
        <w:spacing w:line="240" w:lineRule="auto"/>
      </w:pPr>
    </w:p>
    <w:p w14:paraId="7A955F44" w14:textId="1DEAB3F3" w:rsidR="00D53E6F" w:rsidRPr="00776B8B" w:rsidRDefault="00D53E6F" w:rsidP="00D53E6F">
      <w:pPr>
        <w:spacing w:line="240" w:lineRule="auto"/>
      </w:pPr>
      <w:r>
        <w:t>A review of past submittals of ASME Code alternative requests</w:t>
      </w:r>
      <w:r w:rsidRPr="00776B8B">
        <w:t xml:space="preserve"> has determined that plant owners submit </w:t>
      </w:r>
      <w:r>
        <w:t xml:space="preserve">ASME Code </w:t>
      </w:r>
      <w:r w:rsidRPr="00776B8B">
        <w:t>alternative request</w:t>
      </w:r>
      <w:r>
        <w:t>s</w:t>
      </w:r>
      <w:r w:rsidRPr="00776B8B">
        <w:t xml:space="preserve"> that cover multiple units and multiple plant sites.  </w:t>
      </w:r>
      <w:r>
        <w:t xml:space="preserve">Based on annual ASME Code Case relief request submissions before and after ASME final rules are published, the </w:t>
      </w:r>
      <w:r w:rsidR="00173B30">
        <w:t xml:space="preserve">NRC </w:t>
      </w:r>
      <w:r>
        <w:t>estimated that, i</w:t>
      </w:r>
      <w:r w:rsidRPr="00776B8B">
        <w:t xml:space="preserve">f </w:t>
      </w:r>
      <w:r>
        <w:t>Alternative 2</w:t>
      </w:r>
      <w:r w:rsidRPr="00776B8B">
        <w:t xml:space="preserve"> is not adopted, </w:t>
      </w:r>
      <w:r>
        <w:t xml:space="preserve">operating sites would submit 24 relief requests annually for the Code Cases in the final rule.  </w:t>
      </w:r>
      <w:r w:rsidRPr="00776B8B">
        <w:t xml:space="preserve">Under </w:t>
      </w:r>
      <w:r>
        <w:t>Alternative 2</w:t>
      </w:r>
      <w:r w:rsidRPr="00776B8B">
        <w:t>, a nuclear power plant licensee would no longe</w:t>
      </w:r>
      <w:r>
        <w:t xml:space="preserve">r need to submit the aforementioned ASME Code </w:t>
      </w:r>
      <w:r w:rsidRPr="00776B8B">
        <w:t>alternative request</w:t>
      </w:r>
      <w:r>
        <w:t>s</w:t>
      </w:r>
      <w:r w:rsidRPr="00776B8B">
        <w:t xml:space="preserve"> under the new </w:t>
      </w:r>
      <w:r>
        <w:t>10 CFR </w:t>
      </w:r>
      <w:r w:rsidRPr="00776B8B">
        <w:t>50.55a(z)</w:t>
      </w:r>
      <w:r>
        <w:t>,</w:t>
      </w:r>
      <w:r w:rsidRPr="00776B8B">
        <w:t xml:space="preserve"> which would provide a net benefit (i.e.,</w:t>
      </w:r>
      <w:r>
        <w:t> </w:t>
      </w:r>
      <w:r w:rsidRPr="00776B8B">
        <w:t xml:space="preserve">averted cost) to the licensee.  As shown in </w:t>
      </w:r>
      <w:r w:rsidRPr="00776B8B">
        <w:fldChar w:fldCharType="begin"/>
      </w:r>
      <w:r w:rsidRPr="00776B8B">
        <w:instrText xml:space="preserve"> REF _Ref386964448 \h  \* MERGEFORMAT </w:instrText>
      </w:r>
      <w:r w:rsidRPr="00776B8B">
        <w:fldChar w:fldCharType="separate"/>
      </w:r>
      <w:r w:rsidR="00F05D99" w:rsidRPr="00F05D99">
        <w:t xml:space="preserve">Table </w:t>
      </w:r>
      <w:r w:rsidR="00F05D99" w:rsidRPr="00F05D99">
        <w:rPr>
          <w:noProof/>
        </w:rPr>
        <w:t>6</w:t>
      </w:r>
      <w:r w:rsidRPr="00776B8B">
        <w:fldChar w:fldCharType="end"/>
      </w:r>
      <w:r w:rsidRPr="00776B8B">
        <w:t xml:space="preserve">, the implementation of </w:t>
      </w:r>
      <w:r>
        <w:t>Alternative 2</w:t>
      </w:r>
      <w:r w:rsidRPr="00776B8B">
        <w:t xml:space="preserve"> would </w:t>
      </w:r>
      <w:r>
        <w:t>avert</w:t>
      </w:r>
      <w:r w:rsidRPr="00776B8B">
        <w:t xml:space="preserve"> </w:t>
      </w:r>
      <w:r>
        <w:t>24</w:t>
      </w:r>
      <w:r w:rsidRPr="00776B8B">
        <w:t xml:space="preserve"> additional </w:t>
      </w:r>
      <w:r>
        <w:t xml:space="preserve">ASME </w:t>
      </w:r>
      <w:r w:rsidRPr="00776B8B">
        <w:t xml:space="preserve">Code </w:t>
      </w:r>
      <w:r>
        <w:t>alternative</w:t>
      </w:r>
      <w:r w:rsidRPr="00776B8B">
        <w:t xml:space="preserve"> submittals</w:t>
      </w:r>
      <w:r>
        <w:t xml:space="preserve"> (and their associated preparation)</w:t>
      </w:r>
      <w:r w:rsidRPr="00776B8B">
        <w:t xml:space="preserve"> each year under the new </w:t>
      </w:r>
      <w:r>
        <w:t>10 CFR </w:t>
      </w:r>
      <w:r w:rsidRPr="00776B8B">
        <w:t xml:space="preserve">50.55a(z).  The NRC </w:t>
      </w:r>
      <w:r>
        <w:t>expects</w:t>
      </w:r>
      <w:r w:rsidRPr="00776B8B">
        <w:t xml:space="preserve"> the industry operation </w:t>
      </w:r>
      <w:r>
        <w:t xml:space="preserve">averted </w:t>
      </w:r>
      <w:r w:rsidRPr="00776B8B">
        <w:t>cost</w:t>
      </w:r>
      <w:r>
        <w:t>s</w:t>
      </w:r>
      <w:r w:rsidRPr="00776B8B">
        <w:t xml:space="preserve"> for opera</w:t>
      </w:r>
      <w:r>
        <w:t>ting nuclear power plants to range</w:t>
      </w:r>
      <w:r w:rsidRPr="00776B8B">
        <w:t xml:space="preserve"> from $</w:t>
      </w:r>
      <w:r>
        <w:t>4.93 </w:t>
      </w:r>
      <w:r w:rsidRPr="00776B8B">
        <w:t>million (</w:t>
      </w:r>
      <w:r>
        <w:t>7</w:t>
      </w:r>
      <w:r>
        <w:noBreakHyphen/>
        <w:t>percent</w:t>
      </w:r>
      <w:r w:rsidRPr="00776B8B">
        <w:t xml:space="preserve"> NPV) to $</w:t>
      </w:r>
      <w:r>
        <w:t>5.60 </w:t>
      </w:r>
      <w:r w:rsidRPr="00776B8B">
        <w:t>million (</w:t>
      </w:r>
      <w:r>
        <w:t>3</w:t>
      </w:r>
      <w:r>
        <w:noBreakHyphen/>
        <w:t>percent</w:t>
      </w:r>
      <w:r w:rsidRPr="00776B8B">
        <w:t xml:space="preserve"> NPV), </w:t>
      </w:r>
      <w:r>
        <w:t xml:space="preserve">which will </w:t>
      </w:r>
      <w:r w:rsidRPr="00776B8B">
        <w:t xml:space="preserve">yield a net positive savings for </w:t>
      </w:r>
      <w:r>
        <w:t>Alternative 2</w:t>
      </w:r>
      <w:r w:rsidRPr="00776B8B">
        <w:t>.</w:t>
      </w:r>
    </w:p>
    <w:p w14:paraId="4F74BED8" w14:textId="77777777" w:rsidR="00D53E6F" w:rsidRPr="00776B8B" w:rsidRDefault="00D53E6F" w:rsidP="00D53E6F">
      <w:pPr>
        <w:spacing w:line="240" w:lineRule="auto"/>
      </w:pPr>
    </w:p>
    <w:p w14:paraId="4CCA4A25" w14:textId="5240AB8C" w:rsidR="00D53E6F" w:rsidRPr="00C80453" w:rsidRDefault="00D53E6F" w:rsidP="00D53E6F">
      <w:pPr>
        <w:pStyle w:val="Caption"/>
        <w:spacing w:line="240" w:lineRule="auto"/>
        <w:ind w:left="1080" w:hanging="1080"/>
        <w:jc w:val="center"/>
        <w:rPr>
          <w:b/>
        </w:rPr>
      </w:pPr>
      <w:bookmarkStart w:id="177" w:name="_Ref386964448"/>
      <w:bookmarkStart w:id="178" w:name="_Toc393790918"/>
      <w:bookmarkStart w:id="179" w:name="_Toc393791052"/>
      <w:bookmarkStart w:id="180" w:name="_Toc454442473"/>
      <w:bookmarkStart w:id="181" w:name="_Toc457827393"/>
      <w:bookmarkStart w:id="182" w:name="_Toc9428135"/>
      <w:r w:rsidRPr="00C80453">
        <w:rPr>
          <w:b/>
        </w:rPr>
        <w:t xml:space="preserve">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6</w:t>
      </w:r>
      <w:r w:rsidRPr="00C80453">
        <w:rPr>
          <w:b/>
          <w:noProof/>
        </w:rPr>
        <w:fldChar w:fldCharType="end"/>
      </w:r>
      <w:bookmarkEnd w:id="177"/>
      <w:r w:rsidRPr="00C80453">
        <w:rPr>
          <w:b/>
        </w:rPr>
        <w:t xml:space="preserve">  Industry Operation—Averted Costs for Code Alternative Requests</w:t>
      </w:r>
      <w:bookmarkEnd w:id="178"/>
      <w:bookmarkEnd w:id="179"/>
      <w:bookmarkEnd w:id="180"/>
      <w:bookmarkEnd w:id="181"/>
      <w:bookmarkEnd w:id="182"/>
    </w:p>
    <w:p w14:paraId="078B59F1" w14:textId="77777777" w:rsidR="00D53E6F" w:rsidRPr="00776B8B" w:rsidRDefault="00D53E6F" w:rsidP="00D53E6F">
      <w:pPr>
        <w:spacing w:line="240" w:lineRule="auto"/>
      </w:pPr>
      <w:r w:rsidRPr="00BE4B1A">
        <w:rPr>
          <w:noProof/>
        </w:rPr>
        <w:drawing>
          <wp:inline distT="0" distB="0" distL="0" distR="0" wp14:anchorId="6DD8EC9C" wp14:editId="35FA10E3">
            <wp:extent cx="5943600" cy="2225866"/>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225866"/>
                    </a:xfrm>
                    <a:prstGeom prst="rect">
                      <a:avLst/>
                    </a:prstGeom>
                    <a:noFill/>
                    <a:ln>
                      <a:noFill/>
                    </a:ln>
                  </pic:spPr>
                </pic:pic>
              </a:graphicData>
            </a:graphic>
          </wp:inline>
        </w:drawing>
      </w:r>
    </w:p>
    <w:p w14:paraId="080626A1" w14:textId="77777777" w:rsidR="00D53E6F" w:rsidRDefault="00D53E6F" w:rsidP="00D53E6F">
      <w:pPr>
        <w:spacing w:line="240" w:lineRule="auto"/>
      </w:pPr>
      <w:bookmarkStart w:id="183" w:name="_Ref386985636"/>
    </w:p>
    <w:p w14:paraId="6F04AB2D" w14:textId="77777777" w:rsidR="00D53E6F" w:rsidRPr="00706C8A" w:rsidRDefault="00D53E6F" w:rsidP="00D53E6F">
      <w:pPr>
        <w:pStyle w:val="Heading3"/>
        <w:spacing w:line="240" w:lineRule="auto"/>
        <w:ind w:left="720" w:hanging="720"/>
      </w:pPr>
      <w:bookmarkStart w:id="184" w:name="_Toc456098261"/>
      <w:bookmarkStart w:id="185" w:name="_Toc12808814"/>
      <w:r>
        <w:t>5.4.1</w:t>
      </w:r>
      <w:r>
        <w:tab/>
      </w:r>
      <w:bookmarkEnd w:id="184"/>
      <w:r w:rsidRPr="00C87607">
        <w:rPr>
          <w:szCs w:val="22"/>
        </w:rPr>
        <w:t xml:space="preserve">Additional Materials for Subsection NF, Class 1, 2, 3, and </w:t>
      </w:r>
      <w:r>
        <w:rPr>
          <w:szCs w:val="22"/>
        </w:rPr>
        <w:t>Metal Containment</w:t>
      </w:r>
      <w:r w:rsidRPr="00C87607">
        <w:rPr>
          <w:szCs w:val="22"/>
        </w:rPr>
        <w:t xml:space="preserve"> Supports Fabricated by Welding</w:t>
      </w:r>
      <w:bookmarkEnd w:id="185"/>
    </w:p>
    <w:p w14:paraId="2127E27F" w14:textId="6C1F14B4" w:rsidR="00D53E6F" w:rsidRDefault="00D53E6F" w:rsidP="00D53E6F">
      <w:pPr>
        <w:keepNext/>
        <w:spacing w:line="240" w:lineRule="auto"/>
      </w:pPr>
    </w:p>
    <w:p w14:paraId="1228F370" w14:textId="77777777" w:rsidR="00D53E6F" w:rsidRDefault="00D53E6F" w:rsidP="00D53E6F">
      <w:pPr>
        <w:spacing w:line="240" w:lineRule="auto"/>
      </w:pPr>
      <w:r>
        <w:t>The NRC does not expect industry to incur incremental operation costs associated with the conditions of this ASME Code Case, which are either identical or substantively identical to existing conditions or administrative in nature.</w:t>
      </w:r>
    </w:p>
    <w:p w14:paraId="480FC63C" w14:textId="77777777" w:rsidR="00D53E6F" w:rsidRDefault="00D53E6F" w:rsidP="00D53E6F">
      <w:pPr>
        <w:spacing w:line="240" w:lineRule="auto"/>
      </w:pPr>
    </w:p>
    <w:p w14:paraId="2034CEA1" w14:textId="77777777" w:rsidR="00D53E6F" w:rsidRDefault="00D53E6F" w:rsidP="00D53E6F">
      <w:pPr>
        <w:pStyle w:val="Heading3"/>
        <w:spacing w:line="240" w:lineRule="auto"/>
        <w:ind w:left="720" w:hanging="720"/>
      </w:pPr>
      <w:bookmarkStart w:id="186" w:name="_Toc456098262"/>
      <w:bookmarkStart w:id="187" w:name="_Toc12808815"/>
      <w:r>
        <w:t>5.4.2</w:t>
      </w:r>
      <w:r>
        <w:tab/>
      </w:r>
      <w:bookmarkEnd w:id="186"/>
      <w:r w:rsidRPr="004C46E3">
        <w:rPr>
          <w:szCs w:val="22"/>
        </w:rPr>
        <w:t>Underwater Welding, Section XI, Division</w:t>
      </w:r>
      <w:r>
        <w:rPr>
          <w:szCs w:val="22"/>
        </w:rPr>
        <w:t xml:space="preserve"> 1</w:t>
      </w:r>
      <w:bookmarkEnd w:id="187"/>
    </w:p>
    <w:p w14:paraId="24E7C05F" w14:textId="77777777" w:rsidR="00D53E6F" w:rsidRDefault="00D53E6F" w:rsidP="00D53E6F">
      <w:pPr>
        <w:keepNext/>
        <w:spacing w:line="240" w:lineRule="auto"/>
      </w:pPr>
    </w:p>
    <w:p w14:paraId="69CBB3BB" w14:textId="77777777" w:rsidR="00D53E6F" w:rsidRDefault="00D53E6F" w:rsidP="00D53E6F">
      <w:pPr>
        <w:spacing w:line="240" w:lineRule="auto"/>
      </w:pPr>
      <w:r>
        <w:t>The NRC does not expect industry to incur incremental operation costs associated with the conditions of this ASME Code Case, which clarify the existing condition.</w:t>
      </w:r>
    </w:p>
    <w:p w14:paraId="46BB081E" w14:textId="77777777" w:rsidR="00D53E6F" w:rsidRDefault="00D53E6F" w:rsidP="00D53E6F">
      <w:pPr>
        <w:spacing w:line="240" w:lineRule="auto"/>
      </w:pPr>
    </w:p>
    <w:p w14:paraId="1033320E" w14:textId="77777777" w:rsidR="00D53E6F" w:rsidRDefault="00D53E6F" w:rsidP="00D53E6F">
      <w:pPr>
        <w:pStyle w:val="Heading3"/>
        <w:ind w:left="720" w:hanging="720"/>
      </w:pPr>
      <w:bookmarkStart w:id="188" w:name="_Toc12808816"/>
      <w:r>
        <w:t>5.4.3</w:t>
      </w:r>
      <w:r>
        <w:tab/>
      </w:r>
      <w:r w:rsidRPr="00C87607">
        <w:rPr>
          <w:szCs w:val="22"/>
        </w:rPr>
        <w:t>Evaluation of Pipe Wall Thinning</w:t>
      </w:r>
      <w:r>
        <w:rPr>
          <w:szCs w:val="22"/>
        </w:rPr>
        <w:t>,</w:t>
      </w:r>
      <w:r w:rsidRPr="00C87607">
        <w:rPr>
          <w:szCs w:val="22"/>
        </w:rPr>
        <w:t xml:space="preserve"> Section XI</w:t>
      </w:r>
      <w:bookmarkEnd w:id="188"/>
    </w:p>
    <w:p w14:paraId="1713FDAF" w14:textId="77777777" w:rsidR="00D53E6F" w:rsidRDefault="00D53E6F" w:rsidP="00D53E6F">
      <w:pPr>
        <w:spacing w:line="240" w:lineRule="auto"/>
      </w:pPr>
    </w:p>
    <w:p w14:paraId="74F7D7B2" w14:textId="77777777" w:rsidR="00D53E6F" w:rsidRDefault="00D53E6F" w:rsidP="00D53E6F">
      <w:pPr>
        <w:spacing w:line="240" w:lineRule="auto"/>
      </w:pPr>
      <w:r>
        <w:t>The NRC does not expect industry to incur incremental operation costs associated with the conditions of this ASME Code Case, which are either identical or substantively identical to existing conditions.</w:t>
      </w:r>
    </w:p>
    <w:p w14:paraId="631ABF8C" w14:textId="77777777" w:rsidR="00D53E6F" w:rsidRDefault="00D53E6F" w:rsidP="00D53E6F">
      <w:pPr>
        <w:spacing w:line="240" w:lineRule="auto"/>
      </w:pPr>
    </w:p>
    <w:p w14:paraId="14334FAE" w14:textId="77777777" w:rsidR="00D53E6F" w:rsidRDefault="00D53E6F" w:rsidP="00D53E6F">
      <w:pPr>
        <w:pStyle w:val="Heading3"/>
        <w:spacing w:line="240" w:lineRule="auto"/>
        <w:ind w:left="720" w:hanging="720"/>
      </w:pPr>
      <w:bookmarkStart w:id="189" w:name="_Toc456098263"/>
      <w:bookmarkStart w:id="190" w:name="_Toc457827276"/>
      <w:bookmarkStart w:id="191" w:name="_Toc12808817"/>
      <w:r>
        <w:t>5.4.4</w:t>
      </w:r>
      <w:r>
        <w:tab/>
      </w:r>
      <w:bookmarkEnd w:id="189"/>
      <w:bookmarkEnd w:id="190"/>
      <w:r w:rsidRPr="00C87607">
        <w:rPr>
          <w:szCs w:val="22"/>
        </w:rPr>
        <w:t xml:space="preserve">Similar and Dissimilar Metal Welding Using </w:t>
      </w:r>
      <w:r>
        <w:rPr>
          <w:szCs w:val="22"/>
        </w:rPr>
        <w:t xml:space="preserve">an </w:t>
      </w:r>
      <w:r w:rsidRPr="00C87607">
        <w:rPr>
          <w:szCs w:val="22"/>
        </w:rPr>
        <w:t xml:space="preserve">Ambient Temperature Machine </w:t>
      </w:r>
      <w:r w:rsidRPr="00534C1D">
        <w:rPr>
          <w:szCs w:val="22"/>
        </w:rPr>
        <w:t>Gas Tungsten Arc Welding</w:t>
      </w:r>
      <w:r w:rsidRPr="00C87607">
        <w:rPr>
          <w:szCs w:val="22"/>
        </w:rPr>
        <w:t xml:space="preserve"> Temper Bead Technique for </w:t>
      </w:r>
      <w:r>
        <w:rPr>
          <w:szCs w:val="22"/>
        </w:rPr>
        <w:t>Boiling-Water Reactor Control Rod Drive</w:t>
      </w:r>
      <w:r w:rsidRPr="00C87607">
        <w:rPr>
          <w:szCs w:val="22"/>
        </w:rPr>
        <w:t xml:space="preserve"> Housing/Stub Tube Repairs</w:t>
      </w:r>
      <w:bookmarkEnd w:id="191"/>
    </w:p>
    <w:p w14:paraId="0F847651" w14:textId="77777777" w:rsidR="00D53E6F" w:rsidRDefault="00D53E6F" w:rsidP="00D53E6F">
      <w:pPr>
        <w:keepNext/>
        <w:spacing w:line="240" w:lineRule="auto"/>
      </w:pPr>
    </w:p>
    <w:p w14:paraId="67BBCC6D" w14:textId="77777777" w:rsidR="00D53E6F" w:rsidRDefault="00D53E6F" w:rsidP="00D53E6F">
      <w:pPr>
        <w:spacing w:line="240" w:lineRule="auto"/>
      </w:pPr>
      <w:r>
        <w:t>The NRC does not expect industry to incur incremental operation costs associated with the condition of this ASME Code Case, which is identical to the existing condition.</w:t>
      </w:r>
    </w:p>
    <w:p w14:paraId="2A9E6AFC" w14:textId="77777777" w:rsidR="00D53E6F" w:rsidRPr="00CD7C5C" w:rsidRDefault="00D53E6F" w:rsidP="00D53E6F">
      <w:pPr>
        <w:spacing w:line="240" w:lineRule="auto"/>
      </w:pPr>
    </w:p>
    <w:p w14:paraId="1A7B02EA" w14:textId="77777777" w:rsidR="00D53E6F" w:rsidRDefault="00D53E6F" w:rsidP="00D53E6F">
      <w:pPr>
        <w:pStyle w:val="Heading3"/>
        <w:spacing w:line="240" w:lineRule="auto"/>
        <w:ind w:left="720" w:hanging="720"/>
      </w:pPr>
      <w:bookmarkStart w:id="192" w:name="_Toc456098264"/>
      <w:bookmarkStart w:id="193" w:name="_Toc12808818"/>
      <w:r>
        <w:t>5.4.5</w:t>
      </w:r>
      <w:r>
        <w:tab/>
      </w:r>
      <w:bookmarkEnd w:id="192"/>
      <w:r w:rsidRPr="0072340A">
        <w:rPr>
          <w:szCs w:val="22"/>
        </w:rPr>
        <w:t xml:space="preserve">Similar and Dissimilar Metal Welding Using </w:t>
      </w:r>
      <w:r>
        <w:rPr>
          <w:szCs w:val="22"/>
        </w:rPr>
        <w:t xml:space="preserve">an </w:t>
      </w:r>
      <w:r w:rsidRPr="0072340A">
        <w:rPr>
          <w:szCs w:val="22"/>
        </w:rPr>
        <w:t xml:space="preserve">Ambient Temperature Machine </w:t>
      </w:r>
      <w:r w:rsidRPr="00534C1D">
        <w:rPr>
          <w:szCs w:val="22"/>
        </w:rPr>
        <w:t>Gas Tungsten Arc Welding</w:t>
      </w:r>
      <w:r w:rsidRPr="0072340A">
        <w:rPr>
          <w:szCs w:val="22"/>
        </w:rPr>
        <w:t xml:space="preserve"> Temper Bead Technique</w:t>
      </w:r>
      <w:bookmarkEnd w:id="193"/>
    </w:p>
    <w:p w14:paraId="7C2B9BC7" w14:textId="77777777" w:rsidR="00D53E6F" w:rsidRDefault="00D53E6F" w:rsidP="00D53E6F">
      <w:pPr>
        <w:keepNext/>
        <w:spacing w:line="240" w:lineRule="auto"/>
      </w:pPr>
    </w:p>
    <w:p w14:paraId="30041A27" w14:textId="77777777" w:rsidR="00D53E6F" w:rsidRDefault="00D53E6F" w:rsidP="00D53E6F">
      <w:pPr>
        <w:spacing w:line="240" w:lineRule="auto"/>
      </w:pPr>
      <w:r>
        <w:t>The NRC does not expect industry to incur incremental operation costs associated with the condition of this ASME Code Case, which is identical to the existing condition.</w:t>
      </w:r>
    </w:p>
    <w:p w14:paraId="286C238F" w14:textId="77777777" w:rsidR="00D53E6F" w:rsidRPr="00500171" w:rsidRDefault="00D53E6F" w:rsidP="00D53E6F">
      <w:pPr>
        <w:spacing w:line="240" w:lineRule="auto"/>
      </w:pPr>
    </w:p>
    <w:p w14:paraId="579CF32C" w14:textId="78B9CC36" w:rsidR="00D53E6F" w:rsidRDefault="00D53E6F" w:rsidP="00D53E6F">
      <w:pPr>
        <w:pStyle w:val="Heading3"/>
        <w:ind w:left="720" w:hanging="720"/>
      </w:pPr>
      <w:bookmarkStart w:id="194" w:name="_Toc456098265"/>
      <w:bookmarkStart w:id="195" w:name="_Toc12808819"/>
      <w:r>
        <w:t>5.4.6</w:t>
      </w:r>
      <w:r>
        <w:tab/>
      </w:r>
      <w:bookmarkEnd w:id="194"/>
      <w:r w:rsidRPr="0072340A">
        <w:rPr>
          <w:szCs w:val="22"/>
        </w:rPr>
        <w:t>Alternative Requirements for Inner Radius Examinations of Class</w:t>
      </w:r>
      <w:r>
        <w:rPr>
          <w:szCs w:val="22"/>
        </w:rPr>
        <w:t> </w:t>
      </w:r>
      <w:r w:rsidRPr="0072340A">
        <w:rPr>
          <w:szCs w:val="22"/>
        </w:rPr>
        <w:t>1 Reactor Vessel Nozzles</w:t>
      </w:r>
      <w:r>
        <w:rPr>
          <w:szCs w:val="22"/>
        </w:rPr>
        <w:t>,</w:t>
      </w:r>
      <w:r w:rsidRPr="0072340A">
        <w:rPr>
          <w:szCs w:val="22"/>
        </w:rPr>
        <w:t xml:space="preserve"> Section XI</w:t>
      </w:r>
      <w:bookmarkEnd w:id="195"/>
    </w:p>
    <w:p w14:paraId="3B29D11A" w14:textId="77777777" w:rsidR="00D53E6F" w:rsidRDefault="00D53E6F" w:rsidP="00D53E6F">
      <w:pPr>
        <w:keepNext/>
        <w:spacing w:line="240" w:lineRule="auto"/>
      </w:pPr>
    </w:p>
    <w:p w14:paraId="4E479E6C" w14:textId="5758DCEE" w:rsidR="00D53E6F" w:rsidRDefault="00D53E6F" w:rsidP="00D53E6F">
      <w:pPr>
        <w:spacing w:line="240" w:lineRule="auto"/>
      </w:pPr>
      <w:r>
        <w:t>This condition prevents the ASME Code Case from allowing new pressurized</w:t>
      </w:r>
      <w:r>
        <w:noBreakHyphen/>
        <w:t>water reactors (PWRs) and boiling</w:t>
      </w:r>
      <w:r>
        <w:noBreakHyphen/>
        <w:t xml:space="preserve">water reactors (BWRs) to use VT instead of ultrasonic testing on their first reactor vessel nozzle ISI, which would occur during the lifetime of this ASME Code Case.  It takes approximately 16 hours more per nozzle to perform ultrasonic testing than it does to perform VT, and the </w:t>
      </w:r>
      <w:r w:rsidR="00173B30">
        <w:t>NRC</w:t>
      </w:r>
      <w:r>
        <w:t xml:space="preserve"> estimates that this </w:t>
      </w:r>
      <w:r w:rsidR="00B75F34">
        <w:t xml:space="preserve">condition would affect two PWRs, but no </w:t>
      </w:r>
      <w:r>
        <w:t>BWRs.  PWRs have approximately 8 nozzles, whereas BWRs have approximately 25 nozzles, and the inspection must cover at least 25 percent, but not more than 50 percent,</w:t>
      </w:r>
      <w:r w:rsidRPr="00F348B6">
        <w:t xml:space="preserve"> </w:t>
      </w:r>
      <w:r>
        <w:t>of the nozzles.  As shown in Table 7, this results in costs ranging from ($</w:t>
      </w:r>
      <w:r w:rsidR="00B75F34">
        <w:t>7</w:t>
      </w:r>
      <w:r>
        <w:t>,600) at a 7-percent NPV to ($</w:t>
      </w:r>
      <w:r w:rsidR="00B75F34">
        <w:t>8</w:t>
      </w:r>
      <w:r>
        <w:t>,900) at a 3</w:t>
      </w:r>
      <w:r>
        <w:noBreakHyphen/>
        <w:t>percent NPV.</w:t>
      </w:r>
      <w:r w:rsidR="00560F67">
        <w:t xml:space="preserve">  Due to the similar staytimes between VT and UT, and expected radiation exposure rates at new reactors, incremental dose differences were not calculated for this condition.</w:t>
      </w:r>
    </w:p>
    <w:p w14:paraId="2C95761E" w14:textId="6510ADE3" w:rsidR="00D53E6F" w:rsidRDefault="00D53E6F" w:rsidP="00D53E6F">
      <w:pPr>
        <w:spacing w:line="240" w:lineRule="auto"/>
      </w:pPr>
    </w:p>
    <w:p w14:paraId="7CE1316A" w14:textId="7168A8CE" w:rsidR="00D53E6F" w:rsidRPr="00C80453" w:rsidRDefault="00D53E6F" w:rsidP="00D53E6F">
      <w:pPr>
        <w:pStyle w:val="Caption"/>
        <w:jc w:val="center"/>
        <w:rPr>
          <w:b/>
        </w:rPr>
      </w:pPr>
      <w:bookmarkStart w:id="196" w:name="_Toc9428136"/>
      <w:r w:rsidRPr="00C80453">
        <w:rPr>
          <w:b/>
        </w:rPr>
        <w:t xml:space="preserve">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7</w:t>
      </w:r>
      <w:r w:rsidRPr="00C80453">
        <w:rPr>
          <w:b/>
          <w:noProof/>
        </w:rPr>
        <w:fldChar w:fldCharType="end"/>
      </w:r>
      <w:r w:rsidRPr="00C80453">
        <w:rPr>
          <w:b/>
        </w:rPr>
        <w:t xml:space="preserve">  </w:t>
      </w:r>
      <w:r>
        <w:rPr>
          <w:b/>
        </w:rPr>
        <w:t xml:space="preserve">ASME Code Case </w:t>
      </w:r>
      <w:r w:rsidRPr="00C80453">
        <w:rPr>
          <w:b/>
        </w:rPr>
        <w:t>N-648-2 Reactor Nozzle Ultrasonic Test Inspection</w:t>
      </w:r>
      <w:bookmarkEnd w:id="196"/>
    </w:p>
    <w:p w14:paraId="6631AB83" w14:textId="79B00BE4" w:rsidR="00D53E6F" w:rsidRDefault="00B75F34" w:rsidP="00D53E6F">
      <w:pPr>
        <w:spacing w:line="240" w:lineRule="auto"/>
      </w:pPr>
      <w:r w:rsidRPr="00B75F34">
        <w:rPr>
          <w:noProof/>
        </w:rPr>
        <w:drawing>
          <wp:inline distT="0" distB="0" distL="0" distR="0" wp14:anchorId="282843A5" wp14:editId="02BA4EA3">
            <wp:extent cx="5943600" cy="1096908"/>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096908"/>
                    </a:xfrm>
                    <a:prstGeom prst="rect">
                      <a:avLst/>
                    </a:prstGeom>
                    <a:noFill/>
                    <a:ln>
                      <a:noFill/>
                    </a:ln>
                  </pic:spPr>
                </pic:pic>
              </a:graphicData>
            </a:graphic>
          </wp:inline>
        </w:drawing>
      </w:r>
    </w:p>
    <w:p w14:paraId="1A8DB21C" w14:textId="77777777" w:rsidR="00D53E6F" w:rsidRDefault="00D53E6F" w:rsidP="00D53E6F">
      <w:pPr>
        <w:spacing w:line="240" w:lineRule="auto"/>
      </w:pPr>
    </w:p>
    <w:p w14:paraId="48F696C4" w14:textId="77777777" w:rsidR="00D53E6F" w:rsidRDefault="00D53E6F" w:rsidP="00D53E6F">
      <w:pPr>
        <w:pStyle w:val="Heading3"/>
        <w:spacing w:line="240" w:lineRule="auto"/>
        <w:ind w:left="720" w:hanging="720"/>
      </w:pPr>
      <w:bookmarkStart w:id="197" w:name="_Toc456098266"/>
      <w:bookmarkStart w:id="198" w:name="_Toc12808820"/>
      <w:r>
        <w:t>5.4.7</w:t>
      </w:r>
      <w:r>
        <w:tab/>
      </w:r>
      <w:bookmarkEnd w:id="197"/>
      <w:r w:rsidRPr="001D24C0">
        <w:rPr>
          <w:szCs w:val="22"/>
        </w:rPr>
        <w:t xml:space="preserve">Qualification Requirements for </w:t>
      </w:r>
      <w:r>
        <w:rPr>
          <w:szCs w:val="22"/>
        </w:rPr>
        <w:t>Dissimilar Metal Piping Welds</w:t>
      </w:r>
      <w:bookmarkEnd w:id="198"/>
    </w:p>
    <w:p w14:paraId="3702B8B1" w14:textId="77777777" w:rsidR="00D53E6F" w:rsidRDefault="00D53E6F" w:rsidP="00D53E6F">
      <w:pPr>
        <w:keepNext/>
        <w:spacing w:line="240" w:lineRule="auto"/>
      </w:pPr>
    </w:p>
    <w:p w14:paraId="7E742FD2" w14:textId="058C089A" w:rsidR="00D53E6F" w:rsidRDefault="00173B30" w:rsidP="00D53E6F">
      <w:pPr>
        <w:spacing w:line="240" w:lineRule="auto"/>
      </w:pPr>
      <w:r>
        <w:t>The NRC</w:t>
      </w:r>
      <w:r w:rsidR="00D53E6F">
        <w:t xml:space="preserve"> expects that industry will operate in accordance with this condition in most cases based on over 15 years of operating experience in which this condition would not have altered industry actions.  For this cost estimate, </w:t>
      </w:r>
      <w:r>
        <w:t>the NRC</w:t>
      </w:r>
      <w:r w:rsidR="00D53E6F">
        <w:t xml:space="preserve"> has assumed that the condition would affect one licensee over the lifetime of this ASME Code Case.  This condition would result in a verbal review of the licensee’s maintenance issue, which would take industry approximately 190 hours to perform.  As shown in Table 8, the estimated costs range from ($18,000) at a 7</w:t>
      </w:r>
      <w:r w:rsidR="00D53E6F">
        <w:noBreakHyphen/>
        <w:t>percent NPV to ($20,000) at a 3</w:t>
      </w:r>
      <w:r w:rsidR="00D53E6F">
        <w:noBreakHyphen/>
        <w:t>percent NPV.</w:t>
      </w:r>
    </w:p>
    <w:p w14:paraId="4A5B7D1B" w14:textId="6224620E" w:rsidR="00D53E6F" w:rsidRDefault="00D53E6F" w:rsidP="00D53E6F">
      <w:pPr>
        <w:spacing w:line="240" w:lineRule="auto"/>
      </w:pPr>
    </w:p>
    <w:p w14:paraId="32DB4B5A" w14:textId="4D633FB8" w:rsidR="00D53E6F" w:rsidRPr="00C80453" w:rsidRDefault="00D53E6F" w:rsidP="00D53E6F">
      <w:pPr>
        <w:pStyle w:val="Caption"/>
        <w:spacing w:line="240" w:lineRule="auto"/>
        <w:jc w:val="center"/>
        <w:rPr>
          <w:b/>
        </w:rPr>
      </w:pPr>
      <w:bookmarkStart w:id="199" w:name="_Toc9428137"/>
      <w:r w:rsidRPr="00C80453">
        <w:rPr>
          <w:b/>
        </w:rPr>
        <w:t xml:space="preserve">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8</w:t>
      </w:r>
      <w:r w:rsidRPr="00C80453">
        <w:rPr>
          <w:b/>
          <w:noProof/>
        </w:rPr>
        <w:fldChar w:fldCharType="end"/>
      </w:r>
      <w:r w:rsidRPr="00C80453">
        <w:rPr>
          <w:b/>
        </w:rPr>
        <w:t xml:space="preserve">  </w:t>
      </w:r>
      <w:r>
        <w:rPr>
          <w:b/>
        </w:rPr>
        <w:t xml:space="preserve">ASME Code Case </w:t>
      </w:r>
      <w:r w:rsidRPr="00C80453">
        <w:rPr>
          <w:b/>
        </w:rPr>
        <w:t>N-695-1 Piping Examination Relief Request</w:t>
      </w:r>
      <w:bookmarkEnd w:id="199"/>
    </w:p>
    <w:p w14:paraId="21E68DAB" w14:textId="2D448561" w:rsidR="00D53E6F" w:rsidRDefault="00D53E6F" w:rsidP="00D53E6F">
      <w:pPr>
        <w:spacing w:line="240" w:lineRule="auto"/>
      </w:pPr>
      <w:r w:rsidRPr="006D71D5">
        <w:rPr>
          <w:noProof/>
        </w:rPr>
        <w:drawing>
          <wp:inline distT="0" distB="0" distL="0" distR="0" wp14:anchorId="75D3156C" wp14:editId="3DE9B6BD">
            <wp:extent cx="5943600" cy="565761"/>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65761"/>
                    </a:xfrm>
                    <a:prstGeom prst="rect">
                      <a:avLst/>
                    </a:prstGeom>
                    <a:noFill/>
                    <a:ln>
                      <a:noFill/>
                    </a:ln>
                  </pic:spPr>
                </pic:pic>
              </a:graphicData>
            </a:graphic>
          </wp:inline>
        </w:drawing>
      </w:r>
    </w:p>
    <w:p w14:paraId="24D5A806" w14:textId="77777777" w:rsidR="00D53E6F" w:rsidRDefault="00D53E6F" w:rsidP="00D53E6F">
      <w:pPr>
        <w:spacing w:line="240" w:lineRule="auto"/>
      </w:pPr>
    </w:p>
    <w:p w14:paraId="339BABEC" w14:textId="77777777" w:rsidR="00D53E6F" w:rsidRDefault="00D53E6F" w:rsidP="00D53E6F">
      <w:pPr>
        <w:pStyle w:val="Heading3"/>
        <w:spacing w:line="240" w:lineRule="auto"/>
        <w:ind w:left="720" w:hanging="720"/>
      </w:pPr>
      <w:bookmarkStart w:id="200" w:name="_Toc456098267"/>
      <w:bookmarkStart w:id="201" w:name="_Toc12808821"/>
      <w:r>
        <w:t>5.4.8</w:t>
      </w:r>
      <w:r>
        <w:tab/>
      </w:r>
      <w:bookmarkEnd w:id="200"/>
      <w:r w:rsidRPr="0072340A">
        <w:rPr>
          <w:szCs w:val="22"/>
        </w:rPr>
        <w:t>Qualification Requirements for Mandatory Appendix</w:t>
      </w:r>
      <w:r>
        <w:rPr>
          <w:szCs w:val="22"/>
        </w:rPr>
        <w:t> </w:t>
      </w:r>
      <w:r w:rsidRPr="0072340A">
        <w:rPr>
          <w:szCs w:val="22"/>
        </w:rPr>
        <w:t>VIII</w:t>
      </w:r>
      <w:r>
        <w:rPr>
          <w:szCs w:val="22"/>
        </w:rPr>
        <w:t>,</w:t>
      </w:r>
      <w:r w:rsidRPr="0072340A">
        <w:rPr>
          <w:szCs w:val="22"/>
        </w:rPr>
        <w:t xml:space="preserve"> Piping Examination Conducted from the Inside Surface</w:t>
      </w:r>
      <w:bookmarkEnd w:id="201"/>
    </w:p>
    <w:p w14:paraId="761F49FC" w14:textId="77777777" w:rsidR="00D53E6F" w:rsidRDefault="00D53E6F" w:rsidP="00D53E6F">
      <w:pPr>
        <w:keepNext/>
        <w:spacing w:line="240" w:lineRule="auto"/>
      </w:pPr>
    </w:p>
    <w:p w14:paraId="29662CCD" w14:textId="6832AAB3" w:rsidR="00D53E6F" w:rsidRDefault="00D53E6F" w:rsidP="00D53E6F">
      <w:pPr>
        <w:spacing w:line="240" w:lineRule="auto"/>
      </w:pPr>
      <w:r>
        <w:t xml:space="preserve">For this cost estimate, </w:t>
      </w:r>
      <w:r w:rsidR="00173B30">
        <w:t>the NRC</w:t>
      </w:r>
      <w:r>
        <w:t xml:space="preserve"> has assumed that the condition would affect one licensee over the lifetime of this ASME Code Case.  This condition would result in a verbal review of the licensee’s maintenance issue, which would take industry approximately 190 hours to perform.  As shown in </w:t>
      </w:r>
      <w:r w:rsidRPr="00E7158A">
        <w:t>Table</w:t>
      </w:r>
      <w:r>
        <w:t> 9, t</w:t>
      </w:r>
      <w:r w:rsidRPr="00E7158A">
        <w:t>he</w:t>
      </w:r>
      <w:r>
        <w:t xml:space="preserve"> estimated costs range from ($18,000) at a 7</w:t>
      </w:r>
      <w:r>
        <w:noBreakHyphen/>
        <w:t>percent NPV to ($20,000) at a 3</w:t>
      </w:r>
      <w:r>
        <w:noBreakHyphen/>
        <w:t>percent NPV.</w:t>
      </w:r>
    </w:p>
    <w:p w14:paraId="4FD18FCF" w14:textId="77777777" w:rsidR="00D53E6F" w:rsidRPr="00C80453" w:rsidRDefault="00D53E6F" w:rsidP="00D53E6F">
      <w:pPr>
        <w:spacing w:line="240" w:lineRule="auto"/>
        <w:rPr>
          <w:b/>
        </w:rPr>
      </w:pPr>
    </w:p>
    <w:p w14:paraId="3586E226" w14:textId="7769C58E" w:rsidR="00D53E6F" w:rsidRPr="00C80453" w:rsidRDefault="00D53E6F" w:rsidP="00D53E6F">
      <w:pPr>
        <w:pStyle w:val="Caption"/>
        <w:spacing w:line="240" w:lineRule="auto"/>
        <w:jc w:val="center"/>
        <w:rPr>
          <w:b/>
        </w:rPr>
      </w:pPr>
      <w:bookmarkStart w:id="202" w:name="_Toc9428138"/>
      <w:r w:rsidRPr="00C80453">
        <w:rPr>
          <w:b/>
        </w:rPr>
        <w:t xml:space="preserve">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9</w:t>
      </w:r>
      <w:r w:rsidRPr="00C80453">
        <w:rPr>
          <w:b/>
          <w:noProof/>
        </w:rPr>
        <w:fldChar w:fldCharType="end"/>
      </w:r>
      <w:r w:rsidRPr="00C80453">
        <w:rPr>
          <w:b/>
        </w:rPr>
        <w:t xml:space="preserve">  ASME Code Case N-696-1 Piping Examination Relief Request</w:t>
      </w:r>
      <w:bookmarkEnd w:id="202"/>
    </w:p>
    <w:p w14:paraId="129E9F81" w14:textId="77777777" w:rsidR="00D53E6F" w:rsidRDefault="00D53E6F" w:rsidP="00D53E6F">
      <w:pPr>
        <w:spacing w:line="240" w:lineRule="auto"/>
      </w:pPr>
      <w:r w:rsidRPr="006D71D5">
        <w:rPr>
          <w:noProof/>
        </w:rPr>
        <w:drawing>
          <wp:inline distT="0" distB="0" distL="0" distR="0" wp14:anchorId="4A1436B8" wp14:editId="04840451">
            <wp:extent cx="5943600" cy="565761"/>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65761"/>
                    </a:xfrm>
                    <a:prstGeom prst="rect">
                      <a:avLst/>
                    </a:prstGeom>
                    <a:noFill/>
                    <a:ln>
                      <a:noFill/>
                    </a:ln>
                  </pic:spPr>
                </pic:pic>
              </a:graphicData>
            </a:graphic>
          </wp:inline>
        </w:drawing>
      </w:r>
    </w:p>
    <w:p w14:paraId="6A59C737" w14:textId="77777777" w:rsidR="00D53E6F" w:rsidRDefault="00D53E6F" w:rsidP="00D53E6F">
      <w:pPr>
        <w:spacing w:line="240" w:lineRule="auto"/>
      </w:pPr>
    </w:p>
    <w:p w14:paraId="113C8165" w14:textId="77777777" w:rsidR="00D53E6F" w:rsidRDefault="00D53E6F" w:rsidP="00D53E6F">
      <w:pPr>
        <w:pStyle w:val="Heading3"/>
        <w:spacing w:line="240" w:lineRule="auto"/>
        <w:ind w:left="720" w:hanging="720"/>
      </w:pPr>
      <w:bookmarkStart w:id="203" w:name="_Toc456098268"/>
      <w:bookmarkStart w:id="204" w:name="_Toc12808822"/>
      <w:r>
        <w:t>5.4.9</w:t>
      </w:r>
      <w:r>
        <w:tab/>
      </w:r>
      <w:bookmarkEnd w:id="203"/>
      <w:r w:rsidRPr="001D24C0">
        <w:rPr>
          <w:szCs w:val="22"/>
        </w:rPr>
        <w:t>Alternative Requirements for Boiling</w:t>
      </w:r>
      <w:r>
        <w:rPr>
          <w:szCs w:val="22"/>
        </w:rPr>
        <w:t>-</w:t>
      </w:r>
      <w:r w:rsidRPr="001D24C0">
        <w:rPr>
          <w:szCs w:val="22"/>
        </w:rPr>
        <w:t>Water Reactor Nozzle Inner Radius and Nozzle</w:t>
      </w:r>
      <w:r>
        <w:rPr>
          <w:szCs w:val="22"/>
        </w:rPr>
        <w:noBreakHyphen/>
      </w:r>
      <w:r w:rsidRPr="001D24C0">
        <w:rPr>
          <w:szCs w:val="22"/>
        </w:rPr>
        <w:t>to</w:t>
      </w:r>
      <w:r>
        <w:rPr>
          <w:szCs w:val="22"/>
        </w:rPr>
        <w:noBreakHyphen/>
      </w:r>
      <w:r w:rsidRPr="001D24C0">
        <w:rPr>
          <w:szCs w:val="22"/>
        </w:rPr>
        <w:t>Shell Welds, Section XI, Division 1</w:t>
      </w:r>
      <w:bookmarkEnd w:id="204"/>
    </w:p>
    <w:p w14:paraId="593CAF32" w14:textId="77777777" w:rsidR="00D53E6F" w:rsidRDefault="00D53E6F" w:rsidP="00D53E6F">
      <w:pPr>
        <w:spacing w:line="240" w:lineRule="auto"/>
      </w:pPr>
    </w:p>
    <w:p w14:paraId="0819F127" w14:textId="77777777" w:rsidR="00D53E6F" w:rsidRDefault="00D53E6F" w:rsidP="00D53E6F">
      <w:pPr>
        <w:spacing w:line="240" w:lineRule="auto"/>
      </w:pPr>
      <w:r>
        <w:t>The NRC does not expect industry to incur incremental operation costs associated with the conditions of this ASME Code Case, which are consistent with the approach that licensees used before the Code Case existed.</w:t>
      </w:r>
    </w:p>
    <w:p w14:paraId="66450C6E" w14:textId="77777777" w:rsidR="00D53E6F" w:rsidRDefault="00D53E6F" w:rsidP="00D53E6F">
      <w:pPr>
        <w:spacing w:line="240" w:lineRule="auto"/>
      </w:pPr>
    </w:p>
    <w:p w14:paraId="01FAB8B3" w14:textId="77777777" w:rsidR="00D53E6F" w:rsidRDefault="00D53E6F" w:rsidP="00D53E6F">
      <w:pPr>
        <w:pStyle w:val="Heading3"/>
        <w:spacing w:line="240" w:lineRule="auto"/>
        <w:ind w:left="900" w:hanging="900"/>
      </w:pPr>
      <w:bookmarkStart w:id="205" w:name="_Toc12808823"/>
      <w:r>
        <w:t>5.4.10</w:t>
      </w:r>
      <w:r>
        <w:tab/>
      </w:r>
      <w:r w:rsidRPr="0072340A">
        <w:rPr>
          <w:szCs w:val="22"/>
        </w:rPr>
        <w:t>Evaluation Criteria for Temporary Acceptance of Degradation in Moderate</w:t>
      </w:r>
      <w:r>
        <w:rPr>
          <w:szCs w:val="22"/>
        </w:rPr>
        <w:noBreakHyphen/>
      </w:r>
      <w:r w:rsidRPr="0072340A">
        <w:rPr>
          <w:szCs w:val="22"/>
        </w:rPr>
        <w:t>Energy Class</w:t>
      </w:r>
      <w:r>
        <w:rPr>
          <w:szCs w:val="22"/>
        </w:rPr>
        <w:t> </w:t>
      </w:r>
      <w:r w:rsidRPr="0072340A">
        <w:rPr>
          <w:szCs w:val="22"/>
        </w:rPr>
        <w:t>2 or 3 Vessels and Tanks</w:t>
      </w:r>
      <w:bookmarkEnd w:id="205"/>
    </w:p>
    <w:p w14:paraId="0A8C4B40" w14:textId="77777777" w:rsidR="00D53E6F" w:rsidRDefault="00D53E6F" w:rsidP="00D53E6F">
      <w:pPr>
        <w:spacing w:line="240" w:lineRule="auto"/>
      </w:pPr>
    </w:p>
    <w:p w14:paraId="432F8DC6" w14:textId="77777777" w:rsidR="00D53E6F" w:rsidRDefault="00D53E6F" w:rsidP="00D53E6F">
      <w:pPr>
        <w:spacing w:line="240" w:lineRule="auto"/>
      </w:pPr>
      <w:bookmarkStart w:id="206" w:name="_Toc456098269"/>
      <w:r>
        <w:t>The NRC does not expect industry to incur incremental operation costs associated with the conditions of this ASME Code Case, which are consistent with the approach that licensees used before the Code Case existed.</w:t>
      </w:r>
    </w:p>
    <w:p w14:paraId="125EC641" w14:textId="77777777" w:rsidR="00D53E6F" w:rsidRDefault="00D53E6F" w:rsidP="00D53E6F">
      <w:pPr>
        <w:spacing w:line="240" w:lineRule="auto"/>
      </w:pPr>
    </w:p>
    <w:p w14:paraId="58E8744B" w14:textId="77777777" w:rsidR="00D53E6F" w:rsidRDefault="00D53E6F" w:rsidP="00D53E6F">
      <w:pPr>
        <w:pStyle w:val="Heading3"/>
        <w:spacing w:line="240" w:lineRule="auto"/>
        <w:ind w:left="900" w:hanging="900"/>
      </w:pPr>
      <w:bookmarkStart w:id="207" w:name="_Toc12808824"/>
      <w:r>
        <w:t>5.4.11</w:t>
      </w:r>
      <w:r>
        <w:tab/>
      </w:r>
      <w:bookmarkEnd w:id="206"/>
      <w:r w:rsidRPr="0072340A">
        <w:rPr>
          <w:szCs w:val="22"/>
        </w:rPr>
        <w:t>Alternative Examination Coverage Requirements for Examination Category B</w:t>
      </w:r>
      <w:r>
        <w:rPr>
          <w:szCs w:val="22"/>
        </w:rPr>
        <w:noBreakHyphen/>
      </w:r>
      <w:r w:rsidRPr="0072340A">
        <w:rPr>
          <w:szCs w:val="22"/>
        </w:rPr>
        <w:t>F, B</w:t>
      </w:r>
      <w:r>
        <w:rPr>
          <w:szCs w:val="22"/>
        </w:rPr>
        <w:noBreakHyphen/>
      </w:r>
      <w:r w:rsidRPr="0072340A">
        <w:rPr>
          <w:szCs w:val="22"/>
        </w:rPr>
        <w:t>J, C</w:t>
      </w:r>
      <w:r>
        <w:rPr>
          <w:szCs w:val="22"/>
        </w:rPr>
        <w:noBreakHyphen/>
      </w:r>
      <w:r w:rsidRPr="0072340A">
        <w:rPr>
          <w:szCs w:val="22"/>
        </w:rPr>
        <w:t>F</w:t>
      </w:r>
      <w:r>
        <w:rPr>
          <w:szCs w:val="22"/>
        </w:rPr>
        <w:noBreakHyphen/>
      </w:r>
      <w:r w:rsidRPr="0072340A">
        <w:rPr>
          <w:szCs w:val="22"/>
        </w:rPr>
        <w:t>1, C</w:t>
      </w:r>
      <w:r>
        <w:rPr>
          <w:szCs w:val="22"/>
        </w:rPr>
        <w:noBreakHyphen/>
      </w:r>
      <w:r w:rsidRPr="0072340A">
        <w:rPr>
          <w:szCs w:val="22"/>
        </w:rPr>
        <w:t>F</w:t>
      </w:r>
      <w:r>
        <w:rPr>
          <w:szCs w:val="22"/>
        </w:rPr>
        <w:noBreakHyphen/>
      </w:r>
      <w:r w:rsidRPr="0072340A">
        <w:rPr>
          <w:szCs w:val="22"/>
        </w:rPr>
        <w:t>2, and R-A Piping Welds</w:t>
      </w:r>
      <w:bookmarkEnd w:id="207"/>
    </w:p>
    <w:p w14:paraId="68C2426D" w14:textId="77777777" w:rsidR="00D53E6F" w:rsidRDefault="00D53E6F" w:rsidP="00D53E6F">
      <w:pPr>
        <w:spacing w:line="240" w:lineRule="auto"/>
      </w:pPr>
    </w:p>
    <w:p w14:paraId="7F7B3FFD" w14:textId="77777777" w:rsidR="00D53E6F" w:rsidRDefault="00D53E6F" w:rsidP="00D53E6F">
      <w:pPr>
        <w:spacing w:line="240" w:lineRule="auto"/>
      </w:pPr>
      <w:r>
        <w:t>The NRC does not expect industry to incur incremental operation costs associated with this condition, which clarifies the language used in the ASME Code Case.</w:t>
      </w:r>
    </w:p>
    <w:p w14:paraId="3652B86F" w14:textId="77777777" w:rsidR="00D53E6F" w:rsidRDefault="00D53E6F" w:rsidP="00D53E6F">
      <w:pPr>
        <w:spacing w:line="240" w:lineRule="auto"/>
      </w:pPr>
    </w:p>
    <w:p w14:paraId="1E7A46FA" w14:textId="77777777" w:rsidR="00D53E6F" w:rsidRDefault="00D53E6F" w:rsidP="00D53E6F">
      <w:pPr>
        <w:pStyle w:val="Heading3"/>
        <w:spacing w:line="240" w:lineRule="auto"/>
        <w:ind w:left="900" w:hanging="900"/>
      </w:pPr>
      <w:bookmarkStart w:id="208" w:name="_Toc12808825"/>
      <w:r>
        <w:t>5.4.12</w:t>
      </w:r>
      <w:r>
        <w:tab/>
      </w:r>
      <w:r w:rsidRPr="0072340A">
        <w:rPr>
          <w:szCs w:val="22"/>
        </w:rPr>
        <w:t xml:space="preserve">Optimized Structural Dissimilar Metal Weld Overlay for Mitigation of </w:t>
      </w:r>
      <w:r>
        <w:rPr>
          <w:szCs w:val="22"/>
        </w:rPr>
        <w:t>Pressurized</w:t>
      </w:r>
      <w:r>
        <w:rPr>
          <w:szCs w:val="22"/>
        </w:rPr>
        <w:noBreakHyphen/>
        <w:t>Water Reactor</w:t>
      </w:r>
      <w:r w:rsidRPr="0072340A">
        <w:rPr>
          <w:szCs w:val="22"/>
        </w:rPr>
        <w:t xml:space="preserve"> Class</w:t>
      </w:r>
      <w:r>
        <w:rPr>
          <w:szCs w:val="22"/>
        </w:rPr>
        <w:t> </w:t>
      </w:r>
      <w:r w:rsidRPr="0072340A">
        <w:rPr>
          <w:szCs w:val="22"/>
        </w:rPr>
        <w:t>1 Items</w:t>
      </w:r>
      <w:bookmarkEnd w:id="208"/>
    </w:p>
    <w:p w14:paraId="5401B7B1" w14:textId="77777777" w:rsidR="00D53E6F" w:rsidRDefault="00D53E6F" w:rsidP="00D53E6F">
      <w:pPr>
        <w:spacing w:line="240" w:lineRule="auto"/>
      </w:pPr>
    </w:p>
    <w:p w14:paraId="60F0D718" w14:textId="77777777" w:rsidR="00D53E6F" w:rsidRDefault="00D53E6F" w:rsidP="00D53E6F">
      <w:pPr>
        <w:spacing w:line="240" w:lineRule="auto"/>
      </w:pPr>
      <w:r>
        <w:t>The NRC does not expect industry to incur incremental operation costs associated with the conditions of this ASME Code Case, which are either identical to existing conditions or which clarify the language used in the Code Case.</w:t>
      </w:r>
    </w:p>
    <w:p w14:paraId="12788CBD" w14:textId="77777777" w:rsidR="00D53E6F" w:rsidRDefault="00D53E6F" w:rsidP="00D53E6F">
      <w:pPr>
        <w:spacing w:line="240" w:lineRule="auto"/>
      </w:pPr>
    </w:p>
    <w:p w14:paraId="35BBDA0B" w14:textId="7ACB7C0D" w:rsidR="00D53E6F" w:rsidRDefault="00D53E6F" w:rsidP="00D53E6F">
      <w:pPr>
        <w:pStyle w:val="Heading3"/>
        <w:spacing w:line="240" w:lineRule="auto"/>
        <w:ind w:left="900" w:hanging="900"/>
      </w:pPr>
      <w:bookmarkStart w:id="209" w:name="_Toc456098270"/>
      <w:bookmarkStart w:id="210" w:name="_Toc12808826"/>
      <w:r>
        <w:t>5.4.13</w:t>
      </w:r>
      <w:r>
        <w:tab/>
      </w:r>
      <w:bookmarkEnd w:id="209"/>
      <w:r w:rsidRPr="0072340A">
        <w:rPr>
          <w:szCs w:val="22"/>
        </w:rPr>
        <w:t xml:space="preserve">Nickel Alloy Reactor Coolant Inlay and Onlay for Mitigation of </w:t>
      </w:r>
      <w:r>
        <w:rPr>
          <w:szCs w:val="22"/>
        </w:rPr>
        <w:t>Pressurized</w:t>
      </w:r>
      <w:r>
        <w:rPr>
          <w:szCs w:val="22"/>
        </w:rPr>
        <w:noBreakHyphen/>
        <w:t>Water Reactor</w:t>
      </w:r>
      <w:r w:rsidRPr="0072340A">
        <w:rPr>
          <w:szCs w:val="22"/>
        </w:rPr>
        <w:t xml:space="preserve"> Full</w:t>
      </w:r>
      <w:r>
        <w:rPr>
          <w:szCs w:val="22"/>
        </w:rPr>
        <w:noBreakHyphen/>
      </w:r>
      <w:r w:rsidRPr="0072340A">
        <w:rPr>
          <w:szCs w:val="22"/>
        </w:rPr>
        <w:t>Penetration Circumferential Nickel Alloy Dissimilar Metal Welds in Class</w:t>
      </w:r>
      <w:r>
        <w:rPr>
          <w:szCs w:val="22"/>
        </w:rPr>
        <w:t> </w:t>
      </w:r>
      <w:r w:rsidRPr="0072340A">
        <w:rPr>
          <w:szCs w:val="22"/>
        </w:rPr>
        <w:t>1</w:t>
      </w:r>
      <w:r w:rsidR="003A577E">
        <w:rPr>
          <w:szCs w:val="22"/>
        </w:rPr>
        <w:t> </w:t>
      </w:r>
      <w:r w:rsidRPr="0072340A">
        <w:rPr>
          <w:szCs w:val="22"/>
        </w:rPr>
        <w:t>Items</w:t>
      </w:r>
      <w:bookmarkEnd w:id="210"/>
    </w:p>
    <w:p w14:paraId="02A8B85C" w14:textId="77777777" w:rsidR="00D53E6F" w:rsidRDefault="00D53E6F" w:rsidP="00D53E6F">
      <w:pPr>
        <w:keepNext/>
        <w:spacing w:line="240" w:lineRule="auto"/>
      </w:pPr>
    </w:p>
    <w:p w14:paraId="1DB5452A" w14:textId="77226114" w:rsidR="00D53E6F" w:rsidRDefault="00173B30" w:rsidP="00D53E6F">
      <w:pPr>
        <w:pStyle w:val="ListParagraph"/>
        <w:spacing w:line="240" w:lineRule="auto"/>
        <w:ind w:left="0"/>
      </w:pPr>
      <w:r>
        <w:t>The NRC</w:t>
      </w:r>
      <w:r w:rsidR="00D53E6F">
        <w:t xml:space="preserve"> expects licensees to incur incremental costs when the first condition on ASME Code Case N</w:t>
      </w:r>
      <w:r w:rsidR="00D53E6F">
        <w:noBreakHyphen/>
        <w:t>766</w:t>
      </w:r>
      <w:r w:rsidR="00D53E6F">
        <w:noBreakHyphen/>
        <w:t xml:space="preserve">1 prevents the use of the Code Case on a weld.  Licensees would submit relief requests in this circumstance, which </w:t>
      </w:r>
      <w:r>
        <w:t>the NRC</w:t>
      </w:r>
      <w:r w:rsidR="00D53E6F">
        <w:t xml:space="preserve"> expects to occur about once per year.  As shown in </w:t>
      </w:r>
      <w:r w:rsidR="00D53E6F" w:rsidRPr="00196D9B">
        <w:fldChar w:fldCharType="begin"/>
      </w:r>
      <w:r w:rsidR="00D53E6F" w:rsidRPr="00196D9B">
        <w:instrText xml:space="preserve"> REF _Ref5601824 \h  \* MERGEFORMAT </w:instrText>
      </w:r>
      <w:r w:rsidR="00D53E6F" w:rsidRPr="00196D9B">
        <w:fldChar w:fldCharType="separate"/>
      </w:r>
      <w:r w:rsidR="00F05D99" w:rsidRPr="00F05D99">
        <w:t xml:space="preserve">Table </w:t>
      </w:r>
      <w:r w:rsidR="00F05D99" w:rsidRPr="00F05D99">
        <w:rPr>
          <w:noProof/>
        </w:rPr>
        <w:t>10</w:t>
      </w:r>
      <w:r w:rsidR="00D53E6F" w:rsidRPr="00196D9B">
        <w:fldChar w:fldCharType="end"/>
      </w:r>
      <w:r w:rsidR="00D53E6F" w:rsidRPr="00196D9B">
        <w:t>,</w:t>
      </w:r>
      <w:r w:rsidR="00D53E6F">
        <w:t xml:space="preserve"> these relief requests require approximately 380 hours to produce and result in costs ranging from ($209,000) at a 7-percent NPV to ($238,000) at a 3-percent NPV.</w:t>
      </w:r>
    </w:p>
    <w:p w14:paraId="4E2B2863" w14:textId="77777777" w:rsidR="00D53E6F" w:rsidRDefault="00D53E6F" w:rsidP="00D53E6F">
      <w:pPr>
        <w:spacing w:line="240" w:lineRule="auto"/>
      </w:pPr>
    </w:p>
    <w:p w14:paraId="68B93D6C" w14:textId="637AEA19" w:rsidR="00D53E6F" w:rsidRPr="00C80453" w:rsidRDefault="00D53E6F" w:rsidP="00D53E6F">
      <w:pPr>
        <w:pStyle w:val="Caption"/>
        <w:spacing w:line="240" w:lineRule="auto"/>
        <w:jc w:val="center"/>
        <w:rPr>
          <w:b/>
        </w:rPr>
      </w:pPr>
      <w:bookmarkStart w:id="211" w:name="_Ref5601824"/>
      <w:bookmarkStart w:id="212" w:name="_Toc9428139"/>
      <w:r w:rsidRPr="00C80453">
        <w:rPr>
          <w:b/>
        </w:rPr>
        <w:t xml:space="preserve">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10</w:t>
      </w:r>
      <w:r w:rsidRPr="00C80453">
        <w:rPr>
          <w:b/>
          <w:noProof/>
        </w:rPr>
        <w:fldChar w:fldCharType="end"/>
      </w:r>
      <w:bookmarkEnd w:id="211"/>
      <w:r w:rsidRPr="00C80453">
        <w:rPr>
          <w:b/>
        </w:rPr>
        <w:t xml:space="preserve">  </w:t>
      </w:r>
      <w:r>
        <w:rPr>
          <w:b/>
        </w:rPr>
        <w:t xml:space="preserve">ASME Code Case </w:t>
      </w:r>
      <w:r w:rsidRPr="00C80453">
        <w:rPr>
          <w:b/>
        </w:rPr>
        <w:t>N-766-1 Inlay and Onlay Repair Relief Requests</w:t>
      </w:r>
      <w:bookmarkEnd w:id="212"/>
    </w:p>
    <w:p w14:paraId="257641CF" w14:textId="77777777" w:rsidR="00D53E6F" w:rsidRDefault="00D53E6F" w:rsidP="00D53E6F">
      <w:pPr>
        <w:spacing w:line="240" w:lineRule="auto"/>
      </w:pPr>
      <w:r w:rsidRPr="00BE4B1A">
        <w:rPr>
          <w:noProof/>
        </w:rPr>
        <w:drawing>
          <wp:inline distT="0" distB="0" distL="0" distR="0" wp14:anchorId="57A6583D" wp14:editId="2393FA92">
            <wp:extent cx="5943600" cy="221393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213931"/>
                    </a:xfrm>
                    <a:prstGeom prst="rect">
                      <a:avLst/>
                    </a:prstGeom>
                    <a:noFill/>
                    <a:ln>
                      <a:noFill/>
                    </a:ln>
                  </pic:spPr>
                </pic:pic>
              </a:graphicData>
            </a:graphic>
          </wp:inline>
        </w:drawing>
      </w:r>
    </w:p>
    <w:p w14:paraId="44C7796A" w14:textId="77777777" w:rsidR="00D53E6F" w:rsidRDefault="00D53E6F" w:rsidP="00D53E6F">
      <w:pPr>
        <w:spacing w:line="240" w:lineRule="auto"/>
      </w:pPr>
    </w:p>
    <w:p w14:paraId="3389C1D5" w14:textId="77777777" w:rsidR="00D53E6F" w:rsidRDefault="00D53E6F" w:rsidP="00D53E6F">
      <w:pPr>
        <w:pStyle w:val="Heading3"/>
        <w:spacing w:line="240" w:lineRule="auto"/>
        <w:ind w:left="900" w:hanging="900"/>
        <w:rPr>
          <w:szCs w:val="22"/>
        </w:rPr>
      </w:pPr>
      <w:bookmarkStart w:id="213" w:name="_Toc12808827"/>
      <w:r>
        <w:t>5.4.14</w:t>
      </w:r>
      <w:r>
        <w:tab/>
      </w:r>
      <w:r w:rsidRPr="0037779F">
        <w:rPr>
          <w:szCs w:val="22"/>
        </w:rPr>
        <w:t>Ultrasonic Examination of Cast Austenitic Piping Welds</w:t>
      </w:r>
      <w:r>
        <w:rPr>
          <w:szCs w:val="22"/>
        </w:rPr>
        <w:t xml:space="preserve"> f</w:t>
      </w:r>
      <w:r w:rsidRPr="0037779F">
        <w:rPr>
          <w:szCs w:val="22"/>
        </w:rPr>
        <w:t>rom the Outside Surface, Section</w:t>
      </w:r>
      <w:r>
        <w:rPr>
          <w:szCs w:val="22"/>
        </w:rPr>
        <w:t> </w:t>
      </w:r>
      <w:r w:rsidRPr="0037779F">
        <w:rPr>
          <w:szCs w:val="22"/>
        </w:rPr>
        <w:t>XI, Division</w:t>
      </w:r>
      <w:r>
        <w:rPr>
          <w:szCs w:val="22"/>
        </w:rPr>
        <w:t> </w:t>
      </w:r>
      <w:r w:rsidRPr="0037779F">
        <w:rPr>
          <w:szCs w:val="22"/>
        </w:rPr>
        <w:t>1</w:t>
      </w:r>
      <w:bookmarkEnd w:id="213"/>
    </w:p>
    <w:p w14:paraId="46DDD88D" w14:textId="77777777" w:rsidR="00D53E6F" w:rsidRDefault="00D53E6F" w:rsidP="00D53E6F">
      <w:pPr>
        <w:spacing w:line="240" w:lineRule="auto"/>
      </w:pPr>
    </w:p>
    <w:p w14:paraId="47C980B3" w14:textId="77777777" w:rsidR="00D53E6F" w:rsidRDefault="00D53E6F" w:rsidP="00D53E6F">
      <w:pPr>
        <w:spacing w:line="240" w:lineRule="auto"/>
      </w:pPr>
      <w:r>
        <w:t>The NRC does not expect industry to incur incremental operation costs associated with the conditions of this ASME Code Case, which have already been incorporated by reference into 10 CFR 50.55a.  The latest final regulatory analysis for the ASME Code editions rulemaking already estimated the costs (NRC 2017e).</w:t>
      </w:r>
    </w:p>
    <w:p w14:paraId="185B26F3" w14:textId="77777777" w:rsidR="00D53E6F" w:rsidRDefault="00D53E6F" w:rsidP="00D53E6F">
      <w:pPr>
        <w:spacing w:line="240" w:lineRule="auto"/>
      </w:pPr>
    </w:p>
    <w:p w14:paraId="7BF1FC89" w14:textId="77777777" w:rsidR="00D53E6F" w:rsidRDefault="00D53E6F" w:rsidP="00D53E6F">
      <w:pPr>
        <w:pStyle w:val="Heading3"/>
        <w:spacing w:line="240" w:lineRule="auto"/>
        <w:ind w:left="900" w:hanging="900"/>
        <w:rPr>
          <w:szCs w:val="22"/>
        </w:rPr>
      </w:pPr>
      <w:bookmarkStart w:id="214" w:name="_Toc12808828"/>
      <w:bookmarkStart w:id="215" w:name="_Toc456098271"/>
      <w:r>
        <w:t>5.4.15</w:t>
      </w:r>
      <w:r>
        <w:tab/>
      </w:r>
      <w:r w:rsidRPr="0072340A">
        <w:rPr>
          <w:szCs w:val="22"/>
        </w:rPr>
        <w:t>Austenitic Stainless Steel Cladding and Nickel</w:t>
      </w:r>
      <w:r>
        <w:rPr>
          <w:szCs w:val="22"/>
        </w:rPr>
        <w:noBreakHyphen/>
      </w:r>
      <w:r w:rsidRPr="0072340A">
        <w:rPr>
          <w:szCs w:val="22"/>
        </w:rPr>
        <w:t xml:space="preserve">Base Cladding Using </w:t>
      </w:r>
      <w:r>
        <w:rPr>
          <w:szCs w:val="22"/>
        </w:rPr>
        <w:t xml:space="preserve">an </w:t>
      </w:r>
      <w:r w:rsidRPr="0072340A">
        <w:rPr>
          <w:szCs w:val="22"/>
        </w:rPr>
        <w:t xml:space="preserve">Ambient Temperature Machine </w:t>
      </w:r>
      <w:r w:rsidRPr="00534C1D">
        <w:rPr>
          <w:szCs w:val="22"/>
        </w:rPr>
        <w:t>Gas Tungsten Arc Welding</w:t>
      </w:r>
      <w:r w:rsidRPr="0072340A">
        <w:rPr>
          <w:szCs w:val="22"/>
        </w:rPr>
        <w:t xml:space="preserve"> Temper Bead Technique</w:t>
      </w:r>
      <w:bookmarkEnd w:id="214"/>
    </w:p>
    <w:p w14:paraId="0D71FFD2" w14:textId="77777777" w:rsidR="00D53E6F" w:rsidRDefault="00D53E6F" w:rsidP="00D53E6F">
      <w:pPr>
        <w:spacing w:line="240" w:lineRule="auto"/>
      </w:pPr>
    </w:p>
    <w:p w14:paraId="696FCC11" w14:textId="652DAA5B" w:rsidR="00D53E6F" w:rsidRDefault="00D53E6F" w:rsidP="00D53E6F">
      <w:pPr>
        <w:spacing w:line="240" w:lineRule="auto"/>
      </w:pPr>
      <w:r>
        <w:t>The NRC does not expect industry to incur incremental operation costs associated with this condition because the reference</w:t>
      </w:r>
      <w:r w:rsidR="00926583">
        <w:t>d</w:t>
      </w:r>
      <w:r>
        <w:t xml:space="preserve"> paragraphs do not indicate an appreciable cost difference between the temperature measurement techniques.</w:t>
      </w:r>
    </w:p>
    <w:p w14:paraId="00F48B89" w14:textId="77777777" w:rsidR="00D53E6F" w:rsidRPr="00641F5A" w:rsidRDefault="00D53E6F" w:rsidP="00D53E6F">
      <w:pPr>
        <w:spacing w:line="240" w:lineRule="auto"/>
      </w:pPr>
    </w:p>
    <w:p w14:paraId="4099B4B3" w14:textId="77777777" w:rsidR="00D53E6F" w:rsidRDefault="00D53E6F" w:rsidP="00D53E6F">
      <w:pPr>
        <w:pStyle w:val="Heading3"/>
        <w:keepLines/>
        <w:spacing w:line="240" w:lineRule="auto"/>
        <w:ind w:left="900" w:hanging="900"/>
      </w:pPr>
      <w:bookmarkStart w:id="216" w:name="_Toc12808829"/>
      <w:r>
        <w:t>5.4.16</w:t>
      </w:r>
      <w:r>
        <w:tab/>
      </w:r>
      <w:bookmarkEnd w:id="215"/>
      <w:r w:rsidRPr="0072340A">
        <w:rPr>
          <w:szCs w:val="22"/>
        </w:rPr>
        <w:t xml:space="preserve">Direct Use of </w:t>
      </w:r>
      <w:r>
        <w:rPr>
          <w:szCs w:val="22"/>
        </w:rPr>
        <w:t xml:space="preserve">the </w:t>
      </w:r>
      <w:r w:rsidRPr="0072340A">
        <w:rPr>
          <w:szCs w:val="22"/>
        </w:rPr>
        <w:t>Master Fracture Toughness Curve for Pressure-Retaining Materials of Class</w:t>
      </w:r>
      <w:r>
        <w:rPr>
          <w:szCs w:val="22"/>
        </w:rPr>
        <w:t> </w:t>
      </w:r>
      <w:r w:rsidRPr="0072340A">
        <w:rPr>
          <w:szCs w:val="22"/>
        </w:rPr>
        <w:t>1 Vessels</w:t>
      </w:r>
      <w:bookmarkEnd w:id="216"/>
    </w:p>
    <w:p w14:paraId="63B61E21" w14:textId="77777777" w:rsidR="00D53E6F" w:rsidRDefault="00D53E6F" w:rsidP="00D53E6F">
      <w:pPr>
        <w:keepNext/>
        <w:keepLines/>
        <w:spacing w:line="240" w:lineRule="auto"/>
      </w:pPr>
    </w:p>
    <w:p w14:paraId="5CAEBAE4" w14:textId="77777777" w:rsidR="00D53E6F" w:rsidRDefault="00D53E6F" w:rsidP="00D53E6F">
      <w:pPr>
        <w:keepNext/>
        <w:keepLines/>
        <w:spacing w:line="240" w:lineRule="auto"/>
      </w:pPr>
      <w:r>
        <w:t>The NRC does not expect industry to incur incremental operation costs associated with this clarifying condition.</w:t>
      </w:r>
    </w:p>
    <w:p w14:paraId="3644B40A" w14:textId="77777777" w:rsidR="00D53E6F" w:rsidRDefault="00D53E6F" w:rsidP="00D53E6F">
      <w:pPr>
        <w:spacing w:line="240" w:lineRule="auto"/>
      </w:pPr>
    </w:p>
    <w:p w14:paraId="04BBBD1A" w14:textId="77777777" w:rsidR="00D53E6F" w:rsidRDefault="00D53E6F" w:rsidP="00D53E6F">
      <w:pPr>
        <w:pStyle w:val="Heading3"/>
        <w:numPr>
          <w:ilvl w:val="2"/>
          <w:numId w:val="53"/>
        </w:numPr>
        <w:spacing w:line="240" w:lineRule="auto"/>
        <w:ind w:left="900" w:hanging="900"/>
      </w:pPr>
      <w:bookmarkStart w:id="217" w:name="_Toc12808830"/>
      <w:r w:rsidRPr="007E4E29">
        <w:rPr>
          <w:szCs w:val="22"/>
        </w:rPr>
        <w:t>Ultrasonic Examination in Lieu of Radiography for Welds in Ferritic Pipe</w:t>
      </w:r>
      <w:bookmarkEnd w:id="217"/>
    </w:p>
    <w:p w14:paraId="31523D47" w14:textId="77777777" w:rsidR="00D53E6F" w:rsidRDefault="00D53E6F" w:rsidP="00D53E6F">
      <w:pPr>
        <w:spacing w:line="240" w:lineRule="auto"/>
      </w:pPr>
    </w:p>
    <w:p w14:paraId="3B05946D" w14:textId="77777777" w:rsidR="00D53E6F" w:rsidRDefault="00D53E6F" w:rsidP="00D53E6F">
      <w:pPr>
        <w:spacing w:line="240" w:lineRule="auto"/>
      </w:pPr>
      <w:r>
        <w:t>The NRC does not expect industry to incur incremental operation costs associated with this condition because new reactors can use radiography instead of this ASME Code Case with no cost impact.</w:t>
      </w:r>
    </w:p>
    <w:p w14:paraId="601BE5F3" w14:textId="77777777" w:rsidR="00D53E6F" w:rsidRDefault="00D53E6F" w:rsidP="00D53E6F">
      <w:pPr>
        <w:pStyle w:val="ListParagraph"/>
        <w:spacing w:line="240" w:lineRule="auto"/>
        <w:ind w:left="1080"/>
      </w:pPr>
    </w:p>
    <w:p w14:paraId="295178A4" w14:textId="77777777" w:rsidR="00D53E6F" w:rsidRPr="003D2707" w:rsidRDefault="00D53E6F" w:rsidP="00D53E6F">
      <w:pPr>
        <w:pStyle w:val="Heading3"/>
        <w:numPr>
          <w:ilvl w:val="2"/>
          <w:numId w:val="53"/>
        </w:numPr>
        <w:spacing w:line="240" w:lineRule="auto"/>
        <w:ind w:left="900" w:hanging="900"/>
        <w:rPr>
          <w:szCs w:val="22"/>
        </w:rPr>
      </w:pPr>
      <w:bookmarkStart w:id="218" w:name="_Toc12808831"/>
      <w:r w:rsidRPr="00394101">
        <w:rPr>
          <w:szCs w:val="22"/>
        </w:rPr>
        <w:t>Flaw Tolerance Evaluation of Cast Austenitic Stainless Steel Piping</w:t>
      </w:r>
      <w:r>
        <w:rPr>
          <w:szCs w:val="22"/>
        </w:rPr>
        <w:t>,</w:t>
      </w:r>
      <w:r w:rsidRPr="00394101">
        <w:rPr>
          <w:szCs w:val="22"/>
        </w:rPr>
        <w:t xml:space="preserve"> Section</w:t>
      </w:r>
      <w:r>
        <w:rPr>
          <w:szCs w:val="22"/>
        </w:rPr>
        <w:t> </w:t>
      </w:r>
      <w:r w:rsidRPr="00394101">
        <w:rPr>
          <w:szCs w:val="22"/>
        </w:rPr>
        <w:t>XI, Division</w:t>
      </w:r>
      <w:r>
        <w:rPr>
          <w:szCs w:val="22"/>
        </w:rPr>
        <w:t> </w:t>
      </w:r>
      <w:r w:rsidRPr="00394101">
        <w:rPr>
          <w:szCs w:val="22"/>
        </w:rPr>
        <w:t>1</w:t>
      </w:r>
      <w:bookmarkEnd w:id="218"/>
    </w:p>
    <w:p w14:paraId="358DEB7E" w14:textId="77777777" w:rsidR="00D53E6F" w:rsidRDefault="00D53E6F" w:rsidP="004A7B59">
      <w:pPr>
        <w:pStyle w:val="ListParagraph"/>
        <w:keepNext/>
        <w:spacing w:line="240" w:lineRule="auto"/>
        <w:ind w:left="1080"/>
      </w:pPr>
    </w:p>
    <w:p w14:paraId="2090184B" w14:textId="589F243A" w:rsidR="00D53E6F" w:rsidRDefault="00173B30" w:rsidP="00D53E6F">
      <w:pPr>
        <w:pStyle w:val="ListParagraph"/>
        <w:spacing w:line="240" w:lineRule="auto"/>
        <w:ind w:left="0"/>
      </w:pPr>
      <w:r>
        <w:t>The NRC</w:t>
      </w:r>
      <w:r w:rsidR="00D53E6F">
        <w:t xml:space="preserve"> expects licensees to incur incremental costs when the condition on ASME Code Case N</w:t>
      </w:r>
      <w:r w:rsidR="00D53E6F">
        <w:noBreakHyphen/>
        <w:t xml:space="preserve">838 prevents the use of the Code Case to evaluate a CASS flaw.  Licensees would submit relief requests under this circumstance, which </w:t>
      </w:r>
      <w:r>
        <w:t>the NRC</w:t>
      </w:r>
      <w:r w:rsidR="00D53E6F">
        <w:t xml:space="preserve"> expects to occur about once per year.  As shown in </w:t>
      </w:r>
      <w:r w:rsidR="00D53E6F" w:rsidRPr="00196D9B">
        <w:fldChar w:fldCharType="begin"/>
      </w:r>
      <w:r w:rsidR="00D53E6F" w:rsidRPr="00196D9B">
        <w:instrText xml:space="preserve"> REF _Ref5602102 \h </w:instrText>
      </w:r>
      <w:r w:rsidR="00D53E6F" w:rsidRPr="00E94F1A">
        <w:rPr>
          <w:b/>
        </w:rPr>
        <w:instrText xml:space="preserve"> \* MERGEFORMAT </w:instrText>
      </w:r>
      <w:r w:rsidR="00D53E6F" w:rsidRPr="00196D9B">
        <w:fldChar w:fldCharType="separate"/>
      </w:r>
      <w:r w:rsidR="00F05D99" w:rsidRPr="00F05D99">
        <w:t xml:space="preserve">Table </w:t>
      </w:r>
      <w:r w:rsidR="00F05D99" w:rsidRPr="00F05D99">
        <w:rPr>
          <w:noProof/>
        </w:rPr>
        <w:t>11</w:t>
      </w:r>
      <w:r w:rsidR="00D53E6F" w:rsidRPr="00196D9B">
        <w:fldChar w:fldCharType="end"/>
      </w:r>
      <w:r w:rsidR="00D53E6F" w:rsidRPr="00196D9B">
        <w:t>, the</w:t>
      </w:r>
      <w:r w:rsidR="00D53E6F">
        <w:t>se relief requests are estimated to take about 380 hours to produce, resulting in costs ranging from ($209,000) at a 7</w:t>
      </w:r>
      <w:r w:rsidR="00D53E6F">
        <w:noBreakHyphen/>
        <w:t>percent NPV to ($238,000) at a 3</w:t>
      </w:r>
      <w:r w:rsidR="00D53E6F">
        <w:noBreakHyphen/>
        <w:t>percent NPV.</w:t>
      </w:r>
    </w:p>
    <w:p w14:paraId="5300AEB7" w14:textId="77777777" w:rsidR="00D53E6F" w:rsidRDefault="00D53E6F" w:rsidP="00D53E6F">
      <w:pPr>
        <w:pStyle w:val="ListParagraph"/>
        <w:spacing w:line="240" w:lineRule="auto"/>
        <w:ind w:left="0"/>
      </w:pPr>
    </w:p>
    <w:p w14:paraId="5C3B8888" w14:textId="13F832D3" w:rsidR="00D53E6F" w:rsidRPr="00C80453" w:rsidRDefault="00D53E6F" w:rsidP="00D53E6F">
      <w:pPr>
        <w:pStyle w:val="Caption"/>
        <w:jc w:val="center"/>
        <w:rPr>
          <w:b/>
        </w:rPr>
      </w:pPr>
      <w:bookmarkStart w:id="219" w:name="_Ref5602102"/>
      <w:bookmarkStart w:id="220" w:name="_Toc9428140"/>
      <w:r w:rsidRPr="00C80453">
        <w:rPr>
          <w:b/>
        </w:rPr>
        <w:t xml:space="preserve">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11</w:t>
      </w:r>
      <w:r w:rsidRPr="00C80453">
        <w:rPr>
          <w:b/>
          <w:noProof/>
        </w:rPr>
        <w:fldChar w:fldCharType="end"/>
      </w:r>
      <w:bookmarkEnd w:id="219"/>
      <w:r w:rsidRPr="00C80453">
        <w:rPr>
          <w:b/>
        </w:rPr>
        <w:t xml:space="preserve">  </w:t>
      </w:r>
      <w:r>
        <w:rPr>
          <w:b/>
        </w:rPr>
        <w:t xml:space="preserve">ASME Code Case </w:t>
      </w:r>
      <w:r w:rsidRPr="00C80453">
        <w:rPr>
          <w:b/>
        </w:rPr>
        <w:t>N-838 CASS Flaw Tolerance Evaluation Relief Requests</w:t>
      </w:r>
      <w:bookmarkEnd w:id="220"/>
    </w:p>
    <w:p w14:paraId="72F1B261" w14:textId="77777777" w:rsidR="00D53E6F" w:rsidRDefault="00D53E6F" w:rsidP="00D53E6F">
      <w:pPr>
        <w:pStyle w:val="ListParagraph"/>
        <w:spacing w:line="240" w:lineRule="auto"/>
        <w:ind w:left="0"/>
      </w:pPr>
      <w:r w:rsidRPr="00BE4B1A">
        <w:rPr>
          <w:noProof/>
        </w:rPr>
        <w:drawing>
          <wp:inline distT="0" distB="0" distL="0" distR="0" wp14:anchorId="7F0087C8" wp14:editId="5265EE34">
            <wp:extent cx="5943600" cy="2285541"/>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285541"/>
                    </a:xfrm>
                    <a:prstGeom prst="rect">
                      <a:avLst/>
                    </a:prstGeom>
                    <a:noFill/>
                    <a:ln>
                      <a:noFill/>
                    </a:ln>
                  </pic:spPr>
                </pic:pic>
              </a:graphicData>
            </a:graphic>
          </wp:inline>
        </w:drawing>
      </w:r>
    </w:p>
    <w:p w14:paraId="3D551F6F" w14:textId="77777777" w:rsidR="00D53E6F" w:rsidRDefault="00D53E6F" w:rsidP="00D53E6F">
      <w:pPr>
        <w:pStyle w:val="ListParagraph"/>
        <w:spacing w:line="240" w:lineRule="auto"/>
        <w:ind w:left="1080"/>
      </w:pPr>
    </w:p>
    <w:p w14:paraId="05A3CA42" w14:textId="77777777" w:rsidR="00D53E6F" w:rsidRPr="003D2707" w:rsidRDefault="00D53E6F" w:rsidP="00D53E6F">
      <w:pPr>
        <w:pStyle w:val="Heading3"/>
        <w:numPr>
          <w:ilvl w:val="2"/>
          <w:numId w:val="53"/>
        </w:numPr>
        <w:spacing w:line="240" w:lineRule="auto"/>
        <w:ind w:left="900" w:hanging="900"/>
        <w:rPr>
          <w:szCs w:val="22"/>
        </w:rPr>
      </w:pPr>
      <w:bookmarkStart w:id="221" w:name="_Toc12808832"/>
      <w:r w:rsidRPr="00394101">
        <w:rPr>
          <w:bCs w:val="0"/>
          <w:szCs w:val="22"/>
        </w:rPr>
        <w:t>Alternative Pressure Testing Requirements Following Repairs or Replacements for Class</w:t>
      </w:r>
      <w:r>
        <w:rPr>
          <w:bCs w:val="0"/>
          <w:szCs w:val="22"/>
        </w:rPr>
        <w:t> </w:t>
      </w:r>
      <w:r w:rsidRPr="00394101">
        <w:rPr>
          <w:bCs w:val="0"/>
          <w:szCs w:val="22"/>
        </w:rPr>
        <w:t>1 Piping between the First and Second Inspection</w:t>
      </w:r>
      <w:r>
        <w:rPr>
          <w:bCs w:val="0"/>
          <w:szCs w:val="22"/>
        </w:rPr>
        <w:t xml:space="preserve"> of</w:t>
      </w:r>
      <w:r w:rsidRPr="00394101">
        <w:rPr>
          <w:bCs w:val="0"/>
          <w:szCs w:val="22"/>
        </w:rPr>
        <w:t xml:space="preserve"> Isolation Valves,</w:t>
      </w:r>
      <w:r w:rsidRPr="001A3E8E">
        <w:rPr>
          <w:szCs w:val="22"/>
        </w:rPr>
        <w:t xml:space="preserve"> </w:t>
      </w:r>
      <w:r w:rsidRPr="00394101">
        <w:rPr>
          <w:bCs w:val="0"/>
          <w:szCs w:val="22"/>
        </w:rPr>
        <w:t>Section</w:t>
      </w:r>
      <w:r>
        <w:rPr>
          <w:bCs w:val="0"/>
          <w:szCs w:val="22"/>
        </w:rPr>
        <w:t> </w:t>
      </w:r>
      <w:r w:rsidRPr="00394101">
        <w:rPr>
          <w:bCs w:val="0"/>
          <w:szCs w:val="22"/>
        </w:rPr>
        <w:t>XI, Division</w:t>
      </w:r>
      <w:r>
        <w:rPr>
          <w:bCs w:val="0"/>
          <w:szCs w:val="22"/>
        </w:rPr>
        <w:t> </w:t>
      </w:r>
      <w:r w:rsidRPr="00394101">
        <w:rPr>
          <w:bCs w:val="0"/>
          <w:szCs w:val="22"/>
        </w:rPr>
        <w:t>1</w:t>
      </w:r>
      <w:bookmarkEnd w:id="221"/>
    </w:p>
    <w:p w14:paraId="7792ECC9" w14:textId="77777777" w:rsidR="00D53E6F" w:rsidRDefault="00D53E6F" w:rsidP="00D53E6F">
      <w:pPr>
        <w:pStyle w:val="ListParagraph"/>
        <w:spacing w:line="240" w:lineRule="auto"/>
        <w:ind w:left="1080"/>
      </w:pPr>
    </w:p>
    <w:p w14:paraId="5A92DEAB" w14:textId="77777777" w:rsidR="00D53E6F" w:rsidRDefault="00D53E6F" w:rsidP="00D53E6F">
      <w:pPr>
        <w:pStyle w:val="ListParagraph"/>
        <w:spacing w:line="240" w:lineRule="auto"/>
        <w:ind w:left="0"/>
      </w:pPr>
      <w:r>
        <w:t>The NRC does not expect industry to incur incremental operation costs associated with this clarifying condition.</w:t>
      </w:r>
    </w:p>
    <w:p w14:paraId="4F752581" w14:textId="77777777" w:rsidR="00D53E6F" w:rsidRDefault="00D53E6F" w:rsidP="00D53E6F">
      <w:pPr>
        <w:pStyle w:val="ListParagraph"/>
        <w:spacing w:line="240" w:lineRule="auto"/>
        <w:ind w:left="1080"/>
      </w:pPr>
    </w:p>
    <w:p w14:paraId="5C2CA878" w14:textId="77777777" w:rsidR="00D53E6F" w:rsidRPr="003D2707" w:rsidRDefault="00D53E6F" w:rsidP="00D53E6F">
      <w:pPr>
        <w:pStyle w:val="Heading3"/>
        <w:numPr>
          <w:ilvl w:val="2"/>
          <w:numId w:val="53"/>
        </w:numPr>
        <w:spacing w:line="240" w:lineRule="auto"/>
        <w:ind w:left="900" w:hanging="900"/>
        <w:rPr>
          <w:szCs w:val="22"/>
        </w:rPr>
      </w:pPr>
      <w:bookmarkStart w:id="222" w:name="_Toc12808833"/>
      <w:r w:rsidRPr="0072340A">
        <w:rPr>
          <w:szCs w:val="22"/>
        </w:rPr>
        <w:t>In</w:t>
      </w:r>
      <w:r>
        <w:rPr>
          <w:szCs w:val="22"/>
        </w:rPr>
        <w:t xml:space="preserve"> S</w:t>
      </w:r>
      <w:r w:rsidRPr="0072340A">
        <w:rPr>
          <w:szCs w:val="22"/>
        </w:rPr>
        <w:t>itu V</w:t>
      </w:r>
      <w:r>
        <w:rPr>
          <w:szCs w:val="22"/>
        </w:rPr>
        <w:t xml:space="preserve">isual Testing </w:t>
      </w:r>
      <w:r w:rsidRPr="0072340A">
        <w:rPr>
          <w:szCs w:val="22"/>
        </w:rPr>
        <w:t>3 Examination of Removable Core Support Structures without Removal</w:t>
      </w:r>
      <w:bookmarkEnd w:id="222"/>
    </w:p>
    <w:p w14:paraId="3847DEEF" w14:textId="77777777" w:rsidR="00D53E6F" w:rsidRDefault="00D53E6F" w:rsidP="00D53E6F">
      <w:pPr>
        <w:spacing w:line="240" w:lineRule="auto"/>
      </w:pPr>
    </w:p>
    <w:p w14:paraId="38403A69" w14:textId="77777777" w:rsidR="00D53E6F" w:rsidRDefault="00D53E6F" w:rsidP="00D53E6F">
      <w:pPr>
        <w:spacing w:line="240" w:lineRule="auto"/>
      </w:pPr>
      <w:r>
        <w:t>The NRC does not expect industry to incur incremental operation costs associated with these clarifying conditions.</w:t>
      </w:r>
    </w:p>
    <w:p w14:paraId="130DA1D8" w14:textId="77777777" w:rsidR="00D53E6F" w:rsidRDefault="00D53E6F" w:rsidP="00D53E6F">
      <w:pPr>
        <w:spacing w:line="240" w:lineRule="auto"/>
      </w:pPr>
    </w:p>
    <w:p w14:paraId="0D068AD4" w14:textId="77777777" w:rsidR="00D53E6F" w:rsidRPr="00A653C9" w:rsidRDefault="00D53E6F" w:rsidP="00D53E6F">
      <w:pPr>
        <w:pStyle w:val="Heading3"/>
        <w:numPr>
          <w:ilvl w:val="2"/>
          <w:numId w:val="53"/>
        </w:numPr>
        <w:spacing w:line="240" w:lineRule="auto"/>
        <w:ind w:left="900" w:hanging="900"/>
        <w:rPr>
          <w:szCs w:val="22"/>
        </w:rPr>
      </w:pPr>
      <w:bookmarkStart w:id="223" w:name="_Toc12808834"/>
      <w:r w:rsidRPr="0041220A">
        <w:rPr>
          <w:szCs w:val="22"/>
        </w:rPr>
        <w:t xml:space="preserve">Performance-Based Requirements for Extending </w:t>
      </w:r>
      <w:r>
        <w:rPr>
          <w:szCs w:val="22"/>
        </w:rPr>
        <w:t xml:space="preserve">the </w:t>
      </w:r>
      <w:r w:rsidRPr="0041220A">
        <w:rPr>
          <w:szCs w:val="22"/>
        </w:rPr>
        <w:t xml:space="preserve">Snubber Inservice Visual Examination Interval at </w:t>
      </w:r>
      <w:r>
        <w:rPr>
          <w:szCs w:val="22"/>
        </w:rPr>
        <w:t>Light-Water Reactor</w:t>
      </w:r>
      <w:r w:rsidRPr="0041220A">
        <w:rPr>
          <w:szCs w:val="22"/>
        </w:rPr>
        <w:t xml:space="preserve"> Power Plants</w:t>
      </w:r>
      <w:bookmarkEnd w:id="223"/>
    </w:p>
    <w:p w14:paraId="4F0892B3" w14:textId="77777777" w:rsidR="00D53E6F" w:rsidRDefault="00D53E6F" w:rsidP="00D53E6F">
      <w:pPr>
        <w:spacing w:line="240" w:lineRule="auto"/>
      </w:pPr>
    </w:p>
    <w:p w14:paraId="16F0B2E6" w14:textId="0D5DD913" w:rsidR="00D53E6F" w:rsidRPr="005910A1" w:rsidRDefault="00173B30" w:rsidP="00D53E6F">
      <w:pPr>
        <w:spacing w:line="240" w:lineRule="auto"/>
      </w:pPr>
      <w:r>
        <w:t>The NRC</w:t>
      </w:r>
      <w:r w:rsidR="00D53E6F">
        <w:t xml:space="preserve"> expects that this relaxation will avert ASME Code Case relief requests from industry, as shown in </w:t>
      </w:r>
      <w:r w:rsidR="00D53E6F" w:rsidRPr="005910A1">
        <w:fldChar w:fldCharType="begin"/>
      </w:r>
      <w:r w:rsidR="00D53E6F" w:rsidRPr="005910A1">
        <w:instrText xml:space="preserve"> REF _Ref386964448 \h </w:instrText>
      </w:r>
      <w:r w:rsidR="00D53E6F" w:rsidRPr="00E94F1A">
        <w:rPr>
          <w:b/>
        </w:rPr>
        <w:instrText xml:space="preserve"> \* MERGEFORMAT </w:instrText>
      </w:r>
      <w:r w:rsidR="00D53E6F" w:rsidRPr="005910A1">
        <w:fldChar w:fldCharType="separate"/>
      </w:r>
      <w:r w:rsidR="00F05D99" w:rsidRPr="00F05D99">
        <w:t xml:space="preserve">Table </w:t>
      </w:r>
      <w:r w:rsidR="00F05D99" w:rsidRPr="00F05D99">
        <w:rPr>
          <w:noProof/>
        </w:rPr>
        <w:t>6</w:t>
      </w:r>
      <w:r w:rsidR="00D53E6F" w:rsidRPr="005910A1">
        <w:fldChar w:fldCharType="end"/>
      </w:r>
      <w:r w:rsidR="00D53E6F" w:rsidRPr="005910A1">
        <w:t xml:space="preserve">. </w:t>
      </w:r>
    </w:p>
    <w:p w14:paraId="2B0BDB2D" w14:textId="77777777" w:rsidR="00D53E6F" w:rsidRDefault="00D53E6F" w:rsidP="00D53E6F">
      <w:pPr>
        <w:spacing w:line="240" w:lineRule="auto"/>
      </w:pPr>
    </w:p>
    <w:p w14:paraId="00E41AFA" w14:textId="77777777" w:rsidR="00D53E6F" w:rsidRPr="00A653C9" w:rsidRDefault="00D53E6F" w:rsidP="00D53E6F">
      <w:pPr>
        <w:pStyle w:val="Heading3"/>
        <w:keepLines/>
        <w:numPr>
          <w:ilvl w:val="2"/>
          <w:numId w:val="53"/>
        </w:numPr>
        <w:spacing w:line="240" w:lineRule="auto"/>
        <w:ind w:left="900" w:hanging="900"/>
        <w:rPr>
          <w:szCs w:val="22"/>
        </w:rPr>
      </w:pPr>
      <w:bookmarkStart w:id="224" w:name="_Toc12808835"/>
      <w:r w:rsidRPr="0041220A">
        <w:rPr>
          <w:szCs w:val="22"/>
        </w:rPr>
        <w:t>Inservice Test Frequency</w:t>
      </w:r>
      <w:bookmarkEnd w:id="224"/>
    </w:p>
    <w:p w14:paraId="49EBA330" w14:textId="77777777" w:rsidR="00D53E6F" w:rsidRDefault="00D53E6F" w:rsidP="00D53E6F">
      <w:pPr>
        <w:keepNext/>
        <w:keepLines/>
        <w:spacing w:line="240" w:lineRule="auto"/>
      </w:pPr>
    </w:p>
    <w:p w14:paraId="6FE05562" w14:textId="072DD840" w:rsidR="00D53E6F" w:rsidRPr="005910A1" w:rsidRDefault="00173B30" w:rsidP="00D53E6F">
      <w:r>
        <w:t>The NRC</w:t>
      </w:r>
      <w:r w:rsidR="00D53E6F">
        <w:t xml:space="preserve"> expects that this relaxation will avert ASME Code Case relief requests from industry, as shown in </w:t>
      </w:r>
      <w:r w:rsidR="00D53E6F" w:rsidRPr="005910A1">
        <w:fldChar w:fldCharType="begin"/>
      </w:r>
      <w:r w:rsidR="00D53E6F" w:rsidRPr="005910A1">
        <w:instrText xml:space="preserve"> REF _Ref386964448 \h </w:instrText>
      </w:r>
      <w:r w:rsidR="00D53E6F" w:rsidRPr="00E94F1A">
        <w:rPr>
          <w:b/>
        </w:rPr>
        <w:instrText xml:space="preserve"> \* MERGEFORMAT </w:instrText>
      </w:r>
      <w:r w:rsidR="00D53E6F" w:rsidRPr="005910A1">
        <w:fldChar w:fldCharType="separate"/>
      </w:r>
      <w:r w:rsidR="00F05D99" w:rsidRPr="00F05D99">
        <w:t xml:space="preserve">Table </w:t>
      </w:r>
      <w:r w:rsidR="00F05D99" w:rsidRPr="00F05D99">
        <w:rPr>
          <w:noProof/>
        </w:rPr>
        <w:t>6</w:t>
      </w:r>
      <w:r w:rsidR="00D53E6F" w:rsidRPr="005910A1">
        <w:fldChar w:fldCharType="end"/>
      </w:r>
      <w:r w:rsidR="00D53E6F" w:rsidRPr="005910A1">
        <w:t>.</w:t>
      </w:r>
    </w:p>
    <w:p w14:paraId="0C3879F4" w14:textId="77777777" w:rsidR="00D53E6F" w:rsidRDefault="00D53E6F" w:rsidP="00D53E6F">
      <w:pPr>
        <w:spacing w:line="240" w:lineRule="auto"/>
      </w:pPr>
    </w:p>
    <w:p w14:paraId="6DAB4819" w14:textId="77777777" w:rsidR="00D53E6F" w:rsidRDefault="00D53E6F" w:rsidP="00D53E6F">
      <w:pPr>
        <w:pStyle w:val="Heading2"/>
        <w:spacing w:line="240" w:lineRule="auto"/>
      </w:pPr>
      <w:bookmarkStart w:id="225" w:name="_Toc456098285"/>
      <w:bookmarkStart w:id="226" w:name="_Toc12808836"/>
      <w:bookmarkEnd w:id="183"/>
      <w:r>
        <w:t>5.5</w:t>
      </w:r>
      <w:r>
        <w:tab/>
      </w:r>
      <w:bookmarkStart w:id="227" w:name="_Toc457827298"/>
      <w:r>
        <w:t>Total Industry Costs</w:t>
      </w:r>
      <w:bookmarkEnd w:id="225"/>
      <w:bookmarkEnd w:id="226"/>
      <w:bookmarkEnd w:id="227"/>
    </w:p>
    <w:p w14:paraId="5EF9EBB4" w14:textId="77777777" w:rsidR="00D53E6F" w:rsidRDefault="00D53E6F" w:rsidP="00D53E6F">
      <w:pPr>
        <w:keepNext/>
        <w:spacing w:line="240" w:lineRule="auto"/>
      </w:pPr>
    </w:p>
    <w:p w14:paraId="34D445B6" w14:textId="0F55F106" w:rsidR="00D53E6F" w:rsidRPr="00EE0761" w:rsidRDefault="00D53E6F" w:rsidP="00D53E6F">
      <w:pPr>
        <w:spacing w:line="240" w:lineRule="auto"/>
      </w:pPr>
      <w:r w:rsidRPr="00EE0761">
        <w:fldChar w:fldCharType="begin"/>
      </w:r>
      <w:r w:rsidRPr="00EE0761">
        <w:instrText xml:space="preserve"> REF _Ref453163057 \h  \* MERGEFORMAT </w:instrText>
      </w:r>
      <w:r w:rsidRPr="00EE0761">
        <w:fldChar w:fldCharType="separate"/>
      </w:r>
      <w:r w:rsidR="00F05D99" w:rsidRPr="00F05D99">
        <w:t xml:space="preserve">Table </w:t>
      </w:r>
      <w:r w:rsidR="00F05D99" w:rsidRPr="00F05D99">
        <w:rPr>
          <w:noProof/>
        </w:rPr>
        <w:t>12</w:t>
      </w:r>
      <w:r w:rsidRPr="00EE0761">
        <w:fldChar w:fldCharType="end"/>
      </w:r>
      <w:r w:rsidRPr="00EE0761">
        <w:t xml:space="preserve"> shows the total industry costs</w:t>
      </w:r>
      <w:r>
        <w:t>,</w:t>
      </w:r>
      <w:r w:rsidRPr="00EE0761">
        <w:t xml:space="preserve"> </w:t>
      </w:r>
      <w:r>
        <w:t>separated by</w:t>
      </w:r>
      <w:r w:rsidRPr="00EE0761">
        <w:t xml:space="preserve"> implementation and operation costs</w:t>
      </w:r>
      <w:r>
        <w:t>,</w:t>
      </w:r>
      <w:r w:rsidRPr="00EE0761">
        <w:t xml:space="preserve"> for the requirements under Alternative 2.  These total industry costs represent averted costs of $</w:t>
      </w:r>
      <w:r>
        <w:t>4.43</w:t>
      </w:r>
      <w:r w:rsidRPr="00EE0761">
        <w:t xml:space="preserve"> million </w:t>
      </w:r>
      <w:r>
        <w:t>at a 7-</w:t>
      </w:r>
      <w:r w:rsidRPr="00EE0761">
        <w:t xml:space="preserve">percent </w:t>
      </w:r>
      <w:r>
        <w:t>NPV</w:t>
      </w:r>
      <w:r w:rsidRPr="00EE0761">
        <w:t xml:space="preserve"> and $</w:t>
      </w:r>
      <w:r>
        <w:t>5.04</w:t>
      </w:r>
      <w:r w:rsidRPr="00EE0761">
        <w:t> million</w:t>
      </w:r>
      <w:r>
        <w:t xml:space="preserve"> at a 3-</w:t>
      </w:r>
      <w:r w:rsidRPr="00EE0761">
        <w:t xml:space="preserve">percent </w:t>
      </w:r>
      <w:r>
        <w:t>NPV</w:t>
      </w:r>
      <w:r w:rsidRPr="00EE0761">
        <w:t>.</w:t>
      </w:r>
    </w:p>
    <w:p w14:paraId="4E83317B" w14:textId="77777777" w:rsidR="00D53E6F" w:rsidRPr="00EE0761" w:rsidRDefault="00D53E6F" w:rsidP="00D53E6F">
      <w:pPr>
        <w:spacing w:line="240" w:lineRule="auto"/>
      </w:pPr>
    </w:p>
    <w:p w14:paraId="30AE2A47" w14:textId="07117A82" w:rsidR="00461732" w:rsidRPr="004A7B59" w:rsidDel="00461732" w:rsidRDefault="00D53E6F" w:rsidP="00560F67">
      <w:pPr>
        <w:pStyle w:val="Caption"/>
        <w:spacing w:line="240" w:lineRule="auto"/>
        <w:jc w:val="center"/>
        <w:rPr>
          <w:b/>
        </w:rPr>
      </w:pPr>
      <w:bookmarkStart w:id="228" w:name="_Ref453163057"/>
      <w:bookmarkStart w:id="229" w:name="_Toc454442488"/>
      <w:bookmarkStart w:id="230" w:name="_Toc457827408"/>
      <w:bookmarkStart w:id="231" w:name="_Toc9428141"/>
      <w:r w:rsidRPr="00C80453">
        <w:rPr>
          <w:b/>
        </w:rPr>
        <w:t xml:space="preserve">Table </w:t>
      </w:r>
      <w:r w:rsidRPr="00C80453">
        <w:rPr>
          <w:b/>
          <w:bCs w:val="0"/>
        </w:rPr>
        <w:fldChar w:fldCharType="begin"/>
      </w:r>
      <w:r w:rsidRPr="00C80453">
        <w:rPr>
          <w:b/>
        </w:rPr>
        <w:instrText xml:space="preserve"> SEQ Table \* ARABIC </w:instrText>
      </w:r>
      <w:r w:rsidRPr="00C80453">
        <w:rPr>
          <w:b/>
          <w:bCs w:val="0"/>
        </w:rPr>
        <w:fldChar w:fldCharType="separate"/>
      </w:r>
      <w:r w:rsidR="00F05D99">
        <w:rPr>
          <w:b/>
          <w:noProof/>
        </w:rPr>
        <w:t>12</w:t>
      </w:r>
      <w:r w:rsidRPr="00C80453">
        <w:rPr>
          <w:b/>
          <w:bCs w:val="0"/>
        </w:rPr>
        <w:fldChar w:fldCharType="end"/>
      </w:r>
      <w:bookmarkEnd w:id="228"/>
      <w:r w:rsidRPr="00C80453">
        <w:rPr>
          <w:b/>
        </w:rPr>
        <w:t xml:space="preserve">  Total Industry Costs</w:t>
      </w:r>
      <w:bookmarkEnd w:id="229"/>
      <w:bookmarkEnd w:id="230"/>
      <w:bookmarkEnd w:id="231"/>
    </w:p>
    <w:tbl>
      <w:tblPr>
        <w:tblW w:w="7200" w:type="dxa"/>
        <w:jc w:val="center"/>
        <w:tblLook w:val="04A0" w:firstRow="1" w:lastRow="0" w:firstColumn="1" w:lastColumn="0" w:noHBand="0" w:noVBand="1"/>
      </w:tblPr>
      <w:tblGrid>
        <w:gridCol w:w="2400"/>
        <w:gridCol w:w="1918"/>
        <w:gridCol w:w="1441"/>
        <w:gridCol w:w="1441"/>
      </w:tblGrid>
      <w:tr w:rsidR="00461732" w:rsidRPr="00461732" w14:paraId="539E75FF" w14:textId="77777777" w:rsidTr="004A7B59">
        <w:trPr>
          <w:trHeight w:val="300"/>
          <w:jc w:val="center"/>
        </w:trPr>
        <w:tc>
          <w:tcPr>
            <w:tcW w:w="2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8B020" w14:textId="77777777" w:rsidR="00461732" w:rsidRPr="00461732" w:rsidRDefault="00461732" w:rsidP="00461732">
            <w:pPr>
              <w:autoSpaceDE/>
              <w:autoSpaceDN/>
              <w:adjustRightInd/>
              <w:spacing w:line="240" w:lineRule="auto"/>
              <w:jc w:val="center"/>
              <w:rPr>
                <w:rFonts w:eastAsia="Times New Roman"/>
                <w:b/>
                <w:bCs/>
                <w:color w:val="auto"/>
                <w:sz w:val="20"/>
                <w:szCs w:val="20"/>
              </w:rPr>
            </w:pPr>
            <w:r w:rsidRPr="00461732">
              <w:rPr>
                <w:rFonts w:eastAsia="Times New Roman"/>
                <w:b/>
                <w:bCs/>
                <w:color w:val="auto"/>
                <w:sz w:val="20"/>
                <w:szCs w:val="20"/>
              </w:rPr>
              <w:t>Attribute</w:t>
            </w:r>
          </w:p>
        </w:tc>
        <w:tc>
          <w:tcPr>
            <w:tcW w:w="40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A98D4D" w14:textId="4028E57A" w:rsidR="00461732" w:rsidRPr="00461732" w:rsidRDefault="00461732" w:rsidP="00461732">
            <w:pPr>
              <w:autoSpaceDE/>
              <w:autoSpaceDN/>
              <w:adjustRightInd/>
              <w:spacing w:line="240" w:lineRule="auto"/>
              <w:jc w:val="center"/>
              <w:rPr>
                <w:rFonts w:eastAsia="Times New Roman"/>
                <w:b/>
                <w:bCs/>
                <w:color w:val="auto"/>
                <w:sz w:val="20"/>
                <w:szCs w:val="20"/>
              </w:rPr>
            </w:pPr>
            <w:r w:rsidRPr="00461732">
              <w:rPr>
                <w:rFonts w:eastAsia="Times New Roman"/>
                <w:b/>
                <w:bCs/>
                <w:color w:val="auto"/>
                <w:sz w:val="20"/>
                <w:szCs w:val="20"/>
              </w:rPr>
              <w:t>Total Industry Costs</w:t>
            </w:r>
            <w:r w:rsidRPr="004A7B59">
              <w:rPr>
                <w:rFonts w:eastAsia="Times New Roman"/>
                <w:b/>
                <w:bCs/>
                <w:color w:val="auto"/>
                <w:sz w:val="20"/>
                <w:szCs w:val="20"/>
                <w:vertAlign w:val="superscript"/>
              </w:rPr>
              <w:t>a</w:t>
            </w:r>
          </w:p>
        </w:tc>
      </w:tr>
      <w:tr w:rsidR="00461732" w:rsidRPr="00461732" w14:paraId="2A898E36" w14:textId="77777777" w:rsidTr="004A7B59">
        <w:trPr>
          <w:trHeight w:val="288"/>
          <w:jc w:val="center"/>
        </w:trPr>
        <w:tc>
          <w:tcPr>
            <w:tcW w:w="2040" w:type="dxa"/>
            <w:vMerge/>
            <w:tcBorders>
              <w:top w:val="single" w:sz="4" w:space="0" w:color="auto"/>
              <w:left w:val="single" w:sz="4" w:space="0" w:color="auto"/>
              <w:bottom w:val="single" w:sz="4" w:space="0" w:color="auto"/>
              <w:right w:val="single" w:sz="4" w:space="0" w:color="auto"/>
            </w:tcBorders>
            <w:vAlign w:val="center"/>
            <w:hideMark/>
          </w:tcPr>
          <w:p w14:paraId="0121AC3B" w14:textId="77777777" w:rsidR="00461732" w:rsidRPr="00461732" w:rsidRDefault="00461732" w:rsidP="00461732">
            <w:pPr>
              <w:autoSpaceDE/>
              <w:autoSpaceDN/>
              <w:adjustRightInd/>
              <w:spacing w:line="240" w:lineRule="auto"/>
              <w:rPr>
                <w:rFonts w:eastAsia="Times New Roman"/>
                <w:b/>
                <w:bCs/>
                <w:color w:val="auto"/>
                <w:sz w:val="20"/>
                <w:szCs w:val="20"/>
              </w:rPr>
            </w:pPr>
          </w:p>
        </w:tc>
        <w:tc>
          <w:tcPr>
            <w:tcW w:w="1630" w:type="dxa"/>
            <w:tcBorders>
              <w:top w:val="nil"/>
              <w:left w:val="nil"/>
              <w:bottom w:val="single" w:sz="4" w:space="0" w:color="auto"/>
              <w:right w:val="single" w:sz="4" w:space="0" w:color="auto"/>
            </w:tcBorders>
            <w:shd w:val="clear" w:color="auto" w:fill="auto"/>
            <w:noWrap/>
            <w:vAlign w:val="center"/>
            <w:hideMark/>
          </w:tcPr>
          <w:p w14:paraId="03D8F8D4" w14:textId="77777777" w:rsidR="00461732" w:rsidRPr="00461732" w:rsidRDefault="00461732" w:rsidP="00461732">
            <w:pPr>
              <w:autoSpaceDE/>
              <w:autoSpaceDN/>
              <w:adjustRightInd/>
              <w:spacing w:line="240" w:lineRule="auto"/>
              <w:jc w:val="center"/>
              <w:rPr>
                <w:rFonts w:eastAsia="Times New Roman"/>
                <w:b/>
                <w:bCs/>
                <w:color w:val="auto"/>
                <w:sz w:val="20"/>
                <w:szCs w:val="20"/>
              </w:rPr>
            </w:pPr>
            <w:r w:rsidRPr="00461732">
              <w:rPr>
                <w:rFonts w:eastAsia="Times New Roman"/>
                <w:b/>
                <w:bCs/>
                <w:color w:val="auto"/>
                <w:sz w:val="20"/>
                <w:szCs w:val="20"/>
              </w:rPr>
              <w:t>Undiscounted</w:t>
            </w:r>
          </w:p>
        </w:tc>
        <w:tc>
          <w:tcPr>
            <w:tcW w:w="1225" w:type="dxa"/>
            <w:tcBorders>
              <w:top w:val="nil"/>
              <w:left w:val="nil"/>
              <w:bottom w:val="single" w:sz="4" w:space="0" w:color="auto"/>
              <w:right w:val="single" w:sz="4" w:space="0" w:color="auto"/>
            </w:tcBorders>
            <w:shd w:val="clear" w:color="auto" w:fill="auto"/>
            <w:noWrap/>
            <w:vAlign w:val="center"/>
            <w:hideMark/>
          </w:tcPr>
          <w:p w14:paraId="35CE82A2" w14:textId="77777777" w:rsidR="00461732" w:rsidRPr="00461732" w:rsidRDefault="00461732" w:rsidP="00461732">
            <w:pPr>
              <w:autoSpaceDE/>
              <w:autoSpaceDN/>
              <w:adjustRightInd/>
              <w:spacing w:line="240" w:lineRule="auto"/>
              <w:jc w:val="center"/>
              <w:rPr>
                <w:rFonts w:eastAsia="Times New Roman"/>
                <w:b/>
                <w:bCs/>
                <w:color w:val="auto"/>
                <w:sz w:val="20"/>
                <w:szCs w:val="20"/>
              </w:rPr>
            </w:pPr>
            <w:r w:rsidRPr="00461732">
              <w:rPr>
                <w:rFonts w:eastAsia="Times New Roman"/>
                <w:b/>
                <w:bCs/>
                <w:color w:val="auto"/>
                <w:sz w:val="20"/>
                <w:szCs w:val="20"/>
              </w:rPr>
              <w:t>7% NPV</w:t>
            </w:r>
          </w:p>
        </w:tc>
        <w:tc>
          <w:tcPr>
            <w:tcW w:w="1225" w:type="dxa"/>
            <w:tcBorders>
              <w:top w:val="nil"/>
              <w:left w:val="nil"/>
              <w:bottom w:val="single" w:sz="4" w:space="0" w:color="auto"/>
              <w:right w:val="single" w:sz="4" w:space="0" w:color="auto"/>
            </w:tcBorders>
            <w:shd w:val="clear" w:color="auto" w:fill="auto"/>
            <w:noWrap/>
            <w:vAlign w:val="center"/>
            <w:hideMark/>
          </w:tcPr>
          <w:p w14:paraId="4E7646DE" w14:textId="77777777" w:rsidR="00461732" w:rsidRPr="00461732" w:rsidRDefault="00461732" w:rsidP="00461732">
            <w:pPr>
              <w:autoSpaceDE/>
              <w:autoSpaceDN/>
              <w:adjustRightInd/>
              <w:spacing w:line="240" w:lineRule="auto"/>
              <w:jc w:val="center"/>
              <w:rPr>
                <w:rFonts w:eastAsia="Times New Roman"/>
                <w:b/>
                <w:bCs/>
                <w:color w:val="auto"/>
                <w:sz w:val="20"/>
                <w:szCs w:val="20"/>
              </w:rPr>
            </w:pPr>
            <w:r w:rsidRPr="00461732">
              <w:rPr>
                <w:rFonts w:eastAsia="Times New Roman"/>
                <w:b/>
                <w:bCs/>
                <w:color w:val="auto"/>
                <w:sz w:val="20"/>
                <w:szCs w:val="20"/>
              </w:rPr>
              <w:t>3% NPV</w:t>
            </w:r>
          </w:p>
        </w:tc>
      </w:tr>
      <w:tr w:rsidR="00461732" w:rsidRPr="00461732" w14:paraId="7D07B371" w14:textId="77777777" w:rsidTr="004A7B59">
        <w:trPr>
          <w:trHeight w:val="264"/>
          <w:jc w:val="center"/>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1861B" w14:textId="77777777" w:rsidR="00461732" w:rsidRPr="00461732" w:rsidRDefault="00461732" w:rsidP="00461732">
            <w:pPr>
              <w:autoSpaceDE/>
              <w:autoSpaceDN/>
              <w:adjustRightInd/>
              <w:spacing w:line="240" w:lineRule="auto"/>
              <w:jc w:val="right"/>
              <w:rPr>
                <w:rFonts w:eastAsia="Times New Roman"/>
                <w:color w:val="000000"/>
                <w:sz w:val="20"/>
                <w:szCs w:val="20"/>
              </w:rPr>
            </w:pPr>
            <w:r w:rsidRPr="00461732">
              <w:rPr>
                <w:rFonts w:eastAsia="Times New Roman"/>
                <w:color w:val="000000"/>
                <w:sz w:val="20"/>
                <w:szCs w:val="20"/>
              </w:rPr>
              <w:t>Implementation Costs:</w:t>
            </w:r>
          </w:p>
        </w:tc>
        <w:tc>
          <w:tcPr>
            <w:tcW w:w="1630" w:type="dxa"/>
            <w:tcBorders>
              <w:top w:val="nil"/>
              <w:left w:val="nil"/>
              <w:bottom w:val="single" w:sz="4" w:space="0" w:color="auto"/>
              <w:right w:val="single" w:sz="4" w:space="0" w:color="auto"/>
            </w:tcBorders>
            <w:shd w:val="clear" w:color="auto" w:fill="auto"/>
            <w:noWrap/>
            <w:vAlign w:val="bottom"/>
            <w:hideMark/>
          </w:tcPr>
          <w:p w14:paraId="7322A780" w14:textId="24370735" w:rsidR="00461732" w:rsidRPr="00461732" w:rsidRDefault="00461732" w:rsidP="00461732">
            <w:pPr>
              <w:autoSpaceDE/>
              <w:autoSpaceDN/>
              <w:adjustRightInd/>
              <w:spacing w:line="240" w:lineRule="auto"/>
              <w:jc w:val="center"/>
              <w:rPr>
                <w:rFonts w:eastAsia="Times New Roman"/>
                <w:color w:val="000000"/>
                <w:sz w:val="20"/>
                <w:szCs w:val="20"/>
              </w:rPr>
            </w:pPr>
            <w:r w:rsidRPr="00461732">
              <w:rPr>
                <w:rFonts w:eastAsia="Times New Roman"/>
                <w:color w:val="000000"/>
                <w:sz w:val="20"/>
                <w:szCs w:val="20"/>
              </w:rPr>
              <w:t>$0</w:t>
            </w:r>
          </w:p>
        </w:tc>
        <w:tc>
          <w:tcPr>
            <w:tcW w:w="1225" w:type="dxa"/>
            <w:tcBorders>
              <w:top w:val="nil"/>
              <w:left w:val="nil"/>
              <w:bottom w:val="single" w:sz="4" w:space="0" w:color="auto"/>
              <w:right w:val="single" w:sz="4" w:space="0" w:color="auto"/>
            </w:tcBorders>
            <w:shd w:val="clear" w:color="auto" w:fill="auto"/>
            <w:noWrap/>
            <w:vAlign w:val="bottom"/>
            <w:hideMark/>
          </w:tcPr>
          <w:p w14:paraId="1380D6B5" w14:textId="6E1C49A7" w:rsidR="00461732" w:rsidRPr="00461732" w:rsidRDefault="00461732" w:rsidP="00461732">
            <w:pPr>
              <w:autoSpaceDE/>
              <w:autoSpaceDN/>
              <w:adjustRightInd/>
              <w:spacing w:line="240" w:lineRule="auto"/>
              <w:jc w:val="center"/>
              <w:rPr>
                <w:rFonts w:eastAsia="Times New Roman"/>
                <w:color w:val="000000"/>
                <w:sz w:val="20"/>
                <w:szCs w:val="20"/>
              </w:rPr>
            </w:pPr>
            <w:r w:rsidRPr="00461732">
              <w:rPr>
                <w:rFonts w:eastAsia="Times New Roman"/>
                <w:color w:val="000000"/>
                <w:sz w:val="20"/>
                <w:szCs w:val="20"/>
              </w:rPr>
              <w:t>$0</w:t>
            </w:r>
          </w:p>
        </w:tc>
        <w:tc>
          <w:tcPr>
            <w:tcW w:w="1225" w:type="dxa"/>
            <w:tcBorders>
              <w:top w:val="nil"/>
              <w:left w:val="nil"/>
              <w:bottom w:val="single" w:sz="4" w:space="0" w:color="auto"/>
              <w:right w:val="single" w:sz="4" w:space="0" w:color="auto"/>
            </w:tcBorders>
            <w:shd w:val="clear" w:color="auto" w:fill="auto"/>
            <w:noWrap/>
            <w:vAlign w:val="bottom"/>
            <w:hideMark/>
          </w:tcPr>
          <w:p w14:paraId="50B9A54F" w14:textId="4E427DDC" w:rsidR="00461732" w:rsidRPr="00461732" w:rsidRDefault="00461732" w:rsidP="00461732">
            <w:pPr>
              <w:autoSpaceDE/>
              <w:autoSpaceDN/>
              <w:adjustRightInd/>
              <w:spacing w:line="240" w:lineRule="auto"/>
              <w:jc w:val="center"/>
              <w:rPr>
                <w:rFonts w:eastAsia="Times New Roman"/>
                <w:color w:val="000000"/>
                <w:sz w:val="20"/>
                <w:szCs w:val="20"/>
              </w:rPr>
            </w:pPr>
            <w:r w:rsidRPr="00461732">
              <w:rPr>
                <w:rFonts w:eastAsia="Times New Roman"/>
                <w:color w:val="000000"/>
                <w:sz w:val="20"/>
                <w:szCs w:val="20"/>
              </w:rPr>
              <w:t>$0</w:t>
            </w:r>
          </w:p>
        </w:tc>
      </w:tr>
      <w:tr w:rsidR="00461732" w:rsidRPr="00461732" w14:paraId="289EA0AE" w14:textId="77777777" w:rsidTr="004A7B59">
        <w:trPr>
          <w:trHeight w:val="264"/>
          <w:jc w:val="center"/>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BFDE6" w14:textId="77777777" w:rsidR="00461732" w:rsidRPr="00461732" w:rsidRDefault="00461732" w:rsidP="00461732">
            <w:pPr>
              <w:autoSpaceDE/>
              <w:autoSpaceDN/>
              <w:adjustRightInd/>
              <w:spacing w:line="240" w:lineRule="auto"/>
              <w:jc w:val="right"/>
              <w:rPr>
                <w:rFonts w:eastAsia="Times New Roman"/>
                <w:color w:val="000000"/>
                <w:sz w:val="20"/>
                <w:szCs w:val="20"/>
              </w:rPr>
            </w:pPr>
            <w:r w:rsidRPr="00461732">
              <w:rPr>
                <w:rFonts w:eastAsia="Times New Roman"/>
                <w:color w:val="000000"/>
                <w:sz w:val="20"/>
                <w:szCs w:val="20"/>
              </w:rPr>
              <w:t>Operation Costs:</w:t>
            </w:r>
          </w:p>
        </w:tc>
        <w:tc>
          <w:tcPr>
            <w:tcW w:w="1630" w:type="dxa"/>
            <w:tcBorders>
              <w:top w:val="nil"/>
              <w:left w:val="nil"/>
              <w:bottom w:val="single" w:sz="4" w:space="0" w:color="auto"/>
              <w:right w:val="single" w:sz="4" w:space="0" w:color="auto"/>
            </w:tcBorders>
            <w:shd w:val="clear" w:color="auto" w:fill="auto"/>
            <w:noWrap/>
            <w:vAlign w:val="bottom"/>
            <w:hideMark/>
          </w:tcPr>
          <w:p w14:paraId="4EC8202B" w14:textId="493CB1EB" w:rsidR="00461732" w:rsidRPr="00461732" w:rsidRDefault="00461732" w:rsidP="00B75F34">
            <w:pPr>
              <w:autoSpaceDE/>
              <w:autoSpaceDN/>
              <w:adjustRightInd/>
              <w:spacing w:line="240" w:lineRule="auto"/>
              <w:jc w:val="center"/>
              <w:rPr>
                <w:rFonts w:eastAsia="Times New Roman"/>
                <w:color w:val="000000"/>
                <w:sz w:val="20"/>
                <w:szCs w:val="20"/>
              </w:rPr>
            </w:pPr>
            <w:r w:rsidRPr="00461732">
              <w:rPr>
                <w:rFonts w:eastAsia="Times New Roman"/>
                <w:color w:val="000000"/>
                <w:sz w:val="20"/>
                <w:szCs w:val="20"/>
              </w:rPr>
              <w:t>$5,</w:t>
            </w:r>
            <w:r w:rsidR="00B75F34">
              <w:rPr>
                <w:rFonts w:eastAsia="Times New Roman"/>
                <w:color w:val="000000"/>
                <w:sz w:val="20"/>
                <w:szCs w:val="20"/>
              </w:rPr>
              <w:t>62</w:t>
            </w:r>
            <w:r w:rsidRPr="00461732">
              <w:rPr>
                <w:rFonts w:eastAsia="Times New Roman"/>
                <w:color w:val="000000"/>
                <w:sz w:val="20"/>
                <w:szCs w:val="20"/>
              </w:rPr>
              <w:t>0,000</w:t>
            </w:r>
          </w:p>
        </w:tc>
        <w:tc>
          <w:tcPr>
            <w:tcW w:w="1225" w:type="dxa"/>
            <w:tcBorders>
              <w:top w:val="nil"/>
              <w:left w:val="nil"/>
              <w:bottom w:val="single" w:sz="4" w:space="0" w:color="auto"/>
              <w:right w:val="single" w:sz="4" w:space="0" w:color="auto"/>
            </w:tcBorders>
            <w:shd w:val="clear" w:color="auto" w:fill="auto"/>
            <w:noWrap/>
            <w:vAlign w:val="bottom"/>
            <w:hideMark/>
          </w:tcPr>
          <w:p w14:paraId="6E86F3A0" w14:textId="24F5C340" w:rsidR="00461732" w:rsidRPr="00461732" w:rsidRDefault="00461732" w:rsidP="00B75F34">
            <w:pPr>
              <w:autoSpaceDE/>
              <w:autoSpaceDN/>
              <w:adjustRightInd/>
              <w:spacing w:line="240" w:lineRule="auto"/>
              <w:jc w:val="center"/>
              <w:rPr>
                <w:rFonts w:eastAsia="Times New Roman"/>
                <w:color w:val="000000"/>
                <w:sz w:val="20"/>
                <w:szCs w:val="20"/>
              </w:rPr>
            </w:pPr>
            <w:r w:rsidRPr="00461732">
              <w:rPr>
                <w:rFonts w:eastAsia="Times New Roman"/>
                <w:color w:val="000000"/>
                <w:sz w:val="20"/>
                <w:szCs w:val="20"/>
              </w:rPr>
              <w:t>$4,4</w:t>
            </w:r>
            <w:r w:rsidR="00B75F34">
              <w:rPr>
                <w:rFonts w:eastAsia="Times New Roman"/>
                <w:color w:val="000000"/>
                <w:sz w:val="20"/>
                <w:szCs w:val="20"/>
              </w:rPr>
              <w:t>7</w:t>
            </w:r>
            <w:r w:rsidRPr="00461732">
              <w:rPr>
                <w:rFonts w:eastAsia="Times New Roman"/>
                <w:color w:val="000000"/>
                <w:sz w:val="20"/>
                <w:szCs w:val="20"/>
              </w:rPr>
              <w:t>0,000</w:t>
            </w:r>
          </w:p>
        </w:tc>
        <w:tc>
          <w:tcPr>
            <w:tcW w:w="1225" w:type="dxa"/>
            <w:tcBorders>
              <w:top w:val="nil"/>
              <w:left w:val="nil"/>
              <w:bottom w:val="single" w:sz="4" w:space="0" w:color="auto"/>
              <w:right w:val="single" w:sz="4" w:space="0" w:color="auto"/>
            </w:tcBorders>
            <w:shd w:val="clear" w:color="auto" w:fill="auto"/>
            <w:noWrap/>
            <w:vAlign w:val="bottom"/>
            <w:hideMark/>
          </w:tcPr>
          <w:p w14:paraId="4A3D3171" w14:textId="778DDE14" w:rsidR="00461732" w:rsidRPr="00461732" w:rsidRDefault="00461732" w:rsidP="00B75F34">
            <w:pPr>
              <w:autoSpaceDE/>
              <w:autoSpaceDN/>
              <w:adjustRightInd/>
              <w:spacing w:line="240" w:lineRule="auto"/>
              <w:jc w:val="center"/>
              <w:rPr>
                <w:rFonts w:eastAsia="Times New Roman"/>
                <w:color w:val="000000"/>
                <w:sz w:val="20"/>
                <w:szCs w:val="20"/>
              </w:rPr>
            </w:pPr>
            <w:r w:rsidRPr="00461732">
              <w:rPr>
                <w:rFonts w:eastAsia="Times New Roman"/>
                <w:color w:val="000000"/>
                <w:sz w:val="20"/>
                <w:szCs w:val="20"/>
              </w:rPr>
              <w:t>$5,0</w:t>
            </w:r>
            <w:r w:rsidR="00B75F34">
              <w:rPr>
                <w:rFonts w:eastAsia="Times New Roman"/>
                <w:color w:val="000000"/>
                <w:sz w:val="20"/>
                <w:szCs w:val="20"/>
              </w:rPr>
              <w:t>8</w:t>
            </w:r>
            <w:r w:rsidRPr="00461732">
              <w:rPr>
                <w:rFonts w:eastAsia="Times New Roman"/>
                <w:color w:val="000000"/>
                <w:sz w:val="20"/>
                <w:szCs w:val="20"/>
              </w:rPr>
              <w:t>0,000</w:t>
            </w:r>
          </w:p>
        </w:tc>
      </w:tr>
      <w:tr w:rsidR="00461732" w:rsidRPr="00461732" w14:paraId="6CBDCB9C" w14:textId="77777777" w:rsidTr="004A7B59">
        <w:trPr>
          <w:trHeight w:val="276"/>
          <w:jc w:val="center"/>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70AE0" w14:textId="77777777" w:rsidR="00461732" w:rsidRPr="00461732" w:rsidRDefault="00461732" w:rsidP="00461732">
            <w:pPr>
              <w:autoSpaceDE/>
              <w:autoSpaceDN/>
              <w:adjustRightInd/>
              <w:spacing w:line="240" w:lineRule="auto"/>
              <w:jc w:val="right"/>
              <w:rPr>
                <w:rFonts w:eastAsia="Times New Roman"/>
                <w:b/>
                <w:bCs/>
                <w:color w:val="000000"/>
                <w:sz w:val="20"/>
                <w:szCs w:val="20"/>
              </w:rPr>
            </w:pPr>
            <w:r w:rsidRPr="00461732">
              <w:rPr>
                <w:rFonts w:eastAsia="Times New Roman"/>
                <w:b/>
                <w:bCs/>
                <w:color w:val="000000"/>
                <w:sz w:val="20"/>
                <w:szCs w:val="20"/>
              </w:rPr>
              <w:t>Total Industry Cost:</w:t>
            </w:r>
          </w:p>
        </w:tc>
        <w:tc>
          <w:tcPr>
            <w:tcW w:w="1630" w:type="dxa"/>
            <w:tcBorders>
              <w:top w:val="nil"/>
              <w:left w:val="nil"/>
              <w:bottom w:val="single" w:sz="4" w:space="0" w:color="auto"/>
              <w:right w:val="single" w:sz="4" w:space="0" w:color="auto"/>
            </w:tcBorders>
            <w:shd w:val="clear" w:color="auto" w:fill="auto"/>
            <w:noWrap/>
            <w:vAlign w:val="bottom"/>
            <w:hideMark/>
          </w:tcPr>
          <w:p w14:paraId="1FB92126" w14:textId="252F617B" w:rsidR="00461732" w:rsidRPr="00461732" w:rsidRDefault="00461732" w:rsidP="00B75F34">
            <w:pPr>
              <w:autoSpaceDE/>
              <w:autoSpaceDN/>
              <w:adjustRightInd/>
              <w:spacing w:line="240" w:lineRule="auto"/>
              <w:jc w:val="center"/>
              <w:rPr>
                <w:rFonts w:eastAsia="Times New Roman"/>
                <w:b/>
                <w:bCs/>
                <w:color w:val="000000"/>
                <w:sz w:val="20"/>
                <w:szCs w:val="20"/>
              </w:rPr>
            </w:pPr>
            <w:r>
              <w:rPr>
                <w:rFonts w:eastAsia="Times New Roman"/>
                <w:b/>
                <w:bCs/>
                <w:color w:val="000000"/>
                <w:sz w:val="20"/>
                <w:szCs w:val="20"/>
              </w:rPr>
              <w:t>$5,</w:t>
            </w:r>
            <w:r w:rsidR="00B75F34">
              <w:rPr>
                <w:rFonts w:eastAsia="Times New Roman"/>
                <w:b/>
                <w:bCs/>
                <w:color w:val="000000"/>
                <w:sz w:val="20"/>
                <w:szCs w:val="20"/>
              </w:rPr>
              <w:t>62</w:t>
            </w:r>
            <w:r>
              <w:rPr>
                <w:rFonts w:eastAsia="Times New Roman"/>
                <w:b/>
                <w:bCs/>
                <w:color w:val="000000"/>
                <w:sz w:val="20"/>
                <w:szCs w:val="20"/>
              </w:rPr>
              <w:t>0,000</w:t>
            </w:r>
          </w:p>
        </w:tc>
        <w:tc>
          <w:tcPr>
            <w:tcW w:w="1225" w:type="dxa"/>
            <w:tcBorders>
              <w:top w:val="nil"/>
              <w:left w:val="nil"/>
              <w:bottom w:val="single" w:sz="4" w:space="0" w:color="auto"/>
              <w:right w:val="single" w:sz="4" w:space="0" w:color="auto"/>
            </w:tcBorders>
            <w:shd w:val="clear" w:color="auto" w:fill="auto"/>
            <w:noWrap/>
            <w:vAlign w:val="bottom"/>
            <w:hideMark/>
          </w:tcPr>
          <w:p w14:paraId="1C396641" w14:textId="445905AB" w:rsidR="00461732" w:rsidRPr="00461732" w:rsidRDefault="00461732" w:rsidP="00B75F34">
            <w:pPr>
              <w:autoSpaceDE/>
              <w:autoSpaceDN/>
              <w:adjustRightInd/>
              <w:spacing w:line="240" w:lineRule="auto"/>
              <w:jc w:val="center"/>
              <w:rPr>
                <w:rFonts w:eastAsia="Times New Roman"/>
                <w:b/>
                <w:bCs/>
                <w:color w:val="000000"/>
                <w:sz w:val="20"/>
                <w:szCs w:val="20"/>
              </w:rPr>
            </w:pPr>
            <w:r>
              <w:rPr>
                <w:rFonts w:eastAsia="Times New Roman"/>
                <w:b/>
                <w:bCs/>
                <w:color w:val="000000"/>
                <w:sz w:val="20"/>
                <w:szCs w:val="20"/>
              </w:rPr>
              <w:t>$4,4</w:t>
            </w:r>
            <w:r w:rsidR="00B75F34">
              <w:rPr>
                <w:rFonts w:eastAsia="Times New Roman"/>
                <w:b/>
                <w:bCs/>
                <w:color w:val="000000"/>
                <w:sz w:val="20"/>
                <w:szCs w:val="20"/>
              </w:rPr>
              <w:t>7</w:t>
            </w:r>
            <w:r>
              <w:rPr>
                <w:rFonts w:eastAsia="Times New Roman"/>
                <w:b/>
                <w:bCs/>
                <w:color w:val="000000"/>
                <w:sz w:val="20"/>
                <w:szCs w:val="20"/>
              </w:rPr>
              <w:t>0,000</w:t>
            </w:r>
          </w:p>
        </w:tc>
        <w:tc>
          <w:tcPr>
            <w:tcW w:w="1225" w:type="dxa"/>
            <w:tcBorders>
              <w:top w:val="nil"/>
              <w:left w:val="nil"/>
              <w:bottom w:val="single" w:sz="4" w:space="0" w:color="auto"/>
              <w:right w:val="single" w:sz="4" w:space="0" w:color="auto"/>
            </w:tcBorders>
            <w:shd w:val="clear" w:color="auto" w:fill="auto"/>
            <w:noWrap/>
            <w:vAlign w:val="bottom"/>
            <w:hideMark/>
          </w:tcPr>
          <w:p w14:paraId="61148EF9" w14:textId="035C79FB" w:rsidR="00461732" w:rsidRPr="00461732" w:rsidRDefault="00461732" w:rsidP="00B75F34">
            <w:pPr>
              <w:autoSpaceDE/>
              <w:autoSpaceDN/>
              <w:adjustRightInd/>
              <w:spacing w:line="240" w:lineRule="auto"/>
              <w:jc w:val="center"/>
              <w:rPr>
                <w:rFonts w:eastAsia="Times New Roman"/>
                <w:b/>
                <w:bCs/>
                <w:color w:val="000000"/>
                <w:sz w:val="20"/>
                <w:szCs w:val="20"/>
              </w:rPr>
            </w:pPr>
            <w:r>
              <w:rPr>
                <w:rFonts w:eastAsia="Times New Roman"/>
                <w:b/>
                <w:bCs/>
                <w:color w:val="000000"/>
                <w:sz w:val="20"/>
                <w:szCs w:val="20"/>
              </w:rPr>
              <w:t>$5,0</w:t>
            </w:r>
            <w:r w:rsidR="00B75F34">
              <w:rPr>
                <w:rFonts w:eastAsia="Times New Roman"/>
                <w:b/>
                <w:bCs/>
                <w:color w:val="000000"/>
                <w:sz w:val="20"/>
                <w:szCs w:val="20"/>
              </w:rPr>
              <w:t>8</w:t>
            </w:r>
            <w:r>
              <w:rPr>
                <w:rFonts w:eastAsia="Times New Roman"/>
                <w:b/>
                <w:bCs/>
                <w:color w:val="000000"/>
                <w:sz w:val="20"/>
                <w:szCs w:val="20"/>
              </w:rPr>
              <w:t>0,000</w:t>
            </w:r>
          </w:p>
        </w:tc>
      </w:tr>
    </w:tbl>
    <w:p w14:paraId="4A01C9CE" w14:textId="70741EC3" w:rsidR="00D53E6F" w:rsidRDefault="00461732" w:rsidP="00560F67">
      <w:pPr>
        <w:spacing w:line="240" w:lineRule="auto"/>
        <w:ind w:left="1440" w:hanging="270"/>
        <w:rPr>
          <w:sz w:val="18"/>
        </w:rPr>
      </w:pPr>
      <w:r w:rsidRPr="004A7B59">
        <w:rPr>
          <w:sz w:val="18"/>
          <w:vertAlign w:val="superscript"/>
        </w:rPr>
        <w:t>a</w:t>
      </w:r>
      <w:r>
        <w:rPr>
          <w:sz w:val="18"/>
        </w:rPr>
        <w:tab/>
      </w:r>
      <w:r w:rsidR="00D53E6F" w:rsidRPr="00EE0761">
        <w:rPr>
          <w:sz w:val="18"/>
        </w:rPr>
        <w:t xml:space="preserve">Total costs are rounded to </w:t>
      </w:r>
      <w:r w:rsidR="00D53E6F">
        <w:rPr>
          <w:sz w:val="18"/>
        </w:rPr>
        <w:t>three significant figures</w:t>
      </w:r>
      <w:r w:rsidR="00D53E6F" w:rsidRPr="00EE0761">
        <w:rPr>
          <w:sz w:val="18"/>
        </w:rPr>
        <w:t>.</w:t>
      </w:r>
    </w:p>
    <w:p w14:paraId="41A7BD4D" w14:textId="77777777" w:rsidR="00D53E6F" w:rsidRPr="00EE0761" w:rsidRDefault="00D53E6F" w:rsidP="00D53E6F">
      <w:pPr>
        <w:spacing w:line="240" w:lineRule="auto"/>
        <w:rPr>
          <w:sz w:val="18"/>
        </w:rPr>
      </w:pPr>
    </w:p>
    <w:p w14:paraId="5B16082A" w14:textId="77777777" w:rsidR="00D53E6F" w:rsidRDefault="00D53E6F" w:rsidP="00D53E6F">
      <w:pPr>
        <w:pStyle w:val="Heading2"/>
        <w:tabs>
          <w:tab w:val="left" w:pos="540"/>
        </w:tabs>
        <w:spacing w:line="240" w:lineRule="auto"/>
      </w:pPr>
      <w:bookmarkStart w:id="232" w:name="_Toc456098286"/>
      <w:bookmarkStart w:id="233" w:name="_Toc457827299"/>
      <w:bookmarkStart w:id="234" w:name="_Toc12808837"/>
      <w:r w:rsidRPr="00C252A1">
        <w:t>5.</w:t>
      </w:r>
      <w:r>
        <w:t>6</w:t>
      </w:r>
      <w:r>
        <w:tab/>
      </w:r>
      <w:r w:rsidRPr="00461295">
        <w:t>NRC Implementation</w:t>
      </w:r>
      <w:bookmarkEnd w:id="232"/>
      <w:bookmarkEnd w:id="233"/>
      <w:bookmarkEnd w:id="234"/>
    </w:p>
    <w:p w14:paraId="77442140" w14:textId="77777777" w:rsidR="00D53E6F" w:rsidRDefault="00D53E6F" w:rsidP="00D53E6F">
      <w:pPr>
        <w:pStyle w:val="ListParagraph"/>
        <w:spacing w:line="240" w:lineRule="auto"/>
        <w:ind w:left="0"/>
      </w:pPr>
    </w:p>
    <w:p w14:paraId="0BBC86F8" w14:textId="31CD1288" w:rsidR="00D53E6F" w:rsidRPr="00C252A1" w:rsidRDefault="00D53E6F" w:rsidP="00D53E6F">
      <w:pPr>
        <w:pStyle w:val="ListParagraph"/>
        <w:spacing w:line="240" w:lineRule="auto"/>
        <w:ind w:left="0"/>
      </w:pPr>
      <w:r>
        <w:t xml:space="preserve">Because the final rule stage concludes the rulemaking process, the </w:t>
      </w:r>
      <w:r w:rsidRPr="00EC1BF7">
        <w:t>NRC will</w:t>
      </w:r>
      <w:r>
        <w:t xml:space="preserve"> not</w:t>
      </w:r>
      <w:r w:rsidRPr="00EC1BF7">
        <w:t xml:space="preserve"> incur </w:t>
      </w:r>
      <w:r>
        <w:t xml:space="preserve">further </w:t>
      </w:r>
      <w:r w:rsidRPr="00EC1BF7">
        <w:t>implementation costs for the rulemaking process.</w:t>
      </w:r>
    </w:p>
    <w:p w14:paraId="5A928F2A" w14:textId="77777777" w:rsidR="00D53E6F" w:rsidRDefault="00D53E6F" w:rsidP="00D53E6F">
      <w:pPr>
        <w:spacing w:line="240" w:lineRule="auto"/>
      </w:pPr>
      <w:bookmarkStart w:id="235" w:name="_Toc456098287"/>
    </w:p>
    <w:p w14:paraId="438B2B81" w14:textId="77777777" w:rsidR="00D53E6F" w:rsidRDefault="00D53E6F" w:rsidP="00D53E6F">
      <w:pPr>
        <w:pStyle w:val="Heading3"/>
        <w:spacing w:line="240" w:lineRule="auto"/>
        <w:ind w:left="720" w:hanging="720"/>
      </w:pPr>
      <w:bookmarkStart w:id="236" w:name="_Toc456098288"/>
      <w:bookmarkStart w:id="237" w:name="_Toc12808838"/>
      <w:bookmarkEnd w:id="235"/>
      <w:r>
        <w:t>5.6.1</w:t>
      </w:r>
      <w:r>
        <w:tab/>
      </w:r>
      <w:bookmarkEnd w:id="236"/>
      <w:r w:rsidRPr="00C87607">
        <w:rPr>
          <w:szCs w:val="22"/>
        </w:rPr>
        <w:t xml:space="preserve">Additional Materials for Subsection NF, Class 1, 2, 3, and </w:t>
      </w:r>
      <w:r>
        <w:rPr>
          <w:szCs w:val="22"/>
        </w:rPr>
        <w:t>Metal Containment</w:t>
      </w:r>
      <w:r w:rsidRPr="00C87607">
        <w:rPr>
          <w:szCs w:val="22"/>
        </w:rPr>
        <w:t xml:space="preserve"> Supports Fabricated by Welding</w:t>
      </w:r>
      <w:bookmarkEnd w:id="237"/>
    </w:p>
    <w:p w14:paraId="4D10C742" w14:textId="77777777" w:rsidR="00D53E6F" w:rsidRDefault="00D53E6F" w:rsidP="00D53E6F">
      <w:pPr>
        <w:spacing w:line="240" w:lineRule="auto"/>
      </w:pPr>
    </w:p>
    <w:p w14:paraId="17B90F30" w14:textId="77777777" w:rsidR="00D53E6F" w:rsidRDefault="00D53E6F" w:rsidP="00D53E6F">
      <w:pPr>
        <w:spacing w:line="240" w:lineRule="auto"/>
      </w:pPr>
      <w:r>
        <w:t>The NRC does not expect the agency to incur incremental implementation costs associated with the conditions of this ASME Code Case, which are either identical or substantively identical to existing conditions or are administrative in nature.</w:t>
      </w:r>
    </w:p>
    <w:p w14:paraId="3188609B" w14:textId="77777777" w:rsidR="00D53E6F" w:rsidRDefault="00D53E6F" w:rsidP="00D53E6F">
      <w:pPr>
        <w:spacing w:line="240" w:lineRule="auto"/>
      </w:pPr>
    </w:p>
    <w:p w14:paraId="57EEEEAD" w14:textId="77777777" w:rsidR="00D53E6F" w:rsidRDefault="00D53E6F" w:rsidP="00D53E6F">
      <w:pPr>
        <w:pStyle w:val="Heading3"/>
        <w:keepLines/>
        <w:spacing w:line="240" w:lineRule="auto"/>
        <w:ind w:left="720" w:hanging="720"/>
      </w:pPr>
      <w:bookmarkStart w:id="238" w:name="_Toc456098289"/>
      <w:bookmarkStart w:id="239" w:name="_Toc12808839"/>
      <w:r>
        <w:t>5.6.2</w:t>
      </w:r>
      <w:r>
        <w:tab/>
      </w:r>
      <w:bookmarkEnd w:id="238"/>
      <w:r w:rsidRPr="004C46E3">
        <w:rPr>
          <w:szCs w:val="22"/>
        </w:rPr>
        <w:t>Underwater Welding, Section XI, Division</w:t>
      </w:r>
      <w:r>
        <w:rPr>
          <w:szCs w:val="22"/>
        </w:rPr>
        <w:t xml:space="preserve"> 1</w:t>
      </w:r>
      <w:bookmarkEnd w:id="239"/>
    </w:p>
    <w:p w14:paraId="044750EC" w14:textId="77777777" w:rsidR="00D53E6F" w:rsidRDefault="00D53E6F" w:rsidP="00D53E6F">
      <w:pPr>
        <w:keepNext/>
        <w:keepLines/>
        <w:spacing w:line="240" w:lineRule="auto"/>
      </w:pPr>
    </w:p>
    <w:p w14:paraId="3EF81AB1" w14:textId="77777777" w:rsidR="00D53E6F" w:rsidRDefault="00D53E6F" w:rsidP="00D53E6F">
      <w:pPr>
        <w:keepNext/>
        <w:keepLines/>
        <w:spacing w:line="240" w:lineRule="auto"/>
      </w:pPr>
      <w:r>
        <w:t>The NRC does not expect the agency</w:t>
      </w:r>
      <w:r w:rsidDel="00B80306">
        <w:t xml:space="preserve"> </w:t>
      </w:r>
      <w:r>
        <w:t>to incur incremental implementation costs associated with the conditions of this ASME Code Case, which are clarifications of the existing condition.</w:t>
      </w:r>
    </w:p>
    <w:p w14:paraId="4F24D18A" w14:textId="77777777" w:rsidR="00D53E6F" w:rsidRDefault="00D53E6F" w:rsidP="00D53E6F">
      <w:pPr>
        <w:spacing w:line="240" w:lineRule="auto"/>
      </w:pPr>
    </w:p>
    <w:p w14:paraId="528781C9" w14:textId="77777777" w:rsidR="00D53E6F" w:rsidRDefault="00D53E6F" w:rsidP="00D53E6F">
      <w:pPr>
        <w:pStyle w:val="Heading3"/>
        <w:ind w:left="720" w:hanging="720"/>
        <w:rPr>
          <w:szCs w:val="22"/>
        </w:rPr>
      </w:pPr>
      <w:bookmarkStart w:id="240" w:name="_Toc12808840"/>
      <w:r>
        <w:t>5.6.3</w:t>
      </w:r>
      <w:r>
        <w:tab/>
      </w:r>
      <w:r w:rsidRPr="00C87607">
        <w:rPr>
          <w:szCs w:val="22"/>
        </w:rPr>
        <w:t>Evaluation of Pipe Wall Thinning</w:t>
      </w:r>
      <w:r>
        <w:rPr>
          <w:szCs w:val="22"/>
        </w:rPr>
        <w:t>,</w:t>
      </w:r>
      <w:r w:rsidRPr="00C87607">
        <w:rPr>
          <w:szCs w:val="22"/>
        </w:rPr>
        <w:t xml:space="preserve"> Section XI</w:t>
      </w:r>
      <w:bookmarkEnd w:id="240"/>
    </w:p>
    <w:p w14:paraId="338AD004" w14:textId="77777777" w:rsidR="00D53E6F" w:rsidRDefault="00D53E6F" w:rsidP="00D53E6F">
      <w:pPr>
        <w:spacing w:line="240" w:lineRule="auto"/>
      </w:pPr>
    </w:p>
    <w:p w14:paraId="6F5AF4AE" w14:textId="77777777" w:rsidR="00D53E6F" w:rsidRDefault="00D53E6F" w:rsidP="00D53E6F">
      <w:pPr>
        <w:spacing w:line="240" w:lineRule="auto"/>
      </w:pPr>
      <w:r>
        <w:t>The NRC does not expect the agency to incur incremental implementation costs associated with the conditions of this ASME Code Case, which are either identical or substantively identical to existing conditions.</w:t>
      </w:r>
    </w:p>
    <w:p w14:paraId="0F699F24" w14:textId="77777777" w:rsidR="00D53E6F" w:rsidRDefault="00D53E6F" w:rsidP="00D53E6F">
      <w:pPr>
        <w:spacing w:line="240" w:lineRule="auto"/>
      </w:pPr>
    </w:p>
    <w:p w14:paraId="620AD928" w14:textId="77777777" w:rsidR="00D53E6F" w:rsidRDefault="00D53E6F" w:rsidP="00D53E6F">
      <w:pPr>
        <w:pStyle w:val="Heading3"/>
        <w:spacing w:line="240" w:lineRule="auto"/>
        <w:ind w:left="720" w:hanging="720"/>
      </w:pPr>
      <w:bookmarkStart w:id="241" w:name="_Toc456098290"/>
      <w:bookmarkStart w:id="242" w:name="_Toc12808841"/>
      <w:r>
        <w:t>5.6.4</w:t>
      </w:r>
      <w:r>
        <w:tab/>
      </w:r>
      <w:bookmarkEnd w:id="241"/>
      <w:r w:rsidRPr="00C87607">
        <w:rPr>
          <w:szCs w:val="22"/>
        </w:rPr>
        <w:t xml:space="preserve">Similar and Dissimilar Metal Welding Using </w:t>
      </w:r>
      <w:r>
        <w:rPr>
          <w:szCs w:val="22"/>
        </w:rPr>
        <w:t xml:space="preserve">an </w:t>
      </w:r>
      <w:r w:rsidRPr="00C87607">
        <w:rPr>
          <w:szCs w:val="22"/>
        </w:rPr>
        <w:t xml:space="preserve">Ambient Temperature Machine </w:t>
      </w:r>
      <w:r w:rsidRPr="00534C1D">
        <w:rPr>
          <w:szCs w:val="22"/>
        </w:rPr>
        <w:t>Gas Tungsten Arc Welding</w:t>
      </w:r>
      <w:r w:rsidRPr="00C87607">
        <w:rPr>
          <w:szCs w:val="22"/>
        </w:rPr>
        <w:t xml:space="preserve"> Temper Bead Technique for </w:t>
      </w:r>
      <w:r>
        <w:rPr>
          <w:szCs w:val="22"/>
        </w:rPr>
        <w:t>Boiling-Water Reactor Control Rod Drive</w:t>
      </w:r>
      <w:r w:rsidRPr="00C87607">
        <w:rPr>
          <w:szCs w:val="22"/>
        </w:rPr>
        <w:t xml:space="preserve"> Housing/Stub Tube Repairs</w:t>
      </w:r>
      <w:bookmarkEnd w:id="242"/>
    </w:p>
    <w:p w14:paraId="5539AC65" w14:textId="77777777" w:rsidR="00D53E6F" w:rsidRDefault="00D53E6F" w:rsidP="00D53E6F">
      <w:pPr>
        <w:keepNext/>
        <w:spacing w:line="240" w:lineRule="auto"/>
      </w:pPr>
    </w:p>
    <w:p w14:paraId="209788DE" w14:textId="77777777" w:rsidR="00D53E6F" w:rsidRDefault="00D53E6F" w:rsidP="00D53E6F">
      <w:pPr>
        <w:spacing w:line="240" w:lineRule="auto"/>
      </w:pPr>
      <w:r>
        <w:t>The NRC does not expect the agency</w:t>
      </w:r>
      <w:r w:rsidDel="00B80306">
        <w:t xml:space="preserve"> </w:t>
      </w:r>
      <w:r>
        <w:t>to incur incremental implementation costs associated with the condition of this ASME Code Case, which is identical to the existing condition.</w:t>
      </w:r>
    </w:p>
    <w:p w14:paraId="706A6EE2" w14:textId="77777777" w:rsidR="00D53E6F" w:rsidRDefault="00D53E6F" w:rsidP="00D53E6F">
      <w:pPr>
        <w:spacing w:line="240" w:lineRule="auto"/>
      </w:pPr>
    </w:p>
    <w:p w14:paraId="3E2CC3D2" w14:textId="77777777" w:rsidR="00D53E6F" w:rsidRPr="00162C82" w:rsidRDefault="00D53E6F" w:rsidP="00D53E6F">
      <w:pPr>
        <w:pStyle w:val="Heading3"/>
        <w:spacing w:line="240" w:lineRule="auto"/>
        <w:ind w:left="720" w:hanging="720"/>
      </w:pPr>
      <w:bookmarkStart w:id="243" w:name="_Toc456098291"/>
      <w:bookmarkStart w:id="244" w:name="_Toc12808842"/>
      <w:r>
        <w:t>5.6.5</w:t>
      </w:r>
      <w:r>
        <w:tab/>
      </w:r>
      <w:bookmarkEnd w:id="243"/>
      <w:r w:rsidRPr="0072340A">
        <w:rPr>
          <w:szCs w:val="22"/>
        </w:rPr>
        <w:t>Similar and Dissimilar Metal Welding Using</w:t>
      </w:r>
      <w:r>
        <w:rPr>
          <w:szCs w:val="22"/>
        </w:rPr>
        <w:t xml:space="preserve"> an</w:t>
      </w:r>
      <w:r w:rsidRPr="0072340A">
        <w:rPr>
          <w:szCs w:val="22"/>
        </w:rPr>
        <w:t xml:space="preserve"> Ambient Temperature Machine </w:t>
      </w:r>
      <w:r w:rsidRPr="00534C1D">
        <w:rPr>
          <w:szCs w:val="22"/>
        </w:rPr>
        <w:t>Gas Tungsten Arc Welding</w:t>
      </w:r>
      <w:r>
        <w:rPr>
          <w:szCs w:val="22"/>
        </w:rPr>
        <w:t xml:space="preserve"> </w:t>
      </w:r>
      <w:r w:rsidRPr="0072340A">
        <w:rPr>
          <w:szCs w:val="22"/>
        </w:rPr>
        <w:t>Temper Bead Technique</w:t>
      </w:r>
      <w:bookmarkEnd w:id="244"/>
    </w:p>
    <w:p w14:paraId="56612289" w14:textId="77777777" w:rsidR="00D53E6F" w:rsidRDefault="00D53E6F" w:rsidP="00D53E6F">
      <w:pPr>
        <w:keepNext/>
        <w:spacing w:line="240" w:lineRule="auto"/>
      </w:pPr>
    </w:p>
    <w:p w14:paraId="6776B40A" w14:textId="77777777" w:rsidR="00D53E6F" w:rsidRDefault="00D53E6F" w:rsidP="00D53E6F">
      <w:pPr>
        <w:spacing w:line="240" w:lineRule="auto"/>
      </w:pPr>
      <w:r>
        <w:t>The NRC does not expect the agency</w:t>
      </w:r>
      <w:r w:rsidDel="00B80306">
        <w:t xml:space="preserve"> </w:t>
      </w:r>
      <w:r>
        <w:t>to incur incremental NRC implementation costs associated with the condition of this ASME Code Case, which is identical to the existing condition.</w:t>
      </w:r>
    </w:p>
    <w:p w14:paraId="4FE5CE68" w14:textId="77777777" w:rsidR="00D53E6F" w:rsidRDefault="00D53E6F" w:rsidP="00D53E6F">
      <w:pPr>
        <w:spacing w:line="240" w:lineRule="auto"/>
      </w:pPr>
    </w:p>
    <w:p w14:paraId="3E2C3F67" w14:textId="77777777" w:rsidR="00D53E6F" w:rsidRDefault="00D53E6F" w:rsidP="00D53E6F">
      <w:pPr>
        <w:pStyle w:val="Heading3"/>
        <w:spacing w:line="240" w:lineRule="auto"/>
        <w:ind w:left="720" w:hanging="720"/>
      </w:pPr>
      <w:bookmarkStart w:id="245" w:name="_Toc456098292"/>
      <w:bookmarkStart w:id="246" w:name="_Toc12808843"/>
      <w:r>
        <w:t>5.6.6</w:t>
      </w:r>
      <w:r>
        <w:tab/>
      </w:r>
      <w:bookmarkEnd w:id="245"/>
      <w:r w:rsidRPr="0072340A">
        <w:rPr>
          <w:szCs w:val="22"/>
        </w:rPr>
        <w:t>Alternative Requirements for Inner Radius Examinations of Class 1 Reactor Vessel Nozzles</w:t>
      </w:r>
      <w:r>
        <w:rPr>
          <w:szCs w:val="22"/>
        </w:rPr>
        <w:t>,</w:t>
      </w:r>
      <w:r w:rsidRPr="0072340A">
        <w:rPr>
          <w:szCs w:val="22"/>
        </w:rPr>
        <w:t xml:space="preserve"> Section XI</w:t>
      </w:r>
      <w:bookmarkEnd w:id="246"/>
    </w:p>
    <w:p w14:paraId="4289212B" w14:textId="77777777" w:rsidR="00D53E6F" w:rsidRDefault="00D53E6F" w:rsidP="004A7B59">
      <w:pPr>
        <w:keepNext/>
        <w:spacing w:line="240" w:lineRule="auto"/>
      </w:pPr>
    </w:p>
    <w:p w14:paraId="21CA44CA" w14:textId="77777777" w:rsidR="00D53E6F" w:rsidRDefault="00D53E6F" w:rsidP="00D53E6F">
      <w:pPr>
        <w:spacing w:line="240" w:lineRule="auto"/>
      </w:pPr>
      <w:r>
        <w:t>The NRC does not expect the agency</w:t>
      </w:r>
      <w:r w:rsidDel="00B80306">
        <w:t xml:space="preserve"> </w:t>
      </w:r>
      <w:r>
        <w:t>to incur incremental implementation costs for ISIs associated with the condition of this ASME Code Case.</w:t>
      </w:r>
    </w:p>
    <w:p w14:paraId="67BDCEE0" w14:textId="77777777" w:rsidR="00D53E6F" w:rsidRDefault="00D53E6F" w:rsidP="00D53E6F">
      <w:pPr>
        <w:spacing w:line="240" w:lineRule="auto"/>
      </w:pPr>
    </w:p>
    <w:p w14:paraId="77B64AE0" w14:textId="77777777" w:rsidR="00D53E6F" w:rsidRDefault="00D53E6F" w:rsidP="00D53E6F">
      <w:pPr>
        <w:pStyle w:val="Heading3"/>
        <w:spacing w:line="240" w:lineRule="auto"/>
        <w:ind w:left="720" w:hanging="720"/>
      </w:pPr>
      <w:bookmarkStart w:id="247" w:name="_Toc456098293"/>
      <w:bookmarkStart w:id="248" w:name="_Toc12808844"/>
      <w:r>
        <w:t>5.6.7</w:t>
      </w:r>
      <w:r>
        <w:tab/>
      </w:r>
      <w:bookmarkEnd w:id="247"/>
      <w:r w:rsidRPr="001D24C0">
        <w:rPr>
          <w:szCs w:val="22"/>
        </w:rPr>
        <w:t xml:space="preserve">Qualification Requirements for </w:t>
      </w:r>
      <w:r>
        <w:rPr>
          <w:szCs w:val="22"/>
        </w:rPr>
        <w:t>Dissimilar Metal Piping Welds</w:t>
      </w:r>
      <w:bookmarkEnd w:id="248"/>
    </w:p>
    <w:p w14:paraId="27637BF9" w14:textId="77777777" w:rsidR="00D53E6F" w:rsidRDefault="00D53E6F" w:rsidP="00D53E6F">
      <w:pPr>
        <w:keepNext/>
        <w:spacing w:line="240" w:lineRule="auto"/>
      </w:pPr>
    </w:p>
    <w:p w14:paraId="2E97B807" w14:textId="77777777" w:rsidR="00D53E6F" w:rsidRDefault="00D53E6F" w:rsidP="00D53E6F">
      <w:pPr>
        <w:spacing w:line="240" w:lineRule="auto"/>
      </w:pPr>
      <w:r>
        <w:t>The NRC does not expect the agency</w:t>
      </w:r>
      <w:r w:rsidDel="00B80306">
        <w:t xml:space="preserve"> </w:t>
      </w:r>
      <w:r>
        <w:t>to incur incremental implementation costs associated with the condition of this ASME Code Case because the resulting relief request is an operation cost.</w:t>
      </w:r>
    </w:p>
    <w:p w14:paraId="0D7BC3B5" w14:textId="77777777" w:rsidR="00D53E6F" w:rsidRDefault="00D53E6F" w:rsidP="00D53E6F">
      <w:pPr>
        <w:spacing w:line="240" w:lineRule="auto"/>
      </w:pPr>
    </w:p>
    <w:p w14:paraId="600F9E17" w14:textId="77777777" w:rsidR="00D53E6F" w:rsidRDefault="00D53E6F" w:rsidP="00D53E6F">
      <w:pPr>
        <w:pStyle w:val="Heading3"/>
        <w:spacing w:line="240" w:lineRule="auto"/>
        <w:ind w:left="720" w:hanging="720"/>
      </w:pPr>
      <w:bookmarkStart w:id="249" w:name="_Toc456098294"/>
      <w:bookmarkStart w:id="250" w:name="_Toc12808845"/>
      <w:r>
        <w:t>5.6.8</w:t>
      </w:r>
      <w:r>
        <w:tab/>
      </w:r>
      <w:bookmarkEnd w:id="249"/>
      <w:r w:rsidRPr="0072340A">
        <w:rPr>
          <w:szCs w:val="22"/>
        </w:rPr>
        <w:t>Qualification Requirements for Mandatory Appendix VIII Piping Examination Conducted from the Inside Surface</w:t>
      </w:r>
      <w:bookmarkEnd w:id="250"/>
    </w:p>
    <w:p w14:paraId="5230C00E" w14:textId="77777777" w:rsidR="00D53E6F" w:rsidRDefault="00D53E6F" w:rsidP="00D53E6F">
      <w:pPr>
        <w:spacing w:line="240" w:lineRule="auto"/>
      </w:pPr>
    </w:p>
    <w:p w14:paraId="3344C1E9" w14:textId="77777777" w:rsidR="00D53E6F" w:rsidRDefault="00D53E6F" w:rsidP="00D53E6F">
      <w:pPr>
        <w:spacing w:line="240" w:lineRule="auto"/>
      </w:pPr>
      <w:r>
        <w:t>The NRC does not expect the agency to incur incremental implementation costs associated with the condition of this ASME Code Case because the resulting relief request is an operation cost.</w:t>
      </w:r>
    </w:p>
    <w:p w14:paraId="6FCFE5E7" w14:textId="77777777" w:rsidR="00D53E6F" w:rsidRDefault="00D53E6F" w:rsidP="00D53E6F">
      <w:pPr>
        <w:spacing w:line="240" w:lineRule="auto"/>
      </w:pPr>
    </w:p>
    <w:p w14:paraId="15B3BC17" w14:textId="77777777" w:rsidR="00D53E6F" w:rsidRDefault="00D53E6F" w:rsidP="00D53E6F">
      <w:pPr>
        <w:pStyle w:val="Heading3"/>
        <w:spacing w:line="240" w:lineRule="auto"/>
        <w:ind w:left="720" w:hanging="720"/>
      </w:pPr>
      <w:bookmarkStart w:id="251" w:name="_Toc456098295"/>
      <w:bookmarkStart w:id="252" w:name="_Toc12808846"/>
      <w:r>
        <w:t>5.6.9</w:t>
      </w:r>
      <w:r>
        <w:tab/>
      </w:r>
      <w:bookmarkEnd w:id="251"/>
      <w:r w:rsidRPr="001D24C0">
        <w:rPr>
          <w:szCs w:val="22"/>
        </w:rPr>
        <w:t>Alternative Requirements for Boiling</w:t>
      </w:r>
      <w:r>
        <w:rPr>
          <w:szCs w:val="22"/>
        </w:rPr>
        <w:noBreakHyphen/>
      </w:r>
      <w:r w:rsidRPr="001D24C0">
        <w:rPr>
          <w:szCs w:val="22"/>
        </w:rPr>
        <w:t>Water Reactor Nozzle Inner Radius and Nozzle</w:t>
      </w:r>
      <w:r>
        <w:rPr>
          <w:szCs w:val="22"/>
        </w:rPr>
        <w:noBreakHyphen/>
      </w:r>
      <w:r w:rsidRPr="001D24C0">
        <w:rPr>
          <w:szCs w:val="22"/>
        </w:rPr>
        <w:t>to</w:t>
      </w:r>
      <w:r>
        <w:rPr>
          <w:szCs w:val="22"/>
        </w:rPr>
        <w:noBreakHyphen/>
      </w:r>
      <w:r w:rsidRPr="001D24C0">
        <w:rPr>
          <w:szCs w:val="22"/>
        </w:rPr>
        <w:t xml:space="preserve">Shell Welds, </w:t>
      </w:r>
      <w:r>
        <w:rPr>
          <w:szCs w:val="22"/>
        </w:rPr>
        <w:t xml:space="preserve">ASME BPV Code, </w:t>
      </w:r>
      <w:r w:rsidRPr="001D24C0">
        <w:rPr>
          <w:szCs w:val="22"/>
        </w:rPr>
        <w:t>Section XI, Division 1</w:t>
      </w:r>
      <w:bookmarkEnd w:id="252"/>
    </w:p>
    <w:p w14:paraId="2B438ADC" w14:textId="77777777" w:rsidR="00D53E6F" w:rsidRDefault="00D53E6F" w:rsidP="00D53E6F">
      <w:pPr>
        <w:spacing w:line="240" w:lineRule="auto"/>
      </w:pPr>
    </w:p>
    <w:p w14:paraId="5932DEDB" w14:textId="77777777" w:rsidR="00D53E6F" w:rsidRDefault="00D53E6F" w:rsidP="00D53E6F">
      <w:pPr>
        <w:spacing w:line="240" w:lineRule="auto"/>
      </w:pPr>
      <w:r>
        <w:t>The NRC does not expect the agency</w:t>
      </w:r>
      <w:r w:rsidDel="007E3781">
        <w:t xml:space="preserve"> </w:t>
      </w:r>
      <w:r>
        <w:t>to incur incremental implementation costs associated with the conditions of this ASME Code Case, which are consistent with the approach that licensees used before the Code Case existed.</w:t>
      </w:r>
    </w:p>
    <w:p w14:paraId="0F9C5599" w14:textId="77777777" w:rsidR="00D53E6F" w:rsidRDefault="00D53E6F" w:rsidP="00D53E6F">
      <w:pPr>
        <w:spacing w:line="240" w:lineRule="auto"/>
      </w:pPr>
    </w:p>
    <w:p w14:paraId="7B8C807B" w14:textId="77777777" w:rsidR="00D53E6F" w:rsidRDefault="00D53E6F" w:rsidP="00D53E6F">
      <w:pPr>
        <w:pStyle w:val="Heading3"/>
        <w:spacing w:line="240" w:lineRule="auto"/>
        <w:ind w:left="900" w:hanging="900"/>
      </w:pPr>
      <w:bookmarkStart w:id="253" w:name="_Toc12808847"/>
      <w:r>
        <w:t>5.6.10</w:t>
      </w:r>
      <w:r>
        <w:tab/>
      </w:r>
      <w:r w:rsidRPr="0072340A">
        <w:rPr>
          <w:szCs w:val="22"/>
        </w:rPr>
        <w:t>Evaluation Criteria for Temporary Acceptance of Degradation in Moderate</w:t>
      </w:r>
      <w:r>
        <w:rPr>
          <w:szCs w:val="22"/>
        </w:rPr>
        <w:noBreakHyphen/>
      </w:r>
      <w:r w:rsidRPr="0072340A">
        <w:rPr>
          <w:szCs w:val="22"/>
        </w:rPr>
        <w:t>Energy Class</w:t>
      </w:r>
      <w:r>
        <w:rPr>
          <w:szCs w:val="22"/>
        </w:rPr>
        <w:t> </w:t>
      </w:r>
      <w:r w:rsidRPr="0072340A">
        <w:rPr>
          <w:szCs w:val="22"/>
        </w:rPr>
        <w:t>2 or 3 Vessels and Tanks</w:t>
      </w:r>
      <w:bookmarkEnd w:id="253"/>
    </w:p>
    <w:p w14:paraId="5829EDD6" w14:textId="77777777" w:rsidR="00D53E6F" w:rsidRDefault="00D53E6F" w:rsidP="00D53E6F">
      <w:pPr>
        <w:spacing w:line="240" w:lineRule="auto"/>
      </w:pPr>
    </w:p>
    <w:p w14:paraId="5B960E05" w14:textId="77777777" w:rsidR="00D53E6F" w:rsidRDefault="00D53E6F" w:rsidP="00D53E6F">
      <w:pPr>
        <w:spacing w:line="240" w:lineRule="auto"/>
      </w:pPr>
      <w:r>
        <w:t>The NRC does not expect the agency to incur incremental implementation costs from the tank repairs associated with the condition of this ASME Code Case.</w:t>
      </w:r>
    </w:p>
    <w:p w14:paraId="26A4C982" w14:textId="77777777" w:rsidR="00D53E6F" w:rsidRDefault="00D53E6F" w:rsidP="00D53E6F">
      <w:pPr>
        <w:spacing w:line="240" w:lineRule="auto"/>
      </w:pPr>
    </w:p>
    <w:p w14:paraId="1AD34517" w14:textId="77777777" w:rsidR="00D53E6F" w:rsidRDefault="00D53E6F" w:rsidP="00D53E6F">
      <w:pPr>
        <w:pStyle w:val="Heading3"/>
        <w:spacing w:line="240" w:lineRule="auto"/>
        <w:ind w:left="900" w:hanging="900"/>
      </w:pPr>
      <w:bookmarkStart w:id="254" w:name="_Toc456098296"/>
      <w:bookmarkStart w:id="255" w:name="_Toc12808848"/>
      <w:r>
        <w:t>5.6.11</w:t>
      </w:r>
      <w:r>
        <w:tab/>
      </w:r>
      <w:bookmarkEnd w:id="254"/>
      <w:r w:rsidRPr="0072340A">
        <w:rPr>
          <w:szCs w:val="22"/>
        </w:rPr>
        <w:t>Alternative Examination Coverage Requirements for Examination Category B</w:t>
      </w:r>
      <w:r>
        <w:rPr>
          <w:szCs w:val="22"/>
        </w:rPr>
        <w:noBreakHyphen/>
      </w:r>
      <w:r w:rsidRPr="0072340A">
        <w:rPr>
          <w:szCs w:val="22"/>
        </w:rPr>
        <w:t>F, B</w:t>
      </w:r>
      <w:r>
        <w:rPr>
          <w:szCs w:val="22"/>
        </w:rPr>
        <w:noBreakHyphen/>
      </w:r>
      <w:r w:rsidRPr="0072340A">
        <w:rPr>
          <w:szCs w:val="22"/>
        </w:rPr>
        <w:t>J, C</w:t>
      </w:r>
      <w:r>
        <w:rPr>
          <w:szCs w:val="22"/>
        </w:rPr>
        <w:noBreakHyphen/>
      </w:r>
      <w:r w:rsidRPr="0072340A">
        <w:rPr>
          <w:szCs w:val="22"/>
        </w:rPr>
        <w:t>F</w:t>
      </w:r>
      <w:r>
        <w:rPr>
          <w:szCs w:val="22"/>
        </w:rPr>
        <w:noBreakHyphen/>
      </w:r>
      <w:r w:rsidRPr="0072340A">
        <w:rPr>
          <w:szCs w:val="22"/>
        </w:rPr>
        <w:t>1, C</w:t>
      </w:r>
      <w:r>
        <w:rPr>
          <w:szCs w:val="22"/>
        </w:rPr>
        <w:noBreakHyphen/>
      </w:r>
      <w:r w:rsidRPr="0072340A">
        <w:rPr>
          <w:szCs w:val="22"/>
        </w:rPr>
        <w:t>F</w:t>
      </w:r>
      <w:r>
        <w:rPr>
          <w:szCs w:val="22"/>
        </w:rPr>
        <w:noBreakHyphen/>
      </w:r>
      <w:r w:rsidRPr="0072340A">
        <w:rPr>
          <w:szCs w:val="22"/>
        </w:rPr>
        <w:t>2, and R-A Piping Welds</w:t>
      </w:r>
      <w:bookmarkEnd w:id="255"/>
    </w:p>
    <w:p w14:paraId="360E340F" w14:textId="77777777" w:rsidR="00D53E6F" w:rsidRDefault="00D53E6F" w:rsidP="00D53E6F">
      <w:pPr>
        <w:spacing w:line="240" w:lineRule="auto"/>
      </w:pPr>
    </w:p>
    <w:p w14:paraId="59EFFFD6" w14:textId="77777777" w:rsidR="00D53E6F" w:rsidRDefault="00D53E6F" w:rsidP="00D53E6F">
      <w:pPr>
        <w:spacing w:line="240" w:lineRule="auto"/>
      </w:pPr>
      <w:r>
        <w:t>The NRC does not expect the agency to incur incremental implementation costs associated with this condition, which clarifies the language used in the ASME Code Case.</w:t>
      </w:r>
    </w:p>
    <w:p w14:paraId="67368D28" w14:textId="77777777" w:rsidR="00D53E6F" w:rsidRDefault="00D53E6F" w:rsidP="00D53E6F">
      <w:pPr>
        <w:spacing w:line="240" w:lineRule="auto"/>
      </w:pPr>
    </w:p>
    <w:p w14:paraId="32D21E42" w14:textId="77777777" w:rsidR="00D53E6F" w:rsidRDefault="00D53E6F" w:rsidP="00D53E6F">
      <w:pPr>
        <w:pStyle w:val="Heading3"/>
        <w:spacing w:line="240" w:lineRule="auto"/>
        <w:ind w:left="900" w:hanging="900"/>
      </w:pPr>
      <w:bookmarkStart w:id="256" w:name="_Toc12808849"/>
      <w:r>
        <w:t>5.6.12</w:t>
      </w:r>
      <w:r>
        <w:tab/>
      </w:r>
      <w:r w:rsidRPr="0072340A">
        <w:rPr>
          <w:szCs w:val="22"/>
        </w:rPr>
        <w:t xml:space="preserve">Optimized Structural Dissimilar Metal Weld Overlay for Mitigation of </w:t>
      </w:r>
      <w:r>
        <w:rPr>
          <w:szCs w:val="22"/>
        </w:rPr>
        <w:t>Pressurized</w:t>
      </w:r>
      <w:r>
        <w:rPr>
          <w:szCs w:val="22"/>
        </w:rPr>
        <w:noBreakHyphen/>
        <w:t>Water Reactor</w:t>
      </w:r>
      <w:r w:rsidRPr="0072340A">
        <w:rPr>
          <w:szCs w:val="22"/>
        </w:rPr>
        <w:t xml:space="preserve"> Class 1 Items</w:t>
      </w:r>
      <w:bookmarkEnd w:id="256"/>
    </w:p>
    <w:p w14:paraId="41DFA4F1" w14:textId="77777777" w:rsidR="00D53E6F" w:rsidRDefault="00D53E6F" w:rsidP="00D53E6F">
      <w:pPr>
        <w:spacing w:line="240" w:lineRule="auto"/>
      </w:pPr>
    </w:p>
    <w:p w14:paraId="3BC778A9" w14:textId="77777777" w:rsidR="00D53E6F" w:rsidRDefault="00D53E6F" w:rsidP="00D53E6F">
      <w:pPr>
        <w:spacing w:line="240" w:lineRule="auto"/>
      </w:pPr>
      <w:r>
        <w:t>The NRC does not expect the agency to incur incremental implementation costs associated with the conditions of this ASME Code Case, which are identical to existing conditions or clarify the language used in the Code Case.</w:t>
      </w:r>
    </w:p>
    <w:p w14:paraId="6E6CAD54" w14:textId="77777777" w:rsidR="00D53E6F" w:rsidRDefault="00D53E6F" w:rsidP="00D53E6F">
      <w:pPr>
        <w:spacing w:line="240" w:lineRule="auto"/>
      </w:pPr>
    </w:p>
    <w:p w14:paraId="5A4269B9" w14:textId="2687D849" w:rsidR="00D53E6F" w:rsidRDefault="00D53E6F" w:rsidP="00D53E6F">
      <w:pPr>
        <w:pStyle w:val="Heading3"/>
        <w:spacing w:line="240" w:lineRule="auto"/>
        <w:ind w:left="900" w:hanging="900"/>
      </w:pPr>
      <w:bookmarkStart w:id="257" w:name="_Toc456098297"/>
      <w:bookmarkStart w:id="258" w:name="_Toc12808850"/>
      <w:r>
        <w:t>5.6.13</w:t>
      </w:r>
      <w:r>
        <w:tab/>
      </w:r>
      <w:bookmarkEnd w:id="257"/>
      <w:r w:rsidRPr="0072340A">
        <w:rPr>
          <w:szCs w:val="22"/>
        </w:rPr>
        <w:t xml:space="preserve">Nickel Alloy Reactor Coolant Inlay and Onlay for Mitigation of </w:t>
      </w:r>
      <w:r>
        <w:rPr>
          <w:szCs w:val="22"/>
        </w:rPr>
        <w:t>Pressurized</w:t>
      </w:r>
      <w:r>
        <w:rPr>
          <w:szCs w:val="22"/>
        </w:rPr>
        <w:noBreakHyphen/>
        <w:t>Water Reactor</w:t>
      </w:r>
      <w:r w:rsidRPr="0072340A">
        <w:rPr>
          <w:szCs w:val="22"/>
        </w:rPr>
        <w:t xml:space="preserve"> Full</w:t>
      </w:r>
      <w:r>
        <w:rPr>
          <w:szCs w:val="22"/>
        </w:rPr>
        <w:noBreakHyphen/>
      </w:r>
      <w:r w:rsidRPr="0072340A">
        <w:rPr>
          <w:szCs w:val="22"/>
        </w:rPr>
        <w:t>Penetration Circumferential Nickel Alloy Dissimilar Metal Welds in Class</w:t>
      </w:r>
      <w:r>
        <w:rPr>
          <w:szCs w:val="22"/>
        </w:rPr>
        <w:t> </w:t>
      </w:r>
      <w:r w:rsidRPr="0072340A">
        <w:rPr>
          <w:szCs w:val="22"/>
        </w:rPr>
        <w:t>1</w:t>
      </w:r>
      <w:r w:rsidR="003A577E">
        <w:rPr>
          <w:szCs w:val="22"/>
        </w:rPr>
        <w:t> </w:t>
      </w:r>
      <w:r w:rsidRPr="0072340A">
        <w:rPr>
          <w:szCs w:val="22"/>
        </w:rPr>
        <w:t>Items</w:t>
      </w:r>
      <w:bookmarkEnd w:id="258"/>
    </w:p>
    <w:p w14:paraId="40DEC1F0" w14:textId="77777777" w:rsidR="00D53E6F" w:rsidRDefault="00D53E6F" w:rsidP="00D53E6F">
      <w:pPr>
        <w:spacing w:line="240" w:lineRule="auto"/>
      </w:pPr>
    </w:p>
    <w:p w14:paraId="3CC2E4F6" w14:textId="77777777" w:rsidR="00D53E6F" w:rsidRDefault="00D53E6F" w:rsidP="00D53E6F">
      <w:pPr>
        <w:spacing w:line="240" w:lineRule="auto"/>
      </w:pPr>
      <w:r>
        <w:t>The NRC does not expect the agency to incur incremental implementation costs associated with the conditions of this ASME Code Case because the resultant relief requests are operation costs.</w:t>
      </w:r>
    </w:p>
    <w:p w14:paraId="1BD683DE" w14:textId="77777777" w:rsidR="00D53E6F" w:rsidRDefault="00D53E6F" w:rsidP="00D53E6F">
      <w:pPr>
        <w:spacing w:line="240" w:lineRule="auto"/>
      </w:pPr>
    </w:p>
    <w:p w14:paraId="0F8D8E9A" w14:textId="77777777" w:rsidR="00D53E6F" w:rsidRDefault="00D53E6F" w:rsidP="00D53E6F">
      <w:pPr>
        <w:pStyle w:val="Heading3"/>
        <w:spacing w:line="240" w:lineRule="auto"/>
        <w:ind w:left="900" w:hanging="900"/>
      </w:pPr>
      <w:bookmarkStart w:id="259" w:name="_Toc12808851"/>
      <w:r>
        <w:t>5.6.14</w:t>
      </w:r>
      <w:r>
        <w:tab/>
      </w:r>
      <w:r w:rsidRPr="0037779F">
        <w:rPr>
          <w:szCs w:val="22"/>
        </w:rPr>
        <w:t>Ultrasonic Examination of Cast Austenitic Piping Welds</w:t>
      </w:r>
      <w:r>
        <w:rPr>
          <w:szCs w:val="22"/>
        </w:rPr>
        <w:t xml:space="preserve"> f</w:t>
      </w:r>
      <w:r w:rsidRPr="0037779F">
        <w:rPr>
          <w:szCs w:val="22"/>
        </w:rPr>
        <w:t>rom the Outside Surface, Section</w:t>
      </w:r>
      <w:r>
        <w:rPr>
          <w:szCs w:val="22"/>
        </w:rPr>
        <w:t> </w:t>
      </w:r>
      <w:r w:rsidRPr="0037779F">
        <w:rPr>
          <w:szCs w:val="22"/>
        </w:rPr>
        <w:t>XI, Division</w:t>
      </w:r>
      <w:r>
        <w:rPr>
          <w:szCs w:val="22"/>
        </w:rPr>
        <w:t> </w:t>
      </w:r>
      <w:r w:rsidRPr="0037779F">
        <w:rPr>
          <w:szCs w:val="22"/>
        </w:rPr>
        <w:t>1</w:t>
      </w:r>
      <w:bookmarkEnd w:id="259"/>
    </w:p>
    <w:p w14:paraId="44A47134" w14:textId="77777777" w:rsidR="00D53E6F" w:rsidRDefault="00D53E6F" w:rsidP="00D53E6F">
      <w:pPr>
        <w:spacing w:line="240" w:lineRule="auto"/>
      </w:pPr>
    </w:p>
    <w:p w14:paraId="7397A7C3" w14:textId="77777777" w:rsidR="00D53E6F" w:rsidRDefault="00D53E6F" w:rsidP="00D53E6F">
      <w:pPr>
        <w:spacing w:line="240" w:lineRule="auto"/>
      </w:pPr>
      <w:r>
        <w:t>The NRC does not expect the agency to incur incremental implementation costs associated with the conditions of this ASME Code Case, which have already been incorporated by reference into 10 CFR 50.55a.  The final regulatory analysis for the latest ASME Code editions rulemaking already estimated the costs (NRC 2017e).</w:t>
      </w:r>
    </w:p>
    <w:p w14:paraId="1C0BD5CF" w14:textId="77777777" w:rsidR="00D53E6F" w:rsidRDefault="00D53E6F" w:rsidP="00D53E6F">
      <w:pPr>
        <w:spacing w:line="240" w:lineRule="auto"/>
      </w:pPr>
    </w:p>
    <w:p w14:paraId="0D162451" w14:textId="77777777" w:rsidR="00D53E6F" w:rsidRDefault="00D53E6F" w:rsidP="00D53E6F">
      <w:pPr>
        <w:pStyle w:val="Heading3"/>
        <w:spacing w:line="240" w:lineRule="auto"/>
        <w:ind w:left="900" w:hanging="900"/>
      </w:pPr>
      <w:bookmarkStart w:id="260" w:name="_Toc456098298"/>
      <w:bookmarkStart w:id="261" w:name="_Toc12808852"/>
      <w:r>
        <w:t>5.6.15</w:t>
      </w:r>
      <w:r>
        <w:tab/>
      </w:r>
      <w:bookmarkEnd w:id="260"/>
      <w:r w:rsidRPr="0072340A">
        <w:rPr>
          <w:szCs w:val="22"/>
        </w:rPr>
        <w:t>Austenitic Stainless Steel Cladding and Nickel</w:t>
      </w:r>
      <w:r>
        <w:rPr>
          <w:szCs w:val="22"/>
        </w:rPr>
        <w:noBreakHyphen/>
      </w:r>
      <w:r w:rsidRPr="0072340A">
        <w:rPr>
          <w:szCs w:val="22"/>
        </w:rPr>
        <w:t xml:space="preserve">Base Cladding Using </w:t>
      </w:r>
      <w:r>
        <w:rPr>
          <w:szCs w:val="22"/>
        </w:rPr>
        <w:t xml:space="preserve">an </w:t>
      </w:r>
      <w:r w:rsidRPr="0072340A">
        <w:rPr>
          <w:szCs w:val="22"/>
        </w:rPr>
        <w:t xml:space="preserve">Ambient Temperature Machine </w:t>
      </w:r>
      <w:r w:rsidRPr="00534C1D">
        <w:rPr>
          <w:szCs w:val="22"/>
        </w:rPr>
        <w:t>Gas Tungsten Arc Welding</w:t>
      </w:r>
      <w:r w:rsidRPr="0072340A">
        <w:rPr>
          <w:szCs w:val="22"/>
        </w:rPr>
        <w:t xml:space="preserve"> Temper Bead Technique</w:t>
      </w:r>
      <w:bookmarkEnd w:id="261"/>
    </w:p>
    <w:p w14:paraId="257C0128" w14:textId="77777777" w:rsidR="00D53E6F" w:rsidRDefault="00D53E6F" w:rsidP="00D53E6F">
      <w:pPr>
        <w:spacing w:line="240" w:lineRule="auto"/>
      </w:pPr>
      <w:bookmarkStart w:id="262" w:name="_Toc456098299"/>
    </w:p>
    <w:p w14:paraId="21452B2F" w14:textId="77777777" w:rsidR="00D53E6F" w:rsidRDefault="00D53E6F" w:rsidP="00D53E6F">
      <w:pPr>
        <w:spacing w:line="240" w:lineRule="auto"/>
      </w:pPr>
      <w:r>
        <w:t>The NRC does not expect the agency to incur incremental implementation costs associated with this condition.</w:t>
      </w:r>
    </w:p>
    <w:p w14:paraId="759660C5" w14:textId="77777777" w:rsidR="00D53E6F" w:rsidRDefault="00D53E6F" w:rsidP="00D53E6F">
      <w:pPr>
        <w:spacing w:line="240" w:lineRule="auto"/>
      </w:pPr>
    </w:p>
    <w:p w14:paraId="250B5656" w14:textId="77777777" w:rsidR="00D53E6F" w:rsidRDefault="00D53E6F" w:rsidP="00D53E6F">
      <w:pPr>
        <w:pStyle w:val="Heading3"/>
        <w:spacing w:line="240" w:lineRule="auto"/>
        <w:ind w:left="900" w:hanging="900"/>
      </w:pPr>
      <w:bookmarkStart w:id="263" w:name="_Toc12808853"/>
      <w:r>
        <w:t>5.6.16</w:t>
      </w:r>
      <w:r>
        <w:tab/>
      </w:r>
      <w:bookmarkEnd w:id="262"/>
      <w:r w:rsidRPr="0072340A">
        <w:rPr>
          <w:szCs w:val="22"/>
        </w:rPr>
        <w:t xml:space="preserve">Direct Use of </w:t>
      </w:r>
      <w:r>
        <w:rPr>
          <w:szCs w:val="22"/>
        </w:rPr>
        <w:t xml:space="preserve">the </w:t>
      </w:r>
      <w:r w:rsidRPr="0072340A">
        <w:rPr>
          <w:szCs w:val="22"/>
        </w:rPr>
        <w:t>Master Fracture Toughness Curve for Pressure</w:t>
      </w:r>
      <w:r>
        <w:rPr>
          <w:szCs w:val="22"/>
        </w:rPr>
        <w:noBreakHyphen/>
      </w:r>
      <w:r w:rsidRPr="0072340A">
        <w:rPr>
          <w:szCs w:val="22"/>
        </w:rPr>
        <w:t>Retaining Materials of Class</w:t>
      </w:r>
      <w:r>
        <w:rPr>
          <w:szCs w:val="22"/>
        </w:rPr>
        <w:t> </w:t>
      </w:r>
      <w:r w:rsidRPr="0072340A">
        <w:rPr>
          <w:szCs w:val="22"/>
        </w:rPr>
        <w:t>1 Vessels</w:t>
      </w:r>
      <w:bookmarkEnd w:id="263"/>
    </w:p>
    <w:p w14:paraId="3EFBE2F4" w14:textId="77777777" w:rsidR="00D53E6F" w:rsidRDefault="00D53E6F" w:rsidP="00D53E6F">
      <w:pPr>
        <w:keepNext/>
        <w:spacing w:line="240" w:lineRule="auto"/>
      </w:pPr>
    </w:p>
    <w:p w14:paraId="603E8FF1" w14:textId="77777777" w:rsidR="00D53E6F" w:rsidRDefault="00D53E6F" w:rsidP="00D53E6F">
      <w:pPr>
        <w:spacing w:line="240" w:lineRule="auto"/>
      </w:pPr>
      <w:r>
        <w:t>The NRC does not expect the agency to incur incremental implementation costs associated with this clarifying condition.</w:t>
      </w:r>
    </w:p>
    <w:p w14:paraId="5B250091" w14:textId="77777777" w:rsidR="00D53E6F" w:rsidRDefault="00D53E6F" w:rsidP="00D53E6F">
      <w:pPr>
        <w:spacing w:line="240" w:lineRule="auto"/>
      </w:pPr>
    </w:p>
    <w:p w14:paraId="3593A9B8" w14:textId="77777777" w:rsidR="00D53E6F" w:rsidRDefault="00D53E6F" w:rsidP="00D53E6F">
      <w:pPr>
        <w:pStyle w:val="Heading3"/>
        <w:keepLines/>
        <w:spacing w:line="240" w:lineRule="auto"/>
        <w:ind w:left="900" w:hanging="900"/>
      </w:pPr>
      <w:bookmarkStart w:id="264" w:name="_Toc456098300"/>
      <w:bookmarkStart w:id="265" w:name="_Toc12808854"/>
      <w:r>
        <w:t>5.6.17</w:t>
      </w:r>
      <w:r>
        <w:tab/>
      </w:r>
      <w:bookmarkEnd w:id="264"/>
      <w:r w:rsidRPr="007E4E29">
        <w:rPr>
          <w:szCs w:val="22"/>
        </w:rPr>
        <w:t>Ultrasonic Examination in Lieu of Radiography for Welds in Ferritic Pipe</w:t>
      </w:r>
      <w:bookmarkEnd w:id="265"/>
    </w:p>
    <w:p w14:paraId="7CE2D906" w14:textId="77777777" w:rsidR="00D53E6F" w:rsidRDefault="00D53E6F" w:rsidP="00D53E6F">
      <w:pPr>
        <w:keepNext/>
        <w:keepLines/>
        <w:spacing w:line="240" w:lineRule="auto"/>
      </w:pPr>
    </w:p>
    <w:p w14:paraId="25ACAB93" w14:textId="77777777" w:rsidR="00D53E6F" w:rsidRDefault="00D53E6F" w:rsidP="00D53E6F">
      <w:pPr>
        <w:keepNext/>
        <w:keepLines/>
        <w:spacing w:line="240" w:lineRule="auto"/>
      </w:pPr>
      <w:r>
        <w:t>The NRC does not expect the agency to incur incremental implementation costs associated with the condition of this ASME Code Case, which causes new reactors to use radiography instead of this Code Case with no cost impact.</w:t>
      </w:r>
    </w:p>
    <w:p w14:paraId="6C3EEB8F" w14:textId="77777777" w:rsidR="00D53E6F" w:rsidRDefault="00D53E6F" w:rsidP="00D53E6F">
      <w:pPr>
        <w:spacing w:line="240" w:lineRule="auto"/>
      </w:pPr>
    </w:p>
    <w:p w14:paraId="44DFBFE4" w14:textId="77777777" w:rsidR="00D53E6F" w:rsidRDefault="00D53E6F" w:rsidP="00D53E6F">
      <w:pPr>
        <w:pStyle w:val="Heading3"/>
        <w:spacing w:line="240" w:lineRule="auto"/>
        <w:ind w:left="900" w:hanging="900"/>
        <w:rPr>
          <w:szCs w:val="22"/>
        </w:rPr>
      </w:pPr>
      <w:bookmarkStart w:id="266" w:name="_Toc12808855"/>
      <w:r>
        <w:t>5.6.18</w:t>
      </w:r>
      <w:r>
        <w:tab/>
      </w:r>
      <w:r w:rsidRPr="00394101">
        <w:rPr>
          <w:szCs w:val="22"/>
        </w:rPr>
        <w:t>Flaw Tolerance Evaluation of Cast Austenitic Stainless Steel Piping</w:t>
      </w:r>
      <w:r>
        <w:rPr>
          <w:szCs w:val="22"/>
        </w:rPr>
        <w:t>,</w:t>
      </w:r>
      <w:r w:rsidRPr="00394101">
        <w:rPr>
          <w:szCs w:val="22"/>
        </w:rPr>
        <w:t xml:space="preserve"> Section</w:t>
      </w:r>
      <w:r>
        <w:rPr>
          <w:szCs w:val="22"/>
        </w:rPr>
        <w:t> </w:t>
      </w:r>
      <w:r w:rsidRPr="00394101">
        <w:rPr>
          <w:szCs w:val="22"/>
        </w:rPr>
        <w:t>XI, Division</w:t>
      </w:r>
      <w:r>
        <w:rPr>
          <w:szCs w:val="22"/>
        </w:rPr>
        <w:t> </w:t>
      </w:r>
      <w:r w:rsidRPr="00394101">
        <w:rPr>
          <w:szCs w:val="22"/>
        </w:rPr>
        <w:t>1</w:t>
      </w:r>
      <w:bookmarkEnd w:id="266"/>
    </w:p>
    <w:p w14:paraId="56D159E1" w14:textId="77777777" w:rsidR="00D53E6F" w:rsidRDefault="00D53E6F" w:rsidP="00D53E6F">
      <w:pPr>
        <w:spacing w:line="240" w:lineRule="auto"/>
      </w:pPr>
    </w:p>
    <w:p w14:paraId="3871F497" w14:textId="77777777" w:rsidR="00D53E6F" w:rsidRDefault="00D53E6F" w:rsidP="00D53E6F">
      <w:pPr>
        <w:spacing w:line="240" w:lineRule="auto"/>
      </w:pPr>
      <w:r>
        <w:t>The NRC does not expect the agency to incur incremental implementation costs associated with the conditions of this ASME Code Case because the resultant relief requests are operation costs.</w:t>
      </w:r>
    </w:p>
    <w:p w14:paraId="06C11542" w14:textId="77777777" w:rsidR="00D53E6F" w:rsidRPr="003C5750" w:rsidRDefault="00D53E6F" w:rsidP="00D53E6F">
      <w:pPr>
        <w:spacing w:line="240" w:lineRule="auto"/>
      </w:pPr>
    </w:p>
    <w:p w14:paraId="385934A2" w14:textId="77777777" w:rsidR="00D53E6F" w:rsidRPr="003D2707" w:rsidRDefault="00D53E6F" w:rsidP="00D53E6F">
      <w:pPr>
        <w:pStyle w:val="Heading3"/>
        <w:numPr>
          <w:ilvl w:val="0"/>
          <w:numId w:val="0"/>
        </w:numPr>
        <w:spacing w:line="240" w:lineRule="auto"/>
        <w:ind w:left="900" w:hanging="900"/>
        <w:rPr>
          <w:szCs w:val="22"/>
        </w:rPr>
      </w:pPr>
      <w:bookmarkStart w:id="267" w:name="_Toc12808856"/>
      <w:r>
        <w:t>5.6.19</w:t>
      </w:r>
      <w:r>
        <w:tab/>
      </w:r>
      <w:r w:rsidRPr="00394101">
        <w:rPr>
          <w:bCs w:val="0"/>
          <w:szCs w:val="22"/>
        </w:rPr>
        <w:t>Alternative Pressure Testing Requirements Following Repairs or Replacements for Class</w:t>
      </w:r>
      <w:r>
        <w:rPr>
          <w:bCs w:val="0"/>
          <w:szCs w:val="22"/>
        </w:rPr>
        <w:t> </w:t>
      </w:r>
      <w:r w:rsidRPr="00394101">
        <w:rPr>
          <w:bCs w:val="0"/>
          <w:szCs w:val="22"/>
        </w:rPr>
        <w:t xml:space="preserve">1 Piping between the First and Second Inspection </w:t>
      </w:r>
      <w:r>
        <w:rPr>
          <w:bCs w:val="0"/>
          <w:szCs w:val="22"/>
        </w:rPr>
        <w:t xml:space="preserve">of </w:t>
      </w:r>
      <w:r w:rsidRPr="00394101">
        <w:rPr>
          <w:bCs w:val="0"/>
          <w:szCs w:val="22"/>
        </w:rPr>
        <w:t>Isolation Valves,</w:t>
      </w:r>
      <w:r w:rsidRPr="001A3E8E">
        <w:rPr>
          <w:szCs w:val="22"/>
        </w:rPr>
        <w:t xml:space="preserve"> </w:t>
      </w:r>
      <w:r w:rsidRPr="00394101">
        <w:rPr>
          <w:bCs w:val="0"/>
          <w:szCs w:val="22"/>
        </w:rPr>
        <w:t>Section</w:t>
      </w:r>
      <w:r>
        <w:rPr>
          <w:bCs w:val="0"/>
          <w:szCs w:val="22"/>
        </w:rPr>
        <w:t> </w:t>
      </w:r>
      <w:r w:rsidRPr="00394101">
        <w:rPr>
          <w:bCs w:val="0"/>
          <w:szCs w:val="22"/>
        </w:rPr>
        <w:t>XI, Division</w:t>
      </w:r>
      <w:r>
        <w:rPr>
          <w:bCs w:val="0"/>
          <w:szCs w:val="22"/>
        </w:rPr>
        <w:t> </w:t>
      </w:r>
      <w:r w:rsidRPr="00394101">
        <w:rPr>
          <w:bCs w:val="0"/>
          <w:szCs w:val="22"/>
        </w:rPr>
        <w:t>1</w:t>
      </w:r>
      <w:bookmarkEnd w:id="267"/>
    </w:p>
    <w:p w14:paraId="5144F268" w14:textId="77777777" w:rsidR="00D53E6F" w:rsidRDefault="00D53E6F" w:rsidP="00D53E6F">
      <w:pPr>
        <w:spacing w:line="240" w:lineRule="auto"/>
      </w:pPr>
    </w:p>
    <w:p w14:paraId="5D146B87" w14:textId="77777777" w:rsidR="00D53E6F" w:rsidRDefault="00D53E6F" w:rsidP="00D53E6F">
      <w:pPr>
        <w:pStyle w:val="ListParagraph"/>
        <w:spacing w:line="240" w:lineRule="auto"/>
        <w:ind w:left="0"/>
      </w:pPr>
      <w:r>
        <w:t>The NRC does not expect the agency to incur incremental NRC implementation costs associated with this clarifying condition.</w:t>
      </w:r>
    </w:p>
    <w:p w14:paraId="736DFB86" w14:textId="77777777" w:rsidR="00D53E6F" w:rsidRPr="003C5750" w:rsidRDefault="00D53E6F" w:rsidP="00D53E6F">
      <w:pPr>
        <w:spacing w:line="240" w:lineRule="auto"/>
      </w:pPr>
    </w:p>
    <w:p w14:paraId="5D572995" w14:textId="77777777" w:rsidR="00D53E6F" w:rsidRDefault="00D53E6F" w:rsidP="00D53E6F">
      <w:pPr>
        <w:pStyle w:val="Heading3"/>
        <w:spacing w:line="240" w:lineRule="auto"/>
        <w:ind w:left="900" w:hanging="900"/>
        <w:rPr>
          <w:szCs w:val="22"/>
        </w:rPr>
      </w:pPr>
      <w:bookmarkStart w:id="268" w:name="_Toc12808857"/>
      <w:r>
        <w:t>5.6.20</w:t>
      </w:r>
      <w:r>
        <w:tab/>
      </w:r>
      <w:r w:rsidRPr="0072340A">
        <w:rPr>
          <w:szCs w:val="22"/>
        </w:rPr>
        <w:t>In</w:t>
      </w:r>
      <w:r>
        <w:rPr>
          <w:szCs w:val="22"/>
        </w:rPr>
        <w:t xml:space="preserve"> S</w:t>
      </w:r>
      <w:r w:rsidRPr="0072340A">
        <w:rPr>
          <w:szCs w:val="22"/>
        </w:rPr>
        <w:t>itu V</w:t>
      </w:r>
      <w:r>
        <w:rPr>
          <w:szCs w:val="22"/>
        </w:rPr>
        <w:t xml:space="preserve">isual Testing </w:t>
      </w:r>
      <w:r w:rsidRPr="0072340A">
        <w:rPr>
          <w:szCs w:val="22"/>
        </w:rPr>
        <w:t>3 Examination of Removable Core Support Structures without Removal</w:t>
      </w:r>
      <w:bookmarkEnd w:id="268"/>
    </w:p>
    <w:p w14:paraId="73E3142A" w14:textId="77777777" w:rsidR="00D53E6F" w:rsidRDefault="00D53E6F" w:rsidP="00D53E6F">
      <w:pPr>
        <w:spacing w:line="240" w:lineRule="auto"/>
      </w:pPr>
    </w:p>
    <w:p w14:paraId="698983B2" w14:textId="77777777" w:rsidR="00D53E6F" w:rsidRDefault="00D53E6F" w:rsidP="00D53E6F">
      <w:pPr>
        <w:spacing w:line="240" w:lineRule="auto"/>
      </w:pPr>
      <w:r>
        <w:t>The NRC does not expect the agency to incur incremental implementation costs associated with these clarifying conditions.</w:t>
      </w:r>
    </w:p>
    <w:p w14:paraId="5B8E27FE" w14:textId="77777777" w:rsidR="00D53E6F" w:rsidRDefault="00D53E6F" w:rsidP="00D53E6F">
      <w:pPr>
        <w:spacing w:line="240" w:lineRule="auto"/>
      </w:pPr>
    </w:p>
    <w:p w14:paraId="77A11D6D" w14:textId="77777777" w:rsidR="00D53E6F" w:rsidRPr="003D1876" w:rsidRDefault="00D53E6F" w:rsidP="00D53E6F">
      <w:pPr>
        <w:pStyle w:val="Heading3"/>
        <w:spacing w:line="240" w:lineRule="auto"/>
        <w:ind w:left="900" w:hanging="900"/>
      </w:pPr>
      <w:bookmarkStart w:id="269" w:name="_Toc12808858"/>
      <w:r>
        <w:t>5.6.21</w:t>
      </w:r>
      <w:r>
        <w:tab/>
      </w:r>
      <w:r w:rsidRPr="003D1876">
        <w:t xml:space="preserve">Performance-Based Requirements for Extending </w:t>
      </w:r>
      <w:r>
        <w:t xml:space="preserve">the </w:t>
      </w:r>
      <w:r w:rsidRPr="003D1876">
        <w:t xml:space="preserve">Snubber Inservice Visual Examination Interval at </w:t>
      </w:r>
      <w:r>
        <w:t>Light-Water Reactor</w:t>
      </w:r>
      <w:r w:rsidRPr="003D1876">
        <w:t xml:space="preserve"> Power Plants</w:t>
      </w:r>
      <w:bookmarkEnd w:id="269"/>
    </w:p>
    <w:p w14:paraId="7AF2DCD9" w14:textId="03658871" w:rsidR="00D53E6F" w:rsidRDefault="00D53E6F" w:rsidP="00D53E6F">
      <w:pPr>
        <w:spacing w:line="240" w:lineRule="auto"/>
      </w:pPr>
    </w:p>
    <w:p w14:paraId="520F7395" w14:textId="7B9EA913" w:rsidR="00D53E6F" w:rsidRDefault="00173B30" w:rsidP="00D53E6F">
      <w:pPr>
        <w:spacing w:line="240" w:lineRule="auto"/>
      </w:pPr>
      <w:r>
        <w:t>The NRC</w:t>
      </w:r>
      <w:r w:rsidR="00D53E6F">
        <w:t xml:space="preserve"> expects that this relaxation will avert ASME Code Case relief requests, as discussed in Section 5.</w:t>
      </w:r>
      <w:r w:rsidR="004A7B59">
        <w:t>4</w:t>
      </w:r>
      <w:r w:rsidR="00D53E6F">
        <w:t>.</w:t>
      </w:r>
    </w:p>
    <w:p w14:paraId="527BE218" w14:textId="77777777" w:rsidR="00D53E6F" w:rsidRPr="003D1876" w:rsidRDefault="00D53E6F" w:rsidP="00D53E6F">
      <w:pPr>
        <w:pStyle w:val="Heading3"/>
        <w:spacing w:line="240" w:lineRule="auto"/>
        <w:ind w:left="900" w:hanging="900"/>
      </w:pPr>
      <w:bookmarkStart w:id="270" w:name="_Toc12808859"/>
      <w:r>
        <w:t>5.6.22</w:t>
      </w:r>
      <w:r>
        <w:tab/>
      </w:r>
      <w:r w:rsidRPr="003D1876">
        <w:t>Inservice Test Frequency</w:t>
      </w:r>
      <w:bookmarkEnd w:id="270"/>
    </w:p>
    <w:p w14:paraId="759D898F" w14:textId="77777777" w:rsidR="00D53E6F" w:rsidRDefault="00D53E6F" w:rsidP="00D53E6F">
      <w:pPr>
        <w:spacing w:line="240" w:lineRule="auto"/>
      </w:pPr>
    </w:p>
    <w:p w14:paraId="37B320CC" w14:textId="10C93CE9" w:rsidR="00D53E6F" w:rsidRDefault="00173B30" w:rsidP="00D53E6F">
      <w:pPr>
        <w:spacing w:after="220" w:line="240" w:lineRule="auto"/>
      </w:pPr>
      <w:r>
        <w:t>The NRC</w:t>
      </w:r>
      <w:r w:rsidR="00D53E6F">
        <w:t xml:space="preserve"> expects that this relaxation will avert ASME Code Case relief requests, as discussed in Section 5.</w:t>
      </w:r>
      <w:r w:rsidR="004A7B59">
        <w:t>4</w:t>
      </w:r>
      <w:r w:rsidR="00D53E6F">
        <w:t>.</w:t>
      </w:r>
    </w:p>
    <w:p w14:paraId="6DFDF0AC" w14:textId="77777777" w:rsidR="00D53E6F" w:rsidRDefault="00D53E6F" w:rsidP="00D53E6F">
      <w:pPr>
        <w:pStyle w:val="Heading2"/>
        <w:tabs>
          <w:tab w:val="left" w:pos="540"/>
        </w:tabs>
        <w:spacing w:line="240" w:lineRule="auto"/>
      </w:pPr>
      <w:bookmarkStart w:id="271" w:name="_Ref393279064"/>
      <w:bookmarkStart w:id="272" w:name="_Ref422721928"/>
      <w:bookmarkStart w:id="273" w:name="_Toc456098312"/>
      <w:bookmarkStart w:id="274" w:name="_Toc12808860"/>
      <w:r>
        <w:t>5.7</w:t>
      </w:r>
      <w:r>
        <w:tab/>
      </w:r>
      <w:bookmarkStart w:id="275" w:name="_Toc457827325"/>
      <w:r w:rsidRPr="00461295">
        <w:t>NRC Operation</w:t>
      </w:r>
      <w:bookmarkEnd w:id="271"/>
      <w:bookmarkEnd w:id="272"/>
      <w:bookmarkEnd w:id="273"/>
      <w:bookmarkEnd w:id="274"/>
      <w:bookmarkEnd w:id="275"/>
    </w:p>
    <w:p w14:paraId="4206EA06" w14:textId="7C28B5F5" w:rsidR="00D53E6F" w:rsidRPr="00E879A2" w:rsidRDefault="00D53E6F" w:rsidP="00D53E6F">
      <w:pPr>
        <w:spacing w:line="240" w:lineRule="auto"/>
      </w:pPr>
    </w:p>
    <w:p w14:paraId="1E4CC59E" w14:textId="133265A1" w:rsidR="00D53E6F" w:rsidRPr="00240D3F" w:rsidRDefault="00D53E6F" w:rsidP="00D53E6F">
      <w:pPr>
        <w:spacing w:line="240" w:lineRule="auto"/>
      </w:pPr>
      <w:r w:rsidRPr="00240D3F">
        <w:t xml:space="preserve">When the NRC receives an alternative request, </w:t>
      </w:r>
      <w:r w:rsidR="00173B30">
        <w:t>the NRC</w:t>
      </w:r>
      <w:r w:rsidRPr="00240D3F">
        <w:t xml:space="preserve"> requires additional time to evaluate the acceptability </w:t>
      </w:r>
      <w:r>
        <w:t>of the alternative request submittal</w:t>
      </w:r>
      <w:r w:rsidRPr="00240D3F">
        <w:t xml:space="preserve"> relative to the criteria currently approved by the agency.  Alternative 2</w:t>
      </w:r>
      <w:r>
        <w:t xml:space="preserve"> would not require </w:t>
      </w:r>
      <w:r w:rsidRPr="00240D3F">
        <w:t xml:space="preserve">the additional seven alternative request submittals per year.  By incorporating by reference the ASME Code </w:t>
      </w:r>
      <w:r>
        <w:t>e</w:t>
      </w:r>
      <w:r w:rsidRPr="00240D3F">
        <w:t xml:space="preserve">ditions in the </w:t>
      </w:r>
      <w:r w:rsidRPr="00240D3F">
        <w:rPr>
          <w:i/>
        </w:rPr>
        <w:t>Code of Federal Regulations</w:t>
      </w:r>
      <w:r w:rsidRPr="00240D3F">
        <w:t>, a nuclear power plant licensee could use a more current ASME Code edition or addenda without submitting an alter</w:t>
      </w:r>
      <w:r>
        <w:t>native request for NRC review.</w:t>
      </w:r>
    </w:p>
    <w:p w14:paraId="02460549" w14:textId="58A2A986" w:rsidR="00D53E6F" w:rsidRPr="00F2714D" w:rsidRDefault="00D53E6F" w:rsidP="00D53E6F">
      <w:pPr>
        <w:spacing w:line="240" w:lineRule="auto"/>
      </w:pPr>
    </w:p>
    <w:p w14:paraId="53456E8D" w14:textId="2C056157" w:rsidR="00D53E6F" w:rsidRPr="00240D3F" w:rsidRDefault="00D53E6F" w:rsidP="00D53E6F">
      <w:pPr>
        <w:spacing w:line="240" w:lineRule="auto"/>
      </w:pPr>
      <w:r w:rsidRPr="00C40FC2">
        <w:t>Section</w:t>
      </w:r>
      <w:r>
        <w:t xml:space="preserve"> 5.4 states that </w:t>
      </w:r>
      <w:r w:rsidR="00173B30">
        <w:t>the NRC</w:t>
      </w:r>
      <w:r>
        <w:t xml:space="preserve"> expects Alternative 2, the rule alternative, to avert approximately 24 relief requests per year.  </w:t>
      </w:r>
      <w:r w:rsidRPr="00240D3F">
        <w:t>As shown in</w:t>
      </w:r>
      <w:r>
        <w:t xml:space="preserve"> </w:t>
      </w:r>
      <w:r w:rsidRPr="000C2773">
        <w:fldChar w:fldCharType="begin"/>
      </w:r>
      <w:r w:rsidRPr="006D47D8">
        <w:instrText xml:space="preserve"> REF _Ref482957554 \h </w:instrText>
      </w:r>
      <w:r w:rsidRPr="003B5293">
        <w:rPr>
          <w:b/>
        </w:rPr>
        <w:instrText xml:space="preserve"> \* MERGEFORMAT </w:instrText>
      </w:r>
      <w:r w:rsidRPr="000C2773">
        <w:fldChar w:fldCharType="separate"/>
      </w:r>
      <w:r w:rsidR="00F05D99" w:rsidRPr="00F05D99">
        <w:t xml:space="preserve">Table </w:t>
      </w:r>
      <w:r w:rsidR="00F05D99" w:rsidRPr="00F05D99">
        <w:rPr>
          <w:noProof/>
        </w:rPr>
        <w:t>13</w:t>
      </w:r>
      <w:r w:rsidRPr="000C2773">
        <w:fldChar w:fldCharType="end"/>
      </w:r>
      <w:r w:rsidRPr="00240D3F">
        <w:t xml:space="preserve">, the NRC estimates that each submittal would require </w:t>
      </w:r>
      <w:r>
        <w:t>143 </w:t>
      </w:r>
      <w:r w:rsidRPr="00240D3F">
        <w:t>hours of staff time to perform the technical review (including resolving technical issues), document the evaluation, and respond to the licensee</w:t>
      </w:r>
      <w:r>
        <w:t>’s</w:t>
      </w:r>
      <w:r w:rsidRPr="00240D3F">
        <w:t xml:space="preserve"> request.  The absence of these submittals would result in an NRC</w:t>
      </w:r>
      <w:r>
        <w:noBreakHyphen/>
      </w:r>
      <w:r w:rsidRPr="00240D3F">
        <w:t>averted cost that ranges from $</w:t>
      </w:r>
      <w:r>
        <w:t>2.08</w:t>
      </w:r>
      <w:r w:rsidRPr="00240D3F">
        <w:t> million based on a 7</w:t>
      </w:r>
      <w:r w:rsidRPr="00240D3F">
        <w:noBreakHyphen/>
        <w:t>percent NPV to $</w:t>
      </w:r>
      <w:r>
        <w:t>2.36 </w:t>
      </w:r>
      <w:r w:rsidRPr="00240D3F">
        <w:t>million based on a 3</w:t>
      </w:r>
      <w:r w:rsidRPr="00240D3F">
        <w:noBreakHyphen/>
        <w:t>percent NPV.  Therefore, this alternative would provide a net benefit (i.e., averted cost).</w:t>
      </w:r>
    </w:p>
    <w:p w14:paraId="29AEF76F" w14:textId="77777777" w:rsidR="00D53E6F" w:rsidRPr="00F2714D" w:rsidRDefault="00D53E6F" w:rsidP="00D53E6F">
      <w:pPr>
        <w:spacing w:line="240" w:lineRule="auto"/>
      </w:pPr>
    </w:p>
    <w:p w14:paraId="3857307F" w14:textId="76AA4FD4" w:rsidR="00D53E6F" w:rsidRPr="00C80453" w:rsidRDefault="00D53E6F" w:rsidP="00D53E6F">
      <w:pPr>
        <w:pStyle w:val="Caption"/>
        <w:spacing w:line="240" w:lineRule="auto"/>
        <w:jc w:val="center"/>
        <w:rPr>
          <w:b/>
        </w:rPr>
      </w:pPr>
      <w:bookmarkStart w:id="276" w:name="_Ref482957554"/>
      <w:bookmarkStart w:id="277" w:name="_Toc9428142"/>
      <w:r w:rsidRPr="00C80453">
        <w:rPr>
          <w:b/>
        </w:rPr>
        <w:t xml:space="preserve">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13</w:t>
      </w:r>
      <w:r w:rsidRPr="00C80453">
        <w:rPr>
          <w:b/>
          <w:noProof/>
        </w:rPr>
        <w:fldChar w:fldCharType="end"/>
      </w:r>
      <w:bookmarkEnd w:id="276"/>
      <w:r w:rsidRPr="00C80453">
        <w:rPr>
          <w:b/>
        </w:rPr>
        <w:t xml:space="preserve">  NRC Operation Costs—Reviews</w:t>
      </w:r>
      <w:r w:rsidRPr="00C80453" w:rsidDel="005A7C9E">
        <w:rPr>
          <w:b/>
        </w:rPr>
        <w:t xml:space="preserve"> </w:t>
      </w:r>
      <w:r w:rsidRPr="00C80453">
        <w:rPr>
          <w:b/>
        </w:rPr>
        <w:t xml:space="preserve">of Averted ASME Code </w:t>
      </w:r>
      <w:r w:rsidRPr="00C80453">
        <w:rPr>
          <w:b/>
        </w:rPr>
        <w:br/>
        <w:t>Alternative Requests (Operating and New Reactors)</w:t>
      </w:r>
      <w:bookmarkEnd w:id="277"/>
    </w:p>
    <w:p w14:paraId="03EC4372" w14:textId="77777777" w:rsidR="00D53E6F" w:rsidRPr="00240D3F" w:rsidRDefault="00D53E6F" w:rsidP="00D53E6F">
      <w:pPr>
        <w:spacing w:line="240" w:lineRule="auto"/>
      </w:pPr>
      <w:r w:rsidRPr="006C6300">
        <w:rPr>
          <w:noProof/>
        </w:rPr>
        <w:drawing>
          <wp:inline distT="0" distB="0" distL="0" distR="0" wp14:anchorId="46E97814" wp14:editId="05B07814">
            <wp:extent cx="5943600" cy="21186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118636"/>
                    </a:xfrm>
                    <a:prstGeom prst="rect">
                      <a:avLst/>
                    </a:prstGeom>
                    <a:noFill/>
                    <a:ln>
                      <a:noFill/>
                    </a:ln>
                  </pic:spPr>
                </pic:pic>
              </a:graphicData>
            </a:graphic>
          </wp:inline>
        </w:drawing>
      </w:r>
    </w:p>
    <w:p w14:paraId="19E40E96" w14:textId="77777777" w:rsidR="00D53E6F" w:rsidRPr="00240D3F" w:rsidRDefault="00D53E6F" w:rsidP="00D53E6F">
      <w:pPr>
        <w:spacing w:line="240" w:lineRule="auto"/>
      </w:pPr>
    </w:p>
    <w:p w14:paraId="5D103D5F" w14:textId="77777777" w:rsidR="00D53E6F" w:rsidRDefault="00D53E6F" w:rsidP="00D53E6F">
      <w:pPr>
        <w:spacing w:line="240" w:lineRule="auto"/>
      </w:pPr>
      <w:r w:rsidRPr="00240D3F">
        <w:t>The NRC</w:t>
      </w:r>
      <w:r>
        <w:t xml:space="preserve"> considers its</w:t>
      </w:r>
      <w:r w:rsidRPr="00240D3F">
        <w:t xml:space="preserve"> review costs for any ASME Code alternative request submitted to the </w:t>
      </w:r>
      <w:r>
        <w:t>agency</w:t>
      </w:r>
      <w:r w:rsidRPr="00240D3F">
        <w:t xml:space="preserve"> before the effective date of the </w:t>
      </w:r>
      <w:r>
        <w:t>final rule</w:t>
      </w:r>
      <w:r w:rsidRPr="00240D3F">
        <w:t xml:space="preserve"> </w:t>
      </w:r>
      <w:r>
        <w:t xml:space="preserve">to be </w:t>
      </w:r>
      <w:r w:rsidRPr="00240D3F">
        <w:t>sunk costs</w:t>
      </w:r>
      <w:r>
        <w:t xml:space="preserve">; therefore, </w:t>
      </w:r>
      <w:r w:rsidRPr="00240D3F">
        <w:t xml:space="preserve">this regulatory analysis </w:t>
      </w:r>
      <w:r>
        <w:t xml:space="preserve">does </w:t>
      </w:r>
      <w:r w:rsidRPr="00240D3F">
        <w:t xml:space="preserve">not </w:t>
      </w:r>
      <w:r>
        <w:t>further address them</w:t>
      </w:r>
      <w:r w:rsidRPr="00240D3F">
        <w:t>.</w:t>
      </w:r>
    </w:p>
    <w:p w14:paraId="530F5E25" w14:textId="77777777" w:rsidR="00D53E6F" w:rsidRDefault="00D53E6F" w:rsidP="00D53E6F">
      <w:pPr>
        <w:spacing w:line="240" w:lineRule="auto"/>
      </w:pPr>
    </w:p>
    <w:p w14:paraId="0F9B9C38" w14:textId="77777777" w:rsidR="00D53E6F" w:rsidRDefault="00D53E6F" w:rsidP="00D53E6F">
      <w:pPr>
        <w:pStyle w:val="Heading3"/>
        <w:spacing w:line="240" w:lineRule="auto"/>
        <w:ind w:left="720" w:hanging="720"/>
      </w:pPr>
      <w:bookmarkStart w:id="278" w:name="_Toc456098314"/>
      <w:bookmarkStart w:id="279" w:name="_Toc12808861"/>
      <w:r>
        <w:t>5.7.1</w:t>
      </w:r>
      <w:r>
        <w:tab/>
      </w:r>
      <w:bookmarkEnd w:id="278"/>
      <w:r w:rsidRPr="00C87607">
        <w:rPr>
          <w:szCs w:val="22"/>
        </w:rPr>
        <w:t xml:space="preserve">Additional Materials for Subsection NF, Class 1, 2, 3, and </w:t>
      </w:r>
      <w:r>
        <w:rPr>
          <w:szCs w:val="22"/>
        </w:rPr>
        <w:t>Metal Containment</w:t>
      </w:r>
      <w:r w:rsidRPr="00C87607">
        <w:rPr>
          <w:szCs w:val="22"/>
        </w:rPr>
        <w:t xml:space="preserve"> Supports Fabricated by Welding</w:t>
      </w:r>
      <w:bookmarkEnd w:id="279"/>
    </w:p>
    <w:p w14:paraId="5FC4BD99" w14:textId="77777777" w:rsidR="00D53E6F" w:rsidRDefault="00D53E6F" w:rsidP="00D53E6F">
      <w:pPr>
        <w:keepNext/>
        <w:spacing w:line="240" w:lineRule="auto"/>
      </w:pPr>
    </w:p>
    <w:p w14:paraId="19AA8BB3" w14:textId="77777777" w:rsidR="00D53E6F" w:rsidRDefault="00D53E6F" w:rsidP="00D53E6F">
      <w:pPr>
        <w:spacing w:line="240" w:lineRule="auto"/>
      </w:pPr>
      <w:r>
        <w:t>The NRC does not expect the agency to incur incremental operation costs associated with the conditions of this ASME Code Case, which are either identical or substantively identical to existing conditions or are administrative in nature.</w:t>
      </w:r>
    </w:p>
    <w:p w14:paraId="3EBE01D5" w14:textId="77777777" w:rsidR="00D53E6F" w:rsidRDefault="00D53E6F" w:rsidP="00D53E6F">
      <w:pPr>
        <w:spacing w:line="240" w:lineRule="auto"/>
      </w:pPr>
    </w:p>
    <w:p w14:paraId="1A591DE0" w14:textId="77777777" w:rsidR="00D53E6F" w:rsidRDefault="00D53E6F" w:rsidP="00D53E6F">
      <w:pPr>
        <w:pStyle w:val="Heading3"/>
        <w:spacing w:line="240" w:lineRule="auto"/>
        <w:ind w:left="720" w:hanging="720"/>
      </w:pPr>
      <w:bookmarkStart w:id="280" w:name="_Toc456098315"/>
      <w:bookmarkStart w:id="281" w:name="_Toc12808862"/>
      <w:r>
        <w:t>5.7.2</w:t>
      </w:r>
      <w:r>
        <w:tab/>
      </w:r>
      <w:bookmarkEnd w:id="280"/>
      <w:r w:rsidRPr="004C46E3">
        <w:rPr>
          <w:szCs w:val="22"/>
        </w:rPr>
        <w:t>Underwater Welding, Section XI, Division</w:t>
      </w:r>
      <w:r>
        <w:rPr>
          <w:szCs w:val="22"/>
        </w:rPr>
        <w:t xml:space="preserve"> 1</w:t>
      </w:r>
      <w:bookmarkEnd w:id="281"/>
    </w:p>
    <w:p w14:paraId="67DBD784" w14:textId="77777777" w:rsidR="00D53E6F" w:rsidRDefault="00D53E6F" w:rsidP="00D53E6F">
      <w:pPr>
        <w:spacing w:line="240" w:lineRule="auto"/>
      </w:pPr>
    </w:p>
    <w:p w14:paraId="77E7C52E" w14:textId="77777777" w:rsidR="00D53E6F" w:rsidRDefault="00D53E6F" w:rsidP="00D53E6F">
      <w:pPr>
        <w:spacing w:line="240" w:lineRule="auto"/>
      </w:pPr>
      <w:r>
        <w:t>The NRC does not expect the agency to incur incremental operation costs associated with the conditions of this ASME Code Case, which clarify the existing conditions.</w:t>
      </w:r>
    </w:p>
    <w:p w14:paraId="11847AF0" w14:textId="77777777" w:rsidR="00D53E6F" w:rsidRDefault="00D53E6F" w:rsidP="00D53E6F">
      <w:pPr>
        <w:spacing w:line="240" w:lineRule="auto"/>
      </w:pPr>
    </w:p>
    <w:p w14:paraId="226CFB2B" w14:textId="77777777" w:rsidR="00D53E6F" w:rsidRDefault="00D53E6F" w:rsidP="00D53E6F">
      <w:pPr>
        <w:pStyle w:val="Heading3"/>
        <w:spacing w:line="240" w:lineRule="auto"/>
        <w:ind w:left="720" w:hanging="720"/>
      </w:pPr>
      <w:bookmarkStart w:id="282" w:name="_Toc12808863"/>
      <w:r>
        <w:t>5.7.3</w:t>
      </w:r>
      <w:r>
        <w:tab/>
      </w:r>
      <w:r w:rsidRPr="00C87607">
        <w:rPr>
          <w:szCs w:val="22"/>
        </w:rPr>
        <w:t>Evaluation of Pipe Wall Thinning</w:t>
      </w:r>
      <w:r>
        <w:rPr>
          <w:szCs w:val="22"/>
        </w:rPr>
        <w:t>,</w:t>
      </w:r>
      <w:r w:rsidRPr="00C87607">
        <w:rPr>
          <w:szCs w:val="22"/>
        </w:rPr>
        <w:t xml:space="preserve"> Section XI</w:t>
      </w:r>
      <w:bookmarkEnd w:id="282"/>
    </w:p>
    <w:p w14:paraId="49EC5A04" w14:textId="77777777" w:rsidR="00D53E6F" w:rsidRDefault="00D53E6F" w:rsidP="00D53E6F">
      <w:pPr>
        <w:spacing w:line="240" w:lineRule="auto"/>
      </w:pPr>
    </w:p>
    <w:p w14:paraId="0B462A8A" w14:textId="77777777" w:rsidR="00D53E6F" w:rsidRDefault="00D53E6F" w:rsidP="00D53E6F">
      <w:pPr>
        <w:spacing w:line="240" w:lineRule="auto"/>
      </w:pPr>
      <w:r>
        <w:t>The NRC does not expect the agency to incur incremental operation costs associated with the conditions of this ASME Code Case, which are either identical or substantively identical to the existing conditions.</w:t>
      </w:r>
    </w:p>
    <w:p w14:paraId="1DDAB6DE" w14:textId="77777777" w:rsidR="00D53E6F" w:rsidRDefault="00D53E6F" w:rsidP="00D53E6F">
      <w:pPr>
        <w:spacing w:line="240" w:lineRule="auto"/>
      </w:pPr>
    </w:p>
    <w:p w14:paraId="6AA6281B" w14:textId="77777777" w:rsidR="00D53E6F" w:rsidRDefault="00D53E6F" w:rsidP="00D53E6F">
      <w:pPr>
        <w:pStyle w:val="Heading3"/>
        <w:spacing w:line="240" w:lineRule="auto"/>
        <w:ind w:left="720" w:hanging="720"/>
      </w:pPr>
      <w:bookmarkStart w:id="283" w:name="_Toc456098316"/>
      <w:bookmarkStart w:id="284" w:name="_Toc457827329"/>
      <w:bookmarkStart w:id="285" w:name="_Toc12808864"/>
      <w:r>
        <w:t>5.7.4</w:t>
      </w:r>
      <w:r>
        <w:tab/>
      </w:r>
      <w:bookmarkEnd w:id="283"/>
      <w:bookmarkEnd w:id="284"/>
      <w:r w:rsidRPr="00C87607">
        <w:rPr>
          <w:szCs w:val="22"/>
        </w:rPr>
        <w:t>Similar and Dissimilar Metal Welding Using</w:t>
      </w:r>
      <w:r>
        <w:rPr>
          <w:szCs w:val="22"/>
        </w:rPr>
        <w:t xml:space="preserve"> an</w:t>
      </w:r>
      <w:r w:rsidRPr="00C87607">
        <w:rPr>
          <w:szCs w:val="22"/>
        </w:rPr>
        <w:t xml:space="preserve"> Ambient Temperature Machine </w:t>
      </w:r>
      <w:r w:rsidRPr="00534C1D">
        <w:rPr>
          <w:szCs w:val="22"/>
        </w:rPr>
        <w:t>Gas Tungsten Arc Welding</w:t>
      </w:r>
      <w:r w:rsidRPr="00C87607">
        <w:rPr>
          <w:szCs w:val="22"/>
        </w:rPr>
        <w:t xml:space="preserve"> Temper Bead Technique for </w:t>
      </w:r>
      <w:r>
        <w:rPr>
          <w:szCs w:val="22"/>
        </w:rPr>
        <w:t>Boiling-Water Reactor Control Rod Drive</w:t>
      </w:r>
      <w:r w:rsidRPr="00C87607">
        <w:rPr>
          <w:szCs w:val="22"/>
        </w:rPr>
        <w:t xml:space="preserve"> Housing/Stub Tube Repairs</w:t>
      </w:r>
      <w:bookmarkEnd w:id="285"/>
    </w:p>
    <w:p w14:paraId="035D7C43" w14:textId="77777777" w:rsidR="00D53E6F" w:rsidRDefault="00D53E6F" w:rsidP="00D53E6F">
      <w:pPr>
        <w:spacing w:line="240" w:lineRule="auto"/>
      </w:pPr>
    </w:p>
    <w:p w14:paraId="3474D1C2" w14:textId="77777777" w:rsidR="00D53E6F" w:rsidRDefault="00D53E6F" w:rsidP="00D53E6F">
      <w:pPr>
        <w:spacing w:line="240" w:lineRule="auto"/>
      </w:pPr>
      <w:r>
        <w:t>The NRC does not expect the agency to incur incremental operation costs associated with the condition of this ASME Code Case, which is identical to the existing condition.</w:t>
      </w:r>
    </w:p>
    <w:p w14:paraId="009FDAE5" w14:textId="77777777" w:rsidR="00D53E6F" w:rsidRDefault="00D53E6F" w:rsidP="00D53E6F">
      <w:pPr>
        <w:spacing w:line="240" w:lineRule="auto"/>
      </w:pPr>
    </w:p>
    <w:p w14:paraId="0F9D2763" w14:textId="77777777" w:rsidR="00D53E6F" w:rsidRPr="00162C82" w:rsidRDefault="00D53E6F" w:rsidP="00D53E6F">
      <w:pPr>
        <w:pStyle w:val="Heading3"/>
        <w:spacing w:line="240" w:lineRule="auto"/>
        <w:ind w:left="720" w:hanging="720"/>
      </w:pPr>
      <w:bookmarkStart w:id="286" w:name="_Toc456098317"/>
      <w:bookmarkStart w:id="287" w:name="_Toc12808865"/>
      <w:r>
        <w:t>5.7.5</w:t>
      </w:r>
      <w:r>
        <w:tab/>
      </w:r>
      <w:bookmarkEnd w:id="286"/>
      <w:r w:rsidRPr="0072340A">
        <w:rPr>
          <w:szCs w:val="22"/>
        </w:rPr>
        <w:t xml:space="preserve">Similar and Dissimilar Metal Welding Using </w:t>
      </w:r>
      <w:r>
        <w:rPr>
          <w:szCs w:val="22"/>
        </w:rPr>
        <w:t xml:space="preserve">an </w:t>
      </w:r>
      <w:r w:rsidRPr="0072340A">
        <w:rPr>
          <w:szCs w:val="22"/>
        </w:rPr>
        <w:t xml:space="preserve">Ambient Temperature Machine </w:t>
      </w:r>
      <w:r w:rsidRPr="00534C1D">
        <w:rPr>
          <w:szCs w:val="22"/>
        </w:rPr>
        <w:t>Gas Tungsten Arc Welding</w:t>
      </w:r>
      <w:r w:rsidRPr="0072340A">
        <w:rPr>
          <w:szCs w:val="22"/>
        </w:rPr>
        <w:t xml:space="preserve"> Temper Bead Technique</w:t>
      </w:r>
      <w:bookmarkEnd w:id="287"/>
    </w:p>
    <w:p w14:paraId="1AFCAA2E" w14:textId="77777777" w:rsidR="00D53E6F" w:rsidRDefault="00D53E6F" w:rsidP="00D53E6F">
      <w:pPr>
        <w:keepNext/>
        <w:spacing w:line="240" w:lineRule="auto"/>
      </w:pPr>
    </w:p>
    <w:p w14:paraId="6A1961F1" w14:textId="77777777" w:rsidR="00D53E6F" w:rsidRDefault="00D53E6F" w:rsidP="00D53E6F">
      <w:pPr>
        <w:spacing w:line="240" w:lineRule="auto"/>
      </w:pPr>
      <w:r>
        <w:t>The NRC does not expect the agency to incur incremental operation costs associated with the condition of this ASME Code Case, which is identical to the existing condition.</w:t>
      </w:r>
    </w:p>
    <w:p w14:paraId="6ACF37B9" w14:textId="77777777" w:rsidR="00D53E6F" w:rsidRDefault="00D53E6F" w:rsidP="00D53E6F">
      <w:pPr>
        <w:spacing w:line="240" w:lineRule="auto"/>
      </w:pPr>
    </w:p>
    <w:p w14:paraId="2A999C36" w14:textId="77777777" w:rsidR="00D53E6F" w:rsidRDefault="00D53E6F" w:rsidP="00D53E6F">
      <w:pPr>
        <w:pStyle w:val="Heading3"/>
        <w:spacing w:line="240" w:lineRule="auto"/>
        <w:ind w:left="720" w:hanging="720"/>
      </w:pPr>
      <w:bookmarkStart w:id="288" w:name="_Toc456098318"/>
      <w:bookmarkStart w:id="289" w:name="_Toc12808866"/>
      <w:r>
        <w:t>5.7.6</w:t>
      </w:r>
      <w:r>
        <w:tab/>
      </w:r>
      <w:bookmarkEnd w:id="288"/>
      <w:r w:rsidRPr="0072340A">
        <w:rPr>
          <w:szCs w:val="22"/>
        </w:rPr>
        <w:t>Alternative Requirements for Inner Radius Examinations of Class</w:t>
      </w:r>
      <w:r>
        <w:rPr>
          <w:szCs w:val="22"/>
        </w:rPr>
        <w:t> </w:t>
      </w:r>
      <w:r w:rsidRPr="0072340A">
        <w:rPr>
          <w:szCs w:val="22"/>
        </w:rPr>
        <w:t>1 Reactor Vessel Nozzles</w:t>
      </w:r>
      <w:r>
        <w:rPr>
          <w:szCs w:val="22"/>
        </w:rPr>
        <w:t>,</w:t>
      </w:r>
      <w:r w:rsidRPr="0072340A">
        <w:rPr>
          <w:szCs w:val="22"/>
        </w:rPr>
        <w:t xml:space="preserve"> Section</w:t>
      </w:r>
      <w:r>
        <w:rPr>
          <w:szCs w:val="22"/>
        </w:rPr>
        <w:t> </w:t>
      </w:r>
      <w:r w:rsidRPr="0072340A">
        <w:rPr>
          <w:szCs w:val="22"/>
        </w:rPr>
        <w:t>XI</w:t>
      </w:r>
      <w:bookmarkEnd w:id="289"/>
    </w:p>
    <w:p w14:paraId="620A7B96" w14:textId="77777777" w:rsidR="00D53E6F" w:rsidRDefault="00D53E6F" w:rsidP="00D53E6F">
      <w:pPr>
        <w:spacing w:line="240" w:lineRule="auto"/>
      </w:pPr>
    </w:p>
    <w:p w14:paraId="47341DA2" w14:textId="77777777" w:rsidR="00D53E6F" w:rsidRDefault="00D53E6F" w:rsidP="00D53E6F">
      <w:pPr>
        <w:spacing w:line="240" w:lineRule="auto"/>
      </w:pPr>
      <w:r>
        <w:t>The NRC does not expect the agency to incur incremental NRC operation costs from the resultant ISIs associated with the condition of this ASME Code Case.</w:t>
      </w:r>
    </w:p>
    <w:p w14:paraId="35619829" w14:textId="77777777" w:rsidR="00D53E6F" w:rsidRDefault="00D53E6F" w:rsidP="00D53E6F">
      <w:pPr>
        <w:spacing w:line="240" w:lineRule="auto"/>
      </w:pPr>
    </w:p>
    <w:p w14:paraId="7C171B3B" w14:textId="77777777" w:rsidR="00D53E6F" w:rsidRDefault="00D53E6F" w:rsidP="00D53E6F">
      <w:pPr>
        <w:pStyle w:val="Heading3"/>
        <w:spacing w:line="240" w:lineRule="auto"/>
        <w:ind w:left="720" w:hanging="720"/>
      </w:pPr>
      <w:bookmarkStart w:id="290" w:name="_Toc456098319"/>
      <w:bookmarkStart w:id="291" w:name="_Toc12808867"/>
      <w:r>
        <w:t>5.7.7</w:t>
      </w:r>
      <w:r>
        <w:tab/>
      </w:r>
      <w:bookmarkEnd w:id="290"/>
      <w:r w:rsidRPr="001D24C0">
        <w:rPr>
          <w:szCs w:val="22"/>
        </w:rPr>
        <w:t xml:space="preserve">Qualification Requirements for </w:t>
      </w:r>
      <w:r>
        <w:rPr>
          <w:szCs w:val="22"/>
        </w:rPr>
        <w:t>Dissimilar Metal Piping Welds</w:t>
      </w:r>
      <w:bookmarkEnd w:id="291"/>
    </w:p>
    <w:p w14:paraId="1D7CAB6F" w14:textId="77777777" w:rsidR="00D53E6F" w:rsidRDefault="00D53E6F" w:rsidP="00D53E6F">
      <w:pPr>
        <w:keepNext/>
        <w:spacing w:line="240" w:lineRule="auto"/>
      </w:pPr>
    </w:p>
    <w:p w14:paraId="52C984AF" w14:textId="236D00EC" w:rsidR="00D53E6F" w:rsidRDefault="00D53E6F" w:rsidP="00D53E6F">
      <w:pPr>
        <w:spacing w:line="240" w:lineRule="auto"/>
      </w:pPr>
      <w:r>
        <w:t xml:space="preserve">The NRC expects the agency to incur incremental operation costs associated with the condition of this ASME Code Case because of the resulting relief requests.  </w:t>
      </w:r>
      <w:r w:rsidR="00173B30">
        <w:t>The NRC</w:t>
      </w:r>
      <w:r>
        <w:t xml:space="preserve"> would need to approve a relief request submitted by a licensee; this request results in estimated costs ranging from ($20,000) at a 7-percent NPV to ($23,000) at a 3-percent NPV, as shown in </w:t>
      </w:r>
      <w:r w:rsidRPr="006D7E5E">
        <w:fldChar w:fldCharType="begin"/>
      </w:r>
      <w:r w:rsidRPr="006D7E5E">
        <w:instrText xml:space="preserve"> REF _Ref5602354 \h </w:instrText>
      </w:r>
      <w:r w:rsidRPr="003B5293">
        <w:rPr>
          <w:b/>
        </w:rPr>
        <w:instrText xml:space="preserve"> \* MERGEFORMAT </w:instrText>
      </w:r>
      <w:r w:rsidRPr="006D7E5E">
        <w:fldChar w:fldCharType="separate"/>
      </w:r>
      <w:r w:rsidR="00F05D99" w:rsidRPr="00F05D99">
        <w:t xml:space="preserve">Table </w:t>
      </w:r>
      <w:r w:rsidR="00F05D99" w:rsidRPr="00F05D99">
        <w:rPr>
          <w:noProof/>
        </w:rPr>
        <w:t>14</w:t>
      </w:r>
      <w:r w:rsidRPr="006D7E5E">
        <w:fldChar w:fldCharType="end"/>
      </w:r>
      <w:r>
        <w:t>.</w:t>
      </w:r>
    </w:p>
    <w:p w14:paraId="17F412BB" w14:textId="77777777" w:rsidR="00D53E6F" w:rsidRDefault="00D53E6F" w:rsidP="00D53E6F">
      <w:pPr>
        <w:spacing w:line="240" w:lineRule="auto"/>
      </w:pPr>
    </w:p>
    <w:p w14:paraId="097F4BA8" w14:textId="00913C60" w:rsidR="00D53E6F" w:rsidRPr="00C80453" w:rsidRDefault="00D53E6F" w:rsidP="00D53E6F">
      <w:pPr>
        <w:pStyle w:val="Caption"/>
        <w:spacing w:line="240" w:lineRule="auto"/>
        <w:jc w:val="center"/>
        <w:rPr>
          <w:b/>
        </w:rPr>
      </w:pPr>
      <w:bookmarkStart w:id="292" w:name="_Ref5602354"/>
      <w:bookmarkStart w:id="293" w:name="_Toc9428143"/>
      <w:r w:rsidRPr="00C80453">
        <w:rPr>
          <w:b/>
        </w:rPr>
        <w:t xml:space="preserve">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14</w:t>
      </w:r>
      <w:r w:rsidRPr="00C80453">
        <w:rPr>
          <w:b/>
          <w:noProof/>
        </w:rPr>
        <w:fldChar w:fldCharType="end"/>
      </w:r>
      <w:bookmarkEnd w:id="292"/>
      <w:r w:rsidRPr="00C80453">
        <w:rPr>
          <w:b/>
        </w:rPr>
        <w:t xml:space="preserve">  </w:t>
      </w:r>
      <w:r>
        <w:rPr>
          <w:b/>
        </w:rPr>
        <w:t xml:space="preserve">ASME Code Case </w:t>
      </w:r>
      <w:r w:rsidRPr="00C80453">
        <w:rPr>
          <w:b/>
        </w:rPr>
        <w:t>N-695-1 Piping Examination Relief Request Review</w:t>
      </w:r>
      <w:bookmarkEnd w:id="293"/>
    </w:p>
    <w:p w14:paraId="73861696" w14:textId="77777777" w:rsidR="00D53E6F" w:rsidRDefault="00D53E6F" w:rsidP="00D53E6F">
      <w:pPr>
        <w:spacing w:line="240" w:lineRule="auto"/>
      </w:pPr>
      <w:r w:rsidRPr="00325653">
        <w:rPr>
          <w:noProof/>
        </w:rPr>
        <w:drawing>
          <wp:inline distT="0" distB="0" distL="0" distR="0" wp14:anchorId="5DFB3E74" wp14:editId="0A97C1E9">
            <wp:extent cx="5943600" cy="6604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660400"/>
                    </a:xfrm>
                    <a:prstGeom prst="rect">
                      <a:avLst/>
                    </a:prstGeom>
                    <a:noFill/>
                    <a:ln>
                      <a:noFill/>
                    </a:ln>
                  </pic:spPr>
                </pic:pic>
              </a:graphicData>
            </a:graphic>
          </wp:inline>
        </w:drawing>
      </w:r>
    </w:p>
    <w:p w14:paraId="7A1D7F49" w14:textId="77777777" w:rsidR="00D53E6F" w:rsidRDefault="00D53E6F" w:rsidP="00D53E6F">
      <w:pPr>
        <w:spacing w:line="240" w:lineRule="auto"/>
      </w:pPr>
    </w:p>
    <w:p w14:paraId="58A90B07" w14:textId="77777777" w:rsidR="00D53E6F" w:rsidRDefault="00D53E6F" w:rsidP="00D53E6F">
      <w:pPr>
        <w:pStyle w:val="Heading3"/>
        <w:ind w:left="720" w:hanging="720"/>
      </w:pPr>
      <w:bookmarkStart w:id="294" w:name="_Toc456098320"/>
      <w:bookmarkStart w:id="295" w:name="_Toc12808868"/>
      <w:r>
        <w:t>5.7.8</w:t>
      </w:r>
      <w:r>
        <w:tab/>
      </w:r>
      <w:bookmarkEnd w:id="294"/>
      <w:r w:rsidRPr="0072340A">
        <w:rPr>
          <w:szCs w:val="22"/>
        </w:rPr>
        <w:t>Qualification Requirements for Mandatory Appendix VIII Piping Examination Conducted from the Inside Surface</w:t>
      </w:r>
      <w:bookmarkEnd w:id="295"/>
    </w:p>
    <w:p w14:paraId="681900F4" w14:textId="77777777" w:rsidR="00D53E6F" w:rsidRDefault="00D53E6F" w:rsidP="00D53E6F">
      <w:pPr>
        <w:keepNext/>
        <w:spacing w:line="240" w:lineRule="auto"/>
      </w:pPr>
    </w:p>
    <w:p w14:paraId="224682AF" w14:textId="08B3955F" w:rsidR="00D53E6F" w:rsidRPr="006D7E5E" w:rsidRDefault="00D53E6F" w:rsidP="00D53E6F">
      <w:pPr>
        <w:spacing w:line="240" w:lineRule="auto"/>
      </w:pPr>
      <w:r>
        <w:t xml:space="preserve">The NRC expects the agency to incur incremental operation costs associated with the condition of this ASME Code Case because of the resulting relief requests.  </w:t>
      </w:r>
      <w:r w:rsidR="00173B30">
        <w:t>The NRC</w:t>
      </w:r>
      <w:r>
        <w:t xml:space="preserve"> would need to approve a relief request submitted by a licensee; this request results in estimated costs ranging from ($20,000) at a 7-percent NPV to ($23,000) at a 3-percent NPV, as shown in </w:t>
      </w:r>
      <w:r w:rsidRPr="006D7E5E">
        <w:fldChar w:fldCharType="begin"/>
      </w:r>
      <w:r w:rsidRPr="006D7E5E">
        <w:instrText xml:space="preserve"> REF _Ref5602145 \h </w:instrText>
      </w:r>
      <w:r w:rsidRPr="003B5293">
        <w:rPr>
          <w:b/>
        </w:rPr>
        <w:instrText xml:space="preserve"> \* MERGEFORMAT </w:instrText>
      </w:r>
      <w:r w:rsidRPr="006D7E5E">
        <w:fldChar w:fldCharType="separate"/>
      </w:r>
      <w:r w:rsidR="00F05D99" w:rsidRPr="00F05D99">
        <w:t xml:space="preserve">Table </w:t>
      </w:r>
      <w:r w:rsidR="00F05D99" w:rsidRPr="00F05D99">
        <w:rPr>
          <w:noProof/>
        </w:rPr>
        <w:t>15</w:t>
      </w:r>
      <w:r w:rsidRPr="006D7E5E">
        <w:fldChar w:fldCharType="end"/>
      </w:r>
      <w:r w:rsidRPr="006D7E5E">
        <w:t>.</w:t>
      </w:r>
    </w:p>
    <w:p w14:paraId="06103896" w14:textId="77777777" w:rsidR="00D53E6F" w:rsidRDefault="00D53E6F" w:rsidP="00D53E6F">
      <w:pPr>
        <w:spacing w:line="240" w:lineRule="auto"/>
      </w:pPr>
    </w:p>
    <w:p w14:paraId="37579122" w14:textId="2212E077" w:rsidR="00D53E6F" w:rsidRPr="00C80453" w:rsidRDefault="00D53E6F" w:rsidP="00D53E6F">
      <w:pPr>
        <w:pStyle w:val="Caption"/>
        <w:spacing w:line="240" w:lineRule="auto"/>
        <w:jc w:val="center"/>
        <w:rPr>
          <w:b/>
        </w:rPr>
      </w:pPr>
      <w:bookmarkStart w:id="296" w:name="_Ref5602145"/>
      <w:bookmarkStart w:id="297" w:name="_Toc9428144"/>
      <w:r w:rsidRPr="00C80453">
        <w:rPr>
          <w:b/>
        </w:rPr>
        <w:t xml:space="preserve">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15</w:t>
      </w:r>
      <w:r w:rsidRPr="00C80453">
        <w:rPr>
          <w:b/>
          <w:noProof/>
        </w:rPr>
        <w:fldChar w:fldCharType="end"/>
      </w:r>
      <w:bookmarkEnd w:id="296"/>
      <w:r w:rsidRPr="00C80453">
        <w:rPr>
          <w:b/>
        </w:rPr>
        <w:t xml:space="preserve">  </w:t>
      </w:r>
      <w:r>
        <w:rPr>
          <w:b/>
        </w:rPr>
        <w:t xml:space="preserve">ASME Code Case </w:t>
      </w:r>
      <w:r w:rsidRPr="00C80453">
        <w:rPr>
          <w:b/>
        </w:rPr>
        <w:t>N-696-1 Piping Examination Relief Request Review</w:t>
      </w:r>
      <w:bookmarkEnd w:id="297"/>
    </w:p>
    <w:p w14:paraId="3567997F" w14:textId="77777777" w:rsidR="00D53E6F" w:rsidRDefault="00D53E6F" w:rsidP="00D53E6F">
      <w:pPr>
        <w:spacing w:line="240" w:lineRule="auto"/>
      </w:pPr>
      <w:r w:rsidRPr="00325653">
        <w:rPr>
          <w:noProof/>
        </w:rPr>
        <w:drawing>
          <wp:inline distT="0" distB="0" distL="0" distR="0" wp14:anchorId="7AF6ABFB" wp14:editId="6430C00E">
            <wp:extent cx="5943600" cy="6604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660400"/>
                    </a:xfrm>
                    <a:prstGeom prst="rect">
                      <a:avLst/>
                    </a:prstGeom>
                    <a:noFill/>
                    <a:ln>
                      <a:noFill/>
                    </a:ln>
                  </pic:spPr>
                </pic:pic>
              </a:graphicData>
            </a:graphic>
          </wp:inline>
        </w:drawing>
      </w:r>
    </w:p>
    <w:p w14:paraId="6278764D" w14:textId="77777777" w:rsidR="00D53E6F" w:rsidRDefault="00D53E6F" w:rsidP="00D53E6F">
      <w:pPr>
        <w:spacing w:line="240" w:lineRule="auto"/>
      </w:pPr>
    </w:p>
    <w:p w14:paraId="425F47A8" w14:textId="73A96ECB" w:rsidR="00D53E6F" w:rsidRDefault="00D53E6F" w:rsidP="00D53E6F">
      <w:pPr>
        <w:pStyle w:val="Heading3"/>
        <w:spacing w:line="240" w:lineRule="auto"/>
        <w:ind w:left="720" w:hanging="720"/>
      </w:pPr>
      <w:bookmarkStart w:id="298" w:name="_Toc456098321"/>
      <w:bookmarkStart w:id="299" w:name="_Toc12808869"/>
      <w:r>
        <w:t>5.7.9</w:t>
      </w:r>
      <w:r>
        <w:tab/>
      </w:r>
      <w:bookmarkEnd w:id="298"/>
      <w:r w:rsidRPr="001D24C0">
        <w:rPr>
          <w:szCs w:val="22"/>
        </w:rPr>
        <w:t>Alternative Requirements for Boiling</w:t>
      </w:r>
      <w:r>
        <w:rPr>
          <w:szCs w:val="22"/>
        </w:rPr>
        <w:noBreakHyphen/>
      </w:r>
      <w:r w:rsidRPr="001D24C0">
        <w:rPr>
          <w:szCs w:val="22"/>
        </w:rPr>
        <w:t xml:space="preserve">Water Reactor Nozzle Inner Radius and </w:t>
      </w:r>
      <w:r>
        <w:rPr>
          <w:szCs w:val="22"/>
        </w:rPr>
        <w:br/>
      </w:r>
      <w:r w:rsidRPr="001D24C0">
        <w:rPr>
          <w:szCs w:val="22"/>
        </w:rPr>
        <w:t>Nozzle</w:t>
      </w:r>
      <w:r>
        <w:rPr>
          <w:szCs w:val="22"/>
        </w:rPr>
        <w:noBreakHyphen/>
      </w:r>
      <w:r w:rsidRPr="001D24C0">
        <w:rPr>
          <w:szCs w:val="22"/>
        </w:rPr>
        <w:t>to</w:t>
      </w:r>
      <w:r>
        <w:rPr>
          <w:szCs w:val="22"/>
        </w:rPr>
        <w:noBreakHyphen/>
      </w:r>
      <w:r w:rsidRPr="001D24C0">
        <w:rPr>
          <w:szCs w:val="22"/>
        </w:rPr>
        <w:t>Shell Welds, Section XI, Division 1</w:t>
      </w:r>
      <w:bookmarkEnd w:id="299"/>
    </w:p>
    <w:p w14:paraId="5C4CD025" w14:textId="77777777" w:rsidR="00D53E6F" w:rsidRDefault="00D53E6F" w:rsidP="00D53E6F">
      <w:pPr>
        <w:keepNext/>
        <w:spacing w:line="240" w:lineRule="auto"/>
      </w:pPr>
    </w:p>
    <w:p w14:paraId="09DA0CA9" w14:textId="77777777" w:rsidR="00D53E6F" w:rsidRDefault="00D53E6F" w:rsidP="00D53E6F">
      <w:pPr>
        <w:spacing w:line="240" w:lineRule="auto"/>
      </w:pPr>
      <w:r>
        <w:t>The NRC does not expect the agency to incur incremental operation costs associated with the conditions of this ASME Code Case, which are consistent with the approach that licensees used before the Code Case existed.</w:t>
      </w:r>
    </w:p>
    <w:p w14:paraId="0D24747B" w14:textId="77777777" w:rsidR="00D53E6F" w:rsidRDefault="00D53E6F" w:rsidP="004A7B59">
      <w:pPr>
        <w:spacing w:line="240" w:lineRule="auto"/>
      </w:pPr>
    </w:p>
    <w:p w14:paraId="4A95584B" w14:textId="77777777" w:rsidR="00D53E6F" w:rsidRDefault="00D53E6F" w:rsidP="00D53E6F">
      <w:pPr>
        <w:pStyle w:val="Heading3"/>
        <w:spacing w:line="240" w:lineRule="auto"/>
        <w:ind w:left="900" w:hanging="900"/>
      </w:pPr>
      <w:bookmarkStart w:id="300" w:name="_Toc12808870"/>
      <w:r>
        <w:t>5.7.10</w:t>
      </w:r>
      <w:r>
        <w:tab/>
      </w:r>
      <w:r w:rsidRPr="0072340A">
        <w:rPr>
          <w:szCs w:val="22"/>
        </w:rPr>
        <w:t>Evaluation Criteria for Temporary Acceptance of Degradation in Moderate</w:t>
      </w:r>
      <w:r>
        <w:rPr>
          <w:szCs w:val="22"/>
        </w:rPr>
        <w:noBreakHyphen/>
      </w:r>
      <w:r w:rsidRPr="0072340A">
        <w:rPr>
          <w:szCs w:val="22"/>
        </w:rPr>
        <w:t>Energy Class</w:t>
      </w:r>
      <w:r>
        <w:rPr>
          <w:szCs w:val="22"/>
        </w:rPr>
        <w:t> </w:t>
      </w:r>
      <w:r w:rsidRPr="0072340A">
        <w:rPr>
          <w:szCs w:val="22"/>
        </w:rPr>
        <w:t>2 or 3 Vessels and Tanks</w:t>
      </w:r>
      <w:bookmarkEnd w:id="300"/>
    </w:p>
    <w:p w14:paraId="5E690545" w14:textId="77777777" w:rsidR="00D53E6F" w:rsidRDefault="00D53E6F" w:rsidP="00D53E6F">
      <w:pPr>
        <w:keepNext/>
        <w:spacing w:line="240" w:lineRule="auto"/>
      </w:pPr>
    </w:p>
    <w:p w14:paraId="7DFC019A" w14:textId="77777777" w:rsidR="00D53E6F" w:rsidRDefault="00D53E6F" w:rsidP="00D53E6F">
      <w:pPr>
        <w:spacing w:line="240" w:lineRule="auto"/>
      </w:pPr>
      <w:r>
        <w:t>The NRC does not expect the agency to incur incremental operation costs from the tank repairs associated with the condition of this ASME Code Case.</w:t>
      </w:r>
    </w:p>
    <w:p w14:paraId="47D67378" w14:textId="77777777" w:rsidR="00D53E6F" w:rsidRDefault="00D53E6F" w:rsidP="00D53E6F">
      <w:pPr>
        <w:spacing w:line="240" w:lineRule="auto"/>
      </w:pPr>
    </w:p>
    <w:p w14:paraId="0918AC9F" w14:textId="77777777" w:rsidR="00D53E6F" w:rsidRDefault="00D53E6F" w:rsidP="00D53E6F">
      <w:pPr>
        <w:pStyle w:val="Heading3"/>
        <w:spacing w:line="240" w:lineRule="auto"/>
        <w:ind w:left="900" w:hanging="900"/>
      </w:pPr>
      <w:bookmarkStart w:id="301" w:name="_Toc456098322"/>
      <w:bookmarkStart w:id="302" w:name="_Toc12808871"/>
      <w:r>
        <w:t>5.7.11</w:t>
      </w:r>
      <w:r>
        <w:tab/>
      </w:r>
      <w:bookmarkEnd w:id="301"/>
      <w:r w:rsidRPr="0072340A">
        <w:rPr>
          <w:szCs w:val="22"/>
        </w:rPr>
        <w:t>Alternative Examination Coverage Requirements for Examination Category B</w:t>
      </w:r>
      <w:r>
        <w:rPr>
          <w:szCs w:val="22"/>
        </w:rPr>
        <w:noBreakHyphen/>
      </w:r>
      <w:r w:rsidRPr="0072340A">
        <w:rPr>
          <w:szCs w:val="22"/>
        </w:rPr>
        <w:t>F, B</w:t>
      </w:r>
      <w:r>
        <w:rPr>
          <w:szCs w:val="22"/>
        </w:rPr>
        <w:noBreakHyphen/>
      </w:r>
      <w:r w:rsidRPr="0072340A">
        <w:rPr>
          <w:szCs w:val="22"/>
        </w:rPr>
        <w:t>J, C</w:t>
      </w:r>
      <w:r>
        <w:rPr>
          <w:szCs w:val="22"/>
        </w:rPr>
        <w:noBreakHyphen/>
      </w:r>
      <w:r w:rsidRPr="0072340A">
        <w:rPr>
          <w:szCs w:val="22"/>
        </w:rPr>
        <w:t>F</w:t>
      </w:r>
      <w:r>
        <w:rPr>
          <w:szCs w:val="22"/>
        </w:rPr>
        <w:noBreakHyphen/>
      </w:r>
      <w:r w:rsidRPr="0072340A">
        <w:rPr>
          <w:szCs w:val="22"/>
        </w:rPr>
        <w:t>1, C</w:t>
      </w:r>
      <w:r>
        <w:rPr>
          <w:szCs w:val="22"/>
        </w:rPr>
        <w:noBreakHyphen/>
      </w:r>
      <w:r w:rsidRPr="0072340A">
        <w:rPr>
          <w:szCs w:val="22"/>
        </w:rPr>
        <w:t>F</w:t>
      </w:r>
      <w:r>
        <w:rPr>
          <w:szCs w:val="22"/>
        </w:rPr>
        <w:noBreakHyphen/>
      </w:r>
      <w:r w:rsidRPr="0072340A">
        <w:rPr>
          <w:szCs w:val="22"/>
        </w:rPr>
        <w:t>2, and R-A Piping Welds</w:t>
      </w:r>
      <w:bookmarkEnd w:id="302"/>
    </w:p>
    <w:p w14:paraId="12A30411" w14:textId="77777777" w:rsidR="00D53E6F" w:rsidRDefault="00D53E6F" w:rsidP="00D53E6F">
      <w:pPr>
        <w:keepNext/>
        <w:spacing w:line="240" w:lineRule="auto"/>
      </w:pPr>
    </w:p>
    <w:p w14:paraId="12DFAB6A" w14:textId="77777777" w:rsidR="00D53E6F" w:rsidRDefault="00D53E6F" w:rsidP="00D53E6F">
      <w:pPr>
        <w:spacing w:line="240" w:lineRule="auto"/>
      </w:pPr>
      <w:r>
        <w:t>The NRC does not expect the agency to incur incremental operation costs associated with this condition, which clarifies the language used in the ASME Code Case.</w:t>
      </w:r>
    </w:p>
    <w:p w14:paraId="29BFAD91" w14:textId="77777777" w:rsidR="00D53E6F" w:rsidRDefault="00D53E6F" w:rsidP="00D53E6F">
      <w:pPr>
        <w:spacing w:line="240" w:lineRule="auto"/>
      </w:pPr>
    </w:p>
    <w:p w14:paraId="39726606" w14:textId="77777777" w:rsidR="00D53E6F" w:rsidRPr="00A46704" w:rsidRDefault="00D53E6F" w:rsidP="00D53E6F">
      <w:pPr>
        <w:pStyle w:val="Heading3"/>
        <w:keepLines/>
        <w:spacing w:line="240" w:lineRule="auto"/>
        <w:ind w:left="900" w:hanging="900"/>
        <w:rPr>
          <w:rFonts w:eastAsia="Calibri"/>
          <w:szCs w:val="22"/>
        </w:rPr>
      </w:pPr>
      <w:bookmarkStart w:id="303" w:name="_Toc12808872"/>
      <w:r>
        <w:t>5.7.12</w:t>
      </w:r>
      <w:r>
        <w:tab/>
      </w:r>
      <w:r w:rsidRPr="0072340A">
        <w:rPr>
          <w:szCs w:val="22"/>
        </w:rPr>
        <w:t xml:space="preserve">Optimized Structural Dissimilar Metal Weld Overlay for Mitigation of </w:t>
      </w:r>
      <w:r>
        <w:rPr>
          <w:szCs w:val="22"/>
        </w:rPr>
        <w:t>Pressurized</w:t>
      </w:r>
      <w:r>
        <w:rPr>
          <w:szCs w:val="22"/>
        </w:rPr>
        <w:noBreakHyphen/>
        <w:t>Water Reactor</w:t>
      </w:r>
      <w:r w:rsidRPr="0072340A">
        <w:rPr>
          <w:szCs w:val="22"/>
        </w:rPr>
        <w:t xml:space="preserve"> Class</w:t>
      </w:r>
      <w:r>
        <w:rPr>
          <w:szCs w:val="22"/>
        </w:rPr>
        <w:t> </w:t>
      </w:r>
      <w:r w:rsidRPr="0072340A">
        <w:rPr>
          <w:szCs w:val="22"/>
        </w:rPr>
        <w:t>1 Items</w:t>
      </w:r>
      <w:bookmarkEnd w:id="303"/>
    </w:p>
    <w:p w14:paraId="74C0BF8E" w14:textId="77777777" w:rsidR="00D53E6F" w:rsidRDefault="00D53E6F" w:rsidP="00D53E6F">
      <w:pPr>
        <w:keepNext/>
        <w:keepLines/>
        <w:spacing w:line="240" w:lineRule="auto"/>
      </w:pPr>
    </w:p>
    <w:p w14:paraId="2181A073" w14:textId="77777777" w:rsidR="00D53E6F" w:rsidRDefault="00D53E6F" w:rsidP="004A7B59">
      <w:pPr>
        <w:spacing w:line="240" w:lineRule="auto"/>
      </w:pPr>
      <w:r>
        <w:t>The NRC does not expect the agency to incur incremental operation costs associated with the conditions of this ASME Code Case, which are either identical to existing conditions or clarify the language used in the Code Case.</w:t>
      </w:r>
    </w:p>
    <w:p w14:paraId="04F52AFB" w14:textId="77777777" w:rsidR="00D53E6F" w:rsidRDefault="00D53E6F" w:rsidP="00D53E6F">
      <w:pPr>
        <w:spacing w:line="240" w:lineRule="auto"/>
      </w:pPr>
    </w:p>
    <w:p w14:paraId="4C7E926F" w14:textId="3CA83789" w:rsidR="00D53E6F" w:rsidRDefault="00D53E6F" w:rsidP="00D53E6F">
      <w:pPr>
        <w:pStyle w:val="Heading3"/>
        <w:spacing w:line="240" w:lineRule="auto"/>
        <w:ind w:left="900" w:hanging="900"/>
      </w:pPr>
      <w:bookmarkStart w:id="304" w:name="_Toc456098323"/>
      <w:bookmarkStart w:id="305" w:name="_Toc12808873"/>
      <w:r>
        <w:t>5.7.13</w:t>
      </w:r>
      <w:r>
        <w:tab/>
      </w:r>
      <w:bookmarkEnd w:id="304"/>
      <w:r w:rsidRPr="0072340A">
        <w:rPr>
          <w:szCs w:val="22"/>
        </w:rPr>
        <w:t xml:space="preserve">Nickel Alloy Reactor Coolant Inlay and Onlay for Mitigation of </w:t>
      </w:r>
      <w:r>
        <w:rPr>
          <w:szCs w:val="22"/>
        </w:rPr>
        <w:t>Pressurized</w:t>
      </w:r>
      <w:r>
        <w:rPr>
          <w:szCs w:val="22"/>
        </w:rPr>
        <w:noBreakHyphen/>
        <w:t>Water Reactor</w:t>
      </w:r>
      <w:r w:rsidRPr="0072340A">
        <w:rPr>
          <w:szCs w:val="22"/>
        </w:rPr>
        <w:t xml:space="preserve"> Full</w:t>
      </w:r>
      <w:r>
        <w:rPr>
          <w:szCs w:val="22"/>
        </w:rPr>
        <w:noBreakHyphen/>
      </w:r>
      <w:r w:rsidRPr="0072340A">
        <w:rPr>
          <w:szCs w:val="22"/>
        </w:rPr>
        <w:t>Penetration Circumferential Nickel Alloy Dissimilar Metal Welds in Class</w:t>
      </w:r>
      <w:r>
        <w:rPr>
          <w:szCs w:val="22"/>
        </w:rPr>
        <w:t> </w:t>
      </w:r>
      <w:r w:rsidRPr="0072340A">
        <w:rPr>
          <w:szCs w:val="22"/>
        </w:rPr>
        <w:t>1</w:t>
      </w:r>
      <w:r w:rsidR="003A577E">
        <w:rPr>
          <w:szCs w:val="22"/>
        </w:rPr>
        <w:t> </w:t>
      </w:r>
      <w:r w:rsidRPr="0072340A">
        <w:rPr>
          <w:szCs w:val="22"/>
        </w:rPr>
        <w:t>Items</w:t>
      </w:r>
      <w:bookmarkEnd w:id="305"/>
    </w:p>
    <w:p w14:paraId="2EC48F75" w14:textId="77777777" w:rsidR="00D53E6F" w:rsidRDefault="00D53E6F" w:rsidP="00D53E6F">
      <w:pPr>
        <w:keepNext/>
        <w:spacing w:line="240" w:lineRule="auto"/>
      </w:pPr>
    </w:p>
    <w:p w14:paraId="45C03AE5" w14:textId="63FAC6DF" w:rsidR="00D53E6F" w:rsidRDefault="00D53E6F" w:rsidP="00D53E6F">
      <w:pPr>
        <w:spacing w:line="240" w:lineRule="auto"/>
      </w:pPr>
      <w:r>
        <w:t>The NRC expects to incur costs associated with the review of ASME Code Case N</w:t>
      </w:r>
      <w:r>
        <w:noBreakHyphen/>
        <w:t>766</w:t>
      </w:r>
      <w:r>
        <w:noBreakHyphen/>
        <w:t xml:space="preserve">1 relief requests submitted by licensees.  As shown </w:t>
      </w:r>
      <w:r w:rsidRPr="006D7E5E">
        <w:t xml:space="preserve">in </w:t>
      </w:r>
      <w:r w:rsidRPr="006D7E5E">
        <w:fldChar w:fldCharType="begin"/>
      </w:r>
      <w:r w:rsidRPr="006D7E5E">
        <w:instrText xml:space="preserve"> REF _Ref5602166 \h </w:instrText>
      </w:r>
      <w:r w:rsidRPr="003B5293">
        <w:rPr>
          <w:b/>
        </w:rPr>
        <w:instrText xml:space="preserve"> \* MERGEFORMAT </w:instrText>
      </w:r>
      <w:r w:rsidRPr="006D7E5E">
        <w:fldChar w:fldCharType="separate"/>
      </w:r>
      <w:r w:rsidR="00F05D99" w:rsidRPr="00F05D99">
        <w:t xml:space="preserve">Table </w:t>
      </w:r>
      <w:r w:rsidR="00F05D99" w:rsidRPr="00F05D99">
        <w:rPr>
          <w:noProof/>
        </w:rPr>
        <w:t>16</w:t>
      </w:r>
      <w:r w:rsidRPr="006D7E5E">
        <w:fldChar w:fldCharType="end"/>
      </w:r>
      <w:r w:rsidRPr="006D7E5E">
        <w:t>, the</w:t>
      </w:r>
      <w:r>
        <w:t xml:space="preserve"> </w:t>
      </w:r>
      <w:r w:rsidR="00433120">
        <w:t xml:space="preserve">NRC </w:t>
      </w:r>
      <w:r>
        <w:t>estimates receiving one review request per year.  This request requires approximately 143 hours per review and results in costs ranging from ($87,000) at a 7</w:t>
      </w:r>
      <w:r>
        <w:noBreakHyphen/>
        <w:t>percent NPV to ($97,000) at a 3</w:t>
      </w:r>
      <w:r>
        <w:noBreakHyphen/>
        <w:t>percent NPV.</w:t>
      </w:r>
    </w:p>
    <w:p w14:paraId="7AA0304A" w14:textId="77777777" w:rsidR="00D53E6F" w:rsidRDefault="00D53E6F" w:rsidP="00D53E6F">
      <w:pPr>
        <w:spacing w:line="240" w:lineRule="auto"/>
      </w:pPr>
    </w:p>
    <w:p w14:paraId="6E698390" w14:textId="1583F0BB" w:rsidR="00D53E6F" w:rsidRPr="00C80453" w:rsidRDefault="00D53E6F" w:rsidP="00D53E6F">
      <w:pPr>
        <w:pStyle w:val="Caption"/>
        <w:spacing w:line="240" w:lineRule="auto"/>
        <w:jc w:val="center"/>
        <w:rPr>
          <w:b/>
        </w:rPr>
      </w:pPr>
      <w:bookmarkStart w:id="306" w:name="_Ref5602166"/>
      <w:bookmarkStart w:id="307" w:name="_Toc9428145"/>
      <w:r w:rsidRPr="00C80453">
        <w:rPr>
          <w:b/>
        </w:rPr>
        <w:t xml:space="preserve">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16</w:t>
      </w:r>
      <w:r w:rsidRPr="00C80453">
        <w:rPr>
          <w:b/>
          <w:noProof/>
        </w:rPr>
        <w:fldChar w:fldCharType="end"/>
      </w:r>
      <w:bookmarkEnd w:id="306"/>
      <w:r w:rsidRPr="00C80453">
        <w:rPr>
          <w:b/>
        </w:rPr>
        <w:t xml:space="preserve">  </w:t>
      </w:r>
      <w:r>
        <w:rPr>
          <w:b/>
        </w:rPr>
        <w:t xml:space="preserve">ASME Code Case </w:t>
      </w:r>
      <w:r w:rsidRPr="00C80453">
        <w:rPr>
          <w:b/>
        </w:rPr>
        <w:t>N-766-1 Relief Request Reviews</w:t>
      </w:r>
      <w:bookmarkEnd w:id="307"/>
    </w:p>
    <w:p w14:paraId="60E90EBE" w14:textId="77777777" w:rsidR="00D53E6F" w:rsidRDefault="00D53E6F" w:rsidP="00D53E6F">
      <w:pPr>
        <w:spacing w:line="240" w:lineRule="auto"/>
      </w:pPr>
      <w:r w:rsidRPr="00BE4B1A">
        <w:rPr>
          <w:noProof/>
        </w:rPr>
        <w:drawing>
          <wp:inline distT="0" distB="0" distL="0" distR="0" wp14:anchorId="3D44CD4D" wp14:editId="1384D240">
            <wp:extent cx="5943600" cy="2148989"/>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2148989"/>
                    </a:xfrm>
                    <a:prstGeom prst="rect">
                      <a:avLst/>
                    </a:prstGeom>
                    <a:noFill/>
                    <a:ln>
                      <a:noFill/>
                    </a:ln>
                  </pic:spPr>
                </pic:pic>
              </a:graphicData>
            </a:graphic>
          </wp:inline>
        </w:drawing>
      </w:r>
    </w:p>
    <w:p w14:paraId="67E76A5C" w14:textId="77777777" w:rsidR="00D53E6F" w:rsidRDefault="00D53E6F" w:rsidP="00D53E6F">
      <w:pPr>
        <w:spacing w:line="240" w:lineRule="auto"/>
      </w:pPr>
    </w:p>
    <w:p w14:paraId="33E8355F" w14:textId="77777777" w:rsidR="00D53E6F" w:rsidRDefault="00D53E6F" w:rsidP="00D53E6F">
      <w:pPr>
        <w:pStyle w:val="Heading3"/>
        <w:spacing w:line="240" w:lineRule="auto"/>
        <w:ind w:left="900" w:hanging="900"/>
      </w:pPr>
      <w:bookmarkStart w:id="308" w:name="_Toc12808874"/>
      <w:r>
        <w:t>5.7.14</w:t>
      </w:r>
      <w:r>
        <w:tab/>
      </w:r>
      <w:r w:rsidRPr="0037779F">
        <w:rPr>
          <w:szCs w:val="22"/>
        </w:rPr>
        <w:t>Ultrasonic Examination of Cast Austenitic Piping Welds</w:t>
      </w:r>
      <w:r>
        <w:rPr>
          <w:szCs w:val="22"/>
        </w:rPr>
        <w:t xml:space="preserve"> f</w:t>
      </w:r>
      <w:r w:rsidRPr="0037779F">
        <w:rPr>
          <w:szCs w:val="22"/>
        </w:rPr>
        <w:t>rom the Outside Surface, Section</w:t>
      </w:r>
      <w:r>
        <w:rPr>
          <w:szCs w:val="22"/>
        </w:rPr>
        <w:t> </w:t>
      </w:r>
      <w:r w:rsidRPr="0037779F">
        <w:rPr>
          <w:szCs w:val="22"/>
        </w:rPr>
        <w:t>XI, Division 1</w:t>
      </w:r>
      <w:bookmarkEnd w:id="308"/>
    </w:p>
    <w:p w14:paraId="6E545134" w14:textId="77777777" w:rsidR="00D53E6F" w:rsidRDefault="00D53E6F" w:rsidP="00D53E6F">
      <w:pPr>
        <w:spacing w:line="240" w:lineRule="auto"/>
      </w:pPr>
    </w:p>
    <w:p w14:paraId="33BC33F9" w14:textId="77777777" w:rsidR="00D53E6F" w:rsidRDefault="00D53E6F" w:rsidP="00D53E6F">
      <w:pPr>
        <w:spacing w:line="240" w:lineRule="auto"/>
      </w:pPr>
      <w:r>
        <w:t>The NRC does not expect the agency to incur incremental operation costs associated with the conditions of this ASME Code Case, which have already been incorporated by reference into 10 CFR 50.55a.  The final regulatory analysis for the latest ASME Code editions rulemaking already estimated the costs (NRC 2017e).</w:t>
      </w:r>
    </w:p>
    <w:p w14:paraId="5622A981" w14:textId="77777777" w:rsidR="00D53E6F" w:rsidRDefault="00D53E6F" w:rsidP="00D53E6F">
      <w:pPr>
        <w:spacing w:line="240" w:lineRule="auto"/>
      </w:pPr>
    </w:p>
    <w:p w14:paraId="0ACD8FBC" w14:textId="77777777" w:rsidR="00D53E6F" w:rsidRDefault="00D53E6F" w:rsidP="00D53E6F">
      <w:pPr>
        <w:pStyle w:val="Heading3"/>
        <w:spacing w:line="240" w:lineRule="auto"/>
        <w:ind w:left="900" w:hanging="900"/>
      </w:pPr>
      <w:bookmarkStart w:id="309" w:name="_Toc12808875"/>
      <w:r>
        <w:t>5.7.15</w:t>
      </w:r>
      <w:r>
        <w:tab/>
      </w:r>
      <w:r w:rsidRPr="0072340A">
        <w:rPr>
          <w:szCs w:val="22"/>
        </w:rPr>
        <w:t>Austenitic Stainless Steel Cladding and Nickel</w:t>
      </w:r>
      <w:r>
        <w:rPr>
          <w:szCs w:val="22"/>
        </w:rPr>
        <w:noBreakHyphen/>
      </w:r>
      <w:r w:rsidRPr="0072340A">
        <w:rPr>
          <w:szCs w:val="22"/>
        </w:rPr>
        <w:t xml:space="preserve">Base Cladding Using </w:t>
      </w:r>
      <w:r>
        <w:rPr>
          <w:szCs w:val="22"/>
        </w:rPr>
        <w:t xml:space="preserve">an </w:t>
      </w:r>
      <w:r w:rsidRPr="0072340A">
        <w:rPr>
          <w:szCs w:val="22"/>
        </w:rPr>
        <w:t xml:space="preserve">Ambient Temperature Machine </w:t>
      </w:r>
      <w:r w:rsidRPr="00534C1D">
        <w:rPr>
          <w:szCs w:val="22"/>
        </w:rPr>
        <w:t>Gas Tungsten Arc Welding</w:t>
      </w:r>
      <w:r w:rsidRPr="0072340A">
        <w:rPr>
          <w:szCs w:val="22"/>
        </w:rPr>
        <w:t xml:space="preserve"> Temper Bead Technique</w:t>
      </w:r>
      <w:bookmarkEnd w:id="309"/>
    </w:p>
    <w:p w14:paraId="0B0FD8EC" w14:textId="77777777" w:rsidR="00D53E6F" w:rsidRPr="00D11A03" w:rsidRDefault="00D53E6F" w:rsidP="00D53E6F">
      <w:pPr>
        <w:spacing w:line="240" w:lineRule="auto"/>
      </w:pPr>
    </w:p>
    <w:p w14:paraId="7A017CFE" w14:textId="77777777" w:rsidR="00D53E6F" w:rsidRDefault="00D53E6F" w:rsidP="00D53E6F">
      <w:pPr>
        <w:spacing w:line="240" w:lineRule="auto"/>
      </w:pPr>
      <w:bookmarkStart w:id="310" w:name="_Toc456098325"/>
      <w:r>
        <w:t>The NRC does not expect the agency to incur incremental operation costs associated with this condition.</w:t>
      </w:r>
    </w:p>
    <w:p w14:paraId="2625235F" w14:textId="77777777" w:rsidR="00D53E6F" w:rsidRDefault="00D53E6F" w:rsidP="00D53E6F">
      <w:pPr>
        <w:spacing w:line="240" w:lineRule="auto"/>
      </w:pPr>
    </w:p>
    <w:p w14:paraId="79CABA2A" w14:textId="77777777" w:rsidR="00D53E6F" w:rsidRDefault="00D53E6F" w:rsidP="00D53E6F">
      <w:pPr>
        <w:pStyle w:val="Heading3"/>
        <w:spacing w:line="240" w:lineRule="auto"/>
        <w:ind w:left="900" w:hanging="900"/>
      </w:pPr>
      <w:bookmarkStart w:id="311" w:name="_Toc12808876"/>
      <w:r>
        <w:t>5.7.16</w:t>
      </w:r>
      <w:r>
        <w:tab/>
      </w:r>
      <w:bookmarkEnd w:id="310"/>
      <w:r w:rsidRPr="0072340A">
        <w:rPr>
          <w:szCs w:val="22"/>
        </w:rPr>
        <w:t xml:space="preserve">Direct Use of </w:t>
      </w:r>
      <w:r>
        <w:rPr>
          <w:szCs w:val="22"/>
        </w:rPr>
        <w:t xml:space="preserve">the </w:t>
      </w:r>
      <w:r w:rsidRPr="0072340A">
        <w:rPr>
          <w:szCs w:val="22"/>
        </w:rPr>
        <w:t>Master Fracture Toughness Curve for Pressure</w:t>
      </w:r>
      <w:r>
        <w:rPr>
          <w:szCs w:val="22"/>
        </w:rPr>
        <w:noBreakHyphen/>
      </w:r>
      <w:r w:rsidRPr="0072340A">
        <w:rPr>
          <w:szCs w:val="22"/>
        </w:rPr>
        <w:t>Retaining Materials of Class</w:t>
      </w:r>
      <w:r>
        <w:rPr>
          <w:szCs w:val="22"/>
        </w:rPr>
        <w:t> </w:t>
      </w:r>
      <w:r w:rsidRPr="0072340A">
        <w:rPr>
          <w:szCs w:val="22"/>
        </w:rPr>
        <w:t>1 Vessels</w:t>
      </w:r>
      <w:bookmarkEnd w:id="311"/>
    </w:p>
    <w:p w14:paraId="7154E879" w14:textId="77777777" w:rsidR="00D53E6F" w:rsidRDefault="00D53E6F" w:rsidP="00D53E6F">
      <w:pPr>
        <w:spacing w:line="240" w:lineRule="auto"/>
      </w:pPr>
    </w:p>
    <w:p w14:paraId="616756AD" w14:textId="77777777" w:rsidR="00D53E6F" w:rsidRDefault="00D53E6F" w:rsidP="00D53E6F">
      <w:pPr>
        <w:spacing w:line="240" w:lineRule="auto"/>
      </w:pPr>
      <w:r>
        <w:t>The NRC does not expect the agency to incur incremental operation costs associated with this clarifying condition.</w:t>
      </w:r>
    </w:p>
    <w:p w14:paraId="54751A44" w14:textId="77777777" w:rsidR="00D53E6F" w:rsidRDefault="00D53E6F" w:rsidP="00D53E6F">
      <w:pPr>
        <w:spacing w:line="240" w:lineRule="auto"/>
      </w:pPr>
    </w:p>
    <w:p w14:paraId="2B7D805D" w14:textId="77777777" w:rsidR="00D53E6F" w:rsidRDefault="00D53E6F" w:rsidP="00D53E6F">
      <w:pPr>
        <w:pStyle w:val="Heading3"/>
        <w:spacing w:line="240" w:lineRule="auto"/>
        <w:ind w:left="900" w:hanging="900"/>
      </w:pPr>
      <w:bookmarkStart w:id="312" w:name="_Toc456098326"/>
      <w:bookmarkStart w:id="313" w:name="_Toc12808877"/>
      <w:r>
        <w:t>5.7.17</w:t>
      </w:r>
      <w:r>
        <w:tab/>
      </w:r>
      <w:bookmarkEnd w:id="312"/>
      <w:r w:rsidRPr="007E4E29">
        <w:rPr>
          <w:szCs w:val="22"/>
        </w:rPr>
        <w:t>Ultrasonic Examination in Lieu of Radiography for Welds in Ferritic Pipe</w:t>
      </w:r>
      <w:bookmarkEnd w:id="313"/>
    </w:p>
    <w:p w14:paraId="08B24B93" w14:textId="77777777" w:rsidR="00D53E6F" w:rsidRDefault="00D53E6F" w:rsidP="00D53E6F">
      <w:pPr>
        <w:spacing w:line="240" w:lineRule="auto"/>
      </w:pPr>
    </w:p>
    <w:p w14:paraId="3B0A0D6F" w14:textId="77777777" w:rsidR="00D53E6F" w:rsidRDefault="00D53E6F" w:rsidP="00D53E6F">
      <w:pPr>
        <w:spacing w:line="240" w:lineRule="auto"/>
      </w:pPr>
      <w:r>
        <w:t>The NRC does not expect the agency to incur incremental operation costs associated with this condition, which causes new reactors to use radiography instead of this ASME Code Case with no cost impact.</w:t>
      </w:r>
    </w:p>
    <w:p w14:paraId="0BB23CA9" w14:textId="77777777" w:rsidR="00D53E6F" w:rsidRDefault="00D53E6F" w:rsidP="00D53E6F">
      <w:pPr>
        <w:spacing w:line="240" w:lineRule="auto"/>
      </w:pPr>
    </w:p>
    <w:p w14:paraId="4FCDD0FF" w14:textId="77777777" w:rsidR="00D53E6F" w:rsidRPr="00277674" w:rsidRDefault="00D53E6F" w:rsidP="00D53E6F">
      <w:pPr>
        <w:pStyle w:val="Heading3"/>
        <w:spacing w:line="240" w:lineRule="auto"/>
        <w:ind w:left="900" w:hanging="900"/>
        <w:rPr>
          <w:szCs w:val="22"/>
        </w:rPr>
      </w:pPr>
      <w:bookmarkStart w:id="314" w:name="_Toc12808878"/>
      <w:bookmarkStart w:id="315" w:name="_Toc456098338"/>
      <w:r>
        <w:t>5.7.18</w:t>
      </w:r>
      <w:r>
        <w:tab/>
      </w:r>
      <w:r w:rsidRPr="00394101">
        <w:rPr>
          <w:szCs w:val="22"/>
        </w:rPr>
        <w:t>Flaw Tolerance Evaluation of Cast Austenitic Stainless Steel Piping</w:t>
      </w:r>
      <w:r>
        <w:rPr>
          <w:szCs w:val="22"/>
        </w:rPr>
        <w:t>,</w:t>
      </w:r>
      <w:r w:rsidRPr="00394101">
        <w:rPr>
          <w:szCs w:val="22"/>
        </w:rPr>
        <w:t xml:space="preserve"> Section</w:t>
      </w:r>
      <w:r>
        <w:rPr>
          <w:szCs w:val="22"/>
        </w:rPr>
        <w:t> </w:t>
      </w:r>
      <w:r w:rsidRPr="00394101">
        <w:rPr>
          <w:szCs w:val="22"/>
        </w:rPr>
        <w:t>XI, Division</w:t>
      </w:r>
      <w:r>
        <w:rPr>
          <w:szCs w:val="22"/>
        </w:rPr>
        <w:t> </w:t>
      </w:r>
      <w:r w:rsidRPr="00394101">
        <w:rPr>
          <w:szCs w:val="22"/>
        </w:rPr>
        <w:t>1</w:t>
      </w:r>
      <w:bookmarkEnd w:id="314"/>
    </w:p>
    <w:p w14:paraId="25D7A9EB" w14:textId="77777777" w:rsidR="00D53E6F" w:rsidRDefault="00D53E6F" w:rsidP="00D53E6F">
      <w:pPr>
        <w:keepNext/>
        <w:spacing w:line="240" w:lineRule="auto"/>
      </w:pPr>
    </w:p>
    <w:p w14:paraId="5D9E69B2" w14:textId="4B39B3C4" w:rsidR="00D53E6F" w:rsidRDefault="00D53E6F" w:rsidP="00D53E6F">
      <w:pPr>
        <w:spacing w:line="240" w:lineRule="auto"/>
      </w:pPr>
      <w:r>
        <w:t>The NRC expects to incur costs associated with the revi</w:t>
      </w:r>
      <w:r w:rsidRPr="004C34E0">
        <w:t>ew of ASME Code Case N</w:t>
      </w:r>
      <w:r w:rsidRPr="004C34E0">
        <w:noBreakHyphen/>
        <w:t xml:space="preserve">838 relief requests submitted by licensees.  As shown in </w:t>
      </w:r>
      <w:r w:rsidRPr="004C34E0">
        <w:fldChar w:fldCharType="begin"/>
      </w:r>
      <w:r w:rsidRPr="006D47D8">
        <w:instrText xml:space="preserve"> REF _Ref5602195 \h </w:instrText>
      </w:r>
      <w:r w:rsidRPr="003B5293">
        <w:rPr>
          <w:b/>
        </w:rPr>
        <w:instrText xml:space="preserve"> \* MERGEFORMAT </w:instrText>
      </w:r>
      <w:r w:rsidRPr="004C34E0">
        <w:fldChar w:fldCharType="separate"/>
      </w:r>
      <w:r w:rsidR="00F05D99" w:rsidRPr="00F05D99">
        <w:t xml:space="preserve">Table </w:t>
      </w:r>
      <w:r w:rsidR="00F05D99" w:rsidRPr="00F05D99">
        <w:rPr>
          <w:noProof/>
        </w:rPr>
        <w:t>17</w:t>
      </w:r>
      <w:r w:rsidRPr="004C34E0">
        <w:fldChar w:fldCharType="end"/>
      </w:r>
      <w:r>
        <w:t xml:space="preserve">, </w:t>
      </w:r>
      <w:r w:rsidR="00173B30">
        <w:t>the NRC</w:t>
      </w:r>
      <w:r>
        <w:t xml:space="preserve"> estimates receiving one review request per year.  This request requires approximately 143 hours per review and results in costs ranging from ($87,000) at a 7</w:t>
      </w:r>
      <w:r>
        <w:noBreakHyphen/>
        <w:t>percent NPV to ($97,000) at a 3</w:t>
      </w:r>
      <w:r>
        <w:noBreakHyphen/>
        <w:t>percent NPV.</w:t>
      </w:r>
    </w:p>
    <w:p w14:paraId="2149BCE3" w14:textId="77777777" w:rsidR="00D53E6F" w:rsidRDefault="00D53E6F" w:rsidP="00D53E6F">
      <w:pPr>
        <w:spacing w:line="240" w:lineRule="auto"/>
      </w:pPr>
    </w:p>
    <w:p w14:paraId="24E02789" w14:textId="61223B50" w:rsidR="00D53E6F" w:rsidRPr="00C80453" w:rsidRDefault="00D53E6F" w:rsidP="00D53E6F">
      <w:pPr>
        <w:pStyle w:val="Caption"/>
        <w:spacing w:line="240" w:lineRule="auto"/>
        <w:jc w:val="center"/>
        <w:rPr>
          <w:b/>
        </w:rPr>
      </w:pPr>
      <w:bookmarkStart w:id="316" w:name="_Ref5602195"/>
      <w:bookmarkStart w:id="317" w:name="_Toc9428146"/>
      <w:r w:rsidRPr="00C80453">
        <w:rPr>
          <w:b/>
        </w:rPr>
        <w:t xml:space="preserve">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17</w:t>
      </w:r>
      <w:r w:rsidRPr="00C80453">
        <w:rPr>
          <w:b/>
          <w:noProof/>
        </w:rPr>
        <w:fldChar w:fldCharType="end"/>
      </w:r>
      <w:bookmarkEnd w:id="316"/>
      <w:r w:rsidRPr="00C80453">
        <w:rPr>
          <w:b/>
        </w:rPr>
        <w:t xml:space="preserve">  </w:t>
      </w:r>
      <w:r>
        <w:rPr>
          <w:b/>
        </w:rPr>
        <w:t xml:space="preserve">ASME Code Case </w:t>
      </w:r>
      <w:r w:rsidRPr="00C80453">
        <w:rPr>
          <w:b/>
        </w:rPr>
        <w:t>N-838 Relief Request Reviews</w:t>
      </w:r>
      <w:bookmarkEnd w:id="317"/>
    </w:p>
    <w:p w14:paraId="465968CB" w14:textId="77777777" w:rsidR="00D53E6F" w:rsidRDefault="00D53E6F" w:rsidP="00D53E6F">
      <w:pPr>
        <w:spacing w:line="240" w:lineRule="auto"/>
      </w:pPr>
      <w:r w:rsidRPr="00BE4B1A">
        <w:rPr>
          <w:noProof/>
        </w:rPr>
        <w:drawing>
          <wp:inline distT="0" distB="0" distL="0" distR="0" wp14:anchorId="69829B78" wp14:editId="5293299A">
            <wp:extent cx="5943600" cy="2148989"/>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148989"/>
                    </a:xfrm>
                    <a:prstGeom prst="rect">
                      <a:avLst/>
                    </a:prstGeom>
                    <a:noFill/>
                    <a:ln>
                      <a:noFill/>
                    </a:ln>
                  </pic:spPr>
                </pic:pic>
              </a:graphicData>
            </a:graphic>
          </wp:inline>
        </w:drawing>
      </w:r>
    </w:p>
    <w:p w14:paraId="6F160C29" w14:textId="77777777" w:rsidR="00D53E6F" w:rsidRDefault="00D53E6F" w:rsidP="00D53E6F">
      <w:pPr>
        <w:spacing w:line="240" w:lineRule="auto"/>
      </w:pPr>
    </w:p>
    <w:p w14:paraId="3BDD679F" w14:textId="77777777" w:rsidR="00D53E6F" w:rsidRPr="00277674" w:rsidRDefault="00D53E6F" w:rsidP="00D53E6F">
      <w:pPr>
        <w:pStyle w:val="Heading3"/>
        <w:spacing w:line="240" w:lineRule="auto"/>
        <w:ind w:left="900" w:hanging="900"/>
        <w:rPr>
          <w:szCs w:val="22"/>
        </w:rPr>
      </w:pPr>
      <w:bookmarkStart w:id="318" w:name="_Toc12808879"/>
      <w:r>
        <w:t>5.7.19</w:t>
      </w:r>
      <w:r>
        <w:tab/>
      </w:r>
      <w:r w:rsidRPr="00394101">
        <w:rPr>
          <w:bCs w:val="0"/>
          <w:szCs w:val="22"/>
        </w:rPr>
        <w:t>Alternative Pressure Testing Requirements Following Repairs or Replacements for Class</w:t>
      </w:r>
      <w:r>
        <w:rPr>
          <w:bCs w:val="0"/>
          <w:szCs w:val="22"/>
        </w:rPr>
        <w:t> </w:t>
      </w:r>
      <w:r w:rsidRPr="00394101">
        <w:rPr>
          <w:bCs w:val="0"/>
          <w:szCs w:val="22"/>
        </w:rPr>
        <w:t xml:space="preserve">1 Piping between the First and Second Inspection </w:t>
      </w:r>
      <w:r>
        <w:rPr>
          <w:bCs w:val="0"/>
          <w:szCs w:val="22"/>
        </w:rPr>
        <w:t xml:space="preserve">of </w:t>
      </w:r>
      <w:r w:rsidRPr="00394101">
        <w:rPr>
          <w:bCs w:val="0"/>
          <w:szCs w:val="22"/>
        </w:rPr>
        <w:t>Isolation Valves,</w:t>
      </w:r>
      <w:r w:rsidRPr="001A3E8E">
        <w:rPr>
          <w:szCs w:val="22"/>
        </w:rPr>
        <w:t xml:space="preserve"> </w:t>
      </w:r>
      <w:r w:rsidRPr="00394101">
        <w:rPr>
          <w:bCs w:val="0"/>
          <w:szCs w:val="22"/>
        </w:rPr>
        <w:t>Section</w:t>
      </w:r>
      <w:r>
        <w:rPr>
          <w:bCs w:val="0"/>
          <w:szCs w:val="22"/>
        </w:rPr>
        <w:t> </w:t>
      </w:r>
      <w:r w:rsidRPr="00394101">
        <w:rPr>
          <w:bCs w:val="0"/>
          <w:szCs w:val="22"/>
        </w:rPr>
        <w:t>XI, Division</w:t>
      </w:r>
      <w:r>
        <w:rPr>
          <w:bCs w:val="0"/>
          <w:szCs w:val="22"/>
        </w:rPr>
        <w:t> </w:t>
      </w:r>
      <w:r w:rsidRPr="00394101">
        <w:rPr>
          <w:bCs w:val="0"/>
          <w:szCs w:val="22"/>
        </w:rPr>
        <w:t>1</w:t>
      </w:r>
      <w:bookmarkEnd w:id="318"/>
    </w:p>
    <w:p w14:paraId="37DD19CD" w14:textId="77777777" w:rsidR="00D53E6F" w:rsidRDefault="00D53E6F" w:rsidP="00D53E6F">
      <w:pPr>
        <w:spacing w:line="240" w:lineRule="auto"/>
      </w:pPr>
    </w:p>
    <w:p w14:paraId="38339B8C" w14:textId="77777777" w:rsidR="00D53E6F" w:rsidRDefault="00D53E6F" w:rsidP="00D53E6F">
      <w:pPr>
        <w:pStyle w:val="ListParagraph"/>
        <w:spacing w:line="240" w:lineRule="auto"/>
        <w:ind w:left="0"/>
      </w:pPr>
      <w:r>
        <w:t>The NRC does not expect the agency to incur incremental operation costs associated with this clarifying condition.</w:t>
      </w:r>
    </w:p>
    <w:p w14:paraId="2EE32E0A" w14:textId="77777777" w:rsidR="00D53E6F" w:rsidRDefault="00D53E6F" w:rsidP="00D53E6F">
      <w:pPr>
        <w:spacing w:line="240" w:lineRule="auto"/>
      </w:pPr>
    </w:p>
    <w:p w14:paraId="5C6A09DA" w14:textId="77777777" w:rsidR="00D53E6F" w:rsidRPr="00277674" w:rsidRDefault="00D53E6F" w:rsidP="00D53E6F">
      <w:pPr>
        <w:pStyle w:val="Heading3"/>
        <w:keepLines/>
        <w:spacing w:line="240" w:lineRule="auto"/>
        <w:ind w:left="900" w:hanging="900"/>
        <w:rPr>
          <w:szCs w:val="22"/>
        </w:rPr>
      </w:pPr>
      <w:bookmarkStart w:id="319" w:name="_Toc12808880"/>
      <w:r>
        <w:t>5.7.20</w:t>
      </w:r>
      <w:r>
        <w:tab/>
      </w:r>
      <w:r w:rsidRPr="0072340A">
        <w:rPr>
          <w:szCs w:val="22"/>
        </w:rPr>
        <w:t>In</w:t>
      </w:r>
      <w:r>
        <w:rPr>
          <w:szCs w:val="22"/>
        </w:rPr>
        <w:t xml:space="preserve"> S</w:t>
      </w:r>
      <w:r w:rsidRPr="0072340A">
        <w:rPr>
          <w:szCs w:val="22"/>
        </w:rPr>
        <w:t>itu V</w:t>
      </w:r>
      <w:r>
        <w:rPr>
          <w:szCs w:val="22"/>
        </w:rPr>
        <w:t xml:space="preserve">isual Testing </w:t>
      </w:r>
      <w:r w:rsidRPr="0072340A">
        <w:rPr>
          <w:szCs w:val="22"/>
        </w:rPr>
        <w:t>3 Examination of Removable Core Support Structures without Removal</w:t>
      </w:r>
      <w:bookmarkEnd w:id="319"/>
    </w:p>
    <w:p w14:paraId="6B08D053" w14:textId="77777777" w:rsidR="00D53E6F" w:rsidRDefault="00D53E6F" w:rsidP="00D53E6F">
      <w:pPr>
        <w:keepNext/>
        <w:keepLines/>
        <w:spacing w:line="240" w:lineRule="auto"/>
      </w:pPr>
    </w:p>
    <w:p w14:paraId="4C2D0214" w14:textId="77777777" w:rsidR="00D53E6F" w:rsidRDefault="00D53E6F" w:rsidP="00D53E6F">
      <w:pPr>
        <w:keepNext/>
        <w:keepLines/>
        <w:spacing w:line="240" w:lineRule="auto"/>
      </w:pPr>
      <w:r>
        <w:t>The NRC does not expect the agency to incur incremental operation costs associated with these clarifying conditions.</w:t>
      </w:r>
    </w:p>
    <w:p w14:paraId="75B591E7" w14:textId="77777777" w:rsidR="00D53E6F" w:rsidRDefault="00D53E6F" w:rsidP="00D53E6F">
      <w:pPr>
        <w:spacing w:line="240" w:lineRule="auto"/>
      </w:pPr>
    </w:p>
    <w:p w14:paraId="51AB468D" w14:textId="77777777" w:rsidR="00D53E6F" w:rsidRPr="00AE5079" w:rsidRDefault="00D53E6F" w:rsidP="00D53E6F">
      <w:pPr>
        <w:pStyle w:val="Heading3"/>
        <w:spacing w:line="240" w:lineRule="auto"/>
        <w:ind w:left="900" w:hanging="900"/>
      </w:pPr>
      <w:bookmarkStart w:id="320" w:name="_Toc12808881"/>
      <w:r>
        <w:t>5.7.21</w:t>
      </w:r>
      <w:r>
        <w:tab/>
      </w:r>
      <w:r w:rsidRPr="00AE5079">
        <w:t xml:space="preserve">Performance-Based Requirements for Extending </w:t>
      </w:r>
      <w:r>
        <w:t xml:space="preserve">the </w:t>
      </w:r>
      <w:r w:rsidRPr="00AE5079">
        <w:t xml:space="preserve">Snubber Inservice Visual Examination Interval at </w:t>
      </w:r>
      <w:r>
        <w:t>Light-Water Reactor</w:t>
      </w:r>
      <w:r w:rsidRPr="00AE5079">
        <w:t xml:space="preserve"> Power Plants</w:t>
      </w:r>
      <w:bookmarkEnd w:id="320"/>
    </w:p>
    <w:p w14:paraId="32BE5DF9" w14:textId="77777777" w:rsidR="00D53E6F" w:rsidRDefault="00D53E6F" w:rsidP="00D53E6F">
      <w:pPr>
        <w:spacing w:line="240" w:lineRule="auto"/>
      </w:pPr>
    </w:p>
    <w:p w14:paraId="4C27EFA0" w14:textId="76E3D181" w:rsidR="00D53E6F" w:rsidRPr="006D7E5E" w:rsidRDefault="00173B30" w:rsidP="00D53E6F">
      <w:pPr>
        <w:spacing w:line="240" w:lineRule="auto"/>
      </w:pPr>
      <w:r>
        <w:t>The NRC</w:t>
      </w:r>
      <w:r w:rsidR="00D53E6F">
        <w:t xml:space="preserve"> expects this relaxation to avert ASME Code Case relief requests from industry, as shown in </w:t>
      </w:r>
      <w:r w:rsidR="00D53E6F" w:rsidRPr="006D7E5E">
        <w:fldChar w:fldCharType="begin"/>
      </w:r>
      <w:r w:rsidR="00D53E6F" w:rsidRPr="006D7E5E">
        <w:instrText xml:space="preserve"> REF _Ref482957554 \h </w:instrText>
      </w:r>
      <w:r w:rsidR="00D53E6F" w:rsidRPr="009413F7">
        <w:rPr>
          <w:b/>
        </w:rPr>
        <w:instrText xml:space="preserve"> \* MERGEFORMAT </w:instrText>
      </w:r>
      <w:r w:rsidR="00D53E6F" w:rsidRPr="006D7E5E">
        <w:fldChar w:fldCharType="separate"/>
      </w:r>
      <w:r w:rsidR="00F05D99" w:rsidRPr="00F05D99">
        <w:t xml:space="preserve">Table </w:t>
      </w:r>
      <w:r w:rsidR="00F05D99" w:rsidRPr="00F05D99">
        <w:rPr>
          <w:noProof/>
        </w:rPr>
        <w:t>13</w:t>
      </w:r>
      <w:r w:rsidR="00D53E6F" w:rsidRPr="006D7E5E">
        <w:fldChar w:fldCharType="end"/>
      </w:r>
      <w:r w:rsidR="00D53E6F" w:rsidRPr="006D7E5E">
        <w:t xml:space="preserve">. </w:t>
      </w:r>
    </w:p>
    <w:p w14:paraId="3320A29F" w14:textId="77777777" w:rsidR="00D53E6F" w:rsidRDefault="00D53E6F" w:rsidP="00D53E6F">
      <w:pPr>
        <w:spacing w:line="240" w:lineRule="auto"/>
      </w:pPr>
    </w:p>
    <w:p w14:paraId="060B6AE8" w14:textId="77777777" w:rsidR="00D53E6F" w:rsidRPr="00AE5079" w:rsidRDefault="00D53E6F" w:rsidP="00D53E6F">
      <w:pPr>
        <w:pStyle w:val="Heading3"/>
        <w:keepLines/>
        <w:spacing w:line="240" w:lineRule="auto"/>
        <w:ind w:left="900" w:hanging="900"/>
      </w:pPr>
      <w:bookmarkStart w:id="321" w:name="_Toc12808882"/>
      <w:r>
        <w:t>5.7.22</w:t>
      </w:r>
      <w:r>
        <w:tab/>
      </w:r>
      <w:r w:rsidRPr="00AE5079">
        <w:t>Inservice Test Frequency</w:t>
      </w:r>
      <w:bookmarkEnd w:id="321"/>
    </w:p>
    <w:p w14:paraId="7F110225" w14:textId="77777777" w:rsidR="00D53E6F" w:rsidRDefault="00D53E6F" w:rsidP="00D53E6F">
      <w:pPr>
        <w:keepNext/>
        <w:keepLines/>
        <w:spacing w:line="240" w:lineRule="auto"/>
      </w:pPr>
    </w:p>
    <w:p w14:paraId="4A8C4AAA" w14:textId="43815D4D" w:rsidR="00D53E6F" w:rsidRPr="006D7E5E" w:rsidRDefault="00173B30" w:rsidP="00D53E6F">
      <w:pPr>
        <w:spacing w:line="240" w:lineRule="auto"/>
      </w:pPr>
      <w:r>
        <w:t>The NRC</w:t>
      </w:r>
      <w:r w:rsidR="00D53E6F">
        <w:t xml:space="preserve"> expects this relaxation to avert ASME Code Case relief requests from industry, as shown in </w:t>
      </w:r>
      <w:r w:rsidR="00D53E6F" w:rsidRPr="006D7E5E">
        <w:fldChar w:fldCharType="begin"/>
      </w:r>
      <w:r w:rsidR="00D53E6F" w:rsidRPr="006D7E5E">
        <w:instrText xml:space="preserve"> REF _Ref482957554 \h </w:instrText>
      </w:r>
      <w:r w:rsidR="00D53E6F" w:rsidRPr="009413F7">
        <w:rPr>
          <w:b/>
        </w:rPr>
        <w:instrText xml:space="preserve"> \* MERGEFORMAT </w:instrText>
      </w:r>
      <w:r w:rsidR="00D53E6F" w:rsidRPr="006D7E5E">
        <w:fldChar w:fldCharType="separate"/>
      </w:r>
      <w:r w:rsidR="00F05D99" w:rsidRPr="00F05D99">
        <w:t xml:space="preserve">Table </w:t>
      </w:r>
      <w:r w:rsidR="00F05D99" w:rsidRPr="00F05D99">
        <w:rPr>
          <w:noProof/>
        </w:rPr>
        <w:t>13</w:t>
      </w:r>
      <w:r w:rsidR="00D53E6F" w:rsidRPr="006D7E5E">
        <w:fldChar w:fldCharType="end"/>
      </w:r>
      <w:r w:rsidR="00D53E6F" w:rsidRPr="006D7E5E">
        <w:t>.</w:t>
      </w:r>
    </w:p>
    <w:p w14:paraId="0319341A" w14:textId="77777777" w:rsidR="00D53E6F" w:rsidRPr="00277674" w:rsidRDefault="00D53E6F" w:rsidP="00D53E6F">
      <w:pPr>
        <w:spacing w:line="240" w:lineRule="auto"/>
      </w:pPr>
    </w:p>
    <w:p w14:paraId="78F082D6" w14:textId="77777777" w:rsidR="00D53E6F" w:rsidRDefault="00D53E6F" w:rsidP="00D53E6F">
      <w:pPr>
        <w:pStyle w:val="Heading2"/>
        <w:tabs>
          <w:tab w:val="left" w:pos="540"/>
        </w:tabs>
        <w:spacing w:line="240" w:lineRule="auto"/>
      </w:pPr>
      <w:bookmarkStart w:id="322" w:name="_Toc12808883"/>
      <w:r>
        <w:t>5.8</w:t>
      </w:r>
      <w:r>
        <w:tab/>
      </w:r>
      <w:bookmarkStart w:id="323" w:name="_Toc457827351"/>
      <w:r>
        <w:t>Total NRC Costs</w:t>
      </w:r>
      <w:bookmarkEnd w:id="315"/>
      <w:bookmarkEnd w:id="322"/>
      <w:bookmarkEnd w:id="323"/>
    </w:p>
    <w:p w14:paraId="3DD85131" w14:textId="77777777" w:rsidR="00D53E6F" w:rsidRDefault="00D53E6F" w:rsidP="00D53E6F">
      <w:pPr>
        <w:spacing w:line="240" w:lineRule="auto"/>
      </w:pPr>
    </w:p>
    <w:p w14:paraId="2EAFA28A" w14:textId="70E5EBCB" w:rsidR="00D53E6F" w:rsidRDefault="00D53E6F" w:rsidP="00D53E6F">
      <w:pPr>
        <w:spacing w:line="240" w:lineRule="auto"/>
      </w:pPr>
      <w:r w:rsidRPr="006D7E5E">
        <w:fldChar w:fldCharType="begin"/>
      </w:r>
      <w:r w:rsidRPr="006D7E5E">
        <w:instrText xml:space="preserve"> REF _Ref453154216 \h </w:instrText>
      </w:r>
      <w:r w:rsidRPr="009413F7">
        <w:rPr>
          <w:b/>
        </w:rPr>
        <w:instrText xml:space="preserve"> \* MERGEFORMAT </w:instrText>
      </w:r>
      <w:r w:rsidRPr="006D7E5E">
        <w:fldChar w:fldCharType="separate"/>
      </w:r>
      <w:r w:rsidR="00F05D99" w:rsidRPr="00F05D99">
        <w:t>Table 18</w:t>
      </w:r>
      <w:r w:rsidRPr="006D7E5E">
        <w:fldChar w:fldCharType="end"/>
      </w:r>
      <w:r w:rsidRPr="006D7E5E">
        <w:t xml:space="preserve"> sh</w:t>
      </w:r>
      <w:r w:rsidRPr="00710E3E">
        <w:t xml:space="preserve">ows the total </w:t>
      </w:r>
      <w:r>
        <w:t>NRC</w:t>
      </w:r>
      <w:r w:rsidRPr="00710E3E">
        <w:t xml:space="preserve"> costs broken down between implementation and operation costs</w:t>
      </w:r>
      <w:r>
        <w:t xml:space="preserve"> for Alternative 2</w:t>
      </w:r>
      <w:r w:rsidRPr="00710E3E">
        <w:t xml:space="preserve">.  </w:t>
      </w:r>
      <w:r>
        <w:t>T</w:t>
      </w:r>
      <w:r w:rsidRPr="00710E3E">
        <w:t>he</w:t>
      </w:r>
      <w:r>
        <w:t>se</w:t>
      </w:r>
      <w:r w:rsidRPr="00710E3E">
        <w:t xml:space="preserve"> total </w:t>
      </w:r>
      <w:r>
        <w:t>NRC costs represent averted costs (savings) and are estimated to range from $1.87 million at a 7</w:t>
      </w:r>
      <w:r>
        <w:noBreakHyphen/>
        <w:t>percent discount rate to $2.12 million at a 3</w:t>
      </w:r>
      <w:r>
        <w:noBreakHyphen/>
        <w:t>percent discount rate.</w:t>
      </w:r>
    </w:p>
    <w:p w14:paraId="22FB4487" w14:textId="77777777" w:rsidR="00D53E6F" w:rsidRDefault="00D53E6F" w:rsidP="00D53E6F">
      <w:pPr>
        <w:spacing w:line="240" w:lineRule="auto"/>
      </w:pPr>
    </w:p>
    <w:p w14:paraId="1C80B1F5" w14:textId="18E9EA35" w:rsidR="00D53E6F" w:rsidRPr="00C80453" w:rsidRDefault="00D53E6F" w:rsidP="00D53E6F">
      <w:pPr>
        <w:pStyle w:val="Caption"/>
        <w:spacing w:line="240" w:lineRule="auto"/>
        <w:ind w:left="1080" w:hanging="1080"/>
        <w:jc w:val="center"/>
        <w:rPr>
          <w:b/>
        </w:rPr>
      </w:pPr>
      <w:bookmarkStart w:id="324" w:name="_Ref453154216"/>
      <w:bookmarkStart w:id="325" w:name="_Toc454442493"/>
      <w:bookmarkStart w:id="326" w:name="_Toc457827413"/>
      <w:bookmarkStart w:id="327" w:name="_Toc9428147"/>
      <w:r w:rsidRPr="00C80453">
        <w:rPr>
          <w:b/>
        </w:rPr>
        <w:t>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18</w:t>
      </w:r>
      <w:r w:rsidRPr="00C80453">
        <w:rPr>
          <w:b/>
          <w:noProof/>
        </w:rPr>
        <w:fldChar w:fldCharType="end"/>
      </w:r>
      <w:bookmarkEnd w:id="324"/>
      <w:r w:rsidRPr="00C80453">
        <w:rPr>
          <w:b/>
        </w:rPr>
        <w:t xml:space="preserve">  Total NRC Costs</w:t>
      </w:r>
      <w:bookmarkEnd w:id="325"/>
      <w:bookmarkEnd w:id="326"/>
      <w:bookmarkEnd w:id="327"/>
    </w:p>
    <w:p w14:paraId="1037BF5A" w14:textId="127D224B" w:rsidR="00D53E6F" w:rsidRPr="009D0C20" w:rsidRDefault="00D53E6F" w:rsidP="00D53E6F">
      <w:pPr>
        <w:spacing w:line="240" w:lineRule="auto"/>
        <w:ind w:left="1080"/>
      </w:pPr>
      <w:r w:rsidRPr="00BE4B1A">
        <w:rPr>
          <w:noProof/>
        </w:rPr>
        <w:drawing>
          <wp:inline distT="0" distB="0" distL="0" distR="0" wp14:anchorId="72AFDF12" wp14:editId="600DA57B">
            <wp:extent cx="4579620" cy="8610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9620" cy="861060"/>
                    </a:xfrm>
                    <a:prstGeom prst="rect">
                      <a:avLst/>
                    </a:prstGeom>
                    <a:noFill/>
                    <a:ln>
                      <a:noFill/>
                    </a:ln>
                  </pic:spPr>
                </pic:pic>
              </a:graphicData>
            </a:graphic>
          </wp:inline>
        </w:drawing>
      </w:r>
    </w:p>
    <w:p w14:paraId="45B48DC7" w14:textId="77777777" w:rsidR="00D53E6F" w:rsidRPr="00E44078" w:rsidRDefault="00D53E6F" w:rsidP="00D53E6F">
      <w:pPr>
        <w:spacing w:line="240" w:lineRule="auto"/>
      </w:pPr>
      <w:bookmarkStart w:id="328" w:name="_Toc456098339"/>
    </w:p>
    <w:p w14:paraId="3AAFD9F8" w14:textId="77777777" w:rsidR="00D53E6F" w:rsidRDefault="00D53E6F" w:rsidP="00D53E6F">
      <w:pPr>
        <w:pStyle w:val="Heading2"/>
        <w:tabs>
          <w:tab w:val="left" w:pos="540"/>
        </w:tabs>
        <w:spacing w:line="240" w:lineRule="auto"/>
      </w:pPr>
      <w:bookmarkStart w:id="329" w:name="_Toc12808884"/>
      <w:r>
        <w:t>5.9</w:t>
      </w:r>
      <w:r>
        <w:tab/>
      </w:r>
      <w:bookmarkEnd w:id="328"/>
      <w:r>
        <w:t>Total Costs</w:t>
      </w:r>
      <w:bookmarkEnd w:id="329"/>
    </w:p>
    <w:p w14:paraId="0749CE4C" w14:textId="77777777" w:rsidR="00D53E6F" w:rsidRDefault="00D53E6F" w:rsidP="00D53E6F">
      <w:pPr>
        <w:spacing w:line="240" w:lineRule="auto"/>
      </w:pPr>
    </w:p>
    <w:p w14:paraId="357BECDC" w14:textId="49EBA73E" w:rsidR="00D53E6F" w:rsidRDefault="00D53E6F" w:rsidP="00D53E6F">
      <w:pPr>
        <w:spacing w:line="240" w:lineRule="auto"/>
      </w:pPr>
      <w:r w:rsidRPr="006D7E5E">
        <w:fldChar w:fldCharType="begin"/>
      </w:r>
      <w:r w:rsidRPr="006D7E5E">
        <w:instrText xml:space="preserve"> REF _Ref479172421 \h </w:instrText>
      </w:r>
      <w:r w:rsidRPr="009413F7">
        <w:rPr>
          <w:b/>
        </w:rPr>
        <w:instrText xml:space="preserve"> \* MERGEFORMAT </w:instrText>
      </w:r>
      <w:r w:rsidRPr="006D7E5E">
        <w:fldChar w:fldCharType="separate"/>
      </w:r>
      <w:r w:rsidR="00F05D99" w:rsidRPr="00F05D99">
        <w:t xml:space="preserve">Table </w:t>
      </w:r>
      <w:r w:rsidR="00F05D99" w:rsidRPr="00F05D99">
        <w:rPr>
          <w:noProof/>
        </w:rPr>
        <w:t>19</w:t>
      </w:r>
      <w:r w:rsidRPr="006D7E5E">
        <w:fldChar w:fldCharType="end"/>
      </w:r>
      <w:r w:rsidRPr="006D7E5E">
        <w:t xml:space="preserve"> </w:t>
      </w:r>
      <w:r w:rsidRPr="00710E3E">
        <w:t xml:space="preserve">shows the total </w:t>
      </w:r>
      <w:r>
        <w:t>averted</w:t>
      </w:r>
      <w:r w:rsidRPr="00710E3E">
        <w:t xml:space="preserve"> costs</w:t>
      </w:r>
      <w:r>
        <w:t xml:space="preserve"> (benefits/savings)</w:t>
      </w:r>
      <w:r w:rsidRPr="00710E3E">
        <w:t xml:space="preserve"> broken down between implementation and operation</w:t>
      </w:r>
      <w:r>
        <w:t xml:space="preserve"> for the industry and the NRC under Alternative 2</w:t>
      </w:r>
      <w:r w:rsidRPr="00710E3E">
        <w:t xml:space="preserve">.  </w:t>
      </w:r>
      <w:r>
        <w:t>T</w:t>
      </w:r>
      <w:r w:rsidRPr="00710E3E">
        <w:t>he</w:t>
      </w:r>
      <w:r>
        <w:t>se</w:t>
      </w:r>
      <w:r w:rsidRPr="00710E3E">
        <w:t xml:space="preserve"> total </w:t>
      </w:r>
      <w:r>
        <w:t>averted costs are estimated to range from $6.3</w:t>
      </w:r>
      <w:r w:rsidR="00B75F34">
        <w:t>4</w:t>
      </w:r>
      <w:r>
        <w:t xml:space="preserve"> million at a 7</w:t>
      </w:r>
      <w:r>
        <w:noBreakHyphen/>
        <w:t>percent discount rate to $7.</w:t>
      </w:r>
      <w:r w:rsidR="00B75F34">
        <w:t>20</w:t>
      </w:r>
      <w:r>
        <w:t> million at a 3</w:t>
      </w:r>
      <w:r>
        <w:noBreakHyphen/>
        <w:t>percent discount rate.</w:t>
      </w:r>
    </w:p>
    <w:p w14:paraId="6E3A970D" w14:textId="77777777" w:rsidR="00D53E6F" w:rsidRDefault="00D53E6F" w:rsidP="00D53E6F">
      <w:pPr>
        <w:spacing w:line="240" w:lineRule="auto"/>
      </w:pPr>
    </w:p>
    <w:p w14:paraId="58C1B379" w14:textId="00ED77AD" w:rsidR="00D53E6F" w:rsidRPr="00C80453" w:rsidRDefault="00D53E6F" w:rsidP="00D53E6F">
      <w:pPr>
        <w:pStyle w:val="Caption"/>
        <w:spacing w:line="240" w:lineRule="auto"/>
        <w:ind w:left="1080" w:hanging="1080"/>
        <w:jc w:val="center"/>
        <w:rPr>
          <w:b/>
        </w:rPr>
      </w:pPr>
      <w:bookmarkStart w:id="330" w:name="_Ref479172421"/>
      <w:bookmarkStart w:id="331" w:name="_Toc9428148"/>
      <w:r w:rsidRPr="00C80453">
        <w:rPr>
          <w:b/>
        </w:rPr>
        <w:t xml:space="preserve">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19</w:t>
      </w:r>
      <w:r w:rsidRPr="00C80453">
        <w:rPr>
          <w:b/>
          <w:noProof/>
        </w:rPr>
        <w:fldChar w:fldCharType="end"/>
      </w:r>
      <w:bookmarkEnd w:id="330"/>
      <w:r w:rsidRPr="00C80453">
        <w:rPr>
          <w:b/>
        </w:rPr>
        <w:t xml:space="preserve">  Total Costs</w:t>
      </w:r>
      <w:bookmarkEnd w:id="331"/>
    </w:p>
    <w:p w14:paraId="1A0F1C93" w14:textId="24216FD9" w:rsidR="00D53E6F" w:rsidRDefault="00B75F34" w:rsidP="00D53E6F">
      <w:pPr>
        <w:spacing w:line="240" w:lineRule="auto"/>
        <w:ind w:left="900"/>
      </w:pPr>
      <w:r w:rsidRPr="00B75F34">
        <w:rPr>
          <w:noProof/>
        </w:rPr>
        <w:drawing>
          <wp:inline distT="0" distB="0" distL="0" distR="0" wp14:anchorId="514C1CE0" wp14:editId="5AEBD399">
            <wp:extent cx="5013960" cy="15163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13960" cy="1516380"/>
                    </a:xfrm>
                    <a:prstGeom prst="rect">
                      <a:avLst/>
                    </a:prstGeom>
                    <a:noFill/>
                    <a:ln>
                      <a:noFill/>
                    </a:ln>
                  </pic:spPr>
                </pic:pic>
              </a:graphicData>
            </a:graphic>
          </wp:inline>
        </w:drawing>
      </w:r>
    </w:p>
    <w:p w14:paraId="50C7F14B" w14:textId="77777777" w:rsidR="00D53E6F" w:rsidRPr="004349BE" w:rsidRDefault="00D53E6F" w:rsidP="00D53E6F">
      <w:pPr>
        <w:spacing w:line="240" w:lineRule="auto"/>
      </w:pPr>
    </w:p>
    <w:p w14:paraId="2180A570" w14:textId="77777777" w:rsidR="00D53E6F" w:rsidRDefault="00D53E6F" w:rsidP="00D53E6F">
      <w:pPr>
        <w:pStyle w:val="Heading2"/>
        <w:tabs>
          <w:tab w:val="left" w:pos="720"/>
        </w:tabs>
        <w:spacing w:line="240" w:lineRule="auto"/>
      </w:pPr>
      <w:bookmarkStart w:id="332" w:name="_Toc12808885"/>
      <w:r>
        <w:t>5.10</w:t>
      </w:r>
      <w:r>
        <w:tab/>
      </w:r>
      <w:r w:rsidRPr="00461295">
        <w:t>Improvements in Knowledge</w:t>
      </w:r>
      <w:bookmarkEnd w:id="332"/>
    </w:p>
    <w:p w14:paraId="5F576F56" w14:textId="77777777" w:rsidR="00D53E6F" w:rsidRDefault="00D53E6F" w:rsidP="00D53E6F">
      <w:pPr>
        <w:spacing w:line="240" w:lineRule="auto"/>
      </w:pPr>
    </w:p>
    <w:p w14:paraId="3857122E" w14:textId="33FEE45E" w:rsidR="00D53E6F" w:rsidRDefault="00D53E6F" w:rsidP="00D53E6F">
      <w:pPr>
        <w:spacing w:line="240" w:lineRule="auto"/>
      </w:pPr>
      <w:r>
        <w:t xml:space="preserve">Compared to the regulatory baseline (Alternative 1), Alternative 2 would improve the knowledge of industry and the NRC by allowing them to </w:t>
      </w:r>
      <w:r w:rsidRPr="00BD3549">
        <w:t xml:space="preserve">gain experience with new technology </w:t>
      </w:r>
      <w:r>
        <w:t>before</w:t>
      </w:r>
      <w:r w:rsidRPr="00BD3549">
        <w:t xml:space="preserve"> </w:t>
      </w:r>
      <w:r>
        <w:t xml:space="preserve">its </w:t>
      </w:r>
      <w:r w:rsidRPr="00BD3549">
        <w:t xml:space="preserve">incorporation into the ASME Code </w:t>
      </w:r>
      <w:r>
        <w:t xml:space="preserve">and by </w:t>
      </w:r>
      <w:r w:rsidRPr="00BD3549">
        <w:t>permit</w:t>
      </w:r>
      <w:r>
        <w:t>ting</w:t>
      </w:r>
      <w:r w:rsidRPr="00BD3549">
        <w:t xml:space="preserve"> licensees to </w:t>
      </w:r>
      <w:r>
        <w:t>use advances in ISI and IST.  Developing greater knowledge and common understanding of the ASME Code and eliminating unnecessary work better enables industry and the NRC to produce desired on</w:t>
      </w:r>
      <w:r>
        <w:noBreakHyphen/>
        <w:t>the</w:t>
      </w:r>
      <w:r>
        <w:noBreakHyphen/>
        <w:t>job results; such results lead to pride in performance and increased job satisfaction.</w:t>
      </w:r>
    </w:p>
    <w:p w14:paraId="7F6143AD" w14:textId="77777777" w:rsidR="00D53E6F" w:rsidRPr="006E6365" w:rsidRDefault="00D53E6F" w:rsidP="00D53E6F">
      <w:pPr>
        <w:spacing w:line="240" w:lineRule="auto"/>
      </w:pPr>
    </w:p>
    <w:p w14:paraId="516E434D" w14:textId="77777777" w:rsidR="00D53E6F" w:rsidRPr="00461295" w:rsidRDefault="00D53E6F" w:rsidP="00D53E6F">
      <w:pPr>
        <w:pStyle w:val="Heading2"/>
        <w:tabs>
          <w:tab w:val="left" w:pos="720"/>
        </w:tabs>
        <w:spacing w:line="240" w:lineRule="auto"/>
      </w:pPr>
      <w:bookmarkStart w:id="333" w:name="_Toc456098340"/>
      <w:bookmarkStart w:id="334" w:name="_Toc12808886"/>
      <w:r>
        <w:t>5.11</w:t>
      </w:r>
      <w:r>
        <w:tab/>
      </w:r>
      <w:bookmarkStart w:id="335" w:name="_Toc457827353"/>
      <w:r w:rsidRPr="00461295">
        <w:t>Regulatory Efficiency</w:t>
      </w:r>
      <w:bookmarkEnd w:id="333"/>
      <w:bookmarkEnd w:id="334"/>
      <w:bookmarkEnd w:id="335"/>
    </w:p>
    <w:p w14:paraId="0E18B9C4" w14:textId="77777777" w:rsidR="00D53E6F" w:rsidRDefault="00D53E6F" w:rsidP="00D53E6F">
      <w:pPr>
        <w:keepNext/>
        <w:keepLines/>
        <w:spacing w:line="240" w:lineRule="auto"/>
      </w:pPr>
    </w:p>
    <w:p w14:paraId="659B510B" w14:textId="77777777" w:rsidR="00D53E6F" w:rsidRDefault="00D53E6F" w:rsidP="00D53E6F">
      <w:pPr>
        <w:spacing w:line="240" w:lineRule="auto"/>
      </w:pPr>
      <w:r>
        <w:t>Compared</w:t>
      </w:r>
      <w:r w:rsidRPr="002B08D8">
        <w:t xml:space="preserve"> to the </w:t>
      </w:r>
      <w:r>
        <w:t>regulatory baseline,</w:t>
      </w:r>
      <w:r w:rsidRPr="002B08D8">
        <w:t xml:space="preserve"> Alternative</w:t>
      </w:r>
      <w:r>
        <w:t> </w:t>
      </w:r>
      <w:r w:rsidRPr="002B08D8">
        <w:t>2</w:t>
      </w:r>
      <w:r>
        <w:t xml:space="preserve"> </w:t>
      </w:r>
      <w:r w:rsidRPr="002B08D8">
        <w:t>would increase regulatory efficiency</w:t>
      </w:r>
      <w:r>
        <w:t xml:space="preserve"> because</w:t>
      </w:r>
      <w:r w:rsidRPr="002B08D8">
        <w:t xml:space="preserve"> licensees that w</w:t>
      </w:r>
      <w:r>
        <w:t>ant</w:t>
      </w:r>
      <w:r w:rsidRPr="002B08D8">
        <w:t xml:space="preserve"> to </w:t>
      </w:r>
      <w:r>
        <w:t>use NRC</w:t>
      </w:r>
      <w:r>
        <w:noBreakHyphen/>
        <w:t>approved ASME Code Cases</w:t>
      </w:r>
      <w:r w:rsidRPr="002B08D8">
        <w:t xml:space="preserve"> would not </w:t>
      </w:r>
      <w:r>
        <w:t>need to submit requests for</w:t>
      </w:r>
      <w:r w:rsidRPr="002B08D8">
        <w:t xml:space="preserve"> </w:t>
      </w:r>
      <w:r>
        <w:t>alternatives</w:t>
      </w:r>
      <w:r w:rsidRPr="002B08D8">
        <w:t xml:space="preserve"> </w:t>
      </w:r>
      <w:r>
        <w:t>to</w:t>
      </w:r>
      <w:r w:rsidRPr="002B08D8">
        <w:t xml:space="preserve"> </w:t>
      </w:r>
      <w:r>
        <w:t xml:space="preserve">the </w:t>
      </w:r>
      <w:r w:rsidRPr="002B08D8">
        <w:t>NRC</w:t>
      </w:r>
      <w:r>
        <w:t>’s</w:t>
      </w:r>
      <w:r w:rsidRPr="002B08D8">
        <w:t xml:space="preserve"> regulations.  This would </w:t>
      </w:r>
      <w:r>
        <w:t>give</w:t>
      </w:r>
      <w:r w:rsidRPr="002B08D8">
        <w:t xml:space="preserve"> licensees flexibility and decrease </w:t>
      </w:r>
      <w:r>
        <w:t>their</w:t>
      </w:r>
      <w:r w:rsidRPr="002B08D8">
        <w:t xml:space="preserve"> uncertainty when modif</w:t>
      </w:r>
      <w:r>
        <w:t>ying or preparing to perform ISI or IST</w:t>
      </w:r>
      <w:r w:rsidRPr="002B08D8">
        <w:t xml:space="preserve">.  Further, </w:t>
      </w:r>
      <w:r>
        <w:t>Alternative </w:t>
      </w:r>
      <w:r w:rsidRPr="002B08D8">
        <w:t xml:space="preserve">2 </w:t>
      </w:r>
      <w:r>
        <w:t>is</w:t>
      </w:r>
      <w:r w:rsidRPr="002B08D8">
        <w:t xml:space="preserve"> consistent with the provisions of the NTTAA, which encourages Federal regulatory agencies to consider adopting voluntary consensus standards as an alternative to </w:t>
      </w:r>
      <w:r w:rsidRPr="004E122F">
        <w:rPr>
          <w:i/>
        </w:rPr>
        <w:t xml:space="preserve">de novo </w:t>
      </w:r>
      <w:r w:rsidRPr="00526679">
        <w:t>agency development</w:t>
      </w:r>
      <w:r w:rsidRPr="002B08D8">
        <w:t xml:space="preserve"> of standards affecting an industry.  </w:t>
      </w:r>
      <w:r>
        <w:t>Alternative </w:t>
      </w:r>
      <w:r w:rsidRPr="002B08D8">
        <w:t xml:space="preserve">2 </w:t>
      </w:r>
      <w:r>
        <w:t>is</w:t>
      </w:r>
      <w:r w:rsidRPr="002B08D8">
        <w:t xml:space="preserve"> also consistent with </w:t>
      </w:r>
      <w:r>
        <w:t xml:space="preserve">the </w:t>
      </w:r>
      <w:r w:rsidRPr="002B08D8">
        <w:t>NRC</w:t>
      </w:r>
      <w:r>
        <w:t>’s</w:t>
      </w:r>
      <w:r w:rsidRPr="002B08D8">
        <w:t xml:space="preserve"> policy of evaluating the latest versions of consensus standards in terms of their suitability for endorsement by regulations and </w:t>
      </w:r>
      <w:r>
        <w:t>RG</w:t>
      </w:r>
      <w:r w:rsidRPr="002B08D8">
        <w:t xml:space="preserve">s.  </w:t>
      </w:r>
      <w:r>
        <w:t>Finally</w:t>
      </w:r>
      <w:r w:rsidRPr="002B08D8">
        <w:t xml:space="preserve">, </w:t>
      </w:r>
      <w:r>
        <w:t>Alternative </w:t>
      </w:r>
      <w:r w:rsidRPr="002B08D8">
        <w:t xml:space="preserve">2 </w:t>
      </w:r>
      <w:r>
        <w:t>is</w:t>
      </w:r>
      <w:r w:rsidRPr="002B08D8">
        <w:t xml:space="preserve"> consistent with </w:t>
      </w:r>
      <w:r>
        <w:t xml:space="preserve">the </w:t>
      </w:r>
      <w:r w:rsidRPr="002B08D8">
        <w:t xml:space="preserve">NRC’s goal </w:t>
      </w:r>
      <w:r>
        <w:t>of</w:t>
      </w:r>
      <w:r w:rsidRPr="002B08D8">
        <w:t xml:space="preserve"> harmoniz</w:t>
      </w:r>
      <w:r>
        <w:t>ing</w:t>
      </w:r>
      <w:r w:rsidRPr="002B08D8">
        <w:t xml:space="preserve"> with international standards to improve regulatory efficiency for both the NRC and international standards groups.</w:t>
      </w:r>
    </w:p>
    <w:p w14:paraId="1280FFB8" w14:textId="77777777" w:rsidR="00D53E6F" w:rsidRPr="00BF6D41" w:rsidRDefault="00D53E6F" w:rsidP="00D53E6F">
      <w:pPr>
        <w:spacing w:line="240" w:lineRule="auto"/>
      </w:pPr>
    </w:p>
    <w:p w14:paraId="79DEFED2" w14:textId="77777777" w:rsidR="00D53E6F" w:rsidRDefault="00D53E6F" w:rsidP="00D53E6F">
      <w:pPr>
        <w:pStyle w:val="Heading2"/>
        <w:spacing w:line="240" w:lineRule="auto"/>
      </w:pPr>
      <w:bookmarkStart w:id="336" w:name="_Toc456098341"/>
      <w:bookmarkStart w:id="337" w:name="_Toc12808887"/>
      <w:r>
        <w:t>5.12</w:t>
      </w:r>
      <w:r>
        <w:tab/>
      </w:r>
      <w:bookmarkStart w:id="338" w:name="_Toc457827354"/>
      <w:r>
        <w:t>Other Considerations</w:t>
      </w:r>
      <w:bookmarkEnd w:id="336"/>
      <w:bookmarkEnd w:id="337"/>
      <w:bookmarkEnd w:id="338"/>
    </w:p>
    <w:p w14:paraId="7AE2BB57" w14:textId="77777777" w:rsidR="00D53E6F" w:rsidRPr="001C57C6" w:rsidRDefault="00D53E6F" w:rsidP="00D53E6F">
      <w:pPr>
        <w:spacing w:line="240" w:lineRule="auto"/>
      </w:pPr>
    </w:p>
    <w:p w14:paraId="6739FEF3" w14:textId="77777777" w:rsidR="00D53E6F" w:rsidRDefault="00D53E6F" w:rsidP="00D53E6F">
      <w:pPr>
        <w:pStyle w:val="Heading3"/>
        <w:spacing w:line="240" w:lineRule="auto"/>
        <w:ind w:left="900" w:hanging="900"/>
      </w:pPr>
      <w:bookmarkStart w:id="339" w:name="_Toc456098342"/>
      <w:bookmarkStart w:id="340" w:name="_Toc12808888"/>
      <w:r>
        <w:t>5.12.1</w:t>
      </w:r>
      <w:r>
        <w:tab/>
      </w:r>
      <w:bookmarkStart w:id="341" w:name="_Toc457827355"/>
      <w:r w:rsidRPr="003317FF">
        <w:t>National Technology Transfer and Advancement Act of 1995</w:t>
      </w:r>
      <w:bookmarkEnd w:id="339"/>
      <w:bookmarkEnd w:id="340"/>
      <w:bookmarkEnd w:id="341"/>
    </w:p>
    <w:p w14:paraId="36F6A458" w14:textId="77777777" w:rsidR="00D53E6F" w:rsidRDefault="00D53E6F" w:rsidP="00D53E6F">
      <w:pPr>
        <w:spacing w:line="240" w:lineRule="auto"/>
      </w:pPr>
    </w:p>
    <w:p w14:paraId="2F0B854F" w14:textId="77777777" w:rsidR="00D53E6F" w:rsidRDefault="00D53E6F" w:rsidP="00D53E6F">
      <w:pPr>
        <w:spacing w:line="240" w:lineRule="auto"/>
      </w:pPr>
      <w:r>
        <w:t>Alternative 2</w:t>
      </w:r>
      <w:r w:rsidRPr="00DA5025">
        <w:t xml:space="preserve"> is consistent with the provisions of the </w:t>
      </w:r>
      <w:r>
        <w:t>NTTAA</w:t>
      </w:r>
      <w:r w:rsidRPr="00DA5025">
        <w:t xml:space="preserve"> and </w:t>
      </w:r>
      <w:r>
        <w:t xml:space="preserve">its </w:t>
      </w:r>
      <w:r w:rsidRPr="00DA5025">
        <w:t>implementing guidance in OMB Circular</w:t>
      </w:r>
      <w:r>
        <w:t> </w:t>
      </w:r>
      <w:r w:rsidRPr="00DA5025">
        <w:t>A</w:t>
      </w:r>
      <w:r>
        <w:noBreakHyphen/>
      </w:r>
      <w:r w:rsidRPr="00DA5025">
        <w:t>119</w:t>
      </w:r>
      <w:r>
        <w:t xml:space="preserve">, </w:t>
      </w:r>
      <w:r w:rsidRPr="006E4C95">
        <w:t>“Federal Participation in the Development and Use of Voluntary Consensus Standards and in Conformity Assessment Activities,</w:t>
      </w:r>
      <w:r>
        <w:t>”</w:t>
      </w:r>
      <w:r w:rsidRPr="00DA5025">
        <w:t xml:space="preserve"> </w:t>
      </w:r>
      <w:r>
        <w:t>dated Jan</w:t>
      </w:r>
      <w:r w:rsidRPr="00DA5025">
        <w:t>uary</w:t>
      </w:r>
      <w:r>
        <w:t> 27</w:t>
      </w:r>
      <w:r w:rsidRPr="00DA5025">
        <w:t>,</w:t>
      </w:r>
      <w:r>
        <w:t> 2016 (OMB 2016)</w:t>
      </w:r>
      <w:r w:rsidRPr="00DA5025">
        <w:t xml:space="preserve">, which encourage Federal regulatory agencies to consider adopting voluntary consensus standards as an alternative to </w:t>
      </w:r>
      <w:r w:rsidRPr="004E122F">
        <w:rPr>
          <w:i/>
        </w:rPr>
        <w:t>de novo</w:t>
      </w:r>
      <w:r w:rsidRPr="00DA5025">
        <w:rPr>
          <w:i/>
        </w:rPr>
        <w:t xml:space="preserve"> </w:t>
      </w:r>
      <w:r w:rsidRPr="00DA5025">
        <w:t>agency development of standards affecting an industry.</w:t>
      </w:r>
    </w:p>
    <w:p w14:paraId="6805EA29" w14:textId="77777777" w:rsidR="00D53E6F" w:rsidRPr="00DA5025" w:rsidRDefault="00D53E6F" w:rsidP="00D53E6F">
      <w:pPr>
        <w:spacing w:line="240" w:lineRule="auto"/>
      </w:pPr>
    </w:p>
    <w:p w14:paraId="45F50527" w14:textId="77777777" w:rsidR="00D53E6F" w:rsidRDefault="00D53E6F" w:rsidP="00D53E6F">
      <w:pPr>
        <w:pStyle w:val="Heading3"/>
        <w:spacing w:line="240" w:lineRule="auto"/>
        <w:ind w:left="900" w:hanging="900"/>
      </w:pPr>
      <w:bookmarkStart w:id="342" w:name="_Toc456098343"/>
      <w:bookmarkStart w:id="343" w:name="_Toc457827356"/>
      <w:bookmarkStart w:id="344" w:name="_Toc12808889"/>
      <w:r>
        <w:t>5.12.2</w:t>
      </w:r>
      <w:r>
        <w:tab/>
        <w:t xml:space="preserve">Continued NRC Practice of Incorporation by Reference of ASME Code Editions and Addenda into </w:t>
      </w:r>
      <w:r w:rsidRPr="00052783">
        <w:t xml:space="preserve">the </w:t>
      </w:r>
      <w:r w:rsidRPr="009413F7">
        <w:rPr>
          <w:i w:val="0"/>
        </w:rPr>
        <w:t>Code of Federal Regulations</w:t>
      </w:r>
      <w:bookmarkEnd w:id="342"/>
      <w:bookmarkEnd w:id="343"/>
      <w:bookmarkEnd w:id="344"/>
    </w:p>
    <w:p w14:paraId="63D39656" w14:textId="77777777" w:rsidR="00D53E6F" w:rsidRDefault="00D53E6F" w:rsidP="00D53E6F">
      <w:pPr>
        <w:keepNext/>
        <w:spacing w:line="240" w:lineRule="auto"/>
      </w:pPr>
    </w:p>
    <w:p w14:paraId="473B5408" w14:textId="77777777" w:rsidR="00D53E6F" w:rsidRPr="00517E36" w:rsidRDefault="00D53E6F" w:rsidP="00D53E6F">
      <w:pPr>
        <w:spacing w:line="240" w:lineRule="auto"/>
      </w:pPr>
      <w:r>
        <w:t>Alternative 2</w:t>
      </w:r>
      <w:r w:rsidRPr="00517E36">
        <w:t xml:space="preserve"> </w:t>
      </w:r>
      <w:r>
        <w:t xml:space="preserve">would </w:t>
      </w:r>
      <w:r w:rsidRPr="00517E36">
        <w:t xml:space="preserve">continue </w:t>
      </w:r>
      <w:r>
        <w:t xml:space="preserve">the </w:t>
      </w:r>
      <w:r w:rsidRPr="00517E36">
        <w:t>NRC</w:t>
      </w:r>
      <w:r>
        <w:t>’</w:t>
      </w:r>
      <w:r w:rsidRPr="00517E36">
        <w:t xml:space="preserve">s practice </w:t>
      </w:r>
      <w:r>
        <w:t>of</w:t>
      </w:r>
      <w:r w:rsidRPr="00517E36">
        <w:t xml:space="preserve"> establish</w:t>
      </w:r>
      <w:r>
        <w:t>ing</w:t>
      </w:r>
      <w:r w:rsidRPr="00517E36">
        <w:t xml:space="preserve"> requirements for the design, construction, operation, ISI</w:t>
      </w:r>
      <w:r>
        <w:t>,</w:t>
      </w:r>
      <w:r w:rsidRPr="00517E36">
        <w:t xml:space="preserve"> and IST of nuclear power plants by approving the use of </w:t>
      </w:r>
      <w:r>
        <w:t>new</w:t>
      </w:r>
      <w:r w:rsidRPr="00517E36">
        <w:t xml:space="preserve"> ASME BPV and </w:t>
      </w:r>
      <w:r>
        <w:t>OM Code Cases</w:t>
      </w:r>
      <w:r w:rsidRPr="00517E36">
        <w:t xml:space="preserve"> in </w:t>
      </w:r>
      <w:r>
        <w:t>10 CFR</w:t>
      </w:r>
      <w:r w:rsidRPr="00517E36">
        <w:t> 50.55a.</w:t>
      </w:r>
    </w:p>
    <w:p w14:paraId="4A139B3C" w14:textId="77777777" w:rsidR="00D53E6F" w:rsidRPr="00517E36" w:rsidRDefault="00D53E6F" w:rsidP="00D53E6F">
      <w:pPr>
        <w:spacing w:line="240" w:lineRule="auto"/>
      </w:pPr>
    </w:p>
    <w:p w14:paraId="6D372EF3" w14:textId="77777777" w:rsidR="00D53E6F" w:rsidRDefault="00D53E6F" w:rsidP="00D53E6F">
      <w:pPr>
        <w:spacing w:line="240" w:lineRule="auto"/>
      </w:pPr>
      <w:r>
        <w:t xml:space="preserve">Based on </w:t>
      </w:r>
      <w:r w:rsidRPr="00517E36">
        <w:t xml:space="preserve">the </w:t>
      </w:r>
      <w:r>
        <w:t>existing data and information, Alternative 2</w:t>
      </w:r>
      <w:r w:rsidRPr="00517E36">
        <w:t xml:space="preserve"> is the most effective way to implement the updated </w:t>
      </w:r>
      <w:r>
        <w:t>ASME Code Cases</w:t>
      </w:r>
      <w:r w:rsidRPr="00517E36">
        <w:t xml:space="preserve">.  The updates would amend </w:t>
      </w:r>
      <w:r>
        <w:t>10 CFR </w:t>
      </w:r>
      <w:r w:rsidRPr="00517E36">
        <w:t>50.55a to incorpo</w:t>
      </w:r>
      <w:r>
        <w:t xml:space="preserve">rate by reference </w:t>
      </w:r>
      <w:r w:rsidRPr="00BD3549">
        <w:t xml:space="preserve">the latest revisions </w:t>
      </w:r>
      <w:r>
        <w:t>to</w:t>
      </w:r>
      <w:r w:rsidRPr="00BD3549">
        <w:t xml:space="preserve"> </w:t>
      </w:r>
      <w:r>
        <w:t>RGs 1.84, 1.147, and 1.192, which</w:t>
      </w:r>
      <w:r w:rsidRPr="00BD3549">
        <w:t xml:space="preserve"> list </w:t>
      </w:r>
      <w:r>
        <w:t>Code Cases</w:t>
      </w:r>
      <w:r w:rsidRPr="00BD3549">
        <w:t xml:space="preserve"> published by ASME and approved by the NRC</w:t>
      </w:r>
      <w:r>
        <w:t>.</w:t>
      </w:r>
    </w:p>
    <w:p w14:paraId="79111E87" w14:textId="77777777" w:rsidR="00D53E6F" w:rsidRDefault="00D53E6F" w:rsidP="00D53E6F">
      <w:pPr>
        <w:spacing w:line="240" w:lineRule="auto"/>
      </w:pPr>
    </w:p>
    <w:p w14:paraId="20CD23CC" w14:textId="77777777" w:rsidR="00D53E6F" w:rsidRDefault="00D53E6F" w:rsidP="00D53E6F">
      <w:pPr>
        <w:pStyle w:val="Heading3"/>
        <w:spacing w:line="240" w:lineRule="auto"/>
        <w:ind w:left="900" w:hanging="900"/>
      </w:pPr>
      <w:bookmarkStart w:id="345" w:name="_Toc456098345"/>
      <w:bookmarkStart w:id="346" w:name="_Toc457827358"/>
      <w:bookmarkStart w:id="347" w:name="_Toc12808890"/>
      <w:r>
        <w:t>5.12.3</w:t>
      </w:r>
      <w:r>
        <w:tab/>
        <w:t>Increased Public Confidence</w:t>
      </w:r>
      <w:bookmarkEnd w:id="345"/>
      <w:bookmarkEnd w:id="346"/>
      <w:bookmarkEnd w:id="347"/>
    </w:p>
    <w:p w14:paraId="78E2FB3C" w14:textId="77777777" w:rsidR="00D53E6F" w:rsidRDefault="00D53E6F" w:rsidP="00D53E6F">
      <w:pPr>
        <w:keepNext/>
        <w:spacing w:line="240" w:lineRule="auto"/>
      </w:pPr>
    </w:p>
    <w:p w14:paraId="36CD1A7E" w14:textId="77777777" w:rsidR="00D53E6F" w:rsidRDefault="00D53E6F" w:rsidP="00D53E6F">
      <w:pPr>
        <w:spacing w:line="240" w:lineRule="auto"/>
      </w:pPr>
      <w:r>
        <w:t xml:space="preserve">Alternative 2 incorporates the current ASME Code Cases </w:t>
      </w:r>
      <w:r w:rsidRPr="00517E36">
        <w:t>for the design, construction, operation, ISI</w:t>
      </w:r>
      <w:r>
        <w:t>,</w:t>
      </w:r>
      <w:r w:rsidRPr="00517E36">
        <w:t xml:space="preserve"> and IST of nuclear power plants by approving the use of </w:t>
      </w:r>
      <w:r>
        <w:t xml:space="preserve">later </w:t>
      </w:r>
      <w:r w:rsidRPr="00517E36">
        <w:t xml:space="preserve">ASME BPV and </w:t>
      </w:r>
      <w:r>
        <w:t>OM Code Cases</w:t>
      </w:r>
      <w:r w:rsidRPr="00517E36">
        <w:t xml:space="preserve"> in </w:t>
      </w:r>
      <w:r>
        <w:t>10 CFR</w:t>
      </w:r>
      <w:r w:rsidRPr="00517E36">
        <w:t> 50.55a.</w:t>
      </w:r>
      <w:r>
        <w:t xml:space="preserve">  This alternative would allow licensees to use risk</w:t>
      </w:r>
      <w:r>
        <w:noBreakHyphen/>
      </w:r>
      <w:r w:rsidRPr="00340B9F">
        <w:t>informed, performance</w:t>
      </w:r>
      <w:r>
        <w:noBreakHyphen/>
      </w:r>
      <w:r w:rsidRPr="00340B9F">
        <w:t xml:space="preserve">based approaches and the most current methods and technology to </w:t>
      </w:r>
      <w:r>
        <w:t>design, construct, operate, examine, and test nuclear power plant components while maintaining NRC oversight of these activities and thus increasing public confidence.</w:t>
      </w:r>
    </w:p>
    <w:p w14:paraId="757E2A9D" w14:textId="77777777" w:rsidR="00D53E6F" w:rsidRDefault="00D53E6F" w:rsidP="00D53E6F">
      <w:pPr>
        <w:spacing w:line="240" w:lineRule="auto"/>
      </w:pPr>
    </w:p>
    <w:p w14:paraId="0435B6E2" w14:textId="77777777" w:rsidR="00D53E6F" w:rsidRDefault="00D53E6F" w:rsidP="00D53E6F">
      <w:pPr>
        <w:pStyle w:val="Heading3"/>
        <w:spacing w:line="240" w:lineRule="auto"/>
        <w:ind w:left="900" w:hanging="900"/>
      </w:pPr>
      <w:bookmarkStart w:id="348" w:name="_Toc456098346"/>
      <w:bookmarkStart w:id="349" w:name="_Toc12808891"/>
      <w:r>
        <w:t>5.12.4</w:t>
      </w:r>
      <w:r>
        <w:tab/>
      </w:r>
      <w:bookmarkStart w:id="350" w:name="_Toc457827359"/>
      <w:r>
        <w:t>Reliable Assessment of Cast Austenitic Stainless Steel Materials</w:t>
      </w:r>
      <w:bookmarkEnd w:id="348"/>
      <w:bookmarkEnd w:id="349"/>
      <w:bookmarkEnd w:id="350"/>
    </w:p>
    <w:p w14:paraId="1BB5BAAB" w14:textId="77777777" w:rsidR="00D53E6F" w:rsidRPr="001245DE" w:rsidRDefault="00D53E6F" w:rsidP="00D53E6F">
      <w:pPr>
        <w:spacing w:line="240" w:lineRule="auto"/>
      </w:pPr>
    </w:p>
    <w:p w14:paraId="25C6FF4D" w14:textId="77777777" w:rsidR="00D53E6F" w:rsidRDefault="00D53E6F" w:rsidP="00D53E6F">
      <w:pPr>
        <w:spacing w:line="240" w:lineRule="auto"/>
      </w:pPr>
      <w:r w:rsidRPr="001245DE">
        <w:t>The ability to reliabl</w:t>
      </w:r>
      <w:r>
        <w:t>y</w:t>
      </w:r>
      <w:r w:rsidRPr="001245DE">
        <w:t xml:space="preserve"> asses</w:t>
      </w:r>
      <w:r>
        <w:t>s CASS materi</w:t>
      </w:r>
      <w:r w:rsidRPr="001245DE">
        <w:t xml:space="preserve">als </w:t>
      </w:r>
      <w:r>
        <w:t>is</w:t>
      </w:r>
      <w:r w:rsidRPr="001245DE">
        <w:t xml:space="preserve"> </w:t>
      </w:r>
      <w:r>
        <w:t>important</w:t>
      </w:r>
      <w:r w:rsidRPr="001245DE">
        <w:t xml:space="preserve"> for life extension and license renewal activities. </w:t>
      </w:r>
      <w:r>
        <w:t xml:space="preserve"> CASS </w:t>
      </w:r>
      <w:r w:rsidRPr="001245DE">
        <w:t>components</w:t>
      </w:r>
      <w:r>
        <w:t xml:space="preserve"> continue to cause a level of concern</w:t>
      </w:r>
      <w:r w:rsidRPr="001245DE">
        <w:t xml:space="preserve"> because of the possibility of thermal embrittlement over time and the limitation</w:t>
      </w:r>
      <w:r>
        <w:t>s of cur</w:t>
      </w:r>
      <w:r w:rsidRPr="001245DE">
        <w:t xml:space="preserve">rent volumetric inspection techniques. </w:t>
      </w:r>
      <w:r>
        <w:t xml:space="preserve"> </w:t>
      </w:r>
      <w:r w:rsidRPr="001245DE">
        <w:t xml:space="preserve">Establishing a robust aging management approach for </w:t>
      </w:r>
      <w:r>
        <w:t xml:space="preserve">CASS </w:t>
      </w:r>
      <w:r w:rsidRPr="001245DE">
        <w:t>components</w:t>
      </w:r>
      <w:r>
        <w:t xml:space="preserve"> would</w:t>
      </w:r>
      <w:r w:rsidRPr="001245DE">
        <w:t xml:space="preserve"> </w:t>
      </w:r>
      <w:r>
        <w:t xml:space="preserve">improve the knowledge of the material condition of those components </w:t>
      </w:r>
      <w:r w:rsidRPr="001245DE">
        <w:t xml:space="preserve">exposed to reactor coolant environments </w:t>
      </w:r>
      <w:r>
        <w:t>and would improve the current state of knowledge, which is</w:t>
      </w:r>
      <w:r w:rsidRPr="001245DE">
        <w:t xml:space="preserve"> constrained by a lack of data, operating experience, and proven </w:t>
      </w:r>
      <w:r>
        <w:t>nondestructive engineering</w:t>
      </w:r>
      <w:r w:rsidRPr="001245DE">
        <w:t xml:space="preserve"> solutions.</w:t>
      </w:r>
    </w:p>
    <w:p w14:paraId="5E3CE3E5" w14:textId="77777777" w:rsidR="00D53E6F" w:rsidRDefault="00D53E6F" w:rsidP="00D53E6F">
      <w:pPr>
        <w:spacing w:line="240" w:lineRule="auto"/>
      </w:pPr>
    </w:p>
    <w:p w14:paraId="60FFA780" w14:textId="77777777" w:rsidR="00D53E6F" w:rsidRDefault="00D53E6F" w:rsidP="00D53E6F">
      <w:pPr>
        <w:pStyle w:val="Heading2"/>
        <w:tabs>
          <w:tab w:val="left" w:pos="540"/>
        </w:tabs>
        <w:spacing w:line="240" w:lineRule="auto"/>
      </w:pPr>
      <w:bookmarkStart w:id="351" w:name="_Ref448229449"/>
      <w:bookmarkStart w:id="352" w:name="_Toc456098347"/>
      <w:bookmarkStart w:id="353" w:name="_Toc12808892"/>
      <w:r>
        <w:t>5.13</w:t>
      </w:r>
      <w:r>
        <w:tab/>
      </w:r>
      <w:bookmarkStart w:id="354" w:name="_Toc457827360"/>
      <w:r>
        <w:t>Uncertainty Analysis</w:t>
      </w:r>
      <w:bookmarkEnd w:id="351"/>
      <w:bookmarkEnd w:id="352"/>
      <w:bookmarkEnd w:id="353"/>
      <w:bookmarkEnd w:id="354"/>
    </w:p>
    <w:p w14:paraId="4AC9B523" w14:textId="77777777" w:rsidR="00D53E6F" w:rsidRDefault="00D53E6F" w:rsidP="00D53E6F">
      <w:pPr>
        <w:spacing w:line="240" w:lineRule="auto"/>
      </w:pPr>
    </w:p>
    <w:p w14:paraId="3736DF2D" w14:textId="548BB3CD" w:rsidR="00D53E6F" w:rsidRDefault="00173B30" w:rsidP="00D53E6F">
      <w:pPr>
        <w:spacing w:line="240" w:lineRule="auto"/>
      </w:pPr>
      <w:r>
        <w:t>The NRC</w:t>
      </w:r>
      <w:r w:rsidR="00D53E6F">
        <w:t xml:space="preserve"> completed a</w:t>
      </w:r>
      <w:r w:rsidR="00D53E6F" w:rsidRPr="00C260BA">
        <w:t xml:space="preserve"> Monte Carlo sensitivity analysis </w:t>
      </w:r>
      <w:r w:rsidR="00D53E6F">
        <w:t>for this regulatory analysis using the @Risk specialty software program</w:t>
      </w:r>
      <w:r w:rsidR="00D53E6F" w:rsidRPr="00C260BA">
        <w:t>.</w:t>
      </w:r>
      <w:r w:rsidR="00D53E6F" w:rsidRPr="00870863">
        <w:rPr>
          <w:rStyle w:val="FootnoteReference"/>
          <w:vertAlign w:val="superscript"/>
        </w:rPr>
        <w:footnoteReference w:id="8"/>
      </w:r>
      <w:r w:rsidR="00D53E6F" w:rsidRPr="00C260BA">
        <w:t xml:space="preserve">  The Monte </w:t>
      </w:r>
      <w:r w:rsidR="00D53E6F">
        <w:t xml:space="preserve">Carlo approach </w:t>
      </w:r>
      <w:r w:rsidR="00D53E6F" w:rsidRPr="00C260BA">
        <w:t>answer</w:t>
      </w:r>
      <w:r w:rsidR="00D53E6F">
        <w:t>s</w:t>
      </w:r>
      <w:r w:rsidR="00D53E6F" w:rsidRPr="00C260BA">
        <w:t xml:space="preserve"> the question</w:t>
      </w:r>
      <w:r w:rsidR="00D53E6F">
        <w:t>, “W</w:t>
      </w:r>
      <w:r w:rsidR="00D53E6F" w:rsidRPr="00C260BA">
        <w:t>hat distribution of net benefits results from multiple draws of the probability distribution as</w:t>
      </w:r>
      <w:r w:rsidR="00D53E6F">
        <w:t>signed to key variables?”</w:t>
      </w:r>
    </w:p>
    <w:p w14:paraId="1416392B" w14:textId="77777777" w:rsidR="00D53E6F" w:rsidRDefault="00D53E6F" w:rsidP="00D53E6F">
      <w:pPr>
        <w:pStyle w:val="Heading3"/>
        <w:spacing w:line="240" w:lineRule="auto"/>
        <w:ind w:left="900" w:hanging="900"/>
      </w:pPr>
      <w:bookmarkStart w:id="355" w:name="_Toc436817854"/>
      <w:bookmarkStart w:id="356" w:name="_Toc443059996"/>
      <w:bookmarkStart w:id="357" w:name="_Toc456098348"/>
      <w:bookmarkStart w:id="358" w:name="_Toc12808893"/>
      <w:r>
        <w:t>5.13.1</w:t>
      </w:r>
      <w:r>
        <w:tab/>
      </w:r>
      <w:bookmarkStart w:id="359" w:name="_Toc457827361"/>
      <w:r>
        <w:t>Uncertainty Analysis Assumptions</w:t>
      </w:r>
      <w:bookmarkEnd w:id="355"/>
      <w:bookmarkEnd w:id="356"/>
      <w:bookmarkEnd w:id="357"/>
      <w:bookmarkEnd w:id="358"/>
      <w:bookmarkEnd w:id="359"/>
    </w:p>
    <w:p w14:paraId="339BEA95" w14:textId="77777777" w:rsidR="00D53E6F" w:rsidRDefault="00D53E6F" w:rsidP="00D53E6F">
      <w:pPr>
        <w:keepNext/>
        <w:spacing w:line="240" w:lineRule="auto"/>
      </w:pPr>
    </w:p>
    <w:p w14:paraId="7F83264C" w14:textId="069CDF24" w:rsidR="00D53E6F" w:rsidRDefault="00D53E6F" w:rsidP="00D53E6F">
      <w:pPr>
        <w:spacing w:line="240" w:lineRule="auto"/>
      </w:pPr>
      <w:r>
        <w:t>Because this regulatory analysis is based on estimates of values that are sensitive to plant</w:t>
      </w:r>
      <w:r>
        <w:noBreakHyphen/>
        <w:t xml:space="preserve">specific cost drivers and plant dissimilarities, </w:t>
      </w:r>
      <w:r w:rsidR="00173B30">
        <w:t>the NRC</w:t>
      </w:r>
      <w:r>
        <w:t xml:space="preserve"> considered the variables with the greatest uncertainty.  To perform this analysis, </w:t>
      </w:r>
      <w:r w:rsidR="00173B30">
        <w:t>the NRC</w:t>
      </w:r>
      <w:r>
        <w:t xml:space="preserve"> used a Monte Carlo simulation analysis using @Risk.</w:t>
      </w:r>
    </w:p>
    <w:p w14:paraId="65613F72" w14:textId="77777777" w:rsidR="00D53E6F" w:rsidRDefault="00D53E6F" w:rsidP="00D53E6F">
      <w:pPr>
        <w:spacing w:line="240" w:lineRule="auto"/>
      </w:pPr>
    </w:p>
    <w:p w14:paraId="5ECBF2C5" w14:textId="77777777" w:rsidR="00D53E6F" w:rsidRDefault="00D53E6F" w:rsidP="00D53E6F">
      <w:pPr>
        <w:spacing w:line="240" w:lineRule="auto"/>
      </w:pPr>
      <w:r w:rsidRPr="00BF5AC4">
        <w:t xml:space="preserve">Monte Carlo simulations involve introducing uncertainty into the analysis by replacing the point estimates of the variables used to estimate </w:t>
      </w:r>
      <w:r>
        <w:t>base</w:t>
      </w:r>
      <w:r>
        <w:noBreakHyphen/>
        <w:t xml:space="preserve">case </w:t>
      </w:r>
      <w:r w:rsidRPr="00BF5AC4">
        <w:t xml:space="preserve">costs and benefits with probability distributions.  By defining input variables as probability distributions </w:t>
      </w:r>
      <w:r>
        <w:t>instead of</w:t>
      </w:r>
      <w:r w:rsidRPr="00BF5AC4">
        <w:t xml:space="preserve"> point estimates, the </w:t>
      </w:r>
      <w:r>
        <w:t>influence</w:t>
      </w:r>
      <w:r w:rsidRPr="00BF5AC4">
        <w:t xml:space="preserve"> of uncertainty on the results of the analysis (i.e.,</w:t>
      </w:r>
      <w:r>
        <w:t> </w:t>
      </w:r>
      <w:r w:rsidRPr="00BF5AC4">
        <w:t>the net benefit</w:t>
      </w:r>
      <w:r>
        <w:t>s) can be effectively modeled.</w:t>
      </w:r>
    </w:p>
    <w:p w14:paraId="512D6128" w14:textId="77777777" w:rsidR="00D53E6F" w:rsidRDefault="00D53E6F" w:rsidP="00D53E6F">
      <w:pPr>
        <w:spacing w:line="240" w:lineRule="auto"/>
      </w:pPr>
    </w:p>
    <w:p w14:paraId="54F52375" w14:textId="4B290BBE" w:rsidR="00D53E6F" w:rsidRDefault="00D53E6F" w:rsidP="00D53E6F">
      <w:pPr>
        <w:spacing w:line="240" w:lineRule="auto"/>
      </w:pPr>
      <w:r w:rsidRPr="00BF5AC4">
        <w:t>The probability distributions chosen to represent the different variables in the analysis were bounded by the range</w:t>
      </w:r>
      <w:r>
        <w:noBreakHyphen/>
        <w:t>referenced</w:t>
      </w:r>
      <w:r w:rsidRPr="00BF5AC4">
        <w:t xml:space="preserve"> input</w:t>
      </w:r>
      <w:r>
        <w:t xml:space="preserve"> </w:t>
      </w:r>
      <w:r w:rsidRPr="00BF5AC4">
        <w:t xml:space="preserve">and the staff’s professional judgment.  </w:t>
      </w:r>
      <w:r>
        <w:t>D</w:t>
      </w:r>
      <w:r w:rsidRPr="00BF5AC4">
        <w:t xml:space="preserve">efining the probability distributions for use in </w:t>
      </w:r>
      <w:r>
        <w:t>a</w:t>
      </w:r>
      <w:r w:rsidRPr="00BF5AC4">
        <w:t xml:space="preserve"> Monte Carlo simulation</w:t>
      </w:r>
      <w:r>
        <w:t xml:space="preserve"> requires</w:t>
      </w:r>
      <w:r w:rsidRPr="00BF5AC4">
        <w:t xml:space="preserve"> summary statistics to characterize the distributions.  These summary statistics include the minimum</w:t>
      </w:r>
      <w:r>
        <w:t>, most likely,</w:t>
      </w:r>
      <w:r w:rsidRPr="00BF5AC4">
        <w:t xml:space="preserve"> and maximum </w:t>
      </w:r>
      <w:r>
        <w:t xml:space="preserve">values </w:t>
      </w:r>
      <w:r w:rsidRPr="00BF5AC4">
        <w:t xml:space="preserve">of a </w:t>
      </w:r>
      <w:r>
        <w:t>program evaluation and review technique (PERT) distribution,</w:t>
      </w:r>
      <w:r w:rsidRPr="00870863">
        <w:rPr>
          <w:rStyle w:val="FootnoteReference"/>
          <w:vertAlign w:val="superscript"/>
        </w:rPr>
        <w:footnoteReference w:id="9"/>
      </w:r>
      <w:r>
        <w:t xml:space="preserve"> the minimum and maximum values of a uniform distribution, and the specified integer values of a discrete population.  </w:t>
      </w:r>
      <w:r w:rsidR="00173B30">
        <w:t>The NRC</w:t>
      </w:r>
      <w:r>
        <w:t xml:space="preserve"> used the PERT distribution to reflect the relative spread and skewness of the distribution defined by the three estimates.</w:t>
      </w:r>
    </w:p>
    <w:p w14:paraId="5B5E16DE" w14:textId="77777777" w:rsidR="00D53E6F" w:rsidRDefault="00D53E6F" w:rsidP="00D53E6F">
      <w:pPr>
        <w:spacing w:line="240" w:lineRule="auto"/>
      </w:pPr>
    </w:p>
    <w:p w14:paraId="43A03AE9" w14:textId="2106C306" w:rsidR="00D53E6F" w:rsidRPr="004A5699" w:rsidRDefault="00D53E6F" w:rsidP="00D53E6F">
      <w:pPr>
        <w:spacing w:line="240" w:lineRule="auto"/>
      </w:pPr>
      <w:r w:rsidRPr="004A5699">
        <w:fldChar w:fldCharType="begin"/>
      </w:r>
      <w:r w:rsidRPr="004A5699">
        <w:instrText xml:space="preserve"> REF _Ref453770338 \h  \* MERGEFORMAT </w:instrText>
      </w:r>
      <w:r w:rsidRPr="004A5699">
        <w:fldChar w:fldCharType="separate"/>
      </w:r>
      <w:r w:rsidR="00F05D99" w:rsidRPr="00F05D99">
        <w:t xml:space="preserve">Table </w:t>
      </w:r>
      <w:r w:rsidR="00F05D99" w:rsidRPr="00F05D99">
        <w:rPr>
          <w:noProof/>
        </w:rPr>
        <w:t>20</w:t>
      </w:r>
      <w:r w:rsidRPr="004A5699">
        <w:fldChar w:fldCharType="end"/>
      </w:r>
      <w:r w:rsidRPr="004A5699">
        <w:t xml:space="preserve"> identifies the data elements, the distribution and summary statistic</w:t>
      </w:r>
      <w:r>
        <w:t>s</w:t>
      </w:r>
      <w:r w:rsidRPr="004A5699">
        <w:t>, and the mean value of the distribution that the uncertainty analysis</w:t>
      </w:r>
      <w:r>
        <w:t xml:space="preserve"> used</w:t>
      </w:r>
      <w:r w:rsidRPr="004A5699">
        <w:t>.</w:t>
      </w:r>
    </w:p>
    <w:p w14:paraId="7500C493" w14:textId="77777777" w:rsidR="00D53E6F" w:rsidRPr="004A5699" w:rsidRDefault="00D53E6F" w:rsidP="00D53E6F">
      <w:pPr>
        <w:spacing w:line="240" w:lineRule="auto"/>
      </w:pPr>
    </w:p>
    <w:p w14:paraId="398223A1" w14:textId="579C6C53" w:rsidR="00D53E6F" w:rsidRPr="00C80453" w:rsidRDefault="00D53E6F" w:rsidP="00D53E6F">
      <w:pPr>
        <w:spacing w:line="240" w:lineRule="auto"/>
        <w:ind w:left="1080" w:hanging="1080"/>
        <w:jc w:val="center"/>
        <w:rPr>
          <w:b/>
        </w:rPr>
      </w:pPr>
      <w:bookmarkStart w:id="360" w:name="_Ref453770338"/>
      <w:bookmarkStart w:id="361" w:name="_Toc454442494"/>
      <w:bookmarkStart w:id="362" w:name="_Toc457827414"/>
      <w:bookmarkStart w:id="363" w:name="_Toc9428149"/>
      <w:r w:rsidRPr="00C80453">
        <w:rPr>
          <w:b/>
        </w:rPr>
        <w:t xml:space="preserve">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20</w:t>
      </w:r>
      <w:r w:rsidRPr="00C80453">
        <w:rPr>
          <w:b/>
          <w:noProof/>
        </w:rPr>
        <w:fldChar w:fldCharType="end"/>
      </w:r>
      <w:bookmarkEnd w:id="360"/>
      <w:r w:rsidRPr="00C80453">
        <w:rPr>
          <w:b/>
        </w:rPr>
        <w:t xml:space="preserve">  Uncertainty Analysis Variables</w:t>
      </w:r>
      <w:bookmarkEnd w:id="361"/>
      <w:bookmarkEnd w:id="362"/>
      <w:bookmarkEnd w:id="363"/>
    </w:p>
    <w:p w14:paraId="509DA470" w14:textId="77777777" w:rsidR="00D53E6F" w:rsidRPr="001608CA" w:rsidRDefault="00D53E6F" w:rsidP="00D53E6F">
      <w:pPr>
        <w:spacing w:line="240" w:lineRule="auto"/>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1318"/>
        <w:gridCol w:w="1451"/>
        <w:gridCol w:w="1109"/>
        <w:gridCol w:w="1109"/>
        <w:gridCol w:w="1134"/>
      </w:tblGrid>
      <w:tr w:rsidR="00D53E6F" w:rsidRPr="006B4621" w14:paraId="3E56E06A" w14:textId="77777777" w:rsidTr="004A7B59">
        <w:trPr>
          <w:trHeight w:val="476"/>
          <w:tblHeader/>
          <w:jc w:val="center"/>
        </w:trPr>
        <w:tc>
          <w:tcPr>
            <w:tcW w:w="3229" w:type="dxa"/>
            <w:vAlign w:val="center"/>
            <w:hideMark/>
          </w:tcPr>
          <w:p w14:paraId="4ABA4B6E" w14:textId="77777777" w:rsidR="00D53E6F" w:rsidRPr="004A7B59" w:rsidRDefault="00D53E6F" w:rsidP="00E91144">
            <w:pPr>
              <w:spacing w:line="240" w:lineRule="auto"/>
              <w:jc w:val="center"/>
              <w:rPr>
                <w:b/>
                <w:bCs/>
                <w:sz w:val="20"/>
                <w:szCs w:val="20"/>
              </w:rPr>
            </w:pPr>
            <w:bookmarkStart w:id="364" w:name="RANGE!A1:F234"/>
            <w:bookmarkEnd w:id="364"/>
            <w:r w:rsidRPr="004A7B59">
              <w:rPr>
                <w:b/>
                <w:bCs/>
                <w:sz w:val="20"/>
                <w:szCs w:val="20"/>
              </w:rPr>
              <w:t>Data Element</w:t>
            </w:r>
          </w:p>
        </w:tc>
        <w:tc>
          <w:tcPr>
            <w:tcW w:w="1318" w:type="dxa"/>
            <w:vAlign w:val="center"/>
            <w:hideMark/>
          </w:tcPr>
          <w:p w14:paraId="67ECA6A1" w14:textId="77777777" w:rsidR="00D53E6F" w:rsidRPr="004A7B59" w:rsidRDefault="00D53E6F" w:rsidP="00E91144">
            <w:pPr>
              <w:spacing w:line="240" w:lineRule="auto"/>
              <w:jc w:val="center"/>
              <w:rPr>
                <w:b/>
                <w:bCs/>
                <w:sz w:val="20"/>
                <w:szCs w:val="20"/>
              </w:rPr>
            </w:pPr>
            <w:r w:rsidRPr="004A7B59">
              <w:rPr>
                <w:b/>
                <w:bCs/>
                <w:sz w:val="20"/>
                <w:szCs w:val="20"/>
              </w:rPr>
              <w:t>Mean Estimate</w:t>
            </w:r>
          </w:p>
        </w:tc>
        <w:tc>
          <w:tcPr>
            <w:tcW w:w="1451" w:type="dxa"/>
            <w:noWrap/>
            <w:vAlign w:val="center"/>
            <w:hideMark/>
          </w:tcPr>
          <w:p w14:paraId="7CC16F5D" w14:textId="77777777" w:rsidR="00D53E6F" w:rsidRPr="004A7B59" w:rsidRDefault="00D53E6F" w:rsidP="00E91144">
            <w:pPr>
              <w:spacing w:line="240" w:lineRule="auto"/>
              <w:jc w:val="center"/>
              <w:rPr>
                <w:b/>
                <w:bCs/>
                <w:sz w:val="20"/>
                <w:szCs w:val="20"/>
              </w:rPr>
            </w:pPr>
            <w:r w:rsidRPr="004A7B59">
              <w:rPr>
                <w:b/>
                <w:bCs/>
                <w:sz w:val="20"/>
                <w:szCs w:val="20"/>
              </w:rPr>
              <w:t>Distribution</w:t>
            </w:r>
          </w:p>
        </w:tc>
        <w:tc>
          <w:tcPr>
            <w:tcW w:w="1109" w:type="dxa"/>
            <w:vAlign w:val="center"/>
            <w:hideMark/>
          </w:tcPr>
          <w:p w14:paraId="23DA2CD0" w14:textId="77777777" w:rsidR="00D53E6F" w:rsidRPr="004A7B59" w:rsidRDefault="00D53E6F" w:rsidP="00E91144">
            <w:pPr>
              <w:spacing w:line="240" w:lineRule="auto"/>
              <w:jc w:val="center"/>
              <w:rPr>
                <w:b/>
                <w:bCs/>
                <w:sz w:val="20"/>
                <w:szCs w:val="20"/>
              </w:rPr>
            </w:pPr>
            <w:r w:rsidRPr="004A7B59">
              <w:rPr>
                <w:b/>
                <w:bCs/>
                <w:sz w:val="20"/>
                <w:szCs w:val="20"/>
              </w:rPr>
              <w:t>Low Estimate</w:t>
            </w:r>
          </w:p>
        </w:tc>
        <w:tc>
          <w:tcPr>
            <w:tcW w:w="1109" w:type="dxa"/>
            <w:vAlign w:val="center"/>
            <w:hideMark/>
          </w:tcPr>
          <w:p w14:paraId="03F5DBF1" w14:textId="77777777" w:rsidR="00D53E6F" w:rsidRPr="004A7B59" w:rsidRDefault="00D53E6F" w:rsidP="00E91144">
            <w:pPr>
              <w:spacing w:line="240" w:lineRule="auto"/>
              <w:jc w:val="center"/>
              <w:rPr>
                <w:b/>
                <w:bCs/>
                <w:sz w:val="20"/>
                <w:szCs w:val="20"/>
              </w:rPr>
            </w:pPr>
            <w:r w:rsidRPr="004A7B59">
              <w:rPr>
                <w:b/>
                <w:bCs/>
                <w:sz w:val="20"/>
                <w:szCs w:val="20"/>
              </w:rPr>
              <w:t>Best Estimate</w:t>
            </w:r>
          </w:p>
        </w:tc>
        <w:tc>
          <w:tcPr>
            <w:tcW w:w="1134" w:type="dxa"/>
            <w:vAlign w:val="center"/>
            <w:hideMark/>
          </w:tcPr>
          <w:p w14:paraId="0A035EC2" w14:textId="77777777" w:rsidR="00D53E6F" w:rsidRPr="004A7B59" w:rsidRDefault="00D53E6F" w:rsidP="00E91144">
            <w:pPr>
              <w:spacing w:line="240" w:lineRule="auto"/>
              <w:jc w:val="center"/>
              <w:rPr>
                <w:b/>
                <w:bCs/>
                <w:sz w:val="20"/>
                <w:szCs w:val="20"/>
              </w:rPr>
            </w:pPr>
            <w:r w:rsidRPr="004A7B59">
              <w:rPr>
                <w:b/>
                <w:bCs/>
                <w:sz w:val="20"/>
                <w:szCs w:val="20"/>
              </w:rPr>
              <w:t>High Estimate</w:t>
            </w:r>
          </w:p>
        </w:tc>
      </w:tr>
      <w:tr w:rsidR="00D53E6F" w:rsidRPr="006B4621" w14:paraId="6CF7404A" w14:textId="77777777" w:rsidTr="004A7B59">
        <w:trPr>
          <w:trHeight w:val="350"/>
          <w:jc w:val="center"/>
        </w:trPr>
        <w:tc>
          <w:tcPr>
            <w:tcW w:w="9350" w:type="dxa"/>
            <w:gridSpan w:val="6"/>
            <w:vAlign w:val="center"/>
          </w:tcPr>
          <w:p w14:paraId="25EC153B" w14:textId="77777777" w:rsidR="00D53E6F" w:rsidRPr="004A7B59" w:rsidRDefault="00D53E6F" w:rsidP="00E91144">
            <w:pPr>
              <w:autoSpaceDE/>
              <w:autoSpaceDN/>
              <w:adjustRightInd/>
              <w:spacing w:line="240" w:lineRule="auto"/>
              <w:rPr>
                <w:b/>
                <w:bCs/>
                <w:color w:val="000000"/>
                <w:sz w:val="20"/>
                <w:szCs w:val="20"/>
                <w:u w:val="single"/>
              </w:rPr>
            </w:pPr>
            <w:r w:rsidRPr="004A7B59">
              <w:rPr>
                <w:b/>
                <w:bCs/>
                <w:color w:val="000000"/>
                <w:sz w:val="20"/>
                <w:szCs w:val="20"/>
                <w:u w:val="single"/>
              </w:rPr>
              <w:t>ASME Code Case N-695-1 and N-696-1 Piping Examinations</w:t>
            </w:r>
          </w:p>
        </w:tc>
      </w:tr>
      <w:tr w:rsidR="00D53E6F" w:rsidRPr="006B4621" w14:paraId="59F88E39" w14:textId="77777777" w:rsidTr="004A7B59">
        <w:trPr>
          <w:trHeight w:val="350"/>
          <w:jc w:val="center"/>
        </w:trPr>
        <w:tc>
          <w:tcPr>
            <w:tcW w:w="9350" w:type="dxa"/>
            <w:gridSpan w:val="6"/>
            <w:vAlign w:val="center"/>
          </w:tcPr>
          <w:p w14:paraId="646A3823" w14:textId="77777777" w:rsidR="00D53E6F" w:rsidRPr="004A7B59" w:rsidRDefault="00D53E6F" w:rsidP="00E91144">
            <w:pPr>
              <w:autoSpaceDE/>
              <w:autoSpaceDN/>
              <w:adjustRightInd/>
              <w:spacing w:line="240" w:lineRule="auto"/>
              <w:rPr>
                <w:b/>
                <w:bCs/>
                <w:color w:val="000000"/>
                <w:sz w:val="20"/>
                <w:szCs w:val="20"/>
                <w:u w:val="single"/>
              </w:rPr>
            </w:pPr>
            <w:r w:rsidRPr="004A7B59">
              <w:rPr>
                <w:b/>
                <w:bCs/>
                <w:sz w:val="20"/>
                <w:szCs w:val="20"/>
              </w:rPr>
              <w:t>Verbal relief request (industry)</w:t>
            </w:r>
          </w:p>
        </w:tc>
      </w:tr>
      <w:tr w:rsidR="00D53E6F" w14:paraId="07527859" w14:textId="77777777" w:rsidTr="004A7B59">
        <w:trPr>
          <w:trHeight w:val="288"/>
          <w:jc w:val="center"/>
        </w:trPr>
        <w:tc>
          <w:tcPr>
            <w:tcW w:w="3229" w:type="dxa"/>
            <w:vAlign w:val="center"/>
          </w:tcPr>
          <w:p w14:paraId="2F75160C" w14:textId="77777777" w:rsidR="00D53E6F" w:rsidRPr="004A7B59" w:rsidRDefault="00D53E6F" w:rsidP="00E91144">
            <w:pPr>
              <w:spacing w:line="240" w:lineRule="auto"/>
              <w:rPr>
                <w:color w:val="000000"/>
                <w:sz w:val="20"/>
                <w:szCs w:val="20"/>
              </w:rPr>
            </w:pPr>
            <w:r w:rsidRPr="004A7B59">
              <w:rPr>
                <w:color w:val="000000"/>
                <w:sz w:val="20"/>
                <w:szCs w:val="20"/>
              </w:rPr>
              <w:t>Weighted hourly rate for relief request (industry)</w:t>
            </w:r>
          </w:p>
        </w:tc>
        <w:tc>
          <w:tcPr>
            <w:tcW w:w="1318" w:type="dxa"/>
            <w:noWrap/>
            <w:vAlign w:val="center"/>
          </w:tcPr>
          <w:p w14:paraId="39DB8F12" w14:textId="77777777" w:rsidR="00D53E6F" w:rsidRPr="004A7B59" w:rsidRDefault="00D53E6F" w:rsidP="00E91144">
            <w:pPr>
              <w:spacing w:line="240" w:lineRule="auto"/>
              <w:rPr>
                <w:color w:val="auto"/>
                <w:sz w:val="20"/>
                <w:szCs w:val="20"/>
              </w:rPr>
            </w:pPr>
            <w:r w:rsidRPr="004A7B59">
              <w:rPr>
                <w:color w:val="auto"/>
                <w:sz w:val="20"/>
                <w:szCs w:val="20"/>
              </w:rPr>
              <w:t>$114.73</w:t>
            </w:r>
          </w:p>
        </w:tc>
        <w:tc>
          <w:tcPr>
            <w:tcW w:w="1451" w:type="dxa"/>
            <w:noWrap/>
            <w:vAlign w:val="center"/>
          </w:tcPr>
          <w:p w14:paraId="370C6EAC" w14:textId="77777777" w:rsidR="00D53E6F" w:rsidRPr="004A7B59" w:rsidRDefault="00D53E6F" w:rsidP="00E91144">
            <w:pPr>
              <w:spacing w:line="240" w:lineRule="auto"/>
              <w:rPr>
                <w:color w:val="auto"/>
                <w:sz w:val="20"/>
                <w:szCs w:val="20"/>
              </w:rPr>
            </w:pPr>
            <w:r w:rsidRPr="004A7B59">
              <w:rPr>
                <w:color w:val="auto"/>
                <w:sz w:val="20"/>
                <w:szCs w:val="20"/>
              </w:rPr>
              <w:t>PERT</w:t>
            </w:r>
          </w:p>
        </w:tc>
        <w:tc>
          <w:tcPr>
            <w:tcW w:w="1109" w:type="dxa"/>
            <w:noWrap/>
            <w:vAlign w:val="center"/>
          </w:tcPr>
          <w:p w14:paraId="72FE7ABF" w14:textId="77777777" w:rsidR="00D53E6F" w:rsidRPr="004A7B59" w:rsidRDefault="00D53E6F" w:rsidP="00E91144">
            <w:pPr>
              <w:spacing w:line="240" w:lineRule="auto"/>
              <w:rPr>
                <w:color w:val="auto"/>
                <w:sz w:val="20"/>
                <w:szCs w:val="20"/>
              </w:rPr>
            </w:pPr>
            <w:r w:rsidRPr="004A7B59">
              <w:rPr>
                <w:color w:val="auto"/>
                <w:sz w:val="20"/>
                <w:szCs w:val="20"/>
              </w:rPr>
              <w:t>$86.85</w:t>
            </w:r>
          </w:p>
        </w:tc>
        <w:tc>
          <w:tcPr>
            <w:tcW w:w="1109" w:type="dxa"/>
            <w:noWrap/>
            <w:vAlign w:val="center"/>
          </w:tcPr>
          <w:p w14:paraId="27B7EF6B" w14:textId="77777777" w:rsidR="00D53E6F" w:rsidRPr="004A7B59" w:rsidRDefault="00D53E6F" w:rsidP="00E91144">
            <w:pPr>
              <w:spacing w:line="240" w:lineRule="auto"/>
              <w:rPr>
                <w:color w:val="auto"/>
                <w:sz w:val="20"/>
                <w:szCs w:val="20"/>
              </w:rPr>
            </w:pPr>
            <w:r w:rsidRPr="004A7B59">
              <w:rPr>
                <w:color w:val="auto"/>
                <w:sz w:val="20"/>
                <w:szCs w:val="20"/>
              </w:rPr>
              <w:t>$116.27</w:t>
            </w:r>
          </w:p>
        </w:tc>
        <w:tc>
          <w:tcPr>
            <w:tcW w:w="1134" w:type="dxa"/>
            <w:noWrap/>
            <w:vAlign w:val="center"/>
          </w:tcPr>
          <w:p w14:paraId="5668A36D" w14:textId="77777777" w:rsidR="00D53E6F" w:rsidRPr="004A7B59" w:rsidRDefault="00D53E6F" w:rsidP="00E91144">
            <w:pPr>
              <w:spacing w:line="240" w:lineRule="auto"/>
              <w:rPr>
                <w:color w:val="auto"/>
                <w:sz w:val="20"/>
                <w:szCs w:val="20"/>
              </w:rPr>
            </w:pPr>
            <w:r w:rsidRPr="004A7B59">
              <w:rPr>
                <w:color w:val="auto"/>
                <w:sz w:val="20"/>
                <w:szCs w:val="20"/>
              </w:rPr>
              <w:t>$136.43</w:t>
            </w:r>
          </w:p>
        </w:tc>
      </w:tr>
      <w:tr w:rsidR="00D53E6F" w14:paraId="1175C378" w14:textId="77777777" w:rsidTr="004A7B59">
        <w:trPr>
          <w:trHeight w:val="288"/>
          <w:jc w:val="center"/>
        </w:trPr>
        <w:tc>
          <w:tcPr>
            <w:tcW w:w="3229" w:type="dxa"/>
            <w:vAlign w:val="center"/>
          </w:tcPr>
          <w:p w14:paraId="01DFA974" w14:textId="77777777" w:rsidR="00D53E6F" w:rsidRPr="004A7B59" w:rsidRDefault="00D53E6F" w:rsidP="00E91144">
            <w:pPr>
              <w:spacing w:line="240" w:lineRule="auto"/>
              <w:rPr>
                <w:color w:val="000000"/>
                <w:sz w:val="20"/>
                <w:szCs w:val="20"/>
              </w:rPr>
            </w:pPr>
            <w:r w:rsidRPr="004A7B59">
              <w:rPr>
                <w:color w:val="000000"/>
                <w:sz w:val="20"/>
                <w:szCs w:val="20"/>
              </w:rPr>
              <w:t>Hours to produce relief request</w:t>
            </w:r>
          </w:p>
        </w:tc>
        <w:tc>
          <w:tcPr>
            <w:tcW w:w="1318" w:type="dxa"/>
            <w:noWrap/>
            <w:vAlign w:val="center"/>
          </w:tcPr>
          <w:p w14:paraId="7C7486AD" w14:textId="77777777" w:rsidR="00D53E6F" w:rsidRPr="004A7B59" w:rsidRDefault="00D53E6F" w:rsidP="00E91144">
            <w:pPr>
              <w:spacing w:line="240" w:lineRule="auto"/>
              <w:rPr>
                <w:color w:val="auto"/>
                <w:sz w:val="20"/>
                <w:szCs w:val="20"/>
              </w:rPr>
            </w:pPr>
            <w:r w:rsidRPr="004A7B59">
              <w:rPr>
                <w:color w:val="auto"/>
                <w:sz w:val="20"/>
                <w:szCs w:val="20"/>
              </w:rPr>
              <w:t>190.0</w:t>
            </w:r>
          </w:p>
        </w:tc>
        <w:tc>
          <w:tcPr>
            <w:tcW w:w="1451" w:type="dxa"/>
            <w:noWrap/>
            <w:vAlign w:val="center"/>
          </w:tcPr>
          <w:p w14:paraId="1D5F9C41" w14:textId="77777777" w:rsidR="00D53E6F" w:rsidRPr="004A7B59" w:rsidRDefault="00D53E6F" w:rsidP="00E91144">
            <w:pPr>
              <w:spacing w:line="240" w:lineRule="auto"/>
              <w:rPr>
                <w:color w:val="000000"/>
                <w:sz w:val="20"/>
                <w:szCs w:val="20"/>
              </w:rPr>
            </w:pPr>
            <w:r w:rsidRPr="004A7B59">
              <w:rPr>
                <w:color w:val="000000"/>
                <w:sz w:val="20"/>
                <w:szCs w:val="20"/>
              </w:rPr>
              <w:t>PERT</w:t>
            </w:r>
          </w:p>
        </w:tc>
        <w:tc>
          <w:tcPr>
            <w:tcW w:w="1109" w:type="dxa"/>
            <w:noWrap/>
            <w:vAlign w:val="center"/>
          </w:tcPr>
          <w:p w14:paraId="77FA2853" w14:textId="77777777" w:rsidR="00D53E6F" w:rsidRPr="004A7B59" w:rsidRDefault="00D53E6F" w:rsidP="00E91144">
            <w:pPr>
              <w:spacing w:line="240" w:lineRule="auto"/>
              <w:rPr>
                <w:color w:val="000000"/>
                <w:sz w:val="20"/>
                <w:szCs w:val="20"/>
              </w:rPr>
            </w:pPr>
            <w:r w:rsidRPr="004A7B59">
              <w:rPr>
                <w:color w:val="000000"/>
                <w:sz w:val="20"/>
                <w:szCs w:val="20"/>
              </w:rPr>
              <w:t>50</w:t>
            </w:r>
          </w:p>
        </w:tc>
        <w:tc>
          <w:tcPr>
            <w:tcW w:w="1109" w:type="dxa"/>
            <w:noWrap/>
            <w:vAlign w:val="center"/>
          </w:tcPr>
          <w:p w14:paraId="52E9F9A1" w14:textId="77777777" w:rsidR="00D53E6F" w:rsidRPr="004A7B59" w:rsidRDefault="00D53E6F" w:rsidP="00E91144">
            <w:pPr>
              <w:spacing w:line="240" w:lineRule="auto"/>
              <w:rPr>
                <w:color w:val="000000"/>
                <w:sz w:val="20"/>
                <w:szCs w:val="20"/>
              </w:rPr>
            </w:pPr>
            <w:r w:rsidRPr="004A7B59">
              <w:rPr>
                <w:color w:val="000000"/>
                <w:sz w:val="20"/>
                <w:szCs w:val="20"/>
              </w:rPr>
              <w:t>190</w:t>
            </w:r>
          </w:p>
        </w:tc>
        <w:tc>
          <w:tcPr>
            <w:tcW w:w="1134" w:type="dxa"/>
            <w:noWrap/>
            <w:vAlign w:val="center"/>
          </w:tcPr>
          <w:p w14:paraId="751A6A87" w14:textId="77777777" w:rsidR="00D53E6F" w:rsidRPr="004A7B59" w:rsidRDefault="00D53E6F" w:rsidP="00E91144">
            <w:pPr>
              <w:spacing w:line="240" w:lineRule="auto"/>
              <w:rPr>
                <w:color w:val="000000"/>
                <w:sz w:val="20"/>
                <w:szCs w:val="20"/>
              </w:rPr>
            </w:pPr>
            <w:r w:rsidRPr="004A7B59">
              <w:rPr>
                <w:color w:val="000000"/>
                <w:sz w:val="20"/>
                <w:szCs w:val="20"/>
              </w:rPr>
              <w:t>330</w:t>
            </w:r>
          </w:p>
        </w:tc>
      </w:tr>
      <w:tr w:rsidR="00D53E6F" w14:paraId="2DFF643E" w14:textId="77777777" w:rsidTr="004A7B59">
        <w:trPr>
          <w:trHeight w:val="288"/>
          <w:jc w:val="center"/>
        </w:trPr>
        <w:tc>
          <w:tcPr>
            <w:tcW w:w="3229" w:type="dxa"/>
            <w:vAlign w:val="center"/>
          </w:tcPr>
          <w:p w14:paraId="6DD880F9" w14:textId="77777777" w:rsidR="00D53E6F" w:rsidRPr="004A7B59" w:rsidRDefault="00D53E6F" w:rsidP="00E91144">
            <w:pPr>
              <w:spacing w:line="240" w:lineRule="auto"/>
              <w:rPr>
                <w:color w:val="000000"/>
                <w:sz w:val="20"/>
                <w:szCs w:val="20"/>
              </w:rPr>
            </w:pPr>
            <w:r w:rsidRPr="004A7B59">
              <w:rPr>
                <w:color w:val="000000"/>
                <w:sz w:val="20"/>
                <w:szCs w:val="20"/>
              </w:rPr>
              <w:t>Number of relief requests (per ASME Code Case)</w:t>
            </w:r>
          </w:p>
        </w:tc>
        <w:tc>
          <w:tcPr>
            <w:tcW w:w="1318" w:type="dxa"/>
            <w:noWrap/>
            <w:vAlign w:val="center"/>
          </w:tcPr>
          <w:p w14:paraId="25D8BB02" w14:textId="77777777" w:rsidR="00D53E6F" w:rsidRPr="004A7B59" w:rsidRDefault="00D53E6F" w:rsidP="00E91144">
            <w:pPr>
              <w:spacing w:line="240" w:lineRule="auto"/>
              <w:rPr>
                <w:color w:val="auto"/>
                <w:sz w:val="20"/>
                <w:szCs w:val="20"/>
              </w:rPr>
            </w:pPr>
            <w:r w:rsidRPr="004A7B59">
              <w:rPr>
                <w:color w:val="auto"/>
                <w:sz w:val="20"/>
                <w:szCs w:val="20"/>
              </w:rPr>
              <w:t>1</w:t>
            </w:r>
          </w:p>
        </w:tc>
        <w:tc>
          <w:tcPr>
            <w:tcW w:w="1451" w:type="dxa"/>
            <w:noWrap/>
            <w:vAlign w:val="center"/>
          </w:tcPr>
          <w:p w14:paraId="068AFA98" w14:textId="77777777" w:rsidR="00D53E6F" w:rsidRPr="004A7B59" w:rsidRDefault="00D53E6F" w:rsidP="00E91144">
            <w:pPr>
              <w:spacing w:line="240" w:lineRule="auto"/>
              <w:rPr>
                <w:color w:val="000000"/>
                <w:sz w:val="20"/>
                <w:szCs w:val="20"/>
              </w:rPr>
            </w:pPr>
            <w:r w:rsidRPr="004A7B59">
              <w:rPr>
                <w:color w:val="000000"/>
                <w:sz w:val="20"/>
                <w:szCs w:val="20"/>
              </w:rPr>
              <w:t>PERT</w:t>
            </w:r>
          </w:p>
        </w:tc>
        <w:tc>
          <w:tcPr>
            <w:tcW w:w="1109" w:type="dxa"/>
            <w:noWrap/>
            <w:vAlign w:val="center"/>
          </w:tcPr>
          <w:p w14:paraId="1CBC5BE8" w14:textId="77777777" w:rsidR="00D53E6F" w:rsidRPr="004A7B59" w:rsidRDefault="00D53E6F" w:rsidP="00E91144">
            <w:pPr>
              <w:spacing w:line="240" w:lineRule="auto"/>
              <w:rPr>
                <w:color w:val="000000"/>
                <w:sz w:val="20"/>
                <w:szCs w:val="20"/>
              </w:rPr>
            </w:pPr>
            <w:r w:rsidRPr="004A7B59">
              <w:rPr>
                <w:color w:val="000000"/>
                <w:sz w:val="20"/>
                <w:szCs w:val="20"/>
              </w:rPr>
              <w:t>1</w:t>
            </w:r>
          </w:p>
        </w:tc>
        <w:tc>
          <w:tcPr>
            <w:tcW w:w="1109" w:type="dxa"/>
            <w:noWrap/>
            <w:vAlign w:val="center"/>
          </w:tcPr>
          <w:p w14:paraId="011EA016" w14:textId="77777777" w:rsidR="00D53E6F" w:rsidRPr="004A7B59" w:rsidRDefault="00D53E6F" w:rsidP="00E91144">
            <w:pPr>
              <w:spacing w:line="240" w:lineRule="auto"/>
              <w:rPr>
                <w:color w:val="000000"/>
                <w:sz w:val="20"/>
                <w:szCs w:val="20"/>
              </w:rPr>
            </w:pPr>
            <w:r w:rsidRPr="004A7B59">
              <w:rPr>
                <w:color w:val="000000"/>
                <w:sz w:val="20"/>
                <w:szCs w:val="20"/>
              </w:rPr>
              <w:t>1</w:t>
            </w:r>
          </w:p>
        </w:tc>
        <w:tc>
          <w:tcPr>
            <w:tcW w:w="1134" w:type="dxa"/>
            <w:noWrap/>
            <w:vAlign w:val="center"/>
          </w:tcPr>
          <w:p w14:paraId="0EF02671" w14:textId="77777777" w:rsidR="00D53E6F" w:rsidRPr="004A7B59" w:rsidRDefault="00D53E6F" w:rsidP="00E91144">
            <w:pPr>
              <w:spacing w:line="240" w:lineRule="auto"/>
              <w:rPr>
                <w:color w:val="000000"/>
                <w:sz w:val="20"/>
                <w:szCs w:val="20"/>
              </w:rPr>
            </w:pPr>
            <w:r w:rsidRPr="004A7B59">
              <w:rPr>
                <w:color w:val="000000"/>
                <w:sz w:val="20"/>
                <w:szCs w:val="20"/>
              </w:rPr>
              <w:t>1</w:t>
            </w:r>
          </w:p>
        </w:tc>
      </w:tr>
      <w:tr w:rsidR="00D53E6F" w:rsidRPr="006B4621" w14:paraId="7DCDF7F2" w14:textId="77777777" w:rsidTr="004A7B59">
        <w:trPr>
          <w:trHeight w:val="350"/>
          <w:jc w:val="center"/>
        </w:trPr>
        <w:tc>
          <w:tcPr>
            <w:tcW w:w="9350" w:type="dxa"/>
            <w:gridSpan w:val="6"/>
            <w:vAlign w:val="center"/>
          </w:tcPr>
          <w:p w14:paraId="39B55D6D" w14:textId="77777777" w:rsidR="00D53E6F" w:rsidRPr="004A7B59" w:rsidRDefault="00D53E6F" w:rsidP="00E91144">
            <w:pPr>
              <w:keepNext/>
              <w:autoSpaceDE/>
              <w:autoSpaceDN/>
              <w:adjustRightInd/>
              <w:spacing w:line="240" w:lineRule="auto"/>
              <w:rPr>
                <w:b/>
                <w:bCs/>
                <w:color w:val="000000"/>
                <w:sz w:val="20"/>
                <w:szCs w:val="20"/>
                <w:u w:val="single"/>
              </w:rPr>
            </w:pPr>
            <w:r w:rsidRPr="004A7B59">
              <w:rPr>
                <w:b/>
                <w:bCs/>
                <w:sz w:val="20"/>
                <w:szCs w:val="20"/>
              </w:rPr>
              <w:t>Verbal relief request (NRC)</w:t>
            </w:r>
          </w:p>
        </w:tc>
      </w:tr>
      <w:tr w:rsidR="00D53E6F" w14:paraId="108F80A2" w14:textId="77777777" w:rsidTr="004A7B59">
        <w:trPr>
          <w:trHeight w:val="288"/>
          <w:jc w:val="center"/>
        </w:trPr>
        <w:tc>
          <w:tcPr>
            <w:tcW w:w="3229" w:type="dxa"/>
            <w:vAlign w:val="center"/>
          </w:tcPr>
          <w:p w14:paraId="61AE033C" w14:textId="77777777" w:rsidR="00D53E6F" w:rsidRPr="004A7B59" w:rsidRDefault="00D53E6F" w:rsidP="00E91144">
            <w:pPr>
              <w:spacing w:line="240" w:lineRule="auto"/>
              <w:rPr>
                <w:color w:val="000000"/>
                <w:sz w:val="20"/>
                <w:szCs w:val="20"/>
              </w:rPr>
            </w:pPr>
            <w:r w:rsidRPr="004A7B59">
              <w:rPr>
                <w:color w:val="000000"/>
                <w:sz w:val="20"/>
                <w:szCs w:val="20"/>
              </w:rPr>
              <w:t>Weighted hourly rate (NRC)</w:t>
            </w:r>
          </w:p>
        </w:tc>
        <w:tc>
          <w:tcPr>
            <w:tcW w:w="1318" w:type="dxa"/>
            <w:noWrap/>
            <w:vAlign w:val="center"/>
          </w:tcPr>
          <w:p w14:paraId="6BBF0C9B" w14:textId="77777777" w:rsidR="00D53E6F" w:rsidRPr="004A7B59" w:rsidRDefault="00D53E6F" w:rsidP="00E91144">
            <w:pPr>
              <w:spacing w:line="240" w:lineRule="auto"/>
              <w:rPr>
                <w:color w:val="auto"/>
                <w:sz w:val="20"/>
                <w:szCs w:val="20"/>
              </w:rPr>
            </w:pPr>
            <w:r w:rsidRPr="004A7B59">
              <w:rPr>
                <w:color w:val="auto"/>
                <w:sz w:val="20"/>
                <w:szCs w:val="20"/>
              </w:rPr>
              <w:t>$129</w:t>
            </w:r>
          </w:p>
        </w:tc>
        <w:tc>
          <w:tcPr>
            <w:tcW w:w="1451" w:type="dxa"/>
            <w:noWrap/>
            <w:vAlign w:val="center"/>
          </w:tcPr>
          <w:p w14:paraId="1B538129" w14:textId="77777777" w:rsidR="00D53E6F" w:rsidRPr="004A7B59" w:rsidRDefault="00D53E6F" w:rsidP="00E91144">
            <w:pPr>
              <w:spacing w:line="240" w:lineRule="auto"/>
              <w:rPr>
                <w:color w:val="000000"/>
                <w:sz w:val="20"/>
                <w:szCs w:val="20"/>
              </w:rPr>
            </w:pPr>
            <w:r w:rsidRPr="004A7B59">
              <w:rPr>
                <w:color w:val="000000"/>
                <w:sz w:val="20"/>
                <w:szCs w:val="20"/>
              </w:rPr>
              <w:t>PERT</w:t>
            </w:r>
          </w:p>
        </w:tc>
        <w:tc>
          <w:tcPr>
            <w:tcW w:w="1109" w:type="dxa"/>
            <w:noWrap/>
            <w:vAlign w:val="center"/>
          </w:tcPr>
          <w:p w14:paraId="6D8EB644" w14:textId="77777777" w:rsidR="00D53E6F" w:rsidRPr="004A7B59" w:rsidRDefault="00D53E6F" w:rsidP="00E91144">
            <w:pPr>
              <w:spacing w:line="240" w:lineRule="auto"/>
              <w:rPr>
                <w:color w:val="000000"/>
                <w:sz w:val="20"/>
                <w:szCs w:val="20"/>
              </w:rPr>
            </w:pPr>
            <w:r w:rsidRPr="004A7B59">
              <w:rPr>
                <w:color w:val="000000"/>
                <w:sz w:val="20"/>
                <w:szCs w:val="20"/>
              </w:rPr>
              <w:t>$129</w:t>
            </w:r>
          </w:p>
        </w:tc>
        <w:tc>
          <w:tcPr>
            <w:tcW w:w="1109" w:type="dxa"/>
            <w:noWrap/>
            <w:vAlign w:val="center"/>
          </w:tcPr>
          <w:p w14:paraId="16F34DA2" w14:textId="77777777" w:rsidR="00D53E6F" w:rsidRPr="004A7B59" w:rsidRDefault="00D53E6F" w:rsidP="00E91144">
            <w:pPr>
              <w:spacing w:line="240" w:lineRule="auto"/>
              <w:rPr>
                <w:color w:val="000000"/>
                <w:sz w:val="20"/>
                <w:szCs w:val="20"/>
              </w:rPr>
            </w:pPr>
            <w:r w:rsidRPr="004A7B59">
              <w:rPr>
                <w:color w:val="000000"/>
                <w:sz w:val="20"/>
                <w:szCs w:val="20"/>
              </w:rPr>
              <w:t>$129</w:t>
            </w:r>
          </w:p>
        </w:tc>
        <w:tc>
          <w:tcPr>
            <w:tcW w:w="1134" w:type="dxa"/>
            <w:noWrap/>
            <w:vAlign w:val="center"/>
          </w:tcPr>
          <w:p w14:paraId="0EF60E4E" w14:textId="77777777" w:rsidR="00D53E6F" w:rsidRPr="004A7B59" w:rsidRDefault="00D53E6F" w:rsidP="00E91144">
            <w:pPr>
              <w:spacing w:line="240" w:lineRule="auto"/>
              <w:rPr>
                <w:color w:val="000000"/>
                <w:sz w:val="20"/>
                <w:szCs w:val="20"/>
              </w:rPr>
            </w:pPr>
            <w:r w:rsidRPr="004A7B59">
              <w:rPr>
                <w:color w:val="000000"/>
                <w:sz w:val="20"/>
                <w:szCs w:val="20"/>
              </w:rPr>
              <w:t>$129</w:t>
            </w:r>
          </w:p>
        </w:tc>
      </w:tr>
      <w:tr w:rsidR="00D53E6F" w14:paraId="62DED378" w14:textId="77777777" w:rsidTr="004A7B59">
        <w:trPr>
          <w:trHeight w:val="288"/>
          <w:jc w:val="center"/>
        </w:trPr>
        <w:tc>
          <w:tcPr>
            <w:tcW w:w="3229" w:type="dxa"/>
            <w:vAlign w:val="center"/>
          </w:tcPr>
          <w:p w14:paraId="6C468677" w14:textId="77777777" w:rsidR="00D53E6F" w:rsidRPr="004A7B59" w:rsidRDefault="00D53E6F" w:rsidP="00E91144">
            <w:pPr>
              <w:spacing w:line="240" w:lineRule="auto"/>
              <w:rPr>
                <w:color w:val="000000"/>
                <w:sz w:val="20"/>
                <w:szCs w:val="20"/>
              </w:rPr>
            </w:pPr>
            <w:r w:rsidRPr="004A7B59">
              <w:rPr>
                <w:color w:val="000000"/>
                <w:sz w:val="20"/>
                <w:szCs w:val="20"/>
              </w:rPr>
              <w:t>Hours to approve relief request</w:t>
            </w:r>
          </w:p>
        </w:tc>
        <w:tc>
          <w:tcPr>
            <w:tcW w:w="1318" w:type="dxa"/>
            <w:noWrap/>
            <w:vAlign w:val="center"/>
          </w:tcPr>
          <w:p w14:paraId="68A1653C" w14:textId="77777777" w:rsidR="00D53E6F" w:rsidRPr="004A7B59" w:rsidRDefault="00D53E6F" w:rsidP="00E91144">
            <w:pPr>
              <w:spacing w:line="240" w:lineRule="auto"/>
              <w:rPr>
                <w:color w:val="auto"/>
                <w:sz w:val="20"/>
                <w:szCs w:val="20"/>
              </w:rPr>
            </w:pPr>
            <w:r w:rsidRPr="004A7B59">
              <w:rPr>
                <w:color w:val="auto"/>
                <w:sz w:val="20"/>
                <w:szCs w:val="20"/>
              </w:rPr>
              <w:t>190.0</w:t>
            </w:r>
          </w:p>
        </w:tc>
        <w:tc>
          <w:tcPr>
            <w:tcW w:w="1451" w:type="dxa"/>
            <w:noWrap/>
            <w:vAlign w:val="center"/>
          </w:tcPr>
          <w:p w14:paraId="12B59F1E" w14:textId="77777777" w:rsidR="00D53E6F" w:rsidRPr="004A7B59" w:rsidRDefault="00D53E6F" w:rsidP="00E91144">
            <w:pPr>
              <w:spacing w:line="240" w:lineRule="auto"/>
              <w:rPr>
                <w:color w:val="000000"/>
                <w:sz w:val="20"/>
                <w:szCs w:val="20"/>
              </w:rPr>
            </w:pPr>
            <w:r w:rsidRPr="004A7B59">
              <w:rPr>
                <w:color w:val="000000"/>
                <w:sz w:val="20"/>
                <w:szCs w:val="20"/>
              </w:rPr>
              <w:t>PERT</w:t>
            </w:r>
          </w:p>
        </w:tc>
        <w:tc>
          <w:tcPr>
            <w:tcW w:w="1109" w:type="dxa"/>
            <w:noWrap/>
            <w:vAlign w:val="center"/>
          </w:tcPr>
          <w:p w14:paraId="5CA60016" w14:textId="77777777" w:rsidR="00D53E6F" w:rsidRPr="004A7B59" w:rsidRDefault="00D53E6F" w:rsidP="00E91144">
            <w:pPr>
              <w:spacing w:line="240" w:lineRule="auto"/>
              <w:rPr>
                <w:color w:val="000000"/>
                <w:sz w:val="20"/>
                <w:szCs w:val="20"/>
              </w:rPr>
            </w:pPr>
            <w:r w:rsidRPr="004A7B59">
              <w:rPr>
                <w:color w:val="000000"/>
                <w:sz w:val="20"/>
                <w:szCs w:val="20"/>
              </w:rPr>
              <w:t>50</w:t>
            </w:r>
          </w:p>
        </w:tc>
        <w:tc>
          <w:tcPr>
            <w:tcW w:w="1109" w:type="dxa"/>
            <w:noWrap/>
            <w:vAlign w:val="center"/>
          </w:tcPr>
          <w:p w14:paraId="675E430D" w14:textId="77777777" w:rsidR="00D53E6F" w:rsidRPr="004A7B59" w:rsidRDefault="00D53E6F" w:rsidP="00E91144">
            <w:pPr>
              <w:spacing w:line="240" w:lineRule="auto"/>
              <w:rPr>
                <w:color w:val="000000"/>
                <w:sz w:val="20"/>
                <w:szCs w:val="20"/>
              </w:rPr>
            </w:pPr>
            <w:r w:rsidRPr="004A7B59">
              <w:rPr>
                <w:color w:val="000000"/>
                <w:sz w:val="20"/>
                <w:szCs w:val="20"/>
              </w:rPr>
              <w:t>190</w:t>
            </w:r>
          </w:p>
        </w:tc>
        <w:tc>
          <w:tcPr>
            <w:tcW w:w="1134" w:type="dxa"/>
            <w:noWrap/>
            <w:vAlign w:val="center"/>
          </w:tcPr>
          <w:p w14:paraId="263F3B9E" w14:textId="77777777" w:rsidR="00D53E6F" w:rsidRPr="004A7B59" w:rsidRDefault="00D53E6F" w:rsidP="00E91144">
            <w:pPr>
              <w:spacing w:line="240" w:lineRule="auto"/>
              <w:rPr>
                <w:color w:val="000000"/>
                <w:sz w:val="20"/>
                <w:szCs w:val="20"/>
              </w:rPr>
            </w:pPr>
            <w:r w:rsidRPr="004A7B59">
              <w:rPr>
                <w:color w:val="000000"/>
                <w:sz w:val="20"/>
                <w:szCs w:val="20"/>
              </w:rPr>
              <w:t>330</w:t>
            </w:r>
          </w:p>
        </w:tc>
      </w:tr>
      <w:tr w:rsidR="00D53E6F" w14:paraId="1B4DC718" w14:textId="77777777" w:rsidTr="004A7B59">
        <w:trPr>
          <w:trHeight w:val="288"/>
          <w:jc w:val="center"/>
        </w:trPr>
        <w:tc>
          <w:tcPr>
            <w:tcW w:w="3229" w:type="dxa"/>
            <w:vAlign w:val="center"/>
          </w:tcPr>
          <w:p w14:paraId="19638FD8" w14:textId="77777777" w:rsidR="00D53E6F" w:rsidRPr="004A7B59" w:rsidRDefault="00D53E6F" w:rsidP="00E91144">
            <w:pPr>
              <w:spacing w:line="240" w:lineRule="auto"/>
              <w:rPr>
                <w:color w:val="000000"/>
                <w:sz w:val="20"/>
                <w:szCs w:val="20"/>
              </w:rPr>
            </w:pPr>
            <w:r w:rsidRPr="004A7B59">
              <w:rPr>
                <w:color w:val="000000"/>
                <w:sz w:val="20"/>
                <w:szCs w:val="20"/>
              </w:rPr>
              <w:t>Number of relief requests (per Code Case)</w:t>
            </w:r>
          </w:p>
        </w:tc>
        <w:tc>
          <w:tcPr>
            <w:tcW w:w="1318" w:type="dxa"/>
            <w:noWrap/>
            <w:vAlign w:val="center"/>
          </w:tcPr>
          <w:p w14:paraId="1B91FE81" w14:textId="77777777" w:rsidR="00D53E6F" w:rsidRPr="004A7B59" w:rsidRDefault="00D53E6F" w:rsidP="00E91144">
            <w:pPr>
              <w:spacing w:line="240" w:lineRule="auto"/>
              <w:rPr>
                <w:color w:val="auto"/>
                <w:sz w:val="20"/>
                <w:szCs w:val="20"/>
              </w:rPr>
            </w:pPr>
            <w:r w:rsidRPr="004A7B59">
              <w:rPr>
                <w:color w:val="auto"/>
                <w:sz w:val="20"/>
                <w:szCs w:val="20"/>
              </w:rPr>
              <w:t>1</w:t>
            </w:r>
          </w:p>
        </w:tc>
        <w:tc>
          <w:tcPr>
            <w:tcW w:w="1451" w:type="dxa"/>
            <w:noWrap/>
            <w:vAlign w:val="center"/>
          </w:tcPr>
          <w:p w14:paraId="4ADD54B5" w14:textId="77777777" w:rsidR="00D53E6F" w:rsidRPr="004A7B59" w:rsidRDefault="00D53E6F" w:rsidP="00E91144">
            <w:pPr>
              <w:spacing w:line="240" w:lineRule="auto"/>
              <w:rPr>
                <w:color w:val="000000"/>
                <w:sz w:val="20"/>
                <w:szCs w:val="20"/>
              </w:rPr>
            </w:pPr>
            <w:r w:rsidRPr="004A7B59">
              <w:rPr>
                <w:color w:val="000000"/>
                <w:sz w:val="20"/>
                <w:szCs w:val="20"/>
              </w:rPr>
              <w:t>PERT</w:t>
            </w:r>
          </w:p>
        </w:tc>
        <w:tc>
          <w:tcPr>
            <w:tcW w:w="1109" w:type="dxa"/>
            <w:noWrap/>
            <w:vAlign w:val="center"/>
          </w:tcPr>
          <w:p w14:paraId="28078649" w14:textId="77777777" w:rsidR="00D53E6F" w:rsidRPr="004A7B59" w:rsidRDefault="00D53E6F" w:rsidP="00E91144">
            <w:pPr>
              <w:spacing w:line="240" w:lineRule="auto"/>
              <w:rPr>
                <w:color w:val="000000"/>
                <w:sz w:val="20"/>
                <w:szCs w:val="20"/>
              </w:rPr>
            </w:pPr>
            <w:r w:rsidRPr="004A7B59">
              <w:rPr>
                <w:color w:val="000000"/>
                <w:sz w:val="20"/>
                <w:szCs w:val="20"/>
              </w:rPr>
              <w:t>1</w:t>
            </w:r>
          </w:p>
        </w:tc>
        <w:tc>
          <w:tcPr>
            <w:tcW w:w="1109" w:type="dxa"/>
            <w:noWrap/>
            <w:vAlign w:val="center"/>
          </w:tcPr>
          <w:p w14:paraId="43B772E4" w14:textId="77777777" w:rsidR="00D53E6F" w:rsidRPr="004A7B59" w:rsidRDefault="00D53E6F" w:rsidP="00E91144">
            <w:pPr>
              <w:spacing w:line="240" w:lineRule="auto"/>
              <w:rPr>
                <w:color w:val="000000"/>
                <w:sz w:val="20"/>
                <w:szCs w:val="20"/>
              </w:rPr>
            </w:pPr>
            <w:r w:rsidRPr="004A7B59">
              <w:rPr>
                <w:color w:val="000000"/>
                <w:sz w:val="20"/>
                <w:szCs w:val="20"/>
              </w:rPr>
              <w:t>1</w:t>
            </w:r>
          </w:p>
        </w:tc>
        <w:tc>
          <w:tcPr>
            <w:tcW w:w="1134" w:type="dxa"/>
            <w:noWrap/>
            <w:vAlign w:val="center"/>
          </w:tcPr>
          <w:p w14:paraId="6FBF5C88" w14:textId="77777777" w:rsidR="00D53E6F" w:rsidRPr="004A7B59" w:rsidRDefault="00D53E6F" w:rsidP="00E91144">
            <w:pPr>
              <w:spacing w:line="240" w:lineRule="auto"/>
              <w:rPr>
                <w:color w:val="000000"/>
                <w:sz w:val="20"/>
                <w:szCs w:val="20"/>
              </w:rPr>
            </w:pPr>
            <w:r w:rsidRPr="004A7B59">
              <w:rPr>
                <w:color w:val="000000"/>
                <w:sz w:val="20"/>
                <w:szCs w:val="20"/>
              </w:rPr>
              <w:t>1</w:t>
            </w:r>
          </w:p>
        </w:tc>
      </w:tr>
      <w:tr w:rsidR="00D53E6F" w:rsidRPr="006B4621" w14:paraId="302D2BDF" w14:textId="77777777" w:rsidTr="004A7B59">
        <w:trPr>
          <w:trHeight w:val="374"/>
          <w:jc w:val="center"/>
        </w:trPr>
        <w:tc>
          <w:tcPr>
            <w:tcW w:w="9350" w:type="dxa"/>
            <w:gridSpan w:val="6"/>
            <w:vAlign w:val="center"/>
          </w:tcPr>
          <w:p w14:paraId="11DB9699" w14:textId="77777777" w:rsidR="00D53E6F" w:rsidRPr="004A7B59" w:rsidRDefault="00D53E6F" w:rsidP="00E91144">
            <w:pPr>
              <w:spacing w:line="240" w:lineRule="auto"/>
              <w:rPr>
                <w:b/>
                <w:bCs/>
                <w:color w:val="auto"/>
                <w:sz w:val="20"/>
                <w:szCs w:val="20"/>
              </w:rPr>
            </w:pPr>
            <w:r w:rsidRPr="004A7B59">
              <w:rPr>
                <w:b/>
                <w:bCs/>
                <w:color w:val="auto"/>
                <w:sz w:val="20"/>
                <w:szCs w:val="20"/>
                <w:u w:val="single"/>
              </w:rPr>
              <w:t>ASME Code Case N-766-1 Inlay and Onlay Repair</w:t>
            </w:r>
          </w:p>
        </w:tc>
      </w:tr>
      <w:tr w:rsidR="00D53E6F" w:rsidRPr="006B4621" w14:paraId="1969BDF5" w14:textId="77777777" w:rsidTr="004A7B59">
        <w:trPr>
          <w:trHeight w:val="374"/>
          <w:jc w:val="center"/>
        </w:trPr>
        <w:tc>
          <w:tcPr>
            <w:tcW w:w="9350" w:type="dxa"/>
            <w:gridSpan w:val="6"/>
            <w:vAlign w:val="center"/>
            <w:hideMark/>
          </w:tcPr>
          <w:p w14:paraId="4FF8DE01" w14:textId="77777777" w:rsidR="00D53E6F" w:rsidRPr="004A7B59" w:rsidRDefault="00D53E6F" w:rsidP="00E91144">
            <w:pPr>
              <w:spacing w:line="240" w:lineRule="auto"/>
              <w:rPr>
                <w:b/>
                <w:bCs/>
                <w:color w:val="auto"/>
                <w:sz w:val="20"/>
                <w:szCs w:val="20"/>
                <w:highlight w:val="yellow"/>
              </w:rPr>
            </w:pPr>
            <w:r w:rsidRPr="004A7B59">
              <w:rPr>
                <w:b/>
                <w:bCs/>
                <w:color w:val="auto"/>
                <w:sz w:val="20"/>
                <w:szCs w:val="20"/>
              </w:rPr>
              <w:t>Condition that prevents the use of the ASME Code Case in certain situations (industry)</w:t>
            </w:r>
          </w:p>
        </w:tc>
      </w:tr>
      <w:tr w:rsidR="00D53E6F" w:rsidRPr="006B4621" w14:paraId="6A4DFC4B" w14:textId="77777777" w:rsidTr="004A7B59">
        <w:trPr>
          <w:trHeight w:val="251"/>
          <w:jc w:val="center"/>
        </w:trPr>
        <w:tc>
          <w:tcPr>
            <w:tcW w:w="3229" w:type="dxa"/>
            <w:vAlign w:val="center"/>
          </w:tcPr>
          <w:p w14:paraId="08A92192" w14:textId="77777777" w:rsidR="00D53E6F" w:rsidRPr="004A7B59" w:rsidRDefault="00D53E6F" w:rsidP="00E91144">
            <w:pPr>
              <w:spacing w:line="240" w:lineRule="auto"/>
              <w:rPr>
                <w:sz w:val="20"/>
                <w:szCs w:val="20"/>
                <w:highlight w:val="yellow"/>
              </w:rPr>
            </w:pPr>
            <w:r w:rsidRPr="004A7B59">
              <w:rPr>
                <w:color w:val="000000"/>
                <w:sz w:val="20"/>
                <w:szCs w:val="20"/>
              </w:rPr>
              <w:t>Weighted hourly rate for relief request (industry)</w:t>
            </w:r>
          </w:p>
        </w:tc>
        <w:tc>
          <w:tcPr>
            <w:tcW w:w="1318" w:type="dxa"/>
            <w:noWrap/>
            <w:vAlign w:val="center"/>
          </w:tcPr>
          <w:p w14:paraId="5B798F0A"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$114.73</w:t>
            </w:r>
          </w:p>
        </w:tc>
        <w:tc>
          <w:tcPr>
            <w:tcW w:w="1451" w:type="dxa"/>
            <w:noWrap/>
            <w:vAlign w:val="center"/>
          </w:tcPr>
          <w:p w14:paraId="61716AE4"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PERT</w:t>
            </w:r>
          </w:p>
        </w:tc>
        <w:tc>
          <w:tcPr>
            <w:tcW w:w="1109" w:type="dxa"/>
            <w:noWrap/>
            <w:vAlign w:val="center"/>
          </w:tcPr>
          <w:p w14:paraId="571E9B1F"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$86.85</w:t>
            </w:r>
          </w:p>
        </w:tc>
        <w:tc>
          <w:tcPr>
            <w:tcW w:w="1109" w:type="dxa"/>
            <w:noWrap/>
            <w:vAlign w:val="center"/>
          </w:tcPr>
          <w:p w14:paraId="4C31DC7D"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$116.27</w:t>
            </w:r>
          </w:p>
        </w:tc>
        <w:tc>
          <w:tcPr>
            <w:tcW w:w="1134" w:type="dxa"/>
            <w:noWrap/>
            <w:vAlign w:val="center"/>
          </w:tcPr>
          <w:p w14:paraId="2FE4744A"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$136.43</w:t>
            </w:r>
          </w:p>
        </w:tc>
      </w:tr>
      <w:tr w:rsidR="00D53E6F" w:rsidRPr="006B4621" w14:paraId="008D2C8B" w14:textId="77777777" w:rsidTr="004A7B59">
        <w:trPr>
          <w:trHeight w:val="251"/>
          <w:jc w:val="center"/>
        </w:trPr>
        <w:tc>
          <w:tcPr>
            <w:tcW w:w="3229" w:type="dxa"/>
            <w:vAlign w:val="center"/>
            <w:hideMark/>
          </w:tcPr>
          <w:p w14:paraId="4CD4B90A" w14:textId="77777777" w:rsidR="00D53E6F" w:rsidRPr="004A7B59" w:rsidRDefault="00D53E6F" w:rsidP="00E91144">
            <w:pPr>
              <w:spacing w:line="240" w:lineRule="auto"/>
              <w:rPr>
                <w:sz w:val="20"/>
                <w:szCs w:val="20"/>
                <w:highlight w:val="yellow"/>
              </w:rPr>
            </w:pPr>
            <w:r w:rsidRPr="004A7B59">
              <w:rPr>
                <w:color w:val="000000"/>
                <w:sz w:val="20"/>
                <w:szCs w:val="20"/>
              </w:rPr>
              <w:t>Hours to produce ASME Code Case N-766-1 relief request</w:t>
            </w:r>
          </w:p>
        </w:tc>
        <w:tc>
          <w:tcPr>
            <w:tcW w:w="1318" w:type="dxa"/>
            <w:noWrap/>
            <w:vAlign w:val="center"/>
            <w:hideMark/>
          </w:tcPr>
          <w:p w14:paraId="17CB8EC6"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380.0</w:t>
            </w:r>
          </w:p>
        </w:tc>
        <w:tc>
          <w:tcPr>
            <w:tcW w:w="1451" w:type="dxa"/>
            <w:noWrap/>
            <w:vAlign w:val="center"/>
            <w:hideMark/>
          </w:tcPr>
          <w:p w14:paraId="7731091C"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PERT</w:t>
            </w:r>
          </w:p>
        </w:tc>
        <w:tc>
          <w:tcPr>
            <w:tcW w:w="1109" w:type="dxa"/>
            <w:noWrap/>
            <w:vAlign w:val="center"/>
            <w:hideMark/>
          </w:tcPr>
          <w:p w14:paraId="2F376671" w14:textId="77777777" w:rsidR="00D53E6F" w:rsidRPr="004A7B59" w:rsidRDefault="00D53E6F" w:rsidP="004A7B59">
            <w:pPr>
              <w:spacing w:line="240" w:lineRule="auto"/>
              <w:jc w:val="center"/>
              <w:rPr>
                <w:sz w:val="20"/>
                <w:szCs w:val="20"/>
                <w:highlight w:val="yellow"/>
              </w:rPr>
            </w:pPr>
            <w:r w:rsidRPr="004A7B59">
              <w:rPr>
                <w:color w:val="000000"/>
                <w:sz w:val="20"/>
                <w:szCs w:val="20"/>
              </w:rPr>
              <w:t>100</w:t>
            </w:r>
          </w:p>
        </w:tc>
        <w:tc>
          <w:tcPr>
            <w:tcW w:w="1109" w:type="dxa"/>
            <w:noWrap/>
            <w:vAlign w:val="center"/>
            <w:hideMark/>
          </w:tcPr>
          <w:p w14:paraId="7B61CCD9" w14:textId="77777777" w:rsidR="00D53E6F" w:rsidRPr="004A7B59" w:rsidRDefault="00D53E6F" w:rsidP="004A7B59">
            <w:pPr>
              <w:spacing w:line="240" w:lineRule="auto"/>
              <w:jc w:val="center"/>
              <w:rPr>
                <w:sz w:val="20"/>
                <w:szCs w:val="20"/>
                <w:highlight w:val="yellow"/>
              </w:rPr>
            </w:pPr>
            <w:r w:rsidRPr="004A7B59">
              <w:rPr>
                <w:color w:val="000000"/>
                <w:sz w:val="20"/>
                <w:szCs w:val="20"/>
              </w:rPr>
              <w:t>380</w:t>
            </w:r>
          </w:p>
        </w:tc>
        <w:tc>
          <w:tcPr>
            <w:tcW w:w="1134" w:type="dxa"/>
            <w:noWrap/>
            <w:vAlign w:val="center"/>
            <w:hideMark/>
          </w:tcPr>
          <w:p w14:paraId="71FC8BD4" w14:textId="77777777" w:rsidR="00D53E6F" w:rsidRPr="004A7B59" w:rsidRDefault="00D53E6F" w:rsidP="004A7B59">
            <w:pPr>
              <w:spacing w:line="240" w:lineRule="auto"/>
              <w:jc w:val="center"/>
              <w:rPr>
                <w:sz w:val="20"/>
                <w:szCs w:val="20"/>
                <w:highlight w:val="yellow"/>
              </w:rPr>
            </w:pPr>
            <w:r w:rsidRPr="004A7B59">
              <w:rPr>
                <w:color w:val="000000"/>
                <w:sz w:val="20"/>
                <w:szCs w:val="20"/>
              </w:rPr>
              <w:t>660</w:t>
            </w:r>
          </w:p>
        </w:tc>
      </w:tr>
      <w:tr w:rsidR="00D53E6F" w:rsidRPr="006B4621" w14:paraId="504F1C35" w14:textId="77777777" w:rsidTr="004A7B59">
        <w:trPr>
          <w:trHeight w:val="251"/>
          <w:jc w:val="center"/>
        </w:trPr>
        <w:tc>
          <w:tcPr>
            <w:tcW w:w="3229" w:type="dxa"/>
            <w:vAlign w:val="center"/>
            <w:hideMark/>
          </w:tcPr>
          <w:p w14:paraId="42F292F5" w14:textId="77777777" w:rsidR="00D53E6F" w:rsidRPr="004A7B59" w:rsidRDefault="00D53E6F" w:rsidP="00E91144">
            <w:pPr>
              <w:spacing w:line="240" w:lineRule="auto"/>
              <w:rPr>
                <w:sz w:val="20"/>
                <w:szCs w:val="20"/>
                <w:highlight w:val="yellow"/>
              </w:rPr>
            </w:pPr>
            <w:r w:rsidRPr="004A7B59">
              <w:rPr>
                <w:color w:val="000000"/>
                <w:sz w:val="20"/>
                <w:szCs w:val="20"/>
              </w:rPr>
              <w:t>Number of ASME Code Case N</w:t>
            </w:r>
            <w:r w:rsidRPr="004A7B59">
              <w:rPr>
                <w:color w:val="000000"/>
                <w:sz w:val="20"/>
                <w:szCs w:val="20"/>
              </w:rPr>
              <w:noBreakHyphen/>
              <w:t>766</w:t>
            </w:r>
            <w:r w:rsidRPr="004A7B59">
              <w:rPr>
                <w:color w:val="000000"/>
                <w:sz w:val="20"/>
                <w:szCs w:val="20"/>
              </w:rPr>
              <w:noBreakHyphen/>
              <w:t>1 relief requests produced per year</w:t>
            </w:r>
          </w:p>
        </w:tc>
        <w:tc>
          <w:tcPr>
            <w:tcW w:w="1318" w:type="dxa"/>
            <w:noWrap/>
            <w:vAlign w:val="center"/>
            <w:hideMark/>
          </w:tcPr>
          <w:p w14:paraId="6EFC9F43"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1.0</w:t>
            </w:r>
          </w:p>
        </w:tc>
        <w:tc>
          <w:tcPr>
            <w:tcW w:w="1451" w:type="dxa"/>
            <w:noWrap/>
            <w:vAlign w:val="center"/>
            <w:hideMark/>
          </w:tcPr>
          <w:p w14:paraId="6C76C5F9"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PERT</w:t>
            </w:r>
          </w:p>
        </w:tc>
        <w:tc>
          <w:tcPr>
            <w:tcW w:w="1109" w:type="dxa"/>
            <w:noWrap/>
            <w:vAlign w:val="center"/>
            <w:hideMark/>
          </w:tcPr>
          <w:p w14:paraId="2395CC62" w14:textId="77777777" w:rsidR="00D53E6F" w:rsidRPr="004A7B59" w:rsidRDefault="00D53E6F" w:rsidP="004A7B59">
            <w:pPr>
              <w:spacing w:line="240" w:lineRule="auto"/>
              <w:jc w:val="center"/>
              <w:rPr>
                <w:sz w:val="20"/>
                <w:szCs w:val="20"/>
                <w:highlight w:val="yellow"/>
              </w:rPr>
            </w:pPr>
            <w:r w:rsidRPr="004A7B59">
              <w:rPr>
                <w:color w:val="000000"/>
                <w:sz w:val="20"/>
                <w:szCs w:val="20"/>
              </w:rPr>
              <w:t>0</w:t>
            </w:r>
          </w:p>
        </w:tc>
        <w:tc>
          <w:tcPr>
            <w:tcW w:w="1109" w:type="dxa"/>
            <w:noWrap/>
            <w:vAlign w:val="center"/>
            <w:hideMark/>
          </w:tcPr>
          <w:p w14:paraId="44CE86DF" w14:textId="77777777" w:rsidR="00D53E6F" w:rsidRPr="004A7B59" w:rsidRDefault="00D53E6F" w:rsidP="004A7B59">
            <w:pPr>
              <w:spacing w:line="240" w:lineRule="auto"/>
              <w:jc w:val="center"/>
              <w:rPr>
                <w:sz w:val="20"/>
                <w:szCs w:val="20"/>
                <w:highlight w:val="yellow"/>
              </w:rPr>
            </w:pPr>
            <w:r w:rsidRPr="004A7B59">
              <w:rPr>
                <w:color w:val="000000"/>
                <w:sz w:val="20"/>
                <w:szCs w:val="20"/>
              </w:rPr>
              <w:t>1</w:t>
            </w:r>
          </w:p>
        </w:tc>
        <w:tc>
          <w:tcPr>
            <w:tcW w:w="1134" w:type="dxa"/>
            <w:noWrap/>
            <w:vAlign w:val="center"/>
            <w:hideMark/>
          </w:tcPr>
          <w:p w14:paraId="4218E67D" w14:textId="77777777" w:rsidR="00D53E6F" w:rsidRPr="004A7B59" w:rsidRDefault="00D53E6F" w:rsidP="004A7B59">
            <w:pPr>
              <w:spacing w:line="240" w:lineRule="auto"/>
              <w:jc w:val="center"/>
              <w:rPr>
                <w:sz w:val="20"/>
                <w:szCs w:val="20"/>
                <w:highlight w:val="yellow"/>
              </w:rPr>
            </w:pPr>
            <w:r w:rsidRPr="004A7B59">
              <w:rPr>
                <w:color w:val="000000"/>
                <w:sz w:val="20"/>
                <w:szCs w:val="20"/>
              </w:rPr>
              <w:t>2</w:t>
            </w:r>
          </w:p>
        </w:tc>
      </w:tr>
      <w:tr w:rsidR="00D53E6F" w:rsidRPr="006B4621" w14:paraId="5FE29866" w14:textId="77777777" w:rsidTr="004A7B59">
        <w:trPr>
          <w:trHeight w:val="374"/>
          <w:jc w:val="center"/>
        </w:trPr>
        <w:tc>
          <w:tcPr>
            <w:tcW w:w="9350" w:type="dxa"/>
            <w:gridSpan w:val="6"/>
            <w:vAlign w:val="center"/>
          </w:tcPr>
          <w:p w14:paraId="05F9EC15" w14:textId="77777777" w:rsidR="00D53E6F" w:rsidRPr="004A7B59" w:rsidRDefault="00D53E6F" w:rsidP="00E91144">
            <w:pPr>
              <w:spacing w:line="240" w:lineRule="auto"/>
              <w:rPr>
                <w:color w:val="auto"/>
                <w:sz w:val="20"/>
                <w:szCs w:val="20"/>
              </w:rPr>
            </w:pPr>
            <w:r w:rsidRPr="004A7B59">
              <w:rPr>
                <w:b/>
                <w:bCs/>
                <w:color w:val="auto"/>
                <w:sz w:val="20"/>
                <w:szCs w:val="20"/>
              </w:rPr>
              <w:t>Condition that prevents the use of the ASME Code Case in certain situations (NRC)</w:t>
            </w:r>
          </w:p>
        </w:tc>
      </w:tr>
      <w:tr w:rsidR="00D53E6F" w:rsidRPr="006B4621" w14:paraId="5904BFFF" w14:textId="77777777" w:rsidTr="004A7B59">
        <w:trPr>
          <w:trHeight w:val="260"/>
          <w:jc w:val="center"/>
        </w:trPr>
        <w:tc>
          <w:tcPr>
            <w:tcW w:w="3229" w:type="dxa"/>
            <w:vAlign w:val="center"/>
          </w:tcPr>
          <w:p w14:paraId="12FD78CB" w14:textId="77777777" w:rsidR="00D53E6F" w:rsidRPr="004A7B59" w:rsidRDefault="00D53E6F" w:rsidP="00E91144">
            <w:pPr>
              <w:spacing w:line="240" w:lineRule="auto"/>
              <w:rPr>
                <w:color w:val="000000"/>
                <w:sz w:val="20"/>
                <w:szCs w:val="20"/>
              </w:rPr>
            </w:pPr>
            <w:r w:rsidRPr="004A7B59">
              <w:rPr>
                <w:color w:val="000000"/>
                <w:sz w:val="20"/>
                <w:szCs w:val="20"/>
              </w:rPr>
              <w:t>Weighted hourly rate (NRC)</w:t>
            </w:r>
          </w:p>
        </w:tc>
        <w:tc>
          <w:tcPr>
            <w:tcW w:w="1318" w:type="dxa"/>
            <w:noWrap/>
            <w:vAlign w:val="center"/>
          </w:tcPr>
          <w:p w14:paraId="210FC144" w14:textId="77777777" w:rsidR="00D53E6F" w:rsidRPr="004A7B59" w:rsidRDefault="00D53E6F" w:rsidP="004A7B59">
            <w:pPr>
              <w:spacing w:line="240" w:lineRule="auto"/>
              <w:jc w:val="center"/>
              <w:rPr>
                <w:color w:val="auto"/>
                <w:sz w:val="20"/>
                <w:szCs w:val="20"/>
              </w:rPr>
            </w:pPr>
            <w:r w:rsidRPr="004A7B59">
              <w:rPr>
                <w:color w:val="auto"/>
                <w:sz w:val="20"/>
                <w:szCs w:val="20"/>
              </w:rPr>
              <w:t>$129</w:t>
            </w:r>
          </w:p>
        </w:tc>
        <w:tc>
          <w:tcPr>
            <w:tcW w:w="1451" w:type="dxa"/>
            <w:noWrap/>
            <w:vAlign w:val="center"/>
          </w:tcPr>
          <w:p w14:paraId="7476060C" w14:textId="77777777" w:rsidR="00D53E6F" w:rsidRPr="004A7B59" w:rsidRDefault="00D53E6F" w:rsidP="004A7B59">
            <w:pPr>
              <w:spacing w:line="240" w:lineRule="auto"/>
              <w:jc w:val="center"/>
              <w:rPr>
                <w:color w:val="auto"/>
                <w:sz w:val="20"/>
                <w:szCs w:val="20"/>
              </w:rPr>
            </w:pPr>
            <w:r w:rsidRPr="004A7B59">
              <w:rPr>
                <w:color w:val="000000"/>
                <w:sz w:val="20"/>
                <w:szCs w:val="20"/>
              </w:rPr>
              <w:t>PERT</w:t>
            </w:r>
          </w:p>
        </w:tc>
        <w:tc>
          <w:tcPr>
            <w:tcW w:w="1109" w:type="dxa"/>
            <w:noWrap/>
            <w:vAlign w:val="center"/>
          </w:tcPr>
          <w:p w14:paraId="6ED2EAF9" w14:textId="77777777" w:rsidR="00D53E6F" w:rsidRPr="004A7B59" w:rsidRDefault="00D53E6F" w:rsidP="004A7B59">
            <w:pPr>
              <w:spacing w:line="240" w:lineRule="auto"/>
              <w:jc w:val="center"/>
              <w:rPr>
                <w:color w:val="000000"/>
                <w:sz w:val="20"/>
                <w:szCs w:val="20"/>
              </w:rPr>
            </w:pPr>
            <w:r w:rsidRPr="004A7B59">
              <w:rPr>
                <w:color w:val="000000"/>
                <w:sz w:val="20"/>
                <w:szCs w:val="20"/>
              </w:rPr>
              <w:t>$129</w:t>
            </w:r>
          </w:p>
        </w:tc>
        <w:tc>
          <w:tcPr>
            <w:tcW w:w="1109" w:type="dxa"/>
            <w:noWrap/>
            <w:vAlign w:val="center"/>
          </w:tcPr>
          <w:p w14:paraId="2C8D52F6" w14:textId="77777777" w:rsidR="00D53E6F" w:rsidRPr="004A7B59" w:rsidRDefault="00D53E6F" w:rsidP="004A7B59">
            <w:pPr>
              <w:spacing w:line="240" w:lineRule="auto"/>
              <w:jc w:val="center"/>
              <w:rPr>
                <w:color w:val="000000"/>
                <w:sz w:val="20"/>
                <w:szCs w:val="20"/>
              </w:rPr>
            </w:pPr>
            <w:r w:rsidRPr="004A7B59">
              <w:rPr>
                <w:color w:val="000000"/>
                <w:sz w:val="20"/>
                <w:szCs w:val="20"/>
              </w:rPr>
              <w:t>$129</w:t>
            </w:r>
          </w:p>
        </w:tc>
        <w:tc>
          <w:tcPr>
            <w:tcW w:w="1134" w:type="dxa"/>
            <w:noWrap/>
            <w:vAlign w:val="center"/>
          </w:tcPr>
          <w:p w14:paraId="44B46EA0" w14:textId="77777777" w:rsidR="00D53E6F" w:rsidRPr="004A7B59" w:rsidRDefault="00D53E6F" w:rsidP="004A7B59">
            <w:pPr>
              <w:spacing w:line="240" w:lineRule="auto"/>
              <w:jc w:val="center"/>
              <w:rPr>
                <w:color w:val="000000"/>
                <w:sz w:val="20"/>
                <w:szCs w:val="20"/>
              </w:rPr>
            </w:pPr>
            <w:r w:rsidRPr="004A7B59">
              <w:rPr>
                <w:color w:val="000000"/>
                <w:sz w:val="20"/>
                <w:szCs w:val="20"/>
              </w:rPr>
              <w:t>$129</w:t>
            </w:r>
          </w:p>
        </w:tc>
      </w:tr>
      <w:tr w:rsidR="00D53E6F" w:rsidRPr="006B4621" w14:paraId="304F7119" w14:textId="77777777" w:rsidTr="004A7B59">
        <w:trPr>
          <w:trHeight w:val="260"/>
          <w:jc w:val="center"/>
        </w:trPr>
        <w:tc>
          <w:tcPr>
            <w:tcW w:w="3229" w:type="dxa"/>
            <w:vAlign w:val="center"/>
          </w:tcPr>
          <w:p w14:paraId="26468B9B" w14:textId="77777777" w:rsidR="00D53E6F" w:rsidRPr="004A7B59" w:rsidRDefault="00D53E6F" w:rsidP="00E91144">
            <w:pPr>
              <w:spacing w:line="240" w:lineRule="auto"/>
              <w:rPr>
                <w:sz w:val="20"/>
                <w:szCs w:val="20"/>
                <w:highlight w:val="yellow"/>
              </w:rPr>
            </w:pPr>
            <w:r w:rsidRPr="004A7B59">
              <w:rPr>
                <w:color w:val="000000"/>
                <w:sz w:val="20"/>
                <w:szCs w:val="20"/>
              </w:rPr>
              <w:t>Hours to approve relief request</w:t>
            </w:r>
          </w:p>
        </w:tc>
        <w:tc>
          <w:tcPr>
            <w:tcW w:w="1318" w:type="dxa"/>
            <w:noWrap/>
            <w:vAlign w:val="center"/>
          </w:tcPr>
          <w:p w14:paraId="7B667759"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143.3</w:t>
            </w:r>
          </w:p>
        </w:tc>
        <w:tc>
          <w:tcPr>
            <w:tcW w:w="1451" w:type="dxa"/>
            <w:noWrap/>
            <w:vAlign w:val="center"/>
          </w:tcPr>
          <w:p w14:paraId="24FD7A75"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PERT</w:t>
            </w:r>
          </w:p>
        </w:tc>
        <w:tc>
          <w:tcPr>
            <w:tcW w:w="1109" w:type="dxa"/>
            <w:noWrap/>
            <w:vAlign w:val="center"/>
          </w:tcPr>
          <w:p w14:paraId="2B4FAE5A" w14:textId="77777777" w:rsidR="00D53E6F" w:rsidRPr="004A7B59" w:rsidRDefault="00D53E6F" w:rsidP="004A7B59">
            <w:pPr>
              <w:spacing w:line="240" w:lineRule="auto"/>
              <w:jc w:val="center"/>
              <w:rPr>
                <w:sz w:val="20"/>
                <w:szCs w:val="20"/>
                <w:highlight w:val="yellow"/>
              </w:rPr>
            </w:pPr>
            <w:r w:rsidRPr="004A7B59">
              <w:rPr>
                <w:color w:val="000000"/>
                <w:sz w:val="20"/>
                <w:szCs w:val="20"/>
              </w:rPr>
              <w:t>120</w:t>
            </w:r>
          </w:p>
        </w:tc>
        <w:tc>
          <w:tcPr>
            <w:tcW w:w="1109" w:type="dxa"/>
            <w:noWrap/>
            <w:vAlign w:val="center"/>
          </w:tcPr>
          <w:p w14:paraId="2AE06FFD" w14:textId="77777777" w:rsidR="00D53E6F" w:rsidRPr="004A7B59" w:rsidRDefault="00D53E6F" w:rsidP="004A7B59">
            <w:pPr>
              <w:spacing w:line="240" w:lineRule="auto"/>
              <w:jc w:val="center"/>
              <w:rPr>
                <w:sz w:val="20"/>
                <w:szCs w:val="20"/>
                <w:highlight w:val="yellow"/>
              </w:rPr>
            </w:pPr>
            <w:r w:rsidRPr="004A7B59">
              <w:rPr>
                <w:color w:val="000000"/>
                <w:sz w:val="20"/>
                <w:szCs w:val="20"/>
              </w:rPr>
              <w:t>140</w:t>
            </w:r>
          </w:p>
        </w:tc>
        <w:tc>
          <w:tcPr>
            <w:tcW w:w="1134" w:type="dxa"/>
            <w:noWrap/>
            <w:vAlign w:val="center"/>
          </w:tcPr>
          <w:p w14:paraId="7F3506B6" w14:textId="77777777" w:rsidR="00D53E6F" w:rsidRPr="004A7B59" w:rsidRDefault="00D53E6F" w:rsidP="004A7B59">
            <w:pPr>
              <w:spacing w:line="240" w:lineRule="auto"/>
              <w:jc w:val="center"/>
              <w:rPr>
                <w:sz w:val="20"/>
                <w:szCs w:val="20"/>
                <w:highlight w:val="yellow"/>
              </w:rPr>
            </w:pPr>
            <w:r w:rsidRPr="004A7B59">
              <w:rPr>
                <w:color w:val="000000"/>
                <w:sz w:val="20"/>
                <w:szCs w:val="20"/>
              </w:rPr>
              <w:t>180</w:t>
            </w:r>
          </w:p>
        </w:tc>
      </w:tr>
      <w:tr w:rsidR="00D53E6F" w:rsidRPr="006B4621" w14:paraId="11F9A92E" w14:textId="77777777" w:rsidTr="004A7B59">
        <w:trPr>
          <w:trHeight w:val="260"/>
          <w:jc w:val="center"/>
        </w:trPr>
        <w:tc>
          <w:tcPr>
            <w:tcW w:w="3229" w:type="dxa"/>
            <w:vAlign w:val="center"/>
            <w:hideMark/>
          </w:tcPr>
          <w:p w14:paraId="72B2A505" w14:textId="77777777" w:rsidR="00D53E6F" w:rsidRPr="004A7B59" w:rsidRDefault="00D53E6F" w:rsidP="00E91144">
            <w:pPr>
              <w:spacing w:line="240" w:lineRule="auto"/>
              <w:rPr>
                <w:sz w:val="20"/>
                <w:szCs w:val="20"/>
                <w:highlight w:val="yellow"/>
              </w:rPr>
            </w:pPr>
            <w:r w:rsidRPr="004A7B59">
              <w:rPr>
                <w:color w:val="000000"/>
                <w:sz w:val="20"/>
                <w:szCs w:val="20"/>
              </w:rPr>
              <w:t>Number of ASME Code Case N</w:t>
            </w:r>
            <w:r w:rsidRPr="004A7B59">
              <w:rPr>
                <w:color w:val="000000"/>
                <w:sz w:val="20"/>
                <w:szCs w:val="20"/>
              </w:rPr>
              <w:noBreakHyphen/>
              <w:t>766</w:t>
            </w:r>
            <w:r w:rsidRPr="004A7B59">
              <w:rPr>
                <w:color w:val="000000"/>
                <w:sz w:val="20"/>
                <w:szCs w:val="20"/>
              </w:rPr>
              <w:noBreakHyphen/>
              <w:t>1 relief requests approved per year</w:t>
            </w:r>
          </w:p>
        </w:tc>
        <w:tc>
          <w:tcPr>
            <w:tcW w:w="1318" w:type="dxa"/>
            <w:noWrap/>
            <w:vAlign w:val="center"/>
            <w:hideMark/>
          </w:tcPr>
          <w:p w14:paraId="4A71A1F5"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1.0</w:t>
            </w:r>
          </w:p>
        </w:tc>
        <w:tc>
          <w:tcPr>
            <w:tcW w:w="1451" w:type="dxa"/>
            <w:noWrap/>
            <w:vAlign w:val="center"/>
            <w:hideMark/>
          </w:tcPr>
          <w:p w14:paraId="045F18A3"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PERT</w:t>
            </w:r>
          </w:p>
        </w:tc>
        <w:tc>
          <w:tcPr>
            <w:tcW w:w="1109" w:type="dxa"/>
            <w:noWrap/>
            <w:vAlign w:val="center"/>
            <w:hideMark/>
          </w:tcPr>
          <w:p w14:paraId="4F40D684" w14:textId="77777777" w:rsidR="00D53E6F" w:rsidRPr="004A7B59" w:rsidRDefault="00D53E6F" w:rsidP="004A7B59">
            <w:pPr>
              <w:spacing w:line="240" w:lineRule="auto"/>
              <w:jc w:val="center"/>
              <w:rPr>
                <w:sz w:val="20"/>
                <w:szCs w:val="20"/>
                <w:highlight w:val="yellow"/>
              </w:rPr>
            </w:pPr>
            <w:r w:rsidRPr="004A7B59">
              <w:rPr>
                <w:color w:val="000000"/>
                <w:sz w:val="20"/>
                <w:szCs w:val="20"/>
              </w:rPr>
              <w:t>0</w:t>
            </w:r>
          </w:p>
        </w:tc>
        <w:tc>
          <w:tcPr>
            <w:tcW w:w="1109" w:type="dxa"/>
            <w:noWrap/>
            <w:vAlign w:val="center"/>
            <w:hideMark/>
          </w:tcPr>
          <w:p w14:paraId="057273BA" w14:textId="77777777" w:rsidR="00D53E6F" w:rsidRPr="004A7B59" w:rsidRDefault="00D53E6F" w:rsidP="004A7B59">
            <w:pPr>
              <w:spacing w:line="240" w:lineRule="auto"/>
              <w:jc w:val="center"/>
              <w:rPr>
                <w:sz w:val="20"/>
                <w:szCs w:val="20"/>
                <w:highlight w:val="yellow"/>
              </w:rPr>
            </w:pPr>
            <w:r w:rsidRPr="004A7B59">
              <w:rPr>
                <w:color w:val="000000"/>
                <w:sz w:val="20"/>
                <w:szCs w:val="20"/>
              </w:rPr>
              <w:t>1</w:t>
            </w:r>
          </w:p>
        </w:tc>
        <w:tc>
          <w:tcPr>
            <w:tcW w:w="1134" w:type="dxa"/>
            <w:noWrap/>
            <w:vAlign w:val="center"/>
            <w:hideMark/>
          </w:tcPr>
          <w:p w14:paraId="12CE5E05" w14:textId="77777777" w:rsidR="00D53E6F" w:rsidRPr="004A7B59" w:rsidRDefault="00D53E6F" w:rsidP="004A7B59">
            <w:pPr>
              <w:spacing w:line="240" w:lineRule="auto"/>
              <w:jc w:val="center"/>
              <w:rPr>
                <w:sz w:val="20"/>
                <w:szCs w:val="20"/>
                <w:highlight w:val="yellow"/>
              </w:rPr>
            </w:pPr>
            <w:r w:rsidRPr="004A7B59">
              <w:rPr>
                <w:color w:val="000000"/>
                <w:sz w:val="20"/>
                <w:szCs w:val="20"/>
              </w:rPr>
              <w:t>2</w:t>
            </w:r>
          </w:p>
        </w:tc>
      </w:tr>
      <w:tr w:rsidR="00D53E6F" w:rsidRPr="006B4621" w14:paraId="613EF894" w14:textId="77777777" w:rsidTr="004A7B59">
        <w:trPr>
          <w:trHeight w:val="374"/>
          <w:jc w:val="center"/>
        </w:trPr>
        <w:tc>
          <w:tcPr>
            <w:tcW w:w="9350" w:type="dxa"/>
            <w:gridSpan w:val="6"/>
            <w:vAlign w:val="center"/>
          </w:tcPr>
          <w:p w14:paraId="31DC0881" w14:textId="77777777" w:rsidR="00D53E6F" w:rsidRPr="004A7B59" w:rsidRDefault="00D53E6F" w:rsidP="00E91144">
            <w:pPr>
              <w:keepNext/>
              <w:keepLines/>
              <w:spacing w:line="240" w:lineRule="auto"/>
              <w:rPr>
                <w:b/>
                <w:bCs/>
                <w:color w:val="auto"/>
                <w:sz w:val="20"/>
                <w:szCs w:val="20"/>
              </w:rPr>
            </w:pPr>
            <w:r w:rsidRPr="004A7B59">
              <w:rPr>
                <w:b/>
                <w:bCs/>
                <w:color w:val="auto"/>
                <w:sz w:val="20"/>
                <w:szCs w:val="20"/>
                <w:u w:val="single"/>
              </w:rPr>
              <w:t>ASME Code Case N-838 Flaw Tolerance Evaluation of CASS</w:t>
            </w:r>
          </w:p>
        </w:tc>
      </w:tr>
      <w:tr w:rsidR="00D53E6F" w:rsidRPr="006B4621" w14:paraId="0DD9FC29" w14:textId="77777777" w:rsidTr="004A7B59">
        <w:trPr>
          <w:trHeight w:val="374"/>
          <w:jc w:val="center"/>
        </w:trPr>
        <w:tc>
          <w:tcPr>
            <w:tcW w:w="9350" w:type="dxa"/>
            <w:gridSpan w:val="6"/>
            <w:vAlign w:val="center"/>
          </w:tcPr>
          <w:p w14:paraId="47D33D0D" w14:textId="77777777" w:rsidR="00D53E6F" w:rsidRPr="004A7B59" w:rsidRDefault="00D53E6F" w:rsidP="00E91144">
            <w:pPr>
              <w:keepNext/>
              <w:keepLines/>
              <w:spacing w:line="240" w:lineRule="auto"/>
              <w:rPr>
                <w:color w:val="auto"/>
                <w:sz w:val="20"/>
                <w:szCs w:val="20"/>
              </w:rPr>
            </w:pPr>
            <w:r w:rsidRPr="004A7B59">
              <w:rPr>
                <w:b/>
                <w:bCs/>
                <w:color w:val="auto"/>
                <w:sz w:val="20"/>
                <w:szCs w:val="20"/>
              </w:rPr>
              <w:t>Condition that prevents the use of the ASME Code Case in certain situations (industry)</w:t>
            </w:r>
          </w:p>
        </w:tc>
      </w:tr>
      <w:tr w:rsidR="00D53E6F" w:rsidRPr="006B4621" w14:paraId="6B9D0AD1" w14:textId="77777777" w:rsidTr="004A7B59">
        <w:trPr>
          <w:trHeight w:val="260"/>
          <w:jc w:val="center"/>
        </w:trPr>
        <w:tc>
          <w:tcPr>
            <w:tcW w:w="3229" w:type="dxa"/>
            <w:vAlign w:val="center"/>
          </w:tcPr>
          <w:p w14:paraId="7EAB5B9A" w14:textId="77777777" w:rsidR="00D53E6F" w:rsidRPr="004A7B59" w:rsidRDefault="00D53E6F" w:rsidP="00E91144">
            <w:pPr>
              <w:keepNext/>
              <w:keepLines/>
              <w:spacing w:line="240" w:lineRule="auto"/>
              <w:rPr>
                <w:color w:val="000000"/>
                <w:sz w:val="20"/>
                <w:szCs w:val="20"/>
              </w:rPr>
            </w:pPr>
            <w:r w:rsidRPr="004A7B59">
              <w:rPr>
                <w:color w:val="000000"/>
                <w:sz w:val="20"/>
                <w:szCs w:val="20"/>
              </w:rPr>
              <w:t>Weighted hourly rate for relief request (industry)</w:t>
            </w:r>
          </w:p>
        </w:tc>
        <w:tc>
          <w:tcPr>
            <w:tcW w:w="1318" w:type="dxa"/>
            <w:noWrap/>
            <w:vAlign w:val="center"/>
          </w:tcPr>
          <w:p w14:paraId="0EE61151" w14:textId="08AB36F0" w:rsidR="00D53E6F" w:rsidRPr="004A7B59" w:rsidRDefault="00D53E6F" w:rsidP="004A7B59">
            <w:pPr>
              <w:keepNext/>
              <w:keepLines/>
              <w:spacing w:line="240" w:lineRule="auto"/>
              <w:jc w:val="center"/>
              <w:rPr>
                <w:color w:val="auto"/>
                <w:sz w:val="20"/>
                <w:szCs w:val="20"/>
              </w:rPr>
            </w:pPr>
            <w:r w:rsidRPr="004A7B59">
              <w:rPr>
                <w:color w:val="auto"/>
                <w:sz w:val="20"/>
                <w:szCs w:val="20"/>
              </w:rPr>
              <w:t>$11</w:t>
            </w:r>
            <w:r w:rsidR="0059577D">
              <w:rPr>
                <w:color w:val="auto"/>
                <w:sz w:val="20"/>
                <w:szCs w:val="20"/>
              </w:rPr>
              <w:t>5</w:t>
            </w:r>
          </w:p>
        </w:tc>
        <w:tc>
          <w:tcPr>
            <w:tcW w:w="1451" w:type="dxa"/>
            <w:noWrap/>
            <w:vAlign w:val="center"/>
          </w:tcPr>
          <w:p w14:paraId="2B331955" w14:textId="77777777" w:rsidR="00D53E6F" w:rsidRPr="004A7B59" w:rsidRDefault="00D53E6F" w:rsidP="004A7B59">
            <w:pPr>
              <w:keepNext/>
              <w:keepLines/>
              <w:spacing w:line="240" w:lineRule="auto"/>
              <w:jc w:val="center"/>
              <w:rPr>
                <w:color w:val="auto"/>
                <w:sz w:val="20"/>
                <w:szCs w:val="20"/>
              </w:rPr>
            </w:pPr>
            <w:r w:rsidRPr="004A7B59">
              <w:rPr>
                <w:color w:val="auto"/>
                <w:sz w:val="20"/>
                <w:szCs w:val="20"/>
              </w:rPr>
              <w:t>PERT</w:t>
            </w:r>
          </w:p>
        </w:tc>
        <w:tc>
          <w:tcPr>
            <w:tcW w:w="1109" w:type="dxa"/>
            <w:noWrap/>
            <w:vAlign w:val="center"/>
          </w:tcPr>
          <w:p w14:paraId="625FA19A" w14:textId="77777777" w:rsidR="00D53E6F" w:rsidRPr="004A7B59" w:rsidRDefault="00D53E6F" w:rsidP="004A7B59">
            <w:pPr>
              <w:spacing w:line="240" w:lineRule="auto"/>
              <w:jc w:val="center"/>
              <w:rPr>
                <w:color w:val="000000"/>
                <w:sz w:val="20"/>
                <w:szCs w:val="20"/>
              </w:rPr>
            </w:pPr>
            <w:r w:rsidRPr="004A7B59">
              <w:rPr>
                <w:color w:val="auto"/>
                <w:sz w:val="20"/>
                <w:szCs w:val="20"/>
              </w:rPr>
              <w:t>$86.85</w:t>
            </w:r>
          </w:p>
        </w:tc>
        <w:tc>
          <w:tcPr>
            <w:tcW w:w="1109" w:type="dxa"/>
            <w:noWrap/>
            <w:vAlign w:val="center"/>
          </w:tcPr>
          <w:p w14:paraId="09C774FA" w14:textId="77777777" w:rsidR="00D53E6F" w:rsidRPr="004A7B59" w:rsidRDefault="00D53E6F" w:rsidP="004A7B59">
            <w:pPr>
              <w:spacing w:line="240" w:lineRule="auto"/>
              <w:jc w:val="center"/>
              <w:rPr>
                <w:color w:val="000000"/>
                <w:sz w:val="20"/>
                <w:szCs w:val="20"/>
              </w:rPr>
            </w:pPr>
            <w:r w:rsidRPr="004A7B59">
              <w:rPr>
                <w:color w:val="auto"/>
                <w:sz w:val="20"/>
                <w:szCs w:val="20"/>
              </w:rPr>
              <w:t>$116.27</w:t>
            </w:r>
          </w:p>
        </w:tc>
        <w:tc>
          <w:tcPr>
            <w:tcW w:w="1134" w:type="dxa"/>
            <w:noWrap/>
            <w:vAlign w:val="center"/>
          </w:tcPr>
          <w:p w14:paraId="43DF611A" w14:textId="77777777" w:rsidR="00D53E6F" w:rsidRPr="004A7B59" w:rsidRDefault="00D53E6F" w:rsidP="004A7B59">
            <w:pPr>
              <w:spacing w:line="240" w:lineRule="auto"/>
              <w:jc w:val="center"/>
              <w:rPr>
                <w:color w:val="000000"/>
                <w:sz w:val="20"/>
                <w:szCs w:val="20"/>
              </w:rPr>
            </w:pPr>
            <w:r w:rsidRPr="004A7B59">
              <w:rPr>
                <w:color w:val="auto"/>
                <w:sz w:val="20"/>
                <w:szCs w:val="20"/>
              </w:rPr>
              <w:t>$136.43</w:t>
            </w:r>
          </w:p>
        </w:tc>
      </w:tr>
      <w:tr w:rsidR="00D53E6F" w:rsidRPr="006B4621" w14:paraId="3D2359D2" w14:textId="77777777" w:rsidTr="004A7B59">
        <w:trPr>
          <w:trHeight w:val="260"/>
          <w:jc w:val="center"/>
        </w:trPr>
        <w:tc>
          <w:tcPr>
            <w:tcW w:w="3229" w:type="dxa"/>
            <w:vAlign w:val="center"/>
          </w:tcPr>
          <w:p w14:paraId="02B4F51B" w14:textId="77777777" w:rsidR="00D53E6F" w:rsidRPr="004A7B59" w:rsidRDefault="00D53E6F" w:rsidP="00E91144">
            <w:pPr>
              <w:spacing w:line="240" w:lineRule="auto"/>
              <w:rPr>
                <w:color w:val="000000"/>
                <w:sz w:val="20"/>
                <w:szCs w:val="20"/>
              </w:rPr>
            </w:pPr>
            <w:r w:rsidRPr="004A7B59">
              <w:rPr>
                <w:color w:val="000000"/>
                <w:sz w:val="20"/>
                <w:szCs w:val="20"/>
              </w:rPr>
              <w:t>Hours to produce ASME Code Case N-838 relief request</w:t>
            </w:r>
          </w:p>
        </w:tc>
        <w:tc>
          <w:tcPr>
            <w:tcW w:w="1318" w:type="dxa"/>
            <w:noWrap/>
            <w:vAlign w:val="center"/>
          </w:tcPr>
          <w:p w14:paraId="732BC5FA" w14:textId="3D29AE13" w:rsidR="00D53E6F" w:rsidRPr="004A7B59" w:rsidRDefault="00D53E6F" w:rsidP="004A7B59">
            <w:pPr>
              <w:spacing w:line="240" w:lineRule="auto"/>
              <w:jc w:val="center"/>
              <w:rPr>
                <w:color w:val="auto"/>
                <w:sz w:val="20"/>
                <w:szCs w:val="20"/>
              </w:rPr>
            </w:pPr>
            <w:r w:rsidRPr="004A7B59">
              <w:rPr>
                <w:color w:val="auto"/>
                <w:sz w:val="20"/>
                <w:szCs w:val="20"/>
              </w:rPr>
              <w:t>380</w:t>
            </w:r>
          </w:p>
        </w:tc>
        <w:tc>
          <w:tcPr>
            <w:tcW w:w="1451" w:type="dxa"/>
            <w:noWrap/>
            <w:vAlign w:val="center"/>
          </w:tcPr>
          <w:p w14:paraId="7156F85D" w14:textId="77777777" w:rsidR="00D53E6F" w:rsidRPr="004A7B59" w:rsidRDefault="00D53E6F" w:rsidP="004A7B59">
            <w:pPr>
              <w:spacing w:line="240" w:lineRule="auto"/>
              <w:jc w:val="center"/>
              <w:rPr>
                <w:color w:val="auto"/>
                <w:sz w:val="20"/>
                <w:szCs w:val="20"/>
              </w:rPr>
            </w:pPr>
            <w:r w:rsidRPr="004A7B59">
              <w:rPr>
                <w:color w:val="000000"/>
                <w:sz w:val="20"/>
                <w:szCs w:val="20"/>
              </w:rPr>
              <w:t>PERT</w:t>
            </w:r>
          </w:p>
        </w:tc>
        <w:tc>
          <w:tcPr>
            <w:tcW w:w="1109" w:type="dxa"/>
            <w:noWrap/>
            <w:vAlign w:val="center"/>
          </w:tcPr>
          <w:p w14:paraId="3082F1F6" w14:textId="77777777" w:rsidR="00D53E6F" w:rsidRPr="004A7B59" w:rsidRDefault="00D53E6F" w:rsidP="004A7B59">
            <w:pPr>
              <w:spacing w:line="240" w:lineRule="auto"/>
              <w:jc w:val="center"/>
              <w:rPr>
                <w:color w:val="000000"/>
                <w:sz w:val="20"/>
                <w:szCs w:val="20"/>
              </w:rPr>
            </w:pPr>
            <w:r w:rsidRPr="004A7B59">
              <w:rPr>
                <w:color w:val="000000"/>
                <w:sz w:val="20"/>
                <w:szCs w:val="20"/>
              </w:rPr>
              <w:t>100</w:t>
            </w:r>
          </w:p>
        </w:tc>
        <w:tc>
          <w:tcPr>
            <w:tcW w:w="1109" w:type="dxa"/>
            <w:noWrap/>
            <w:vAlign w:val="center"/>
          </w:tcPr>
          <w:p w14:paraId="2A892CAE" w14:textId="77777777" w:rsidR="00D53E6F" w:rsidRPr="004A7B59" w:rsidRDefault="00D53E6F" w:rsidP="004A7B59">
            <w:pPr>
              <w:spacing w:line="240" w:lineRule="auto"/>
              <w:jc w:val="center"/>
              <w:rPr>
                <w:color w:val="000000"/>
                <w:sz w:val="20"/>
                <w:szCs w:val="20"/>
              </w:rPr>
            </w:pPr>
            <w:r w:rsidRPr="004A7B59">
              <w:rPr>
                <w:color w:val="000000"/>
                <w:sz w:val="20"/>
                <w:szCs w:val="20"/>
              </w:rPr>
              <w:t>380</w:t>
            </w:r>
          </w:p>
        </w:tc>
        <w:tc>
          <w:tcPr>
            <w:tcW w:w="1134" w:type="dxa"/>
            <w:noWrap/>
            <w:vAlign w:val="center"/>
          </w:tcPr>
          <w:p w14:paraId="6B83DF88" w14:textId="77777777" w:rsidR="00D53E6F" w:rsidRPr="004A7B59" w:rsidRDefault="00D53E6F" w:rsidP="004A7B59">
            <w:pPr>
              <w:spacing w:line="240" w:lineRule="auto"/>
              <w:jc w:val="center"/>
              <w:rPr>
                <w:color w:val="000000"/>
                <w:sz w:val="20"/>
                <w:szCs w:val="20"/>
              </w:rPr>
            </w:pPr>
            <w:r w:rsidRPr="004A7B59">
              <w:rPr>
                <w:color w:val="000000"/>
                <w:sz w:val="20"/>
                <w:szCs w:val="20"/>
              </w:rPr>
              <w:t>660</w:t>
            </w:r>
          </w:p>
        </w:tc>
      </w:tr>
      <w:tr w:rsidR="00D53E6F" w:rsidRPr="006B4621" w14:paraId="56270D6E" w14:textId="77777777" w:rsidTr="004A7B59">
        <w:trPr>
          <w:trHeight w:val="260"/>
          <w:jc w:val="center"/>
        </w:trPr>
        <w:tc>
          <w:tcPr>
            <w:tcW w:w="3229" w:type="dxa"/>
            <w:vAlign w:val="center"/>
          </w:tcPr>
          <w:p w14:paraId="1039990B" w14:textId="77777777" w:rsidR="00D53E6F" w:rsidRPr="004A7B59" w:rsidRDefault="00D53E6F" w:rsidP="00E91144">
            <w:pPr>
              <w:spacing w:line="240" w:lineRule="auto"/>
              <w:rPr>
                <w:color w:val="000000"/>
                <w:sz w:val="20"/>
                <w:szCs w:val="20"/>
              </w:rPr>
            </w:pPr>
            <w:r w:rsidRPr="004A7B59">
              <w:rPr>
                <w:color w:val="000000"/>
                <w:sz w:val="20"/>
                <w:szCs w:val="20"/>
              </w:rPr>
              <w:t>Number of ASME Code Case N</w:t>
            </w:r>
            <w:r w:rsidRPr="004A7B59">
              <w:rPr>
                <w:color w:val="000000"/>
                <w:sz w:val="20"/>
                <w:szCs w:val="20"/>
              </w:rPr>
              <w:noBreakHyphen/>
              <w:t>838 relief requests (total, all reactors)</w:t>
            </w:r>
          </w:p>
        </w:tc>
        <w:tc>
          <w:tcPr>
            <w:tcW w:w="1318" w:type="dxa"/>
            <w:noWrap/>
            <w:vAlign w:val="center"/>
          </w:tcPr>
          <w:p w14:paraId="0CB106FA" w14:textId="77777777" w:rsidR="00D53E6F" w:rsidRPr="004A7B59" w:rsidRDefault="00D53E6F" w:rsidP="004A7B59">
            <w:pPr>
              <w:spacing w:line="240" w:lineRule="auto"/>
              <w:jc w:val="center"/>
              <w:rPr>
                <w:color w:val="auto"/>
                <w:sz w:val="20"/>
                <w:szCs w:val="20"/>
              </w:rPr>
            </w:pPr>
            <w:r w:rsidRPr="004A7B59">
              <w:rPr>
                <w:color w:val="auto"/>
                <w:sz w:val="20"/>
                <w:szCs w:val="20"/>
              </w:rPr>
              <w:t>1.0</w:t>
            </w:r>
          </w:p>
        </w:tc>
        <w:tc>
          <w:tcPr>
            <w:tcW w:w="1451" w:type="dxa"/>
            <w:noWrap/>
            <w:vAlign w:val="center"/>
          </w:tcPr>
          <w:p w14:paraId="7E655F56" w14:textId="77777777" w:rsidR="00D53E6F" w:rsidRPr="004A7B59" w:rsidRDefault="00D53E6F" w:rsidP="004A7B59">
            <w:pPr>
              <w:spacing w:line="240" w:lineRule="auto"/>
              <w:jc w:val="center"/>
              <w:rPr>
                <w:color w:val="auto"/>
                <w:sz w:val="20"/>
                <w:szCs w:val="20"/>
              </w:rPr>
            </w:pPr>
            <w:r w:rsidRPr="004A7B59">
              <w:rPr>
                <w:color w:val="000000"/>
                <w:sz w:val="20"/>
                <w:szCs w:val="20"/>
              </w:rPr>
              <w:t>PERT</w:t>
            </w:r>
          </w:p>
        </w:tc>
        <w:tc>
          <w:tcPr>
            <w:tcW w:w="1109" w:type="dxa"/>
            <w:noWrap/>
            <w:vAlign w:val="center"/>
          </w:tcPr>
          <w:p w14:paraId="12076121" w14:textId="77777777" w:rsidR="00D53E6F" w:rsidRPr="004A7B59" w:rsidRDefault="00D53E6F" w:rsidP="004A7B59">
            <w:pPr>
              <w:spacing w:line="240" w:lineRule="auto"/>
              <w:jc w:val="center"/>
              <w:rPr>
                <w:color w:val="000000"/>
                <w:sz w:val="20"/>
                <w:szCs w:val="20"/>
              </w:rPr>
            </w:pPr>
            <w:r w:rsidRPr="004A7B59">
              <w:rPr>
                <w:color w:val="000000"/>
                <w:sz w:val="20"/>
                <w:szCs w:val="20"/>
              </w:rPr>
              <w:t>0</w:t>
            </w:r>
          </w:p>
        </w:tc>
        <w:tc>
          <w:tcPr>
            <w:tcW w:w="1109" w:type="dxa"/>
            <w:noWrap/>
            <w:vAlign w:val="center"/>
          </w:tcPr>
          <w:p w14:paraId="4025DE45" w14:textId="77777777" w:rsidR="00D53E6F" w:rsidRPr="004A7B59" w:rsidRDefault="00D53E6F" w:rsidP="004A7B59">
            <w:pPr>
              <w:spacing w:line="240" w:lineRule="auto"/>
              <w:jc w:val="center"/>
              <w:rPr>
                <w:color w:val="000000"/>
                <w:sz w:val="20"/>
                <w:szCs w:val="20"/>
              </w:rPr>
            </w:pPr>
            <w:r w:rsidRPr="004A7B59">
              <w:rPr>
                <w:color w:val="000000"/>
                <w:sz w:val="20"/>
                <w:szCs w:val="20"/>
              </w:rPr>
              <w:t>1</w:t>
            </w:r>
          </w:p>
        </w:tc>
        <w:tc>
          <w:tcPr>
            <w:tcW w:w="1134" w:type="dxa"/>
            <w:noWrap/>
            <w:vAlign w:val="center"/>
          </w:tcPr>
          <w:p w14:paraId="07CCC826" w14:textId="77777777" w:rsidR="00D53E6F" w:rsidRPr="004A7B59" w:rsidRDefault="00D53E6F" w:rsidP="004A7B59">
            <w:pPr>
              <w:spacing w:line="240" w:lineRule="auto"/>
              <w:jc w:val="center"/>
              <w:rPr>
                <w:color w:val="000000"/>
                <w:sz w:val="20"/>
                <w:szCs w:val="20"/>
              </w:rPr>
            </w:pPr>
            <w:r w:rsidRPr="004A7B59">
              <w:rPr>
                <w:color w:val="000000"/>
                <w:sz w:val="20"/>
                <w:szCs w:val="20"/>
              </w:rPr>
              <w:t>2</w:t>
            </w:r>
          </w:p>
        </w:tc>
      </w:tr>
      <w:tr w:rsidR="00D53E6F" w:rsidRPr="006B4621" w14:paraId="7C90F62F" w14:textId="77777777" w:rsidTr="004A7B59">
        <w:trPr>
          <w:trHeight w:val="374"/>
          <w:jc w:val="center"/>
        </w:trPr>
        <w:tc>
          <w:tcPr>
            <w:tcW w:w="9350" w:type="dxa"/>
            <w:gridSpan w:val="6"/>
            <w:vAlign w:val="center"/>
          </w:tcPr>
          <w:p w14:paraId="333B1492" w14:textId="77777777" w:rsidR="00D53E6F" w:rsidRPr="004A7B59" w:rsidRDefault="00D53E6F" w:rsidP="00E91144">
            <w:pPr>
              <w:spacing w:line="240" w:lineRule="auto"/>
              <w:rPr>
                <w:color w:val="auto"/>
                <w:sz w:val="20"/>
                <w:szCs w:val="20"/>
              </w:rPr>
            </w:pPr>
            <w:r w:rsidRPr="004A7B59">
              <w:rPr>
                <w:b/>
                <w:bCs/>
                <w:color w:val="auto"/>
                <w:sz w:val="20"/>
                <w:szCs w:val="20"/>
              </w:rPr>
              <w:t>Condition that prevents the use of the ASME Code Case in certain situations (NRC)</w:t>
            </w:r>
          </w:p>
        </w:tc>
      </w:tr>
      <w:tr w:rsidR="00D53E6F" w:rsidRPr="006B4621" w14:paraId="57AEAF98" w14:textId="77777777" w:rsidTr="004A7B59">
        <w:trPr>
          <w:trHeight w:val="260"/>
          <w:jc w:val="center"/>
        </w:trPr>
        <w:tc>
          <w:tcPr>
            <w:tcW w:w="3229" w:type="dxa"/>
            <w:vAlign w:val="center"/>
          </w:tcPr>
          <w:p w14:paraId="60415E69" w14:textId="77777777" w:rsidR="00D53E6F" w:rsidRPr="004A7B59" w:rsidRDefault="00D53E6F" w:rsidP="00E91144">
            <w:pPr>
              <w:spacing w:line="240" w:lineRule="auto"/>
              <w:rPr>
                <w:color w:val="000000"/>
                <w:sz w:val="20"/>
                <w:szCs w:val="20"/>
              </w:rPr>
            </w:pPr>
            <w:r w:rsidRPr="004A7B59">
              <w:rPr>
                <w:color w:val="000000"/>
                <w:sz w:val="20"/>
                <w:szCs w:val="20"/>
              </w:rPr>
              <w:t>Weighted hourly rate (NRC)</w:t>
            </w:r>
          </w:p>
        </w:tc>
        <w:tc>
          <w:tcPr>
            <w:tcW w:w="1318" w:type="dxa"/>
            <w:noWrap/>
            <w:vAlign w:val="center"/>
          </w:tcPr>
          <w:p w14:paraId="46CFCD5E" w14:textId="77777777" w:rsidR="00D53E6F" w:rsidRPr="004A7B59" w:rsidRDefault="00D53E6F" w:rsidP="004A7B59">
            <w:pPr>
              <w:spacing w:line="240" w:lineRule="auto"/>
              <w:jc w:val="center"/>
              <w:rPr>
                <w:color w:val="auto"/>
                <w:sz w:val="20"/>
                <w:szCs w:val="20"/>
              </w:rPr>
            </w:pPr>
            <w:r w:rsidRPr="004A7B59">
              <w:rPr>
                <w:color w:val="auto"/>
                <w:sz w:val="20"/>
                <w:szCs w:val="20"/>
              </w:rPr>
              <w:t>$129</w:t>
            </w:r>
          </w:p>
        </w:tc>
        <w:tc>
          <w:tcPr>
            <w:tcW w:w="1451" w:type="dxa"/>
            <w:noWrap/>
            <w:vAlign w:val="center"/>
          </w:tcPr>
          <w:p w14:paraId="2D066637" w14:textId="77777777" w:rsidR="00D53E6F" w:rsidRPr="004A7B59" w:rsidRDefault="00D53E6F" w:rsidP="004A7B59">
            <w:pPr>
              <w:spacing w:line="240" w:lineRule="auto"/>
              <w:jc w:val="center"/>
              <w:rPr>
                <w:color w:val="000000"/>
                <w:sz w:val="20"/>
                <w:szCs w:val="20"/>
              </w:rPr>
            </w:pPr>
            <w:r w:rsidRPr="004A7B59">
              <w:rPr>
                <w:color w:val="000000"/>
                <w:sz w:val="20"/>
                <w:szCs w:val="20"/>
              </w:rPr>
              <w:t>PERT</w:t>
            </w:r>
          </w:p>
        </w:tc>
        <w:tc>
          <w:tcPr>
            <w:tcW w:w="1109" w:type="dxa"/>
            <w:noWrap/>
            <w:vAlign w:val="center"/>
          </w:tcPr>
          <w:p w14:paraId="698C285D" w14:textId="77777777" w:rsidR="00D53E6F" w:rsidRPr="004A7B59" w:rsidRDefault="00D53E6F" w:rsidP="004A7B59">
            <w:pPr>
              <w:spacing w:line="240" w:lineRule="auto"/>
              <w:jc w:val="center"/>
              <w:rPr>
                <w:color w:val="000000"/>
                <w:sz w:val="20"/>
                <w:szCs w:val="20"/>
              </w:rPr>
            </w:pPr>
            <w:r w:rsidRPr="004A7B59">
              <w:rPr>
                <w:color w:val="000000"/>
                <w:sz w:val="20"/>
                <w:szCs w:val="20"/>
              </w:rPr>
              <w:t>$129</w:t>
            </w:r>
          </w:p>
        </w:tc>
        <w:tc>
          <w:tcPr>
            <w:tcW w:w="1109" w:type="dxa"/>
            <w:noWrap/>
            <w:vAlign w:val="center"/>
          </w:tcPr>
          <w:p w14:paraId="40F57690" w14:textId="77777777" w:rsidR="00D53E6F" w:rsidRPr="004A7B59" w:rsidRDefault="00D53E6F" w:rsidP="004A7B59">
            <w:pPr>
              <w:spacing w:line="240" w:lineRule="auto"/>
              <w:jc w:val="center"/>
              <w:rPr>
                <w:color w:val="000000"/>
                <w:sz w:val="20"/>
                <w:szCs w:val="20"/>
              </w:rPr>
            </w:pPr>
            <w:r w:rsidRPr="004A7B59">
              <w:rPr>
                <w:color w:val="000000"/>
                <w:sz w:val="20"/>
                <w:szCs w:val="20"/>
              </w:rPr>
              <w:t>$129</w:t>
            </w:r>
          </w:p>
        </w:tc>
        <w:tc>
          <w:tcPr>
            <w:tcW w:w="1134" w:type="dxa"/>
            <w:noWrap/>
            <w:vAlign w:val="center"/>
          </w:tcPr>
          <w:p w14:paraId="23D2590B" w14:textId="77777777" w:rsidR="00D53E6F" w:rsidRPr="004A7B59" w:rsidRDefault="00D53E6F" w:rsidP="004A7B59">
            <w:pPr>
              <w:spacing w:line="240" w:lineRule="auto"/>
              <w:jc w:val="center"/>
              <w:rPr>
                <w:color w:val="000000"/>
                <w:sz w:val="20"/>
                <w:szCs w:val="20"/>
              </w:rPr>
            </w:pPr>
            <w:r w:rsidRPr="004A7B59">
              <w:rPr>
                <w:color w:val="000000"/>
                <w:sz w:val="20"/>
                <w:szCs w:val="20"/>
              </w:rPr>
              <w:t>$129</w:t>
            </w:r>
          </w:p>
        </w:tc>
      </w:tr>
      <w:tr w:rsidR="00D53E6F" w:rsidRPr="006B4621" w14:paraId="7686F62D" w14:textId="77777777" w:rsidTr="004A7B59">
        <w:trPr>
          <w:trHeight w:val="260"/>
          <w:jc w:val="center"/>
        </w:trPr>
        <w:tc>
          <w:tcPr>
            <w:tcW w:w="3229" w:type="dxa"/>
            <w:vAlign w:val="center"/>
          </w:tcPr>
          <w:p w14:paraId="639347B0" w14:textId="77777777" w:rsidR="00D53E6F" w:rsidRPr="004A7B59" w:rsidRDefault="00D53E6F" w:rsidP="00E91144">
            <w:pPr>
              <w:spacing w:line="240" w:lineRule="auto"/>
              <w:rPr>
                <w:color w:val="000000"/>
                <w:sz w:val="20"/>
                <w:szCs w:val="20"/>
              </w:rPr>
            </w:pPr>
            <w:r w:rsidRPr="004A7B59">
              <w:rPr>
                <w:color w:val="000000"/>
                <w:sz w:val="20"/>
                <w:szCs w:val="20"/>
              </w:rPr>
              <w:t>Hours to approve relief request</w:t>
            </w:r>
          </w:p>
        </w:tc>
        <w:tc>
          <w:tcPr>
            <w:tcW w:w="1318" w:type="dxa"/>
            <w:noWrap/>
            <w:vAlign w:val="center"/>
          </w:tcPr>
          <w:p w14:paraId="2432133D" w14:textId="77777777" w:rsidR="00D53E6F" w:rsidRPr="004A7B59" w:rsidRDefault="00D53E6F" w:rsidP="004A7B59">
            <w:pPr>
              <w:spacing w:line="240" w:lineRule="auto"/>
              <w:jc w:val="center"/>
              <w:rPr>
                <w:color w:val="auto"/>
                <w:sz w:val="20"/>
                <w:szCs w:val="20"/>
              </w:rPr>
            </w:pPr>
            <w:r w:rsidRPr="004A7B59">
              <w:rPr>
                <w:color w:val="auto"/>
                <w:sz w:val="20"/>
                <w:szCs w:val="20"/>
              </w:rPr>
              <w:t>143.3</w:t>
            </w:r>
          </w:p>
        </w:tc>
        <w:tc>
          <w:tcPr>
            <w:tcW w:w="1451" w:type="dxa"/>
            <w:noWrap/>
            <w:vAlign w:val="center"/>
          </w:tcPr>
          <w:p w14:paraId="3018DF02" w14:textId="77777777" w:rsidR="00D53E6F" w:rsidRPr="004A7B59" w:rsidRDefault="00D53E6F" w:rsidP="004A7B59">
            <w:pPr>
              <w:spacing w:line="240" w:lineRule="auto"/>
              <w:jc w:val="center"/>
              <w:rPr>
                <w:color w:val="auto"/>
                <w:sz w:val="20"/>
                <w:szCs w:val="20"/>
              </w:rPr>
            </w:pPr>
            <w:r w:rsidRPr="004A7B59">
              <w:rPr>
                <w:color w:val="000000"/>
                <w:sz w:val="20"/>
                <w:szCs w:val="20"/>
              </w:rPr>
              <w:t>PERT</w:t>
            </w:r>
          </w:p>
        </w:tc>
        <w:tc>
          <w:tcPr>
            <w:tcW w:w="1109" w:type="dxa"/>
            <w:noWrap/>
            <w:vAlign w:val="center"/>
          </w:tcPr>
          <w:p w14:paraId="45300D05" w14:textId="77777777" w:rsidR="00D53E6F" w:rsidRPr="004A7B59" w:rsidRDefault="00D53E6F" w:rsidP="004A7B59">
            <w:pPr>
              <w:spacing w:line="240" w:lineRule="auto"/>
              <w:jc w:val="center"/>
              <w:rPr>
                <w:color w:val="000000"/>
                <w:sz w:val="20"/>
                <w:szCs w:val="20"/>
              </w:rPr>
            </w:pPr>
            <w:r w:rsidRPr="004A7B59">
              <w:rPr>
                <w:color w:val="000000"/>
                <w:sz w:val="20"/>
                <w:szCs w:val="20"/>
              </w:rPr>
              <w:t>120</w:t>
            </w:r>
          </w:p>
        </w:tc>
        <w:tc>
          <w:tcPr>
            <w:tcW w:w="1109" w:type="dxa"/>
            <w:noWrap/>
            <w:vAlign w:val="center"/>
          </w:tcPr>
          <w:p w14:paraId="5F70429F" w14:textId="77777777" w:rsidR="00D53E6F" w:rsidRPr="004A7B59" w:rsidRDefault="00D53E6F" w:rsidP="004A7B59">
            <w:pPr>
              <w:spacing w:line="240" w:lineRule="auto"/>
              <w:jc w:val="center"/>
              <w:rPr>
                <w:color w:val="000000"/>
                <w:sz w:val="20"/>
                <w:szCs w:val="20"/>
              </w:rPr>
            </w:pPr>
            <w:r w:rsidRPr="004A7B59">
              <w:rPr>
                <w:color w:val="000000"/>
                <w:sz w:val="20"/>
                <w:szCs w:val="20"/>
              </w:rPr>
              <w:t>140</w:t>
            </w:r>
          </w:p>
        </w:tc>
        <w:tc>
          <w:tcPr>
            <w:tcW w:w="1134" w:type="dxa"/>
            <w:noWrap/>
            <w:vAlign w:val="center"/>
          </w:tcPr>
          <w:p w14:paraId="70B8A460" w14:textId="77777777" w:rsidR="00D53E6F" w:rsidRPr="004A7B59" w:rsidRDefault="00D53E6F" w:rsidP="004A7B59">
            <w:pPr>
              <w:spacing w:line="240" w:lineRule="auto"/>
              <w:jc w:val="center"/>
              <w:rPr>
                <w:color w:val="000000"/>
                <w:sz w:val="20"/>
                <w:szCs w:val="20"/>
              </w:rPr>
            </w:pPr>
            <w:r w:rsidRPr="004A7B59">
              <w:rPr>
                <w:color w:val="000000"/>
                <w:sz w:val="20"/>
                <w:szCs w:val="20"/>
              </w:rPr>
              <w:t>180</w:t>
            </w:r>
          </w:p>
        </w:tc>
      </w:tr>
      <w:tr w:rsidR="00D53E6F" w:rsidRPr="006B4621" w14:paraId="2446EFEC" w14:textId="77777777" w:rsidTr="004A7B59">
        <w:trPr>
          <w:trHeight w:val="260"/>
          <w:jc w:val="center"/>
        </w:trPr>
        <w:tc>
          <w:tcPr>
            <w:tcW w:w="3229" w:type="dxa"/>
            <w:vAlign w:val="center"/>
          </w:tcPr>
          <w:p w14:paraId="329F0D91" w14:textId="77777777" w:rsidR="00D53E6F" w:rsidRPr="004A7B59" w:rsidRDefault="00D53E6F" w:rsidP="00E91144">
            <w:pPr>
              <w:spacing w:line="240" w:lineRule="auto"/>
              <w:rPr>
                <w:color w:val="000000"/>
                <w:sz w:val="20"/>
                <w:szCs w:val="20"/>
              </w:rPr>
            </w:pPr>
            <w:r w:rsidRPr="004A7B59">
              <w:rPr>
                <w:color w:val="000000"/>
                <w:sz w:val="20"/>
                <w:szCs w:val="20"/>
              </w:rPr>
              <w:t>Number of relief requests per year</w:t>
            </w:r>
          </w:p>
        </w:tc>
        <w:tc>
          <w:tcPr>
            <w:tcW w:w="1318" w:type="dxa"/>
            <w:noWrap/>
            <w:vAlign w:val="center"/>
          </w:tcPr>
          <w:p w14:paraId="1AD838D6" w14:textId="77777777" w:rsidR="00D53E6F" w:rsidRPr="004A7B59" w:rsidRDefault="00D53E6F" w:rsidP="004A7B59">
            <w:pPr>
              <w:spacing w:line="240" w:lineRule="auto"/>
              <w:jc w:val="center"/>
              <w:rPr>
                <w:color w:val="auto"/>
                <w:sz w:val="20"/>
                <w:szCs w:val="20"/>
              </w:rPr>
            </w:pPr>
            <w:r w:rsidRPr="004A7B59">
              <w:rPr>
                <w:color w:val="auto"/>
                <w:sz w:val="20"/>
                <w:szCs w:val="20"/>
              </w:rPr>
              <w:t>1.0</w:t>
            </w:r>
          </w:p>
        </w:tc>
        <w:tc>
          <w:tcPr>
            <w:tcW w:w="1451" w:type="dxa"/>
            <w:noWrap/>
            <w:vAlign w:val="center"/>
          </w:tcPr>
          <w:p w14:paraId="74093651" w14:textId="77777777" w:rsidR="00D53E6F" w:rsidRPr="004A7B59" w:rsidRDefault="00D53E6F" w:rsidP="004A7B59">
            <w:pPr>
              <w:spacing w:line="240" w:lineRule="auto"/>
              <w:jc w:val="center"/>
              <w:rPr>
                <w:color w:val="auto"/>
                <w:sz w:val="20"/>
                <w:szCs w:val="20"/>
              </w:rPr>
            </w:pPr>
            <w:r w:rsidRPr="004A7B59">
              <w:rPr>
                <w:color w:val="000000"/>
                <w:sz w:val="20"/>
                <w:szCs w:val="20"/>
              </w:rPr>
              <w:t>PERT</w:t>
            </w:r>
          </w:p>
        </w:tc>
        <w:tc>
          <w:tcPr>
            <w:tcW w:w="1109" w:type="dxa"/>
            <w:noWrap/>
            <w:vAlign w:val="center"/>
          </w:tcPr>
          <w:p w14:paraId="2075B3B2" w14:textId="77777777" w:rsidR="00D53E6F" w:rsidRPr="004A7B59" w:rsidRDefault="00D53E6F" w:rsidP="004A7B59">
            <w:pPr>
              <w:spacing w:line="240" w:lineRule="auto"/>
              <w:jc w:val="center"/>
              <w:rPr>
                <w:color w:val="000000"/>
                <w:sz w:val="20"/>
                <w:szCs w:val="20"/>
              </w:rPr>
            </w:pPr>
            <w:r w:rsidRPr="004A7B59">
              <w:rPr>
                <w:color w:val="000000"/>
                <w:sz w:val="20"/>
                <w:szCs w:val="20"/>
              </w:rPr>
              <w:t>0</w:t>
            </w:r>
          </w:p>
        </w:tc>
        <w:tc>
          <w:tcPr>
            <w:tcW w:w="1109" w:type="dxa"/>
            <w:noWrap/>
            <w:vAlign w:val="center"/>
          </w:tcPr>
          <w:p w14:paraId="5E7B674A" w14:textId="77777777" w:rsidR="00D53E6F" w:rsidRPr="004A7B59" w:rsidRDefault="00D53E6F" w:rsidP="004A7B59">
            <w:pPr>
              <w:spacing w:line="240" w:lineRule="auto"/>
              <w:jc w:val="center"/>
              <w:rPr>
                <w:color w:val="000000"/>
                <w:sz w:val="20"/>
                <w:szCs w:val="20"/>
              </w:rPr>
            </w:pPr>
            <w:r w:rsidRPr="004A7B59">
              <w:rPr>
                <w:color w:val="000000"/>
                <w:sz w:val="20"/>
                <w:szCs w:val="20"/>
              </w:rPr>
              <w:t>1</w:t>
            </w:r>
          </w:p>
        </w:tc>
        <w:tc>
          <w:tcPr>
            <w:tcW w:w="1134" w:type="dxa"/>
            <w:noWrap/>
            <w:vAlign w:val="center"/>
          </w:tcPr>
          <w:p w14:paraId="3F36617E" w14:textId="77777777" w:rsidR="00D53E6F" w:rsidRPr="004A7B59" w:rsidRDefault="00D53E6F" w:rsidP="004A7B59">
            <w:pPr>
              <w:spacing w:line="240" w:lineRule="auto"/>
              <w:jc w:val="center"/>
              <w:rPr>
                <w:color w:val="000000"/>
                <w:sz w:val="20"/>
                <w:szCs w:val="20"/>
              </w:rPr>
            </w:pPr>
            <w:r w:rsidRPr="004A7B59">
              <w:rPr>
                <w:color w:val="000000"/>
                <w:sz w:val="20"/>
                <w:szCs w:val="20"/>
              </w:rPr>
              <w:t>2</w:t>
            </w:r>
          </w:p>
        </w:tc>
      </w:tr>
      <w:tr w:rsidR="00D53E6F" w:rsidRPr="006B4621" w14:paraId="4D54ADD3" w14:textId="77777777" w:rsidTr="004A7B59">
        <w:trPr>
          <w:trHeight w:val="374"/>
          <w:jc w:val="center"/>
        </w:trPr>
        <w:tc>
          <w:tcPr>
            <w:tcW w:w="9350" w:type="dxa"/>
            <w:gridSpan w:val="6"/>
            <w:vAlign w:val="center"/>
            <w:hideMark/>
          </w:tcPr>
          <w:p w14:paraId="506EFFB5" w14:textId="77777777" w:rsidR="00D53E6F" w:rsidRPr="004A7B59" w:rsidRDefault="00D53E6F" w:rsidP="00E91144">
            <w:pPr>
              <w:spacing w:line="240" w:lineRule="auto"/>
              <w:rPr>
                <w:b/>
                <w:bCs/>
                <w:color w:val="auto"/>
                <w:sz w:val="20"/>
                <w:szCs w:val="20"/>
                <w:highlight w:val="yellow"/>
              </w:rPr>
            </w:pPr>
            <w:r w:rsidRPr="004A7B59">
              <w:rPr>
                <w:b/>
                <w:color w:val="000000"/>
                <w:sz w:val="20"/>
                <w:szCs w:val="20"/>
              </w:rPr>
              <w:t xml:space="preserve">ASME Code Case </w:t>
            </w:r>
            <w:r w:rsidRPr="004A7B59">
              <w:rPr>
                <w:b/>
                <w:bCs/>
                <w:color w:val="auto"/>
                <w:sz w:val="20"/>
                <w:szCs w:val="20"/>
              </w:rPr>
              <w:t>N-648-2 nozzle inspection (new reactors only)</w:t>
            </w:r>
          </w:p>
        </w:tc>
      </w:tr>
      <w:tr w:rsidR="00D53E6F" w:rsidRPr="006B4621" w14:paraId="62494A30" w14:textId="77777777" w:rsidTr="004A7B59">
        <w:trPr>
          <w:trHeight w:val="152"/>
          <w:jc w:val="center"/>
        </w:trPr>
        <w:tc>
          <w:tcPr>
            <w:tcW w:w="3229" w:type="dxa"/>
            <w:vAlign w:val="center"/>
            <w:hideMark/>
          </w:tcPr>
          <w:p w14:paraId="449D6725" w14:textId="77777777" w:rsidR="00D53E6F" w:rsidRPr="004A7B59" w:rsidRDefault="00D53E6F" w:rsidP="00E91144">
            <w:pPr>
              <w:spacing w:line="240" w:lineRule="auto"/>
              <w:rPr>
                <w:sz w:val="20"/>
                <w:szCs w:val="20"/>
                <w:highlight w:val="yellow"/>
              </w:rPr>
            </w:pPr>
            <w:r w:rsidRPr="004A7B59">
              <w:rPr>
                <w:color w:val="000000"/>
                <w:sz w:val="20"/>
                <w:szCs w:val="20"/>
              </w:rPr>
              <w:t>Hourly rate for technical staff</w:t>
            </w:r>
          </w:p>
        </w:tc>
        <w:tc>
          <w:tcPr>
            <w:tcW w:w="1318" w:type="dxa"/>
            <w:noWrap/>
            <w:vAlign w:val="center"/>
            <w:hideMark/>
          </w:tcPr>
          <w:p w14:paraId="658ADB11" w14:textId="33E3BAED" w:rsidR="00D53E6F" w:rsidRPr="004A7B59" w:rsidRDefault="00D53E6F" w:rsidP="004A7B59">
            <w:pPr>
              <w:spacing w:line="240" w:lineRule="auto"/>
              <w:jc w:val="center"/>
              <w:rPr>
                <w:color w:val="auto"/>
                <w:sz w:val="20"/>
                <w:szCs w:val="20"/>
                <w:highlight w:val="yellow"/>
              </w:rPr>
            </w:pPr>
            <w:r w:rsidRPr="004A7B59">
              <w:rPr>
                <w:color w:val="auto"/>
                <w:sz w:val="20"/>
                <w:szCs w:val="20"/>
              </w:rPr>
              <w:t>$11</w:t>
            </w:r>
            <w:r w:rsidR="0059577D">
              <w:rPr>
                <w:color w:val="auto"/>
                <w:sz w:val="20"/>
                <w:szCs w:val="20"/>
              </w:rPr>
              <w:t>5</w:t>
            </w:r>
          </w:p>
        </w:tc>
        <w:tc>
          <w:tcPr>
            <w:tcW w:w="1451" w:type="dxa"/>
            <w:noWrap/>
            <w:vAlign w:val="center"/>
            <w:hideMark/>
          </w:tcPr>
          <w:p w14:paraId="1B031935"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PERT</w:t>
            </w:r>
          </w:p>
        </w:tc>
        <w:tc>
          <w:tcPr>
            <w:tcW w:w="1109" w:type="dxa"/>
            <w:noWrap/>
            <w:vAlign w:val="center"/>
            <w:hideMark/>
          </w:tcPr>
          <w:p w14:paraId="60EACDA9"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$86.85</w:t>
            </w:r>
          </w:p>
        </w:tc>
        <w:tc>
          <w:tcPr>
            <w:tcW w:w="1109" w:type="dxa"/>
            <w:noWrap/>
            <w:vAlign w:val="center"/>
            <w:hideMark/>
          </w:tcPr>
          <w:p w14:paraId="2AE0AA35"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$116.27</w:t>
            </w:r>
          </w:p>
        </w:tc>
        <w:tc>
          <w:tcPr>
            <w:tcW w:w="1134" w:type="dxa"/>
            <w:noWrap/>
            <w:vAlign w:val="center"/>
            <w:hideMark/>
          </w:tcPr>
          <w:p w14:paraId="07EE769E"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$136.43</w:t>
            </w:r>
          </w:p>
        </w:tc>
      </w:tr>
      <w:tr w:rsidR="00D53E6F" w:rsidRPr="006B4621" w14:paraId="1A98752C" w14:textId="77777777" w:rsidTr="004A7B59">
        <w:trPr>
          <w:trHeight w:val="179"/>
          <w:jc w:val="center"/>
        </w:trPr>
        <w:tc>
          <w:tcPr>
            <w:tcW w:w="3229" w:type="dxa"/>
            <w:vAlign w:val="center"/>
          </w:tcPr>
          <w:p w14:paraId="30AFF585" w14:textId="77777777" w:rsidR="00D53E6F" w:rsidRPr="004A7B59" w:rsidRDefault="00D53E6F" w:rsidP="00E91144">
            <w:pPr>
              <w:spacing w:line="240" w:lineRule="auto"/>
              <w:rPr>
                <w:sz w:val="20"/>
                <w:szCs w:val="20"/>
                <w:highlight w:val="yellow"/>
              </w:rPr>
            </w:pPr>
            <w:r w:rsidRPr="004A7B59">
              <w:rPr>
                <w:color w:val="000000"/>
                <w:sz w:val="20"/>
                <w:szCs w:val="20"/>
              </w:rPr>
              <w:t>Hours per nozzle (ultrasonic versus VT)</w:t>
            </w:r>
          </w:p>
        </w:tc>
        <w:tc>
          <w:tcPr>
            <w:tcW w:w="1318" w:type="dxa"/>
            <w:noWrap/>
            <w:vAlign w:val="center"/>
          </w:tcPr>
          <w:p w14:paraId="696AC03D"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16.0</w:t>
            </w:r>
          </w:p>
        </w:tc>
        <w:tc>
          <w:tcPr>
            <w:tcW w:w="1451" w:type="dxa"/>
            <w:noWrap/>
            <w:vAlign w:val="center"/>
          </w:tcPr>
          <w:p w14:paraId="3F5DC498" w14:textId="77777777" w:rsidR="00D53E6F" w:rsidRPr="004A7B59" w:rsidRDefault="00D53E6F" w:rsidP="004A7B59">
            <w:pPr>
              <w:spacing w:line="240" w:lineRule="auto"/>
              <w:jc w:val="center"/>
              <w:rPr>
                <w:sz w:val="20"/>
                <w:szCs w:val="20"/>
                <w:highlight w:val="yellow"/>
              </w:rPr>
            </w:pPr>
            <w:r w:rsidRPr="004A7B59">
              <w:rPr>
                <w:color w:val="000000"/>
                <w:sz w:val="20"/>
                <w:szCs w:val="20"/>
              </w:rPr>
              <w:t>PERT</w:t>
            </w:r>
          </w:p>
        </w:tc>
        <w:tc>
          <w:tcPr>
            <w:tcW w:w="1109" w:type="dxa"/>
            <w:noWrap/>
            <w:vAlign w:val="center"/>
          </w:tcPr>
          <w:p w14:paraId="0B4BCC4B" w14:textId="77777777" w:rsidR="00D53E6F" w:rsidRPr="004A7B59" w:rsidRDefault="00D53E6F" w:rsidP="004A7B59">
            <w:pPr>
              <w:spacing w:line="240" w:lineRule="auto"/>
              <w:jc w:val="center"/>
              <w:rPr>
                <w:sz w:val="20"/>
                <w:szCs w:val="20"/>
                <w:highlight w:val="yellow"/>
              </w:rPr>
            </w:pPr>
            <w:r w:rsidRPr="004A7B59">
              <w:rPr>
                <w:color w:val="000000"/>
                <w:sz w:val="20"/>
                <w:szCs w:val="20"/>
              </w:rPr>
              <w:t>12</w:t>
            </w:r>
          </w:p>
        </w:tc>
        <w:tc>
          <w:tcPr>
            <w:tcW w:w="1109" w:type="dxa"/>
            <w:noWrap/>
            <w:vAlign w:val="center"/>
          </w:tcPr>
          <w:p w14:paraId="75E92140" w14:textId="77777777" w:rsidR="00D53E6F" w:rsidRPr="004A7B59" w:rsidRDefault="00D53E6F" w:rsidP="004A7B59">
            <w:pPr>
              <w:spacing w:line="240" w:lineRule="auto"/>
              <w:jc w:val="center"/>
              <w:rPr>
                <w:sz w:val="20"/>
                <w:szCs w:val="20"/>
                <w:highlight w:val="yellow"/>
              </w:rPr>
            </w:pPr>
            <w:r w:rsidRPr="004A7B59">
              <w:rPr>
                <w:color w:val="000000"/>
                <w:sz w:val="20"/>
                <w:szCs w:val="20"/>
              </w:rPr>
              <w:t>16</w:t>
            </w:r>
          </w:p>
        </w:tc>
        <w:tc>
          <w:tcPr>
            <w:tcW w:w="1134" w:type="dxa"/>
            <w:noWrap/>
            <w:vAlign w:val="center"/>
          </w:tcPr>
          <w:p w14:paraId="0BAD8372" w14:textId="77777777" w:rsidR="00D53E6F" w:rsidRPr="004A7B59" w:rsidRDefault="00D53E6F" w:rsidP="004A7B59">
            <w:pPr>
              <w:spacing w:line="240" w:lineRule="auto"/>
              <w:jc w:val="center"/>
              <w:rPr>
                <w:sz w:val="20"/>
                <w:szCs w:val="20"/>
                <w:highlight w:val="yellow"/>
              </w:rPr>
            </w:pPr>
            <w:r w:rsidRPr="004A7B59">
              <w:rPr>
                <w:color w:val="000000"/>
                <w:sz w:val="20"/>
                <w:szCs w:val="20"/>
              </w:rPr>
              <w:t>20</w:t>
            </w:r>
          </w:p>
        </w:tc>
      </w:tr>
      <w:tr w:rsidR="00D53E6F" w:rsidRPr="006B4621" w14:paraId="496B3D45" w14:textId="77777777" w:rsidTr="004A7B59">
        <w:trPr>
          <w:trHeight w:val="179"/>
          <w:jc w:val="center"/>
        </w:trPr>
        <w:tc>
          <w:tcPr>
            <w:tcW w:w="3229" w:type="dxa"/>
            <w:vAlign w:val="center"/>
            <w:hideMark/>
          </w:tcPr>
          <w:p w14:paraId="65D3DAC5" w14:textId="77777777" w:rsidR="00D53E6F" w:rsidRPr="004A7B59" w:rsidRDefault="00D53E6F" w:rsidP="00E91144">
            <w:pPr>
              <w:spacing w:line="240" w:lineRule="auto"/>
              <w:rPr>
                <w:sz w:val="20"/>
                <w:szCs w:val="20"/>
                <w:highlight w:val="yellow"/>
              </w:rPr>
            </w:pPr>
            <w:r w:rsidRPr="004A7B59">
              <w:rPr>
                <w:color w:val="000000"/>
                <w:sz w:val="20"/>
                <w:szCs w:val="20"/>
              </w:rPr>
              <w:t>Number of nozzles (BWR)</w:t>
            </w:r>
          </w:p>
        </w:tc>
        <w:tc>
          <w:tcPr>
            <w:tcW w:w="1318" w:type="dxa"/>
            <w:noWrap/>
            <w:vAlign w:val="center"/>
            <w:hideMark/>
          </w:tcPr>
          <w:p w14:paraId="0B7CA3D7"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25.0</w:t>
            </w:r>
          </w:p>
        </w:tc>
        <w:tc>
          <w:tcPr>
            <w:tcW w:w="1451" w:type="dxa"/>
            <w:noWrap/>
            <w:vAlign w:val="center"/>
            <w:hideMark/>
          </w:tcPr>
          <w:p w14:paraId="47A634A4" w14:textId="77777777" w:rsidR="00D53E6F" w:rsidRPr="004A7B59" w:rsidRDefault="00D53E6F" w:rsidP="004A7B59">
            <w:pPr>
              <w:spacing w:line="240" w:lineRule="auto"/>
              <w:jc w:val="center"/>
              <w:rPr>
                <w:sz w:val="20"/>
                <w:szCs w:val="20"/>
                <w:highlight w:val="yellow"/>
              </w:rPr>
            </w:pPr>
            <w:r w:rsidRPr="004A7B59">
              <w:rPr>
                <w:color w:val="000000"/>
                <w:sz w:val="20"/>
                <w:szCs w:val="20"/>
              </w:rPr>
              <w:t>PERT</w:t>
            </w:r>
          </w:p>
        </w:tc>
        <w:tc>
          <w:tcPr>
            <w:tcW w:w="1109" w:type="dxa"/>
            <w:noWrap/>
            <w:vAlign w:val="center"/>
            <w:hideMark/>
          </w:tcPr>
          <w:p w14:paraId="4E3E40A2" w14:textId="77777777" w:rsidR="00D53E6F" w:rsidRPr="004A7B59" w:rsidRDefault="00D53E6F" w:rsidP="004A7B59">
            <w:pPr>
              <w:spacing w:line="240" w:lineRule="auto"/>
              <w:jc w:val="center"/>
              <w:rPr>
                <w:sz w:val="20"/>
                <w:szCs w:val="20"/>
                <w:highlight w:val="yellow"/>
              </w:rPr>
            </w:pPr>
            <w:r w:rsidRPr="004A7B59">
              <w:rPr>
                <w:color w:val="000000"/>
                <w:sz w:val="20"/>
                <w:szCs w:val="20"/>
              </w:rPr>
              <w:t>22</w:t>
            </w:r>
          </w:p>
        </w:tc>
        <w:tc>
          <w:tcPr>
            <w:tcW w:w="1109" w:type="dxa"/>
            <w:noWrap/>
            <w:vAlign w:val="center"/>
            <w:hideMark/>
          </w:tcPr>
          <w:p w14:paraId="45426483" w14:textId="77777777" w:rsidR="00D53E6F" w:rsidRPr="004A7B59" w:rsidRDefault="00D53E6F" w:rsidP="004A7B59">
            <w:pPr>
              <w:spacing w:line="240" w:lineRule="auto"/>
              <w:jc w:val="center"/>
              <w:rPr>
                <w:sz w:val="20"/>
                <w:szCs w:val="20"/>
                <w:highlight w:val="yellow"/>
              </w:rPr>
            </w:pPr>
            <w:r w:rsidRPr="004A7B59">
              <w:rPr>
                <w:color w:val="000000"/>
                <w:sz w:val="20"/>
                <w:szCs w:val="20"/>
              </w:rPr>
              <w:t>25</w:t>
            </w:r>
          </w:p>
        </w:tc>
        <w:tc>
          <w:tcPr>
            <w:tcW w:w="1134" w:type="dxa"/>
            <w:noWrap/>
            <w:vAlign w:val="center"/>
            <w:hideMark/>
          </w:tcPr>
          <w:p w14:paraId="1F16D161" w14:textId="77777777" w:rsidR="00D53E6F" w:rsidRPr="004A7B59" w:rsidRDefault="00D53E6F" w:rsidP="004A7B59">
            <w:pPr>
              <w:spacing w:line="240" w:lineRule="auto"/>
              <w:jc w:val="center"/>
              <w:rPr>
                <w:sz w:val="20"/>
                <w:szCs w:val="20"/>
                <w:highlight w:val="yellow"/>
              </w:rPr>
            </w:pPr>
            <w:r w:rsidRPr="004A7B59">
              <w:rPr>
                <w:color w:val="000000"/>
                <w:sz w:val="20"/>
                <w:szCs w:val="20"/>
              </w:rPr>
              <w:t>28</w:t>
            </w:r>
          </w:p>
        </w:tc>
      </w:tr>
      <w:tr w:rsidR="00D53E6F" w:rsidRPr="006B4621" w14:paraId="23155F5A" w14:textId="77777777" w:rsidTr="004A7B59">
        <w:trPr>
          <w:trHeight w:val="242"/>
          <w:jc w:val="center"/>
        </w:trPr>
        <w:tc>
          <w:tcPr>
            <w:tcW w:w="3229" w:type="dxa"/>
            <w:vAlign w:val="center"/>
            <w:hideMark/>
          </w:tcPr>
          <w:p w14:paraId="321A6166" w14:textId="77777777" w:rsidR="00D53E6F" w:rsidRPr="004A7B59" w:rsidRDefault="00D53E6F" w:rsidP="00E91144">
            <w:pPr>
              <w:spacing w:line="240" w:lineRule="auto"/>
              <w:rPr>
                <w:color w:val="auto"/>
                <w:sz w:val="20"/>
                <w:szCs w:val="20"/>
                <w:highlight w:val="yellow"/>
              </w:rPr>
            </w:pPr>
            <w:r w:rsidRPr="004A7B59">
              <w:rPr>
                <w:color w:val="000000"/>
                <w:sz w:val="20"/>
                <w:szCs w:val="20"/>
              </w:rPr>
              <w:t>Number of nozzles (PWR)</w:t>
            </w:r>
          </w:p>
        </w:tc>
        <w:tc>
          <w:tcPr>
            <w:tcW w:w="1318" w:type="dxa"/>
            <w:noWrap/>
            <w:vAlign w:val="center"/>
            <w:hideMark/>
          </w:tcPr>
          <w:p w14:paraId="39175E05"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8.0</w:t>
            </w:r>
          </w:p>
        </w:tc>
        <w:tc>
          <w:tcPr>
            <w:tcW w:w="1451" w:type="dxa"/>
            <w:noWrap/>
            <w:vAlign w:val="center"/>
            <w:hideMark/>
          </w:tcPr>
          <w:p w14:paraId="507EC919"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PERT</w:t>
            </w:r>
          </w:p>
        </w:tc>
        <w:tc>
          <w:tcPr>
            <w:tcW w:w="1109" w:type="dxa"/>
            <w:noWrap/>
            <w:vAlign w:val="center"/>
            <w:hideMark/>
          </w:tcPr>
          <w:p w14:paraId="2AF59169"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6</w:t>
            </w:r>
          </w:p>
        </w:tc>
        <w:tc>
          <w:tcPr>
            <w:tcW w:w="1109" w:type="dxa"/>
            <w:noWrap/>
            <w:vAlign w:val="center"/>
            <w:hideMark/>
          </w:tcPr>
          <w:p w14:paraId="29D82E01"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8</w:t>
            </w:r>
          </w:p>
        </w:tc>
        <w:tc>
          <w:tcPr>
            <w:tcW w:w="1134" w:type="dxa"/>
            <w:noWrap/>
            <w:vAlign w:val="center"/>
            <w:hideMark/>
          </w:tcPr>
          <w:p w14:paraId="6569B36E"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10</w:t>
            </w:r>
          </w:p>
        </w:tc>
      </w:tr>
      <w:tr w:rsidR="00D53E6F" w:rsidRPr="006B4621" w14:paraId="05E9049D" w14:textId="77777777" w:rsidTr="004A7B59">
        <w:trPr>
          <w:trHeight w:val="143"/>
          <w:jc w:val="center"/>
        </w:trPr>
        <w:tc>
          <w:tcPr>
            <w:tcW w:w="3229" w:type="dxa"/>
            <w:vAlign w:val="center"/>
            <w:hideMark/>
          </w:tcPr>
          <w:p w14:paraId="05F7B1C0" w14:textId="77777777" w:rsidR="00D53E6F" w:rsidRPr="004A7B59" w:rsidRDefault="00D53E6F" w:rsidP="00E91144">
            <w:pPr>
              <w:spacing w:line="240" w:lineRule="auto"/>
              <w:rPr>
                <w:color w:val="auto"/>
                <w:sz w:val="20"/>
                <w:szCs w:val="20"/>
                <w:highlight w:val="yellow"/>
              </w:rPr>
            </w:pPr>
            <w:r w:rsidRPr="004A7B59">
              <w:rPr>
                <w:color w:val="000000"/>
                <w:sz w:val="20"/>
                <w:szCs w:val="20"/>
              </w:rPr>
              <w:t>Inspection time after reactor placed into service</w:t>
            </w:r>
          </w:p>
        </w:tc>
        <w:tc>
          <w:tcPr>
            <w:tcW w:w="1318" w:type="dxa"/>
            <w:noWrap/>
            <w:vAlign w:val="center"/>
            <w:hideMark/>
          </w:tcPr>
          <w:p w14:paraId="0A6AD31E"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2.8</w:t>
            </w:r>
          </w:p>
        </w:tc>
        <w:tc>
          <w:tcPr>
            <w:tcW w:w="1451" w:type="dxa"/>
            <w:noWrap/>
            <w:vAlign w:val="center"/>
            <w:hideMark/>
          </w:tcPr>
          <w:p w14:paraId="3F31DA80"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PERT</w:t>
            </w:r>
          </w:p>
        </w:tc>
        <w:tc>
          <w:tcPr>
            <w:tcW w:w="1109" w:type="dxa"/>
            <w:noWrap/>
            <w:vAlign w:val="center"/>
            <w:hideMark/>
          </w:tcPr>
          <w:p w14:paraId="7698279B"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2</w:t>
            </w:r>
          </w:p>
        </w:tc>
        <w:tc>
          <w:tcPr>
            <w:tcW w:w="1109" w:type="dxa"/>
            <w:noWrap/>
            <w:vAlign w:val="center"/>
            <w:hideMark/>
          </w:tcPr>
          <w:p w14:paraId="46344D9C"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3</w:t>
            </w:r>
          </w:p>
        </w:tc>
        <w:tc>
          <w:tcPr>
            <w:tcW w:w="1134" w:type="dxa"/>
            <w:noWrap/>
            <w:vAlign w:val="center"/>
            <w:hideMark/>
          </w:tcPr>
          <w:p w14:paraId="5F922D84"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3</w:t>
            </w:r>
          </w:p>
        </w:tc>
      </w:tr>
      <w:tr w:rsidR="00D53E6F" w:rsidRPr="006B4621" w14:paraId="10433244" w14:textId="77777777" w:rsidTr="004A7B59">
        <w:trPr>
          <w:trHeight w:val="170"/>
          <w:jc w:val="center"/>
        </w:trPr>
        <w:tc>
          <w:tcPr>
            <w:tcW w:w="3229" w:type="dxa"/>
            <w:vAlign w:val="center"/>
            <w:hideMark/>
          </w:tcPr>
          <w:p w14:paraId="57629E7A" w14:textId="77777777" w:rsidR="00D53E6F" w:rsidRPr="004A7B59" w:rsidRDefault="00D53E6F" w:rsidP="00E91144">
            <w:pPr>
              <w:spacing w:line="240" w:lineRule="auto"/>
              <w:rPr>
                <w:color w:val="auto"/>
                <w:sz w:val="20"/>
                <w:szCs w:val="20"/>
                <w:highlight w:val="yellow"/>
              </w:rPr>
            </w:pPr>
            <w:r w:rsidRPr="004A7B59">
              <w:rPr>
                <w:color w:val="000000"/>
                <w:sz w:val="20"/>
                <w:szCs w:val="20"/>
              </w:rPr>
              <w:t>Percentage of nozzles inspected</w:t>
            </w:r>
          </w:p>
        </w:tc>
        <w:tc>
          <w:tcPr>
            <w:tcW w:w="1318" w:type="dxa"/>
            <w:noWrap/>
            <w:vAlign w:val="center"/>
            <w:hideMark/>
          </w:tcPr>
          <w:p w14:paraId="7D6684EF"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0.4</w:t>
            </w:r>
          </w:p>
        </w:tc>
        <w:tc>
          <w:tcPr>
            <w:tcW w:w="1451" w:type="dxa"/>
            <w:noWrap/>
            <w:vAlign w:val="center"/>
            <w:hideMark/>
          </w:tcPr>
          <w:p w14:paraId="6106C420"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PERT</w:t>
            </w:r>
          </w:p>
        </w:tc>
        <w:tc>
          <w:tcPr>
            <w:tcW w:w="1109" w:type="dxa"/>
            <w:noWrap/>
            <w:vAlign w:val="center"/>
            <w:hideMark/>
          </w:tcPr>
          <w:p w14:paraId="5B9EF0D7"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25%</w:t>
            </w:r>
          </w:p>
        </w:tc>
        <w:tc>
          <w:tcPr>
            <w:tcW w:w="1109" w:type="dxa"/>
            <w:noWrap/>
            <w:vAlign w:val="center"/>
            <w:hideMark/>
          </w:tcPr>
          <w:p w14:paraId="7B8A538D"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35%</w:t>
            </w:r>
          </w:p>
        </w:tc>
        <w:tc>
          <w:tcPr>
            <w:tcW w:w="1134" w:type="dxa"/>
            <w:noWrap/>
            <w:vAlign w:val="center"/>
            <w:hideMark/>
          </w:tcPr>
          <w:p w14:paraId="04B43433"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50%</w:t>
            </w:r>
          </w:p>
        </w:tc>
      </w:tr>
      <w:tr w:rsidR="00D53E6F" w:rsidRPr="006B4621" w14:paraId="0495E83B" w14:textId="77777777" w:rsidTr="004A7B59">
        <w:trPr>
          <w:trHeight w:val="197"/>
          <w:jc w:val="center"/>
        </w:trPr>
        <w:tc>
          <w:tcPr>
            <w:tcW w:w="3229" w:type="dxa"/>
            <w:vAlign w:val="center"/>
            <w:hideMark/>
          </w:tcPr>
          <w:p w14:paraId="7CEC14D8" w14:textId="77777777" w:rsidR="00D53E6F" w:rsidRPr="004A7B59" w:rsidRDefault="00D53E6F" w:rsidP="00E91144">
            <w:pPr>
              <w:spacing w:line="240" w:lineRule="auto"/>
              <w:rPr>
                <w:color w:val="auto"/>
                <w:sz w:val="20"/>
                <w:szCs w:val="20"/>
                <w:highlight w:val="yellow"/>
              </w:rPr>
            </w:pPr>
            <w:r w:rsidRPr="004A7B59">
              <w:rPr>
                <w:color w:val="000000"/>
                <w:sz w:val="20"/>
                <w:szCs w:val="20"/>
              </w:rPr>
              <w:t>Number of new PWRs</w:t>
            </w:r>
          </w:p>
        </w:tc>
        <w:tc>
          <w:tcPr>
            <w:tcW w:w="1318" w:type="dxa"/>
            <w:noWrap/>
            <w:vAlign w:val="center"/>
            <w:hideMark/>
          </w:tcPr>
          <w:p w14:paraId="07E8A0E0"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2</w:t>
            </w:r>
          </w:p>
        </w:tc>
        <w:tc>
          <w:tcPr>
            <w:tcW w:w="1451" w:type="dxa"/>
            <w:noWrap/>
            <w:vAlign w:val="center"/>
          </w:tcPr>
          <w:p w14:paraId="02707557"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PERT</w:t>
            </w:r>
          </w:p>
        </w:tc>
        <w:tc>
          <w:tcPr>
            <w:tcW w:w="1109" w:type="dxa"/>
            <w:noWrap/>
            <w:vAlign w:val="center"/>
          </w:tcPr>
          <w:p w14:paraId="2F52346B"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1</w:t>
            </w:r>
          </w:p>
        </w:tc>
        <w:tc>
          <w:tcPr>
            <w:tcW w:w="1109" w:type="dxa"/>
            <w:noWrap/>
            <w:vAlign w:val="center"/>
          </w:tcPr>
          <w:p w14:paraId="7FB1ADFC"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2</w:t>
            </w:r>
          </w:p>
        </w:tc>
        <w:tc>
          <w:tcPr>
            <w:tcW w:w="1134" w:type="dxa"/>
            <w:noWrap/>
            <w:vAlign w:val="center"/>
          </w:tcPr>
          <w:p w14:paraId="5E6C8778"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2</w:t>
            </w:r>
          </w:p>
        </w:tc>
      </w:tr>
      <w:tr w:rsidR="00D53E6F" w:rsidRPr="006B4621" w14:paraId="169495C5" w14:textId="77777777" w:rsidTr="004A7B59">
        <w:trPr>
          <w:trHeight w:val="251"/>
          <w:jc w:val="center"/>
        </w:trPr>
        <w:tc>
          <w:tcPr>
            <w:tcW w:w="3229" w:type="dxa"/>
            <w:vAlign w:val="center"/>
            <w:hideMark/>
          </w:tcPr>
          <w:p w14:paraId="05FAC68D" w14:textId="77777777" w:rsidR="00D53E6F" w:rsidRPr="004A7B59" w:rsidRDefault="00D53E6F" w:rsidP="00E91144">
            <w:pPr>
              <w:spacing w:line="240" w:lineRule="auto"/>
              <w:rPr>
                <w:color w:val="auto"/>
                <w:sz w:val="20"/>
                <w:szCs w:val="20"/>
                <w:highlight w:val="yellow"/>
              </w:rPr>
            </w:pPr>
            <w:r w:rsidRPr="004A7B59">
              <w:rPr>
                <w:color w:val="000000"/>
                <w:sz w:val="20"/>
                <w:szCs w:val="20"/>
              </w:rPr>
              <w:t>Number of new BWRs</w:t>
            </w:r>
          </w:p>
        </w:tc>
        <w:tc>
          <w:tcPr>
            <w:tcW w:w="1318" w:type="dxa"/>
            <w:noWrap/>
            <w:vAlign w:val="center"/>
            <w:hideMark/>
          </w:tcPr>
          <w:p w14:paraId="009FBBA9" w14:textId="75EE4603" w:rsidR="00D53E6F" w:rsidRPr="004A7B59" w:rsidRDefault="00B75F34" w:rsidP="004A7B59">
            <w:pPr>
              <w:spacing w:line="240" w:lineRule="auto"/>
              <w:jc w:val="center"/>
              <w:rPr>
                <w:color w:val="auto"/>
                <w:sz w:val="20"/>
                <w:szCs w:val="20"/>
                <w:highlight w:val="yellow"/>
              </w:rPr>
            </w:pPr>
            <w:r>
              <w:rPr>
                <w:color w:val="auto"/>
                <w:sz w:val="20"/>
                <w:szCs w:val="20"/>
              </w:rPr>
              <w:t>0</w:t>
            </w:r>
          </w:p>
        </w:tc>
        <w:tc>
          <w:tcPr>
            <w:tcW w:w="1451" w:type="dxa"/>
            <w:noWrap/>
            <w:vAlign w:val="center"/>
            <w:hideMark/>
          </w:tcPr>
          <w:p w14:paraId="0AEEEADC"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PERT</w:t>
            </w:r>
          </w:p>
        </w:tc>
        <w:tc>
          <w:tcPr>
            <w:tcW w:w="1109" w:type="dxa"/>
            <w:noWrap/>
            <w:vAlign w:val="center"/>
            <w:hideMark/>
          </w:tcPr>
          <w:p w14:paraId="0AB4B0B3" w14:textId="198AC7C3" w:rsidR="00D53E6F" w:rsidRPr="004A7B59" w:rsidRDefault="00B75F34" w:rsidP="004A7B59">
            <w:pPr>
              <w:spacing w:line="240" w:lineRule="auto"/>
              <w:jc w:val="center"/>
              <w:rPr>
                <w:color w:val="auto"/>
                <w:sz w:val="20"/>
                <w:szCs w:val="20"/>
                <w:highlight w:val="yellow"/>
              </w:rPr>
            </w:pPr>
            <w:r>
              <w:rPr>
                <w:color w:val="000000"/>
                <w:sz w:val="20"/>
                <w:szCs w:val="20"/>
              </w:rPr>
              <w:t>0</w:t>
            </w:r>
          </w:p>
        </w:tc>
        <w:tc>
          <w:tcPr>
            <w:tcW w:w="1109" w:type="dxa"/>
            <w:noWrap/>
            <w:vAlign w:val="center"/>
            <w:hideMark/>
          </w:tcPr>
          <w:p w14:paraId="50EB7989" w14:textId="0C05CB94" w:rsidR="00D53E6F" w:rsidRPr="004A7B59" w:rsidRDefault="00B75F34" w:rsidP="004A7B59">
            <w:pPr>
              <w:spacing w:line="240" w:lineRule="auto"/>
              <w:jc w:val="center"/>
              <w:rPr>
                <w:color w:val="auto"/>
                <w:sz w:val="20"/>
                <w:szCs w:val="20"/>
                <w:highlight w:val="yellow"/>
              </w:rPr>
            </w:pPr>
            <w:r>
              <w:rPr>
                <w:color w:val="000000"/>
                <w:sz w:val="20"/>
                <w:szCs w:val="20"/>
              </w:rPr>
              <w:t>0</w:t>
            </w:r>
          </w:p>
        </w:tc>
        <w:tc>
          <w:tcPr>
            <w:tcW w:w="1134" w:type="dxa"/>
            <w:noWrap/>
            <w:vAlign w:val="center"/>
            <w:hideMark/>
          </w:tcPr>
          <w:p w14:paraId="74A26F4B" w14:textId="68C6E859" w:rsidR="00D53E6F" w:rsidRPr="004A7B59" w:rsidRDefault="00B75F34" w:rsidP="004A7B59">
            <w:pPr>
              <w:spacing w:line="240" w:lineRule="auto"/>
              <w:jc w:val="center"/>
              <w:rPr>
                <w:color w:val="auto"/>
                <w:sz w:val="20"/>
                <w:szCs w:val="20"/>
                <w:highlight w:val="yellow"/>
              </w:rPr>
            </w:pPr>
            <w:r>
              <w:rPr>
                <w:color w:val="000000"/>
                <w:sz w:val="20"/>
                <w:szCs w:val="20"/>
              </w:rPr>
              <w:t>0</w:t>
            </w:r>
          </w:p>
        </w:tc>
      </w:tr>
      <w:tr w:rsidR="00D53E6F" w:rsidRPr="006B4621" w14:paraId="5978FC25" w14:textId="77777777" w:rsidTr="004A7B59">
        <w:trPr>
          <w:trHeight w:val="374"/>
          <w:jc w:val="center"/>
        </w:trPr>
        <w:tc>
          <w:tcPr>
            <w:tcW w:w="9350" w:type="dxa"/>
            <w:gridSpan w:val="6"/>
            <w:vAlign w:val="center"/>
            <w:hideMark/>
          </w:tcPr>
          <w:p w14:paraId="5D42746A" w14:textId="77777777" w:rsidR="00D53E6F" w:rsidRPr="004A7B59" w:rsidRDefault="00D53E6F" w:rsidP="00E91144">
            <w:pPr>
              <w:spacing w:line="240" w:lineRule="auto"/>
              <w:rPr>
                <w:b/>
                <w:bCs/>
                <w:color w:val="auto"/>
                <w:sz w:val="20"/>
                <w:szCs w:val="20"/>
              </w:rPr>
            </w:pPr>
            <w:r w:rsidRPr="004A7B59">
              <w:rPr>
                <w:b/>
                <w:bCs/>
                <w:color w:val="auto"/>
                <w:sz w:val="20"/>
                <w:szCs w:val="20"/>
              </w:rPr>
              <w:t>Averted ASME Code Case relief request costs</w:t>
            </w:r>
          </w:p>
        </w:tc>
      </w:tr>
      <w:tr w:rsidR="00D53E6F" w:rsidRPr="006B4621" w14:paraId="33508620" w14:textId="77777777" w:rsidTr="004A7B59">
        <w:trPr>
          <w:trHeight w:val="98"/>
          <w:jc w:val="center"/>
        </w:trPr>
        <w:tc>
          <w:tcPr>
            <w:tcW w:w="3229" w:type="dxa"/>
            <w:vAlign w:val="center"/>
            <w:hideMark/>
          </w:tcPr>
          <w:p w14:paraId="116DF807" w14:textId="77777777" w:rsidR="00D53E6F" w:rsidRPr="004A7B59" w:rsidRDefault="00D53E6F" w:rsidP="00E91144">
            <w:pPr>
              <w:spacing w:line="240" w:lineRule="auto"/>
              <w:rPr>
                <w:color w:val="auto"/>
                <w:sz w:val="20"/>
                <w:szCs w:val="20"/>
                <w:highlight w:val="yellow"/>
              </w:rPr>
            </w:pPr>
            <w:r w:rsidRPr="004A7B59">
              <w:rPr>
                <w:color w:val="000000"/>
                <w:sz w:val="20"/>
                <w:szCs w:val="20"/>
              </w:rPr>
              <w:t>Weighted hourly rate for relief request (engineer)</w:t>
            </w:r>
          </w:p>
        </w:tc>
        <w:tc>
          <w:tcPr>
            <w:tcW w:w="1318" w:type="dxa"/>
            <w:noWrap/>
            <w:vAlign w:val="center"/>
            <w:hideMark/>
          </w:tcPr>
          <w:p w14:paraId="42D0DD30" w14:textId="5D9288F8" w:rsidR="00D53E6F" w:rsidRPr="004A7B59" w:rsidRDefault="00D53E6F" w:rsidP="004A7B59">
            <w:pPr>
              <w:spacing w:line="240" w:lineRule="auto"/>
              <w:jc w:val="center"/>
              <w:rPr>
                <w:color w:val="auto"/>
                <w:sz w:val="20"/>
                <w:szCs w:val="20"/>
                <w:highlight w:val="yellow"/>
              </w:rPr>
            </w:pPr>
            <w:r w:rsidRPr="004A7B59">
              <w:rPr>
                <w:color w:val="auto"/>
                <w:sz w:val="20"/>
                <w:szCs w:val="20"/>
              </w:rPr>
              <w:t>$11</w:t>
            </w:r>
            <w:r w:rsidR="0059577D">
              <w:rPr>
                <w:color w:val="auto"/>
                <w:sz w:val="20"/>
                <w:szCs w:val="20"/>
              </w:rPr>
              <w:t>5</w:t>
            </w:r>
          </w:p>
        </w:tc>
        <w:tc>
          <w:tcPr>
            <w:tcW w:w="1451" w:type="dxa"/>
            <w:noWrap/>
            <w:vAlign w:val="center"/>
            <w:hideMark/>
          </w:tcPr>
          <w:p w14:paraId="61C26090"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PERT</w:t>
            </w:r>
          </w:p>
        </w:tc>
        <w:tc>
          <w:tcPr>
            <w:tcW w:w="1109" w:type="dxa"/>
            <w:noWrap/>
            <w:vAlign w:val="center"/>
            <w:hideMark/>
          </w:tcPr>
          <w:p w14:paraId="78FF6441"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$86.85</w:t>
            </w:r>
          </w:p>
        </w:tc>
        <w:tc>
          <w:tcPr>
            <w:tcW w:w="1109" w:type="dxa"/>
            <w:noWrap/>
            <w:vAlign w:val="center"/>
            <w:hideMark/>
          </w:tcPr>
          <w:p w14:paraId="78B5F9B0"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$116.27</w:t>
            </w:r>
          </w:p>
        </w:tc>
        <w:tc>
          <w:tcPr>
            <w:tcW w:w="1134" w:type="dxa"/>
            <w:noWrap/>
            <w:vAlign w:val="center"/>
            <w:hideMark/>
          </w:tcPr>
          <w:p w14:paraId="7838BA50"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$136.43</w:t>
            </w:r>
          </w:p>
        </w:tc>
      </w:tr>
      <w:tr w:rsidR="00D53E6F" w:rsidRPr="006B4621" w14:paraId="275E4186" w14:textId="77777777" w:rsidTr="004A7B59">
        <w:trPr>
          <w:trHeight w:val="143"/>
          <w:jc w:val="center"/>
        </w:trPr>
        <w:tc>
          <w:tcPr>
            <w:tcW w:w="3229" w:type="dxa"/>
            <w:vAlign w:val="center"/>
          </w:tcPr>
          <w:p w14:paraId="3336453B" w14:textId="77777777" w:rsidR="00D53E6F" w:rsidRPr="004A7B59" w:rsidRDefault="00D53E6F" w:rsidP="00E91144">
            <w:pPr>
              <w:spacing w:line="240" w:lineRule="auto"/>
              <w:rPr>
                <w:color w:val="auto"/>
                <w:sz w:val="20"/>
                <w:szCs w:val="20"/>
              </w:rPr>
            </w:pPr>
            <w:r w:rsidRPr="004A7B59">
              <w:rPr>
                <w:color w:val="000000"/>
                <w:sz w:val="20"/>
                <w:szCs w:val="20"/>
              </w:rPr>
              <w:t>Relief request preparation and submission (hours)</w:t>
            </w:r>
          </w:p>
        </w:tc>
        <w:tc>
          <w:tcPr>
            <w:tcW w:w="1318" w:type="dxa"/>
            <w:noWrap/>
            <w:vAlign w:val="center"/>
          </w:tcPr>
          <w:p w14:paraId="440AA679" w14:textId="77777777" w:rsidR="00D53E6F" w:rsidRPr="004A7B59" w:rsidRDefault="00D53E6F" w:rsidP="004A7B59">
            <w:pPr>
              <w:spacing w:line="240" w:lineRule="auto"/>
              <w:jc w:val="center"/>
              <w:rPr>
                <w:color w:val="auto"/>
                <w:sz w:val="20"/>
                <w:szCs w:val="20"/>
              </w:rPr>
            </w:pPr>
            <w:r w:rsidRPr="004A7B59">
              <w:rPr>
                <w:color w:val="auto"/>
                <w:sz w:val="20"/>
                <w:szCs w:val="20"/>
              </w:rPr>
              <w:t>380.0</w:t>
            </w:r>
          </w:p>
        </w:tc>
        <w:tc>
          <w:tcPr>
            <w:tcW w:w="1451" w:type="dxa"/>
            <w:noWrap/>
            <w:vAlign w:val="center"/>
          </w:tcPr>
          <w:p w14:paraId="67A15914" w14:textId="77777777" w:rsidR="00D53E6F" w:rsidRPr="004A7B59" w:rsidRDefault="00D53E6F" w:rsidP="004A7B59">
            <w:pPr>
              <w:spacing w:line="240" w:lineRule="auto"/>
              <w:jc w:val="center"/>
              <w:rPr>
                <w:color w:val="auto"/>
                <w:sz w:val="20"/>
                <w:szCs w:val="20"/>
              </w:rPr>
            </w:pPr>
            <w:r w:rsidRPr="004A7B59">
              <w:rPr>
                <w:color w:val="000000"/>
                <w:sz w:val="20"/>
                <w:szCs w:val="20"/>
              </w:rPr>
              <w:t>PERT</w:t>
            </w:r>
          </w:p>
        </w:tc>
        <w:tc>
          <w:tcPr>
            <w:tcW w:w="1109" w:type="dxa"/>
            <w:noWrap/>
            <w:vAlign w:val="center"/>
          </w:tcPr>
          <w:p w14:paraId="33E34E66" w14:textId="77777777" w:rsidR="00D53E6F" w:rsidRPr="004A7B59" w:rsidRDefault="00D53E6F" w:rsidP="004A7B59">
            <w:pPr>
              <w:spacing w:line="240" w:lineRule="auto"/>
              <w:jc w:val="center"/>
              <w:rPr>
                <w:color w:val="auto"/>
                <w:sz w:val="20"/>
                <w:szCs w:val="20"/>
              </w:rPr>
            </w:pPr>
            <w:r w:rsidRPr="004A7B59">
              <w:rPr>
                <w:color w:val="000000"/>
                <w:sz w:val="20"/>
                <w:szCs w:val="20"/>
              </w:rPr>
              <w:t>100</w:t>
            </w:r>
          </w:p>
        </w:tc>
        <w:tc>
          <w:tcPr>
            <w:tcW w:w="1109" w:type="dxa"/>
            <w:noWrap/>
            <w:vAlign w:val="center"/>
          </w:tcPr>
          <w:p w14:paraId="32437BBE" w14:textId="77777777" w:rsidR="00D53E6F" w:rsidRPr="004A7B59" w:rsidRDefault="00D53E6F" w:rsidP="004A7B59">
            <w:pPr>
              <w:spacing w:line="240" w:lineRule="auto"/>
              <w:jc w:val="center"/>
              <w:rPr>
                <w:color w:val="auto"/>
                <w:sz w:val="20"/>
                <w:szCs w:val="20"/>
              </w:rPr>
            </w:pPr>
            <w:r w:rsidRPr="004A7B59">
              <w:rPr>
                <w:color w:val="000000"/>
                <w:sz w:val="20"/>
                <w:szCs w:val="20"/>
              </w:rPr>
              <w:t>380</w:t>
            </w:r>
          </w:p>
        </w:tc>
        <w:tc>
          <w:tcPr>
            <w:tcW w:w="1134" w:type="dxa"/>
            <w:noWrap/>
            <w:vAlign w:val="center"/>
          </w:tcPr>
          <w:p w14:paraId="61EEF5F2" w14:textId="77777777" w:rsidR="00D53E6F" w:rsidRPr="004A7B59" w:rsidRDefault="00D53E6F" w:rsidP="004A7B59">
            <w:pPr>
              <w:spacing w:line="240" w:lineRule="auto"/>
              <w:jc w:val="center"/>
              <w:rPr>
                <w:color w:val="auto"/>
                <w:sz w:val="20"/>
                <w:szCs w:val="20"/>
              </w:rPr>
            </w:pPr>
            <w:r w:rsidRPr="004A7B59">
              <w:rPr>
                <w:color w:val="000000"/>
                <w:sz w:val="20"/>
                <w:szCs w:val="20"/>
              </w:rPr>
              <w:t>660</w:t>
            </w:r>
          </w:p>
        </w:tc>
      </w:tr>
      <w:tr w:rsidR="00D53E6F" w:rsidRPr="006B4621" w14:paraId="798506B9" w14:textId="77777777" w:rsidTr="004A7B59">
        <w:trPr>
          <w:trHeight w:val="170"/>
          <w:jc w:val="center"/>
        </w:trPr>
        <w:tc>
          <w:tcPr>
            <w:tcW w:w="3229" w:type="dxa"/>
            <w:vAlign w:val="center"/>
            <w:hideMark/>
          </w:tcPr>
          <w:p w14:paraId="660467C7" w14:textId="77777777" w:rsidR="00D53E6F" w:rsidRPr="004A7B59" w:rsidRDefault="00D53E6F" w:rsidP="00E91144">
            <w:pPr>
              <w:spacing w:line="240" w:lineRule="auto"/>
              <w:rPr>
                <w:color w:val="auto"/>
                <w:sz w:val="20"/>
                <w:szCs w:val="20"/>
                <w:highlight w:val="yellow"/>
              </w:rPr>
            </w:pPr>
            <w:r w:rsidRPr="004A7B59">
              <w:rPr>
                <w:color w:val="000000"/>
                <w:sz w:val="20"/>
                <w:szCs w:val="20"/>
              </w:rPr>
              <w:t>Number of relief requests per year</w:t>
            </w:r>
          </w:p>
        </w:tc>
        <w:tc>
          <w:tcPr>
            <w:tcW w:w="1318" w:type="dxa"/>
            <w:noWrap/>
            <w:vAlign w:val="center"/>
            <w:hideMark/>
          </w:tcPr>
          <w:p w14:paraId="520E1CAD"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23.6</w:t>
            </w:r>
          </w:p>
        </w:tc>
        <w:tc>
          <w:tcPr>
            <w:tcW w:w="1451" w:type="dxa"/>
            <w:noWrap/>
            <w:vAlign w:val="center"/>
            <w:hideMark/>
          </w:tcPr>
          <w:p w14:paraId="026EFB75"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PERT</w:t>
            </w:r>
          </w:p>
        </w:tc>
        <w:tc>
          <w:tcPr>
            <w:tcW w:w="1109" w:type="dxa"/>
            <w:noWrap/>
            <w:vAlign w:val="center"/>
            <w:hideMark/>
          </w:tcPr>
          <w:p w14:paraId="76B16C7A"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16.5</w:t>
            </w:r>
          </w:p>
        </w:tc>
        <w:tc>
          <w:tcPr>
            <w:tcW w:w="1109" w:type="dxa"/>
            <w:noWrap/>
            <w:vAlign w:val="center"/>
            <w:hideMark/>
          </w:tcPr>
          <w:p w14:paraId="0F9B6E46"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22.5</w:t>
            </w:r>
          </w:p>
        </w:tc>
        <w:tc>
          <w:tcPr>
            <w:tcW w:w="1134" w:type="dxa"/>
            <w:noWrap/>
            <w:vAlign w:val="center"/>
            <w:hideMark/>
          </w:tcPr>
          <w:p w14:paraId="58E237D7"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35.0</w:t>
            </w:r>
          </w:p>
        </w:tc>
      </w:tr>
      <w:tr w:rsidR="00D53E6F" w:rsidRPr="006B4621" w14:paraId="1B940C09" w14:textId="77777777" w:rsidTr="004A7B59">
        <w:trPr>
          <w:trHeight w:val="374"/>
          <w:jc w:val="center"/>
        </w:trPr>
        <w:tc>
          <w:tcPr>
            <w:tcW w:w="9350" w:type="dxa"/>
            <w:gridSpan w:val="6"/>
            <w:vAlign w:val="center"/>
            <w:hideMark/>
          </w:tcPr>
          <w:p w14:paraId="7F5FDC51" w14:textId="77777777" w:rsidR="00D53E6F" w:rsidRPr="004A7B59" w:rsidRDefault="00D53E6F" w:rsidP="00E91144">
            <w:pPr>
              <w:spacing w:line="240" w:lineRule="auto"/>
              <w:rPr>
                <w:b/>
                <w:bCs/>
                <w:color w:val="auto"/>
                <w:sz w:val="20"/>
                <w:szCs w:val="20"/>
                <w:highlight w:val="yellow"/>
              </w:rPr>
            </w:pPr>
            <w:r w:rsidRPr="004A7B59">
              <w:rPr>
                <w:b/>
                <w:bCs/>
                <w:color w:val="auto"/>
                <w:sz w:val="20"/>
                <w:szCs w:val="20"/>
              </w:rPr>
              <w:t>Averted review of an ASME Code alternative request (NRC)</w:t>
            </w:r>
          </w:p>
        </w:tc>
      </w:tr>
      <w:tr w:rsidR="00D53E6F" w:rsidRPr="006B4621" w14:paraId="52D8C8A9" w14:textId="77777777" w:rsidTr="004A7B59">
        <w:trPr>
          <w:trHeight w:val="116"/>
          <w:jc w:val="center"/>
        </w:trPr>
        <w:tc>
          <w:tcPr>
            <w:tcW w:w="3229" w:type="dxa"/>
            <w:vAlign w:val="center"/>
            <w:hideMark/>
          </w:tcPr>
          <w:p w14:paraId="199E6B72" w14:textId="77777777" w:rsidR="00D53E6F" w:rsidRPr="004A7B59" w:rsidRDefault="00D53E6F" w:rsidP="00E91144">
            <w:pPr>
              <w:spacing w:line="240" w:lineRule="auto"/>
              <w:rPr>
                <w:color w:val="auto"/>
                <w:sz w:val="20"/>
                <w:szCs w:val="20"/>
                <w:highlight w:val="yellow"/>
              </w:rPr>
            </w:pPr>
            <w:r w:rsidRPr="004A7B59">
              <w:rPr>
                <w:color w:val="000000"/>
                <w:sz w:val="20"/>
                <w:szCs w:val="20"/>
              </w:rPr>
              <w:t>Hourly rate for NRC</w:t>
            </w:r>
          </w:p>
        </w:tc>
        <w:tc>
          <w:tcPr>
            <w:tcW w:w="1318" w:type="dxa"/>
            <w:noWrap/>
            <w:vAlign w:val="center"/>
            <w:hideMark/>
          </w:tcPr>
          <w:p w14:paraId="6D8CB466"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$129</w:t>
            </w:r>
          </w:p>
        </w:tc>
        <w:tc>
          <w:tcPr>
            <w:tcW w:w="1451" w:type="dxa"/>
            <w:noWrap/>
            <w:vAlign w:val="center"/>
            <w:hideMark/>
          </w:tcPr>
          <w:p w14:paraId="49F1B1E7"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PERT</w:t>
            </w:r>
          </w:p>
        </w:tc>
        <w:tc>
          <w:tcPr>
            <w:tcW w:w="1109" w:type="dxa"/>
            <w:noWrap/>
            <w:vAlign w:val="center"/>
            <w:hideMark/>
          </w:tcPr>
          <w:p w14:paraId="5842C6B4"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$129</w:t>
            </w:r>
          </w:p>
        </w:tc>
        <w:tc>
          <w:tcPr>
            <w:tcW w:w="1109" w:type="dxa"/>
            <w:noWrap/>
            <w:vAlign w:val="center"/>
            <w:hideMark/>
          </w:tcPr>
          <w:p w14:paraId="14CDD4CA"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$129</w:t>
            </w:r>
          </w:p>
        </w:tc>
        <w:tc>
          <w:tcPr>
            <w:tcW w:w="1134" w:type="dxa"/>
            <w:noWrap/>
            <w:vAlign w:val="center"/>
            <w:hideMark/>
          </w:tcPr>
          <w:p w14:paraId="3769045A"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$129</w:t>
            </w:r>
          </w:p>
        </w:tc>
      </w:tr>
      <w:tr w:rsidR="00D53E6F" w:rsidRPr="006B4621" w14:paraId="707D7EC4" w14:textId="77777777" w:rsidTr="004A7B59">
        <w:trPr>
          <w:trHeight w:val="143"/>
          <w:jc w:val="center"/>
        </w:trPr>
        <w:tc>
          <w:tcPr>
            <w:tcW w:w="3229" w:type="dxa"/>
            <w:vAlign w:val="center"/>
            <w:hideMark/>
          </w:tcPr>
          <w:p w14:paraId="6196DEAC" w14:textId="77777777" w:rsidR="00D53E6F" w:rsidRPr="004A7B59" w:rsidRDefault="00D53E6F" w:rsidP="00E91144">
            <w:pPr>
              <w:spacing w:line="240" w:lineRule="auto"/>
              <w:rPr>
                <w:color w:val="auto"/>
                <w:sz w:val="20"/>
                <w:szCs w:val="20"/>
                <w:highlight w:val="yellow"/>
              </w:rPr>
            </w:pPr>
            <w:r w:rsidRPr="004A7B59">
              <w:rPr>
                <w:color w:val="000000"/>
                <w:sz w:val="20"/>
                <w:szCs w:val="20"/>
              </w:rPr>
              <w:t>Hours to review</w:t>
            </w:r>
          </w:p>
        </w:tc>
        <w:tc>
          <w:tcPr>
            <w:tcW w:w="1318" w:type="dxa"/>
            <w:noWrap/>
            <w:vAlign w:val="center"/>
            <w:hideMark/>
          </w:tcPr>
          <w:p w14:paraId="73E9602C"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143.3</w:t>
            </w:r>
          </w:p>
        </w:tc>
        <w:tc>
          <w:tcPr>
            <w:tcW w:w="1451" w:type="dxa"/>
            <w:noWrap/>
            <w:vAlign w:val="center"/>
            <w:hideMark/>
          </w:tcPr>
          <w:p w14:paraId="5B1B6335"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PERT</w:t>
            </w:r>
          </w:p>
        </w:tc>
        <w:tc>
          <w:tcPr>
            <w:tcW w:w="1109" w:type="dxa"/>
            <w:noWrap/>
            <w:vAlign w:val="center"/>
            <w:hideMark/>
          </w:tcPr>
          <w:p w14:paraId="44B9BF65"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120</w:t>
            </w:r>
          </w:p>
        </w:tc>
        <w:tc>
          <w:tcPr>
            <w:tcW w:w="1109" w:type="dxa"/>
            <w:noWrap/>
            <w:vAlign w:val="center"/>
            <w:hideMark/>
          </w:tcPr>
          <w:p w14:paraId="24F0690C"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140</w:t>
            </w:r>
          </w:p>
        </w:tc>
        <w:tc>
          <w:tcPr>
            <w:tcW w:w="1134" w:type="dxa"/>
            <w:noWrap/>
            <w:vAlign w:val="center"/>
            <w:hideMark/>
          </w:tcPr>
          <w:p w14:paraId="35FAC5A8"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180</w:t>
            </w:r>
          </w:p>
        </w:tc>
      </w:tr>
      <w:tr w:rsidR="00D53E6F" w:rsidRPr="006B4621" w14:paraId="79C4D741" w14:textId="77777777" w:rsidTr="004A7B59">
        <w:trPr>
          <w:trHeight w:val="188"/>
          <w:jc w:val="center"/>
        </w:trPr>
        <w:tc>
          <w:tcPr>
            <w:tcW w:w="3229" w:type="dxa"/>
            <w:vAlign w:val="center"/>
            <w:hideMark/>
          </w:tcPr>
          <w:p w14:paraId="19752303" w14:textId="77777777" w:rsidR="00D53E6F" w:rsidRPr="004A7B59" w:rsidRDefault="00D53E6F" w:rsidP="00E91144">
            <w:pPr>
              <w:spacing w:line="240" w:lineRule="auto"/>
              <w:rPr>
                <w:color w:val="auto"/>
                <w:sz w:val="20"/>
                <w:szCs w:val="20"/>
                <w:highlight w:val="yellow"/>
              </w:rPr>
            </w:pPr>
            <w:r w:rsidRPr="004A7B59">
              <w:rPr>
                <w:color w:val="000000"/>
                <w:sz w:val="20"/>
                <w:szCs w:val="20"/>
              </w:rPr>
              <w:t>Number of actions (this is a recurring averted cost)</w:t>
            </w:r>
          </w:p>
        </w:tc>
        <w:tc>
          <w:tcPr>
            <w:tcW w:w="1318" w:type="dxa"/>
            <w:noWrap/>
            <w:vAlign w:val="center"/>
            <w:hideMark/>
          </w:tcPr>
          <w:p w14:paraId="3DCCDCAB" w14:textId="77777777" w:rsidR="00D53E6F" w:rsidRPr="004A7B59" w:rsidRDefault="00D53E6F" w:rsidP="004A7B59">
            <w:pPr>
              <w:spacing w:line="240" w:lineRule="auto"/>
              <w:jc w:val="center"/>
              <w:rPr>
                <w:color w:val="auto"/>
                <w:sz w:val="20"/>
                <w:szCs w:val="20"/>
                <w:highlight w:val="yellow"/>
              </w:rPr>
            </w:pPr>
            <w:r w:rsidRPr="004A7B59">
              <w:rPr>
                <w:color w:val="auto"/>
                <w:sz w:val="20"/>
                <w:szCs w:val="20"/>
              </w:rPr>
              <w:t>23.6</w:t>
            </w:r>
          </w:p>
        </w:tc>
        <w:tc>
          <w:tcPr>
            <w:tcW w:w="1451" w:type="dxa"/>
            <w:noWrap/>
            <w:vAlign w:val="center"/>
            <w:hideMark/>
          </w:tcPr>
          <w:p w14:paraId="773A56E6"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PERT</w:t>
            </w:r>
          </w:p>
        </w:tc>
        <w:tc>
          <w:tcPr>
            <w:tcW w:w="1109" w:type="dxa"/>
            <w:noWrap/>
            <w:vAlign w:val="center"/>
            <w:hideMark/>
          </w:tcPr>
          <w:p w14:paraId="14249A09"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16.5</w:t>
            </w:r>
          </w:p>
        </w:tc>
        <w:tc>
          <w:tcPr>
            <w:tcW w:w="1109" w:type="dxa"/>
            <w:noWrap/>
            <w:vAlign w:val="center"/>
            <w:hideMark/>
          </w:tcPr>
          <w:p w14:paraId="5B361513"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22.5</w:t>
            </w:r>
          </w:p>
        </w:tc>
        <w:tc>
          <w:tcPr>
            <w:tcW w:w="1134" w:type="dxa"/>
            <w:noWrap/>
            <w:vAlign w:val="center"/>
            <w:hideMark/>
          </w:tcPr>
          <w:p w14:paraId="44D35085" w14:textId="77777777" w:rsidR="00D53E6F" w:rsidRPr="004A7B59" w:rsidRDefault="00D53E6F" w:rsidP="004A7B59">
            <w:pPr>
              <w:spacing w:line="240" w:lineRule="auto"/>
              <w:jc w:val="center"/>
              <w:rPr>
                <w:color w:val="auto"/>
                <w:sz w:val="20"/>
                <w:szCs w:val="20"/>
                <w:highlight w:val="yellow"/>
              </w:rPr>
            </w:pPr>
            <w:r w:rsidRPr="004A7B59">
              <w:rPr>
                <w:color w:val="000000"/>
                <w:sz w:val="20"/>
                <w:szCs w:val="20"/>
              </w:rPr>
              <w:t>35.0</w:t>
            </w:r>
          </w:p>
        </w:tc>
      </w:tr>
    </w:tbl>
    <w:p w14:paraId="0F82C9C2" w14:textId="77777777" w:rsidR="00D53E6F" w:rsidRDefault="00D53E6F" w:rsidP="00D53E6F">
      <w:pPr>
        <w:spacing w:line="240" w:lineRule="auto"/>
      </w:pPr>
      <w:bookmarkStart w:id="365" w:name="_Toc436817855"/>
      <w:bookmarkStart w:id="366" w:name="_Toc443059997"/>
      <w:bookmarkStart w:id="367" w:name="_Toc456098349"/>
    </w:p>
    <w:p w14:paraId="2782D5BE" w14:textId="77777777" w:rsidR="00D53E6F" w:rsidRDefault="00D53E6F" w:rsidP="00D53E6F">
      <w:pPr>
        <w:pStyle w:val="Heading3"/>
        <w:spacing w:line="240" w:lineRule="auto"/>
        <w:ind w:left="900" w:hanging="900"/>
      </w:pPr>
      <w:bookmarkStart w:id="368" w:name="_Toc12808894"/>
      <w:r>
        <w:t>5.13.2</w:t>
      </w:r>
      <w:r>
        <w:tab/>
      </w:r>
      <w:bookmarkStart w:id="369" w:name="_Toc457827362"/>
      <w:r>
        <w:t>Uncertainty Analysis Results</w:t>
      </w:r>
      <w:bookmarkEnd w:id="365"/>
      <w:bookmarkEnd w:id="366"/>
      <w:bookmarkEnd w:id="367"/>
      <w:bookmarkEnd w:id="368"/>
      <w:bookmarkEnd w:id="369"/>
    </w:p>
    <w:p w14:paraId="614EB1B0" w14:textId="77777777" w:rsidR="00D53E6F" w:rsidRDefault="00D53E6F" w:rsidP="00D53E6F">
      <w:pPr>
        <w:keepNext/>
        <w:spacing w:line="240" w:lineRule="auto"/>
      </w:pPr>
    </w:p>
    <w:p w14:paraId="23039AB6" w14:textId="162B864A" w:rsidR="00D53E6F" w:rsidRDefault="00D53E6F" w:rsidP="00D53E6F">
      <w:pPr>
        <w:spacing w:line="240" w:lineRule="auto"/>
      </w:pPr>
      <w:r>
        <w:t xml:space="preserve">The NRC performed the Monte Carlo simulation by repeatedly recalculating the results 10,000 times.  For each iteration, the values identified in </w:t>
      </w:r>
      <w:r w:rsidRPr="00C917F4">
        <w:fldChar w:fldCharType="begin"/>
      </w:r>
      <w:r w:rsidRPr="00C917F4">
        <w:instrText xml:space="preserve"> REF _Ref453770338 \h </w:instrText>
      </w:r>
      <w:r>
        <w:instrText xml:space="preserve"> \* MERGEFORMAT </w:instrText>
      </w:r>
      <w:r w:rsidRPr="00C917F4">
        <w:fldChar w:fldCharType="separate"/>
      </w:r>
      <w:r w:rsidR="00F05D99" w:rsidRPr="00F05D99">
        <w:t xml:space="preserve">Table </w:t>
      </w:r>
      <w:r w:rsidR="00F05D99" w:rsidRPr="00F05D99">
        <w:rPr>
          <w:noProof/>
        </w:rPr>
        <w:t>20</w:t>
      </w:r>
      <w:r w:rsidRPr="00C917F4">
        <w:fldChar w:fldCharType="end"/>
      </w:r>
      <w:r>
        <w:t xml:space="preserve"> were chosen randomly from the probability distributions that define the input variables.  The values of the output variables were recorded for each iteration, and these values were used to define the resultant probability distribution.</w:t>
      </w:r>
    </w:p>
    <w:p w14:paraId="5C52EF90" w14:textId="77777777" w:rsidR="00D53E6F" w:rsidRDefault="00D53E6F" w:rsidP="00D53E6F">
      <w:pPr>
        <w:spacing w:line="240" w:lineRule="auto"/>
      </w:pPr>
    </w:p>
    <w:p w14:paraId="74BD5109" w14:textId="0DD5DD8F" w:rsidR="00D53E6F" w:rsidRDefault="00D53E6F" w:rsidP="00D53E6F">
      <w:pPr>
        <w:spacing w:line="240" w:lineRule="auto"/>
      </w:pPr>
      <w:r>
        <w:t>For the analysis shown in each figure below, 10,000 </w:t>
      </w:r>
      <w:r w:rsidRPr="000011D0">
        <w:t>simulations were run</w:t>
      </w:r>
      <w:r>
        <w:t xml:space="preserve"> in which the key variables were changed to assess the resulting effect on costs and benefits</w:t>
      </w:r>
      <w:r w:rsidRPr="000011D0">
        <w:t xml:space="preserve">.  </w:t>
      </w:r>
      <w:r w:rsidRPr="00C04AAC">
        <w:fldChar w:fldCharType="begin"/>
      </w:r>
      <w:r w:rsidRPr="00C04AAC">
        <w:instrText xml:space="preserve"> REF _Ref447551186 \h </w:instrText>
      </w:r>
      <w:r w:rsidRPr="00C80453">
        <w:instrText xml:space="preserve"> \* MERGEFORMAT </w:instrText>
      </w:r>
      <w:r w:rsidRPr="00C04AAC">
        <w:fldChar w:fldCharType="separate"/>
      </w:r>
      <w:r w:rsidR="00F05D99" w:rsidRPr="00F05D99">
        <w:t xml:space="preserve">Figure </w:t>
      </w:r>
      <w:r w:rsidR="00F05D99" w:rsidRPr="00F05D99">
        <w:rPr>
          <w:noProof/>
        </w:rPr>
        <w:t>1</w:t>
      </w:r>
      <w:r w:rsidRPr="00C04AAC">
        <w:fldChar w:fldCharType="end"/>
      </w:r>
      <w:r w:rsidRPr="00C04AAC">
        <w:t xml:space="preserve">, </w:t>
      </w:r>
      <w:r>
        <w:t>2, and 3</w:t>
      </w:r>
      <w:r w:rsidRPr="000011D0">
        <w:t xml:space="preserve"> </w:t>
      </w:r>
      <w:r>
        <w:t>d</w:t>
      </w:r>
      <w:r w:rsidRPr="000011D0">
        <w:t>isplay the histograms of the</w:t>
      </w:r>
      <w:r w:rsidRPr="007B2F03">
        <w:t xml:space="preserve"> </w:t>
      </w:r>
      <w:r>
        <w:t>incremental costs and benefits from the regulatory baseline (Alternative 1)</w:t>
      </w:r>
      <w:r w:rsidRPr="007B2F03">
        <w:t xml:space="preserve">. </w:t>
      </w:r>
      <w:r w:rsidRPr="00931C77">
        <w:t xml:space="preserve"> </w:t>
      </w:r>
      <w:r w:rsidRPr="007B2F03">
        <w:t>The analysis show</w:t>
      </w:r>
      <w:r>
        <w:t>s</w:t>
      </w:r>
      <w:r w:rsidRPr="007B2F03">
        <w:t xml:space="preserve"> </w:t>
      </w:r>
      <w:r>
        <w:t xml:space="preserve">that both industry and the NRC would benefit by the issuance of this </w:t>
      </w:r>
      <w:r w:rsidR="00E46B6A">
        <w:t xml:space="preserve">final </w:t>
      </w:r>
      <w:r>
        <w:t>rule.</w:t>
      </w:r>
    </w:p>
    <w:p w14:paraId="1DDAAB6D" w14:textId="02CBF0CE" w:rsidR="00D53E6F" w:rsidRDefault="00D53E6F" w:rsidP="00D53E6F">
      <w:pPr>
        <w:spacing w:line="240" w:lineRule="auto"/>
      </w:pPr>
    </w:p>
    <w:p w14:paraId="68EF3077" w14:textId="58028727" w:rsidR="00D53E6F" w:rsidRDefault="00B75F34" w:rsidP="00D53E6F">
      <w:pPr>
        <w:spacing w:line="240" w:lineRule="auto"/>
      </w:pPr>
      <w:r w:rsidRPr="00B75F34">
        <w:rPr>
          <w:noProof/>
        </w:rPr>
        <w:drawing>
          <wp:inline distT="0" distB="0" distL="0" distR="0" wp14:anchorId="0788832C" wp14:editId="4D8DC134">
            <wp:extent cx="5943600" cy="3141716"/>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3141716"/>
                    </a:xfrm>
                    <a:prstGeom prst="rect">
                      <a:avLst/>
                    </a:prstGeom>
                    <a:noFill/>
                    <a:ln>
                      <a:noFill/>
                    </a:ln>
                  </pic:spPr>
                </pic:pic>
              </a:graphicData>
            </a:graphic>
          </wp:inline>
        </w:drawing>
      </w:r>
    </w:p>
    <w:p w14:paraId="3B232417" w14:textId="0464F719" w:rsidR="00D53E6F" w:rsidRDefault="00D53E6F" w:rsidP="00D53E6F">
      <w:pPr>
        <w:spacing w:line="240" w:lineRule="auto"/>
        <w:jc w:val="center"/>
        <w:rPr>
          <w:b/>
        </w:rPr>
      </w:pPr>
      <w:bookmarkStart w:id="370" w:name="_Ref447551186"/>
      <w:bookmarkStart w:id="371" w:name="_Toc454442714"/>
      <w:bookmarkStart w:id="372" w:name="_Toc457827435"/>
      <w:bookmarkStart w:id="373" w:name="_Toc9428040"/>
      <w:r w:rsidRPr="00C80453">
        <w:rPr>
          <w:b/>
        </w:rPr>
        <w:t xml:space="preserve">Figure </w:t>
      </w:r>
      <w:r w:rsidRPr="00C80453">
        <w:rPr>
          <w:b/>
          <w:noProof/>
        </w:rPr>
        <w:fldChar w:fldCharType="begin"/>
      </w:r>
      <w:r w:rsidRPr="00C80453">
        <w:rPr>
          <w:b/>
          <w:noProof/>
        </w:rPr>
        <w:instrText xml:space="preserve"> SEQ Figure \* ARABIC </w:instrText>
      </w:r>
      <w:r w:rsidRPr="00C80453">
        <w:rPr>
          <w:b/>
          <w:noProof/>
        </w:rPr>
        <w:fldChar w:fldCharType="separate"/>
      </w:r>
      <w:r w:rsidR="00F05D99">
        <w:rPr>
          <w:b/>
          <w:noProof/>
        </w:rPr>
        <w:t>1</w:t>
      </w:r>
      <w:r w:rsidRPr="00C80453">
        <w:rPr>
          <w:b/>
          <w:noProof/>
        </w:rPr>
        <w:fldChar w:fldCharType="end"/>
      </w:r>
      <w:bookmarkEnd w:id="370"/>
      <w:r w:rsidRPr="00C80453">
        <w:rPr>
          <w:b/>
        </w:rPr>
        <w:t xml:space="preserve">  Total </w:t>
      </w:r>
      <w:r w:rsidR="00E91144">
        <w:rPr>
          <w:b/>
        </w:rPr>
        <w:t>I</w:t>
      </w:r>
      <w:r w:rsidRPr="00C80453">
        <w:rPr>
          <w:b/>
        </w:rPr>
        <w:t xml:space="preserve">ndustry </w:t>
      </w:r>
      <w:r w:rsidR="00E91144">
        <w:rPr>
          <w:b/>
        </w:rPr>
        <w:t>C</w:t>
      </w:r>
      <w:r w:rsidRPr="00C80453">
        <w:rPr>
          <w:b/>
        </w:rPr>
        <w:t>osts (7-</w:t>
      </w:r>
      <w:r w:rsidR="00E91144">
        <w:rPr>
          <w:b/>
        </w:rPr>
        <w:t>P</w:t>
      </w:r>
      <w:r w:rsidRPr="00C80453">
        <w:rPr>
          <w:b/>
        </w:rPr>
        <w:t>ercent NPV) (Alternative 2</w:t>
      </w:r>
      <w:bookmarkEnd w:id="371"/>
      <w:bookmarkEnd w:id="372"/>
      <w:r w:rsidRPr="00C80453">
        <w:rPr>
          <w:b/>
        </w:rPr>
        <w:t>)</w:t>
      </w:r>
      <w:bookmarkEnd w:id="373"/>
    </w:p>
    <w:p w14:paraId="4E2C5E8C" w14:textId="77777777" w:rsidR="00D53E6F" w:rsidRPr="004A7B59" w:rsidRDefault="00D53E6F" w:rsidP="00D53E6F">
      <w:pPr>
        <w:spacing w:line="240" w:lineRule="auto"/>
        <w:jc w:val="center"/>
      </w:pPr>
    </w:p>
    <w:p w14:paraId="3EF1E48A" w14:textId="48CE6A45" w:rsidR="00D53E6F" w:rsidRDefault="00B75F34" w:rsidP="00D53E6F">
      <w:pPr>
        <w:widowControl w:val="0"/>
        <w:spacing w:line="240" w:lineRule="auto"/>
      </w:pPr>
      <w:r w:rsidRPr="00B75F34">
        <w:rPr>
          <w:noProof/>
        </w:rPr>
        <w:drawing>
          <wp:inline distT="0" distB="0" distL="0" distR="0" wp14:anchorId="2306CCA6" wp14:editId="22F665E0">
            <wp:extent cx="5943600" cy="3141716"/>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3141716"/>
                    </a:xfrm>
                    <a:prstGeom prst="rect">
                      <a:avLst/>
                    </a:prstGeom>
                    <a:noFill/>
                    <a:ln>
                      <a:noFill/>
                    </a:ln>
                  </pic:spPr>
                </pic:pic>
              </a:graphicData>
            </a:graphic>
          </wp:inline>
        </w:drawing>
      </w:r>
    </w:p>
    <w:p w14:paraId="60D9481D" w14:textId="1F96496F" w:rsidR="00D53E6F" w:rsidRPr="00C80453" w:rsidRDefault="00D53E6F" w:rsidP="00D53E6F">
      <w:pPr>
        <w:widowControl w:val="0"/>
        <w:spacing w:line="240" w:lineRule="auto"/>
        <w:jc w:val="center"/>
        <w:rPr>
          <w:b/>
        </w:rPr>
      </w:pPr>
      <w:bookmarkStart w:id="374" w:name="_Ref483485872"/>
      <w:bookmarkStart w:id="375" w:name="_Toc454442715"/>
      <w:bookmarkStart w:id="376" w:name="_Toc457827436"/>
      <w:bookmarkStart w:id="377" w:name="_Toc9428041"/>
      <w:r w:rsidRPr="00C80453">
        <w:rPr>
          <w:b/>
        </w:rPr>
        <w:t xml:space="preserve">Figure </w:t>
      </w:r>
      <w:r w:rsidRPr="00C80453">
        <w:rPr>
          <w:b/>
          <w:noProof/>
        </w:rPr>
        <w:fldChar w:fldCharType="begin"/>
      </w:r>
      <w:r w:rsidRPr="00C80453">
        <w:rPr>
          <w:b/>
          <w:noProof/>
        </w:rPr>
        <w:instrText xml:space="preserve"> SEQ Figure \* ARABIC </w:instrText>
      </w:r>
      <w:r w:rsidRPr="00C80453">
        <w:rPr>
          <w:b/>
          <w:noProof/>
        </w:rPr>
        <w:fldChar w:fldCharType="separate"/>
      </w:r>
      <w:r w:rsidR="00F05D99">
        <w:rPr>
          <w:b/>
          <w:noProof/>
        </w:rPr>
        <w:t>2</w:t>
      </w:r>
      <w:r w:rsidRPr="00C80453">
        <w:rPr>
          <w:b/>
          <w:noProof/>
        </w:rPr>
        <w:fldChar w:fldCharType="end"/>
      </w:r>
      <w:bookmarkEnd w:id="374"/>
      <w:r w:rsidRPr="00C80453">
        <w:rPr>
          <w:b/>
        </w:rPr>
        <w:t xml:space="preserve">  Total NRC </w:t>
      </w:r>
      <w:r w:rsidR="00E91144">
        <w:rPr>
          <w:b/>
        </w:rPr>
        <w:t>C</w:t>
      </w:r>
      <w:r w:rsidRPr="00C80453">
        <w:rPr>
          <w:b/>
        </w:rPr>
        <w:t>osts (7-</w:t>
      </w:r>
      <w:r w:rsidR="00E91144">
        <w:rPr>
          <w:b/>
        </w:rPr>
        <w:t>P</w:t>
      </w:r>
      <w:r w:rsidRPr="00C80453">
        <w:rPr>
          <w:b/>
        </w:rPr>
        <w:t>ercent NPV) (Alternative 2</w:t>
      </w:r>
      <w:bookmarkEnd w:id="375"/>
      <w:bookmarkEnd w:id="376"/>
      <w:r w:rsidRPr="00C80453">
        <w:rPr>
          <w:b/>
        </w:rPr>
        <w:t>)</w:t>
      </w:r>
      <w:bookmarkEnd w:id="377"/>
    </w:p>
    <w:p w14:paraId="0AB07367" w14:textId="77777777" w:rsidR="00D53E6F" w:rsidRDefault="00D53E6F" w:rsidP="00D53E6F">
      <w:pPr>
        <w:widowControl w:val="0"/>
        <w:spacing w:line="240" w:lineRule="auto"/>
      </w:pPr>
    </w:p>
    <w:p w14:paraId="2E47FB5A" w14:textId="68B0FB93" w:rsidR="00D53E6F" w:rsidRDefault="00B75F34" w:rsidP="00D53E6F">
      <w:pPr>
        <w:spacing w:line="240" w:lineRule="auto"/>
      </w:pPr>
      <w:r w:rsidRPr="00B75F34">
        <w:rPr>
          <w:noProof/>
        </w:rPr>
        <w:drawing>
          <wp:inline distT="0" distB="0" distL="0" distR="0" wp14:anchorId="4C35569B" wp14:editId="51682CB8">
            <wp:extent cx="5943600" cy="3141716"/>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3141716"/>
                    </a:xfrm>
                    <a:prstGeom prst="rect">
                      <a:avLst/>
                    </a:prstGeom>
                    <a:noFill/>
                    <a:ln>
                      <a:noFill/>
                    </a:ln>
                  </pic:spPr>
                </pic:pic>
              </a:graphicData>
            </a:graphic>
          </wp:inline>
        </w:drawing>
      </w:r>
    </w:p>
    <w:p w14:paraId="1A8289BC" w14:textId="1FC2ADD0" w:rsidR="00D53E6F" w:rsidRPr="00C80453" w:rsidRDefault="00D53E6F" w:rsidP="00D53E6F">
      <w:pPr>
        <w:pStyle w:val="Caption"/>
        <w:spacing w:line="240" w:lineRule="auto"/>
        <w:ind w:left="1080" w:hanging="1080"/>
        <w:jc w:val="center"/>
        <w:rPr>
          <w:b/>
        </w:rPr>
      </w:pPr>
      <w:bookmarkStart w:id="378" w:name="_Ref447551195"/>
      <w:bookmarkStart w:id="379" w:name="_Toc454442716"/>
      <w:bookmarkStart w:id="380" w:name="_Toc457827437"/>
      <w:bookmarkStart w:id="381" w:name="_Toc9428042"/>
      <w:r w:rsidRPr="00C80453">
        <w:rPr>
          <w:b/>
        </w:rPr>
        <w:t xml:space="preserve">Figure </w:t>
      </w:r>
      <w:r w:rsidRPr="00C80453">
        <w:rPr>
          <w:b/>
          <w:noProof/>
        </w:rPr>
        <w:fldChar w:fldCharType="begin"/>
      </w:r>
      <w:r w:rsidRPr="00C80453">
        <w:rPr>
          <w:b/>
          <w:noProof/>
        </w:rPr>
        <w:instrText xml:space="preserve"> SEQ Figure \* ARABIC </w:instrText>
      </w:r>
      <w:r w:rsidRPr="00C80453">
        <w:rPr>
          <w:b/>
          <w:noProof/>
        </w:rPr>
        <w:fldChar w:fldCharType="separate"/>
      </w:r>
      <w:r w:rsidR="00F05D99">
        <w:rPr>
          <w:b/>
          <w:noProof/>
        </w:rPr>
        <w:t>3</w:t>
      </w:r>
      <w:r w:rsidRPr="00C80453">
        <w:rPr>
          <w:b/>
          <w:noProof/>
        </w:rPr>
        <w:fldChar w:fldCharType="end"/>
      </w:r>
      <w:bookmarkEnd w:id="378"/>
      <w:r w:rsidRPr="00C80453">
        <w:rPr>
          <w:b/>
        </w:rPr>
        <w:t xml:space="preserve">  Total </w:t>
      </w:r>
      <w:r w:rsidR="00E91144">
        <w:rPr>
          <w:b/>
        </w:rPr>
        <w:t>C</w:t>
      </w:r>
      <w:r w:rsidRPr="00C80453">
        <w:rPr>
          <w:b/>
        </w:rPr>
        <w:t>osts (7-</w:t>
      </w:r>
      <w:r w:rsidR="00E91144">
        <w:rPr>
          <w:b/>
        </w:rPr>
        <w:t>P</w:t>
      </w:r>
      <w:r w:rsidRPr="00C80453">
        <w:rPr>
          <w:b/>
        </w:rPr>
        <w:t>ercent NPV) (Alternative 2</w:t>
      </w:r>
      <w:bookmarkEnd w:id="379"/>
      <w:bookmarkEnd w:id="380"/>
      <w:r w:rsidRPr="00C80453">
        <w:rPr>
          <w:b/>
        </w:rPr>
        <w:t>)</w:t>
      </w:r>
      <w:bookmarkEnd w:id="381"/>
    </w:p>
    <w:p w14:paraId="1CEAA334" w14:textId="73380B2D" w:rsidR="00D53E6F" w:rsidRPr="00C04AAC" w:rsidRDefault="00D53E6F" w:rsidP="00D53E6F">
      <w:pPr>
        <w:spacing w:line="240" w:lineRule="auto"/>
      </w:pPr>
      <w:r w:rsidRPr="00C04AAC">
        <w:fldChar w:fldCharType="begin"/>
      </w:r>
      <w:r w:rsidRPr="00C04AAC">
        <w:instrText xml:space="preserve"> REF _Ref453770447 \h </w:instrText>
      </w:r>
      <w:r w:rsidRPr="00105536">
        <w:rPr>
          <w:b/>
        </w:rPr>
        <w:instrText xml:space="preserve"> \* MERGEFORMAT </w:instrText>
      </w:r>
      <w:r w:rsidRPr="00C04AAC">
        <w:fldChar w:fldCharType="separate"/>
      </w:r>
      <w:r w:rsidR="00F05D99" w:rsidRPr="00F05D99">
        <w:t xml:space="preserve">Table </w:t>
      </w:r>
      <w:r w:rsidR="00F05D99" w:rsidRPr="00F05D99">
        <w:rPr>
          <w:noProof/>
        </w:rPr>
        <w:t>21</w:t>
      </w:r>
      <w:r w:rsidRPr="00C04AAC">
        <w:fldChar w:fldCharType="end"/>
      </w:r>
      <w:r w:rsidRPr="00C04AAC">
        <w:t xml:space="preserve"> presents descriptive statistics for the uncertainty analysis.  The 5</w:t>
      </w:r>
      <w:r w:rsidRPr="00C04AAC">
        <w:noBreakHyphen/>
        <w:t>percent and 95</w:t>
      </w:r>
      <w:r w:rsidRPr="00C04AAC">
        <w:noBreakHyphen/>
        <w:t xml:space="preserve">percent values (i.e., the bands marked “5.0%” on either side of the “90.0%” confidence interval in </w:t>
      </w:r>
      <w:r w:rsidRPr="00C04AAC">
        <w:fldChar w:fldCharType="begin"/>
      </w:r>
      <w:r w:rsidRPr="00C04AAC">
        <w:instrText xml:space="preserve"> REF _Ref447551186 \h </w:instrText>
      </w:r>
      <w:r w:rsidRPr="00105536">
        <w:rPr>
          <w:b/>
        </w:rPr>
        <w:instrText xml:space="preserve"> \* MERGEFORMAT </w:instrText>
      </w:r>
      <w:r w:rsidRPr="00C04AAC">
        <w:fldChar w:fldCharType="separate"/>
      </w:r>
      <w:r w:rsidR="00F05D99" w:rsidRPr="00F05D99">
        <w:t xml:space="preserve">Figure </w:t>
      </w:r>
      <w:r w:rsidR="00F05D99" w:rsidRPr="00F05D99">
        <w:rPr>
          <w:noProof/>
        </w:rPr>
        <w:t>1</w:t>
      </w:r>
      <w:r w:rsidRPr="00C04AAC">
        <w:fldChar w:fldCharType="end"/>
      </w:r>
      <w:r w:rsidRPr="00C04AAC">
        <w:t xml:space="preserve"> and </w:t>
      </w:r>
      <w:r w:rsidRPr="00C04AAC">
        <w:fldChar w:fldCharType="begin"/>
      </w:r>
      <w:r w:rsidRPr="00C04AAC">
        <w:instrText xml:space="preserve"> REF _Ref483485872 \h </w:instrText>
      </w:r>
      <w:r w:rsidRPr="00105536">
        <w:rPr>
          <w:b/>
        </w:rPr>
        <w:instrText xml:space="preserve"> \* MERGEFORMAT </w:instrText>
      </w:r>
      <w:r w:rsidRPr="00C04AAC">
        <w:fldChar w:fldCharType="separate"/>
      </w:r>
      <w:r w:rsidR="00F05D99" w:rsidRPr="00F05D99">
        <w:t xml:space="preserve">Figure </w:t>
      </w:r>
      <w:r w:rsidR="00F05D99" w:rsidRPr="00F05D99">
        <w:rPr>
          <w:noProof/>
        </w:rPr>
        <w:t>2</w:t>
      </w:r>
      <w:r w:rsidRPr="00C04AAC">
        <w:fldChar w:fldCharType="end"/>
      </w:r>
      <w:r w:rsidRPr="00C04AAC">
        <w:t xml:space="preserve">) that appear as numerical values on the top of the vertical lines in </w:t>
      </w:r>
      <w:r w:rsidRPr="00C04AAC">
        <w:fldChar w:fldCharType="begin"/>
      </w:r>
      <w:r w:rsidRPr="00C04AAC">
        <w:instrText xml:space="preserve"> REF _Ref447551186 \h </w:instrText>
      </w:r>
      <w:r w:rsidRPr="00105536">
        <w:rPr>
          <w:b/>
        </w:rPr>
        <w:instrText xml:space="preserve"> \* MERGEFORMAT </w:instrText>
      </w:r>
      <w:r w:rsidRPr="00C04AAC">
        <w:fldChar w:fldCharType="separate"/>
      </w:r>
      <w:r w:rsidR="00F05D99" w:rsidRPr="00F05D99">
        <w:t xml:space="preserve">Figure </w:t>
      </w:r>
      <w:r w:rsidR="00F05D99" w:rsidRPr="00F05D99">
        <w:rPr>
          <w:noProof/>
        </w:rPr>
        <w:t>1</w:t>
      </w:r>
      <w:r w:rsidRPr="00C04AAC">
        <w:fldChar w:fldCharType="end"/>
      </w:r>
      <w:r w:rsidRPr="00C04AAC">
        <w:t xml:space="preserve">, 2, and 3 are reflected in </w:t>
      </w:r>
      <w:r w:rsidRPr="00C04AAC">
        <w:fldChar w:fldCharType="begin"/>
      </w:r>
      <w:r w:rsidRPr="00C04AAC">
        <w:instrText xml:space="preserve"> REF _Ref453770447 \h </w:instrText>
      </w:r>
      <w:r w:rsidRPr="00105536">
        <w:rPr>
          <w:b/>
        </w:rPr>
        <w:instrText xml:space="preserve"> \* MERGEFORMAT </w:instrText>
      </w:r>
      <w:r w:rsidRPr="00C04AAC">
        <w:fldChar w:fldCharType="separate"/>
      </w:r>
      <w:r w:rsidR="00F05D99" w:rsidRPr="00F05D99">
        <w:t xml:space="preserve">Table </w:t>
      </w:r>
      <w:r w:rsidR="00F05D99" w:rsidRPr="00F05D99">
        <w:rPr>
          <w:noProof/>
        </w:rPr>
        <w:t>21</w:t>
      </w:r>
      <w:r w:rsidRPr="00C04AAC">
        <w:fldChar w:fldCharType="end"/>
      </w:r>
      <w:r w:rsidRPr="00C04AAC">
        <w:t xml:space="preserve"> (rounded) as the 0.05 and 0.95 values, respectively.</w:t>
      </w:r>
    </w:p>
    <w:p w14:paraId="7083B451" w14:textId="77777777" w:rsidR="00D53E6F" w:rsidRDefault="00D53E6F" w:rsidP="00D53E6F">
      <w:pPr>
        <w:spacing w:line="240" w:lineRule="auto"/>
      </w:pPr>
    </w:p>
    <w:p w14:paraId="07A96AA2" w14:textId="5BD36C71" w:rsidR="00D53E6F" w:rsidRPr="00C80453" w:rsidRDefault="00D53E6F" w:rsidP="00D53E6F">
      <w:pPr>
        <w:pStyle w:val="Caption"/>
        <w:spacing w:line="240" w:lineRule="auto"/>
        <w:ind w:left="1080" w:hanging="1080"/>
        <w:jc w:val="center"/>
        <w:rPr>
          <w:b/>
        </w:rPr>
      </w:pPr>
      <w:bookmarkStart w:id="382" w:name="_Ref453770447"/>
      <w:bookmarkStart w:id="383" w:name="_Toc454442495"/>
      <w:bookmarkStart w:id="384" w:name="_Toc457827415"/>
      <w:bookmarkStart w:id="385" w:name="_Toc9428150"/>
      <w:r w:rsidRPr="00C80453">
        <w:rPr>
          <w:b/>
        </w:rPr>
        <w:t xml:space="preserve">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21</w:t>
      </w:r>
      <w:r w:rsidRPr="00C80453">
        <w:rPr>
          <w:b/>
          <w:noProof/>
        </w:rPr>
        <w:fldChar w:fldCharType="end"/>
      </w:r>
      <w:bookmarkEnd w:id="382"/>
      <w:r w:rsidRPr="00C80453">
        <w:rPr>
          <w:b/>
        </w:rPr>
        <w:t xml:space="preserve">  Descriptive Statistics for Uncertainty Results (7-Percent NPV)</w:t>
      </w:r>
      <w:bookmarkEnd w:id="383"/>
      <w:bookmarkEnd w:id="384"/>
      <w:bookmarkEnd w:id="385"/>
    </w:p>
    <w:tbl>
      <w:tblPr>
        <w:tblW w:w="9640" w:type="dxa"/>
        <w:jc w:val="center"/>
        <w:tblLayout w:type="fixed"/>
        <w:tblLook w:val="04A0" w:firstRow="1" w:lastRow="0" w:firstColumn="1" w:lastColumn="0" w:noHBand="0" w:noVBand="1"/>
      </w:tblPr>
      <w:tblGrid>
        <w:gridCol w:w="1895"/>
        <w:gridCol w:w="1191"/>
        <w:gridCol w:w="1291"/>
        <w:gridCol w:w="1326"/>
        <w:gridCol w:w="1355"/>
        <w:gridCol w:w="1291"/>
        <w:gridCol w:w="1291"/>
      </w:tblGrid>
      <w:tr w:rsidR="00D53E6F" w:rsidRPr="006B6637" w14:paraId="47C86B46" w14:textId="77777777" w:rsidTr="004A7B59">
        <w:trPr>
          <w:trHeight w:val="276"/>
          <w:jc w:val="center"/>
        </w:trPr>
        <w:tc>
          <w:tcPr>
            <w:tcW w:w="1895"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96C8F36" w14:textId="77777777" w:rsidR="00D53E6F" w:rsidRPr="00C80453" w:rsidRDefault="00D53E6F" w:rsidP="00E91144">
            <w:pPr>
              <w:spacing w:line="240" w:lineRule="auto"/>
              <w:jc w:val="center"/>
              <w:rPr>
                <w:rFonts w:eastAsia="Times New Roman"/>
                <w:b/>
                <w:color w:val="auto"/>
              </w:rPr>
            </w:pPr>
            <w:r w:rsidRPr="00C80453">
              <w:rPr>
                <w:b/>
              </w:rPr>
              <w:t>Uncertainty Result</w:t>
            </w:r>
          </w:p>
        </w:tc>
        <w:tc>
          <w:tcPr>
            <w:tcW w:w="7745" w:type="dxa"/>
            <w:gridSpan w:val="6"/>
            <w:tcBorders>
              <w:top w:val="single" w:sz="8" w:space="0" w:color="auto"/>
              <w:left w:val="nil"/>
              <w:bottom w:val="single" w:sz="4" w:space="0" w:color="auto"/>
              <w:right w:val="single" w:sz="8" w:space="0" w:color="000000"/>
            </w:tcBorders>
            <w:shd w:val="clear" w:color="auto" w:fill="auto"/>
            <w:noWrap/>
            <w:vAlign w:val="center"/>
            <w:hideMark/>
          </w:tcPr>
          <w:p w14:paraId="24BED399" w14:textId="77777777" w:rsidR="00D53E6F" w:rsidRPr="00C80453" w:rsidRDefault="00D53E6F" w:rsidP="00E91144">
            <w:pPr>
              <w:spacing w:line="240" w:lineRule="auto"/>
              <w:jc w:val="center"/>
              <w:rPr>
                <w:b/>
              </w:rPr>
            </w:pPr>
            <w:r w:rsidRPr="00C80453">
              <w:rPr>
                <w:b/>
              </w:rPr>
              <w:t>Incremental Cost-Benefit (2019 million dollars)</w:t>
            </w:r>
          </w:p>
        </w:tc>
      </w:tr>
      <w:tr w:rsidR="00D53E6F" w:rsidRPr="006B6637" w14:paraId="5F3E4FA2" w14:textId="77777777" w:rsidTr="004A7B59">
        <w:trPr>
          <w:trHeight w:val="232"/>
          <w:jc w:val="center"/>
        </w:trPr>
        <w:tc>
          <w:tcPr>
            <w:tcW w:w="1895" w:type="dxa"/>
            <w:vMerge/>
            <w:tcBorders>
              <w:top w:val="single" w:sz="8" w:space="0" w:color="auto"/>
              <w:left w:val="single" w:sz="8" w:space="0" w:color="auto"/>
              <w:bottom w:val="single" w:sz="4" w:space="0" w:color="auto"/>
              <w:right w:val="single" w:sz="4" w:space="0" w:color="auto"/>
            </w:tcBorders>
            <w:vAlign w:val="center"/>
            <w:hideMark/>
          </w:tcPr>
          <w:p w14:paraId="6EC83C56" w14:textId="77777777" w:rsidR="00D53E6F" w:rsidRPr="00C80453" w:rsidRDefault="00D53E6F" w:rsidP="00E91144">
            <w:pPr>
              <w:autoSpaceDE/>
              <w:autoSpaceDN/>
              <w:adjustRightInd/>
              <w:spacing w:line="240" w:lineRule="auto"/>
              <w:jc w:val="center"/>
              <w:rPr>
                <w:rFonts w:eastAsia="Times New Roman"/>
                <w:b/>
                <w:color w:val="auto"/>
              </w:rPr>
            </w:pPr>
          </w:p>
        </w:tc>
        <w:tc>
          <w:tcPr>
            <w:tcW w:w="1191" w:type="dxa"/>
            <w:tcBorders>
              <w:top w:val="nil"/>
              <w:left w:val="nil"/>
              <w:bottom w:val="single" w:sz="4" w:space="0" w:color="auto"/>
              <w:right w:val="single" w:sz="4" w:space="0" w:color="auto"/>
            </w:tcBorders>
            <w:shd w:val="clear" w:color="auto" w:fill="auto"/>
            <w:noWrap/>
            <w:vAlign w:val="center"/>
            <w:hideMark/>
          </w:tcPr>
          <w:p w14:paraId="12BF9C44" w14:textId="77777777" w:rsidR="00D53E6F" w:rsidRPr="00C80453" w:rsidRDefault="00D53E6F" w:rsidP="00E91144">
            <w:pPr>
              <w:spacing w:line="240" w:lineRule="auto"/>
              <w:jc w:val="center"/>
              <w:rPr>
                <w:rFonts w:eastAsia="Times New Roman"/>
                <w:b/>
                <w:color w:val="auto"/>
              </w:rPr>
            </w:pPr>
            <w:r w:rsidRPr="00C80453">
              <w:rPr>
                <w:b/>
              </w:rPr>
              <w:t>Minimum</w:t>
            </w:r>
          </w:p>
        </w:tc>
        <w:tc>
          <w:tcPr>
            <w:tcW w:w="1291" w:type="dxa"/>
            <w:tcBorders>
              <w:top w:val="nil"/>
              <w:left w:val="nil"/>
              <w:bottom w:val="single" w:sz="4" w:space="0" w:color="auto"/>
              <w:right w:val="single" w:sz="4" w:space="0" w:color="auto"/>
            </w:tcBorders>
            <w:shd w:val="clear" w:color="auto" w:fill="auto"/>
            <w:noWrap/>
            <w:vAlign w:val="center"/>
            <w:hideMark/>
          </w:tcPr>
          <w:p w14:paraId="5BDA9B44" w14:textId="77777777" w:rsidR="00D53E6F" w:rsidRPr="00C80453" w:rsidRDefault="00D53E6F" w:rsidP="00E91144">
            <w:pPr>
              <w:spacing w:line="240" w:lineRule="auto"/>
              <w:jc w:val="center"/>
              <w:rPr>
                <w:b/>
              </w:rPr>
            </w:pPr>
            <w:r w:rsidRPr="00C80453">
              <w:rPr>
                <w:b/>
              </w:rPr>
              <w:t>Mean</w:t>
            </w:r>
          </w:p>
        </w:tc>
        <w:tc>
          <w:tcPr>
            <w:tcW w:w="1326" w:type="dxa"/>
            <w:tcBorders>
              <w:top w:val="nil"/>
              <w:left w:val="nil"/>
              <w:bottom w:val="single" w:sz="4" w:space="0" w:color="auto"/>
              <w:right w:val="single" w:sz="4" w:space="0" w:color="auto"/>
            </w:tcBorders>
            <w:shd w:val="clear" w:color="auto" w:fill="auto"/>
            <w:noWrap/>
            <w:vAlign w:val="center"/>
            <w:hideMark/>
          </w:tcPr>
          <w:p w14:paraId="6C83733D" w14:textId="77777777" w:rsidR="00D53E6F" w:rsidRPr="00C80453" w:rsidRDefault="00D53E6F" w:rsidP="00E91144">
            <w:pPr>
              <w:spacing w:line="240" w:lineRule="auto"/>
              <w:jc w:val="center"/>
              <w:rPr>
                <w:rFonts w:eastAsia="Times New Roman"/>
                <w:b/>
                <w:color w:val="auto"/>
              </w:rPr>
            </w:pPr>
            <w:r w:rsidRPr="00C80453">
              <w:rPr>
                <w:b/>
              </w:rPr>
              <w:t>Standard Deviation</w:t>
            </w:r>
          </w:p>
        </w:tc>
        <w:tc>
          <w:tcPr>
            <w:tcW w:w="1355" w:type="dxa"/>
            <w:tcBorders>
              <w:top w:val="nil"/>
              <w:left w:val="nil"/>
              <w:bottom w:val="single" w:sz="4" w:space="0" w:color="auto"/>
              <w:right w:val="single" w:sz="4" w:space="0" w:color="auto"/>
            </w:tcBorders>
            <w:shd w:val="clear" w:color="auto" w:fill="auto"/>
            <w:noWrap/>
            <w:vAlign w:val="center"/>
            <w:hideMark/>
          </w:tcPr>
          <w:p w14:paraId="09E8EED0" w14:textId="77777777" w:rsidR="00D53E6F" w:rsidRPr="00C80453" w:rsidRDefault="00D53E6F" w:rsidP="00E91144">
            <w:pPr>
              <w:spacing w:line="240" w:lineRule="auto"/>
              <w:jc w:val="center"/>
              <w:rPr>
                <w:rFonts w:eastAsia="Times New Roman"/>
                <w:b/>
                <w:color w:val="auto"/>
              </w:rPr>
            </w:pPr>
            <w:r w:rsidRPr="00C80453">
              <w:rPr>
                <w:b/>
              </w:rPr>
              <w:t>Maximum</w:t>
            </w:r>
          </w:p>
        </w:tc>
        <w:tc>
          <w:tcPr>
            <w:tcW w:w="1291" w:type="dxa"/>
            <w:tcBorders>
              <w:top w:val="nil"/>
              <w:left w:val="nil"/>
              <w:bottom w:val="single" w:sz="4" w:space="0" w:color="auto"/>
              <w:right w:val="single" w:sz="4" w:space="0" w:color="auto"/>
            </w:tcBorders>
            <w:shd w:val="clear" w:color="auto" w:fill="auto"/>
            <w:noWrap/>
            <w:vAlign w:val="center"/>
            <w:hideMark/>
          </w:tcPr>
          <w:p w14:paraId="481E5A95" w14:textId="77777777" w:rsidR="00D53E6F" w:rsidRPr="00C80453" w:rsidRDefault="00D53E6F" w:rsidP="00E91144">
            <w:pPr>
              <w:spacing w:line="240" w:lineRule="auto"/>
              <w:jc w:val="center"/>
              <w:rPr>
                <w:rFonts w:eastAsia="Times New Roman"/>
                <w:b/>
                <w:color w:val="auto"/>
              </w:rPr>
            </w:pPr>
            <w:r w:rsidRPr="00C80453">
              <w:rPr>
                <w:b/>
              </w:rPr>
              <w:t>0.05</w:t>
            </w:r>
          </w:p>
        </w:tc>
        <w:tc>
          <w:tcPr>
            <w:tcW w:w="1291" w:type="dxa"/>
            <w:tcBorders>
              <w:top w:val="nil"/>
              <w:left w:val="nil"/>
              <w:bottom w:val="single" w:sz="4" w:space="0" w:color="auto"/>
              <w:right w:val="single" w:sz="8" w:space="0" w:color="auto"/>
            </w:tcBorders>
            <w:shd w:val="clear" w:color="auto" w:fill="auto"/>
            <w:noWrap/>
            <w:vAlign w:val="center"/>
            <w:hideMark/>
          </w:tcPr>
          <w:p w14:paraId="4F85E8BC" w14:textId="77777777" w:rsidR="00D53E6F" w:rsidRPr="00C80453" w:rsidRDefault="00D53E6F" w:rsidP="00E91144">
            <w:pPr>
              <w:spacing w:line="240" w:lineRule="auto"/>
              <w:jc w:val="center"/>
              <w:rPr>
                <w:b/>
              </w:rPr>
            </w:pPr>
            <w:r w:rsidRPr="00C80453">
              <w:rPr>
                <w:b/>
              </w:rPr>
              <w:t>0.95</w:t>
            </w:r>
          </w:p>
        </w:tc>
      </w:tr>
      <w:tr w:rsidR="00D53E6F" w:rsidRPr="006B6637" w14:paraId="7CFAA74C" w14:textId="77777777" w:rsidTr="004A7B59">
        <w:trPr>
          <w:trHeight w:val="276"/>
          <w:jc w:val="center"/>
        </w:trPr>
        <w:tc>
          <w:tcPr>
            <w:tcW w:w="1895" w:type="dxa"/>
            <w:tcBorders>
              <w:top w:val="nil"/>
              <w:left w:val="single" w:sz="8" w:space="0" w:color="auto"/>
              <w:bottom w:val="single" w:sz="4" w:space="0" w:color="auto"/>
              <w:right w:val="single" w:sz="4" w:space="0" w:color="auto"/>
            </w:tcBorders>
            <w:shd w:val="clear" w:color="auto" w:fill="auto"/>
            <w:noWrap/>
            <w:vAlign w:val="center"/>
            <w:hideMark/>
          </w:tcPr>
          <w:p w14:paraId="7481E3CC" w14:textId="77777777" w:rsidR="00D53E6F" w:rsidRPr="00C80453" w:rsidRDefault="00D53E6F" w:rsidP="00E91144">
            <w:pPr>
              <w:autoSpaceDE/>
              <w:autoSpaceDN/>
              <w:adjustRightInd/>
              <w:spacing w:line="240" w:lineRule="auto"/>
              <w:rPr>
                <w:rFonts w:eastAsia="Times New Roman"/>
                <w:color w:val="auto"/>
              </w:rPr>
            </w:pPr>
            <w:r w:rsidRPr="00C80453">
              <w:rPr>
                <w:rFonts w:eastAsia="Times New Roman"/>
                <w:color w:val="auto"/>
              </w:rPr>
              <w:t>Total Industry Cost</w:t>
            </w:r>
          </w:p>
        </w:tc>
        <w:tc>
          <w:tcPr>
            <w:tcW w:w="1191" w:type="dxa"/>
            <w:tcBorders>
              <w:top w:val="nil"/>
              <w:left w:val="nil"/>
              <w:bottom w:val="single" w:sz="4" w:space="0" w:color="auto"/>
              <w:right w:val="single" w:sz="4" w:space="0" w:color="auto"/>
            </w:tcBorders>
            <w:shd w:val="clear" w:color="auto" w:fill="auto"/>
            <w:noWrap/>
            <w:vAlign w:val="center"/>
            <w:hideMark/>
          </w:tcPr>
          <w:p w14:paraId="360D032B" w14:textId="215E2527" w:rsidR="00D53E6F" w:rsidRPr="00C80453" w:rsidRDefault="00D53E6F" w:rsidP="00B75F34">
            <w:pPr>
              <w:autoSpaceDE/>
              <w:autoSpaceDN/>
              <w:adjustRightInd/>
              <w:spacing w:line="240" w:lineRule="auto"/>
              <w:jc w:val="center"/>
              <w:rPr>
                <w:rFonts w:eastAsia="Times New Roman"/>
                <w:color w:val="auto"/>
              </w:rPr>
            </w:pPr>
            <w:r w:rsidRPr="00C80453">
              <w:rPr>
                <w:rFonts w:eastAsia="Times New Roman"/>
                <w:color w:val="auto"/>
              </w:rPr>
              <w:t>$0.6</w:t>
            </w:r>
            <w:r w:rsidR="00B75F34">
              <w:rPr>
                <w:rFonts w:eastAsia="Times New Roman"/>
                <w:color w:val="auto"/>
              </w:rPr>
              <w:t>8</w:t>
            </w:r>
          </w:p>
        </w:tc>
        <w:tc>
          <w:tcPr>
            <w:tcW w:w="1291" w:type="dxa"/>
            <w:tcBorders>
              <w:top w:val="nil"/>
              <w:left w:val="nil"/>
              <w:bottom w:val="single" w:sz="4" w:space="0" w:color="auto"/>
              <w:right w:val="single" w:sz="4" w:space="0" w:color="auto"/>
            </w:tcBorders>
            <w:shd w:val="clear" w:color="auto" w:fill="auto"/>
            <w:noWrap/>
            <w:vAlign w:val="center"/>
            <w:hideMark/>
          </w:tcPr>
          <w:p w14:paraId="2C3F5E6A" w14:textId="4601DFD2" w:rsidR="00D53E6F" w:rsidRPr="00C80453" w:rsidRDefault="00D53E6F" w:rsidP="00B75F34">
            <w:pPr>
              <w:autoSpaceDE/>
              <w:autoSpaceDN/>
              <w:adjustRightInd/>
              <w:spacing w:line="240" w:lineRule="auto"/>
              <w:jc w:val="center"/>
              <w:rPr>
                <w:rFonts w:eastAsia="Times New Roman"/>
                <w:color w:val="auto"/>
              </w:rPr>
            </w:pPr>
            <w:r w:rsidRPr="00C80453">
              <w:rPr>
                <w:rFonts w:eastAsia="Times New Roman"/>
                <w:color w:val="auto"/>
              </w:rPr>
              <w:t>$4.4</w:t>
            </w:r>
            <w:r w:rsidR="00B75F34">
              <w:rPr>
                <w:rFonts w:eastAsia="Times New Roman"/>
                <w:color w:val="auto"/>
              </w:rPr>
              <w:t>7</w:t>
            </w:r>
          </w:p>
        </w:tc>
        <w:tc>
          <w:tcPr>
            <w:tcW w:w="1326" w:type="dxa"/>
            <w:tcBorders>
              <w:top w:val="nil"/>
              <w:left w:val="nil"/>
              <w:bottom w:val="single" w:sz="4" w:space="0" w:color="auto"/>
              <w:right w:val="single" w:sz="4" w:space="0" w:color="auto"/>
            </w:tcBorders>
            <w:shd w:val="clear" w:color="auto" w:fill="auto"/>
            <w:noWrap/>
            <w:vAlign w:val="center"/>
            <w:hideMark/>
          </w:tcPr>
          <w:p w14:paraId="1615E187" w14:textId="77777777" w:rsidR="00D53E6F" w:rsidRPr="00C80453" w:rsidRDefault="00D53E6F" w:rsidP="004A7B59">
            <w:pPr>
              <w:autoSpaceDE/>
              <w:autoSpaceDN/>
              <w:adjustRightInd/>
              <w:spacing w:line="240" w:lineRule="auto"/>
              <w:jc w:val="center"/>
              <w:rPr>
                <w:rFonts w:eastAsia="Times New Roman"/>
                <w:color w:val="auto"/>
              </w:rPr>
            </w:pPr>
            <w:r w:rsidRPr="00C80453">
              <w:rPr>
                <w:rFonts w:eastAsia="Times New Roman"/>
                <w:color w:val="auto"/>
              </w:rPr>
              <w:t>$1.64</w:t>
            </w:r>
          </w:p>
        </w:tc>
        <w:tc>
          <w:tcPr>
            <w:tcW w:w="1355" w:type="dxa"/>
            <w:tcBorders>
              <w:top w:val="nil"/>
              <w:left w:val="nil"/>
              <w:bottom w:val="single" w:sz="4" w:space="0" w:color="auto"/>
              <w:right w:val="single" w:sz="4" w:space="0" w:color="auto"/>
            </w:tcBorders>
            <w:shd w:val="clear" w:color="auto" w:fill="auto"/>
            <w:noWrap/>
            <w:vAlign w:val="center"/>
            <w:hideMark/>
          </w:tcPr>
          <w:p w14:paraId="6079A36D" w14:textId="77777777" w:rsidR="00D53E6F" w:rsidRPr="00C80453" w:rsidRDefault="00D53E6F" w:rsidP="004A7B59">
            <w:pPr>
              <w:autoSpaceDE/>
              <w:autoSpaceDN/>
              <w:adjustRightInd/>
              <w:spacing w:line="240" w:lineRule="auto"/>
              <w:jc w:val="center"/>
              <w:rPr>
                <w:rFonts w:eastAsia="Times New Roman"/>
                <w:color w:val="auto"/>
              </w:rPr>
            </w:pPr>
            <w:r w:rsidRPr="00C80453">
              <w:rPr>
                <w:rFonts w:eastAsia="Times New Roman"/>
                <w:color w:val="auto"/>
              </w:rPr>
              <w:t>$12.0</w:t>
            </w:r>
          </w:p>
        </w:tc>
        <w:tc>
          <w:tcPr>
            <w:tcW w:w="1291" w:type="dxa"/>
            <w:tcBorders>
              <w:top w:val="nil"/>
              <w:left w:val="nil"/>
              <w:bottom w:val="single" w:sz="4" w:space="0" w:color="auto"/>
              <w:right w:val="single" w:sz="4" w:space="0" w:color="auto"/>
            </w:tcBorders>
            <w:shd w:val="clear" w:color="auto" w:fill="auto"/>
            <w:noWrap/>
            <w:vAlign w:val="center"/>
            <w:hideMark/>
          </w:tcPr>
          <w:p w14:paraId="357F6CF5" w14:textId="7D792B40" w:rsidR="00D53E6F" w:rsidRPr="00C80453" w:rsidRDefault="00D53E6F" w:rsidP="00B75F34">
            <w:pPr>
              <w:autoSpaceDE/>
              <w:autoSpaceDN/>
              <w:adjustRightInd/>
              <w:spacing w:line="240" w:lineRule="auto"/>
              <w:jc w:val="center"/>
              <w:rPr>
                <w:rFonts w:eastAsia="Times New Roman"/>
                <w:color w:val="auto"/>
              </w:rPr>
            </w:pPr>
            <w:r w:rsidRPr="00C80453">
              <w:rPr>
                <w:rFonts w:eastAsia="Times New Roman"/>
                <w:color w:val="auto"/>
              </w:rPr>
              <w:t>$</w:t>
            </w:r>
            <w:r w:rsidR="00B75F34">
              <w:rPr>
                <w:rFonts w:eastAsia="Times New Roman"/>
                <w:color w:val="auto"/>
              </w:rPr>
              <w:t>2</w:t>
            </w:r>
            <w:r w:rsidRPr="00C80453">
              <w:rPr>
                <w:rFonts w:eastAsia="Times New Roman"/>
                <w:color w:val="auto"/>
              </w:rPr>
              <w:t>.</w:t>
            </w:r>
            <w:r w:rsidR="00B75F34">
              <w:rPr>
                <w:rFonts w:eastAsia="Times New Roman"/>
                <w:color w:val="auto"/>
              </w:rPr>
              <w:t>03</w:t>
            </w:r>
          </w:p>
        </w:tc>
        <w:tc>
          <w:tcPr>
            <w:tcW w:w="1291" w:type="dxa"/>
            <w:tcBorders>
              <w:top w:val="nil"/>
              <w:left w:val="nil"/>
              <w:bottom w:val="single" w:sz="4" w:space="0" w:color="auto"/>
              <w:right w:val="single" w:sz="8" w:space="0" w:color="auto"/>
            </w:tcBorders>
            <w:shd w:val="clear" w:color="auto" w:fill="auto"/>
            <w:noWrap/>
            <w:vAlign w:val="center"/>
            <w:hideMark/>
          </w:tcPr>
          <w:p w14:paraId="7483BD1B" w14:textId="77777777" w:rsidR="00D53E6F" w:rsidRPr="00C80453" w:rsidRDefault="00D53E6F" w:rsidP="004A7B59">
            <w:pPr>
              <w:autoSpaceDE/>
              <w:autoSpaceDN/>
              <w:adjustRightInd/>
              <w:spacing w:line="240" w:lineRule="auto"/>
              <w:jc w:val="center"/>
              <w:rPr>
                <w:rFonts w:eastAsia="Times New Roman"/>
                <w:color w:val="auto"/>
              </w:rPr>
            </w:pPr>
            <w:r w:rsidRPr="00C80453">
              <w:rPr>
                <w:rFonts w:eastAsia="Times New Roman"/>
                <w:color w:val="auto"/>
              </w:rPr>
              <w:t>$7.36</w:t>
            </w:r>
          </w:p>
        </w:tc>
      </w:tr>
      <w:tr w:rsidR="00D53E6F" w:rsidRPr="006B6637" w14:paraId="6C289E76" w14:textId="77777777" w:rsidTr="004A7B59">
        <w:trPr>
          <w:trHeight w:val="276"/>
          <w:jc w:val="center"/>
        </w:trPr>
        <w:tc>
          <w:tcPr>
            <w:tcW w:w="1895" w:type="dxa"/>
            <w:tcBorders>
              <w:top w:val="nil"/>
              <w:left w:val="single" w:sz="8" w:space="0" w:color="auto"/>
              <w:bottom w:val="single" w:sz="4" w:space="0" w:color="auto"/>
              <w:right w:val="single" w:sz="4" w:space="0" w:color="auto"/>
            </w:tcBorders>
            <w:shd w:val="clear" w:color="auto" w:fill="auto"/>
            <w:noWrap/>
            <w:vAlign w:val="center"/>
            <w:hideMark/>
          </w:tcPr>
          <w:p w14:paraId="36F0FD6E" w14:textId="77777777" w:rsidR="00D53E6F" w:rsidRPr="00C80453" w:rsidRDefault="00D53E6F" w:rsidP="00E91144">
            <w:pPr>
              <w:autoSpaceDE/>
              <w:autoSpaceDN/>
              <w:adjustRightInd/>
              <w:spacing w:line="240" w:lineRule="auto"/>
              <w:rPr>
                <w:rFonts w:eastAsia="Times New Roman"/>
                <w:color w:val="auto"/>
              </w:rPr>
            </w:pPr>
            <w:r w:rsidRPr="00C80453">
              <w:rPr>
                <w:rFonts w:eastAsia="Times New Roman"/>
                <w:color w:val="auto"/>
              </w:rPr>
              <w:t>Total NRC Cost</w:t>
            </w:r>
          </w:p>
        </w:tc>
        <w:tc>
          <w:tcPr>
            <w:tcW w:w="1191" w:type="dxa"/>
            <w:tcBorders>
              <w:top w:val="nil"/>
              <w:left w:val="nil"/>
              <w:bottom w:val="single" w:sz="4" w:space="0" w:color="auto"/>
              <w:right w:val="single" w:sz="4" w:space="0" w:color="auto"/>
            </w:tcBorders>
            <w:shd w:val="clear" w:color="auto" w:fill="auto"/>
            <w:noWrap/>
            <w:vAlign w:val="center"/>
            <w:hideMark/>
          </w:tcPr>
          <w:p w14:paraId="56373150" w14:textId="77777777" w:rsidR="00D53E6F" w:rsidRPr="00C80453" w:rsidRDefault="00D53E6F" w:rsidP="004A7B59">
            <w:pPr>
              <w:autoSpaceDE/>
              <w:autoSpaceDN/>
              <w:adjustRightInd/>
              <w:spacing w:line="240" w:lineRule="auto"/>
              <w:jc w:val="center"/>
              <w:rPr>
                <w:rFonts w:eastAsia="Times New Roman"/>
                <w:color w:val="auto"/>
              </w:rPr>
            </w:pPr>
            <w:r w:rsidRPr="00C80453">
              <w:rPr>
                <w:rFonts w:eastAsia="Times New Roman"/>
                <w:color w:val="auto"/>
              </w:rPr>
              <w:t>$1.06</w:t>
            </w:r>
          </w:p>
        </w:tc>
        <w:tc>
          <w:tcPr>
            <w:tcW w:w="1291" w:type="dxa"/>
            <w:tcBorders>
              <w:top w:val="nil"/>
              <w:left w:val="nil"/>
              <w:bottom w:val="single" w:sz="4" w:space="0" w:color="auto"/>
              <w:right w:val="single" w:sz="4" w:space="0" w:color="auto"/>
            </w:tcBorders>
            <w:shd w:val="clear" w:color="auto" w:fill="auto"/>
            <w:noWrap/>
            <w:vAlign w:val="center"/>
            <w:hideMark/>
          </w:tcPr>
          <w:p w14:paraId="1E6BA76D" w14:textId="77777777" w:rsidR="00D53E6F" w:rsidRPr="00C80453" w:rsidRDefault="00D53E6F" w:rsidP="004A7B59">
            <w:pPr>
              <w:autoSpaceDE/>
              <w:autoSpaceDN/>
              <w:adjustRightInd/>
              <w:spacing w:line="240" w:lineRule="auto"/>
              <w:jc w:val="center"/>
              <w:rPr>
                <w:rFonts w:eastAsia="Times New Roman"/>
                <w:color w:val="auto"/>
              </w:rPr>
            </w:pPr>
            <w:r w:rsidRPr="00C80453">
              <w:rPr>
                <w:rFonts w:eastAsia="Times New Roman"/>
                <w:color w:val="auto"/>
              </w:rPr>
              <w:t>$1.86</w:t>
            </w:r>
          </w:p>
        </w:tc>
        <w:tc>
          <w:tcPr>
            <w:tcW w:w="1326" w:type="dxa"/>
            <w:tcBorders>
              <w:top w:val="nil"/>
              <w:left w:val="nil"/>
              <w:bottom w:val="single" w:sz="4" w:space="0" w:color="auto"/>
              <w:right w:val="single" w:sz="4" w:space="0" w:color="auto"/>
            </w:tcBorders>
            <w:shd w:val="clear" w:color="auto" w:fill="auto"/>
            <w:noWrap/>
            <w:vAlign w:val="center"/>
            <w:hideMark/>
          </w:tcPr>
          <w:p w14:paraId="2302C083" w14:textId="77777777" w:rsidR="00D53E6F" w:rsidRPr="00C80453" w:rsidRDefault="00D53E6F" w:rsidP="004A7B59">
            <w:pPr>
              <w:autoSpaceDE/>
              <w:autoSpaceDN/>
              <w:adjustRightInd/>
              <w:spacing w:line="240" w:lineRule="auto"/>
              <w:jc w:val="center"/>
              <w:rPr>
                <w:rFonts w:eastAsia="Times New Roman"/>
                <w:color w:val="auto"/>
              </w:rPr>
            </w:pPr>
            <w:r w:rsidRPr="00C80453">
              <w:rPr>
                <w:rFonts w:eastAsia="Times New Roman"/>
                <w:color w:val="auto"/>
              </w:rPr>
              <w:t>$0.34</w:t>
            </w:r>
          </w:p>
        </w:tc>
        <w:tc>
          <w:tcPr>
            <w:tcW w:w="1355" w:type="dxa"/>
            <w:tcBorders>
              <w:top w:val="nil"/>
              <w:left w:val="nil"/>
              <w:bottom w:val="single" w:sz="4" w:space="0" w:color="auto"/>
              <w:right w:val="single" w:sz="4" w:space="0" w:color="auto"/>
            </w:tcBorders>
            <w:shd w:val="clear" w:color="auto" w:fill="auto"/>
            <w:noWrap/>
            <w:vAlign w:val="center"/>
            <w:hideMark/>
          </w:tcPr>
          <w:p w14:paraId="3BA0391B" w14:textId="77777777" w:rsidR="00D53E6F" w:rsidRPr="00C80453" w:rsidRDefault="00D53E6F" w:rsidP="004A7B59">
            <w:pPr>
              <w:autoSpaceDE/>
              <w:autoSpaceDN/>
              <w:adjustRightInd/>
              <w:spacing w:line="240" w:lineRule="auto"/>
              <w:jc w:val="center"/>
              <w:rPr>
                <w:rFonts w:eastAsia="Times New Roman"/>
                <w:color w:val="auto"/>
              </w:rPr>
            </w:pPr>
            <w:r w:rsidRPr="00C80453">
              <w:rPr>
                <w:rFonts w:eastAsia="Times New Roman"/>
                <w:color w:val="auto"/>
              </w:rPr>
              <w:t>$3.19</w:t>
            </w:r>
          </w:p>
        </w:tc>
        <w:tc>
          <w:tcPr>
            <w:tcW w:w="1291" w:type="dxa"/>
            <w:tcBorders>
              <w:top w:val="nil"/>
              <w:left w:val="nil"/>
              <w:bottom w:val="single" w:sz="4" w:space="0" w:color="auto"/>
              <w:right w:val="single" w:sz="4" w:space="0" w:color="auto"/>
            </w:tcBorders>
            <w:shd w:val="clear" w:color="auto" w:fill="auto"/>
            <w:noWrap/>
            <w:vAlign w:val="center"/>
            <w:hideMark/>
          </w:tcPr>
          <w:p w14:paraId="0CBBA0A5" w14:textId="77777777" w:rsidR="00D53E6F" w:rsidRPr="00C80453" w:rsidRDefault="00D53E6F" w:rsidP="004A7B59">
            <w:pPr>
              <w:autoSpaceDE/>
              <w:autoSpaceDN/>
              <w:adjustRightInd/>
              <w:spacing w:line="240" w:lineRule="auto"/>
              <w:jc w:val="center"/>
              <w:rPr>
                <w:rFonts w:eastAsia="Times New Roman"/>
                <w:color w:val="auto"/>
              </w:rPr>
            </w:pPr>
            <w:r w:rsidRPr="00C80453">
              <w:rPr>
                <w:rFonts w:eastAsia="Times New Roman"/>
                <w:color w:val="auto"/>
              </w:rPr>
              <w:t>$1.35</w:t>
            </w:r>
          </w:p>
        </w:tc>
        <w:tc>
          <w:tcPr>
            <w:tcW w:w="1291" w:type="dxa"/>
            <w:tcBorders>
              <w:top w:val="nil"/>
              <w:left w:val="nil"/>
              <w:bottom w:val="single" w:sz="4" w:space="0" w:color="auto"/>
              <w:right w:val="single" w:sz="8" w:space="0" w:color="auto"/>
            </w:tcBorders>
            <w:shd w:val="clear" w:color="auto" w:fill="auto"/>
            <w:noWrap/>
            <w:vAlign w:val="center"/>
            <w:hideMark/>
          </w:tcPr>
          <w:p w14:paraId="150E99A2" w14:textId="77777777" w:rsidR="00D53E6F" w:rsidRPr="00C80453" w:rsidRDefault="00D53E6F" w:rsidP="004A7B59">
            <w:pPr>
              <w:autoSpaceDE/>
              <w:autoSpaceDN/>
              <w:adjustRightInd/>
              <w:spacing w:line="240" w:lineRule="auto"/>
              <w:jc w:val="center"/>
              <w:rPr>
                <w:rFonts w:eastAsia="Times New Roman"/>
                <w:color w:val="auto"/>
              </w:rPr>
            </w:pPr>
            <w:r w:rsidRPr="00C80453">
              <w:rPr>
                <w:rFonts w:eastAsia="Times New Roman"/>
                <w:color w:val="auto"/>
              </w:rPr>
              <w:t>$2.48</w:t>
            </w:r>
          </w:p>
        </w:tc>
      </w:tr>
      <w:tr w:rsidR="00D53E6F" w:rsidRPr="006B6637" w14:paraId="1CA9C837" w14:textId="77777777" w:rsidTr="004A7B59">
        <w:trPr>
          <w:trHeight w:val="288"/>
          <w:jc w:val="center"/>
        </w:trPr>
        <w:tc>
          <w:tcPr>
            <w:tcW w:w="1895" w:type="dxa"/>
            <w:tcBorders>
              <w:top w:val="nil"/>
              <w:left w:val="single" w:sz="8" w:space="0" w:color="auto"/>
              <w:bottom w:val="single" w:sz="8" w:space="0" w:color="auto"/>
              <w:right w:val="single" w:sz="4" w:space="0" w:color="auto"/>
            </w:tcBorders>
            <w:shd w:val="clear" w:color="auto" w:fill="auto"/>
            <w:noWrap/>
            <w:vAlign w:val="center"/>
            <w:hideMark/>
          </w:tcPr>
          <w:p w14:paraId="6D540110" w14:textId="77777777" w:rsidR="00D53E6F" w:rsidRPr="00C80453" w:rsidRDefault="00D53E6F" w:rsidP="00E91144">
            <w:pPr>
              <w:autoSpaceDE/>
              <w:autoSpaceDN/>
              <w:adjustRightInd/>
              <w:spacing w:line="240" w:lineRule="auto"/>
              <w:rPr>
                <w:rFonts w:eastAsia="Times New Roman"/>
                <w:color w:val="auto"/>
              </w:rPr>
            </w:pPr>
            <w:r w:rsidRPr="00C80453">
              <w:rPr>
                <w:rFonts w:eastAsia="Times New Roman"/>
                <w:color w:val="auto"/>
              </w:rPr>
              <w:t>Total Cost</w:t>
            </w:r>
          </w:p>
        </w:tc>
        <w:tc>
          <w:tcPr>
            <w:tcW w:w="1191" w:type="dxa"/>
            <w:tcBorders>
              <w:top w:val="nil"/>
              <w:left w:val="nil"/>
              <w:bottom w:val="single" w:sz="8" w:space="0" w:color="auto"/>
              <w:right w:val="single" w:sz="4" w:space="0" w:color="auto"/>
            </w:tcBorders>
            <w:shd w:val="clear" w:color="auto" w:fill="auto"/>
            <w:noWrap/>
            <w:vAlign w:val="center"/>
            <w:hideMark/>
          </w:tcPr>
          <w:p w14:paraId="4AB9A7BE" w14:textId="58D8A652" w:rsidR="00D53E6F" w:rsidRPr="00C80453" w:rsidRDefault="00D53E6F" w:rsidP="00B75F34">
            <w:pPr>
              <w:autoSpaceDE/>
              <w:autoSpaceDN/>
              <w:adjustRightInd/>
              <w:spacing w:line="240" w:lineRule="auto"/>
              <w:jc w:val="center"/>
              <w:rPr>
                <w:rFonts w:eastAsia="Times New Roman"/>
                <w:color w:val="auto"/>
              </w:rPr>
            </w:pPr>
            <w:r w:rsidRPr="00C80453">
              <w:rPr>
                <w:rFonts w:eastAsia="Times New Roman"/>
                <w:color w:val="auto"/>
              </w:rPr>
              <w:t>$1.9</w:t>
            </w:r>
            <w:r w:rsidR="00B75F34">
              <w:rPr>
                <w:rFonts w:eastAsia="Times New Roman"/>
                <w:color w:val="auto"/>
              </w:rPr>
              <w:t>8</w:t>
            </w:r>
          </w:p>
        </w:tc>
        <w:tc>
          <w:tcPr>
            <w:tcW w:w="1291" w:type="dxa"/>
            <w:tcBorders>
              <w:top w:val="nil"/>
              <w:left w:val="nil"/>
              <w:bottom w:val="single" w:sz="8" w:space="0" w:color="auto"/>
              <w:right w:val="single" w:sz="4" w:space="0" w:color="auto"/>
            </w:tcBorders>
            <w:shd w:val="clear" w:color="auto" w:fill="auto"/>
            <w:noWrap/>
            <w:vAlign w:val="center"/>
            <w:hideMark/>
          </w:tcPr>
          <w:p w14:paraId="4F64F146" w14:textId="38477E00" w:rsidR="00D53E6F" w:rsidRPr="00C80453" w:rsidRDefault="00D53E6F" w:rsidP="00B75F34">
            <w:pPr>
              <w:autoSpaceDE/>
              <w:autoSpaceDN/>
              <w:adjustRightInd/>
              <w:spacing w:line="240" w:lineRule="auto"/>
              <w:jc w:val="center"/>
              <w:rPr>
                <w:rFonts w:eastAsia="Times New Roman"/>
                <w:color w:val="auto"/>
              </w:rPr>
            </w:pPr>
            <w:r w:rsidRPr="00C80453">
              <w:rPr>
                <w:rFonts w:eastAsia="Times New Roman"/>
                <w:color w:val="auto"/>
              </w:rPr>
              <w:t>$6.3</w:t>
            </w:r>
            <w:r w:rsidR="00B75F34">
              <w:rPr>
                <w:rFonts w:eastAsia="Times New Roman"/>
                <w:color w:val="auto"/>
              </w:rPr>
              <w:t>3</w:t>
            </w:r>
          </w:p>
        </w:tc>
        <w:tc>
          <w:tcPr>
            <w:tcW w:w="1326" w:type="dxa"/>
            <w:tcBorders>
              <w:top w:val="nil"/>
              <w:left w:val="nil"/>
              <w:bottom w:val="single" w:sz="8" w:space="0" w:color="auto"/>
              <w:right w:val="single" w:sz="4" w:space="0" w:color="auto"/>
            </w:tcBorders>
            <w:shd w:val="clear" w:color="auto" w:fill="auto"/>
            <w:noWrap/>
            <w:vAlign w:val="center"/>
            <w:hideMark/>
          </w:tcPr>
          <w:p w14:paraId="6E88EEAE" w14:textId="77777777" w:rsidR="00D53E6F" w:rsidRPr="00C80453" w:rsidRDefault="00D53E6F" w:rsidP="004A7B59">
            <w:pPr>
              <w:autoSpaceDE/>
              <w:autoSpaceDN/>
              <w:adjustRightInd/>
              <w:spacing w:line="240" w:lineRule="auto"/>
              <w:jc w:val="center"/>
              <w:rPr>
                <w:rFonts w:eastAsia="Times New Roman"/>
                <w:color w:val="auto"/>
              </w:rPr>
            </w:pPr>
            <w:r w:rsidRPr="00C80453">
              <w:rPr>
                <w:rFonts w:eastAsia="Times New Roman"/>
                <w:color w:val="auto"/>
              </w:rPr>
              <w:t>$1.80</w:t>
            </w:r>
          </w:p>
        </w:tc>
        <w:tc>
          <w:tcPr>
            <w:tcW w:w="1355" w:type="dxa"/>
            <w:tcBorders>
              <w:top w:val="nil"/>
              <w:left w:val="nil"/>
              <w:bottom w:val="single" w:sz="8" w:space="0" w:color="auto"/>
              <w:right w:val="single" w:sz="4" w:space="0" w:color="auto"/>
            </w:tcBorders>
            <w:shd w:val="clear" w:color="auto" w:fill="auto"/>
            <w:noWrap/>
            <w:vAlign w:val="center"/>
            <w:hideMark/>
          </w:tcPr>
          <w:p w14:paraId="16398AC4" w14:textId="4FA01A8C" w:rsidR="00D53E6F" w:rsidRPr="00C80453" w:rsidRDefault="00D53E6F" w:rsidP="00B75F34">
            <w:pPr>
              <w:autoSpaceDE/>
              <w:autoSpaceDN/>
              <w:adjustRightInd/>
              <w:spacing w:line="240" w:lineRule="auto"/>
              <w:jc w:val="center"/>
              <w:rPr>
                <w:rFonts w:eastAsia="Times New Roman"/>
                <w:color w:val="auto"/>
              </w:rPr>
            </w:pPr>
            <w:r w:rsidRPr="00C80453">
              <w:rPr>
                <w:rFonts w:eastAsia="Times New Roman"/>
                <w:color w:val="auto"/>
              </w:rPr>
              <w:t>$14.</w:t>
            </w:r>
            <w:r w:rsidR="00B75F34">
              <w:rPr>
                <w:rFonts w:eastAsia="Times New Roman"/>
                <w:color w:val="auto"/>
              </w:rPr>
              <w:t>3</w:t>
            </w:r>
          </w:p>
        </w:tc>
        <w:tc>
          <w:tcPr>
            <w:tcW w:w="1291" w:type="dxa"/>
            <w:tcBorders>
              <w:top w:val="nil"/>
              <w:left w:val="nil"/>
              <w:bottom w:val="single" w:sz="8" w:space="0" w:color="auto"/>
              <w:right w:val="single" w:sz="4" w:space="0" w:color="auto"/>
            </w:tcBorders>
            <w:shd w:val="clear" w:color="auto" w:fill="auto"/>
            <w:noWrap/>
            <w:vAlign w:val="center"/>
            <w:hideMark/>
          </w:tcPr>
          <w:p w14:paraId="388D36ED" w14:textId="795592C7" w:rsidR="00D53E6F" w:rsidRPr="00C80453" w:rsidRDefault="00D53E6F" w:rsidP="00B75F34">
            <w:pPr>
              <w:autoSpaceDE/>
              <w:autoSpaceDN/>
              <w:adjustRightInd/>
              <w:spacing w:line="240" w:lineRule="auto"/>
              <w:jc w:val="center"/>
              <w:rPr>
                <w:rFonts w:eastAsia="Times New Roman"/>
                <w:color w:val="auto"/>
              </w:rPr>
            </w:pPr>
            <w:r w:rsidRPr="00C80453">
              <w:rPr>
                <w:rFonts w:eastAsia="Times New Roman"/>
                <w:color w:val="auto"/>
              </w:rPr>
              <w:t>$3.6</w:t>
            </w:r>
            <w:r w:rsidR="00B75F34">
              <w:rPr>
                <w:rFonts w:eastAsia="Times New Roman"/>
                <w:color w:val="auto"/>
              </w:rPr>
              <w:t>9</w:t>
            </w:r>
          </w:p>
        </w:tc>
        <w:tc>
          <w:tcPr>
            <w:tcW w:w="1291" w:type="dxa"/>
            <w:tcBorders>
              <w:top w:val="nil"/>
              <w:left w:val="nil"/>
              <w:bottom w:val="single" w:sz="8" w:space="0" w:color="auto"/>
              <w:right w:val="single" w:sz="8" w:space="0" w:color="auto"/>
            </w:tcBorders>
            <w:shd w:val="clear" w:color="auto" w:fill="auto"/>
            <w:noWrap/>
            <w:vAlign w:val="center"/>
            <w:hideMark/>
          </w:tcPr>
          <w:p w14:paraId="1C810501" w14:textId="3F27461E" w:rsidR="00D53E6F" w:rsidRPr="00C80453" w:rsidRDefault="00D53E6F" w:rsidP="00B75F34">
            <w:pPr>
              <w:autoSpaceDE/>
              <w:autoSpaceDN/>
              <w:adjustRightInd/>
              <w:spacing w:line="240" w:lineRule="auto"/>
              <w:jc w:val="center"/>
              <w:rPr>
                <w:rFonts w:eastAsia="Times New Roman"/>
                <w:color w:val="auto"/>
              </w:rPr>
            </w:pPr>
            <w:r w:rsidRPr="00C80453">
              <w:rPr>
                <w:rFonts w:eastAsia="Times New Roman"/>
                <w:color w:val="auto"/>
              </w:rPr>
              <w:t>$9.5</w:t>
            </w:r>
            <w:r w:rsidR="00B75F34">
              <w:rPr>
                <w:rFonts w:eastAsia="Times New Roman"/>
                <w:color w:val="auto"/>
              </w:rPr>
              <w:t>5</w:t>
            </w:r>
          </w:p>
        </w:tc>
      </w:tr>
    </w:tbl>
    <w:p w14:paraId="38729915" w14:textId="77777777" w:rsidR="00D53E6F" w:rsidRDefault="00D53E6F" w:rsidP="00D53E6F">
      <w:pPr>
        <w:spacing w:line="240" w:lineRule="auto"/>
      </w:pPr>
    </w:p>
    <w:p w14:paraId="1F678FD3" w14:textId="4A4BA9C0" w:rsidR="00D53E6F" w:rsidRDefault="00D53E6F" w:rsidP="00D53E6F">
      <w:pPr>
        <w:spacing w:line="240" w:lineRule="auto"/>
      </w:pPr>
      <w:r>
        <w:t xml:space="preserve">An examination of the range of the resulting output </w:t>
      </w:r>
      <w:r w:rsidRPr="00AB2A9A">
        <w:t xml:space="preserve">distribution in </w:t>
      </w:r>
      <w:r w:rsidRPr="00AB2A9A">
        <w:fldChar w:fldCharType="begin"/>
      </w:r>
      <w:r w:rsidRPr="00AB2A9A">
        <w:instrText xml:space="preserve"> REF _Ref453770447 \h </w:instrText>
      </w:r>
      <w:r w:rsidRPr="00105536">
        <w:rPr>
          <w:b/>
        </w:rPr>
        <w:instrText xml:space="preserve"> \* MERGEFORMAT </w:instrText>
      </w:r>
      <w:r w:rsidRPr="00AB2A9A">
        <w:fldChar w:fldCharType="separate"/>
      </w:r>
      <w:r w:rsidR="00F05D99" w:rsidRPr="00F05D99">
        <w:t xml:space="preserve">Table </w:t>
      </w:r>
      <w:r w:rsidR="00F05D99" w:rsidRPr="00F05D99">
        <w:rPr>
          <w:noProof/>
        </w:rPr>
        <w:t>21</w:t>
      </w:r>
      <w:r w:rsidRPr="00AB2A9A">
        <w:fldChar w:fldCharType="end"/>
      </w:r>
      <w:r>
        <w:t xml:space="preserve"> enables the </w:t>
      </w:r>
      <w:r w:rsidR="00173B30">
        <w:t>NRC</w:t>
      </w:r>
      <w:r>
        <w:t xml:space="preserve"> to more confidently discuss the potential incremental costs and benefits of the final rule.  This table displays the key statistical results, including the 90-percent confidence interval in which the net benefits would fall between the 5-percent and 95-percent values.</w:t>
      </w:r>
    </w:p>
    <w:p w14:paraId="63055948" w14:textId="77777777" w:rsidR="00D53E6F" w:rsidRDefault="00D53E6F" w:rsidP="00D53E6F">
      <w:pPr>
        <w:spacing w:line="240" w:lineRule="auto"/>
      </w:pPr>
    </w:p>
    <w:p w14:paraId="5F3F11DF" w14:textId="77777777" w:rsidR="00D53E6F" w:rsidRDefault="00D53E6F" w:rsidP="00D53E6F">
      <w:pPr>
        <w:spacing w:line="240" w:lineRule="auto"/>
      </w:pPr>
      <w:r>
        <w:t>Figure 4 shows a tornado diagram that identifies the key variables whose uncertainty drives the largest impact on total costs (and averted costs) for this final rule.  This figure ranks the variables based on their contribution to cost uncertainty.  Three key variables—the number of hours required for ASME Code Case relief request preparation and submission, the number of relief requests per year, and the weighted hourly rate to generate relief requests—account for the most uncertainty in the costs.  The remaining key variables show diminishing variation.</w:t>
      </w:r>
    </w:p>
    <w:p w14:paraId="119D7560" w14:textId="24024DA8" w:rsidR="00D53E6F" w:rsidRDefault="00D53E6F" w:rsidP="00D53E6F">
      <w:pPr>
        <w:spacing w:line="240" w:lineRule="auto"/>
      </w:pPr>
      <w:r w:rsidRPr="00965136">
        <w:rPr>
          <w:noProof/>
        </w:rPr>
        <w:t xml:space="preserve"> </w:t>
      </w:r>
      <w:r w:rsidR="00B75F34" w:rsidRPr="00B75F34">
        <w:rPr>
          <w:noProof/>
        </w:rPr>
        <w:drawing>
          <wp:inline distT="0" distB="0" distL="0" distR="0" wp14:anchorId="76B4902E" wp14:editId="48905683">
            <wp:extent cx="5943600" cy="3141716"/>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3141716"/>
                    </a:xfrm>
                    <a:prstGeom prst="rect">
                      <a:avLst/>
                    </a:prstGeom>
                    <a:noFill/>
                    <a:ln>
                      <a:noFill/>
                    </a:ln>
                  </pic:spPr>
                </pic:pic>
              </a:graphicData>
            </a:graphic>
          </wp:inline>
        </w:drawing>
      </w:r>
    </w:p>
    <w:p w14:paraId="60ACA3CA" w14:textId="0BCD1EF1" w:rsidR="00D53E6F" w:rsidRPr="00C80453" w:rsidRDefault="00D53E6F" w:rsidP="00D53E6F">
      <w:pPr>
        <w:pStyle w:val="Caption"/>
        <w:keepNext w:val="0"/>
        <w:spacing w:line="240" w:lineRule="auto"/>
        <w:jc w:val="center"/>
        <w:rPr>
          <w:b/>
        </w:rPr>
      </w:pPr>
      <w:bookmarkStart w:id="386" w:name="_Ref447551171"/>
      <w:bookmarkStart w:id="387" w:name="_Toc454442717"/>
      <w:bookmarkStart w:id="388" w:name="_Toc457827438"/>
      <w:bookmarkStart w:id="389" w:name="_Toc9428043"/>
      <w:r w:rsidRPr="00C80453">
        <w:rPr>
          <w:b/>
        </w:rPr>
        <w:t xml:space="preserve">Figure </w:t>
      </w:r>
      <w:r w:rsidRPr="00C80453">
        <w:rPr>
          <w:b/>
          <w:noProof/>
        </w:rPr>
        <w:fldChar w:fldCharType="begin"/>
      </w:r>
      <w:r w:rsidRPr="00C80453">
        <w:rPr>
          <w:b/>
          <w:noProof/>
        </w:rPr>
        <w:instrText xml:space="preserve"> SEQ Figure \* ARABIC </w:instrText>
      </w:r>
      <w:r w:rsidRPr="00C80453">
        <w:rPr>
          <w:b/>
          <w:noProof/>
        </w:rPr>
        <w:fldChar w:fldCharType="separate"/>
      </w:r>
      <w:r w:rsidR="00F05D99">
        <w:rPr>
          <w:b/>
          <w:noProof/>
        </w:rPr>
        <w:t>4</w:t>
      </w:r>
      <w:r w:rsidRPr="00C80453">
        <w:rPr>
          <w:b/>
          <w:noProof/>
        </w:rPr>
        <w:fldChar w:fldCharType="end"/>
      </w:r>
      <w:bookmarkEnd w:id="386"/>
      <w:r w:rsidRPr="00C80453">
        <w:rPr>
          <w:b/>
        </w:rPr>
        <w:t xml:space="preserve">  The </w:t>
      </w:r>
      <w:r w:rsidR="00E91144">
        <w:rPr>
          <w:b/>
        </w:rPr>
        <w:t>T</w:t>
      </w:r>
      <w:r w:rsidRPr="00C80453">
        <w:rPr>
          <w:b/>
        </w:rPr>
        <w:t xml:space="preserve">op </w:t>
      </w:r>
      <w:r w:rsidR="00E91144">
        <w:rPr>
          <w:b/>
        </w:rPr>
        <w:t>E</w:t>
      </w:r>
      <w:r w:rsidRPr="00C80453">
        <w:rPr>
          <w:b/>
        </w:rPr>
        <w:t xml:space="preserve">ight </w:t>
      </w:r>
      <w:r w:rsidR="00E91144">
        <w:rPr>
          <w:b/>
        </w:rPr>
        <w:t>V</w:t>
      </w:r>
      <w:r w:rsidRPr="00C80453">
        <w:rPr>
          <w:b/>
        </w:rPr>
        <w:t xml:space="preserve">ariables for which </w:t>
      </w:r>
      <w:r w:rsidR="00E91144">
        <w:rPr>
          <w:b/>
        </w:rPr>
        <w:t>U</w:t>
      </w:r>
      <w:r w:rsidRPr="00C80453">
        <w:rPr>
          <w:b/>
        </w:rPr>
        <w:t xml:space="preserve">ncertainty </w:t>
      </w:r>
      <w:r w:rsidR="00E91144">
        <w:rPr>
          <w:b/>
        </w:rPr>
        <w:t>D</w:t>
      </w:r>
      <w:r w:rsidRPr="00C80453">
        <w:rPr>
          <w:b/>
        </w:rPr>
        <w:t xml:space="preserve">rives the </w:t>
      </w:r>
      <w:r w:rsidRPr="00C80453">
        <w:rPr>
          <w:b/>
        </w:rPr>
        <w:br/>
      </w:r>
      <w:r w:rsidR="00E91144">
        <w:rPr>
          <w:b/>
        </w:rPr>
        <w:t>L</w:t>
      </w:r>
      <w:r w:rsidRPr="00C80453">
        <w:rPr>
          <w:b/>
        </w:rPr>
        <w:t xml:space="preserve">argest </w:t>
      </w:r>
      <w:r w:rsidR="00E91144">
        <w:rPr>
          <w:b/>
        </w:rPr>
        <w:t>I</w:t>
      </w:r>
      <w:r w:rsidRPr="00C80453">
        <w:rPr>
          <w:b/>
        </w:rPr>
        <w:t xml:space="preserve">mpact on </w:t>
      </w:r>
      <w:r w:rsidR="00E91144">
        <w:rPr>
          <w:b/>
        </w:rPr>
        <w:t>T</w:t>
      </w:r>
      <w:r w:rsidRPr="00C80453">
        <w:rPr>
          <w:b/>
        </w:rPr>
        <w:t xml:space="preserve">otal </w:t>
      </w:r>
      <w:r w:rsidR="00E91144">
        <w:rPr>
          <w:b/>
        </w:rPr>
        <w:t>C</w:t>
      </w:r>
      <w:r w:rsidRPr="00C80453">
        <w:rPr>
          <w:b/>
        </w:rPr>
        <w:t>osts (7</w:t>
      </w:r>
      <w:r w:rsidRPr="00C80453">
        <w:rPr>
          <w:b/>
        </w:rPr>
        <w:noBreakHyphen/>
      </w:r>
      <w:r w:rsidR="00E91144">
        <w:rPr>
          <w:b/>
        </w:rPr>
        <w:t>P</w:t>
      </w:r>
      <w:r w:rsidRPr="00C80453">
        <w:rPr>
          <w:b/>
        </w:rPr>
        <w:t>ercent NPV) (Alternative 2</w:t>
      </w:r>
      <w:bookmarkEnd w:id="387"/>
      <w:bookmarkEnd w:id="388"/>
      <w:r w:rsidRPr="00C80453">
        <w:rPr>
          <w:b/>
        </w:rPr>
        <w:t>)</w:t>
      </w:r>
      <w:bookmarkEnd w:id="389"/>
    </w:p>
    <w:p w14:paraId="5A1453E6" w14:textId="77777777" w:rsidR="00D53E6F" w:rsidRPr="0059370E" w:rsidRDefault="00D53E6F" w:rsidP="00D53E6F">
      <w:pPr>
        <w:pStyle w:val="Heading3"/>
        <w:spacing w:line="240" w:lineRule="auto"/>
        <w:ind w:left="900" w:hanging="900"/>
      </w:pPr>
      <w:bookmarkStart w:id="390" w:name="_Toc436817856"/>
      <w:bookmarkStart w:id="391" w:name="_Toc443059998"/>
      <w:bookmarkStart w:id="392" w:name="_Toc456098350"/>
      <w:bookmarkStart w:id="393" w:name="_Toc12808895"/>
      <w:r>
        <w:t>5.13.3</w:t>
      </w:r>
      <w:r>
        <w:tab/>
      </w:r>
      <w:bookmarkStart w:id="394" w:name="_Toc457827363"/>
      <w:r>
        <w:t>Summary of Uncertainty Analysis</w:t>
      </w:r>
      <w:bookmarkEnd w:id="390"/>
      <w:bookmarkEnd w:id="391"/>
      <w:bookmarkEnd w:id="392"/>
      <w:bookmarkEnd w:id="393"/>
      <w:bookmarkEnd w:id="394"/>
    </w:p>
    <w:p w14:paraId="58E37E63" w14:textId="77777777" w:rsidR="00D53E6F" w:rsidRDefault="00D53E6F" w:rsidP="00D53E6F">
      <w:pPr>
        <w:pStyle w:val="headinglineafter"/>
      </w:pPr>
    </w:p>
    <w:p w14:paraId="2A748205" w14:textId="0F6F493B" w:rsidR="00D53E6F" w:rsidRDefault="00D53E6F" w:rsidP="00D53E6F">
      <w:pPr>
        <w:spacing w:line="240" w:lineRule="auto"/>
      </w:pPr>
      <w:r>
        <w:t xml:space="preserve">The </w:t>
      </w:r>
      <w:r w:rsidRPr="00A670E4">
        <w:t xml:space="preserve">simulation analysis </w:t>
      </w:r>
      <w:r>
        <w:t>shows that the estimated mean benefit (i.e., </w:t>
      </w:r>
      <w:r w:rsidRPr="00A670E4">
        <w:t>positive averted costs</w:t>
      </w:r>
      <w:r>
        <w:t xml:space="preserve"> or</w:t>
      </w:r>
      <w:r w:rsidRPr="00A670E4">
        <w:t xml:space="preserve"> </w:t>
      </w:r>
      <w:r>
        <w:t>savings) for this final rule is $6.3</w:t>
      </w:r>
      <w:r w:rsidR="00B75F34">
        <w:t>3</w:t>
      </w:r>
      <w:r>
        <w:t> million with a 90</w:t>
      </w:r>
      <w:r>
        <w:noBreakHyphen/>
        <w:t>percent confidence interval that the benefit is between $3.6</w:t>
      </w:r>
      <w:r w:rsidR="00B75F34">
        <w:t>9</w:t>
      </w:r>
      <w:r>
        <w:t> million and $9.5</w:t>
      </w:r>
      <w:r w:rsidR="00B75F34">
        <w:t>5</w:t>
      </w:r>
      <w:r>
        <w:t> million at a 7</w:t>
      </w:r>
      <w:r>
        <w:noBreakHyphen/>
        <w:t>percent discount rate and with a greater than 99</w:t>
      </w:r>
      <w:r>
        <w:noBreakHyphen/>
        <w:t>percent chance that the final rule is cost beneficial</w:t>
      </w:r>
      <w:r w:rsidRPr="00A670E4">
        <w:t xml:space="preserve">.  </w:t>
      </w:r>
      <w:r>
        <w:t xml:space="preserve">The </w:t>
      </w:r>
      <w:r w:rsidR="00173B30">
        <w:t>NRC</w:t>
      </w:r>
      <w:r>
        <w:t xml:space="preserve"> can</w:t>
      </w:r>
      <w:r w:rsidRPr="00A670E4">
        <w:t xml:space="preserve"> reasonabl</w:t>
      </w:r>
      <w:r>
        <w:t>y</w:t>
      </w:r>
      <w:r w:rsidRPr="00A670E4">
        <w:t xml:space="preserve"> infer from the </w:t>
      </w:r>
      <w:r>
        <w:t xml:space="preserve">uncertainty </w:t>
      </w:r>
      <w:r w:rsidRPr="00A670E4">
        <w:t xml:space="preserve">analysis that proceeding with the </w:t>
      </w:r>
      <w:r>
        <w:t>final rule</w:t>
      </w:r>
      <w:r w:rsidRPr="00A670E4">
        <w:t xml:space="preserve"> represents an efficient use of resources</w:t>
      </w:r>
      <w:r>
        <w:t xml:space="preserve"> and averted costs for the NRC and industry</w:t>
      </w:r>
      <w:r w:rsidRPr="00A670E4">
        <w:t>.</w:t>
      </w:r>
      <w:r>
        <w:t xml:space="preserve">  The rule is deemed cost beneficial to both industry and the NRC when they are considered separately.</w:t>
      </w:r>
    </w:p>
    <w:p w14:paraId="52ACBC6D" w14:textId="77777777" w:rsidR="00D53E6F" w:rsidRPr="00AB18B9" w:rsidRDefault="00D53E6F" w:rsidP="00D53E6F">
      <w:pPr>
        <w:spacing w:line="240" w:lineRule="auto"/>
      </w:pPr>
    </w:p>
    <w:p w14:paraId="47C58DCB" w14:textId="77777777" w:rsidR="00D53E6F" w:rsidRPr="008C36F9" w:rsidRDefault="00D53E6F" w:rsidP="00D53E6F">
      <w:pPr>
        <w:pStyle w:val="Heading2"/>
        <w:tabs>
          <w:tab w:val="left" w:pos="540"/>
        </w:tabs>
        <w:spacing w:line="240" w:lineRule="auto"/>
      </w:pPr>
      <w:bookmarkStart w:id="395" w:name="_Toc456098351"/>
      <w:bookmarkStart w:id="396" w:name="_Toc12808896"/>
      <w:r>
        <w:t>5.14</w:t>
      </w:r>
      <w:r>
        <w:tab/>
      </w:r>
      <w:bookmarkStart w:id="397" w:name="_Toc457827364"/>
      <w:r w:rsidRPr="008C36F9">
        <w:t>Disaggregation</w:t>
      </w:r>
      <w:bookmarkEnd w:id="395"/>
      <w:bookmarkEnd w:id="396"/>
      <w:bookmarkEnd w:id="397"/>
    </w:p>
    <w:p w14:paraId="00DD89AE" w14:textId="77777777" w:rsidR="00D53E6F" w:rsidRPr="008C36F9" w:rsidRDefault="00D53E6F" w:rsidP="00D53E6F">
      <w:pPr>
        <w:spacing w:line="240" w:lineRule="auto"/>
      </w:pPr>
    </w:p>
    <w:p w14:paraId="4DF77F06" w14:textId="6F1CB016" w:rsidR="00D53E6F" w:rsidRPr="008C36F9" w:rsidRDefault="00D53E6F" w:rsidP="00D53E6F">
      <w:pPr>
        <w:spacing w:line="240" w:lineRule="auto"/>
      </w:pPr>
      <w:r>
        <w:t>T</w:t>
      </w:r>
      <w:r w:rsidRPr="00BD3549">
        <w:t xml:space="preserve">o comply with the guidance in </w:t>
      </w:r>
      <w:r>
        <w:t>NUREG/BR</w:t>
      </w:r>
      <w:r>
        <w:noBreakHyphen/>
        <w:t xml:space="preserve">0058, Section 4.3.2, on </w:t>
      </w:r>
      <w:r w:rsidRPr="00CC69F3">
        <w:t>criteria for the treatment of individual requirements</w:t>
      </w:r>
      <w:r w:rsidRPr="00BD3549">
        <w:t xml:space="preserve">, the NRC performed a screening review to determine </w:t>
      </w:r>
      <w:r>
        <w:t>whether</w:t>
      </w:r>
      <w:r w:rsidRPr="00BD3549">
        <w:t xml:space="preserve"> any of the individual requirements (or set of integrated requirements) of the final rule would be unnecessary to achieve the objectives of the rulemaking.  The NRC determined that the objectives of the rulemaking are to </w:t>
      </w:r>
      <w:r>
        <w:t>incorporate RG</w:t>
      </w:r>
      <w:r w:rsidRPr="00BD3549">
        <w:t>s</w:t>
      </w:r>
      <w:r>
        <w:t xml:space="preserve"> by reference</w:t>
      </w:r>
      <w:r w:rsidRPr="00BD3549">
        <w:t xml:space="preserve"> </w:t>
      </w:r>
      <w:r>
        <w:t>and</w:t>
      </w:r>
      <w:r w:rsidRPr="00BD3549">
        <w:t xml:space="preserve"> </w:t>
      </w:r>
      <w:r>
        <w:t xml:space="preserve">to </w:t>
      </w:r>
      <w:r w:rsidRPr="00BD3549">
        <w:t xml:space="preserve">make conforming changes.  Furthermore, the NRC concludes that each of the </w:t>
      </w:r>
      <w:r>
        <w:t>final</w:t>
      </w:r>
      <w:r w:rsidRPr="00BD3549">
        <w:t xml:space="preserve"> rule’s requirements would be necessary to achieve one or more objectives of the rulemaking.  </w:t>
      </w:r>
      <w:r w:rsidRPr="003A7223">
        <w:fldChar w:fldCharType="begin"/>
      </w:r>
      <w:r w:rsidRPr="003A7223">
        <w:instrText xml:space="preserve"> REF _Ref391037114 \h </w:instrText>
      </w:r>
      <w:r w:rsidRPr="00851A45">
        <w:rPr>
          <w:b/>
        </w:rPr>
        <w:instrText xml:space="preserve"> \* MERGEFORMAT </w:instrText>
      </w:r>
      <w:r w:rsidRPr="003A7223">
        <w:fldChar w:fldCharType="separate"/>
      </w:r>
      <w:r w:rsidR="00F05D99" w:rsidRPr="00F05D99">
        <w:t xml:space="preserve">Table </w:t>
      </w:r>
      <w:r w:rsidR="00F05D99" w:rsidRPr="00F05D99">
        <w:rPr>
          <w:noProof/>
        </w:rPr>
        <w:t>22</w:t>
      </w:r>
      <w:r w:rsidRPr="003A7223">
        <w:fldChar w:fldCharType="end"/>
      </w:r>
      <w:r w:rsidRPr="003A7223">
        <w:t xml:space="preserve"> prov</w:t>
      </w:r>
      <w:r>
        <w:t>ides t</w:t>
      </w:r>
      <w:r w:rsidRPr="00BD3549">
        <w:t xml:space="preserve">he results of this </w:t>
      </w:r>
      <w:r>
        <w:t>review</w:t>
      </w:r>
      <w:r w:rsidRPr="00BD3549">
        <w:t>.</w:t>
      </w:r>
    </w:p>
    <w:p w14:paraId="2AD0E678" w14:textId="77777777" w:rsidR="00D53E6F" w:rsidRPr="008C36F9" w:rsidRDefault="00D53E6F" w:rsidP="00D53E6F">
      <w:pPr>
        <w:spacing w:line="240" w:lineRule="auto"/>
      </w:pPr>
    </w:p>
    <w:p w14:paraId="2B264E01" w14:textId="65E409AE" w:rsidR="00D53E6F" w:rsidRPr="00C80453" w:rsidRDefault="00D53E6F" w:rsidP="00D53E6F">
      <w:pPr>
        <w:pStyle w:val="Caption"/>
        <w:spacing w:line="240" w:lineRule="auto"/>
        <w:ind w:left="1080" w:hanging="1080"/>
        <w:jc w:val="center"/>
        <w:rPr>
          <w:b/>
        </w:rPr>
      </w:pPr>
      <w:bookmarkStart w:id="398" w:name="_Ref391037114"/>
      <w:bookmarkStart w:id="399" w:name="_Toc393790943"/>
      <w:bookmarkStart w:id="400" w:name="_Toc393791077"/>
      <w:bookmarkStart w:id="401" w:name="_Toc454442496"/>
      <w:bookmarkStart w:id="402" w:name="_Toc457827416"/>
      <w:bookmarkStart w:id="403" w:name="_Toc9428151"/>
      <w:r w:rsidRPr="00C80453">
        <w:rPr>
          <w:b/>
        </w:rPr>
        <w:t xml:space="preserve">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22</w:t>
      </w:r>
      <w:r w:rsidRPr="00C80453">
        <w:rPr>
          <w:b/>
          <w:noProof/>
        </w:rPr>
        <w:fldChar w:fldCharType="end"/>
      </w:r>
      <w:bookmarkEnd w:id="398"/>
      <w:r w:rsidRPr="00C80453">
        <w:rPr>
          <w:b/>
        </w:rPr>
        <w:t xml:space="preserve">  Disaggregation</w:t>
      </w:r>
      <w:bookmarkEnd w:id="399"/>
      <w:bookmarkEnd w:id="400"/>
      <w:bookmarkEnd w:id="401"/>
      <w:bookmarkEnd w:id="402"/>
      <w:bookmarkEnd w:id="403"/>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2368"/>
        <w:gridCol w:w="2646"/>
      </w:tblGrid>
      <w:tr w:rsidR="00D53E6F" w:rsidRPr="00BD3549" w14:paraId="725F69A7" w14:textId="77777777" w:rsidTr="004A7B59">
        <w:trPr>
          <w:cantSplit/>
          <w:trHeight w:val="584"/>
          <w:tblHeader/>
          <w:jc w:val="center"/>
        </w:trPr>
        <w:tc>
          <w:tcPr>
            <w:tcW w:w="4045" w:type="dxa"/>
            <w:vAlign w:val="center"/>
          </w:tcPr>
          <w:p w14:paraId="778B4FFB" w14:textId="77777777" w:rsidR="00D53E6F" w:rsidRPr="00587EDB" w:rsidRDefault="00D53E6F" w:rsidP="00E91144">
            <w:pPr>
              <w:spacing w:line="240" w:lineRule="auto"/>
              <w:jc w:val="center"/>
              <w:rPr>
                <w:b/>
              </w:rPr>
            </w:pPr>
            <w:bookmarkStart w:id="404" w:name="_Toc456098352"/>
            <w:bookmarkStart w:id="405" w:name="_Toc456098353"/>
            <w:bookmarkEnd w:id="404"/>
            <w:r w:rsidRPr="00587EDB">
              <w:rPr>
                <w:b/>
              </w:rPr>
              <w:t xml:space="preserve">Regulatory Goals for </w:t>
            </w:r>
            <w:r>
              <w:rPr>
                <w:b/>
              </w:rPr>
              <w:t>Final</w:t>
            </w:r>
            <w:r w:rsidRPr="00587EDB">
              <w:rPr>
                <w:b/>
              </w:rPr>
              <w:t xml:space="preserve"> Rule</w:t>
            </w:r>
          </w:p>
        </w:tc>
        <w:tc>
          <w:tcPr>
            <w:tcW w:w="2368" w:type="dxa"/>
            <w:vAlign w:val="center"/>
          </w:tcPr>
          <w:p w14:paraId="3688454C" w14:textId="77777777" w:rsidR="00D53E6F" w:rsidRPr="00587EDB" w:rsidRDefault="00D53E6F" w:rsidP="00E91144">
            <w:pPr>
              <w:spacing w:line="240" w:lineRule="auto"/>
              <w:jc w:val="center"/>
              <w:rPr>
                <w:b/>
              </w:rPr>
            </w:pPr>
            <w:r w:rsidRPr="00587EDB">
              <w:rPr>
                <w:b/>
              </w:rPr>
              <w:t xml:space="preserve">Approve </w:t>
            </w:r>
            <w:r>
              <w:rPr>
                <w:b/>
              </w:rPr>
              <w:t>U</w:t>
            </w:r>
            <w:r w:rsidRPr="00D557C2">
              <w:rPr>
                <w:b/>
              </w:rPr>
              <w:t xml:space="preserve">se </w:t>
            </w:r>
            <w:r>
              <w:rPr>
                <w:b/>
              </w:rPr>
              <w:t>of</w:t>
            </w:r>
            <w:r w:rsidRPr="00587EDB">
              <w:rPr>
                <w:b/>
              </w:rPr>
              <w:t xml:space="preserve"> the </w:t>
            </w:r>
            <w:r>
              <w:rPr>
                <w:b/>
              </w:rPr>
              <w:t>N</w:t>
            </w:r>
            <w:r w:rsidRPr="00D557C2">
              <w:rPr>
                <w:b/>
              </w:rPr>
              <w:t>ew</w:t>
            </w:r>
            <w:r w:rsidRPr="00587EDB">
              <w:rPr>
                <w:b/>
              </w:rPr>
              <w:t xml:space="preserve"> </w:t>
            </w:r>
            <w:r>
              <w:rPr>
                <w:b/>
              </w:rPr>
              <w:t xml:space="preserve">ASME </w:t>
            </w:r>
            <w:r w:rsidRPr="00587EDB">
              <w:rPr>
                <w:b/>
              </w:rPr>
              <w:t xml:space="preserve">Code Cases in </w:t>
            </w:r>
            <w:r>
              <w:rPr>
                <w:b/>
              </w:rPr>
              <w:t>E</w:t>
            </w:r>
            <w:r w:rsidRPr="00D557C2">
              <w:rPr>
                <w:b/>
              </w:rPr>
              <w:t>ach</w:t>
            </w:r>
            <w:r w:rsidRPr="00587EDB">
              <w:rPr>
                <w:b/>
              </w:rPr>
              <w:t xml:space="preserve"> </w:t>
            </w:r>
            <w:r>
              <w:rPr>
                <w:b/>
              </w:rPr>
              <w:t>RG</w:t>
            </w:r>
          </w:p>
        </w:tc>
        <w:tc>
          <w:tcPr>
            <w:tcW w:w="2646" w:type="dxa"/>
            <w:vAlign w:val="center"/>
          </w:tcPr>
          <w:p w14:paraId="24D74ADB" w14:textId="77777777" w:rsidR="00D53E6F" w:rsidRPr="00587EDB" w:rsidRDefault="00D53E6F" w:rsidP="00E91144">
            <w:pPr>
              <w:spacing w:line="240" w:lineRule="auto"/>
              <w:jc w:val="center"/>
              <w:rPr>
                <w:b/>
              </w:rPr>
            </w:pPr>
            <w:r w:rsidRPr="00587EDB">
              <w:rPr>
                <w:b/>
              </w:rPr>
              <w:t xml:space="preserve">Make </w:t>
            </w:r>
            <w:r>
              <w:rPr>
                <w:b/>
              </w:rPr>
              <w:t>I</w:t>
            </w:r>
            <w:r w:rsidRPr="00D557C2">
              <w:rPr>
                <w:b/>
              </w:rPr>
              <w:t>ncorporation</w:t>
            </w:r>
            <w:r w:rsidRPr="00587EDB">
              <w:rPr>
                <w:b/>
              </w:rPr>
              <w:t xml:space="preserve"> by </w:t>
            </w:r>
            <w:r>
              <w:rPr>
                <w:b/>
              </w:rPr>
              <w:t>R</w:t>
            </w:r>
            <w:r w:rsidRPr="00D557C2">
              <w:rPr>
                <w:b/>
              </w:rPr>
              <w:t xml:space="preserve">eference </w:t>
            </w:r>
            <w:r>
              <w:rPr>
                <w:b/>
              </w:rPr>
              <w:t>C</w:t>
            </w:r>
            <w:r w:rsidRPr="00D557C2">
              <w:rPr>
                <w:b/>
              </w:rPr>
              <w:t xml:space="preserve">onforming </w:t>
            </w:r>
            <w:r>
              <w:rPr>
                <w:b/>
              </w:rPr>
              <w:t>C</w:t>
            </w:r>
            <w:r w:rsidRPr="00D557C2">
              <w:rPr>
                <w:b/>
              </w:rPr>
              <w:t>hanges</w:t>
            </w:r>
          </w:p>
        </w:tc>
      </w:tr>
      <w:tr w:rsidR="00D53E6F" w:rsidRPr="00BD3549" w:rsidDel="004C026F" w14:paraId="768FE7D9" w14:textId="77777777" w:rsidTr="004A7B59">
        <w:trPr>
          <w:cantSplit/>
          <w:jc w:val="center"/>
        </w:trPr>
        <w:tc>
          <w:tcPr>
            <w:tcW w:w="4045" w:type="dxa"/>
            <w:vAlign w:val="center"/>
          </w:tcPr>
          <w:p w14:paraId="5165316A" w14:textId="77777777" w:rsidR="00D53E6F" w:rsidRPr="00587EDB" w:rsidRDefault="00D53E6F" w:rsidP="00E91144">
            <w:pPr>
              <w:spacing w:line="240" w:lineRule="auto"/>
            </w:pPr>
            <w:r w:rsidRPr="00587EDB">
              <w:t>10</w:t>
            </w:r>
            <w:r>
              <w:t> </w:t>
            </w:r>
            <w:r w:rsidRPr="00587EDB">
              <w:t>CFR</w:t>
            </w:r>
            <w:r>
              <w:t> </w:t>
            </w:r>
            <w:r w:rsidRPr="00587EDB">
              <w:t>50.55a(a)(3)(i</w:t>
            </w:r>
            <w:r w:rsidRPr="00D557C2">
              <w:t>)</w:t>
            </w:r>
            <w:r>
              <w:t>,</w:t>
            </w:r>
            <w:r w:rsidRPr="00587EDB">
              <w:t xml:space="preserve"> </w:t>
            </w:r>
            <w:r>
              <w:t>RG 1.84, Revision 38</w:t>
            </w:r>
          </w:p>
        </w:tc>
        <w:tc>
          <w:tcPr>
            <w:tcW w:w="2368" w:type="dxa"/>
            <w:vAlign w:val="center"/>
          </w:tcPr>
          <w:p w14:paraId="32259231" w14:textId="77777777" w:rsidR="00D53E6F" w:rsidRPr="00587EDB" w:rsidRDefault="00D53E6F" w:rsidP="00E91144">
            <w:pPr>
              <w:spacing w:line="240" w:lineRule="auto"/>
              <w:jc w:val="center"/>
            </w:pPr>
            <w:r w:rsidRPr="00587EDB">
              <w:t>X</w:t>
            </w:r>
          </w:p>
        </w:tc>
        <w:tc>
          <w:tcPr>
            <w:tcW w:w="2646" w:type="dxa"/>
            <w:vAlign w:val="center"/>
          </w:tcPr>
          <w:p w14:paraId="66661DBE" w14:textId="77777777" w:rsidR="00D53E6F" w:rsidRPr="00587EDB" w:rsidRDefault="00D53E6F" w:rsidP="00E91144">
            <w:pPr>
              <w:spacing w:line="240" w:lineRule="auto"/>
              <w:jc w:val="center"/>
            </w:pPr>
            <w:r w:rsidRPr="00587EDB">
              <w:t>X</w:t>
            </w:r>
          </w:p>
        </w:tc>
      </w:tr>
      <w:tr w:rsidR="00D53E6F" w:rsidRPr="00BD3549" w:rsidDel="004C026F" w14:paraId="707027F1" w14:textId="77777777" w:rsidTr="004A7B59">
        <w:trPr>
          <w:cantSplit/>
          <w:jc w:val="center"/>
        </w:trPr>
        <w:tc>
          <w:tcPr>
            <w:tcW w:w="4045" w:type="dxa"/>
            <w:vAlign w:val="center"/>
          </w:tcPr>
          <w:p w14:paraId="09BE6A45" w14:textId="77777777" w:rsidR="00D53E6F" w:rsidRPr="00587EDB" w:rsidRDefault="00D53E6F" w:rsidP="00E91144">
            <w:pPr>
              <w:spacing w:line="240" w:lineRule="auto"/>
            </w:pPr>
            <w:r w:rsidRPr="00587EDB">
              <w:t>10</w:t>
            </w:r>
            <w:r>
              <w:t> </w:t>
            </w:r>
            <w:r w:rsidRPr="00587EDB">
              <w:t>CFR</w:t>
            </w:r>
            <w:r>
              <w:t> </w:t>
            </w:r>
            <w:r w:rsidRPr="00587EDB">
              <w:t>50.55a(a)(3)(ii</w:t>
            </w:r>
            <w:r w:rsidRPr="00D557C2">
              <w:t>)</w:t>
            </w:r>
            <w:r>
              <w:t>,</w:t>
            </w:r>
            <w:r w:rsidRPr="00587EDB">
              <w:t xml:space="preserve"> </w:t>
            </w:r>
            <w:r>
              <w:t>RG 1.147, Revision 19</w:t>
            </w:r>
          </w:p>
        </w:tc>
        <w:tc>
          <w:tcPr>
            <w:tcW w:w="2368" w:type="dxa"/>
            <w:vAlign w:val="center"/>
          </w:tcPr>
          <w:p w14:paraId="68FF850C" w14:textId="77777777" w:rsidR="00D53E6F" w:rsidRPr="00587EDB" w:rsidRDefault="00D53E6F" w:rsidP="00E91144">
            <w:pPr>
              <w:spacing w:line="240" w:lineRule="auto"/>
              <w:jc w:val="center"/>
            </w:pPr>
            <w:r w:rsidRPr="00587EDB">
              <w:t>X</w:t>
            </w:r>
          </w:p>
        </w:tc>
        <w:tc>
          <w:tcPr>
            <w:tcW w:w="2646" w:type="dxa"/>
            <w:vAlign w:val="center"/>
          </w:tcPr>
          <w:p w14:paraId="2DA00F1A" w14:textId="77777777" w:rsidR="00D53E6F" w:rsidRPr="00587EDB" w:rsidRDefault="00D53E6F" w:rsidP="00E91144">
            <w:pPr>
              <w:spacing w:line="240" w:lineRule="auto"/>
              <w:jc w:val="center"/>
            </w:pPr>
            <w:r w:rsidRPr="00587EDB">
              <w:t>X</w:t>
            </w:r>
          </w:p>
        </w:tc>
      </w:tr>
      <w:tr w:rsidR="00D53E6F" w:rsidRPr="00BD3549" w:rsidDel="004C026F" w14:paraId="4314A286" w14:textId="77777777" w:rsidTr="004A7B59">
        <w:trPr>
          <w:cantSplit/>
          <w:jc w:val="center"/>
        </w:trPr>
        <w:tc>
          <w:tcPr>
            <w:tcW w:w="4045" w:type="dxa"/>
            <w:vAlign w:val="center"/>
          </w:tcPr>
          <w:p w14:paraId="19B93E0A" w14:textId="77777777" w:rsidR="00D53E6F" w:rsidRPr="00587EDB" w:rsidRDefault="00D53E6F" w:rsidP="00E91144">
            <w:pPr>
              <w:spacing w:line="240" w:lineRule="auto"/>
            </w:pPr>
            <w:r w:rsidRPr="00587EDB">
              <w:t>10</w:t>
            </w:r>
            <w:r>
              <w:t> </w:t>
            </w:r>
            <w:r w:rsidRPr="00587EDB">
              <w:t>CFR</w:t>
            </w:r>
            <w:r>
              <w:t> </w:t>
            </w:r>
            <w:r w:rsidRPr="00587EDB">
              <w:t>50.55a(a)(3)(iii</w:t>
            </w:r>
            <w:r w:rsidRPr="00D557C2">
              <w:t>)</w:t>
            </w:r>
            <w:r>
              <w:t>,</w:t>
            </w:r>
            <w:r w:rsidRPr="00587EDB">
              <w:t xml:space="preserve"> </w:t>
            </w:r>
            <w:r>
              <w:t>RG </w:t>
            </w:r>
            <w:r w:rsidRPr="00587EDB">
              <w:t>1.192, Revision</w:t>
            </w:r>
            <w:r>
              <w:t> 3</w:t>
            </w:r>
          </w:p>
        </w:tc>
        <w:tc>
          <w:tcPr>
            <w:tcW w:w="2368" w:type="dxa"/>
            <w:vAlign w:val="center"/>
          </w:tcPr>
          <w:p w14:paraId="728DD847" w14:textId="77777777" w:rsidR="00D53E6F" w:rsidRPr="00587EDB" w:rsidRDefault="00D53E6F" w:rsidP="00E91144">
            <w:pPr>
              <w:spacing w:line="240" w:lineRule="auto"/>
              <w:jc w:val="center"/>
            </w:pPr>
            <w:r w:rsidRPr="00587EDB">
              <w:t>X</w:t>
            </w:r>
          </w:p>
        </w:tc>
        <w:tc>
          <w:tcPr>
            <w:tcW w:w="2646" w:type="dxa"/>
            <w:vAlign w:val="center"/>
          </w:tcPr>
          <w:p w14:paraId="46AF030B" w14:textId="77777777" w:rsidR="00D53E6F" w:rsidRPr="00587EDB" w:rsidRDefault="00D53E6F" w:rsidP="00E91144">
            <w:pPr>
              <w:spacing w:line="240" w:lineRule="auto"/>
              <w:jc w:val="center"/>
            </w:pPr>
            <w:r w:rsidRPr="00587EDB">
              <w:t>X</w:t>
            </w:r>
          </w:p>
        </w:tc>
      </w:tr>
    </w:tbl>
    <w:p w14:paraId="09ABCD3E" w14:textId="77777777" w:rsidR="00D53E6F" w:rsidRDefault="00D53E6F" w:rsidP="00D53E6F">
      <w:pPr>
        <w:spacing w:line="240" w:lineRule="auto"/>
      </w:pPr>
    </w:p>
    <w:p w14:paraId="1EED7FD8" w14:textId="77777777" w:rsidR="00D53E6F" w:rsidRPr="00461295" w:rsidRDefault="00D53E6F" w:rsidP="00D53E6F">
      <w:pPr>
        <w:pStyle w:val="Heading2"/>
        <w:tabs>
          <w:tab w:val="left" w:pos="540"/>
        </w:tabs>
        <w:spacing w:line="240" w:lineRule="auto"/>
      </w:pPr>
      <w:bookmarkStart w:id="406" w:name="_Toc12808897"/>
      <w:r>
        <w:t>5.15</w:t>
      </w:r>
      <w:r>
        <w:tab/>
      </w:r>
      <w:bookmarkStart w:id="407" w:name="_Toc457827366"/>
      <w:r w:rsidRPr="00461295">
        <w:t>Summary</w:t>
      </w:r>
      <w:bookmarkEnd w:id="405"/>
      <w:bookmarkEnd w:id="406"/>
      <w:bookmarkEnd w:id="407"/>
    </w:p>
    <w:p w14:paraId="184E3D6A" w14:textId="77777777" w:rsidR="00D53E6F" w:rsidRPr="00985500" w:rsidRDefault="00D53E6F" w:rsidP="00D53E6F">
      <w:pPr>
        <w:keepNext/>
        <w:spacing w:line="240" w:lineRule="auto"/>
      </w:pPr>
    </w:p>
    <w:p w14:paraId="0C96CAFA" w14:textId="5C87D31F" w:rsidR="00D53E6F" w:rsidRDefault="00D53E6F" w:rsidP="00D53E6F">
      <w:pPr>
        <w:spacing w:line="240" w:lineRule="auto"/>
      </w:pPr>
      <w:r w:rsidRPr="00985500">
        <w:t>This regulatory analysis identifie</w:t>
      </w:r>
      <w:r>
        <w:t>s</w:t>
      </w:r>
      <w:r w:rsidRPr="00985500">
        <w:t xml:space="preserve"> both quantifiable and nonquantifiable costs</w:t>
      </w:r>
      <w:r>
        <w:t xml:space="preserve"> and benefits</w:t>
      </w:r>
      <w:r w:rsidRPr="00985500">
        <w:t xml:space="preserve"> that </w:t>
      </w:r>
      <w:r>
        <w:t>would</w:t>
      </w:r>
      <w:r w:rsidRPr="00985500">
        <w:t xml:space="preserve"> </w:t>
      </w:r>
      <w:r>
        <w:t>result</w:t>
      </w:r>
      <w:r w:rsidRPr="00985500">
        <w:t xml:space="preserve"> from incorporating NRC-approved </w:t>
      </w:r>
      <w:r>
        <w:t>ASME Code Case</w:t>
      </w:r>
      <w:r w:rsidRPr="00985500">
        <w:t>s by reference into the</w:t>
      </w:r>
      <w:r w:rsidRPr="00985500">
        <w:rPr>
          <w:i/>
        </w:rPr>
        <w:t xml:space="preserve"> Code of Federal Regulations</w:t>
      </w:r>
      <w:r w:rsidRPr="00985500">
        <w:t>.  Although quantifiable costs</w:t>
      </w:r>
      <w:r>
        <w:t xml:space="preserve"> and benefits</w:t>
      </w:r>
      <w:r w:rsidRPr="00985500">
        <w:t xml:space="preserve"> appear to be more tangible, </w:t>
      </w:r>
      <w:r>
        <w:t>decision</w:t>
      </w:r>
      <w:r w:rsidRPr="00985500">
        <w:t xml:space="preserve">makers </w:t>
      </w:r>
      <w:r w:rsidR="00670F25">
        <w:t xml:space="preserve">should </w:t>
      </w:r>
      <w:r w:rsidR="00711C43">
        <w:t>also consider</w:t>
      </w:r>
      <w:r w:rsidRPr="00985500">
        <w:t xml:space="preserve"> costs</w:t>
      </w:r>
      <w:r>
        <w:t xml:space="preserve"> and benefits</w:t>
      </w:r>
      <w:r w:rsidRPr="00985500">
        <w:t xml:space="preserve"> that </w:t>
      </w:r>
      <w:r>
        <w:t>cannot be</w:t>
      </w:r>
      <w:r w:rsidRPr="00985500">
        <w:t xml:space="preserve"> </w:t>
      </w:r>
      <w:r>
        <w:t>quantified</w:t>
      </w:r>
      <w:r w:rsidRPr="00985500">
        <w:t xml:space="preserve">.  Such benefits or costs can be as </w:t>
      </w:r>
      <w:r>
        <w:t xml:space="preserve">important </w:t>
      </w:r>
      <w:r w:rsidRPr="00985500">
        <w:t>as</w:t>
      </w:r>
      <w:r>
        <w:t>,</w:t>
      </w:r>
      <w:r w:rsidRPr="00985500">
        <w:t xml:space="preserve"> or even more important than</w:t>
      </w:r>
      <w:r>
        <w:t>,</w:t>
      </w:r>
      <w:r w:rsidRPr="00985500">
        <w:t xml:space="preserve"> benefits or costs that </w:t>
      </w:r>
      <w:r>
        <w:t>can be</w:t>
      </w:r>
      <w:r w:rsidRPr="00985500">
        <w:t xml:space="preserve"> quantified and monetized.</w:t>
      </w:r>
    </w:p>
    <w:p w14:paraId="0FF58688" w14:textId="77777777" w:rsidR="00D53E6F" w:rsidRPr="00985500" w:rsidRDefault="00D53E6F" w:rsidP="00D53E6F">
      <w:pPr>
        <w:spacing w:line="240" w:lineRule="auto"/>
      </w:pPr>
    </w:p>
    <w:p w14:paraId="5936BB3D" w14:textId="77777777" w:rsidR="00D53E6F" w:rsidRPr="00985500" w:rsidRDefault="00D53E6F" w:rsidP="00D53E6F">
      <w:pPr>
        <w:pStyle w:val="Heading3"/>
        <w:keepLines/>
        <w:spacing w:line="240" w:lineRule="auto"/>
        <w:ind w:left="900" w:hanging="900"/>
      </w:pPr>
      <w:bookmarkStart w:id="408" w:name="_Ref393273932"/>
      <w:bookmarkStart w:id="409" w:name="_Toc456098354"/>
      <w:bookmarkStart w:id="410" w:name="_Toc12808898"/>
      <w:r>
        <w:t>5.15.1</w:t>
      </w:r>
      <w:r>
        <w:tab/>
      </w:r>
      <w:bookmarkStart w:id="411" w:name="_Toc457827367"/>
      <w:r w:rsidRPr="00985500">
        <w:t>Quantified Net Benefit</w:t>
      </w:r>
      <w:bookmarkEnd w:id="408"/>
      <w:bookmarkEnd w:id="409"/>
      <w:bookmarkEnd w:id="410"/>
      <w:bookmarkEnd w:id="411"/>
    </w:p>
    <w:p w14:paraId="23B9F6F7" w14:textId="77777777" w:rsidR="00D53E6F" w:rsidRPr="00764737" w:rsidRDefault="00D53E6F" w:rsidP="00D53E6F">
      <w:pPr>
        <w:keepNext/>
        <w:keepLines/>
        <w:spacing w:line="240" w:lineRule="auto"/>
      </w:pPr>
    </w:p>
    <w:p w14:paraId="30443979" w14:textId="3AFC15CF" w:rsidR="00D53E6F" w:rsidRDefault="00D53E6F" w:rsidP="00D53E6F">
      <w:pPr>
        <w:spacing w:line="240" w:lineRule="auto"/>
      </w:pPr>
      <w:r w:rsidRPr="00764737">
        <w:t xml:space="preserve">As shown in </w:t>
      </w:r>
      <w:r w:rsidRPr="00372D58">
        <w:fldChar w:fldCharType="begin"/>
      </w:r>
      <w:r w:rsidRPr="00372D58">
        <w:instrText xml:space="preserve"> REF _Ref479172421 \h </w:instrText>
      </w:r>
      <w:r w:rsidRPr="00F04623">
        <w:rPr>
          <w:b/>
        </w:rPr>
        <w:instrText xml:space="preserve"> \* MERGEFORMAT </w:instrText>
      </w:r>
      <w:r w:rsidRPr="00372D58">
        <w:fldChar w:fldCharType="separate"/>
      </w:r>
      <w:r w:rsidR="00F05D99" w:rsidRPr="00F05D99">
        <w:t xml:space="preserve">Table </w:t>
      </w:r>
      <w:r w:rsidR="00F05D99" w:rsidRPr="00F05D99">
        <w:rPr>
          <w:noProof/>
        </w:rPr>
        <w:t>19</w:t>
      </w:r>
      <w:r w:rsidRPr="00372D58">
        <w:fldChar w:fldCharType="end"/>
      </w:r>
      <w:r w:rsidRPr="00372D58">
        <w:t xml:space="preserve"> abo</w:t>
      </w:r>
      <w:r>
        <w:t>ve</w:t>
      </w:r>
      <w:r w:rsidRPr="00764737">
        <w:t xml:space="preserve">, the estimated </w:t>
      </w:r>
      <w:r>
        <w:t>quantified incremental averted costs for Alternative 2,</w:t>
      </w:r>
      <w:r w:rsidRPr="00764737">
        <w:t xml:space="preserve"> </w:t>
      </w:r>
      <w:r>
        <w:t>as compared</w:t>
      </w:r>
      <w:r w:rsidRPr="00764737">
        <w:t xml:space="preserve"> to the regulatory baseline </w:t>
      </w:r>
      <w:r>
        <w:t xml:space="preserve">(Alternative 1) </w:t>
      </w:r>
      <w:r w:rsidRPr="00764737">
        <w:t xml:space="preserve">over the </w:t>
      </w:r>
      <w:r>
        <w:t>6 years the ASME Code Cases will be effective,</w:t>
      </w:r>
      <w:r w:rsidRPr="00764737">
        <w:t xml:space="preserve"> </w:t>
      </w:r>
      <w:r>
        <w:t>range from</w:t>
      </w:r>
      <w:r w:rsidRPr="00764737">
        <w:t xml:space="preserve"> approximately </w:t>
      </w:r>
      <w:r>
        <w:t>$6.30 million</w:t>
      </w:r>
      <w:r w:rsidRPr="00764737">
        <w:t xml:space="preserve"> </w:t>
      </w:r>
      <w:r>
        <w:t>(7-percent discount rate) to $7.16 million (3-percent discount rate)</w:t>
      </w:r>
      <w:r w:rsidRPr="00764737">
        <w:t xml:space="preserve">.  </w:t>
      </w:r>
      <w:r w:rsidRPr="00372D58">
        <w:fldChar w:fldCharType="begin"/>
      </w:r>
      <w:r w:rsidRPr="00372D58">
        <w:instrText xml:space="preserve"> REF _Ref479172421 \h </w:instrText>
      </w:r>
      <w:r w:rsidRPr="00F04623">
        <w:rPr>
          <w:b/>
        </w:rPr>
        <w:instrText xml:space="preserve"> \* MERGEFORMAT </w:instrText>
      </w:r>
      <w:r w:rsidRPr="00372D58">
        <w:fldChar w:fldCharType="separate"/>
      </w:r>
      <w:r w:rsidR="00F05D99" w:rsidRPr="00F05D99">
        <w:t xml:space="preserve">Table </w:t>
      </w:r>
      <w:r w:rsidR="00F05D99" w:rsidRPr="00F05D99">
        <w:rPr>
          <w:noProof/>
        </w:rPr>
        <w:t>19</w:t>
      </w:r>
      <w:r w:rsidRPr="00372D58">
        <w:fldChar w:fldCharType="end"/>
      </w:r>
      <w:r w:rsidRPr="00372D58">
        <w:t xml:space="preserve"> sh</w:t>
      </w:r>
      <w:r>
        <w:t>ows that Alternative 2 would also be cost beneficial for the NRC and the industry when they are considered separately.</w:t>
      </w:r>
    </w:p>
    <w:p w14:paraId="445DA555" w14:textId="77777777" w:rsidR="00D53E6F" w:rsidRDefault="00D53E6F" w:rsidP="00D53E6F">
      <w:pPr>
        <w:spacing w:line="240" w:lineRule="auto"/>
      </w:pPr>
    </w:p>
    <w:p w14:paraId="579C8791" w14:textId="77777777" w:rsidR="00D53E6F" w:rsidRPr="00461295" w:rsidRDefault="00D53E6F" w:rsidP="00D53E6F">
      <w:pPr>
        <w:pStyle w:val="Heading3"/>
        <w:spacing w:line="240" w:lineRule="auto"/>
        <w:ind w:left="900" w:hanging="900"/>
      </w:pPr>
      <w:bookmarkStart w:id="412" w:name="_Ref386986522"/>
      <w:bookmarkStart w:id="413" w:name="_Toc456098355"/>
      <w:bookmarkStart w:id="414" w:name="_Toc12808899"/>
      <w:r>
        <w:t>5.15.2</w:t>
      </w:r>
      <w:r>
        <w:tab/>
      </w:r>
      <w:bookmarkStart w:id="415" w:name="_Toc457827368"/>
      <w:r w:rsidRPr="00461295">
        <w:t>Nonquantified Benefits</w:t>
      </w:r>
      <w:bookmarkEnd w:id="412"/>
      <w:bookmarkEnd w:id="413"/>
      <w:bookmarkEnd w:id="414"/>
      <w:bookmarkEnd w:id="415"/>
    </w:p>
    <w:p w14:paraId="2B09AFC7" w14:textId="77777777" w:rsidR="00D53E6F" w:rsidRPr="00C8647A" w:rsidRDefault="00D53E6F" w:rsidP="00D53E6F">
      <w:pPr>
        <w:spacing w:line="240" w:lineRule="auto"/>
      </w:pPr>
    </w:p>
    <w:p w14:paraId="2DA92090" w14:textId="77777777" w:rsidR="00D53E6F" w:rsidRDefault="00D53E6F" w:rsidP="00D53E6F">
      <w:pPr>
        <w:spacing w:line="240" w:lineRule="auto"/>
      </w:pPr>
      <w:r w:rsidRPr="00C8647A">
        <w:t xml:space="preserve">In addition to the quantified costs discussed in </w:t>
      </w:r>
      <w:r>
        <w:t>this regulatory analysis</w:t>
      </w:r>
      <w:r w:rsidRPr="00C8647A">
        <w:t xml:space="preserve">, </w:t>
      </w:r>
      <w:r>
        <w:t xml:space="preserve">the attributes of </w:t>
      </w:r>
      <w:r w:rsidRPr="00C8647A">
        <w:t xml:space="preserve">public health (accident), improvements in knowledge, regulatory efficiency, and other considerations </w:t>
      </w:r>
      <w:r>
        <w:t xml:space="preserve">would </w:t>
      </w:r>
      <w:r w:rsidRPr="00C8647A">
        <w:t>produce a number of nonquanti</w:t>
      </w:r>
      <w:r>
        <w:t>fied</w:t>
      </w:r>
      <w:r w:rsidRPr="00C8647A">
        <w:t xml:space="preserve"> </w:t>
      </w:r>
      <w:r>
        <w:t xml:space="preserve">costs and </w:t>
      </w:r>
      <w:r w:rsidRPr="00C8647A">
        <w:t>bene</w:t>
      </w:r>
      <w:r>
        <w:t>fits for the industry and the NRC.  The sections below summarize these benefits.</w:t>
      </w:r>
    </w:p>
    <w:p w14:paraId="4C5301CA" w14:textId="77777777" w:rsidR="00D53E6F" w:rsidRPr="00C8647A" w:rsidRDefault="00D53E6F" w:rsidP="00D53E6F">
      <w:pPr>
        <w:spacing w:line="240" w:lineRule="auto"/>
      </w:pPr>
    </w:p>
    <w:p w14:paraId="2778752E" w14:textId="77777777" w:rsidR="00D53E6F" w:rsidRPr="007A3036" w:rsidRDefault="00D53E6F" w:rsidP="00D53E6F">
      <w:pPr>
        <w:pStyle w:val="Heading4"/>
        <w:keepNext/>
        <w:spacing w:line="240" w:lineRule="auto"/>
        <w:ind w:left="1080" w:hanging="1080"/>
      </w:pPr>
      <w:r>
        <w:t>5.15.2.1</w:t>
      </w:r>
      <w:r>
        <w:tab/>
      </w:r>
      <w:r w:rsidRPr="007A3036">
        <w:t xml:space="preserve">Advances in </w:t>
      </w:r>
      <w:r>
        <w:t>Inservice Inspection and Inservice Testing</w:t>
      </w:r>
    </w:p>
    <w:p w14:paraId="53343489" w14:textId="5EA9593A" w:rsidR="00D53E6F" w:rsidRPr="00296AFD" w:rsidRDefault="00D53E6F" w:rsidP="00D53E6F">
      <w:pPr>
        <w:keepNext/>
        <w:spacing w:line="240" w:lineRule="auto"/>
      </w:pPr>
    </w:p>
    <w:p w14:paraId="14D048E9" w14:textId="77777777" w:rsidR="00D53E6F" w:rsidRDefault="00D53E6F" w:rsidP="00D53E6F">
      <w:pPr>
        <w:spacing w:line="240" w:lineRule="auto"/>
      </w:pPr>
      <w:r w:rsidRPr="00296AFD">
        <w:t>Advanc</w:t>
      </w:r>
      <w:r>
        <w:t>e</w:t>
      </w:r>
      <w:r w:rsidRPr="00296AFD">
        <w:t xml:space="preserve">s in ISI and IST may </w:t>
      </w:r>
      <w:r>
        <w:t>incrementally decrease</w:t>
      </w:r>
      <w:r w:rsidRPr="00296AFD">
        <w:t xml:space="preserve"> the likelihood of a radiological accident, the likelihood of postaccident plant worker exposure, and </w:t>
      </w:r>
      <w:r>
        <w:t xml:space="preserve">the level of </w:t>
      </w:r>
      <w:r w:rsidRPr="00296AFD">
        <w:t xml:space="preserve">plant worker radiological exposures during routine inspections or testing.  </w:t>
      </w:r>
      <w:r>
        <w:t xml:space="preserve">The </w:t>
      </w:r>
      <w:r w:rsidRPr="00296AFD">
        <w:t>NRC</w:t>
      </w:r>
      <w:r>
        <w:t>’s</w:t>
      </w:r>
      <w:r w:rsidRPr="00296AFD">
        <w:t xml:space="preserve"> approval of </w:t>
      </w:r>
      <w:r>
        <w:t>later editions and addenda of the</w:t>
      </w:r>
      <w:r w:rsidRPr="00296AFD">
        <w:t xml:space="preserve"> </w:t>
      </w:r>
      <w:r>
        <w:t>ASME BPV and OM Codes</w:t>
      </w:r>
      <w:r w:rsidRPr="00296AFD">
        <w:t xml:space="preserve"> </w:t>
      </w:r>
      <w:r>
        <w:t xml:space="preserve">and the associated Code </w:t>
      </w:r>
      <w:r w:rsidRPr="00296AFD">
        <w:t>Cases may contribute to plant safety by providing alternative examination methods that may result in the earlier identification of material degradation that</w:t>
      </w:r>
      <w:r>
        <w:t>,</w:t>
      </w:r>
      <w:r w:rsidRPr="00296AFD">
        <w:t xml:space="preserve"> if undetected</w:t>
      </w:r>
      <w:r>
        <w:t>,</w:t>
      </w:r>
      <w:r w:rsidRPr="00296AFD">
        <w:t xml:space="preserve"> could result in further degradation and </w:t>
      </w:r>
      <w:r>
        <w:t>lead to</w:t>
      </w:r>
      <w:r w:rsidRPr="00296AFD">
        <w:t xml:space="preserve"> a plant transient.</w:t>
      </w:r>
      <w:r>
        <w:t xml:space="preserve">  These alternative methods may increase the assurance of plant safety system readiness and may prevent, through inspection and testing, the introduction of a new failure mode or common-cause failure mode not previously evaluated.</w:t>
      </w:r>
    </w:p>
    <w:p w14:paraId="1589BDA8" w14:textId="45EA158A" w:rsidR="00D53E6F" w:rsidRPr="00296AFD" w:rsidRDefault="00D53E6F" w:rsidP="00D53E6F">
      <w:pPr>
        <w:spacing w:line="240" w:lineRule="auto"/>
      </w:pPr>
    </w:p>
    <w:p w14:paraId="603D938C" w14:textId="6064645E" w:rsidR="00D53E6F" w:rsidRDefault="00D53E6F" w:rsidP="00D53E6F">
      <w:pPr>
        <w:pStyle w:val="Heading4"/>
        <w:keepNext/>
        <w:spacing w:line="240" w:lineRule="auto"/>
        <w:ind w:left="1080" w:hanging="1080"/>
      </w:pPr>
      <w:r>
        <w:t>5.15.2.2</w:t>
      </w:r>
      <w:r>
        <w:tab/>
        <w:t>Reduction in Public Health Radiation Exposures</w:t>
      </w:r>
      <w:r w:rsidR="00670F25">
        <w:t xml:space="preserve"> and Offsite Property</w:t>
      </w:r>
    </w:p>
    <w:p w14:paraId="35524092" w14:textId="77777777" w:rsidR="00D53E6F" w:rsidRDefault="00D53E6F" w:rsidP="004A7B59">
      <w:pPr>
        <w:keepNext/>
        <w:spacing w:line="240" w:lineRule="auto"/>
      </w:pPr>
    </w:p>
    <w:p w14:paraId="2F83EB4B" w14:textId="6692A47F" w:rsidR="00D53E6F" w:rsidRDefault="00D53E6F" w:rsidP="00D53E6F">
      <w:pPr>
        <w:spacing w:line="240" w:lineRule="auto"/>
      </w:pPr>
      <w:r>
        <w:t>The i</w:t>
      </w:r>
      <w:r w:rsidRPr="00976A87">
        <w:t>ndustry</w:t>
      </w:r>
      <w:r>
        <w:t>’s</w:t>
      </w:r>
      <w:r w:rsidRPr="00976A87">
        <w:t xml:space="preserve"> practice </w:t>
      </w:r>
      <w:r>
        <w:t>of</w:t>
      </w:r>
      <w:r w:rsidRPr="00976A87">
        <w:t xml:space="preserve"> adopt</w:t>
      </w:r>
      <w:r>
        <w:t>ing the</w:t>
      </w:r>
      <w:r w:rsidRPr="00976A87">
        <w:t xml:space="preserve"> ASME </w:t>
      </w:r>
      <w:r>
        <w:t>Code Case</w:t>
      </w:r>
      <w:r w:rsidRPr="00976A87">
        <w:t xml:space="preserve">s that </w:t>
      </w:r>
      <w:r>
        <w:t xml:space="preserve">are </w:t>
      </w:r>
      <w:r w:rsidRPr="00976A87">
        <w:t>incorporated by reference into the regulations may incrementally reduce the likelihood of a radiological accident in a positive</w:t>
      </w:r>
      <w:r>
        <w:t>,</w:t>
      </w:r>
      <w:r w:rsidRPr="00976A87">
        <w:t xml:space="preserve"> but not easily q</w:t>
      </w:r>
      <w:r>
        <w:t>uantifiable, manner.  Pursuing Alternative 2</w:t>
      </w:r>
      <w:r w:rsidRPr="00976A87">
        <w:t xml:space="preserve"> would continue to meet the NRC</w:t>
      </w:r>
      <w:r>
        <w:t>’s</w:t>
      </w:r>
      <w:r w:rsidRPr="00976A87">
        <w:t xml:space="preserve"> goal of maintaining safety by </w:t>
      </w:r>
      <w:r>
        <w:t>continuing to provide</w:t>
      </w:r>
      <w:r w:rsidRPr="00976A87">
        <w:t xml:space="preserve"> </w:t>
      </w:r>
      <w:r>
        <w:t>the agency’s</w:t>
      </w:r>
      <w:r w:rsidRPr="00976A87">
        <w:t xml:space="preserve"> approval of </w:t>
      </w:r>
      <w:r>
        <w:t>later editions and addenda of the</w:t>
      </w:r>
      <w:r w:rsidRPr="00296AFD">
        <w:t xml:space="preserve"> </w:t>
      </w:r>
      <w:r>
        <w:t>ASME Codes</w:t>
      </w:r>
      <w:r w:rsidRPr="00296AFD">
        <w:t xml:space="preserve"> </w:t>
      </w:r>
      <w:r>
        <w:t xml:space="preserve">and the associated Code </w:t>
      </w:r>
      <w:r w:rsidRPr="00296AFD">
        <w:t xml:space="preserve">Cases </w:t>
      </w:r>
      <w:r w:rsidRPr="00976A87">
        <w:t>to permit licensees to use advances in ISI and IST</w:t>
      </w:r>
      <w:r>
        <w:t xml:space="preserve">, </w:t>
      </w:r>
      <w:r w:rsidRPr="00976A87">
        <w:t>provide alternative examinations for older plants</w:t>
      </w:r>
      <w:r>
        <w:t>,</w:t>
      </w:r>
      <w:r w:rsidRPr="00976A87">
        <w:t xml:space="preserve"> </w:t>
      </w:r>
      <w:r>
        <w:t>respond</w:t>
      </w:r>
      <w:r w:rsidRPr="00976A87">
        <w:t xml:space="preserve"> </w:t>
      </w:r>
      <w:r>
        <w:t>promptly</w:t>
      </w:r>
      <w:r w:rsidRPr="00976A87">
        <w:t xml:space="preserve"> to user needs</w:t>
      </w:r>
      <w:r>
        <w:t>,</w:t>
      </w:r>
      <w:r w:rsidRPr="00976A87">
        <w:t xml:space="preserve"> and </w:t>
      </w:r>
      <w:r>
        <w:t xml:space="preserve">provide </w:t>
      </w:r>
      <w:r w:rsidRPr="00976A87">
        <w:t>a limited</w:t>
      </w:r>
      <w:r>
        <w:t xml:space="preserve"> and</w:t>
      </w:r>
      <w:r w:rsidRPr="00976A87">
        <w:t xml:space="preserve"> clearly focused alternative to specific </w:t>
      </w:r>
      <w:r>
        <w:t>ASME Code</w:t>
      </w:r>
      <w:r w:rsidRPr="00976A87">
        <w:t xml:space="preserve"> provisions.  Improvements in ISI and IST may also result in the earlier identification of material degradation that</w:t>
      </w:r>
      <w:r>
        <w:t>,</w:t>
      </w:r>
      <w:r w:rsidRPr="00976A87">
        <w:t xml:space="preserve"> if undetected</w:t>
      </w:r>
      <w:r>
        <w:t>,</w:t>
      </w:r>
      <w:r w:rsidRPr="00976A87">
        <w:t xml:space="preserve"> could </w:t>
      </w:r>
      <w:r>
        <w:t>lead to</w:t>
      </w:r>
      <w:r w:rsidRPr="00976A87">
        <w:t xml:space="preserve"> further degradation that eventually </w:t>
      </w:r>
      <w:r>
        <w:t>causes</w:t>
      </w:r>
      <w:r w:rsidRPr="00976A87">
        <w:t xml:space="preserve"> a plant transient.  </w:t>
      </w:r>
      <w:r>
        <w:t>For this reason</w:t>
      </w:r>
      <w:r w:rsidRPr="00976A87">
        <w:t xml:space="preserve">, </w:t>
      </w:r>
      <w:r>
        <w:t>Alternative 2</w:t>
      </w:r>
      <w:r w:rsidRPr="00976A87">
        <w:t xml:space="preserve"> </w:t>
      </w:r>
      <w:r>
        <w:t xml:space="preserve">would </w:t>
      </w:r>
      <w:r w:rsidRPr="00976A87">
        <w:t xml:space="preserve">maintain the same level </w:t>
      </w:r>
      <w:r>
        <w:t xml:space="preserve">of safety </w:t>
      </w:r>
      <w:r w:rsidRPr="00976A87">
        <w:t xml:space="preserve">or </w:t>
      </w:r>
      <w:r>
        <w:t>possibly</w:t>
      </w:r>
      <w:r w:rsidRPr="00976A87">
        <w:t xml:space="preserve"> an incremental improvement in safety</w:t>
      </w:r>
      <w:r>
        <w:t>,</w:t>
      </w:r>
      <w:r w:rsidRPr="00976A87">
        <w:t xml:space="preserve"> </w:t>
      </w:r>
      <w:r>
        <w:t>which may result in an incremental decrease in public health radiation exposures</w:t>
      </w:r>
      <w:r w:rsidRPr="00976A87">
        <w:t xml:space="preserve"> </w:t>
      </w:r>
      <w:r w:rsidR="00670F25">
        <w:t xml:space="preserve">and in offsite property radiological contamination </w:t>
      </w:r>
      <w:r>
        <w:t>as</w:t>
      </w:r>
      <w:r w:rsidRPr="00976A87">
        <w:t xml:space="preserve"> compared to the regulatory baseline.</w:t>
      </w:r>
    </w:p>
    <w:p w14:paraId="72E6764F" w14:textId="77777777" w:rsidR="00D53E6F" w:rsidRPr="00D0313A" w:rsidRDefault="00D53E6F" w:rsidP="00D53E6F">
      <w:pPr>
        <w:spacing w:line="240" w:lineRule="auto"/>
      </w:pPr>
    </w:p>
    <w:p w14:paraId="0E559B48" w14:textId="77777777" w:rsidR="00D53E6F" w:rsidRDefault="00D53E6F" w:rsidP="00D53E6F">
      <w:pPr>
        <w:pStyle w:val="Heading4"/>
        <w:keepNext/>
        <w:spacing w:line="240" w:lineRule="auto"/>
        <w:ind w:left="1080" w:hanging="1080"/>
      </w:pPr>
      <w:r>
        <w:t>5.15.2.3</w:t>
      </w:r>
      <w:r>
        <w:tab/>
        <w:t>Reduction in Worker Radiation Exposures</w:t>
      </w:r>
    </w:p>
    <w:p w14:paraId="0532BFE6" w14:textId="37EF9475" w:rsidR="00D53E6F" w:rsidRDefault="00D53E6F" w:rsidP="00D53E6F">
      <w:pPr>
        <w:keepNext/>
        <w:spacing w:line="240" w:lineRule="auto"/>
      </w:pPr>
    </w:p>
    <w:p w14:paraId="06F88A83" w14:textId="0A306E1F" w:rsidR="00D53E6F" w:rsidRDefault="00D53E6F" w:rsidP="00D53E6F">
      <w:pPr>
        <w:spacing w:line="240" w:lineRule="auto"/>
      </w:pPr>
      <w:r w:rsidRPr="00976A87">
        <w:t xml:space="preserve">The </w:t>
      </w:r>
      <w:r w:rsidRPr="00296AFD">
        <w:t>NRC</w:t>
      </w:r>
      <w:r>
        <w:t>’s</w:t>
      </w:r>
      <w:r w:rsidRPr="00296AFD">
        <w:t xml:space="preserve"> approval of </w:t>
      </w:r>
      <w:r>
        <w:t>later editions and addenda of the</w:t>
      </w:r>
      <w:r w:rsidRPr="00296AFD">
        <w:t xml:space="preserve"> </w:t>
      </w:r>
      <w:r>
        <w:t>ASME BPV and OM Codes</w:t>
      </w:r>
      <w:r w:rsidRPr="00296AFD">
        <w:t xml:space="preserve"> </w:t>
      </w:r>
      <w:r>
        <w:t>and associated Code </w:t>
      </w:r>
      <w:r w:rsidRPr="00296AFD">
        <w:t xml:space="preserve">Cases </w:t>
      </w:r>
      <w:r w:rsidRPr="00976A87">
        <w:t xml:space="preserve">may </w:t>
      </w:r>
      <w:r>
        <w:t>reduce</w:t>
      </w:r>
      <w:r w:rsidRPr="00976A87">
        <w:t xml:space="preserve"> occupational </w:t>
      </w:r>
      <w:r>
        <w:t>radiation exposures</w:t>
      </w:r>
      <w:r w:rsidRPr="00976A87">
        <w:t xml:space="preserve"> in a positive</w:t>
      </w:r>
      <w:r>
        <w:t>,</w:t>
      </w:r>
      <w:r w:rsidRPr="00976A87">
        <w:t xml:space="preserve"> but not easily quantifiable</w:t>
      </w:r>
      <w:r>
        <w:t>,</w:t>
      </w:r>
      <w:r w:rsidRPr="00976A87">
        <w:t xml:space="preserve"> manner.  For example, the advances in ISI and IST may result in an incremental decrease in the likelihood of an accident resulting in worker exposure </w:t>
      </w:r>
      <w:r>
        <w:t>as</w:t>
      </w:r>
      <w:r w:rsidRPr="00976A87">
        <w:t xml:space="preserve"> compared to the regulatory baseline.</w:t>
      </w:r>
    </w:p>
    <w:p w14:paraId="07E680A9" w14:textId="77777777" w:rsidR="00D53E6F" w:rsidRPr="00296AFD" w:rsidRDefault="00D53E6F" w:rsidP="00D53E6F">
      <w:pPr>
        <w:spacing w:line="240" w:lineRule="auto"/>
      </w:pPr>
    </w:p>
    <w:p w14:paraId="30E2884C" w14:textId="77777777" w:rsidR="00D53E6F" w:rsidRPr="00296AFD" w:rsidRDefault="00D53E6F" w:rsidP="00D53E6F">
      <w:pPr>
        <w:pStyle w:val="Heading4"/>
        <w:spacing w:line="240" w:lineRule="auto"/>
        <w:ind w:left="1080" w:hanging="1080"/>
      </w:pPr>
      <w:r>
        <w:t>5.15.2.4</w:t>
      </w:r>
      <w:r>
        <w:tab/>
        <w:t>Improvements in Inservice Inspection and Inservice Testing Knowledge</w:t>
      </w:r>
    </w:p>
    <w:p w14:paraId="7D938839" w14:textId="77777777" w:rsidR="00D53E6F" w:rsidRPr="00296AFD" w:rsidRDefault="00D53E6F" w:rsidP="00D53E6F">
      <w:pPr>
        <w:spacing w:line="240" w:lineRule="auto"/>
      </w:pPr>
    </w:p>
    <w:p w14:paraId="1FDDF0E3" w14:textId="35349262" w:rsidR="00D53E6F" w:rsidRDefault="00D53E6F" w:rsidP="00D53E6F">
      <w:pPr>
        <w:spacing w:line="240" w:lineRule="auto"/>
      </w:pPr>
      <w:r w:rsidRPr="00AF5FA7">
        <w:t xml:space="preserve">The </w:t>
      </w:r>
      <w:r w:rsidRPr="00296AFD">
        <w:t>NRC</w:t>
      </w:r>
      <w:r>
        <w:t>’s</w:t>
      </w:r>
      <w:r w:rsidRPr="00296AFD">
        <w:t xml:space="preserve"> approval of </w:t>
      </w:r>
      <w:r>
        <w:t>later editions and addenda of the</w:t>
      </w:r>
      <w:r w:rsidRPr="00296AFD">
        <w:t xml:space="preserve"> </w:t>
      </w:r>
      <w:r>
        <w:t>ASME BPV and OM Codes</w:t>
      </w:r>
      <w:r w:rsidRPr="00296AFD">
        <w:t xml:space="preserve"> </w:t>
      </w:r>
      <w:r>
        <w:t xml:space="preserve">and the associated Code </w:t>
      </w:r>
      <w:r w:rsidRPr="00296AFD">
        <w:t xml:space="preserve">Cases </w:t>
      </w:r>
      <w:r>
        <w:t>would</w:t>
      </w:r>
      <w:r w:rsidRPr="00AF5FA7">
        <w:t xml:space="preserve"> improve knowledge by </w:t>
      </w:r>
      <w:r>
        <w:t xml:space="preserve">enhancing the ability of the </w:t>
      </w:r>
      <w:r w:rsidRPr="00AF5FA7">
        <w:t xml:space="preserve">industry and </w:t>
      </w:r>
      <w:r>
        <w:t xml:space="preserve">the </w:t>
      </w:r>
      <w:r w:rsidR="00173B30">
        <w:t>NRC</w:t>
      </w:r>
      <w:r w:rsidRPr="00AF5FA7">
        <w:t xml:space="preserve"> </w:t>
      </w:r>
      <w:r>
        <w:t>to</w:t>
      </w:r>
      <w:r w:rsidRPr="00AF5FA7">
        <w:t xml:space="preserve"> gain experience with new technology </w:t>
      </w:r>
      <w:r>
        <w:t>before</w:t>
      </w:r>
      <w:r w:rsidRPr="00AF5FA7">
        <w:t xml:space="preserve"> </w:t>
      </w:r>
      <w:r>
        <w:t xml:space="preserve">its </w:t>
      </w:r>
      <w:r w:rsidRPr="00AF5FA7">
        <w:t xml:space="preserve">incorporation into the </w:t>
      </w:r>
      <w:r>
        <w:t>ASME Codes</w:t>
      </w:r>
      <w:r w:rsidRPr="00AF5FA7">
        <w:t xml:space="preserve"> and </w:t>
      </w:r>
      <w:r>
        <w:t xml:space="preserve">by </w:t>
      </w:r>
      <w:r w:rsidRPr="00AF5FA7">
        <w:t>permitting licensees to use advances in ISI and IST.  Improve</w:t>
      </w:r>
      <w:r>
        <w:t>d</w:t>
      </w:r>
      <w:r w:rsidRPr="00AF5FA7">
        <w:t xml:space="preserve"> ISI and IST may result in the earlier identification of material degradation that</w:t>
      </w:r>
      <w:r>
        <w:t>,</w:t>
      </w:r>
      <w:r w:rsidRPr="00AF5FA7">
        <w:t xml:space="preserve"> if undetected</w:t>
      </w:r>
      <w:r>
        <w:t>,</w:t>
      </w:r>
      <w:r w:rsidRPr="00AF5FA7">
        <w:t xml:space="preserve"> could </w:t>
      </w:r>
      <w:r>
        <w:t>lead to</w:t>
      </w:r>
      <w:r w:rsidRPr="00AF5FA7">
        <w:t xml:space="preserve"> further degradation that eventually </w:t>
      </w:r>
      <w:r>
        <w:t>causes</w:t>
      </w:r>
      <w:r w:rsidRPr="00AF5FA7">
        <w:t xml:space="preserve"> a plant transient.</w:t>
      </w:r>
    </w:p>
    <w:p w14:paraId="206F09CF" w14:textId="77777777" w:rsidR="00D53E6F" w:rsidRPr="00AF5FA7" w:rsidRDefault="00D53E6F" w:rsidP="00D53E6F">
      <w:pPr>
        <w:spacing w:line="240" w:lineRule="auto"/>
      </w:pPr>
    </w:p>
    <w:p w14:paraId="5ED81FC4" w14:textId="77777777" w:rsidR="00D53E6F" w:rsidRDefault="00D53E6F" w:rsidP="00D53E6F">
      <w:pPr>
        <w:pStyle w:val="Heading4"/>
        <w:keepNext/>
        <w:keepLines/>
        <w:spacing w:line="240" w:lineRule="auto"/>
        <w:ind w:left="1080" w:hanging="1080"/>
      </w:pPr>
      <w:r>
        <w:t>5.15.2.5</w:t>
      </w:r>
      <w:r>
        <w:tab/>
        <w:t xml:space="preserve">Consistency with the </w:t>
      </w:r>
      <w:r w:rsidRPr="003317FF">
        <w:t>National Technology Transfer and Advancement Act of 1995</w:t>
      </w:r>
      <w:r>
        <w:t xml:space="preserve"> and Its Implementing Guidance</w:t>
      </w:r>
    </w:p>
    <w:p w14:paraId="24478CAE" w14:textId="77777777" w:rsidR="00D53E6F" w:rsidRPr="0082780A" w:rsidRDefault="00D53E6F" w:rsidP="00D53E6F">
      <w:pPr>
        <w:keepNext/>
        <w:keepLines/>
        <w:spacing w:line="240" w:lineRule="auto"/>
      </w:pPr>
    </w:p>
    <w:p w14:paraId="67ECA6F5" w14:textId="77777777" w:rsidR="00D53E6F" w:rsidRDefault="00D53E6F" w:rsidP="00D53E6F">
      <w:pPr>
        <w:spacing w:line="240" w:lineRule="auto"/>
      </w:pPr>
      <w:r>
        <w:t>Alternative 2</w:t>
      </w:r>
      <w:r w:rsidRPr="00AF5FA7">
        <w:t xml:space="preserve"> is consistent with the provisions of </w:t>
      </w:r>
      <w:r>
        <w:t>the NTTAA</w:t>
      </w:r>
      <w:r w:rsidRPr="00AF5FA7">
        <w:t xml:space="preserve"> and </w:t>
      </w:r>
      <w:r>
        <w:t xml:space="preserve">its </w:t>
      </w:r>
      <w:r w:rsidRPr="00AF5FA7">
        <w:t xml:space="preserve">implementing guidance in </w:t>
      </w:r>
      <w:bookmarkStart w:id="416" w:name="_Hlk8107066"/>
      <w:r w:rsidRPr="00AF5FA7">
        <w:t>OMB</w:t>
      </w:r>
      <w:r>
        <w:t> </w:t>
      </w:r>
      <w:r w:rsidRPr="00AF5FA7">
        <w:t>Circular A</w:t>
      </w:r>
      <w:r>
        <w:noBreakHyphen/>
      </w:r>
      <w:r w:rsidRPr="00AF5FA7">
        <w:t>119</w:t>
      </w:r>
      <w:bookmarkEnd w:id="416"/>
      <w:r w:rsidRPr="00AF5FA7">
        <w:t xml:space="preserve">, which encourage Federal regulatory agencies to consider adopting voluntary consensus standards as an alternative to </w:t>
      </w:r>
      <w:r w:rsidRPr="004E122F">
        <w:rPr>
          <w:i/>
        </w:rPr>
        <w:t xml:space="preserve">de novo </w:t>
      </w:r>
      <w:r w:rsidRPr="00526679">
        <w:t>agency development</w:t>
      </w:r>
      <w:r w:rsidRPr="00AF5FA7">
        <w:t xml:space="preserve"> of standards affecting an industry.</w:t>
      </w:r>
    </w:p>
    <w:p w14:paraId="7CCDE43C" w14:textId="77777777" w:rsidR="00D53E6F" w:rsidRPr="00AF5FA7" w:rsidRDefault="00D53E6F" w:rsidP="00D53E6F">
      <w:pPr>
        <w:spacing w:line="240" w:lineRule="auto"/>
      </w:pPr>
    </w:p>
    <w:p w14:paraId="01B9CCD5" w14:textId="77777777" w:rsidR="00D53E6F" w:rsidRPr="00CB50C9" w:rsidRDefault="00D53E6F" w:rsidP="00D53E6F">
      <w:pPr>
        <w:pStyle w:val="Heading4"/>
        <w:spacing w:line="240" w:lineRule="auto"/>
        <w:ind w:left="1080" w:hanging="1080"/>
      </w:pPr>
      <w:r>
        <w:t>5.15.2.6</w:t>
      </w:r>
      <w:r>
        <w:tab/>
        <w:t xml:space="preserve">Continued NRC Practice of Incorporation by Reference of ASME Code Editions and Addenda into </w:t>
      </w:r>
      <w:r w:rsidRPr="00CB50C9">
        <w:t xml:space="preserve">the </w:t>
      </w:r>
      <w:r w:rsidRPr="00230430">
        <w:rPr>
          <w:i w:val="0"/>
        </w:rPr>
        <w:t>Code of Federal Regulations</w:t>
      </w:r>
    </w:p>
    <w:p w14:paraId="4FF3C4BF" w14:textId="77777777" w:rsidR="00D53E6F" w:rsidRDefault="00D53E6F" w:rsidP="00D53E6F">
      <w:pPr>
        <w:spacing w:line="240" w:lineRule="auto"/>
      </w:pPr>
    </w:p>
    <w:p w14:paraId="55CFA429" w14:textId="77777777" w:rsidR="00D53E6F" w:rsidRDefault="00D53E6F" w:rsidP="00D53E6F">
      <w:pPr>
        <w:spacing w:line="240" w:lineRule="auto"/>
      </w:pPr>
      <w:r>
        <w:t>Alternative 2</w:t>
      </w:r>
      <w:r w:rsidRPr="00517E36">
        <w:t xml:space="preserve"> </w:t>
      </w:r>
      <w:r>
        <w:t xml:space="preserve">would </w:t>
      </w:r>
      <w:r w:rsidRPr="00517E36">
        <w:t xml:space="preserve">continue </w:t>
      </w:r>
      <w:r>
        <w:t xml:space="preserve">the </w:t>
      </w:r>
      <w:r w:rsidRPr="00517E36">
        <w:t>NRC</w:t>
      </w:r>
      <w:r>
        <w:t>’</w:t>
      </w:r>
      <w:r w:rsidRPr="00517E36">
        <w:t xml:space="preserve">s practice </w:t>
      </w:r>
      <w:r>
        <w:t>of</w:t>
      </w:r>
      <w:r w:rsidRPr="00517E36">
        <w:t xml:space="preserve"> establish</w:t>
      </w:r>
      <w:r>
        <w:t>ing</w:t>
      </w:r>
      <w:r w:rsidRPr="00517E36">
        <w:t xml:space="preserve"> requirements for the design, construction, operation, ISI</w:t>
      </w:r>
      <w:r>
        <w:t>,</w:t>
      </w:r>
      <w:r w:rsidRPr="00517E36">
        <w:t xml:space="preserve"> and IST of nuclear power plants by approving the use of </w:t>
      </w:r>
      <w:r>
        <w:t xml:space="preserve">later </w:t>
      </w:r>
      <w:r w:rsidRPr="00517E36">
        <w:t xml:space="preserve">editions and addenda of the ASME BPV and </w:t>
      </w:r>
      <w:r>
        <w:t>OM Code</w:t>
      </w:r>
      <w:r w:rsidRPr="00517E36">
        <w:t xml:space="preserve">s in </w:t>
      </w:r>
      <w:r>
        <w:t>10 CFR</w:t>
      </w:r>
      <w:r w:rsidRPr="00517E36">
        <w:t> 50.55a</w:t>
      </w:r>
      <w:r>
        <w:t>.</w:t>
      </w:r>
    </w:p>
    <w:p w14:paraId="19D9A265" w14:textId="77777777" w:rsidR="00D53E6F" w:rsidRDefault="00D53E6F" w:rsidP="00D53E6F">
      <w:pPr>
        <w:spacing w:line="240" w:lineRule="auto"/>
      </w:pPr>
    </w:p>
    <w:p w14:paraId="4D37CCF0" w14:textId="77777777" w:rsidR="00D53E6F" w:rsidRDefault="00D53E6F" w:rsidP="004A7B59">
      <w:pPr>
        <w:pStyle w:val="Heading4"/>
        <w:keepNext/>
        <w:spacing w:line="240" w:lineRule="auto"/>
        <w:ind w:left="1080" w:hanging="1080"/>
      </w:pPr>
      <w:r>
        <w:t>5.15.2.7</w:t>
      </w:r>
      <w:r>
        <w:tab/>
        <w:t>Increased Public Confidence</w:t>
      </w:r>
    </w:p>
    <w:p w14:paraId="70BE01A1" w14:textId="77777777" w:rsidR="00D53E6F" w:rsidRDefault="00D53E6F" w:rsidP="004A7B59">
      <w:pPr>
        <w:keepNext/>
        <w:spacing w:line="240" w:lineRule="auto"/>
      </w:pPr>
    </w:p>
    <w:p w14:paraId="445173A6" w14:textId="77777777" w:rsidR="00D53E6F" w:rsidRDefault="00D53E6F" w:rsidP="00D53E6F">
      <w:pPr>
        <w:spacing w:line="240" w:lineRule="auto"/>
      </w:pPr>
      <w:r>
        <w:t xml:space="preserve">Alternative 2 would incorporate the current ASME Code edition, addenda, and Code Cases </w:t>
      </w:r>
      <w:r w:rsidRPr="00517E36">
        <w:t>for the design, construction, operation, ISI</w:t>
      </w:r>
      <w:r>
        <w:t>,</w:t>
      </w:r>
      <w:r w:rsidRPr="00517E36">
        <w:t xml:space="preserve"> and IST of nuclear power plants by approving the use of editions and addenda of the ASME BPV and </w:t>
      </w:r>
      <w:r>
        <w:t>OM Code</w:t>
      </w:r>
      <w:r w:rsidRPr="00517E36">
        <w:t xml:space="preserve">s in </w:t>
      </w:r>
      <w:r>
        <w:t>10 CFR</w:t>
      </w:r>
      <w:r w:rsidRPr="00517E36">
        <w:t> 50.55a.</w:t>
      </w:r>
      <w:r>
        <w:t xml:space="preserve">  This alternative would allow licensees to use risk</w:t>
      </w:r>
      <w:r>
        <w:noBreakHyphen/>
      </w:r>
      <w:r w:rsidRPr="00340B9F">
        <w:t xml:space="preserve">informed, performance-based approaches and the most current methods and technology to </w:t>
      </w:r>
      <w:r>
        <w:t>design, construct, operate, examine, and test nuclear power plant components while maintaining NRC oversight of these activities.</w:t>
      </w:r>
    </w:p>
    <w:p w14:paraId="03CE9262" w14:textId="77777777" w:rsidR="00D53E6F" w:rsidRDefault="00D53E6F" w:rsidP="00D53E6F">
      <w:pPr>
        <w:spacing w:line="240" w:lineRule="auto"/>
      </w:pPr>
    </w:p>
    <w:p w14:paraId="26D25C5F" w14:textId="77777777" w:rsidR="00D53E6F" w:rsidRDefault="00D53E6F" w:rsidP="00D53E6F">
      <w:pPr>
        <w:spacing w:line="240" w:lineRule="auto"/>
      </w:pPr>
      <w:r w:rsidRPr="0038147B">
        <w:t xml:space="preserve">The timely incorporation by reference of current addenda and editions of the ASME BPV and OM Codes into the </w:t>
      </w:r>
      <w:r w:rsidRPr="0038147B">
        <w:rPr>
          <w:i/>
        </w:rPr>
        <w:t>Code of Federal Regulations</w:t>
      </w:r>
      <w:r w:rsidRPr="0038147B">
        <w:t xml:space="preserve"> and the review and approval of associated Code Cases would </w:t>
      </w:r>
      <w:r>
        <w:t>help</w:t>
      </w:r>
      <w:r w:rsidRPr="0038147B">
        <w:t xml:space="preserve"> the NRC</w:t>
      </w:r>
      <w:r>
        <w:t xml:space="preserve"> remain</w:t>
      </w:r>
      <w:r w:rsidRPr="0038147B">
        <w:t xml:space="preserve"> an effective industry regulator.  This role would be undermined if outdated material remain</w:t>
      </w:r>
      <w:r>
        <w:t>s</w:t>
      </w:r>
      <w:r w:rsidRPr="0038147B">
        <w:t xml:space="preserve"> incorporated by reference in the </w:t>
      </w:r>
      <w:r w:rsidRPr="0038147B">
        <w:rPr>
          <w:i/>
        </w:rPr>
        <w:t>Code of Federal Regulations</w:t>
      </w:r>
      <w:r w:rsidRPr="0038147B">
        <w:t>.</w:t>
      </w:r>
    </w:p>
    <w:p w14:paraId="6F2E66C6" w14:textId="77777777" w:rsidR="00D53E6F" w:rsidRDefault="00D53E6F" w:rsidP="00D53E6F">
      <w:pPr>
        <w:spacing w:line="240" w:lineRule="auto"/>
      </w:pPr>
    </w:p>
    <w:p w14:paraId="6229B7F5" w14:textId="77777777" w:rsidR="00D53E6F" w:rsidRDefault="00D53E6F" w:rsidP="00D53E6F">
      <w:pPr>
        <w:pStyle w:val="Heading4"/>
        <w:spacing w:line="240" w:lineRule="auto"/>
        <w:ind w:left="1080" w:hanging="1080"/>
      </w:pPr>
      <w:r>
        <w:t>5.15.2.8</w:t>
      </w:r>
      <w:r>
        <w:tab/>
        <w:t>Increased Cast Austenitic Stainless Steel Material Component Reliability</w:t>
      </w:r>
    </w:p>
    <w:p w14:paraId="75831FEC" w14:textId="77777777" w:rsidR="00D53E6F" w:rsidRDefault="00D53E6F" w:rsidP="00D53E6F">
      <w:pPr>
        <w:spacing w:line="240" w:lineRule="auto"/>
      </w:pPr>
    </w:p>
    <w:p w14:paraId="426C8C7B" w14:textId="77777777" w:rsidR="00D53E6F" w:rsidRDefault="00D53E6F" w:rsidP="00D53E6F">
      <w:pPr>
        <w:spacing w:line="240" w:lineRule="auto"/>
      </w:pPr>
      <w:r w:rsidRPr="001245DE">
        <w:t>The ability to reliabl</w:t>
      </w:r>
      <w:r>
        <w:t>y</w:t>
      </w:r>
      <w:r w:rsidRPr="001245DE">
        <w:t xml:space="preserve"> asses</w:t>
      </w:r>
      <w:r>
        <w:t>s CASS materi</w:t>
      </w:r>
      <w:r w:rsidRPr="001245DE">
        <w:t xml:space="preserve">als </w:t>
      </w:r>
      <w:r>
        <w:t>is</w:t>
      </w:r>
      <w:r w:rsidRPr="001245DE">
        <w:t xml:space="preserve"> </w:t>
      </w:r>
      <w:r>
        <w:t>important</w:t>
      </w:r>
      <w:r w:rsidRPr="001245DE">
        <w:t xml:space="preserve"> for life extension and license renewal activities. </w:t>
      </w:r>
      <w:r>
        <w:t xml:space="preserve"> CASS </w:t>
      </w:r>
      <w:r w:rsidRPr="001245DE">
        <w:t>components</w:t>
      </w:r>
      <w:r>
        <w:t xml:space="preserve"> continue to cause a level of concern</w:t>
      </w:r>
      <w:r w:rsidRPr="001245DE">
        <w:t xml:space="preserve"> because of the possibility of thermal embrittlement over time and the limitation</w:t>
      </w:r>
      <w:r>
        <w:t>s of cur</w:t>
      </w:r>
      <w:r w:rsidRPr="001245DE">
        <w:t xml:space="preserve">rent volumetric inspection techniques. </w:t>
      </w:r>
      <w:r>
        <w:t xml:space="preserve"> </w:t>
      </w:r>
      <w:r w:rsidRPr="001245DE">
        <w:t xml:space="preserve">Establishing a robust aging management approach for </w:t>
      </w:r>
      <w:r>
        <w:t xml:space="preserve">CASS </w:t>
      </w:r>
      <w:r w:rsidRPr="001245DE">
        <w:t xml:space="preserve">components </w:t>
      </w:r>
      <w:r>
        <w:t xml:space="preserve">would increase knowledge of the material condition of those components </w:t>
      </w:r>
      <w:r w:rsidRPr="001245DE">
        <w:t xml:space="preserve">exposed to reactor coolant environments </w:t>
      </w:r>
      <w:r>
        <w:t>over the current state of knowledge, which is</w:t>
      </w:r>
      <w:r w:rsidRPr="001245DE">
        <w:t xml:space="preserve"> constrained by a lack of data, operating experience, and proven </w:t>
      </w:r>
      <w:r>
        <w:t>nondestructive engineering</w:t>
      </w:r>
      <w:r w:rsidRPr="001245DE">
        <w:t xml:space="preserve"> solutions.</w:t>
      </w:r>
    </w:p>
    <w:p w14:paraId="59562C50" w14:textId="77777777" w:rsidR="00D53E6F" w:rsidRDefault="00D53E6F" w:rsidP="00D53E6F">
      <w:pPr>
        <w:spacing w:line="240" w:lineRule="auto"/>
      </w:pPr>
    </w:p>
    <w:p w14:paraId="59EEECE6" w14:textId="77777777" w:rsidR="00D53E6F" w:rsidRPr="00461295" w:rsidRDefault="00D53E6F" w:rsidP="00D53E6F">
      <w:pPr>
        <w:pStyle w:val="Heading3"/>
        <w:spacing w:line="240" w:lineRule="auto"/>
        <w:ind w:left="900" w:hanging="900"/>
      </w:pPr>
      <w:bookmarkStart w:id="417" w:name="_Toc456098356"/>
      <w:bookmarkStart w:id="418" w:name="_Toc12808900"/>
      <w:r>
        <w:t>5.15.3</w:t>
      </w:r>
      <w:r>
        <w:tab/>
      </w:r>
      <w:bookmarkStart w:id="419" w:name="_Toc457827369"/>
      <w:r w:rsidRPr="00461295">
        <w:t>Nonquantified Costs</w:t>
      </w:r>
      <w:bookmarkEnd w:id="417"/>
      <w:bookmarkEnd w:id="418"/>
      <w:bookmarkEnd w:id="419"/>
    </w:p>
    <w:p w14:paraId="3E032CB7" w14:textId="77777777" w:rsidR="00D53E6F" w:rsidRPr="00F90745" w:rsidRDefault="00D53E6F" w:rsidP="00D53E6F">
      <w:pPr>
        <w:spacing w:line="240" w:lineRule="auto"/>
      </w:pPr>
    </w:p>
    <w:p w14:paraId="1AD7374F" w14:textId="0F655DA3" w:rsidR="00D53E6F" w:rsidRDefault="00D53E6F" w:rsidP="00D53E6F">
      <w:pPr>
        <w:spacing w:line="240" w:lineRule="auto"/>
      </w:pPr>
      <w:r>
        <w:t>T</w:t>
      </w:r>
      <w:r w:rsidRPr="00F90745">
        <w:t xml:space="preserve">he </w:t>
      </w:r>
      <w:r w:rsidR="00173B30">
        <w:t>NRC</w:t>
      </w:r>
      <w:r w:rsidRPr="00F90745">
        <w:t xml:space="preserve"> believes that incorporating by reference the most recent </w:t>
      </w:r>
      <w:r>
        <w:t>ASME BPV and OM Code</w:t>
      </w:r>
      <w:r w:rsidRPr="00F90745">
        <w:t xml:space="preserve"> editions and addenda and </w:t>
      </w:r>
      <w:r>
        <w:t xml:space="preserve">the associated </w:t>
      </w:r>
      <w:r w:rsidRPr="00F90745">
        <w:t>NRC</w:t>
      </w:r>
      <w:r>
        <w:t>-</w:t>
      </w:r>
      <w:r w:rsidRPr="00F90745">
        <w:t>approved Code Cases into the</w:t>
      </w:r>
      <w:r w:rsidRPr="00F90745">
        <w:rPr>
          <w:i/>
        </w:rPr>
        <w:t xml:space="preserve"> Code of Federal Regulations</w:t>
      </w:r>
      <w:r w:rsidRPr="00F90745">
        <w:t xml:space="preserve"> would decrease industry and NRC operation costs.  If the </w:t>
      </w:r>
      <w:r w:rsidR="00173B30">
        <w:t>NRC</w:t>
      </w:r>
      <w:r w:rsidRPr="00F90745">
        <w:t xml:space="preserve"> </w:t>
      </w:r>
      <w:r>
        <w:t>has under</w:t>
      </w:r>
      <w:r w:rsidRPr="00F90745">
        <w:t xml:space="preserve">estimated the number or the complexity of these eliminated </w:t>
      </w:r>
      <w:r>
        <w:t xml:space="preserve">submittals, </w:t>
      </w:r>
      <w:r w:rsidRPr="00F90745">
        <w:t xml:space="preserve">the averted costs would </w:t>
      </w:r>
      <w:r>
        <w:t>increase</w:t>
      </w:r>
      <w:r w:rsidRPr="00F90745">
        <w:t xml:space="preserve"> proportionally</w:t>
      </w:r>
      <w:r>
        <w:t xml:space="preserve"> and thereby c</w:t>
      </w:r>
      <w:r w:rsidRPr="00F90745">
        <w:t>aus</w:t>
      </w:r>
      <w:r>
        <w:t>e</w:t>
      </w:r>
      <w:r w:rsidRPr="00F90745">
        <w:t xml:space="preserve"> the quantified net </w:t>
      </w:r>
      <w:r>
        <w:t>cost</w:t>
      </w:r>
      <w:r w:rsidRPr="00F90745">
        <w:t xml:space="preserve"> of </w:t>
      </w:r>
      <w:r>
        <w:t>Alternative 2</w:t>
      </w:r>
      <w:r w:rsidRPr="00F90745">
        <w:t xml:space="preserve"> to decrease</w:t>
      </w:r>
      <w:r>
        <w:t xml:space="preserve"> toward a more net-beneficial determination</w:t>
      </w:r>
      <w:r w:rsidRPr="00F90745">
        <w:t>.</w:t>
      </w:r>
    </w:p>
    <w:p w14:paraId="4D718879" w14:textId="77777777" w:rsidR="00D53E6F" w:rsidRPr="00F90745" w:rsidRDefault="00D53E6F" w:rsidP="00D53E6F">
      <w:pPr>
        <w:spacing w:line="240" w:lineRule="auto"/>
      </w:pPr>
    </w:p>
    <w:p w14:paraId="178D5B55" w14:textId="77777777" w:rsidR="00D53E6F" w:rsidRPr="009A5D4A" w:rsidRDefault="00D53E6F" w:rsidP="00D53E6F">
      <w:pPr>
        <w:pStyle w:val="Heading2"/>
        <w:keepLines w:val="0"/>
        <w:tabs>
          <w:tab w:val="left" w:pos="540"/>
        </w:tabs>
        <w:spacing w:line="240" w:lineRule="auto"/>
      </w:pPr>
      <w:bookmarkStart w:id="420" w:name="_Toc456098357"/>
      <w:bookmarkStart w:id="421" w:name="_Toc12808901"/>
      <w:r>
        <w:t>5.16</w:t>
      </w:r>
      <w:r>
        <w:tab/>
      </w:r>
      <w:bookmarkStart w:id="422" w:name="_Toc457827370"/>
      <w:r w:rsidRPr="009A5D4A">
        <w:t>Safety Goal Evaluation</w:t>
      </w:r>
      <w:bookmarkEnd w:id="420"/>
      <w:bookmarkEnd w:id="421"/>
      <w:bookmarkEnd w:id="422"/>
    </w:p>
    <w:p w14:paraId="24F58966" w14:textId="77777777" w:rsidR="00D53E6F" w:rsidRPr="004D2B90" w:rsidRDefault="00D53E6F" w:rsidP="00D53E6F">
      <w:pPr>
        <w:keepNext/>
        <w:spacing w:line="240" w:lineRule="auto"/>
      </w:pPr>
    </w:p>
    <w:p w14:paraId="7AA4C666" w14:textId="77777777" w:rsidR="00D53E6F" w:rsidRDefault="00D53E6F" w:rsidP="00D53E6F">
      <w:pPr>
        <w:spacing w:line="240" w:lineRule="auto"/>
      </w:pPr>
      <w:r>
        <w:t>The final rule alternative would allow licensees and applicants to apply the most recent NRC</w:t>
      </w:r>
      <w:r>
        <w:noBreakHyphen/>
        <w:t>approved ASME BPV and OM Code Cases, sometimes with NRC-specified conditions.  The NRC’s safety goal evaluation only applies to regulatory initiatives that the agency considers to be generic safety enhancement backfits subject to the substantial additional protection standard in 10 CFR 50.109(a)(3).  The NRC does not regard the incorporation by reference of NRC</w:t>
      </w:r>
      <w:r>
        <w:noBreakHyphen/>
        <w:t xml:space="preserve">approved ASME Code Cases to be backfitting or to represent an inconsistency with any issue finality provisions in 10 CFR Part 52.  The </w:t>
      </w:r>
      <w:r>
        <w:rPr>
          <w:i/>
        </w:rPr>
        <w:t xml:space="preserve">Federal Register </w:t>
      </w:r>
      <w:r>
        <w:t>notice of final rulemaking states the basis for this determination.</w:t>
      </w:r>
    </w:p>
    <w:p w14:paraId="1E5C27AD" w14:textId="77777777" w:rsidR="00D53E6F" w:rsidRPr="004D2B90" w:rsidRDefault="00D53E6F" w:rsidP="00D53E6F">
      <w:pPr>
        <w:spacing w:line="240" w:lineRule="auto"/>
      </w:pPr>
    </w:p>
    <w:p w14:paraId="506ACB9F" w14:textId="77777777" w:rsidR="00D53E6F" w:rsidRPr="007A3036" w:rsidRDefault="00D53E6F" w:rsidP="00D53E6F">
      <w:pPr>
        <w:pStyle w:val="Heading3"/>
        <w:spacing w:line="240" w:lineRule="auto"/>
        <w:ind w:left="900" w:hanging="900"/>
      </w:pPr>
      <w:bookmarkStart w:id="423" w:name="_Toc12808902"/>
      <w:bookmarkStart w:id="424" w:name="_Toc456098358"/>
      <w:r>
        <w:t>5.16.1</w:t>
      </w:r>
      <w:r>
        <w:tab/>
      </w:r>
      <w:bookmarkStart w:id="425" w:name="_Toc457827371"/>
      <w:r w:rsidRPr="007A3036">
        <w:t>Section</w:t>
      </w:r>
      <w:r>
        <w:t> </w:t>
      </w:r>
      <w:r w:rsidRPr="007A3036">
        <w:t>A</w:t>
      </w:r>
      <w:r>
        <w:t xml:space="preserve">: </w:t>
      </w:r>
      <w:r w:rsidRPr="007A3036">
        <w:t xml:space="preserve"> Incorporation by Reference of Later Editions and Addenda of ASME</w:t>
      </w:r>
      <w:r>
        <w:t xml:space="preserve"> BPV</w:t>
      </w:r>
      <w:r w:rsidRPr="007A3036">
        <w:t xml:space="preserve"> Code</w:t>
      </w:r>
      <w:r>
        <w:t>,</w:t>
      </w:r>
      <w:r w:rsidRPr="007A3036">
        <w:t xml:space="preserve"> Section</w:t>
      </w:r>
      <w:r>
        <w:t> </w:t>
      </w:r>
      <w:r w:rsidRPr="007A3036">
        <w:t>III, Division</w:t>
      </w:r>
      <w:r>
        <w:t> </w:t>
      </w:r>
      <w:r w:rsidRPr="007A3036">
        <w:t>1</w:t>
      </w:r>
      <w:bookmarkEnd w:id="423"/>
      <w:r>
        <w:t xml:space="preserve"> </w:t>
      </w:r>
      <w:bookmarkEnd w:id="424"/>
      <w:bookmarkEnd w:id="425"/>
    </w:p>
    <w:p w14:paraId="2C12804F" w14:textId="77777777" w:rsidR="00D53E6F" w:rsidRPr="004D2B90" w:rsidRDefault="00D53E6F" w:rsidP="00D53E6F">
      <w:pPr>
        <w:keepNext/>
        <w:spacing w:line="240" w:lineRule="auto"/>
      </w:pPr>
    </w:p>
    <w:p w14:paraId="5CD11F9A" w14:textId="77777777" w:rsidR="00D53E6F" w:rsidRDefault="00D53E6F" w:rsidP="00D53E6F">
      <w:pPr>
        <w:spacing w:line="240" w:lineRule="auto"/>
      </w:pPr>
      <w:r w:rsidRPr="004D2B90">
        <w:t xml:space="preserve">Incorporation by reference of </w:t>
      </w:r>
      <w:r>
        <w:t>the Code Cases</w:t>
      </w:r>
      <w:r w:rsidRPr="004D2B90">
        <w:t xml:space="preserve"> of </w:t>
      </w:r>
      <w:r>
        <w:t xml:space="preserve">ASME BPV Code, </w:t>
      </w:r>
      <w:r w:rsidRPr="004D2B90">
        <w:t>Section</w:t>
      </w:r>
      <w:r>
        <w:t> </w:t>
      </w:r>
      <w:r w:rsidRPr="004D2B90">
        <w:t>III, Division</w:t>
      </w:r>
      <w:r>
        <w:t> </w:t>
      </w:r>
      <w:r w:rsidRPr="004D2B90">
        <w:t xml:space="preserve">1, is prospective in nature. </w:t>
      </w:r>
      <w:r>
        <w:t xml:space="preserve"> Incorporation by reference of t</w:t>
      </w:r>
      <w:r w:rsidRPr="004D2B90">
        <w:t xml:space="preserve">he </w:t>
      </w:r>
      <w:r>
        <w:t>Code Cases</w:t>
      </w:r>
      <w:r w:rsidRPr="004D2B90">
        <w:t xml:space="preserve"> </w:t>
      </w:r>
      <w:r>
        <w:t>would</w:t>
      </w:r>
      <w:r w:rsidRPr="004D2B90">
        <w:t xml:space="preserve"> not affect a plant that has received a construction permit, an operating license, or a combined license, </w:t>
      </w:r>
      <w:r>
        <w:t>n</w:t>
      </w:r>
      <w:r w:rsidRPr="004D2B90">
        <w:t xml:space="preserve">or </w:t>
      </w:r>
      <w:r>
        <w:t xml:space="preserve">would it affect </w:t>
      </w:r>
      <w:r w:rsidRPr="004D2B90">
        <w:t>a design that has been approved</w:t>
      </w:r>
      <w:r>
        <w:t xml:space="preserve">, </w:t>
      </w:r>
      <w:r w:rsidRPr="004D2B90">
        <w:t xml:space="preserve">because the </w:t>
      </w:r>
      <w:r>
        <w:t xml:space="preserve">Code Cases </w:t>
      </w:r>
      <w:r w:rsidRPr="004D2B90">
        <w:t>to be used in constructing a plant are, by rule, determined based on the date of the construction permit or the combined license and</w:t>
      </w:r>
      <w:r>
        <w:t>, therefore,</w:t>
      </w:r>
      <w:r w:rsidRPr="004D2B90">
        <w:t xml:space="preserve"> </w:t>
      </w:r>
      <w:r>
        <w:t>are</w:t>
      </w:r>
      <w:r w:rsidRPr="004D2B90">
        <w:t xml:space="preserve"> not changed except voluntarily by the licensee</w:t>
      </w:r>
      <w:r>
        <w:t xml:space="preserve"> with the approval of the NRC</w:t>
      </w:r>
      <w:r w:rsidRPr="004D2B90">
        <w:t xml:space="preserve">.  Thus, incorporation by reference of </w:t>
      </w:r>
      <w:r>
        <w:t>later Code Cases</w:t>
      </w:r>
      <w:r w:rsidRPr="004D2B90">
        <w:t xml:space="preserve"> of </w:t>
      </w:r>
      <w:r>
        <w:t xml:space="preserve">ASME BPV Code, </w:t>
      </w:r>
      <w:r w:rsidRPr="004D2B90">
        <w:t>Section</w:t>
      </w:r>
      <w:r>
        <w:t> </w:t>
      </w:r>
      <w:r w:rsidRPr="004D2B90">
        <w:t>III, Division</w:t>
      </w:r>
      <w:r>
        <w:t> </w:t>
      </w:r>
      <w:r w:rsidRPr="004D2B90">
        <w:t>1,</w:t>
      </w:r>
      <w:r>
        <w:t xml:space="preserve"> would</w:t>
      </w:r>
      <w:r w:rsidRPr="004D2B90">
        <w:t xml:space="preserve"> not constitute a </w:t>
      </w:r>
      <w:r>
        <w:t>“</w:t>
      </w:r>
      <w:r w:rsidRPr="004D2B90">
        <w:t>backfitting</w:t>
      </w:r>
      <w:r>
        <w:t>”</w:t>
      </w:r>
      <w:r w:rsidRPr="004D2B90">
        <w:t xml:space="preserve"> as defined in </w:t>
      </w:r>
      <w:r>
        <w:t>10 CFR </w:t>
      </w:r>
      <w:r w:rsidRPr="004D2B90">
        <w:t>50.109(a)(1).</w:t>
      </w:r>
    </w:p>
    <w:p w14:paraId="5DB64D08" w14:textId="77777777" w:rsidR="00D53E6F" w:rsidRPr="004D2B90" w:rsidRDefault="00D53E6F" w:rsidP="00D53E6F">
      <w:pPr>
        <w:spacing w:line="240" w:lineRule="auto"/>
      </w:pPr>
    </w:p>
    <w:p w14:paraId="35B60FF0" w14:textId="77777777" w:rsidR="00D53E6F" w:rsidRPr="00461295" w:rsidRDefault="00D53E6F" w:rsidP="00D53E6F">
      <w:pPr>
        <w:pStyle w:val="Heading3"/>
        <w:spacing w:line="240" w:lineRule="auto"/>
      </w:pPr>
      <w:bookmarkStart w:id="426" w:name="_Toc456098359"/>
      <w:bookmarkStart w:id="427" w:name="_Toc12808903"/>
      <w:r>
        <w:t>5.16.2</w:t>
      </w:r>
      <w:r>
        <w:tab/>
      </w:r>
      <w:bookmarkStart w:id="428" w:name="_Toc457827372"/>
      <w:r w:rsidRPr="004D2B90">
        <w:t>Section B</w:t>
      </w:r>
      <w:r>
        <w:t xml:space="preserve">: </w:t>
      </w:r>
      <w:r w:rsidRPr="004D2B90">
        <w:t xml:space="preserve"> Incorporation by Reference of Later Editions and </w:t>
      </w:r>
      <w:r w:rsidRPr="00461295">
        <w:t xml:space="preserve">Addenda of </w:t>
      </w:r>
      <w:r>
        <w:t>Section XI</w:t>
      </w:r>
      <w:r w:rsidRPr="00461295">
        <w:t>, Division</w:t>
      </w:r>
      <w:r>
        <w:t> </w:t>
      </w:r>
      <w:r w:rsidRPr="00461295">
        <w:t xml:space="preserve">1, of the ASME BPV </w:t>
      </w:r>
      <w:r>
        <w:t xml:space="preserve">Code, </w:t>
      </w:r>
      <w:r w:rsidRPr="00461295">
        <w:t xml:space="preserve">and </w:t>
      </w:r>
      <w:r>
        <w:t>OM Code</w:t>
      </w:r>
      <w:r w:rsidRPr="00461295">
        <w:t>s</w:t>
      </w:r>
      <w:bookmarkEnd w:id="426"/>
      <w:bookmarkEnd w:id="427"/>
      <w:bookmarkEnd w:id="428"/>
    </w:p>
    <w:p w14:paraId="248E3079" w14:textId="77777777" w:rsidR="00D53E6F" w:rsidRPr="004D2B90" w:rsidRDefault="00D53E6F" w:rsidP="00D53E6F">
      <w:pPr>
        <w:spacing w:line="240" w:lineRule="auto"/>
      </w:pPr>
    </w:p>
    <w:p w14:paraId="7DE653F7" w14:textId="77777777" w:rsidR="00D53E6F" w:rsidRPr="004D2B90" w:rsidRDefault="00D53E6F" w:rsidP="00D53E6F">
      <w:pPr>
        <w:spacing w:line="240" w:lineRule="auto"/>
      </w:pPr>
      <w:r w:rsidRPr="004D2B90">
        <w:t xml:space="preserve">Incorporation by reference of later </w:t>
      </w:r>
      <w:r>
        <w:t>Code Cases</w:t>
      </w:r>
      <w:r w:rsidRPr="004D2B90">
        <w:t xml:space="preserve"> of </w:t>
      </w:r>
      <w:r>
        <w:t>Section XI</w:t>
      </w:r>
      <w:r w:rsidRPr="004D2B90">
        <w:t>, Division</w:t>
      </w:r>
      <w:r>
        <w:t> </w:t>
      </w:r>
      <w:r w:rsidRPr="004D2B90">
        <w:t>1, of the ASME</w:t>
      </w:r>
      <w:r>
        <w:t> </w:t>
      </w:r>
      <w:r w:rsidRPr="004D2B90">
        <w:t>BPV Code</w:t>
      </w:r>
      <w:r>
        <w:t>,</w:t>
      </w:r>
      <w:r w:rsidRPr="004D2B90">
        <w:t xml:space="preserve"> and </w:t>
      </w:r>
      <w:r>
        <w:t xml:space="preserve">of </w:t>
      </w:r>
      <w:r w:rsidRPr="004D2B90">
        <w:t xml:space="preserve">the ASME </w:t>
      </w:r>
      <w:r>
        <w:t>OM Code</w:t>
      </w:r>
      <w:r w:rsidRPr="004D2B90">
        <w:t xml:space="preserve"> </w:t>
      </w:r>
      <w:r>
        <w:t xml:space="preserve">would </w:t>
      </w:r>
      <w:r w:rsidRPr="004D2B90">
        <w:t>affect the ISI and IST programs of operating reactors.</w:t>
      </w:r>
      <w:r>
        <w:t xml:space="preserve"> </w:t>
      </w:r>
      <w:r w:rsidRPr="004D2B90">
        <w:t xml:space="preserve"> However, </w:t>
      </w:r>
      <w:r>
        <w:t>10 CFR 50.109, “Backfitting” (the B</w:t>
      </w:r>
      <w:r w:rsidRPr="004D2B90">
        <w:t xml:space="preserve">ackfit </w:t>
      </w:r>
      <w:r>
        <w:t>R</w:t>
      </w:r>
      <w:r w:rsidRPr="004D2B90">
        <w:t>ule</w:t>
      </w:r>
      <w:r>
        <w:t>),</w:t>
      </w:r>
      <w:r w:rsidRPr="004D2B90">
        <w:t xml:space="preserve"> generally does not apply to </w:t>
      </w:r>
      <w:r>
        <w:t xml:space="preserve">the </w:t>
      </w:r>
      <w:r w:rsidRPr="004D2B90">
        <w:t xml:space="preserve">incorporation by reference of later </w:t>
      </w:r>
      <w:r>
        <w:t>ASME Code Cases</w:t>
      </w:r>
      <w:r w:rsidRPr="004D2B90">
        <w:t xml:space="preserve"> of </w:t>
      </w:r>
      <w:r>
        <w:t xml:space="preserve">Section XI, Division 1, of </w:t>
      </w:r>
      <w:r w:rsidRPr="004D2B90">
        <w:t xml:space="preserve">the ASME BPV Code and </w:t>
      </w:r>
      <w:r>
        <w:t>the ASME OM Code</w:t>
      </w:r>
      <w:r w:rsidRPr="004D2B90">
        <w:t xml:space="preserve"> for the following reasons:</w:t>
      </w:r>
    </w:p>
    <w:p w14:paraId="08302BE9" w14:textId="77777777" w:rsidR="00D53E6F" w:rsidRPr="004D2B90" w:rsidRDefault="00D53E6F" w:rsidP="00D53E6F">
      <w:pPr>
        <w:spacing w:line="240" w:lineRule="auto"/>
      </w:pPr>
    </w:p>
    <w:p w14:paraId="3B1142D1" w14:textId="77777777" w:rsidR="00D53E6F" w:rsidRPr="004D2B90" w:rsidRDefault="00D53E6F" w:rsidP="00D53E6F">
      <w:pPr>
        <w:pStyle w:val="ListParagraph"/>
        <w:numPr>
          <w:ilvl w:val="0"/>
          <w:numId w:val="1"/>
        </w:numPr>
        <w:spacing w:line="240" w:lineRule="auto"/>
        <w:ind w:left="634" w:hanging="634"/>
        <w:contextualSpacing w:val="0"/>
      </w:pPr>
      <w:r w:rsidRPr="004D2B90">
        <w:t>The NRC</w:t>
      </w:r>
      <w:r>
        <w:t>’</w:t>
      </w:r>
      <w:r w:rsidRPr="004D2B90">
        <w:t xml:space="preserve">s longstanding policy has been to incorporate later versions of the </w:t>
      </w:r>
      <w:r>
        <w:t>ASME Code</w:t>
      </w:r>
      <w:r w:rsidRPr="004D2B90">
        <w:t xml:space="preserve">s into its regulations; </w:t>
      </w:r>
      <w:r>
        <w:t>therefore</w:t>
      </w:r>
      <w:r w:rsidRPr="004D2B90">
        <w:t xml:space="preserve">, licensees know </w:t>
      </w:r>
      <w:r>
        <w:t xml:space="preserve">that, </w:t>
      </w:r>
      <w:r w:rsidRPr="004D2B90">
        <w:t xml:space="preserve">when </w:t>
      </w:r>
      <w:r>
        <w:t xml:space="preserve">they </w:t>
      </w:r>
      <w:r w:rsidRPr="004D2B90">
        <w:t>receiv</w:t>
      </w:r>
      <w:r>
        <w:t>e</w:t>
      </w:r>
      <w:r w:rsidRPr="004D2B90">
        <w:t xml:space="preserve"> their operating licenses</w:t>
      </w:r>
      <w:r>
        <w:t>,</w:t>
      </w:r>
      <w:r w:rsidRPr="004D2B90">
        <w:t xml:space="preserve"> such updating is part of the regulatory process</w:t>
      </w:r>
      <w:r>
        <w:t>, as r</w:t>
      </w:r>
      <w:r w:rsidRPr="004D2B90">
        <w:t xml:space="preserve">eflected in </w:t>
      </w:r>
      <w:r>
        <w:t>10 CFR </w:t>
      </w:r>
      <w:r w:rsidRPr="004D2B90">
        <w:t>50.55a</w:t>
      </w:r>
      <w:r>
        <w:t>.  Under 10 CFR </w:t>
      </w:r>
      <w:r w:rsidRPr="004D2B90">
        <w:t>50.55a</w:t>
      </w:r>
      <w:r>
        <w:t>, the NRC</w:t>
      </w:r>
      <w:r w:rsidRPr="004D2B90">
        <w:t xml:space="preserve"> requires licensees to revise their ISI and IST programs every 120</w:t>
      </w:r>
      <w:r>
        <w:t> </w:t>
      </w:r>
      <w:r w:rsidRPr="004D2B90">
        <w:t xml:space="preserve">months to the latest edition and addenda of </w:t>
      </w:r>
      <w:r>
        <w:t xml:space="preserve">Section XI, Division 1, </w:t>
      </w:r>
      <w:r w:rsidRPr="004D2B90">
        <w:t xml:space="preserve">of the ASME </w:t>
      </w:r>
      <w:r>
        <w:t xml:space="preserve">BPV </w:t>
      </w:r>
      <w:r w:rsidRPr="004D2B90">
        <w:t>Code</w:t>
      </w:r>
      <w:r>
        <w:t xml:space="preserve"> </w:t>
      </w:r>
      <w:r w:rsidRPr="004D2B90">
        <w:t xml:space="preserve">and </w:t>
      </w:r>
      <w:r>
        <w:t xml:space="preserve">the </w:t>
      </w:r>
      <w:r w:rsidRPr="004D2B90">
        <w:t xml:space="preserve">ASME </w:t>
      </w:r>
      <w:r>
        <w:t>OM Code</w:t>
      </w:r>
      <w:r w:rsidRPr="004D2B90">
        <w:t xml:space="preserve"> incorporated by reference into </w:t>
      </w:r>
      <w:r>
        <w:t>10 CFR </w:t>
      </w:r>
      <w:r w:rsidRPr="004D2B90">
        <w:t xml:space="preserve">50.55a </w:t>
      </w:r>
      <w:r>
        <w:t xml:space="preserve">and </w:t>
      </w:r>
      <w:r w:rsidRPr="004D2B90">
        <w:t xml:space="preserve">that </w:t>
      </w:r>
      <w:r>
        <w:t>are</w:t>
      </w:r>
      <w:r w:rsidRPr="004D2B90">
        <w:t xml:space="preserve"> in effect 12</w:t>
      </w:r>
      <w:r>
        <w:t> </w:t>
      </w:r>
      <w:r w:rsidRPr="004D2B90">
        <w:t>months before the start of a new 120</w:t>
      </w:r>
      <w:r w:rsidRPr="004D2B90">
        <w:noBreakHyphen/>
        <w:t xml:space="preserve">month ISI and IST interval.  </w:t>
      </w:r>
      <w:r>
        <w:t>Therefore</w:t>
      </w:r>
      <w:r w:rsidRPr="004D2B90">
        <w:t>, when the NRC endorses a later version of a</w:t>
      </w:r>
      <w:r>
        <w:t>n ASME</w:t>
      </w:r>
      <w:r w:rsidRPr="004D2B90">
        <w:t xml:space="preserve"> </w:t>
      </w:r>
      <w:r>
        <w:t>C</w:t>
      </w:r>
      <w:r w:rsidRPr="004D2B90">
        <w:t>ode, it is implementing this longstanding policy.</w:t>
      </w:r>
    </w:p>
    <w:p w14:paraId="203D161B" w14:textId="77777777" w:rsidR="00D53E6F" w:rsidRPr="004D2B90" w:rsidRDefault="00D53E6F" w:rsidP="00D53E6F">
      <w:pPr>
        <w:pStyle w:val="ListParagraph"/>
        <w:spacing w:line="240" w:lineRule="auto"/>
        <w:ind w:hanging="720"/>
      </w:pPr>
    </w:p>
    <w:p w14:paraId="6285DCE7" w14:textId="0ED37706" w:rsidR="00D53E6F" w:rsidRDefault="00D53E6F" w:rsidP="00D53E6F">
      <w:pPr>
        <w:pStyle w:val="ListParagraph"/>
        <w:numPr>
          <w:ilvl w:val="0"/>
          <w:numId w:val="1"/>
        </w:numPr>
        <w:spacing w:line="240" w:lineRule="auto"/>
        <w:ind w:left="634" w:hanging="634"/>
      </w:pPr>
      <w:r>
        <w:t xml:space="preserve">The </w:t>
      </w:r>
      <w:r w:rsidRPr="004D2B90">
        <w:t xml:space="preserve">ASME BPV and </w:t>
      </w:r>
      <w:r>
        <w:t>OM Code</w:t>
      </w:r>
      <w:r w:rsidRPr="004D2B90">
        <w:t>s are national consensus standards</w:t>
      </w:r>
      <w:r>
        <w:t>,</w:t>
      </w:r>
      <w:r w:rsidRPr="004D2B90">
        <w:t xml:space="preserve"> developed by participants with broad and varied interests, in which all interested parties</w:t>
      </w:r>
      <w:r>
        <w:t>,</w:t>
      </w:r>
      <w:r w:rsidRPr="004D2B90">
        <w:t xml:space="preserve"> including </w:t>
      </w:r>
      <w:r>
        <w:t xml:space="preserve">the staff </w:t>
      </w:r>
      <w:r w:rsidRPr="004D2B90">
        <w:t xml:space="preserve">and </w:t>
      </w:r>
      <w:r>
        <w:t xml:space="preserve">nuclear </w:t>
      </w:r>
      <w:r w:rsidR="00FB4DE0">
        <w:t xml:space="preserve">plant </w:t>
      </w:r>
      <w:r>
        <w:t>personnel,</w:t>
      </w:r>
      <w:r w:rsidRPr="004D2B90">
        <w:t xml:space="preserve"> participate.  This consideration is consistent with both the intent and spirit of the </w:t>
      </w:r>
      <w:r>
        <w:t>B</w:t>
      </w:r>
      <w:r w:rsidRPr="004D2B90">
        <w:t xml:space="preserve">ackfit </w:t>
      </w:r>
      <w:r>
        <w:t>R</w:t>
      </w:r>
      <w:r w:rsidRPr="004D2B90">
        <w:t>ule (i.e.,</w:t>
      </w:r>
      <w:r>
        <w:t> </w:t>
      </w:r>
      <w:r w:rsidRPr="004D2B90">
        <w:t xml:space="preserve">the NRC provides for the protection of public health and safety </w:t>
      </w:r>
      <w:r>
        <w:t>but</w:t>
      </w:r>
      <w:r w:rsidRPr="004D2B90">
        <w:t xml:space="preserve"> does not unilaterally impose undue burden on applicants or licensees).</w:t>
      </w:r>
    </w:p>
    <w:p w14:paraId="4478749E" w14:textId="77777777" w:rsidR="00D53E6F" w:rsidRPr="004D2B90" w:rsidRDefault="00D53E6F" w:rsidP="00D53E6F">
      <w:pPr>
        <w:pStyle w:val="ListParagraph"/>
        <w:spacing w:line="240" w:lineRule="auto"/>
      </w:pPr>
    </w:p>
    <w:p w14:paraId="5C1E9E0C" w14:textId="77777777" w:rsidR="00D53E6F" w:rsidRPr="00461295" w:rsidRDefault="00D53E6F" w:rsidP="00D53E6F">
      <w:pPr>
        <w:pStyle w:val="Heading3"/>
        <w:spacing w:line="240" w:lineRule="auto"/>
        <w:ind w:left="900" w:hanging="900"/>
      </w:pPr>
      <w:bookmarkStart w:id="429" w:name="_Toc456098360"/>
      <w:bookmarkStart w:id="430" w:name="_Toc12808904"/>
      <w:r>
        <w:t>5.16.3</w:t>
      </w:r>
      <w:r>
        <w:tab/>
      </w:r>
      <w:bookmarkStart w:id="431" w:name="_Toc457827373"/>
      <w:r w:rsidRPr="00461295">
        <w:t xml:space="preserve">Other Circumstances </w:t>
      </w:r>
      <w:r>
        <w:t>under</w:t>
      </w:r>
      <w:r w:rsidRPr="00461295">
        <w:t xml:space="preserve"> Which the NRC Does Not Apply the Backfit Rule to the Endorsement of a Later Code</w:t>
      </w:r>
      <w:bookmarkEnd w:id="429"/>
      <w:bookmarkEnd w:id="430"/>
      <w:bookmarkEnd w:id="431"/>
    </w:p>
    <w:p w14:paraId="1DA22B99" w14:textId="77777777" w:rsidR="00D53E6F" w:rsidRPr="004D2B90" w:rsidRDefault="00D53E6F" w:rsidP="00D53E6F">
      <w:pPr>
        <w:keepNext/>
        <w:spacing w:line="240" w:lineRule="auto"/>
      </w:pPr>
    </w:p>
    <w:p w14:paraId="716F3C02" w14:textId="77777777" w:rsidR="00D53E6F" w:rsidRPr="004D2B90" w:rsidRDefault="00D53E6F" w:rsidP="00D53E6F">
      <w:pPr>
        <w:spacing w:line="240" w:lineRule="auto"/>
      </w:pPr>
      <w:r>
        <w:t>T</w:t>
      </w:r>
      <w:r w:rsidRPr="004D2B90">
        <w:t xml:space="preserve">he NRC does not apply the </w:t>
      </w:r>
      <w:r>
        <w:t>B</w:t>
      </w:r>
      <w:r w:rsidRPr="004D2B90">
        <w:t xml:space="preserve">ackfit </w:t>
      </w:r>
      <w:r>
        <w:t>R</w:t>
      </w:r>
      <w:r w:rsidRPr="004D2B90">
        <w:t xml:space="preserve">ule to the endorsement of a later code </w:t>
      </w:r>
      <w:r>
        <w:t>under the following other circumstances</w:t>
      </w:r>
      <w:r w:rsidRPr="004D2B90">
        <w:t>:</w:t>
      </w:r>
    </w:p>
    <w:p w14:paraId="535E181B" w14:textId="77777777" w:rsidR="00D53E6F" w:rsidRPr="004D2B90" w:rsidRDefault="00D53E6F" w:rsidP="00D53E6F">
      <w:pPr>
        <w:spacing w:line="240" w:lineRule="auto"/>
      </w:pPr>
    </w:p>
    <w:p w14:paraId="5BCF958E" w14:textId="77777777" w:rsidR="00D53E6F" w:rsidRPr="004D2B90" w:rsidRDefault="00D53E6F" w:rsidP="00D53E6F">
      <w:pPr>
        <w:pStyle w:val="ListParagraph"/>
        <w:numPr>
          <w:ilvl w:val="0"/>
          <w:numId w:val="1"/>
        </w:numPr>
        <w:spacing w:line="240" w:lineRule="auto"/>
        <w:ind w:left="720" w:hanging="720"/>
      </w:pPr>
      <w:r w:rsidRPr="004D2B90">
        <w:t xml:space="preserve">When the NRC takes exception to a later ASME BPV or </w:t>
      </w:r>
      <w:r>
        <w:t>OM Code</w:t>
      </w:r>
      <w:r w:rsidRPr="004D2B90">
        <w:t xml:space="preserve"> provision and merely retains the current existing requirement, prohibits the use of the later </w:t>
      </w:r>
      <w:r>
        <w:t>ASME C</w:t>
      </w:r>
      <w:r w:rsidRPr="004D2B90">
        <w:t>ode provision, or limits the use of the later</w:t>
      </w:r>
      <w:r>
        <w:t xml:space="preserve"> ASME</w:t>
      </w:r>
      <w:r w:rsidRPr="004D2B90">
        <w:t xml:space="preserve"> </w:t>
      </w:r>
      <w:r>
        <w:t>C</w:t>
      </w:r>
      <w:r w:rsidRPr="004D2B90">
        <w:t xml:space="preserve">ode provision, the </w:t>
      </w:r>
      <w:r>
        <w:t>B</w:t>
      </w:r>
      <w:r w:rsidRPr="004D2B90">
        <w:t xml:space="preserve">ackfit </w:t>
      </w:r>
      <w:r>
        <w:t>R</w:t>
      </w:r>
      <w:r w:rsidRPr="004D2B90">
        <w:t xml:space="preserve">ule </w:t>
      </w:r>
      <w:r>
        <w:t>would</w:t>
      </w:r>
      <w:r w:rsidRPr="004D2B90">
        <w:t xml:space="preserve"> not apply because the NRC is not imposing new requirements. </w:t>
      </w:r>
      <w:r>
        <w:t xml:space="preserve"> </w:t>
      </w:r>
      <w:r w:rsidRPr="004D2B90">
        <w:t>However, the NRC provides the technical or policy bases</w:t>
      </w:r>
      <w:r>
        <w:t>, or both,</w:t>
      </w:r>
      <w:r w:rsidRPr="004D2B90">
        <w:t xml:space="preserve"> for taking exceptions to the </w:t>
      </w:r>
      <w:r>
        <w:t>ASME C</w:t>
      </w:r>
      <w:r w:rsidRPr="004D2B90">
        <w:t>ode in the Statement of Consideration</w:t>
      </w:r>
      <w:r>
        <w:t>s</w:t>
      </w:r>
      <w:r w:rsidRPr="004D2B90">
        <w:t xml:space="preserve"> for the rule.</w:t>
      </w:r>
    </w:p>
    <w:p w14:paraId="45A948F2" w14:textId="77777777" w:rsidR="00D53E6F" w:rsidRPr="004D2B90" w:rsidRDefault="00D53E6F" w:rsidP="00D53E6F">
      <w:pPr>
        <w:pStyle w:val="ListParagraph"/>
        <w:spacing w:line="240" w:lineRule="auto"/>
        <w:ind w:hanging="720"/>
      </w:pPr>
    </w:p>
    <w:p w14:paraId="0A603606" w14:textId="77777777" w:rsidR="00D53E6F" w:rsidRDefault="00D53E6F" w:rsidP="00D53E6F">
      <w:pPr>
        <w:pStyle w:val="ListParagraph"/>
        <w:numPr>
          <w:ilvl w:val="0"/>
          <w:numId w:val="1"/>
        </w:numPr>
        <w:spacing w:line="240" w:lineRule="auto"/>
        <w:ind w:left="720" w:hanging="720"/>
      </w:pPr>
      <w:r w:rsidRPr="004D2B90">
        <w:t xml:space="preserve">When an NRC exception relaxes an existing ASME BPV or </w:t>
      </w:r>
      <w:r>
        <w:t>OM Code</w:t>
      </w:r>
      <w:r w:rsidRPr="004D2B90">
        <w:t xml:space="preserve"> provision but does not prohibit a licensee from using the existing code provision, the </w:t>
      </w:r>
      <w:r>
        <w:t>B</w:t>
      </w:r>
      <w:r w:rsidRPr="004D2B90">
        <w:t xml:space="preserve">ackfit </w:t>
      </w:r>
      <w:r>
        <w:t>R</w:t>
      </w:r>
      <w:r w:rsidRPr="004D2B90">
        <w:t xml:space="preserve">ule </w:t>
      </w:r>
      <w:r>
        <w:t>would</w:t>
      </w:r>
      <w:r w:rsidRPr="004D2B90">
        <w:t xml:space="preserve"> not apply.</w:t>
      </w:r>
    </w:p>
    <w:p w14:paraId="280529F2" w14:textId="77777777" w:rsidR="00D53E6F" w:rsidRPr="004D2B90" w:rsidRDefault="00D53E6F" w:rsidP="00D53E6F">
      <w:pPr>
        <w:pStyle w:val="ListParagraph"/>
        <w:spacing w:line="240" w:lineRule="auto"/>
      </w:pPr>
    </w:p>
    <w:p w14:paraId="6926F15E" w14:textId="77777777" w:rsidR="00D53E6F" w:rsidRPr="00461295" w:rsidRDefault="00D53E6F" w:rsidP="00D53E6F">
      <w:pPr>
        <w:pStyle w:val="Heading3"/>
        <w:spacing w:line="240" w:lineRule="auto"/>
        <w:ind w:left="900" w:hanging="900"/>
      </w:pPr>
      <w:bookmarkStart w:id="432" w:name="_Toc456098361"/>
      <w:bookmarkStart w:id="433" w:name="_Toc12808905"/>
      <w:r>
        <w:t>5.16.4</w:t>
      </w:r>
      <w:r>
        <w:tab/>
      </w:r>
      <w:bookmarkStart w:id="434" w:name="_Toc457827374"/>
      <w:r w:rsidRPr="00461295">
        <w:t>Safety Goal Evaluation Result</w:t>
      </w:r>
      <w:bookmarkEnd w:id="432"/>
      <w:bookmarkEnd w:id="433"/>
      <w:bookmarkEnd w:id="434"/>
    </w:p>
    <w:p w14:paraId="160695CB" w14:textId="77777777" w:rsidR="00D53E6F" w:rsidRPr="00F90745" w:rsidRDefault="00D53E6F" w:rsidP="00D53E6F">
      <w:pPr>
        <w:keepNext/>
        <w:spacing w:line="240" w:lineRule="auto"/>
      </w:pPr>
    </w:p>
    <w:p w14:paraId="15AD3CC7" w14:textId="77777777" w:rsidR="00D53E6F" w:rsidRDefault="00D53E6F" w:rsidP="00D53E6F">
      <w:pPr>
        <w:spacing w:line="240" w:lineRule="auto"/>
      </w:pPr>
      <w:r w:rsidRPr="00F90745">
        <w:t>Based on the reasons described, a safety goal evaluation is not appropriate for this regulatory analysis.</w:t>
      </w:r>
    </w:p>
    <w:p w14:paraId="32016254" w14:textId="77777777" w:rsidR="00D53E6F" w:rsidRPr="00F90745" w:rsidRDefault="00D53E6F" w:rsidP="00D53E6F">
      <w:pPr>
        <w:spacing w:line="240" w:lineRule="auto"/>
      </w:pPr>
    </w:p>
    <w:p w14:paraId="7A2607A7" w14:textId="77777777" w:rsidR="00D53E6F" w:rsidRPr="00217D07" w:rsidRDefault="00D53E6F" w:rsidP="00D53E6F">
      <w:pPr>
        <w:pStyle w:val="Heading2"/>
        <w:tabs>
          <w:tab w:val="left" w:pos="540"/>
        </w:tabs>
        <w:spacing w:line="240" w:lineRule="auto"/>
      </w:pPr>
      <w:bookmarkStart w:id="435" w:name="_Toc456098362"/>
      <w:bookmarkStart w:id="436" w:name="_Toc12808906"/>
      <w:r>
        <w:t>5.17</w:t>
      </w:r>
      <w:r>
        <w:tab/>
      </w:r>
      <w:bookmarkStart w:id="437" w:name="_Toc457827375"/>
      <w:r w:rsidRPr="00217D07">
        <w:t>Results for the Committee to Review Generic Requirements</w:t>
      </w:r>
      <w:bookmarkEnd w:id="435"/>
      <w:bookmarkEnd w:id="436"/>
      <w:bookmarkEnd w:id="437"/>
    </w:p>
    <w:p w14:paraId="20009B63" w14:textId="77777777" w:rsidR="00D53E6F" w:rsidRPr="00217D07" w:rsidRDefault="00D53E6F" w:rsidP="00D53E6F">
      <w:pPr>
        <w:keepNext/>
        <w:spacing w:line="240" w:lineRule="auto"/>
      </w:pPr>
    </w:p>
    <w:p w14:paraId="5255F969" w14:textId="52A1304D" w:rsidR="00D53E6F" w:rsidRPr="00217D07" w:rsidRDefault="00D53E6F" w:rsidP="00D53E6F">
      <w:pPr>
        <w:autoSpaceDE/>
        <w:autoSpaceDN/>
        <w:adjustRightInd/>
        <w:spacing w:line="240" w:lineRule="auto"/>
      </w:pPr>
      <w:r w:rsidRPr="00217D07">
        <w:t xml:space="preserve">This section addresses regulatory analysis information requirements for rulemaking actions or staff positions subject to review by the Committee to Review Generic Requirements (CRGR).  </w:t>
      </w:r>
      <w:r>
        <w:t>T</w:t>
      </w:r>
      <w:r w:rsidRPr="00217D07">
        <w:t xml:space="preserve">his regulatory analysis or the </w:t>
      </w:r>
      <w:r w:rsidRPr="00217D07">
        <w:rPr>
          <w:i/>
        </w:rPr>
        <w:t>Federal Register</w:t>
      </w:r>
      <w:r w:rsidRPr="00217D07">
        <w:t xml:space="preserve"> notice for the </w:t>
      </w:r>
      <w:r>
        <w:t>final</w:t>
      </w:r>
      <w:r w:rsidRPr="00217D07">
        <w:t xml:space="preserve"> rule</w:t>
      </w:r>
      <w:r>
        <w:t xml:space="preserve"> presents all information required</w:t>
      </w:r>
      <w:r w:rsidRPr="00217D07">
        <w:t xml:space="preserve"> by the CRGR charter (</w:t>
      </w:r>
      <w:r>
        <w:t>NRC 2018b</w:t>
      </w:r>
      <w:r w:rsidRPr="00217D07">
        <w:t xml:space="preserve">).  </w:t>
      </w:r>
      <w:r w:rsidRPr="00217D07">
        <w:fldChar w:fldCharType="begin"/>
      </w:r>
      <w:r w:rsidRPr="00217D07">
        <w:instrText xml:space="preserve"> REF _Ref453656225 \h  \* MERGEFORMAT </w:instrText>
      </w:r>
      <w:r w:rsidRPr="00217D07">
        <w:fldChar w:fldCharType="separate"/>
      </w:r>
      <w:r w:rsidR="00F05D99" w:rsidRPr="00F05D99">
        <w:t xml:space="preserve">Table </w:t>
      </w:r>
      <w:r w:rsidR="00F05D99" w:rsidRPr="00F05D99">
        <w:rPr>
          <w:noProof/>
        </w:rPr>
        <w:t>23</w:t>
      </w:r>
      <w:r w:rsidRPr="00217D07">
        <w:fldChar w:fldCharType="end"/>
      </w:r>
      <w:r w:rsidRPr="00217D07">
        <w:t xml:space="preserve"> provides a cross</w:t>
      </w:r>
      <w:r>
        <w:noBreakHyphen/>
      </w:r>
      <w:r w:rsidRPr="00217D07">
        <w:t xml:space="preserve">reference between the relevant information and its location in this document or the </w:t>
      </w:r>
      <w:r w:rsidRPr="00217D07">
        <w:rPr>
          <w:i/>
        </w:rPr>
        <w:t>Federal Register</w:t>
      </w:r>
      <w:r w:rsidRPr="00217D07">
        <w:t xml:space="preserve"> notice.</w:t>
      </w:r>
    </w:p>
    <w:p w14:paraId="474DFFD2" w14:textId="77777777" w:rsidR="00D53E6F" w:rsidRPr="00217D07" w:rsidRDefault="00D53E6F" w:rsidP="00D53E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center"/>
      </w:pPr>
    </w:p>
    <w:p w14:paraId="165BEA7E" w14:textId="562CE78E" w:rsidR="00D53E6F" w:rsidRPr="00C80453" w:rsidRDefault="00D53E6F" w:rsidP="00D53E6F">
      <w:pPr>
        <w:pStyle w:val="Caption"/>
        <w:spacing w:line="240" w:lineRule="auto"/>
        <w:ind w:left="1080" w:hanging="1080"/>
        <w:jc w:val="center"/>
        <w:rPr>
          <w:b/>
        </w:rPr>
      </w:pPr>
      <w:bookmarkStart w:id="438" w:name="_Ref453656225"/>
      <w:bookmarkStart w:id="439" w:name="_Toc454442509"/>
      <w:bookmarkStart w:id="440" w:name="_Toc457827429"/>
      <w:bookmarkStart w:id="441" w:name="_Toc9428152"/>
      <w:r w:rsidRPr="00C80453">
        <w:rPr>
          <w:b/>
        </w:rPr>
        <w:t xml:space="preserve">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23</w:t>
      </w:r>
      <w:r w:rsidRPr="00C80453">
        <w:rPr>
          <w:b/>
          <w:noProof/>
        </w:rPr>
        <w:fldChar w:fldCharType="end"/>
      </w:r>
      <w:bookmarkEnd w:id="438"/>
      <w:r w:rsidRPr="00C80453">
        <w:rPr>
          <w:b/>
        </w:rPr>
        <w:t xml:space="preserve">  Specific CRGR Information Requirements for Regulatory Analysis</w:t>
      </w:r>
      <w:bookmarkEnd w:id="439"/>
      <w:bookmarkEnd w:id="440"/>
      <w:bookmarkEnd w:id="4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908"/>
        <w:gridCol w:w="5170"/>
        <w:gridCol w:w="2482"/>
      </w:tblGrid>
      <w:tr w:rsidR="00D53E6F" w:rsidRPr="00217D07" w14:paraId="00703F3F" w14:textId="77777777" w:rsidTr="004A7B59">
        <w:trPr>
          <w:cantSplit/>
          <w:tblHeader/>
        </w:trPr>
        <w:tc>
          <w:tcPr>
            <w:tcW w:w="998" w:type="pct"/>
            <w:vAlign w:val="center"/>
          </w:tcPr>
          <w:p w14:paraId="5F3F9706" w14:textId="5C04852D" w:rsidR="00D53E6F" w:rsidRPr="002D7AA3" w:rsidRDefault="00D53E6F" w:rsidP="00E91144">
            <w:pPr>
              <w:numPr>
                <w:ilvl w:val="12"/>
                <w:numId w:val="0"/>
              </w:numPr>
              <w:tabs>
                <w:tab w:val="left" w:pos="0"/>
                <w:tab w:val="left" w:pos="720"/>
              </w:tabs>
              <w:spacing w:before="50" w:afterLines="50" w:after="120" w:line="240" w:lineRule="auto"/>
              <w:jc w:val="center"/>
              <w:rPr>
                <w:sz w:val="20"/>
                <w:vertAlign w:val="superscript"/>
              </w:rPr>
            </w:pPr>
            <w:r w:rsidRPr="00217D07">
              <w:rPr>
                <w:b/>
                <w:bCs/>
                <w:sz w:val="20"/>
              </w:rPr>
              <w:t>CRGR</w:t>
            </w:r>
            <w:r>
              <w:rPr>
                <w:b/>
                <w:bCs/>
                <w:sz w:val="20"/>
              </w:rPr>
              <w:t xml:space="preserve"> </w:t>
            </w:r>
            <w:r w:rsidRPr="00217D07">
              <w:rPr>
                <w:b/>
                <w:bCs/>
                <w:sz w:val="20"/>
              </w:rPr>
              <w:t>Charter</w:t>
            </w:r>
            <w:r>
              <w:rPr>
                <w:b/>
                <w:bCs/>
                <w:sz w:val="20"/>
              </w:rPr>
              <w:t> </w:t>
            </w:r>
            <w:r w:rsidRPr="00217D07">
              <w:rPr>
                <w:b/>
                <w:bCs/>
                <w:sz w:val="20"/>
              </w:rPr>
              <w:t>Citation (</w:t>
            </w:r>
            <w:r>
              <w:rPr>
                <w:b/>
                <w:bCs/>
                <w:sz w:val="20"/>
              </w:rPr>
              <w:t>NRC 2018b</w:t>
            </w:r>
            <w:r w:rsidRPr="00217D07">
              <w:rPr>
                <w:b/>
                <w:bCs/>
                <w:sz w:val="20"/>
              </w:rPr>
              <w:t>)</w:t>
            </w:r>
            <w:r>
              <w:rPr>
                <w:b/>
                <w:bCs/>
                <w:sz w:val="20"/>
                <w:vertAlign w:val="superscript"/>
              </w:rPr>
              <w:t>a</w:t>
            </w:r>
          </w:p>
        </w:tc>
        <w:tc>
          <w:tcPr>
            <w:tcW w:w="2704" w:type="pct"/>
            <w:vAlign w:val="center"/>
          </w:tcPr>
          <w:p w14:paraId="2591A450" w14:textId="77777777" w:rsidR="00D53E6F" w:rsidRPr="00217D07" w:rsidRDefault="00D53E6F" w:rsidP="00E91144">
            <w:pPr>
              <w:numPr>
                <w:ilvl w:val="12"/>
                <w:numId w:val="0"/>
              </w:numPr>
              <w:tabs>
                <w:tab w:val="left" w:pos="0"/>
                <w:tab w:val="left" w:pos="720"/>
                <w:tab w:val="left" w:pos="1440"/>
                <w:tab w:val="left" w:pos="2160"/>
                <w:tab w:val="left" w:pos="2880"/>
                <w:tab w:val="left" w:pos="3600"/>
                <w:tab w:val="left" w:pos="4320"/>
                <w:tab w:val="left" w:pos="5040"/>
              </w:tabs>
              <w:spacing w:before="50" w:afterLines="50" w:after="120" w:line="240" w:lineRule="auto"/>
              <w:jc w:val="center"/>
              <w:rPr>
                <w:sz w:val="20"/>
              </w:rPr>
            </w:pPr>
            <w:r w:rsidRPr="00217D07">
              <w:rPr>
                <w:b/>
                <w:bCs/>
                <w:sz w:val="20"/>
              </w:rPr>
              <w:t>Information Item To Be Included in a Regulatory Analysis Prepared for CRGR Review</w:t>
            </w:r>
          </w:p>
        </w:tc>
        <w:tc>
          <w:tcPr>
            <w:tcW w:w="1298" w:type="pct"/>
            <w:vAlign w:val="center"/>
          </w:tcPr>
          <w:p w14:paraId="5F595073" w14:textId="77777777" w:rsidR="00D53E6F" w:rsidRPr="00217D07" w:rsidRDefault="00D53E6F" w:rsidP="00E91144">
            <w:pPr>
              <w:numPr>
                <w:ilvl w:val="12"/>
                <w:numId w:val="0"/>
              </w:numPr>
              <w:tabs>
                <w:tab w:val="left" w:pos="0"/>
                <w:tab w:val="left" w:pos="720"/>
                <w:tab w:val="left" w:pos="1440"/>
                <w:tab w:val="left" w:pos="2160"/>
                <w:tab w:val="left" w:pos="2880"/>
              </w:tabs>
              <w:spacing w:before="50" w:afterLines="50" w:after="120" w:line="240" w:lineRule="auto"/>
              <w:jc w:val="center"/>
              <w:rPr>
                <w:sz w:val="20"/>
              </w:rPr>
            </w:pPr>
            <w:r w:rsidRPr="00217D07">
              <w:rPr>
                <w:b/>
                <w:bCs/>
                <w:sz w:val="20"/>
              </w:rPr>
              <w:t>Where</w:t>
            </w:r>
            <w:r>
              <w:rPr>
                <w:b/>
                <w:bCs/>
                <w:sz w:val="20"/>
              </w:rPr>
              <w:t xml:space="preserve"> the Information</w:t>
            </w:r>
            <w:r w:rsidRPr="00217D07">
              <w:rPr>
                <w:b/>
                <w:bCs/>
                <w:sz w:val="20"/>
              </w:rPr>
              <w:t xml:space="preserve"> Item Is Discussed</w:t>
            </w:r>
          </w:p>
        </w:tc>
      </w:tr>
      <w:tr w:rsidR="00D53E6F" w:rsidRPr="00217D07" w14:paraId="4A62DAEA" w14:textId="77777777" w:rsidTr="004A7B59">
        <w:trPr>
          <w:cantSplit/>
        </w:trPr>
        <w:tc>
          <w:tcPr>
            <w:tcW w:w="998" w:type="pct"/>
            <w:vAlign w:val="center"/>
          </w:tcPr>
          <w:p w14:paraId="6D3703D7" w14:textId="77777777" w:rsidR="00D53E6F" w:rsidRPr="00217D07" w:rsidRDefault="00D53E6F" w:rsidP="00E91144">
            <w:pPr>
              <w:numPr>
                <w:ilvl w:val="12"/>
                <w:numId w:val="0"/>
              </w:numPr>
              <w:tabs>
                <w:tab w:val="left" w:pos="0"/>
                <w:tab w:val="left" w:pos="720"/>
              </w:tabs>
              <w:spacing w:before="117" w:after="52" w:line="240" w:lineRule="auto"/>
              <w:rPr>
                <w:sz w:val="20"/>
              </w:rPr>
            </w:pPr>
            <w:r w:rsidRPr="00217D07">
              <w:rPr>
                <w:sz w:val="20"/>
              </w:rPr>
              <w:t xml:space="preserve">Appendix </w:t>
            </w:r>
            <w:r>
              <w:rPr>
                <w:sz w:val="20"/>
              </w:rPr>
              <w:t>B</w:t>
            </w:r>
            <w:r w:rsidRPr="00217D07">
              <w:rPr>
                <w:sz w:val="20"/>
              </w:rPr>
              <w:t>, (i)</w:t>
            </w:r>
          </w:p>
        </w:tc>
        <w:tc>
          <w:tcPr>
            <w:tcW w:w="2704" w:type="pct"/>
            <w:vAlign w:val="center"/>
          </w:tcPr>
          <w:p w14:paraId="729B3289" w14:textId="77777777" w:rsidR="00D53E6F" w:rsidRPr="00217D07" w:rsidRDefault="00D53E6F" w:rsidP="00E91144">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217D07">
              <w:rPr>
                <w:sz w:val="20"/>
              </w:rPr>
              <w:t xml:space="preserve">The new or revised generic requirement or staff position as it is </w:t>
            </w:r>
            <w:r>
              <w:rPr>
                <w:sz w:val="20"/>
              </w:rPr>
              <w:t>proposed to</w:t>
            </w:r>
            <w:r w:rsidRPr="00217D07">
              <w:rPr>
                <w:sz w:val="20"/>
              </w:rPr>
              <w:t xml:space="preserve"> be sent out to licensees or issued for public comment</w:t>
            </w:r>
          </w:p>
        </w:tc>
        <w:tc>
          <w:tcPr>
            <w:tcW w:w="1298" w:type="pct"/>
            <w:vAlign w:val="center"/>
          </w:tcPr>
          <w:p w14:paraId="46EE98A5" w14:textId="77777777" w:rsidR="00D53E6F" w:rsidRPr="00217D07" w:rsidRDefault="00D53E6F" w:rsidP="00E91144">
            <w:pPr>
              <w:numPr>
                <w:ilvl w:val="12"/>
                <w:numId w:val="0"/>
              </w:numPr>
              <w:tabs>
                <w:tab w:val="left" w:pos="0"/>
                <w:tab w:val="left" w:pos="720"/>
                <w:tab w:val="left" w:pos="1440"/>
                <w:tab w:val="left" w:pos="2160"/>
                <w:tab w:val="left" w:pos="2880"/>
              </w:tabs>
              <w:spacing w:before="117" w:after="52" w:line="240" w:lineRule="auto"/>
              <w:rPr>
                <w:sz w:val="20"/>
              </w:rPr>
            </w:pPr>
            <w:r>
              <w:rPr>
                <w:sz w:val="20"/>
              </w:rPr>
              <w:t>Final</w:t>
            </w:r>
            <w:r w:rsidRPr="00217D07">
              <w:rPr>
                <w:sz w:val="20"/>
              </w:rPr>
              <w:t xml:space="preserve"> rule text in </w:t>
            </w:r>
            <w:r w:rsidRPr="00217D07">
              <w:rPr>
                <w:i/>
                <w:sz w:val="20"/>
              </w:rPr>
              <w:t xml:space="preserve">Federal Register </w:t>
            </w:r>
            <w:r w:rsidRPr="00217D07">
              <w:rPr>
                <w:sz w:val="20"/>
              </w:rPr>
              <w:t xml:space="preserve">notice for the </w:t>
            </w:r>
            <w:r>
              <w:rPr>
                <w:sz w:val="20"/>
              </w:rPr>
              <w:t>final</w:t>
            </w:r>
            <w:r w:rsidRPr="00217D07">
              <w:rPr>
                <w:sz w:val="20"/>
              </w:rPr>
              <w:t xml:space="preserve"> rule</w:t>
            </w:r>
          </w:p>
        </w:tc>
      </w:tr>
      <w:tr w:rsidR="00D53E6F" w:rsidRPr="00217D07" w14:paraId="72E41583" w14:textId="77777777" w:rsidTr="004A7B59">
        <w:trPr>
          <w:cantSplit/>
        </w:trPr>
        <w:tc>
          <w:tcPr>
            <w:tcW w:w="998" w:type="pct"/>
            <w:vAlign w:val="center"/>
          </w:tcPr>
          <w:p w14:paraId="4D752F34" w14:textId="77777777" w:rsidR="00D53E6F" w:rsidRPr="00217D07" w:rsidRDefault="00D53E6F" w:rsidP="00E91144">
            <w:pPr>
              <w:numPr>
                <w:ilvl w:val="12"/>
                <w:numId w:val="0"/>
              </w:numPr>
              <w:tabs>
                <w:tab w:val="left" w:pos="0"/>
                <w:tab w:val="left" w:pos="720"/>
              </w:tabs>
              <w:spacing w:before="117" w:after="52" w:line="240" w:lineRule="auto"/>
              <w:rPr>
                <w:sz w:val="20"/>
              </w:rPr>
            </w:pPr>
            <w:r w:rsidRPr="00217D07">
              <w:rPr>
                <w:sz w:val="20"/>
              </w:rPr>
              <w:t xml:space="preserve">Appendix </w:t>
            </w:r>
            <w:r>
              <w:rPr>
                <w:sz w:val="20"/>
              </w:rPr>
              <w:t>B</w:t>
            </w:r>
            <w:r w:rsidRPr="00217D07">
              <w:rPr>
                <w:sz w:val="20"/>
              </w:rPr>
              <w:t>, (ii)</w:t>
            </w:r>
          </w:p>
        </w:tc>
        <w:tc>
          <w:tcPr>
            <w:tcW w:w="2704" w:type="pct"/>
            <w:vAlign w:val="center"/>
          </w:tcPr>
          <w:p w14:paraId="23A0C2D2" w14:textId="77777777" w:rsidR="00D53E6F" w:rsidRPr="00217D07" w:rsidRDefault="00D53E6F" w:rsidP="00E91144">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Pr>
                <w:sz w:val="20"/>
              </w:rPr>
              <w:t>D</w:t>
            </w:r>
            <w:r w:rsidRPr="00217D07">
              <w:rPr>
                <w:sz w:val="20"/>
              </w:rPr>
              <w:t>ocuments supporting the requirements or staff positions</w:t>
            </w:r>
          </w:p>
        </w:tc>
        <w:tc>
          <w:tcPr>
            <w:tcW w:w="1298" w:type="pct"/>
            <w:vAlign w:val="center"/>
          </w:tcPr>
          <w:p w14:paraId="695EBF77" w14:textId="77777777" w:rsidR="00D53E6F" w:rsidRPr="00217D07" w:rsidRDefault="00D53E6F" w:rsidP="00E91144">
            <w:pPr>
              <w:numPr>
                <w:ilvl w:val="12"/>
                <w:numId w:val="0"/>
              </w:numPr>
              <w:tabs>
                <w:tab w:val="left" w:pos="0"/>
                <w:tab w:val="left" w:pos="720"/>
                <w:tab w:val="left" w:pos="1440"/>
                <w:tab w:val="left" w:pos="2160"/>
                <w:tab w:val="left" w:pos="2880"/>
              </w:tabs>
              <w:spacing w:before="117" w:after="52" w:line="240" w:lineRule="auto"/>
              <w:rPr>
                <w:sz w:val="20"/>
              </w:rPr>
            </w:pPr>
            <w:r w:rsidRPr="00217D07">
              <w:rPr>
                <w:i/>
                <w:sz w:val="20"/>
              </w:rPr>
              <w:t>Federal Register</w:t>
            </w:r>
            <w:r w:rsidRPr="00217D07">
              <w:rPr>
                <w:sz w:val="20"/>
              </w:rPr>
              <w:t xml:space="preserve"> notice for the </w:t>
            </w:r>
            <w:r>
              <w:rPr>
                <w:sz w:val="20"/>
              </w:rPr>
              <w:t>final</w:t>
            </w:r>
            <w:r w:rsidRPr="00217D07">
              <w:rPr>
                <w:sz w:val="20"/>
              </w:rPr>
              <w:t xml:space="preserve"> rule</w:t>
            </w:r>
          </w:p>
        </w:tc>
      </w:tr>
      <w:tr w:rsidR="00D53E6F" w:rsidRPr="00217D07" w14:paraId="5BF3005E" w14:textId="77777777" w:rsidTr="004A7B59">
        <w:trPr>
          <w:cantSplit/>
        </w:trPr>
        <w:tc>
          <w:tcPr>
            <w:tcW w:w="998" w:type="pct"/>
            <w:vAlign w:val="center"/>
          </w:tcPr>
          <w:p w14:paraId="331A4843" w14:textId="77777777" w:rsidR="00D53E6F" w:rsidRPr="00217D07" w:rsidRDefault="00D53E6F" w:rsidP="00E91144">
            <w:pPr>
              <w:numPr>
                <w:ilvl w:val="12"/>
                <w:numId w:val="0"/>
              </w:numPr>
              <w:tabs>
                <w:tab w:val="left" w:pos="0"/>
                <w:tab w:val="left" w:pos="720"/>
              </w:tabs>
              <w:spacing w:before="117" w:after="52" w:line="240" w:lineRule="auto"/>
              <w:rPr>
                <w:sz w:val="20"/>
              </w:rPr>
            </w:pPr>
            <w:r w:rsidRPr="00217D07">
              <w:rPr>
                <w:sz w:val="20"/>
              </w:rPr>
              <w:t xml:space="preserve">Appendix </w:t>
            </w:r>
            <w:r>
              <w:rPr>
                <w:sz w:val="20"/>
              </w:rPr>
              <w:t>B</w:t>
            </w:r>
            <w:r w:rsidRPr="00217D07">
              <w:rPr>
                <w:sz w:val="20"/>
              </w:rPr>
              <w:t>, (iii)</w:t>
            </w:r>
          </w:p>
        </w:tc>
        <w:tc>
          <w:tcPr>
            <w:tcW w:w="2704" w:type="pct"/>
            <w:vAlign w:val="center"/>
          </w:tcPr>
          <w:p w14:paraId="12530DFB" w14:textId="77777777" w:rsidR="00D53E6F" w:rsidRPr="00217D07" w:rsidRDefault="00D53E6F" w:rsidP="00E91144">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217D07">
              <w:rPr>
                <w:sz w:val="20"/>
              </w:rPr>
              <w:t>The sponsoring office</w:t>
            </w:r>
            <w:r>
              <w:rPr>
                <w:sz w:val="20"/>
              </w:rPr>
              <w:t>’</w:t>
            </w:r>
            <w:r w:rsidRPr="00217D07">
              <w:rPr>
                <w:sz w:val="20"/>
              </w:rPr>
              <w:t xml:space="preserve">s position on each requirement or staff position as to whether the </w:t>
            </w:r>
            <w:r>
              <w:rPr>
                <w:sz w:val="20"/>
              </w:rPr>
              <w:t>change</w:t>
            </w:r>
            <w:r w:rsidRPr="00217D07">
              <w:rPr>
                <w:sz w:val="20"/>
              </w:rPr>
              <w:t xml:space="preserve"> would modify, implement, or relax or reduce existing requirements or staff positions</w:t>
            </w:r>
          </w:p>
        </w:tc>
        <w:tc>
          <w:tcPr>
            <w:tcW w:w="1298" w:type="pct"/>
            <w:vAlign w:val="center"/>
          </w:tcPr>
          <w:p w14:paraId="174C0F48" w14:textId="77777777" w:rsidR="00D53E6F" w:rsidRPr="00217D07" w:rsidRDefault="00D53E6F" w:rsidP="00E91144">
            <w:pPr>
              <w:numPr>
                <w:ilvl w:val="12"/>
                <w:numId w:val="0"/>
              </w:numPr>
              <w:tabs>
                <w:tab w:val="left" w:pos="0"/>
                <w:tab w:val="left" w:pos="720"/>
                <w:tab w:val="left" w:pos="1440"/>
                <w:tab w:val="left" w:pos="2160"/>
                <w:tab w:val="left" w:pos="2880"/>
              </w:tabs>
              <w:spacing w:before="117" w:after="52" w:line="240" w:lineRule="auto"/>
              <w:rPr>
                <w:sz w:val="20"/>
              </w:rPr>
            </w:pPr>
            <w:r w:rsidRPr="00217D07">
              <w:rPr>
                <w:sz w:val="20"/>
              </w:rPr>
              <w:t>Regulatory Analysis, Section 5, and Backfit</w:t>
            </w:r>
            <w:r>
              <w:rPr>
                <w:sz w:val="20"/>
              </w:rPr>
              <w:t>ting and Issue Finality, Section XIII</w:t>
            </w:r>
            <w:r w:rsidRPr="00217D07">
              <w:rPr>
                <w:sz w:val="20"/>
              </w:rPr>
              <w:t xml:space="preserve">, </w:t>
            </w:r>
            <w:r w:rsidRPr="00217D07">
              <w:rPr>
                <w:i/>
                <w:sz w:val="20"/>
              </w:rPr>
              <w:t xml:space="preserve">Federal Register </w:t>
            </w:r>
            <w:r>
              <w:rPr>
                <w:sz w:val="20"/>
              </w:rPr>
              <w:t>n</w:t>
            </w:r>
            <w:r w:rsidRPr="000D3115">
              <w:rPr>
                <w:sz w:val="20"/>
              </w:rPr>
              <w:t>otice</w:t>
            </w:r>
            <w:r w:rsidRPr="00217D07">
              <w:rPr>
                <w:sz w:val="20"/>
              </w:rPr>
              <w:t xml:space="preserve"> for the </w:t>
            </w:r>
            <w:r>
              <w:rPr>
                <w:sz w:val="20"/>
              </w:rPr>
              <w:t>final</w:t>
            </w:r>
            <w:r w:rsidRPr="00217D07">
              <w:rPr>
                <w:sz w:val="20"/>
              </w:rPr>
              <w:t xml:space="preserve"> rule</w:t>
            </w:r>
          </w:p>
        </w:tc>
      </w:tr>
      <w:tr w:rsidR="00D53E6F" w:rsidRPr="00217D07" w14:paraId="75AC9C71" w14:textId="77777777" w:rsidTr="004A7B59">
        <w:trPr>
          <w:cantSplit/>
        </w:trPr>
        <w:tc>
          <w:tcPr>
            <w:tcW w:w="998" w:type="pct"/>
            <w:vAlign w:val="center"/>
          </w:tcPr>
          <w:p w14:paraId="1461ED5E" w14:textId="77777777" w:rsidR="00D53E6F" w:rsidRPr="00217D07" w:rsidRDefault="00D53E6F" w:rsidP="00E91144">
            <w:pPr>
              <w:numPr>
                <w:ilvl w:val="12"/>
                <w:numId w:val="0"/>
              </w:numPr>
              <w:tabs>
                <w:tab w:val="left" w:pos="0"/>
                <w:tab w:val="left" w:pos="720"/>
              </w:tabs>
              <w:spacing w:before="117" w:after="52" w:line="240" w:lineRule="auto"/>
              <w:rPr>
                <w:sz w:val="20"/>
              </w:rPr>
            </w:pPr>
            <w:r w:rsidRPr="00217D07">
              <w:rPr>
                <w:sz w:val="20"/>
              </w:rPr>
              <w:t xml:space="preserve">Appendix </w:t>
            </w:r>
            <w:r>
              <w:rPr>
                <w:sz w:val="20"/>
              </w:rPr>
              <w:t>B</w:t>
            </w:r>
            <w:r w:rsidRPr="00217D07">
              <w:rPr>
                <w:sz w:val="20"/>
              </w:rPr>
              <w:t>, (iv)</w:t>
            </w:r>
          </w:p>
        </w:tc>
        <w:tc>
          <w:tcPr>
            <w:tcW w:w="2704" w:type="pct"/>
            <w:vAlign w:val="center"/>
          </w:tcPr>
          <w:p w14:paraId="0BDBF31D" w14:textId="77777777" w:rsidR="00D53E6F" w:rsidRPr="00217D07" w:rsidRDefault="00D53E6F" w:rsidP="00E91144">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217D07">
              <w:rPr>
                <w:sz w:val="20"/>
              </w:rPr>
              <w:t>The method of implementation</w:t>
            </w:r>
          </w:p>
        </w:tc>
        <w:tc>
          <w:tcPr>
            <w:tcW w:w="1298" w:type="pct"/>
            <w:vAlign w:val="center"/>
          </w:tcPr>
          <w:p w14:paraId="100A4959" w14:textId="77777777" w:rsidR="00D53E6F" w:rsidRPr="00217D07" w:rsidRDefault="00D53E6F" w:rsidP="00E91144">
            <w:pPr>
              <w:numPr>
                <w:ilvl w:val="12"/>
                <w:numId w:val="0"/>
              </w:numPr>
              <w:tabs>
                <w:tab w:val="left" w:pos="0"/>
                <w:tab w:val="left" w:pos="720"/>
                <w:tab w:val="left" w:pos="1440"/>
                <w:tab w:val="left" w:pos="2160"/>
                <w:tab w:val="left" w:pos="2880"/>
              </w:tabs>
              <w:spacing w:before="117" w:after="52" w:line="240" w:lineRule="auto"/>
              <w:rPr>
                <w:sz w:val="20"/>
              </w:rPr>
            </w:pPr>
            <w:r w:rsidRPr="00217D07">
              <w:rPr>
                <w:sz w:val="20"/>
              </w:rPr>
              <w:t>Regulatory Analysis, Section 7</w:t>
            </w:r>
          </w:p>
        </w:tc>
      </w:tr>
      <w:tr w:rsidR="00D53E6F" w:rsidRPr="00217D07" w14:paraId="7F662BB8" w14:textId="77777777" w:rsidTr="004A7B59">
        <w:trPr>
          <w:cantSplit/>
        </w:trPr>
        <w:tc>
          <w:tcPr>
            <w:tcW w:w="998" w:type="pct"/>
            <w:vAlign w:val="center"/>
          </w:tcPr>
          <w:p w14:paraId="79FA9555" w14:textId="77777777" w:rsidR="00D53E6F" w:rsidRPr="00217D07" w:rsidRDefault="00D53E6F" w:rsidP="00E91144">
            <w:pPr>
              <w:numPr>
                <w:ilvl w:val="12"/>
                <w:numId w:val="0"/>
              </w:numPr>
              <w:tabs>
                <w:tab w:val="left" w:pos="0"/>
                <w:tab w:val="left" w:pos="720"/>
              </w:tabs>
              <w:spacing w:before="117" w:after="52" w:line="240" w:lineRule="auto"/>
              <w:rPr>
                <w:sz w:val="20"/>
              </w:rPr>
            </w:pPr>
            <w:r w:rsidRPr="00217D07">
              <w:rPr>
                <w:sz w:val="20"/>
              </w:rPr>
              <w:t xml:space="preserve">Appendix </w:t>
            </w:r>
            <w:r>
              <w:rPr>
                <w:sz w:val="20"/>
              </w:rPr>
              <w:t>B</w:t>
            </w:r>
            <w:r w:rsidRPr="00217D07">
              <w:rPr>
                <w:sz w:val="20"/>
              </w:rPr>
              <w:t>, (vi)</w:t>
            </w:r>
          </w:p>
        </w:tc>
        <w:tc>
          <w:tcPr>
            <w:tcW w:w="2704" w:type="pct"/>
            <w:vAlign w:val="center"/>
          </w:tcPr>
          <w:p w14:paraId="1D3FC881" w14:textId="77777777" w:rsidR="00D53E6F" w:rsidRPr="00217D07" w:rsidRDefault="00D53E6F" w:rsidP="00E91144">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217D07">
              <w:rPr>
                <w:sz w:val="20"/>
              </w:rPr>
              <w:t xml:space="preserve">Identification of the category of power reactors, new reactors, or nuclear materials facilities or activities to which the generic requirement or staff position </w:t>
            </w:r>
            <w:r>
              <w:rPr>
                <w:sz w:val="20"/>
              </w:rPr>
              <w:t>applies</w:t>
            </w:r>
          </w:p>
        </w:tc>
        <w:tc>
          <w:tcPr>
            <w:tcW w:w="1298" w:type="pct"/>
            <w:vAlign w:val="center"/>
          </w:tcPr>
          <w:p w14:paraId="32FBC29F" w14:textId="77777777" w:rsidR="00D53E6F" w:rsidRPr="00217D07" w:rsidRDefault="00D53E6F" w:rsidP="00E91144">
            <w:pPr>
              <w:numPr>
                <w:ilvl w:val="12"/>
                <w:numId w:val="0"/>
              </w:numPr>
              <w:tabs>
                <w:tab w:val="left" w:pos="0"/>
                <w:tab w:val="left" w:pos="720"/>
                <w:tab w:val="left" w:pos="1440"/>
                <w:tab w:val="left" w:pos="2160"/>
                <w:tab w:val="left" w:pos="2880"/>
              </w:tabs>
              <w:spacing w:before="117" w:after="52" w:line="240" w:lineRule="auto"/>
              <w:rPr>
                <w:sz w:val="20"/>
              </w:rPr>
            </w:pPr>
            <w:r w:rsidRPr="00217D07">
              <w:rPr>
                <w:sz w:val="20"/>
              </w:rPr>
              <w:t>Regulatory Analysis, Section 4.2.2</w:t>
            </w:r>
          </w:p>
        </w:tc>
      </w:tr>
      <w:tr w:rsidR="00D53E6F" w:rsidRPr="00217D07" w14:paraId="47BE489C" w14:textId="77777777" w:rsidTr="004A7B59">
        <w:trPr>
          <w:cantSplit/>
        </w:trPr>
        <w:tc>
          <w:tcPr>
            <w:tcW w:w="998" w:type="pct"/>
            <w:vAlign w:val="center"/>
          </w:tcPr>
          <w:p w14:paraId="0DA82982" w14:textId="2086A760" w:rsidR="00D53E6F" w:rsidRPr="00217D07" w:rsidRDefault="00D53E6F" w:rsidP="00E91144">
            <w:pPr>
              <w:numPr>
                <w:ilvl w:val="12"/>
                <w:numId w:val="0"/>
              </w:numPr>
              <w:tabs>
                <w:tab w:val="left" w:pos="0"/>
                <w:tab w:val="left" w:pos="720"/>
              </w:tabs>
              <w:spacing w:before="117" w:line="240" w:lineRule="auto"/>
              <w:rPr>
                <w:sz w:val="20"/>
              </w:rPr>
            </w:pPr>
            <w:r w:rsidRPr="00217D07">
              <w:rPr>
                <w:sz w:val="20"/>
              </w:rPr>
              <w:t xml:space="preserve">Appendix </w:t>
            </w:r>
            <w:r>
              <w:rPr>
                <w:sz w:val="20"/>
              </w:rPr>
              <w:t>B</w:t>
            </w:r>
            <w:r w:rsidRPr="00217D07">
              <w:rPr>
                <w:sz w:val="20"/>
              </w:rPr>
              <w:t>,</w:t>
            </w:r>
            <w:r w:rsidRPr="00217D07">
              <w:rPr>
                <w:sz w:val="20"/>
              </w:rPr>
              <w:br/>
              <w:t>(vii)–(viii)</w:t>
            </w:r>
          </w:p>
        </w:tc>
        <w:tc>
          <w:tcPr>
            <w:tcW w:w="2704" w:type="pct"/>
            <w:vAlign w:val="center"/>
          </w:tcPr>
          <w:p w14:paraId="074D16DA" w14:textId="77777777" w:rsidR="00D53E6F" w:rsidRPr="00217D07" w:rsidRDefault="00D53E6F" w:rsidP="00E91144">
            <w:pPr>
              <w:numPr>
                <w:ilvl w:val="12"/>
                <w:numId w:val="0"/>
              </w:numPr>
              <w:tabs>
                <w:tab w:val="left" w:pos="0"/>
                <w:tab w:val="left" w:pos="720"/>
                <w:tab w:val="left" w:pos="1440"/>
                <w:tab w:val="left" w:pos="2160"/>
                <w:tab w:val="left" w:pos="2880"/>
                <w:tab w:val="left" w:pos="3600"/>
                <w:tab w:val="left" w:pos="4320"/>
                <w:tab w:val="left" w:pos="5040"/>
              </w:tabs>
              <w:spacing w:before="117" w:after="120" w:line="240" w:lineRule="auto"/>
              <w:rPr>
                <w:sz w:val="20"/>
              </w:rPr>
            </w:pPr>
            <w:r>
              <w:rPr>
                <w:sz w:val="20"/>
                <w:szCs w:val="20"/>
              </w:rPr>
              <w:t>T</w:t>
            </w:r>
            <w:r w:rsidRPr="00932CD6">
              <w:rPr>
                <w:sz w:val="20"/>
                <w:szCs w:val="20"/>
              </w:rPr>
              <w:t xml:space="preserve">he items required </w:t>
            </w:r>
            <w:r>
              <w:rPr>
                <w:sz w:val="20"/>
                <w:szCs w:val="20"/>
              </w:rPr>
              <w:t>by</w:t>
            </w:r>
            <w:r w:rsidRPr="00932CD6">
              <w:rPr>
                <w:sz w:val="20"/>
                <w:szCs w:val="20"/>
              </w:rPr>
              <w:t xml:space="preserve"> 10 CFR 50.109(c) and the required rationale </w:t>
            </w:r>
            <w:r>
              <w:rPr>
                <w:sz w:val="20"/>
                <w:szCs w:val="20"/>
              </w:rPr>
              <w:t>by</w:t>
            </w:r>
            <w:r w:rsidRPr="00932CD6">
              <w:rPr>
                <w:sz w:val="20"/>
                <w:szCs w:val="20"/>
              </w:rPr>
              <w:t xml:space="preserve"> 10 </w:t>
            </w:r>
            <w:r w:rsidRPr="006E7EA9">
              <w:rPr>
                <w:sz w:val="20"/>
                <w:szCs w:val="20"/>
              </w:rPr>
              <w:t>CFR 50</w:t>
            </w:r>
            <w:r w:rsidRPr="00932CD6">
              <w:rPr>
                <w:sz w:val="20"/>
                <w:szCs w:val="20"/>
              </w:rPr>
              <w:t>.109(a)(3)</w:t>
            </w:r>
            <w:r>
              <w:rPr>
                <w:sz w:val="20"/>
                <w:szCs w:val="20"/>
              </w:rPr>
              <w:t xml:space="preserve"> i</w:t>
            </w:r>
            <w:r w:rsidRPr="00217D07">
              <w:rPr>
                <w:sz w:val="20"/>
              </w:rPr>
              <w:t xml:space="preserve">f the action involves a power reactor backfit and </w:t>
            </w:r>
            <w:r>
              <w:rPr>
                <w:sz w:val="20"/>
              </w:rPr>
              <w:t xml:space="preserve">if </w:t>
            </w:r>
            <w:r w:rsidRPr="00217D07">
              <w:rPr>
                <w:sz w:val="20"/>
              </w:rPr>
              <w:t xml:space="preserve">the </w:t>
            </w:r>
            <w:r w:rsidRPr="00932CD6">
              <w:rPr>
                <w:sz w:val="20"/>
                <w:szCs w:val="20"/>
              </w:rPr>
              <w:t xml:space="preserve">exceptions </w:t>
            </w:r>
            <w:r>
              <w:rPr>
                <w:sz w:val="20"/>
                <w:szCs w:val="20"/>
              </w:rPr>
              <w:t>in</w:t>
            </w:r>
            <w:r w:rsidRPr="00932CD6">
              <w:rPr>
                <w:sz w:val="20"/>
                <w:szCs w:val="20"/>
              </w:rPr>
              <w:t xml:space="preserve"> 10 CFR 50.109(a)(4) </w:t>
            </w:r>
            <w:r>
              <w:rPr>
                <w:sz w:val="20"/>
                <w:szCs w:val="20"/>
              </w:rPr>
              <w:t>do</w:t>
            </w:r>
            <w:r w:rsidRPr="00932CD6">
              <w:rPr>
                <w:sz w:val="20"/>
                <w:szCs w:val="20"/>
              </w:rPr>
              <w:t xml:space="preserve"> not appl</w:t>
            </w:r>
            <w:r>
              <w:rPr>
                <w:sz w:val="20"/>
                <w:szCs w:val="20"/>
              </w:rPr>
              <w:t>y</w:t>
            </w:r>
          </w:p>
        </w:tc>
        <w:tc>
          <w:tcPr>
            <w:tcW w:w="1298" w:type="pct"/>
            <w:vAlign w:val="center"/>
          </w:tcPr>
          <w:p w14:paraId="33726CA2" w14:textId="77777777" w:rsidR="00D53E6F" w:rsidRPr="00217D07" w:rsidRDefault="00D53E6F" w:rsidP="00E91144">
            <w:pPr>
              <w:numPr>
                <w:ilvl w:val="12"/>
                <w:numId w:val="0"/>
              </w:numPr>
              <w:tabs>
                <w:tab w:val="left" w:pos="0"/>
                <w:tab w:val="left" w:pos="720"/>
                <w:tab w:val="left" w:pos="1440"/>
                <w:tab w:val="left" w:pos="2160"/>
                <w:tab w:val="left" w:pos="2880"/>
              </w:tabs>
              <w:spacing w:before="117" w:after="52" w:line="240" w:lineRule="auto"/>
              <w:rPr>
                <w:sz w:val="20"/>
              </w:rPr>
            </w:pPr>
            <w:r w:rsidRPr="00217D07">
              <w:rPr>
                <w:sz w:val="20"/>
              </w:rPr>
              <w:t>Backfit</w:t>
            </w:r>
            <w:r>
              <w:rPr>
                <w:sz w:val="20"/>
              </w:rPr>
              <w:t>ting and Issue Finality, Section XIII</w:t>
            </w:r>
            <w:r w:rsidRPr="00217D07">
              <w:rPr>
                <w:sz w:val="20"/>
              </w:rPr>
              <w:t xml:space="preserve">, </w:t>
            </w:r>
            <w:r w:rsidRPr="00217D07">
              <w:rPr>
                <w:i/>
                <w:sz w:val="20"/>
              </w:rPr>
              <w:t xml:space="preserve">Federal Register </w:t>
            </w:r>
            <w:r>
              <w:rPr>
                <w:sz w:val="20"/>
              </w:rPr>
              <w:t>n</w:t>
            </w:r>
            <w:r w:rsidRPr="000D3115">
              <w:rPr>
                <w:sz w:val="20"/>
              </w:rPr>
              <w:t>otice</w:t>
            </w:r>
            <w:r w:rsidRPr="00217D07">
              <w:rPr>
                <w:sz w:val="20"/>
              </w:rPr>
              <w:t xml:space="preserve"> for the </w:t>
            </w:r>
            <w:r>
              <w:rPr>
                <w:sz w:val="20"/>
              </w:rPr>
              <w:t>final</w:t>
            </w:r>
            <w:r w:rsidRPr="00217D07">
              <w:rPr>
                <w:sz w:val="20"/>
              </w:rPr>
              <w:t xml:space="preserve"> rule</w:t>
            </w:r>
          </w:p>
        </w:tc>
      </w:tr>
      <w:tr w:rsidR="00D53E6F" w:rsidRPr="00217D07" w14:paraId="6047BB4F" w14:textId="77777777" w:rsidTr="004A7B59">
        <w:trPr>
          <w:cantSplit/>
        </w:trPr>
        <w:tc>
          <w:tcPr>
            <w:tcW w:w="998" w:type="pct"/>
            <w:vAlign w:val="center"/>
          </w:tcPr>
          <w:p w14:paraId="69F466A1" w14:textId="77777777" w:rsidR="00D53E6F" w:rsidRPr="00217D07" w:rsidRDefault="00D53E6F" w:rsidP="00E91144">
            <w:pPr>
              <w:numPr>
                <w:ilvl w:val="12"/>
                <w:numId w:val="0"/>
              </w:numPr>
              <w:tabs>
                <w:tab w:val="left" w:pos="0"/>
                <w:tab w:val="left" w:pos="720"/>
              </w:tabs>
              <w:spacing w:before="117" w:after="52" w:line="240" w:lineRule="auto"/>
              <w:rPr>
                <w:sz w:val="20"/>
              </w:rPr>
            </w:pPr>
            <w:r>
              <w:rPr>
                <w:sz w:val="20"/>
              </w:rPr>
              <w:t xml:space="preserve">Section </w:t>
            </w:r>
            <w:r w:rsidRPr="00217D07">
              <w:rPr>
                <w:sz w:val="20"/>
              </w:rPr>
              <w:t>III</w:t>
            </w:r>
          </w:p>
        </w:tc>
        <w:tc>
          <w:tcPr>
            <w:tcW w:w="2704" w:type="pct"/>
            <w:vAlign w:val="center"/>
          </w:tcPr>
          <w:p w14:paraId="60122626" w14:textId="77777777" w:rsidR="00D53E6F" w:rsidRPr="00217D07" w:rsidRDefault="00D53E6F" w:rsidP="00E91144">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217D07">
              <w:rPr>
                <w:sz w:val="20"/>
              </w:rPr>
              <w:t>For generic relaxations or decreases in current requirements or staff positions, a determination</w:t>
            </w:r>
            <w:r>
              <w:rPr>
                <w:sz w:val="20"/>
              </w:rPr>
              <w:t xml:space="preserve"> and associated</w:t>
            </w:r>
            <w:r w:rsidRPr="00217D07">
              <w:rPr>
                <w:sz w:val="20"/>
              </w:rPr>
              <w:t xml:space="preserve"> rationale that (</w:t>
            </w:r>
            <w:r>
              <w:rPr>
                <w:sz w:val="20"/>
              </w:rPr>
              <w:t>1</w:t>
            </w:r>
            <w:r w:rsidRPr="00217D07">
              <w:rPr>
                <w:sz w:val="20"/>
              </w:rPr>
              <w:t>)</w:t>
            </w:r>
            <w:r>
              <w:rPr>
                <w:sz w:val="20"/>
              </w:rPr>
              <w:t> </w:t>
            </w:r>
            <w:r w:rsidRPr="00217D07">
              <w:rPr>
                <w:sz w:val="20"/>
              </w:rPr>
              <w:t>public health and safety and the common defense and security would be adequately protected if the relaxations were implemented and (</w:t>
            </w:r>
            <w:r>
              <w:rPr>
                <w:sz w:val="20"/>
              </w:rPr>
              <w:t>2</w:t>
            </w:r>
            <w:r w:rsidRPr="00217D07">
              <w:rPr>
                <w:sz w:val="20"/>
              </w:rPr>
              <w:t>)</w:t>
            </w:r>
            <w:r>
              <w:rPr>
                <w:sz w:val="20"/>
              </w:rPr>
              <w:t> </w:t>
            </w:r>
            <w:r w:rsidRPr="00217D07">
              <w:rPr>
                <w:sz w:val="20"/>
              </w:rPr>
              <w:t> the cost savings attributed to each action would be significant enough to justify the action</w:t>
            </w:r>
          </w:p>
        </w:tc>
        <w:tc>
          <w:tcPr>
            <w:tcW w:w="1298" w:type="pct"/>
            <w:vAlign w:val="center"/>
          </w:tcPr>
          <w:p w14:paraId="334E5CB8" w14:textId="77777777" w:rsidR="00D53E6F" w:rsidRPr="00217D07" w:rsidRDefault="00D53E6F" w:rsidP="00E91144">
            <w:pPr>
              <w:numPr>
                <w:ilvl w:val="12"/>
                <w:numId w:val="0"/>
              </w:numPr>
              <w:tabs>
                <w:tab w:val="left" w:pos="0"/>
                <w:tab w:val="left" w:pos="720"/>
                <w:tab w:val="left" w:pos="1440"/>
                <w:tab w:val="left" w:pos="2160"/>
                <w:tab w:val="left" w:pos="2880"/>
              </w:tabs>
              <w:spacing w:before="117" w:after="52" w:line="240" w:lineRule="auto"/>
              <w:rPr>
                <w:sz w:val="20"/>
              </w:rPr>
            </w:pPr>
            <w:r w:rsidRPr="00217D07">
              <w:rPr>
                <w:i/>
                <w:sz w:val="20"/>
              </w:rPr>
              <w:t>Federal Register</w:t>
            </w:r>
            <w:r w:rsidRPr="00217D07">
              <w:rPr>
                <w:sz w:val="20"/>
              </w:rPr>
              <w:t xml:space="preserve"> notice for the </w:t>
            </w:r>
            <w:r>
              <w:rPr>
                <w:sz w:val="20"/>
              </w:rPr>
              <w:t>final</w:t>
            </w:r>
            <w:r w:rsidRPr="00217D07">
              <w:rPr>
                <w:sz w:val="20"/>
              </w:rPr>
              <w:t xml:space="preserve"> rule</w:t>
            </w:r>
          </w:p>
        </w:tc>
      </w:tr>
      <w:tr w:rsidR="00D53E6F" w:rsidRPr="005A5966" w14:paraId="5240D5EC" w14:textId="77777777" w:rsidTr="004A7B59">
        <w:trPr>
          <w:cantSplit/>
          <w:trHeight w:val="737"/>
        </w:trPr>
        <w:tc>
          <w:tcPr>
            <w:tcW w:w="998" w:type="pct"/>
            <w:vAlign w:val="center"/>
          </w:tcPr>
          <w:p w14:paraId="3AE9B5F1" w14:textId="77777777" w:rsidR="00D53E6F" w:rsidRPr="00217D07" w:rsidRDefault="00D53E6F" w:rsidP="00E91144">
            <w:pPr>
              <w:numPr>
                <w:ilvl w:val="12"/>
                <w:numId w:val="0"/>
              </w:numPr>
              <w:tabs>
                <w:tab w:val="left" w:pos="0"/>
                <w:tab w:val="left" w:pos="720"/>
              </w:tabs>
              <w:spacing w:before="117" w:after="52" w:line="240" w:lineRule="auto"/>
              <w:rPr>
                <w:sz w:val="20"/>
              </w:rPr>
            </w:pPr>
            <w:r w:rsidRPr="00217D07">
              <w:rPr>
                <w:sz w:val="20"/>
              </w:rPr>
              <w:t xml:space="preserve">Appendix </w:t>
            </w:r>
            <w:r>
              <w:rPr>
                <w:sz w:val="20"/>
              </w:rPr>
              <w:t>B</w:t>
            </w:r>
            <w:r w:rsidRPr="00217D07">
              <w:rPr>
                <w:sz w:val="20"/>
              </w:rPr>
              <w:t>, (xi)</w:t>
            </w:r>
          </w:p>
        </w:tc>
        <w:tc>
          <w:tcPr>
            <w:tcW w:w="2704" w:type="pct"/>
            <w:vAlign w:val="center"/>
          </w:tcPr>
          <w:p w14:paraId="32F5BC23" w14:textId="77777777" w:rsidR="00D53E6F" w:rsidRPr="00217D07" w:rsidRDefault="00D53E6F" w:rsidP="00E91144">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Pr>
                <w:sz w:val="20"/>
              </w:rPr>
              <w:t>A</w:t>
            </w:r>
            <w:r w:rsidRPr="00217D07">
              <w:rPr>
                <w:sz w:val="20"/>
              </w:rPr>
              <w:t>n assessment of how the action relates to the Commission’</w:t>
            </w:r>
            <w:r>
              <w:rPr>
                <w:sz w:val="20"/>
              </w:rPr>
              <w:t>s Safety Goal Policy Statement (NRC 1986)</w:t>
            </w:r>
          </w:p>
        </w:tc>
        <w:tc>
          <w:tcPr>
            <w:tcW w:w="1298" w:type="pct"/>
            <w:vAlign w:val="center"/>
          </w:tcPr>
          <w:p w14:paraId="183F5F89" w14:textId="77777777" w:rsidR="00D53E6F" w:rsidRPr="00701584" w:rsidRDefault="00D53E6F" w:rsidP="00E91144">
            <w:pPr>
              <w:numPr>
                <w:ilvl w:val="12"/>
                <w:numId w:val="0"/>
              </w:numPr>
              <w:tabs>
                <w:tab w:val="left" w:pos="0"/>
                <w:tab w:val="left" w:pos="720"/>
                <w:tab w:val="left" w:pos="1440"/>
                <w:tab w:val="left" w:pos="2160"/>
                <w:tab w:val="left" w:pos="2880"/>
              </w:tabs>
              <w:spacing w:before="117" w:after="52" w:line="240" w:lineRule="auto"/>
              <w:rPr>
                <w:sz w:val="20"/>
              </w:rPr>
            </w:pPr>
            <w:r w:rsidRPr="00217D07">
              <w:rPr>
                <w:sz w:val="20"/>
              </w:rPr>
              <w:t>Regulatory Analysis, Section 5.16</w:t>
            </w:r>
          </w:p>
        </w:tc>
      </w:tr>
    </w:tbl>
    <w:p w14:paraId="1C5B9FB2" w14:textId="0F271F96" w:rsidR="00D53E6F" w:rsidRPr="004A7B59" w:rsidRDefault="00D53E6F" w:rsidP="00373E67">
      <w:pPr>
        <w:spacing w:line="240" w:lineRule="auto"/>
        <w:ind w:left="360" w:hanging="360"/>
        <w:rPr>
          <w:sz w:val="20"/>
        </w:rPr>
      </w:pPr>
      <w:r w:rsidRPr="004A7B59">
        <w:rPr>
          <w:sz w:val="20"/>
          <w:vertAlign w:val="superscript"/>
        </w:rPr>
        <w:t>a</w:t>
      </w:r>
      <w:r w:rsidR="00A53A82">
        <w:rPr>
          <w:sz w:val="20"/>
        </w:rPr>
        <w:tab/>
      </w:r>
      <w:r w:rsidRPr="004A7B59">
        <w:rPr>
          <w:sz w:val="20"/>
        </w:rPr>
        <w:t>The CRGR Charter cites these portions of the CRGR Procedures and Internal Administrative Process</w:t>
      </w:r>
      <w:r w:rsidR="002A2F88">
        <w:rPr>
          <w:sz w:val="20"/>
        </w:rPr>
        <w:t>.</w:t>
      </w:r>
    </w:p>
    <w:p w14:paraId="020A24CB" w14:textId="77777777" w:rsidR="00D53E6F" w:rsidRPr="004A7B59" w:rsidRDefault="00D53E6F" w:rsidP="00D53E6F">
      <w:pPr>
        <w:spacing w:line="240" w:lineRule="auto"/>
      </w:pPr>
    </w:p>
    <w:p w14:paraId="5A322AE7" w14:textId="77777777" w:rsidR="00D53E6F" w:rsidRPr="00E1256C" w:rsidRDefault="00D53E6F" w:rsidP="00D53E6F">
      <w:pPr>
        <w:pStyle w:val="Heading1"/>
        <w:keepLines w:val="0"/>
        <w:numPr>
          <w:ilvl w:val="0"/>
          <w:numId w:val="10"/>
        </w:numPr>
        <w:spacing w:before="0" w:line="240" w:lineRule="auto"/>
        <w:ind w:left="360"/>
      </w:pPr>
      <w:bookmarkStart w:id="442" w:name="_Toc456098363"/>
      <w:bookmarkStart w:id="443" w:name="_Toc457827376"/>
      <w:bookmarkStart w:id="444" w:name="_Toc12808907"/>
      <w:r w:rsidRPr="00E1256C">
        <w:t>Decision Rationale</w:t>
      </w:r>
      <w:bookmarkEnd w:id="442"/>
      <w:bookmarkEnd w:id="443"/>
      <w:bookmarkEnd w:id="444"/>
    </w:p>
    <w:p w14:paraId="51A4D1BC" w14:textId="77777777" w:rsidR="00D53E6F" w:rsidRPr="004D2B90" w:rsidRDefault="00D53E6F" w:rsidP="00D53E6F">
      <w:pPr>
        <w:keepNext/>
        <w:spacing w:line="240" w:lineRule="auto"/>
      </w:pPr>
    </w:p>
    <w:p w14:paraId="3B0F06C5" w14:textId="44657E99" w:rsidR="00D53E6F" w:rsidRPr="004D2B90" w:rsidRDefault="00D53E6F" w:rsidP="00D53E6F">
      <w:pPr>
        <w:spacing w:line="240" w:lineRule="auto"/>
      </w:pPr>
      <w:r w:rsidRPr="00A344AE">
        <w:fldChar w:fldCharType="begin"/>
      </w:r>
      <w:r w:rsidRPr="00A344AE">
        <w:instrText xml:space="preserve"> REF _Ref393461649 \h </w:instrText>
      </w:r>
      <w:r w:rsidRPr="007D3436">
        <w:rPr>
          <w:b/>
        </w:rPr>
        <w:instrText xml:space="preserve"> \* MERGEFORMAT </w:instrText>
      </w:r>
      <w:r w:rsidRPr="00A344AE">
        <w:fldChar w:fldCharType="separate"/>
      </w:r>
      <w:r w:rsidR="00F05D99" w:rsidRPr="00F05D99">
        <w:t>Table 24</w:t>
      </w:r>
      <w:r w:rsidRPr="00A344AE">
        <w:fldChar w:fldCharType="end"/>
      </w:r>
      <w:r w:rsidRPr="00A344AE">
        <w:t xml:space="preserve"> pro</w:t>
      </w:r>
      <w:r w:rsidRPr="004D2B90">
        <w:t xml:space="preserve">vides the quantified and qualified costs and benefits for </w:t>
      </w:r>
      <w:r>
        <w:t>Alternative 2</w:t>
      </w:r>
      <w:r w:rsidRPr="004D2B90">
        <w:t xml:space="preserve">.  </w:t>
      </w:r>
      <w:r>
        <w:t>T</w:t>
      </w:r>
      <w:r w:rsidRPr="004D2B90">
        <w:t>he quantitative analysis</w:t>
      </w:r>
      <w:r>
        <w:t xml:space="preserve"> used</w:t>
      </w:r>
      <w:r w:rsidRPr="004D2B90">
        <w:t xml:space="preserve"> best</w:t>
      </w:r>
      <w:r>
        <w:noBreakHyphen/>
      </w:r>
      <w:r w:rsidRPr="004D2B90">
        <w:t>estimate values.</w:t>
      </w:r>
    </w:p>
    <w:p w14:paraId="4A837581" w14:textId="77777777" w:rsidR="00D53E6F" w:rsidRPr="004D2B90" w:rsidRDefault="00D53E6F" w:rsidP="00D53E6F">
      <w:pPr>
        <w:spacing w:line="240" w:lineRule="auto"/>
      </w:pPr>
    </w:p>
    <w:p w14:paraId="303FA9B6" w14:textId="65D9476E" w:rsidR="00D53E6F" w:rsidRPr="00C80453" w:rsidRDefault="00D53E6F" w:rsidP="00D53E6F">
      <w:pPr>
        <w:pStyle w:val="Caption"/>
        <w:spacing w:line="240" w:lineRule="auto"/>
        <w:ind w:left="1080" w:hanging="1080"/>
        <w:jc w:val="center"/>
        <w:rPr>
          <w:b/>
        </w:rPr>
      </w:pPr>
      <w:bookmarkStart w:id="445" w:name="_Ref393461649"/>
      <w:bookmarkStart w:id="446" w:name="_Toc393790948"/>
      <w:bookmarkStart w:id="447" w:name="_Toc393791082"/>
      <w:bookmarkStart w:id="448" w:name="_Toc454442510"/>
      <w:bookmarkStart w:id="449" w:name="_Toc457827430"/>
      <w:bookmarkStart w:id="450" w:name="_Toc9428153"/>
      <w:r w:rsidRPr="00C80453">
        <w:rPr>
          <w:b/>
        </w:rPr>
        <w:t>Table </w:t>
      </w:r>
      <w:r w:rsidRPr="00C80453">
        <w:rPr>
          <w:b/>
          <w:noProof/>
        </w:rPr>
        <w:fldChar w:fldCharType="begin"/>
      </w:r>
      <w:r w:rsidRPr="00C80453">
        <w:rPr>
          <w:b/>
          <w:noProof/>
        </w:rPr>
        <w:instrText xml:space="preserve"> SEQ Table \* ARABIC </w:instrText>
      </w:r>
      <w:r w:rsidRPr="00C80453">
        <w:rPr>
          <w:b/>
          <w:noProof/>
        </w:rPr>
        <w:fldChar w:fldCharType="separate"/>
      </w:r>
      <w:r w:rsidR="00F05D99">
        <w:rPr>
          <w:b/>
          <w:noProof/>
        </w:rPr>
        <w:t>24</w:t>
      </w:r>
      <w:r w:rsidRPr="00C80453">
        <w:rPr>
          <w:b/>
          <w:noProof/>
        </w:rPr>
        <w:fldChar w:fldCharType="end"/>
      </w:r>
      <w:bookmarkEnd w:id="445"/>
      <w:r w:rsidRPr="00C80453">
        <w:rPr>
          <w:b/>
        </w:rPr>
        <w:t xml:space="preserve">  Summary of Totals</w:t>
      </w:r>
      <w:bookmarkEnd w:id="446"/>
      <w:bookmarkEnd w:id="447"/>
      <w:bookmarkEnd w:id="448"/>
      <w:bookmarkEnd w:id="449"/>
      <w:bookmarkEnd w:id="45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788"/>
        <w:gridCol w:w="4788"/>
      </w:tblGrid>
      <w:tr w:rsidR="00D53E6F" w:rsidRPr="001C57C6" w14:paraId="423339E5" w14:textId="77777777" w:rsidTr="004A7B59">
        <w:trPr>
          <w:tblHeader/>
        </w:trPr>
        <w:tc>
          <w:tcPr>
            <w:tcW w:w="4788" w:type="dxa"/>
            <w:vAlign w:val="center"/>
          </w:tcPr>
          <w:p w14:paraId="155E6869" w14:textId="77777777" w:rsidR="00D53E6F" w:rsidRPr="004A7B59" w:rsidRDefault="00D53E6F" w:rsidP="00E91144">
            <w:pPr>
              <w:keepNext/>
              <w:spacing w:line="240" w:lineRule="auto"/>
              <w:jc w:val="center"/>
              <w:rPr>
                <w:b/>
                <w:sz w:val="20"/>
                <w:szCs w:val="20"/>
              </w:rPr>
            </w:pPr>
            <w:r w:rsidRPr="004A7B59">
              <w:rPr>
                <w:b/>
                <w:sz w:val="20"/>
                <w:szCs w:val="20"/>
              </w:rPr>
              <w:t>Net Monetary Savings or (Costs)</w:t>
            </w:r>
            <w:r w:rsidRPr="004A7B59">
              <w:rPr>
                <w:b/>
                <w:sz w:val="20"/>
                <w:szCs w:val="20"/>
              </w:rPr>
              <w:br/>
              <w:t>Total Present Value</w:t>
            </w:r>
          </w:p>
        </w:tc>
        <w:tc>
          <w:tcPr>
            <w:tcW w:w="4788" w:type="dxa"/>
            <w:vAlign w:val="center"/>
          </w:tcPr>
          <w:p w14:paraId="61D84DF2" w14:textId="77777777" w:rsidR="00D53E6F" w:rsidRPr="004A7B59" w:rsidRDefault="00D53E6F" w:rsidP="00E91144">
            <w:pPr>
              <w:keepNext/>
              <w:spacing w:line="240" w:lineRule="auto"/>
              <w:jc w:val="center"/>
              <w:rPr>
                <w:b/>
                <w:sz w:val="20"/>
                <w:szCs w:val="20"/>
              </w:rPr>
            </w:pPr>
            <w:r w:rsidRPr="004A7B59">
              <w:rPr>
                <w:b/>
                <w:sz w:val="20"/>
                <w:szCs w:val="20"/>
              </w:rPr>
              <w:t>Nonquantified Benefits or (Costs)</w:t>
            </w:r>
          </w:p>
        </w:tc>
      </w:tr>
      <w:tr w:rsidR="00D53E6F" w14:paraId="46E454CD" w14:textId="77777777" w:rsidTr="004A7B59">
        <w:tc>
          <w:tcPr>
            <w:tcW w:w="4788" w:type="dxa"/>
            <w:vAlign w:val="center"/>
          </w:tcPr>
          <w:p w14:paraId="4240DF22" w14:textId="77777777" w:rsidR="00D53E6F" w:rsidRPr="004A7B59" w:rsidRDefault="00D53E6F" w:rsidP="00E91144">
            <w:pPr>
              <w:keepNext/>
              <w:spacing w:line="240" w:lineRule="auto"/>
              <w:rPr>
                <w:sz w:val="20"/>
                <w:szCs w:val="20"/>
              </w:rPr>
            </w:pPr>
            <w:r w:rsidRPr="004A7B59">
              <w:rPr>
                <w:b/>
                <w:sz w:val="20"/>
                <w:szCs w:val="20"/>
              </w:rPr>
              <w:t>Alternative 1:</w:t>
            </w:r>
            <w:r w:rsidRPr="004A7B59">
              <w:rPr>
                <w:sz w:val="20"/>
                <w:szCs w:val="20"/>
              </w:rPr>
              <w:t xml:space="preserve">  No Action</w:t>
            </w:r>
          </w:p>
          <w:p w14:paraId="4DBCE621" w14:textId="77777777" w:rsidR="00D53E6F" w:rsidRPr="004A7B59" w:rsidRDefault="00D53E6F" w:rsidP="00E91144">
            <w:pPr>
              <w:keepNext/>
              <w:spacing w:line="240" w:lineRule="auto"/>
              <w:rPr>
                <w:sz w:val="20"/>
                <w:szCs w:val="20"/>
              </w:rPr>
            </w:pPr>
            <w:r w:rsidRPr="004A7B59">
              <w:rPr>
                <w:sz w:val="20"/>
                <w:szCs w:val="20"/>
              </w:rPr>
              <w:t>$0</w:t>
            </w:r>
          </w:p>
        </w:tc>
        <w:tc>
          <w:tcPr>
            <w:tcW w:w="4788" w:type="dxa"/>
            <w:vAlign w:val="center"/>
          </w:tcPr>
          <w:p w14:paraId="2F7C1953" w14:textId="77777777" w:rsidR="00D53E6F" w:rsidRPr="004A7B59" w:rsidRDefault="00D53E6F" w:rsidP="00E91144">
            <w:pPr>
              <w:keepNext/>
              <w:spacing w:line="240" w:lineRule="auto"/>
              <w:rPr>
                <w:sz w:val="20"/>
                <w:szCs w:val="20"/>
              </w:rPr>
            </w:pPr>
            <w:r w:rsidRPr="004A7B59">
              <w:rPr>
                <w:sz w:val="20"/>
                <w:szCs w:val="20"/>
              </w:rPr>
              <w:t>None</w:t>
            </w:r>
          </w:p>
        </w:tc>
      </w:tr>
      <w:tr w:rsidR="00D53E6F" w:rsidRPr="005E7100" w14:paraId="1143D7A3" w14:textId="77777777" w:rsidTr="004A7B59">
        <w:tc>
          <w:tcPr>
            <w:tcW w:w="4788" w:type="dxa"/>
            <w:vAlign w:val="center"/>
          </w:tcPr>
          <w:p w14:paraId="40961989" w14:textId="77777777" w:rsidR="00D53E6F" w:rsidRPr="004A7B59" w:rsidRDefault="00D53E6F" w:rsidP="00E91144">
            <w:pPr>
              <w:spacing w:line="240" w:lineRule="auto"/>
              <w:rPr>
                <w:sz w:val="20"/>
                <w:szCs w:val="20"/>
              </w:rPr>
            </w:pPr>
            <w:r w:rsidRPr="004A7B59">
              <w:rPr>
                <w:b/>
                <w:sz w:val="20"/>
                <w:szCs w:val="20"/>
              </w:rPr>
              <w:t xml:space="preserve">Alternative 2:  </w:t>
            </w:r>
            <w:r w:rsidRPr="004A7B59">
              <w:rPr>
                <w:sz w:val="20"/>
                <w:szCs w:val="20"/>
              </w:rPr>
              <w:t>Incorporate by reference RG 1.84, Revision 38; RG 1.147, Revision 19; and RG 1.192, Revision 3</w:t>
            </w:r>
          </w:p>
          <w:p w14:paraId="595E672C" w14:textId="77777777" w:rsidR="00D53E6F" w:rsidRPr="004A7B59" w:rsidRDefault="00D53E6F" w:rsidP="00E91144">
            <w:pPr>
              <w:spacing w:line="240" w:lineRule="auto"/>
              <w:rPr>
                <w:sz w:val="20"/>
                <w:szCs w:val="20"/>
              </w:rPr>
            </w:pPr>
          </w:p>
          <w:p w14:paraId="15A8EAFD" w14:textId="77777777" w:rsidR="00D53E6F" w:rsidRPr="004A7B59" w:rsidRDefault="00D53E6F" w:rsidP="00E91144">
            <w:pPr>
              <w:spacing w:line="240" w:lineRule="auto"/>
              <w:rPr>
                <w:sz w:val="20"/>
                <w:szCs w:val="20"/>
              </w:rPr>
            </w:pPr>
            <w:r w:rsidRPr="004A7B59">
              <w:rPr>
                <w:sz w:val="20"/>
                <w:szCs w:val="20"/>
              </w:rPr>
              <w:t>Industry:  (all provisions)</w:t>
            </w:r>
          </w:p>
          <w:p w14:paraId="0C4BA3E3" w14:textId="23EE6DDD" w:rsidR="00D53E6F" w:rsidRPr="004A7B59" w:rsidRDefault="00D53E6F" w:rsidP="00E91144">
            <w:pPr>
              <w:spacing w:line="240" w:lineRule="auto"/>
              <w:rPr>
                <w:sz w:val="20"/>
                <w:szCs w:val="20"/>
              </w:rPr>
            </w:pPr>
            <w:r w:rsidRPr="004A7B59">
              <w:rPr>
                <w:sz w:val="20"/>
                <w:szCs w:val="20"/>
              </w:rPr>
              <w:t>$4.4</w:t>
            </w:r>
            <w:r w:rsidR="00B75F34">
              <w:rPr>
                <w:sz w:val="20"/>
                <w:szCs w:val="20"/>
              </w:rPr>
              <w:t>7</w:t>
            </w:r>
            <w:r w:rsidRPr="004A7B59">
              <w:rPr>
                <w:sz w:val="20"/>
                <w:szCs w:val="20"/>
              </w:rPr>
              <w:t> million using a 7% discount rate</w:t>
            </w:r>
          </w:p>
          <w:p w14:paraId="4CDAE2E0" w14:textId="635E850A" w:rsidR="00D53E6F" w:rsidRPr="004A7B59" w:rsidRDefault="00D53E6F" w:rsidP="00E91144">
            <w:pPr>
              <w:spacing w:line="240" w:lineRule="auto"/>
              <w:rPr>
                <w:sz w:val="20"/>
                <w:szCs w:val="20"/>
              </w:rPr>
            </w:pPr>
            <w:r w:rsidRPr="004A7B59">
              <w:rPr>
                <w:sz w:val="20"/>
                <w:szCs w:val="20"/>
              </w:rPr>
              <w:t>$5.0</w:t>
            </w:r>
            <w:r w:rsidR="00B75F34">
              <w:rPr>
                <w:sz w:val="20"/>
                <w:szCs w:val="20"/>
              </w:rPr>
              <w:t>8</w:t>
            </w:r>
            <w:r w:rsidRPr="004A7B59">
              <w:rPr>
                <w:sz w:val="20"/>
                <w:szCs w:val="20"/>
              </w:rPr>
              <w:t> million using a 3% discount rate</w:t>
            </w:r>
          </w:p>
          <w:p w14:paraId="043E9A0C" w14:textId="77777777" w:rsidR="00D53E6F" w:rsidRPr="004A7B59" w:rsidRDefault="00D53E6F" w:rsidP="00E91144">
            <w:pPr>
              <w:spacing w:line="240" w:lineRule="auto"/>
              <w:rPr>
                <w:sz w:val="20"/>
                <w:szCs w:val="20"/>
              </w:rPr>
            </w:pPr>
          </w:p>
          <w:p w14:paraId="70A87CB2" w14:textId="77777777" w:rsidR="00D53E6F" w:rsidRPr="004A7B59" w:rsidRDefault="00D53E6F" w:rsidP="00E91144">
            <w:pPr>
              <w:spacing w:line="240" w:lineRule="auto"/>
              <w:rPr>
                <w:sz w:val="20"/>
                <w:szCs w:val="20"/>
              </w:rPr>
            </w:pPr>
            <w:r w:rsidRPr="004A7B59">
              <w:rPr>
                <w:sz w:val="20"/>
                <w:szCs w:val="20"/>
              </w:rPr>
              <w:t>NRC:  (all provisions)</w:t>
            </w:r>
          </w:p>
          <w:p w14:paraId="0AC4BDAA" w14:textId="77777777" w:rsidR="00D53E6F" w:rsidRPr="004A7B59" w:rsidRDefault="00D53E6F" w:rsidP="00E91144">
            <w:pPr>
              <w:spacing w:line="240" w:lineRule="auto"/>
              <w:rPr>
                <w:sz w:val="20"/>
                <w:szCs w:val="20"/>
              </w:rPr>
            </w:pPr>
            <w:r w:rsidRPr="004A7B59">
              <w:rPr>
                <w:sz w:val="20"/>
                <w:szCs w:val="20"/>
              </w:rPr>
              <w:t>$1.87 million using a 7% discount rate</w:t>
            </w:r>
          </w:p>
          <w:p w14:paraId="38ACE61E" w14:textId="77777777" w:rsidR="00D53E6F" w:rsidRPr="004A7B59" w:rsidRDefault="00D53E6F" w:rsidP="00E91144">
            <w:pPr>
              <w:spacing w:line="240" w:lineRule="auto"/>
              <w:rPr>
                <w:sz w:val="20"/>
                <w:szCs w:val="20"/>
              </w:rPr>
            </w:pPr>
            <w:r w:rsidRPr="004A7B59">
              <w:rPr>
                <w:sz w:val="20"/>
                <w:szCs w:val="20"/>
              </w:rPr>
              <w:t>$2.12 million using a 3% discount rate</w:t>
            </w:r>
          </w:p>
          <w:p w14:paraId="5C04F20D" w14:textId="77777777" w:rsidR="00D53E6F" w:rsidRPr="004A7B59" w:rsidRDefault="00D53E6F" w:rsidP="00E91144">
            <w:pPr>
              <w:spacing w:line="240" w:lineRule="auto"/>
              <w:rPr>
                <w:sz w:val="20"/>
                <w:szCs w:val="20"/>
              </w:rPr>
            </w:pPr>
          </w:p>
          <w:p w14:paraId="44C6BECE" w14:textId="77777777" w:rsidR="00D53E6F" w:rsidRPr="004A7B59" w:rsidRDefault="00D53E6F" w:rsidP="00E91144">
            <w:pPr>
              <w:spacing w:line="240" w:lineRule="auto"/>
              <w:rPr>
                <w:sz w:val="20"/>
                <w:szCs w:val="20"/>
              </w:rPr>
            </w:pPr>
            <w:r w:rsidRPr="004A7B59">
              <w:rPr>
                <w:sz w:val="20"/>
                <w:szCs w:val="20"/>
              </w:rPr>
              <w:t>Net Benefit (Cost):  (all provisions)</w:t>
            </w:r>
          </w:p>
          <w:p w14:paraId="1792B5C3" w14:textId="5CAF10B8" w:rsidR="00D53E6F" w:rsidRPr="004A7B59" w:rsidRDefault="00D53E6F" w:rsidP="00E91144">
            <w:pPr>
              <w:spacing w:line="240" w:lineRule="auto"/>
              <w:rPr>
                <w:sz w:val="20"/>
                <w:szCs w:val="20"/>
              </w:rPr>
            </w:pPr>
            <w:r w:rsidRPr="004A7B59">
              <w:rPr>
                <w:sz w:val="20"/>
                <w:szCs w:val="20"/>
              </w:rPr>
              <w:t>$6.3</w:t>
            </w:r>
            <w:r w:rsidR="00B75F34">
              <w:rPr>
                <w:sz w:val="20"/>
                <w:szCs w:val="20"/>
              </w:rPr>
              <w:t>4</w:t>
            </w:r>
            <w:r w:rsidRPr="004A7B59">
              <w:rPr>
                <w:sz w:val="20"/>
                <w:szCs w:val="20"/>
              </w:rPr>
              <w:t> million using a 7% discount rate</w:t>
            </w:r>
          </w:p>
          <w:p w14:paraId="32646F7D" w14:textId="736D941A" w:rsidR="00D53E6F" w:rsidRPr="004A7B59" w:rsidRDefault="00D53E6F" w:rsidP="00B75F34">
            <w:pPr>
              <w:spacing w:line="240" w:lineRule="auto"/>
              <w:rPr>
                <w:sz w:val="20"/>
                <w:szCs w:val="20"/>
              </w:rPr>
            </w:pPr>
            <w:r w:rsidRPr="004A7B59">
              <w:rPr>
                <w:sz w:val="20"/>
                <w:szCs w:val="20"/>
              </w:rPr>
              <w:t>$7.</w:t>
            </w:r>
            <w:r w:rsidR="00B75F34">
              <w:rPr>
                <w:sz w:val="20"/>
                <w:szCs w:val="20"/>
              </w:rPr>
              <w:t>20</w:t>
            </w:r>
            <w:r w:rsidRPr="004A7B59">
              <w:rPr>
                <w:sz w:val="20"/>
                <w:szCs w:val="20"/>
              </w:rPr>
              <w:t> million using a 3% discount rate</w:t>
            </w:r>
          </w:p>
        </w:tc>
        <w:tc>
          <w:tcPr>
            <w:tcW w:w="4788" w:type="dxa"/>
            <w:vAlign w:val="center"/>
          </w:tcPr>
          <w:p w14:paraId="5215EC12" w14:textId="77777777" w:rsidR="00D53E6F" w:rsidRPr="004A7B59" w:rsidRDefault="00D53E6F" w:rsidP="00E91144">
            <w:pPr>
              <w:spacing w:line="240" w:lineRule="auto"/>
              <w:rPr>
                <w:sz w:val="20"/>
                <w:szCs w:val="20"/>
              </w:rPr>
            </w:pPr>
            <w:r w:rsidRPr="004A7B59">
              <w:rPr>
                <w:sz w:val="20"/>
                <w:szCs w:val="20"/>
              </w:rPr>
              <w:t>Benefits:</w:t>
            </w:r>
          </w:p>
          <w:p w14:paraId="2E0E4A54" w14:textId="77777777" w:rsidR="00D53E6F" w:rsidRPr="004A7B59" w:rsidRDefault="00D53E6F" w:rsidP="00E91144">
            <w:pPr>
              <w:pStyle w:val="ListParagraph"/>
              <w:widowControl w:val="0"/>
              <w:numPr>
                <w:ilvl w:val="0"/>
                <w:numId w:val="5"/>
              </w:numPr>
              <w:spacing w:line="240" w:lineRule="auto"/>
              <w:ind w:left="360"/>
              <w:contextualSpacing w:val="0"/>
              <w:rPr>
                <w:sz w:val="20"/>
                <w:szCs w:val="20"/>
              </w:rPr>
            </w:pPr>
            <w:r w:rsidRPr="004A7B59">
              <w:rPr>
                <w:b/>
                <w:sz w:val="20"/>
                <w:szCs w:val="20"/>
              </w:rPr>
              <w:t xml:space="preserve">Advances in ISI and IST:  </w:t>
            </w:r>
            <w:r w:rsidRPr="004A7B59">
              <w:rPr>
                <w:sz w:val="20"/>
                <w:szCs w:val="20"/>
              </w:rPr>
              <w:t>This may incrementally decrease the likelihood of a radiological accident, the likelihood of postaccident plant worker exposure, and the level of plant worker radiological exposures during routine inspections or testing.</w:t>
            </w:r>
          </w:p>
          <w:p w14:paraId="75463F8B" w14:textId="77777777" w:rsidR="00D53E6F" w:rsidRPr="004A7B59" w:rsidRDefault="00D53E6F" w:rsidP="00E91144">
            <w:pPr>
              <w:pStyle w:val="ListParagraph"/>
              <w:numPr>
                <w:ilvl w:val="0"/>
                <w:numId w:val="5"/>
              </w:numPr>
              <w:spacing w:before="220" w:line="240" w:lineRule="auto"/>
              <w:ind w:left="361"/>
              <w:contextualSpacing w:val="0"/>
              <w:rPr>
                <w:sz w:val="20"/>
                <w:szCs w:val="20"/>
              </w:rPr>
            </w:pPr>
            <w:r w:rsidRPr="004A7B59">
              <w:rPr>
                <w:b/>
                <w:sz w:val="20"/>
                <w:szCs w:val="20"/>
              </w:rPr>
              <w:t xml:space="preserve">Public Health (Accident):  </w:t>
            </w:r>
            <w:r w:rsidRPr="004A7B59">
              <w:rPr>
                <w:sz w:val="20"/>
                <w:szCs w:val="20"/>
              </w:rPr>
              <w:t>This may incrementally reduce the likelihood of a radiological accident in a positive, but not easily quantifiable, manner.  Pursuing Alternative 2 would continue to meet the NRC’s goal of maintaining safety by continuing to provide the agency’s approval of the use of later editions and addenda of the ASME BPV and OM Codes and applicable Code Cases to permit licensees to use advances in ISI and IST, provide alternative examinations for older plants, respond expeditiously to user needs, and provide a limited and clearly focused alternative to specific ASME Code provisions.  Improvements in ISI and IST may also result in the earlier identification of material degradation that, if undetected, could lead to further degradation that eventually causes a plant transient.  For this reason, Alternative 2 would maintain the same level of safety or possibly an incremental improvement in safety when compared to the regulatory baseline, which may result in an incremental decrease in public health radiation exposures.</w:t>
            </w:r>
          </w:p>
          <w:p w14:paraId="2300BF31" w14:textId="77777777" w:rsidR="00D53E6F" w:rsidRPr="004A7B59" w:rsidRDefault="00D53E6F" w:rsidP="00E91144">
            <w:pPr>
              <w:pStyle w:val="ListParagraph"/>
              <w:spacing w:line="240" w:lineRule="auto"/>
              <w:rPr>
                <w:sz w:val="20"/>
                <w:szCs w:val="20"/>
              </w:rPr>
            </w:pPr>
          </w:p>
          <w:p w14:paraId="6EB392D7" w14:textId="77777777" w:rsidR="00D53E6F" w:rsidRPr="004A7B59" w:rsidRDefault="00D53E6F" w:rsidP="00E91144">
            <w:pPr>
              <w:pStyle w:val="ListParagraph"/>
              <w:numPr>
                <w:ilvl w:val="0"/>
                <w:numId w:val="5"/>
              </w:numPr>
              <w:spacing w:line="240" w:lineRule="auto"/>
              <w:ind w:left="361"/>
              <w:rPr>
                <w:sz w:val="20"/>
                <w:szCs w:val="20"/>
              </w:rPr>
            </w:pPr>
            <w:r w:rsidRPr="004A7B59">
              <w:rPr>
                <w:b/>
                <w:sz w:val="20"/>
                <w:szCs w:val="20"/>
              </w:rPr>
              <w:t>Occupational Health (Accident and Routine):</w:t>
            </w:r>
            <w:r w:rsidRPr="004A7B59">
              <w:rPr>
                <w:sz w:val="20"/>
                <w:szCs w:val="20"/>
              </w:rPr>
              <w:t xml:space="preserve">  The use of later editions and addenda of the ASME BPV and OM Codes and applicable Code Cases may reduce postaccident occupational radiation exposures in a positive, but not easily quantifiable, manner.  The advances in ISI and IST may result in an incremental decrease in the likelihood of an accident resulting in worker exposure as compared to the regulatory baseline.</w:t>
            </w:r>
          </w:p>
          <w:p w14:paraId="7A152C5A" w14:textId="77777777" w:rsidR="00D53E6F" w:rsidRPr="004A7B59" w:rsidRDefault="00D53E6F" w:rsidP="00E91144">
            <w:pPr>
              <w:pStyle w:val="ListParagraph"/>
              <w:spacing w:line="240" w:lineRule="auto"/>
              <w:rPr>
                <w:sz w:val="20"/>
                <w:szCs w:val="20"/>
              </w:rPr>
            </w:pPr>
          </w:p>
          <w:p w14:paraId="1953686B" w14:textId="77777777" w:rsidR="00D53E6F" w:rsidRPr="004A7B59" w:rsidRDefault="00D53E6F" w:rsidP="00E91144">
            <w:pPr>
              <w:pStyle w:val="ListParagraph"/>
              <w:numPr>
                <w:ilvl w:val="0"/>
                <w:numId w:val="5"/>
              </w:numPr>
              <w:spacing w:line="240" w:lineRule="auto"/>
              <w:ind w:left="361"/>
              <w:rPr>
                <w:sz w:val="20"/>
                <w:szCs w:val="20"/>
              </w:rPr>
            </w:pPr>
            <w:r w:rsidRPr="004A7B59">
              <w:rPr>
                <w:b/>
                <w:sz w:val="20"/>
                <w:szCs w:val="20"/>
              </w:rPr>
              <w:t>Improvements in Knowledge:</w:t>
            </w:r>
            <w:r w:rsidRPr="004A7B59">
              <w:rPr>
                <w:sz w:val="20"/>
                <w:szCs w:val="20"/>
              </w:rPr>
              <w:t xml:space="preserve">  The staff would gain experience with new technology and ISI and IST advances.  On</w:t>
            </w:r>
            <w:r w:rsidRPr="004A7B59">
              <w:rPr>
                <w:sz w:val="20"/>
                <w:szCs w:val="20"/>
              </w:rPr>
              <w:noBreakHyphen/>
              <w:t>the</w:t>
            </w:r>
            <w:r w:rsidRPr="004A7B59">
              <w:rPr>
                <w:sz w:val="20"/>
                <w:szCs w:val="20"/>
              </w:rPr>
              <w:noBreakHyphen/>
              <w:t>job learning would increase worker satisfaction.  Eliminating unnecessary work would better enable the staff to produce desired on</w:t>
            </w:r>
            <w:r w:rsidRPr="004A7B59">
              <w:rPr>
                <w:sz w:val="20"/>
                <w:szCs w:val="20"/>
              </w:rPr>
              <w:noBreakHyphen/>
              <w:t>the</w:t>
            </w:r>
            <w:r w:rsidRPr="004A7B59">
              <w:rPr>
                <w:sz w:val="20"/>
                <w:szCs w:val="20"/>
              </w:rPr>
              <w:noBreakHyphen/>
              <w:t>job results; such results lead to pride in performance and increased job satisfaction.</w:t>
            </w:r>
          </w:p>
          <w:p w14:paraId="2FD97DC1" w14:textId="77777777" w:rsidR="00D53E6F" w:rsidRPr="004A7B59" w:rsidRDefault="00D53E6F" w:rsidP="00E91144">
            <w:pPr>
              <w:pStyle w:val="ListParagraph"/>
              <w:spacing w:line="240" w:lineRule="auto"/>
              <w:rPr>
                <w:sz w:val="20"/>
                <w:szCs w:val="20"/>
              </w:rPr>
            </w:pPr>
          </w:p>
          <w:p w14:paraId="45BA2762" w14:textId="77777777" w:rsidR="00D53E6F" w:rsidRPr="004A7B59" w:rsidRDefault="00D53E6F" w:rsidP="00E91144">
            <w:pPr>
              <w:pStyle w:val="ListParagraph"/>
              <w:numPr>
                <w:ilvl w:val="0"/>
                <w:numId w:val="5"/>
              </w:numPr>
              <w:spacing w:line="240" w:lineRule="auto"/>
              <w:ind w:left="361"/>
              <w:rPr>
                <w:sz w:val="20"/>
                <w:szCs w:val="20"/>
              </w:rPr>
            </w:pPr>
            <w:r w:rsidRPr="004A7B59">
              <w:rPr>
                <w:b/>
                <w:sz w:val="20"/>
                <w:szCs w:val="20"/>
              </w:rPr>
              <w:t xml:space="preserve">Consistent with the NTTAA and Implementing Guidance:  </w:t>
            </w:r>
            <w:r w:rsidRPr="004A7B59">
              <w:rPr>
                <w:sz w:val="20"/>
                <w:szCs w:val="20"/>
              </w:rPr>
              <w:t xml:space="preserve">Alternative 2 is consistent with the provisions of the NTTAA and implementing guidance in OMB Circular A-119, which encourage Federal regulatory agencies to consider adopting voluntary consensus standards as an alternative to </w:t>
            </w:r>
            <w:r w:rsidRPr="004A7B59">
              <w:rPr>
                <w:i/>
                <w:sz w:val="20"/>
                <w:szCs w:val="20"/>
              </w:rPr>
              <w:t xml:space="preserve">de novo </w:t>
            </w:r>
            <w:r w:rsidRPr="004A7B59">
              <w:rPr>
                <w:sz w:val="20"/>
                <w:szCs w:val="20"/>
              </w:rPr>
              <w:t>agency development of standards affecting an industry.  Furthermore, the ASME Code consensus process is an important part of the regulatory framework.</w:t>
            </w:r>
          </w:p>
          <w:p w14:paraId="1185C561" w14:textId="77777777" w:rsidR="00D53E6F" w:rsidRPr="004A7B59" w:rsidRDefault="00D53E6F" w:rsidP="00E91144">
            <w:pPr>
              <w:pStyle w:val="ListParagraph"/>
              <w:spacing w:line="240" w:lineRule="auto"/>
              <w:ind w:left="361"/>
              <w:rPr>
                <w:sz w:val="20"/>
                <w:szCs w:val="20"/>
              </w:rPr>
            </w:pPr>
          </w:p>
          <w:p w14:paraId="53F1C77E" w14:textId="77777777" w:rsidR="00D53E6F" w:rsidRPr="004A7B59" w:rsidRDefault="00D53E6F" w:rsidP="00E91144">
            <w:pPr>
              <w:spacing w:line="240" w:lineRule="auto"/>
              <w:rPr>
                <w:sz w:val="20"/>
                <w:szCs w:val="20"/>
              </w:rPr>
            </w:pPr>
            <w:r w:rsidRPr="004A7B59">
              <w:rPr>
                <w:sz w:val="20"/>
                <w:szCs w:val="20"/>
              </w:rPr>
              <w:t>Costs:</w:t>
            </w:r>
          </w:p>
          <w:p w14:paraId="7D7F21E2" w14:textId="72A0C3BB" w:rsidR="00D53E6F" w:rsidRPr="004A7B59" w:rsidRDefault="00D53E6F" w:rsidP="00E91144">
            <w:pPr>
              <w:pStyle w:val="ListParagraph"/>
              <w:numPr>
                <w:ilvl w:val="0"/>
                <w:numId w:val="5"/>
              </w:numPr>
              <w:spacing w:line="240" w:lineRule="auto"/>
              <w:ind w:left="361"/>
              <w:rPr>
                <w:sz w:val="20"/>
                <w:szCs w:val="20"/>
              </w:rPr>
            </w:pPr>
            <w:r w:rsidRPr="004A7B59">
              <w:rPr>
                <w:b/>
                <w:sz w:val="20"/>
                <w:szCs w:val="20"/>
              </w:rPr>
              <w:t xml:space="preserve">Nonquantified Costs:  </w:t>
            </w:r>
            <w:r w:rsidRPr="004A7B59">
              <w:rPr>
                <w:sz w:val="20"/>
                <w:szCs w:val="20"/>
              </w:rPr>
              <w:t xml:space="preserve">If the </w:t>
            </w:r>
            <w:r w:rsidR="00512683">
              <w:rPr>
                <w:sz w:val="20"/>
                <w:szCs w:val="20"/>
              </w:rPr>
              <w:t>NRC</w:t>
            </w:r>
            <w:r w:rsidR="00512683" w:rsidRPr="004A7B59">
              <w:rPr>
                <w:sz w:val="20"/>
                <w:szCs w:val="20"/>
              </w:rPr>
              <w:t xml:space="preserve"> </w:t>
            </w:r>
            <w:r w:rsidRPr="004A7B59">
              <w:rPr>
                <w:sz w:val="20"/>
                <w:szCs w:val="20"/>
              </w:rPr>
              <w:t>has underestimated the number or the complexity of these eliminated submittals, the averted costs would increase proportionally, causing the quantified net costs of Alternative 2 to decrease.</w:t>
            </w:r>
          </w:p>
        </w:tc>
      </w:tr>
    </w:tbl>
    <w:p w14:paraId="72B4377E" w14:textId="77777777" w:rsidR="00D53E6F" w:rsidRDefault="00D53E6F" w:rsidP="00D53E6F">
      <w:pPr>
        <w:spacing w:line="240" w:lineRule="auto"/>
      </w:pPr>
    </w:p>
    <w:p w14:paraId="06C1CE38" w14:textId="229D95B2" w:rsidR="00D53E6F" w:rsidRPr="00E14B7C" w:rsidRDefault="00D53E6F" w:rsidP="00F52364">
      <w:pPr>
        <w:spacing w:line="240" w:lineRule="auto"/>
      </w:pPr>
      <w:r w:rsidRPr="008A5CB6">
        <w:t xml:space="preserve">The </w:t>
      </w:r>
      <w:r>
        <w:t>industry and the NRC would benefit</w:t>
      </w:r>
      <w:r w:rsidRPr="008A5CB6">
        <w:t xml:space="preserve"> from the </w:t>
      </w:r>
      <w:r>
        <w:t>final rule</w:t>
      </w:r>
      <w:r w:rsidRPr="008A5CB6">
        <w:t>making</w:t>
      </w:r>
      <w:r>
        <w:t>,</w:t>
      </w:r>
      <w:r w:rsidRPr="008A5CB6">
        <w:t xml:space="preserve"> </w:t>
      </w:r>
      <w:r>
        <w:t>A</w:t>
      </w:r>
      <w:r w:rsidRPr="008A5CB6">
        <w:t>lternative</w:t>
      </w:r>
      <w:r>
        <w:t> 2,</w:t>
      </w:r>
      <w:r w:rsidRPr="008A5CB6">
        <w:t xml:space="preserve"> because of the averted cost</w:t>
      </w:r>
      <w:r>
        <w:t>s</w:t>
      </w:r>
      <w:r w:rsidRPr="008A5CB6">
        <w:t xml:space="preserve"> </w:t>
      </w:r>
      <w:r>
        <w:t xml:space="preserve">of licensees not needing to submit and the NRC </w:t>
      </w:r>
      <w:r w:rsidRPr="008A5CB6">
        <w:t>not</w:t>
      </w:r>
      <w:r w:rsidRPr="00E14B7C">
        <w:t xml:space="preserve"> </w:t>
      </w:r>
      <w:r>
        <w:t>needing to review</w:t>
      </w:r>
      <w:r w:rsidRPr="00E14B7C">
        <w:t xml:space="preserve"> and approv</w:t>
      </w:r>
      <w:r>
        <w:t>e</w:t>
      </w:r>
      <w:r w:rsidRPr="00E14B7C">
        <w:t xml:space="preserve"> </w:t>
      </w:r>
      <w:r>
        <w:t>ASME Code Case relief</w:t>
      </w:r>
      <w:r w:rsidRPr="00E14B7C">
        <w:t xml:space="preserve"> requests on a plant</w:t>
      </w:r>
      <w:r>
        <w:noBreakHyphen/>
      </w:r>
      <w:r w:rsidRPr="00E14B7C">
        <w:t xml:space="preserve">specific basis under the new </w:t>
      </w:r>
      <w:r>
        <w:t>10 CFR</w:t>
      </w:r>
      <w:r w:rsidRPr="00E14B7C">
        <w:t> 50.55a(z).</w:t>
      </w:r>
      <w:r>
        <w:t xml:space="preserve">  </w:t>
      </w:r>
      <w:r w:rsidRPr="008A5CB6">
        <w:t xml:space="preserve">As shown in </w:t>
      </w:r>
      <w:r w:rsidRPr="005F26ED">
        <w:fldChar w:fldCharType="begin"/>
      </w:r>
      <w:r w:rsidRPr="005F26ED">
        <w:instrText xml:space="preserve"> REF _Ref393461649 \h </w:instrText>
      </w:r>
      <w:r w:rsidRPr="00886730">
        <w:rPr>
          <w:b/>
        </w:rPr>
        <w:instrText xml:space="preserve"> \* MERGEFORMAT </w:instrText>
      </w:r>
      <w:r w:rsidRPr="005F26ED">
        <w:fldChar w:fldCharType="separate"/>
      </w:r>
      <w:r w:rsidR="00F05D99" w:rsidRPr="00F05D99">
        <w:t>Table 24</w:t>
      </w:r>
      <w:r w:rsidRPr="005F26ED">
        <w:fldChar w:fldCharType="end"/>
      </w:r>
      <w:r w:rsidRPr="005F26ED">
        <w:t>, A</w:t>
      </w:r>
      <w:r w:rsidRPr="008A5CB6">
        <w:t>lternative 2</w:t>
      </w:r>
      <w:r>
        <w:t>, as</w:t>
      </w:r>
      <w:r w:rsidRPr="008A5CB6">
        <w:t xml:space="preserve"> </w:t>
      </w:r>
      <w:r>
        <w:t>compared</w:t>
      </w:r>
      <w:r w:rsidRPr="008A5CB6">
        <w:t xml:space="preserve"> to the regulatory baseline</w:t>
      </w:r>
      <w:r>
        <w:t>,</w:t>
      </w:r>
      <w:r w:rsidRPr="008A5CB6">
        <w:t xml:space="preserve"> would result in a net </w:t>
      </w:r>
      <w:r>
        <w:t>benefit (averted cost)</w:t>
      </w:r>
      <w:r w:rsidRPr="008A5CB6">
        <w:t xml:space="preserve"> </w:t>
      </w:r>
      <w:r>
        <w:t>to</w:t>
      </w:r>
      <w:r w:rsidRPr="008A5CB6">
        <w:t xml:space="preserve"> industry </w:t>
      </w:r>
      <w:r>
        <w:t>that ranges from</w:t>
      </w:r>
      <w:r w:rsidRPr="008A5CB6">
        <w:t xml:space="preserve"> </w:t>
      </w:r>
      <w:r>
        <w:t>$4.4</w:t>
      </w:r>
      <w:r w:rsidR="00B75F34">
        <w:t>7</w:t>
      </w:r>
      <w:r>
        <w:t> million (</w:t>
      </w:r>
      <w:r w:rsidRPr="008A5CB6">
        <w:t>7</w:t>
      </w:r>
      <w:r w:rsidRPr="008A5CB6">
        <w:noBreakHyphen/>
        <w:t>percent NPV</w:t>
      </w:r>
      <w:r>
        <w:t>)</w:t>
      </w:r>
      <w:r w:rsidRPr="008A5CB6">
        <w:t xml:space="preserve"> </w:t>
      </w:r>
      <w:r>
        <w:t>to</w:t>
      </w:r>
      <w:r w:rsidRPr="008A5CB6">
        <w:t xml:space="preserve"> $</w:t>
      </w:r>
      <w:r>
        <w:t>5.0</w:t>
      </w:r>
      <w:r w:rsidR="00B75F34">
        <w:t>8</w:t>
      </w:r>
      <w:r>
        <w:t> million</w:t>
      </w:r>
      <w:r w:rsidRPr="008A5CB6">
        <w:t xml:space="preserve"> </w:t>
      </w:r>
      <w:r>
        <w:t>(</w:t>
      </w:r>
      <w:r w:rsidRPr="008A5CB6">
        <w:t>3</w:t>
      </w:r>
      <w:r w:rsidRPr="008A5CB6">
        <w:noBreakHyphen/>
        <w:t>percent NPV</w:t>
      </w:r>
      <w:r>
        <w:t>)</w:t>
      </w:r>
      <w:r w:rsidRPr="008A5CB6">
        <w:t xml:space="preserve">.  </w:t>
      </w:r>
      <w:r>
        <w:t>The NRC’s</w:t>
      </w:r>
      <w:r w:rsidRPr="00E14B7C">
        <w:t xml:space="preserve"> net benefit </w:t>
      </w:r>
      <w:r>
        <w:t>would range</w:t>
      </w:r>
      <w:r w:rsidRPr="00E14B7C">
        <w:t xml:space="preserve"> from $</w:t>
      </w:r>
      <w:r>
        <w:t>1.87 </w:t>
      </w:r>
      <w:r w:rsidRPr="00E14B7C">
        <w:t xml:space="preserve">million </w:t>
      </w:r>
      <w:r>
        <w:t>(7</w:t>
      </w:r>
      <w:r>
        <w:noBreakHyphen/>
        <w:t>percent</w:t>
      </w:r>
      <w:r w:rsidRPr="00E14B7C">
        <w:t xml:space="preserve"> NPV</w:t>
      </w:r>
      <w:r>
        <w:t>)</w:t>
      </w:r>
      <w:r w:rsidRPr="00E14B7C">
        <w:t xml:space="preserve"> to $</w:t>
      </w:r>
      <w:r>
        <w:t>2.12 </w:t>
      </w:r>
      <w:r w:rsidRPr="00E14B7C">
        <w:t xml:space="preserve">million </w:t>
      </w:r>
      <w:r>
        <w:t>(3-percent</w:t>
      </w:r>
      <w:r w:rsidRPr="00E14B7C">
        <w:t xml:space="preserve"> NPV</w:t>
      </w:r>
      <w:r>
        <w:t xml:space="preserve">).  Thus, the total quantitative net averted costs of the </w:t>
      </w:r>
      <w:r w:rsidR="00E5359B">
        <w:t xml:space="preserve">final </w:t>
      </w:r>
      <w:r>
        <w:t>rule would range from $6.3</w:t>
      </w:r>
      <w:r w:rsidR="00B75F34">
        <w:t>4</w:t>
      </w:r>
      <w:r>
        <w:t> million (7</w:t>
      </w:r>
      <w:r>
        <w:noBreakHyphen/>
        <w:t>percent NPV) to $7.</w:t>
      </w:r>
      <w:r w:rsidR="00B75F34">
        <w:t>20</w:t>
      </w:r>
      <w:r>
        <w:t xml:space="preserve"> million (3</w:t>
      </w:r>
      <w:r>
        <w:noBreakHyphen/>
        <w:t>percent NPV).</w:t>
      </w:r>
      <w:r w:rsidR="00E5359B" w:rsidRPr="00E5359B">
        <w:t xml:space="preserve"> </w:t>
      </w:r>
    </w:p>
    <w:p w14:paraId="5410EE1E" w14:textId="77777777" w:rsidR="00D53E6F" w:rsidRPr="00E14B7C" w:rsidRDefault="00D53E6F" w:rsidP="00D53E6F">
      <w:pPr>
        <w:spacing w:line="240" w:lineRule="auto"/>
      </w:pPr>
    </w:p>
    <w:p w14:paraId="288BE272" w14:textId="77777777" w:rsidR="00D53E6F" w:rsidRPr="00E14B7C" w:rsidRDefault="00D53E6F" w:rsidP="00D53E6F">
      <w:pPr>
        <w:spacing w:line="240" w:lineRule="auto"/>
      </w:pPr>
      <w:r>
        <w:t>Alternative 2</w:t>
      </w:r>
      <w:r w:rsidRPr="00E14B7C">
        <w:t xml:space="preserve"> </w:t>
      </w:r>
      <w:r>
        <w:t xml:space="preserve">would </w:t>
      </w:r>
      <w:r w:rsidRPr="00E14B7C">
        <w:t>also ha</w:t>
      </w:r>
      <w:r>
        <w:t>ve</w:t>
      </w:r>
      <w:r w:rsidRPr="00E14B7C">
        <w:t xml:space="preserve"> the qualitative benefit of meeting the NRC</w:t>
      </w:r>
      <w:r>
        <w:t>’s</w:t>
      </w:r>
      <w:r w:rsidRPr="00E14B7C">
        <w:t xml:space="preserve"> goal of ensuring the protection of public health and safety and the environment through the </w:t>
      </w:r>
      <w:r>
        <w:t>agency’</w:t>
      </w:r>
      <w:r w:rsidRPr="00E14B7C">
        <w:t xml:space="preserve">s approval of </w:t>
      </w:r>
      <w:r>
        <w:t>the use of later ASME BPV and OM Code Cases.  It would also</w:t>
      </w:r>
      <w:r w:rsidRPr="00E14B7C">
        <w:t xml:space="preserve"> allow </w:t>
      </w:r>
      <w:r>
        <w:t xml:space="preserve">for </w:t>
      </w:r>
      <w:r w:rsidRPr="00E14B7C">
        <w:t>the use of the most current methods and technology.  This alternative would also support the NRC</w:t>
      </w:r>
      <w:r>
        <w:t>’</w:t>
      </w:r>
      <w:r w:rsidRPr="00E14B7C">
        <w:t xml:space="preserve">s goal of maintaining an open regulatory process because </w:t>
      </w:r>
      <w:r>
        <w:t xml:space="preserve">the agency’s approval of ASME Code Cases would </w:t>
      </w:r>
      <w:r w:rsidRPr="00E14B7C">
        <w:t xml:space="preserve">demonstrate </w:t>
      </w:r>
      <w:r>
        <w:t>its</w:t>
      </w:r>
      <w:r w:rsidRPr="00E14B7C">
        <w:t xml:space="preserve"> commitment to participat</w:t>
      </w:r>
      <w:r>
        <w:t>ing</w:t>
      </w:r>
      <w:r w:rsidRPr="00E14B7C">
        <w:t xml:space="preserve"> in the natio</w:t>
      </w:r>
      <w:r>
        <w:t>nal consensus standards process and would maintain its role as an effective regulator.</w:t>
      </w:r>
    </w:p>
    <w:p w14:paraId="197AF852" w14:textId="77777777" w:rsidR="00D53E6F" w:rsidRPr="00E14B7C" w:rsidRDefault="00D53E6F" w:rsidP="00D53E6F">
      <w:pPr>
        <w:spacing w:line="240" w:lineRule="auto"/>
      </w:pPr>
    </w:p>
    <w:p w14:paraId="1D953184" w14:textId="77777777" w:rsidR="00D53E6F" w:rsidRDefault="00D53E6F" w:rsidP="00D53E6F">
      <w:pPr>
        <w:spacing w:after="220" w:line="240" w:lineRule="auto"/>
      </w:pPr>
      <w:r>
        <w:t>T</w:t>
      </w:r>
      <w:r w:rsidRPr="00E35C2D">
        <w:t>he NRC has had a decades-long practice of approving or mandating</w:t>
      </w:r>
      <w:r>
        <w:t>, or both,</w:t>
      </w:r>
      <w:r w:rsidRPr="00E35C2D">
        <w:t xml:space="preserve"> the use of certain ASME Code</w:t>
      </w:r>
      <w:r>
        <w:t xml:space="preserve"> Case</w:t>
      </w:r>
      <w:r w:rsidRPr="00E35C2D">
        <w:t xml:space="preserve">s in 10 CFR 50.55a through the rulemaking process of “incorporation by reference.”  Retaining the practice of approving or mandating the ASME Codes </w:t>
      </w:r>
      <w:r>
        <w:t xml:space="preserve">would </w:t>
      </w:r>
      <w:r w:rsidRPr="00E35C2D">
        <w:t xml:space="preserve">continue the regulatory stability and predictability provided by the current practice.  Retaining the practice </w:t>
      </w:r>
      <w:r>
        <w:t xml:space="preserve">would </w:t>
      </w:r>
      <w:r w:rsidRPr="00E35C2D">
        <w:t xml:space="preserve">also </w:t>
      </w:r>
      <w:r>
        <w:t>en</w:t>
      </w:r>
      <w:r w:rsidRPr="00E35C2D">
        <w:t>sure consistency across the industry and assure the industry and the public that the NRC will continue to support the use of the most updated and technically sound techniques developed by ASME to provide adequate protection to the public.  In this regard, these ASME Codes are voluntary consensus standards developed by participants with broad and varied interests</w:t>
      </w:r>
      <w:r>
        <w:t>,</w:t>
      </w:r>
      <w:r w:rsidRPr="00E35C2D">
        <w:t xml:space="preserve"> and </w:t>
      </w:r>
      <w:r>
        <w:t xml:space="preserve">they </w:t>
      </w:r>
      <w:r w:rsidRPr="00E35C2D">
        <w:t>have already undergone extensive external review before the NRC</w:t>
      </w:r>
      <w:r>
        <w:t xml:space="preserve"> evaluates them</w:t>
      </w:r>
      <w:r w:rsidRPr="00E35C2D">
        <w:t xml:space="preserve">.  </w:t>
      </w:r>
      <w:r>
        <w:t>Finally</w:t>
      </w:r>
      <w:r w:rsidRPr="00E35C2D">
        <w:t>, the NRC’s use of the ASME Codes is consistent with the NTTAA, which directs Federal agencies to adopt voluntary consensus standards instead of developing “</w:t>
      </w:r>
      <w:r>
        <w:t>G</w:t>
      </w:r>
      <w:r w:rsidRPr="00E35C2D">
        <w:t>overnment-unique” standards (i.e.,</w:t>
      </w:r>
      <w:r>
        <w:t xml:space="preserve"> those developed by </w:t>
      </w:r>
      <w:r w:rsidRPr="00E35C2D">
        <w:t>Federal agenc</w:t>
      </w:r>
      <w:r>
        <w:t>ies</w:t>
      </w:r>
      <w:r w:rsidRPr="00E35C2D">
        <w:t>) unless</w:t>
      </w:r>
      <w:r>
        <w:t xml:space="preserve"> such standards are</w:t>
      </w:r>
      <w:r w:rsidRPr="00E35C2D">
        <w:t xml:space="preserve"> inconsistent with </w:t>
      </w:r>
      <w:r>
        <w:t xml:space="preserve">the </w:t>
      </w:r>
      <w:r w:rsidRPr="00E35C2D">
        <w:t xml:space="preserve">applicable law or </w:t>
      </w:r>
      <w:r>
        <w:t xml:space="preserve">are </w:t>
      </w:r>
      <w:r w:rsidRPr="00E35C2D">
        <w:t>otherwise impractical.</w:t>
      </w:r>
    </w:p>
    <w:p w14:paraId="7F99529E" w14:textId="3B94CA54" w:rsidR="00D53E6F" w:rsidRPr="00373E67" w:rsidRDefault="00D53E6F" w:rsidP="00D53E6F">
      <w:pPr>
        <w:spacing w:line="240" w:lineRule="auto"/>
        <w:rPr>
          <w:spacing w:val="-2"/>
        </w:rPr>
      </w:pPr>
      <w:r w:rsidRPr="00373E67">
        <w:rPr>
          <w:spacing w:val="-2"/>
        </w:rPr>
        <w:t xml:space="preserve">Based solely on quantified costs and benefits, this regulatory analysis shows that the </w:t>
      </w:r>
      <w:r w:rsidR="0066684B" w:rsidRPr="00373E67">
        <w:rPr>
          <w:spacing w:val="-2"/>
        </w:rPr>
        <w:t xml:space="preserve">final </w:t>
      </w:r>
      <w:r w:rsidRPr="00373E67">
        <w:rPr>
          <w:spacing w:val="-2"/>
        </w:rPr>
        <w:t>rule is justified because the total quantified benefits of the final rule would exceed the costs of the action for all discount rates up to 7 percent.  Certainly, if the qualitative benefits, including the safety, regulatory efficiency, and other nonquantified benefits, are considered together with the quantified benefits, the benefits would outweigh the identified quantitative and qualitative impacts.</w:t>
      </w:r>
    </w:p>
    <w:p w14:paraId="3803640C" w14:textId="77777777" w:rsidR="00D53E6F" w:rsidRPr="00820D31" w:rsidRDefault="00D53E6F" w:rsidP="00D53E6F">
      <w:pPr>
        <w:spacing w:line="240" w:lineRule="auto"/>
      </w:pPr>
    </w:p>
    <w:p w14:paraId="7521E285" w14:textId="5622D4AD" w:rsidR="00D53E6F" w:rsidRPr="00820D31" w:rsidRDefault="00D53E6F" w:rsidP="00D53E6F">
      <w:pPr>
        <w:spacing w:line="240" w:lineRule="auto"/>
      </w:pPr>
      <w:r w:rsidRPr="00820D31">
        <w:t>Considering nonquantified costs and benefits, th</w:t>
      </w:r>
      <w:r>
        <w:t>is</w:t>
      </w:r>
      <w:r w:rsidRPr="00820D31">
        <w:t xml:space="preserve"> regu</w:t>
      </w:r>
      <w:r>
        <w:t>l</w:t>
      </w:r>
      <w:r w:rsidRPr="00820D31">
        <w:t xml:space="preserve">atory analysis shows that the </w:t>
      </w:r>
      <w:r w:rsidR="0066684B">
        <w:t xml:space="preserve">final </w:t>
      </w:r>
      <w:r w:rsidRPr="00820D31">
        <w:t>rule is justified because the number and significance of the nonquantified benefits outweigh the nonquantified costs.  The uncertainty analysis shows a net benefit (averted cost) for all simulations with a range of averted cost from</w:t>
      </w:r>
      <w:r>
        <w:t xml:space="preserve"> $1.9</w:t>
      </w:r>
      <w:r w:rsidR="00B75F34">
        <w:t>8</w:t>
      </w:r>
      <w:r>
        <w:t> million to $14.</w:t>
      </w:r>
      <w:r w:rsidR="00B75F34">
        <w:t>3</w:t>
      </w:r>
      <w:r>
        <w:t> million</w:t>
      </w:r>
      <w:r w:rsidRPr="00820D31">
        <w:t xml:space="preserve"> (</w:t>
      </w:r>
      <w:r>
        <w:t>at a 7</w:t>
      </w:r>
      <w:r>
        <w:noBreakHyphen/>
      </w:r>
      <w:r w:rsidRPr="00820D31">
        <w:t>percent NPV)</w:t>
      </w:r>
      <w:r>
        <w:t>.</w:t>
      </w:r>
    </w:p>
    <w:p w14:paraId="2FFBF111" w14:textId="77777777" w:rsidR="00D53E6F" w:rsidRPr="00820D31" w:rsidRDefault="00D53E6F" w:rsidP="00D53E6F">
      <w:pPr>
        <w:spacing w:line="240" w:lineRule="auto"/>
      </w:pPr>
    </w:p>
    <w:p w14:paraId="6F5BF09D" w14:textId="77777777" w:rsidR="00D53E6F" w:rsidRPr="00820D31" w:rsidRDefault="00D53E6F" w:rsidP="00D53E6F">
      <w:pPr>
        <w:spacing w:line="240" w:lineRule="auto"/>
      </w:pPr>
      <w:r w:rsidRPr="00820D31">
        <w:t xml:space="preserve">Therefore, integrating both quantified and nonquantified costs and benefits, the benefits of the </w:t>
      </w:r>
      <w:r>
        <w:t>final rule</w:t>
      </w:r>
      <w:r w:rsidRPr="00820D31">
        <w:t xml:space="preserve"> outweigh the identified quantitative and qualitative impacts attributable to the </w:t>
      </w:r>
      <w:r>
        <w:t>final</w:t>
      </w:r>
      <w:r w:rsidRPr="00820D31">
        <w:t xml:space="preserve"> rule.</w:t>
      </w:r>
    </w:p>
    <w:p w14:paraId="352AB644" w14:textId="77777777" w:rsidR="00D53E6F" w:rsidRPr="00461295" w:rsidRDefault="00D53E6F" w:rsidP="00D53E6F">
      <w:pPr>
        <w:pStyle w:val="Heading1"/>
        <w:numPr>
          <w:ilvl w:val="0"/>
          <w:numId w:val="10"/>
        </w:numPr>
        <w:spacing w:line="240" w:lineRule="auto"/>
        <w:ind w:left="360"/>
      </w:pPr>
      <w:bookmarkStart w:id="451" w:name="_Toc456098364"/>
      <w:bookmarkStart w:id="452" w:name="_Toc457827377"/>
      <w:bookmarkStart w:id="453" w:name="_Toc12808908"/>
      <w:r w:rsidRPr="00461295">
        <w:t>Implementation Schedule</w:t>
      </w:r>
      <w:bookmarkEnd w:id="451"/>
      <w:bookmarkEnd w:id="452"/>
      <w:bookmarkEnd w:id="453"/>
    </w:p>
    <w:p w14:paraId="429F12AA" w14:textId="77777777" w:rsidR="00D53E6F" w:rsidRPr="00273771" w:rsidRDefault="00D53E6F" w:rsidP="00D53E6F">
      <w:pPr>
        <w:spacing w:line="240" w:lineRule="auto"/>
      </w:pPr>
    </w:p>
    <w:p w14:paraId="6B9BD3EE" w14:textId="77777777" w:rsidR="00D53E6F" w:rsidRDefault="00D53E6F" w:rsidP="00D53E6F">
      <w:pPr>
        <w:spacing w:line="240" w:lineRule="auto"/>
      </w:pPr>
      <w:r w:rsidRPr="00273771">
        <w:t xml:space="preserve">The </w:t>
      </w:r>
      <w:r>
        <w:t>final</w:t>
      </w:r>
      <w:r w:rsidRPr="00273771">
        <w:t xml:space="preserve"> rule will become effective </w:t>
      </w:r>
      <w:r w:rsidRPr="00D96F01">
        <w:t>30</w:t>
      </w:r>
      <w:r>
        <w:t> </w:t>
      </w:r>
      <w:r w:rsidRPr="00D96F01">
        <w:t>days</w:t>
      </w:r>
      <w:r w:rsidRPr="00273771">
        <w:t xml:space="preserve"> after its publication in the </w:t>
      </w:r>
      <w:r w:rsidRPr="00273771">
        <w:rPr>
          <w:i/>
        </w:rPr>
        <w:t>Federal Register</w:t>
      </w:r>
      <w:r w:rsidRPr="00273771">
        <w:t>.</w:t>
      </w:r>
    </w:p>
    <w:p w14:paraId="541E38F0" w14:textId="77777777" w:rsidR="00D53E6F" w:rsidRPr="002A3407" w:rsidRDefault="00D53E6F" w:rsidP="00373E67">
      <w:pPr>
        <w:pStyle w:val="Heading1"/>
        <w:numPr>
          <w:ilvl w:val="0"/>
          <w:numId w:val="10"/>
        </w:numPr>
        <w:spacing w:line="240" w:lineRule="auto"/>
        <w:ind w:left="360"/>
      </w:pPr>
      <w:bookmarkStart w:id="454" w:name="_Toc456098365"/>
      <w:bookmarkStart w:id="455" w:name="_Toc457827378"/>
      <w:bookmarkStart w:id="456" w:name="_Toc12808909"/>
      <w:r w:rsidRPr="001D5BCE">
        <w:t>Re</w:t>
      </w:r>
      <w:r>
        <w:t>ferences</w:t>
      </w:r>
      <w:bookmarkEnd w:id="454"/>
      <w:bookmarkEnd w:id="455"/>
      <w:bookmarkEnd w:id="456"/>
    </w:p>
    <w:p w14:paraId="267B232F" w14:textId="77777777" w:rsidR="00D53E6F" w:rsidRDefault="00D53E6F" w:rsidP="00373E67">
      <w:pPr>
        <w:keepNext/>
        <w:spacing w:line="240" w:lineRule="auto"/>
        <w:rPr>
          <w:i/>
        </w:rPr>
      </w:pPr>
      <w:bookmarkStart w:id="457" w:name="_Ref395251238"/>
      <w:bookmarkStart w:id="458" w:name="_Ref393449697"/>
    </w:p>
    <w:p w14:paraId="5D018D4D" w14:textId="77777777" w:rsidR="00D53E6F" w:rsidRDefault="00D53E6F" w:rsidP="00D53E6F">
      <w:pPr>
        <w:spacing w:after="220" w:line="240" w:lineRule="auto"/>
      </w:pPr>
      <w:r w:rsidRPr="00DE3937">
        <w:rPr>
          <w:i/>
        </w:rPr>
        <w:t>Code of Federal Regulations</w:t>
      </w:r>
      <w:r>
        <w:rPr>
          <w:i/>
        </w:rPr>
        <w:t xml:space="preserve"> </w:t>
      </w:r>
      <w:r>
        <w:t>(CFR)</w:t>
      </w:r>
      <w:r w:rsidRPr="00827F4D">
        <w:t xml:space="preserve">, </w:t>
      </w:r>
      <w:r>
        <w:t xml:space="preserve">“Domestic Licensing of Production and Utilization Facilities,” </w:t>
      </w:r>
      <w:r w:rsidRPr="00AD4C39">
        <w:t>Part 50,</w:t>
      </w:r>
      <w:r w:rsidRPr="007E7D31">
        <w:t xml:space="preserve"> </w:t>
      </w:r>
      <w:r w:rsidRPr="00B66165">
        <w:t>Chapter 1, Title 10, “Energy</w:t>
      </w:r>
      <w:r>
        <w:t>.</w:t>
      </w:r>
      <w:r w:rsidRPr="00B66165">
        <w:t>”</w:t>
      </w:r>
    </w:p>
    <w:p w14:paraId="1F96AAE7" w14:textId="77777777" w:rsidR="00D53E6F" w:rsidRDefault="00D53E6F" w:rsidP="00D53E6F">
      <w:pPr>
        <w:spacing w:after="220" w:line="240" w:lineRule="auto"/>
      </w:pPr>
      <w:r>
        <w:t xml:space="preserve">CFR, </w:t>
      </w:r>
      <w:r>
        <w:rPr>
          <w:bCs/>
          <w:iCs/>
        </w:rPr>
        <w:t>“</w:t>
      </w:r>
      <w:r w:rsidRPr="006D63B2">
        <w:rPr>
          <w:bCs/>
          <w:iCs/>
          <w:lang w:val="en"/>
        </w:rPr>
        <w:t xml:space="preserve">Licenses, Certifications, </w:t>
      </w:r>
      <w:r>
        <w:rPr>
          <w:bCs/>
          <w:iCs/>
          <w:lang w:val="en"/>
        </w:rPr>
        <w:t>a</w:t>
      </w:r>
      <w:r w:rsidRPr="006D63B2">
        <w:rPr>
          <w:bCs/>
          <w:iCs/>
          <w:lang w:val="en"/>
        </w:rPr>
        <w:t xml:space="preserve">nd Approvals </w:t>
      </w:r>
      <w:r>
        <w:rPr>
          <w:bCs/>
          <w:iCs/>
          <w:lang w:val="en"/>
        </w:rPr>
        <w:t>f</w:t>
      </w:r>
      <w:r w:rsidRPr="006D63B2">
        <w:rPr>
          <w:bCs/>
          <w:iCs/>
          <w:lang w:val="en"/>
        </w:rPr>
        <w:t>or Nuclear Power Plants</w:t>
      </w:r>
      <w:r>
        <w:rPr>
          <w:bCs/>
          <w:iCs/>
          <w:lang w:val="en"/>
        </w:rPr>
        <w:t xml:space="preserve">,” Part 52, </w:t>
      </w:r>
      <w:r w:rsidRPr="00B66165">
        <w:t>Chapter</w:t>
      </w:r>
      <w:r>
        <w:t> </w:t>
      </w:r>
      <w:r w:rsidRPr="00B66165">
        <w:t>1, Title 10, “Energy</w:t>
      </w:r>
      <w:r>
        <w:t>.</w:t>
      </w:r>
      <w:r w:rsidRPr="00B66165">
        <w:t>”</w:t>
      </w:r>
    </w:p>
    <w:p w14:paraId="722710EB" w14:textId="77777777" w:rsidR="00D53E6F" w:rsidRPr="00A84DAE" w:rsidRDefault="00D53E6F" w:rsidP="00D53E6F">
      <w:pPr>
        <w:spacing w:after="220" w:line="240" w:lineRule="auto"/>
      </w:pPr>
      <w:r w:rsidRPr="00A84DAE">
        <w:t xml:space="preserve">CFR, </w:t>
      </w:r>
      <w:r w:rsidRPr="00C80453">
        <w:t>“Fees for Facilities, Materials, Import and Export Licenses, and Other Regulatory Services under the Atomic Energy Act of 1954, as Amended</w:t>
      </w:r>
      <w:r>
        <w:t xml:space="preserve">,” </w:t>
      </w:r>
      <w:r w:rsidRPr="00AD4C39">
        <w:t xml:space="preserve">Part </w:t>
      </w:r>
      <w:r>
        <w:t>170</w:t>
      </w:r>
      <w:r w:rsidRPr="00AD4C39">
        <w:t>,</w:t>
      </w:r>
      <w:r w:rsidRPr="007E7D31">
        <w:t xml:space="preserve"> </w:t>
      </w:r>
      <w:r w:rsidRPr="00B66165">
        <w:t>Chapter 1, Title</w:t>
      </w:r>
      <w:r>
        <w:t> </w:t>
      </w:r>
      <w:r w:rsidRPr="00B66165">
        <w:t>10, “Energy</w:t>
      </w:r>
      <w:r>
        <w:t>.</w:t>
      </w:r>
      <w:r w:rsidRPr="00B66165">
        <w:t>”</w:t>
      </w:r>
    </w:p>
    <w:p w14:paraId="0A1BB1DC" w14:textId="77777777" w:rsidR="00D53E6F" w:rsidRDefault="00D53E6F" w:rsidP="00D53E6F">
      <w:pPr>
        <w:spacing w:after="220" w:line="240" w:lineRule="auto"/>
      </w:pPr>
      <w:r>
        <w:t>BLS</w:t>
      </w:r>
      <w:r w:rsidRPr="00A93FDB">
        <w:t>, “</w:t>
      </w:r>
      <w:r>
        <w:t>NAICS Code:  North American Industry Classification System Code,” January 2019a</w:t>
      </w:r>
      <w:r w:rsidRPr="00A93FDB">
        <w:t>.</w:t>
      </w:r>
      <w:r>
        <w:t xml:space="preserve">  Available at </w:t>
      </w:r>
      <w:hyperlink r:id="rId35" w:history="1">
        <w:r w:rsidRPr="009B3382">
          <w:rPr>
            <w:rStyle w:val="Hyperlink"/>
          </w:rPr>
          <w:t>http://www.bls.gov/bls/naics.htm</w:t>
        </w:r>
      </w:hyperlink>
      <w:r>
        <w:t xml:space="preserve">; last accessed on </w:t>
      </w:r>
      <w:r>
        <w:rPr>
          <w:rStyle w:val="Hyperlink"/>
          <w:color w:val="auto"/>
          <w:u w:val="none"/>
        </w:rPr>
        <w:t>April 1, 2019</w:t>
      </w:r>
      <w:r>
        <w:t>.</w:t>
      </w:r>
    </w:p>
    <w:p w14:paraId="63830DC0" w14:textId="12D2F16C" w:rsidR="00D53E6F" w:rsidRDefault="00D53E6F" w:rsidP="00D53E6F">
      <w:pPr>
        <w:spacing w:after="220" w:line="240" w:lineRule="auto"/>
      </w:pPr>
      <w:r>
        <w:t>BLS</w:t>
      </w:r>
      <w:r w:rsidRPr="002A3407">
        <w:t xml:space="preserve">, </w:t>
      </w:r>
      <w:r>
        <w:t>“</w:t>
      </w:r>
      <w:r w:rsidRPr="002A3407">
        <w:t>Databases, Tables &amp; Calculators by Subject</w:t>
      </w:r>
      <w:r>
        <w:t xml:space="preserve">:  </w:t>
      </w:r>
      <w:r w:rsidR="00A23775" w:rsidRPr="00A23775">
        <w:t>One-Screen Data Search: CPI-All Urban Consumers, U.S. city average/All Items,  not seasonally adjusted</w:t>
      </w:r>
      <w:r w:rsidRPr="002A3407">
        <w:t>,</w:t>
      </w:r>
      <w:r>
        <w:t>”</w:t>
      </w:r>
      <w:r w:rsidRPr="002A3407">
        <w:t xml:space="preserve"> </w:t>
      </w:r>
      <w:r>
        <w:t>January 2019b.  Available</w:t>
      </w:r>
      <w:r w:rsidRPr="002A3407">
        <w:t xml:space="preserve"> at </w:t>
      </w:r>
      <w:hyperlink r:id="rId36" w:history="1">
        <w:r w:rsidR="00A23775" w:rsidRPr="00A23775">
          <w:rPr>
            <w:rStyle w:val="Hyperlink"/>
          </w:rPr>
          <w:t>https://www.bls.gov/data/</w:t>
        </w:r>
      </w:hyperlink>
      <w:r>
        <w:rPr>
          <w:rStyle w:val="Hyperlink"/>
          <w:color w:val="000000" w:themeColor="text1"/>
          <w:u w:val="none"/>
        </w:rPr>
        <w:t xml:space="preserve">; </w:t>
      </w:r>
      <w:r>
        <w:t xml:space="preserve">last accessed on </w:t>
      </w:r>
      <w:r w:rsidR="00A23775">
        <w:rPr>
          <w:rStyle w:val="Hyperlink"/>
          <w:color w:val="auto"/>
          <w:u w:val="none"/>
        </w:rPr>
        <w:t>May 22</w:t>
      </w:r>
      <w:r>
        <w:rPr>
          <w:rStyle w:val="Hyperlink"/>
          <w:color w:val="auto"/>
          <w:u w:val="none"/>
        </w:rPr>
        <w:t>, 2019</w:t>
      </w:r>
      <w:r>
        <w:t>.</w:t>
      </w:r>
    </w:p>
    <w:p w14:paraId="3F8AC5CD" w14:textId="77777777" w:rsidR="00D53E6F" w:rsidRDefault="00D53E6F" w:rsidP="00D53E6F">
      <w:pPr>
        <w:spacing w:after="220" w:line="240" w:lineRule="auto"/>
      </w:pPr>
      <w:bookmarkStart w:id="459" w:name="_Ref393450468"/>
      <w:bookmarkStart w:id="460" w:name="_Ref393451233"/>
      <w:bookmarkStart w:id="461" w:name="_Ref393450492"/>
      <w:bookmarkStart w:id="462" w:name="_Ref411496168"/>
      <w:bookmarkStart w:id="463" w:name="_Ref470010158"/>
      <w:r>
        <w:t xml:space="preserve">Electric Power Research Institute (EPRI), </w:t>
      </w:r>
      <w:r w:rsidRPr="001D24C0">
        <w:t>Nuclear Safety Analysis Center Report</w:t>
      </w:r>
      <w:r>
        <w:t xml:space="preserve"> (NSAC)</w:t>
      </w:r>
      <w:r w:rsidRPr="001D24C0">
        <w:t xml:space="preserve"> </w:t>
      </w:r>
      <w:r>
        <w:t>EPRI/NSAC</w:t>
      </w:r>
      <w:r>
        <w:noBreakHyphen/>
      </w:r>
      <w:r w:rsidRPr="001D24C0">
        <w:t>202L</w:t>
      </w:r>
      <w:r>
        <w:noBreakHyphen/>
      </w:r>
      <w:r w:rsidRPr="001D24C0">
        <w:t>2,</w:t>
      </w:r>
      <w:r>
        <w:t xml:space="preserve"> </w:t>
      </w:r>
      <w:r w:rsidRPr="001D24C0">
        <w:t>“Recommendations for an Effective Flow</w:t>
      </w:r>
      <w:r>
        <w:noBreakHyphen/>
      </w:r>
      <w:r w:rsidRPr="001D24C0">
        <w:t>Accelerated Corrosion</w:t>
      </w:r>
      <w:r>
        <w:t xml:space="preserve"> Program,” April 1999.</w:t>
      </w:r>
    </w:p>
    <w:bookmarkEnd w:id="459"/>
    <w:bookmarkEnd w:id="460"/>
    <w:p w14:paraId="45F948E0" w14:textId="77777777" w:rsidR="00A23775" w:rsidRDefault="00A23775" w:rsidP="00A23775">
      <w:pPr>
        <w:spacing w:line="240" w:lineRule="auto"/>
        <w:rPr>
          <w:bCs/>
        </w:rPr>
      </w:pPr>
      <w:r>
        <w:t>EPRI, Boiling</w:t>
      </w:r>
      <w:r>
        <w:noBreakHyphen/>
        <w:t>Water Reactor Vessel Internals Project (</w:t>
      </w:r>
      <w:r w:rsidRPr="008F0227">
        <w:t>BWRVIP</w:t>
      </w:r>
      <w:r>
        <w:t>)</w:t>
      </w:r>
      <w:r>
        <w:noBreakHyphen/>
      </w:r>
      <w:r w:rsidRPr="008F0227">
        <w:t xml:space="preserve">241, </w:t>
      </w:r>
      <w:r>
        <w:rPr>
          <w:color w:val="auto"/>
        </w:rPr>
        <w:t xml:space="preserve">“BWR Vessel and Internals Project Probabilistic Fracture Mechanics Evaluation for the Nozzle-to-Vessel Shell Welds and Nozzle Blend Radii,” </w:t>
      </w:r>
      <w:r w:rsidRPr="002C3A54">
        <w:rPr>
          <w:bCs/>
        </w:rPr>
        <w:t>April 19, 2013</w:t>
      </w:r>
      <w:r>
        <w:rPr>
          <w:bCs/>
        </w:rPr>
        <w:t>.</w:t>
      </w:r>
    </w:p>
    <w:p w14:paraId="076D92B1" w14:textId="77777777" w:rsidR="00A23775" w:rsidRPr="00C80453" w:rsidRDefault="00A23775" w:rsidP="00A23775">
      <w:pPr>
        <w:spacing w:line="240" w:lineRule="auto"/>
        <w:rPr>
          <w:color w:val="auto"/>
        </w:rPr>
      </w:pPr>
    </w:p>
    <w:p w14:paraId="270B7409" w14:textId="4D17AD66" w:rsidR="00A23775" w:rsidRDefault="00A23775" w:rsidP="00A23775">
      <w:pPr>
        <w:spacing w:afterLines="100" w:after="240" w:line="240" w:lineRule="auto"/>
      </w:pPr>
      <w:r w:rsidRPr="00BD3549">
        <w:t>National Environmental Policy Act of 19</w:t>
      </w:r>
      <w:r>
        <w:t>6</w:t>
      </w:r>
      <w:r w:rsidRPr="00BD3549">
        <w:t>9</w:t>
      </w:r>
      <w:r>
        <w:t>, as amended, Public Law 91</w:t>
      </w:r>
      <w:r>
        <w:noBreakHyphen/>
        <w:t xml:space="preserve">190.  Available at </w:t>
      </w:r>
      <w:hyperlink r:id="rId37" w:history="1">
        <w:r w:rsidRPr="00C1651D">
          <w:rPr>
            <w:rStyle w:val="Hyperlink"/>
          </w:rPr>
          <w:t>https://www.whitehouse.gov/sites/whitehouse.gov/files/ceq/NEPA_full_text.pdf</w:t>
        </w:r>
      </w:hyperlink>
      <w:r>
        <w:t>.</w:t>
      </w:r>
    </w:p>
    <w:p w14:paraId="695BB815" w14:textId="77777777" w:rsidR="00A23775" w:rsidRDefault="00A23775" w:rsidP="00A23775">
      <w:pPr>
        <w:spacing w:afterLines="100" w:after="240" w:line="240" w:lineRule="auto"/>
      </w:pPr>
      <w:r w:rsidRPr="002A3407">
        <w:t>National Technology Transf</w:t>
      </w:r>
      <w:r>
        <w:t xml:space="preserve">er and Advancement Act of 1995, </w:t>
      </w:r>
      <w:r w:rsidRPr="002A3407">
        <w:t>Pub</w:t>
      </w:r>
      <w:r>
        <w:t>lic</w:t>
      </w:r>
      <w:r w:rsidRPr="002A3407">
        <w:t xml:space="preserve"> L</w:t>
      </w:r>
      <w:r>
        <w:t>aw </w:t>
      </w:r>
      <w:r w:rsidRPr="002A3407">
        <w:t>104</w:t>
      </w:r>
      <w:r>
        <w:noBreakHyphen/>
      </w:r>
      <w:r w:rsidRPr="002A3407">
        <w:t>113</w:t>
      </w:r>
      <w:r>
        <w:t xml:space="preserve">.  Available </w:t>
      </w:r>
      <w:r w:rsidRPr="002A3407">
        <w:t xml:space="preserve">at </w:t>
      </w:r>
      <w:hyperlink r:id="rId38" w:history="1">
        <w:r w:rsidRPr="002A3407">
          <w:rPr>
            <w:rStyle w:val="Hyperlink"/>
          </w:rPr>
          <w:t>http://www.gpo.gov/fdsys/pkg/PLAW-104publ113/pdf/PLAW-104publ113.pdf</w:t>
        </w:r>
      </w:hyperlink>
      <w:r>
        <w:t>.</w:t>
      </w:r>
    </w:p>
    <w:p w14:paraId="49D30F61" w14:textId="77777777" w:rsidR="00D53E6F" w:rsidRDefault="00D53E6F" w:rsidP="00D53E6F">
      <w:pPr>
        <w:spacing w:after="220" w:line="240" w:lineRule="auto"/>
      </w:pPr>
      <w:r w:rsidRPr="008E13AF">
        <w:t>U.S. Nuclear Regulatory Commission</w:t>
      </w:r>
      <w:r>
        <w:t xml:space="preserve"> (NRC), NUREG/CR-3568, “</w:t>
      </w:r>
      <w:r w:rsidRPr="002A3407">
        <w:t>A Handbook for Value-Impact Assessment</w:t>
      </w:r>
      <w:bookmarkEnd w:id="461"/>
      <w:r>
        <w:t xml:space="preserve">,” December 1983 </w:t>
      </w:r>
      <w:r w:rsidRPr="002A3407">
        <w:t>(ADAMS Accession No.</w:t>
      </w:r>
      <w:r>
        <w:t> </w:t>
      </w:r>
      <w:r w:rsidRPr="00961ABF">
        <w:t>ML062830096</w:t>
      </w:r>
      <w:r>
        <w:t>).</w:t>
      </w:r>
    </w:p>
    <w:p w14:paraId="4101E823" w14:textId="77777777" w:rsidR="00D53E6F" w:rsidRDefault="00D53E6F" w:rsidP="00D53E6F">
      <w:pPr>
        <w:spacing w:after="220" w:line="240" w:lineRule="auto"/>
        <w:rPr>
          <w:bCs/>
        </w:rPr>
      </w:pPr>
      <w:r>
        <w:rPr>
          <w:bCs/>
        </w:rPr>
        <w:t xml:space="preserve">NRC, “Safety Goals for the Operations of Nuclear Power Plants; Policy Statement; Republication,” August 1986, available at </w:t>
      </w:r>
      <w:hyperlink r:id="rId39" w:history="1">
        <w:r w:rsidRPr="00EB1079">
          <w:rPr>
            <w:rStyle w:val="Hyperlink"/>
            <w:bCs/>
          </w:rPr>
          <w:t>https://www.nrc.gov/reading-rm/doc-collections/commission/policy/51fr30028.pdf</w:t>
        </w:r>
      </w:hyperlink>
      <w:r>
        <w:rPr>
          <w:bCs/>
        </w:rPr>
        <w:t>.</w:t>
      </w:r>
    </w:p>
    <w:p w14:paraId="01334FC6" w14:textId="77777777" w:rsidR="00D53E6F" w:rsidRDefault="00D53E6F" w:rsidP="00D53E6F">
      <w:pPr>
        <w:spacing w:after="220" w:line="240" w:lineRule="auto"/>
      </w:pPr>
      <w:r>
        <w:rPr>
          <w:bCs/>
        </w:rPr>
        <w:t>NRC, Regulatory Guide (RG) </w:t>
      </w:r>
      <w:r w:rsidRPr="00253DDB">
        <w:rPr>
          <w:bCs/>
        </w:rPr>
        <w:t>1.99, “Radiation Embrittlement of Reactor Vessel Materials</w:t>
      </w:r>
      <w:r>
        <w:rPr>
          <w:bCs/>
        </w:rPr>
        <w:t>,</w:t>
      </w:r>
      <w:r w:rsidRPr="00253DDB">
        <w:rPr>
          <w:bCs/>
        </w:rPr>
        <w:t xml:space="preserve">” </w:t>
      </w:r>
      <w:r>
        <w:rPr>
          <w:bCs/>
        </w:rPr>
        <w:t xml:space="preserve">Revision 2, May 1988 (ADAMS Accession No. </w:t>
      </w:r>
      <w:r w:rsidRPr="00B23644">
        <w:rPr>
          <w:bCs/>
        </w:rPr>
        <w:t>ML15222B133</w:t>
      </w:r>
      <w:r>
        <w:rPr>
          <w:bCs/>
        </w:rPr>
        <w:t>).</w:t>
      </w:r>
    </w:p>
    <w:p w14:paraId="07C98ADD" w14:textId="77777777" w:rsidR="00D53E6F" w:rsidRDefault="00D53E6F" w:rsidP="00D53E6F">
      <w:pPr>
        <w:spacing w:afterLines="100" w:after="240" w:line="240" w:lineRule="auto"/>
      </w:pPr>
      <w:bookmarkStart w:id="464" w:name="_Ref393453849"/>
      <w:bookmarkStart w:id="465" w:name="_Ref453656185"/>
      <w:bookmarkEnd w:id="462"/>
      <w:bookmarkEnd w:id="463"/>
      <w:r>
        <w:t>NRC</w:t>
      </w:r>
      <w:r w:rsidRPr="00162AB6">
        <w:t xml:space="preserve">, Regulatory Issue Summary 2004-12, </w:t>
      </w:r>
      <w:r>
        <w:t>“</w:t>
      </w:r>
      <w:r w:rsidRPr="00162AB6">
        <w:t xml:space="preserve">Clarification on Use of Later Editions and Addenda to the ASME </w:t>
      </w:r>
      <w:r>
        <w:t>OM Code</w:t>
      </w:r>
      <w:r w:rsidRPr="00162AB6">
        <w:t xml:space="preserve"> and </w:t>
      </w:r>
      <w:r>
        <w:t>Section XI</w:t>
      </w:r>
      <w:r w:rsidRPr="00162AB6">
        <w:t>,</w:t>
      </w:r>
      <w:r>
        <w:t>”</w:t>
      </w:r>
      <w:r w:rsidRPr="00162AB6">
        <w:t xml:space="preserve"> July 28, 2004 (ADAMS Accession No.</w:t>
      </w:r>
      <w:r>
        <w:t> </w:t>
      </w:r>
      <w:r w:rsidRPr="00DA528E">
        <w:rPr>
          <w:color w:val="000000"/>
        </w:rPr>
        <w:t>ML042090436).</w:t>
      </w:r>
    </w:p>
    <w:p w14:paraId="59E0EC74" w14:textId="77777777" w:rsidR="00D53E6F" w:rsidRDefault="00D53E6F" w:rsidP="00D53E6F">
      <w:pPr>
        <w:spacing w:afterLines="100" w:after="240" w:line="240" w:lineRule="auto"/>
      </w:pPr>
      <w:r>
        <w:t>NRC,</w:t>
      </w:r>
      <w:r w:rsidRPr="00C22BAF">
        <w:t xml:space="preserve"> </w:t>
      </w:r>
      <w:r>
        <w:t xml:space="preserve">NUREG/CR-6933, </w:t>
      </w:r>
      <w:bookmarkStart w:id="466" w:name="_Hlk511937484"/>
      <w:r>
        <w:t>“Assessment of Crack Detection in Heavy-Walled Cast Stainless Steel Piping Welds Using Advanced Low-Frequency Ultrasonic Methods,” March 2007</w:t>
      </w:r>
      <w:bookmarkEnd w:id="466"/>
      <w:r>
        <w:t xml:space="preserve"> (ADAMS Accession No. </w:t>
      </w:r>
      <w:r w:rsidRPr="002F56E8">
        <w:t>ML071020409</w:t>
      </w:r>
      <w:r>
        <w:t>).</w:t>
      </w:r>
    </w:p>
    <w:bookmarkEnd w:id="464"/>
    <w:bookmarkEnd w:id="465"/>
    <w:p w14:paraId="24DC0E1F" w14:textId="77777777" w:rsidR="00D53E6F" w:rsidRDefault="00D53E6F" w:rsidP="00D53E6F">
      <w:pPr>
        <w:spacing w:afterLines="100" w:after="240" w:line="240" w:lineRule="auto"/>
      </w:pPr>
      <w:r>
        <w:t xml:space="preserve">NRC, </w:t>
      </w:r>
      <w:r>
        <w:rPr>
          <w:bCs/>
        </w:rPr>
        <w:t>RG </w:t>
      </w:r>
      <w:r w:rsidRPr="001D24C0">
        <w:rPr>
          <w:bCs/>
        </w:rPr>
        <w:t>1.193</w:t>
      </w:r>
      <w:r>
        <w:rPr>
          <w:bCs/>
        </w:rPr>
        <w:t>, “ASME Code Cases Not Approved for Use,”</w:t>
      </w:r>
      <w:r w:rsidRPr="001D24C0">
        <w:rPr>
          <w:bCs/>
        </w:rPr>
        <w:t xml:space="preserve"> </w:t>
      </w:r>
      <w:r>
        <w:rPr>
          <w:bCs/>
        </w:rPr>
        <w:t xml:space="preserve">Revision 3, </w:t>
      </w:r>
      <w:r w:rsidRPr="001D24C0">
        <w:rPr>
          <w:bCs/>
        </w:rPr>
        <w:t>October</w:t>
      </w:r>
      <w:r>
        <w:rPr>
          <w:bCs/>
        </w:rPr>
        <w:t> </w:t>
      </w:r>
      <w:r w:rsidRPr="001D24C0">
        <w:rPr>
          <w:bCs/>
        </w:rPr>
        <w:t>2010</w:t>
      </w:r>
      <w:r>
        <w:rPr>
          <w:bCs/>
        </w:rPr>
        <w:t xml:space="preserve"> </w:t>
      </w:r>
      <w:r>
        <w:t>(</w:t>
      </w:r>
      <w:r w:rsidRPr="00994752">
        <w:t>ADAMS</w:t>
      </w:r>
      <w:r w:rsidRPr="00E67BCC">
        <w:t xml:space="preserve"> Accession No.</w:t>
      </w:r>
      <w:r>
        <w:t> </w:t>
      </w:r>
      <w:r w:rsidRPr="00182518">
        <w:t>ML101800540</w:t>
      </w:r>
      <w:r>
        <w:t>)</w:t>
      </w:r>
      <w:r w:rsidRPr="00E67BCC">
        <w:t>.</w:t>
      </w:r>
    </w:p>
    <w:p w14:paraId="291693AE" w14:textId="1145DAB9" w:rsidR="00D53E6F" w:rsidRDefault="00D53E6F" w:rsidP="00D53E6F">
      <w:pPr>
        <w:spacing w:afterLines="100" w:after="240" w:line="240" w:lineRule="auto"/>
      </w:pPr>
      <w:bookmarkStart w:id="467" w:name="_Ref414002931"/>
      <w:r>
        <w:t xml:space="preserve">NRC, NUREG/CR-7122, “An Evaluation of Ultrasonic Phased Array Testing for Cast Austenitic Stainless Steel Pressurizer Surge Line Piping Welds,” March 2012 (ADAMS Accession No. </w:t>
      </w:r>
      <w:r w:rsidRPr="002F56E8">
        <w:t>ML12087A004</w:t>
      </w:r>
      <w:r>
        <w:t>).</w:t>
      </w:r>
    </w:p>
    <w:p w14:paraId="25DE8142" w14:textId="77777777" w:rsidR="00D53E6F" w:rsidRDefault="00D53E6F" w:rsidP="00D53E6F">
      <w:pPr>
        <w:spacing w:afterLines="100" w:after="240" w:line="240" w:lineRule="auto"/>
      </w:pPr>
      <w:bookmarkStart w:id="468" w:name="_Ref470010613"/>
      <w:bookmarkEnd w:id="467"/>
      <w:r>
        <w:t>NRC, RG 1.84,</w:t>
      </w:r>
      <w:r w:rsidRPr="00BD3549">
        <w:t xml:space="preserve"> “Design, Fabrication, and Materials Code Case Acceptability, ASME Section III,” </w:t>
      </w:r>
      <w:r>
        <w:t xml:space="preserve">Revision 37, March 2017a </w:t>
      </w:r>
      <w:r w:rsidRPr="00BD3549">
        <w:t xml:space="preserve">(ADAMS Accession </w:t>
      </w:r>
      <w:r>
        <w:t>No. </w:t>
      </w:r>
      <w:r w:rsidRPr="0079275D">
        <w:t>ML16321A335</w:t>
      </w:r>
      <w:r w:rsidRPr="00BD3549">
        <w:t>)</w:t>
      </w:r>
      <w:r>
        <w:t>.</w:t>
      </w:r>
    </w:p>
    <w:p w14:paraId="641182E9" w14:textId="77777777" w:rsidR="00D53E6F" w:rsidRDefault="00D53E6F" w:rsidP="00D53E6F">
      <w:pPr>
        <w:spacing w:afterLines="100" w:after="240" w:line="240" w:lineRule="auto"/>
      </w:pPr>
      <w:bookmarkStart w:id="469" w:name="_Ref393453617"/>
      <w:r>
        <w:t>NRC</w:t>
      </w:r>
      <w:r w:rsidRPr="00886A35">
        <w:t xml:space="preserve">, </w:t>
      </w:r>
      <w:r>
        <w:t>RG 1</w:t>
      </w:r>
      <w:r w:rsidRPr="00886A35">
        <w:t xml:space="preserve">.192, </w:t>
      </w:r>
      <w:r>
        <w:t>“</w:t>
      </w:r>
      <w:r w:rsidRPr="00886A35">
        <w:t xml:space="preserve">Operation and Maintenance Code Case Acceptability, ASME </w:t>
      </w:r>
      <w:r>
        <w:t>OM Code</w:t>
      </w:r>
      <w:r w:rsidRPr="00886A35">
        <w:t>,</w:t>
      </w:r>
      <w:r>
        <w:t>”</w:t>
      </w:r>
      <w:r w:rsidRPr="00886A35">
        <w:t xml:space="preserve"> </w:t>
      </w:r>
      <w:bookmarkEnd w:id="469"/>
      <w:r>
        <w:t xml:space="preserve">Revision 2, March 2017b </w:t>
      </w:r>
      <w:r w:rsidRPr="00BD3549">
        <w:t xml:space="preserve">(ADAMS Accession </w:t>
      </w:r>
      <w:r>
        <w:t>No. ML16321A337</w:t>
      </w:r>
      <w:r w:rsidRPr="00BD3549">
        <w:t>)</w:t>
      </w:r>
      <w:r>
        <w:t>.</w:t>
      </w:r>
    </w:p>
    <w:p w14:paraId="0ED81EDB" w14:textId="77777777" w:rsidR="00D53E6F" w:rsidRDefault="00D53E6F" w:rsidP="00D53E6F">
      <w:pPr>
        <w:spacing w:afterLines="100" w:after="240" w:line="240" w:lineRule="auto"/>
      </w:pPr>
      <w:r>
        <w:t>NRC, RG 1.147</w:t>
      </w:r>
      <w:r w:rsidRPr="00BD3549">
        <w:t>, “Inservice Inspection Code Case Acceptability, ASME Section</w:t>
      </w:r>
      <w:r>
        <w:t> </w:t>
      </w:r>
      <w:r w:rsidRPr="00BD3549">
        <w:t>XI, Division</w:t>
      </w:r>
      <w:r>
        <w:t> </w:t>
      </w:r>
      <w:r w:rsidRPr="00BD3549">
        <w:t xml:space="preserve">1,” </w:t>
      </w:r>
      <w:r>
        <w:t xml:space="preserve">Revision 18, March 2017c </w:t>
      </w:r>
      <w:r w:rsidRPr="00BD3549">
        <w:t xml:space="preserve">(ADAMS Accession </w:t>
      </w:r>
      <w:r>
        <w:t>No. ML16321A336</w:t>
      </w:r>
      <w:r w:rsidRPr="00BD3549">
        <w:t>)</w:t>
      </w:r>
      <w:r>
        <w:t>.</w:t>
      </w:r>
    </w:p>
    <w:p w14:paraId="142474DA" w14:textId="77777777" w:rsidR="00D53E6F" w:rsidRDefault="00D53E6F" w:rsidP="00D53E6F">
      <w:pPr>
        <w:spacing w:afterLines="100" w:after="240" w:line="240" w:lineRule="auto"/>
      </w:pPr>
      <w:r>
        <w:t>NRC</w:t>
      </w:r>
      <w:r w:rsidRPr="00D3212A">
        <w:t xml:space="preserve">, “Final Regulatory Analysis for Final Rule:  Incorporation by Reference of American Society of Mechanical Engineers Codes and Code Cases,” </w:t>
      </w:r>
      <w:r>
        <w:t>April 2017d</w:t>
      </w:r>
      <w:r w:rsidRPr="00D3212A">
        <w:t xml:space="preserve"> </w:t>
      </w:r>
      <w:r>
        <w:t>(</w:t>
      </w:r>
      <w:r w:rsidRPr="00D3212A">
        <w:t>ADAMS Accession No.</w:t>
      </w:r>
      <w:r>
        <w:t> </w:t>
      </w:r>
      <w:r w:rsidRPr="00D3212A">
        <w:t>ML16130A52</w:t>
      </w:r>
      <w:r>
        <w:t>2).</w:t>
      </w:r>
    </w:p>
    <w:p w14:paraId="55A39900" w14:textId="77777777" w:rsidR="00D53E6F" w:rsidRDefault="00D53E6F" w:rsidP="00D53E6F">
      <w:pPr>
        <w:spacing w:afterLines="100" w:after="240" w:line="240" w:lineRule="auto"/>
      </w:pPr>
      <w:r>
        <w:t xml:space="preserve">NRC, “Approval of </w:t>
      </w:r>
      <w:r w:rsidRPr="002A3407">
        <w:t>American Society of Mechanical Engineers</w:t>
      </w:r>
      <w:r>
        <w:t>’</w:t>
      </w:r>
      <w:r w:rsidRPr="002A3407">
        <w:t xml:space="preserve"> </w:t>
      </w:r>
      <w:r>
        <w:t>Code</w:t>
      </w:r>
      <w:r w:rsidRPr="002A3407">
        <w:t xml:space="preserve"> Cases; </w:t>
      </w:r>
      <w:r>
        <w:t>Final</w:t>
      </w:r>
      <w:r w:rsidRPr="002A3407">
        <w:t xml:space="preserve"> Rule,</w:t>
      </w:r>
      <w:r>
        <w:t>”</w:t>
      </w:r>
      <w:r w:rsidRPr="002A3407">
        <w:t xml:space="preserve"> </w:t>
      </w:r>
      <w:r>
        <w:t>August </w:t>
      </w:r>
      <w:r w:rsidRPr="002A3407">
        <w:t>201</w:t>
      </w:r>
      <w:r>
        <w:t>7e (</w:t>
      </w:r>
      <w:r w:rsidRPr="00BD3549">
        <w:t xml:space="preserve">ADAMS Accession </w:t>
      </w:r>
      <w:r>
        <w:t>No. </w:t>
      </w:r>
      <w:r w:rsidRPr="006F0B6B">
        <w:t>ML16285A012</w:t>
      </w:r>
      <w:r>
        <w:t>).</w:t>
      </w:r>
    </w:p>
    <w:p w14:paraId="00316B9F" w14:textId="77777777" w:rsidR="00D53E6F" w:rsidRDefault="00D53E6F" w:rsidP="00D53E6F">
      <w:pPr>
        <w:spacing w:afterLines="100" w:after="240" w:line="240" w:lineRule="auto"/>
      </w:pPr>
      <w:r>
        <w:t>NRC,</w:t>
      </w:r>
      <w:r w:rsidRPr="00942522">
        <w:t xml:space="preserve"> </w:t>
      </w:r>
      <w:r w:rsidRPr="002A3407">
        <w:t>NUREG/BR-0058,</w:t>
      </w:r>
      <w:r>
        <w:t xml:space="preserve"> “</w:t>
      </w:r>
      <w:r w:rsidRPr="002A3407">
        <w:t>Regulatory Analysis Guidelines of the U.S.</w:t>
      </w:r>
      <w:r>
        <w:t> </w:t>
      </w:r>
      <w:r w:rsidRPr="002A3407">
        <w:t>Nuclear Regulatory Commission,</w:t>
      </w:r>
      <w:r>
        <w:t>”</w:t>
      </w:r>
      <w:r w:rsidRPr="002A3407">
        <w:t xml:space="preserve"> </w:t>
      </w:r>
      <w:r>
        <w:t xml:space="preserve">draft </w:t>
      </w:r>
      <w:r w:rsidRPr="002A3407">
        <w:t>Rev</w:t>
      </w:r>
      <w:r>
        <w:t>ision 5</w:t>
      </w:r>
      <w:r w:rsidRPr="002A3407">
        <w:t xml:space="preserve">, </w:t>
      </w:r>
      <w:r>
        <w:t xml:space="preserve">March 28, 2018a </w:t>
      </w:r>
      <w:r w:rsidRPr="002A3407">
        <w:t>(ADAMS Accession No.</w:t>
      </w:r>
      <w:r>
        <w:t> </w:t>
      </w:r>
      <w:r w:rsidRPr="00DA528E">
        <w:rPr>
          <w:rStyle w:val="HTMLCite"/>
          <w:color w:val="auto"/>
          <w:lang w:val="en"/>
        </w:rPr>
        <w:t>ML</w:t>
      </w:r>
      <w:r>
        <w:rPr>
          <w:rStyle w:val="HTMLCite"/>
          <w:color w:val="auto"/>
          <w:lang w:val="en"/>
        </w:rPr>
        <w:t>17221A000 (package)</w:t>
      </w:r>
      <w:r w:rsidRPr="002A3407">
        <w:t>)</w:t>
      </w:r>
      <w:r>
        <w:t>.</w:t>
      </w:r>
      <w:bookmarkStart w:id="470" w:name="_Ref393449527"/>
      <w:bookmarkStart w:id="471" w:name="_Ref450037048"/>
      <w:bookmarkStart w:id="472" w:name="_Ref393449031"/>
    </w:p>
    <w:bookmarkEnd w:id="470"/>
    <w:bookmarkEnd w:id="471"/>
    <w:bookmarkEnd w:id="472"/>
    <w:p w14:paraId="02FA6558" w14:textId="77777777" w:rsidR="00D53E6F" w:rsidRDefault="00D53E6F" w:rsidP="00D53E6F">
      <w:pPr>
        <w:spacing w:afterLines="100" w:after="240" w:line="240" w:lineRule="auto"/>
      </w:pPr>
      <w:r>
        <w:t>NRC,</w:t>
      </w:r>
      <w:r w:rsidRPr="004F502C">
        <w:t xml:space="preserve"> “Charter</w:t>
      </w:r>
      <w:r>
        <w:t xml:space="preserve">:  </w:t>
      </w:r>
      <w:r w:rsidRPr="004F502C">
        <w:t>Committee to Review Ge</w:t>
      </w:r>
      <w:r>
        <w:t>neric Requirements,” Revision 9</w:t>
      </w:r>
      <w:r w:rsidRPr="004F502C">
        <w:t xml:space="preserve">, </w:t>
      </w:r>
      <w:r>
        <w:t>Washington, DC, June </w:t>
      </w:r>
      <w:r w:rsidRPr="004F502C">
        <w:t>201</w:t>
      </w:r>
      <w:r>
        <w:t xml:space="preserve">8b.  Available at </w:t>
      </w:r>
      <w:hyperlink r:id="rId40" w:history="1">
        <w:r w:rsidRPr="00992AE7">
          <w:rPr>
            <w:rStyle w:val="Hyperlink"/>
          </w:rPr>
          <w:t>https://www.nrc.gov/about-nrc/regulatory/crgr/charter.html</w:t>
        </w:r>
      </w:hyperlink>
      <w:r w:rsidRPr="004F502C">
        <w:t xml:space="preserve"> </w:t>
      </w:r>
      <w:r>
        <w:t>(</w:t>
      </w:r>
      <w:r w:rsidRPr="00994752">
        <w:t>ADAMS</w:t>
      </w:r>
      <w:r w:rsidRPr="00E67BCC">
        <w:t xml:space="preserve"> Accession No.</w:t>
      </w:r>
      <w:r>
        <w:t> </w:t>
      </w:r>
      <w:r w:rsidRPr="00994752">
        <w:t>ML1</w:t>
      </w:r>
      <w:r>
        <w:t>7355A532)</w:t>
      </w:r>
      <w:r w:rsidRPr="00E67BCC">
        <w:t>.</w:t>
      </w:r>
    </w:p>
    <w:p w14:paraId="5B0E8562" w14:textId="77777777" w:rsidR="00D53E6F" w:rsidRDefault="00D53E6F" w:rsidP="00D53E6F">
      <w:pPr>
        <w:spacing w:afterLines="100" w:after="240" w:line="240" w:lineRule="auto"/>
      </w:pPr>
      <w:r>
        <w:t xml:space="preserve">NRC, </w:t>
      </w:r>
      <w:r w:rsidRPr="002A3407">
        <w:t>NUREG</w:t>
      </w:r>
      <w:r>
        <w:noBreakHyphen/>
        <w:t>1350, “2018–2019 Information Digest,”</w:t>
      </w:r>
      <w:r w:rsidRPr="002A3407">
        <w:t xml:space="preserve"> </w:t>
      </w:r>
      <w:r>
        <w:t>Volume 30, August 2018c (</w:t>
      </w:r>
      <w:r w:rsidRPr="002A3407">
        <w:t>ADAMS Accession No.</w:t>
      </w:r>
      <w:r>
        <w:t> </w:t>
      </w:r>
      <w:r w:rsidRPr="00D9704B">
        <w:rPr>
          <w:rStyle w:val="HTMLCite"/>
          <w:color w:val="auto"/>
          <w:lang w:val="en"/>
        </w:rPr>
        <w:t>ML</w:t>
      </w:r>
      <w:r>
        <w:rPr>
          <w:rStyle w:val="HTMLCite"/>
          <w:color w:val="auto"/>
          <w:lang w:val="en"/>
        </w:rPr>
        <w:t>18226A101 (package))</w:t>
      </w:r>
      <w:r>
        <w:t>.</w:t>
      </w:r>
      <w:bookmarkEnd w:id="468"/>
    </w:p>
    <w:p w14:paraId="571FF374" w14:textId="77777777" w:rsidR="00D53E6F" w:rsidRDefault="00D53E6F" w:rsidP="00D53E6F">
      <w:pPr>
        <w:spacing w:afterLines="100" w:after="240" w:line="240" w:lineRule="auto"/>
      </w:pPr>
      <w:r>
        <w:t>NRC, RG 1.84,</w:t>
      </w:r>
      <w:r w:rsidRPr="00BD3549">
        <w:t xml:space="preserve"> “Design, Fabrication, and Materials Code Case Acceptability, ASME Section III,” </w:t>
      </w:r>
      <w:r>
        <w:t xml:space="preserve">Revision 38, 2019a </w:t>
      </w:r>
      <w:r w:rsidRPr="00BD3549">
        <w:t xml:space="preserve">(ADAMS Accession </w:t>
      </w:r>
      <w:r>
        <w:t>No. </w:t>
      </w:r>
      <w:r w:rsidRPr="00AD47A4">
        <w:t>ML19128A276</w:t>
      </w:r>
      <w:r w:rsidRPr="00BD3549">
        <w:t>)</w:t>
      </w:r>
      <w:r>
        <w:t>.</w:t>
      </w:r>
    </w:p>
    <w:p w14:paraId="7FCB9482" w14:textId="77777777" w:rsidR="00D53E6F" w:rsidRDefault="00D53E6F" w:rsidP="00D53E6F">
      <w:pPr>
        <w:spacing w:afterLines="100" w:after="240" w:line="240" w:lineRule="auto"/>
      </w:pPr>
      <w:r>
        <w:t>NRC</w:t>
      </w:r>
      <w:r w:rsidRPr="00886A35">
        <w:t xml:space="preserve">, </w:t>
      </w:r>
      <w:r>
        <w:t>RG 1</w:t>
      </w:r>
      <w:r w:rsidRPr="00886A35">
        <w:t xml:space="preserve">.192, </w:t>
      </w:r>
      <w:r>
        <w:t>“</w:t>
      </w:r>
      <w:r w:rsidRPr="00886A35">
        <w:t xml:space="preserve">Operation and Maintenance Code Case Acceptability, ASME </w:t>
      </w:r>
      <w:r>
        <w:t>OM Code</w:t>
      </w:r>
      <w:r w:rsidRPr="00886A35">
        <w:t>,</w:t>
      </w:r>
      <w:r>
        <w:t>”</w:t>
      </w:r>
      <w:r w:rsidRPr="00886A35">
        <w:t xml:space="preserve"> </w:t>
      </w:r>
      <w:r>
        <w:t xml:space="preserve">Revision 3, 2019b </w:t>
      </w:r>
      <w:r w:rsidRPr="00BD3549">
        <w:t xml:space="preserve">(ADAMS Accession </w:t>
      </w:r>
      <w:r>
        <w:t>No. </w:t>
      </w:r>
      <w:r w:rsidRPr="00AD47A4">
        <w:t>ML19128A261</w:t>
      </w:r>
      <w:r w:rsidRPr="00BD3549">
        <w:t>)</w:t>
      </w:r>
      <w:r>
        <w:t>.</w:t>
      </w:r>
    </w:p>
    <w:p w14:paraId="400D4A98" w14:textId="77777777" w:rsidR="00D53E6F" w:rsidRDefault="00D53E6F" w:rsidP="00D53E6F">
      <w:pPr>
        <w:spacing w:afterLines="100" w:after="240" w:line="240" w:lineRule="auto"/>
      </w:pPr>
      <w:r>
        <w:t>NRC, RG 1.147</w:t>
      </w:r>
      <w:r w:rsidRPr="00BD3549">
        <w:t>, “Inservice Inspection Code Case Acceptability, ASME Section</w:t>
      </w:r>
      <w:r>
        <w:t> </w:t>
      </w:r>
      <w:r w:rsidRPr="00BD3549">
        <w:t>XI, Division</w:t>
      </w:r>
      <w:r>
        <w:t> </w:t>
      </w:r>
      <w:r w:rsidRPr="00BD3549">
        <w:t xml:space="preserve">1,” </w:t>
      </w:r>
      <w:r>
        <w:t xml:space="preserve">Revision 19, 2019c </w:t>
      </w:r>
      <w:r w:rsidRPr="00BD3549">
        <w:t xml:space="preserve">(ADAMS Accession </w:t>
      </w:r>
      <w:r>
        <w:t>No. </w:t>
      </w:r>
      <w:r w:rsidRPr="00AD47A4">
        <w:t>ML19128A244</w:t>
      </w:r>
      <w:r w:rsidRPr="00BD3549">
        <w:t>)</w:t>
      </w:r>
      <w:r>
        <w:t>.</w:t>
      </w:r>
    </w:p>
    <w:p w14:paraId="58F37D5D" w14:textId="77777777" w:rsidR="00D53E6F" w:rsidRDefault="00D53E6F" w:rsidP="00D53E6F">
      <w:pPr>
        <w:spacing w:afterLines="100" w:after="240" w:line="240" w:lineRule="auto"/>
        <w:rPr>
          <w:rStyle w:val="Hyperlink"/>
        </w:rPr>
      </w:pPr>
      <w:r>
        <w:t>Office of Management and Budget (OMB),</w:t>
      </w:r>
      <w:r w:rsidRPr="002A3407">
        <w:t xml:space="preserve"> Circular No. A</w:t>
      </w:r>
      <w:r w:rsidRPr="002A3407">
        <w:noBreakHyphen/>
        <w:t xml:space="preserve">4, </w:t>
      </w:r>
      <w:r>
        <w:t>“</w:t>
      </w:r>
      <w:r w:rsidRPr="002A3407">
        <w:t>Regulatory Analysis,</w:t>
      </w:r>
      <w:r>
        <w:t>”</w:t>
      </w:r>
      <w:r w:rsidRPr="002A3407">
        <w:t xml:space="preserve"> September</w:t>
      </w:r>
      <w:r>
        <w:t> </w:t>
      </w:r>
      <w:r w:rsidRPr="002A3407">
        <w:t>2003</w:t>
      </w:r>
      <w:r>
        <w:t>.</w:t>
      </w:r>
      <w:r w:rsidRPr="000F418B">
        <w:t xml:space="preserve"> </w:t>
      </w:r>
      <w:r>
        <w:t xml:space="preserve"> </w:t>
      </w:r>
      <w:r w:rsidRPr="004F502C">
        <w:t>A</w:t>
      </w:r>
      <w:r>
        <w:t>vailable</w:t>
      </w:r>
      <w:r w:rsidRPr="00EE2413">
        <w:t xml:space="preserve"> at </w:t>
      </w:r>
      <w:hyperlink r:id="rId41" w:history="1">
        <w:r w:rsidRPr="00F144DE">
          <w:rPr>
            <w:rStyle w:val="Hyperlink"/>
          </w:rPr>
          <w:t>https://www.whitehouse.gov/sites/whitehouse.gov/files/omb/circulars/A4/a-4.pdf</w:t>
        </w:r>
      </w:hyperlink>
      <w:r w:rsidRPr="00C80453">
        <w:rPr>
          <w:rStyle w:val="Hyperlink"/>
          <w:color w:val="auto"/>
          <w:u w:val="none"/>
        </w:rPr>
        <w:t>.</w:t>
      </w:r>
    </w:p>
    <w:p w14:paraId="101D31F4" w14:textId="77777777" w:rsidR="00D53E6F" w:rsidRDefault="00D53E6F" w:rsidP="00D53E6F">
      <w:pPr>
        <w:spacing w:afterLines="100" w:after="240" w:line="240" w:lineRule="auto"/>
      </w:pPr>
      <w:r>
        <w:t>OMB,</w:t>
      </w:r>
      <w:r w:rsidRPr="000F4643">
        <w:t xml:space="preserve"> Circular </w:t>
      </w:r>
      <w:r>
        <w:t xml:space="preserve">No. </w:t>
      </w:r>
      <w:r w:rsidRPr="000F4643">
        <w:t xml:space="preserve">A-119, </w:t>
      </w:r>
      <w:r>
        <w:t>“</w:t>
      </w:r>
      <w:r w:rsidRPr="000F4643">
        <w:t>Federal Participation in the Development and Use of Voluntary Consensus Standards and in Conformity Assessment Activities,</w:t>
      </w:r>
      <w:r>
        <w:t>”</w:t>
      </w:r>
      <w:r w:rsidRPr="000F4643">
        <w:t xml:space="preserve"> </w:t>
      </w:r>
      <w:r>
        <w:t>January 27, 2016.  Available at</w:t>
      </w:r>
      <w:r w:rsidRPr="008006F8">
        <w:t xml:space="preserve"> </w:t>
      </w:r>
      <w:hyperlink r:id="rId42" w:history="1">
        <w:r w:rsidRPr="00942522">
          <w:rPr>
            <w:rStyle w:val="Hyperlink"/>
          </w:rPr>
          <w:t>https://www.federalregister.gov/documents/2016/01/27/2016-01606/revision-of-omb-circular-no-a-119-federal-participation-in-the-development-and-use-of-voluntary</w:t>
        </w:r>
      </w:hyperlink>
      <w:r w:rsidRPr="00C80453">
        <w:rPr>
          <w:color w:val="auto"/>
        </w:rPr>
        <w:t>.</w:t>
      </w:r>
    </w:p>
    <w:bookmarkEnd w:id="457"/>
    <w:bookmarkEnd w:id="458"/>
    <w:p w14:paraId="7B6A8017" w14:textId="68CB3C11" w:rsidR="00D53E6F" w:rsidRDefault="00D53E6F" w:rsidP="00D53E6F">
      <w:pPr>
        <w:spacing w:line="240" w:lineRule="auto"/>
      </w:pPr>
      <w:r>
        <w:rPr>
          <w:rFonts w:eastAsiaTheme="minorEastAsia"/>
          <w:lang w:eastAsia="ja-JP"/>
        </w:rPr>
        <w:t xml:space="preserve">Paperwork Reduction Act of 1980, Public Law 96-511.  Available at </w:t>
      </w:r>
      <w:hyperlink r:id="rId43" w:history="1">
        <w:r w:rsidRPr="00C1651D">
          <w:rPr>
            <w:rStyle w:val="Hyperlink"/>
            <w:rFonts w:eastAsiaTheme="minorEastAsia"/>
            <w:lang w:eastAsia="ja-JP"/>
          </w:rPr>
          <w:t>https://www.congress.gov/bill/96th-congress/house-bill/6410</w:t>
        </w:r>
      </w:hyperlink>
      <w:r>
        <w:rPr>
          <w:rFonts w:eastAsiaTheme="minorEastAsia"/>
          <w:lang w:eastAsia="ja-JP"/>
        </w:rPr>
        <w:t>.</w:t>
      </w:r>
    </w:p>
    <w:p w14:paraId="3FC0F0C3" w14:textId="77777777" w:rsidR="00D53E6F" w:rsidRPr="001D5BCE" w:rsidRDefault="00D53E6F" w:rsidP="00D53E6F">
      <w:pPr>
        <w:spacing w:line="240" w:lineRule="auto"/>
        <w:sectPr w:rsidR="00D53E6F" w:rsidRPr="001D5BCE" w:rsidSect="0026556F">
          <w:headerReference w:type="default" r:id="rId44"/>
          <w:footerReference w:type="default" r:id="rId45"/>
          <w:pgSz w:w="12240" w:h="15840"/>
          <w:pgMar w:top="1440" w:right="1440" w:bottom="1440" w:left="1440" w:header="720" w:footer="720" w:gutter="0"/>
          <w:pgNumType w:start="1"/>
          <w:cols w:space="720"/>
          <w:docGrid w:linePitch="360"/>
        </w:sectPr>
      </w:pPr>
    </w:p>
    <w:p w14:paraId="67E12CCC" w14:textId="77777777" w:rsidR="00D53E6F" w:rsidRDefault="00D53E6F" w:rsidP="00D53E6F">
      <w:pPr>
        <w:pStyle w:val="Heading1"/>
        <w:spacing w:line="240" w:lineRule="auto"/>
        <w:jc w:val="center"/>
      </w:pPr>
      <w:bookmarkStart w:id="473" w:name="_Toc12808910"/>
      <w:bookmarkStart w:id="474" w:name="_Toc456098367"/>
      <w:bookmarkStart w:id="475" w:name="_Ref448385102"/>
      <w:bookmarkStart w:id="476" w:name="_Ref448385111"/>
      <w:bookmarkStart w:id="477" w:name="_Ref448385113"/>
      <w:bookmarkStart w:id="478" w:name="_Ref448385138"/>
      <w:bookmarkStart w:id="479" w:name="_Toc457827380"/>
      <w:r w:rsidRPr="00C41D12">
        <w:t xml:space="preserve">APPENDIX </w:t>
      </w:r>
      <w:r>
        <w:t>A</w:t>
      </w:r>
      <w:bookmarkEnd w:id="473"/>
    </w:p>
    <w:p w14:paraId="448084A5" w14:textId="77777777" w:rsidR="00D53E6F" w:rsidRDefault="00D53E6F" w:rsidP="00D53E6F">
      <w:pPr>
        <w:pStyle w:val="Heading1"/>
        <w:spacing w:line="240" w:lineRule="auto"/>
        <w:jc w:val="center"/>
      </w:pPr>
      <w:bookmarkStart w:id="480" w:name="_Toc8381416"/>
      <w:bookmarkStart w:id="481" w:name="_Toc12808911"/>
      <w:r>
        <w:t xml:space="preserve">MAJOR ASSUMPTIONS AND </w:t>
      </w:r>
      <w:bookmarkEnd w:id="474"/>
      <w:r>
        <w:t>INPUT DATA</w:t>
      </w:r>
      <w:bookmarkEnd w:id="475"/>
      <w:bookmarkEnd w:id="476"/>
      <w:bookmarkEnd w:id="477"/>
      <w:bookmarkEnd w:id="478"/>
      <w:bookmarkEnd w:id="479"/>
      <w:bookmarkEnd w:id="480"/>
      <w:bookmarkEnd w:id="481"/>
    </w:p>
    <w:p w14:paraId="116D956C" w14:textId="77777777" w:rsidR="00D53E6F" w:rsidRDefault="00D53E6F" w:rsidP="00D53E6F">
      <w:pPr>
        <w:spacing w:line="240" w:lineRule="auto"/>
      </w:pPr>
    </w:p>
    <w:p w14:paraId="3409FDCB" w14:textId="77777777" w:rsidR="00D53E6F" w:rsidRDefault="00D53E6F" w:rsidP="00D53E6F">
      <w:pPr>
        <w:spacing w:line="240" w:lineRule="auto"/>
      </w:pPr>
      <w:r>
        <w:t xml:space="preserve">Table A-1 summarizes the major assumptions and input data used in the regulatory analysis, including the key analysis dates, number of entities, number of sites, applicability of the final rule, and labor rates. </w:t>
      </w:r>
    </w:p>
    <w:p w14:paraId="7E5A1901" w14:textId="77777777" w:rsidR="00D53E6F" w:rsidRDefault="00D53E6F" w:rsidP="00D53E6F">
      <w:pPr>
        <w:spacing w:line="240" w:lineRule="auto"/>
      </w:pPr>
    </w:p>
    <w:p w14:paraId="617E2768" w14:textId="77777777" w:rsidR="00D53E6F" w:rsidRPr="00C80453" w:rsidRDefault="00D53E6F" w:rsidP="00D53E6F">
      <w:pPr>
        <w:pStyle w:val="Caption"/>
        <w:spacing w:line="240" w:lineRule="auto"/>
        <w:jc w:val="center"/>
        <w:rPr>
          <w:b/>
        </w:rPr>
      </w:pPr>
      <w:r w:rsidRPr="00C80453">
        <w:rPr>
          <w:b/>
        </w:rPr>
        <w:t>Table A-1</w:t>
      </w:r>
      <w:r w:rsidRPr="00C80453">
        <w:rPr>
          <w:b/>
          <w:noProof/>
        </w:rPr>
        <w:t xml:space="preserve">  </w:t>
      </w:r>
      <w:r w:rsidRPr="00C80453">
        <w:rPr>
          <w:b/>
        </w:rPr>
        <w:t>Major Assumptions and Input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gridCol w:w="1170"/>
        <w:gridCol w:w="1800"/>
        <w:gridCol w:w="6475"/>
      </w:tblGrid>
      <w:tr w:rsidR="00D53E6F" w:rsidRPr="00D87F85" w14:paraId="1A55D706" w14:textId="77777777" w:rsidTr="004A7B59">
        <w:trPr>
          <w:trHeight w:val="288"/>
          <w:tblHeader/>
        </w:trPr>
        <w:tc>
          <w:tcPr>
            <w:tcW w:w="3505" w:type="dxa"/>
            <w:noWrap/>
            <w:vAlign w:val="center"/>
            <w:hideMark/>
          </w:tcPr>
          <w:p w14:paraId="3FBABE49" w14:textId="77777777" w:rsidR="00D53E6F" w:rsidRPr="004A5A16" w:rsidRDefault="00D53E6F" w:rsidP="00E91144">
            <w:pPr>
              <w:spacing w:line="240" w:lineRule="auto"/>
              <w:jc w:val="center"/>
              <w:rPr>
                <w:b/>
              </w:rPr>
            </w:pPr>
            <w:r w:rsidRPr="004A5A16">
              <w:rPr>
                <w:b/>
              </w:rPr>
              <w:t>Data Element</w:t>
            </w:r>
          </w:p>
        </w:tc>
        <w:tc>
          <w:tcPr>
            <w:tcW w:w="1170" w:type="dxa"/>
            <w:vAlign w:val="center"/>
            <w:hideMark/>
          </w:tcPr>
          <w:p w14:paraId="7A22D9DF" w14:textId="77777777" w:rsidR="00D53E6F" w:rsidRPr="004A5A16" w:rsidRDefault="00D53E6F" w:rsidP="00E91144">
            <w:pPr>
              <w:spacing w:line="240" w:lineRule="auto"/>
              <w:jc w:val="center"/>
              <w:rPr>
                <w:b/>
              </w:rPr>
            </w:pPr>
            <w:r w:rsidRPr="004A5A16">
              <w:rPr>
                <w:b/>
              </w:rPr>
              <w:t>Best Estimate</w:t>
            </w:r>
          </w:p>
        </w:tc>
        <w:tc>
          <w:tcPr>
            <w:tcW w:w="1800" w:type="dxa"/>
            <w:vAlign w:val="center"/>
            <w:hideMark/>
          </w:tcPr>
          <w:p w14:paraId="260D3AAC" w14:textId="77777777" w:rsidR="00D53E6F" w:rsidRPr="004A5A16" w:rsidRDefault="00D53E6F" w:rsidP="00E91144">
            <w:pPr>
              <w:spacing w:line="240" w:lineRule="auto"/>
              <w:jc w:val="center"/>
              <w:rPr>
                <w:b/>
              </w:rPr>
            </w:pPr>
            <w:r w:rsidRPr="004A5A16">
              <w:rPr>
                <w:b/>
              </w:rPr>
              <w:t>Unit</w:t>
            </w:r>
          </w:p>
        </w:tc>
        <w:tc>
          <w:tcPr>
            <w:tcW w:w="6475" w:type="dxa"/>
            <w:noWrap/>
            <w:vAlign w:val="center"/>
            <w:hideMark/>
          </w:tcPr>
          <w:p w14:paraId="6490994C" w14:textId="77777777" w:rsidR="00D53E6F" w:rsidRPr="004A5A16" w:rsidRDefault="00D53E6F" w:rsidP="00E91144">
            <w:pPr>
              <w:spacing w:line="240" w:lineRule="auto"/>
              <w:jc w:val="center"/>
              <w:rPr>
                <w:b/>
              </w:rPr>
            </w:pPr>
            <w:r w:rsidRPr="004A5A16">
              <w:rPr>
                <w:b/>
              </w:rPr>
              <w:t>Source or Basis of Estimate</w:t>
            </w:r>
          </w:p>
        </w:tc>
      </w:tr>
      <w:tr w:rsidR="00D53E6F" w:rsidRPr="00DF21F6" w14:paraId="6929EB7F" w14:textId="77777777" w:rsidTr="004A7B59">
        <w:trPr>
          <w:trHeight w:val="288"/>
        </w:trPr>
        <w:tc>
          <w:tcPr>
            <w:tcW w:w="12950" w:type="dxa"/>
            <w:gridSpan w:val="4"/>
            <w:noWrap/>
            <w:vAlign w:val="center"/>
            <w:hideMark/>
          </w:tcPr>
          <w:p w14:paraId="6A26AF8F" w14:textId="77777777" w:rsidR="00D53E6F" w:rsidRPr="00C80453" w:rsidRDefault="00D53E6F" w:rsidP="00E91144">
            <w:pPr>
              <w:spacing w:line="240" w:lineRule="auto"/>
              <w:rPr>
                <w:b/>
              </w:rPr>
            </w:pPr>
            <w:r w:rsidRPr="00C80453">
              <w:rPr>
                <w:b/>
              </w:rPr>
              <w:t>Key Analysis Dates</w:t>
            </w:r>
          </w:p>
        </w:tc>
      </w:tr>
      <w:tr w:rsidR="00D53E6F" w:rsidRPr="00DF21F6" w14:paraId="06282227" w14:textId="77777777" w:rsidTr="004A7B59">
        <w:trPr>
          <w:trHeight w:val="288"/>
        </w:trPr>
        <w:tc>
          <w:tcPr>
            <w:tcW w:w="3505" w:type="dxa"/>
            <w:noWrap/>
            <w:vAlign w:val="center"/>
            <w:hideMark/>
          </w:tcPr>
          <w:p w14:paraId="083C4C38" w14:textId="77777777" w:rsidR="00D53E6F" w:rsidRPr="006106D3" w:rsidRDefault="00D53E6F" w:rsidP="00E91144">
            <w:pPr>
              <w:spacing w:line="240" w:lineRule="auto"/>
            </w:pPr>
            <w:r>
              <w:t>Final</w:t>
            </w:r>
            <w:r w:rsidRPr="006106D3">
              <w:t xml:space="preserve"> </w:t>
            </w:r>
            <w:r>
              <w:t>r</w:t>
            </w:r>
            <w:r w:rsidRPr="006106D3">
              <w:t xml:space="preserve">ule </w:t>
            </w:r>
            <w:r>
              <w:t>e</w:t>
            </w:r>
            <w:r w:rsidRPr="006106D3">
              <w:t xml:space="preserve">ffective </w:t>
            </w:r>
            <w:r>
              <w:t>d</w:t>
            </w:r>
            <w:r w:rsidRPr="006106D3">
              <w:t>ate</w:t>
            </w:r>
          </w:p>
        </w:tc>
        <w:tc>
          <w:tcPr>
            <w:tcW w:w="1170" w:type="dxa"/>
            <w:vAlign w:val="center"/>
            <w:hideMark/>
          </w:tcPr>
          <w:p w14:paraId="0C44B519" w14:textId="77777777" w:rsidR="00D53E6F" w:rsidRPr="006106D3" w:rsidRDefault="00D53E6F" w:rsidP="004A7B59">
            <w:pPr>
              <w:spacing w:line="240" w:lineRule="auto"/>
              <w:jc w:val="center"/>
            </w:pPr>
            <w:r>
              <w:t>2019</w:t>
            </w:r>
          </w:p>
        </w:tc>
        <w:tc>
          <w:tcPr>
            <w:tcW w:w="1800" w:type="dxa"/>
            <w:vAlign w:val="center"/>
            <w:hideMark/>
          </w:tcPr>
          <w:p w14:paraId="42E42EC3" w14:textId="77777777" w:rsidR="00D53E6F" w:rsidRPr="006106D3" w:rsidRDefault="00D53E6F" w:rsidP="004A7B59">
            <w:pPr>
              <w:spacing w:line="240" w:lineRule="auto"/>
              <w:jc w:val="center"/>
            </w:pPr>
            <w:r w:rsidRPr="006106D3">
              <w:t>year</w:t>
            </w:r>
          </w:p>
        </w:tc>
        <w:tc>
          <w:tcPr>
            <w:tcW w:w="6475" w:type="dxa"/>
            <w:noWrap/>
            <w:vAlign w:val="center"/>
            <w:hideMark/>
          </w:tcPr>
          <w:p w14:paraId="46E2CEE6" w14:textId="77777777" w:rsidR="00D53E6F" w:rsidRPr="006106D3" w:rsidRDefault="00D53E6F" w:rsidP="00E91144">
            <w:pPr>
              <w:spacing w:line="240" w:lineRule="auto"/>
            </w:pPr>
            <w:r w:rsidRPr="006106D3">
              <w:t>NRC input</w:t>
            </w:r>
          </w:p>
        </w:tc>
      </w:tr>
      <w:tr w:rsidR="00D53E6F" w:rsidRPr="00DF21F6" w14:paraId="2D264E0F" w14:textId="77777777" w:rsidTr="004A7B59">
        <w:trPr>
          <w:trHeight w:val="288"/>
        </w:trPr>
        <w:tc>
          <w:tcPr>
            <w:tcW w:w="3505" w:type="dxa"/>
            <w:noWrap/>
            <w:vAlign w:val="center"/>
            <w:hideMark/>
          </w:tcPr>
          <w:p w14:paraId="4CB2E86A" w14:textId="77777777" w:rsidR="00D53E6F" w:rsidRPr="006106D3" w:rsidRDefault="00D53E6F" w:rsidP="00E91144">
            <w:pPr>
              <w:spacing w:line="240" w:lineRule="auto"/>
            </w:pPr>
            <w:r w:rsidRPr="006106D3">
              <w:t xml:space="preserve">Analysis </w:t>
            </w:r>
            <w:r>
              <w:t>b</w:t>
            </w:r>
            <w:r w:rsidRPr="006106D3">
              <w:t xml:space="preserve">ase </w:t>
            </w:r>
            <w:r>
              <w:t>y</w:t>
            </w:r>
            <w:r w:rsidRPr="006106D3">
              <w:t>ear</w:t>
            </w:r>
          </w:p>
        </w:tc>
        <w:tc>
          <w:tcPr>
            <w:tcW w:w="1170" w:type="dxa"/>
            <w:noWrap/>
            <w:vAlign w:val="center"/>
            <w:hideMark/>
          </w:tcPr>
          <w:p w14:paraId="068B17D5" w14:textId="77777777" w:rsidR="00D53E6F" w:rsidRPr="006106D3" w:rsidRDefault="00D53E6F" w:rsidP="004A7B59">
            <w:pPr>
              <w:spacing w:line="240" w:lineRule="auto"/>
              <w:jc w:val="center"/>
            </w:pPr>
            <w:r>
              <w:t>2019</w:t>
            </w:r>
          </w:p>
        </w:tc>
        <w:tc>
          <w:tcPr>
            <w:tcW w:w="1800" w:type="dxa"/>
            <w:noWrap/>
            <w:vAlign w:val="center"/>
            <w:hideMark/>
          </w:tcPr>
          <w:p w14:paraId="211DFA62" w14:textId="77777777" w:rsidR="00D53E6F" w:rsidRPr="006106D3" w:rsidRDefault="00D53E6F" w:rsidP="004A7B59">
            <w:pPr>
              <w:spacing w:line="240" w:lineRule="auto"/>
              <w:jc w:val="center"/>
            </w:pPr>
            <w:r w:rsidRPr="006106D3">
              <w:t>year</w:t>
            </w:r>
          </w:p>
        </w:tc>
        <w:tc>
          <w:tcPr>
            <w:tcW w:w="6475" w:type="dxa"/>
            <w:noWrap/>
            <w:vAlign w:val="center"/>
            <w:hideMark/>
          </w:tcPr>
          <w:p w14:paraId="161B3754" w14:textId="77777777" w:rsidR="00D53E6F" w:rsidRPr="006106D3" w:rsidRDefault="00D53E6F" w:rsidP="00E91144">
            <w:pPr>
              <w:spacing w:line="240" w:lineRule="auto"/>
            </w:pPr>
            <w:r w:rsidRPr="006106D3">
              <w:t>NRC input</w:t>
            </w:r>
          </w:p>
        </w:tc>
      </w:tr>
      <w:tr w:rsidR="00D53E6F" w:rsidRPr="00DF21F6" w14:paraId="2C5ECA6E" w14:textId="77777777" w:rsidTr="004A7B59">
        <w:trPr>
          <w:trHeight w:val="288"/>
        </w:trPr>
        <w:tc>
          <w:tcPr>
            <w:tcW w:w="12950" w:type="dxa"/>
            <w:gridSpan w:val="4"/>
            <w:noWrap/>
            <w:vAlign w:val="center"/>
            <w:hideMark/>
          </w:tcPr>
          <w:p w14:paraId="4DCF7F98" w14:textId="77777777" w:rsidR="00D53E6F" w:rsidRPr="00C80453" w:rsidRDefault="00D53E6F" w:rsidP="00E91144">
            <w:pPr>
              <w:spacing w:line="240" w:lineRule="auto"/>
              <w:rPr>
                <w:b/>
              </w:rPr>
            </w:pPr>
            <w:r w:rsidRPr="00C80453">
              <w:rPr>
                <w:b/>
              </w:rPr>
              <w:t>Number of Entities</w:t>
            </w:r>
          </w:p>
        </w:tc>
      </w:tr>
      <w:tr w:rsidR="00D53E6F" w:rsidRPr="00DF21F6" w14:paraId="2438B1F1" w14:textId="77777777" w:rsidTr="004A7B59">
        <w:trPr>
          <w:trHeight w:val="890"/>
        </w:trPr>
        <w:tc>
          <w:tcPr>
            <w:tcW w:w="3505" w:type="dxa"/>
            <w:noWrap/>
            <w:vAlign w:val="center"/>
            <w:hideMark/>
          </w:tcPr>
          <w:p w14:paraId="4B889A21" w14:textId="77777777" w:rsidR="00D53E6F" w:rsidRPr="006106D3" w:rsidRDefault="00D53E6F" w:rsidP="00E91144">
            <w:pPr>
              <w:spacing w:line="240" w:lineRule="auto"/>
            </w:pPr>
            <w:r w:rsidRPr="006106D3">
              <w:t xml:space="preserve">Number of operating reactor units in </w:t>
            </w:r>
            <w:r>
              <w:t>2020</w:t>
            </w:r>
          </w:p>
        </w:tc>
        <w:tc>
          <w:tcPr>
            <w:tcW w:w="1170" w:type="dxa"/>
            <w:noWrap/>
            <w:vAlign w:val="center"/>
            <w:hideMark/>
          </w:tcPr>
          <w:p w14:paraId="528DB85B" w14:textId="77777777" w:rsidR="00D53E6F" w:rsidRPr="006106D3" w:rsidRDefault="00D53E6F" w:rsidP="004A7B59">
            <w:pPr>
              <w:spacing w:line="240" w:lineRule="auto"/>
              <w:jc w:val="center"/>
            </w:pPr>
            <w:r>
              <w:t>93</w:t>
            </w:r>
          </w:p>
        </w:tc>
        <w:tc>
          <w:tcPr>
            <w:tcW w:w="1800" w:type="dxa"/>
            <w:noWrap/>
            <w:vAlign w:val="center"/>
            <w:hideMark/>
          </w:tcPr>
          <w:p w14:paraId="21E66921" w14:textId="77777777" w:rsidR="00D53E6F" w:rsidRPr="006106D3" w:rsidRDefault="00D53E6F" w:rsidP="004A7B59">
            <w:pPr>
              <w:spacing w:line="240" w:lineRule="auto"/>
              <w:jc w:val="center"/>
            </w:pPr>
            <w:r w:rsidRPr="006106D3">
              <w:t>units</w:t>
            </w:r>
          </w:p>
        </w:tc>
        <w:tc>
          <w:tcPr>
            <w:tcW w:w="6475" w:type="dxa"/>
            <w:vAlign w:val="center"/>
            <w:hideMark/>
          </w:tcPr>
          <w:p w14:paraId="1F5BEA50" w14:textId="63111249" w:rsidR="00D53E6F" w:rsidRPr="006106D3" w:rsidRDefault="00D53E6F" w:rsidP="00D3644C">
            <w:pPr>
              <w:spacing w:line="240" w:lineRule="auto"/>
            </w:pPr>
            <w:r>
              <w:t>Calculation.  Based on Appendix A to NUREG</w:t>
            </w:r>
            <w:r>
              <w:noBreakHyphen/>
              <w:t>1350, “2018</w:t>
            </w:r>
            <w:r w:rsidR="00A53A82">
              <w:noBreakHyphen/>
            </w:r>
            <w:r>
              <w:t>2019 Information Digest,” Volume 30, issued August 2018</w:t>
            </w:r>
            <w:r w:rsidRPr="002A3407">
              <w:t xml:space="preserve"> </w:t>
            </w:r>
            <w:r>
              <w:t>(NRC 2018c).</w:t>
            </w:r>
          </w:p>
        </w:tc>
      </w:tr>
      <w:tr w:rsidR="00D53E6F" w:rsidRPr="00DF21F6" w14:paraId="6C76FBA5" w14:textId="77777777" w:rsidTr="004A7B59">
        <w:trPr>
          <w:trHeight w:val="710"/>
        </w:trPr>
        <w:tc>
          <w:tcPr>
            <w:tcW w:w="3505" w:type="dxa"/>
            <w:noWrap/>
            <w:vAlign w:val="center"/>
            <w:hideMark/>
          </w:tcPr>
          <w:p w14:paraId="2E0F2AD7" w14:textId="77777777" w:rsidR="00D53E6F" w:rsidRPr="006106D3" w:rsidRDefault="00D53E6F" w:rsidP="00E91144">
            <w:pPr>
              <w:spacing w:line="240" w:lineRule="auto"/>
            </w:pPr>
            <w:r w:rsidRPr="006106D3">
              <w:t xml:space="preserve">Number of </w:t>
            </w:r>
            <w:r>
              <w:t xml:space="preserve">forecasted </w:t>
            </w:r>
            <w:r w:rsidRPr="006106D3">
              <w:t xml:space="preserve">operating reactor units in </w:t>
            </w:r>
            <w:r>
              <w:t>2025</w:t>
            </w:r>
          </w:p>
        </w:tc>
        <w:tc>
          <w:tcPr>
            <w:tcW w:w="1170" w:type="dxa"/>
            <w:noWrap/>
            <w:vAlign w:val="center"/>
            <w:hideMark/>
          </w:tcPr>
          <w:p w14:paraId="16EB4E1A" w14:textId="77777777" w:rsidR="00D53E6F" w:rsidRPr="006106D3" w:rsidRDefault="00D53E6F" w:rsidP="00560F67">
            <w:pPr>
              <w:spacing w:line="240" w:lineRule="auto"/>
              <w:jc w:val="center"/>
            </w:pPr>
            <w:r>
              <w:t>88</w:t>
            </w:r>
          </w:p>
        </w:tc>
        <w:tc>
          <w:tcPr>
            <w:tcW w:w="1800" w:type="dxa"/>
            <w:noWrap/>
            <w:vAlign w:val="center"/>
            <w:hideMark/>
          </w:tcPr>
          <w:p w14:paraId="030AEEDD" w14:textId="500D2CC8" w:rsidR="00D53E6F" w:rsidRPr="00283379" w:rsidRDefault="00D53E6F" w:rsidP="00560F67">
            <w:pPr>
              <w:spacing w:line="240" w:lineRule="auto"/>
              <w:jc w:val="center"/>
            </w:pPr>
            <w:r w:rsidRPr="006106D3">
              <w:t>units</w:t>
            </w:r>
          </w:p>
        </w:tc>
        <w:tc>
          <w:tcPr>
            <w:tcW w:w="6475" w:type="dxa"/>
            <w:vAlign w:val="center"/>
            <w:hideMark/>
          </w:tcPr>
          <w:p w14:paraId="557A50FA" w14:textId="00F966CE" w:rsidR="00D53E6F" w:rsidRPr="000774FB" w:rsidRDefault="00D53E6F" w:rsidP="00E91144">
            <w:pPr>
              <w:spacing w:line="240" w:lineRule="auto"/>
            </w:pPr>
            <w:r w:rsidRPr="000774FB">
              <w:t>Assumption.  Based on NUREG-1350, Appendix A, (NRC 2018c).</w:t>
            </w:r>
          </w:p>
          <w:p w14:paraId="5081659B" w14:textId="77777777" w:rsidR="00D53E6F" w:rsidRPr="000774FB" w:rsidRDefault="00D53E6F" w:rsidP="00E91144">
            <w:pPr>
              <w:spacing w:line="240" w:lineRule="auto"/>
            </w:pPr>
          </w:p>
          <w:p w14:paraId="0F23D38A" w14:textId="4D10F3F9" w:rsidR="00D53E6F" w:rsidRPr="000774FB" w:rsidRDefault="000774FB" w:rsidP="00E91144">
            <w:pPr>
              <w:spacing w:line="240" w:lineRule="auto"/>
            </w:pPr>
            <w:r w:rsidRPr="000774FB">
              <w:t xml:space="preserve">The Pilgrim Nuclear Power Station and the Three Mile Island Nuclear Station, Unit 1, closed in 2019.  </w:t>
            </w:r>
            <w:r w:rsidR="00173B30">
              <w:t>The NRC</w:t>
            </w:r>
            <w:r w:rsidRPr="000774FB">
              <w:t xml:space="preserve"> assumes that </w:t>
            </w:r>
            <w:r w:rsidRPr="000774FB">
              <w:rPr>
                <w:rStyle w:val="Hyperlink"/>
                <w:color w:val="auto"/>
                <w:u w:val="none"/>
              </w:rPr>
              <w:t>Davis</w:t>
            </w:r>
            <w:r w:rsidRPr="000774FB">
              <w:rPr>
                <w:rStyle w:val="Hyperlink"/>
                <w:color w:val="auto"/>
                <w:u w:val="none"/>
              </w:rPr>
              <w:noBreakHyphen/>
              <w:t xml:space="preserve">Besse Nuclear Power Station, Unit 1, will close in 2020 based on FirstEnergy Nuclear Operating Company’s announcement </w:t>
            </w:r>
            <w:r w:rsidRPr="000774FB">
              <w:t>(</w:t>
            </w:r>
            <w:hyperlink r:id="rId46" w:history="1">
              <w:r w:rsidRPr="000774FB">
                <w:rPr>
                  <w:rStyle w:val="Hyperlink"/>
                </w:rPr>
                <w:t>http://www.firstenergycorp.com</w:t>
              </w:r>
            </w:hyperlink>
            <w:r w:rsidRPr="000774FB">
              <w:t>) and that Duane Arnold Energy Center will close in 2020 based on NextEra Energy Resources’ announcement (</w:t>
            </w:r>
            <w:hyperlink r:id="rId47" w:history="1">
              <w:r w:rsidRPr="000774FB">
                <w:rPr>
                  <w:rStyle w:val="Hyperlink"/>
                </w:rPr>
                <w:t>https://www.nexteraenergyresources.com</w:t>
              </w:r>
            </w:hyperlink>
            <w:r w:rsidRPr="000774FB">
              <w:t xml:space="preserve">).  </w:t>
            </w:r>
            <w:r w:rsidR="00173B30">
              <w:t>The NRC</w:t>
            </w:r>
            <w:r w:rsidRPr="000774FB">
              <w:t xml:space="preserve"> assumes that Perry Nuclear power Plant, Unit 1, and Beaver Valley Power Station, Units 1 and 2, will shut down in 2021, based on </w:t>
            </w:r>
            <w:r w:rsidRPr="000774FB">
              <w:rPr>
                <w:rStyle w:val="Hyperlink"/>
                <w:color w:val="auto"/>
                <w:u w:val="none"/>
              </w:rPr>
              <w:t xml:space="preserve">FirstEnergy Nuclear Operating Company’s announcement </w:t>
            </w:r>
            <w:r w:rsidRPr="000774FB">
              <w:t>(</w:t>
            </w:r>
            <w:hyperlink r:id="rId48" w:history="1">
              <w:r w:rsidRPr="000774FB">
                <w:rPr>
                  <w:rStyle w:val="Hyperlink"/>
                </w:rPr>
                <w:t>http://www.firstenergycorp.com</w:t>
              </w:r>
            </w:hyperlink>
            <w:r w:rsidRPr="000774FB">
              <w:t xml:space="preserve">).  </w:t>
            </w:r>
            <w:r w:rsidR="00173B30">
              <w:t>The NRC</w:t>
            </w:r>
            <w:r w:rsidRPr="000774FB">
              <w:t xml:space="preserve"> assumes that Indian Point Nuclear Generating Station (Indian Point), Unit 2, will shut down in 2020; Indian Point, Unit 3, will shut down in 2021; and Palisades Nuclear Plant will shut down in 2022, based on Entergy Nuclear Operations, Inc.’s, announcement (</w:t>
            </w:r>
            <w:hyperlink r:id="rId49" w:history="1">
              <w:r w:rsidRPr="000774FB">
                <w:rPr>
                  <w:rStyle w:val="Hyperlink"/>
                </w:rPr>
                <w:t>http://www.entergy.com</w:t>
              </w:r>
            </w:hyperlink>
            <w:r w:rsidRPr="000774FB">
              <w:rPr>
                <w:rStyle w:val="Hyperlink"/>
                <w:u w:val="none"/>
              </w:rPr>
              <w:t>).</w:t>
            </w:r>
            <w:r w:rsidRPr="000774FB">
              <w:t xml:space="preserve">  </w:t>
            </w:r>
            <w:r w:rsidR="00173B30">
              <w:t>The NRC</w:t>
            </w:r>
            <w:r w:rsidRPr="000774FB">
              <w:t xml:space="preserve"> assumes Diablo Canyon Power Plant, Units 1 and 2, will shut down in 2024 and 2025, respectively, based on Pacific Gas &amp; Electric Company’s announcement (</w:t>
            </w:r>
            <w:r w:rsidRPr="000774FB">
              <w:rPr>
                <w:rStyle w:val="Hyperlink"/>
              </w:rPr>
              <w:t>http://</w:t>
            </w:r>
            <w:hyperlink r:id="rId50" w:history="1">
              <w:r w:rsidRPr="000774FB">
                <w:rPr>
                  <w:rStyle w:val="Hyperlink"/>
                </w:rPr>
                <w:t>www</w:t>
              </w:r>
            </w:hyperlink>
            <w:r w:rsidRPr="000774FB">
              <w:rPr>
                <w:rStyle w:val="Hyperlink"/>
              </w:rPr>
              <w:t>.pge.com</w:t>
            </w:r>
            <w:r w:rsidRPr="000774FB">
              <w:t>).</w:t>
            </w:r>
          </w:p>
        </w:tc>
      </w:tr>
      <w:tr w:rsidR="00D53E6F" w:rsidRPr="00DF21F6" w14:paraId="7094A786" w14:textId="77777777" w:rsidTr="004A7B59">
        <w:trPr>
          <w:trHeight w:val="288"/>
        </w:trPr>
        <w:tc>
          <w:tcPr>
            <w:tcW w:w="12950" w:type="dxa"/>
            <w:gridSpan w:val="4"/>
            <w:noWrap/>
            <w:vAlign w:val="center"/>
            <w:hideMark/>
          </w:tcPr>
          <w:p w14:paraId="7AB443A9" w14:textId="77777777" w:rsidR="00D53E6F" w:rsidRPr="00C80453" w:rsidRDefault="00D53E6F" w:rsidP="00E91144">
            <w:pPr>
              <w:spacing w:line="240" w:lineRule="auto"/>
              <w:rPr>
                <w:b/>
              </w:rPr>
            </w:pPr>
            <w:r w:rsidRPr="00C80453">
              <w:rPr>
                <w:b/>
              </w:rPr>
              <w:t>Number of Sites</w:t>
            </w:r>
          </w:p>
        </w:tc>
      </w:tr>
      <w:tr w:rsidR="00D53E6F" w:rsidRPr="00DF21F6" w14:paraId="7D547452" w14:textId="77777777" w:rsidTr="004A7B59">
        <w:trPr>
          <w:trHeight w:val="864"/>
        </w:trPr>
        <w:tc>
          <w:tcPr>
            <w:tcW w:w="3505" w:type="dxa"/>
            <w:noWrap/>
            <w:vAlign w:val="center"/>
            <w:hideMark/>
          </w:tcPr>
          <w:p w14:paraId="11EBA6B6" w14:textId="4B9E02C7" w:rsidR="00D53E6F" w:rsidRPr="006106D3" w:rsidRDefault="00D53E6F" w:rsidP="00D3644C">
            <w:pPr>
              <w:spacing w:line="240" w:lineRule="auto"/>
            </w:pPr>
            <w:r>
              <w:t>Number of s</w:t>
            </w:r>
            <w:r w:rsidRPr="006106D3">
              <w:t xml:space="preserve">ites with operating reactors in </w:t>
            </w:r>
            <w:r>
              <w:t>2020</w:t>
            </w:r>
          </w:p>
        </w:tc>
        <w:tc>
          <w:tcPr>
            <w:tcW w:w="1170" w:type="dxa"/>
            <w:noWrap/>
            <w:vAlign w:val="center"/>
            <w:hideMark/>
          </w:tcPr>
          <w:p w14:paraId="18673E4E" w14:textId="77777777" w:rsidR="00D53E6F" w:rsidRPr="006106D3" w:rsidRDefault="00D53E6F" w:rsidP="004A7B59">
            <w:pPr>
              <w:spacing w:line="240" w:lineRule="auto"/>
              <w:jc w:val="center"/>
            </w:pPr>
            <w:r>
              <w:t>57</w:t>
            </w:r>
          </w:p>
        </w:tc>
        <w:tc>
          <w:tcPr>
            <w:tcW w:w="1800" w:type="dxa"/>
            <w:noWrap/>
            <w:vAlign w:val="center"/>
            <w:hideMark/>
          </w:tcPr>
          <w:p w14:paraId="4BCDF3ED" w14:textId="77777777" w:rsidR="00D53E6F" w:rsidRPr="006106D3" w:rsidRDefault="00D53E6F" w:rsidP="004A7B59">
            <w:pPr>
              <w:spacing w:line="240" w:lineRule="auto"/>
              <w:jc w:val="center"/>
            </w:pPr>
            <w:r w:rsidRPr="006106D3">
              <w:t>sites</w:t>
            </w:r>
          </w:p>
        </w:tc>
        <w:tc>
          <w:tcPr>
            <w:tcW w:w="6475" w:type="dxa"/>
            <w:vAlign w:val="center"/>
            <w:hideMark/>
          </w:tcPr>
          <w:p w14:paraId="3713B0C7" w14:textId="2E9852DC" w:rsidR="00D53E6F" w:rsidRDefault="00D53E6F" w:rsidP="00E91144">
            <w:pPr>
              <w:spacing w:line="240" w:lineRule="auto"/>
            </w:pPr>
            <w:r w:rsidRPr="006106D3">
              <w:t>Calculation</w:t>
            </w:r>
            <w:r>
              <w:t xml:space="preserve">:  </w:t>
            </w:r>
            <w:r w:rsidRPr="006106D3">
              <w:t>[total number of sites with operating reactors]</w:t>
            </w:r>
            <w:r>
              <w:t xml:space="preserve"> + [sites with construction completed in 2019</w:t>
            </w:r>
            <w:r w:rsidR="002F7B9A">
              <w:t xml:space="preserve"> and 2020</w:t>
            </w:r>
            <w:r>
              <w:t>]</w:t>
            </w:r>
            <w:r w:rsidRPr="006106D3">
              <w:t xml:space="preserve"> - [sites with unit</w:t>
            </w:r>
            <w:r>
              <w:t>s</w:t>
            </w:r>
            <w:r w:rsidRPr="006106D3">
              <w:t xml:space="preserve"> closed in </w:t>
            </w:r>
            <w:r>
              <w:t>2019</w:t>
            </w:r>
            <w:r w:rsidRPr="006106D3">
              <w:t>]</w:t>
            </w:r>
          </w:p>
          <w:p w14:paraId="0971886E" w14:textId="77777777" w:rsidR="00D53E6F" w:rsidRDefault="00D53E6F" w:rsidP="00E91144">
            <w:pPr>
              <w:spacing w:line="240" w:lineRule="auto"/>
            </w:pPr>
          </w:p>
          <w:p w14:paraId="638B9809" w14:textId="77777777" w:rsidR="00D53E6F" w:rsidRPr="006106D3" w:rsidRDefault="00D53E6F" w:rsidP="00E91144">
            <w:pPr>
              <w:spacing w:line="240" w:lineRule="auto"/>
            </w:pPr>
            <w:r w:rsidRPr="006106D3">
              <w:t xml:space="preserve">Information on operating reactor sites was obtained from </w:t>
            </w:r>
            <w:r>
              <w:t xml:space="preserve">the </w:t>
            </w:r>
            <w:r w:rsidRPr="006106D3">
              <w:t>NRC</w:t>
            </w:r>
            <w:r>
              <w:t>’s Web site,</w:t>
            </w:r>
            <w:r w:rsidRPr="006106D3">
              <w:t xml:space="preserve"> </w:t>
            </w:r>
            <w:r>
              <w:t>“</w:t>
            </w:r>
            <w:r w:rsidRPr="006106D3">
              <w:t>Operating Nuclear Power Reactors (by Location or Name)</w:t>
            </w:r>
            <w:r>
              <w:t>,”</w:t>
            </w:r>
            <w:r w:rsidRPr="006106D3">
              <w:t xml:space="preserve"> at</w:t>
            </w:r>
            <w:r>
              <w:t xml:space="preserve"> </w:t>
            </w:r>
            <w:hyperlink r:id="rId51" w:history="1">
              <w:r w:rsidRPr="004C33BB">
                <w:rPr>
                  <w:rStyle w:val="Hyperlink"/>
                </w:rPr>
                <w:t>http://www.nrc.gov/info-finder/reactor/</w:t>
              </w:r>
            </w:hyperlink>
            <w:r>
              <w:rPr>
                <w:rStyle w:val="Hyperlink"/>
              </w:rPr>
              <w:t xml:space="preserve"> </w:t>
            </w:r>
            <w:r>
              <w:t>(</w:t>
            </w:r>
            <w:r w:rsidRPr="006106D3">
              <w:t xml:space="preserve">last accessed on </w:t>
            </w:r>
            <w:r>
              <w:t>April 2</w:t>
            </w:r>
            <w:r w:rsidRPr="006106D3">
              <w:t>,</w:t>
            </w:r>
            <w:r>
              <w:t> 2019) (d</w:t>
            </w:r>
            <w:r w:rsidRPr="006106D3">
              <w:t xml:space="preserve">ata current as of </w:t>
            </w:r>
            <w:r>
              <w:t>December 31, 2018)</w:t>
            </w:r>
            <w:r w:rsidRPr="006106D3">
              <w:t>.</w:t>
            </w:r>
          </w:p>
        </w:tc>
      </w:tr>
      <w:tr w:rsidR="00D53E6F" w:rsidRPr="00DF21F6" w14:paraId="5049EF95" w14:textId="77777777" w:rsidTr="004A7B59">
        <w:trPr>
          <w:trHeight w:val="864"/>
        </w:trPr>
        <w:tc>
          <w:tcPr>
            <w:tcW w:w="3505" w:type="dxa"/>
            <w:noWrap/>
            <w:vAlign w:val="center"/>
            <w:hideMark/>
          </w:tcPr>
          <w:p w14:paraId="2BFF72F0" w14:textId="24AF9817" w:rsidR="00D53E6F" w:rsidRPr="006106D3" w:rsidRDefault="00D53E6F" w:rsidP="002F7B9A">
            <w:pPr>
              <w:spacing w:line="240" w:lineRule="auto"/>
            </w:pPr>
            <w:r>
              <w:t>Number of s</w:t>
            </w:r>
            <w:r w:rsidRPr="006106D3">
              <w:t xml:space="preserve">ites </w:t>
            </w:r>
            <w:r>
              <w:t xml:space="preserve">forecasted </w:t>
            </w:r>
            <w:r w:rsidRPr="006106D3">
              <w:t xml:space="preserve">with operating reactors in </w:t>
            </w:r>
            <w:r>
              <w:t>2025</w:t>
            </w:r>
          </w:p>
        </w:tc>
        <w:tc>
          <w:tcPr>
            <w:tcW w:w="1170" w:type="dxa"/>
            <w:noWrap/>
            <w:vAlign w:val="center"/>
            <w:hideMark/>
          </w:tcPr>
          <w:p w14:paraId="01E9327D" w14:textId="77777777" w:rsidR="00D53E6F" w:rsidRPr="006106D3" w:rsidRDefault="00D53E6F" w:rsidP="004A7B59">
            <w:pPr>
              <w:spacing w:line="240" w:lineRule="auto"/>
              <w:jc w:val="center"/>
            </w:pPr>
            <w:r>
              <w:t>53</w:t>
            </w:r>
          </w:p>
        </w:tc>
        <w:tc>
          <w:tcPr>
            <w:tcW w:w="1800" w:type="dxa"/>
            <w:noWrap/>
            <w:vAlign w:val="center"/>
            <w:hideMark/>
          </w:tcPr>
          <w:p w14:paraId="6A429BF5" w14:textId="77777777" w:rsidR="00D53E6F" w:rsidRPr="006106D3" w:rsidRDefault="00D53E6F" w:rsidP="004A7B59">
            <w:pPr>
              <w:spacing w:line="240" w:lineRule="auto"/>
              <w:jc w:val="center"/>
            </w:pPr>
            <w:r w:rsidRPr="006106D3">
              <w:t>sites</w:t>
            </w:r>
          </w:p>
        </w:tc>
        <w:tc>
          <w:tcPr>
            <w:tcW w:w="6475" w:type="dxa"/>
            <w:vAlign w:val="center"/>
            <w:hideMark/>
          </w:tcPr>
          <w:p w14:paraId="1865E8D7" w14:textId="1874B4D2" w:rsidR="00D53E6F" w:rsidRDefault="00D53E6F" w:rsidP="00E91144">
            <w:pPr>
              <w:spacing w:line="240" w:lineRule="auto"/>
            </w:pPr>
            <w:r w:rsidRPr="006106D3">
              <w:t>Calculation</w:t>
            </w:r>
            <w:r>
              <w:t xml:space="preserve">:  </w:t>
            </w:r>
            <w:r w:rsidRPr="006106D3">
              <w:t>[total number of sites with operating reactors</w:t>
            </w:r>
            <w:r w:rsidR="002F7B9A">
              <w:t xml:space="preserve"> in 2020</w:t>
            </w:r>
            <w:r w:rsidRPr="006106D3">
              <w:t xml:space="preserve">] </w:t>
            </w:r>
            <w:r>
              <w:t xml:space="preserve">+ [sites with construction completed in years </w:t>
            </w:r>
            <w:r w:rsidR="002F7B9A">
              <w:t xml:space="preserve">2021 </w:t>
            </w:r>
            <w:r>
              <w:t xml:space="preserve">through 2025] </w:t>
            </w:r>
            <w:r w:rsidRPr="006106D3">
              <w:t xml:space="preserve">- [sites with units closed in years </w:t>
            </w:r>
            <w:r w:rsidR="002F7B9A" w:rsidRPr="006106D3">
              <w:t>20</w:t>
            </w:r>
            <w:r w:rsidR="002F7B9A">
              <w:t>20</w:t>
            </w:r>
            <w:r w:rsidR="002F7B9A" w:rsidRPr="006106D3">
              <w:t xml:space="preserve"> </w:t>
            </w:r>
            <w:r w:rsidRPr="006106D3">
              <w:t xml:space="preserve">through </w:t>
            </w:r>
            <w:r>
              <w:t>2025</w:t>
            </w:r>
            <w:r w:rsidRPr="006106D3">
              <w:t xml:space="preserve">]. </w:t>
            </w:r>
          </w:p>
          <w:p w14:paraId="18A23AA1" w14:textId="77777777" w:rsidR="00D53E6F" w:rsidRDefault="00D53E6F" w:rsidP="00E91144">
            <w:pPr>
              <w:spacing w:line="240" w:lineRule="auto"/>
            </w:pPr>
          </w:p>
          <w:p w14:paraId="22AFE0A5" w14:textId="50498E1E" w:rsidR="00D53E6F" w:rsidRPr="006106D3" w:rsidRDefault="00D53E6F" w:rsidP="00E91144">
            <w:pPr>
              <w:spacing w:line="240" w:lineRule="auto"/>
            </w:pPr>
            <w:r w:rsidRPr="006106D3">
              <w:t xml:space="preserve">Information on operating reactor sites was obtained from </w:t>
            </w:r>
            <w:r>
              <w:t xml:space="preserve">the </w:t>
            </w:r>
            <w:r w:rsidRPr="006106D3">
              <w:t>NRC</w:t>
            </w:r>
            <w:r>
              <w:t>’s</w:t>
            </w:r>
            <w:r w:rsidRPr="006106D3">
              <w:t xml:space="preserve"> </w:t>
            </w:r>
            <w:r>
              <w:t xml:space="preserve">Web site at </w:t>
            </w:r>
            <w:hyperlink r:id="rId52" w:history="1">
              <w:r w:rsidRPr="004C33BB">
                <w:rPr>
                  <w:rStyle w:val="Hyperlink"/>
                </w:rPr>
                <w:t>http://www.nrc.gov/info-finder/reactor/</w:t>
              </w:r>
            </w:hyperlink>
            <w:r w:rsidRPr="00C80453">
              <w:rPr>
                <w:rStyle w:val="Hyperlink"/>
                <w:u w:val="none"/>
              </w:rPr>
              <w:t xml:space="preserve"> </w:t>
            </w:r>
            <w:r>
              <w:t>(</w:t>
            </w:r>
            <w:r w:rsidRPr="006106D3">
              <w:t xml:space="preserve">last accessed on </w:t>
            </w:r>
            <w:r>
              <w:t>April 2</w:t>
            </w:r>
            <w:r w:rsidRPr="006106D3">
              <w:t>,</w:t>
            </w:r>
            <w:r>
              <w:t> 2019) (d</w:t>
            </w:r>
            <w:r w:rsidRPr="006106D3">
              <w:t xml:space="preserve">ata current as of </w:t>
            </w:r>
            <w:r>
              <w:t>December 31, 2018).</w:t>
            </w:r>
          </w:p>
        </w:tc>
      </w:tr>
      <w:tr w:rsidR="00D53E6F" w:rsidRPr="00DF21F6" w14:paraId="23B07308" w14:textId="77777777" w:rsidTr="004A7B59">
        <w:trPr>
          <w:trHeight w:val="288"/>
        </w:trPr>
        <w:tc>
          <w:tcPr>
            <w:tcW w:w="12950" w:type="dxa"/>
            <w:gridSpan w:val="4"/>
            <w:noWrap/>
            <w:vAlign w:val="center"/>
            <w:hideMark/>
          </w:tcPr>
          <w:p w14:paraId="3F791892" w14:textId="77777777" w:rsidR="00D53E6F" w:rsidRPr="00C80453" w:rsidRDefault="00D53E6F" w:rsidP="00E91144">
            <w:pPr>
              <w:spacing w:line="240" w:lineRule="auto"/>
              <w:rPr>
                <w:b/>
              </w:rPr>
            </w:pPr>
            <w:r w:rsidRPr="00C80453">
              <w:rPr>
                <w:b/>
              </w:rPr>
              <w:t>Final Rule Applicability Period (Years)</w:t>
            </w:r>
          </w:p>
        </w:tc>
      </w:tr>
      <w:tr w:rsidR="00D53E6F" w:rsidRPr="00DF21F6" w14:paraId="42CE111E" w14:textId="77777777" w:rsidTr="004A7B59">
        <w:trPr>
          <w:trHeight w:val="737"/>
        </w:trPr>
        <w:tc>
          <w:tcPr>
            <w:tcW w:w="3505" w:type="dxa"/>
            <w:noWrap/>
            <w:vAlign w:val="center"/>
            <w:hideMark/>
          </w:tcPr>
          <w:p w14:paraId="4339B327" w14:textId="77777777" w:rsidR="00D53E6F" w:rsidRPr="006106D3" w:rsidRDefault="00D53E6F" w:rsidP="00E91144">
            <w:pPr>
              <w:spacing w:line="240" w:lineRule="auto"/>
            </w:pPr>
            <w:r>
              <w:t>Final rule applicability term</w:t>
            </w:r>
          </w:p>
        </w:tc>
        <w:tc>
          <w:tcPr>
            <w:tcW w:w="1170" w:type="dxa"/>
            <w:noWrap/>
            <w:vAlign w:val="center"/>
            <w:hideMark/>
          </w:tcPr>
          <w:p w14:paraId="179AB051" w14:textId="77777777" w:rsidR="00D53E6F" w:rsidRPr="006106D3" w:rsidRDefault="00D53E6F" w:rsidP="004A7B59">
            <w:pPr>
              <w:spacing w:line="240" w:lineRule="auto"/>
              <w:jc w:val="center"/>
            </w:pPr>
            <w:r>
              <w:t>6</w:t>
            </w:r>
          </w:p>
        </w:tc>
        <w:tc>
          <w:tcPr>
            <w:tcW w:w="1800" w:type="dxa"/>
            <w:noWrap/>
            <w:vAlign w:val="center"/>
            <w:hideMark/>
          </w:tcPr>
          <w:p w14:paraId="246AE267" w14:textId="77777777" w:rsidR="00D53E6F" w:rsidRPr="006106D3" w:rsidRDefault="00D53E6F" w:rsidP="004A7B59">
            <w:pPr>
              <w:spacing w:line="240" w:lineRule="auto"/>
              <w:jc w:val="center"/>
            </w:pPr>
            <w:r w:rsidRPr="006106D3">
              <w:t>years</w:t>
            </w:r>
          </w:p>
        </w:tc>
        <w:tc>
          <w:tcPr>
            <w:tcW w:w="6475" w:type="dxa"/>
            <w:vAlign w:val="center"/>
            <w:hideMark/>
          </w:tcPr>
          <w:p w14:paraId="337C4E21" w14:textId="77777777" w:rsidR="00D53E6F" w:rsidRPr="006106D3" w:rsidRDefault="00D53E6F" w:rsidP="00E91144">
            <w:pPr>
              <w:spacing w:line="240" w:lineRule="auto"/>
            </w:pPr>
            <w:r>
              <w:t>Code Cases last 3 years and are typically renewed once, for a total of 6 years.</w:t>
            </w:r>
          </w:p>
        </w:tc>
      </w:tr>
      <w:tr w:rsidR="00D53E6F" w:rsidRPr="00DF21F6" w14:paraId="79E36CAE" w14:textId="77777777" w:rsidTr="004A7B59">
        <w:trPr>
          <w:trHeight w:val="288"/>
        </w:trPr>
        <w:tc>
          <w:tcPr>
            <w:tcW w:w="12950" w:type="dxa"/>
            <w:gridSpan w:val="4"/>
            <w:noWrap/>
            <w:vAlign w:val="center"/>
          </w:tcPr>
          <w:p w14:paraId="0019D3EA" w14:textId="77777777" w:rsidR="00D53E6F" w:rsidRPr="00C80453" w:rsidRDefault="00D53E6F" w:rsidP="00E91144">
            <w:pPr>
              <w:keepNext/>
              <w:keepLines/>
              <w:spacing w:line="240" w:lineRule="auto"/>
              <w:rPr>
                <w:b/>
              </w:rPr>
            </w:pPr>
            <w:r w:rsidRPr="00C80453">
              <w:rPr>
                <w:b/>
              </w:rPr>
              <w:t>Labor Rates</w:t>
            </w:r>
          </w:p>
        </w:tc>
      </w:tr>
      <w:tr w:rsidR="009819E1" w:rsidRPr="00DF21F6" w14:paraId="275B5A9E" w14:textId="77777777" w:rsidTr="0001793A">
        <w:trPr>
          <w:trHeight w:val="288"/>
        </w:trPr>
        <w:tc>
          <w:tcPr>
            <w:tcW w:w="3505" w:type="dxa"/>
            <w:noWrap/>
            <w:vAlign w:val="center"/>
          </w:tcPr>
          <w:p w14:paraId="24CD43A7" w14:textId="77777777" w:rsidR="009819E1" w:rsidRPr="004A5A16" w:rsidRDefault="009819E1" w:rsidP="00E91144">
            <w:pPr>
              <w:keepNext/>
              <w:keepLines/>
              <w:spacing w:line="240" w:lineRule="auto"/>
              <w:rPr>
                <w:sz w:val="20"/>
              </w:rPr>
            </w:pPr>
            <w:r w:rsidRPr="00D156FD">
              <w:t>Industry engineer or plant supervisor</w:t>
            </w:r>
          </w:p>
        </w:tc>
        <w:tc>
          <w:tcPr>
            <w:tcW w:w="1170" w:type="dxa"/>
            <w:noWrap/>
            <w:vAlign w:val="center"/>
          </w:tcPr>
          <w:p w14:paraId="71A92945" w14:textId="77777777" w:rsidR="009819E1" w:rsidRPr="006106D3" w:rsidRDefault="009819E1" w:rsidP="004A7B59">
            <w:pPr>
              <w:spacing w:line="240" w:lineRule="auto"/>
              <w:jc w:val="center"/>
            </w:pPr>
            <w:r>
              <w:t>$130</w:t>
            </w:r>
          </w:p>
        </w:tc>
        <w:tc>
          <w:tcPr>
            <w:tcW w:w="1800" w:type="dxa"/>
            <w:noWrap/>
            <w:vAlign w:val="center"/>
          </w:tcPr>
          <w:p w14:paraId="01A12079" w14:textId="77777777" w:rsidR="009819E1" w:rsidRPr="006106D3" w:rsidRDefault="009819E1" w:rsidP="004A7B59">
            <w:pPr>
              <w:spacing w:line="240" w:lineRule="auto"/>
              <w:jc w:val="center"/>
            </w:pPr>
            <w:r w:rsidRPr="00D156FD">
              <w:t>Dollars per hour</w:t>
            </w:r>
          </w:p>
        </w:tc>
        <w:tc>
          <w:tcPr>
            <w:tcW w:w="6475" w:type="dxa"/>
            <w:vMerge w:val="restart"/>
            <w:vAlign w:val="center"/>
          </w:tcPr>
          <w:p w14:paraId="1D6784B8" w14:textId="74662025" w:rsidR="009819E1" w:rsidRPr="006106D3" w:rsidRDefault="009819E1" w:rsidP="00E91144">
            <w:pPr>
              <w:spacing w:line="240" w:lineRule="auto"/>
            </w:pPr>
            <w:r>
              <w:t>The l</w:t>
            </w:r>
            <w:r w:rsidRPr="00D156FD">
              <w:t>abor rates used are from the Bureau of Labor Statistics</w:t>
            </w:r>
            <w:r>
              <w:t xml:space="preserve"> (BLS)</w:t>
            </w:r>
            <w:r w:rsidRPr="00D156FD">
              <w:t xml:space="preserve"> Employer Costs for National Co</w:t>
            </w:r>
            <w:r>
              <w:t>mpensation Survey dataset (2018</w:t>
            </w:r>
            <w:r w:rsidRPr="00D156FD">
              <w:t xml:space="preserve"> values</w:t>
            </w:r>
            <w:r>
              <w:t>)</w:t>
            </w:r>
            <w:r w:rsidRPr="00D156FD">
              <w:t>.  These hourly rates were inflated to 201</w:t>
            </w:r>
            <w:r>
              <w:t>9</w:t>
            </w:r>
            <w:r w:rsidRPr="00D156FD">
              <w:t xml:space="preserve"> dollars using values of </w:t>
            </w:r>
            <w:r>
              <w:t>the Consumer Price Index for All Urban Consumers</w:t>
            </w:r>
            <w:r w:rsidRPr="00D156FD">
              <w:t>.  A multiplier of 2.4, which includes fringe and indirect management cost, was then applied and resulted in the displayed labor rates.</w:t>
            </w:r>
          </w:p>
        </w:tc>
      </w:tr>
      <w:tr w:rsidR="009819E1" w:rsidRPr="00DF21F6" w14:paraId="562027AE" w14:textId="77777777" w:rsidTr="0001793A">
        <w:trPr>
          <w:trHeight w:val="288"/>
        </w:trPr>
        <w:tc>
          <w:tcPr>
            <w:tcW w:w="3505" w:type="dxa"/>
            <w:noWrap/>
            <w:vAlign w:val="center"/>
          </w:tcPr>
          <w:p w14:paraId="76B02138" w14:textId="77777777" w:rsidR="009819E1" w:rsidRPr="004A5A16" w:rsidRDefault="009819E1" w:rsidP="00E91144">
            <w:pPr>
              <w:spacing w:line="240" w:lineRule="auto"/>
              <w:rPr>
                <w:sz w:val="20"/>
              </w:rPr>
            </w:pPr>
            <w:r w:rsidRPr="00D156FD">
              <w:t>Managers</w:t>
            </w:r>
          </w:p>
        </w:tc>
        <w:tc>
          <w:tcPr>
            <w:tcW w:w="1170" w:type="dxa"/>
            <w:noWrap/>
            <w:vAlign w:val="center"/>
          </w:tcPr>
          <w:p w14:paraId="5DF76448" w14:textId="77777777" w:rsidR="009819E1" w:rsidRPr="00D156FD" w:rsidRDefault="009819E1" w:rsidP="004A7B59">
            <w:pPr>
              <w:spacing w:line="240" w:lineRule="auto"/>
              <w:jc w:val="center"/>
            </w:pPr>
            <w:r w:rsidRPr="00D156FD">
              <w:t>$1</w:t>
            </w:r>
            <w:r>
              <w:t>09</w:t>
            </w:r>
          </w:p>
        </w:tc>
        <w:tc>
          <w:tcPr>
            <w:tcW w:w="1800" w:type="dxa"/>
            <w:noWrap/>
            <w:vAlign w:val="center"/>
          </w:tcPr>
          <w:p w14:paraId="76CEF4D8" w14:textId="77777777" w:rsidR="009819E1" w:rsidRPr="00D156FD" w:rsidRDefault="009819E1" w:rsidP="004A7B59">
            <w:pPr>
              <w:spacing w:line="240" w:lineRule="auto"/>
              <w:jc w:val="center"/>
            </w:pPr>
            <w:r w:rsidRPr="00D156FD">
              <w:t>Dollars per hour</w:t>
            </w:r>
          </w:p>
        </w:tc>
        <w:tc>
          <w:tcPr>
            <w:tcW w:w="6475" w:type="dxa"/>
            <w:vMerge/>
            <w:vAlign w:val="center"/>
          </w:tcPr>
          <w:p w14:paraId="7C9408BD" w14:textId="236B57AC" w:rsidR="009819E1" w:rsidRPr="00D156FD" w:rsidRDefault="009819E1" w:rsidP="00E91144">
            <w:pPr>
              <w:spacing w:line="240" w:lineRule="auto"/>
            </w:pPr>
          </w:p>
        </w:tc>
      </w:tr>
      <w:tr w:rsidR="009819E1" w:rsidRPr="00DF21F6" w14:paraId="0400AEED" w14:textId="77777777" w:rsidTr="0001793A">
        <w:trPr>
          <w:trHeight w:val="288"/>
        </w:trPr>
        <w:tc>
          <w:tcPr>
            <w:tcW w:w="3505" w:type="dxa"/>
            <w:noWrap/>
            <w:vAlign w:val="center"/>
          </w:tcPr>
          <w:p w14:paraId="2A9F2324" w14:textId="77777777" w:rsidR="009819E1" w:rsidRPr="004A5A16" w:rsidRDefault="009819E1" w:rsidP="00E91144">
            <w:pPr>
              <w:spacing w:line="240" w:lineRule="auto"/>
              <w:rPr>
                <w:sz w:val="20"/>
              </w:rPr>
            </w:pPr>
            <w:r w:rsidRPr="00D156FD">
              <w:t xml:space="preserve">Technical </w:t>
            </w:r>
            <w:r>
              <w:t>s</w:t>
            </w:r>
            <w:r w:rsidRPr="00D156FD">
              <w:t>taff</w:t>
            </w:r>
          </w:p>
        </w:tc>
        <w:tc>
          <w:tcPr>
            <w:tcW w:w="1170" w:type="dxa"/>
            <w:noWrap/>
            <w:vAlign w:val="center"/>
          </w:tcPr>
          <w:p w14:paraId="3613E941" w14:textId="77777777" w:rsidR="009819E1" w:rsidRPr="00D156FD" w:rsidRDefault="009819E1" w:rsidP="004A7B59">
            <w:pPr>
              <w:spacing w:line="240" w:lineRule="auto"/>
              <w:jc w:val="center"/>
            </w:pPr>
            <w:r w:rsidRPr="00D156FD">
              <w:t>$</w:t>
            </w:r>
            <w:r>
              <w:t>100</w:t>
            </w:r>
          </w:p>
        </w:tc>
        <w:tc>
          <w:tcPr>
            <w:tcW w:w="1800" w:type="dxa"/>
            <w:noWrap/>
            <w:vAlign w:val="center"/>
          </w:tcPr>
          <w:p w14:paraId="34E83FE6" w14:textId="77777777" w:rsidR="009819E1" w:rsidRPr="00D156FD" w:rsidRDefault="009819E1" w:rsidP="004A7B59">
            <w:pPr>
              <w:spacing w:line="240" w:lineRule="auto"/>
              <w:jc w:val="center"/>
            </w:pPr>
            <w:r w:rsidRPr="00D156FD">
              <w:t>Dollars per hour</w:t>
            </w:r>
          </w:p>
        </w:tc>
        <w:tc>
          <w:tcPr>
            <w:tcW w:w="6475" w:type="dxa"/>
            <w:vMerge/>
            <w:vAlign w:val="center"/>
          </w:tcPr>
          <w:p w14:paraId="4CE839DD" w14:textId="14D90286" w:rsidR="009819E1" w:rsidRPr="00D156FD" w:rsidRDefault="009819E1" w:rsidP="00E91144">
            <w:pPr>
              <w:spacing w:line="240" w:lineRule="auto"/>
            </w:pPr>
          </w:p>
        </w:tc>
      </w:tr>
      <w:tr w:rsidR="009819E1" w:rsidRPr="00DF21F6" w14:paraId="26760176" w14:textId="77777777" w:rsidTr="0001793A">
        <w:trPr>
          <w:trHeight w:val="288"/>
        </w:trPr>
        <w:tc>
          <w:tcPr>
            <w:tcW w:w="3505" w:type="dxa"/>
            <w:noWrap/>
            <w:vAlign w:val="center"/>
          </w:tcPr>
          <w:p w14:paraId="29437332" w14:textId="77777777" w:rsidR="009819E1" w:rsidRPr="004A5A16" w:rsidRDefault="009819E1" w:rsidP="00E91144">
            <w:pPr>
              <w:spacing w:line="240" w:lineRule="auto"/>
              <w:rPr>
                <w:sz w:val="20"/>
              </w:rPr>
            </w:pPr>
            <w:r w:rsidRPr="00D156FD">
              <w:t xml:space="preserve">Administrative </w:t>
            </w:r>
            <w:r>
              <w:t>s</w:t>
            </w:r>
            <w:r w:rsidRPr="00D156FD">
              <w:t>taff</w:t>
            </w:r>
          </w:p>
        </w:tc>
        <w:tc>
          <w:tcPr>
            <w:tcW w:w="1170" w:type="dxa"/>
            <w:noWrap/>
            <w:vAlign w:val="center"/>
          </w:tcPr>
          <w:p w14:paraId="1BA70861" w14:textId="77777777" w:rsidR="009819E1" w:rsidRPr="00D156FD" w:rsidRDefault="009819E1" w:rsidP="004A7B59">
            <w:pPr>
              <w:spacing w:line="240" w:lineRule="auto"/>
              <w:jc w:val="center"/>
            </w:pPr>
            <w:r w:rsidRPr="00D156FD">
              <w:t>$</w:t>
            </w:r>
            <w:r>
              <w:t>52</w:t>
            </w:r>
          </w:p>
        </w:tc>
        <w:tc>
          <w:tcPr>
            <w:tcW w:w="1800" w:type="dxa"/>
            <w:noWrap/>
            <w:vAlign w:val="center"/>
          </w:tcPr>
          <w:p w14:paraId="71F92217" w14:textId="77777777" w:rsidR="009819E1" w:rsidRPr="00D156FD" w:rsidRDefault="009819E1" w:rsidP="004A7B59">
            <w:pPr>
              <w:spacing w:line="240" w:lineRule="auto"/>
              <w:jc w:val="center"/>
            </w:pPr>
            <w:r w:rsidRPr="00D156FD">
              <w:t>Dollars per hour</w:t>
            </w:r>
          </w:p>
        </w:tc>
        <w:tc>
          <w:tcPr>
            <w:tcW w:w="6475" w:type="dxa"/>
            <w:vMerge/>
            <w:vAlign w:val="center"/>
          </w:tcPr>
          <w:p w14:paraId="7D9DB6AD" w14:textId="729EA9A8" w:rsidR="009819E1" w:rsidRPr="00D156FD" w:rsidRDefault="009819E1" w:rsidP="00E91144">
            <w:pPr>
              <w:spacing w:line="240" w:lineRule="auto"/>
            </w:pPr>
          </w:p>
        </w:tc>
      </w:tr>
      <w:tr w:rsidR="009819E1" w:rsidRPr="00DF21F6" w14:paraId="4C171F62" w14:textId="77777777" w:rsidTr="0001793A">
        <w:trPr>
          <w:trHeight w:val="288"/>
        </w:trPr>
        <w:tc>
          <w:tcPr>
            <w:tcW w:w="3505" w:type="dxa"/>
            <w:noWrap/>
            <w:vAlign w:val="center"/>
          </w:tcPr>
          <w:p w14:paraId="1822D407" w14:textId="77777777" w:rsidR="009819E1" w:rsidRPr="004A5A16" w:rsidRDefault="009819E1" w:rsidP="00E91144">
            <w:pPr>
              <w:spacing w:line="240" w:lineRule="auto"/>
              <w:rPr>
                <w:sz w:val="20"/>
              </w:rPr>
            </w:pPr>
            <w:r w:rsidRPr="00D156FD">
              <w:t xml:space="preserve">Licensing </w:t>
            </w:r>
            <w:r>
              <w:t>s</w:t>
            </w:r>
            <w:r w:rsidRPr="00D156FD">
              <w:t>taff</w:t>
            </w:r>
          </w:p>
        </w:tc>
        <w:tc>
          <w:tcPr>
            <w:tcW w:w="1170" w:type="dxa"/>
            <w:noWrap/>
            <w:vAlign w:val="center"/>
          </w:tcPr>
          <w:p w14:paraId="0B2CC0F3" w14:textId="77777777" w:rsidR="009819E1" w:rsidRPr="00D156FD" w:rsidRDefault="009819E1" w:rsidP="004A7B59">
            <w:pPr>
              <w:spacing w:line="240" w:lineRule="auto"/>
              <w:jc w:val="center"/>
            </w:pPr>
            <w:r>
              <w:t>$117</w:t>
            </w:r>
          </w:p>
        </w:tc>
        <w:tc>
          <w:tcPr>
            <w:tcW w:w="1800" w:type="dxa"/>
            <w:noWrap/>
            <w:vAlign w:val="center"/>
          </w:tcPr>
          <w:p w14:paraId="4EF2EACA" w14:textId="77777777" w:rsidR="009819E1" w:rsidRPr="00D156FD" w:rsidRDefault="009819E1" w:rsidP="004A7B59">
            <w:pPr>
              <w:spacing w:line="240" w:lineRule="auto"/>
              <w:jc w:val="center"/>
            </w:pPr>
            <w:r w:rsidRPr="00D156FD">
              <w:t>Dollars per hour</w:t>
            </w:r>
          </w:p>
        </w:tc>
        <w:tc>
          <w:tcPr>
            <w:tcW w:w="6475" w:type="dxa"/>
            <w:vMerge/>
            <w:vAlign w:val="center"/>
          </w:tcPr>
          <w:p w14:paraId="58263048" w14:textId="57650A28" w:rsidR="009819E1" w:rsidRPr="00D156FD" w:rsidRDefault="009819E1" w:rsidP="00E91144">
            <w:pPr>
              <w:spacing w:line="240" w:lineRule="auto"/>
            </w:pPr>
          </w:p>
        </w:tc>
      </w:tr>
      <w:tr w:rsidR="009819E1" w:rsidRPr="00DF21F6" w14:paraId="147275DC" w14:textId="77777777" w:rsidTr="0001793A">
        <w:trPr>
          <w:trHeight w:val="288"/>
        </w:trPr>
        <w:tc>
          <w:tcPr>
            <w:tcW w:w="3505" w:type="dxa"/>
            <w:noWrap/>
            <w:vAlign w:val="center"/>
          </w:tcPr>
          <w:p w14:paraId="2E1BDBA7" w14:textId="77777777" w:rsidR="009819E1" w:rsidRPr="004A5A16" w:rsidRDefault="009819E1" w:rsidP="00E91144">
            <w:pPr>
              <w:spacing w:line="240" w:lineRule="auto"/>
              <w:rPr>
                <w:sz w:val="20"/>
              </w:rPr>
            </w:pPr>
            <w:r w:rsidRPr="00D156FD">
              <w:t>Industry plant technician</w:t>
            </w:r>
          </w:p>
        </w:tc>
        <w:tc>
          <w:tcPr>
            <w:tcW w:w="1170" w:type="dxa"/>
            <w:noWrap/>
            <w:vAlign w:val="center"/>
          </w:tcPr>
          <w:p w14:paraId="7DC66277" w14:textId="77777777" w:rsidR="009819E1" w:rsidRPr="00D156FD" w:rsidRDefault="009819E1" w:rsidP="004A7B59">
            <w:pPr>
              <w:spacing w:line="240" w:lineRule="auto"/>
              <w:jc w:val="center"/>
            </w:pPr>
            <w:r w:rsidRPr="00D156FD">
              <w:t>$</w:t>
            </w:r>
            <w:r>
              <w:t>94</w:t>
            </w:r>
          </w:p>
        </w:tc>
        <w:tc>
          <w:tcPr>
            <w:tcW w:w="1800" w:type="dxa"/>
            <w:noWrap/>
            <w:vAlign w:val="center"/>
          </w:tcPr>
          <w:p w14:paraId="3EBC7667" w14:textId="77777777" w:rsidR="009819E1" w:rsidRPr="00D156FD" w:rsidRDefault="009819E1" w:rsidP="004A7B59">
            <w:pPr>
              <w:spacing w:line="240" w:lineRule="auto"/>
              <w:jc w:val="center"/>
            </w:pPr>
            <w:r w:rsidRPr="00D156FD">
              <w:t>Dollars per hour</w:t>
            </w:r>
          </w:p>
        </w:tc>
        <w:tc>
          <w:tcPr>
            <w:tcW w:w="6475" w:type="dxa"/>
            <w:vMerge/>
            <w:vAlign w:val="center"/>
          </w:tcPr>
          <w:p w14:paraId="5F171AF8" w14:textId="47203129" w:rsidR="009819E1" w:rsidRPr="00D156FD" w:rsidRDefault="009819E1" w:rsidP="00E91144">
            <w:pPr>
              <w:spacing w:line="240" w:lineRule="auto"/>
            </w:pPr>
          </w:p>
        </w:tc>
      </w:tr>
      <w:tr w:rsidR="00D53E6F" w:rsidRPr="00DF21F6" w14:paraId="68FA645C" w14:textId="77777777" w:rsidTr="004A7B59">
        <w:trPr>
          <w:trHeight w:val="288"/>
        </w:trPr>
        <w:tc>
          <w:tcPr>
            <w:tcW w:w="3505" w:type="dxa"/>
            <w:noWrap/>
            <w:vAlign w:val="center"/>
          </w:tcPr>
          <w:p w14:paraId="062043A1" w14:textId="77777777" w:rsidR="00D53E6F" w:rsidRPr="004A5A16" w:rsidRDefault="00D53E6F" w:rsidP="00E91144">
            <w:pPr>
              <w:spacing w:line="240" w:lineRule="auto"/>
              <w:rPr>
                <w:sz w:val="20"/>
              </w:rPr>
            </w:pPr>
            <w:r w:rsidRPr="00D156FD">
              <w:t>NRC engineer</w:t>
            </w:r>
          </w:p>
        </w:tc>
        <w:tc>
          <w:tcPr>
            <w:tcW w:w="1170" w:type="dxa"/>
            <w:noWrap/>
            <w:vAlign w:val="center"/>
          </w:tcPr>
          <w:p w14:paraId="1ECF2EA3" w14:textId="77777777" w:rsidR="00D53E6F" w:rsidRPr="00D156FD" w:rsidRDefault="00D53E6F" w:rsidP="004A7B59">
            <w:pPr>
              <w:spacing w:line="240" w:lineRule="auto"/>
              <w:jc w:val="center"/>
            </w:pPr>
            <w:r w:rsidRPr="00D156FD">
              <w:t>$1</w:t>
            </w:r>
            <w:r>
              <w:t>29</w:t>
            </w:r>
          </w:p>
        </w:tc>
        <w:tc>
          <w:tcPr>
            <w:tcW w:w="1800" w:type="dxa"/>
            <w:noWrap/>
            <w:vAlign w:val="center"/>
          </w:tcPr>
          <w:p w14:paraId="0D3CF112" w14:textId="77777777" w:rsidR="00D53E6F" w:rsidRPr="00D156FD" w:rsidRDefault="00D53E6F" w:rsidP="004A7B59">
            <w:pPr>
              <w:spacing w:line="240" w:lineRule="auto"/>
              <w:jc w:val="center"/>
            </w:pPr>
            <w:r w:rsidRPr="00D156FD">
              <w:t>Dollars per hour</w:t>
            </w:r>
          </w:p>
        </w:tc>
        <w:tc>
          <w:tcPr>
            <w:tcW w:w="6475" w:type="dxa"/>
            <w:vAlign w:val="center"/>
          </w:tcPr>
          <w:p w14:paraId="75F8E872" w14:textId="318B53FD" w:rsidR="00D53E6F" w:rsidRPr="00D156FD" w:rsidRDefault="00D53E6F" w:rsidP="00E91144">
            <w:pPr>
              <w:spacing w:line="240" w:lineRule="auto"/>
            </w:pPr>
            <w:r w:rsidRPr="00D156FD">
              <w:t xml:space="preserve">NRC, </w:t>
            </w:r>
            <w:r w:rsidRPr="000D3115">
              <w:rPr>
                <w:u w:val="single"/>
              </w:rPr>
              <w:t>Rulemaker@nrc.gov</w:t>
            </w:r>
            <w:r w:rsidRPr="00D156FD">
              <w:t xml:space="preserve">, “NRC Labor Rates for </w:t>
            </w:r>
            <w:r>
              <w:t>Use in Regulatory Analyses,” 2018</w:t>
            </w:r>
            <w:r w:rsidRPr="00D156FD">
              <w:t>.</w:t>
            </w:r>
          </w:p>
        </w:tc>
      </w:tr>
    </w:tbl>
    <w:p w14:paraId="68E8FC81" w14:textId="044652FF" w:rsidR="0024262D" w:rsidRDefault="0024262D" w:rsidP="00D53E6F"/>
    <w:p w14:paraId="0C251A66" w14:textId="77777777" w:rsidR="0057706F" w:rsidRDefault="0057706F">
      <w:pPr>
        <w:autoSpaceDE/>
        <w:autoSpaceDN/>
        <w:adjustRightInd/>
        <w:sectPr w:rsidR="0057706F" w:rsidSect="00260580">
          <w:footerReference w:type="default" r:id="rId53"/>
          <w:pgSz w:w="15840" w:h="12240" w:orient="landscape"/>
          <w:pgMar w:top="1440" w:right="1440" w:bottom="1440" w:left="1440" w:header="720" w:footer="720" w:gutter="0"/>
          <w:pgNumType w:start="1"/>
          <w:cols w:space="720"/>
          <w:docGrid w:linePitch="360"/>
        </w:sectPr>
      </w:pPr>
    </w:p>
    <w:p w14:paraId="18EAB191" w14:textId="12A506D0" w:rsidR="0024262D" w:rsidRPr="00560F67" w:rsidRDefault="008E3BF9" w:rsidP="00560F67">
      <w:pPr>
        <w:spacing w:line="240" w:lineRule="auto"/>
        <w:rPr>
          <w:b/>
        </w:rPr>
      </w:pPr>
      <w:r w:rsidRPr="008E3BF9">
        <w:rPr>
          <w:u w:val="single"/>
        </w:rPr>
        <w:t>SUBJECT:</w:t>
      </w:r>
      <w:r w:rsidRPr="008E3BF9">
        <w:t xml:space="preserve">  REGULATORY ANALYSIS FOR THE FINAL RULE:  APPROVAL OF AMERICAN SOCIETY OF MECHANICAL ENGINEERS CODE CASES.</w:t>
      </w:r>
      <w:r>
        <w:rPr>
          <w:b/>
        </w:rPr>
        <w:t xml:space="preserve">  D</w:t>
      </w:r>
      <w:r w:rsidR="0057706F">
        <w:rPr>
          <w:b/>
        </w:rPr>
        <w:t xml:space="preserve">ated </w:t>
      </w:r>
      <w:r w:rsidR="0057706F" w:rsidRPr="00560F67">
        <w:rPr>
          <w:b/>
          <w:highlight w:val="yellow"/>
        </w:rPr>
        <w:t>xxxx</w:t>
      </w:r>
    </w:p>
    <w:p w14:paraId="65A0E189" w14:textId="77777777" w:rsidR="0057706F" w:rsidRPr="00560F67" w:rsidRDefault="0057706F" w:rsidP="0057706F">
      <w:pPr>
        <w:spacing w:line="240" w:lineRule="auto"/>
      </w:pPr>
    </w:p>
    <w:p w14:paraId="67F93409" w14:textId="77777777" w:rsidR="0057706F" w:rsidRDefault="0057706F" w:rsidP="0057706F">
      <w:pPr>
        <w:spacing w:line="240" w:lineRule="auto"/>
        <w:rPr>
          <w:sz w:val="20"/>
        </w:rPr>
      </w:pPr>
    </w:p>
    <w:p w14:paraId="5E4E335B" w14:textId="77777777" w:rsidR="0057706F" w:rsidRDefault="0057706F" w:rsidP="0057706F">
      <w:pPr>
        <w:spacing w:line="240" w:lineRule="auto"/>
        <w:rPr>
          <w:sz w:val="20"/>
        </w:rPr>
      </w:pPr>
    </w:p>
    <w:p w14:paraId="79150E16" w14:textId="77777777" w:rsidR="0057706F" w:rsidRDefault="0057706F" w:rsidP="0057706F">
      <w:pPr>
        <w:spacing w:line="240" w:lineRule="auto"/>
        <w:rPr>
          <w:sz w:val="20"/>
        </w:rPr>
      </w:pPr>
    </w:p>
    <w:p w14:paraId="37CA4EA4" w14:textId="77777777" w:rsidR="0057706F" w:rsidRDefault="0057706F" w:rsidP="0057706F">
      <w:pPr>
        <w:spacing w:line="240" w:lineRule="auto"/>
        <w:rPr>
          <w:sz w:val="20"/>
        </w:rPr>
      </w:pPr>
    </w:p>
    <w:p w14:paraId="6737ABBD" w14:textId="77777777" w:rsidR="0057706F" w:rsidRDefault="0057706F" w:rsidP="0057706F">
      <w:pPr>
        <w:spacing w:line="240" w:lineRule="auto"/>
        <w:rPr>
          <w:sz w:val="20"/>
        </w:rPr>
      </w:pPr>
    </w:p>
    <w:p w14:paraId="5DC45A69" w14:textId="77777777" w:rsidR="0057706F" w:rsidRDefault="0057706F" w:rsidP="0057706F">
      <w:pPr>
        <w:spacing w:line="240" w:lineRule="auto"/>
        <w:rPr>
          <w:sz w:val="20"/>
        </w:rPr>
      </w:pPr>
    </w:p>
    <w:p w14:paraId="50CD456F" w14:textId="77777777" w:rsidR="0057706F" w:rsidRDefault="0057706F" w:rsidP="0057706F">
      <w:pPr>
        <w:spacing w:line="240" w:lineRule="auto"/>
        <w:rPr>
          <w:sz w:val="20"/>
        </w:rPr>
      </w:pPr>
    </w:p>
    <w:p w14:paraId="6DEDA49D" w14:textId="77777777" w:rsidR="0057706F" w:rsidRDefault="0057706F" w:rsidP="0057706F">
      <w:pPr>
        <w:spacing w:line="240" w:lineRule="auto"/>
        <w:rPr>
          <w:sz w:val="20"/>
        </w:rPr>
      </w:pPr>
    </w:p>
    <w:p w14:paraId="50D10D73" w14:textId="77777777" w:rsidR="0057706F" w:rsidRDefault="0057706F" w:rsidP="0057706F">
      <w:pPr>
        <w:spacing w:line="240" w:lineRule="auto"/>
        <w:rPr>
          <w:sz w:val="20"/>
        </w:rPr>
      </w:pPr>
    </w:p>
    <w:p w14:paraId="7EFDDCB3" w14:textId="77777777" w:rsidR="0057706F" w:rsidRDefault="0057706F" w:rsidP="0057706F">
      <w:pPr>
        <w:spacing w:line="240" w:lineRule="auto"/>
        <w:rPr>
          <w:sz w:val="20"/>
        </w:rPr>
      </w:pPr>
    </w:p>
    <w:p w14:paraId="6C08BCC1" w14:textId="77777777" w:rsidR="0057706F" w:rsidRDefault="0057706F" w:rsidP="0057706F">
      <w:pPr>
        <w:spacing w:line="240" w:lineRule="auto"/>
        <w:rPr>
          <w:sz w:val="20"/>
        </w:rPr>
      </w:pPr>
    </w:p>
    <w:p w14:paraId="263E3086" w14:textId="77777777" w:rsidR="0057706F" w:rsidRDefault="0057706F" w:rsidP="0057706F">
      <w:pPr>
        <w:spacing w:line="240" w:lineRule="auto"/>
        <w:rPr>
          <w:sz w:val="20"/>
        </w:rPr>
      </w:pPr>
    </w:p>
    <w:p w14:paraId="3AD85AA0" w14:textId="77777777" w:rsidR="0057706F" w:rsidRDefault="0057706F" w:rsidP="0057706F">
      <w:pPr>
        <w:spacing w:line="240" w:lineRule="auto"/>
        <w:rPr>
          <w:sz w:val="20"/>
        </w:rPr>
      </w:pPr>
    </w:p>
    <w:p w14:paraId="19196CB7" w14:textId="77777777" w:rsidR="0057706F" w:rsidRDefault="0057706F" w:rsidP="0057706F">
      <w:pPr>
        <w:spacing w:line="240" w:lineRule="auto"/>
        <w:rPr>
          <w:sz w:val="20"/>
        </w:rPr>
      </w:pPr>
    </w:p>
    <w:p w14:paraId="7F6C71FB" w14:textId="77777777" w:rsidR="0057706F" w:rsidRDefault="0057706F" w:rsidP="0057706F">
      <w:pPr>
        <w:spacing w:line="240" w:lineRule="auto"/>
        <w:rPr>
          <w:sz w:val="20"/>
        </w:rPr>
      </w:pPr>
    </w:p>
    <w:p w14:paraId="7E5DB1A7" w14:textId="77777777" w:rsidR="0057706F" w:rsidRDefault="0057706F" w:rsidP="0057706F">
      <w:pPr>
        <w:spacing w:line="240" w:lineRule="auto"/>
        <w:rPr>
          <w:sz w:val="20"/>
        </w:rPr>
      </w:pPr>
    </w:p>
    <w:p w14:paraId="6B753D17" w14:textId="77777777" w:rsidR="0057706F" w:rsidRDefault="0057706F" w:rsidP="0057706F">
      <w:pPr>
        <w:spacing w:line="240" w:lineRule="auto"/>
        <w:rPr>
          <w:sz w:val="20"/>
        </w:rPr>
      </w:pPr>
    </w:p>
    <w:p w14:paraId="0BB58B14" w14:textId="77777777" w:rsidR="0057706F" w:rsidRDefault="0057706F" w:rsidP="0057706F">
      <w:pPr>
        <w:spacing w:line="240" w:lineRule="auto"/>
        <w:rPr>
          <w:sz w:val="20"/>
        </w:rPr>
      </w:pPr>
    </w:p>
    <w:p w14:paraId="4EA52B26" w14:textId="77777777" w:rsidR="0057706F" w:rsidRDefault="0057706F" w:rsidP="0057706F">
      <w:pPr>
        <w:spacing w:line="240" w:lineRule="auto"/>
        <w:rPr>
          <w:sz w:val="20"/>
        </w:rPr>
      </w:pPr>
    </w:p>
    <w:p w14:paraId="31752314" w14:textId="77777777" w:rsidR="0057706F" w:rsidRDefault="0057706F" w:rsidP="0057706F">
      <w:pPr>
        <w:spacing w:line="240" w:lineRule="auto"/>
        <w:rPr>
          <w:sz w:val="20"/>
        </w:rPr>
      </w:pPr>
    </w:p>
    <w:p w14:paraId="75CF7AAC" w14:textId="77777777" w:rsidR="0057706F" w:rsidRDefault="0057706F" w:rsidP="0057706F">
      <w:pPr>
        <w:spacing w:line="240" w:lineRule="auto"/>
        <w:rPr>
          <w:sz w:val="20"/>
        </w:rPr>
      </w:pPr>
    </w:p>
    <w:p w14:paraId="33A21278" w14:textId="77777777" w:rsidR="0057706F" w:rsidRDefault="0057706F" w:rsidP="0057706F">
      <w:pPr>
        <w:spacing w:line="240" w:lineRule="auto"/>
        <w:rPr>
          <w:sz w:val="20"/>
        </w:rPr>
      </w:pPr>
    </w:p>
    <w:p w14:paraId="6BAB5457" w14:textId="77777777" w:rsidR="0057706F" w:rsidRDefault="0057706F" w:rsidP="0057706F">
      <w:pPr>
        <w:spacing w:line="240" w:lineRule="auto"/>
        <w:rPr>
          <w:sz w:val="20"/>
        </w:rPr>
      </w:pPr>
    </w:p>
    <w:p w14:paraId="26CF8A23" w14:textId="77777777" w:rsidR="0057706F" w:rsidRDefault="0057706F" w:rsidP="0057706F">
      <w:pPr>
        <w:spacing w:line="240" w:lineRule="auto"/>
        <w:rPr>
          <w:sz w:val="20"/>
        </w:rPr>
      </w:pPr>
    </w:p>
    <w:p w14:paraId="02F3365D" w14:textId="77777777" w:rsidR="0057706F" w:rsidRDefault="0057706F" w:rsidP="0057706F">
      <w:pPr>
        <w:spacing w:line="240" w:lineRule="auto"/>
        <w:rPr>
          <w:sz w:val="20"/>
        </w:rPr>
      </w:pPr>
    </w:p>
    <w:p w14:paraId="47793280" w14:textId="77777777" w:rsidR="0057706F" w:rsidRDefault="0057706F" w:rsidP="0057706F">
      <w:pPr>
        <w:spacing w:line="240" w:lineRule="auto"/>
        <w:rPr>
          <w:sz w:val="20"/>
        </w:rPr>
      </w:pPr>
    </w:p>
    <w:p w14:paraId="0F93327F" w14:textId="77777777" w:rsidR="0057706F" w:rsidRDefault="0057706F" w:rsidP="0057706F">
      <w:pPr>
        <w:spacing w:line="240" w:lineRule="auto"/>
        <w:rPr>
          <w:sz w:val="20"/>
        </w:rPr>
      </w:pPr>
    </w:p>
    <w:p w14:paraId="1D04DC06" w14:textId="77777777" w:rsidR="0057706F" w:rsidRDefault="0057706F" w:rsidP="0057706F">
      <w:pPr>
        <w:spacing w:line="240" w:lineRule="auto"/>
        <w:rPr>
          <w:sz w:val="20"/>
        </w:rPr>
      </w:pPr>
    </w:p>
    <w:p w14:paraId="5E799A42" w14:textId="77777777" w:rsidR="0057706F" w:rsidRDefault="0057706F" w:rsidP="0057706F">
      <w:pPr>
        <w:spacing w:line="240" w:lineRule="auto"/>
        <w:rPr>
          <w:sz w:val="20"/>
        </w:rPr>
      </w:pPr>
    </w:p>
    <w:p w14:paraId="7A1FCC23" w14:textId="77777777" w:rsidR="0057706F" w:rsidRDefault="0057706F" w:rsidP="0057706F">
      <w:pPr>
        <w:spacing w:line="240" w:lineRule="auto"/>
        <w:rPr>
          <w:sz w:val="20"/>
        </w:rPr>
      </w:pPr>
    </w:p>
    <w:p w14:paraId="336A3FA5" w14:textId="77777777" w:rsidR="0057706F" w:rsidRDefault="0057706F" w:rsidP="0057706F">
      <w:pPr>
        <w:spacing w:line="240" w:lineRule="auto"/>
        <w:rPr>
          <w:sz w:val="20"/>
        </w:rPr>
      </w:pPr>
    </w:p>
    <w:p w14:paraId="0E185F55" w14:textId="77777777" w:rsidR="0057706F" w:rsidRDefault="0057706F" w:rsidP="0057706F">
      <w:pPr>
        <w:spacing w:line="240" w:lineRule="auto"/>
        <w:rPr>
          <w:sz w:val="20"/>
        </w:rPr>
      </w:pPr>
    </w:p>
    <w:p w14:paraId="77FDBE0A" w14:textId="77777777" w:rsidR="0057706F" w:rsidRDefault="0057706F" w:rsidP="0057706F">
      <w:pPr>
        <w:spacing w:line="240" w:lineRule="auto"/>
        <w:rPr>
          <w:sz w:val="20"/>
        </w:rPr>
      </w:pPr>
    </w:p>
    <w:p w14:paraId="5C706D7B" w14:textId="77777777" w:rsidR="0057706F" w:rsidRDefault="0057706F" w:rsidP="0057706F">
      <w:pPr>
        <w:spacing w:line="240" w:lineRule="auto"/>
        <w:rPr>
          <w:sz w:val="20"/>
        </w:rPr>
      </w:pPr>
    </w:p>
    <w:p w14:paraId="10FC0AAA" w14:textId="77777777" w:rsidR="0057706F" w:rsidRDefault="0057706F" w:rsidP="0057706F">
      <w:pPr>
        <w:spacing w:line="240" w:lineRule="auto"/>
        <w:rPr>
          <w:sz w:val="20"/>
        </w:rPr>
      </w:pPr>
    </w:p>
    <w:p w14:paraId="3031E1E4" w14:textId="77777777" w:rsidR="0057706F" w:rsidRDefault="0057706F" w:rsidP="0057706F">
      <w:pPr>
        <w:spacing w:line="240" w:lineRule="auto"/>
        <w:rPr>
          <w:sz w:val="20"/>
        </w:rPr>
      </w:pPr>
    </w:p>
    <w:p w14:paraId="04B3C245" w14:textId="77777777" w:rsidR="0057706F" w:rsidRDefault="0057706F" w:rsidP="0057706F">
      <w:pPr>
        <w:spacing w:line="240" w:lineRule="auto"/>
        <w:rPr>
          <w:sz w:val="20"/>
        </w:rPr>
      </w:pPr>
    </w:p>
    <w:p w14:paraId="7F308DC1" w14:textId="5A9D8493" w:rsidR="0057706F" w:rsidRPr="00560F67" w:rsidRDefault="0057706F" w:rsidP="0057706F">
      <w:pPr>
        <w:spacing w:line="240" w:lineRule="auto"/>
        <w:rPr>
          <w:sz w:val="20"/>
          <w:u w:val="single"/>
        </w:rPr>
      </w:pPr>
      <w:r w:rsidRPr="00560F67">
        <w:rPr>
          <w:sz w:val="20"/>
          <w:u w:val="single"/>
        </w:rPr>
        <w:t>DISTRIBUTION</w:t>
      </w:r>
      <w:r>
        <w:rPr>
          <w:sz w:val="20"/>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57706F" w14:paraId="5423BD21" w14:textId="77777777" w:rsidTr="00560F67">
        <w:tc>
          <w:tcPr>
            <w:tcW w:w="2337" w:type="dxa"/>
          </w:tcPr>
          <w:p w14:paraId="43DF9A89" w14:textId="28DD8655" w:rsidR="0057706F" w:rsidRDefault="0057706F" w:rsidP="0057706F">
            <w:pPr>
              <w:rPr>
                <w:sz w:val="20"/>
              </w:rPr>
            </w:pPr>
            <w:r>
              <w:rPr>
                <w:sz w:val="20"/>
              </w:rPr>
              <w:t>ASanders, NMSS</w:t>
            </w:r>
          </w:p>
        </w:tc>
        <w:tc>
          <w:tcPr>
            <w:tcW w:w="2337" w:type="dxa"/>
          </w:tcPr>
          <w:p w14:paraId="74385960" w14:textId="591D9801" w:rsidR="0057706F" w:rsidRDefault="0057706F" w:rsidP="0057706F">
            <w:pPr>
              <w:rPr>
                <w:sz w:val="20"/>
              </w:rPr>
            </w:pPr>
            <w:r>
              <w:rPr>
                <w:sz w:val="20"/>
              </w:rPr>
              <w:t>FSchofer, NMSS</w:t>
            </w:r>
          </w:p>
        </w:tc>
        <w:tc>
          <w:tcPr>
            <w:tcW w:w="2338" w:type="dxa"/>
          </w:tcPr>
          <w:p w14:paraId="30C9AF63" w14:textId="23703D22" w:rsidR="0057706F" w:rsidRDefault="00F05D99" w:rsidP="0057706F">
            <w:pPr>
              <w:rPr>
                <w:sz w:val="20"/>
              </w:rPr>
            </w:pPr>
            <w:r>
              <w:rPr>
                <w:sz w:val="20"/>
              </w:rPr>
              <w:t>JTappert</w:t>
            </w:r>
            <w:r w:rsidR="0057706F">
              <w:rPr>
                <w:sz w:val="20"/>
              </w:rPr>
              <w:t>, NMSS</w:t>
            </w:r>
          </w:p>
        </w:tc>
        <w:tc>
          <w:tcPr>
            <w:tcW w:w="2338" w:type="dxa"/>
          </w:tcPr>
          <w:p w14:paraId="445A3804" w14:textId="6B46A065" w:rsidR="0057706F" w:rsidRDefault="004329B8" w:rsidP="0057706F">
            <w:pPr>
              <w:rPr>
                <w:sz w:val="20"/>
              </w:rPr>
            </w:pPr>
            <w:r>
              <w:rPr>
                <w:sz w:val="20"/>
              </w:rPr>
              <w:t>MEllenson, NMSS</w:t>
            </w:r>
          </w:p>
        </w:tc>
      </w:tr>
      <w:tr w:rsidR="004329B8" w14:paraId="765568A4" w14:textId="77777777" w:rsidTr="00560F67">
        <w:tc>
          <w:tcPr>
            <w:tcW w:w="2337" w:type="dxa"/>
          </w:tcPr>
          <w:p w14:paraId="1E358523" w14:textId="544C54B0" w:rsidR="004329B8" w:rsidRDefault="004329B8" w:rsidP="0057706F">
            <w:pPr>
              <w:rPr>
                <w:sz w:val="20"/>
              </w:rPr>
            </w:pPr>
            <w:r>
              <w:rPr>
                <w:sz w:val="20"/>
              </w:rPr>
              <w:t>GLappert, NMSS</w:t>
            </w:r>
          </w:p>
        </w:tc>
        <w:tc>
          <w:tcPr>
            <w:tcW w:w="2337" w:type="dxa"/>
          </w:tcPr>
          <w:p w14:paraId="06414AFD" w14:textId="77777777" w:rsidR="004329B8" w:rsidRDefault="004329B8" w:rsidP="0057706F">
            <w:pPr>
              <w:rPr>
                <w:sz w:val="20"/>
              </w:rPr>
            </w:pPr>
          </w:p>
        </w:tc>
        <w:tc>
          <w:tcPr>
            <w:tcW w:w="2338" w:type="dxa"/>
          </w:tcPr>
          <w:p w14:paraId="11E67307" w14:textId="77777777" w:rsidR="004329B8" w:rsidRDefault="004329B8" w:rsidP="0057706F">
            <w:pPr>
              <w:rPr>
                <w:sz w:val="20"/>
              </w:rPr>
            </w:pPr>
          </w:p>
        </w:tc>
        <w:tc>
          <w:tcPr>
            <w:tcW w:w="2338" w:type="dxa"/>
          </w:tcPr>
          <w:p w14:paraId="50D77FFA" w14:textId="77777777" w:rsidR="004329B8" w:rsidRDefault="004329B8" w:rsidP="0057706F">
            <w:pPr>
              <w:rPr>
                <w:sz w:val="20"/>
              </w:rPr>
            </w:pPr>
          </w:p>
        </w:tc>
      </w:tr>
    </w:tbl>
    <w:p w14:paraId="04BB2A44" w14:textId="77777777" w:rsidR="0057706F" w:rsidRDefault="0057706F" w:rsidP="0057706F">
      <w:pPr>
        <w:spacing w:line="240" w:lineRule="auto"/>
        <w:rPr>
          <w:sz w:val="20"/>
        </w:rPr>
      </w:pPr>
    </w:p>
    <w:p w14:paraId="1B511DA4" w14:textId="77777777" w:rsidR="0057706F" w:rsidRDefault="0057706F" w:rsidP="0057706F">
      <w:pPr>
        <w:spacing w:line="240" w:lineRule="auto"/>
        <w:rPr>
          <w:sz w:val="20"/>
        </w:rPr>
      </w:pPr>
    </w:p>
    <w:p w14:paraId="78B25574" w14:textId="0B8EC715" w:rsidR="0057706F" w:rsidRPr="00560F67" w:rsidRDefault="0057706F" w:rsidP="0057706F">
      <w:pPr>
        <w:tabs>
          <w:tab w:val="right" w:pos="11520"/>
        </w:tabs>
        <w:spacing w:line="240" w:lineRule="auto"/>
        <w:rPr>
          <w:sz w:val="20"/>
        </w:rPr>
      </w:pPr>
      <w:r w:rsidRPr="00560F67">
        <w:rPr>
          <w:b/>
          <w:sz w:val="20"/>
        </w:rPr>
        <w:t>ADAMS Accession No</w:t>
      </w:r>
      <w:r w:rsidRPr="00560F67">
        <w:rPr>
          <w:sz w:val="20"/>
        </w:rPr>
        <w:t xml:space="preserve">:  </w:t>
      </w:r>
      <w:r w:rsidRPr="00560F67">
        <w:rPr>
          <w:b/>
          <w:sz w:val="20"/>
        </w:rPr>
        <w:t>PKG</w:t>
      </w:r>
      <w:r w:rsidRPr="005C47FD">
        <w:rPr>
          <w:sz w:val="20"/>
        </w:rPr>
        <w:t>:  ML</w:t>
      </w:r>
      <w:r w:rsidR="00A277CB" w:rsidRPr="005C47FD">
        <w:rPr>
          <w:sz w:val="20"/>
        </w:rPr>
        <w:t>19156A147</w:t>
      </w:r>
      <w:r w:rsidRPr="005C47FD">
        <w:rPr>
          <w:sz w:val="20"/>
        </w:rPr>
        <w:t xml:space="preserve">; </w:t>
      </w:r>
      <w:r w:rsidRPr="005C47FD">
        <w:rPr>
          <w:b/>
          <w:sz w:val="20"/>
        </w:rPr>
        <w:t>RA:</w:t>
      </w:r>
      <w:r w:rsidRPr="005C47FD">
        <w:rPr>
          <w:sz w:val="20"/>
        </w:rPr>
        <w:t xml:space="preserve">  ML</w:t>
      </w:r>
      <w:r w:rsidR="00A277CB" w:rsidRPr="005C47FD">
        <w:rPr>
          <w:sz w:val="20"/>
        </w:rPr>
        <w:t>19156A178</w:t>
      </w:r>
      <w:r w:rsidRPr="00560F67">
        <w:rPr>
          <w:sz w:val="20"/>
        </w:rPr>
        <w:tab/>
        <w:t>*</w:t>
      </w:r>
      <w:r w:rsidR="007A1D5D" w:rsidRPr="00560F67">
        <w:rPr>
          <w:sz w:val="20"/>
        </w:rPr>
        <w:t xml:space="preserve">concurred </w:t>
      </w:r>
      <w:r w:rsidRPr="00560F67">
        <w:rPr>
          <w:sz w:val="20"/>
        </w:rPr>
        <w:t>via email</w:t>
      </w:r>
    </w:p>
    <w:tbl>
      <w:tblPr>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800"/>
        <w:gridCol w:w="1530"/>
        <w:gridCol w:w="2520"/>
        <w:gridCol w:w="2610"/>
        <w:gridCol w:w="1440"/>
      </w:tblGrid>
      <w:tr w:rsidR="00082A96" w:rsidRPr="00082A96" w14:paraId="40EB8162" w14:textId="1AD9F7DD" w:rsidTr="00082A96">
        <w:trPr>
          <w:trHeight w:val="288"/>
          <w:jc w:val="center"/>
        </w:trPr>
        <w:tc>
          <w:tcPr>
            <w:tcW w:w="885" w:type="dxa"/>
            <w:tcBorders>
              <w:top w:val="double" w:sz="4" w:space="0" w:color="auto"/>
              <w:left w:val="double" w:sz="4" w:space="0" w:color="auto"/>
            </w:tcBorders>
            <w:vAlign w:val="center"/>
          </w:tcPr>
          <w:p w14:paraId="6C853361" w14:textId="77777777" w:rsidR="00082A96" w:rsidRPr="00082A96" w:rsidRDefault="00082A96" w:rsidP="00082A96">
            <w:pPr>
              <w:spacing w:line="240" w:lineRule="auto"/>
              <w:jc w:val="center"/>
              <w:rPr>
                <w:sz w:val="16"/>
                <w:szCs w:val="16"/>
              </w:rPr>
            </w:pPr>
            <w:r w:rsidRPr="00082A96">
              <w:rPr>
                <w:sz w:val="16"/>
                <w:szCs w:val="16"/>
              </w:rPr>
              <w:t>OFFICE</w:t>
            </w:r>
          </w:p>
        </w:tc>
        <w:tc>
          <w:tcPr>
            <w:tcW w:w="1800" w:type="dxa"/>
            <w:tcBorders>
              <w:top w:val="double" w:sz="4" w:space="0" w:color="auto"/>
            </w:tcBorders>
            <w:vAlign w:val="center"/>
          </w:tcPr>
          <w:p w14:paraId="4D111456" w14:textId="77777777" w:rsidR="00082A96" w:rsidRPr="00082A96" w:rsidRDefault="00082A96" w:rsidP="00082A96">
            <w:pPr>
              <w:spacing w:line="240" w:lineRule="auto"/>
              <w:jc w:val="center"/>
              <w:rPr>
                <w:sz w:val="16"/>
                <w:szCs w:val="16"/>
              </w:rPr>
            </w:pPr>
            <w:r w:rsidRPr="00082A96">
              <w:rPr>
                <w:sz w:val="16"/>
                <w:szCs w:val="16"/>
              </w:rPr>
              <w:t>NMSS/DRM/RASB</w:t>
            </w:r>
          </w:p>
        </w:tc>
        <w:tc>
          <w:tcPr>
            <w:tcW w:w="1530" w:type="dxa"/>
            <w:tcBorders>
              <w:top w:val="double" w:sz="4" w:space="0" w:color="auto"/>
            </w:tcBorders>
            <w:vAlign w:val="center"/>
          </w:tcPr>
          <w:p w14:paraId="23460A13" w14:textId="57B198EC" w:rsidR="00082A96" w:rsidRPr="00082A96" w:rsidRDefault="00082A96" w:rsidP="00082A96">
            <w:pPr>
              <w:spacing w:line="240" w:lineRule="auto"/>
              <w:jc w:val="center"/>
              <w:rPr>
                <w:sz w:val="16"/>
                <w:szCs w:val="16"/>
              </w:rPr>
            </w:pPr>
            <w:r w:rsidRPr="00082A96">
              <w:rPr>
                <w:sz w:val="16"/>
                <w:szCs w:val="16"/>
              </w:rPr>
              <w:t>QTE*</w:t>
            </w:r>
          </w:p>
        </w:tc>
        <w:tc>
          <w:tcPr>
            <w:tcW w:w="2520" w:type="dxa"/>
            <w:tcBorders>
              <w:top w:val="double" w:sz="4" w:space="0" w:color="auto"/>
            </w:tcBorders>
            <w:vAlign w:val="center"/>
          </w:tcPr>
          <w:p w14:paraId="50FD44C8" w14:textId="66DCFB91" w:rsidR="00082A96" w:rsidRPr="00082A96" w:rsidRDefault="00082A96" w:rsidP="00082A96">
            <w:pPr>
              <w:spacing w:line="240" w:lineRule="auto"/>
              <w:jc w:val="center"/>
              <w:rPr>
                <w:sz w:val="16"/>
                <w:szCs w:val="16"/>
              </w:rPr>
            </w:pPr>
            <w:r w:rsidRPr="00082A96">
              <w:rPr>
                <w:sz w:val="16"/>
                <w:szCs w:val="16"/>
              </w:rPr>
              <w:t>NMSS/DRM/RASB/RATL*</w:t>
            </w:r>
          </w:p>
        </w:tc>
        <w:tc>
          <w:tcPr>
            <w:tcW w:w="2610" w:type="dxa"/>
            <w:tcBorders>
              <w:top w:val="double" w:sz="4" w:space="0" w:color="auto"/>
              <w:right w:val="double" w:sz="4" w:space="0" w:color="auto"/>
            </w:tcBorders>
            <w:vAlign w:val="center"/>
          </w:tcPr>
          <w:p w14:paraId="23784158" w14:textId="766DCD32" w:rsidR="00082A96" w:rsidRPr="00082A96" w:rsidRDefault="00082A96" w:rsidP="00082A96">
            <w:pPr>
              <w:spacing w:line="240" w:lineRule="auto"/>
              <w:jc w:val="center"/>
              <w:rPr>
                <w:sz w:val="16"/>
                <w:szCs w:val="16"/>
              </w:rPr>
            </w:pPr>
            <w:r w:rsidRPr="00082A96">
              <w:rPr>
                <w:sz w:val="16"/>
                <w:szCs w:val="16"/>
              </w:rPr>
              <w:t>NMSS/DRM/RASB/BC*</w:t>
            </w:r>
          </w:p>
        </w:tc>
        <w:tc>
          <w:tcPr>
            <w:tcW w:w="1440" w:type="dxa"/>
            <w:tcBorders>
              <w:top w:val="double" w:sz="4" w:space="0" w:color="auto"/>
              <w:right w:val="double" w:sz="4" w:space="0" w:color="auto"/>
            </w:tcBorders>
            <w:vAlign w:val="center"/>
          </w:tcPr>
          <w:p w14:paraId="37068FFC" w14:textId="65F1FD6D" w:rsidR="00082A96" w:rsidRPr="00082A96" w:rsidRDefault="00082A96" w:rsidP="00082A96">
            <w:pPr>
              <w:spacing w:line="240" w:lineRule="auto"/>
              <w:jc w:val="center"/>
              <w:rPr>
                <w:sz w:val="16"/>
                <w:szCs w:val="16"/>
              </w:rPr>
            </w:pPr>
            <w:r w:rsidRPr="00082A96">
              <w:rPr>
                <w:sz w:val="16"/>
                <w:szCs w:val="16"/>
              </w:rPr>
              <w:t>NMSS/DRM/D</w:t>
            </w:r>
            <w:r w:rsidR="00C13F96">
              <w:rPr>
                <w:sz w:val="16"/>
                <w:szCs w:val="16"/>
              </w:rPr>
              <w:t>*</w:t>
            </w:r>
          </w:p>
        </w:tc>
      </w:tr>
      <w:tr w:rsidR="00082A96" w:rsidRPr="00082A96" w14:paraId="0945E9ED" w14:textId="6606EECE" w:rsidTr="00082A96">
        <w:trPr>
          <w:trHeight w:val="288"/>
          <w:jc w:val="center"/>
        </w:trPr>
        <w:tc>
          <w:tcPr>
            <w:tcW w:w="885" w:type="dxa"/>
            <w:tcBorders>
              <w:left w:val="double" w:sz="4" w:space="0" w:color="auto"/>
            </w:tcBorders>
            <w:vAlign w:val="center"/>
          </w:tcPr>
          <w:p w14:paraId="6F2BBE37" w14:textId="77777777" w:rsidR="00082A96" w:rsidRPr="00082A96" w:rsidRDefault="00082A96" w:rsidP="00082A96">
            <w:pPr>
              <w:spacing w:line="240" w:lineRule="auto"/>
              <w:jc w:val="center"/>
              <w:rPr>
                <w:sz w:val="16"/>
                <w:szCs w:val="16"/>
              </w:rPr>
            </w:pPr>
            <w:r w:rsidRPr="00082A96">
              <w:rPr>
                <w:sz w:val="16"/>
                <w:szCs w:val="16"/>
              </w:rPr>
              <w:t>NAME</w:t>
            </w:r>
          </w:p>
        </w:tc>
        <w:tc>
          <w:tcPr>
            <w:tcW w:w="1800" w:type="dxa"/>
            <w:vAlign w:val="center"/>
          </w:tcPr>
          <w:p w14:paraId="7C2D45D4" w14:textId="29607F29" w:rsidR="00082A96" w:rsidRPr="00082A96" w:rsidRDefault="00082A96" w:rsidP="00082A96">
            <w:pPr>
              <w:spacing w:line="240" w:lineRule="auto"/>
              <w:jc w:val="center"/>
              <w:rPr>
                <w:sz w:val="16"/>
                <w:szCs w:val="16"/>
              </w:rPr>
            </w:pPr>
            <w:r w:rsidRPr="00082A96">
              <w:rPr>
                <w:sz w:val="16"/>
                <w:szCs w:val="16"/>
              </w:rPr>
              <w:t>ASanders</w:t>
            </w:r>
          </w:p>
        </w:tc>
        <w:tc>
          <w:tcPr>
            <w:tcW w:w="1530" w:type="dxa"/>
            <w:vAlign w:val="center"/>
          </w:tcPr>
          <w:p w14:paraId="6FDCCDF9" w14:textId="48CC2830" w:rsidR="00082A96" w:rsidRPr="00082A96" w:rsidRDefault="00082A96" w:rsidP="00082A96">
            <w:pPr>
              <w:spacing w:line="240" w:lineRule="auto"/>
              <w:jc w:val="center"/>
              <w:rPr>
                <w:sz w:val="16"/>
                <w:szCs w:val="16"/>
              </w:rPr>
            </w:pPr>
            <w:r w:rsidRPr="00082A96">
              <w:rPr>
                <w:sz w:val="16"/>
                <w:szCs w:val="16"/>
              </w:rPr>
              <w:t>JDougherty</w:t>
            </w:r>
          </w:p>
        </w:tc>
        <w:tc>
          <w:tcPr>
            <w:tcW w:w="2520" w:type="dxa"/>
            <w:vAlign w:val="center"/>
          </w:tcPr>
          <w:p w14:paraId="04D6C252" w14:textId="3E232F5E" w:rsidR="00082A96" w:rsidRPr="00082A96" w:rsidRDefault="00082A96" w:rsidP="00082A96">
            <w:pPr>
              <w:spacing w:line="240" w:lineRule="auto"/>
              <w:jc w:val="center"/>
              <w:rPr>
                <w:sz w:val="16"/>
                <w:szCs w:val="16"/>
              </w:rPr>
            </w:pPr>
            <w:r w:rsidRPr="00082A96">
              <w:rPr>
                <w:sz w:val="16"/>
                <w:szCs w:val="16"/>
              </w:rPr>
              <w:t>FSchofer</w:t>
            </w:r>
          </w:p>
        </w:tc>
        <w:tc>
          <w:tcPr>
            <w:tcW w:w="2610" w:type="dxa"/>
            <w:tcBorders>
              <w:right w:val="double" w:sz="4" w:space="0" w:color="auto"/>
            </w:tcBorders>
            <w:vAlign w:val="center"/>
          </w:tcPr>
          <w:p w14:paraId="407FFE27" w14:textId="700D3D8B" w:rsidR="00082A96" w:rsidRPr="00082A96" w:rsidRDefault="00082A96" w:rsidP="00082A96">
            <w:pPr>
              <w:spacing w:line="240" w:lineRule="auto"/>
              <w:jc w:val="center"/>
              <w:rPr>
                <w:sz w:val="16"/>
                <w:szCs w:val="16"/>
              </w:rPr>
            </w:pPr>
            <w:r w:rsidRPr="00082A96">
              <w:rPr>
                <w:sz w:val="16"/>
                <w:szCs w:val="16"/>
              </w:rPr>
              <w:t>CBladey (JShepherdVladimir for)</w:t>
            </w:r>
          </w:p>
        </w:tc>
        <w:tc>
          <w:tcPr>
            <w:tcW w:w="1440" w:type="dxa"/>
            <w:tcBorders>
              <w:right w:val="double" w:sz="4" w:space="0" w:color="auto"/>
            </w:tcBorders>
            <w:vAlign w:val="center"/>
          </w:tcPr>
          <w:p w14:paraId="330433B2" w14:textId="7DCE03A2" w:rsidR="00082A96" w:rsidRPr="00082A96" w:rsidRDefault="00082A96" w:rsidP="00082A96">
            <w:pPr>
              <w:spacing w:line="240" w:lineRule="auto"/>
              <w:jc w:val="center"/>
              <w:rPr>
                <w:sz w:val="16"/>
                <w:szCs w:val="16"/>
              </w:rPr>
            </w:pPr>
            <w:r w:rsidRPr="00082A96">
              <w:rPr>
                <w:sz w:val="16"/>
                <w:szCs w:val="16"/>
              </w:rPr>
              <w:t>PHolahan</w:t>
            </w:r>
          </w:p>
        </w:tc>
      </w:tr>
      <w:tr w:rsidR="00082A96" w:rsidRPr="00082A96" w14:paraId="2D0953A8" w14:textId="0B494A91" w:rsidTr="00082A96">
        <w:trPr>
          <w:trHeight w:val="288"/>
          <w:jc w:val="center"/>
        </w:trPr>
        <w:tc>
          <w:tcPr>
            <w:tcW w:w="885" w:type="dxa"/>
            <w:tcBorders>
              <w:left w:val="double" w:sz="4" w:space="0" w:color="auto"/>
              <w:bottom w:val="double" w:sz="4" w:space="0" w:color="auto"/>
            </w:tcBorders>
            <w:vAlign w:val="center"/>
          </w:tcPr>
          <w:p w14:paraId="5A2BCEB6" w14:textId="77777777" w:rsidR="00082A96" w:rsidRPr="00082A96" w:rsidRDefault="00082A96" w:rsidP="00082A96">
            <w:pPr>
              <w:spacing w:line="240" w:lineRule="auto"/>
              <w:jc w:val="center"/>
              <w:rPr>
                <w:sz w:val="16"/>
                <w:szCs w:val="16"/>
              </w:rPr>
            </w:pPr>
            <w:r w:rsidRPr="00082A96">
              <w:rPr>
                <w:sz w:val="16"/>
                <w:szCs w:val="16"/>
              </w:rPr>
              <w:t>DATE</w:t>
            </w:r>
          </w:p>
        </w:tc>
        <w:tc>
          <w:tcPr>
            <w:tcW w:w="1800" w:type="dxa"/>
            <w:tcBorders>
              <w:bottom w:val="double" w:sz="4" w:space="0" w:color="auto"/>
            </w:tcBorders>
            <w:vAlign w:val="center"/>
          </w:tcPr>
          <w:p w14:paraId="5DA5FCFF" w14:textId="63CF78F7" w:rsidR="00082A96" w:rsidRPr="00082A96" w:rsidRDefault="00082A96" w:rsidP="00082A96">
            <w:pPr>
              <w:spacing w:line="240" w:lineRule="auto"/>
              <w:jc w:val="center"/>
              <w:rPr>
                <w:sz w:val="16"/>
                <w:szCs w:val="16"/>
              </w:rPr>
            </w:pPr>
            <w:r w:rsidRPr="00082A96">
              <w:rPr>
                <w:sz w:val="16"/>
                <w:szCs w:val="16"/>
              </w:rPr>
              <w:t>5/16/2019</w:t>
            </w:r>
          </w:p>
        </w:tc>
        <w:tc>
          <w:tcPr>
            <w:tcW w:w="1530" w:type="dxa"/>
            <w:tcBorders>
              <w:bottom w:val="double" w:sz="4" w:space="0" w:color="auto"/>
            </w:tcBorders>
            <w:vAlign w:val="center"/>
          </w:tcPr>
          <w:p w14:paraId="43E7BD85" w14:textId="7FEA39A0" w:rsidR="00082A96" w:rsidRPr="00082A96" w:rsidRDefault="00082A96" w:rsidP="00082A96">
            <w:pPr>
              <w:spacing w:line="240" w:lineRule="auto"/>
              <w:jc w:val="center"/>
              <w:rPr>
                <w:sz w:val="16"/>
                <w:szCs w:val="16"/>
              </w:rPr>
            </w:pPr>
            <w:r w:rsidRPr="00082A96">
              <w:rPr>
                <w:sz w:val="16"/>
                <w:szCs w:val="16"/>
              </w:rPr>
              <w:t>5/13/2019</w:t>
            </w:r>
          </w:p>
        </w:tc>
        <w:tc>
          <w:tcPr>
            <w:tcW w:w="2520" w:type="dxa"/>
            <w:tcBorders>
              <w:bottom w:val="double" w:sz="4" w:space="0" w:color="auto"/>
            </w:tcBorders>
            <w:vAlign w:val="center"/>
          </w:tcPr>
          <w:p w14:paraId="2C5E6CF6" w14:textId="15E0C0C6" w:rsidR="00082A96" w:rsidRPr="00082A96" w:rsidRDefault="00082A96" w:rsidP="00082A96">
            <w:pPr>
              <w:spacing w:line="240" w:lineRule="auto"/>
              <w:jc w:val="center"/>
              <w:rPr>
                <w:sz w:val="16"/>
                <w:szCs w:val="16"/>
              </w:rPr>
            </w:pPr>
            <w:r w:rsidRPr="00082A96">
              <w:rPr>
                <w:sz w:val="16"/>
                <w:szCs w:val="16"/>
              </w:rPr>
              <w:t>5/23/2019</w:t>
            </w:r>
          </w:p>
        </w:tc>
        <w:tc>
          <w:tcPr>
            <w:tcW w:w="2610" w:type="dxa"/>
            <w:tcBorders>
              <w:bottom w:val="double" w:sz="4" w:space="0" w:color="auto"/>
              <w:right w:val="double" w:sz="4" w:space="0" w:color="auto"/>
            </w:tcBorders>
            <w:vAlign w:val="center"/>
          </w:tcPr>
          <w:p w14:paraId="7AF6C366" w14:textId="3F9A7844" w:rsidR="00082A96" w:rsidRPr="00082A96" w:rsidRDefault="00082A96" w:rsidP="00082A96">
            <w:pPr>
              <w:spacing w:line="240" w:lineRule="auto"/>
              <w:jc w:val="center"/>
              <w:rPr>
                <w:sz w:val="16"/>
                <w:szCs w:val="16"/>
              </w:rPr>
            </w:pPr>
            <w:r w:rsidRPr="00082A96">
              <w:rPr>
                <w:sz w:val="16"/>
                <w:szCs w:val="16"/>
              </w:rPr>
              <w:t>6/21/2019</w:t>
            </w:r>
          </w:p>
        </w:tc>
        <w:tc>
          <w:tcPr>
            <w:tcW w:w="1440" w:type="dxa"/>
            <w:tcBorders>
              <w:bottom w:val="double" w:sz="4" w:space="0" w:color="auto"/>
              <w:right w:val="double" w:sz="4" w:space="0" w:color="auto"/>
            </w:tcBorders>
          </w:tcPr>
          <w:p w14:paraId="15BE62A9" w14:textId="554DDAA7" w:rsidR="00082A96" w:rsidRPr="00082A96" w:rsidRDefault="00C13F96" w:rsidP="00082A96">
            <w:pPr>
              <w:spacing w:line="240" w:lineRule="auto"/>
              <w:jc w:val="center"/>
              <w:rPr>
                <w:sz w:val="16"/>
                <w:szCs w:val="16"/>
              </w:rPr>
            </w:pPr>
            <w:r>
              <w:rPr>
                <w:sz w:val="16"/>
                <w:szCs w:val="16"/>
              </w:rPr>
              <w:t>7/</w:t>
            </w:r>
            <w:r w:rsidR="00BC3DCD">
              <w:rPr>
                <w:sz w:val="16"/>
                <w:szCs w:val="16"/>
              </w:rPr>
              <w:t>9</w:t>
            </w:r>
            <w:r>
              <w:rPr>
                <w:sz w:val="16"/>
                <w:szCs w:val="16"/>
              </w:rPr>
              <w:t>/2019</w:t>
            </w:r>
          </w:p>
        </w:tc>
      </w:tr>
    </w:tbl>
    <w:p w14:paraId="07E0F20E" w14:textId="15766DB1" w:rsidR="00AF669C" w:rsidRPr="00D53E6F" w:rsidRDefault="0057706F" w:rsidP="00560F67">
      <w:pPr>
        <w:jc w:val="center"/>
      </w:pPr>
      <w:r w:rsidRPr="004A5A16">
        <w:rPr>
          <w:b/>
          <w:sz w:val="20"/>
        </w:rPr>
        <w:t>OFFICIAL RECORD COPY</w:t>
      </w:r>
    </w:p>
    <w:sectPr w:rsidR="00AF669C" w:rsidRPr="00D53E6F" w:rsidSect="00560F67">
      <w:footerReference w:type="default" r:id="rId5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D724B" w14:textId="77777777" w:rsidR="0034168C" w:rsidRDefault="0034168C" w:rsidP="00891C71">
      <w:r>
        <w:separator/>
      </w:r>
    </w:p>
  </w:endnote>
  <w:endnote w:type="continuationSeparator" w:id="0">
    <w:p w14:paraId="1C08BA68" w14:textId="77777777" w:rsidR="0034168C" w:rsidRDefault="0034168C" w:rsidP="00891C71">
      <w:r>
        <w:continuationSeparator/>
      </w:r>
    </w:p>
  </w:endnote>
  <w:endnote w:type="continuationNotice" w:id="1">
    <w:p w14:paraId="65D1916F" w14:textId="77777777" w:rsidR="0034168C" w:rsidRDefault="0034168C" w:rsidP="00891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02EAE" w14:textId="77777777" w:rsidR="00373E67" w:rsidRDefault="00373E67" w:rsidP="00E91144">
    <w:pPr>
      <w:pStyle w:val="Footer"/>
      <w:jc w:val="center"/>
    </w:pPr>
    <w:r>
      <w:t>ii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516407"/>
      <w:docPartObj>
        <w:docPartGallery w:val="Page Numbers (Bottom of Page)"/>
        <w:docPartUnique/>
      </w:docPartObj>
    </w:sdtPr>
    <w:sdtEndPr>
      <w:rPr>
        <w:noProof/>
      </w:rPr>
    </w:sdtEndPr>
    <w:sdtContent>
      <w:p w14:paraId="21336706" w14:textId="77777777" w:rsidR="00373E67" w:rsidRDefault="00373E67">
        <w:pPr>
          <w:pStyle w:val="Footer"/>
          <w:jc w:val="center"/>
        </w:pPr>
        <w:r>
          <w:fldChar w:fldCharType="begin"/>
        </w:r>
        <w:r>
          <w:instrText xml:space="preserve"> PAGE   \* MERGEFORMAT </w:instrText>
        </w:r>
        <w:r>
          <w:fldChar w:fldCharType="separate"/>
        </w:r>
        <w:r>
          <w:rPr>
            <w:noProof/>
          </w:rPr>
          <w:t>xii</w:t>
        </w:r>
        <w:r>
          <w:rPr>
            <w:noProof/>
          </w:rPr>
          <w:fldChar w:fldCharType="end"/>
        </w:r>
      </w:p>
    </w:sdtContent>
  </w:sdt>
  <w:p w14:paraId="4C04034E" w14:textId="77777777" w:rsidR="00373E67" w:rsidRDefault="00373E67" w:rsidP="00E9114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C8F5C" w14:textId="77777777" w:rsidR="00373E67" w:rsidRPr="00892A3E" w:rsidRDefault="00373E67" w:rsidP="00F44845">
    <w:pPr>
      <w:pStyle w:val="Footer"/>
      <w:tabs>
        <w:tab w:val="clear" w:pos="4680"/>
        <w:tab w:val="center" w:pos="6480"/>
      </w:tabs>
      <w:jc w:val="center"/>
    </w:pPr>
    <w:r>
      <w:fldChar w:fldCharType="begin"/>
    </w:r>
    <w:r>
      <w:instrText xml:space="preserve"> PAGE  \* Arabic  \* MERGEFORMAT</w:instrText>
    </w:r>
    <w:r>
      <w:fldChar w:fldCharType="separate"/>
    </w:r>
    <w:r>
      <w:rPr>
        <w:noProof/>
      </w:rPr>
      <w:t>58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93F41" w14:textId="7FE7148E" w:rsidR="00373E67" w:rsidRPr="00892A3E" w:rsidRDefault="00373E67" w:rsidP="00F44845">
    <w:pPr>
      <w:pStyle w:val="Footer"/>
      <w:tabs>
        <w:tab w:val="clear" w:pos="4680"/>
        <w:tab w:val="center" w:pos="6570"/>
      </w:tabs>
      <w:jc w:val="center"/>
    </w:pPr>
    <w:r>
      <w:t xml:space="preserve">A - </w:t>
    </w: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CDE71" w14:textId="08004AAC" w:rsidR="00373E67" w:rsidRPr="00892A3E" w:rsidRDefault="00373E67" w:rsidP="00F44845">
    <w:pPr>
      <w:pStyle w:val="Footer"/>
      <w:tabs>
        <w:tab w:val="clear" w:pos="4680"/>
        <w:tab w:val="center" w:pos="657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58EC0" w14:textId="77777777" w:rsidR="0034168C" w:rsidRDefault="0034168C" w:rsidP="00891C71">
      <w:r>
        <w:separator/>
      </w:r>
    </w:p>
  </w:footnote>
  <w:footnote w:type="continuationSeparator" w:id="0">
    <w:p w14:paraId="6E3F2BA7" w14:textId="77777777" w:rsidR="0034168C" w:rsidRDefault="0034168C" w:rsidP="00891C71">
      <w:r>
        <w:continuationSeparator/>
      </w:r>
    </w:p>
  </w:footnote>
  <w:footnote w:type="continuationNotice" w:id="1">
    <w:p w14:paraId="61FB479F" w14:textId="77777777" w:rsidR="0034168C" w:rsidRDefault="0034168C" w:rsidP="00891C71"/>
  </w:footnote>
  <w:footnote w:id="2">
    <w:p w14:paraId="091DE8DB" w14:textId="1F25245B" w:rsidR="00373E67" w:rsidRPr="006208D4" w:rsidRDefault="00373E67" w:rsidP="006208D4">
      <w:pPr>
        <w:autoSpaceDE/>
        <w:autoSpaceDN/>
        <w:adjustRightInd/>
        <w:ind w:left="720" w:hanging="720"/>
        <w:rPr>
          <w:sz w:val="18"/>
          <w:szCs w:val="18"/>
        </w:rPr>
      </w:pPr>
      <w:r w:rsidRPr="006208D4">
        <w:rPr>
          <w:sz w:val="18"/>
          <w:szCs w:val="18"/>
          <w:vertAlign w:val="superscript"/>
        </w:rPr>
        <w:footnoteRef/>
      </w:r>
      <w:r w:rsidRPr="006208D4">
        <w:rPr>
          <w:sz w:val="18"/>
          <w:szCs w:val="18"/>
          <w:vertAlign w:val="superscript"/>
        </w:rPr>
        <w:t xml:space="preserve"> </w:t>
      </w:r>
      <w:r w:rsidRPr="006208D4">
        <w:rPr>
          <w:sz w:val="18"/>
          <w:szCs w:val="18"/>
        </w:rPr>
        <w:tab/>
        <w:t xml:space="preserve">The Pilgrim Nuclear Power Station and the Three Mile Island Nuclear Station, Unit 1, closed in 2019.  </w:t>
      </w:r>
      <w:r>
        <w:rPr>
          <w:sz w:val="18"/>
          <w:szCs w:val="18"/>
        </w:rPr>
        <w:t>The NRC</w:t>
      </w:r>
      <w:r w:rsidRPr="006208D4">
        <w:rPr>
          <w:sz w:val="18"/>
          <w:szCs w:val="18"/>
        </w:rPr>
        <w:t xml:space="preserve"> assumes that </w:t>
      </w:r>
      <w:r w:rsidRPr="006208D4">
        <w:rPr>
          <w:rStyle w:val="Hyperlink"/>
          <w:color w:val="auto"/>
          <w:sz w:val="18"/>
          <w:szCs w:val="18"/>
          <w:u w:val="none"/>
        </w:rPr>
        <w:t>Davis</w:t>
      </w:r>
      <w:r w:rsidRPr="006208D4">
        <w:rPr>
          <w:rStyle w:val="Hyperlink"/>
          <w:color w:val="auto"/>
          <w:sz w:val="18"/>
          <w:szCs w:val="18"/>
          <w:u w:val="none"/>
        </w:rPr>
        <w:noBreakHyphen/>
        <w:t xml:space="preserve">Besse Nuclear Power Station, Unit 1, will close in 2020 based on FirstEnergy Nuclear Operating Company’s announcement </w:t>
      </w:r>
      <w:r w:rsidRPr="006208D4">
        <w:rPr>
          <w:sz w:val="18"/>
          <w:szCs w:val="18"/>
        </w:rPr>
        <w:t>(</w:t>
      </w:r>
      <w:hyperlink r:id="rId1" w:history="1">
        <w:r w:rsidRPr="006208D4">
          <w:rPr>
            <w:rStyle w:val="Hyperlink"/>
            <w:sz w:val="18"/>
            <w:szCs w:val="18"/>
          </w:rPr>
          <w:t>http://www.firstenergycorp.com</w:t>
        </w:r>
      </w:hyperlink>
      <w:r w:rsidRPr="006208D4">
        <w:rPr>
          <w:sz w:val="18"/>
          <w:szCs w:val="18"/>
        </w:rPr>
        <w:t>) and that Duane Arnold Energy Center will close in 2020 based on NextEra Energy Resources’ announcement (</w:t>
      </w:r>
      <w:hyperlink r:id="rId2" w:history="1">
        <w:r w:rsidRPr="006208D4">
          <w:rPr>
            <w:rStyle w:val="Hyperlink"/>
            <w:sz w:val="18"/>
            <w:szCs w:val="18"/>
          </w:rPr>
          <w:t>https://www.nexteraenergyresources.com</w:t>
        </w:r>
      </w:hyperlink>
      <w:r w:rsidRPr="006208D4">
        <w:rPr>
          <w:sz w:val="18"/>
          <w:szCs w:val="18"/>
        </w:rPr>
        <w:t xml:space="preserve">).  </w:t>
      </w:r>
      <w:r>
        <w:rPr>
          <w:sz w:val="18"/>
          <w:szCs w:val="18"/>
        </w:rPr>
        <w:t>The NRC</w:t>
      </w:r>
      <w:r w:rsidRPr="006208D4">
        <w:rPr>
          <w:sz w:val="18"/>
          <w:szCs w:val="18"/>
        </w:rPr>
        <w:t xml:space="preserve"> assumes that Perry Nuclear power Plant, Unit 1, and Beaver Valley Power Station, Units 1 and 2, will shut down in 2021, based on </w:t>
      </w:r>
      <w:r w:rsidRPr="006208D4">
        <w:rPr>
          <w:rStyle w:val="Hyperlink"/>
          <w:color w:val="auto"/>
          <w:sz w:val="18"/>
          <w:szCs w:val="18"/>
          <w:u w:val="none"/>
        </w:rPr>
        <w:t xml:space="preserve">FirstEnergy Nuclear Operating Company’s announcement </w:t>
      </w:r>
      <w:r w:rsidRPr="006208D4">
        <w:rPr>
          <w:sz w:val="18"/>
          <w:szCs w:val="18"/>
        </w:rPr>
        <w:t>(</w:t>
      </w:r>
      <w:hyperlink r:id="rId3" w:history="1">
        <w:r w:rsidRPr="006208D4">
          <w:rPr>
            <w:rStyle w:val="Hyperlink"/>
            <w:sz w:val="18"/>
            <w:szCs w:val="18"/>
          </w:rPr>
          <w:t>http://www.firstenergycorp.com</w:t>
        </w:r>
      </w:hyperlink>
      <w:r w:rsidRPr="006208D4">
        <w:rPr>
          <w:sz w:val="18"/>
          <w:szCs w:val="18"/>
        </w:rPr>
        <w:t xml:space="preserve">).  </w:t>
      </w:r>
      <w:r>
        <w:rPr>
          <w:sz w:val="18"/>
          <w:szCs w:val="18"/>
        </w:rPr>
        <w:t>The NRC</w:t>
      </w:r>
      <w:r w:rsidRPr="006208D4">
        <w:rPr>
          <w:sz w:val="18"/>
          <w:szCs w:val="18"/>
        </w:rPr>
        <w:t xml:space="preserve"> assumes that Indian Point Nuclear Generating Station (Indian Point), Unit </w:t>
      </w:r>
      <w:r>
        <w:rPr>
          <w:sz w:val="18"/>
          <w:szCs w:val="18"/>
        </w:rPr>
        <w:t>2</w:t>
      </w:r>
      <w:r w:rsidRPr="006208D4">
        <w:rPr>
          <w:sz w:val="18"/>
          <w:szCs w:val="18"/>
        </w:rPr>
        <w:t>, will shut down in 2020; Indian Point, Unit </w:t>
      </w:r>
      <w:r>
        <w:rPr>
          <w:sz w:val="18"/>
          <w:szCs w:val="18"/>
        </w:rPr>
        <w:t>3</w:t>
      </w:r>
      <w:r w:rsidRPr="006208D4">
        <w:rPr>
          <w:sz w:val="18"/>
          <w:szCs w:val="18"/>
        </w:rPr>
        <w:t>, will shut down in 2021; and Palisades Nuclear Plant will shut down in 2022, based on Entergy Nuclear Operations, Inc.’s, announcement (</w:t>
      </w:r>
      <w:hyperlink r:id="rId4" w:history="1">
        <w:r w:rsidRPr="006208D4">
          <w:rPr>
            <w:rStyle w:val="Hyperlink"/>
            <w:sz w:val="18"/>
            <w:szCs w:val="18"/>
          </w:rPr>
          <w:t>http://www.entergy.com</w:t>
        </w:r>
      </w:hyperlink>
      <w:r w:rsidRPr="006208D4">
        <w:rPr>
          <w:rStyle w:val="Hyperlink"/>
          <w:sz w:val="18"/>
          <w:szCs w:val="18"/>
          <w:u w:val="none"/>
        </w:rPr>
        <w:t>).</w:t>
      </w:r>
      <w:r w:rsidRPr="006208D4">
        <w:rPr>
          <w:sz w:val="18"/>
          <w:szCs w:val="18"/>
        </w:rPr>
        <w:t xml:space="preserve"> </w:t>
      </w:r>
      <w:r>
        <w:rPr>
          <w:sz w:val="18"/>
          <w:szCs w:val="18"/>
        </w:rPr>
        <w:t xml:space="preserve"> The NRC</w:t>
      </w:r>
      <w:r w:rsidRPr="006208D4">
        <w:rPr>
          <w:sz w:val="18"/>
          <w:szCs w:val="18"/>
        </w:rPr>
        <w:t xml:space="preserve"> assumes Diablo Canyon Power Plant, Units 1 and 2, will shut down in 2024 and 2025, respectively, based on Pacific Gas &amp; Electric Company’s announcement (</w:t>
      </w:r>
      <w:r w:rsidRPr="006208D4">
        <w:rPr>
          <w:rStyle w:val="Hyperlink"/>
          <w:sz w:val="18"/>
          <w:szCs w:val="18"/>
        </w:rPr>
        <w:t>http://</w:t>
      </w:r>
      <w:hyperlink r:id="rId5" w:history="1">
        <w:r w:rsidRPr="006208D4">
          <w:rPr>
            <w:rStyle w:val="Hyperlink"/>
            <w:sz w:val="18"/>
            <w:szCs w:val="18"/>
          </w:rPr>
          <w:t>www</w:t>
        </w:r>
      </w:hyperlink>
      <w:r w:rsidRPr="006208D4">
        <w:rPr>
          <w:rStyle w:val="Hyperlink"/>
          <w:sz w:val="18"/>
          <w:szCs w:val="18"/>
        </w:rPr>
        <w:t>.pge.com</w:t>
      </w:r>
      <w:r w:rsidRPr="006208D4">
        <w:rPr>
          <w:sz w:val="18"/>
          <w:szCs w:val="18"/>
        </w:rPr>
        <w:t>).</w:t>
      </w:r>
    </w:p>
    <w:p w14:paraId="5B7AD58A" w14:textId="77777777" w:rsidR="00373E67" w:rsidRPr="006208D4" w:rsidRDefault="00373E67" w:rsidP="00D53E6F">
      <w:pPr>
        <w:pStyle w:val="FootnoteText"/>
        <w:ind w:left="360" w:hanging="360"/>
        <w:rPr>
          <w:sz w:val="18"/>
          <w:szCs w:val="18"/>
        </w:rPr>
      </w:pPr>
    </w:p>
  </w:footnote>
  <w:footnote w:id="3">
    <w:p w14:paraId="125EE544" w14:textId="77777777" w:rsidR="00373E67" w:rsidRPr="0001793A" w:rsidRDefault="00373E67" w:rsidP="00D53E6F">
      <w:pPr>
        <w:pStyle w:val="FootnoteText"/>
        <w:spacing w:line="240" w:lineRule="auto"/>
        <w:ind w:left="720" w:hanging="720"/>
        <w:rPr>
          <w:sz w:val="18"/>
          <w:szCs w:val="18"/>
        </w:rPr>
      </w:pPr>
      <w:r w:rsidRPr="0001793A">
        <w:rPr>
          <w:rStyle w:val="FootnoteReference"/>
          <w:sz w:val="18"/>
          <w:szCs w:val="18"/>
          <w:vertAlign w:val="superscript"/>
        </w:rPr>
        <w:footnoteRef/>
      </w:r>
      <w:r w:rsidRPr="0001793A">
        <w:rPr>
          <w:rStyle w:val="FootnoteReference"/>
          <w:sz w:val="18"/>
          <w:szCs w:val="18"/>
          <w:vertAlign w:val="superscript"/>
        </w:rPr>
        <w:t xml:space="preserve"> </w:t>
      </w:r>
      <w:r w:rsidRPr="0001793A">
        <w:rPr>
          <w:sz w:val="18"/>
          <w:szCs w:val="18"/>
          <w:vertAlign w:val="superscript"/>
        </w:rPr>
        <w:tab/>
      </w:r>
      <w:r w:rsidRPr="0001793A">
        <w:rPr>
          <w:sz w:val="18"/>
          <w:szCs w:val="18"/>
        </w:rPr>
        <w:t>The</w:t>
      </w:r>
      <w:r w:rsidRPr="0001793A">
        <w:rPr>
          <w:i/>
          <w:sz w:val="18"/>
          <w:szCs w:val="18"/>
        </w:rPr>
        <w:t xml:space="preserve"> </w:t>
      </w:r>
      <w:r w:rsidRPr="0001793A">
        <w:rPr>
          <w:sz w:val="18"/>
          <w:szCs w:val="18"/>
        </w:rPr>
        <w:t>“social rate of time preference” discounting concept refers to the rate at which society is willing to postpone a marginal unit of current consumption in exchange for more future consumption.</w:t>
      </w:r>
    </w:p>
    <w:p w14:paraId="5D8E207E" w14:textId="77777777" w:rsidR="00373E67" w:rsidRPr="00560F67" w:rsidRDefault="00373E67" w:rsidP="00D53E6F">
      <w:pPr>
        <w:pStyle w:val="FootnoteText"/>
        <w:spacing w:line="240" w:lineRule="auto"/>
        <w:ind w:left="720" w:hanging="720"/>
        <w:rPr>
          <w:sz w:val="18"/>
          <w:szCs w:val="18"/>
        </w:rPr>
      </w:pPr>
    </w:p>
  </w:footnote>
  <w:footnote w:id="4">
    <w:p w14:paraId="308163DB" w14:textId="77777777" w:rsidR="00373E67" w:rsidRPr="0001793A" w:rsidRDefault="00373E67" w:rsidP="00D53E6F">
      <w:pPr>
        <w:pStyle w:val="FootnoteText"/>
        <w:spacing w:line="240" w:lineRule="auto"/>
        <w:ind w:left="720" w:hanging="720"/>
        <w:rPr>
          <w:sz w:val="18"/>
          <w:szCs w:val="18"/>
        </w:rPr>
      </w:pPr>
      <w:r w:rsidRPr="0001793A">
        <w:rPr>
          <w:rStyle w:val="FootnoteReference"/>
          <w:sz w:val="18"/>
          <w:szCs w:val="18"/>
          <w:vertAlign w:val="superscript"/>
        </w:rPr>
        <w:footnoteRef/>
      </w:r>
      <w:r w:rsidRPr="0001793A">
        <w:rPr>
          <w:sz w:val="18"/>
          <w:szCs w:val="18"/>
        </w:rPr>
        <w:t xml:space="preserve"> </w:t>
      </w:r>
      <w:r w:rsidRPr="0001793A">
        <w:rPr>
          <w:sz w:val="18"/>
          <w:szCs w:val="18"/>
        </w:rPr>
        <w:tab/>
        <w:t>The “opportunity cost” represents what is foregone by undertaking a given action.  If the licensee’s personnel were not engaged in revising procedures, other work activities would occupy them.  Throughout the analysis, the NRC estimates the opportunity cost of performing these incremental tasks as the industry personnel’s pay for the designated unit of time.</w:t>
      </w:r>
    </w:p>
    <w:p w14:paraId="6EE0997B" w14:textId="77777777" w:rsidR="00373E67" w:rsidRPr="00560F67" w:rsidRDefault="00373E67" w:rsidP="00D53E6F">
      <w:pPr>
        <w:pStyle w:val="FootnoteText"/>
        <w:rPr>
          <w:sz w:val="18"/>
          <w:szCs w:val="18"/>
        </w:rPr>
      </w:pPr>
    </w:p>
  </w:footnote>
  <w:footnote w:id="5">
    <w:p w14:paraId="396CE41E" w14:textId="77777777" w:rsidR="00373E67" w:rsidRPr="00560F67" w:rsidRDefault="00373E67" w:rsidP="00D53E6F">
      <w:pPr>
        <w:spacing w:line="240" w:lineRule="auto"/>
        <w:ind w:left="720" w:hanging="720"/>
        <w:rPr>
          <w:sz w:val="18"/>
          <w:szCs w:val="18"/>
        </w:rPr>
      </w:pPr>
      <w:r w:rsidRPr="0001793A">
        <w:rPr>
          <w:rStyle w:val="FootnoteReference"/>
          <w:sz w:val="18"/>
          <w:szCs w:val="18"/>
          <w:vertAlign w:val="superscript"/>
        </w:rPr>
        <w:footnoteRef/>
      </w:r>
      <w:r w:rsidRPr="0001793A">
        <w:rPr>
          <w:sz w:val="18"/>
          <w:szCs w:val="18"/>
          <w:vertAlign w:val="superscript"/>
        </w:rPr>
        <w:t xml:space="preserve"> </w:t>
      </w:r>
      <w:r w:rsidRPr="0001793A">
        <w:rPr>
          <w:sz w:val="18"/>
          <w:szCs w:val="18"/>
        </w:rPr>
        <w:tab/>
        <w:t>The NRC labor rates presented here differ from those developed under the NRC’s license fee recovery program (10 CFR Part 170, “Fees for Facilities, Materials, Import and Export Licenses, and Other Regulatory Services under the Atomic Energy Act of 1954, as Amended”).  NRC labor rates for fee recovery purposes are appropriately designed for full-cost recovery of the services rendered and, therefore, include nonincremental costs (e.g., overhead, administrative, and logistical support costs).</w:t>
      </w:r>
    </w:p>
    <w:p w14:paraId="2178240C" w14:textId="77777777" w:rsidR="00373E67" w:rsidRPr="00560F67" w:rsidRDefault="00373E67" w:rsidP="00D53E6F">
      <w:pPr>
        <w:rPr>
          <w:sz w:val="18"/>
          <w:szCs w:val="18"/>
        </w:rPr>
      </w:pPr>
    </w:p>
  </w:footnote>
  <w:footnote w:id="6">
    <w:p w14:paraId="190BAF56" w14:textId="77777777" w:rsidR="00373E67" w:rsidRPr="00E878D3" w:rsidRDefault="00373E67" w:rsidP="00D53E6F">
      <w:pPr>
        <w:pStyle w:val="FootnoteText"/>
        <w:spacing w:line="240" w:lineRule="auto"/>
        <w:ind w:left="720" w:hanging="720"/>
        <w:rPr>
          <w:sz w:val="18"/>
        </w:rPr>
      </w:pPr>
      <w:r w:rsidRPr="00E878D3">
        <w:rPr>
          <w:rStyle w:val="FootnoteReference"/>
          <w:sz w:val="18"/>
          <w:vertAlign w:val="superscript"/>
        </w:rPr>
        <w:footnoteRef/>
      </w:r>
      <w:r w:rsidRPr="00E878D3">
        <w:rPr>
          <w:sz w:val="18"/>
          <w:vertAlign w:val="superscript"/>
        </w:rPr>
        <w:t xml:space="preserve"> </w:t>
      </w:r>
      <w:r w:rsidRPr="00E878D3">
        <w:rPr>
          <w:sz w:val="18"/>
          <w:vertAlign w:val="superscript"/>
        </w:rPr>
        <w:tab/>
      </w:r>
      <w:r w:rsidRPr="00E878D3">
        <w:rPr>
          <w:sz w:val="18"/>
        </w:rPr>
        <w:t xml:space="preserve">An </w:t>
      </w:r>
      <w:r w:rsidRPr="00C80453">
        <w:rPr>
          <w:sz w:val="18"/>
        </w:rPr>
        <w:t>ex ante</w:t>
      </w:r>
      <w:r w:rsidRPr="00E878D3">
        <w:rPr>
          <w:i/>
          <w:sz w:val="18"/>
        </w:rPr>
        <w:t xml:space="preserve"> </w:t>
      </w:r>
      <w:r w:rsidRPr="00E878D3">
        <w:rPr>
          <w:sz w:val="18"/>
        </w:rPr>
        <w:t>cost-benefit analysis is prepared before a policy, program, or alternative is in place and can assist in the decision about whether resources should be allocated to that alternative.</w:t>
      </w:r>
    </w:p>
  </w:footnote>
  <w:footnote w:id="7">
    <w:p w14:paraId="70523AF3" w14:textId="77777777" w:rsidR="00373E67" w:rsidRPr="007A5336" w:rsidRDefault="00373E67" w:rsidP="00D53E6F">
      <w:pPr>
        <w:pStyle w:val="FootnoteText"/>
        <w:spacing w:line="240" w:lineRule="auto"/>
        <w:ind w:left="720" w:hanging="720"/>
      </w:pPr>
      <w:r w:rsidRPr="007A5336">
        <w:rPr>
          <w:rStyle w:val="FootnoteReference"/>
          <w:sz w:val="18"/>
          <w:szCs w:val="18"/>
          <w:vertAlign w:val="superscript"/>
        </w:rPr>
        <w:footnoteRef/>
      </w:r>
      <w:r w:rsidRPr="007A5336">
        <w:rPr>
          <w:vertAlign w:val="superscript"/>
        </w:rPr>
        <w:t xml:space="preserve"> </w:t>
      </w:r>
      <w:r w:rsidRPr="007A5336">
        <w:tab/>
      </w:r>
      <w:r>
        <w:rPr>
          <w:sz w:val="18"/>
        </w:rPr>
        <w:t>The r</w:t>
      </w:r>
      <w:r w:rsidRPr="00DC08A0">
        <w:rPr>
          <w:sz w:val="18"/>
        </w:rPr>
        <w:t>egulations in 10 CFR</w:t>
      </w:r>
      <w:r>
        <w:rPr>
          <w:sz w:val="18"/>
        </w:rPr>
        <w:t> </w:t>
      </w:r>
      <w:r w:rsidRPr="00DC08A0">
        <w:rPr>
          <w:sz w:val="18"/>
        </w:rPr>
        <w:t>50.55a(f)(4) and (g)(4) establish the effective ASME Code edition and addenda</w:t>
      </w:r>
      <w:r>
        <w:rPr>
          <w:sz w:val="18"/>
        </w:rPr>
        <w:t xml:space="preserve"> that</w:t>
      </w:r>
      <w:r w:rsidRPr="00DC08A0">
        <w:rPr>
          <w:sz w:val="18"/>
        </w:rPr>
        <w:t xml:space="preserve"> licensees </w:t>
      </w:r>
      <w:r>
        <w:rPr>
          <w:sz w:val="18"/>
        </w:rPr>
        <w:t xml:space="preserve">must use </w:t>
      </w:r>
      <w:r w:rsidRPr="00DC08A0">
        <w:rPr>
          <w:sz w:val="18"/>
        </w:rPr>
        <w:t xml:space="preserve">in performing IST of pumps and valves and ISI of components (including supports), respectively.  </w:t>
      </w:r>
      <w:r>
        <w:rPr>
          <w:sz w:val="18"/>
          <w:szCs w:val="18"/>
        </w:rPr>
        <w:t>R</w:t>
      </w:r>
      <w:r w:rsidRPr="00AD3DA5">
        <w:rPr>
          <w:sz w:val="18"/>
          <w:szCs w:val="18"/>
        </w:rPr>
        <w:t xml:space="preserve">egulatory </w:t>
      </w:r>
      <w:r>
        <w:rPr>
          <w:sz w:val="18"/>
          <w:szCs w:val="18"/>
        </w:rPr>
        <w:t>I</w:t>
      </w:r>
      <w:r w:rsidRPr="00AD3DA5">
        <w:rPr>
          <w:sz w:val="18"/>
          <w:szCs w:val="18"/>
        </w:rPr>
        <w:t xml:space="preserve">ssue </w:t>
      </w:r>
      <w:r>
        <w:rPr>
          <w:sz w:val="18"/>
          <w:szCs w:val="18"/>
        </w:rPr>
        <w:t>S</w:t>
      </w:r>
      <w:r w:rsidRPr="00AD3DA5">
        <w:rPr>
          <w:sz w:val="18"/>
          <w:szCs w:val="18"/>
        </w:rPr>
        <w:t>ummary</w:t>
      </w:r>
      <w:r w:rsidRPr="00DC08A0">
        <w:rPr>
          <w:sz w:val="18"/>
        </w:rPr>
        <w:t xml:space="preserve"> 2004-12</w:t>
      </w:r>
      <w:r>
        <w:rPr>
          <w:sz w:val="18"/>
          <w:szCs w:val="18"/>
        </w:rPr>
        <w:t>, “Clarification on Use of Later Editions and Addenda to the ASME OM Code and Section XI,” dated July 28, 2004</w:t>
      </w:r>
      <w:r w:rsidRPr="00DC08A0">
        <w:rPr>
          <w:sz w:val="18"/>
        </w:rPr>
        <w:t xml:space="preserve"> (</w:t>
      </w:r>
      <w:r>
        <w:rPr>
          <w:sz w:val="18"/>
        </w:rPr>
        <w:t>NRC 2004</w:t>
      </w:r>
      <w:r w:rsidRPr="00AD3DA5">
        <w:rPr>
          <w:sz w:val="18"/>
          <w:szCs w:val="18"/>
        </w:rPr>
        <w:t>)</w:t>
      </w:r>
      <w:r>
        <w:rPr>
          <w:sz w:val="18"/>
          <w:szCs w:val="18"/>
        </w:rPr>
        <w:t>,</w:t>
      </w:r>
      <w:r w:rsidRPr="00DC08A0">
        <w:rPr>
          <w:sz w:val="18"/>
        </w:rPr>
        <w:t xml:space="preserve"> clarifie</w:t>
      </w:r>
      <w:r>
        <w:rPr>
          <w:sz w:val="18"/>
        </w:rPr>
        <w:t>s</w:t>
      </w:r>
      <w:r w:rsidRPr="00DC08A0">
        <w:rPr>
          <w:sz w:val="18"/>
        </w:rPr>
        <w:t xml:space="preserve"> the requirements for IST and ISI programs using later editions and addenda of the ASME </w:t>
      </w:r>
      <w:r>
        <w:rPr>
          <w:sz w:val="18"/>
          <w:szCs w:val="18"/>
        </w:rPr>
        <w:t xml:space="preserve">OM </w:t>
      </w:r>
      <w:r w:rsidRPr="00DC08A0">
        <w:rPr>
          <w:sz w:val="18"/>
        </w:rPr>
        <w:t>Code.</w:t>
      </w:r>
    </w:p>
  </w:footnote>
  <w:footnote w:id="8">
    <w:p w14:paraId="1DAC6BC6" w14:textId="77777777" w:rsidR="00373E67" w:rsidRDefault="00373E67" w:rsidP="00D53E6F">
      <w:pPr>
        <w:pStyle w:val="FootnoteText"/>
        <w:spacing w:line="240" w:lineRule="auto"/>
        <w:ind w:left="720" w:hanging="720"/>
        <w:rPr>
          <w:sz w:val="18"/>
        </w:rPr>
      </w:pPr>
      <w:r w:rsidRPr="00DC08A0">
        <w:rPr>
          <w:rStyle w:val="FootnoteReference"/>
          <w:sz w:val="18"/>
          <w:vertAlign w:val="superscript"/>
        </w:rPr>
        <w:footnoteRef/>
      </w:r>
      <w:r w:rsidRPr="00DC08A0">
        <w:rPr>
          <w:sz w:val="18"/>
        </w:rPr>
        <w:t xml:space="preserve"> </w:t>
      </w:r>
      <w:r w:rsidRPr="00DC08A0">
        <w:rPr>
          <w:sz w:val="18"/>
        </w:rPr>
        <w:tab/>
        <w:t xml:space="preserve">Information about this software is available at </w:t>
      </w:r>
      <w:hyperlink r:id="rId6" w:history="1">
        <w:r w:rsidRPr="00945E3D">
          <w:rPr>
            <w:rStyle w:val="Hyperlink"/>
            <w:sz w:val="18"/>
            <w:szCs w:val="18"/>
          </w:rPr>
          <w:t>http://</w:t>
        </w:r>
        <w:r w:rsidRPr="00DC08A0">
          <w:rPr>
            <w:rStyle w:val="Hyperlink"/>
            <w:sz w:val="18"/>
          </w:rPr>
          <w:t>www.palisade.com</w:t>
        </w:r>
      </w:hyperlink>
      <w:r w:rsidRPr="00DC08A0">
        <w:rPr>
          <w:sz w:val="18"/>
        </w:rPr>
        <w:t>.</w:t>
      </w:r>
    </w:p>
    <w:p w14:paraId="7AAF4931" w14:textId="77777777" w:rsidR="00373E67" w:rsidRPr="00447970" w:rsidRDefault="00373E67" w:rsidP="00D53E6F">
      <w:pPr>
        <w:pStyle w:val="FootnoteText"/>
        <w:spacing w:line="240" w:lineRule="auto"/>
        <w:ind w:left="720" w:hanging="720"/>
      </w:pPr>
    </w:p>
  </w:footnote>
  <w:footnote w:id="9">
    <w:p w14:paraId="3197DAD5" w14:textId="77777777" w:rsidR="00373E67" w:rsidRPr="00DC08A0" w:rsidRDefault="00373E67" w:rsidP="00D53E6F">
      <w:pPr>
        <w:pStyle w:val="FootnoteText"/>
        <w:spacing w:line="240" w:lineRule="auto"/>
        <w:ind w:left="720" w:hanging="720"/>
        <w:rPr>
          <w:sz w:val="18"/>
        </w:rPr>
      </w:pPr>
      <w:r w:rsidRPr="00DC08A0">
        <w:rPr>
          <w:rStyle w:val="FootnoteReference"/>
          <w:rFonts w:eastAsiaTheme="majorEastAsia"/>
          <w:sz w:val="18"/>
          <w:vertAlign w:val="superscript"/>
        </w:rPr>
        <w:footnoteRef/>
      </w:r>
      <w:r w:rsidRPr="00DC08A0">
        <w:rPr>
          <w:sz w:val="18"/>
        </w:rPr>
        <w:t xml:space="preserve"> </w:t>
      </w:r>
      <w:r w:rsidRPr="00DC08A0">
        <w:rPr>
          <w:sz w:val="18"/>
        </w:rPr>
        <w:tab/>
        <w:t xml:space="preserve">A PERT distribution is a special form of the beta distribution with </w:t>
      </w:r>
      <w:r>
        <w:rPr>
          <w:rFonts w:cs="Arial"/>
          <w:sz w:val="18"/>
          <w:szCs w:val="18"/>
        </w:rPr>
        <w:t>specified</w:t>
      </w:r>
      <w:r w:rsidRPr="00DC08A0">
        <w:rPr>
          <w:sz w:val="18"/>
        </w:rPr>
        <w:t xml:space="preserve"> minimum and maximum </w:t>
      </w:r>
      <w:r w:rsidRPr="00AD3DA5">
        <w:rPr>
          <w:rFonts w:cs="Arial"/>
          <w:sz w:val="18"/>
          <w:szCs w:val="18"/>
        </w:rPr>
        <w:t>value</w:t>
      </w:r>
      <w:r>
        <w:rPr>
          <w:rFonts w:cs="Arial"/>
          <w:sz w:val="18"/>
          <w:szCs w:val="18"/>
        </w:rPr>
        <w:t>s</w:t>
      </w:r>
      <w:r w:rsidRPr="00DC08A0">
        <w:rPr>
          <w:sz w:val="18"/>
        </w:rPr>
        <w:t xml:space="preserve">.  The shape parameter is calculated from the defined </w:t>
      </w:r>
      <w:r w:rsidRPr="00DC08A0">
        <w:rPr>
          <w:i/>
          <w:sz w:val="18"/>
        </w:rPr>
        <w:t xml:space="preserve">most likely </w:t>
      </w:r>
      <w:r w:rsidRPr="00DC08A0">
        <w:rPr>
          <w:sz w:val="18"/>
        </w:rPr>
        <w:t>value.  The PERT distribution is similar to a triangular distribution in that it has the same set of three parameters.  Technically, it is a special case of a scaled beta (or beta general) distribution.  The PERT distribution is generally considered superior to the triangular distribution when the parameters result in a skewed distribution, as the smooth shape of the curve places less emphasis in the direction of skew.  Similar to the triangular distribution, the PERT distribution is bounded on both sides and therefore may not be adequate for modeling purposes</w:t>
      </w:r>
      <w:r>
        <w:rPr>
          <w:sz w:val="18"/>
        </w:rPr>
        <w:t xml:space="preserve"> </w:t>
      </w:r>
      <w:r>
        <w:rPr>
          <w:rFonts w:cs="Arial"/>
          <w:sz w:val="18"/>
          <w:szCs w:val="18"/>
        </w:rPr>
        <w:t>that need</w:t>
      </w:r>
      <w:r w:rsidRPr="00DC08A0">
        <w:rPr>
          <w:sz w:val="18"/>
        </w:rPr>
        <w:t xml:space="preserve"> to capture tail or extreme events.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0CABF" w14:textId="77777777" w:rsidR="00373E67" w:rsidRPr="00E325C9" w:rsidRDefault="00373E67" w:rsidP="00891C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C78EB"/>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457016"/>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995456"/>
    <w:multiLevelType w:val="multilevel"/>
    <w:tmpl w:val="6936B91C"/>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86C4B07"/>
    <w:multiLevelType w:val="multilevel"/>
    <w:tmpl w:val="88324C10"/>
    <w:lvl w:ilvl="0">
      <w:start w:val="1"/>
      <w:numFmt w:val="decimal"/>
      <w:suff w:val="space"/>
      <w:lvlText w:val="%1."/>
      <w:lvlJc w:val="left"/>
      <w:pPr>
        <w:ind w:left="0" w:firstLine="0"/>
      </w:pPr>
      <w:rPr>
        <w:rFonts w:hint="default"/>
      </w:rPr>
    </w:lvl>
    <w:lvl w:ilvl="1">
      <w:start w:val="4"/>
      <w:numFmt w:val="decimal"/>
      <w:isLgl/>
      <w:lvlText w:val="%1.%2"/>
      <w:lvlJc w:val="left"/>
      <w:pPr>
        <w:ind w:left="1080" w:hanging="1080"/>
      </w:pPr>
      <w:rPr>
        <w:rFonts w:hint="default"/>
      </w:rPr>
    </w:lvl>
    <w:lvl w:ilvl="2">
      <w:start w:val="17"/>
      <w:numFmt w:val="decimal"/>
      <w:isLgl/>
      <w:lvlText w:val="%1.%2.%3"/>
      <w:lvlJc w:val="left"/>
      <w:pPr>
        <w:ind w:left="1080" w:hanging="1080"/>
      </w:pPr>
      <w:rPr>
        <w:rFonts w:hint="default"/>
        <w:i/>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CA253C6"/>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916133"/>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FD16615"/>
    <w:multiLevelType w:val="hybridMultilevel"/>
    <w:tmpl w:val="17708A92"/>
    <w:lvl w:ilvl="0" w:tplc="62E67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F514DB"/>
    <w:multiLevelType w:val="hybridMultilevel"/>
    <w:tmpl w:val="9780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827243"/>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8872CC6"/>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9AE4C09"/>
    <w:multiLevelType w:val="hybridMultilevel"/>
    <w:tmpl w:val="122C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7D452A"/>
    <w:multiLevelType w:val="hybridMultilevel"/>
    <w:tmpl w:val="546AD7AA"/>
    <w:lvl w:ilvl="0" w:tplc="022EF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8551D3"/>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F454602"/>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1F43AAE"/>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2CF23AA"/>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D0556E8"/>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F9815D6"/>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2041122"/>
    <w:multiLevelType w:val="hybridMultilevel"/>
    <w:tmpl w:val="0CBA7A7A"/>
    <w:lvl w:ilvl="0" w:tplc="04090001">
      <w:start w:val="1"/>
      <w:numFmt w:val="bullet"/>
      <w:lvlText w:val=""/>
      <w:lvlJc w:val="left"/>
      <w:pPr>
        <w:ind w:left="360" w:hanging="360"/>
      </w:pPr>
      <w:rPr>
        <w:rFonts w:ascii="Symbol" w:hAnsi="Symbol" w:hint="default"/>
      </w:rPr>
    </w:lvl>
    <w:lvl w:ilvl="1" w:tplc="D0D03CD2">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2CD1E30"/>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48A51A4"/>
    <w:multiLevelType w:val="hybridMultilevel"/>
    <w:tmpl w:val="3F5C360A"/>
    <w:lvl w:ilvl="0" w:tplc="04090001">
      <w:start w:val="1"/>
      <w:numFmt w:val="bullet"/>
      <w:lvlText w:val=""/>
      <w:lvlJc w:val="left"/>
      <w:pPr>
        <w:tabs>
          <w:tab w:val="num" w:pos="720"/>
        </w:tabs>
        <w:ind w:left="720" w:hanging="360"/>
      </w:pPr>
      <w:rPr>
        <w:rFonts w:ascii="Symbol" w:hAnsi="Symbol" w:hint="default"/>
      </w:rPr>
    </w:lvl>
    <w:lvl w:ilvl="1" w:tplc="111A81B8">
      <w:start w:val="2514"/>
      <w:numFmt w:val="bullet"/>
      <w:lvlText w:val="–"/>
      <w:lvlJc w:val="left"/>
      <w:pPr>
        <w:tabs>
          <w:tab w:val="num" w:pos="1440"/>
        </w:tabs>
        <w:ind w:left="1440" w:hanging="360"/>
      </w:pPr>
      <w:rPr>
        <w:rFonts w:ascii="Times New Roman" w:hAnsi="Times New Roman" w:hint="default"/>
      </w:rPr>
    </w:lvl>
    <w:lvl w:ilvl="2" w:tplc="EDA688DC" w:tentative="1">
      <w:start w:val="1"/>
      <w:numFmt w:val="bullet"/>
      <w:lvlText w:val="•"/>
      <w:lvlJc w:val="left"/>
      <w:pPr>
        <w:tabs>
          <w:tab w:val="num" w:pos="2160"/>
        </w:tabs>
        <w:ind w:left="2160" w:hanging="360"/>
      </w:pPr>
      <w:rPr>
        <w:rFonts w:ascii="Times New Roman" w:hAnsi="Times New Roman" w:hint="default"/>
      </w:rPr>
    </w:lvl>
    <w:lvl w:ilvl="3" w:tplc="E5D80C3C" w:tentative="1">
      <w:start w:val="1"/>
      <w:numFmt w:val="bullet"/>
      <w:lvlText w:val="•"/>
      <w:lvlJc w:val="left"/>
      <w:pPr>
        <w:tabs>
          <w:tab w:val="num" w:pos="2880"/>
        </w:tabs>
        <w:ind w:left="2880" w:hanging="360"/>
      </w:pPr>
      <w:rPr>
        <w:rFonts w:ascii="Times New Roman" w:hAnsi="Times New Roman" w:hint="default"/>
      </w:rPr>
    </w:lvl>
    <w:lvl w:ilvl="4" w:tplc="CBA8966C" w:tentative="1">
      <w:start w:val="1"/>
      <w:numFmt w:val="bullet"/>
      <w:lvlText w:val="•"/>
      <w:lvlJc w:val="left"/>
      <w:pPr>
        <w:tabs>
          <w:tab w:val="num" w:pos="3600"/>
        </w:tabs>
        <w:ind w:left="3600" w:hanging="360"/>
      </w:pPr>
      <w:rPr>
        <w:rFonts w:ascii="Times New Roman" w:hAnsi="Times New Roman" w:hint="default"/>
      </w:rPr>
    </w:lvl>
    <w:lvl w:ilvl="5" w:tplc="2536D6EE" w:tentative="1">
      <w:start w:val="1"/>
      <w:numFmt w:val="bullet"/>
      <w:lvlText w:val="•"/>
      <w:lvlJc w:val="left"/>
      <w:pPr>
        <w:tabs>
          <w:tab w:val="num" w:pos="4320"/>
        </w:tabs>
        <w:ind w:left="4320" w:hanging="360"/>
      </w:pPr>
      <w:rPr>
        <w:rFonts w:ascii="Times New Roman" w:hAnsi="Times New Roman" w:hint="default"/>
      </w:rPr>
    </w:lvl>
    <w:lvl w:ilvl="6" w:tplc="FC968A52" w:tentative="1">
      <w:start w:val="1"/>
      <w:numFmt w:val="bullet"/>
      <w:lvlText w:val="•"/>
      <w:lvlJc w:val="left"/>
      <w:pPr>
        <w:tabs>
          <w:tab w:val="num" w:pos="5040"/>
        </w:tabs>
        <w:ind w:left="5040" w:hanging="360"/>
      </w:pPr>
      <w:rPr>
        <w:rFonts w:ascii="Times New Roman" w:hAnsi="Times New Roman" w:hint="default"/>
      </w:rPr>
    </w:lvl>
    <w:lvl w:ilvl="7" w:tplc="EF7266B6" w:tentative="1">
      <w:start w:val="1"/>
      <w:numFmt w:val="bullet"/>
      <w:lvlText w:val="•"/>
      <w:lvlJc w:val="left"/>
      <w:pPr>
        <w:tabs>
          <w:tab w:val="num" w:pos="5760"/>
        </w:tabs>
        <w:ind w:left="5760" w:hanging="360"/>
      </w:pPr>
      <w:rPr>
        <w:rFonts w:ascii="Times New Roman" w:hAnsi="Times New Roman" w:hint="default"/>
      </w:rPr>
    </w:lvl>
    <w:lvl w:ilvl="8" w:tplc="B3204D6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70F097B"/>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8112E47"/>
    <w:multiLevelType w:val="hybridMultilevel"/>
    <w:tmpl w:val="446C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4F396F"/>
    <w:multiLevelType w:val="hybridMultilevel"/>
    <w:tmpl w:val="49047452"/>
    <w:lvl w:ilvl="0" w:tplc="04090001">
      <w:start w:val="1"/>
      <w:numFmt w:val="bullet"/>
      <w:lvlText w:val=""/>
      <w:lvlJc w:val="left"/>
      <w:pPr>
        <w:ind w:left="720" w:hanging="360"/>
      </w:pPr>
      <w:rPr>
        <w:rFonts w:ascii="Symbol" w:hAnsi="Symbol" w:hint="default"/>
        <w:color w:val="auto"/>
      </w:rPr>
    </w:lvl>
    <w:lvl w:ilvl="1" w:tplc="5680DE36">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B910F3"/>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03B5EE1"/>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279501D"/>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2F15988"/>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45E115D"/>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A375F43"/>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A625556"/>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765937"/>
    <w:multiLevelType w:val="hybridMultilevel"/>
    <w:tmpl w:val="CB3C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8A57D0"/>
    <w:multiLevelType w:val="hybridMultilevel"/>
    <w:tmpl w:val="16DEA786"/>
    <w:lvl w:ilvl="0" w:tplc="57C6C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BF241D7"/>
    <w:multiLevelType w:val="hybridMultilevel"/>
    <w:tmpl w:val="3E828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D4B78D8"/>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07F6D03"/>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1CB2A2E"/>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5C3555A"/>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6320803"/>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6E60954"/>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93A4677"/>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DCC35E9"/>
    <w:multiLevelType w:val="hybridMultilevel"/>
    <w:tmpl w:val="B27AA7C4"/>
    <w:lvl w:ilvl="0" w:tplc="04090001">
      <w:start w:val="1"/>
      <w:numFmt w:val="bullet"/>
      <w:lvlText w:val=""/>
      <w:lvlJc w:val="left"/>
      <w:pPr>
        <w:tabs>
          <w:tab w:val="num" w:pos="720"/>
        </w:tabs>
        <w:ind w:left="720" w:hanging="360"/>
      </w:pPr>
      <w:rPr>
        <w:rFonts w:ascii="Symbol" w:hAnsi="Symbol" w:hint="default"/>
      </w:rPr>
    </w:lvl>
    <w:lvl w:ilvl="1" w:tplc="111A81B8">
      <w:start w:val="2514"/>
      <w:numFmt w:val="bullet"/>
      <w:lvlText w:val="–"/>
      <w:lvlJc w:val="left"/>
      <w:pPr>
        <w:tabs>
          <w:tab w:val="num" w:pos="1440"/>
        </w:tabs>
        <w:ind w:left="1440" w:hanging="360"/>
      </w:pPr>
      <w:rPr>
        <w:rFonts w:ascii="Times New Roman" w:hAnsi="Times New Roman" w:hint="default"/>
      </w:rPr>
    </w:lvl>
    <w:lvl w:ilvl="2" w:tplc="EDA688DC" w:tentative="1">
      <w:start w:val="1"/>
      <w:numFmt w:val="bullet"/>
      <w:lvlText w:val="•"/>
      <w:lvlJc w:val="left"/>
      <w:pPr>
        <w:tabs>
          <w:tab w:val="num" w:pos="2160"/>
        </w:tabs>
        <w:ind w:left="2160" w:hanging="360"/>
      </w:pPr>
      <w:rPr>
        <w:rFonts w:ascii="Times New Roman" w:hAnsi="Times New Roman" w:hint="default"/>
      </w:rPr>
    </w:lvl>
    <w:lvl w:ilvl="3" w:tplc="E5D80C3C" w:tentative="1">
      <w:start w:val="1"/>
      <w:numFmt w:val="bullet"/>
      <w:lvlText w:val="•"/>
      <w:lvlJc w:val="left"/>
      <w:pPr>
        <w:tabs>
          <w:tab w:val="num" w:pos="2880"/>
        </w:tabs>
        <w:ind w:left="2880" w:hanging="360"/>
      </w:pPr>
      <w:rPr>
        <w:rFonts w:ascii="Times New Roman" w:hAnsi="Times New Roman" w:hint="default"/>
      </w:rPr>
    </w:lvl>
    <w:lvl w:ilvl="4" w:tplc="CBA8966C" w:tentative="1">
      <w:start w:val="1"/>
      <w:numFmt w:val="bullet"/>
      <w:lvlText w:val="•"/>
      <w:lvlJc w:val="left"/>
      <w:pPr>
        <w:tabs>
          <w:tab w:val="num" w:pos="3600"/>
        </w:tabs>
        <w:ind w:left="3600" w:hanging="360"/>
      </w:pPr>
      <w:rPr>
        <w:rFonts w:ascii="Times New Roman" w:hAnsi="Times New Roman" w:hint="default"/>
      </w:rPr>
    </w:lvl>
    <w:lvl w:ilvl="5" w:tplc="2536D6EE" w:tentative="1">
      <w:start w:val="1"/>
      <w:numFmt w:val="bullet"/>
      <w:lvlText w:val="•"/>
      <w:lvlJc w:val="left"/>
      <w:pPr>
        <w:tabs>
          <w:tab w:val="num" w:pos="4320"/>
        </w:tabs>
        <w:ind w:left="4320" w:hanging="360"/>
      </w:pPr>
      <w:rPr>
        <w:rFonts w:ascii="Times New Roman" w:hAnsi="Times New Roman" w:hint="default"/>
      </w:rPr>
    </w:lvl>
    <w:lvl w:ilvl="6" w:tplc="FC968A52" w:tentative="1">
      <w:start w:val="1"/>
      <w:numFmt w:val="bullet"/>
      <w:lvlText w:val="•"/>
      <w:lvlJc w:val="left"/>
      <w:pPr>
        <w:tabs>
          <w:tab w:val="num" w:pos="5040"/>
        </w:tabs>
        <w:ind w:left="5040" w:hanging="360"/>
      </w:pPr>
      <w:rPr>
        <w:rFonts w:ascii="Times New Roman" w:hAnsi="Times New Roman" w:hint="default"/>
      </w:rPr>
    </w:lvl>
    <w:lvl w:ilvl="7" w:tplc="EF7266B6" w:tentative="1">
      <w:start w:val="1"/>
      <w:numFmt w:val="bullet"/>
      <w:lvlText w:val="•"/>
      <w:lvlJc w:val="left"/>
      <w:pPr>
        <w:tabs>
          <w:tab w:val="num" w:pos="5760"/>
        </w:tabs>
        <w:ind w:left="5760" w:hanging="360"/>
      </w:pPr>
      <w:rPr>
        <w:rFonts w:ascii="Times New Roman" w:hAnsi="Times New Roman" w:hint="default"/>
      </w:rPr>
    </w:lvl>
    <w:lvl w:ilvl="8" w:tplc="B3204D6C" w:tentative="1">
      <w:start w:val="1"/>
      <w:numFmt w:val="bullet"/>
      <w:lvlText w:val="•"/>
      <w:lvlJc w:val="left"/>
      <w:pPr>
        <w:tabs>
          <w:tab w:val="num" w:pos="6480"/>
        </w:tabs>
        <w:ind w:left="6480" w:hanging="360"/>
      </w:pPr>
      <w:rPr>
        <w:rFonts w:ascii="Times New Roman" w:hAnsi="Times New Roman" w:hint="default"/>
      </w:rPr>
    </w:lvl>
  </w:abstractNum>
  <w:abstractNum w:abstractNumId="43">
    <w:nsid w:val="5E5C2A7F"/>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0FD1B63"/>
    <w:multiLevelType w:val="multilevel"/>
    <w:tmpl w:val="70B8D0F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5">
    <w:nsid w:val="62261599"/>
    <w:multiLevelType w:val="multilevel"/>
    <w:tmpl w:val="3F8AF044"/>
    <w:lvl w:ilvl="0">
      <w:start w:val="5"/>
      <w:numFmt w:val="decimal"/>
      <w:suff w:val="space"/>
      <w:lvlText w:val="%1."/>
      <w:lvlJc w:val="left"/>
      <w:pPr>
        <w:ind w:left="0" w:firstLine="0"/>
      </w:pPr>
      <w:rPr>
        <w:rFonts w:hint="default"/>
      </w:rPr>
    </w:lvl>
    <w:lvl w:ilvl="1">
      <w:start w:val="4"/>
      <w:numFmt w:val="decimal"/>
      <w:isLgl/>
      <w:lvlText w:val="%1.%2"/>
      <w:lvlJc w:val="left"/>
      <w:pPr>
        <w:ind w:left="1080" w:hanging="1080"/>
      </w:pPr>
      <w:rPr>
        <w:rFonts w:hint="default"/>
      </w:rPr>
    </w:lvl>
    <w:lvl w:ilvl="2">
      <w:start w:val="17"/>
      <w:numFmt w:val="decimal"/>
      <w:isLgl/>
      <w:lvlText w:val="%1.%2.%3"/>
      <w:lvlJc w:val="left"/>
      <w:pPr>
        <w:ind w:left="1080" w:hanging="1080"/>
      </w:pPr>
      <w:rPr>
        <w:rFonts w:hint="default"/>
        <w:i/>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nsid w:val="623C6DC2"/>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63475E8B"/>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63C2652C"/>
    <w:multiLevelType w:val="multilevel"/>
    <w:tmpl w:val="D56E61D4"/>
    <w:lvl w:ilvl="0">
      <w:start w:val="1"/>
      <w:numFmt w:val="decimal"/>
      <w:suff w:val="space"/>
      <w:lvlText w:val="%1."/>
      <w:lvlJc w:val="left"/>
      <w:pPr>
        <w:ind w:left="0" w:firstLine="0"/>
      </w:pPr>
      <w:rPr>
        <w:rFonts w:hint="default"/>
      </w:rPr>
    </w:lvl>
    <w:lvl w:ilvl="1">
      <w:start w:val="3"/>
      <w:numFmt w:val="decimal"/>
      <w:isLgl/>
      <w:lvlText w:val="%1.%2"/>
      <w:lvlJc w:val="left"/>
      <w:pPr>
        <w:ind w:left="1080" w:hanging="1080"/>
      </w:pPr>
      <w:rPr>
        <w:rFonts w:hint="default"/>
      </w:rPr>
    </w:lvl>
    <w:lvl w:ilvl="2">
      <w:start w:val="19"/>
      <w:numFmt w:val="decimal"/>
      <w:isLgl/>
      <w:lvlText w:val="%1.%2.%3"/>
      <w:lvlJc w:val="left"/>
      <w:pPr>
        <w:ind w:left="1080" w:hanging="1080"/>
      </w:pPr>
      <w:rPr>
        <w:rFonts w:hint="default"/>
        <w:i/>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nsid w:val="63E772DD"/>
    <w:multiLevelType w:val="hybridMultilevel"/>
    <w:tmpl w:val="8EFE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67A29E2"/>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8C34B21"/>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B2E0D40"/>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3E445C8"/>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5BE48E1"/>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8262682"/>
    <w:multiLevelType w:val="hybridMultilevel"/>
    <w:tmpl w:val="1BE6CDFE"/>
    <w:lvl w:ilvl="0" w:tplc="022EF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8E07A82"/>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91149B4"/>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C255A5A"/>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7D1D1951"/>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E6F4B23"/>
    <w:multiLevelType w:val="hybridMultilevel"/>
    <w:tmpl w:val="29AE55E4"/>
    <w:lvl w:ilvl="0" w:tplc="B852AFF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4"/>
  </w:num>
  <w:num w:numId="2">
    <w:abstractNumId w:val="19"/>
  </w:num>
  <w:num w:numId="3">
    <w:abstractNumId w:val="21"/>
  </w:num>
  <w:num w:numId="4">
    <w:abstractNumId w:val="42"/>
  </w:num>
  <w:num w:numId="5">
    <w:abstractNumId w:val="11"/>
  </w:num>
  <w:num w:numId="6">
    <w:abstractNumId w:val="44"/>
  </w:num>
  <w:num w:numId="7">
    <w:abstractNumId w:val="32"/>
  </w:num>
  <w:num w:numId="8">
    <w:abstractNumId w:val="8"/>
  </w:num>
  <w:num w:numId="9">
    <w:abstractNumId w:val="49"/>
  </w:num>
  <w:num w:numId="10">
    <w:abstractNumId w:val="3"/>
  </w:num>
  <w:num w:numId="11">
    <w:abstractNumId w:val="12"/>
  </w:num>
  <w:num w:numId="12">
    <w:abstractNumId w:val="55"/>
  </w:num>
  <w:num w:numId="13">
    <w:abstractNumId w:val="24"/>
  </w:num>
  <w:num w:numId="14">
    <w:abstractNumId w:val="28"/>
  </w:num>
  <w:num w:numId="15">
    <w:abstractNumId w:val="56"/>
  </w:num>
  <w:num w:numId="16">
    <w:abstractNumId w:val="17"/>
  </w:num>
  <w:num w:numId="17">
    <w:abstractNumId w:val="6"/>
  </w:num>
  <w:num w:numId="18">
    <w:abstractNumId w:val="5"/>
  </w:num>
  <w:num w:numId="19">
    <w:abstractNumId w:val="1"/>
  </w:num>
  <w:num w:numId="20">
    <w:abstractNumId w:val="54"/>
  </w:num>
  <w:num w:numId="21">
    <w:abstractNumId w:val="22"/>
  </w:num>
  <w:num w:numId="22">
    <w:abstractNumId w:val="41"/>
  </w:num>
  <w:num w:numId="23">
    <w:abstractNumId w:val="29"/>
  </w:num>
  <w:num w:numId="24">
    <w:abstractNumId w:val="38"/>
  </w:num>
  <w:num w:numId="25">
    <w:abstractNumId w:val="18"/>
  </w:num>
  <w:num w:numId="26">
    <w:abstractNumId w:val="14"/>
  </w:num>
  <w:num w:numId="27">
    <w:abstractNumId w:val="30"/>
  </w:num>
  <w:num w:numId="28">
    <w:abstractNumId w:val="47"/>
  </w:num>
  <w:num w:numId="29">
    <w:abstractNumId w:val="25"/>
  </w:num>
  <w:num w:numId="30">
    <w:abstractNumId w:val="35"/>
  </w:num>
  <w:num w:numId="31">
    <w:abstractNumId w:val="57"/>
  </w:num>
  <w:num w:numId="32">
    <w:abstractNumId w:val="4"/>
  </w:num>
  <w:num w:numId="33">
    <w:abstractNumId w:val="48"/>
  </w:num>
  <w:num w:numId="34">
    <w:abstractNumId w:val="27"/>
  </w:num>
  <w:num w:numId="35">
    <w:abstractNumId w:val="16"/>
  </w:num>
  <w:num w:numId="36">
    <w:abstractNumId w:val="43"/>
  </w:num>
  <w:num w:numId="37">
    <w:abstractNumId w:val="15"/>
  </w:num>
  <w:num w:numId="38">
    <w:abstractNumId w:val="40"/>
  </w:num>
  <w:num w:numId="39">
    <w:abstractNumId w:val="9"/>
  </w:num>
  <w:num w:numId="40">
    <w:abstractNumId w:val="20"/>
  </w:num>
  <w:num w:numId="41">
    <w:abstractNumId w:val="39"/>
  </w:num>
  <w:num w:numId="42">
    <w:abstractNumId w:val="31"/>
  </w:num>
  <w:num w:numId="43">
    <w:abstractNumId w:val="13"/>
  </w:num>
  <w:num w:numId="44">
    <w:abstractNumId w:val="37"/>
  </w:num>
  <w:num w:numId="45">
    <w:abstractNumId w:val="36"/>
  </w:num>
  <w:num w:numId="46">
    <w:abstractNumId w:val="59"/>
  </w:num>
  <w:num w:numId="47">
    <w:abstractNumId w:val="51"/>
  </w:num>
  <w:num w:numId="48">
    <w:abstractNumId w:val="53"/>
  </w:num>
  <w:num w:numId="49">
    <w:abstractNumId w:val="46"/>
  </w:num>
  <w:num w:numId="50">
    <w:abstractNumId w:val="2"/>
  </w:num>
  <w:num w:numId="51">
    <w:abstractNumId w:val="10"/>
  </w:num>
  <w:num w:numId="52">
    <w:abstractNumId w:val="52"/>
  </w:num>
  <w:num w:numId="53">
    <w:abstractNumId w:val="45"/>
  </w:num>
  <w:num w:numId="54">
    <w:abstractNumId w:val="7"/>
  </w:num>
  <w:num w:numId="55">
    <w:abstractNumId w:val="60"/>
  </w:num>
  <w:num w:numId="56">
    <w:abstractNumId w:val="50"/>
  </w:num>
  <w:num w:numId="57">
    <w:abstractNumId w:val="58"/>
  </w:num>
  <w:num w:numId="58">
    <w:abstractNumId w:val="26"/>
  </w:num>
  <w:num w:numId="59">
    <w:abstractNumId w:val="33"/>
  </w:num>
  <w:num w:numId="60">
    <w:abstractNumId w:val="2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0" w:nlCheck="1" w:checkStyle="1"/>
  <w:activeWritingStyle w:appName="MSWord" w:lang="en-US" w:vendorID="64" w:dllVersion="6" w:nlCheck="1" w:checkStyle="1"/>
  <w:activeWritingStyle w:appName="MSWord" w:lang="en-CA" w:vendorID="64" w:dllVersion="6" w:nlCheck="1" w:checkStyle="1"/>
  <w:activeWritingStyle w:appName="MSWord" w:lang="en-US" w:vendorID="64" w:dllVersion="4096" w:nlCheck="1" w:checkStyle="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A58"/>
    <w:rsid w:val="00000F88"/>
    <w:rsid w:val="00000FB1"/>
    <w:rsid w:val="00001690"/>
    <w:rsid w:val="000016AA"/>
    <w:rsid w:val="00001AC8"/>
    <w:rsid w:val="00001F5D"/>
    <w:rsid w:val="00004B7A"/>
    <w:rsid w:val="000050E6"/>
    <w:rsid w:val="0000632F"/>
    <w:rsid w:val="000063A2"/>
    <w:rsid w:val="00006558"/>
    <w:rsid w:val="00006DF8"/>
    <w:rsid w:val="00006FC2"/>
    <w:rsid w:val="000076D4"/>
    <w:rsid w:val="0000774F"/>
    <w:rsid w:val="0001063B"/>
    <w:rsid w:val="000108A0"/>
    <w:rsid w:val="000108B4"/>
    <w:rsid w:val="0001199E"/>
    <w:rsid w:val="00011A59"/>
    <w:rsid w:val="0001234D"/>
    <w:rsid w:val="00012C3C"/>
    <w:rsid w:val="00012EB5"/>
    <w:rsid w:val="00013148"/>
    <w:rsid w:val="0001537D"/>
    <w:rsid w:val="0001567D"/>
    <w:rsid w:val="000157DB"/>
    <w:rsid w:val="0001608D"/>
    <w:rsid w:val="00016CEC"/>
    <w:rsid w:val="00017918"/>
    <w:rsid w:val="0001793A"/>
    <w:rsid w:val="00017E80"/>
    <w:rsid w:val="000208ED"/>
    <w:rsid w:val="00021480"/>
    <w:rsid w:val="000217FB"/>
    <w:rsid w:val="00021BE3"/>
    <w:rsid w:val="0002303A"/>
    <w:rsid w:val="000241FB"/>
    <w:rsid w:val="000244DF"/>
    <w:rsid w:val="0002547F"/>
    <w:rsid w:val="000261D1"/>
    <w:rsid w:val="000273CF"/>
    <w:rsid w:val="00027A8A"/>
    <w:rsid w:val="0003007E"/>
    <w:rsid w:val="000302EA"/>
    <w:rsid w:val="00030C66"/>
    <w:rsid w:val="00031F83"/>
    <w:rsid w:val="00032075"/>
    <w:rsid w:val="0003224A"/>
    <w:rsid w:val="00033D22"/>
    <w:rsid w:val="00036D2E"/>
    <w:rsid w:val="0003752F"/>
    <w:rsid w:val="00037BCE"/>
    <w:rsid w:val="00040054"/>
    <w:rsid w:val="0004011B"/>
    <w:rsid w:val="00041A9C"/>
    <w:rsid w:val="00042374"/>
    <w:rsid w:val="00043B27"/>
    <w:rsid w:val="00044329"/>
    <w:rsid w:val="00044B76"/>
    <w:rsid w:val="000452D0"/>
    <w:rsid w:val="00045CB8"/>
    <w:rsid w:val="00046929"/>
    <w:rsid w:val="00047050"/>
    <w:rsid w:val="00051852"/>
    <w:rsid w:val="00051A03"/>
    <w:rsid w:val="0005367C"/>
    <w:rsid w:val="00053D9F"/>
    <w:rsid w:val="00053DAD"/>
    <w:rsid w:val="000544CB"/>
    <w:rsid w:val="00054E67"/>
    <w:rsid w:val="00055251"/>
    <w:rsid w:val="0005588F"/>
    <w:rsid w:val="00055E2B"/>
    <w:rsid w:val="000566C4"/>
    <w:rsid w:val="00056A9A"/>
    <w:rsid w:val="00056F03"/>
    <w:rsid w:val="00057505"/>
    <w:rsid w:val="0005780C"/>
    <w:rsid w:val="0005797B"/>
    <w:rsid w:val="00061924"/>
    <w:rsid w:val="00061C6D"/>
    <w:rsid w:val="00061C74"/>
    <w:rsid w:val="00061C8B"/>
    <w:rsid w:val="00061D35"/>
    <w:rsid w:val="000638B2"/>
    <w:rsid w:val="00064736"/>
    <w:rsid w:val="00064B41"/>
    <w:rsid w:val="000661AE"/>
    <w:rsid w:val="00066AD8"/>
    <w:rsid w:val="00067EC4"/>
    <w:rsid w:val="000710A5"/>
    <w:rsid w:val="00073384"/>
    <w:rsid w:val="00073A07"/>
    <w:rsid w:val="0007461F"/>
    <w:rsid w:val="000748E9"/>
    <w:rsid w:val="00075193"/>
    <w:rsid w:val="00075E74"/>
    <w:rsid w:val="00076990"/>
    <w:rsid w:val="00077016"/>
    <w:rsid w:val="000774FB"/>
    <w:rsid w:val="00081223"/>
    <w:rsid w:val="00082555"/>
    <w:rsid w:val="00082A96"/>
    <w:rsid w:val="0008316A"/>
    <w:rsid w:val="00085469"/>
    <w:rsid w:val="0008614B"/>
    <w:rsid w:val="000861BC"/>
    <w:rsid w:val="00086D07"/>
    <w:rsid w:val="00086DF0"/>
    <w:rsid w:val="0009005F"/>
    <w:rsid w:val="000904E5"/>
    <w:rsid w:val="000906F1"/>
    <w:rsid w:val="00092667"/>
    <w:rsid w:val="00092B00"/>
    <w:rsid w:val="00093E06"/>
    <w:rsid w:val="00093EA7"/>
    <w:rsid w:val="00095290"/>
    <w:rsid w:val="00095EEA"/>
    <w:rsid w:val="00096851"/>
    <w:rsid w:val="00097572"/>
    <w:rsid w:val="000A073E"/>
    <w:rsid w:val="000A0E03"/>
    <w:rsid w:val="000A177A"/>
    <w:rsid w:val="000A1E55"/>
    <w:rsid w:val="000A2C67"/>
    <w:rsid w:val="000A3336"/>
    <w:rsid w:val="000A3709"/>
    <w:rsid w:val="000A38CC"/>
    <w:rsid w:val="000A42B7"/>
    <w:rsid w:val="000A4C67"/>
    <w:rsid w:val="000A5B4F"/>
    <w:rsid w:val="000A617F"/>
    <w:rsid w:val="000A6E38"/>
    <w:rsid w:val="000B004C"/>
    <w:rsid w:val="000B022F"/>
    <w:rsid w:val="000B095B"/>
    <w:rsid w:val="000B111E"/>
    <w:rsid w:val="000B129E"/>
    <w:rsid w:val="000B1BDF"/>
    <w:rsid w:val="000B2968"/>
    <w:rsid w:val="000B3198"/>
    <w:rsid w:val="000B3684"/>
    <w:rsid w:val="000B3AA5"/>
    <w:rsid w:val="000B4EC0"/>
    <w:rsid w:val="000B53EE"/>
    <w:rsid w:val="000C0640"/>
    <w:rsid w:val="000C13A0"/>
    <w:rsid w:val="000C1588"/>
    <w:rsid w:val="000C1FF8"/>
    <w:rsid w:val="000C35D8"/>
    <w:rsid w:val="000C37C3"/>
    <w:rsid w:val="000C49B7"/>
    <w:rsid w:val="000C50B5"/>
    <w:rsid w:val="000C5636"/>
    <w:rsid w:val="000C59CA"/>
    <w:rsid w:val="000C5F59"/>
    <w:rsid w:val="000C6C6D"/>
    <w:rsid w:val="000D0ED7"/>
    <w:rsid w:val="000D137E"/>
    <w:rsid w:val="000D18DC"/>
    <w:rsid w:val="000D1C6A"/>
    <w:rsid w:val="000D2565"/>
    <w:rsid w:val="000D3115"/>
    <w:rsid w:val="000D374F"/>
    <w:rsid w:val="000D3E2D"/>
    <w:rsid w:val="000D4825"/>
    <w:rsid w:val="000D660D"/>
    <w:rsid w:val="000D6AAD"/>
    <w:rsid w:val="000D73A4"/>
    <w:rsid w:val="000D7AB7"/>
    <w:rsid w:val="000E4B69"/>
    <w:rsid w:val="000E4E69"/>
    <w:rsid w:val="000E5543"/>
    <w:rsid w:val="000E7477"/>
    <w:rsid w:val="000E7844"/>
    <w:rsid w:val="000F03AF"/>
    <w:rsid w:val="000F13A7"/>
    <w:rsid w:val="000F2C3F"/>
    <w:rsid w:val="000F3E5E"/>
    <w:rsid w:val="000F4643"/>
    <w:rsid w:val="000F5249"/>
    <w:rsid w:val="000F5820"/>
    <w:rsid w:val="000F590F"/>
    <w:rsid w:val="000F5942"/>
    <w:rsid w:val="000F62EA"/>
    <w:rsid w:val="000F64D1"/>
    <w:rsid w:val="000F734F"/>
    <w:rsid w:val="000F76CD"/>
    <w:rsid w:val="00100435"/>
    <w:rsid w:val="001009DC"/>
    <w:rsid w:val="00101045"/>
    <w:rsid w:val="001013FE"/>
    <w:rsid w:val="00103319"/>
    <w:rsid w:val="001053EF"/>
    <w:rsid w:val="00105D6E"/>
    <w:rsid w:val="00106994"/>
    <w:rsid w:val="00106CC2"/>
    <w:rsid w:val="00107097"/>
    <w:rsid w:val="00107203"/>
    <w:rsid w:val="00107471"/>
    <w:rsid w:val="00107EA6"/>
    <w:rsid w:val="00110198"/>
    <w:rsid w:val="001105AE"/>
    <w:rsid w:val="00110952"/>
    <w:rsid w:val="00110C40"/>
    <w:rsid w:val="0011107F"/>
    <w:rsid w:val="00112381"/>
    <w:rsid w:val="001127CC"/>
    <w:rsid w:val="0011378A"/>
    <w:rsid w:val="00114BF1"/>
    <w:rsid w:val="00117D20"/>
    <w:rsid w:val="0012164D"/>
    <w:rsid w:val="00121733"/>
    <w:rsid w:val="00121A86"/>
    <w:rsid w:val="0012255B"/>
    <w:rsid w:val="00123462"/>
    <w:rsid w:val="001237E6"/>
    <w:rsid w:val="00123AB0"/>
    <w:rsid w:val="00123B56"/>
    <w:rsid w:val="001245DE"/>
    <w:rsid w:val="00124D1E"/>
    <w:rsid w:val="00124D6C"/>
    <w:rsid w:val="001265AC"/>
    <w:rsid w:val="00127013"/>
    <w:rsid w:val="00127347"/>
    <w:rsid w:val="00132082"/>
    <w:rsid w:val="001327A9"/>
    <w:rsid w:val="001327C9"/>
    <w:rsid w:val="00132F98"/>
    <w:rsid w:val="00135628"/>
    <w:rsid w:val="00135820"/>
    <w:rsid w:val="00135C3D"/>
    <w:rsid w:val="00137189"/>
    <w:rsid w:val="001409FC"/>
    <w:rsid w:val="00140A50"/>
    <w:rsid w:val="00141FA3"/>
    <w:rsid w:val="00144202"/>
    <w:rsid w:val="001444E3"/>
    <w:rsid w:val="00144C17"/>
    <w:rsid w:val="00145066"/>
    <w:rsid w:val="00146215"/>
    <w:rsid w:val="00146FE6"/>
    <w:rsid w:val="00147832"/>
    <w:rsid w:val="00150095"/>
    <w:rsid w:val="00150285"/>
    <w:rsid w:val="0015067A"/>
    <w:rsid w:val="00151190"/>
    <w:rsid w:val="001536C7"/>
    <w:rsid w:val="00154B9A"/>
    <w:rsid w:val="00154C27"/>
    <w:rsid w:val="00155842"/>
    <w:rsid w:val="00156373"/>
    <w:rsid w:val="001566A1"/>
    <w:rsid w:val="00156D99"/>
    <w:rsid w:val="00156DCD"/>
    <w:rsid w:val="00157AD0"/>
    <w:rsid w:val="001608CA"/>
    <w:rsid w:val="00160F30"/>
    <w:rsid w:val="00161646"/>
    <w:rsid w:val="00161FDA"/>
    <w:rsid w:val="00162AB6"/>
    <w:rsid w:val="00162C7C"/>
    <w:rsid w:val="00162C82"/>
    <w:rsid w:val="001638C3"/>
    <w:rsid w:val="00164568"/>
    <w:rsid w:val="00164CF8"/>
    <w:rsid w:val="0016521C"/>
    <w:rsid w:val="001660CE"/>
    <w:rsid w:val="001665D0"/>
    <w:rsid w:val="0016703E"/>
    <w:rsid w:val="0016792D"/>
    <w:rsid w:val="00167C41"/>
    <w:rsid w:val="00170DD5"/>
    <w:rsid w:val="00171162"/>
    <w:rsid w:val="00171643"/>
    <w:rsid w:val="00171FE6"/>
    <w:rsid w:val="00173124"/>
    <w:rsid w:val="00173B30"/>
    <w:rsid w:val="00173C69"/>
    <w:rsid w:val="0017412A"/>
    <w:rsid w:val="001759FC"/>
    <w:rsid w:val="00175C81"/>
    <w:rsid w:val="00175F4C"/>
    <w:rsid w:val="001767CF"/>
    <w:rsid w:val="001769FC"/>
    <w:rsid w:val="00176E25"/>
    <w:rsid w:val="001803D7"/>
    <w:rsid w:val="00180750"/>
    <w:rsid w:val="0018149A"/>
    <w:rsid w:val="0018161F"/>
    <w:rsid w:val="00182518"/>
    <w:rsid w:val="00182A6D"/>
    <w:rsid w:val="00182B55"/>
    <w:rsid w:val="001832D1"/>
    <w:rsid w:val="00183D15"/>
    <w:rsid w:val="00183FB2"/>
    <w:rsid w:val="0018405A"/>
    <w:rsid w:val="001846DF"/>
    <w:rsid w:val="001847B5"/>
    <w:rsid w:val="00185BB7"/>
    <w:rsid w:val="001865B2"/>
    <w:rsid w:val="001869BE"/>
    <w:rsid w:val="00186F47"/>
    <w:rsid w:val="00187DAA"/>
    <w:rsid w:val="00187EE0"/>
    <w:rsid w:val="00187FBA"/>
    <w:rsid w:val="00190F4A"/>
    <w:rsid w:val="001910EA"/>
    <w:rsid w:val="00191133"/>
    <w:rsid w:val="00192DC0"/>
    <w:rsid w:val="00192F27"/>
    <w:rsid w:val="00193252"/>
    <w:rsid w:val="0019497A"/>
    <w:rsid w:val="00194BF8"/>
    <w:rsid w:val="001957D3"/>
    <w:rsid w:val="00195E5E"/>
    <w:rsid w:val="00195F19"/>
    <w:rsid w:val="00196BA9"/>
    <w:rsid w:val="00196F43"/>
    <w:rsid w:val="0019789F"/>
    <w:rsid w:val="00197EA9"/>
    <w:rsid w:val="001A0C34"/>
    <w:rsid w:val="001A1405"/>
    <w:rsid w:val="001A141C"/>
    <w:rsid w:val="001A1F84"/>
    <w:rsid w:val="001A245B"/>
    <w:rsid w:val="001A27C5"/>
    <w:rsid w:val="001A2CF2"/>
    <w:rsid w:val="001A2D2E"/>
    <w:rsid w:val="001A30D6"/>
    <w:rsid w:val="001A35F6"/>
    <w:rsid w:val="001A4ACF"/>
    <w:rsid w:val="001A516E"/>
    <w:rsid w:val="001A58DB"/>
    <w:rsid w:val="001A60EC"/>
    <w:rsid w:val="001A625F"/>
    <w:rsid w:val="001A7A44"/>
    <w:rsid w:val="001B03AB"/>
    <w:rsid w:val="001B04DB"/>
    <w:rsid w:val="001B0991"/>
    <w:rsid w:val="001B0BB0"/>
    <w:rsid w:val="001B1F0A"/>
    <w:rsid w:val="001B2DAD"/>
    <w:rsid w:val="001B38D8"/>
    <w:rsid w:val="001B4134"/>
    <w:rsid w:val="001B5CE9"/>
    <w:rsid w:val="001B6E94"/>
    <w:rsid w:val="001C0034"/>
    <w:rsid w:val="001C1669"/>
    <w:rsid w:val="001C1B27"/>
    <w:rsid w:val="001C1B99"/>
    <w:rsid w:val="001C1F48"/>
    <w:rsid w:val="001C22B1"/>
    <w:rsid w:val="001C22C4"/>
    <w:rsid w:val="001C28CF"/>
    <w:rsid w:val="001C2A32"/>
    <w:rsid w:val="001C3B9D"/>
    <w:rsid w:val="001C3C2C"/>
    <w:rsid w:val="001C4A8F"/>
    <w:rsid w:val="001C4B1B"/>
    <w:rsid w:val="001C4BFE"/>
    <w:rsid w:val="001C4D4D"/>
    <w:rsid w:val="001C4DF5"/>
    <w:rsid w:val="001C5258"/>
    <w:rsid w:val="001C5655"/>
    <w:rsid w:val="001C57C6"/>
    <w:rsid w:val="001C69A1"/>
    <w:rsid w:val="001C6B9C"/>
    <w:rsid w:val="001C6C0E"/>
    <w:rsid w:val="001C70AC"/>
    <w:rsid w:val="001D0820"/>
    <w:rsid w:val="001D0878"/>
    <w:rsid w:val="001D09E8"/>
    <w:rsid w:val="001D0D5C"/>
    <w:rsid w:val="001D0EAE"/>
    <w:rsid w:val="001D155D"/>
    <w:rsid w:val="001D1986"/>
    <w:rsid w:val="001D24C0"/>
    <w:rsid w:val="001D2F45"/>
    <w:rsid w:val="001D3315"/>
    <w:rsid w:val="001D3C9D"/>
    <w:rsid w:val="001D49CC"/>
    <w:rsid w:val="001D5BCE"/>
    <w:rsid w:val="001D66F2"/>
    <w:rsid w:val="001D726F"/>
    <w:rsid w:val="001D73A4"/>
    <w:rsid w:val="001D762D"/>
    <w:rsid w:val="001D7879"/>
    <w:rsid w:val="001D7FC2"/>
    <w:rsid w:val="001D7FF2"/>
    <w:rsid w:val="001E09C0"/>
    <w:rsid w:val="001E14BB"/>
    <w:rsid w:val="001E1855"/>
    <w:rsid w:val="001E3BD3"/>
    <w:rsid w:val="001E3E72"/>
    <w:rsid w:val="001E431A"/>
    <w:rsid w:val="001E4E6C"/>
    <w:rsid w:val="001E4F06"/>
    <w:rsid w:val="001E50EA"/>
    <w:rsid w:val="001E5A45"/>
    <w:rsid w:val="001E67E1"/>
    <w:rsid w:val="001F0019"/>
    <w:rsid w:val="001F1B24"/>
    <w:rsid w:val="001F1F9B"/>
    <w:rsid w:val="001F2A06"/>
    <w:rsid w:val="001F35A7"/>
    <w:rsid w:val="001F3A4E"/>
    <w:rsid w:val="001F3BB3"/>
    <w:rsid w:val="001F3F50"/>
    <w:rsid w:val="001F4055"/>
    <w:rsid w:val="001F585B"/>
    <w:rsid w:val="00200349"/>
    <w:rsid w:val="00200EA0"/>
    <w:rsid w:val="002015DA"/>
    <w:rsid w:val="00201F8F"/>
    <w:rsid w:val="00202306"/>
    <w:rsid w:val="002032F1"/>
    <w:rsid w:val="00203A52"/>
    <w:rsid w:val="00204596"/>
    <w:rsid w:val="00204E18"/>
    <w:rsid w:val="00207254"/>
    <w:rsid w:val="00207953"/>
    <w:rsid w:val="00210A91"/>
    <w:rsid w:val="00211814"/>
    <w:rsid w:val="00211D94"/>
    <w:rsid w:val="0021224F"/>
    <w:rsid w:val="00212E70"/>
    <w:rsid w:val="00213D84"/>
    <w:rsid w:val="00214575"/>
    <w:rsid w:val="002156E1"/>
    <w:rsid w:val="00216349"/>
    <w:rsid w:val="0021653F"/>
    <w:rsid w:val="00216894"/>
    <w:rsid w:val="00217D07"/>
    <w:rsid w:val="00220794"/>
    <w:rsid w:val="00220C15"/>
    <w:rsid w:val="00222C80"/>
    <w:rsid w:val="00223AEE"/>
    <w:rsid w:val="00224D94"/>
    <w:rsid w:val="00224FA6"/>
    <w:rsid w:val="002259A7"/>
    <w:rsid w:val="00225CE1"/>
    <w:rsid w:val="00226AAF"/>
    <w:rsid w:val="00227801"/>
    <w:rsid w:val="00227989"/>
    <w:rsid w:val="00227A3A"/>
    <w:rsid w:val="00227B07"/>
    <w:rsid w:val="00227B0D"/>
    <w:rsid w:val="002303B1"/>
    <w:rsid w:val="00230DB1"/>
    <w:rsid w:val="0023148A"/>
    <w:rsid w:val="002327AC"/>
    <w:rsid w:val="0023322A"/>
    <w:rsid w:val="00233F90"/>
    <w:rsid w:val="00235B12"/>
    <w:rsid w:val="00236F7D"/>
    <w:rsid w:val="002375AD"/>
    <w:rsid w:val="00240618"/>
    <w:rsid w:val="00240D3F"/>
    <w:rsid w:val="00240F2C"/>
    <w:rsid w:val="00241B3F"/>
    <w:rsid w:val="0024262D"/>
    <w:rsid w:val="00242698"/>
    <w:rsid w:val="00242B47"/>
    <w:rsid w:val="00245840"/>
    <w:rsid w:val="00245C32"/>
    <w:rsid w:val="00246DF6"/>
    <w:rsid w:val="00247078"/>
    <w:rsid w:val="00251347"/>
    <w:rsid w:val="002537EE"/>
    <w:rsid w:val="00253DDB"/>
    <w:rsid w:val="00255238"/>
    <w:rsid w:val="00255407"/>
    <w:rsid w:val="00255538"/>
    <w:rsid w:val="00255801"/>
    <w:rsid w:val="002563E0"/>
    <w:rsid w:val="002567C2"/>
    <w:rsid w:val="00256FEC"/>
    <w:rsid w:val="0025793D"/>
    <w:rsid w:val="00260580"/>
    <w:rsid w:val="00260D19"/>
    <w:rsid w:val="002630CA"/>
    <w:rsid w:val="0026367C"/>
    <w:rsid w:val="0026407A"/>
    <w:rsid w:val="00264880"/>
    <w:rsid w:val="002654D3"/>
    <w:rsid w:val="0026556F"/>
    <w:rsid w:val="00265B3C"/>
    <w:rsid w:val="00266402"/>
    <w:rsid w:val="00267CF0"/>
    <w:rsid w:val="00270331"/>
    <w:rsid w:val="0027038B"/>
    <w:rsid w:val="00270651"/>
    <w:rsid w:val="00270F6D"/>
    <w:rsid w:val="00271B52"/>
    <w:rsid w:val="00271D65"/>
    <w:rsid w:val="00271D7C"/>
    <w:rsid w:val="00272BCF"/>
    <w:rsid w:val="00272F82"/>
    <w:rsid w:val="002732D8"/>
    <w:rsid w:val="0027345D"/>
    <w:rsid w:val="00273771"/>
    <w:rsid w:val="002738B6"/>
    <w:rsid w:val="00273CCB"/>
    <w:rsid w:val="00273DAF"/>
    <w:rsid w:val="002749F6"/>
    <w:rsid w:val="00274C8B"/>
    <w:rsid w:val="00274CCB"/>
    <w:rsid w:val="002760A2"/>
    <w:rsid w:val="00276ED1"/>
    <w:rsid w:val="00277393"/>
    <w:rsid w:val="00277674"/>
    <w:rsid w:val="002800D0"/>
    <w:rsid w:val="00280CE4"/>
    <w:rsid w:val="00280E8B"/>
    <w:rsid w:val="00281398"/>
    <w:rsid w:val="002813AD"/>
    <w:rsid w:val="00282083"/>
    <w:rsid w:val="00282881"/>
    <w:rsid w:val="002828CB"/>
    <w:rsid w:val="0028294D"/>
    <w:rsid w:val="00282E3E"/>
    <w:rsid w:val="002833B5"/>
    <w:rsid w:val="00284BED"/>
    <w:rsid w:val="00284F76"/>
    <w:rsid w:val="00286CFF"/>
    <w:rsid w:val="00287A02"/>
    <w:rsid w:val="00287D89"/>
    <w:rsid w:val="00287E98"/>
    <w:rsid w:val="00291A05"/>
    <w:rsid w:val="00291AB7"/>
    <w:rsid w:val="00291C6C"/>
    <w:rsid w:val="00292D77"/>
    <w:rsid w:val="00292E37"/>
    <w:rsid w:val="00292EFB"/>
    <w:rsid w:val="00293075"/>
    <w:rsid w:val="002935BA"/>
    <w:rsid w:val="00293A42"/>
    <w:rsid w:val="00294034"/>
    <w:rsid w:val="002946CB"/>
    <w:rsid w:val="0029475A"/>
    <w:rsid w:val="00295027"/>
    <w:rsid w:val="00296451"/>
    <w:rsid w:val="002965D8"/>
    <w:rsid w:val="00296A02"/>
    <w:rsid w:val="00296AFD"/>
    <w:rsid w:val="00296C27"/>
    <w:rsid w:val="00297696"/>
    <w:rsid w:val="00297FE6"/>
    <w:rsid w:val="002A039F"/>
    <w:rsid w:val="002A1319"/>
    <w:rsid w:val="002A2D18"/>
    <w:rsid w:val="002A2F88"/>
    <w:rsid w:val="002A3407"/>
    <w:rsid w:val="002A374E"/>
    <w:rsid w:val="002A385C"/>
    <w:rsid w:val="002A38B5"/>
    <w:rsid w:val="002A3FD1"/>
    <w:rsid w:val="002A6A4E"/>
    <w:rsid w:val="002A70CD"/>
    <w:rsid w:val="002A7A53"/>
    <w:rsid w:val="002A7C67"/>
    <w:rsid w:val="002B014D"/>
    <w:rsid w:val="002B0397"/>
    <w:rsid w:val="002B0EC2"/>
    <w:rsid w:val="002B1D36"/>
    <w:rsid w:val="002B1FF3"/>
    <w:rsid w:val="002B3140"/>
    <w:rsid w:val="002B33A4"/>
    <w:rsid w:val="002B35BB"/>
    <w:rsid w:val="002B40F1"/>
    <w:rsid w:val="002B43D3"/>
    <w:rsid w:val="002B5028"/>
    <w:rsid w:val="002B5DB0"/>
    <w:rsid w:val="002B6B50"/>
    <w:rsid w:val="002B6D65"/>
    <w:rsid w:val="002B7A39"/>
    <w:rsid w:val="002B7AEB"/>
    <w:rsid w:val="002B7B55"/>
    <w:rsid w:val="002C1018"/>
    <w:rsid w:val="002C1EE8"/>
    <w:rsid w:val="002C3A54"/>
    <w:rsid w:val="002C3AA2"/>
    <w:rsid w:val="002C3F00"/>
    <w:rsid w:val="002C466C"/>
    <w:rsid w:val="002C47DC"/>
    <w:rsid w:val="002C480F"/>
    <w:rsid w:val="002C4DEF"/>
    <w:rsid w:val="002C516C"/>
    <w:rsid w:val="002C5253"/>
    <w:rsid w:val="002C6516"/>
    <w:rsid w:val="002C68BF"/>
    <w:rsid w:val="002C6ECC"/>
    <w:rsid w:val="002D0552"/>
    <w:rsid w:val="002D0B8E"/>
    <w:rsid w:val="002D0E73"/>
    <w:rsid w:val="002D1080"/>
    <w:rsid w:val="002D2045"/>
    <w:rsid w:val="002D277A"/>
    <w:rsid w:val="002D313E"/>
    <w:rsid w:val="002D319D"/>
    <w:rsid w:val="002D32E6"/>
    <w:rsid w:val="002D3552"/>
    <w:rsid w:val="002D42BA"/>
    <w:rsid w:val="002D4443"/>
    <w:rsid w:val="002D4FAA"/>
    <w:rsid w:val="002D4FFF"/>
    <w:rsid w:val="002D592C"/>
    <w:rsid w:val="002D6C95"/>
    <w:rsid w:val="002D6E95"/>
    <w:rsid w:val="002D7786"/>
    <w:rsid w:val="002D7859"/>
    <w:rsid w:val="002D7D89"/>
    <w:rsid w:val="002E0141"/>
    <w:rsid w:val="002E0216"/>
    <w:rsid w:val="002E0B24"/>
    <w:rsid w:val="002E0C00"/>
    <w:rsid w:val="002E1348"/>
    <w:rsid w:val="002E21B5"/>
    <w:rsid w:val="002E24DD"/>
    <w:rsid w:val="002E2AB8"/>
    <w:rsid w:val="002E3CCC"/>
    <w:rsid w:val="002E4395"/>
    <w:rsid w:val="002E4A0B"/>
    <w:rsid w:val="002E5698"/>
    <w:rsid w:val="002E5876"/>
    <w:rsid w:val="002F0953"/>
    <w:rsid w:val="002F1BB3"/>
    <w:rsid w:val="002F1D27"/>
    <w:rsid w:val="002F2A4C"/>
    <w:rsid w:val="002F3842"/>
    <w:rsid w:val="002F3AF7"/>
    <w:rsid w:val="002F43E3"/>
    <w:rsid w:val="002F4E31"/>
    <w:rsid w:val="002F50CE"/>
    <w:rsid w:val="002F5A6D"/>
    <w:rsid w:val="002F5CD0"/>
    <w:rsid w:val="002F6C37"/>
    <w:rsid w:val="002F7610"/>
    <w:rsid w:val="002F7B9A"/>
    <w:rsid w:val="003002BA"/>
    <w:rsid w:val="003011BC"/>
    <w:rsid w:val="00301420"/>
    <w:rsid w:val="00301AF2"/>
    <w:rsid w:val="00302304"/>
    <w:rsid w:val="00302ACB"/>
    <w:rsid w:val="00302C78"/>
    <w:rsid w:val="00302F3F"/>
    <w:rsid w:val="00304085"/>
    <w:rsid w:val="003046AB"/>
    <w:rsid w:val="0030502B"/>
    <w:rsid w:val="003054A1"/>
    <w:rsid w:val="00305A3A"/>
    <w:rsid w:val="00305F28"/>
    <w:rsid w:val="0030682B"/>
    <w:rsid w:val="003070AC"/>
    <w:rsid w:val="0030728E"/>
    <w:rsid w:val="003106CC"/>
    <w:rsid w:val="003109CF"/>
    <w:rsid w:val="003117C7"/>
    <w:rsid w:val="00314135"/>
    <w:rsid w:val="00314D36"/>
    <w:rsid w:val="00314DFC"/>
    <w:rsid w:val="0031640C"/>
    <w:rsid w:val="00320456"/>
    <w:rsid w:val="00320FB4"/>
    <w:rsid w:val="00321586"/>
    <w:rsid w:val="0032174A"/>
    <w:rsid w:val="00321D05"/>
    <w:rsid w:val="00321ED6"/>
    <w:rsid w:val="00323279"/>
    <w:rsid w:val="00323710"/>
    <w:rsid w:val="003246A4"/>
    <w:rsid w:val="00325469"/>
    <w:rsid w:val="00325653"/>
    <w:rsid w:val="00325690"/>
    <w:rsid w:val="00325A54"/>
    <w:rsid w:val="00326DB9"/>
    <w:rsid w:val="00327550"/>
    <w:rsid w:val="00327596"/>
    <w:rsid w:val="00327BDA"/>
    <w:rsid w:val="00327BF3"/>
    <w:rsid w:val="00330260"/>
    <w:rsid w:val="00330774"/>
    <w:rsid w:val="003317FF"/>
    <w:rsid w:val="003342D3"/>
    <w:rsid w:val="00335166"/>
    <w:rsid w:val="0033518C"/>
    <w:rsid w:val="00335CF9"/>
    <w:rsid w:val="00336936"/>
    <w:rsid w:val="00336AA9"/>
    <w:rsid w:val="00337A82"/>
    <w:rsid w:val="00337CB2"/>
    <w:rsid w:val="003406FD"/>
    <w:rsid w:val="00340721"/>
    <w:rsid w:val="003408C2"/>
    <w:rsid w:val="00340B9F"/>
    <w:rsid w:val="0034168C"/>
    <w:rsid w:val="00341F5A"/>
    <w:rsid w:val="00342365"/>
    <w:rsid w:val="0034282B"/>
    <w:rsid w:val="00342F2B"/>
    <w:rsid w:val="003441DC"/>
    <w:rsid w:val="00344BBC"/>
    <w:rsid w:val="00344F9B"/>
    <w:rsid w:val="00345528"/>
    <w:rsid w:val="00345DCC"/>
    <w:rsid w:val="00347B61"/>
    <w:rsid w:val="00352DA6"/>
    <w:rsid w:val="00352E5D"/>
    <w:rsid w:val="00352F57"/>
    <w:rsid w:val="00354C23"/>
    <w:rsid w:val="00355A9E"/>
    <w:rsid w:val="003562B3"/>
    <w:rsid w:val="00356C46"/>
    <w:rsid w:val="00357030"/>
    <w:rsid w:val="00357D70"/>
    <w:rsid w:val="0036011E"/>
    <w:rsid w:val="00361C29"/>
    <w:rsid w:val="003623CF"/>
    <w:rsid w:val="00363360"/>
    <w:rsid w:val="00363548"/>
    <w:rsid w:val="00363D39"/>
    <w:rsid w:val="0036585B"/>
    <w:rsid w:val="0036597D"/>
    <w:rsid w:val="00365DEB"/>
    <w:rsid w:val="003663F3"/>
    <w:rsid w:val="00366B90"/>
    <w:rsid w:val="00366C04"/>
    <w:rsid w:val="0036799F"/>
    <w:rsid w:val="00367B77"/>
    <w:rsid w:val="00370514"/>
    <w:rsid w:val="00370BA9"/>
    <w:rsid w:val="00371CF1"/>
    <w:rsid w:val="00371ECB"/>
    <w:rsid w:val="00372444"/>
    <w:rsid w:val="00372D2B"/>
    <w:rsid w:val="00373E67"/>
    <w:rsid w:val="00374629"/>
    <w:rsid w:val="00374AB7"/>
    <w:rsid w:val="00376A37"/>
    <w:rsid w:val="00376B6A"/>
    <w:rsid w:val="00376EB7"/>
    <w:rsid w:val="003773AE"/>
    <w:rsid w:val="00380B4A"/>
    <w:rsid w:val="00380C10"/>
    <w:rsid w:val="00380F25"/>
    <w:rsid w:val="0038147B"/>
    <w:rsid w:val="00381505"/>
    <w:rsid w:val="00382844"/>
    <w:rsid w:val="003828B4"/>
    <w:rsid w:val="00382DEE"/>
    <w:rsid w:val="0038418D"/>
    <w:rsid w:val="003843AA"/>
    <w:rsid w:val="00384727"/>
    <w:rsid w:val="00384C3F"/>
    <w:rsid w:val="00385362"/>
    <w:rsid w:val="00385AD0"/>
    <w:rsid w:val="0038610D"/>
    <w:rsid w:val="00386157"/>
    <w:rsid w:val="0038615A"/>
    <w:rsid w:val="003863FE"/>
    <w:rsid w:val="00386DD7"/>
    <w:rsid w:val="003877FE"/>
    <w:rsid w:val="00387D4A"/>
    <w:rsid w:val="003903E4"/>
    <w:rsid w:val="003905AC"/>
    <w:rsid w:val="00392E51"/>
    <w:rsid w:val="00393853"/>
    <w:rsid w:val="003939D8"/>
    <w:rsid w:val="00394101"/>
    <w:rsid w:val="00394291"/>
    <w:rsid w:val="003945A3"/>
    <w:rsid w:val="0039498F"/>
    <w:rsid w:val="003949A1"/>
    <w:rsid w:val="0039594D"/>
    <w:rsid w:val="00396CCE"/>
    <w:rsid w:val="003979D8"/>
    <w:rsid w:val="003A015E"/>
    <w:rsid w:val="003A0512"/>
    <w:rsid w:val="003A0C74"/>
    <w:rsid w:val="003A2FC8"/>
    <w:rsid w:val="003A3FB1"/>
    <w:rsid w:val="003A41E2"/>
    <w:rsid w:val="003A4359"/>
    <w:rsid w:val="003A46B1"/>
    <w:rsid w:val="003A4DBB"/>
    <w:rsid w:val="003A577E"/>
    <w:rsid w:val="003A5A75"/>
    <w:rsid w:val="003A5BF1"/>
    <w:rsid w:val="003A60F5"/>
    <w:rsid w:val="003A675D"/>
    <w:rsid w:val="003A693C"/>
    <w:rsid w:val="003A6DF1"/>
    <w:rsid w:val="003A7A91"/>
    <w:rsid w:val="003A7DF5"/>
    <w:rsid w:val="003B01CC"/>
    <w:rsid w:val="003B0392"/>
    <w:rsid w:val="003B18B1"/>
    <w:rsid w:val="003B3677"/>
    <w:rsid w:val="003B42E9"/>
    <w:rsid w:val="003B4B77"/>
    <w:rsid w:val="003B5C85"/>
    <w:rsid w:val="003B79AD"/>
    <w:rsid w:val="003B79FF"/>
    <w:rsid w:val="003C04A1"/>
    <w:rsid w:val="003C0B0B"/>
    <w:rsid w:val="003C2378"/>
    <w:rsid w:val="003C2CEA"/>
    <w:rsid w:val="003C3337"/>
    <w:rsid w:val="003C39F5"/>
    <w:rsid w:val="003C3A04"/>
    <w:rsid w:val="003C4710"/>
    <w:rsid w:val="003C492A"/>
    <w:rsid w:val="003C510D"/>
    <w:rsid w:val="003C5750"/>
    <w:rsid w:val="003C66B0"/>
    <w:rsid w:val="003D1876"/>
    <w:rsid w:val="003D1922"/>
    <w:rsid w:val="003D2689"/>
    <w:rsid w:val="003D2707"/>
    <w:rsid w:val="003D27B2"/>
    <w:rsid w:val="003D27DE"/>
    <w:rsid w:val="003D2A84"/>
    <w:rsid w:val="003D2D26"/>
    <w:rsid w:val="003D32AF"/>
    <w:rsid w:val="003D3BFE"/>
    <w:rsid w:val="003D3C70"/>
    <w:rsid w:val="003D4B54"/>
    <w:rsid w:val="003D53E3"/>
    <w:rsid w:val="003D5D76"/>
    <w:rsid w:val="003D6A19"/>
    <w:rsid w:val="003D6ADC"/>
    <w:rsid w:val="003E0170"/>
    <w:rsid w:val="003E12C1"/>
    <w:rsid w:val="003E1811"/>
    <w:rsid w:val="003E309D"/>
    <w:rsid w:val="003E321D"/>
    <w:rsid w:val="003E416F"/>
    <w:rsid w:val="003E42A3"/>
    <w:rsid w:val="003E4675"/>
    <w:rsid w:val="003E4712"/>
    <w:rsid w:val="003E56A9"/>
    <w:rsid w:val="003E61B3"/>
    <w:rsid w:val="003E62DE"/>
    <w:rsid w:val="003E6513"/>
    <w:rsid w:val="003E742C"/>
    <w:rsid w:val="003E79B4"/>
    <w:rsid w:val="003E7ABB"/>
    <w:rsid w:val="003E7BF3"/>
    <w:rsid w:val="003F079C"/>
    <w:rsid w:val="003F1122"/>
    <w:rsid w:val="003F14DD"/>
    <w:rsid w:val="003F1BF6"/>
    <w:rsid w:val="003F4BB0"/>
    <w:rsid w:val="003F4E4E"/>
    <w:rsid w:val="003F55DE"/>
    <w:rsid w:val="003F5C48"/>
    <w:rsid w:val="003F654F"/>
    <w:rsid w:val="00400B02"/>
    <w:rsid w:val="00401F9B"/>
    <w:rsid w:val="0040215C"/>
    <w:rsid w:val="00402EE8"/>
    <w:rsid w:val="004033C4"/>
    <w:rsid w:val="0040379F"/>
    <w:rsid w:val="00405F7A"/>
    <w:rsid w:val="00406137"/>
    <w:rsid w:val="00406500"/>
    <w:rsid w:val="00406D1A"/>
    <w:rsid w:val="0041059E"/>
    <w:rsid w:val="0041217D"/>
    <w:rsid w:val="0041220A"/>
    <w:rsid w:val="00412424"/>
    <w:rsid w:val="004133B0"/>
    <w:rsid w:val="004133D4"/>
    <w:rsid w:val="0041527B"/>
    <w:rsid w:val="00416275"/>
    <w:rsid w:val="0041725B"/>
    <w:rsid w:val="004175EF"/>
    <w:rsid w:val="00422183"/>
    <w:rsid w:val="004224C9"/>
    <w:rsid w:val="004239F9"/>
    <w:rsid w:val="00425754"/>
    <w:rsid w:val="0042718B"/>
    <w:rsid w:val="004278A7"/>
    <w:rsid w:val="00427F5B"/>
    <w:rsid w:val="00430CA5"/>
    <w:rsid w:val="00431C77"/>
    <w:rsid w:val="004329B8"/>
    <w:rsid w:val="00433120"/>
    <w:rsid w:val="004349BE"/>
    <w:rsid w:val="00435AD2"/>
    <w:rsid w:val="00435CA8"/>
    <w:rsid w:val="0043602B"/>
    <w:rsid w:val="004362DA"/>
    <w:rsid w:val="004368A3"/>
    <w:rsid w:val="00436930"/>
    <w:rsid w:val="00436CB5"/>
    <w:rsid w:val="004373E9"/>
    <w:rsid w:val="00437456"/>
    <w:rsid w:val="00437B1F"/>
    <w:rsid w:val="00437BB9"/>
    <w:rsid w:val="00437DE9"/>
    <w:rsid w:val="00440558"/>
    <w:rsid w:val="004417F3"/>
    <w:rsid w:val="00442818"/>
    <w:rsid w:val="004432E0"/>
    <w:rsid w:val="00443BB8"/>
    <w:rsid w:val="00445147"/>
    <w:rsid w:val="0044547C"/>
    <w:rsid w:val="00445A04"/>
    <w:rsid w:val="00445A94"/>
    <w:rsid w:val="00445B4E"/>
    <w:rsid w:val="00447970"/>
    <w:rsid w:val="00451DE0"/>
    <w:rsid w:val="004528F8"/>
    <w:rsid w:val="004536EC"/>
    <w:rsid w:val="00453C7E"/>
    <w:rsid w:val="004554BD"/>
    <w:rsid w:val="004555B0"/>
    <w:rsid w:val="00455ECB"/>
    <w:rsid w:val="00456C9F"/>
    <w:rsid w:val="00457255"/>
    <w:rsid w:val="00457E3E"/>
    <w:rsid w:val="00461295"/>
    <w:rsid w:val="00461732"/>
    <w:rsid w:val="0046194A"/>
    <w:rsid w:val="0046307B"/>
    <w:rsid w:val="0046358C"/>
    <w:rsid w:val="00463A83"/>
    <w:rsid w:val="004659FF"/>
    <w:rsid w:val="004661DA"/>
    <w:rsid w:val="00466C1F"/>
    <w:rsid w:val="00466E1F"/>
    <w:rsid w:val="004678FD"/>
    <w:rsid w:val="00467926"/>
    <w:rsid w:val="004679B7"/>
    <w:rsid w:val="00467EA3"/>
    <w:rsid w:val="004704E8"/>
    <w:rsid w:val="00471126"/>
    <w:rsid w:val="0047241C"/>
    <w:rsid w:val="00472577"/>
    <w:rsid w:val="0047302C"/>
    <w:rsid w:val="004737BB"/>
    <w:rsid w:val="004743FF"/>
    <w:rsid w:val="004746D0"/>
    <w:rsid w:val="0047547A"/>
    <w:rsid w:val="00475509"/>
    <w:rsid w:val="004755FE"/>
    <w:rsid w:val="00475D67"/>
    <w:rsid w:val="00476F03"/>
    <w:rsid w:val="004774C6"/>
    <w:rsid w:val="004779BF"/>
    <w:rsid w:val="0048089E"/>
    <w:rsid w:val="00480925"/>
    <w:rsid w:val="00480BB7"/>
    <w:rsid w:val="00480CD8"/>
    <w:rsid w:val="00481A2B"/>
    <w:rsid w:val="00481BE6"/>
    <w:rsid w:val="004840A4"/>
    <w:rsid w:val="00484739"/>
    <w:rsid w:val="00486F82"/>
    <w:rsid w:val="004873D2"/>
    <w:rsid w:val="004875FE"/>
    <w:rsid w:val="00487AE7"/>
    <w:rsid w:val="004920B6"/>
    <w:rsid w:val="00492580"/>
    <w:rsid w:val="004946AB"/>
    <w:rsid w:val="0049484B"/>
    <w:rsid w:val="00494B93"/>
    <w:rsid w:val="00494DFE"/>
    <w:rsid w:val="00494E84"/>
    <w:rsid w:val="004971A5"/>
    <w:rsid w:val="0049788E"/>
    <w:rsid w:val="00497FFB"/>
    <w:rsid w:val="004A0891"/>
    <w:rsid w:val="004A0955"/>
    <w:rsid w:val="004A0AC1"/>
    <w:rsid w:val="004A116F"/>
    <w:rsid w:val="004A11F4"/>
    <w:rsid w:val="004A2367"/>
    <w:rsid w:val="004A351E"/>
    <w:rsid w:val="004A3B4B"/>
    <w:rsid w:val="004A55A6"/>
    <w:rsid w:val="004A5699"/>
    <w:rsid w:val="004A57D3"/>
    <w:rsid w:val="004A5A16"/>
    <w:rsid w:val="004A6477"/>
    <w:rsid w:val="004A7A81"/>
    <w:rsid w:val="004A7B59"/>
    <w:rsid w:val="004B0740"/>
    <w:rsid w:val="004B0A79"/>
    <w:rsid w:val="004B3206"/>
    <w:rsid w:val="004B4502"/>
    <w:rsid w:val="004B464A"/>
    <w:rsid w:val="004B46D4"/>
    <w:rsid w:val="004B4897"/>
    <w:rsid w:val="004B4BCF"/>
    <w:rsid w:val="004B4D5C"/>
    <w:rsid w:val="004B4F88"/>
    <w:rsid w:val="004B5224"/>
    <w:rsid w:val="004B62E5"/>
    <w:rsid w:val="004C0EB9"/>
    <w:rsid w:val="004C1CF3"/>
    <w:rsid w:val="004C3BC7"/>
    <w:rsid w:val="004C3E8E"/>
    <w:rsid w:val="004C4B9D"/>
    <w:rsid w:val="004C590E"/>
    <w:rsid w:val="004C604E"/>
    <w:rsid w:val="004C697A"/>
    <w:rsid w:val="004C70A0"/>
    <w:rsid w:val="004C7375"/>
    <w:rsid w:val="004C798A"/>
    <w:rsid w:val="004D0C3A"/>
    <w:rsid w:val="004D0FAC"/>
    <w:rsid w:val="004D1436"/>
    <w:rsid w:val="004D2540"/>
    <w:rsid w:val="004D2B90"/>
    <w:rsid w:val="004D3BE5"/>
    <w:rsid w:val="004D4510"/>
    <w:rsid w:val="004D5822"/>
    <w:rsid w:val="004D5891"/>
    <w:rsid w:val="004D5AD9"/>
    <w:rsid w:val="004D7522"/>
    <w:rsid w:val="004D7905"/>
    <w:rsid w:val="004D798F"/>
    <w:rsid w:val="004D7AC2"/>
    <w:rsid w:val="004E0501"/>
    <w:rsid w:val="004E183C"/>
    <w:rsid w:val="004E36F9"/>
    <w:rsid w:val="004E377C"/>
    <w:rsid w:val="004E6EA6"/>
    <w:rsid w:val="004E757D"/>
    <w:rsid w:val="004F078E"/>
    <w:rsid w:val="004F23B4"/>
    <w:rsid w:val="004F24D8"/>
    <w:rsid w:val="004F360A"/>
    <w:rsid w:val="004F3C21"/>
    <w:rsid w:val="004F3F15"/>
    <w:rsid w:val="004F429F"/>
    <w:rsid w:val="004F460A"/>
    <w:rsid w:val="004F463A"/>
    <w:rsid w:val="004F5AEB"/>
    <w:rsid w:val="004F685B"/>
    <w:rsid w:val="004F6B8B"/>
    <w:rsid w:val="004F6EF1"/>
    <w:rsid w:val="004F738C"/>
    <w:rsid w:val="004F752D"/>
    <w:rsid w:val="00500171"/>
    <w:rsid w:val="00500BBD"/>
    <w:rsid w:val="00502173"/>
    <w:rsid w:val="00502900"/>
    <w:rsid w:val="00502914"/>
    <w:rsid w:val="00502EC9"/>
    <w:rsid w:val="005035F9"/>
    <w:rsid w:val="0050572C"/>
    <w:rsid w:val="00506D46"/>
    <w:rsid w:val="0051061F"/>
    <w:rsid w:val="00510A6C"/>
    <w:rsid w:val="00510AB1"/>
    <w:rsid w:val="00512683"/>
    <w:rsid w:val="00512C9B"/>
    <w:rsid w:val="005140CF"/>
    <w:rsid w:val="00514704"/>
    <w:rsid w:val="00514AC5"/>
    <w:rsid w:val="00514C3C"/>
    <w:rsid w:val="005165DC"/>
    <w:rsid w:val="00517049"/>
    <w:rsid w:val="00517498"/>
    <w:rsid w:val="00517E36"/>
    <w:rsid w:val="00520358"/>
    <w:rsid w:val="0052082A"/>
    <w:rsid w:val="00520A20"/>
    <w:rsid w:val="00521482"/>
    <w:rsid w:val="00521D7F"/>
    <w:rsid w:val="005243E7"/>
    <w:rsid w:val="005244D4"/>
    <w:rsid w:val="00524A3B"/>
    <w:rsid w:val="0052543B"/>
    <w:rsid w:val="00525B1C"/>
    <w:rsid w:val="005264E2"/>
    <w:rsid w:val="00526798"/>
    <w:rsid w:val="00527037"/>
    <w:rsid w:val="0052715B"/>
    <w:rsid w:val="00527553"/>
    <w:rsid w:val="00527FB5"/>
    <w:rsid w:val="005304E6"/>
    <w:rsid w:val="0053067C"/>
    <w:rsid w:val="00530734"/>
    <w:rsid w:val="005307EA"/>
    <w:rsid w:val="0053184A"/>
    <w:rsid w:val="00531C1D"/>
    <w:rsid w:val="00533753"/>
    <w:rsid w:val="0053471E"/>
    <w:rsid w:val="005351AE"/>
    <w:rsid w:val="00535D68"/>
    <w:rsid w:val="00535F44"/>
    <w:rsid w:val="00536102"/>
    <w:rsid w:val="00536677"/>
    <w:rsid w:val="005373C9"/>
    <w:rsid w:val="0053749F"/>
    <w:rsid w:val="005375E2"/>
    <w:rsid w:val="00537B63"/>
    <w:rsid w:val="005421A4"/>
    <w:rsid w:val="005429C2"/>
    <w:rsid w:val="00544813"/>
    <w:rsid w:val="00544CDC"/>
    <w:rsid w:val="00545FC2"/>
    <w:rsid w:val="0054670F"/>
    <w:rsid w:val="00546CC0"/>
    <w:rsid w:val="0054765F"/>
    <w:rsid w:val="0055109E"/>
    <w:rsid w:val="00551DAE"/>
    <w:rsid w:val="00553028"/>
    <w:rsid w:val="00553F08"/>
    <w:rsid w:val="00553F42"/>
    <w:rsid w:val="00554067"/>
    <w:rsid w:val="0055557B"/>
    <w:rsid w:val="00556CEA"/>
    <w:rsid w:val="00557FC2"/>
    <w:rsid w:val="005607BC"/>
    <w:rsid w:val="00560D1B"/>
    <w:rsid w:val="00560F67"/>
    <w:rsid w:val="00562B00"/>
    <w:rsid w:val="00562ECF"/>
    <w:rsid w:val="00563095"/>
    <w:rsid w:val="0056336F"/>
    <w:rsid w:val="005637A8"/>
    <w:rsid w:val="00563EB5"/>
    <w:rsid w:val="00564179"/>
    <w:rsid w:val="00564ACD"/>
    <w:rsid w:val="0056521C"/>
    <w:rsid w:val="00565A64"/>
    <w:rsid w:val="00566EEC"/>
    <w:rsid w:val="005672EB"/>
    <w:rsid w:val="00567634"/>
    <w:rsid w:val="00570530"/>
    <w:rsid w:val="00574044"/>
    <w:rsid w:val="00575417"/>
    <w:rsid w:val="0057706F"/>
    <w:rsid w:val="005771F8"/>
    <w:rsid w:val="005778AB"/>
    <w:rsid w:val="00577DBB"/>
    <w:rsid w:val="00577F10"/>
    <w:rsid w:val="00580140"/>
    <w:rsid w:val="00580D71"/>
    <w:rsid w:val="005814CB"/>
    <w:rsid w:val="00581D32"/>
    <w:rsid w:val="00583646"/>
    <w:rsid w:val="005840B3"/>
    <w:rsid w:val="00584685"/>
    <w:rsid w:val="00585102"/>
    <w:rsid w:val="005853BE"/>
    <w:rsid w:val="00585E19"/>
    <w:rsid w:val="00585E5B"/>
    <w:rsid w:val="00586BBF"/>
    <w:rsid w:val="0058705E"/>
    <w:rsid w:val="005877EB"/>
    <w:rsid w:val="00587C9F"/>
    <w:rsid w:val="00590541"/>
    <w:rsid w:val="005920E6"/>
    <w:rsid w:val="00592704"/>
    <w:rsid w:val="00592C3A"/>
    <w:rsid w:val="00592F4D"/>
    <w:rsid w:val="0059365A"/>
    <w:rsid w:val="0059446B"/>
    <w:rsid w:val="00594C56"/>
    <w:rsid w:val="00594D5C"/>
    <w:rsid w:val="0059548B"/>
    <w:rsid w:val="0059577D"/>
    <w:rsid w:val="00595887"/>
    <w:rsid w:val="0059592A"/>
    <w:rsid w:val="005A047F"/>
    <w:rsid w:val="005A1652"/>
    <w:rsid w:val="005A1D08"/>
    <w:rsid w:val="005A2E0F"/>
    <w:rsid w:val="005A4801"/>
    <w:rsid w:val="005A4C85"/>
    <w:rsid w:val="005A4CEC"/>
    <w:rsid w:val="005A4FC9"/>
    <w:rsid w:val="005A53F5"/>
    <w:rsid w:val="005A7C9E"/>
    <w:rsid w:val="005B1775"/>
    <w:rsid w:val="005B2A7A"/>
    <w:rsid w:val="005B2FC2"/>
    <w:rsid w:val="005B550E"/>
    <w:rsid w:val="005B5797"/>
    <w:rsid w:val="005B5850"/>
    <w:rsid w:val="005B5ACC"/>
    <w:rsid w:val="005B665C"/>
    <w:rsid w:val="005C00C2"/>
    <w:rsid w:val="005C0423"/>
    <w:rsid w:val="005C0436"/>
    <w:rsid w:val="005C0758"/>
    <w:rsid w:val="005C2020"/>
    <w:rsid w:val="005C3313"/>
    <w:rsid w:val="005C36AD"/>
    <w:rsid w:val="005C47FD"/>
    <w:rsid w:val="005C5E20"/>
    <w:rsid w:val="005C5EF4"/>
    <w:rsid w:val="005C6D9E"/>
    <w:rsid w:val="005C76E8"/>
    <w:rsid w:val="005C7B9A"/>
    <w:rsid w:val="005D004D"/>
    <w:rsid w:val="005D01B3"/>
    <w:rsid w:val="005D0495"/>
    <w:rsid w:val="005D0518"/>
    <w:rsid w:val="005D0669"/>
    <w:rsid w:val="005D0C30"/>
    <w:rsid w:val="005D32A5"/>
    <w:rsid w:val="005D7768"/>
    <w:rsid w:val="005D7EEA"/>
    <w:rsid w:val="005D7F9A"/>
    <w:rsid w:val="005E0302"/>
    <w:rsid w:val="005E093F"/>
    <w:rsid w:val="005E098C"/>
    <w:rsid w:val="005E0D3C"/>
    <w:rsid w:val="005E0E85"/>
    <w:rsid w:val="005E11FE"/>
    <w:rsid w:val="005E2184"/>
    <w:rsid w:val="005E4042"/>
    <w:rsid w:val="005E49DC"/>
    <w:rsid w:val="005E4FE3"/>
    <w:rsid w:val="005E5B9F"/>
    <w:rsid w:val="005E5C5B"/>
    <w:rsid w:val="005E6879"/>
    <w:rsid w:val="005E69D7"/>
    <w:rsid w:val="005E7100"/>
    <w:rsid w:val="005F05F1"/>
    <w:rsid w:val="005F0CDE"/>
    <w:rsid w:val="005F123C"/>
    <w:rsid w:val="005F1BAA"/>
    <w:rsid w:val="005F272D"/>
    <w:rsid w:val="005F33AD"/>
    <w:rsid w:val="005F349E"/>
    <w:rsid w:val="005F3726"/>
    <w:rsid w:val="005F3D56"/>
    <w:rsid w:val="005F4157"/>
    <w:rsid w:val="005F4677"/>
    <w:rsid w:val="005F4A93"/>
    <w:rsid w:val="005F4B8F"/>
    <w:rsid w:val="005F4EC9"/>
    <w:rsid w:val="005F53CA"/>
    <w:rsid w:val="005F7153"/>
    <w:rsid w:val="005F744B"/>
    <w:rsid w:val="005F763A"/>
    <w:rsid w:val="005F7B00"/>
    <w:rsid w:val="005F7CDF"/>
    <w:rsid w:val="005F7D31"/>
    <w:rsid w:val="00600361"/>
    <w:rsid w:val="006003AF"/>
    <w:rsid w:val="0060052F"/>
    <w:rsid w:val="00601655"/>
    <w:rsid w:val="0060257C"/>
    <w:rsid w:val="00603568"/>
    <w:rsid w:val="00604FD0"/>
    <w:rsid w:val="00605499"/>
    <w:rsid w:val="0060590B"/>
    <w:rsid w:val="006066F3"/>
    <w:rsid w:val="00606C7E"/>
    <w:rsid w:val="0060781B"/>
    <w:rsid w:val="00607AC6"/>
    <w:rsid w:val="00607E57"/>
    <w:rsid w:val="006106D3"/>
    <w:rsid w:val="00611703"/>
    <w:rsid w:val="006143AE"/>
    <w:rsid w:val="006157CD"/>
    <w:rsid w:val="00615B30"/>
    <w:rsid w:val="006164A8"/>
    <w:rsid w:val="006167E9"/>
    <w:rsid w:val="006177CC"/>
    <w:rsid w:val="006208D4"/>
    <w:rsid w:val="00622E45"/>
    <w:rsid w:val="006231FE"/>
    <w:rsid w:val="00623D9E"/>
    <w:rsid w:val="00623EDC"/>
    <w:rsid w:val="0062454C"/>
    <w:rsid w:val="006249F2"/>
    <w:rsid w:val="00624DD3"/>
    <w:rsid w:val="00624F07"/>
    <w:rsid w:val="00625054"/>
    <w:rsid w:val="00625149"/>
    <w:rsid w:val="006251CA"/>
    <w:rsid w:val="00625242"/>
    <w:rsid w:val="0062535B"/>
    <w:rsid w:val="00625B8A"/>
    <w:rsid w:val="006263E7"/>
    <w:rsid w:val="00626720"/>
    <w:rsid w:val="00626B3D"/>
    <w:rsid w:val="00627485"/>
    <w:rsid w:val="006301A5"/>
    <w:rsid w:val="0063092E"/>
    <w:rsid w:val="0063213E"/>
    <w:rsid w:val="00632A0F"/>
    <w:rsid w:val="00632E3A"/>
    <w:rsid w:val="006356EC"/>
    <w:rsid w:val="006358B4"/>
    <w:rsid w:val="00635FFC"/>
    <w:rsid w:val="00636352"/>
    <w:rsid w:val="00636481"/>
    <w:rsid w:val="0063652C"/>
    <w:rsid w:val="0063754C"/>
    <w:rsid w:val="0064030B"/>
    <w:rsid w:val="0064032D"/>
    <w:rsid w:val="0064086D"/>
    <w:rsid w:val="00640BEC"/>
    <w:rsid w:val="00641F5A"/>
    <w:rsid w:val="006430D4"/>
    <w:rsid w:val="006439E7"/>
    <w:rsid w:val="0064426E"/>
    <w:rsid w:val="00644AB3"/>
    <w:rsid w:val="0064580F"/>
    <w:rsid w:val="0064596A"/>
    <w:rsid w:val="00645F54"/>
    <w:rsid w:val="00646668"/>
    <w:rsid w:val="00646882"/>
    <w:rsid w:val="00646C73"/>
    <w:rsid w:val="00647015"/>
    <w:rsid w:val="00647C0C"/>
    <w:rsid w:val="006505E8"/>
    <w:rsid w:val="00651580"/>
    <w:rsid w:val="006516C5"/>
    <w:rsid w:val="00652C89"/>
    <w:rsid w:val="0065422C"/>
    <w:rsid w:val="00654649"/>
    <w:rsid w:val="0065555D"/>
    <w:rsid w:val="00656AF9"/>
    <w:rsid w:val="0066004C"/>
    <w:rsid w:val="00661B2E"/>
    <w:rsid w:val="00662037"/>
    <w:rsid w:val="00662796"/>
    <w:rsid w:val="00662CEC"/>
    <w:rsid w:val="0066386E"/>
    <w:rsid w:val="0066684B"/>
    <w:rsid w:val="006672A7"/>
    <w:rsid w:val="00667FC5"/>
    <w:rsid w:val="006709E2"/>
    <w:rsid w:val="00670B1A"/>
    <w:rsid w:val="00670F25"/>
    <w:rsid w:val="0067121C"/>
    <w:rsid w:val="00671979"/>
    <w:rsid w:val="00671AE3"/>
    <w:rsid w:val="00672D2C"/>
    <w:rsid w:val="006731A9"/>
    <w:rsid w:val="0067375C"/>
    <w:rsid w:val="00673779"/>
    <w:rsid w:val="00673BC8"/>
    <w:rsid w:val="00674E67"/>
    <w:rsid w:val="006756F1"/>
    <w:rsid w:val="00680701"/>
    <w:rsid w:val="00682240"/>
    <w:rsid w:val="006835F7"/>
    <w:rsid w:val="00685EA4"/>
    <w:rsid w:val="00685F5B"/>
    <w:rsid w:val="00686301"/>
    <w:rsid w:val="006866B1"/>
    <w:rsid w:val="00686F1B"/>
    <w:rsid w:val="00687775"/>
    <w:rsid w:val="00687FAC"/>
    <w:rsid w:val="00690EF1"/>
    <w:rsid w:val="0069157B"/>
    <w:rsid w:val="00692858"/>
    <w:rsid w:val="006928B5"/>
    <w:rsid w:val="00692FFC"/>
    <w:rsid w:val="00693497"/>
    <w:rsid w:val="00693CBF"/>
    <w:rsid w:val="00694BE3"/>
    <w:rsid w:val="00696348"/>
    <w:rsid w:val="00696E0F"/>
    <w:rsid w:val="00696FA9"/>
    <w:rsid w:val="006973AA"/>
    <w:rsid w:val="006973D0"/>
    <w:rsid w:val="00697794"/>
    <w:rsid w:val="00697FB6"/>
    <w:rsid w:val="006A1CC1"/>
    <w:rsid w:val="006A3136"/>
    <w:rsid w:val="006A3606"/>
    <w:rsid w:val="006A4007"/>
    <w:rsid w:val="006A652F"/>
    <w:rsid w:val="006A6A7F"/>
    <w:rsid w:val="006A7125"/>
    <w:rsid w:val="006A72B2"/>
    <w:rsid w:val="006B150C"/>
    <w:rsid w:val="006B226E"/>
    <w:rsid w:val="006B27DA"/>
    <w:rsid w:val="006B2D53"/>
    <w:rsid w:val="006B3326"/>
    <w:rsid w:val="006B3B7C"/>
    <w:rsid w:val="006B3E91"/>
    <w:rsid w:val="006B4621"/>
    <w:rsid w:val="006B46C5"/>
    <w:rsid w:val="006B50F1"/>
    <w:rsid w:val="006B6069"/>
    <w:rsid w:val="006B60E6"/>
    <w:rsid w:val="006B6637"/>
    <w:rsid w:val="006B7B28"/>
    <w:rsid w:val="006C11AF"/>
    <w:rsid w:val="006C12E3"/>
    <w:rsid w:val="006C1561"/>
    <w:rsid w:val="006C27F6"/>
    <w:rsid w:val="006C357D"/>
    <w:rsid w:val="006C3F3B"/>
    <w:rsid w:val="006C3FEC"/>
    <w:rsid w:val="006C43C9"/>
    <w:rsid w:val="006C4C36"/>
    <w:rsid w:val="006C5D6E"/>
    <w:rsid w:val="006C5ECC"/>
    <w:rsid w:val="006C6300"/>
    <w:rsid w:val="006C680D"/>
    <w:rsid w:val="006C6CF7"/>
    <w:rsid w:val="006C7505"/>
    <w:rsid w:val="006C7A73"/>
    <w:rsid w:val="006C7BDF"/>
    <w:rsid w:val="006D0A08"/>
    <w:rsid w:val="006D1D56"/>
    <w:rsid w:val="006D2468"/>
    <w:rsid w:val="006D33A5"/>
    <w:rsid w:val="006D3A67"/>
    <w:rsid w:val="006D43FC"/>
    <w:rsid w:val="006D453A"/>
    <w:rsid w:val="006D5073"/>
    <w:rsid w:val="006D58DB"/>
    <w:rsid w:val="006D5AFD"/>
    <w:rsid w:val="006D5E59"/>
    <w:rsid w:val="006D63B2"/>
    <w:rsid w:val="006D643A"/>
    <w:rsid w:val="006D6A60"/>
    <w:rsid w:val="006D71D5"/>
    <w:rsid w:val="006E0234"/>
    <w:rsid w:val="006E025C"/>
    <w:rsid w:val="006E028E"/>
    <w:rsid w:val="006E0ACC"/>
    <w:rsid w:val="006E1917"/>
    <w:rsid w:val="006E1FEE"/>
    <w:rsid w:val="006E31A0"/>
    <w:rsid w:val="006E3729"/>
    <w:rsid w:val="006E3B2F"/>
    <w:rsid w:val="006E49F3"/>
    <w:rsid w:val="006E4C95"/>
    <w:rsid w:val="006E53F3"/>
    <w:rsid w:val="006E6365"/>
    <w:rsid w:val="006E6FBE"/>
    <w:rsid w:val="006E7CD5"/>
    <w:rsid w:val="006E7EA9"/>
    <w:rsid w:val="006F00C8"/>
    <w:rsid w:val="006F0B6B"/>
    <w:rsid w:val="006F19D6"/>
    <w:rsid w:val="006F3114"/>
    <w:rsid w:val="006F32B2"/>
    <w:rsid w:val="006F38A3"/>
    <w:rsid w:val="006F3A71"/>
    <w:rsid w:val="006F467E"/>
    <w:rsid w:val="006F4E88"/>
    <w:rsid w:val="006F61CD"/>
    <w:rsid w:val="006F6FA8"/>
    <w:rsid w:val="006F75ED"/>
    <w:rsid w:val="006F7AC1"/>
    <w:rsid w:val="006F7BFB"/>
    <w:rsid w:val="00700064"/>
    <w:rsid w:val="00700379"/>
    <w:rsid w:val="00700A73"/>
    <w:rsid w:val="0070101D"/>
    <w:rsid w:val="00701584"/>
    <w:rsid w:val="00702101"/>
    <w:rsid w:val="007028AC"/>
    <w:rsid w:val="007031FE"/>
    <w:rsid w:val="00703D73"/>
    <w:rsid w:val="00703E62"/>
    <w:rsid w:val="00704160"/>
    <w:rsid w:val="0070504F"/>
    <w:rsid w:val="00705A95"/>
    <w:rsid w:val="00705AF8"/>
    <w:rsid w:val="00705DA7"/>
    <w:rsid w:val="00706921"/>
    <w:rsid w:val="00706C8A"/>
    <w:rsid w:val="0071014D"/>
    <w:rsid w:val="00711192"/>
    <w:rsid w:val="00711888"/>
    <w:rsid w:val="007118F6"/>
    <w:rsid w:val="00711C43"/>
    <w:rsid w:val="00713160"/>
    <w:rsid w:val="0071323B"/>
    <w:rsid w:val="00714BFC"/>
    <w:rsid w:val="007164D2"/>
    <w:rsid w:val="00716B22"/>
    <w:rsid w:val="0071729F"/>
    <w:rsid w:val="007178DA"/>
    <w:rsid w:val="00717CA0"/>
    <w:rsid w:val="00720573"/>
    <w:rsid w:val="00720924"/>
    <w:rsid w:val="007223F2"/>
    <w:rsid w:val="00722C7B"/>
    <w:rsid w:val="00722C7D"/>
    <w:rsid w:val="00723086"/>
    <w:rsid w:val="00723EAC"/>
    <w:rsid w:val="007242E1"/>
    <w:rsid w:val="00724404"/>
    <w:rsid w:val="0072549A"/>
    <w:rsid w:val="00725A12"/>
    <w:rsid w:val="0072697C"/>
    <w:rsid w:val="00726A5E"/>
    <w:rsid w:val="00726FCE"/>
    <w:rsid w:val="007304DE"/>
    <w:rsid w:val="007318DD"/>
    <w:rsid w:val="00732026"/>
    <w:rsid w:val="0073207B"/>
    <w:rsid w:val="0073224D"/>
    <w:rsid w:val="00732E15"/>
    <w:rsid w:val="00732F64"/>
    <w:rsid w:val="00734115"/>
    <w:rsid w:val="00734C8C"/>
    <w:rsid w:val="00734FD6"/>
    <w:rsid w:val="00735583"/>
    <w:rsid w:val="00735D9C"/>
    <w:rsid w:val="007409A1"/>
    <w:rsid w:val="007414DC"/>
    <w:rsid w:val="0074211C"/>
    <w:rsid w:val="007425A5"/>
    <w:rsid w:val="0074265F"/>
    <w:rsid w:val="00742A30"/>
    <w:rsid w:val="00742D06"/>
    <w:rsid w:val="0074599C"/>
    <w:rsid w:val="00745EBE"/>
    <w:rsid w:val="00746FC6"/>
    <w:rsid w:val="007470BE"/>
    <w:rsid w:val="007477C5"/>
    <w:rsid w:val="00747EEE"/>
    <w:rsid w:val="00750404"/>
    <w:rsid w:val="00750F39"/>
    <w:rsid w:val="007525BB"/>
    <w:rsid w:val="00752983"/>
    <w:rsid w:val="00752DDC"/>
    <w:rsid w:val="00754922"/>
    <w:rsid w:val="00754DDF"/>
    <w:rsid w:val="00755830"/>
    <w:rsid w:val="007562A0"/>
    <w:rsid w:val="0075644E"/>
    <w:rsid w:val="00756579"/>
    <w:rsid w:val="00756A85"/>
    <w:rsid w:val="00756CA5"/>
    <w:rsid w:val="007570C0"/>
    <w:rsid w:val="00757F8C"/>
    <w:rsid w:val="007600B0"/>
    <w:rsid w:val="007603BA"/>
    <w:rsid w:val="007608A6"/>
    <w:rsid w:val="00761056"/>
    <w:rsid w:val="00761AAD"/>
    <w:rsid w:val="00761F94"/>
    <w:rsid w:val="0076235E"/>
    <w:rsid w:val="007626B0"/>
    <w:rsid w:val="0076349B"/>
    <w:rsid w:val="00764737"/>
    <w:rsid w:val="0076499B"/>
    <w:rsid w:val="00764AE5"/>
    <w:rsid w:val="00764DF1"/>
    <w:rsid w:val="00765265"/>
    <w:rsid w:val="007655E9"/>
    <w:rsid w:val="00766757"/>
    <w:rsid w:val="0076776F"/>
    <w:rsid w:val="00767A18"/>
    <w:rsid w:val="00770004"/>
    <w:rsid w:val="00771C8F"/>
    <w:rsid w:val="00771E5E"/>
    <w:rsid w:val="007722EB"/>
    <w:rsid w:val="00772C49"/>
    <w:rsid w:val="00772D42"/>
    <w:rsid w:val="00772D54"/>
    <w:rsid w:val="00774D9D"/>
    <w:rsid w:val="0077559D"/>
    <w:rsid w:val="00776080"/>
    <w:rsid w:val="00776B8B"/>
    <w:rsid w:val="00776E5D"/>
    <w:rsid w:val="007770AD"/>
    <w:rsid w:val="0077773C"/>
    <w:rsid w:val="00780963"/>
    <w:rsid w:val="00780F91"/>
    <w:rsid w:val="0078206C"/>
    <w:rsid w:val="00782571"/>
    <w:rsid w:val="00783150"/>
    <w:rsid w:val="007835CC"/>
    <w:rsid w:val="00783D72"/>
    <w:rsid w:val="0078520C"/>
    <w:rsid w:val="007859E2"/>
    <w:rsid w:val="00785A7C"/>
    <w:rsid w:val="00785D4F"/>
    <w:rsid w:val="007869DB"/>
    <w:rsid w:val="007876A6"/>
    <w:rsid w:val="007901DC"/>
    <w:rsid w:val="00791F79"/>
    <w:rsid w:val="0079252B"/>
    <w:rsid w:val="0079275D"/>
    <w:rsid w:val="00792827"/>
    <w:rsid w:val="00793027"/>
    <w:rsid w:val="00793243"/>
    <w:rsid w:val="00793779"/>
    <w:rsid w:val="00793E60"/>
    <w:rsid w:val="00793E69"/>
    <w:rsid w:val="007943EF"/>
    <w:rsid w:val="00794D1A"/>
    <w:rsid w:val="007955A5"/>
    <w:rsid w:val="007966D6"/>
    <w:rsid w:val="00796A50"/>
    <w:rsid w:val="00796DF7"/>
    <w:rsid w:val="00796EC8"/>
    <w:rsid w:val="00797987"/>
    <w:rsid w:val="00797BF0"/>
    <w:rsid w:val="007A08BB"/>
    <w:rsid w:val="007A1029"/>
    <w:rsid w:val="007A1103"/>
    <w:rsid w:val="007A1D5D"/>
    <w:rsid w:val="007A25EE"/>
    <w:rsid w:val="007A3036"/>
    <w:rsid w:val="007A323C"/>
    <w:rsid w:val="007A442C"/>
    <w:rsid w:val="007A5291"/>
    <w:rsid w:val="007A5336"/>
    <w:rsid w:val="007A6682"/>
    <w:rsid w:val="007A6B33"/>
    <w:rsid w:val="007A7497"/>
    <w:rsid w:val="007A766D"/>
    <w:rsid w:val="007B010F"/>
    <w:rsid w:val="007B1A63"/>
    <w:rsid w:val="007B20E0"/>
    <w:rsid w:val="007B2C29"/>
    <w:rsid w:val="007B2D7D"/>
    <w:rsid w:val="007B302A"/>
    <w:rsid w:val="007B4894"/>
    <w:rsid w:val="007B5FEB"/>
    <w:rsid w:val="007B72AC"/>
    <w:rsid w:val="007B75DE"/>
    <w:rsid w:val="007C04BD"/>
    <w:rsid w:val="007C095E"/>
    <w:rsid w:val="007C2D1F"/>
    <w:rsid w:val="007C3413"/>
    <w:rsid w:val="007C35B3"/>
    <w:rsid w:val="007C37AA"/>
    <w:rsid w:val="007C7289"/>
    <w:rsid w:val="007D0AE6"/>
    <w:rsid w:val="007D120F"/>
    <w:rsid w:val="007D14AC"/>
    <w:rsid w:val="007D1A7A"/>
    <w:rsid w:val="007D28A4"/>
    <w:rsid w:val="007D310F"/>
    <w:rsid w:val="007D3D02"/>
    <w:rsid w:val="007D3E67"/>
    <w:rsid w:val="007D4408"/>
    <w:rsid w:val="007D47F4"/>
    <w:rsid w:val="007D5447"/>
    <w:rsid w:val="007D5634"/>
    <w:rsid w:val="007D645D"/>
    <w:rsid w:val="007D6F1E"/>
    <w:rsid w:val="007D7DAF"/>
    <w:rsid w:val="007E0530"/>
    <w:rsid w:val="007E091D"/>
    <w:rsid w:val="007E418E"/>
    <w:rsid w:val="007E4F8B"/>
    <w:rsid w:val="007E5405"/>
    <w:rsid w:val="007E61D7"/>
    <w:rsid w:val="007E66F1"/>
    <w:rsid w:val="007E6E69"/>
    <w:rsid w:val="007E71EB"/>
    <w:rsid w:val="007E75A5"/>
    <w:rsid w:val="007F1458"/>
    <w:rsid w:val="007F1E65"/>
    <w:rsid w:val="007F277F"/>
    <w:rsid w:val="007F289F"/>
    <w:rsid w:val="007F429A"/>
    <w:rsid w:val="007F4AC9"/>
    <w:rsid w:val="007F5270"/>
    <w:rsid w:val="007F5DA3"/>
    <w:rsid w:val="007F5E92"/>
    <w:rsid w:val="007F6A97"/>
    <w:rsid w:val="008006F8"/>
    <w:rsid w:val="008009D7"/>
    <w:rsid w:val="00801551"/>
    <w:rsid w:val="00801A29"/>
    <w:rsid w:val="00802594"/>
    <w:rsid w:val="0080289B"/>
    <w:rsid w:val="00803F9D"/>
    <w:rsid w:val="008057B7"/>
    <w:rsid w:val="00806E2B"/>
    <w:rsid w:val="00807658"/>
    <w:rsid w:val="00807BF4"/>
    <w:rsid w:val="0081011F"/>
    <w:rsid w:val="00810134"/>
    <w:rsid w:val="008105AD"/>
    <w:rsid w:val="00810B70"/>
    <w:rsid w:val="0081251E"/>
    <w:rsid w:val="00812BE1"/>
    <w:rsid w:val="00813367"/>
    <w:rsid w:val="00814215"/>
    <w:rsid w:val="008143B7"/>
    <w:rsid w:val="008149A5"/>
    <w:rsid w:val="00814D6D"/>
    <w:rsid w:val="00814E84"/>
    <w:rsid w:val="00815263"/>
    <w:rsid w:val="008167D3"/>
    <w:rsid w:val="00817CAB"/>
    <w:rsid w:val="008200B6"/>
    <w:rsid w:val="008208FD"/>
    <w:rsid w:val="00820943"/>
    <w:rsid w:val="00820D31"/>
    <w:rsid w:val="00821409"/>
    <w:rsid w:val="0082154F"/>
    <w:rsid w:val="00821750"/>
    <w:rsid w:val="00821C76"/>
    <w:rsid w:val="00822AE8"/>
    <w:rsid w:val="00822ECA"/>
    <w:rsid w:val="00823822"/>
    <w:rsid w:val="00823E24"/>
    <w:rsid w:val="00823EEB"/>
    <w:rsid w:val="0082547F"/>
    <w:rsid w:val="0082567C"/>
    <w:rsid w:val="008259FC"/>
    <w:rsid w:val="00825CE6"/>
    <w:rsid w:val="00825FB6"/>
    <w:rsid w:val="00826400"/>
    <w:rsid w:val="0082780A"/>
    <w:rsid w:val="00830D24"/>
    <w:rsid w:val="0083188C"/>
    <w:rsid w:val="00831BF5"/>
    <w:rsid w:val="00831D50"/>
    <w:rsid w:val="0083209A"/>
    <w:rsid w:val="008324D1"/>
    <w:rsid w:val="008331D7"/>
    <w:rsid w:val="00833613"/>
    <w:rsid w:val="008350E1"/>
    <w:rsid w:val="00837018"/>
    <w:rsid w:val="00837501"/>
    <w:rsid w:val="008402E3"/>
    <w:rsid w:val="008412E4"/>
    <w:rsid w:val="00841E5E"/>
    <w:rsid w:val="0084352E"/>
    <w:rsid w:val="00843767"/>
    <w:rsid w:val="008440DF"/>
    <w:rsid w:val="00844BB5"/>
    <w:rsid w:val="00844BFC"/>
    <w:rsid w:val="00845FF0"/>
    <w:rsid w:val="00846956"/>
    <w:rsid w:val="00846AD1"/>
    <w:rsid w:val="008471CF"/>
    <w:rsid w:val="00847262"/>
    <w:rsid w:val="008472C3"/>
    <w:rsid w:val="00847661"/>
    <w:rsid w:val="00847A97"/>
    <w:rsid w:val="00847E7F"/>
    <w:rsid w:val="00850609"/>
    <w:rsid w:val="00850EBD"/>
    <w:rsid w:val="00851906"/>
    <w:rsid w:val="008520A5"/>
    <w:rsid w:val="00852A1B"/>
    <w:rsid w:val="0085472B"/>
    <w:rsid w:val="008550B5"/>
    <w:rsid w:val="00856835"/>
    <w:rsid w:val="00857B94"/>
    <w:rsid w:val="00861DB0"/>
    <w:rsid w:val="00862998"/>
    <w:rsid w:val="008630A3"/>
    <w:rsid w:val="00863502"/>
    <w:rsid w:val="00863CB6"/>
    <w:rsid w:val="00864D64"/>
    <w:rsid w:val="00865897"/>
    <w:rsid w:val="008669FB"/>
    <w:rsid w:val="00867172"/>
    <w:rsid w:val="0086733C"/>
    <w:rsid w:val="0087011E"/>
    <w:rsid w:val="0087043F"/>
    <w:rsid w:val="00870863"/>
    <w:rsid w:val="00872AC3"/>
    <w:rsid w:val="00873082"/>
    <w:rsid w:val="008739A4"/>
    <w:rsid w:val="00874F08"/>
    <w:rsid w:val="00875DDD"/>
    <w:rsid w:val="00876130"/>
    <w:rsid w:val="008764DB"/>
    <w:rsid w:val="00876E45"/>
    <w:rsid w:val="00876F17"/>
    <w:rsid w:val="00880A37"/>
    <w:rsid w:val="00881776"/>
    <w:rsid w:val="00881777"/>
    <w:rsid w:val="00882190"/>
    <w:rsid w:val="00883556"/>
    <w:rsid w:val="00884674"/>
    <w:rsid w:val="0088667E"/>
    <w:rsid w:val="00886A35"/>
    <w:rsid w:val="00886B20"/>
    <w:rsid w:val="008874E6"/>
    <w:rsid w:val="008910C3"/>
    <w:rsid w:val="00891C71"/>
    <w:rsid w:val="00891E06"/>
    <w:rsid w:val="00892A3E"/>
    <w:rsid w:val="00893447"/>
    <w:rsid w:val="0089351C"/>
    <w:rsid w:val="00894286"/>
    <w:rsid w:val="00894FC6"/>
    <w:rsid w:val="0089737E"/>
    <w:rsid w:val="008A03D7"/>
    <w:rsid w:val="008A1158"/>
    <w:rsid w:val="008A1CBD"/>
    <w:rsid w:val="008A2362"/>
    <w:rsid w:val="008A2900"/>
    <w:rsid w:val="008A4D91"/>
    <w:rsid w:val="008A5293"/>
    <w:rsid w:val="008A5CB3"/>
    <w:rsid w:val="008A5CB6"/>
    <w:rsid w:val="008A7402"/>
    <w:rsid w:val="008A7907"/>
    <w:rsid w:val="008B0B85"/>
    <w:rsid w:val="008B0C81"/>
    <w:rsid w:val="008B0E25"/>
    <w:rsid w:val="008B10A6"/>
    <w:rsid w:val="008B1591"/>
    <w:rsid w:val="008B2558"/>
    <w:rsid w:val="008B2A6C"/>
    <w:rsid w:val="008B2B78"/>
    <w:rsid w:val="008B2C9A"/>
    <w:rsid w:val="008B2DF8"/>
    <w:rsid w:val="008B3389"/>
    <w:rsid w:val="008B3F2D"/>
    <w:rsid w:val="008B44A6"/>
    <w:rsid w:val="008B5AA4"/>
    <w:rsid w:val="008B624D"/>
    <w:rsid w:val="008B770C"/>
    <w:rsid w:val="008B7C91"/>
    <w:rsid w:val="008B7F2D"/>
    <w:rsid w:val="008C0555"/>
    <w:rsid w:val="008C09FB"/>
    <w:rsid w:val="008C11A5"/>
    <w:rsid w:val="008C36F9"/>
    <w:rsid w:val="008C5138"/>
    <w:rsid w:val="008C538A"/>
    <w:rsid w:val="008C68B5"/>
    <w:rsid w:val="008D185D"/>
    <w:rsid w:val="008D1D45"/>
    <w:rsid w:val="008D2185"/>
    <w:rsid w:val="008D36BC"/>
    <w:rsid w:val="008D3ECF"/>
    <w:rsid w:val="008D4092"/>
    <w:rsid w:val="008D4255"/>
    <w:rsid w:val="008D42BD"/>
    <w:rsid w:val="008D4F33"/>
    <w:rsid w:val="008D4FFF"/>
    <w:rsid w:val="008D556D"/>
    <w:rsid w:val="008D5BFC"/>
    <w:rsid w:val="008D5CC4"/>
    <w:rsid w:val="008E01A1"/>
    <w:rsid w:val="008E0CE7"/>
    <w:rsid w:val="008E12C0"/>
    <w:rsid w:val="008E13AF"/>
    <w:rsid w:val="008E1B24"/>
    <w:rsid w:val="008E1D2B"/>
    <w:rsid w:val="008E2466"/>
    <w:rsid w:val="008E26B8"/>
    <w:rsid w:val="008E34D4"/>
    <w:rsid w:val="008E3769"/>
    <w:rsid w:val="008E3BF9"/>
    <w:rsid w:val="008E48F8"/>
    <w:rsid w:val="008E49A5"/>
    <w:rsid w:val="008E58B9"/>
    <w:rsid w:val="008E655E"/>
    <w:rsid w:val="008E7414"/>
    <w:rsid w:val="008E77A5"/>
    <w:rsid w:val="008F0227"/>
    <w:rsid w:val="008F082E"/>
    <w:rsid w:val="008F0A72"/>
    <w:rsid w:val="008F0A84"/>
    <w:rsid w:val="008F0D91"/>
    <w:rsid w:val="008F1723"/>
    <w:rsid w:val="008F18CD"/>
    <w:rsid w:val="008F1C33"/>
    <w:rsid w:val="008F2F18"/>
    <w:rsid w:val="008F4769"/>
    <w:rsid w:val="008F5A50"/>
    <w:rsid w:val="008F5F4C"/>
    <w:rsid w:val="008F623A"/>
    <w:rsid w:val="008F6C96"/>
    <w:rsid w:val="008F71AC"/>
    <w:rsid w:val="008F7BC1"/>
    <w:rsid w:val="008F7F7A"/>
    <w:rsid w:val="00900E22"/>
    <w:rsid w:val="00901157"/>
    <w:rsid w:val="009015C8"/>
    <w:rsid w:val="0090176D"/>
    <w:rsid w:val="00902BE6"/>
    <w:rsid w:val="00902C71"/>
    <w:rsid w:val="009037B6"/>
    <w:rsid w:val="0090380B"/>
    <w:rsid w:val="009038CB"/>
    <w:rsid w:val="00904083"/>
    <w:rsid w:val="0090471C"/>
    <w:rsid w:val="00904C43"/>
    <w:rsid w:val="00904D26"/>
    <w:rsid w:val="00904E69"/>
    <w:rsid w:val="009054D2"/>
    <w:rsid w:val="009067DD"/>
    <w:rsid w:val="00906A80"/>
    <w:rsid w:val="00906B37"/>
    <w:rsid w:val="00906B81"/>
    <w:rsid w:val="0091045F"/>
    <w:rsid w:val="009110B2"/>
    <w:rsid w:val="009110F1"/>
    <w:rsid w:val="00912CA5"/>
    <w:rsid w:val="00912DA4"/>
    <w:rsid w:val="00914CE8"/>
    <w:rsid w:val="00915196"/>
    <w:rsid w:val="009169F0"/>
    <w:rsid w:val="00920DA8"/>
    <w:rsid w:val="00920E24"/>
    <w:rsid w:val="00920F20"/>
    <w:rsid w:val="009216A3"/>
    <w:rsid w:val="00921A96"/>
    <w:rsid w:val="00922467"/>
    <w:rsid w:val="009232E1"/>
    <w:rsid w:val="00923591"/>
    <w:rsid w:val="009258EA"/>
    <w:rsid w:val="00925EFA"/>
    <w:rsid w:val="00926369"/>
    <w:rsid w:val="00926583"/>
    <w:rsid w:val="00926CEA"/>
    <w:rsid w:val="009270EE"/>
    <w:rsid w:val="009275F3"/>
    <w:rsid w:val="0093039B"/>
    <w:rsid w:val="009304D5"/>
    <w:rsid w:val="009309F5"/>
    <w:rsid w:val="00931502"/>
    <w:rsid w:val="00932CD6"/>
    <w:rsid w:val="0093426B"/>
    <w:rsid w:val="009360E5"/>
    <w:rsid w:val="009363DE"/>
    <w:rsid w:val="0093784D"/>
    <w:rsid w:val="009414B0"/>
    <w:rsid w:val="00941995"/>
    <w:rsid w:val="00942305"/>
    <w:rsid w:val="00942A7E"/>
    <w:rsid w:val="00942F1E"/>
    <w:rsid w:val="009431CD"/>
    <w:rsid w:val="0094345D"/>
    <w:rsid w:val="009439D1"/>
    <w:rsid w:val="009441D4"/>
    <w:rsid w:val="0094455A"/>
    <w:rsid w:val="00945129"/>
    <w:rsid w:val="009464ED"/>
    <w:rsid w:val="00946502"/>
    <w:rsid w:val="009470D3"/>
    <w:rsid w:val="00947832"/>
    <w:rsid w:val="00950BDB"/>
    <w:rsid w:val="0095101A"/>
    <w:rsid w:val="0095283D"/>
    <w:rsid w:val="009529AB"/>
    <w:rsid w:val="00953A7C"/>
    <w:rsid w:val="00954C14"/>
    <w:rsid w:val="00955183"/>
    <w:rsid w:val="00956554"/>
    <w:rsid w:val="009567A9"/>
    <w:rsid w:val="0095705F"/>
    <w:rsid w:val="00960A59"/>
    <w:rsid w:val="00960ECE"/>
    <w:rsid w:val="0096100E"/>
    <w:rsid w:val="009610FF"/>
    <w:rsid w:val="00961DE7"/>
    <w:rsid w:val="009634AB"/>
    <w:rsid w:val="009648DD"/>
    <w:rsid w:val="00964A7C"/>
    <w:rsid w:val="00965136"/>
    <w:rsid w:val="009657C6"/>
    <w:rsid w:val="00965AFF"/>
    <w:rsid w:val="00965C9E"/>
    <w:rsid w:val="00966AA5"/>
    <w:rsid w:val="00966B0E"/>
    <w:rsid w:val="0096708B"/>
    <w:rsid w:val="009721CC"/>
    <w:rsid w:val="009722E2"/>
    <w:rsid w:val="009726A7"/>
    <w:rsid w:val="00972E84"/>
    <w:rsid w:val="00973948"/>
    <w:rsid w:val="00974DFB"/>
    <w:rsid w:val="00975525"/>
    <w:rsid w:val="0097586A"/>
    <w:rsid w:val="00975B8A"/>
    <w:rsid w:val="00976362"/>
    <w:rsid w:val="00976A87"/>
    <w:rsid w:val="009804C9"/>
    <w:rsid w:val="0098182B"/>
    <w:rsid w:val="009819E1"/>
    <w:rsid w:val="00981E37"/>
    <w:rsid w:val="00981E9D"/>
    <w:rsid w:val="009830BF"/>
    <w:rsid w:val="00983DF5"/>
    <w:rsid w:val="009847DD"/>
    <w:rsid w:val="00984DB1"/>
    <w:rsid w:val="00985473"/>
    <w:rsid w:val="00985500"/>
    <w:rsid w:val="00985C30"/>
    <w:rsid w:val="00985EDF"/>
    <w:rsid w:val="00986B40"/>
    <w:rsid w:val="00986F0B"/>
    <w:rsid w:val="00986F49"/>
    <w:rsid w:val="009878B7"/>
    <w:rsid w:val="009879EA"/>
    <w:rsid w:val="00990A9C"/>
    <w:rsid w:val="00990B11"/>
    <w:rsid w:val="00991087"/>
    <w:rsid w:val="009913BC"/>
    <w:rsid w:val="009916E1"/>
    <w:rsid w:val="00991B3D"/>
    <w:rsid w:val="00992324"/>
    <w:rsid w:val="00992DA9"/>
    <w:rsid w:val="00992F5F"/>
    <w:rsid w:val="00993AF0"/>
    <w:rsid w:val="00994235"/>
    <w:rsid w:val="0099469C"/>
    <w:rsid w:val="00994752"/>
    <w:rsid w:val="00996274"/>
    <w:rsid w:val="009966CA"/>
    <w:rsid w:val="00996F10"/>
    <w:rsid w:val="00997485"/>
    <w:rsid w:val="009A047D"/>
    <w:rsid w:val="009A1402"/>
    <w:rsid w:val="009A1CB4"/>
    <w:rsid w:val="009A1EDA"/>
    <w:rsid w:val="009A1F85"/>
    <w:rsid w:val="009A3916"/>
    <w:rsid w:val="009A3C2D"/>
    <w:rsid w:val="009A473A"/>
    <w:rsid w:val="009A5D4A"/>
    <w:rsid w:val="009A5DDF"/>
    <w:rsid w:val="009A5FE3"/>
    <w:rsid w:val="009A6AFA"/>
    <w:rsid w:val="009B0CF0"/>
    <w:rsid w:val="009B1571"/>
    <w:rsid w:val="009B17BC"/>
    <w:rsid w:val="009B17D0"/>
    <w:rsid w:val="009B1B5E"/>
    <w:rsid w:val="009B248A"/>
    <w:rsid w:val="009B2F68"/>
    <w:rsid w:val="009B315B"/>
    <w:rsid w:val="009B460D"/>
    <w:rsid w:val="009B4AD2"/>
    <w:rsid w:val="009B5044"/>
    <w:rsid w:val="009B6338"/>
    <w:rsid w:val="009B6739"/>
    <w:rsid w:val="009C0051"/>
    <w:rsid w:val="009C0F0C"/>
    <w:rsid w:val="009C134F"/>
    <w:rsid w:val="009C1F73"/>
    <w:rsid w:val="009C3718"/>
    <w:rsid w:val="009C4682"/>
    <w:rsid w:val="009C50B8"/>
    <w:rsid w:val="009C5421"/>
    <w:rsid w:val="009C58C9"/>
    <w:rsid w:val="009C5AFF"/>
    <w:rsid w:val="009C6297"/>
    <w:rsid w:val="009C6B94"/>
    <w:rsid w:val="009C7525"/>
    <w:rsid w:val="009C79BF"/>
    <w:rsid w:val="009D05EA"/>
    <w:rsid w:val="009D0C20"/>
    <w:rsid w:val="009D12A1"/>
    <w:rsid w:val="009D1B0C"/>
    <w:rsid w:val="009D25BE"/>
    <w:rsid w:val="009D27D1"/>
    <w:rsid w:val="009D30DC"/>
    <w:rsid w:val="009D31A4"/>
    <w:rsid w:val="009D3CF6"/>
    <w:rsid w:val="009D4400"/>
    <w:rsid w:val="009D52B2"/>
    <w:rsid w:val="009D57ED"/>
    <w:rsid w:val="009D5B63"/>
    <w:rsid w:val="009D6232"/>
    <w:rsid w:val="009D6F63"/>
    <w:rsid w:val="009D7219"/>
    <w:rsid w:val="009E1E90"/>
    <w:rsid w:val="009E223A"/>
    <w:rsid w:val="009E2327"/>
    <w:rsid w:val="009E394C"/>
    <w:rsid w:val="009E4663"/>
    <w:rsid w:val="009E486A"/>
    <w:rsid w:val="009E57DE"/>
    <w:rsid w:val="009E5B50"/>
    <w:rsid w:val="009E790F"/>
    <w:rsid w:val="009F0698"/>
    <w:rsid w:val="009F0AD9"/>
    <w:rsid w:val="009F0D26"/>
    <w:rsid w:val="009F1F48"/>
    <w:rsid w:val="009F29FC"/>
    <w:rsid w:val="009F2E9E"/>
    <w:rsid w:val="009F39A4"/>
    <w:rsid w:val="009F433F"/>
    <w:rsid w:val="009F48E0"/>
    <w:rsid w:val="009F4F30"/>
    <w:rsid w:val="009F59E8"/>
    <w:rsid w:val="009F6313"/>
    <w:rsid w:val="009F6E8F"/>
    <w:rsid w:val="009F70C1"/>
    <w:rsid w:val="00A00191"/>
    <w:rsid w:val="00A001B5"/>
    <w:rsid w:val="00A0046C"/>
    <w:rsid w:val="00A0257D"/>
    <w:rsid w:val="00A0287C"/>
    <w:rsid w:val="00A03298"/>
    <w:rsid w:val="00A0396B"/>
    <w:rsid w:val="00A03BB5"/>
    <w:rsid w:val="00A04D7E"/>
    <w:rsid w:val="00A05161"/>
    <w:rsid w:val="00A05E8F"/>
    <w:rsid w:val="00A06515"/>
    <w:rsid w:val="00A06F1B"/>
    <w:rsid w:val="00A07047"/>
    <w:rsid w:val="00A10981"/>
    <w:rsid w:val="00A10EAD"/>
    <w:rsid w:val="00A1114B"/>
    <w:rsid w:val="00A11332"/>
    <w:rsid w:val="00A114CB"/>
    <w:rsid w:val="00A11735"/>
    <w:rsid w:val="00A12937"/>
    <w:rsid w:val="00A12B44"/>
    <w:rsid w:val="00A13163"/>
    <w:rsid w:val="00A1342D"/>
    <w:rsid w:val="00A13A97"/>
    <w:rsid w:val="00A1488A"/>
    <w:rsid w:val="00A15C08"/>
    <w:rsid w:val="00A1601B"/>
    <w:rsid w:val="00A1695E"/>
    <w:rsid w:val="00A16A8B"/>
    <w:rsid w:val="00A17388"/>
    <w:rsid w:val="00A22F02"/>
    <w:rsid w:val="00A23775"/>
    <w:rsid w:val="00A26D0E"/>
    <w:rsid w:val="00A271E2"/>
    <w:rsid w:val="00A277CB"/>
    <w:rsid w:val="00A30C48"/>
    <w:rsid w:val="00A31905"/>
    <w:rsid w:val="00A31C88"/>
    <w:rsid w:val="00A326B4"/>
    <w:rsid w:val="00A35838"/>
    <w:rsid w:val="00A359E1"/>
    <w:rsid w:val="00A35CBA"/>
    <w:rsid w:val="00A42129"/>
    <w:rsid w:val="00A4356B"/>
    <w:rsid w:val="00A43C1A"/>
    <w:rsid w:val="00A4454E"/>
    <w:rsid w:val="00A44997"/>
    <w:rsid w:val="00A44EEA"/>
    <w:rsid w:val="00A45E39"/>
    <w:rsid w:val="00A46363"/>
    <w:rsid w:val="00A46704"/>
    <w:rsid w:val="00A46A2D"/>
    <w:rsid w:val="00A46CFE"/>
    <w:rsid w:val="00A471E7"/>
    <w:rsid w:val="00A47504"/>
    <w:rsid w:val="00A506A8"/>
    <w:rsid w:val="00A50B62"/>
    <w:rsid w:val="00A50C03"/>
    <w:rsid w:val="00A50EA7"/>
    <w:rsid w:val="00A51921"/>
    <w:rsid w:val="00A5230C"/>
    <w:rsid w:val="00A5284B"/>
    <w:rsid w:val="00A53A82"/>
    <w:rsid w:val="00A53D6C"/>
    <w:rsid w:val="00A554A5"/>
    <w:rsid w:val="00A55507"/>
    <w:rsid w:val="00A55A51"/>
    <w:rsid w:val="00A57096"/>
    <w:rsid w:val="00A57EE8"/>
    <w:rsid w:val="00A60243"/>
    <w:rsid w:val="00A60911"/>
    <w:rsid w:val="00A60F6C"/>
    <w:rsid w:val="00A613FA"/>
    <w:rsid w:val="00A63803"/>
    <w:rsid w:val="00A64394"/>
    <w:rsid w:val="00A64973"/>
    <w:rsid w:val="00A6526B"/>
    <w:rsid w:val="00A653C9"/>
    <w:rsid w:val="00A672EB"/>
    <w:rsid w:val="00A70AE9"/>
    <w:rsid w:val="00A71C59"/>
    <w:rsid w:val="00A72469"/>
    <w:rsid w:val="00A73666"/>
    <w:rsid w:val="00A74872"/>
    <w:rsid w:val="00A74A70"/>
    <w:rsid w:val="00A75347"/>
    <w:rsid w:val="00A75654"/>
    <w:rsid w:val="00A7629F"/>
    <w:rsid w:val="00A7647A"/>
    <w:rsid w:val="00A77566"/>
    <w:rsid w:val="00A77714"/>
    <w:rsid w:val="00A80222"/>
    <w:rsid w:val="00A80946"/>
    <w:rsid w:val="00A80EFC"/>
    <w:rsid w:val="00A8289B"/>
    <w:rsid w:val="00A83BD5"/>
    <w:rsid w:val="00A83E4F"/>
    <w:rsid w:val="00A84C26"/>
    <w:rsid w:val="00A84F53"/>
    <w:rsid w:val="00A85D08"/>
    <w:rsid w:val="00A87422"/>
    <w:rsid w:val="00A90C6D"/>
    <w:rsid w:val="00A91117"/>
    <w:rsid w:val="00A920B3"/>
    <w:rsid w:val="00A92270"/>
    <w:rsid w:val="00A92E1B"/>
    <w:rsid w:val="00A938B4"/>
    <w:rsid w:val="00A95820"/>
    <w:rsid w:val="00A96086"/>
    <w:rsid w:val="00A972FF"/>
    <w:rsid w:val="00A97D72"/>
    <w:rsid w:val="00AA01EF"/>
    <w:rsid w:val="00AA1897"/>
    <w:rsid w:val="00AA1E7A"/>
    <w:rsid w:val="00AA2DB1"/>
    <w:rsid w:val="00AA2F30"/>
    <w:rsid w:val="00AA479C"/>
    <w:rsid w:val="00AA6066"/>
    <w:rsid w:val="00AA6F19"/>
    <w:rsid w:val="00AA6FC1"/>
    <w:rsid w:val="00AA767E"/>
    <w:rsid w:val="00AA7773"/>
    <w:rsid w:val="00AA7B04"/>
    <w:rsid w:val="00AB02A0"/>
    <w:rsid w:val="00AB074D"/>
    <w:rsid w:val="00AB0E80"/>
    <w:rsid w:val="00AB157A"/>
    <w:rsid w:val="00AB209D"/>
    <w:rsid w:val="00AB22F2"/>
    <w:rsid w:val="00AB2F4B"/>
    <w:rsid w:val="00AB45FF"/>
    <w:rsid w:val="00AB4F22"/>
    <w:rsid w:val="00AB5345"/>
    <w:rsid w:val="00AB5BD6"/>
    <w:rsid w:val="00AC0153"/>
    <w:rsid w:val="00AC017B"/>
    <w:rsid w:val="00AC0E27"/>
    <w:rsid w:val="00AC15DA"/>
    <w:rsid w:val="00AC1EA2"/>
    <w:rsid w:val="00AC28BB"/>
    <w:rsid w:val="00AC36CB"/>
    <w:rsid w:val="00AC3B85"/>
    <w:rsid w:val="00AC4B19"/>
    <w:rsid w:val="00AC6318"/>
    <w:rsid w:val="00AC6BF8"/>
    <w:rsid w:val="00AC6F91"/>
    <w:rsid w:val="00AD0139"/>
    <w:rsid w:val="00AD0B93"/>
    <w:rsid w:val="00AD198E"/>
    <w:rsid w:val="00AD290F"/>
    <w:rsid w:val="00AD32E2"/>
    <w:rsid w:val="00AD35E8"/>
    <w:rsid w:val="00AD3DA5"/>
    <w:rsid w:val="00AD40B5"/>
    <w:rsid w:val="00AD47CF"/>
    <w:rsid w:val="00AD57AD"/>
    <w:rsid w:val="00AD5930"/>
    <w:rsid w:val="00AD6AE0"/>
    <w:rsid w:val="00AD74CA"/>
    <w:rsid w:val="00AD7CA9"/>
    <w:rsid w:val="00AE0590"/>
    <w:rsid w:val="00AE0F91"/>
    <w:rsid w:val="00AE1198"/>
    <w:rsid w:val="00AE1899"/>
    <w:rsid w:val="00AE1956"/>
    <w:rsid w:val="00AE2200"/>
    <w:rsid w:val="00AE299E"/>
    <w:rsid w:val="00AE2AC7"/>
    <w:rsid w:val="00AE3592"/>
    <w:rsid w:val="00AE35CA"/>
    <w:rsid w:val="00AE4125"/>
    <w:rsid w:val="00AE4257"/>
    <w:rsid w:val="00AE499C"/>
    <w:rsid w:val="00AE5079"/>
    <w:rsid w:val="00AE5F0C"/>
    <w:rsid w:val="00AE6BA0"/>
    <w:rsid w:val="00AE6F2A"/>
    <w:rsid w:val="00AE731F"/>
    <w:rsid w:val="00AE776C"/>
    <w:rsid w:val="00AF0385"/>
    <w:rsid w:val="00AF03A2"/>
    <w:rsid w:val="00AF04DD"/>
    <w:rsid w:val="00AF0635"/>
    <w:rsid w:val="00AF16EF"/>
    <w:rsid w:val="00AF327F"/>
    <w:rsid w:val="00AF3347"/>
    <w:rsid w:val="00AF35BF"/>
    <w:rsid w:val="00AF3676"/>
    <w:rsid w:val="00AF3EDD"/>
    <w:rsid w:val="00AF4B54"/>
    <w:rsid w:val="00AF58C9"/>
    <w:rsid w:val="00AF5B99"/>
    <w:rsid w:val="00AF5D92"/>
    <w:rsid w:val="00AF5FA7"/>
    <w:rsid w:val="00AF6220"/>
    <w:rsid w:val="00AF62BC"/>
    <w:rsid w:val="00AF669C"/>
    <w:rsid w:val="00AF6F95"/>
    <w:rsid w:val="00AF78F5"/>
    <w:rsid w:val="00AF7C65"/>
    <w:rsid w:val="00AF7D14"/>
    <w:rsid w:val="00B00694"/>
    <w:rsid w:val="00B00DC9"/>
    <w:rsid w:val="00B01C86"/>
    <w:rsid w:val="00B02158"/>
    <w:rsid w:val="00B02738"/>
    <w:rsid w:val="00B03E25"/>
    <w:rsid w:val="00B044F7"/>
    <w:rsid w:val="00B04D87"/>
    <w:rsid w:val="00B053F6"/>
    <w:rsid w:val="00B054D8"/>
    <w:rsid w:val="00B05E07"/>
    <w:rsid w:val="00B07A53"/>
    <w:rsid w:val="00B07E5D"/>
    <w:rsid w:val="00B1054C"/>
    <w:rsid w:val="00B10FA5"/>
    <w:rsid w:val="00B1111B"/>
    <w:rsid w:val="00B11999"/>
    <w:rsid w:val="00B11DF1"/>
    <w:rsid w:val="00B12BE9"/>
    <w:rsid w:val="00B12CCD"/>
    <w:rsid w:val="00B13C20"/>
    <w:rsid w:val="00B14531"/>
    <w:rsid w:val="00B148A2"/>
    <w:rsid w:val="00B14EC9"/>
    <w:rsid w:val="00B15203"/>
    <w:rsid w:val="00B15963"/>
    <w:rsid w:val="00B173F3"/>
    <w:rsid w:val="00B176E5"/>
    <w:rsid w:val="00B179A4"/>
    <w:rsid w:val="00B17F7F"/>
    <w:rsid w:val="00B17FB6"/>
    <w:rsid w:val="00B2084C"/>
    <w:rsid w:val="00B20CA9"/>
    <w:rsid w:val="00B2177C"/>
    <w:rsid w:val="00B22193"/>
    <w:rsid w:val="00B22448"/>
    <w:rsid w:val="00B22CCA"/>
    <w:rsid w:val="00B22EC9"/>
    <w:rsid w:val="00B236B1"/>
    <w:rsid w:val="00B23FC6"/>
    <w:rsid w:val="00B24E4B"/>
    <w:rsid w:val="00B26266"/>
    <w:rsid w:val="00B279F3"/>
    <w:rsid w:val="00B30308"/>
    <w:rsid w:val="00B309D8"/>
    <w:rsid w:val="00B310D7"/>
    <w:rsid w:val="00B31348"/>
    <w:rsid w:val="00B31614"/>
    <w:rsid w:val="00B31724"/>
    <w:rsid w:val="00B3238F"/>
    <w:rsid w:val="00B33377"/>
    <w:rsid w:val="00B3351F"/>
    <w:rsid w:val="00B35FF8"/>
    <w:rsid w:val="00B36A17"/>
    <w:rsid w:val="00B3777E"/>
    <w:rsid w:val="00B37ECE"/>
    <w:rsid w:val="00B37FC7"/>
    <w:rsid w:val="00B37FC8"/>
    <w:rsid w:val="00B40A8A"/>
    <w:rsid w:val="00B40D9B"/>
    <w:rsid w:val="00B40FF0"/>
    <w:rsid w:val="00B4261F"/>
    <w:rsid w:val="00B426CB"/>
    <w:rsid w:val="00B42729"/>
    <w:rsid w:val="00B42885"/>
    <w:rsid w:val="00B4355B"/>
    <w:rsid w:val="00B438BD"/>
    <w:rsid w:val="00B43D16"/>
    <w:rsid w:val="00B44092"/>
    <w:rsid w:val="00B44C1A"/>
    <w:rsid w:val="00B45547"/>
    <w:rsid w:val="00B45563"/>
    <w:rsid w:val="00B45BB6"/>
    <w:rsid w:val="00B45C2C"/>
    <w:rsid w:val="00B46AEF"/>
    <w:rsid w:val="00B476FE"/>
    <w:rsid w:val="00B5053B"/>
    <w:rsid w:val="00B50652"/>
    <w:rsid w:val="00B515CC"/>
    <w:rsid w:val="00B51F1B"/>
    <w:rsid w:val="00B52A61"/>
    <w:rsid w:val="00B53BCA"/>
    <w:rsid w:val="00B53C30"/>
    <w:rsid w:val="00B54656"/>
    <w:rsid w:val="00B56018"/>
    <w:rsid w:val="00B57D62"/>
    <w:rsid w:val="00B57E0F"/>
    <w:rsid w:val="00B6018A"/>
    <w:rsid w:val="00B602F5"/>
    <w:rsid w:val="00B61335"/>
    <w:rsid w:val="00B618FD"/>
    <w:rsid w:val="00B62513"/>
    <w:rsid w:val="00B628D6"/>
    <w:rsid w:val="00B63790"/>
    <w:rsid w:val="00B64AD3"/>
    <w:rsid w:val="00B65355"/>
    <w:rsid w:val="00B65966"/>
    <w:rsid w:val="00B67188"/>
    <w:rsid w:val="00B67BC2"/>
    <w:rsid w:val="00B67D70"/>
    <w:rsid w:val="00B7077D"/>
    <w:rsid w:val="00B7143D"/>
    <w:rsid w:val="00B71FC3"/>
    <w:rsid w:val="00B72E98"/>
    <w:rsid w:val="00B74DAD"/>
    <w:rsid w:val="00B756B5"/>
    <w:rsid w:val="00B75F34"/>
    <w:rsid w:val="00B761B2"/>
    <w:rsid w:val="00B76A2F"/>
    <w:rsid w:val="00B8019D"/>
    <w:rsid w:val="00B81175"/>
    <w:rsid w:val="00B812DC"/>
    <w:rsid w:val="00B82271"/>
    <w:rsid w:val="00B82A9B"/>
    <w:rsid w:val="00B8363A"/>
    <w:rsid w:val="00B83C9A"/>
    <w:rsid w:val="00B845CC"/>
    <w:rsid w:val="00B85E76"/>
    <w:rsid w:val="00B91616"/>
    <w:rsid w:val="00B918DF"/>
    <w:rsid w:val="00B91F3D"/>
    <w:rsid w:val="00B92651"/>
    <w:rsid w:val="00B930F9"/>
    <w:rsid w:val="00B93558"/>
    <w:rsid w:val="00B93817"/>
    <w:rsid w:val="00B93B04"/>
    <w:rsid w:val="00B93DBC"/>
    <w:rsid w:val="00B9425B"/>
    <w:rsid w:val="00B94674"/>
    <w:rsid w:val="00B947D2"/>
    <w:rsid w:val="00B94BAC"/>
    <w:rsid w:val="00B950EC"/>
    <w:rsid w:val="00B967F2"/>
    <w:rsid w:val="00B97A84"/>
    <w:rsid w:val="00BA0164"/>
    <w:rsid w:val="00BA0206"/>
    <w:rsid w:val="00BA0A5C"/>
    <w:rsid w:val="00BA0A65"/>
    <w:rsid w:val="00BA1E49"/>
    <w:rsid w:val="00BA1F45"/>
    <w:rsid w:val="00BA2127"/>
    <w:rsid w:val="00BA2853"/>
    <w:rsid w:val="00BA397A"/>
    <w:rsid w:val="00BA3C33"/>
    <w:rsid w:val="00BA457A"/>
    <w:rsid w:val="00BA5BBD"/>
    <w:rsid w:val="00BA66F6"/>
    <w:rsid w:val="00BA6BB6"/>
    <w:rsid w:val="00BA6D14"/>
    <w:rsid w:val="00BA7939"/>
    <w:rsid w:val="00BB03A4"/>
    <w:rsid w:val="00BB0E8E"/>
    <w:rsid w:val="00BB1D04"/>
    <w:rsid w:val="00BB1EF4"/>
    <w:rsid w:val="00BB331B"/>
    <w:rsid w:val="00BB54B2"/>
    <w:rsid w:val="00BB5FF7"/>
    <w:rsid w:val="00BB6400"/>
    <w:rsid w:val="00BB6ABB"/>
    <w:rsid w:val="00BB781C"/>
    <w:rsid w:val="00BB7CC0"/>
    <w:rsid w:val="00BC0071"/>
    <w:rsid w:val="00BC0251"/>
    <w:rsid w:val="00BC135F"/>
    <w:rsid w:val="00BC1C30"/>
    <w:rsid w:val="00BC1C3B"/>
    <w:rsid w:val="00BC1D01"/>
    <w:rsid w:val="00BC2364"/>
    <w:rsid w:val="00BC2DB2"/>
    <w:rsid w:val="00BC2EB4"/>
    <w:rsid w:val="00BC33F1"/>
    <w:rsid w:val="00BC3DCD"/>
    <w:rsid w:val="00BC4A23"/>
    <w:rsid w:val="00BC4C1E"/>
    <w:rsid w:val="00BC4CA2"/>
    <w:rsid w:val="00BC4CAA"/>
    <w:rsid w:val="00BC58A7"/>
    <w:rsid w:val="00BC6193"/>
    <w:rsid w:val="00BC6E82"/>
    <w:rsid w:val="00BC75CF"/>
    <w:rsid w:val="00BD0566"/>
    <w:rsid w:val="00BD08B6"/>
    <w:rsid w:val="00BD21FB"/>
    <w:rsid w:val="00BD3549"/>
    <w:rsid w:val="00BD38B2"/>
    <w:rsid w:val="00BD42CC"/>
    <w:rsid w:val="00BD4398"/>
    <w:rsid w:val="00BD4520"/>
    <w:rsid w:val="00BD45DE"/>
    <w:rsid w:val="00BD584D"/>
    <w:rsid w:val="00BD6274"/>
    <w:rsid w:val="00BD7372"/>
    <w:rsid w:val="00BD75C9"/>
    <w:rsid w:val="00BE1985"/>
    <w:rsid w:val="00BE1A4C"/>
    <w:rsid w:val="00BE1CAD"/>
    <w:rsid w:val="00BE2167"/>
    <w:rsid w:val="00BE2936"/>
    <w:rsid w:val="00BE2E30"/>
    <w:rsid w:val="00BE2E7D"/>
    <w:rsid w:val="00BE347C"/>
    <w:rsid w:val="00BE4B1A"/>
    <w:rsid w:val="00BE4D2E"/>
    <w:rsid w:val="00BE50E5"/>
    <w:rsid w:val="00BE5F2F"/>
    <w:rsid w:val="00BE671A"/>
    <w:rsid w:val="00BE6F7A"/>
    <w:rsid w:val="00BE7714"/>
    <w:rsid w:val="00BF0E52"/>
    <w:rsid w:val="00BF1AC8"/>
    <w:rsid w:val="00BF30D4"/>
    <w:rsid w:val="00BF40A0"/>
    <w:rsid w:val="00BF57F5"/>
    <w:rsid w:val="00BF6832"/>
    <w:rsid w:val="00BF6D41"/>
    <w:rsid w:val="00BF6F27"/>
    <w:rsid w:val="00BF7342"/>
    <w:rsid w:val="00C001D5"/>
    <w:rsid w:val="00C01131"/>
    <w:rsid w:val="00C0147C"/>
    <w:rsid w:val="00C01FA8"/>
    <w:rsid w:val="00C0227C"/>
    <w:rsid w:val="00C040A9"/>
    <w:rsid w:val="00C04A7C"/>
    <w:rsid w:val="00C04B48"/>
    <w:rsid w:val="00C04C03"/>
    <w:rsid w:val="00C070B8"/>
    <w:rsid w:val="00C073BB"/>
    <w:rsid w:val="00C07A98"/>
    <w:rsid w:val="00C108D5"/>
    <w:rsid w:val="00C118D5"/>
    <w:rsid w:val="00C12414"/>
    <w:rsid w:val="00C13354"/>
    <w:rsid w:val="00C13819"/>
    <w:rsid w:val="00C13A8B"/>
    <w:rsid w:val="00C13D2C"/>
    <w:rsid w:val="00C13F96"/>
    <w:rsid w:val="00C1566B"/>
    <w:rsid w:val="00C159F6"/>
    <w:rsid w:val="00C1685D"/>
    <w:rsid w:val="00C1713D"/>
    <w:rsid w:val="00C20F0C"/>
    <w:rsid w:val="00C21525"/>
    <w:rsid w:val="00C218A0"/>
    <w:rsid w:val="00C23112"/>
    <w:rsid w:val="00C23B33"/>
    <w:rsid w:val="00C24081"/>
    <w:rsid w:val="00C2459D"/>
    <w:rsid w:val="00C2477A"/>
    <w:rsid w:val="00C25067"/>
    <w:rsid w:val="00C252A1"/>
    <w:rsid w:val="00C253C2"/>
    <w:rsid w:val="00C25AE7"/>
    <w:rsid w:val="00C25D88"/>
    <w:rsid w:val="00C2648F"/>
    <w:rsid w:val="00C277FF"/>
    <w:rsid w:val="00C301BE"/>
    <w:rsid w:val="00C3032F"/>
    <w:rsid w:val="00C321BA"/>
    <w:rsid w:val="00C3285F"/>
    <w:rsid w:val="00C32947"/>
    <w:rsid w:val="00C32B4C"/>
    <w:rsid w:val="00C32C0C"/>
    <w:rsid w:val="00C33226"/>
    <w:rsid w:val="00C34635"/>
    <w:rsid w:val="00C34E43"/>
    <w:rsid w:val="00C35DA2"/>
    <w:rsid w:val="00C3646E"/>
    <w:rsid w:val="00C36ED9"/>
    <w:rsid w:val="00C4029E"/>
    <w:rsid w:val="00C404A3"/>
    <w:rsid w:val="00C4106D"/>
    <w:rsid w:val="00C41BE1"/>
    <w:rsid w:val="00C423B8"/>
    <w:rsid w:val="00C424F4"/>
    <w:rsid w:val="00C42743"/>
    <w:rsid w:val="00C435E6"/>
    <w:rsid w:val="00C4446C"/>
    <w:rsid w:val="00C44833"/>
    <w:rsid w:val="00C45296"/>
    <w:rsid w:val="00C45E9F"/>
    <w:rsid w:val="00C46617"/>
    <w:rsid w:val="00C46F59"/>
    <w:rsid w:val="00C50076"/>
    <w:rsid w:val="00C50155"/>
    <w:rsid w:val="00C50B57"/>
    <w:rsid w:val="00C52586"/>
    <w:rsid w:val="00C5343E"/>
    <w:rsid w:val="00C53B6B"/>
    <w:rsid w:val="00C53F3B"/>
    <w:rsid w:val="00C54461"/>
    <w:rsid w:val="00C54CEB"/>
    <w:rsid w:val="00C55891"/>
    <w:rsid w:val="00C5614B"/>
    <w:rsid w:val="00C5650E"/>
    <w:rsid w:val="00C60FFF"/>
    <w:rsid w:val="00C61D5A"/>
    <w:rsid w:val="00C62A2D"/>
    <w:rsid w:val="00C64821"/>
    <w:rsid w:val="00C6564D"/>
    <w:rsid w:val="00C65896"/>
    <w:rsid w:val="00C65F03"/>
    <w:rsid w:val="00C65F44"/>
    <w:rsid w:val="00C66610"/>
    <w:rsid w:val="00C6732C"/>
    <w:rsid w:val="00C67A42"/>
    <w:rsid w:val="00C67CBD"/>
    <w:rsid w:val="00C7075F"/>
    <w:rsid w:val="00C70A22"/>
    <w:rsid w:val="00C714E5"/>
    <w:rsid w:val="00C71748"/>
    <w:rsid w:val="00C732E4"/>
    <w:rsid w:val="00C7430B"/>
    <w:rsid w:val="00C74368"/>
    <w:rsid w:val="00C749B6"/>
    <w:rsid w:val="00C75C15"/>
    <w:rsid w:val="00C75E2D"/>
    <w:rsid w:val="00C76374"/>
    <w:rsid w:val="00C76EF3"/>
    <w:rsid w:val="00C76FE8"/>
    <w:rsid w:val="00C80243"/>
    <w:rsid w:val="00C80751"/>
    <w:rsid w:val="00C815BE"/>
    <w:rsid w:val="00C8176F"/>
    <w:rsid w:val="00C81DA3"/>
    <w:rsid w:val="00C82898"/>
    <w:rsid w:val="00C8385A"/>
    <w:rsid w:val="00C846B1"/>
    <w:rsid w:val="00C84EB3"/>
    <w:rsid w:val="00C8533A"/>
    <w:rsid w:val="00C8647A"/>
    <w:rsid w:val="00C873FB"/>
    <w:rsid w:val="00C87518"/>
    <w:rsid w:val="00C87625"/>
    <w:rsid w:val="00C87769"/>
    <w:rsid w:val="00C87B61"/>
    <w:rsid w:val="00C90BAF"/>
    <w:rsid w:val="00C911CA"/>
    <w:rsid w:val="00C917F4"/>
    <w:rsid w:val="00C926B7"/>
    <w:rsid w:val="00C92E77"/>
    <w:rsid w:val="00C94A65"/>
    <w:rsid w:val="00C94D7F"/>
    <w:rsid w:val="00C95575"/>
    <w:rsid w:val="00C95C6E"/>
    <w:rsid w:val="00C96163"/>
    <w:rsid w:val="00C966BE"/>
    <w:rsid w:val="00C96D1E"/>
    <w:rsid w:val="00CA07E5"/>
    <w:rsid w:val="00CA17CD"/>
    <w:rsid w:val="00CA224F"/>
    <w:rsid w:val="00CA2D44"/>
    <w:rsid w:val="00CA3290"/>
    <w:rsid w:val="00CA37A6"/>
    <w:rsid w:val="00CA38AE"/>
    <w:rsid w:val="00CA3B71"/>
    <w:rsid w:val="00CA3FCD"/>
    <w:rsid w:val="00CA4745"/>
    <w:rsid w:val="00CA52D8"/>
    <w:rsid w:val="00CA5B5F"/>
    <w:rsid w:val="00CA5D73"/>
    <w:rsid w:val="00CA6285"/>
    <w:rsid w:val="00CA63A1"/>
    <w:rsid w:val="00CA6E8E"/>
    <w:rsid w:val="00CA7C7A"/>
    <w:rsid w:val="00CB0796"/>
    <w:rsid w:val="00CB2621"/>
    <w:rsid w:val="00CB2BE0"/>
    <w:rsid w:val="00CB2E09"/>
    <w:rsid w:val="00CB3E80"/>
    <w:rsid w:val="00CB566D"/>
    <w:rsid w:val="00CB7D5D"/>
    <w:rsid w:val="00CC091A"/>
    <w:rsid w:val="00CC17AF"/>
    <w:rsid w:val="00CC1965"/>
    <w:rsid w:val="00CC2A84"/>
    <w:rsid w:val="00CC30A5"/>
    <w:rsid w:val="00CC3E88"/>
    <w:rsid w:val="00CC432B"/>
    <w:rsid w:val="00CC4446"/>
    <w:rsid w:val="00CC534E"/>
    <w:rsid w:val="00CC617B"/>
    <w:rsid w:val="00CD027E"/>
    <w:rsid w:val="00CD0C68"/>
    <w:rsid w:val="00CD0CFE"/>
    <w:rsid w:val="00CD1907"/>
    <w:rsid w:val="00CD1935"/>
    <w:rsid w:val="00CD1EC1"/>
    <w:rsid w:val="00CD4384"/>
    <w:rsid w:val="00CD44E0"/>
    <w:rsid w:val="00CD44E8"/>
    <w:rsid w:val="00CD6305"/>
    <w:rsid w:val="00CD70F9"/>
    <w:rsid w:val="00CD7C5C"/>
    <w:rsid w:val="00CE01CA"/>
    <w:rsid w:val="00CE10F0"/>
    <w:rsid w:val="00CE1718"/>
    <w:rsid w:val="00CE213B"/>
    <w:rsid w:val="00CE2162"/>
    <w:rsid w:val="00CE4717"/>
    <w:rsid w:val="00CE4772"/>
    <w:rsid w:val="00CE50C7"/>
    <w:rsid w:val="00CE5256"/>
    <w:rsid w:val="00CE6962"/>
    <w:rsid w:val="00CE6BC7"/>
    <w:rsid w:val="00CE6C30"/>
    <w:rsid w:val="00CE70CB"/>
    <w:rsid w:val="00CE7A19"/>
    <w:rsid w:val="00CE7DEB"/>
    <w:rsid w:val="00CF224A"/>
    <w:rsid w:val="00CF335D"/>
    <w:rsid w:val="00CF3AFF"/>
    <w:rsid w:val="00CF7618"/>
    <w:rsid w:val="00CF7D89"/>
    <w:rsid w:val="00CF7FEB"/>
    <w:rsid w:val="00D013D2"/>
    <w:rsid w:val="00D01A57"/>
    <w:rsid w:val="00D01C64"/>
    <w:rsid w:val="00D01C7A"/>
    <w:rsid w:val="00D02F65"/>
    <w:rsid w:val="00D0313A"/>
    <w:rsid w:val="00D037F1"/>
    <w:rsid w:val="00D038FE"/>
    <w:rsid w:val="00D03B0E"/>
    <w:rsid w:val="00D053E4"/>
    <w:rsid w:val="00D057ED"/>
    <w:rsid w:val="00D05F52"/>
    <w:rsid w:val="00D061E0"/>
    <w:rsid w:val="00D07194"/>
    <w:rsid w:val="00D07319"/>
    <w:rsid w:val="00D0751B"/>
    <w:rsid w:val="00D07DFA"/>
    <w:rsid w:val="00D103EE"/>
    <w:rsid w:val="00D10E78"/>
    <w:rsid w:val="00D11355"/>
    <w:rsid w:val="00D116BB"/>
    <w:rsid w:val="00D11A03"/>
    <w:rsid w:val="00D11DC4"/>
    <w:rsid w:val="00D12448"/>
    <w:rsid w:val="00D13644"/>
    <w:rsid w:val="00D13AAF"/>
    <w:rsid w:val="00D146BB"/>
    <w:rsid w:val="00D156FD"/>
    <w:rsid w:val="00D1571D"/>
    <w:rsid w:val="00D1623D"/>
    <w:rsid w:val="00D203CD"/>
    <w:rsid w:val="00D20E8C"/>
    <w:rsid w:val="00D21961"/>
    <w:rsid w:val="00D232D0"/>
    <w:rsid w:val="00D23AFF"/>
    <w:rsid w:val="00D2427A"/>
    <w:rsid w:val="00D24655"/>
    <w:rsid w:val="00D25A2F"/>
    <w:rsid w:val="00D25E1A"/>
    <w:rsid w:val="00D260D6"/>
    <w:rsid w:val="00D26E0C"/>
    <w:rsid w:val="00D27689"/>
    <w:rsid w:val="00D3038E"/>
    <w:rsid w:val="00D3106C"/>
    <w:rsid w:val="00D3117C"/>
    <w:rsid w:val="00D31E3D"/>
    <w:rsid w:val="00D3212A"/>
    <w:rsid w:val="00D328AE"/>
    <w:rsid w:val="00D32A0D"/>
    <w:rsid w:val="00D32B36"/>
    <w:rsid w:val="00D32D0C"/>
    <w:rsid w:val="00D33468"/>
    <w:rsid w:val="00D345AA"/>
    <w:rsid w:val="00D34693"/>
    <w:rsid w:val="00D35CEB"/>
    <w:rsid w:val="00D35D1A"/>
    <w:rsid w:val="00D3644C"/>
    <w:rsid w:val="00D40EF1"/>
    <w:rsid w:val="00D41A7E"/>
    <w:rsid w:val="00D42D14"/>
    <w:rsid w:val="00D432D7"/>
    <w:rsid w:val="00D43324"/>
    <w:rsid w:val="00D43CD4"/>
    <w:rsid w:val="00D43DFE"/>
    <w:rsid w:val="00D44675"/>
    <w:rsid w:val="00D4526E"/>
    <w:rsid w:val="00D461F8"/>
    <w:rsid w:val="00D46841"/>
    <w:rsid w:val="00D46EAC"/>
    <w:rsid w:val="00D4717A"/>
    <w:rsid w:val="00D47E51"/>
    <w:rsid w:val="00D5077D"/>
    <w:rsid w:val="00D50E31"/>
    <w:rsid w:val="00D51C5E"/>
    <w:rsid w:val="00D52F4C"/>
    <w:rsid w:val="00D531AB"/>
    <w:rsid w:val="00D53C31"/>
    <w:rsid w:val="00D53E6F"/>
    <w:rsid w:val="00D54719"/>
    <w:rsid w:val="00D54EB3"/>
    <w:rsid w:val="00D564FB"/>
    <w:rsid w:val="00D578B7"/>
    <w:rsid w:val="00D60C85"/>
    <w:rsid w:val="00D63A1D"/>
    <w:rsid w:val="00D64D86"/>
    <w:rsid w:val="00D67485"/>
    <w:rsid w:val="00D67B00"/>
    <w:rsid w:val="00D67B90"/>
    <w:rsid w:val="00D70322"/>
    <w:rsid w:val="00D7106B"/>
    <w:rsid w:val="00D71D2D"/>
    <w:rsid w:val="00D7206C"/>
    <w:rsid w:val="00D72546"/>
    <w:rsid w:val="00D72A21"/>
    <w:rsid w:val="00D72EFF"/>
    <w:rsid w:val="00D72F3F"/>
    <w:rsid w:val="00D73BBC"/>
    <w:rsid w:val="00D7475A"/>
    <w:rsid w:val="00D75DB8"/>
    <w:rsid w:val="00D75EA0"/>
    <w:rsid w:val="00D765CA"/>
    <w:rsid w:val="00D770E4"/>
    <w:rsid w:val="00D77D23"/>
    <w:rsid w:val="00D804DC"/>
    <w:rsid w:val="00D80862"/>
    <w:rsid w:val="00D8086C"/>
    <w:rsid w:val="00D812DE"/>
    <w:rsid w:val="00D81602"/>
    <w:rsid w:val="00D8306E"/>
    <w:rsid w:val="00D83727"/>
    <w:rsid w:val="00D83A74"/>
    <w:rsid w:val="00D85C3C"/>
    <w:rsid w:val="00D86F6E"/>
    <w:rsid w:val="00D87A11"/>
    <w:rsid w:val="00D87B4B"/>
    <w:rsid w:val="00D87E15"/>
    <w:rsid w:val="00D87F85"/>
    <w:rsid w:val="00D91C8C"/>
    <w:rsid w:val="00D92254"/>
    <w:rsid w:val="00D9261A"/>
    <w:rsid w:val="00D94E72"/>
    <w:rsid w:val="00D95464"/>
    <w:rsid w:val="00D955E2"/>
    <w:rsid w:val="00D96B6D"/>
    <w:rsid w:val="00D96F01"/>
    <w:rsid w:val="00DA0252"/>
    <w:rsid w:val="00DA0FA4"/>
    <w:rsid w:val="00DA1990"/>
    <w:rsid w:val="00DA2C01"/>
    <w:rsid w:val="00DA5025"/>
    <w:rsid w:val="00DA528E"/>
    <w:rsid w:val="00DA6E0C"/>
    <w:rsid w:val="00DA6F64"/>
    <w:rsid w:val="00DA7583"/>
    <w:rsid w:val="00DA78ED"/>
    <w:rsid w:val="00DA7BC6"/>
    <w:rsid w:val="00DB0CFD"/>
    <w:rsid w:val="00DB0E28"/>
    <w:rsid w:val="00DB11B0"/>
    <w:rsid w:val="00DB1810"/>
    <w:rsid w:val="00DB1D8A"/>
    <w:rsid w:val="00DB264E"/>
    <w:rsid w:val="00DB2D55"/>
    <w:rsid w:val="00DB429D"/>
    <w:rsid w:val="00DB4364"/>
    <w:rsid w:val="00DB49F8"/>
    <w:rsid w:val="00DB6606"/>
    <w:rsid w:val="00DB777D"/>
    <w:rsid w:val="00DC08A0"/>
    <w:rsid w:val="00DC08FE"/>
    <w:rsid w:val="00DC350A"/>
    <w:rsid w:val="00DC3F9F"/>
    <w:rsid w:val="00DC4987"/>
    <w:rsid w:val="00DC5315"/>
    <w:rsid w:val="00DC64EE"/>
    <w:rsid w:val="00DD2207"/>
    <w:rsid w:val="00DD3211"/>
    <w:rsid w:val="00DD3900"/>
    <w:rsid w:val="00DD40F5"/>
    <w:rsid w:val="00DD417B"/>
    <w:rsid w:val="00DD42CC"/>
    <w:rsid w:val="00DD4E09"/>
    <w:rsid w:val="00DD4E63"/>
    <w:rsid w:val="00DD64D7"/>
    <w:rsid w:val="00DD727E"/>
    <w:rsid w:val="00DD791D"/>
    <w:rsid w:val="00DE08DD"/>
    <w:rsid w:val="00DE0EC6"/>
    <w:rsid w:val="00DE17B2"/>
    <w:rsid w:val="00DE3FCB"/>
    <w:rsid w:val="00DE714A"/>
    <w:rsid w:val="00DE75D0"/>
    <w:rsid w:val="00DE75EF"/>
    <w:rsid w:val="00DF1707"/>
    <w:rsid w:val="00DF1CBE"/>
    <w:rsid w:val="00DF21F6"/>
    <w:rsid w:val="00DF2971"/>
    <w:rsid w:val="00DF2F1B"/>
    <w:rsid w:val="00DF371F"/>
    <w:rsid w:val="00DF3825"/>
    <w:rsid w:val="00DF4345"/>
    <w:rsid w:val="00DF5B81"/>
    <w:rsid w:val="00DF5C6B"/>
    <w:rsid w:val="00DF5F33"/>
    <w:rsid w:val="00DF71F9"/>
    <w:rsid w:val="00DF7634"/>
    <w:rsid w:val="00DF77FB"/>
    <w:rsid w:val="00DF7AB4"/>
    <w:rsid w:val="00E00658"/>
    <w:rsid w:val="00E00B43"/>
    <w:rsid w:val="00E011E1"/>
    <w:rsid w:val="00E01F71"/>
    <w:rsid w:val="00E02064"/>
    <w:rsid w:val="00E025CC"/>
    <w:rsid w:val="00E031A4"/>
    <w:rsid w:val="00E036DE"/>
    <w:rsid w:val="00E03E20"/>
    <w:rsid w:val="00E040BE"/>
    <w:rsid w:val="00E04E7D"/>
    <w:rsid w:val="00E05A1C"/>
    <w:rsid w:val="00E05D82"/>
    <w:rsid w:val="00E06FA4"/>
    <w:rsid w:val="00E07208"/>
    <w:rsid w:val="00E07309"/>
    <w:rsid w:val="00E10046"/>
    <w:rsid w:val="00E11429"/>
    <w:rsid w:val="00E11EF1"/>
    <w:rsid w:val="00E124CA"/>
    <w:rsid w:val="00E1256C"/>
    <w:rsid w:val="00E130F4"/>
    <w:rsid w:val="00E13216"/>
    <w:rsid w:val="00E1388B"/>
    <w:rsid w:val="00E13C6C"/>
    <w:rsid w:val="00E13E5B"/>
    <w:rsid w:val="00E14306"/>
    <w:rsid w:val="00E1440A"/>
    <w:rsid w:val="00E14B7C"/>
    <w:rsid w:val="00E162F1"/>
    <w:rsid w:val="00E174E4"/>
    <w:rsid w:val="00E176D1"/>
    <w:rsid w:val="00E218A5"/>
    <w:rsid w:val="00E21E49"/>
    <w:rsid w:val="00E2214A"/>
    <w:rsid w:val="00E23652"/>
    <w:rsid w:val="00E23CDB"/>
    <w:rsid w:val="00E23DF7"/>
    <w:rsid w:val="00E23E03"/>
    <w:rsid w:val="00E2422D"/>
    <w:rsid w:val="00E24C47"/>
    <w:rsid w:val="00E24EC7"/>
    <w:rsid w:val="00E25CAE"/>
    <w:rsid w:val="00E25CDB"/>
    <w:rsid w:val="00E26158"/>
    <w:rsid w:val="00E26565"/>
    <w:rsid w:val="00E26BD5"/>
    <w:rsid w:val="00E26E25"/>
    <w:rsid w:val="00E27842"/>
    <w:rsid w:val="00E3118A"/>
    <w:rsid w:val="00E314FB"/>
    <w:rsid w:val="00E325C9"/>
    <w:rsid w:val="00E34B66"/>
    <w:rsid w:val="00E34CD8"/>
    <w:rsid w:val="00E35801"/>
    <w:rsid w:val="00E35C2D"/>
    <w:rsid w:val="00E37688"/>
    <w:rsid w:val="00E40C61"/>
    <w:rsid w:val="00E43AC5"/>
    <w:rsid w:val="00E43EB0"/>
    <w:rsid w:val="00E44078"/>
    <w:rsid w:val="00E45439"/>
    <w:rsid w:val="00E45C00"/>
    <w:rsid w:val="00E45EF0"/>
    <w:rsid w:val="00E462B1"/>
    <w:rsid w:val="00E46B6A"/>
    <w:rsid w:val="00E5033F"/>
    <w:rsid w:val="00E5080B"/>
    <w:rsid w:val="00E51033"/>
    <w:rsid w:val="00E5314B"/>
    <w:rsid w:val="00E53412"/>
    <w:rsid w:val="00E5359B"/>
    <w:rsid w:val="00E5406E"/>
    <w:rsid w:val="00E55F52"/>
    <w:rsid w:val="00E57918"/>
    <w:rsid w:val="00E6031A"/>
    <w:rsid w:val="00E60410"/>
    <w:rsid w:val="00E61002"/>
    <w:rsid w:val="00E6185C"/>
    <w:rsid w:val="00E618DF"/>
    <w:rsid w:val="00E61902"/>
    <w:rsid w:val="00E61D8E"/>
    <w:rsid w:val="00E621B5"/>
    <w:rsid w:val="00E63413"/>
    <w:rsid w:val="00E63B8C"/>
    <w:rsid w:val="00E63D54"/>
    <w:rsid w:val="00E660D0"/>
    <w:rsid w:val="00E6650C"/>
    <w:rsid w:val="00E6726A"/>
    <w:rsid w:val="00E6767A"/>
    <w:rsid w:val="00E67A79"/>
    <w:rsid w:val="00E7158A"/>
    <w:rsid w:val="00E72AA1"/>
    <w:rsid w:val="00E73B88"/>
    <w:rsid w:val="00E750E1"/>
    <w:rsid w:val="00E75AF7"/>
    <w:rsid w:val="00E77ED5"/>
    <w:rsid w:val="00E77F62"/>
    <w:rsid w:val="00E81537"/>
    <w:rsid w:val="00E82517"/>
    <w:rsid w:val="00E83DBD"/>
    <w:rsid w:val="00E83F7E"/>
    <w:rsid w:val="00E83FAB"/>
    <w:rsid w:val="00E8474E"/>
    <w:rsid w:val="00E85C9E"/>
    <w:rsid w:val="00E860D7"/>
    <w:rsid w:val="00E862E1"/>
    <w:rsid w:val="00E86BCE"/>
    <w:rsid w:val="00E87779"/>
    <w:rsid w:val="00E879A2"/>
    <w:rsid w:val="00E879AB"/>
    <w:rsid w:val="00E87A92"/>
    <w:rsid w:val="00E903D6"/>
    <w:rsid w:val="00E90993"/>
    <w:rsid w:val="00E90DEB"/>
    <w:rsid w:val="00E91144"/>
    <w:rsid w:val="00E92722"/>
    <w:rsid w:val="00E92B77"/>
    <w:rsid w:val="00E92D8E"/>
    <w:rsid w:val="00E93AB6"/>
    <w:rsid w:val="00E93FAB"/>
    <w:rsid w:val="00E94693"/>
    <w:rsid w:val="00E947C1"/>
    <w:rsid w:val="00E958CC"/>
    <w:rsid w:val="00E96110"/>
    <w:rsid w:val="00E963A5"/>
    <w:rsid w:val="00E9717B"/>
    <w:rsid w:val="00E979B7"/>
    <w:rsid w:val="00E97CD2"/>
    <w:rsid w:val="00EA0759"/>
    <w:rsid w:val="00EA2BF7"/>
    <w:rsid w:val="00EA4326"/>
    <w:rsid w:val="00EA5147"/>
    <w:rsid w:val="00EA53DE"/>
    <w:rsid w:val="00EA54DD"/>
    <w:rsid w:val="00EA54EC"/>
    <w:rsid w:val="00EA5DBF"/>
    <w:rsid w:val="00EA64DD"/>
    <w:rsid w:val="00EA68CD"/>
    <w:rsid w:val="00EA6ABC"/>
    <w:rsid w:val="00EA7029"/>
    <w:rsid w:val="00EA78C4"/>
    <w:rsid w:val="00EB0302"/>
    <w:rsid w:val="00EB0537"/>
    <w:rsid w:val="00EB1B47"/>
    <w:rsid w:val="00EB379E"/>
    <w:rsid w:val="00EB420F"/>
    <w:rsid w:val="00EB4876"/>
    <w:rsid w:val="00EB4AD9"/>
    <w:rsid w:val="00EB6EB0"/>
    <w:rsid w:val="00EB6F39"/>
    <w:rsid w:val="00EB7136"/>
    <w:rsid w:val="00EB7525"/>
    <w:rsid w:val="00EB7CF8"/>
    <w:rsid w:val="00EB7FA7"/>
    <w:rsid w:val="00EC059B"/>
    <w:rsid w:val="00EC194E"/>
    <w:rsid w:val="00EC1BF7"/>
    <w:rsid w:val="00EC226F"/>
    <w:rsid w:val="00EC351E"/>
    <w:rsid w:val="00EC36EF"/>
    <w:rsid w:val="00EC39CC"/>
    <w:rsid w:val="00EC3A42"/>
    <w:rsid w:val="00EC42E1"/>
    <w:rsid w:val="00EC5166"/>
    <w:rsid w:val="00EC5528"/>
    <w:rsid w:val="00EC582B"/>
    <w:rsid w:val="00EC6186"/>
    <w:rsid w:val="00EC662A"/>
    <w:rsid w:val="00EC72F8"/>
    <w:rsid w:val="00EC77CD"/>
    <w:rsid w:val="00ED0123"/>
    <w:rsid w:val="00ED017B"/>
    <w:rsid w:val="00ED1D86"/>
    <w:rsid w:val="00ED315B"/>
    <w:rsid w:val="00ED4590"/>
    <w:rsid w:val="00ED4D5D"/>
    <w:rsid w:val="00ED54A6"/>
    <w:rsid w:val="00ED56FC"/>
    <w:rsid w:val="00ED5B0E"/>
    <w:rsid w:val="00ED651A"/>
    <w:rsid w:val="00ED7C40"/>
    <w:rsid w:val="00EE0761"/>
    <w:rsid w:val="00EE079E"/>
    <w:rsid w:val="00EE095D"/>
    <w:rsid w:val="00EE0A4B"/>
    <w:rsid w:val="00EE111D"/>
    <w:rsid w:val="00EE2ECB"/>
    <w:rsid w:val="00EE47A6"/>
    <w:rsid w:val="00EE4BD9"/>
    <w:rsid w:val="00EE53FC"/>
    <w:rsid w:val="00EE57D2"/>
    <w:rsid w:val="00EE5A17"/>
    <w:rsid w:val="00EE77FD"/>
    <w:rsid w:val="00EF0E35"/>
    <w:rsid w:val="00EF1368"/>
    <w:rsid w:val="00EF1C4A"/>
    <w:rsid w:val="00EF1D3B"/>
    <w:rsid w:val="00EF2371"/>
    <w:rsid w:val="00EF39D0"/>
    <w:rsid w:val="00EF4760"/>
    <w:rsid w:val="00EF49AE"/>
    <w:rsid w:val="00EF5BF4"/>
    <w:rsid w:val="00EF673A"/>
    <w:rsid w:val="00EF7032"/>
    <w:rsid w:val="00EF754A"/>
    <w:rsid w:val="00F00E40"/>
    <w:rsid w:val="00F0165C"/>
    <w:rsid w:val="00F01ABB"/>
    <w:rsid w:val="00F02366"/>
    <w:rsid w:val="00F027B3"/>
    <w:rsid w:val="00F03730"/>
    <w:rsid w:val="00F0438D"/>
    <w:rsid w:val="00F0449D"/>
    <w:rsid w:val="00F04636"/>
    <w:rsid w:val="00F04D0A"/>
    <w:rsid w:val="00F05D99"/>
    <w:rsid w:val="00F06168"/>
    <w:rsid w:val="00F06641"/>
    <w:rsid w:val="00F067BB"/>
    <w:rsid w:val="00F06E0E"/>
    <w:rsid w:val="00F073EE"/>
    <w:rsid w:val="00F101B2"/>
    <w:rsid w:val="00F101F3"/>
    <w:rsid w:val="00F10A4B"/>
    <w:rsid w:val="00F10FBC"/>
    <w:rsid w:val="00F114C7"/>
    <w:rsid w:val="00F11B22"/>
    <w:rsid w:val="00F11CBB"/>
    <w:rsid w:val="00F12BBB"/>
    <w:rsid w:val="00F13AF9"/>
    <w:rsid w:val="00F141EE"/>
    <w:rsid w:val="00F14737"/>
    <w:rsid w:val="00F14782"/>
    <w:rsid w:val="00F1683A"/>
    <w:rsid w:val="00F16AD4"/>
    <w:rsid w:val="00F16D46"/>
    <w:rsid w:val="00F201B6"/>
    <w:rsid w:val="00F20741"/>
    <w:rsid w:val="00F21116"/>
    <w:rsid w:val="00F2133D"/>
    <w:rsid w:val="00F2147B"/>
    <w:rsid w:val="00F216FE"/>
    <w:rsid w:val="00F21891"/>
    <w:rsid w:val="00F21C7B"/>
    <w:rsid w:val="00F21DDF"/>
    <w:rsid w:val="00F22111"/>
    <w:rsid w:val="00F22895"/>
    <w:rsid w:val="00F23CE3"/>
    <w:rsid w:val="00F24113"/>
    <w:rsid w:val="00F24B00"/>
    <w:rsid w:val="00F25BF8"/>
    <w:rsid w:val="00F26AA0"/>
    <w:rsid w:val="00F2714D"/>
    <w:rsid w:val="00F27313"/>
    <w:rsid w:val="00F30CAF"/>
    <w:rsid w:val="00F31A9E"/>
    <w:rsid w:val="00F32223"/>
    <w:rsid w:val="00F331E5"/>
    <w:rsid w:val="00F33BF4"/>
    <w:rsid w:val="00F34720"/>
    <w:rsid w:val="00F348B6"/>
    <w:rsid w:val="00F34AFD"/>
    <w:rsid w:val="00F3501B"/>
    <w:rsid w:val="00F350F0"/>
    <w:rsid w:val="00F36387"/>
    <w:rsid w:val="00F366EA"/>
    <w:rsid w:val="00F366EE"/>
    <w:rsid w:val="00F36F3C"/>
    <w:rsid w:val="00F41738"/>
    <w:rsid w:val="00F42E5A"/>
    <w:rsid w:val="00F4301F"/>
    <w:rsid w:val="00F43255"/>
    <w:rsid w:val="00F4362C"/>
    <w:rsid w:val="00F43B17"/>
    <w:rsid w:val="00F43F82"/>
    <w:rsid w:val="00F43F89"/>
    <w:rsid w:val="00F44845"/>
    <w:rsid w:val="00F452AD"/>
    <w:rsid w:val="00F46986"/>
    <w:rsid w:val="00F47029"/>
    <w:rsid w:val="00F471E2"/>
    <w:rsid w:val="00F505C7"/>
    <w:rsid w:val="00F50622"/>
    <w:rsid w:val="00F5076F"/>
    <w:rsid w:val="00F51335"/>
    <w:rsid w:val="00F52364"/>
    <w:rsid w:val="00F52528"/>
    <w:rsid w:val="00F53C3E"/>
    <w:rsid w:val="00F54C7D"/>
    <w:rsid w:val="00F5541D"/>
    <w:rsid w:val="00F557AB"/>
    <w:rsid w:val="00F55ED7"/>
    <w:rsid w:val="00F56001"/>
    <w:rsid w:val="00F56066"/>
    <w:rsid w:val="00F56953"/>
    <w:rsid w:val="00F575AB"/>
    <w:rsid w:val="00F6028A"/>
    <w:rsid w:val="00F6034A"/>
    <w:rsid w:val="00F604D7"/>
    <w:rsid w:val="00F61555"/>
    <w:rsid w:val="00F61CAC"/>
    <w:rsid w:val="00F62196"/>
    <w:rsid w:val="00F6286C"/>
    <w:rsid w:val="00F64B40"/>
    <w:rsid w:val="00F679A0"/>
    <w:rsid w:val="00F709B1"/>
    <w:rsid w:val="00F715EC"/>
    <w:rsid w:val="00F722BD"/>
    <w:rsid w:val="00F72816"/>
    <w:rsid w:val="00F72B42"/>
    <w:rsid w:val="00F72B84"/>
    <w:rsid w:val="00F72FC5"/>
    <w:rsid w:val="00F7309D"/>
    <w:rsid w:val="00F73417"/>
    <w:rsid w:val="00F735D9"/>
    <w:rsid w:val="00F74E9A"/>
    <w:rsid w:val="00F7547D"/>
    <w:rsid w:val="00F75A58"/>
    <w:rsid w:val="00F76DB1"/>
    <w:rsid w:val="00F76F99"/>
    <w:rsid w:val="00F77C65"/>
    <w:rsid w:val="00F80246"/>
    <w:rsid w:val="00F81F93"/>
    <w:rsid w:val="00F822CB"/>
    <w:rsid w:val="00F828DD"/>
    <w:rsid w:val="00F83170"/>
    <w:rsid w:val="00F83203"/>
    <w:rsid w:val="00F87159"/>
    <w:rsid w:val="00F8767D"/>
    <w:rsid w:val="00F878A2"/>
    <w:rsid w:val="00F87A16"/>
    <w:rsid w:val="00F90540"/>
    <w:rsid w:val="00F90745"/>
    <w:rsid w:val="00F907E0"/>
    <w:rsid w:val="00F910D0"/>
    <w:rsid w:val="00F91D45"/>
    <w:rsid w:val="00F91DCA"/>
    <w:rsid w:val="00F91F9F"/>
    <w:rsid w:val="00F92D8C"/>
    <w:rsid w:val="00F940B9"/>
    <w:rsid w:val="00F94D9F"/>
    <w:rsid w:val="00F9689C"/>
    <w:rsid w:val="00F971DF"/>
    <w:rsid w:val="00FA06B8"/>
    <w:rsid w:val="00FA0BAE"/>
    <w:rsid w:val="00FA2560"/>
    <w:rsid w:val="00FA2668"/>
    <w:rsid w:val="00FA2670"/>
    <w:rsid w:val="00FA2D35"/>
    <w:rsid w:val="00FA2FD8"/>
    <w:rsid w:val="00FA3346"/>
    <w:rsid w:val="00FA3781"/>
    <w:rsid w:val="00FA4100"/>
    <w:rsid w:val="00FA72A1"/>
    <w:rsid w:val="00FA7524"/>
    <w:rsid w:val="00FA756B"/>
    <w:rsid w:val="00FB0127"/>
    <w:rsid w:val="00FB14C2"/>
    <w:rsid w:val="00FB1923"/>
    <w:rsid w:val="00FB1998"/>
    <w:rsid w:val="00FB27F1"/>
    <w:rsid w:val="00FB2AF7"/>
    <w:rsid w:val="00FB35DA"/>
    <w:rsid w:val="00FB378D"/>
    <w:rsid w:val="00FB37CB"/>
    <w:rsid w:val="00FB43F2"/>
    <w:rsid w:val="00FB4873"/>
    <w:rsid w:val="00FB4DE0"/>
    <w:rsid w:val="00FB552B"/>
    <w:rsid w:val="00FB62BB"/>
    <w:rsid w:val="00FB69CA"/>
    <w:rsid w:val="00FB6D07"/>
    <w:rsid w:val="00FB78D0"/>
    <w:rsid w:val="00FC10D5"/>
    <w:rsid w:val="00FC20FA"/>
    <w:rsid w:val="00FC39BE"/>
    <w:rsid w:val="00FC426E"/>
    <w:rsid w:val="00FC51F8"/>
    <w:rsid w:val="00FC54EF"/>
    <w:rsid w:val="00FC5CC2"/>
    <w:rsid w:val="00FC6017"/>
    <w:rsid w:val="00FC712C"/>
    <w:rsid w:val="00FC75D2"/>
    <w:rsid w:val="00FC7851"/>
    <w:rsid w:val="00FC7DB5"/>
    <w:rsid w:val="00FD0BF8"/>
    <w:rsid w:val="00FD1107"/>
    <w:rsid w:val="00FD1BFE"/>
    <w:rsid w:val="00FD201B"/>
    <w:rsid w:val="00FD298E"/>
    <w:rsid w:val="00FD2E88"/>
    <w:rsid w:val="00FD47C7"/>
    <w:rsid w:val="00FD4878"/>
    <w:rsid w:val="00FD6075"/>
    <w:rsid w:val="00FD63D4"/>
    <w:rsid w:val="00FD663A"/>
    <w:rsid w:val="00FD6794"/>
    <w:rsid w:val="00FE0B55"/>
    <w:rsid w:val="00FE2707"/>
    <w:rsid w:val="00FE359C"/>
    <w:rsid w:val="00FE406C"/>
    <w:rsid w:val="00FE57E7"/>
    <w:rsid w:val="00FE5AA5"/>
    <w:rsid w:val="00FE72AA"/>
    <w:rsid w:val="00FE74BF"/>
    <w:rsid w:val="00FE7AF5"/>
    <w:rsid w:val="00FF05D1"/>
    <w:rsid w:val="00FF0AD3"/>
    <w:rsid w:val="00FF11CE"/>
    <w:rsid w:val="00FF2FDA"/>
    <w:rsid w:val="00FF3A71"/>
    <w:rsid w:val="00FF4245"/>
    <w:rsid w:val="00FF4435"/>
    <w:rsid w:val="00FF4B82"/>
    <w:rsid w:val="00FF4EE4"/>
    <w:rsid w:val="00FF65CA"/>
    <w:rsid w:val="00FF6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69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FF0"/>
    <w:pPr>
      <w:autoSpaceDE w:val="0"/>
      <w:autoSpaceDN w:val="0"/>
      <w:adjustRightInd w:val="0"/>
    </w:pPr>
    <w:rPr>
      <w:color w:val="000000" w:themeColor="text1"/>
    </w:rPr>
  </w:style>
  <w:style w:type="paragraph" w:styleId="Heading1">
    <w:name w:val="heading 1"/>
    <w:basedOn w:val="Normal"/>
    <w:next w:val="Normal"/>
    <w:link w:val="Heading1Char"/>
    <w:uiPriority w:val="9"/>
    <w:qFormat/>
    <w:rsid w:val="002303B1"/>
    <w:pPr>
      <w:keepNext/>
      <w:keepLines/>
      <w:spacing w:before="240"/>
      <w:outlineLvl w:val="0"/>
    </w:pPr>
    <w:rPr>
      <w:rFonts w:eastAsiaTheme="majorEastAsia"/>
      <w:b/>
      <w:bCs/>
      <w:szCs w:val="28"/>
    </w:rPr>
  </w:style>
  <w:style w:type="paragraph" w:styleId="Heading2">
    <w:name w:val="heading 2"/>
    <w:basedOn w:val="Heading1"/>
    <w:next w:val="Normal"/>
    <w:link w:val="Heading2Char"/>
    <w:uiPriority w:val="9"/>
    <w:unhideWhenUsed/>
    <w:qFormat/>
    <w:rsid w:val="00101045"/>
    <w:pPr>
      <w:numPr>
        <w:ilvl w:val="1"/>
      </w:numPr>
      <w:spacing w:before="0"/>
      <w:outlineLvl w:val="1"/>
    </w:pPr>
  </w:style>
  <w:style w:type="paragraph" w:styleId="Heading3">
    <w:name w:val="heading 3"/>
    <w:basedOn w:val="Heading2"/>
    <w:next w:val="Normal"/>
    <w:link w:val="Heading3Char"/>
    <w:uiPriority w:val="9"/>
    <w:unhideWhenUsed/>
    <w:qFormat/>
    <w:rsid w:val="00101045"/>
    <w:pPr>
      <w:keepLines w:val="0"/>
      <w:numPr>
        <w:ilvl w:val="2"/>
      </w:numPr>
      <w:ind w:left="1080" w:hanging="1080"/>
      <w:outlineLvl w:val="2"/>
    </w:pPr>
    <w:rPr>
      <w:b w:val="0"/>
      <w:i/>
      <w:szCs w:val="24"/>
    </w:rPr>
  </w:style>
  <w:style w:type="paragraph" w:styleId="Heading4">
    <w:name w:val="heading 4"/>
    <w:basedOn w:val="Heading3"/>
    <w:next w:val="Normal"/>
    <w:link w:val="Heading4Char"/>
    <w:uiPriority w:val="9"/>
    <w:unhideWhenUsed/>
    <w:qFormat/>
    <w:rsid w:val="003C3A04"/>
    <w:pPr>
      <w:keepNext w:val="0"/>
      <w:numPr>
        <w:ilvl w:val="3"/>
      </w:numPr>
      <w:ind w:left="2520" w:hanging="1440"/>
      <w:outlineLvl w:val="3"/>
    </w:pPr>
  </w:style>
  <w:style w:type="paragraph" w:styleId="Heading5">
    <w:name w:val="heading 5"/>
    <w:basedOn w:val="Normal"/>
    <w:next w:val="Normal"/>
    <w:link w:val="Heading5Char"/>
    <w:uiPriority w:val="9"/>
    <w:semiHidden/>
    <w:unhideWhenUsed/>
    <w:qFormat/>
    <w:rsid w:val="003C2CEA"/>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2CEA"/>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C2CEA"/>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Appendix H1"/>
    <w:basedOn w:val="Normal"/>
    <w:next w:val="Normal"/>
    <w:link w:val="Heading8Char"/>
    <w:uiPriority w:val="9"/>
    <w:unhideWhenUsed/>
    <w:qFormat/>
    <w:rsid w:val="003C2CEA"/>
    <w:pPr>
      <w:keepNext/>
      <w:keepLines/>
      <w:numPr>
        <w:ilvl w:val="7"/>
        <w:numId w:val="6"/>
      </w:numPr>
      <w:spacing w:before="200"/>
      <w:outlineLvl w:val="7"/>
    </w:pPr>
    <w:rPr>
      <w:rFonts w:eastAsiaTheme="majorEastAsia"/>
      <w:color w:val="404040" w:themeColor="text1" w:themeTint="BF"/>
    </w:rPr>
  </w:style>
  <w:style w:type="paragraph" w:styleId="Heading9">
    <w:name w:val="heading 9"/>
    <w:aliases w:val="Appendix H2"/>
    <w:basedOn w:val="Normal"/>
    <w:next w:val="Normal"/>
    <w:link w:val="Heading9Char"/>
    <w:uiPriority w:val="9"/>
    <w:unhideWhenUsed/>
    <w:qFormat/>
    <w:rsid w:val="003C2CEA"/>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6B7"/>
    <w:rPr>
      <w:rFonts w:eastAsiaTheme="majorEastAsia"/>
      <w:b/>
      <w:bCs/>
      <w:color w:val="000000" w:themeColor="text1"/>
      <w:szCs w:val="28"/>
    </w:rPr>
  </w:style>
  <w:style w:type="character" w:customStyle="1" w:styleId="Heading2Char">
    <w:name w:val="Heading 2 Char"/>
    <w:basedOn w:val="DefaultParagraphFont"/>
    <w:link w:val="Heading2"/>
    <w:uiPriority w:val="9"/>
    <w:rsid w:val="00101045"/>
    <w:rPr>
      <w:rFonts w:eastAsiaTheme="majorEastAsia"/>
      <w:b/>
      <w:bCs/>
      <w:color w:val="000000" w:themeColor="text1"/>
      <w:szCs w:val="28"/>
    </w:rPr>
  </w:style>
  <w:style w:type="character" w:customStyle="1" w:styleId="Heading3Char">
    <w:name w:val="Heading 3 Char"/>
    <w:basedOn w:val="DefaultParagraphFont"/>
    <w:link w:val="Heading3"/>
    <w:uiPriority w:val="9"/>
    <w:rsid w:val="00101045"/>
    <w:rPr>
      <w:rFonts w:eastAsiaTheme="majorEastAsia"/>
      <w:bCs/>
      <w:i/>
      <w:color w:val="000000" w:themeColor="text1"/>
      <w:szCs w:val="24"/>
    </w:rPr>
  </w:style>
  <w:style w:type="character" w:customStyle="1" w:styleId="Heading4Char">
    <w:name w:val="Heading 4 Char"/>
    <w:basedOn w:val="DefaultParagraphFont"/>
    <w:link w:val="Heading4"/>
    <w:uiPriority w:val="9"/>
    <w:rsid w:val="003C3A04"/>
    <w:rPr>
      <w:rFonts w:eastAsiaTheme="majorEastAsia"/>
      <w:bCs/>
      <w:i/>
      <w:color w:val="000000" w:themeColor="text1"/>
      <w:szCs w:val="24"/>
    </w:rPr>
  </w:style>
  <w:style w:type="character" w:customStyle="1" w:styleId="Heading5Char">
    <w:name w:val="Heading 5 Char"/>
    <w:basedOn w:val="DefaultParagraphFont"/>
    <w:link w:val="Heading5"/>
    <w:uiPriority w:val="9"/>
    <w:semiHidden/>
    <w:rsid w:val="003C2C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2CE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C2CEA"/>
    <w:rPr>
      <w:rFonts w:asciiTheme="majorHAnsi" w:eastAsiaTheme="majorEastAsia" w:hAnsiTheme="majorHAnsi" w:cstheme="majorBidi"/>
      <w:i/>
      <w:iCs/>
      <w:color w:val="404040" w:themeColor="text1" w:themeTint="BF"/>
    </w:rPr>
  </w:style>
  <w:style w:type="character" w:customStyle="1" w:styleId="Heading8Char">
    <w:name w:val="Heading 8 Char"/>
    <w:aliases w:val="Appendix H1 Char"/>
    <w:basedOn w:val="DefaultParagraphFont"/>
    <w:link w:val="Heading8"/>
    <w:uiPriority w:val="9"/>
    <w:rsid w:val="003C2CEA"/>
    <w:rPr>
      <w:rFonts w:eastAsiaTheme="majorEastAsia"/>
      <w:color w:val="404040" w:themeColor="text1" w:themeTint="BF"/>
    </w:rPr>
  </w:style>
  <w:style w:type="character" w:customStyle="1" w:styleId="Heading9Char">
    <w:name w:val="Heading 9 Char"/>
    <w:aliases w:val="Appendix H2 Char"/>
    <w:basedOn w:val="DefaultParagraphFont"/>
    <w:link w:val="Heading9"/>
    <w:uiPriority w:val="9"/>
    <w:rsid w:val="003C2CE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C424F4"/>
    <w:pPr>
      <w:ind w:left="720"/>
      <w:contextualSpacing/>
    </w:pPr>
  </w:style>
  <w:style w:type="character" w:customStyle="1" w:styleId="ListParagraphChar">
    <w:name w:val="List Paragraph Char"/>
    <w:basedOn w:val="DefaultParagraphFont"/>
    <w:link w:val="ListParagraph"/>
    <w:uiPriority w:val="34"/>
    <w:rsid w:val="00BC1D01"/>
  </w:style>
  <w:style w:type="paragraph" w:styleId="Header">
    <w:name w:val="header"/>
    <w:basedOn w:val="Normal"/>
    <w:link w:val="HeaderChar"/>
    <w:uiPriority w:val="99"/>
    <w:unhideWhenUsed/>
    <w:rsid w:val="007D4408"/>
    <w:pPr>
      <w:tabs>
        <w:tab w:val="center" w:pos="4680"/>
        <w:tab w:val="right" w:pos="9360"/>
      </w:tabs>
    </w:pPr>
  </w:style>
  <w:style w:type="character" w:customStyle="1" w:styleId="HeaderChar">
    <w:name w:val="Header Char"/>
    <w:basedOn w:val="DefaultParagraphFont"/>
    <w:link w:val="Header"/>
    <w:uiPriority w:val="99"/>
    <w:rsid w:val="007D4408"/>
  </w:style>
  <w:style w:type="paragraph" w:styleId="Footer">
    <w:name w:val="footer"/>
    <w:basedOn w:val="Normal"/>
    <w:link w:val="FooterChar"/>
    <w:uiPriority w:val="99"/>
    <w:unhideWhenUsed/>
    <w:rsid w:val="007D4408"/>
    <w:pPr>
      <w:tabs>
        <w:tab w:val="center" w:pos="4680"/>
        <w:tab w:val="right" w:pos="9360"/>
      </w:tabs>
    </w:pPr>
  </w:style>
  <w:style w:type="character" w:customStyle="1" w:styleId="FooterChar">
    <w:name w:val="Footer Char"/>
    <w:basedOn w:val="DefaultParagraphFont"/>
    <w:link w:val="Footer"/>
    <w:uiPriority w:val="99"/>
    <w:rsid w:val="007D4408"/>
  </w:style>
  <w:style w:type="paragraph" w:styleId="BalloonText">
    <w:name w:val="Balloon Text"/>
    <w:basedOn w:val="Normal"/>
    <w:link w:val="BalloonTextChar"/>
    <w:uiPriority w:val="99"/>
    <w:semiHidden/>
    <w:unhideWhenUsed/>
    <w:rsid w:val="00B515CC"/>
    <w:rPr>
      <w:rFonts w:ascii="Tahoma" w:hAnsi="Tahoma" w:cs="Tahoma"/>
      <w:sz w:val="16"/>
      <w:szCs w:val="16"/>
    </w:rPr>
  </w:style>
  <w:style w:type="character" w:customStyle="1" w:styleId="BalloonTextChar">
    <w:name w:val="Balloon Text Char"/>
    <w:basedOn w:val="DefaultParagraphFont"/>
    <w:link w:val="BalloonText"/>
    <w:uiPriority w:val="99"/>
    <w:semiHidden/>
    <w:rsid w:val="00B515CC"/>
    <w:rPr>
      <w:rFonts w:ascii="Tahoma" w:hAnsi="Tahoma" w:cs="Tahoma"/>
      <w:sz w:val="16"/>
      <w:szCs w:val="16"/>
    </w:rPr>
  </w:style>
  <w:style w:type="paragraph" w:styleId="FootnoteText">
    <w:name w:val="footnote text"/>
    <w:basedOn w:val="Normal"/>
    <w:link w:val="FootnoteTextChar"/>
    <w:unhideWhenUsed/>
    <w:rsid w:val="00AF5D92"/>
    <w:rPr>
      <w:rFonts w:eastAsia="Times New Roman" w:cs="Times New Roman"/>
      <w:sz w:val="20"/>
      <w:szCs w:val="20"/>
    </w:rPr>
  </w:style>
  <w:style w:type="character" w:customStyle="1" w:styleId="FootnoteTextChar">
    <w:name w:val="Footnote Text Char"/>
    <w:basedOn w:val="DefaultParagraphFont"/>
    <w:link w:val="FootnoteText"/>
    <w:rsid w:val="00AF5D92"/>
    <w:rPr>
      <w:rFonts w:eastAsia="Times New Roman" w:cs="Times New Roman"/>
      <w:sz w:val="20"/>
      <w:szCs w:val="20"/>
    </w:rPr>
  </w:style>
  <w:style w:type="character" w:styleId="FootnoteReference">
    <w:name w:val="footnote reference"/>
    <w:basedOn w:val="DefaultParagraphFont"/>
    <w:uiPriority w:val="99"/>
    <w:unhideWhenUsed/>
    <w:rsid w:val="00AF5D92"/>
  </w:style>
  <w:style w:type="paragraph" w:styleId="Caption">
    <w:name w:val="caption"/>
    <w:basedOn w:val="Normal"/>
    <w:next w:val="Normal"/>
    <w:uiPriority w:val="35"/>
    <w:unhideWhenUsed/>
    <w:qFormat/>
    <w:rsid w:val="00E1388B"/>
    <w:pPr>
      <w:keepNext/>
      <w:spacing w:after="200"/>
    </w:pPr>
    <w:rPr>
      <w:bCs/>
    </w:rPr>
  </w:style>
  <w:style w:type="character" w:styleId="Hyperlink">
    <w:name w:val="Hyperlink"/>
    <w:basedOn w:val="DefaultParagraphFont"/>
    <w:uiPriority w:val="99"/>
    <w:unhideWhenUsed/>
    <w:rsid w:val="00123B56"/>
    <w:rPr>
      <w:color w:val="0000FF"/>
      <w:u w:val="single"/>
    </w:rPr>
  </w:style>
  <w:style w:type="table" w:styleId="TableGrid">
    <w:name w:val="Table Grid"/>
    <w:basedOn w:val="TableNormal"/>
    <w:uiPriority w:val="59"/>
    <w:rsid w:val="004E37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BD3549"/>
    <w:rPr>
      <w:sz w:val="16"/>
      <w:szCs w:val="16"/>
    </w:rPr>
  </w:style>
  <w:style w:type="paragraph" w:styleId="CommentText">
    <w:name w:val="annotation text"/>
    <w:basedOn w:val="Normal"/>
    <w:link w:val="CommentTextChar"/>
    <w:rsid w:val="00BD3549"/>
    <w:pPr>
      <w:widowControl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D3549"/>
    <w:rPr>
      <w:rFonts w:ascii="Times New Roman" w:eastAsia="Times New Roman" w:hAnsi="Times New Roman" w:cs="Times New Roman"/>
      <w:sz w:val="20"/>
      <w:szCs w:val="20"/>
    </w:rPr>
  </w:style>
  <w:style w:type="paragraph" w:styleId="TOC1">
    <w:name w:val="toc 1"/>
    <w:basedOn w:val="Normal"/>
    <w:next w:val="Normal"/>
    <w:autoRedefine/>
    <w:uiPriority w:val="39"/>
    <w:rsid w:val="00D4526E"/>
    <w:pPr>
      <w:tabs>
        <w:tab w:val="left" w:pos="720"/>
        <w:tab w:val="right" w:leader="dot" w:pos="8990"/>
      </w:tabs>
      <w:ind w:right="720"/>
    </w:pPr>
    <w:rPr>
      <w:rFonts w:eastAsia="Times New Roman" w:cs="Times New Roman"/>
      <w:noProof/>
      <w:sz w:val="20"/>
      <w:szCs w:val="20"/>
    </w:rPr>
  </w:style>
  <w:style w:type="paragraph" w:styleId="TOC2">
    <w:name w:val="toc 2"/>
    <w:basedOn w:val="Normal"/>
    <w:next w:val="Normal"/>
    <w:autoRedefine/>
    <w:uiPriority w:val="39"/>
    <w:rsid w:val="00D4526E"/>
    <w:pPr>
      <w:tabs>
        <w:tab w:val="left" w:pos="180"/>
        <w:tab w:val="left" w:pos="1440"/>
        <w:tab w:val="right" w:leader="dot" w:pos="8990"/>
      </w:tabs>
      <w:ind w:left="1440" w:right="720" w:hanging="720"/>
    </w:pPr>
    <w:rPr>
      <w:rFonts w:eastAsia="Times New Roman" w:cs="Times New Roman"/>
      <w:sz w:val="20"/>
      <w:szCs w:val="20"/>
    </w:rPr>
  </w:style>
  <w:style w:type="character" w:styleId="PageNumber">
    <w:name w:val="page number"/>
    <w:basedOn w:val="DefaultParagraphFont"/>
    <w:rsid w:val="00780F91"/>
  </w:style>
  <w:style w:type="paragraph" w:styleId="TOC3">
    <w:name w:val="toc 3"/>
    <w:basedOn w:val="Normal"/>
    <w:next w:val="Normal"/>
    <w:autoRedefine/>
    <w:uiPriority w:val="39"/>
    <w:rsid w:val="00D4526E"/>
    <w:pPr>
      <w:tabs>
        <w:tab w:val="left" w:pos="1440"/>
        <w:tab w:val="left" w:pos="2340"/>
        <w:tab w:val="right" w:leader="dot" w:pos="9000"/>
      </w:tabs>
      <w:spacing w:after="40"/>
      <w:ind w:left="2347" w:right="1170" w:hanging="907"/>
    </w:pPr>
    <w:rPr>
      <w:rFonts w:eastAsia="Times New Roman" w:cs="Times New Roman"/>
      <w:sz w:val="20"/>
      <w:szCs w:val="20"/>
    </w:rPr>
  </w:style>
  <w:style w:type="character" w:customStyle="1" w:styleId="QuickFormat1">
    <w:name w:val="QuickFormat1"/>
    <w:uiPriority w:val="99"/>
    <w:rsid w:val="003C2CEA"/>
    <w:rPr>
      <w:rFonts w:ascii="Arial" w:hAnsi="Arial" w:cs="Arial"/>
      <w:b/>
      <w:bCs/>
      <w:color w:val="000000"/>
      <w:sz w:val="22"/>
      <w:szCs w:val="22"/>
    </w:rPr>
  </w:style>
  <w:style w:type="character" w:styleId="PlaceholderText">
    <w:name w:val="Placeholder Text"/>
    <w:basedOn w:val="DefaultParagraphFont"/>
    <w:uiPriority w:val="99"/>
    <w:semiHidden/>
    <w:rsid w:val="00E27842"/>
    <w:rPr>
      <w:color w:val="808080"/>
    </w:rPr>
  </w:style>
  <w:style w:type="character" w:styleId="Emphasis">
    <w:name w:val="Emphasis"/>
    <w:uiPriority w:val="20"/>
    <w:qFormat/>
    <w:rsid w:val="00942F1E"/>
    <w:rPr>
      <w:i/>
      <w:iCs/>
    </w:rPr>
  </w:style>
  <w:style w:type="paragraph" w:customStyle="1" w:styleId="indentfirstline05">
    <w:name w:val="indent first line 0.5"/>
    <w:basedOn w:val="Normal"/>
    <w:link w:val="indentfirstline05Char"/>
    <w:qFormat/>
    <w:rsid w:val="00500171"/>
    <w:pPr>
      <w:widowControl w:val="0"/>
      <w:spacing w:line="480" w:lineRule="auto"/>
      <w:ind w:firstLine="720"/>
    </w:pPr>
    <w:rPr>
      <w:rFonts w:eastAsia="Times New Roman"/>
    </w:rPr>
  </w:style>
  <w:style w:type="character" w:customStyle="1" w:styleId="indentfirstline05Char">
    <w:name w:val="indent first line 0.5 Char"/>
    <w:basedOn w:val="DefaultParagraphFont"/>
    <w:link w:val="indentfirstline05"/>
    <w:rsid w:val="00500171"/>
    <w:rPr>
      <w:rFonts w:eastAsia="Times New Roman"/>
    </w:rPr>
  </w:style>
  <w:style w:type="paragraph" w:customStyle="1" w:styleId="Default">
    <w:name w:val="Default"/>
    <w:rsid w:val="001245DE"/>
    <w:pPr>
      <w:autoSpaceDE w:val="0"/>
      <w:autoSpaceDN w:val="0"/>
      <w:adjustRightInd w:val="0"/>
      <w:spacing w:line="240" w:lineRule="auto"/>
    </w:pPr>
    <w:rPr>
      <w:rFonts w:ascii="Adobe Garamond Pro" w:hAnsi="Adobe Garamond Pro" w:cs="Adobe Garamond Pro"/>
      <w:color w:val="000000"/>
      <w:sz w:val="24"/>
      <w:szCs w:val="24"/>
    </w:rPr>
  </w:style>
  <w:style w:type="paragraph" w:styleId="TOC4">
    <w:name w:val="toc 4"/>
    <w:basedOn w:val="Normal"/>
    <w:next w:val="Normal"/>
    <w:autoRedefine/>
    <w:uiPriority w:val="39"/>
    <w:unhideWhenUsed/>
    <w:rsid w:val="00352DA6"/>
    <w:pPr>
      <w:autoSpaceDE/>
      <w:autoSpaceDN/>
      <w:adjustRightInd/>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352DA6"/>
    <w:pPr>
      <w:autoSpaceDE/>
      <w:autoSpaceDN/>
      <w:adjustRightInd/>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352DA6"/>
    <w:pPr>
      <w:autoSpaceDE/>
      <w:autoSpaceDN/>
      <w:adjustRightInd/>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352DA6"/>
    <w:pPr>
      <w:autoSpaceDE/>
      <w:autoSpaceDN/>
      <w:adjustRightInd/>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352DA6"/>
    <w:pPr>
      <w:autoSpaceDE/>
      <w:autoSpaceDN/>
      <w:adjustRightInd/>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352DA6"/>
    <w:pPr>
      <w:autoSpaceDE/>
      <w:autoSpaceDN/>
      <w:adjustRightInd/>
      <w:spacing w:after="100"/>
      <w:ind w:left="1760"/>
    </w:pPr>
    <w:rPr>
      <w:rFonts w:asciiTheme="minorHAnsi" w:eastAsiaTheme="minorEastAsia" w:hAnsiTheme="minorHAnsi" w:cstheme="minorBidi"/>
    </w:rPr>
  </w:style>
  <w:style w:type="character" w:styleId="HTMLCite">
    <w:name w:val="HTML Cite"/>
    <w:basedOn w:val="DefaultParagraphFont"/>
    <w:uiPriority w:val="99"/>
    <w:semiHidden/>
    <w:unhideWhenUsed/>
    <w:rsid w:val="002A3407"/>
    <w:rPr>
      <w:i w:val="0"/>
      <w:iCs w:val="0"/>
      <w:color w:val="006621"/>
    </w:rPr>
  </w:style>
  <w:style w:type="paragraph" w:styleId="NormalWeb">
    <w:name w:val="Normal (Web)"/>
    <w:basedOn w:val="Normal"/>
    <w:uiPriority w:val="99"/>
    <w:unhideWhenUsed/>
    <w:rsid w:val="000F4643"/>
    <w:pPr>
      <w:autoSpaceDE/>
      <w:autoSpaceDN/>
      <w:adjustRightInd/>
      <w:spacing w:after="300"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65422C"/>
  </w:style>
  <w:style w:type="paragraph" w:styleId="CommentSubject">
    <w:name w:val="annotation subject"/>
    <w:basedOn w:val="CommentText"/>
    <w:next w:val="CommentText"/>
    <w:link w:val="CommentSubjectChar"/>
    <w:uiPriority w:val="99"/>
    <w:semiHidden/>
    <w:unhideWhenUsed/>
    <w:rsid w:val="002C5253"/>
    <w:pPr>
      <w:widowControl/>
      <w:spacing w:line="240" w:lineRule="auto"/>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2C5253"/>
    <w:rPr>
      <w:rFonts w:ascii="Times New Roman" w:eastAsia="Times New Roman" w:hAnsi="Times New Roman" w:cs="Times New Roman"/>
      <w:b/>
      <w:bCs/>
      <w:sz w:val="20"/>
      <w:szCs w:val="20"/>
    </w:rPr>
  </w:style>
  <w:style w:type="paragraph" w:customStyle="1" w:styleId="headinglineafter">
    <w:name w:val="heading line after"/>
    <w:qFormat/>
    <w:rsid w:val="00830D24"/>
    <w:pPr>
      <w:keepNext/>
      <w:spacing w:line="240" w:lineRule="auto"/>
    </w:pPr>
    <w:rPr>
      <w:rFonts w:eastAsia="Times New Roman"/>
    </w:rPr>
  </w:style>
  <w:style w:type="paragraph" w:styleId="Revision">
    <w:name w:val="Revision"/>
    <w:hidden/>
    <w:uiPriority w:val="99"/>
    <w:semiHidden/>
    <w:rsid w:val="00891C71"/>
    <w:pPr>
      <w:spacing w:line="240" w:lineRule="auto"/>
    </w:pPr>
  </w:style>
  <w:style w:type="character" w:styleId="FollowedHyperlink">
    <w:name w:val="FollowedHyperlink"/>
    <w:basedOn w:val="DefaultParagraphFont"/>
    <w:uiPriority w:val="99"/>
    <w:semiHidden/>
    <w:unhideWhenUsed/>
    <w:rsid w:val="00754922"/>
    <w:rPr>
      <w:color w:val="800080" w:themeColor="followedHyperlink"/>
      <w:u w:val="single"/>
    </w:rPr>
  </w:style>
  <w:style w:type="paragraph" w:styleId="HTMLPreformatted">
    <w:name w:val="HTML Preformatted"/>
    <w:basedOn w:val="Normal"/>
    <w:link w:val="HTMLPreformattedChar"/>
    <w:uiPriority w:val="99"/>
    <w:semiHidden/>
    <w:unhideWhenUsed/>
    <w:rsid w:val="00C70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C70A22"/>
    <w:rPr>
      <w:rFonts w:ascii="Courier New" w:eastAsia="Times New Roman" w:hAnsi="Courier New" w:cs="Courier New"/>
      <w:sz w:val="20"/>
      <w:szCs w:val="20"/>
    </w:rPr>
  </w:style>
  <w:style w:type="numbering" w:customStyle="1" w:styleId="NoList1">
    <w:name w:val="No List1"/>
    <w:next w:val="NoList"/>
    <w:uiPriority w:val="99"/>
    <w:semiHidden/>
    <w:unhideWhenUsed/>
    <w:rsid w:val="006C27F6"/>
  </w:style>
  <w:style w:type="paragraph" w:customStyle="1" w:styleId="xl74">
    <w:name w:val="xl74"/>
    <w:basedOn w:val="Normal"/>
    <w:rsid w:val="006C27F6"/>
    <w:pPr>
      <w:autoSpaceDE/>
      <w:autoSpaceDN/>
      <w:adjustRightInd/>
      <w:spacing w:before="100" w:beforeAutospacing="1" w:after="100" w:afterAutospacing="1" w:line="240" w:lineRule="auto"/>
    </w:pPr>
    <w:rPr>
      <w:rFonts w:eastAsia="Times New Roman"/>
      <w:color w:val="auto"/>
      <w:sz w:val="20"/>
      <w:szCs w:val="20"/>
    </w:rPr>
  </w:style>
  <w:style w:type="paragraph" w:customStyle="1" w:styleId="xl75">
    <w:name w:val="xl75"/>
    <w:basedOn w:val="Normal"/>
    <w:rsid w:val="006C27F6"/>
    <w:pPr>
      <w:shd w:val="clear" w:color="000000" w:fill="FFFF00"/>
      <w:autoSpaceDE/>
      <w:autoSpaceDN/>
      <w:adjustRightInd/>
      <w:spacing w:before="100" w:beforeAutospacing="1" w:after="100" w:afterAutospacing="1" w:line="240" w:lineRule="auto"/>
    </w:pPr>
    <w:rPr>
      <w:rFonts w:eastAsia="Times New Roman"/>
      <w:color w:val="auto"/>
      <w:sz w:val="20"/>
      <w:szCs w:val="20"/>
    </w:rPr>
  </w:style>
  <w:style w:type="paragraph" w:customStyle="1" w:styleId="xl76">
    <w:name w:val="xl76"/>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77">
    <w:name w:val="xl77"/>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xl78">
    <w:name w:val="xl78"/>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79">
    <w:name w:val="xl79"/>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0">
    <w:name w:val="xl80"/>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1">
    <w:name w:val="xl81"/>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2">
    <w:name w:val="xl82"/>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3">
    <w:name w:val="xl83"/>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4">
    <w:name w:val="xl84"/>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5">
    <w:name w:val="xl85"/>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6">
    <w:name w:val="xl86"/>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7">
    <w:name w:val="xl87"/>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numbering" w:customStyle="1" w:styleId="NoList2">
    <w:name w:val="No List2"/>
    <w:next w:val="NoList"/>
    <w:uiPriority w:val="99"/>
    <w:semiHidden/>
    <w:unhideWhenUsed/>
    <w:rsid w:val="000D374F"/>
  </w:style>
  <w:style w:type="paragraph" w:customStyle="1" w:styleId="xl88">
    <w:name w:val="xl88"/>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9">
    <w:name w:val="xl89"/>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90">
    <w:name w:val="xl90"/>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1">
    <w:name w:val="xl91"/>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2">
    <w:name w:val="xl92"/>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3">
    <w:name w:val="xl93"/>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4">
    <w:name w:val="xl94"/>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5">
    <w:name w:val="xl95"/>
    <w:basedOn w:val="Normal"/>
    <w:rsid w:val="000D374F"/>
    <w:pPr>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6">
    <w:name w:val="xl96"/>
    <w:basedOn w:val="Normal"/>
    <w:rsid w:val="000D374F"/>
    <w:pPr>
      <w:pBdr>
        <w:top w:val="single" w:sz="8" w:space="0" w:color="auto"/>
        <w:left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7">
    <w:name w:val="xl97"/>
    <w:basedOn w:val="Normal"/>
    <w:rsid w:val="000D374F"/>
    <w:pPr>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8">
    <w:name w:val="xl98"/>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9">
    <w:name w:val="xl99"/>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0">
    <w:name w:val="xl100"/>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1">
    <w:name w:val="xl101"/>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102">
    <w:name w:val="xl102"/>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3">
    <w:name w:val="xl103"/>
    <w:basedOn w:val="Normal"/>
    <w:rsid w:val="000D374F"/>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4">
    <w:name w:val="xl104"/>
    <w:basedOn w:val="Normal"/>
    <w:rsid w:val="000D374F"/>
    <w:pPr>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5">
    <w:name w:val="xl105"/>
    <w:basedOn w:val="Normal"/>
    <w:rsid w:val="000D374F"/>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6">
    <w:name w:val="xl106"/>
    <w:basedOn w:val="Normal"/>
    <w:rsid w:val="000D374F"/>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7">
    <w:name w:val="xl107"/>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8">
    <w:name w:val="xl108"/>
    <w:basedOn w:val="Normal"/>
    <w:rsid w:val="000D374F"/>
    <w:pPr>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styleId="NoSpacing">
    <w:name w:val="No Spacing"/>
    <w:uiPriority w:val="1"/>
    <w:qFormat/>
    <w:rsid w:val="00AF7D14"/>
    <w:pPr>
      <w:autoSpaceDE w:val="0"/>
      <w:autoSpaceDN w:val="0"/>
      <w:adjustRightInd w:val="0"/>
      <w:spacing w:line="240" w:lineRule="auto"/>
    </w:pPr>
  </w:style>
  <w:style w:type="paragraph" w:customStyle="1" w:styleId="Level1">
    <w:name w:val="Level 1"/>
    <w:rsid w:val="00227B07"/>
    <w:pPr>
      <w:autoSpaceDE w:val="0"/>
      <w:autoSpaceDN w:val="0"/>
      <w:adjustRightInd w:val="0"/>
      <w:spacing w:line="240" w:lineRule="auto"/>
      <w:ind w:left="720"/>
    </w:pPr>
    <w:rPr>
      <w:rFonts w:ascii="Times New Roman" w:eastAsia="Times New Roman" w:hAnsi="Times New Roman" w:cs="Times New Roman"/>
      <w:sz w:val="24"/>
      <w:szCs w:val="24"/>
    </w:rPr>
  </w:style>
  <w:style w:type="paragraph" w:customStyle="1" w:styleId="MainTitle">
    <w:name w:val="Main Title"/>
    <w:rsid w:val="002537EE"/>
    <w:pPr>
      <w:widowControl w:val="0"/>
      <w:autoSpaceDE w:val="0"/>
      <w:autoSpaceDN w:val="0"/>
      <w:adjustRightInd w:val="0"/>
      <w:spacing w:line="240" w:lineRule="auto"/>
      <w:jc w:val="center"/>
    </w:pPr>
    <w:rPr>
      <w:rFonts w:eastAsia="Times New Roman"/>
      <w:b/>
      <w:bCs/>
      <w:color w:val="000000"/>
      <w:sz w:val="32"/>
      <w:szCs w:val="32"/>
    </w:rPr>
  </w:style>
  <w:style w:type="character" w:customStyle="1" w:styleId="UnresolvedMention1">
    <w:name w:val="Unresolved Mention1"/>
    <w:basedOn w:val="DefaultParagraphFont"/>
    <w:uiPriority w:val="99"/>
    <w:semiHidden/>
    <w:unhideWhenUsed/>
    <w:rsid w:val="00AE2200"/>
    <w:rPr>
      <w:color w:val="808080"/>
      <w:shd w:val="clear" w:color="auto" w:fill="E6E6E6"/>
    </w:rPr>
  </w:style>
  <w:style w:type="character" w:customStyle="1" w:styleId="UnresolvedMention11">
    <w:name w:val="Unresolved Mention11"/>
    <w:basedOn w:val="DefaultParagraphFont"/>
    <w:uiPriority w:val="99"/>
    <w:semiHidden/>
    <w:unhideWhenUsed/>
    <w:rsid w:val="003F55DE"/>
    <w:rPr>
      <w:color w:val="808080"/>
      <w:shd w:val="clear" w:color="auto" w:fill="E6E6E6"/>
    </w:rPr>
  </w:style>
  <w:style w:type="character" w:customStyle="1" w:styleId="UnresolvedMention2">
    <w:name w:val="Unresolved Mention2"/>
    <w:basedOn w:val="DefaultParagraphFont"/>
    <w:uiPriority w:val="99"/>
    <w:semiHidden/>
    <w:unhideWhenUsed/>
    <w:rsid w:val="00D53E6F"/>
    <w:rPr>
      <w:color w:val="605E5C"/>
      <w:shd w:val="clear" w:color="auto" w:fill="E1DFDD"/>
    </w:rPr>
  </w:style>
  <w:style w:type="character" w:customStyle="1" w:styleId="UnresolvedMention">
    <w:name w:val="Unresolved Mention"/>
    <w:basedOn w:val="DefaultParagraphFont"/>
    <w:uiPriority w:val="99"/>
    <w:semiHidden/>
    <w:unhideWhenUsed/>
    <w:rsid w:val="009414B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FF0"/>
    <w:pPr>
      <w:autoSpaceDE w:val="0"/>
      <w:autoSpaceDN w:val="0"/>
      <w:adjustRightInd w:val="0"/>
    </w:pPr>
    <w:rPr>
      <w:color w:val="000000" w:themeColor="text1"/>
    </w:rPr>
  </w:style>
  <w:style w:type="paragraph" w:styleId="Heading1">
    <w:name w:val="heading 1"/>
    <w:basedOn w:val="Normal"/>
    <w:next w:val="Normal"/>
    <w:link w:val="Heading1Char"/>
    <w:uiPriority w:val="9"/>
    <w:qFormat/>
    <w:rsid w:val="002303B1"/>
    <w:pPr>
      <w:keepNext/>
      <w:keepLines/>
      <w:spacing w:before="240"/>
      <w:outlineLvl w:val="0"/>
    </w:pPr>
    <w:rPr>
      <w:rFonts w:eastAsiaTheme="majorEastAsia"/>
      <w:b/>
      <w:bCs/>
      <w:szCs w:val="28"/>
    </w:rPr>
  </w:style>
  <w:style w:type="paragraph" w:styleId="Heading2">
    <w:name w:val="heading 2"/>
    <w:basedOn w:val="Heading1"/>
    <w:next w:val="Normal"/>
    <w:link w:val="Heading2Char"/>
    <w:uiPriority w:val="9"/>
    <w:unhideWhenUsed/>
    <w:qFormat/>
    <w:rsid w:val="00101045"/>
    <w:pPr>
      <w:numPr>
        <w:ilvl w:val="1"/>
      </w:numPr>
      <w:spacing w:before="0"/>
      <w:outlineLvl w:val="1"/>
    </w:pPr>
  </w:style>
  <w:style w:type="paragraph" w:styleId="Heading3">
    <w:name w:val="heading 3"/>
    <w:basedOn w:val="Heading2"/>
    <w:next w:val="Normal"/>
    <w:link w:val="Heading3Char"/>
    <w:uiPriority w:val="9"/>
    <w:unhideWhenUsed/>
    <w:qFormat/>
    <w:rsid w:val="00101045"/>
    <w:pPr>
      <w:keepLines w:val="0"/>
      <w:numPr>
        <w:ilvl w:val="2"/>
      </w:numPr>
      <w:ind w:left="1080" w:hanging="1080"/>
      <w:outlineLvl w:val="2"/>
    </w:pPr>
    <w:rPr>
      <w:b w:val="0"/>
      <w:i/>
      <w:szCs w:val="24"/>
    </w:rPr>
  </w:style>
  <w:style w:type="paragraph" w:styleId="Heading4">
    <w:name w:val="heading 4"/>
    <w:basedOn w:val="Heading3"/>
    <w:next w:val="Normal"/>
    <w:link w:val="Heading4Char"/>
    <w:uiPriority w:val="9"/>
    <w:unhideWhenUsed/>
    <w:qFormat/>
    <w:rsid w:val="003C3A04"/>
    <w:pPr>
      <w:keepNext w:val="0"/>
      <w:numPr>
        <w:ilvl w:val="3"/>
      </w:numPr>
      <w:ind w:left="2520" w:hanging="1440"/>
      <w:outlineLvl w:val="3"/>
    </w:pPr>
  </w:style>
  <w:style w:type="paragraph" w:styleId="Heading5">
    <w:name w:val="heading 5"/>
    <w:basedOn w:val="Normal"/>
    <w:next w:val="Normal"/>
    <w:link w:val="Heading5Char"/>
    <w:uiPriority w:val="9"/>
    <w:semiHidden/>
    <w:unhideWhenUsed/>
    <w:qFormat/>
    <w:rsid w:val="003C2CEA"/>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2CEA"/>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C2CEA"/>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Appendix H1"/>
    <w:basedOn w:val="Normal"/>
    <w:next w:val="Normal"/>
    <w:link w:val="Heading8Char"/>
    <w:uiPriority w:val="9"/>
    <w:unhideWhenUsed/>
    <w:qFormat/>
    <w:rsid w:val="003C2CEA"/>
    <w:pPr>
      <w:keepNext/>
      <w:keepLines/>
      <w:numPr>
        <w:ilvl w:val="7"/>
        <w:numId w:val="6"/>
      </w:numPr>
      <w:spacing w:before="200"/>
      <w:outlineLvl w:val="7"/>
    </w:pPr>
    <w:rPr>
      <w:rFonts w:eastAsiaTheme="majorEastAsia"/>
      <w:color w:val="404040" w:themeColor="text1" w:themeTint="BF"/>
    </w:rPr>
  </w:style>
  <w:style w:type="paragraph" w:styleId="Heading9">
    <w:name w:val="heading 9"/>
    <w:aliases w:val="Appendix H2"/>
    <w:basedOn w:val="Normal"/>
    <w:next w:val="Normal"/>
    <w:link w:val="Heading9Char"/>
    <w:uiPriority w:val="9"/>
    <w:unhideWhenUsed/>
    <w:qFormat/>
    <w:rsid w:val="003C2CEA"/>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6B7"/>
    <w:rPr>
      <w:rFonts w:eastAsiaTheme="majorEastAsia"/>
      <w:b/>
      <w:bCs/>
      <w:color w:val="000000" w:themeColor="text1"/>
      <w:szCs w:val="28"/>
    </w:rPr>
  </w:style>
  <w:style w:type="character" w:customStyle="1" w:styleId="Heading2Char">
    <w:name w:val="Heading 2 Char"/>
    <w:basedOn w:val="DefaultParagraphFont"/>
    <w:link w:val="Heading2"/>
    <w:uiPriority w:val="9"/>
    <w:rsid w:val="00101045"/>
    <w:rPr>
      <w:rFonts w:eastAsiaTheme="majorEastAsia"/>
      <w:b/>
      <w:bCs/>
      <w:color w:val="000000" w:themeColor="text1"/>
      <w:szCs w:val="28"/>
    </w:rPr>
  </w:style>
  <w:style w:type="character" w:customStyle="1" w:styleId="Heading3Char">
    <w:name w:val="Heading 3 Char"/>
    <w:basedOn w:val="DefaultParagraphFont"/>
    <w:link w:val="Heading3"/>
    <w:uiPriority w:val="9"/>
    <w:rsid w:val="00101045"/>
    <w:rPr>
      <w:rFonts w:eastAsiaTheme="majorEastAsia"/>
      <w:bCs/>
      <w:i/>
      <w:color w:val="000000" w:themeColor="text1"/>
      <w:szCs w:val="24"/>
    </w:rPr>
  </w:style>
  <w:style w:type="character" w:customStyle="1" w:styleId="Heading4Char">
    <w:name w:val="Heading 4 Char"/>
    <w:basedOn w:val="DefaultParagraphFont"/>
    <w:link w:val="Heading4"/>
    <w:uiPriority w:val="9"/>
    <w:rsid w:val="003C3A04"/>
    <w:rPr>
      <w:rFonts w:eastAsiaTheme="majorEastAsia"/>
      <w:bCs/>
      <w:i/>
      <w:color w:val="000000" w:themeColor="text1"/>
      <w:szCs w:val="24"/>
    </w:rPr>
  </w:style>
  <w:style w:type="character" w:customStyle="1" w:styleId="Heading5Char">
    <w:name w:val="Heading 5 Char"/>
    <w:basedOn w:val="DefaultParagraphFont"/>
    <w:link w:val="Heading5"/>
    <w:uiPriority w:val="9"/>
    <w:semiHidden/>
    <w:rsid w:val="003C2C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2CE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C2CEA"/>
    <w:rPr>
      <w:rFonts w:asciiTheme="majorHAnsi" w:eastAsiaTheme="majorEastAsia" w:hAnsiTheme="majorHAnsi" w:cstheme="majorBidi"/>
      <w:i/>
      <w:iCs/>
      <w:color w:val="404040" w:themeColor="text1" w:themeTint="BF"/>
    </w:rPr>
  </w:style>
  <w:style w:type="character" w:customStyle="1" w:styleId="Heading8Char">
    <w:name w:val="Heading 8 Char"/>
    <w:aliases w:val="Appendix H1 Char"/>
    <w:basedOn w:val="DefaultParagraphFont"/>
    <w:link w:val="Heading8"/>
    <w:uiPriority w:val="9"/>
    <w:rsid w:val="003C2CEA"/>
    <w:rPr>
      <w:rFonts w:eastAsiaTheme="majorEastAsia"/>
      <w:color w:val="404040" w:themeColor="text1" w:themeTint="BF"/>
    </w:rPr>
  </w:style>
  <w:style w:type="character" w:customStyle="1" w:styleId="Heading9Char">
    <w:name w:val="Heading 9 Char"/>
    <w:aliases w:val="Appendix H2 Char"/>
    <w:basedOn w:val="DefaultParagraphFont"/>
    <w:link w:val="Heading9"/>
    <w:uiPriority w:val="9"/>
    <w:rsid w:val="003C2CE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C424F4"/>
    <w:pPr>
      <w:ind w:left="720"/>
      <w:contextualSpacing/>
    </w:pPr>
  </w:style>
  <w:style w:type="character" w:customStyle="1" w:styleId="ListParagraphChar">
    <w:name w:val="List Paragraph Char"/>
    <w:basedOn w:val="DefaultParagraphFont"/>
    <w:link w:val="ListParagraph"/>
    <w:uiPriority w:val="34"/>
    <w:rsid w:val="00BC1D01"/>
  </w:style>
  <w:style w:type="paragraph" w:styleId="Header">
    <w:name w:val="header"/>
    <w:basedOn w:val="Normal"/>
    <w:link w:val="HeaderChar"/>
    <w:uiPriority w:val="99"/>
    <w:unhideWhenUsed/>
    <w:rsid w:val="007D4408"/>
    <w:pPr>
      <w:tabs>
        <w:tab w:val="center" w:pos="4680"/>
        <w:tab w:val="right" w:pos="9360"/>
      </w:tabs>
    </w:pPr>
  </w:style>
  <w:style w:type="character" w:customStyle="1" w:styleId="HeaderChar">
    <w:name w:val="Header Char"/>
    <w:basedOn w:val="DefaultParagraphFont"/>
    <w:link w:val="Header"/>
    <w:uiPriority w:val="99"/>
    <w:rsid w:val="007D4408"/>
  </w:style>
  <w:style w:type="paragraph" w:styleId="Footer">
    <w:name w:val="footer"/>
    <w:basedOn w:val="Normal"/>
    <w:link w:val="FooterChar"/>
    <w:uiPriority w:val="99"/>
    <w:unhideWhenUsed/>
    <w:rsid w:val="007D4408"/>
    <w:pPr>
      <w:tabs>
        <w:tab w:val="center" w:pos="4680"/>
        <w:tab w:val="right" w:pos="9360"/>
      </w:tabs>
    </w:pPr>
  </w:style>
  <w:style w:type="character" w:customStyle="1" w:styleId="FooterChar">
    <w:name w:val="Footer Char"/>
    <w:basedOn w:val="DefaultParagraphFont"/>
    <w:link w:val="Footer"/>
    <w:uiPriority w:val="99"/>
    <w:rsid w:val="007D4408"/>
  </w:style>
  <w:style w:type="paragraph" w:styleId="BalloonText">
    <w:name w:val="Balloon Text"/>
    <w:basedOn w:val="Normal"/>
    <w:link w:val="BalloonTextChar"/>
    <w:uiPriority w:val="99"/>
    <w:semiHidden/>
    <w:unhideWhenUsed/>
    <w:rsid w:val="00B515CC"/>
    <w:rPr>
      <w:rFonts w:ascii="Tahoma" w:hAnsi="Tahoma" w:cs="Tahoma"/>
      <w:sz w:val="16"/>
      <w:szCs w:val="16"/>
    </w:rPr>
  </w:style>
  <w:style w:type="character" w:customStyle="1" w:styleId="BalloonTextChar">
    <w:name w:val="Balloon Text Char"/>
    <w:basedOn w:val="DefaultParagraphFont"/>
    <w:link w:val="BalloonText"/>
    <w:uiPriority w:val="99"/>
    <w:semiHidden/>
    <w:rsid w:val="00B515CC"/>
    <w:rPr>
      <w:rFonts w:ascii="Tahoma" w:hAnsi="Tahoma" w:cs="Tahoma"/>
      <w:sz w:val="16"/>
      <w:szCs w:val="16"/>
    </w:rPr>
  </w:style>
  <w:style w:type="paragraph" w:styleId="FootnoteText">
    <w:name w:val="footnote text"/>
    <w:basedOn w:val="Normal"/>
    <w:link w:val="FootnoteTextChar"/>
    <w:unhideWhenUsed/>
    <w:rsid w:val="00AF5D92"/>
    <w:rPr>
      <w:rFonts w:eastAsia="Times New Roman" w:cs="Times New Roman"/>
      <w:sz w:val="20"/>
      <w:szCs w:val="20"/>
    </w:rPr>
  </w:style>
  <w:style w:type="character" w:customStyle="1" w:styleId="FootnoteTextChar">
    <w:name w:val="Footnote Text Char"/>
    <w:basedOn w:val="DefaultParagraphFont"/>
    <w:link w:val="FootnoteText"/>
    <w:rsid w:val="00AF5D92"/>
    <w:rPr>
      <w:rFonts w:eastAsia="Times New Roman" w:cs="Times New Roman"/>
      <w:sz w:val="20"/>
      <w:szCs w:val="20"/>
    </w:rPr>
  </w:style>
  <w:style w:type="character" w:styleId="FootnoteReference">
    <w:name w:val="footnote reference"/>
    <w:basedOn w:val="DefaultParagraphFont"/>
    <w:uiPriority w:val="99"/>
    <w:unhideWhenUsed/>
    <w:rsid w:val="00AF5D92"/>
  </w:style>
  <w:style w:type="paragraph" w:styleId="Caption">
    <w:name w:val="caption"/>
    <w:basedOn w:val="Normal"/>
    <w:next w:val="Normal"/>
    <w:uiPriority w:val="35"/>
    <w:unhideWhenUsed/>
    <w:qFormat/>
    <w:rsid w:val="00E1388B"/>
    <w:pPr>
      <w:keepNext/>
      <w:spacing w:after="200"/>
    </w:pPr>
    <w:rPr>
      <w:bCs/>
    </w:rPr>
  </w:style>
  <w:style w:type="character" w:styleId="Hyperlink">
    <w:name w:val="Hyperlink"/>
    <w:basedOn w:val="DefaultParagraphFont"/>
    <w:uiPriority w:val="99"/>
    <w:unhideWhenUsed/>
    <w:rsid w:val="00123B56"/>
    <w:rPr>
      <w:color w:val="0000FF"/>
      <w:u w:val="single"/>
    </w:rPr>
  </w:style>
  <w:style w:type="table" w:styleId="TableGrid">
    <w:name w:val="Table Grid"/>
    <w:basedOn w:val="TableNormal"/>
    <w:uiPriority w:val="59"/>
    <w:rsid w:val="004E37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BD3549"/>
    <w:rPr>
      <w:sz w:val="16"/>
      <w:szCs w:val="16"/>
    </w:rPr>
  </w:style>
  <w:style w:type="paragraph" w:styleId="CommentText">
    <w:name w:val="annotation text"/>
    <w:basedOn w:val="Normal"/>
    <w:link w:val="CommentTextChar"/>
    <w:rsid w:val="00BD3549"/>
    <w:pPr>
      <w:widowControl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D3549"/>
    <w:rPr>
      <w:rFonts w:ascii="Times New Roman" w:eastAsia="Times New Roman" w:hAnsi="Times New Roman" w:cs="Times New Roman"/>
      <w:sz w:val="20"/>
      <w:szCs w:val="20"/>
    </w:rPr>
  </w:style>
  <w:style w:type="paragraph" w:styleId="TOC1">
    <w:name w:val="toc 1"/>
    <w:basedOn w:val="Normal"/>
    <w:next w:val="Normal"/>
    <w:autoRedefine/>
    <w:uiPriority w:val="39"/>
    <w:rsid w:val="00D4526E"/>
    <w:pPr>
      <w:tabs>
        <w:tab w:val="left" w:pos="720"/>
        <w:tab w:val="right" w:leader="dot" w:pos="8990"/>
      </w:tabs>
      <w:ind w:right="720"/>
    </w:pPr>
    <w:rPr>
      <w:rFonts w:eastAsia="Times New Roman" w:cs="Times New Roman"/>
      <w:noProof/>
      <w:sz w:val="20"/>
      <w:szCs w:val="20"/>
    </w:rPr>
  </w:style>
  <w:style w:type="paragraph" w:styleId="TOC2">
    <w:name w:val="toc 2"/>
    <w:basedOn w:val="Normal"/>
    <w:next w:val="Normal"/>
    <w:autoRedefine/>
    <w:uiPriority w:val="39"/>
    <w:rsid w:val="00D4526E"/>
    <w:pPr>
      <w:tabs>
        <w:tab w:val="left" w:pos="180"/>
        <w:tab w:val="left" w:pos="1440"/>
        <w:tab w:val="right" w:leader="dot" w:pos="8990"/>
      </w:tabs>
      <w:ind w:left="1440" w:right="720" w:hanging="720"/>
    </w:pPr>
    <w:rPr>
      <w:rFonts w:eastAsia="Times New Roman" w:cs="Times New Roman"/>
      <w:sz w:val="20"/>
      <w:szCs w:val="20"/>
    </w:rPr>
  </w:style>
  <w:style w:type="character" w:styleId="PageNumber">
    <w:name w:val="page number"/>
    <w:basedOn w:val="DefaultParagraphFont"/>
    <w:rsid w:val="00780F91"/>
  </w:style>
  <w:style w:type="paragraph" w:styleId="TOC3">
    <w:name w:val="toc 3"/>
    <w:basedOn w:val="Normal"/>
    <w:next w:val="Normal"/>
    <w:autoRedefine/>
    <w:uiPriority w:val="39"/>
    <w:rsid w:val="00D4526E"/>
    <w:pPr>
      <w:tabs>
        <w:tab w:val="left" w:pos="1440"/>
        <w:tab w:val="left" w:pos="2340"/>
        <w:tab w:val="right" w:leader="dot" w:pos="9000"/>
      </w:tabs>
      <w:spacing w:after="40"/>
      <w:ind w:left="2347" w:right="1170" w:hanging="907"/>
    </w:pPr>
    <w:rPr>
      <w:rFonts w:eastAsia="Times New Roman" w:cs="Times New Roman"/>
      <w:sz w:val="20"/>
      <w:szCs w:val="20"/>
    </w:rPr>
  </w:style>
  <w:style w:type="character" w:customStyle="1" w:styleId="QuickFormat1">
    <w:name w:val="QuickFormat1"/>
    <w:uiPriority w:val="99"/>
    <w:rsid w:val="003C2CEA"/>
    <w:rPr>
      <w:rFonts w:ascii="Arial" w:hAnsi="Arial" w:cs="Arial"/>
      <w:b/>
      <w:bCs/>
      <w:color w:val="000000"/>
      <w:sz w:val="22"/>
      <w:szCs w:val="22"/>
    </w:rPr>
  </w:style>
  <w:style w:type="character" w:styleId="PlaceholderText">
    <w:name w:val="Placeholder Text"/>
    <w:basedOn w:val="DefaultParagraphFont"/>
    <w:uiPriority w:val="99"/>
    <w:semiHidden/>
    <w:rsid w:val="00E27842"/>
    <w:rPr>
      <w:color w:val="808080"/>
    </w:rPr>
  </w:style>
  <w:style w:type="character" w:styleId="Emphasis">
    <w:name w:val="Emphasis"/>
    <w:uiPriority w:val="20"/>
    <w:qFormat/>
    <w:rsid w:val="00942F1E"/>
    <w:rPr>
      <w:i/>
      <w:iCs/>
    </w:rPr>
  </w:style>
  <w:style w:type="paragraph" w:customStyle="1" w:styleId="indentfirstline05">
    <w:name w:val="indent first line 0.5"/>
    <w:basedOn w:val="Normal"/>
    <w:link w:val="indentfirstline05Char"/>
    <w:qFormat/>
    <w:rsid w:val="00500171"/>
    <w:pPr>
      <w:widowControl w:val="0"/>
      <w:spacing w:line="480" w:lineRule="auto"/>
      <w:ind w:firstLine="720"/>
    </w:pPr>
    <w:rPr>
      <w:rFonts w:eastAsia="Times New Roman"/>
    </w:rPr>
  </w:style>
  <w:style w:type="character" w:customStyle="1" w:styleId="indentfirstline05Char">
    <w:name w:val="indent first line 0.5 Char"/>
    <w:basedOn w:val="DefaultParagraphFont"/>
    <w:link w:val="indentfirstline05"/>
    <w:rsid w:val="00500171"/>
    <w:rPr>
      <w:rFonts w:eastAsia="Times New Roman"/>
    </w:rPr>
  </w:style>
  <w:style w:type="paragraph" w:customStyle="1" w:styleId="Default">
    <w:name w:val="Default"/>
    <w:rsid w:val="001245DE"/>
    <w:pPr>
      <w:autoSpaceDE w:val="0"/>
      <w:autoSpaceDN w:val="0"/>
      <w:adjustRightInd w:val="0"/>
      <w:spacing w:line="240" w:lineRule="auto"/>
    </w:pPr>
    <w:rPr>
      <w:rFonts w:ascii="Adobe Garamond Pro" w:hAnsi="Adobe Garamond Pro" w:cs="Adobe Garamond Pro"/>
      <w:color w:val="000000"/>
      <w:sz w:val="24"/>
      <w:szCs w:val="24"/>
    </w:rPr>
  </w:style>
  <w:style w:type="paragraph" w:styleId="TOC4">
    <w:name w:val="toc 4"/>
    <w:basedOn w:val="Normal"/>
    <w:next w:val="Normal"/>
    <w:autoRedefine/>
    <w:uiPriority w:val="39"/>
    <w:unhideWhenUsed/>
    <w:rsid w:val="00352DA6"/>
    <w:pPr>
      <w:autoSpaceDE/>
      <w:autoSpaceDN/>
      <w:adjustRightInd/>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352DA6"/>
    <w:pPr>
      <w:autoSpaceDE/>
      <w:autoSpaceDN/>
      <w:adjustRightInd/>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352DA6"/>
    <w:pPr>
      <w:autoSpaceDE/>
      <w:autoSpaceDN/>
      <w:adjustRightInd/>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352DA6"/>
    <w:pPr>
      <w:autoSpaceDE/>
      <w:autoSpaceDN/>
      <w:adjustRightInd/>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352DA6"/>
    <w:pPr>
      <w:autoSpaceDE/>
      <w:autoSpaceDN/>
      <w:adjustRightInd/>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352DA6"/>
    <w:pPr>
      <w:autoSpaceDE/>
      <w:autoSpaceDN/>
      <w:adjustRightInd/>
      <w:spacing w:after="100"/>
      <w:ind w:left="1760"/>
    </w:pPr>
    <w:rPr>
      <w:rFonts w:asciiTheme="minorHAnsi" w:eastAsiaTheme="minorEastAsia" w:hAnsiTheme="minorHAnsi" w:cstheme="minorBidi"/>
    </w:rPr>
  </w:style>
  <w:style w:type="character" w:styleId="HTMLCite">
    <w:name w:val="HTML Cite"/>
    <w:basedOn w:val="DefaultParagraphFont"/>
    <w:uiPriority w:val="99"/>
    <w:semiHidden/>
    <w:unhideWhenUsed/>
    <w:rsid w:val="002A3407"/>
    <w:rPr>
      <w:i w:val="0"/>
      <w:iCs w:val="0"/>
      <w:color w:val="006621"/>
    </w:rPr>
  </w:style>
  <w:style w:type="paragraph" w:styleId="NormalWeb">
    <w:name w:val="Normal (Web)"/>
    <w:basedOn w:val="Normal"/>
    <w:uiPriority w:val="99"/>
    <w:unhideWhenUsed/>
    <w:rsid w:val="000F4643"/>
    <w:pPr>
      <w:autoSpaceDE/>
      <w:autoSpaceDN/>
      <w:adjustRightInd/>
      <w:spacing w:after="300"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65422C"/>
  </w:style>
  <w:style w:type="paragraph" w:styleId="CommentSubject">
    <w:name w:val="annotation subject"/>
    <w:basedOn w:val="CommentText"/>
    <w:next w:val="CommentText"/>
    <w:link w:val="CommentSubjectChar"/>
    <w:uiPriority w:val="99"/>
    <w:semiHidden/>
    <w:unhideWhenUsed/>
    <w:rsid w:val="002C5253"/>
    <w:pPr>
      <w:widowControl/>
      <w:spacing w:line="240" w:lineRule="auto"/>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2C5253"/>
    <w:rPr>
      <w:rFonts w:ascii="Times New Roman" w:eastAsia="Times New Roman" w:hAnsi="Times New Roman" w:cs="Times New Roman"/>
      <w:b/>
      <w:bCs/>
      <w:sz w:val="20"/>
      <w:szCs w:val="20"/>
    </w:rPr>
  </w:style>
  <w:style w:type="paragraph" w:customStyle="1" w:styleId="headinglineafter">
    <w:name w:val="heading line after"/>
    <w:qFormat/>
    <w:rsid w:val="00830D24"/>
    <w:pPr>
      <w:keepNext/>
      <w:spacing w:line="240" w:lineRule="auto"/>
    </w:pPr>
    <w:rPr>
      <w:rFonts w:eastAsia="Times New Roman"/>
    </w:rPr>
  </w:style>
  <w:style w:type="paragraph" w:styleId="Revision">
    <w:name w:val="Revision"/>
    <w:hidden/>
    <w:uiPriority w:val="99"/>
    <w:semiHidden/>
    <w:rsid w:val="00891C71"/>
    <w:pPr>
      <w:spacing w:line="240" w:lineRule="auto"/>
    </w:pPr>
  </w:style>
  <w:style w:type="character" w:styleId="FollowedHyperlink">
    <w:name w:val="FollowedHyperlink"/>
    <w:basedOn w:val="DefaultParagraphFont"/>
    <w:uiPriority w:val="99"/>
    <w:semiHidden/>
    <w:unhideWhenUsed/>
    <w:rsid w:val="00754922"/>
    <w:rPr>
      <w:color w:val="800080" w:themeColor="followedHyperlink"/>
      <w:u w:val="single"/>
    </w:rPr>
  </w:style>
  <w:style w:type="paragraph" w:styleId="HTMLPreformatted">
    <w:name w:val="HTML Preformatted"/>
    <w:basedOn w:val="Normal"/>
    <w:link w:val="HTMLPreformattedChar"/>
    <w:uiPriority w:val="99"/>
    <w:semiHidden/>
    <w:unhideWhenUsed/>
    <w:rsid w:val="00C70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C70A22"/>
    <w:rPr>
      <w:rFonts w:ascii="Courier New" w:eastAsia="Times New Roman" w:hAnsi="Courier New" w:cs="Courier New"/>
      <w:sz w:val="20"/>
      <w:szCs w:val="20"/>
    </w:rPr>
  </w:style>
  <w:style w:type="numbering" w:customStyle="1" w:styleId="NoList1">
    <w:name w:val="No List1"/>
    <w:next w:val="NoList"/>
    <w:uiPriority w:val="99"/>
    <w:semiHidden/>
    <w:unhideWhenUsed/>
    <w:rsid w:val="006C27F6"/>
  </w:style>
  <w:style w:type="paragraph" w:customStyle="1" w:styleId="xl74">
    <w:name w:val="xl74"/>
    <w:basedOn w:val="Normal"/>
    <w:rsid w:val="006C27F6"/>
    <w:pPr>
      <w:autoSpaceDE/>
      <w:autoSpaceDN/>
      <w:adjustRightInd/>
      <w:spacing w:before="100" w:beforeAutospacing="1" w:after="100" w:afterAutospacing="1" w:line="240" w:lineRule="auto"/>
    </w:pPr>
    <w:rPr>
      <w:rFonts w:eastAsia="Times New Roman"/>
      <w:color w:val="auto"/>
      <w:sz w:val="20"/>
      <w:szCs w:val="20"/>
    </w:rPr>
  </w:style>
  <w:style w:type="paragraph" w:customStyle="1" w:styleId="xl75">
    <w:name w:val="xl75"/>
    <w:basedOn w:val="Normal"/>
    <w:rsid w:val="006C27F6"/>
    <w:pPr>
      <w:shd w:val="clear" w:color="000000" w:fill="FFFF00"/>
      <w:autoSpaceDE/>
      <w:autoSpaceDN/>
      <w:adjustRightInd/>
      <w:spacing w:before="100" w:beforeAutospacing="1" w:after="100" w:afterAutospacing="1" w:line="240" w:lineRule="auto"/>
    </w:pPr>
    <w:rPr>
      <w:rFonts w:eastAsia="Times New Roman"/>
      <w:color w:val="auto"/>
      <w:sz w:val="20"/>
      <w:szCs w:val="20"/>
    </w:rPr>
  </w:style>
  <w:style w:type="paragraph" w:customStyle="1" w:styleId="xl76">
    <w:name w:val="xl76"/>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77">
    <w:name w:val="xl77"/>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xl78">
    <w:name w:val="xl78"/>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79">
    <w:name w:val="xl79"/>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0">
    <w:name w:val="xl80"/>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1">
    <w:name w:val="xl81"/>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2">
    <w:name w:val="xl82"/>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3">
    <w:name w:val="xl83"/>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4">
    <w:name w:val="xl84"/>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5">
    <w:name w:val="xl85"/>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6">
    <w:name w:val="xl86"/>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7">
    <w:name w:val="xl87"/>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numbering" w:customStyle="1" w:styleId="NoList2">
    <w:name w:val="No List2"/>
    <w:next w:val="NoList"/>
    <w:uiPriority w:val="99"/>
    <w:semiHidden/>
    <w:unhideWhenUsed/>
    <w:rsid w:val="000D374F"/>
  </w:style>
  <w:style w:type="paragraph" w:customStyle="1" w:styleId="xl88">
    <w:name w:val="xl88"/>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9">
    <w:name w:val="xl89"/>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90">
    <w:name w:val="xl90"/>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1">
    <w:name w:val="xl91"/>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2">
    <w:name w:val="xl92"/>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3">
    <w:name w:val="xl93"/>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4">
    <w:name w:val="xl94"/>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5">
    <w:name w:val="xl95"/>
    <w:basedOn w:val="Normal"/>
    <w:rsid w:val="000D374F"/>
    <w:pPr>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6">
    <w:name w:val="xl96"/>
    <w:basedOn w:val="Normal"/>
    <w:rsid w:val="000D374F"/>
    <w:pPr>
      <w:pBdr>
        <w:top w:val="single" w:sz="8" w:space="0" w:color="auto"/>
        <w:left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7">
    <w:name w:val="xl97"/>
    <w:basedOn w:val="Normal"/>
    <w:rsid w:val="000D374F"/>
    <w:pPr>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8">
    <w:name w:val="xl98"/>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9">
    <w:name w:val="xl99"/>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0">
    <w:name w:val="xl100"/>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1">
    <w:name w:val="xl101"/>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102">
    <w:name w:val="xl102"/>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3">
    <w:name w:val="xl103"/>
    <w:basedOn w:val="Normal"/>
    <w:rsid w:val="000D374F"/>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4">
    <w:name w:val="xl104"/>
    <w:basedOn w:val="Normal"/>
    <w:rsid w:val="000D374F"/>
    <w:pPr>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5">
    <w:name w:val="xl105"/>
    <w:basedOn w:val="Normal"/>
    <w:rsid w:val="000D374F"/>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6">
    <w:name w:val="xl106"/>
    <w:basedOn w:val="Normal"/>
    <w:rsid w:val="000D374F"/>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7">
    <w:name w:val="xl107"/>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8">
    <w:name w:val="xl108"/>
    <w:basedOn w:val="Normal"/>
    <w:rsid w:val="000D374F"/>
    <w:pPr>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styleId="NoSpacing">
    <w:name w:val="No Spacing"/>
    <w:uiPriority w:val="1"/>
    <w:qFormat/>
    <w:rsid w:val="00AF7D14"/>
    <w:pPr>
      <w:autoSpaceDE w:val="0"/>
      <w:autoSpaceDN w:val="0"/>
      <w:adjustRightInd w:val="0"/>
      <w:spacing w:line="240" w:lineRule="auto"/>
    </w:pPr>
  </w:style>
  <w:style w:type="paragraph" w:customStyle="1" w:styleId="Level1">
    <w:name w:val="Level 1"/>
    <w:rsid w:val="00227B07"/>
    <w:pPr>
      <w:autoSpaceDE w:val="0"/>
      <w:autoSpaceDN w:val="0"/>
      <w:adjustRightInd w:val="0"/>
      <w:spacing w:line="240" w:lineRule="auto"/>
      <w:ind w:left="720"/>
    </w:pPr>
    <w:rPr>
      <w:rFonts w:ascii="Times New Roman" w:eastAsia="Times New Roman" w:hAnsi="Times New Roman" w:cs="Times New Roman"/>
      <w:sz w:val="24"/>
      <w:szCs w:val="24"/>
    </w:rPr>
  </w:style>
  <w:style w:type="paragraph" w:customStyle="1" w:styleId="MainTitle">
    <w:name w:val="Main Title"/>
    <w:rsid w:val="002537EE"/>
    <w:pPr>
      <w:widowControl w:val="0"/>
      <w:autoSpaceDE w:val="0"/>
      <w:autoSpaceDN w:val="0"/>
      <w:adjustRightInd w:val="0"/>
      <w:spacing w:line="240" w:lineRule="auto"/>
      <w:jc w:val="center"/>
    </w:pPr>
    <w:rPr>
      <w:rFonts w:eastAsia="Times New Roman"/>
      <w:b/>
      <w:bCs/>
      <w:color w:val="000000"/>
      <w:sz w:val="32"/>
      <w:szCs w:val="32"/>
    </w:rPr>
  </w:style>
  <w:style w:type="character" w:customStyle="1" w:styleId="UnresolvedMention1">
    <w:name w:val="Unresolved Mention1"/>
    <w:basedOn w:val="DefaultParagraphFont"/>
    <w:uiPriority w:val="99"/>
    <w:semiHidden/>
    <w:unhideWhenUsed/>
    <w:rsid w:val="00AE2200"/>
    <w:rPr>
      <w:color w:val="808080"/>
      <w:shd w:val="clear" w:color="auto" w:fill="E6E6E6"/>
    </w:rPr>
  </w:style>
  <w:style w:type="character" w:customStyle="1" w:styleId="UnresolvedMention11">
    <w:name w:val="Unresolved Mention11"/>
    <w:basedOn w:val="DefaultParagraphFont"/>
    <w:uiPriority w:val="99"/>
    <w:semiHidden/>
    <w:unhideWhenUsed/>
    <w:rsid w:val="003F55DE"/>
    <w:rPr>
      <w:color w:val="808080"/>
      <w:shd w:val="clear" w:color="auto" w:fill="E6E6E6"/>
    </w:rPr>
  </w:style>
  <w:style w:type="character" w:customStyle="1" w:styleId="UnresolvedMention2">
    <w:name w:val="Unresolved Mention2"/>
    <w:basedOn w:val="DefaultParagraphFont"/>
    <w:uiPriority w:val="99"/>
    <w:semiHidden/>
    <w:unhideWhenUsed/>
    <w:rsid w:val="00D53E6F"/>
    <w:rPr>
      <w:color w:val="605E5C"/>
      <w:shd w:val="clear" w:color="auto" w:fill="E1DFDD"/>
    </w:rPr>
  </w:style>
  <w:style w:type="character" w:customStyle="1" w:styleId="UnresolvedMention">
    <w:name w:val="Unresolved Mention"/>
    <w:basedOn w:val="DefaultParagraphFont"/>
    <w:uiPriority w:val="99"/>
    <w:semiHidden/>
    <w:unhideWhenUsed/>
    <w:rsid w:val="009414B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395">
      <w:bodyDiv w:val="1"/>
      <w:marLeft w:val="0"/>
      <w:marRight w:val="0"/>
      <w:marTop w:val="0"/>
      <w:marBottom w:val="0"/>
      <w:divBdr>
        <w:top w:val="none" w:sz="0" w:space="0" w:color="auto"/>
        <w:left w:val="none" w:sz="0" w:space="0" w:color="auto"/>
        <w:bottom w:val="none" w:sz="0" w:space="0" w:color="auto"/>
        <w:right w:val="none" w:sz="0" w:space="0" w:color="auto"/>
      </w:divBdr>
    </w:div>
    <w:div w:id="6714953">
      <w:bodyDiv w:val="1"/>
      <w:marLeft w:val="0"/>
      <w:marRight w:val="0"/>
      <w:marTop w:val="0"/>
      <w:marBottom w:val="0"/>
      <w:divBdr>
        <w:top w:val="none" w:sz="0" w:space="0" w:color="auto"/>
        <w:left w:val="none" w:sz="0" w:space="0" w:color="auto"/>
        <w:bottom w:val="none" w:sz="0" w:space="0" w:color="auto"/>
        <w:right w:val="none" w:sz="0" w:space="0" w:color="auto"/>
      </w:divBdr>
    </w:div>
    <w:div w:id="28187875">
      <w:bodyDiv w:val="1"/>
      <w:marLeft w:val="0"/>
      <w:marRight w:val="0"/>
      <w:marTop w:val="0"/>
      <w:marBottom w:val="0"/>
      <w:divBdr>
        <w:top w:val="none" w:sz="0" w:space="0" w:color="auto"/>
        <w:left w:val="none" w:sz="0" w:space="0" w:color="auto"/>
        <w:bottom w:val="none" w:sz="0" w:space="0" w:color="auto"/>
        <w:right w:val="none" w:sz="0" w:space="0" w:color="auto"/>
      </w:divBdr>
    </w:div>
    <w:div w:id="31157082">
      <w:bodyDiv w:val="1"/>
      <w:marLeft w:val="0"/>
      <w:marRight w:val="0"/>
      <w:marTop w:val="0"/>
      <w:marBottom w:val="0"/>
      <w:divBdr>
        <w:top w:val="none" w:sz="0" w:space="0" w:color="auto"/>
        <w:left w:val="none" w:sz="0" w:space="0" w:color="auto"/>
        <w:bottom w:val="none" w:sz="0" w:space="0" w:color="auto"/>
        <w:right w:val="none" w:sz="0" w:space="0" w:color="auto"/>
      </w:divBdr>
    </w:div>
    <w:div w:id="85005519">
      <w:bodyDiv w:val="1"/>
      <w:marLeft w:val="0"/>
      <w:marRight w:val="0"/>
      <w:marTop w:val="0"/>
      <w:marBottom w:val="0"/>
      <w:divBdr>
        <w:top w:val="none" w:sz="0" w:space="0" w:color="auto"/>
        <w:left w:val="none" w:sz="0" w:space="0" w:color="auto"/>
        <w:bottom w:val="none" w:sz="0" w:space="0" w:color="auto"/>
        <w:right w:val="none" w:sz="0" w:space="0" w:color="auto"/>
      </w:divBdr>
    </w:div>
    <w:div w:id="92170293">
      <w:bodyDiv w:val="1"/>
      <w:marLeft w:val="0"/>
      <w:marRight w:val="0"/>
      <w:marTop w:val="0"/>
      <w:marBottom w:val="0"/>
      <w:divBdr>
        <w:top w:val="none" w:sz="0" w:space="0" w:color="auto"/>
        <w:left w:val="none" w:sz="0" w:space="0" w:color="auto"/>
        <w:bottom w:val="none" w:sz="0" w:space="0" w:color="auto"/>
        <w:right w:val="none" w:sz="0" w:space="0" w:color="auto"/>
      </w:divBdr>
    </w:div>
    <w:div w:id="127672260">
      <w:bodyDiv w:val="1"/>
      <w:marLeft w:val="0"/>
      <w:marRight w:val="0"/>
      <w:marTop w:val="0"/>
      <w:marBottom w:val="0"/>
      <w:divBdr>
        <w:top w:val="none" w:sz="0" w:space="0" w:color="auto"/>
        <w:left w:val="none" w:sz="0" w:space="0" w:color="auto"/>
        <w:bottom w:val="none" w:sz="0" w:space="0" w:color="auto"/>
        <w:right w:val="none" w:sz="0" w:space="0" w:color="auto"/>
      </w:divBdr>
    </w:div>
    <w:div w:id="148525482">
      <w:bodyDiv w:val="1"/>
      <w:marLeft w:val="0"/>
      <w:marRight w:val="0"/>
      <w:marTop w:val="0"/>
      <w:marBottom w:val="0"/>
      <w:divBdr>
        <w:top w:val="none" w:sz="0" w:space="0" w:color="auto"/>
        <w:left w:val="none" w:sz="0" w:space="0" w:color="auto"/>
        <w:bottom w:val="none" w:sz="0" w:space="0" w:color="auto"/>
        <w:right w:val="none" w:sz="0" w:space="0" w:color="auto"/>
      </w:divBdr>
    </w:div>
    <w:div w:id="201677485">
      <w:bodyDiv w:val="1"/>
      <w:marLeft w:val="0"/>
      <w:marRight w:val="0"/>
      <w:marTop w:val="0"/>
      <w:marBottom w:val="0"/>
      <w:divBdr>
        <w:top w:val="none" w:sz="0" w:space="0" w:color="auto"/>
        <w:left w:val="none" w:sz="0" w:space="0" w:color="auto"/>
        <w:bottom w:val="none" w:sz="0" w:space="0" w:color="auto"/>
        <w:right w:val="none" w:sz="0" w:space="0" w:color="auto"/>
      </w:divBdr>
      <w:divsChild>
        <w:div w:id="1092899359">
          <w:marLeft w:val="0"/>
          <w:marRight w:val="0"/>
          <w:marTop w:val="0"/>
          <w:marBottom w:val="0"/>
          <w:divBdr>
            <w:top w:val="none" w:sz="0" w:space="0" w:color="auto"/>
            <w:left w:val="none" w:sz="0" w:space="0" w:color="auto"/>
            <w:bottom w:val="none" w:sz="0" w:space="0" w:color="auto"/>
            <w:right w:val="none" w:sz="0" w:space="0" w:color="auto"/>
          </w:divBdr>
          <w:divsChild>
            <w:div w:id="1347712023">
              <w:marLeft w:val="0"/>
              <w:marRight w:val="0"/>
              <w:marTop w:val="0"/>
              <w:marBottom w:val="0"/>
              <w:divBdr>
                <w:top w:val="none" w:sz="0" w:space="0" w:color="auto"/>
                <w:left w:val="none" w:sz="0" w:space="0" w:color="auto"/>
                <w:bottom w:val="none" w:sz="0" w:space="0" w:color="auto"/>
                <w:right w:val="none" w:sz="0" w:space="0" w:color="auto"/>
              </w:divBdr>
              <w:divsChild>
                <w:div w:id="545261924">
                  <w:marLeft w:val="0"/>
                  <w:marRight w:val="0"/>
                  <w:marTop w:val="0"/>
                  <w:marBottom w:val="0"/>
                  <w:divBdr>
                    <w:top w:val="none" w:sz="0" w:space="0" w:color="auto"/>
                    <w:left w:val="none" w:sz="0" w:space="0" w:color="auto"/>
                    <w:bottom w:val="none" w:sz="0" w:space="0" w:color="auto"/>
                    <w:right w:val="none" w:sz="0" w:space="0" w:color="auto"/>
                  </w:divBdr>
                  <w:divsChild>
                    <w:div w:id="639968589">
                      <w:marLeft w:val="0"/>
                      <w:marRight w:val="0"/>
                      <w:marTop w:val="0"/>
                      <w:marBottom w:val="0"/>
                      <w:divBdr>
                        <w:top w:val="none" w:sz="0" w:space="0" w:color="auto"/>
                        <w:left w:val="none" w:sz="0" w:space="0" w:color="auto"/>
                        <w:bottom w:val="none" w:sz="0" w:space="0" w:color="auto"/>
                        <w:right w:val="none" w:sz="0" w:space="0" w:color="auto"/>
                      </w:divBdr>
                      <w:divsChild>
                        <w:div w:id="1575623726">
                          <w:marLeft w:val="0"/>
                          <w:marRight w:val="0"/>
                          <w:marTop w:val="0"/>
                          <w:marBottom w:val="0"/>
                          <w:divBdr>
                            <w:top w:val="none" w:sz="0" w:space="0" w:color="auto"/>
                            <w:left w:val="none" w:sz="0" w:space="0" w:color="auto"/>
                            <w:bottom w:val="none" w:sz="0" w:space="0" w:color="auto"/>
                            <w:right w:val="none" w:sz="0" w:space="0" w:color="auto"/>
                          </w:divBdr>
                          <w:divsChild>
                            <w:div w:id="19026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6389">
      <w:bodyDiv w:val="1"/>
      <w:marLeft w:val="0"/>
      <w:marRight w:val="0"/>
      <w:marTop w:val="0"/>
      <w:marBottom w:val="0"/>
      <w:divBdr>
        <w:top w:val="none" w:sz="0" w:space="0" w:color="auto"/>
        <w:left w:val="none" w:sz="0" w:space="0" w:color="auto"/>
        <w:bottom w:val="none" w:sz="0" w:space="0" w:color="auto"/>
        <w:right w:val="none" w:sz="0" w:space="0" w:color="auto"/>
      </w:divBdr>
    </w:div>
    <w:div w:id="292098275">
      <w:bodyDiv w:val="1"/>
      <w:marLeft w:val="0"/>
      <w:marRight w:val="0"/>
      <w:marTop w:val="0"/>
      <w:marBottom w:val="0"/>
      <w:divBdr>
        <w:top w:val="none" w:sz="0" w:space="0" w:color="auto"/>
        <w:left w:val="none" w:sz="0" w:space="0" w:color="auto"/>
        <w:bottom w:val="none" w:sz="0" w:space="0" w:color="auto"/>
        <w:right w:val="none" w:sz="0" w:space="0" w:color="auto"/>
      </w:divBdr>
    </w:div>
    <w:div w:id="296028380">
      <w:bodyDiv w:val="1"/>
      <w:marLeft w:val="0"/>
      <w:marRight w:val="0"/>
      <w:marTop w:val="0"/>
      <w:marBottom w:val="0"/>
      <w:divBdr>
        <w:top w:val="none" w:sz="0" w:space="0" w:color="auto"/>
        <w:left w:val="none" w:sz="0" w:space="0" w:color="auto"/>
        <w:bottom w:val="none" w:sz="0" w:space="0" w:color="auto"/>
        <w:right w:val="none" w:sz="0" w:space="0" w:color="auto"/>
      </w:divBdr>
    </w:div>
    <w:div w:id="306590999">
      <w:bodyDiv w:val="1"/>
      <w:marLeft w:val="0"/>
      <w:marRight w:val="0"/>
      <w:marTop w:val="0"/>
      <w:marBottom w:val="0"/>
      <w:divBdr>
        <w:top w:val="none" w:sz="0" w:space="0" w:color="auto"/>
        <w:left w:val="none" w:sz="0" w:space="0" w:color="auto"/>
        <w:bottom w:val="none" w:sz="0" w:space="0" w:color="auto"/>
        <w:right w:val="none" w:sz="0" w:space="0" w:color="auto"/>
      </w:divBdr>
    </w:div>
    <w:div w:id="308291562">
      <w:bodyDiv w:val="1"/>
      <w:marLeft w:val="0"/>
      <w:marRight w:val="0"/>
      <w:marTop w:val="0"/>
      <w:marBottom w:val="0"/>
      <w:divBdr>
        <w:top w:val="none" w:sz="0" w:space="0" w:color="auto"/>
        <w:left w:val="none" w:sz="0" w:space="0" w:color="auto"/>
        <w:bottom w:val="none" w:sz="0" w:space="0" w:color="auto"/>
        <w:right w:val="none" w:sz="0" w:space="0" w:color="auto"/>
      </w:divBdr>
    </w:div>
    <w:div w:id="318115028">
      <w:bodyDiv w:val="1"/>
      <w:marLeft w:val="0"/>
      <w:marRight w:val="0"/>
      <w:marTop w:val="0"/>
      <w:marBottom w:val="0"/>
      <w:divBdr>
        <w:top w:val="none" w:sz="0" w:space="0" w:color="auto"/>
        <w:left w:val="none" w:sz="0" w:space="0" w:color="auto"/>
        <w:bottom w:val="none" w:sz="0" w:space="0" w:color="auto"/>
        <w:right w:val="none" w:sz="0" w:space="0" w:color="auto"/>
      </w:divBdr>
    </w:div>
    <w:div w:id="399671213">
      <w:bodyDiv w:val="1"/>
      <w:marLeft w:val="0"/>
      <w:marRight w:val="0"/>
      <w:marTop w:val="0"/>
      <w:marBottom w:val="0"/>
      <w:divBdr>
        <w:top w:val="none" w:sz="0" w:space="0" w:color="auto"/>
        <w:left w:val="none" w:sz="0" w:space="0" w:color="auto"/>
        <w:bottom w:val="none" w:sz="0" w:space="0" w:color="auto"/>
        <w:right w:val="none" w:sz="0" w:space="0" w:color="auto"/>
      </w:divBdr>
    </w:div>
    <w:div w:id="404454746">
      <w:bodyDiv w:val="1"/>
      <w:marLeft w:val="0"/>
      <w:marRight w:val="0"/>
      <w:marTop w:val="0"/>
      <w:marBottom w:val="0"/>
      <w:divBdr>
        <w:top w:val="none" w:sz="0" w:space="0" w:color="auto"/>
        <w:left w:val="none" w:sz="0" w:space="0" w:color="auto"/>
        <w:bottom w:val="none" w:sz="0" w:space="0" w:color="auto"/>
        <w:right w:val="none" w:sz="0" w:space="0" w:color="auto"/>
      </w:divBdr>
    </w:div>
    <w:div w:id="422262806">
      <w:bodyDiv w:val="1"/>
      <w:marLeft w:val="0"/>
      <w:marRight w:val="0"/>
      <w:marTop w:val="0"/>
      <w:marBottom w:val="0"/>
      <w:divBdr>
        <w:top w:val="none" w:sz="0" w:space="0" w:color="auto"/>
        <w:left w:val="none" w:sz="0" w:space="0" w:color="auto"/>
        <w:bottom w:val="none" w:sz="0" w:space="0" w:color="auto"/>
        <w:right w:val="none" w:sz="0" w:space="0" w:color="auto"/>
      </w:divBdr>
    </w:div>
    <w:div w:id="671833845">
      <w:bodyDiv w:val="1"/>
      <w:marLeft w:val="0"/>
      <w:marRight w:val="0"/>
      <w:marTop w:val="0"/>
      <w:marBottom w:val="0"/>
      <w:divBdr>
        <w:top w:val="none" w:sz="0" w:space="0" w:color="auto"/>
        <w:left w:val="none" w:sz="0" w:space="0" w:color="auto"/>
        <w:bottom w:val="none" w:sz="0" w:space="0" w:color="auto"/>
        <w:right w:val="none" w:sz="0" w:space="0" w:color="auto"/>
      </w:divBdr>
    </w:div>
    <w:div w:id="715549582">
      <w:bodyDiv w:val="1"/>
      <w:marLeft w:val="0"/>
      <w:marRight w:val="0"/>
      <w:marTop w:val="0"/>
      <w:marBottom w:val="0"/>
      <w:divBdr>
        <w:top w:val="none" w:sz="0" w:space="0" w:color="auto"/>
        <w:left w:val="none" w:sz="0" w:space="0" w:color="auto"/>
        <w:bottom w:val="none" w:sz="0" w:space="0" w:color="auto"/>
        <w:right w:val="none" w:sz="0" w:space="0" w:color="auto"/>
      </w:divBdr>
    </w:div>
    <w:div w:id="761950382">
      <w:bodyDiv w:val="1"/>
      <w:marLeft w:val="0"/>
      <w:marRight w:val="0"/>
      <w:marTop w:val="0"/>
      <w:marBottom w:val="0"/>
      <w:divBdr>
        <w:top w:val="none" w:sz="0" w:space="0" w:color="auto"/>
        <w:left w:val="none" w:sz="0" w:space="0" w:color="auto"/>
        <w:bottom w:val="none" w:sz="0" w:space="0" w:color="auto"/>
        <w:right w:val="none" w:sz="0" w:space="0" w:color="auto"/>
      </w:divBdr>
    </w:div>
    <w:div w:id="780222259">
      <w:bodyDiv w:val="1"/>
      <w:marLeft w:val="0"/>
      <w:marRight w:val="0"/>
      <w:marTop w:val="0"/>
      <w:marBottom w:val="0"/>
      <w:divBdr>
        <w:top w:val="none" w:sz="0" w:space="0" w:color="auto"/>
        <w:left w:val="none" w:sz="0" w:space="0" w:color="auto"/>
        <w:bottom w:val="none" w:sz="0" w:space="0" w:color="auto"/>
        <w:right w:val="none" w:sz="0" w:space="0" w:color="auto"/>
      </w:divBdr>
    </w:div>
    <w:div w:id="780303684">
      <w:bodyDiv w:val="1"/>
      <w:marLeft w:val="0"/>
      <w:marRight w:val="0"/>
      <w:marTop w:val="0"/>
      <w:marBottom w:val="0"/>
      <w:divBdr>
        <w:top w:val="none" w:sz="0" w:space="0" w:color="auto"/>
        <w:left w:val="none" w:sz="0" w:space="0" w:color="auto"/>
        <w:bottom w:val="none" w:sz="0" w:space="0" w:color="auto"/>
        <w:right w:val="none" w:sz="0" w:space="0" w:color="auto"/>
      </w:divBdr>
    </w:div>
    <w:div w:id="791825716">
      <w:bodyDiv w:val="1"/>
      <w:marLeft w:val="0"/>
      <w:marRight w:val="0"/>
      <w:marTop w:val="0"/>
      <w:marBottom w:val="0"/>
      <w:divBdr>
        <w:top w:val="none" w:sz="0" w:space="0" w:color="auto"/>
        <w:left w:val="none" w:sz="0" w:space="0" w:color="auto"/>
        <w:bottom w:val="none" w:sz="0" w:space="0" w:color="auto"/>
        <w:right w:val="none" w:sz="0" w:space="0" w:color="auto"/>
      </w:divBdr>
    </w:div>
    <w:div w:id="956063274">
      <w:bodyDiv w:val="1"/>
      <w:marLeft w:val="0"/>
      <w:marRight w:val="0"/>
      <w:marTop w:val="0"/>
      <w:marBottom w:val="0"/>
      <w:divBdr>
        <w:top w:val="none" w:sz="0" w:space="0" w:color="auto"/>
        <w:left w:val="none" w:sz="0" w:space="0" w:color="auto"/>
        <w:bottom w:val="none" w:sz="0" w:space="0" w:color="auto"/>
        <w:right w:val="none" w:sz="0" w:space="0" w:color="auto"/>
      </w:divBdr>
    </w:div>
    <w:div w:id="978876185">
      <w:bodyDiv w:val="1"/>
      <w:marLeft w:val="0"/>
      <w:marRight w:val="0"/>
      <w:marTop w:val="0"/>
      <w:marBottom w:val="0"/>
      <w:divBdr>
        <w:top w:val="none" w:sz="0" w:space="0" w:color="auto"/>
        <w:left w:val="none" w:sz="0" w:space="0" w:color="auto"/>
        <w:bottom w:val="none" w:sz="0" w:space="0" w:color="auto"/>
        <w:right w:val="none" w:sz="0" w:space="0" w:color="auto"/>
      </w:divBdr>
    </w:div>
    <w:div w:id="998656971">
      <w:bodyDiv w:val="1"/>
      <w:marLeft w:val="0"/>
      <w:marRight w:val="0"/>
      <w:marTop w:val="0"/>
      <w:marBottom w:val="0"/>
      <w:divBdr>
        <w:top w:val="none" w:sz="0" w:space="0" w:color="auto"/>
        <w:left w:val="none" w:sz="0" w:space="0" w:color="auto"/>
        <w:bottom w:val="none" w:sz="0" w:space="0" w:color="auto"/>
        <w:right w:val="none" w:sz="0" w:space="0" w:color="auto"/>
      </w:divBdr>
    </w:div>
    <w:div w:id="1018434277">
      <w:bodyDiv w:val="1"/>
      <w:marLeft w:val="0"/>
      <w:marRight w:val="0"/>
      <w:marTop w:val="0"/>
      <w:marBottom w:val="0"/>
      <w:divBdr>
        <w:top w:val="none" w:sz="0" w:space="0" w:color="auto"/>
        <w:left w:val="none" w:sz="0" w:space="0" w:color="auto"/>
        <w:bottom w:val="none" w:sz="0" w:space="0" w:color="auto"/>
        <w:right w:val="none" w:sz="0" w:space="0" w:color="auto"/>
      </w:divBdr>
    </w:div>
    <w:div w:id="1043553926">
      <w:bodyDiv w:val="1"/>
      <w:marLeft w:val="0"/>
      <w:marRight w:val="0"/>
      <w:marTop w:val="0"/>
      <w:marBottom w:val="0"/>
      <w:divBdr>
        <w:top w:val="none" w:sz="0" w:space="0" w:color="auto"/>
        <w:left w:val="none" w:sz="0" w:space="0" w:color="auto"/>
        <w:bottom w:val="none" w:sz="0" w:space="0" w:color="auto"/>
        <w:right w:val="none" w:sz="0" w:space="0" w:color="auto"/>
      </w:divBdr>
    </w:div>
    <w:div w:id="1096100283">
      <w:bodyDiv w:val="1"/>
      <w:marLeft w:val="0"/>
      <w:marRight w:val="0"/>
      <w:marTop w:val="0"/>
      <w:marBottom w:val="0"/>
      <w:divBdr>
        <w:top w:val="none" w:sz="0" w:space="0" w:color="auto"/>
        <w:left w:val="none" w:sz="0" w:space="0" w:color="auto"/>
        <w:bottom w:val="none" w:sz="0" w:space="0" w:color="auto"/>
        <w:right w:val="none" w:sz="0" w:space="0" w:color="auto"/>
      </w:divBdr>
    </w:div>
    <w:div w:id="1100680424">
      <w:bodyDiv w:val="1"/>
      <w:marLeft w:val="0"/>
      <w:marRight w:val="0"/>
      <w:marTop w:val="0"/>
      <w:marBottom w:val="0"/>
      <w:divBdr>
        <w:top w:val="none" w:sz="0" w:space="0" w:color="auto"/>
        <w:left w:val="none" w:sz="0" w:space="0" w:color="auto"/>
        <w:bottom w:val="none" w:sz="0" w:space="0" w:color="auto"/>
        <w:right w:val="none" w:sz="0" w:space="0" w:color="auto"/>
      </w:divBdr>
    </w:div>
    <w:div w:id="1220706119">
      <w:bodyDiv w:val="1"/>
      <w:marLeft w:val="0"/>
      <w:marRight w:val="0"/>
      <w:marTop w:val="0"/>
      <w:marBottom w:val="0"/>
      <w:divBdr>
        <w:top w:val="none" w:sz="0" w:space="0" w:color="auto"/>
        <w:left w:val="none" w:sz="0" w:space="0" w:color="auto"/>
        <w:bottom w:val="none" w:sz="0" w:space="0" w:color="auto"/>
        <w:right w:val="none" w:sz="0" w:space="0" w:color="auto"/>
      </w:divBdr>
    </w:div>
    <w:div w:id="1230775129">
      <w:bodyDiv w:val="1"/>
      <w:marLeft w:val="0"/>
      <w:marRight w:val="0"/>
      <w:marTop w:val="0"/>
      <w:marBottom w:val="0"/>
      <w:divBdr>
        <w:top w:val="none" w:sz="0" w:space="0" w:color="auto"/>
        <w:left w:val="none" w:sz="0" w:space="0" w:color="auto"/>
        <w:bottom w:val="none" w:sz="0" w:space="0" w:color="auto"/>
        <w:right w:val="none" w:sz="0" w:space="0" w:color="auto"/>
      </w:divBdr>
    </w:div>
    <w:div w:id="1231423945">
      <w:bodyDiv w:val="1"/>
      <w:marLeft w:val="0"/>
      <w:marRight w:val="0"/>
      <w:marTop w:val="0"/>
      <w:marBottom w:val="0"/>
      <w:divBdr>
        <w:top w:val="none" w:sz="0" w:space="0" w:color="auto"/>
        <w:left w:val="none" w:sz="0" w:space="0" w:color="auto"/>
        <w:bottom w:val="none" w:sz="0" w:space="0" w:color="auto"/>
        <w:right w:val="none" w:sz="0" w:space="0" w:color="auto"/>
      </w:divBdr>
    </w:div>
    <w:div w:id="1246257771">
      <w:bodyDiv w:val="1"/>
      <w:marLeft w:val="0"/>
      <w:marRight w:val="0"/>
      <w:marTop w:val="0"/>
      <w:marBottom w:val="0"/>
      <w:divBdr>
        <w:top w:val="none" w:sz="0" w:space="0" w:color="auto"/>
        <w:left w:val="none" w:sz="0" w:space="0" w:color="auto"/>
        <w:bottom w:val="none" w:sz="0" w:space="0" w:color="auto"/>
        <w:right w:val="none" w:sz="0" w:space="0" w:color="auto"/>
      </w:divBdr>
    </w:div>
    <w:div w:id="1279794242">
      <w:bodyDiv w:val="1"/>
      <w:marLeft w:val="0"/>
      <w:marRight w:val="0"/>
      <w:marTop w:val="0"/>
      <w:marBottom w:val="0"/>
      <w:divBdr>
        <w:top w:val="none" w:sz="0" w:space="0" w:color="auto"/>
        <w:left w:val="none" w:sz="0" w:space="0" w:color="auto"/>
        <w:bottom w:val="none" w:sz="0" w:space="0" w:color="auto"/>
        <w:right w:val="none" w:sz="0" w:space="0" w:color="auto"/>
      </w:divBdr>
    </w:div>
    <w:div w:id="1309823076">
      <w:bodyDiv w:val="1"/>
      <w:marLeft w:val="0"/>
      <w:marRight w:val="0"/>
      <w:marTop w:val="0"/>
      <w:marBottom w:val="0"/>
      <w:divBdr>
        <w:top w:val="none" w:sz="0" w:space="0" w:color="auto"/>
        <w:left w:val="none" w:sz="0" w:space="0" w:color="auto"/>
        <w:bottom w:val="none" w:sz="0" w:space="0" w:color="auto"/>
        <w:right w:val="none" w:sz="0" w:space="0" w:color="auto"/>
      </w:divBdr>
    </w:div>
    <w:div w:id="1312948347">
      <w:bodyDiv w:val="1"/>
      <w:marLeft w:val="0"/>
      <w:marRight w:val="0"/>
      <w:marTop w:val="0"/>
      <w:marBottom w:val="0"/>
      <w:divBdr>
        <w:top w:val="none" w:sz="0" w:space="0" w:color="auto"/>
        <w:left w:val="none" w:sz="0" w:space="0" w:color="auto"/>
        <w:bottom w:val="none" w:sz="0" w:space="0" w:color="auto"/>
        <w:right w:val="none" w:sz="0" w:space="0" w:color="auto"/>
      </w:divBdr>
    </w:div>
    <w:div w:id="1376927908">
      <w:bodyDiv w:val="1"/>
      <w:marLeft w:val="0"/>
      <w:marRight w:val="0"/>
      <w:marTop w:val="0"/>
      <w:marBottom w:val="0"/>
      <w:divBdr>
        <w:top w:val="none" w:sz="0" w:space="0" w:color="auto"/>
        <w:left w:val="none" w:sz="0" w:space="0" w:color="auto"/>
        <w:bottom w:val="none" w:sz="0" w:space="0" w:color="auto"/>
        <w:right w:val="none" w:sz="0" w:space="0" w:color="auto"/>
      </w:divBdr>
    </w:div>
    <w:div w:id="1419523944">
      <w:bodyDiv w:val="1"/>
      <w:marLeft w:val="0"/>
      <w:marRight w:val="0"/>
      <w:marTop w:val="0"/>
      <w:marBottom w:val="0"/>
      <w:divBdr>
        <w:top w:val="none" w:sz="0" w:space="0" w:color="auto"/>
        <w:left w:val="none" w:sz="0" w:space="0" w:color="auto"/>
        <w:bottom w:val="none" w:sz="0" w:space="0" w:color="auto"/>
        <w:right w:val="none" w:sz="0" w:space="0" w:color="auto"/>
      </w:divBdr>
    </w:div>
    <w:div w:id="1431076170">
      <w:bodyDiv w:val="1"/>
      <w:marLeft w:val="0"/>
      <w:marRight w:val="0"/>
      <w:marTop w:val="0"/>
      <w:marBottom w:val="0"/>
      <w:divBdr>
        <w:top w:val="none" w:sz="0" w:space="0" w:color="auto"/>
        <w:left w:val="none" w:sz="0" w:space="0" w:color="auto"/>
        <w:bottom w:val="none" w:sz="0" w:space="0" w:color="auto"/>
        <w:right w:val="none" w:sz="0" w:space="0" w:color="auto"/>
      </w:divBdr>
    </w:div>
    <w:div w:id="1457528626">
      <w:bodyDiv w:val="1"/>
      <w:marLeft w:val="0"/>
      <w:marRight w:val="0"/>
      <w:marTop w:val="0"/>
      <w:marBottom w:val="0"/>
      <w:divBdr>
        <w:top w:val="none" w:sz="0" w:space="0" w:color="auto"/>
        <w:left w:val="none" w:sz="0" w:space="0" w:color="auto"/>
        <w:bottom w:val="none" w:sz="0" w:space="0" w:color="auto"/>
        <w:right w:val="none" w:sz="0" w:space="0" w:color="auto"/>
      </w:divBdr>
    </w:div>
    <w:div w:id="1468350422">
      <w:bodyDiv w:val="1"/>
      <w:marLeft w:val="0"/>
      <w:marRight w:val="0"/>
      <w:marTop w:val="0"/>
      <w:marBottom w:val="0"/>
      <w:divBdr>
        <w:top w:val="none" w:sz="0" w:space="0" w:color="auto"/>
        <w:left w:val="none" w:sz="0" w:space="0" w:color="auto"/>
        <w:bottom w:val="none" w:sz="0" w:space="0" w:color="auto"/>
        <w:right w:val="none" w:sz="0" w:space="0" w:color="auto"/>
      </w:divBdr>
    </w:div>
    <w:div w:id="1524249154">
      <w:bodyDiv w:val="1"/>
      <w:marLeft w:val="0"/>
      <w:marRight w:val="0"/>
      <w:marTop w:val="0"/>
      <w:marBottom w:val="0"/>
      <w:divBdr>
        <w:top w:val="none" w:sz="0" w:space="0" w:color="auto"/>
        <w:left w:val="none" w:sz="0" w:space="0" w:color="auto"/>
        <w:bottom w:val="none" w:sz="0" w:space="0" w:color="auto"/>
        <w:right w:val="none" w:sz="0" w:space="0" w:color="auto"/>
      </w:divBdr>
    </w:div>
    <w:div w:id="1557157847">
      <w:bodyDiv w:val="1"/>
      <w:marLeft w:val="0"/>
      <w:marRight w:val="0"/>
      <w:marTop w:val="0"/>
      <w:marBottom w:val="0"/>
      <w:divBdr>
        <w:top w:val="none" w:sz="0" w:space="0" w:color="auto"/>
        <w:left w:val="none" w:sz="0" w:space="0" w:color="auto"/>
        <w:bottom w:val="none" w:sz="0" w:space="0" w:color="auto"/>
        <w:right w:val="none" w:sz="0" w:space="0" w:color="auto"/>
      </w:divBdr>
    </w:div>
    <w:div w:id="1614558240">
      <w:bodyDiv w:val="1"/>
      <w:marLeft w:val="0"/>
      <w:marRight w:val="0"/>
      <w:marTop w:val="0"/>
      <w:marBottom w:val="0"/>
      <w:divBdr>
        <w:top w:val="none" w:sz="0" w:space="0" w:color="auto"/>
        <w:left w:val="none" w:sz="0" w:space="0" w:color="auto"/>
        <w:bottom w:val="none" w:sz="0" w:space="0" w:color="auto"/>
        <w:right w:val="none" w:sz="0" w:space="0" w:color="auto"/>
      </w:divBdr>
    </w:div>
    <w:div w:id="1659651035">
      <w:bodyDiv w:val="1"/>
      <w:marLeft w:val="0"/>
      <w:marRight w:val="0"/>
      <w:marTop w:val="0"/>
      <w:marBottom w:val="0"/>
      <w:divBdr>
        <w:top w:val="none" w:sz="0" w:space="0" w:color="auto"/>
        <w:left w:val="none" w:sz="0" w:space="0" w:color="auto"/>
        <w:bottom w:val="none" w:sz="0" w:space="0" w:color="auto"/>
        <w:right w:val="none" w:sz="0" w:space="0" w:color="auto"/>
      </w:divBdr>
    </w:div>
    <w:div w:id="1686516913">
      <w:bodyDiv w:val="1"/>
      <w:marLeft w:val="0"/>
      <w:marRight w:val="0"/>
      <w:marTop w:val="0"/>
      <w:marBottom w:val="0"/>
      <w:divBdr>
        <w:top w:val="none" w:sz="0" w:space="0" w:color="auto"/>
        <w:left w:val="none" w:sz="0" w:space="0" w:color="auto"/>
        <w:bottom w:val="none" w:sz="0" w:space="0" w:color="auto"/>
        <w:right w:val="none" w:sz="0" w:space="0" w:color="auto"/>
      </w:divBdr>
    </w:div>
    <w:div w:id="1689452836">
      <w:bodyDiv w:val="1"/>
      <w:marLeft w:val="0"/>
      <w:marRight w:val="0"/>
      <w:marTop w:val="0"/>
      <w:marBottom w:val="0"/>
      <w:divBdr>
        <w:top w:val="none" w:sz="0" w:space="0" w:color="auto"/>
        <w:left w:val="none" w:sz="0" w:space="0" w:color="auto"/>
        <w:bottom w:val="none" w:sz="0" w:space="0" w:color="auto"/>
        <w:right w:val="none" w:sz="0" w:space="0" w:color="auto"/>
      </w:divBdr>
    </w:div>
    <w:div w:id="1749383415">
      <w:bodyDiv w:val="1"/>
      <w:marLeft w:val="0"/>
      <w:marRight w:val="0"/>
      <w:marTop w:val="0"/>
      <w:marBottom w:val="0"/>
      <w:divBdr>
        <w:top w:val="none" w:sz="0" w:space="0" w:color="auto"/>
        <w:left w:val="none" w:sz="0" w:space="0" w:color="auto"/>
        <w:bottom w:val="none" w:sz="0" w:space="0" w:color="auto"/>
        <w:right w:val="none" w:sz="0" w:space="0" w:color="auto"/>
      </w:divBdr>
    </w:div>
    <w:div w:id="1786077109">
      <w:bodyDiv w:val="1"/>
      <w:marLeft w:val="0"/>
      <w:marRight w:val="0"/>
      <w:marTop w:val="0"/>
      <w:marBottom w:val="0"/>
      <w:divBdr>
        <w:top w:val="none" w:sz="0" w:space="0" w:color="auto"/>
        <w:left w:val="none" w:sz="0" w:space="0" w:color="auto"/>
        <w:bottom w:val="none" w:sz="0" w:space="0" w:color="auto"/>
        <w:right w:val="none" w:sz="0" w:space="0" w:color="auto"/>
      </w:divBdr>
    </w:div>
    <w:div w:id="1807121512">
      <w:bodyDiv w:val="1"/>
      <w:marLeft w:val="0"/>
      <w:marRight w:val="0"/>
      <w:marTop w:val="0"/>
      <w:marBottom w:val="0"/>
      <w:divBdr>
        <w:top w:val="none" w:sz="0" w:space="0" w:color="auto"/>
        <w:left w:val="none" w:sz="0" w:space="0" w:color="auto"/>
        <w:bottom w:val="none" w:sz="0" w:space="0" w:color="auto"/>
        <w:right w:val="none" w:sz="0" w:space="0" w:color="auto"/>
      </w:divBdr>
    </w:div>
    <w:div w:id="1813518824">
      <w:bodyDiv w:val="1"/>
      <w:marLeft w:val="0"/>
      <w:marRight w:val="0"/>
      <w:marTop w:val="0"/>
      <w:marBottom w:val="0"/>
      <w:divBdr>
        <w:top w:val="none" w:sz="0" w:space="0" w:color="auto"/>
        <w:left w:val="none" w:sz="0" w:space="0" w:color="auto"/>
        <w:bottom w:val="none" w:sz="0" w:space="0" w:color="auto"/>
        <w:right w:val="none" w:sz="0" w:space="0" w:color="auto"/>
      </w:divBdr>
    </w:div>
    <w:div w:id="1862864020">
      <w:bodyDiv w:val="1"/>
      <w:marLeft w:val="0"/>
      <w:marRight w:val="0"/>
      <w:marTop w:val="0"/>
      <w:marBottom w:val="0"/>
      <w:divBdr>
        <w:top w:val="none" w:sz="0" w:space="0" w:color="auto"/>
        <w:left w:val="none" w:sz="0" w:space="0" w:color="auto"/>
        <w:bottom w:val="none" w:sz="0" w:space="0" w:color="auto"/>
        <w:right w:val="none" w:sz="0" w:space="0" w:color="auto"/>
      </w:divBdr>
    </w:div>
    <w:div w:id="1890651432">
      <w:bodyDiv w:val="1"/>
      <w:marLeft w:val="0"/>
      <w:marRight w:val="0"/>
      <w:marTop w:val="0"/>
      <w:marBottom w:val="0"/>
      <w:divBdr>
        <w:top w:val="none" w:sz="0" w:space="0" w:color="auto"/>
        <w:left w:val="none" w:sz="0" w:space="0" w:color="auto"/>
        <w:bottom w:val="none" w:sz="0" w:space="0" w:color="auto"/>
        <w:right w:val="none" w:sz="0" w:space="0" w:color="auto"/>
      </w:divBdr>
    </w:div>
    <w:div w:id="1921089169">
      <w:bodyDiv w:val="1"/>
      <w:marLeft w:val="0"/>
      <w:marRight w:val="0"/>
      <w:marTop w:val="0"/>
      <w:marBottom w:val="0"/>
      <w:divBdr>
        <w:top w:val="none" w:sz="0" w:space="0" w:color="auto"/>
        <w:left w:val="none" w:sz="0" w:space="0" w:color="auto"/>
        <w:bottom w:val="none" w:sz="0" w:space="0" w:color="auto"/>
        <w:right w:val="none" w:sz="0" w:space="0" w:color="auto"/>
      </w:divBdr>
    </w:div>
    <w:div w:id="1978073313">
      <w:bodyDiv w:val="1"/>
      <w:marLeft w:val="0"/>
      <w:marRight w:val="0"/>
      <w:marTop w:val="0"/>
      <w:marBottom w:val="0"/>
      <w:divBdr>
        <w:top w:val="none" w:sz="0" w:space="0" w:color="auto"/>
        <w:left w:val="none" w:sz="0" w:space="0" w:color="auto"/>
        <w:bottom w:val="none" w:sz="0" w:space="0" w:color="auto"/>
        <w:right w:val="none" w:sz="0" w:space="0" w:color="auto"/>
      </w:divBdr>
    </w:div>
    <w:div w:id="1998922211">
      <w:bodyDiv w:val="1"/>
      <w:marLeft w:val="0"/>
      <w:marRight w:val="0"/>
      <w:marTop w:val="0"/>
      <w:marBottom w:val="0"/>
      <w:divBdr>
        <w:top w:val="none" w:sz="0" w:space="0" w:color="auto"/>
        <w:left w:val="none" w:sz="0" w:space="0" w:color="auto"/>
        <w:bottom w:val="none" w:sz="0" w:space="0" w:color="auto"/>
        <w:right w:val="none" w:sz="0" w:space="0" w:color="auto"/>
      </w:divBdr>
    </w:div>
    <w:div w:id="2007131678">
      <w:bodyDiv w:val="1"/>
      <w:marLeft w:val="0"/>
      <w:marRight w:val="0"/>
      <w:marTop w:val="0"/>
      <w:marBottom w:val="0"/>
      <w:divBdr>
        <w:top w:val="none" w:sz="0" w:space="0" w:color="auto"/>
        <w:left w:val="none" w:sz="0" w:space="0" w:color="auto"/>
        <w:bottom w:val="none" w:sz="0" w:space="0" w:color="auto"/>
        <w:right w:val="none" w:sz="0" w:space="0" w:color="auto"/>
      </w:divBdr>
    </w:div>
    <w:div w:id="2089224918">
      <w:bodyDiv w:val="1"/>
      <w:marLeft w:val="0"/>
      <w:marRight w:val="0"/>
      <w:marTop w:val="0"/>
      <w:marBottom w:val="0"/>
      <w:divBdr>
        <w:top w:val="none" w:sz="0" w:space="0" w:color="auto"/>
        <w:left w:val="none" w:sz="0" w:space="0" w:color="auto"/>
        <w:bottom w:val="none" w:sz="0" w:space="0" w:color="auto"/>
        <w:right w:val="none" w:sz="0" w:space="0" w:color="auto"/>
      </w:divBdr>
    </w:div>
    <w:div w:id="2117169002">
      <w:bodyDiv w:val="1"/>
      <w:marLeft w:val="0"/>
      <w:marRight w:val="0"/>
      <w:marTop w:val="0"/>
      <w:marBottom w:val="0"/>
      <w:divBdr>
        <w:top w:val="none" w:sz="0" w:space="0" w:color="auto"/>
        <w:left w:val="none" w:sz="0" w:space="0" w:color="auto"/>
        <w:bottom w:val="none" w:sz="0" w:space="0" w:color="auto"/>
        <w:right w:val="none" w:sz="0" w:space="0" w:color="auto"/>
      </w:divBdr>
    </w:div>
    <w:div w:id="2142646662">
      <w:bodyDiv w:val="1"/>
      <w:marLeft w:val="0"/>
      <w:marRight w:val="0"/>
      <w:marTop w:val="0"/>
      <w:marBottom w:val="0"/>
      <w:divBdr>
        <w:top w:val="none" w:sz="0" w:space="0" w:color="auto"/>
        <w:left w:val="none" w:sz="0" w:space="0" w:color="auto"/>
        <w:bottom w:val="none" w:sz="0" w:space="0" w:color="auto"/>
        <w:right w:val="none" w:sz="0" w:space="0" w:color="auto"/>
      </w:divBdr>
    </w:div>
    <w:div w:id="214723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emf"/><Relationship Id="rId26" Type="http://schemas.openxmlformats.org/officeDocument/2006/relationships/image" Target="media/image12.emf"/><Relationship Id="rId39" Type="http://schemas.openxmlformats.org/officeDocument/2006/relationships/hyperlink" Target="https://www.nrc.gov/reading-rm/doc-collections/commission/policy/51fr30028.pdf" TargetMode="External"/><Relationship Id="rId21" Type="http://schemas.openxmlformats.org/officeDocument/2006/relationships/image" Target="media/image7.emf"/><Relationship Id="rId34" Type="http://schemas.openxmlformats.org/officeDocument/2006/relationships/image" Target="media/image20.emf"/><Relationship Id="rId42" Type="http://schemas.openxmlformats.org/officeDocument/2006/relationships/hyperlink" Target="https://www.federalregister.gov/documents/2016/01/27/2016-01606/revision-of-omb-circular-no-a-119-federal-participation-in-the-development-and-use-of-voluntary" TargetMode="External"/><Relationship Id="rId47" Type="http://schemas.openxmlformats.org/officeDocument/2006/relationships/hyperlink" Target="https://www.nexteraenergyresources.com/" TargetMode="External"/><Relationship Id="rId50" Type="http://schemas.openxmlformats.org/officeDocument/2006/relationships/hyperlink" Target="https://www.pge.com/" TargetMode="External"/><Relationship Id="rId55"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www.bls.gov" TargetMode="External"/><Relationship Id="rId25" Type="http://schemas.openxmlformats.org/officeDocument/2006/relationships/image" Target="media/image11.emf"/><Relationship Id="rId33" Type="http://schemas.openxmlformats.org/officeDocument/2006/relationships/image" Target="media/image19.emf"/><Relationship Id="rId38" Type="http://schemas.openxmlformats.org/officeDocument/2006/relationships/hyperlink" Target="http://www.gpo.gov/fdsys/pkg/PLAW-104publ113/pdf/PLAW-104publ113.pdf" TargetMode="External"/><Relationship Id="rId46" Type="http://schemas.openxmlformats.org/officeDocument/2006/relationships/hyperlink" Target="http://www.firstenergycorp.com"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image" Target="media/image15.emf"/><Relationship Id="rId41" Type="http://schemas.openxmlformats.org/officeDocument/2006/relationships/hyperlink" Target="https://www.whitehouse.gov/sites/whitehouse.gov/files/omb/circulars/A4/a-4.pdf"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hyperlink" Target="https://www.whitehouse.gov/sites/whitehouse.gov/files/ceq/NEPA_full_text.pdf" TargetMode="External"/><Relationship Id="rId40" Type="http://schemas.openxmlformats.org/officeDocument/2006/relationships/hyperlink" Target="https://www.nrc.gov/about-nrc/regulatory/crgr/charter.html" TargetMode="External"/><Relationship Id="rId45" Type="http://schemas.openxmlformats.org/officeDocument/2006/relationships/footer" Target="footer3.xml"/><Relationship Id="rId53"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hyperlink" Target="https://www.bls.gov/data/" TargetMode="External"/><Relationship Id="rId49" Type="http://schemas.openxmlformats.org/officeDocument/2006/relationships/hyperlink" Target="http://www.entergy.com" TargetMode="Externa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image" Target="media/image17.emf"/><Relationship Id="rId44" Type="http://schemas.openxmlformats.org/officeDocument/2006/relationships/header" Target="header1.xml"/><Relationship Id="rId52" Type="http://schemas.openxmlformats.org/officeDocument/2006/relationships/hyperlink" Target="http://www.nrc.gov/info-finder/reacto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hyperlink" Target="http://www.bls.gov/bls/naics.htm" TargetMode="External"/><Relationship Id="rId43" Type="http://schemas.openxmlformats.org/officeDocument/2006/relationships/hyperlink" Target="https://www.congress.gov/bill/96th-congress/house-bill/6410" TargetMode="External"/><Relationship Id="rId48" Type="http://schemas.openxmlformats.org/officeDocument/2006/relationships/hyperlink" Target="http://www.firstenergycorp.com"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nrc.gov/info-finder/reactor/"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firstenergycorp.com" TargetMode="External"/><Relationship Id="rId2" Type="http://schemas.openxmlformats.org/officeDocument/2006/relationships/hyperlink" Target="https://www.nexteraenergyresources.com/" TargetMode="External"/><Relationship Id="rId1" Type="http://schemas.openxmlformats.org/officeDocument/2006/relationships/hyperlink" Target="http://www.firstenergycorp.com" TargetMode="External"/><Relationship Id="rId6" Type="http://schemas.openxmlformats.org/officeDocument/2006/relationships/hyperlink" Target="http://www.palisade.com" TargetMode="External"/><Relationship Id="rId5" Type="http://schemas.openxmlformats.org/officeDocument/2006/relationships/hyperlink" Target="https://www.pge.com/" TargetMode="External"/><Relationship Id="rId4" Type="http://schemas.openxmlformats.org/officeDocument/2006/relationships/hyperlink" Target="http://www.ent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D311BD9C53A64BA35A594801500659" ma:contentTypeVersion="12" ma:contentTypeDescription="Create a new document." ma:contentTypeScope="" ma:versionID="f1ac0896545080c9cfacb4bdfb074972">
  <xsd:schema xmlns:xsd="http://www.w3.org/2001/XMLSchema" xmlns:xs="http://www.w3.org/2001/XMLSchema" xmlns:p="http://schemas.microsoft.com/office/2006/metadata/properties" xmlns:ns1="http://schemas.microsoft.com/sharepoint/v3" xmlns:ns3="0cecad8f-305c-4ab2-8046-db3b11566c17" xmlns:ns4="087ed9da-973a-458e-ba2b-639733953c26" targetNamespace="http://schemas.microsoft.com/office/2006/metadata/properties" ma:root="true" ma:fieldsID="f45855052f1cb8087ca362773d7661f7" ns1:_="" ns3:_="" ns4:_="">
    <xsd:import namespace="http://schemas.microsoft.com/sharepoint/v3"/>
    <xsd:import namespace="0cecad8f-305c-4ab2-8046-db3b11566c17"/>
    <xsd:import namespace="087ed9da-973a-458e-ba2b-639733953c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cad8f-305c-4ab2-8046-db3b11566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7ed9da-973a-458e-ba2b-639733953c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9F509-9398-4FED-9938-8B74DC4845A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935DD5D-48F4-4D4E-BC8B-E8F14580D4E6}">
  <ds:schemaRefs>
    <ds:schemaRef ds:uri="http://schemas.microsoft.com/sharepoint/v3/contenttype/forms"/>
  </ds:schemaRefs>
</ds:datastoreItem>
</file>

<file path=customXml/itemProps3.xml><?xml version="1.0" encoding="utf-8"?>
<ds:datastoreItem xmlns:ds="http://schemas.openxmlformats.org/officeDocument/2006/customXml" ds:itemID="{A62B23F1-B7D9-4BD8-9289-A625B5FA0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ecad8f-305c-4ab2-8046-db3b11566c17"/>
    <ds:schemaRef ds:uri="087ed9da-973a-458e-ba2b-639733953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FB4985-FB7D-46F9-A192-7D66A5E44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34038</Words>
  <Characters>194021</Characters>
  <Application>Microsoft Office Word</Application>
  <DocSecurity>0</DocSecurity>
  <Lines>1616</Lines>
  <Paragraphs>455</Paragraphs>
  <ScaleCrop>false</ScaleCrop>
  <HeadingPairs>
    <vt:vector size="2" baseType="variant">
      <vt:variant>
        <vt:lpstr>Title</vt:lpstr>
      </vt:variant>
      <vt:variant>
        <vt:i4>1</vt:i4>
      </vt:variant>
    </vt:vector>
  </HeadingPairs>
  <TitlesOfParts>
    <vt:vector size="1" baseType="lpstr">
      <vt:lpstr>RA CC Final Rule rev 38</vt:lpstr>
    </vt:vector>
  </TitlesOfParts>
  <Company>Nuclear Regulatory Commission</Company>
  <LinksUpToDate>false</LinksUpToDate>
  <CharactersWithSpaces>227604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 CC Final Rule rev 38</dc:title>
  <dc:subject/>
  <dc:creator>TGS</dc:creator>
  <cp:keywords/>
  <dc:description/>
  <cp:lastModifiedBy>SYSTEM</cp:lastModifiedBy>
  <cp:revision>2</cp:revision>
  <cp:lastPrinted>2019-09-03T18:29:00Z</cp:lastPrinted>
  <dcterms:created xsi:type="dcterms:W3CDTF">2019-12-06T22:57:00Z</dcterms:created>
  <dcterms:modified xsi:type="dcterms:W3CDTF">2019-12-06T22:57:00Z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0x0101005ED311BD9C53A64BA35A594801500659</vt:lpwstr>
  </property>
  <property fmtid="{D5CDD505-2E9C-101B-9397-08002B2CF9AE}" pid="3" name="AuthorIds_UIVersion_14">
    <vt:lpwstr>20</vt:lpwstr>
  </property>
  <property fmtid="{D5CDD505-2E9C-101B-9397-08002B2CF9AE}" pid="4" name="_dlc_DocIdItemGuid">
    <vt:lpwstr>8d34c3a2-c906-44fb-80ae-8f8673c5b971</vt:lpwstr>
  </property>
</Properties>
</file>