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0E9E" w:rsidP="00BD07E2" w:rsidRDefault="00BD07E2" w14:paraId="769D8521" w14:textId="77777777">
      <w:pPr>
        <w:pStyle w:val="Heading1"/>
        <w:rPr>
          <w:rFonts w:ascii="Corbel" w:hAnsi="Corbel" w:cs="Arial"/>
          <w:sz w:val="32"/>
          <w:szCs w:val="32"/>
        </w:rPr>
      </w:pPr>
      <w:bookmarkStart w:name="_Hlk18001330" w:id="0"/>
      <w:r w:rsidRPr="00AF37DE">
        <w:rPr>
          <w:rFonts w:ascii="Corbel" w:hAnsi="Corbel" w:cs="Arial"/>
          <w:sz w:val="32"/>
          <w:szCs w:val="32"/>
        </w:rPr>
        <w:t xml:space="preserve">Market </w:t>
      </w:r>
      <w:r w:rsidR="00B043AA">
        <w:rPr>
          <w:rFonts w:ascii="Corbel" w:hAnsi="Corbel" w:cs="Arial"/>
          <w:sz w:val="32"/>
          <w:szCs w:val="32"/>
        </w:rPr>
        <w:t>Analysis</w:t>
      </w:r>
      <w:r w:rsidRPr="00AF37DE" w:rsidR="00B043AA">
        <w:rPr>
          <w:rFonts w:ascii="Corbel" w:hAnsi="Corbel" w:cs="Arial"/>
          <w:sz w:val="32"/>
          <w:szCs w:val="32"/>
        </w:rPr>
        <w:t xml:space="preserve"> </w:t>
      </w:r>
      <w:r w:rsidRPr="00AF37DE">
        <w:rPr>
          <w:rFonts w:ascii="Corbel" w:hAnsi="Corbel" w:cs="Arial"/>
          <w:sz w:val="32"/>
          <w:szCs w:val="32"/>
        </w:rPr>
        <w:t xml:space="preserve">and Opportunity Assessment of </w:t>
      </w:r>
    </w:p>
    <w:p w:rsidRPr="00AF37DE" w:rsidR="00BD07E2" w:rsidP="00BD07E2" w:rsidRDefault="00BD07E2" w14:paraId="557EBEB2" w14:textId="2598EBDF">
      <w:pPr>
        <w:pStyle w:val="Heading1"/>
        <w:rPr>
          <w:rFonts w:ascii="Corbel" w:hAnsi="Corbel" w:cs="Arial"/>
          <w:sz w:val="32"/>
          <w:szCs w:val="32"/>
        </w:rPr>
      </w:pPr>
      <w:r w:rsidRPr="00AF37DE">
        <w:rPr>
          <w:rFonts w:ascii="Corbel" w:hAnsi="Corbel" w:cs="Arial"/>
          <w:sz w:val="32"/>
          <w:szCs w:val="32"/>
        </w:rPr>
        <w:t>Museum Capacity</w:t>
      </w:r>
      <w:r w:rsidR="00B043AA">
        <w:rPr>
          <w:rFonts w:ascii="Corbel" w:hAnsi="Corbel" w:cs="Arial"/>
          <w:sz w:val="32"/>
          <w:szCs w:val="32"/>
        </w:rPr>
        <w:t>-</w:t>
      </w:r>
      <w:r w:rsidRPr="00AF37DE">
        <w:rPr>
          <w:rFonts w:ascii="Corbel" w:hAnsi="Corbel" w:cs="Arial"/>
          <w:sz w:val="32"/>
          <w:szCs w:val="32"/>
        </w:rPr>
        <w:t>Building Programs</w:t>
      </w:r>
    </w:p>
    <w:p w:rsidRPr="00EA45F3" w:rsidR="00BD07E2" w:rsidP="00EA45F3" w:rsidRDefault="00BD07E2" w14:paraId="7A669F9B" w14:textId="77777777">
      <w:pPr>
        <w:pStyle w:val="NoSpacing"/>
        <w:rPr>
          <w:rFonts w:ascii="Corbel" w:hAnsi="Corbel"/>
          <w:b/>
          <w:bCs/>
          <w:i/>
          <w:iCs/>
          <w:sz w:val="28"/>
          <w:szCs w:val="28"/>
        </w:rPr>
      </w:pPr>
      <w:r w:rsidRPr="00EA45F3">
        <w:rPr>
          <w:rFonts w:ascii="Corbel" w:hAnsi="Corbel"/>
          <w:i/>
          <w:iCs/>
          <w:sz w:val="28"/>
          <w:szCs w:val="28"/>
        </w:rPr>
        <w:t>Supporting Statement for PRA Submission</w:t>
      </w:r>
    </w:p>
    <w:p w:rsidRPr="00AF37DE" w:rsidR="00463BC5" w:rsidP="00E65A3C" w:rsidRDefault="00463BC5" w14:paraId="22ABEADB" w14:textId="77777777">
      <w:pPr>
        <w:rPr>
          <w:rFonts w:ascii="Corbel" w:hAnsi="Corbel"/>
          <w:bCs/>
        </w:rPr>
      </w:pPr>
    </w:p>
    <w:p w:rsidRPr="00EA45F3" w:rsidR="00D55958" w:rsidP="00EA45F3" w:rsidRDefault="005213E1" w14:paraId="5E7C1FA9" w14:textId="7FAF7BC2">
      <w:pPr>
        <w:pStyle w:val="Heading1"/>
        <w:rPr>
          <w:rFonts w:ascii="Corbel" w:hAnsi="Corbel"/>
          <w:lang w:bidi="ar-SA"/>
        </w:rPr>
      </w:pPr>
      <w:r w:rsidRPr="00EA45F3">
        <w:rPr>
          <w:rFonts w:ascii="Corbel" w:hAnsi="Corbel"/>
          <w:lang w:bidi="ar-SA"/>
        </w:rPr>
        <w:t>Part A</w:t>
      </w:r>
      <w:r w:rsidRPr="00EA45F3" w:rsidR="001B35DB">
        <w:rPr>
          <w:rFonts w:ascii="Corbel" w:hAnsi="Corbel"/>
          <w:lang w:bidi="ar-SA"/>
        </w:rPr>
        <w:t>: Justification</w:t>
      </w:r>
    </w:p>
    <w:bookmarkEnd w:id="0"/>
    <w:p w:rsidRPr="00B82642" w:rsidR="005213E1" w:rsidP="00E65A3C" w:rsidRDefault="005213E1" w14:paraId="4926E23D" w14:textId="77777777">
      <w:pPr>
        <w:rPr>
          <w:rFonts w:ascii="Corbel" w:hAnsi="Corbel"/>
        </w:rPr>
      </w:pPr>
    </w:p>
    <w:p w:rsidRPr="00B82642" w:rsidR="00D55958" w:rsidP="00B82642" w:rsidRDefault="00DC18EA" w14:paraId="5AD78789" w14:textId="758BF5D1">
      <w:pPr>
        <w:pStyle w:val="Heading2"/>
        <w:rPr>
          <w:rFonts w:ascii="Corbel" w:hAnsi="Corbel"/>
        </w:rPr>
      </w:pPr>
      <w:r w:rsidRPr="00B82642">
        <w:rPr>
          <w:rFonts w:ascii="Corbel" w:hAnsi="Corbel"/>
        </w:rPr>
        <w:t>A</w:t>
      </w:r>
      <w:r w:rsidRPr="00B82642" w:rsidR="00024EF4">
        <w:rPr>
          <w:rFonts w:ascii="Corbel" w:hAnsi="Corbel"/>
        </w:rPr>
        <w:t>.</w:t>
      </w:r>
      <w:r w:rsidRPr="00B82642" w:rsidR="00D55958">
        <w:rPr>
          <w:rFonts w:ascii="Corbel" w:hAnsi="Corbel"/>
        </w:rPr>
        <w:t>1.</w:t>
      </w:r>
      <w:r w:rsidR="00D41FE8">
        <w:rPr>
          <w:rFonts w:ascii="Corbel" w:hAnsi="Corbel"/>
        </w:rPr>
        <w:tab/>
      </w:r>
      <w:r w:rsidRPr="00B82642" w:rsidR="00024EF4">
        <w:rPr>
          <w:rFonts w:ascii="Corbel" w:hAnsi="Corbel"/>
        </w:rPr>
        <w:t>Circumstances Making the Collection of Information Necessary</w:t>
      </w:r>
      <w:r w:rsidRPr="00B82642" w:rsidR="00D55958">
        <w:rPr>
          <w:rFonts w:ascii="Corbel" w:hAnsi="Corbel"/>
        </w:rPr>
        <w:t xml:space="preserve"> </w:t>
      </w:r>
    </w:p>
    <w:p w:rsidRPr="00AF37DE" w:rsidR="00024EF4" w:rsidP="00BD07E2" w:rsidRDefault="00024EF4" w14:paraId="19777740" w14:textId="77777777">
      <w:pPr>
        <w:rPr>
          <w:rFonts w:ascii="Corbel" w:hAnsi="Corbel"/>
        </w:rPr>
      </w:pPr>
    </w:p>
    <w:p w:rsidRPr="00A171AF" w:rsidR="00024EF4" w:rsidP="00A171AF" w:rsidRDefault="00024EF4" w14:paraId="17269BFB" w14:textId="01BC8D5F">
      <w:pPr>
        <w:pStyle w:val="Heading3"/>
        <w:rPr>
          <w:rFonts w:ascii="Corbel" w:hAnsi="Corbel"/>
          <w:b w:val="0"/>
          <w:bCs/>
        </w:rPr>
      </w:pPr>
      <w:r w:rsidRPr="00A171AF">
        <w:rPr>
          <w:rFonts w:ascii="Corbel" w:hAnsi="Corbel"/>
          <w:b w:val="0"/>
          <w:bCs/>
        </w:rPr>
        <w:t>A.1.</w:t>
      </w:r>
      <w:r w:rsidR="00D41FE8">
        <w:rPr>
          <w:rFonts w:ascii="Corbel" w:hAnsi="Corbel"/>
          <w:b w:val="0"/>
          <w:bCs/>
        </w:rPr>
        <w:t>1</w:t>
      </w:r>
      <w:r w:rsidRPr="00A171AF">
        <w:rPr>
          <w:rFonts w:ascii="Corbel" w:hAnsi="Corbel"/>
          <w:b w:val="0"/>
          <w:bCs/>
        </w:rPr>
        <w:t xml:space="preserve">. </w:t>
      </w:r>
      <w:r w:rsidRPr="00A171AF">
        <w:rPr>
          <w:rFonts w:ascii="Corbel" w:hAnsi="Corbel"/>
          <w:b w:val="0"/>
          <w:bCs/>
        </w:rPr>
        <w:tab/>
        <w:t>Purpose of the Submission</w:t>
      </w:r>
    </w:p>
    <w:p w:rsidRPr="00A171AF" w:rsidR="00A75C48" w:rsidP="00C2653B" w:rsidRDefault="64245F67" w14:paraId="08E17B53" w14:textId="0E7C8AF5">
      <w:pPr>
        <w:tabs>
          <w:tab w:val="left" w:pos="180"/>
        </w:tabs>
        <w:rPr>
          <w:rFonts w:ascii="Corbel" w:hAnsi="Corbel"/>
          <w:sz w:val="22"/>
          <w:szCs w:val="22"/>
        </w:rPr>
      </w:pPr>
      <w:r w:rsidRPr="00A171AF">
        <w:rPr>
          <w:rFonts w:ascii="Corbel" w:hAnsi="Corbel"/>
          <w:sz w:val="22"/>
          <w:szCs w:val="22"/>
        </w:rPr>
        <w:t xml:space="preserve">Approval is requested for </w:t>
      </w:r>
      <w:r w:rsidR="007365FD">
        <w:rPr>
          <w:rFonts w:ascii="Corbel" w:hAnsi="Corbel"/>
          <w:sz w:val="22"/>
          <w:szCs w:val="22"/>
        </w:rPr>
        <w:t>the Institute of Museum and Library Services (IMLS)</w:t>
      </w:r>
      <w:r w:rsidRPr="00A171AF" w:rsidR="003B4224">
        <w:rPr>
          <w:rFonts w:ascii="Corbel" w:hAnsi="Corbel"/>
          <w:sz w:val="22"/>
          <w:szCs w:val="22"/>
        </w:rPr>
        <w:t xml:space="preserve"> </w:t>
      </w:r>
      <w:r w:rsidRPr="00A171AF">
        <w:rPr>
          <w:rFonts w:ascii="Corbel" w:hAnsi="Corbel"/>
          <w:sz w:val="22"/>
          <w:szCs w:val="22"/>
        </w:rPr>
        <w:t xml:space="preserve">to </w:t>
      </w:r>
      <w:r w:rsidRPr="00A171AF" w:rsidR="00395A3F">
        <w:rPr>
          <w:rFonts w:ascii="Corbel" w:hAnsi="Corbel"/>
          <w:sz w:val="22"/>
          <w:szCs w:val="22"/>
        </w:rPr>
        <w:t xml:space="preserve">collect </w:t>
      </w:r>
      <w:r w:rsidRPr="00A171AF">
        <w:rPr>
          <w:rFonts w:ascii="Corbel" w:hAnsi="Corbel"/>
          <w:sz w:val="22"/>
          <w:szCs w:val="22"/>
        </w:rPr>
        <w:t xml:space="preserve">information </w:t>
      </w:r>
      <w:r w:rsidRPr="00A171AF" w:rsidR="003B4224">
        <w:rPr>
          <w:rFonts w:ascii="Corbel" w:hAnsi="Corbel"/>
          <w:sz w:val="22"/>
          <w:szCs w:val="22"/>
        </w:rPr>
        <w:t xml:space="preserve">as part of its “Market </w:t>
      </w:r>
      <w:r w:rsidR="00B043AA">
        <w:rPr>
          <w:rFonts w:ascii="Corbel" w:hAnsi="Corbel"/>
          <w:sz w:val="22"/>
          <w:szCs w:val="22"/>
        </w:rPr>
        <w:t>Analysis</w:t>
      </w:r>
      <w:r w:rsidRPr="00A171AF" w:rsidR="00B043AA">
        <w:rPr>
          <w:rFonts w:ascii="Corbel" w:hAnsi="Corbel"/>
          <w:sz w:val="22"/>
          <w:szCs w:val="22"/>
        </w:rPr>
        <w:t xml:space="preserve"> </w:t>
      </w:r>
      <w:r w:rsidRPr="00A171AF" w:rsidR="003B4224">
        <w:rPr>
          <w:rFonts w:ascii="Corbel" w:hAnsi="Corbel"/>
          <w:sz w:val="22"/>
          <w:szCs w:val="22"/>
        </w:rPr>
        <w:t xml:space="preserve">and Opportunity Assessment of Museum </w:t>
      </w:r>
      <w:r w:rsidR="00F750A1">
        <w:rPr>
          <w:rFonts w:ascii="Corbel" w:hAnsi="Corbel"/>
          <w:sz w:val="22"/>
          <w:szCs w:val="22"/>
        </w:rPr>
        <w:t>Capacity-</w:t>
      </w:r>
      <w:r w:rsidR="001B40BF">
        <w:rPr>
          <w:rFonts w:ascii="Corbel" w:hAnsi="Corbel"/>
          <w:sz w:val="22"/>
          <w:szCs w:val="22"/>
        </w:rPr>
        <w:t>B</w:t>
      </w:r>
      <w:r w:rsidR="00F750A1">
        <w:rPr>
          <w:rFonts w:ascii="Corbel" w:hAnsi="Corbel"/>
          <w:sz w:val="22"/>
          <w:szCs w:val="22"/>
        </w:rPr>
        <w:t>uilding</w:t>
      </w:r>
      <w:r w:rsidRPr="00A171AF" w:rsidR="003B4224">
        <w:rPr>
          <w:rFonts w:ascii="Corbel" w:hAnsi="Corbel"/>
          <w:sz w:val="22"/>
          <w:szCs w:val="22"/>
        </w:rPr>
        <w:t xml:space="preserve"> Programs.” </w:t>
      </w:r>
      <w:r w:rsidRPr="00A171AF">
        <w:rPr>
          <w:rFonts w:ascii="Corbel" w:hAnsi="Corbel"/>
          <w:sz w:val="22"/>
          <w:szCs w:val="22"/>
        </w:rPr>
        <w:t xml:space="preserve">This </w:t>
      </w:r>
      <w:r w:rsidRPr="00A171AF" w:rsidR="003B4224">
        <w:rPr>
          <w:rFonts w:ascii="Corbel" w:hAnsi="Corbel"/>
          <w:sz w:val="22"/>
          <w:szCs w:val="22"/>
        </w:rPr>
        <w:t>assessment</w:t>
      </w:r>
      <w:r w:rsidRPr="00A171AF">
        <w:rPr>
          <w:rFonts w:ascii="Corbel" w:hAnsi="Corbel"/>
          <w:sz w:val="22"/>
          <w:szCs w:val="22"/>
        </w:rPr>
        <w:t xml:space="preserve"> is a </w:t>
      </w:r>
      <w:r w:rsidRPr="00A171AF" w:rsidR="00EC36B1">
        <w:rPr>
          <w:rFonts w:ascii="Corbel" w:hAnsi="Corbel"/>
          <w:sz w:val="22"/>
          <w:szCs w:val="22"/>
        </w:rPr>
        <w:t xml:space="preserve">cooperative effort </w:t>
      </w:r>
      <w:r w:rsidRPr="00A171AF" w:rsidR="00C9597E">
        <w:rPr>
          <w:rFonts w:ascii="Corbel" w:hAnsi="Corbel"/>
          <w:sz w:val="22"/>
          <w:szCs w:val="22"/>
        </w:rPr>
        <w:t>with</w:t>
      </w:r>
      <w:r w:rsidRPr="00A171AF" w:rsidR="00EC36B1">
        <w:rPr>
          <w:rFonts w:ascii="Corbel" w:hAnsi="Corbel"/>
          <w:sz w:val="22"/>
          <w:szCs w:val="22"/>
        </w:rPr>
        <w:t xml:space="preserve"> the </w:t>
      </w:r>
      <w:r w:rsidR="000B4144">
        <w:rPr>
          <w:rFonts w:ascii="Corbel" w:hAnsi="Corbel"/>
          <w:sz w:val="22"/>
          <w:szCs w:val="22"/>
        </w:rPr>
        <w:t>Partnership for Public Good (PPG</w:t>
      </w:r>
      <w:r w:rsidRPr="00A171AF" w:rsidR="00E77C8A">
        <w:rPr>
          <w:rFonts w:ascii="Corbel" w:hAnsi="Corbel"/>
          <w:sz w:val="22"/>
          <w:szCs w:val="22"/>
        </w:rPr>
        <w:t>)</w:t>
      </w:r>
      <w:r w:rsidR="00357DB1">
        <w:rPr>
          <w:rFonts w:ascii="Corbel" w:hAnsi="Corbel"/>
          <w:sz w:val="22"/>
          <w:szCs w:val="22"/>
        </w:rPr>
        <w:t>. The underlying purposes of the information collection are to:</w:t>
      </w:r>
      <w:r w:rsidRPr="00A171AF" w:rsidR="004140EB">
        <w:rPr>
          <w:rFonts w:ascii="Corbel" w:hAnsi="Corbel"/>
          <w:sz w:val="22"/>
          <w:szCs w:val="22"/>
        </w:rPr>
        <w:t xml:space="preserve"> </w:t>
      </w:r>
    </w:p>
    <w:p w:rsidRPr="00020A22" w:rsidR="00020A22" w:rsidP="00020A22" w:rsidRDefault="00020A22" w14:paraId="2B165DE1" w14:textId="5AEB80CB">
      <w:pPr>
        <w:pStyle w:val="ListParagraph"/>
        <w:numPr>
          <w:ilvl w:val="0"/>
          <w:numId w:val="15"/>
        </w:numPr>
        <w:tabs>
          <w:tab w:val="clear" w:pos="1069"/>
        </w:tabs>
        <w:spacing w:line="240" w:lineRule="auto"/>
        <w:ind w:left="1170"/>
        <w:rPr>
          <w:rFonts w:ascii="Corbel" w:hAnsi="Corbel"/>
          <w:sz w:val="22"/>
          <w:szCs w:val="22"/>
        </w:rPr>
      </w:pPr>
      <w:r w:rsidRPr="00020A22">
        <w:rPr>
          <w:rFonts w:ascii="Corbel" w:hAnsi="Corbel"/>
          <w:sz w:val="22"/>
          <w:szCs w:val="22"/>
        </w:rPr>
        <w:t>Understand the scope of existing museum capacity-building opportunities</w:t>
      </w:r>
      <w:r w:rsidR="00CC2296">
        <w:rPr>
          <w:rFonts w:ascii="Corbel" w:hAnsi="Corbel"/>
          <w:sz w:val="22"/>
          <w:szCs w:val="22"/>
        </w:rPr>
        <w:t>;</w:t>
      </w:r>
    </w:p>
    <w:p w:rsidRPr="00020A22" w:rsidR="00020A22" w:rsidP="00020A22" w:rsidRDefault="00020A22" w14:paraId="141C48E6" w14:textId="77777777">
      <w:pPr>
        <w:pStyle w:val="ListParagraph"/>
        <w:numPr>
          <w:ilvl w:val="0"/>
          <w:numId w:val="15"/>
        </w:numPr>
        <w:tabs>
          <w:tab w:val="clear" w:pos="1069"/>
        </w:tabs>
        <w:spacing w:line="240" w:lineRule="auto"/>
        <w:ind w:left="1170"/>
        <w:rPr>
          <w:rFonts w:ascii="Corbel" w:hAnsi="Corbel"/>
          <w:sz w:val="22"/>
          <w:szCs w:val="22"/>
        </w:rPr>
      </w:pPr>
      <w:r w:rsidRPr="00020A22">
        <w:rPr>
          <w:rFonts w:ascii="Corbel" w:hAnsi="Corbel"/>
          <w:sz w:val="22"/>
          <w:szCs w:val="22"/>
        </w:rPr>
        <w:t>Identify potential gaps in the suite of current capacity-building offerings; and</w:t>
      </w:r>
    </w:p>
    <w:p w:rsidRPr="00020A22" w:rsidR="00020A22" w:rsidP="00020A22" w:rsidRDefault="00020A22" w14:paraId="1C254FF6" w14:textId="77777777">
      <w:pPr>
        <w:pStyle w:val="ListParagraph"/>
        <w:numPr>
          <w:ilvl w:val="0"/>
          <w:numId w:val="15"/>
        </w:numPr>
        <w:tabs>
          <w:tab w:val="clear" w:pos="1069"/>
        </w:tabs>
        <w:spacing w:line="240" w:lineRule="auto"/>
        <w:ind w:left="1170"/>
        <w:rPr>
          <w:rFonts w:ascii="Corbel" w:hAnsi="Corbel"/>
          <w:sz w:val="22"/>
          <w:szCs w:val="22"/>
        </w:rPr>
      </w:pPr>
      <w:r w:rsidRPr="00020A22">
        <w:rPr>
          <w:rFonts w:ascii="Corbel" w:hAnsi="Corbel"/>
          <w:sz w:val="22"/>
          <w:szCs w:val="22"/>
        </w:rPr>
        <w:t>Determine new opportunities and areas of growth for both IMLS and other funders.</w:t>
      </w:r>
    </w:p>
    <w:p w:rsidRPr="00A171AF" w:rsidR="009A0993" w:rsidP="00EB7A91" w:rsidRDefault="009A0993" w14:paraId="4F49288F" w14:textId="77777777">
      <w:pPr>
        <w:rPr>
          <w:rFonts w:ascii="Corbel" w:hAnsi="Corbel"/>
          <w:sz w:val="22"/>
          <w:szCs w:val="22"/>
        </w:rPr>
      </w:pPr>
    </w:p>
    <w:p w:rsidRPr="00A171AF" w:rsidR="00FA7F45" w:rsidP="00C2653B" w:rsidRDefault="00FA7F45" w14:paraId="2FE9E871" w14:textId="5D8C5A5F">
      <w:pPr>
        <w:rPr>
          <w:rFonts w:ascii="Corbel" w:hAnsi="Corbel"/>
          <w:sz w:val="22"/>
          <w:szCs w:val="22"/>
        </w:rPr>
      </w:pPr>
      <w:r w:rsidRPr="00A171AF">
        <w:rPr>
          <w:rFonts w:ascii="Corbel" w:hAnsi="Corbel"/>
          <w:sz w:val="22"/>
          <w:szCs w:val="22"/>
        </w:rPr>
        <w:t xml:space="preserve">For the purpose of this study, capacity building is defined as </w:t>
      </w:r>
      <w:r w:rsidR="00C86371">
        <w:rPr>
          <w:rFonts w:ascii="Corbel" w:hAnsi="Corbel"/>
          <w:sz w:val="22"/>
          <w:szCs w:val="22"/>
        </w:rPr>
        <w:t xml:space="preserve">generating </w:t>
      </w:r>
      <w:r w:rsidRPr="00A171AF">
        <w:rPr>
          <w:rFonts w:ascii="Corbel" w:hAnsi="Corbel"/>
          <w:sz w:val="22"/>
          <w:szCs w:val="22"/>
        </w:rPr>
        <w:t>resource</w:t>
      </w:r>
      <w:r w:rsidR="00C86371">
        <w:rPr>
          <w:rFonts w:ascii="Corbel" w:hAnsi="Corbel"/>
          <w:sz w:val="22"/>
          <w:szCs w:val="22"/>
        </w:rPr>
        <w:t>s</w:t>
      </w:r>
      <w:r w:rsidRPr="00A171AF">
        <w:rPr>
          <w:rFonts w:ascii="Corbel" w:hAnsi="Corbel"/>
          <w:sz w:val="22"/>
          <w:szCs w:val="22"/>
        </w:rPr>
        <w:t xml:space="preserve"> or support intended to help </w:t>
      </w:r>
      <w:r w:rsidRPr="00A171AF" w:rsidR="00395A3F">
        <w:rPr>
          <w:rFonts w:ascii="Corbel" w:hAnsi="Corbel"/>
          <w:sz w:val="22"/>
          <w:szCs w:val="22"/>
        </w:rPr>
        <w:t xml:space="preserve">an </w:t>
      </w:r>
      <w:r w:rsidRPr="00A171AF">
        <w:rPr>
          <w:rFonts w:ascii="Corbel" w:hAnsi="Corbel"/>
          <w:sz w:val="22"/>
          <w:szCs w:val="22"/>
        </w:rPr>
        <w:t>institution enhance its ability to fulfill its mission or purpose</w:t>
      </w:r>
      <w:r w:rsidR="00AA02D7">
        <w:rPr>
          <w:rFonts w:ascii="Corbel" w:hAnsi="Corbel"/>
          <w:sz w:val="22"/>
          <w:szCs w:val="22"/>
        </w:rPr>
        <w:t xml:space="preserve"> (</w:t>
      </w:r>
      <w:r w:rsidR="00344A5F">
        <w:rPr>
          <w:rFonts w:ascii="Corbel" w:hAnsi="Corbel"/>
          <w:sz w:val="22"/>
          <w:szCs w:val="22"/>
        </w:rPr>
        <w:t xml:space="preserve">e.g., </w:t>
      </w:r>
      <w:r w:rsidRPr="00A171AF">
        <w:rPr>
          <w:rFonts w:ascii="Corbel" w:hAnsi="Corbel"/>
          <w:sz w:val="22"/>
          <w:szCs w:val="22"/>
        </w:rPr>
        <w:t>any activity or support that is focused on the health and sustainability of the museum rather than on specific exhibitions or programs</w:t>
      </w:r>
      <w:r w:rsidR="00AA02D7">
        <w:rPr>
          <w:rFonts w:ascii="Corbel" w:hAnsi="Corbel"/>
          <w:sz w:val="22"/>
          <w:szCs w:val="22"/>
        </w:rPr>
        <w:t>)</w:t>
      </w:r>
      <w:r w:rsidRPr="00A171AF">
        <w:rPr>
          <w:rFonts w:ascii="Corbel" w:hAnsi="Corbel"/>
          <w:sz w:val="22"/>
          <w:szCs w:val="22"/>
        </w:rPr>
        <w:t xml:space="preserve">. </w:t>
      </w:r>
    </w:p>
    <w:p w:rsidR="00FA7F45" w:rsidP="00C2653B" w:rsidRDefault="00FA7F45" w14:paraId="451BE978" w14:textId="79783949">
      <w:pPr>
        <w:rPr>
          <w:rFonts w:ascii="Corbel" w:hAnsi="Corbel"/>
          <w:sz w:val="22"/>
          <w:szCs w:val="22"/>
        </w:rPr>
      </w:pPr>
    </w:p>
    <w:p w:rsidRPr="001474F6" w:rsidR="001474F6" w:rsidP="00DE3A3A" w:rsidRDefault="001474F6" w14:paraId="259342F5" w14:textId="77777777">
      <w:pPr>
        <w:contextualSpacing/>
        <w:rPr>
          <w:rFonts w:ascii="Corbel" w:hAnsi="Corbel"/>
          <w:sz w:val="22"/>
          <w:szCs w:val="22"/>
        </w:rPr>
      </w:pPr>
      <w:r w:rsidRPr="001474F6">
        <w:rPr>
          <w:rFonts w:ascii="Corbel" w:hAnsi="Corbel"/>
          <w:sz w:val="22"/>
          <w:szCs w:val="22"/>
        </w:rPr>
        <w:t>This is a new effort through which IMLS seeks to strengthen the alignment of its grant-making with the relevant needs of the rapidly evolving museum sector. This proposed market analysis and assessment would encompass not only programs that IMLS has supported in the past but also those offered, or that could be offered, by other entities for the museum sector or similar programs that would have transferrable models or elements from sectors outside the museum field. This is an opportunity for IMLS to take a pause, learn from the field, and then make improvements as needed in its capacity-building programs informed with findings and recommendations of the study.</w:t>
      </w:r>
    </w:p>
    <w:p w:rsidRPr="001474F6" w:rsidR="001474F6" w:rsidP="00D67F24" w:rsidRDefault="001474F6" w14:paraId="143A8F2C" w14:textId="77777777">
      <w:pPr>
        <w:rPr>
          <w:rFonts w:ascii="Corbel" w:hAnsi="Corbel"/>
          <w:sz w:val="22"/>
          <w:szCs w:val="22"/>
        </w:rPr>
      </w:pPr>
    </w:p>
    <w:p w:rsidRPr="00515859" w:rsidR="00515859" w:rsidP="00D67F24" w:rsidRDefault="00EC36B1" w14:paraId="390E0A8D" w14:textId="10F79248">
      <w:pPr>
        <w:rPr>
          <w:rFonts w:ascii="Corbel" w:hAnsi="Corbel"/>
          <w:sz w:val="22"/>
          <w:szCs w:val="22"/>
        </w:rPr>
      </w:pPr>
      <w:r w:rsidRPr="00A171AF">
        <w:rPr>
          <w:rFonts w:ascii="Corbel" w:hAnsi="Corbel"/>
          <w:sz w:val="22"/>
          <w:szCs w:val="22"/>
        </w:rPr>
        <w:t>The</w:t>
      </w:r>
      <w:r w:rsidRPr="00A171AF" w:rsidR="00FC031B">
        <w:rPr>
          <w:rFonts w:ascii="Corbel" w:hAnsi="Corbel"/>
          <w:sz w:val="22"/>
          <w:szCs w:val="22"/>
        </w:rPr>
        <w:t xml:space="preserve"> </w:t>
      </w:r>
      <w:r w:rsidR="00C159B2">
        <w:rPr>
          <w:rFonts w:ascii="Corbel" w:hAnsi="Corbel"/>
          <w:sz w:val="22"/>
          <w:szCs w:val="22"/>
        </w:rPr>
        <w:t xml:space="preserve">mixed method </w:t>
      </w:r>
      <w:r w:rsidRPr="00A171AF" w:rsidR="00FC031B">
        <w:rPr>
          <w:rFonts w:ascii="Corbel" w:hAnsi="Corbel"/>
          <w:sz w:val="22"/>
          <w:szCs w:val="22"/>
        </w:rPr>
        <w:t xml:space="preserve">assessment </w:t>
      </w:r>
      <w:r w:rsidRPr="00A171AF" w:rsidR="00937192">
        <w:rPr>
          <w:rFonts w:ascii="Corbel" w:hAnsi="Corbel"/>
          <w:sz w:val="22"/>
          <w:szCs w:val="22"/>
        </w:rPr>
        <w:t>includes</w:t>
      </w:r>
      <w:r w:rsidRPr="00A171AF" w:rsidR="00FC031B">
        <w:rPr>
          <w:rFonts w:ascii="Corbel" w:hAnsi="Corbel"/>
          <w:sz w:val="22"/>
          <w:szCs w:val="22"/>
        </w:rPr>
        <w:t xml:space="preserve"> a</w:t>
      </w:r>
      <w:r w:rsidR="00E93CDC">
        <w:rPr>
          <w:rFonts w:ascii="Corbel" w:hAnsi="Corbel"/>
          <w:sz w:val="22"/>
          <w:szCs w:val="22"/>
        </w:rPr>
        <w:t>n opinion</w:t>
      </w:r>
      <w:r w:rsidRPr="00A171AF">
        <w:rPr>
          <w:rFonts w:ascii="Corbel" w:hAnsi="Corbel"/>
          <w:sz w:val="22"/>
          <w:szCs w:val="22"/>
        </w:rPr>
        <w:t xml:space="preserve"> </w:t>
      </w:r>
      <w:r w:rsidRPr="00A171AF" w:rsidR="00462F22">
        <w:rPr>
          <w:rFonts w:ascii="Corbel" w:hAnsi="Corbel"/>
          <w:sz w:val="22"/>
          <w:szCs w:val="22"/>
        </w:rPr>
        <w:t>survey</w:t>
      </w:r>
      <w:r w:rsidRPr="00A171AF" w:rsidR="00FC031B">
        <w:rPr>
          <w:rFonts w:ascii="Corbel" w:hAnsi="Corbel"/>
          <w:sz w:val="22"/>
          <w:szCs w:val="22"/>
        </w:rPr>
        <w:t xml:space="preserve"> </w:t>
      </w:r>
      <w:r w:rsidRPr="00A171AF" w:rsidR="004F2DAE">
        <w:rPr>
          <w:rFonts w:ascii="Corbel" w:hAnsi="Corbel"/>
          <w:sz w:val="22"/>
          <w:szCs w:val="22"/>
        </w:rPr>
        <w:t>that will collect</w:t>
      </w:r>
      <w:r w:rsidRPr="00A171AF">
        <w:rPr>
          <w:rFonts w:ascii="Corbel" w:hAnsi="Corbel"/>
          <w:sz w:val="22"/>
          <w:szCs w:val="22"/>
        </w:rPr>
        <w:t xml:space="preserve"> descriptive data </w:t>
      </w:r>
      <w:r w:rsidRPr="00A171AF" w:rsidR="003B4224">
        <w:rPr>
          <w:rFonts w:ascii="Corbel" w:hAnsi="Corbel"/>
          <w:sz w:val="22"/>
          <w:szCs w:val="22"/>
        </w:rPr>
        <w:t>from museum leadership and staff on their experiences with capacity building in the museum sector.</w:t>
      </w:r>
      <w:r w:rsidRPr="00A171AF" w:rsidR="00FA7F45">
        <w:rPr>
          <w:rFonts w:ascii="Corbel" w:hAnsi="Corbel"/>
          <w:sz w:val="22"/>
          <w:szCs w:val="22"/>
        </w:rPr>
        <w:t xml:space="preserve"> </w:t>
      </w:r>
      <w:r w:rsidRPr="00A171AF" w:rsidR="00FC031B">
        <w:rPr>
          <w:rFonts w:ascii="Corbel" w:hAnsi="Corbel"/>
          <w:sz w:val="22"/>
          <w:szCs w:val="22"/>
        </w:rPr>
        <w:t xml:space="preserve">Data collected through the survey will inform a formal report </w:t>
      </w:r>
      <w:r w:rsidRPr="00A171AF" w:rsidR="00395A3F">
        <w:rPr>
          <w:rFonts w:ascii="Corbel" w:hAnsi="Corbel"/>
          <w:sz w:val="22"/>
          <w:szCs w:val="22"/>
        </w:rPr>
        <w:t xml:space="preserve">generated by PPG </w:t>
      </w:r>
      <w:r w:rsidRPr="00A171AF" w:rsidR="002F68CB">
        <w:rPr>
          <w:rFonts w:ascii="Corbel" w:hAnsi="Corbel"/>
          <w:sz w:val="22"/>
          <w:szCs w:val="22"/>
        </w:rPr>
        <w:t xml:space="preserve">on </w:t>
      </w:r>
      <w:r w:rsidRPr="00A171AF" w:rsidR="00395A3F">
        <w:rPr>
          <w:rFonts w:ascii="Corbel" w:hAnsi="Corbel"/>
          <w:sz w:val="22"/>
          <w:szCs w:val="22"/>
        </w:rPr>
        <w:t xml:space="preserve">participation levels of </w:t>
      </w:r>
      <w:r w:rsidRPr="00A171AF" w:rsidR="003B4224">
        <w:rPr>
          <w:rFonts w:ascii="Corbel" w:hAnsi="Corbel"/>
          <w:sz w:val="22"/>
          <w:szCs w:val="22"/>
        </w:rPr>
        <w:t xml:space="preserve">museums in </w:t>
      </w:r>
      <w:r w:rsidR="00F750A1">
        <w:rPr>
          <w:rFonts w:ascii="Corbel" w:hAnsi="Corbel"/>
          <w:sz w:val="22"/>
          <w:szCs w:val="22"/>
        </w:rPr>
        <w:t>capacity-building</w:t>
      </w:r>
      <w:r w:rsidRPr="00A171AF" w:rsidR="009A0993">
        <w:rPr>
          <w:rFonts w:ascii="Corbel" w:hAnsi="Corbel"/>
          <w:sz w:val="22"/>
          <w:szCs w:val="22"/>
        </w:rPr>
        <w:t xml:space="preserve"> programs</w:t>
      </w:r>
      <w:r w:rsidRPr="00A171AF" w:rsidR="003B4224">
        <w:rPr>
          <w:rFonts w:ascii="Corbel" w:hAnsi="Corbel"/>
          <w:sz w:val="22"/>
          <w:szCs w:val="22"/>
        </w:rPr>
        <w:t>,</w:t>
      </w:r>
      <w:r w:rsidRPr="00A171AF" w:rsidR="00156633">
        <w:rPr>
          <w:rFonts w:ascii="Corbel" w:hAnsi="Corbel"/>
          <w:sz w:val="22"/>
          <w:szCs w:val="22"/>
        </w:rPr>
        <w:t xml:space="preserve"> museums’</w:t>
      </w:r>
      <w:r w:rsidRPr="00A171AF" w:rsidR="003B4224">
        <w:rPr>
          <w:rFonts w:ascii="Corbel" w:hAnsi="Corbel"/>
          <w:sz w:val="22"/>
          <w:szCs w:val="22"/>
        </w:rPr>
        <w:t xml:space="preserve"> </w:t>
      </w:r>
      <w:r w:rsidRPr="00A171AF" w:rsidR="00156633">
        <w:rPr>
          <w:rFonts w:ascii="Corbel" w:hAnsi="Corbel"/>
          <w:sz w:val="22"/>
          <w:szCs w:val="22"/>
        </w:rPr>
        <w:t>perceived organizational strength</w:t>
      </w:r>
      <w:r w:rsidR="00E93CDC">
        <w:rPr>
          <w:rFonts w:ascii="Corbel" w:hAnsi="Corbel"/>
          <w:sz w:val="22"/>
          <w:szCs w:val="22"/>
        </w:rPr>
        <w:t>s</w:t>
      </w:r>
      <w:r w:rsidRPr="00A171AF" w:rsidR="00156633">
        <w:rPr>
          <w:rFonts w:ascii="Corbel" w:hAnsi="Corbel"/>
          <w:sz w:val="22"/>
          <w:szCs w:val="22"/>
        </w:rPr>
        <w:t xml:space="preserve"> and challenges, </w:t>
      </w:r>
      <w:r w:rsidRPr="00A171AF" w:rsidR="00E93A9E">
        <w:rPr>
          <w:rFonts w:ascii="Corbel" w:hAnsi="Corbel"/>
          <w:sz w:val="22"/>
          <w:szCs w:val="22"/>
        </w:rPr>
        <w:t xml:space="preserve">gaps in </w:t>
      </w:r>
      <w:r w:rsidRPr="00A171AF" w:rsidR="00DC7927">
        <w:rPr>
          <w:rFonts w:ascii="Corbel" w:hAnsi="Corbel"/>
          <w:sz w:val="22"/>
          <w:szCs w:val="22"/>
        </w:rPr>
        <w:t>capacity</w:t>
      </w:r>
      <w:r w:rsidR="00DC7927">
        <w:rPr>
          <w:rFonts w:ascii="Corbel" w:hAnsi="Corbel"/>
          <w:sz w:val="22"/>
          <w:szCs w:val="22"/>
        </w:rPr>
        <w:t>-</w:t>
      </w:r>
      <w:r w:rsidRPr="00A171AF" w:rsidR="00156633">
        <w:rPr>
          <w:rFonts w:ascii="Corbel" w:hAnsi="Corbel"/>
          <w:sz w:val="22"/>
          <w:szCs w:val="22"/>
        </w:rPr>
        <w:t xml:space="preserve">building </w:t>
      </w:r>
      <w:r w:rsidRPr="00A171AF" w:rsidR="00E93A9E">
        <w:rPr>
          <w:rFonts w:ascii="Corbel" w:hAnsi="Corbel"/>
          <w:sz w:val="22"/>
          <w:szCs w:val="22"/>
        </w:rPr>
        <w:t xml:space="preserve">service offerings, </w:t>
      </w:r>
      <w:r w:rsidRPr="00A171AF" w:rsidR="003B4224">
        <w:rPr>
          <w:rFonts w:ascii="Corbel" w:hAnsi="Corbel"/>
          <w:sz w:val="22"/>
          <w:szCs w:val="22"/>
        </w:rPr>
        <w:t xml:space="preserve">perceived drivers and barriers to participation, types of </w:t>
      </w:r>
      <w:r w:rsidRPr="00A171AF" w:rsidR="000E2A5D">
        <w:rPr>
          <w:rFonts w:ascii="Corbel" w:hAnsi="Corbel"/>
          <w:sz w:val="22"/>
          <w:szCs w:val="22"/>
        </w:rPr>
        <w:t>capacity</w:t>
      </w:r>
      <w:r w:rsidR="000E2A5D">
        <w:rPr>
          <w:rFonts w:ascii="Corbel" w:hAnsi="Corbel"/>
          <w:sz w:val="22"/>
          <w:szCs w:val="22"/>
        </w:rPr>
        <w:t>-</w:t>
      </w:r>
      <w:r w:rsidRPr="00A171AF" w:rsidR="003B4224">
        <w:rPr>
          <w:rFonts w:ascii="Corbel" w:hAnsi="Corbel"/>
          <w:sz w:val="22"/>
          <w:szCs w:val="22"/>
        </w:rPr>
        <w:t>building initiatives in which participants have engaged</w:t>
      </w:r>
      <w:r w:rsidRPr="00A171AF" w:rsidR="009A0993">
        <w:rPr>
          <w:rFonts w:ascii="Corbel" w:hAnsi="Corbel"/>
          <w:sz w:val="22"/>
          <w:szCs w:val="22"/>
        </w:rPr>
        <w:t xml:space="preserve"> (</w:t>
      </w:r>
      <w:r w:rsidRPr="00A171AF" w:rsidR="00FA7F45">
        <w:rPr>
          <w:rFonts w:ascii="Corbel" w:hAnsi="Corbel"/>
          <w:sz w:val="22"/>
          <w:szCs w:val="22"/>
        </w:rPr>
        <w:t>both</w:t>
      </w:r>
      <w:r w:rsidRPr="00A171AF" w:rsidR="009A0993">
        <w:rPr>
          <w:rFonts w:ascii="Corbel" w:hAnsi="Corbel"/>
          <w:sz w:val="22"/>
          <w:szCs w:val="22"/>
        </w:rPr>
        <w:t xml:space="preserve"> IMLS</w:t>
      </w:r>
      <w:r w:rsidR="007B6909">
        <w:rPr>
          <w:rFonts w:ascii="Corbel" w:hAnsi="Corbel"/>
          <w:sz w:val="22"/>
          <w:szCs w:val="22"/>
        </w:rPr>
        <w:t>-</w:t>
      </w:r>
      <w:r w:rsidRPr="00A171AF" w:rsidR="009A0993">
        <w:rPr>
          <w:rFonts w:ascii="Corbel" w:hAnsi="Corbel"/>
          <w:sz w:val="22"/>
          <w:szCs w:val="22"/>
        </w:rPr>
        <w:t>funded</w:t>
      </w:r>
      <w:r w:rsidR="007B6909">
        <w:rPr>
          <w:rFonts w:ascii="Corbel" w:hAnsi="Corbel"/>
          <w:sz w:val="22"/>
          <w:szCs w:val="22"/>
        </w:rPr>
        <w:t xml:space="preserve"> </w:t>
      </w:r>
      <w:r w:rsidRPr="00A171AF" w:rsidR="009A0993">
        <w:rPr>
          <w:rFonts w:ascii="Corbel" w:hAnsi="Corbel"/>
          <w:sz w:val="22"/>
          <w:szCs w:val="22"/>
        </w:rPr>
        <w:t>initiatives</w:t>
      </w:r>
      <w:r w:rsidRPr="00A171AF" w:rsidR="00FA7F45">
        <w:rPr>
          <w:rFonts w:ascii="Corbel" w:hAnsi="Corbel"/>
          <w:sz w:val="22"/>
          <w:szCs w:val="22"/>
        </w:rPr>
        <w:t xml:space="preserve"> and others</w:t>
      </w:r>
      <w:r w:rsidRPr="00A171AF" w:rsidR="009A0993">
        <w:rPr>
          <w:rFonts w:ascii="Corbel" w:hAnsi="Corbel"/>
          <w:sz w:val="22"/>
          <w:szCs w:val="22"/>
        </w:rPr>
        <w:t>)</w:t>
      </w:r>
      <w:r w:rsidRPr="00A171AF" w:rsidR="003B4224">
        <w:rPr>
          <w:rFonts w:ascii="Corbel" w:hAnsi="Corbel"/>
          <w:sz w:val="22"/>
          <w:szCs w:val="22"/>
        </w:rPr>
        <w:t>, and perceived levels of success in adopting</w:t>
      </w:r>
      <w:r w:rsidRPr="00A171AF" w:rsidR="00392FC8">
        <w:rPr>
          <w:rFonts w:ascii="Corbel" w:hAnsi="Corbel"/>
          <w:sz w:val="22"/>
          <w:szCs w:val="22"/>
        </w:rPr>
        <w:t xml:space="preserve"> and </w:t>
      </w:r>
      <w:r w:rsidRPr="00A171AF" w:rsidR="003B4224">
        <w:rPr>
          <w:rFonts w:ascii="Corbel" w:hAnsi="Corbel"/>
          <w:sz w:val="22"/>
          <w:szCs w:val="22"/>
        </w:rPr>
        <w:t>sustaining</w:t>
      </w:r>
      <w:r w:rsidRPr="00A171AF" w:rsidR="00392FC8">
        <w:rPr>
          <w:rFonts w:ascii="Corbel" w:hAnsi="Corbel"/>
          <w:sz w:val="22"/>
          <w:szCs w:val="22"/>
        </w:rPr>
        <w:t xml:space="preserve"> increased </w:t>
      </w:r>
      <w:r w:rsidRPr="00A171AF" w:rsidR="000E2A5D">
        <w:rPr>
          <w:rFonts w:ascii="Corbel" w:hAnsi="Corbel"/>
          <w:sz w:val="22"/>
          <w:szCs w:val="22"/>
        </w:rPr>
        <w:t>capacity</w:t>
      </w:r>
      <w:r w:rsidR="000E2A5D">
        <w:rPr>
          <w:rFonts w:ascii="Corbel" w:hAnsi="Corbel"/>
          <w:sz w:val="22"/>
          <w:szCs w:val="22"/>
        </w:rPr>
        <w:t>-</w:t>
      </w:r>
      <w:r w:rsidRPr="00A171AF" w:rsidR="009A0993">
        <w:rPr>
          <w:rFonts w:ascii="Corbel" w:hAnsi="Corbel"/>
          <w:sz w:val="22"/>
          <w:szCs w:val="22"/>
        </w:rPr>
        <w:t>building initia</w:t>
      </w:r>
      <w:r w:rsidRPr="00A171AF" w:rsidR="002406AA">
        <w:rPr>
          <w:rFonts w:ascii="Corbel" w:hAnsi="Corbel"/>
          <w:sz w:val="22"/>
          <w:szCs w:val="22"/>
        </w:rPr>
        <w:t>ti</w:t>
      </w:r>
      <w:r w:rsidRPr="00A171AF" w:rsidR="009A0993">
        <w:rPr>
          <w:rFonts w:ascii="Corbel" w:hAnsi="Corbel"/>
          <w:sz w:val="22"/>
          <w:szCs w:val="22"/>
        </w:rPr>
        <w:t>ves</w:t>
      </w:r>
      <w:r w:rsidRPr="00A171AF" w:rsidR="002F68CB">
        <w:rPr>
          <w:rFonts w:ascii="Corbel" w:hAnsi="Corbel"/>
          <w:sz w:val="22"/>
          <w:szCs w:val="22"/>
        </w:rPr>
        <w:t>.</w:t>
      </w:r>
      <w:r w:rsidRPr="00A171AF" w:rsidR="009A0993">
        <w:rPr>
          <w:rFonts w:ascii="Corbel" w:hAnsi="Corbel"/>
          <w:sz w:val="22"/>
          <w:szCs w:val="22"/>
        </w:rPr>
        <w:t xml:space="preserve"> </w:t>
      </w:r>
    </w:p>
    <w:p w:rsidR="00515859" w:rsidP="00D67F24" w:rsidRDefault="00515859" w14:paraId="21C37878" w14:textId="77777777"/>
    <w:p w:rsidRPr="00A171AF" w:rsidR="00FC031B" w:rsidP="00D67F24" w:rsidRDefault="009A0993" w14:paraId="3349F96A" w14:textId="6AB7A1B4">
      <w:pPr>
        <w:rPr>
          <w:rFonts w:ascii="Corbel" w:hAnsi="Corbel"/>
          <w:sz w:val="22"/>
          <w:szCs w:val="22"/>
        </w:rPr>
      </w:pPr>
      <w:r w:rsidRPr="00A171AF">
        <w:rPr>
          <w:rFonts w:ascii="Corbel" w:hAnsi="Corbel"/>
          <w:sz w:val="22"/>
          <w:szCs w:val="22"/>
        </w:rPr>
        <w:lastRenderedPageBreak/>
        <w:t>Other assessment data collection activities include</w:t>
      </w:r>
      <w:r w:rsidRPr="00A171AF" w:rsidR="00FA7F45">
        <w:rPr>
          <w:rFonts w:ascii="Corbel" w:hAnsi="Corbel"/>
          <w:sz w:val="22"/>
          <w:szCs w:val="22"/>
        </w:rPr>
        <w:t xml:space="preserve"> </w:t>
      </w:r>
      <w:r w:rsidRPr="00A171AF">
        <w:rPr>
          <w:rFonts w:ascii="Corbel" w:hAnsi="Corbel"/>
          <w:sz w:val="22"/>
          <w:szCs w:val="22"/>
        </w:rPr>
        <w:t>stakeholder interviews and focus groups</w:t>
      </w:r>
      <w:r w:rsidR="00C159B2">
        <w:rPr>
          <w:rFonts w:ascii="Corbel" w:hAnsi="Corbel"/>
          <w:sz w:val="22"/>
          <w:szCs w:val="22"/>
        </w:rPr>
        <w:t>, which, together, will provide important ways to understand more deeply the challenges museums face with respect to capacity building</w:t>
      </w:r>
      <w:r w:rsidRPr="00A171AF">
        <w:rPr>
          <w:rFonts w:ascii="Corbel" w:hAnsi="Corbel"/>
          <w:sz w:val="22"/>
          <w:szCs w:val="22"/>
        </w:rPr>
        <w:t>.</w:t>
      </w:r>
      <w:r w:rsidR="00C159B2">
        <w:rPr>
          <w:rFonts w:ascii="Corbel" w:hAnsi="Corbel"/>
          <w:sz w:val="22"/>
          <w:szCs w:val="22"/>
        </w:rPr>
        <w:t xml:space="preserve"> </w:t>
      </w:r>
    </w:p>
    <w:p w:rsidR="000706B1" w:rsidP="00EB7A91" w:rsidRDefault="000706B1" w14:paraId="5F8D29D3" w14:textId="4F43C173">
      <w:pPr>
        <w:rPr>
          <w:rFonts w:ascii="Corbel" w:hAnsi="Corbel"/>
          <w:sz w:val="22"/>
          <w:szCs w:val="22"/>
        </w:rPr>
      </w:pPr>
    </w:p>
    <w:p w:rsidRPr="00957C58" w:rsidR="00957C58" w:rsidP="00DC356C" w:rsidRDefault="00957C58" w14:paraId="2CCB89FA" w14:textId="77777777">
      <w:pPr>
        <w:contextualSpacing/>
        <w:rPr>
          <w:rFonts w:ascii="Corbel" w:hAnsi="Corbel"/>
          <w:sz w:val="22"/>
          <w:szCs w:val="22"/>
        </w:rPr>
      </w:pPr>
      <w:r w:rsidRPr="00957C58">
        <w:rPr>
          <w:rFonts w:ascii="Corbel" w:hAnsi="Corbel"/>
          <w:sz w:val="22"/>
          <w:szCs w:val="22"/>
        </w:rPr>
        <w:t>IMLS anticipates that the study will also have broad interest to the museum field since capacity-building needs and opportunities for small and medium museums have not been examined through a study of this kind.</w:t>
      </w:r>
    </w:p>
    <w:p w:rsidRPr="00A171AF" w:rsidR="00957C58" w:rsidP="00DD0304" w:rsidRDefault="00957C58" w14:paraId="75613217" w14:textId="77777777">
      <w:pPr>
        <w:rPr>
          <w:rFonts w:ascii="Corbel" w:hAnsi="Corbel"/>
          <w:sz w:val="22"/>
          <w:szCs w:val="22"/>
        </w:rPr>
      </w:pPr>
    </w:p>
    <w:p w:rsidRPr="00A171AF" w:rsidR="00031E5D" w:rsidP="00D67F24" w:rsidRDefault="00031E5D" w14:paraId="64CD7F36" w14:textId="3ABAB39D">
      <w:pPr>
        <w:tabs>
          <w:tab w:val="clear" w:pos="1069"/>
        </w:tabs>
        <w:autoSpaceDE w:val="0"/>
        <w:autoSpaceDN w:val="0"/>
        <w:adjustRightInd w:val="0"/>
        <w:rPr>
          <w:rFonts w:ascii="Corbel" w:hAnsi="Corbel"/>
          <w:sz w:val="22"/>
          <w:szCs w:val="22"/>
        </w:rPr>
      </w:pPr>
      <w:r w:rsidRPr="00A171AF">
        <w:rPr>
          <w:rFonts w:ascii="Corbel" w:hAnsi="Corbel"/>
          <w:sz w:val="22"/>
          <w:szCs w:val="22"/>
        </w:rPr>
        <w:t>P</w:t>
      </w:r>
      <w:r w:rsidRPr="00A171AF" w:rsidR="00FA7F45">
        <w:rPr>
          <w:rFonts w:ascii="Corbel" w:hAnsi="Corbel"/>
          <w:sz w:val="22"/>
          <w:szCs w:val="22"/>
        </w:rPr>
        <w:t>artners for Public Good (PPG)</w:t>
      </w:r>
      <w:r w:rsidRPr="00A171AF">
        <w:rPr>
          <w:rFonts w:ascii="Corbel" w:hAnsi="Corbel"/>
          <w:sz w:val="22"/>
          <w:szCs w:val="22"/>
        </w:rPr>
        <w:t xml:space="preserve"> </w:t>
      </w:r>
      <w:r w:rsidRPr="00A171AF" w:rsidR="020B8354">
        <w:rPr>
          <w:rFonts w:ascii="Corbel" w:hAnsi="Corbel"/>
          <w:sz w:val="22"/>
          <w:szCs w:val="22"/>
        </w:rPr>
        <w:t>is a non-profit organization incorporated in 201</w:t>
      </w:r>
      <w:r w:rsidRPr="00A171AF">
        <w:rPr>
          <w:rFonts w:ascii="Corbel" w:hAnsi="Corbel"/>
          <w:sz w:val="22"/>
          <w:szCs w:val="22"/>
        </w:rPr>
        <w:t>7</w:t>
      </w:r>
      <w:r w:rsidRPr="00A171AF" w:rsidR="020B8354">
        <w:rPr>
          <w:rFonts w:ascii="Corbel" w:hAnsi="Corbel"/>
          <w:sz w:val="22"/>
          <w:szCs w:val="22"/>
        </w:rPr>
        <w:t xml:space="preserve"> for the purpose of</w:t>
      </w:r>
      <w:r w:rsidRPr="00A171AF">
        <w:rPr>
          <w:rFonts w:ascii="Corbel" w:hAnsi="Corbel"/>
          <w:sz w:val="22"/>
          <w:szCs w:val="22"/>
        </w:rPr>
        <w:t xml:space="preserve"> conducting and supporting activities that will facilitate and promote an effective charitable sector, strengthen the governance mechanisms of charitable organizations, and foster collaboration and inclusive impact programming across the sector, including through the provision of educational initiatives, technical assistance, and strategic planning and guidance. </w:t>
      </w:r>
      <w:r w:rsidRPr="00A171AF" w:rsidR="020B8354">
        <w:rPr>
          <w:rFonts w:ascii="Corbel" w:hAnsi="Corbel"/>
          <w:sz w:val="22"/>
          <w:szCs w:val="22"/>
        </w:rPr>
        <w:t xml:space="preserve">Board members represent a broad range of </w:t>
      </w:r>
      <w:r w:rsidRPr="00A171AF">
        <w:rPr>
          <w:rFonts w:ascii="Corbel" w:hAnsi="Corbel"/>
          <w:sz w:val="22"/>
          <w:szCs w:val="22"/>
        </w:rPr>
        <w:t>capacity building, governance, strategic planning, and arts experiences</w:t>
      </w:r>
      <w:r w:rsidRPr="00A171AF" w:rsidR="020B8354">
        <w:rPr>
          <w:rFonts w:ascii="Corbel" w:hAnsi="Corbel"/>
          <w:sz w:val="22"/>
          <w:szCs w:val="22"/>
        </w:rPr>
        <w:t xml:space="preserve">. </w:t>
      </w:r>
    </w:p>
    <w:p w:rsidRPr="00A171AF" w:rsidR="00031E5D" w:rsidP="00D67F24" w:rsidRDefault="00031E5D" w14:paraId="2B50B608" w14:textId="77777777">
      <w:pPr>
        <w:tabs>
          <w:tab w:val="clear" w:pos="1069"/>
        </w:tabs>
        <w:autoSpaceDE w:val="0"/>
        <w:autoSpaceDN w:val="0"/>
        <w:adjustRightInd w:val="0"/>
        <w:rPr>
          <w:rFonts w:ascii="Corbel" w:hAnsi="Corbel"/>
          <w:sz w:val="22"/>
          <w:szCs w:val="22"/>
        </w:rPr>
      </w:pPr>
    </w:p>
    <w:p w:rsidRPr="00A171AF" w:rsidR="00937192" w:rsidP="00D67F24" w:rsidRDefault="00031E5D" w14:paraId="2001963E" w14:textId="108B3A4F">
      <w:pPr>
        <w:rPr>
          <w:rFonts w:ascii="Corbel" w:hAnsi="Corbel"/>
          <w:sz w:val="22"/>
          <w:szCs w:val="22"/>
        </w:rPr>
      </w:pPr>
      <w:r w:rsidRPr="00A171AF">
        <w:rPr>
          <w:rFonts w:ascii="Corbel" w:hAnsi="Corbel"/>
          <w:sz w:val="22"/>
          <w:szCs w:val="22"/>
        </w:rPr>
        <w:t xml:space="preserve">In 2017, TCC Group </w:t>
      </w:r>
      <w:r w:rsidRPr="00A171AF" w:rsidR="00395A3F">
        <w:rPr>
          <w:rFonts w:ascii="Corbel" w:hAnsi="Corbel"/>
          <w:sz w:val="22"/>
          <w:szCs w:val="22"/>
        </w:rPr>
        <w:t>(a 40-year</w:t>
      </w:r>
      <w:r w:rsidRPr="00A171AF" w:rsidR="00942C07">
        <w:rPr>
          <w:rFonts w:ascii="Corbel" w:hAnsi="Corbel"/>
          <w:sz w:val="22"/>
          <w:szCs w:val="22"/>
        </w:rPr>
        <w:t>-</w:t>
      </w:r>
      <w:r w:rsidRPr="00A171AF" w:rsidR="00395A3F">
        <w:rPr>
          <w:rFonts w:ascii="Corbel" w:hAnsi="Corbel"/>
          <w:sz w:val="22"/>
          <w:szCs w:val="22"/>
        </w:rPr>
        <w:t xml:space="preserve">old </w:t>
      </w:r>
      <w:r w:rsidRPr="00A171AF" w:rsidR="00942C07">
        <w:rPr>
          <w:rFonts w:ascii="Corbel" w:hAnsi="Corbel"/>
          <w:sz w:val="22"/>
          <w:szCs w:val="22"/>
        </w:rPr>
        <w:t>social impact consulting f</w:t>
      </w:r>
      <w:r w:rsidRPr="00A171AF" w:rsidR="00395A3F">
        <w:rPr>
          <w:rFonts w:ascii="Corbel" w:hAnsi="Corbel"/>
          <w:sz w:val="22"/>
          <w:szCs w:val="22"/>
        </w:rPr>
        <w:t>ir</w:t>
      </w:r>
      <w:r w:rsidRPr="00A171AF" w:rsidR="00942C07">
        <w:rPr>
          <w:rFonts w:ascii="Corbel" w:hAnsi="Corbel"/>
          <w:sz w:val="22"/>
          <w:szCs w:val="22"/>
        </w:rPr>
        <w:t>m)</w:t>
      </w:r>
      <w:r w:rsidRPr="00A171AF" w:rsidR="00395A3F">
        <w:rPr>
          <w:rFonts w:ascii="Corbel" w:hAnsi="Corbel"/>
          <w:sz w:val="22"/>
          <w:szCs w:val="22"/>
        </w:rPr>
        <w:t xml:space="preserve"> </w:t>
      </w:r>
      <w:r w:rsidRPr="00A171AF">
        <w:rPr>
          <w:rFonts w:ascii="Corbel" w:hAnsi="Corbel"/>
          <w:sz w:val="22"/>
          <w:szCs w:val="22"/>
        </w:rPr>
        <w:t>incorporated PPG to support government agencies, non</w:t>
      </w:r>
      <w:r w:rsidR="000E06A3">
        <w:rPr>
          <w:rFonts w:ascii="Corbel" w:hAnsi="Corbel"/>
          <w:sz w:val="22"/>
          <w:szCs w:val="22"/>
        </w:rPr>
        <w:t>-</w:t>
      </w:r>
      <w:r w:rsidRPr="00A171AF">
        <w:rPr>
          <w:rFonts w:ascii="Corbel" w:hAnsi="Corbel"/>
          <w:sz w:val="22"/>
          <w:szCs w:val="22"/>
        </w:rPr>
        <w:t>profits, and for-profits committed to improving and evolving the social sector.</w:t>
      </w:r>
      <w:r w:rsidRPr="00A171AF" w:rsidR="00FA7F45">
        <w:rPr>
          <w:rFonts w:ascii="Corbel" w:hAnsi="Corbel"/>
          <w:sz w:val="22"/>
          <w:szCs w:val="22"/>
        </w:rPr>
        <w:t xml:space="preserve"> </w:t>
      </w:r>
      <w:r w:rsidRPr="00A171AF">
        <w:rPr>
          <w:rFonts w:ascii="Corbel" w:hAnsi="Corbel"/>
          <w:sz w:val="22"/>
          <w:szCs w:val="22"/>
        </w:rPr>
        <w:t>The unique collection of skills and experience</w:t>
      </w:r>
      <w:r w:rsidR="000E06A3">
        <w:rPr>
          <w:rFonts w:ascii="Corbel" w:hAnsi="Corbel"/>
          <w:sz w:val="22"/>
          <w:szCs w:val="22"/>
        </w:rPr>
        <w:t>s</w:t>
      </w:r>
      <w:r w:rsidRPr="00A171AF">
        <w:rPr>
          <w:rFonts w:ascii="Corbel" w:hAnsi="Corbel"/>
          <w:sz w:val="22"/>
          <w:szCs w:val="22"/>
        </w:rPr>
        <w:t xml:space="preserve"> TCC Group has amassed position</w:t>
      </w:r>
      <w:r w:rsidRPr="00A171AF" w:rsidR="00FA7F45">
        <w:rPr>
          <w:rFonts w:ascii="Corbel" w:hAnsi="Corbel"/>
          <w:sz w:val="22"/>
          <w:szCs w:val="22"/>
        </w:rPr>
        <w:t>s</w:t>
      </w:r>
      <w:r w:rsidRPr="00A171AF">
        <w:rPr>
          <w:rFonts w:ascii="Corbel" w:hAnsi="Corbel"/>
          <w:sz w:val="22"/>
          <w:szCs w:val="22"/>
        </w:rPr>
        <w:t xml:space="preserve"> it to increase the social sector’s effectiveness in successfully addressing and supporting capacity gaps across multiple fields.</w:t>
      </w:r>
    </w:p>
    <w:p w:rsidRPr="00AF37DE" w:rsidR="00937192" w:rsidP="00D67F24" w:rsidRDefault="00937192" w14:paraId="6D02F747" w14:textId="77777777">
      <w:pPr>
        <w:rPr>
          <w:rFonts w:ascii="Corbel" w:hAnsi="Corbel"/>
        </w:rPr>
      </w:pPr>
    </w:p>
    <w:p w:rsidR="00024EF4" w:rsidP="00D67F24" w:rsidRDefault="00024EF4" w14:paraId="13835FF3" w14:textId="7243CF71">
      <w:pPr>
        <w:pStyle w:val="Heading3"/>
        <w:rPr>
          <w:rFonts w:ascii="Corbel" w:hAnsi="Corbel"/>
          <w:b w:val="0"/>
          <w:bCs/>
        </w:rPr>
      </w:pPr>
      <w:r w:rsidRPr="00A171AF">
        <w:rPr>
          <w:rFonts w:ascii="Corbel" w:hAnsi="Corbel"/>
          <w:b w:val="0"/>
          <w:bCs/>
        </w:rPr>
        <w:t>A.1.</w:t>
      </w:r>
      <w:r w:rsidR="00D41FE8">
        <w:rPr>
          <w:rFonts w:ascii="Corbel" w:hAnsi="Corbel"/>
          <w:b w:val="0"/>
          <w:bCs/>
        </w:rPr>
        <w:t>2</w:t>
      </w:r>
      <w:r w:rsidRPr="00A171AF">
        <w:rPr>
          <w:rFonts w:ascii="Corbel" w:hAnsi="Corbel"/>
          <w:b w:val="0"/>
          <w:bCs/>
        </w:rPr>
        <w:t>.</w:t>
      </w:r>
      <w:r w:rsidR="00D41FE8">
        <w:rPr>
          <w:rFonts w:ascii="Corbel" w:hAnsi="Corbel"/>
          <w:b w:val="0"/>
          <w:bCs/>
        </w:rPr>
        <w:tab/>
      </w:r>
      <w:r w:rsidRPr="00A171AF">
        <w:rPr>
          <w:rFonts w:ascii="Corbel" w:hAnsi="Corbel"/>
          <w:b w:val="0"/>
          <w:bCs/>
        </w:rPr>
        <w:t>Legislative Authorization</w:t>
      </w:r>
    </w:p>
    <w:p w:rsidRPr="00A171AF" w:rsidR="004F2DAE" w:rsidP="00D67F24" w:rsidRDefault="020B8354" w14:paraId="7AC2FF32" w14:textId="0CB50792">
      <w:pPr>
        <w:rPr>
          <w:rFonts w:ascii="Corbel" w:hAnsi="Corbel"/>
          <w:sz w:val="22"/>
          <w:szCs w:val="22"/>
        </w:rPr>
      </w:pPr>
      <w:r w:rsidRPr="00A171AF">
        <w:rPr>
          <w:rFonts w:ascii="Corbel" w:hAnsi="Corbel"/>
          <w:sz w:val="22"/>
          <w:szCs w:val="22"/>
        </w:rPr>
        <w:t xml:space="preserve">IMLS is the primary source of federal support for the nation's libraries and museums. </w:t>
      </w:r>
      <w:r w:rsidRPr="00A171AF" w:rsidR="00942C07">
        <w:rPr>
          <w:rFonts w:ascii="Corbel" w:hAnsi="Corbel"/>
          <w:sz w:val="22"/>
          <w:szCs w:val="22"/>
        </w:rPr>
        <w:t>It</w:t>
      </w:r>
      <w:r w:rsidRPr="00A171AF">
        <w:rPr>
          <w:rFonts w:ascii="Corbel" w:hAnsi="Corbel"/>
          <w:sz w:val="22"/>
          <w:szCs w:val="22"/>
        </w:rPr>
        <w:t xml:space="preserve"> advance</w:t>
      </w:r>
      <w:r w:rsidRPr="00A171AF" w:rsidR="00942C07">
        <w:rPr>
          <w:rFonts w:ascii="Corbel" w:hAnsi="Corbel"/>
          <w:sz w:val="22"/>
          <w:szCs w:val="22"/>
        </w:rPr>
        <w:t>s</w:t>
      </w:r>
      <w:r w:rsidRPr="00A171AF">
        <w:rPr>
          <w:rFonts w:ascii="Corbel" w:hAnsi="Corbel"/>
          <w:sz w:val="22"/>
          <w:szCs w:val="22"/>
        </w:rPr>
        <w:t>, support</w:t>
      </w:r>
      <w:r w:rsidRPr="00A171AF" w:rsidR="00942C07">
        <w:rPr>
          <w:rFonts w:ascii="Corbel" w:hAnsi="Corbel"/>
          <w:sz w:val="22"/>
          <w:szCs w:val="22"/>
        </w:rPr>
        <w:t>s</w:t>
      </w:r>
      <w:r w:rsidRPr="00A171AF">
        <w:rPr>
          <w:rFonts w:ascii="Corbel" w:hAnsi="Corbel"/>
          <w:sz w:val="22"/>
          <w:szCs w:val="22"/>
        </w:rPr>
        <w:t>, and empower</w:t>
      </w:r>
      <w:r w:rsidRPr="00A171AF" w:rsidR="00942C07">
        <w:rPr>
          <w:rFonts w:ascii="Corbel" w:hAnsi="Corbel"/>
          <w:sz w:val="22"/>
          <w:szCs w:val="22"/>
        </w:rPr>
        <w:t>s</w:t>
      </w:r>
      <w:r w:rsidRPr="00A171AF">
        <w:rPr>
          <w:rFonts w:ascii="Corbel" w:hAnsi="Corbel"/>
          <w:sz w:val="22"/>
          <w:szCs w:val="22"/>
        </w:rPr>
        <w:t xml:space="preserve"> America’s museums, libraries, and related organizations through grant making, research, and policy development. </w:t>
      </w:r>
      <w:r w:rsidRPr="00A171AF" w:rsidR="00942C07">
        <w:rPr>
          <w:rFonts w:ascii="Corbel" w:hAnsi="Corbel"/>
          <w:sz w:val="22"/>
          <w:szCs w:val="22"/>
        </w:rPr>
        <w:t>IMLS en</w:t>
      </w:r>
      <w:r w:rsidRPr="00A171AF">
        <w:rPr>
          <w:rFonts w:ascii="Corbel" w:hAnsi="Corbel"/>
          <w:sz w:val="22"/>
          <w:szCs w:val="22"/>
        </w:rPr>
        <w:t>vision</w:t>
      </w:r>
      <w:r w:rsidRPr="00A171AF" w:rsidR="00942C07">
        <w:rPr>
          <w:rFonts w:ascii="Corbel" w:hAnsi="Corbel"/>
          <w:sz w:val="22"/>
          <w:szCs w:val="22"/>
        </w:rPr>
        <w:t>s</w:t>
      </w:r>
      <w:r w:rsidRPr="00A171AF">
        <w:rPr>
          <w:rFonts w:ascii="Corbel" w:hAnsi="Corbel"/>
          <w:sz w:val="22"/>
          <w:szCs w:val="22"/>
        </w:rPr>
        <w:t xml:space="preserve"> a nation where museums and libraries work together to transform the lives of individuals and communities. </w:t>
      </w:r>
    </w:p>
    <w:p w:rsidRPr="00A171AF" w:rsidR="00024EF4" w:rsidP="00D67F24" w:rsidRDefault="00024EF4" w14:paraId="3204AC98" w14:textId="77777777">
      <w:pPr>
        <w:rPr>
          <w:rFonts w:ascii="Corbel" w:hAnsi="Corbel"/>
          <w:sz w:val="22"/>
          <w:szCs w:val="22"/>
        </w:rPr>
      </w:pPr>
    </w:p>
    <w:p w:rsidRPr="00A171AF" w:rsidR="00463BC5" w:rsidP="00D67F24" w:rsidRDefault="004742CB" w14:paraId="785E0959" w14:textId="2756BC98">
      <w:pPr>
        <w:rPr>
          <w:rFonts w:ascii="Corbel" w:hAnsi="Corbel"/>
          <w:sz w:val="22"/>
          <w:szCs w:val="22"/>
        </w:rPr>
      </w:pPr>
      <w:r w:rsidRPr="00A171AF">
        <w:rPr>
          <w:rFonts w:ascii="Corbel" w:hAnsi="Corbel"/>
          <w:sz w:val="22"/>
          <w:szCs w:val="22"/>
        </w:rPr>
        <w:t xml:space="preserve">IMLS conducts data collection, </w:t>
      </w:r>
      <w:r w:rsidRPr="00A171AF" w:rsidR="004466E3">
        <w:rPr>
          <w:rFonts w:ascii="Corbel" w:hAnsi="Corbel"/>
          <w:sz w:val="22"/>
          <w:szCs w:val="22"/>
        </w:rPr>
        <w:t xml:space="preserve">analysis and </w:t>
      </w:r>
      <w:r w:rsidR="004A2900">
        <w:rPr>
          <w:rFonts w:ascii="Corbel" w:hAnsi="Corbel"/>
          <w:sz w:val="22"/>
          <w:szCs w:val="22"/>
        </w:rPr>
        <w:t>evaluation</w:t>
      </w:r>
      <w:r w:rsidRPr="00A171AF" w:rsidR="004A2900">
        <w:rPr>
          <w:rFonts w:ascii="Corbel" w:hAnsi="Corbel"/>
          <w:sz w:val="22"/>
          <w:szCs w:val="22"/>
        </w:rPr>
        <w:t xml:space="preserve"> </w:t>
      </w:r>
      <w:r w:rsidRPr="00A171AF" w:rsidR="004466E3">
        <w:rPr>
          <w:rFonts w:ascii="Corbel" w:hAnsi="Corbel"/>
          <w:sz w:val="22"/>
          <w:szCs w:val="22"/>
        </w:rPr>
        <w:t xml:space="preserve">of its programs </w:t>
      </w:r>
      <w:r w:rsidRPr="00A171AF" w:rsidR="00AB77A7">
        <w:rPr>
          <w:rFonts w:ascii="Corbel" w:hAnsi="Corbel"/>
          <w:sz w:val="22"/>
          <w:szCs w:val="22"/>
        </w:rPr>
        <w:t xml:space="preserve">and </w:t>
      </w:r>
      <w:r w:rsidRPr="00A171AF" w:rsidR="008D1127">
        <w:rPr>
          <w:rFonts w:ascii="Corbel" w:hAnsi="Corbel"/>
          <w:sz w:val="22"/>
          <w:szCs w:val="22"/>
        </w:rPr>
        <w:t xml:space="preserve">field engagement efforts </w:t>
      </w:r>
      <w:r w:rsidRPr="00A171AF" w:rsidR="00310F00">
        <w:rPr>
          <w:rFonts w:ascii="Corbel" w:hAnsi="Corbel"/>
          <w:sz w:val="22"/>
          <w:szCs w:val="22"/>
        </w:rPr>
        <w:t xml:space="preserve">with the </w:t>
      </w:r>
      <w:r w:rsidRPr="00A171AF" w:rsidR="008D1127">
        <w:rPr>
          <w:rFonts w:ascii="Corbel" w:hAnsi="Corbel"/>
          <w:sz w:val="22"/>
          <w:szCs w:val="22"/>
        </w:rPr>
        <w:t xml:space="preserve">overall </w:t>
      </w:r>
      <w:r w:rsidRPr="00A171AF" w:rsidR="00310F00">
        <w:rPr>
          <w:rFonts w:ascii="Corbel" w:hAnsi="Corbel"/>
          <w:sz w:val="22"/>
          <w:szCs w:val="22"/>
        </w:rPr>
        <w:t xml:space="preserve">goal of continuous </w:t>
      </w:r>
      <w:r w:rsidRPr="00A171AF" w:rsidR="008D1127">
        <w:rPr>
          <w:rFonts w:ascii="Corbel" w:hAnsi="Corbel"/>
          <w:sz w:val="22"/>
          <w:szCs w:val="22"/>
        </w:rPr>
        <w:t xml:space="preserve">improvement. The </w:t>
      </w:r>
      <w:r w:rsidRPr="00A171AF" w:rsidR="001474D5">
        <w:rPr>
          <w:rFonts w:ascii="Corbel" w:hAnsi="Corbel"/>
          <w:sz w:val="22"/>
          <w:szCs w:val="22"/>
        </w:rPr>
        <w:t xml:space="preserve">Market </w:t>
      </w:r>
      <w:r w:rsidR="00D02534">
        <w:rPr>
          <w:rFonts w:ascii="Corbel" w:hAnsi="Corbel"/>
          <w:sz w:val="22"/>
          <w:szCs w:val="22"/>
        </w:rPr>
        <w:t>Analysis</w:t>
      </w:r>
      <w:r w:rsidRPr="00A171AF" w:rsidR="001474D5">
        <w:rPr>
          <w:rFonts w:ascii="Corbel" w:hAnsi="Corbel"/>
          <w:sz w:val="22"/>
          <w:szCs w:val="22"/>
        </w:rPr>
        <w:t xml:space="preserve"> and Opportunity Assessment of Museum Capacity</w:t>
      </w:r>
      <w:r w:rsidR="00B13CE4">
        <w:rPr>
          <w:rFonts w:ascii="Corbel" w:hAnsi="Corbel"/>
          <w:sz w:val="22"/>
          <w:szCs w:val="22"/>
        </w:rPr>
        <w:t>-</w:t>
      </w:r>
      <w:r w:rsidRPr="00A171AF" w:rsidR="001474D5">
        <w:rPr>
          <w:rFonts w:ascii="Corbel" w:hAnsi="Corbel"/>
          <w:sz w:val="22"/>
          <w:szCs w:val="22"/>
        </w:rPr>
        <w:t xml:space="preserve">Building Programs is one such effort. </w:t>
      </w:r>
      <w:r w:rsidRPr="00A171AF" w:rsidR="0B7E8244">
        <w:rPr>
          <w:rFonts w:ascii="Corbel" w:hAnsi="Corbel"/>
          <w:sz w:val="22"/>
          <w:szCs w:val="22"/>
        </w:rPr>
        <w:t xml:space="preserve">This data collection is authorized by 20 U.S.C. § 9108 (Policy research, data collection, </w:t>
      </w:r>
      <w:r w:rsidR="003200F6">
        <w:rPr>
          <w:rFonts w:ascii="Corbel" w:hAnsi="Corbel"/>
          <w:sz w:val="22"/>
          <w:szCs w:val="22"/>
        </w:rPr>
        <w:t xml:space="preserve">analysis and modeling, evaluation, </w:t>
      </w:r>
      <w:r w:rsidRPr="00A171AF" w:rsidR="0B7E8244">
        <w:rPr>
          <w:rFonts w:ascii="Corbel" w:hAnsi="Corbel"/>
          <w:sz w:val="22"/>
          <w:szCs w:val="22"/>
        </w:rPr>
        <w:t>and dissemination).</w:t>
      </w:r>
    </w:p>
    <w:p w:rsidRPr="00A171AF" w:rsidR="00024EF4" w:rsidP="00D67F24" w:rsidRDefault="00024EF4" w14:paraId="788C6790" w14:textId="77777777">
      <w:pPr>
        <w:pStyle w:val="Heading3"/>
        <w:rPr>
          <w:rFonts w:ascii="Corbel" w:hAnsi="Corbel"/>
          <w:b w:val="0"/>
          <w:bCs/>
        </w:rPr>
      </w:pPr>
    </w:p>
    <w:p w:rsidRPr="00A171AF" w:rsidR="00024EF4" w:rsidP="00D67F24" w:rsidRDefault="00024EF4" w14:paraId="3D6E067C" w14:textId="7EA09968">
      <w:pPr>
        <w:pStyle w:val="Heading3"/>
        <w:rPr>
          <w:rFonts w:ascii="Corbel" w:hAnsi="Corbel"/>
          <w:b w:val="0"/>
          <w:bCs/>
        </w:rPr>
      </w:pPr>
      <w:r w:rsidRPr="00A171AF">
        <w:rPr>
          <w:rFonts w:ascii="Corbel" w:hAnsi="Corbel"/>
          <w:b w:val="0"/>
          <w:bCs/>
        </w:rPr>
        <w:t>A.1.</w:t>
      </w:r>
      <w:r w:rsidR="00D41FE8">
        <w:rPr>
          <w:rFonts w:ascii="Corbel" w:hAnsi="Corbel"/>
          <w:b w:val="0"/>
          <w:bCs/>
        </w:rPr>
        <w:t>3</w:t>
      </w:r>
      <w:r w:rsidRPr="00A171AF">
        <w:rPr>
          <w:rFonts w:ascii="Corbel" w:hAnsi="Corbel"/>
          <w:b w:val="0"/>
          <w:bCs/>
        </w:rPr>
        <w:t xml:space="preserve">. </w:t>
      </w:r>
      <w:r w:rsidRPr="00A171AF">
        <w:rPr>
          <w:rFonts w:ascii="Corbel" w:hAnsi="Corbel"/>
          <w:b w:val="0"/>
          <w:bCs/>
        </w:rPr>
        <w:tab/>
        <w:t>Prior Related Studies</w:t>
      </w:r>
    </w:p>
    <w:p w:rsidRPr="00A61A8B" w:rsidR="0005290E" w:rsidP="00D67F24" w:rsidRDefault="0005290E" w14:paraId="4A650FE5" w14:textId="04B38B75">
      <w:pPr>
        <w:rPr>
          <w:rFonts w:ascii="Corbel" w:hAnsi="Corbel"/>
          <w:sz w:val="22"/>
          <w:szCs w:val="22"/>
        </w:rPr>
      </w:pPr>
      <w:r w:rsidRPr="00A61A8B">
        <w:rPr>
          <w:rFonts w:ascii="Corbel" w:hAnsi="Corbel"/>
          <w:sz w:val="22"/>
          <w:szCs w:val="22"/>
        </w:rPr>
        <w:t>Though IMLS has funded technical assistance and capacity programs over many decades</w:t>
      </w:r>
      <w:r w:rsidRPr="00A61A8B" w:rsidR="0073446E">
        <w:rPr>
          <w:rFonts w:ascii="Corbel" w:hAnsi="Corbel"/>
          <w:sz w:val="22"/>
          <w:szCs w:val="22"/>
        </w:rPr>
        <w:t>,</w:t>
      </w:r>
      <w:r w:rsidRPr="00A61A8B">
        <w:rPr>
          <w:rFonts w:ascii="Corbel" w:hAnsi="Corbel"/>
          <w:sz w:val="22"/>
          <w:szCs w:val="22"/>
        </w:rPr>
        <w:t xml:space="preserve"> such as </w:t>
      </w:r>
      <w:r w:rsidR="00E93CDC">
        <w:rPr>
          <w:rFonts w:ascii="Corbel" w:hAnsi="Corbel"/>
          <w:sz w:val="22"/>
          <w:szCs w:val="22"/>
        </w:rPr>
        <w:t xml:space="preserve">the </w:t>
      </w:r>
      <w:r w:rsidRPr="00A61A8B">
        <w:rPr>
          <w:rFonts w:ascii="Corbel" w:hAnsi="Corbel"/>
          <w:sz w:val="22"/>
          <w:szCs w:val="22"/>
        </w:rPr>
        <w:t>Museum Assessment Program (MAP)</w:t>
      </w:r>
      <w:r w:rsidR="00E93CDC">
        <w:rPr>
          <w:rFonts w:ascii="Corbel" w:hAnsi="Corbel"/>
          <w:sz w:val="22"/>
          <w:szCs w:val="22"/>
        </w:rPr>
        <w:t xml:space="preserve"> and the </w:t>
      </w:r>
      <w:r w:rsidRPr="00A61A8B">
        <w:rPr>
          <w:rFonts w:ascii="Corbel" w:hAnsi="Corbel"/>
          <w:sz w:val="22"/>
          <w:szCs w:val="22"/>
        </w:rPr>
        <w:t xml:space="preserve">Collections Assessment </w:t>
      </w:r>
      <w:r w:rsidR="00E93CDC">
        <w:rPr>
          <w:rFonts w:ascii="Corbel" w:hAnsi="Corbel"/>
          <w:sz w:val="22"/>
          <w:szCs w:val="22"/>
        </w:rPr>
        <w:t>for Preservation</w:t>
      </w:r>
      <w:r w:rsidRPr="00A61A8B" w:rsidR="00E93CDC">
        <w:rPr>
          <w:rFonts w:ascii="Corbel" w:hAnsi="Corbel"/>
          <w:sz w:val="22"/>
          <w:szCs w:val="22"/>
        </w:rPr>
        <w:t xml:space="preserve"> </w:t>
      </w:r>
      <w:r w:rsidRPr="00A61A8B">
        <w:rPr>
          <w:rFonts w:ascii="Corbel" w:hAnsi="Corbel"/>
          <w:sz w:val="22"/>
          <w:szCs w:val="22"/>
        </w:rPr>
        <w:t>(CAP)</w:t>
      </w:r>
      <w:r w:rsidR="00E93CDC">
        <w:rPr>
          <w:rFonts w:ascii="Corbel" w:hAnsi="Corbel"/>
          <w:sz w:val="22"/>
          <w:szCs w:val="22"/>
        </w:rPr>
        <w:t xml:space="preserve"> program</w:t>
      </w:r>
      <w:r w:rsidRPr="00A61A8B">
        <w:rPr>
          <w:rFonts w:ascii="Corbel" w:hAnsi="Corbel"/>
          <w:sz w:val="22"/>
          <w:szCs w:val="22"/>
        </w:rPr>
        <w:t xml:space="preserve">, IMLS has not previously funded a comprehensive and cross-cutting </w:t>
      </w:r>
      <w:r w:rsidRPr="00A61A8B" w:rsidR="00E93CDC">
        <w:rPr>
          <w:rFonts w:ascii="Corbel" w:hAnsi="Corbel"/>
          <w:sz w:val="22"/>
          <w:szCs w:val="22"/>
        </w:rPr>
        <w:t>stud</w:t>
      </w:r>
      <w:r w:rsidR="00E93CDC">
        <w:rPr>
          <w:rFonts w:ascii="Corbel" w:hAnsi="Corbel"/>
          <w:sz w:val="22"/>
          <w:szCs w:val="22"/>
        </w:rPr>
        <w:t>y</w:t>
      </w:r>
      <w:r w:rsidRPr="00A61A8B" w:rsidR="00E93CDC">
        <w:rPr>
          <w:rFonts w:ascii="Corbel" w:hAnsi="Corbel"/>
          <w:sz w:val="22"/>
          <w:szCs w:val="22"/>
        </w:rPr>
        <w:t xml:space="preserve"> </w:t>
      </w:r>
      <w:r w:rsidRPr="00A61A8B">
        <w:rPr>
          <w:rFonts w:ascii="Corbel" w:hAnsi="Corbel"/>
          <w:sz w:val="22"/>
          <w:szCs w:val="22"/>
        </w:rPr>
        <w:t xml:space="preserve">examining </w:t>
      </w:r>
      <w:r w:rsidR="00386D6C">
        <w:rPr>
          <w:rFonts w:ascii="Corbel" w:hAnsi="Corbel"/>
          <w:sz w:val="22"/>
          <w:szCs w:val="22"/>
        </w:rPr>
        <w:t>capacity-building</w:t>
      </w:r>
      <w:r w:rsidRPr="00A61A8B">
        <w:rPr>
          <w:rFonts w:ascii="Corbel" w:hAnsi="Corbel"/>
          <w:sz w:val="22"/>
          <w:szCs w:val="22"/>
        </w:rPr>
        <w:t xml:space="preserve"> effectiveness and gap identification in the museum sector. This work w</w:t>
      </w:r>
      <w:r w:rsidRPr="00A61A8B" w:rsidR="0073446E">
        <w:rPr>
          <w:rFonts w:ascii="Corbel" w:hAnsi="Corbel"/>
          <w:sz w:val="22"/>
          <w:szCs w:val="22"/>
        </w:rPr>
        <w:t>ill</w:t>
      </w:r>
      <w:r w:rsidRPr="00A61A8B">
        <w:rPr>
          <w:rFonts w:ascii="Corbel" w:hAnsi="Corbel"/>
          <w:sz w:val="22"/>
          <w:szCs w:val="22"/>
        </w:rPr>
        <w:t xml:space="preserve"> build upon existing studies conducted by IMLS and other organizations that examine the capacity of museums to play a role in improving community social wellbeing and quality of life. Such studies include IMLS’s report </w:t>
      </w:r>
      <w:r w:rsidRPr="00A61A8B">
        <w:rPr>
          <w:rFonts w:ascii="Corbel" w:hAnsi="Corbel"/>
          <w:sz w:val="22"/>
          <w:szCs w:val="22"/>
        </w:rPr>
        <w:lastRenderedPageBreak/>
        <w:t>“Strengthening Networks, Sparking Change: Museums and Libraries as Community Catalysts</w:t>
      </w:r>
      <w:r w:rsidR="008662A5">
        <w:rPr>
          <w:rStyle w:val="FootnoteReference"/>
          <w:rFonts w:ascii="Corbel" w:hAnsi="Corbel"/>
          <w:sz w:val="22"/>
          <w:szCs w:val="22"/>
        </w:rPr>
        <w:footnoteReference w:id="2"/>
      </w:r>
      <w:r w:rsidRPr="00A61A8B">
        <w:rPr>
          <w:rFonts w:ascii="Corbel" w:hAnsi="Corbel"/>
          <w:sz w:val="22"/>
          <w:szCs w:val="22"/>
        </w:rPr>
        <w:t>” and its current research initiative</w:t>
      </w:r>
      <w:r w:rsidRPr="00A61A8B" w:rsidR="0073446E">
        <w:rPr>
          <w:rFonts w:ascii="Corbel" w:hAnsi="Corbel"/>
          <w:sz w:val="22"/>
          <w:szCs w:val="22"/>
        </w:rPr>
        <w:t>,</w:t>
      </w:r>
      <w:r w:rsidRPr="00A61A8B">
        <w:rPr>
          <w:rFonts w:ascii="Corbel" w:hAnsi="Corbel"/>
          <w:sz w:val="22"/>
          <w:szCs w:val="22"/>
        </w:rPr>
        <w:t xml:space="preserve"> “Understanding the Social Wellbeing Impacts of the Nation’s Libraries and Museums.”</w:t>
      </w:r>
    </w:p>
    <w:p w:rsidRPr="00A61A8B" w:rsidR="0005290E" w:rsidP="00D67F24" w:rsidRDefault="0005290E" w14:paraId="1A0541D6" w14:textId="77777777">
      <w:pPr>
        <w:rPr>
          <w:rFonts w:ascii="Corbel" w:hAnsi="Corbel"/>
          <w:sz w:val="22"/>
          <w:szCs w:val="22"/>
        </w:rPr>
      </w:pPr>
    </w:p>
    <w:p w:rsidRPr="00A61A8B" w:rsidR="0005290E" w:rsidP="00D67F24" w:rsidRDefault="0005290E" w14:paraId="221FA9B9" w14:textId="4229D9D2">
      <w:pPr>
        <w:rPr>
          <w:rFonts w:ascii="Corbel" w:hAnsi="Corbel"/>
          <w:sz w:val="22"/>
          <w:szCs w:val="22"/>
        </w:rPr>
      </w:pPr>
      <w:r w:rsidRPr="00A61A8B">
        <w:rPr>
          <w:rFonts w:ascii="Corbel" w:hAnsi="Corbel"/>
          <w:sz w:val="22"/>
          <w:szCs w:val="22"/>
        </w:rPr>
        <w:t>M</w:t>
      </w:r>
      <w:r w:rsidRPr="00A61A8B" w:rsidR="0073446E">
        <w:rPr>
          <w:rFonts w:ascii="Corbel" w:hAnsi="Corbel"/>
          <w:sz w:val="22"/>
          <w:szCs w:val="22"/>
        </w:rPr>
        <w:t>any</w:t>
      </w:r>
      <w:r w:rsidRPr="00A61A8B">
        <w:rPr>
          <w:rFonts w:ascii="Corbel" w:hAnsi="Corbel"/>
          <w:sz w:val="22"/>
          <w:szCs w:val="22"/>
        </w:rPr>
        <w:t xml:space="preserve"> general studies of museums lack an explicit focus on capacity building or conflate capacity building with professional development. As mentioned above, we have defined capacity building to be </w:t>
      </w:r>
      <w:r w:rsidR="00C86371">
        <w:rPr>
          <w:rFonts w:ascii="Corbel" w:hAnsi="Corbel"/>
          <w:sz w:val="22"/>
          <w:szCs w:val="22"/>
        </w:rPr>
        <w:t>generating</w:t>
      </w:r>
      <w:r w:rsidRPr="00A61A8B">
        <w:rPr>
          <w:rFonts w:ascii="Corbel" w:hAnsi="Corbel"/>
          <w:sz w:val="22"/>
          <w:szCs w:val="22"/>
        </w:rPr>
        <w:t xml:space="preserve"> resources or support intended to help an institution enhance its ability to fulfill its mission or purpose. While others continue to use the terms </w:t>
      </w:r>
      <w:r w:rsidRPr="00A61A8B" w:rsidR="0073446E">
        <w:rPr>
          <w:rFonts w:ascii="Corbel" w:hAnsi="Corbel"/>
          <w:sz w:val="22"/>
          <w:szCs w:val="22"/>
        </w:rPr>
        <w:t>“</w:t>
      </w:r>
      <w:r w:rsidRPr="00A61A8B">
        <w:rPr>
          <w:rFonts w:ascii="Corbel" w:hAnsi="Corbel"/>
          <w:sz w:val="22"/>
          <w:szCs w:val="22"/>
        </w:rPr>
        <w:t>capacity building</w:t>
      </w:r>
      <w:r w:rsidRPr="00A61A8B" w:rsidR="0073446E">
        <w:rPr>
          <w:rFonts w:ascii="Corbel" w:hAnsi="Corbel"/>
          <w:sz w:val="22"/>
          <w:szCs w:val="22"/>
        </w:rPr>
        <w:t>”</w:t>
      </w:r>
      <w:r w:rsidRPr="00A61A8B">
        <w:rPr>
          <w:rFonts w:ascii="Corbel" w:hAnsi="Corbel"/>
          <w:sz w:val="22"/>
          <w:szCs w:val="22"/>
        </w:rPr>
        <w:t xml:space="preserve"> and </w:t>
      </w:r>
      <w:r w:rsidRPr="00A61A8B" w:rsidR="0073446E">
        <w:rPr>
          <w:rFonts w:ascii="Corbel" w:hAnsi="Corbel"/>
          <w:sz w:val="22"/>
          <w:szCs w:val="22"/>
        </w:rPr>
        <w:t>“</w:t>
      </w:r>
      <w:r w:rsidRPr="00A61A8B">
        <w:rPr>
          <w:rFonts w:ascii="Corbel" w:hAnsi="Corbel"/>
          <w:sz w:val="22"/>
          <w:szCs w:val="22"/>
        </w:rPr>
        <w:t>professional development</w:t>
      </w:r>
      <w:r w:rsidRPr="00A61A8B" w:rsidR="0073446E">
        <w:rPr>
          <w:rFonts w:ascii="Corbel" w:hAnsi="Corbel"/>
          <w:sz w:val="22"/>
          <w:szCs w:val="22"/>
        </w:rPr>
        <w:t>”</w:t>
      </w:r>
      <w:r w:rsidRPr="00A61A8B">
        <w:rPr>
          <w:rFonts w:ascii="Corbel" w:hAnsi="Corbel"/>
          <w:sz w:val="22"/>
          <w:szCs w:val="22"/>
        </w:rPr>
        <w:t xml:space="preserve"> interchangeably, we see capacity building as focused on the preservation of the institution or organization, while professional development is focused on the leadership</w:t>
      </w:r>
      <w:r w:rsidR="005228EE">
        <w:rPr>
          <w:rFonts w:ascii="Corbel" w:hAnsi="Corbel"/>
          <w:sz w:val="22"/>
          <w:szCs w:val="22"/>
        </w:rPr>
        <w:t xml:space="preserve"> and staff</w:t>
      </w:r>
      <w:r w:rsidRPr="00A61A8B">
        <w:rPr>
          <w:rFonts w:ascii="Corbel" w:hAnsi="Corbel"/>
          <w:sz w:val="22"/>
          <w:szCs w:val="22"/>
        </w:rPr>
        <w:t xml:space="preserve"> of an institution. In 2016, Museum International published a special issue explicitly focused on capacity building, </w:t>
      </w:r>
      <w:r w:rsidR="00390E59">
        <w:rPr>
          <w:rFonts w:ascii="Corbel" w:hAnsi="Corbel"/>
          <w:sz w:val="22"/>
          <w:szCs w:val="22"/>
        </w:rPr>
        <w:t>titled</w:t>
      </w:r>
      <w:r w:rsidRPr="00A61A8B">
        <w:rPr>
          <w:rFonts w:ascii="Corbel" w:hAnsi="Corbel"/>
          <w:sz w:val="22"/>
          <w:szCs w:val="22"/>
        </w:rPr>
        <w:t xml:space="preserve"> Museums, Heritage and Capacity Building</w:t>
      </w:r>
      <w:r w:rsidR="00390E59">
        <w:rPr>
          <w:rStyle w:val="FootnoteReference"/>
          <w:rFonts w:ascii="Corbel" w:hAnsi="Corbel"/>
          <w:sz w:val="22"/>
          <w:szCs w:val="22"/>
        </w:rPr>
        <w:footnoteReference w:id="3"/>
      </w:r>
      <w:r w:rsidRPr="00A61A8B">
        <w:rPr>
          <w:rFonts w:ascii="Corbel" w:hAnsi="Corbel"/>
          <w:sz w:val="22"/>
          <w:szCs w:val="22"/>
        </w:rPr>
        <w:t xml:space="preserve"> , which contained an extensive literature review and history of professional development with museums across the globe. </w:t>
      </w:r>
      <w:r w:rsidRPr="00A61A8B" w:rsidR="0073446E">
        <w:rPr>
          <w:rFonts w:ascii="Corbel" w:hAnsi="Corbel"/>
          <w:sz w:val="22"/>
          <w:szCs w:val="22"/>
        </w:rPr>
        <w:t>T</w:t>
      </w:r>
      <w:r w:rsidRPr="00A61A8B">
        <w:rPr>
          <w:rFonts w:ascii="Corbel" w:hAnsi="Corbel"/>
          <w:sz w:val="22"/>
          <w:szCs w:val="22"/>
        </w:rPr>
        <w:t>his issue</w:t>
      </w:r>
      <w:r w:rsidRPr="00A61A8B" w:rsidR="0073446E">
        <w:rPr>
          <w:rFonts w:ascii="Corbel" w:hAnsi="Corbel"/>
          <w:sz w:val="22"/>
          <w:szCs w:val="22"/>
        </w:rPr>
        <w:t>, however,</w:t>
      </w:r>
      <w:r w:rsidRPr="00A61A8B">
        <w:rPr>
          <w:rFonts w:ascii="Corbel" w:hAnsi="Corbel"/>
          <w:sz w:val="22"/>
          <w:szCs w:val="22"/>
        </w:rPr>
        <w:t xml:space="preserve"> focused </w:t>
      </w:r>
      <w:r w:rsidRPr="00A61A8B" w:rsidR="0073446E">
        <w:rPr>
          <w:rFonts w:ascii="Corbel" w:hAnsi="Corbel"/>
          <w:sz w:val="22"/>
          <w:szCs w:val="22"/>
        </w:rPr>
        <w:t>primarily</w:t>
      </w:r>
      <w:r w:rsidRPr="00A61A8B">
        <w:rPr>
          <w:rFonts w:ascii="Corbel" w:hAnsi="Corbel"/>
          <w:sz w:val="22"/>
          <w:szCs w:val="22"/>
        </w:rPr>
        <w:t xml:space="preserve"> on professional development </w:t>
      </w:r>
      <w:r w:rsidR="00390E59">
        <w:rPr>
          <w:rFonts w:ascii="Corbel" w:hAnsi="Corbel"/>
          <w:sz w:val="22"/>
          <w:szCs w:val="22"/>
        </w:rPr>
        <w:t xml:space="preserve">rather than capacity building </w:t>
      </w:r>
      <w:r w:rsidRPr="00A61A8B">
        <w:rPr>
          <w:rFonts w:ascii="Corbel" w:hAnsi="Corbel"/>
          <w:sz w:val="22"/>
          <w:szCs w:val="22"/>
        </w:rPr>
        <w:t>and failed to include the small</w:t>
      </w:r>
      <w:r w:rsidRPr="00A61A8B" w:rsidR="0073446E">
        <w:rPr>
          <w:rFonts w:ascii="Corbel" w:hAnsi="Corbel"/>
          <w:sz w:val="22"/>
          <w:szCs w:val="22"/>
        </w:rPr>
        <w:t xml:space="preserve">- </w:t>
      </w:r>
      <w:r w:rsidRPr="00A61A8B">
        <w:rPr>
          <w:rFonts w:ascii="Corbel" w:hAnsi="Corbel"/>
          <w:sz w:val="22"/>
          <w:szCs w:val="22"/>
        </w:rPr>
        <w:t>and medium</w:t>
      </w:r>
      <w:r w:rsidRPr="00A61A8B" w:rsidR="0073446E">
        <w:rPr>
          <w:rFonts w:ascii="Corbel" w:hAnsi="Corbel"/>
          <w:sz w:val="22"/>
          <w:szCs w:val="22"/>
        </w:rPr>
        <w:t>-</w:t>
      </w:r>
      <w:r w:rsidRPr="00A61A8B">
        <w:rPr>
          <w:rFonts w:ascii="Corbel" w:hAnsi="Corbel"/>
          <w:sz w:val="22"/>
          <w:szCs w:val="22"/>
        </w:rPr>
        <w:t>sized U.S.</w:t>
      </w:r>
      <w:r w:rsidRPr="00A61A8B" w:rsidR="0073446E">
        <w:rPr>
          <w:rFonts w:ascii="Corbel" w:hAnsi="Corbel"/>
          <w:sz w:val="22"/>
          <w:szCs w:val="22"/>
        </w:rPr>
        <w:t>-</w:t>
      </w:r>
      <w:r w:rsidRPr="00A61A8B">
        <w:rPr>
          <w:rFonts w:ascii="Corbel" w:hAnsi="Corbel"/>
          <w:sz w:val="22"/>
          <w:szCs w:val="22"/>
        </w:rPr>
        <w:t>based museums included in th</w:t>
      </w:r>
      <w:r w:rsidR="009F2B8B">
        <w:rPr>
          <w:rFonts w:ascii="Corbel" w:hAnsi="Corbel"/>
          <w:sz w:val="22"/>
          <w:szCs w:val="22"/>
        </w:rPr>
        <w:t>is</w:t>
      </w:r>
      <w:r w:rsidRPr="00A61A8B">
        <w:rPr>
          <w:rFonts w:ascii="Corbel" w:hAnsi="Corbel"/>
          <w:sz w:val="22"/>
          <w:szCs w:val="22"/>
        </w:rPr>
        <w:t xml:space="preserve"> study.</w:t>
      </w:r>
    </w:p>
    <w:p w:rsidRPr="00A61A8B" w:rsidR="0005290E" w:rsidP="00D67F24" w:rsidRDefault="0005290E" w14:paraId="33BED668" w14:textId="77777777">
      <w:pPr>
        <w:rPr>
          <w:rFonts w:ascii="Corbel" w:hAnsi="Corbel"/>
          <w:sz w:val="22"/>
          <w:szCs w:val="22"/>
        </w:rPr>
      </w:pPr>
    </w:p>
    <w:p w:rsidRPr="00A61A8B" w:rsidR="0005290E" w:rsidP="00D67F24" w:rsidRDefault="0005290E" w14:paraId="3B341019" w14:textId="32F85A82">
      <w:pPr>
        <w:rPr>
          <w:rFonts w:ascii="Corbel" w:hAnsi="Corbel"/>
          <w:sz w:val="22"/>
          <w:szCs w:val="22"/>
        </w:rPr>
      </w:pPr>
      <w:r w:rsidRPr="00A61A8B">
        <w:rPr>
          <w:rFonts w:ascii="Corbel" w:hAnsi="Corbel"/>
          <w:sz w:val="22"/>
          <w:szCs w:val="22"/>
        </w:rPr>
        <w:t>Some professional museum organizations, associations, and networks have individually commissioned reports on aspects of capacity building amongst their members. In 2014, the New England Museum Association published “Essential Leadership: Investigating the Future of Museum Governance</w:t>
      </w:r>
      <w:r w:rsidR="00390E59">
        <w:rPr>
          <w:rStyle w:val="FootnoteReference"/>
          <w:rFonts w:ascii="Corbel" w:hAnsi="Corbel"/>
          <w:sz w:val="22"/>
          <w:szCs w:val="22"/>
        </w:rPr>
        <w:footnoteReference w:id="4"/>
      </w:r>
      <w:r w:rsidRPr="00A61A8B">
        <w:rPr>
          <w:rFonts w:ascii="Corbel" w:hAnsi="Corbel"/>
          <w:sz w:val="22"/>
          <w:szCs w:val="22"/>
        </w:rPr>
        <w:t xml:space="preserve"> .” Like many of the </w:t>
      </w:r>
      <w:r w:rsidRPr="00A61A8B" w:rsidR="00F243DA">
        <w:rPr>
          <w:rFonts w:ascii="Corbel" w:hAnsi="Corbel"/>
          <w:sz w:val="22"/>
          <w:szCs w:val="22"/>
        </w:rPr>
        <w:t>regional</w:t>
      </w:r>
      <w:r w:rsidR="00F243DA">
        <w:rPr>
          <w:rFonts w:ascii="Corbel" w:hAnsi="Corbel"/>
          <w:sz w:val="22"/>
          <w:szCs w:val="22"/>
        </w:rPr>
        <w:t>-</w:t>
      </w:r>
      <w:r w:rsidRPr="00A61A8B">
        <w:rPr>
          <w:rFonts w:ascii="Corbel" w:hAnsi="Corbel"/>
          <w:sz w:val="22"/>
          <w:szCs w:val="22"/>
        </w:rPr>
        <w:t xml:space="preserve">and </w:t>
      </w:r>
      <w:r w:rsidRPr="00A61A8B" w:rsidR="00F243DA">
        <w:rPr>
          <w:rFonts w:ascii="Corbel" w:hAnsi="Corbel"/>
          <w:sz w:val="22"/>
          <w:szCs w:val="22"/>
        </w:rPr>
        <w:t>discipline</w:t>
      </w:r>
      <w:r w:rsidR="00F243DA">
        <w:rPr>
          <w:rFonts w:ascii="Corbel" w:hAnsi="Corbel"/>
          <w:sz w:val="22"/>
          <w:szCs w:val="22"/>
        </w:rPr>
        <w:t>-</w:t>
      </w:r>
      <w:r w:rsidRPr="00A61A8B">
        <w:rPr>
          <w:rFonts w:ascii="Corbel" w:hAnsi="Corbel"/>
          <w:sz w:val="22"/>
          <w:szCs w:val="22"/>
        </w:rPr>
        <w:t xml:space="preserve">specific associations, this report </w:t>
      </w:r>
      <w:r w:rsidRPr="00A61A8B" w:rsidR="00C96285">
        <w:rPr>
          <w:rFonts w:ascii="Corbel" w:hAnsi="Corbel"/>
          <w:sz w:val="22"/>
          <w:szCs w:val="22"/>
        </w:rPr>
        <w:t>focuse</w:t>
      </w:r>
      <w:r w:rsidR="00C96285">
        <w:rPr>
          <w:rFonts w:ascii="Corbel" w:hAnsi="Corbel"/>
          <w:sz w:val="22"/>
          <w:szCs w:val="22"/>
        </w:rPr>
        <w:t>s</w:t>
      </w:r>
      <w:r w:rsidRPr="00A61A8B" w:rsidR="00C96285">
        <w:rPr>
          <w:rFonts w:ascii="Corbel" w:hAnsi="Corbel"/>
          <w:sz w:val="22"/>
          <w:szCs w:val="22"/>
        </w:rPr>
        <w:t xml:space="preserve"> </w:t>
      </w:r>
      <w:r w:rsidRPr="00A61A8B">
        <w:rPr>
          <w:rFonts w:ascii="Corbel" w:hAnsi="Corbel"/>
          <w:sz w:val="22"/>
          <w:szCs w:val="22"/>
        </w:rPr>
        <w:t xml:space="preserve">on only one aspect of capacity building </w:t>
      </w:r>
      <w:r w:rsidRPr="00A61A8B" w:rsidR="0073446E">
        <w:rPr>
          <w:rFonts w:ascii="Corbel" w:hAnsi="Corbel"/>
          <w:sz w:val="22"/>
          <w:szCs w:val="22"/>
        </w:rPr>
        <w:t>(</w:t>
      </w:r>
      <w:r w:rsidR="00344A5F">
        <w:rPr>
          <w:rFonts w:ascii="Corbel" w:hAnsi="Corbel"/>
          <w:sz w:val="22"/>
          <w:szCs w:val="22"/>
        </w:rPr>
        <w:t xml:space="preserve">i.e., </w:t>
      </w:r>
      <w:r w:rsidRPr="00A61A8B" w:rsidR="0073446E">
        <w:rPr>
          <w:rFonts w:ascii="Corbel" w:hAnsi="Corbel"/>
          <w:sz w:val="22"/>
          <w:szCs w:val="22"/>
        </w:rPr>
        <w:t xml:space="preserve">governance) </w:t>
      </w:r>
      <w:r w:rsidRPr="00A61A8B">
        <w:rPr>
          <w:rFonts w:ascii="Corbel" w:hAnsi="Corbel"/>
          <w:sz w:val="22"/>
          <w:szCs w:val="22"/>
        </w:rPr>
        <w:t xml:space="preserve">and </w:t>
      </w:r>
      <w:r w:rsidR="00C96285">
        <w:rPr>
          <w:rFonts w:ascii="Corbel" w:hAnsi="Corbel"/>
          <w:sz w:val="22"/>
          <w:szCs w:val="22"/>
        </w:rPr>
        <w:t>i</w:t>
      </w:r>
      <w:r w:rsidRPr="00A61A8B" w:rsidR="00C96285">
        <w:rPr>
          <w:rFonts w:ascii="Corbel" w:hAnsi="Corbel"/>
          <w:sz w:val="22"/>
          <w:szCs w:val="22"/>
        </w:rPr>
        <w:t xml:space="preserve">s </w:t>
      </w:r>
      <w:r w:rsidRPr="00A61A8B">
        <w:rPr>
          <w:rFonts w:ascii="Corbel" w:hAnsi="Corbel"/>
          <w:sz w:val="22"/>
          <w:szCs w:val="22"/>
        </w:rPr>
        <w:t xml:space="preserve">limited in its scope to New England. </w:t>
      </w:r>
      <w:r w:rsidR="00156B14">
        <w:rPr>
          <w:rFonts w:ascii="Corbel" w:hAnsi="Corbel"/>
          <w:sz w:val="22"/>
          <w:szCs w:val="22"/>
        </w:rPr>
        <w:t>The</w:t>
      </w:r>
      <w:r w:rsidRPr="00A61A8B" w:rsidR="00B45A50">
        <w:rPr>
          <w:rFonts w:ascii="Corbel" w:hAnsi="Corbel"/>
          <w:sz w:val="22"/>
          <w:szCs w:val="22"/>
        </w:rPr>
        <w:t xml:space="preserve"> Wallace Foundation </w:t>
      </w:r>
      <w:r w:rsidR="005E0201">
        <w:rPr>
          <w:rFonts w:ascii="Corbel" w:hAnsi="Corbel"/>
          <w:sz w:val="22"/>
          <w:szCs w:val="22"/>
        </w:rPr>
        <w:t xml:space="preserve">published </w:t>
      </w:r>
      <w:r w:rsidRPr="00A61A8B" w:rsidR="00B45A50">
        <w:rPr>
          <w:rFonts w:ascii="Corbel" w:hAnsi="Corbel"/>
          <w:sz w:val="22"/>
          <w:szCs w:val="22"/>
        </w:rPr>
        <w:t xml:space="preserve">“Services to People: Challenges and Rewards: </w:t>
      </w:r>
      <w:r w:rsidR="005E0201">
        <w:rPr>
          <w:rFonts w:ascii="Corbel" w:hAnsi="Corbel"/>
          <w:sz w:val="22"/>
          <w:szCs w:val="22"/>
        </w:rPr>
        <w:t>H</w:t>
      </w:r>
      <w:r w:rsidRPr="00A61A8B" w:rsidR="005E0201">
        <w:rPr>
          <w:rFonts w:ascii="Corbel" w:hAnsi="Corbel"/>
          <w:sz w:val="22"/>
          <w:szCs w:val="22"/>
        </w:rPr>
        <w:t xml:space="preserve">ow </w:t>
      </w:r>
      <w:r w:rsidR="006771A9">
        <w:rPr>
          <w:rFonts w:ascii="Corbel" w:hAnsi="Corbel"/>
          <w:sz w:val="22"/>
          <w:szCs w:val="22"/>
        </w:rPr>
        <w:t>M</w:t>
      </w:r>
      <w:r w:rsidRPr="00A61A8B" w:rsidR="006771A9">
        <w:rPr>
          <w:rFonts w:ascii="Corbel" w:hAnsi="Corbel"/>
          <w:sz w:val="22"/>
          <w:szCs w:val="22"/>
        </w:rPr>
        <w:t xml:space="preserve">useums </w:t>
      </w:r>
      <w:r w:rsidR="006771A9">
        <w:rPr>
          <w:rFonts w:ascii="Corbel" w:hAnsi="Corbel"/>
          <w:sz w:val="22"/>
          <w:szCs w:val="22"/>
        </w:rPr>
        <w:t>C</w:t>
      </w:r>
      <w:r w:rsidRPr="00A61A8B" w:rsidR="006771A9">
        <w:rPr>
          <w:rFonts w:ascii="Corbel" w:hAnsi="Corbel"/>
          <w:sz w:val="22"/>
          <w:szCs w:val="22"/>
        </w:rPr>
        <w:t xml:space="preserve">an </w:t>
      </w:r>
      <w:r w:rsidR="006771A9">
        <w:rPr>
          <w:rFonts w:ascii="Corbel" w:hAnsi="Corbel"/>
          <w:sz w:val="22"/>
          <w:szCs w:val="22"/>
        </w:rPr>
        <w:t>B</w:t>
      </w:r>
      <w:r w:rsidRPr="00A61A8B" w:rsidR="006771A9">
        <w:rPr>
          <w:rFonts w:ascii="Corbel" w:hAnsi="Corbel"/>
          <w:sz w:val="22"/>
          <w:szCs w:val="22"/>
        </w:rPr>
        <w:t xml:space="preserve">ecome </w:t>
      </w:r>
      <w:r w:rsidR="006771A9">
        <w:rPr>
          <w:rFonts w:ascii="Corbel" w:hAnsi="Corbel"/>
          <w:sz w:val="22"/>
          <w:szCs w:val="22"/>
        </w:rPr>
        <w:t>M</w:t>
      </w:r>
      <w:r w:rsidRPr="00A61A8B" w:rsidR="006771A9">
        <w:rPr>
          <w:rFonts w:ascii="Corbel" w:hAnsi="Corbel"/>
          <w:sz w:val="22"/>
          <w:szCs w:val="22"/>
        </w:rPr>
        <w:t xml:space="preserve">ore </w:t>
      </w:r>
      <w:r w:rsidR="006771A9">
        <w:rPr>
          <w:rFonts w:ascii="Corbel" w:hAnsi="Corbel"/>
          <w:sz w:val="22"/>
          <w:szCs w:val="22"/>
        </w:rPr>
        <w:t>V</w:t>
      </w:r>
      <w:r w:rsidRPr="00A61A8B" w:rsidR="006771A9">
        <w:rPr>
          <w:rFonts w:ascii="Corbel" w:hAnsi="Corbel"/>
          <w:sz w:val="22"/>
          <w:szCs w:val="22"/>
        </w:rPr>
        <w:t>isitor</w:t>
      </w:r>
      <w:r w:rsidRPr="00A61A8B" w:rsidR="00B45A50">
        <w:rPr>
          <w:rFonts w:ascii="Corbel" w:hAnsi="Corbel"/>
          <w:sz w:val="22"/>
          <w:szCs w:val="22"/>
        </w:rPr>
        <w:t>-</w:t>
      </w:r>
      <w:r w:rsidR="006771A9">
        <w:rPr>
          <w:rFonts w:ascii="Corbel" w:hAnsi="Corbel"/>
          <w:sz w:val="22"/>
          <w:szCs w:val="22"/>
        </w:rPr>
        <w:t>C</w:t>
      </w:r>
      <w:r w:rsidRPr="00A61A8B" w:rsidR="006771A9">
        <w:rPr>
          <w:rFonts w:ascii="Corbel" w:hAnsi="Corbel"/>
          <w:sz w:val="22"/>
          <w:szCs w:val="22"/>
        </w:rPr>
        <w:t>entered</w:t>
      </w:r>
      <w:r w:rsidR="00390E59">
        <w:rPr>
          <w:rStyle w:val="FootnoteReference"/>
          <w:rFonts w:ascii="Corbel" w:hAnsi="Corbel"/>
          <w:sz w:val="22"/>
          <w:szCs w:val="22"/>
        </w:rPr>
        <w:footnoteReference w:id="5"/>
      </w:r>
      <w:r w:rsidRPr="00A61A8B" w:rsidR="00B45A50">
        <w:rPr>
          <w:rFonts w:ascii="Corbel" w:hAnsi="Corbel"/>
          <w:sz w:val="22"/>
          <w:szCs w:val="22"/>
        </w:rPr>
        <w:t xml:space="preserve">”. While the report provides substantial information on </w:t>
      </w:r>
      <w:r w:rsidR="00E93CDC">
        <w:rPr>
          <w:rFonts w:ascii="Corbel" w:hAnsi="Corbel"/>
          <w:sz w:val="22"/>
          <w:szCs w:val="22"/>
        </w:rPr>
        <w:t xml:space="preserve">how </w:t>
      </w:r>
      <w:r w:rsidRPr="00A61A8B" w:rsidR="00B45A50">
        <w:rPr>
          <w:rFonts w:ascii="Corbel" w:hAnsi="Corbel"/>
          <w:sz w:val="22"/>
          <w:szCs w:val="22"/>
        </w:rPr>
        <w:t xml:space="preserve">museums can build their capacity to become more visitor centered, it contains information from interviews with </w:t>
      </w:r>
      <w:r w:rsidRPr="00A61A8B" w:rsidR="006771A9">
        <w:rPr>
          <w:rFonts w:ascii="Corbel" w:hAnsi="Corbel"/>
          <w:sz w:val="22"/>
          <w:szCs w:val="22"/>
        </w:rPr>
        <w:t xml:space="preserve">only </w:t>
      </w:r>
      <w:r w:rsidRPr="00A61A8B" w:rsidR="00B45A50">
        <w:rPr>
          <w:rFonts w:ascii="Corbel" w:hAnsi="Corbel"/>
          <w:sz w:val="22"/>
          <w:szCs w:val="22"/>
        </w:rPr>
        <w:t xml:space="preserve">28 large </w:t>
      </w:r>
      <w:r w:rsidR="007636BE">
        <w:rPr>
          <w:rFonts w:ascii="Corbel" w:hAnsi="Corbel"/>
          <w:sz w:val="22"/>
          <w:szCs w:val="22"/>
        </w:rPr>
        <w:t xml:space="preserve">and </w:t>
      </w:r>
      <w:r w:rsidRPr="00A61A8B" w:rsidR="00B45A50">
        <w:rPr>
          <w:rFonts w:ascii="Corbel" w:hAnsi="Corbel"/>
          <w:sz w:val="22"/>
          <w:szCs w:val="22"/>
        </w:rPr>
        <w:t xml:space="preserve">mostly urban art museums across the country. This report was followed by a report by the American Alliance </w:t>
      </w:r>
      <w:r w:rsidR="00DA2DE9">
        <w:rPr>
          <w:rFonts w:ascii="Corbel" w:hAnsi="Corbel"/>
          <w:sz w:val="22"/>
          <w:szCs w:val="22"/>
        </w:rPr>
        <w:t>of</w:t>
      </w:r>
      <w:r w:rsidRPr="00A61A8B" w:rsidR="00B45A50">
        <w:rPr>
          <w:rFonts w:ascii="Corbel" w:hAnsi="Corbel"/>
          <w:sz w:val="22"/>
          <w:szCs w:val="22"/>
        </w:rPr>
        <w:t xml:space="preserve"> Museums (AAM) entitled, “Connecting the Wallace Foundation Methodology with the Museum Research Literature”</w:t>
      </w:r>
      <w:r w:rsidR="00295AE0">
        <w:rPr>
          <w:rStyle w:val="FootnoteReference"/>
          <w:rFonts w:ascii="Corbel" w:hAnsi="Corbel"/>
          <w:sz w:val="22"/>
          <w:szCs w:val="22"/>
        </w:rPr>
        <w:footnoteReference w:id="6"/>
      </w:r>
      <w:r w:rsidRPr="00A61A8B" w:rsidR="00B45A50">
        <w:rPr>
          <w:rFonts w:ascii="Corbel" w:hAnsi="Corbel"/>
          <w:sz w:val="22"/>
          <w:szCs w:val="22"/>
        </w:rPr>
        <w:t xml:space="preserve">. </w:t>
      </w:r>
      <w:r w:rsidR="00EF44FA">
        <w:rPr>
          <w:rFonts w:ascii="Corbel" w:hAnsi="Corbel"/>
          <w:sz w:val="22"/>
          <w:szCs w:val="22"/>
        </w:rPr>
        <w:t>The AAM</w:t>
      </w:r>
      <w:r w:rsidRPr="00A61A8B" w:rsidR="00EF44FA">
        <w:rPr>
          <w:rFonts w:ascii="Corbel" w:hAnsi="Corbel"/>
          <w:sz w:val="22"/>
          <w:szCs w:val="22"/>
        </w:rPr>
        <w:t xml:space="preserve"> </w:t>
      </w:r>
      <w:r w:rsidRPr="00A61A8B" w:rsidR="00B45A50">
        <w:rPr>
          <w:rFonts w:ascii="Corbel" w:hAnsi="Corbel"/>
          <w:sz w:val="22"/>
          <w:szCs w:val="22"/>
        </w:rPr>
        <w:t xml:space="preserve">report </w:t>
      </w:r>
      <w:r w:rsidRPr="00A61A8B" w:rsidR="00403487">
        <w:rPr>
          <w:rFonts w:ascii="Corbel" w:hAnsi="Corbel"/>
          <w:sz w:val="22"/>
          <w:szCs w:val="22"/>
        </w:rPr>
        <w:t>contain</w:t>
      </w:r>
      <w:r w:rsidR="00403487">
        <w:rPr>
          <w:rFonts w:ascii="Corbel" w:hAnsi="Corbel"/>
          <w:sz w:val="22"/>
          <w:szCs w:val="22"/>
        </w:rPr>
        <w:t>s</w:t>
      </w:r>
      <w:r w:rsidRPr="00A61A8B" w:rsidR="00403487">
        <w:rPr>
          <w:rFonts w:ascii="Corbel" w:hAnsi="Corbel"/>
          <w:sz w:val="22"/>
          <w:szCs w:val="22"/>
        </w:rPr>
        <w:t xml:space="preserve"> </w:t>
      </w:r>
      <w:r w:rsidRPr="00A61A8B" w:rsidR="00B45A50">
        <w:rPr>
          <w:rFonts w:ascii="Corbel" w:hAnsi="Corbel"/>
          <w:sz w:val="22"/>
          <w:szCs w:val="22"/>
        </w:rPr>
        <w:t>interesting articles</w:t>
      </w:r>
      <w:r w:rsidRPr="00A61A8B" w:rsidR="00B603FF">
        <w:rPr>
          <w:rFonts w:ascii="Corbel" w:hAnsi="Corbel"/>
          <w:sz w:val="22"/>
          <w:szCs w:val="22"/>
        </w:rPr>
        <w:t xml:space="preserve"> in the literature review</w:t>
      </w:r>
      <w:r w:rsidRPr="00A61A8B" w:rsidR="00B45A50">
        <w:rPr>
          <w:rFonts w:ascii="Corbel" w:hAnsi="Corbel"/>
          <w:sz w:val="22"/>
          <w:szCs w:val="22"/>
        </w:rPr>
        <w:t xml:space="preserve"> around organizational development, change management, community engagement, and</w:t>
      </w:r>
      <w:r w:rsidRPr="00A61A8B" w:rsidR="007A6354">
        <w:rPr>
          <w:rFonts w:ascii="Corbel" w:hAnsi="Corbel"/>
          <w:sz w:val="22"/>
          <w:szCs w:val="22"/>
        </w:rPr>
        <w:t xml:space="preserve"> visitor experience. </w:t>
      </w:r>
      <w:r w:rsidRPr="00A61A8B" w:rsidR="00925939">
        <w:rPr>
          <w:rFonts w:ascii="Corbel" w:hAnsi="Corbel"/>
          <w:sz w:val="22"/>
          <w:szCs w:val="22"/>
        </w:rPr>
        <w:t xml:space="preserve">However, the majority of referenced articles are individual case studies </w:t>
      </w:r>
      <w:r w:rsidRPr="00A61A8B" w:rsidR="00552094">
        <w:rPr>
          <w:rFonts w:ascii="Corbel" w:hAnsi="Corbel"/>
          <w:sz w:val="22"/>
          <w:szCs w:val="22"/>
        </w:rPr>
        <w:t>and</w:t>
      </w:r>
      <w:r w:rsidR="00E2541F">
        <w:rPr>
          <w:rFonts w:ascii="Corbel" w:hAnsi="Corbel"/>
          <w:sz w:val="22"/>
          <w:szCs w:val="22"/>
        </w:rPr>
        <w:t>,</w:t>
      </w:r>
      <w:r w:rsidRPr="00A61A8B" w:rsidR="00552094">
        <w:rPr>
          <w:rFonts w:ascii="Corbel" w:hAnsi="Corbel"/>
          <w:sz w:val="22"/>
          <w:szCs w:val="22"/>
        </w:rPr>
        <w:t xml:space="preserve"> in one case</w:t>
      </w:r>
      <w:r w:rsidR="00E2541F">
        <w:rPr>
          <w:rFonts w:ascii="Corbel" w:hAnsi="Corbel"/>
          <w:sz w:val="22"/>
          <w:szCs w:val="22"/>
        </w:rPr>
        <w:t>,</w:t>
      </w:r>
      <w:r w:rsidRPr="00A61A8B" w:rsidR="00552094">
        <w:rPr>
          <w:rFonts w:ascii="Corbel" w:hAnsi="Corbel"/>
          <w:sz w:val="22"/>
          <w:szCs w:val="22"/>
        </w:rPr>
        <w:t xml:space="preserve"> a study of non-museum visitors. PPG will leverage these articles to contextualize </w:t>
      </w:r>
      <w:r w:rsidR="00C918B0">
        <w:rPr>
          <w:rFonts w:ascii="Corbel" w:hAnsi="Corbel"/>
          <w:sz w:val="22"/>
          <w:szCs w:val="22"/>
        </w:rPr>
        <w:t>its</w:t>
      </w:r>
      <w:r w:rsidRPr="00A61A8B" w:rsidR="00552094">
        <w:rPr>
          <w:rFonts w:ascii="Corbel" w:hAnsi="Corbel"/>
          <w:sz w:val="22"/>
          <w:szCs w:val="22"/>
        </w:rPr>
        <w:t xml:space="preserve"> findings</w:t>
      </w:r>
      <w:r w:rsidR="00035D46">
        <w:rPr>
          <w:rFonts w:ascii="Corbel" w:hAnsi="Corbel"/>
          <w:sz w:val="22"/>
          <w:szCs w:val="22"/>
        </w:rPr>
        <w:t>;</w:t>
      </w:r>
      <w:r w:rsidRPr="00A61A8B" w:rsidR="00552094">
        <w:rPr>
          <w:rFonts w:ascii="Corbel" w:hAnsi="Corbel"/>
          <w:sz w:val="22"/>
          <w:szCs w:val="22"/>
        </w:rPr>
        <w:t xml:space="preserve"> however</w:t>
      </w:r>
      <w:r w:rsidR="00035D46">
        <w:rPr>
          <w:rFonts w:ascii="Corbel" w:hAnsi="Corbel"/>
          <w:sz w:val="22"/>
          <w:szCs w:val="22"/>
        </w:rPr>
        <w:t>,</w:t>
      </w:r>
      <w:r w:rsidRPr="00A61A8B" w:rsidR="00552094">
        <w:rPr>
          <w:rFonts w:ascii="Corbel" w:hAnsi="Corbel"/>
          <w:sz w:val="22"/>
          <w:szCs w:val="22"/>
        </w:rPr>
        <w:t xml:space="preserve"> they lack the </w:t>
      </w:r>
      <w:r w:rsidR="00E2541F">
        <w:rPr>
          <w:rFonts w:ascii="Corbel" w:hAnsi="Corbel"/>
          <w:sz w:val="22"/>
          <w:szCs w:val="22"/>
        </w:rPr>
        <w:t>breadth</w:t>
      </w:r>
      <w:r w:rsidRPr="00A61A8B" w:rsidR="00552094">
        <w:rPr>
          <w:rFonts w:ascii="Corbel" w:hAnsi="Corbel"/>
          <w:sz w:val="22"/>
          <w:szCs w:val="22"/>
        </w:rPr>
        <w:t xml:space="preserve"> and focus on capacity building. </w:t>
      </w:r>
    </w:p>
    <w:p w:rsidRPr="00A61A8B" w:rsidR="0005290E" w:rsidP="00D67F24" w:rsidRDefault="0005290E" w14:paraId="575A7163" w14:textId="77777777">
      <w:pPr>
        <w:rPr>
          <w:rFonts w:ascii="Corbel" w:hAnsi="Corbel"/>
          <w:sz w:val="22"/>
          <w:szCs w:val="22"/>
        </w:rPr>
      </w:pPr>
    </w:p>
    <w:p w:rsidRPr="00A61A8B" w:rsidR="0005290E" w:rsidP="00D67F24" w:rsidRDefault="0005290E" w14:paraId="43BCC8CB" w14:textId="43539D18">
      <w:pPr>
        <w:rPr>
          <w:rFonts w:ascii="Corbel" w:hAnsi="Corbel"/>
          <w:sz w:val="22"/>
          <w:szCs w:val="22"/>
        </w:rPr>
      </w:pPr>
      <w:r w:rsidRPr="00A61A8B">
        <w:rPr>
          <w:rFonts w:ascii="Corbel" w:hAnsi="Corbel"/>
          <w:sz w:val="22"/>
          <w:szCs w:val="22"/>
        </w:rPr>
        <w:t>Other museum practitioners have discussed their own experiences with capacity building and what they have witnessed over the course of their career</w:t>
      </w:r>
      <w:r w:rsidR="00AF47E2">
        <w:rPr>
          <w:rFonts w:ascii="Corbel" w:hAnsi="Corbel"/>
          <w:sz w:val="22"/>
          <w:szCs w:val="22"/>
        </w:rPr>
        <w:t>s</w:t>
      </w:r>
      <w:r w:rsidRPr="00A61A8B">
        <w:rPr>
          <w:rFonts w:ascii="Corbel" w:hAnsi="Corbel"/>
          <w:sz w:val="22"/>
          <w:szCs w:val="22"/>
        </w:rPr>
        <w:t xml:space="preserve">. This includes a recent 2015 blog post in Museum Notes by Jeanne </w:t>
      </w:r>
      <w:proofErr w:type="spellStart"/>
      <w:r w:rsidRPr="00A61A8B">
        <w:rPr>
          <w:rFonts w:ascii="Corbel" w:hAnsi="Corbel"/>
          <w:sz w:val="22"/>
          <w:szCs w:val="22"/>
        </w:rPr>
        <w:t>Vergeront</w:t>
      </w:r>
      <w:proofErr w:type="spellEnd"/>
      <w:r w:rsidRPr="00A61A8B">
        <w:rPr>
          <w:rFonts w:ascii="Corbel" w:hAnsi="Corbel"/>
          <w:sz w:val="22"/>
          <w:szCs w:val="22"/>
        </w:rPr>
        <w:t>, “Building Capacity to Have Capacity</w:t>
      </w:r>
      <w:r w:rsidR="00390E59">
        <w:rPr>
          <w:rStyle w:val="FootnoteReference"/>
          <w:rFonts w:ascii="Corbel" w:hAnsi="Corbel"/>
          <w:sz w:val="22"/>
          <w:szCs w:val="22"/>
        </w:rPr>
        <w:footnoteReference w:id="7"/>
      </w:r>
      <w:r w:rsidR="00390E59">
        <w:rPr>
          <w:rFonts w:ascii="Corbel" w:hAnsi="Corbel"/>
          <w:sz w:val="22"/>
          <w:szCs w:val="22"/>
        </w:rPr>
        <w:t>”</w:t>
      </w:r>
      <w:r w:rsidRPr="00A61A8B" w:rsidR="00B45A50">
        <w:rPr>
          <w:rFonts w:ascii="Corbel" w:hAnsi="Corbel"/>
          <w:sz w:val="22"/>
          <w:szCs w:val="22"/>
        </w:rPr>
        <w:t xml:space="preserve"> and a press release by Karen Stark </w:t>
      </w:r>
      <w:r w:rsidRPr="00A61A8B" w:rsidR="00B45A50">
        <w:rPr>
          <w:rFonts w:ascii="Corbel" w:hAnsi="Corbel"/>
          <w:sz w:val="22"/>
          <w:szCs w:val="22"/>
        </w:rPr>
        <w:lastRenderedPageBreak/>
        <w:t>from Utah Museum</w:t>
      </w:r>
      <w:r w:rsidR="007F65B9">
        <w:rPr>
          <w:rFonts w:ascii="Corbel" w:hAnsi="Corbel"/>
          <w:sz w:val="22"/>
          <w:szCs w:val="22"/>
        </w:rPr>
        <w:t>s</w:t>
      </w:r>
      <w:r w:rsidRPr="00A61A8B" w:rsidR="00B45A50">
        <w:rPr>
          <w:rFonts w:ascii="Corbel" w:hAnsi="Corbel"/>
          <w:sz w:val="22"/>
          <w:szCs w:val="22"/>
        </w:rPr>
        <w:t xml:space="preserve"> Association</w:t>
      </w:r>
      <w:r w:rsidR="00C159B2">
        <w:rPr>
          <w:rStyle w:val="FootnoteReference"/>
          <w:rFonts w:ascii="Corbel" w:hAnsi="Corbel"/>
          <w:sz w:val="22"/>
          <w:szCs w:val="22"/>
        </w:rPr>
        <w:footnoteReference w:id="8"/>
      </w:r>
      <w:r w:rsidRPr="00A61A8B" w:rsidR="00B45A50">
        <w:rPr>
          <w:rFonts w:ascii="Corbel" w:hAnsi="Corbel"/>
          <w:sz w:val="22"/>
          <w:szCs w:val="22"/>
        </w:rPr>
        <w:t xml:space="preserve"> entitled “Building Capacity</w:t>
      </w:r>
      <w:r w:rsidR="005D547D">
        <w:rPr>
          <w:rFonts w:ascii="Corbel" w:hAnsi="Corbel"/>
          <w:sz w:val="22"/>
          <w:szCs w:val="22"/>
        </w:rPr>
        <w:t>.</w:t>
      </w:r>
      <w:r w:rsidRPr="00A61A8B" w:rsidR="00B45A50">
        <w:rPr>
          <w:rFonts w:ascii="Corbel" w:hAnsi="Corbel"/>
          <w:sz w:val="22"/>
          <w:szCs w:val="22"/>
        </w:rPr>
        <w:t>”</w:t>
      </w:r>
      <w:r w:rsidRPr="00A61A8B">
        <w:rPr>
          <w:rFonts w:ascii="Corbel" w:hAnsi="Corbel"/>
          <w:sz w:val="22"/>
          <w:szCs w:val="22"/>
        </w:rPr>
        <w:t xml:space="preserve"> These anecdotal reports from blogs and newsletters contain interesting information around perceptions of </w:t>
      </w:r>
      <w:r w:rsidR="00A35D14">
        <w:rPr>
          <w:rFonts w:ascii="Corbel" w:hAnsi="Corbel"/>
          <w:sz w:val="22"/>
          <w:szCs w:val="22"/>
        </w:rPr>
        <w:t>capacity-building</w:t>
      </w:r>
      <w:r w:rsidRPr="00A61A8B">
        <w:rPr>
          <w:rFonts w:ascii="Corbel" w:hAnsi="Corbel"/>
          <w:sz w:val="22"/>
          <w:szCs w:val="22"/>
        </w:rPr>
        <w:t xml:space="preserve"> best practices</w:t>
      </w:r>
      <w:r w:rsidRPr="00A61A8B" w:rsidR="00B45A50">
        <w:rPr>
          <w:rFonts w:ascii="Corbel" w:hAnsi="Corbel"/>
          <w:sz w:val="22"/>
          <w:szCs w:val="22"/>
        </w:rPr>
        <w:t xml:space="preserve"> and </w:t>
      </w:r>
      <w:r w:rsidRPr="00A61A8B" w:rsidR="001B204D">
        <w:rPr>
          <w:rFonts w:ascii="Corbel" w:hAnsi="Corbel"/>
          <w:sz w:val="22"/>
          <w:szCs w:val="22"/>
        </w:rPr>
        <w:t>experiences but</w:t>
      </w:r>
      <w:r w:rsidRPr="00A61A8B" w:rsidR="00B45A50">
        <w:rPr>
          <w:rFonts w:ascii="Corbel" w:hAnsi="Corbel"/>
          <w:sz w:val="22"/>
          <w:szCs w:val="22"/>
        </w:rPr>
        <w:t xml:space="preserve"> fail to examine the field as a whole.</w:t>
      </w:r>
    </w:p>
    <w:p w:rsidRPr="00A61A8B" w:rsidR="0005290E" w:rsidP="00D67F24" w:rsidRDefault="0005290E" w14:paraId="3C6FE7D1" w14:textId="77777777">
      <w:pPr>
        <w:rPr>
          <w:rFonts w:ascii="Corbel" w:hAnsi="Corbel"/>
          <w:sz w:val="22"/>
          <w:szCs w:val="22"/>
        </w:rPr>
      </w:pPr>
    </w:p>
    <w:p w:rsidRPr="00A61A8B" w:rsidR="0005290E" w:rsidP="00D67F24" w:rsidRDefault="0005290E" w14:paraId="2C1D0F20" w14:textId="1DD5D4C2">
      <w:pPr>
        <w:rPr>
          <w:rFonts w:ascii="Corbel" w:hAnsi="Corbel"/>
          <w:sz w:val="22"/>
          <w:szCs w:val="22"/>
        </w:rPr>
      </w:pPr>
      <w:r w:rsidRPr="00A61A8B">
        <w:rPr>
          <w:rFonts w:ascii="Corbel" w:hAnsi="Corbel"/>
          <w:sz w:val="22"/>
          <w:szCs w:val="22"/>
        </w:rPr>
        <w:t>In preparation for this survey, PPG also reviewed current and prior landscape scans of the state of nonprofit capacity building. The most relevant studies included Grantmakers for Effective Organizations (GEO), “Strengthening Nonprofit Capacity</w:t>
      </w:r>
      <w:r w:rsidR="00C159B2">
        <w:rPr>
          <w:rFonts w:ascii="Corbel" w:hAnsi="Corbel"/>
          <w:sz w:val="22"/>
          <w:szCs w:val="22"/>
        </w:rPr>
        <w:t>”</w:t>
      </w:r>
      <w:r w:rsidR="00C159B2">
        <w:rPr>
          <w:rStyle w:val="FootnoteReference"/>
          <w:rFonts w:ascii="Corbel" w:hAnsi="Corbel"/>
          <w:sz w:val="22"/>
          <w:szCs w:val="22"/>
        </w:rPr>
        <w:footnoteReference w:id="9"/>
      </w:r>
      <w:r w:rsidRPr="00A61A8B">
        <w:rPr>
          <w:rFonts w:ascii="Corbel" w:hAnsi="Corbel"/>
          <w:sz w:val="22"/>
          <w:szCs w:val="22"/>
        </w:rPr>
        <w:t xml:space="preserve"> and Center for Effective Philanthropy, “Strengthening Grantees: Foundation and Nonprofit Perspectives”</w:t>
      </w:r>
      <w:r w:rsidR="00C159B2">
        <w:rPr>
          <w:rStyle w:val="FootnoteReference"/>
          <w:rFonts w:ascii="Corbel" w:hAnsi="Corbel"/>
          <w:sz w:val="22"/>
          <w:szCs w:val="22"/>
        </w:rPr>
        <w:footnoteReference w:id="10"/>
      </w:r>
      <w:r w:rsidRPr="00A61A8B">
        <w:rPr>
          <w:rFonts w:ascii="Corbel" w:hAnsi="Corbel"/>
          <w:sz w:val="22"/>
          <w:szCs w:val="22"/>
        </w:rPr>
        <w:t xml:space="preserve">. While both reports provide substantial information on the state of capacity building in the nonprofit sector from leaders across the country, neither </w:t>
      </w:r>
      <w:r w:rsidRPr="00A61A8B" w:rsidR="001156BA">
        <w:rPr>
          <w:rFonts w:ascii="Corbel" w:hAnsi="Corbel"/>
          <w:sz w:val="22"/>
          <w:szCs w:val="22"/>
        </w:rPr>
        <w:t>focuse</w:t>
      </w:r>
      <w:r w:rsidR="001156BA">
        <w:rPr>
          <w:rFonts w:ascii="Corbel" w:hAnsi="Corbel"/>
          <w:sz w:val="22"/>
          <w:szCs w:val="22"/>
        </w:rPr>
        <w:t>s</w:t>
      </w:r>
      <w:r w:rsidRPr="00A61A8B" w:rsidR="001156BA">
        <w:rPr>
          <w:rFonts w:ascii="Corbel" w:hAnsi="Corbel"/>
          <w:sz w:val="22"/>
          <w:szCs w:val="22"/>
        </w:rPr>
        <w:t xml:space="preserve"> </w:t>
      </w:r>
      <w:r w:rsidRPr="00A61A8B">
        <w:rPr>
          <w:rFonts w:ascii="Corbel" w:hAnsi="Corbel"/>
          <w:sz w:val="22"/>
          <w:szCs w:val="22"/>
        </w:rPr>
        <w:t>specifically on the unique needs of museums.</w:t>
      </w:r>
    </w:p>
    <w:p w:rsidRPr="00A61A8B" w:rsidR="0005290E" w:rsidP="00D67F24" w:rsidRDefault="0005290E" w14:paraId="71D9FC10" w14:textId="77777777">
      <w:pPr>
        <w:rPr>
          <w:rFonts w:ascii="Corbel" w:hAnsi="Corbel"/>
          <w:sz w:val="22"/>
          <w:szCs w:val="22"/>
        </w:rPr>
      </w:pPr>
    </w:p>
    <w:p w:rsidRPr="00A61A8B" w:rsidR="0005290E" w:rsidP="00D67F24" w:rsidRDefault="0005290E" w14:paraId="52A7EFEA" w14:textId="79E5511A">
      <w:pPr>
        <w:rPr>
          <w:rFonts w:ascii="Corbel" w:hAnsi="Corbel"/>
          <w:sz w:val="22"/>
          <w:szCs w:val="22"/>
        </w:rPr>
      </w:pPr>
      <w:r w:rsidRPr="00A61A8B">
        <w:rPr>
          <w:rFonts w:ascii="Corbel" w:hAnsi="Corbel"/>
          <w:sz w:val="22"/>
          <w:szCs w:val="22"/>
        </w:rPr>
        <w:t>In conclusion, the secondary literature has provided inadequate coverage of the state of capacity building across the museum sector. T</w:t>
      </w:r>
      <w:r w:rsidR="00AE7E15">
        <w:rPr>
          <w:rFonts w:ascii="Corbel" w:hAnsi="Corbel"/>
          <w:sz w:val="22"/>
          <w:szCs w:val="22"/>
        </w:rPr>
        <w:t>he three components of t</w:t>
      </w:r>
      <w:r w:rsidRPr="00A61A8B">
        <w:rPr>
          <w:rFonts w:ascii="Corbel" w:hAnsi="Corbel"/>
          <w:sz w:val="22"/>
          <w:szCs w:val="22"/>
        </w:rPr>
        <w:t>h</w:t>
      </w:r>
      <w:r w:rsidR="006D19DD">
        <w:rPr>
          <w:rFonts w:ascii="Corbel" w:hAnsi="Corbel"/>
          <w:sz w:val="22"/>
          <w:szCs w:val="22"/>
        </w:rPr>
        <w:t xml:space="preserve">e </w:t>
      </w:r>
      <w:r w:rsidRPr="006D19DD" w:rsidR="006D19DD">
        <w:rPr>
          <w:rFonts w:ascii="Corbel" w:hAnsi="Corbel"/>
          <w:sz w:val="22"/>
          <w:szCs w:val="22"/>
        </w:rPr>
        <w:t xml:space="preserve">Market Analysis and Opportunity Assessment of Museum Capacity-Building Programs </w:t>
      </w:r>
      <w:r w:rsidRPr="00A61A8B">
        <w:rPr>
          <w:rFonts w:ascii="Corbel" w:hAnsi="Corbel"/>
          <w:sz w:val="22"/>
          <w:szCs w:val="22"/>
        </w:rPr>
        <w:t xml:space="preserve">study </w:t>
      </w:r>
      <w:r w:rsidR="006D19DD">
        <w:rPr>
          <w:rFonts w:ascii="Corbel" w:hAnsi="Corbel"/>
          <w:sz w:val="22"/>
          <w:szCs w:val="22"/>
        </w:rPr>
        <w:t>are</w:t>
      </w:r>
      <w:r w:rsidRPr="00A61A8B" w:rsidR="006D19DD">
        <w:rPr>
          <w:rFonts w:ascii="Corbel" w:hAnsi="Corbel"/>
          <w:sz w:val="22"/>
          <w:szCs w:val="22"/>
        </w:rPr>
        <w:t xml:space="preserve"> </w:t>
      </w:r>
      <w:r w:rsidRPr="00A61A8B">
        <w:rPr>
          <w:rFonts w:ascii="Corbel" w:hAnsi="Corbel"/>
          <w:sz w:val="22"/>
          <w:szCs w:val="22"/>
        </w:rPr>
        <w:t xml:space="preserve">expected to provide </w:t>
      </w:r>
      <w:r w:rsidR="00FC5582">
        <w:rPr>
          <w:rFonts w:ascii="Corbel" w:hAnsi="Corbel"/>
          <w:sz w:val="22"/>
          <w:szCs w:val="22"/>
        </w:rPr>
        <w:t>great</w:t>
      </w:r>
      <w:r w:rsidRPr="00A61A8B" w:rsidR="00FC5582">
        <w:rPr>
          <w:rFonts w:ascii="Corbel" w:hAnsi="Corbel"/>
          <w:sz w:val="22"/>
          <w:szCs w:val="22"/>
        </w:rPr>
        <w:t xml:space="preserve"> </w:t>
      </w:r>
      <w:r w:rsidRPr="00A61A8B">
        <w:rPr>
          <w:rFonts w:ascii="Corbel" w:hAnsi="Corbel"/>
          <w:sz w:val="22"/>
          <w:szCs w:val="22"/>
        </w:rPr>
        <w:t>value to the field</w:t>
      </w:r>
      <w:r w:rsidRPr="00A61A8B" w:rsidR="0073446E">
        <w:rPr>
          <w:rFonts w:ascii="Corbel" w:hAnsi="Corbel"/>
          <w:sz w:val="22"/>
          <w:szCs w:val="22"/>
        </w:rPr>
        <w:t>,</w:t>
      </w:r>
      <w:r w:rsidRPr="00A61A8B">
        <w:rPr>
          <w:rFonts w:ascii="Corbel" w:hAnsi="Corbel"/>
          <w:sz w:val="22"/>
          <w:szCs w:val="22"/>
        </w:rPr>
        <w:t xml:space="preserve"> as it will focus on small to medium</w:t>
      </w:r>
      <w:r w:rsidR="001740CB">
        <w:rPr>
          <w:rFonts w:ascii="Corbel" w:hAnsi="Corbel"/>
          <w:sz w:val="22"/>
          <w:szCs w:val="22"/>
        </w:rPr>
        <w:t>-</w:t>
      </w:r>
      <w:r w:rsidRPr="00A61A8B">
        <w:rPr>
          <w:rFonts w:ascii="Corbel" w:hAnsi="Corbel"/>
          <w:sz w:val="22"/>
          <w:szCs w:val="22"/>
        </w:rPr>
        <w:t xml:space="preserve">sized museums across all disciplines, regions, </w:t>
      </w:r>
      <w:r w:rsidR="007961BB">
        <w:rPr>
          <w:rFonts w:ascii="Corbel" w:hAnsi="Corbel"/>
          <w:sz w:val="22"/>
          <w:szCs w:val="22"/>
        </w:rPr>
        <w:t>place types</w:t>
      </w:r>
      <w:r w:rsidRPr="00A61A8B">
        <w:rPr>
          <w:rFonts w:ascii="Corbel" w:hAnsi="Corbel"/>
          <w:sz w:val="22"/>
          <w:szCs w:val="22"/>
        </w:rPr>
        <w:t xml:space="preserve">, and institutional size. The specific value and purpose of this data are described in Section A.2 below. </w:t>
      </w:r>
    </w:p>
    <w:p w:rsidR="0005290E" w:rsidP="00D67F24" w:rsidRDefault="0005290E" w14:paraId="4EA9D0F2" w14:textId="77777777">
      <w:pPr>
        <w:pStyle w:val="Heading2"/>
        <w:rPr>
          <w:rFonts w:ascii="Corbel" w:hAnsi="Corbel"/>
        </w:rPr>
      </w:pPr>
    </w:p>
    <w:p w:rsidRPr="00B82642" w:rsidR="00D55958" w:rsidP="00D67F24" w:rsidRDefault="00DC18EA" w14:paraId="03DE42C9" w14:textId="0FABD8D3">
      <w:pPr>
        <w:pStyle w:val="Heading2"/>
        <w:rPr>
          <w:rFonts w:ascii="Corbel" w:hAnsi="Corbel"/>
        </w:rPr>
      </w:pPr>
      <w:r w:rsidRPr="00B82642">
        <w:rPr>
          <w:rFonts w:ascii="Corbel" w:hAnsi="Corbel"/>
        </w:rPr>
        <w:t>A</w:t>
      </w:r>
      <w:r w:rsidRPr="00B82642" w:rsidR="00024EF4">
        <w:rPr>
          <w:rFonts w:ascii="Corbel" w:hAnsi="Corbel"/>
        </w:rPr>
        <w:t>.2.</w:t>
      </w:r>
      <w:r w:rsidRPr="00B82642" w:rsidR="00436365">
        <w:rPr>
          <w:rFonts w:ascii="Corbel" w:hAnsi="Corbel"/>
        </w:rPr>
        <w:tab/>
      </w:r>
      <w:r w:rsidRPr="00B82642" w:rsidR="00024EF4">
        <w:rPr>
          <w:rFonts w:ascii="Corbel" w:hAnsi="Corbel"/>
        </w:rPr>
        <w:t>Purposes and Uses of the Data</w:t>
      </w:r>
      <w:r w:rsidRPr="00B82642" w:rsidR="00D55958">
        <w:rPr>
          <w:rFonts w:ascii="Corbel" w:hAnsi="Corbel"/>
        </w:rPr>
        <w:t xml:space="preserve"> </w:t>
      </w:r>
    </w:p>
    <w:p w:rsidRPr="00AF37DE" w:rsidR="00E93A9E" w:rsidP="00D67F24" w:rsidRDefault="00E93A9E" w14:paraId="491E2757" w14:textId="77777777">
      <w:pPr>
        <w:rPr>
          <w:rFonts w:ascii="Corbel" w:hAnsi="Corbel"/>
        </w:rPr>
      </w:pPr>
    </w:p>
    <w:p w:rsidRPr="00A171AF" w:rsidR="00C64046" w:rsidP="00EB7A91" w:rsidRDefault="00B72B5D" w14:paraId="1DF9645D" w14:textId="01CC2165">
      <w:pPr>
        <w:rPr>
          <w:rFonts w:ascii="Corbel" w:hAnsi="Corbel"/>
          <w:sz w:val="22"/>
          <w:szCs w:val="22"/>
        </w:rPr>
      </w:pPr>
      <w:r w:rsidRPr="00A171AF">
        <w:rPr>
          <w:rFonts w:ascii="Corbel" w:hAnsi="Corbel"/>
          <w:sz w:val="22"/>
          <w:szCs w:val="22"/>
        </w:rPr>
        <w:t xml:space="preserve">The purpose of this project is to provide resources including research and analysis, best practices, and models for the </w:t>
      </w:r>
      <w:r w:rsidRPr="00A171AF" w:rsidR="00F36D63">
        <w:rPr>
          <w:rFonts w:ascii="Corbel" w:hAnsi="Corbel"/>
          <w:sz w:val="22"/>
          <w:szCs w:val="22"/>
        </w:rPr>
        <w:t xml:space="preserve">larger </w:t>
      </w:r>
      <w:r w:rsidRPr="00A171AF">
        <w:rPr>
          <w:rFonts w:ascii="Corbel" w:hAnsi="Corbel"/>
          <w:sz w:val="22"/>
          <w:szCs w:val="22"/>
        </w:rPr>
        <w:t>benefit of the museum field.</w:t>
      </w:r>
      <w:r w:rsidRPr="00A171AF" w:rsidR="00C64046">
        <w:rPr>
          <w:rFonts w:ascii="Corbel" w:hAnsi="Corbel"/>
          <w:sz w:val="22"/>
          <w:szCs w:val="22"/>
        </w:rPr>
        <w:t xml:space="preserve"> This project will address the need</w:t>
      </w:r>
      <w:r w:rsidR="00513DE5">
        <w:rPr>
          <w:rFonts w:ascii="Corbel" w:hAnsi="Corbel"/>
          <w:sz w:val="22"/>
          <w:szCs w:val="22"/>
        </w:rPr>
        <w:t xml:space="preserve">, as </w:t>
      </w:r>
      <w:r w:rsidRPr="00A171AF" w:rsidR="00C64046">
        <w:rPr>
          <w:rFonts w:ascii="Corbel" w:hAnsi="Corbel"/>
          <w:sz w:val="22"/>
          <w:szCs w:val="22"/>
        </w:rPr>
        <w:t>identified by IMLS leadership based on its experience with past grant recipients, and as part of its organizational four-year strategic plan</w:t>
      </w:r>
      <w:r w:rsidR="00513DE5">
        <w:rPr>
          <w:rFonts w:ascii="Corbel" w:hAnsi="Corbel"/>
          <w:sz w:val="22"/>
          <w:szCs w:val="22"/>
        </w:rPr>
        <w:t xml:space="preserve">, </w:t>
      </w:r>
      <w:r w:rsidRPr="00A171AF" w:rsidR="00C64046">
        <w:rPr>
          <w:rFonts w:ascii="Corbel" w:hAnsi="Corbel"/>
          <w:sz w:val="22"/>
          <w:szCs w:val="22"/>
        </w:rPr>
        <w:t>to determine how IMLS and other funders may most effectively invest in today’s rapidly changing m</w:t>
      </w:r>
      <w:r w:rsidRPr="00FD4A53" w:rsidR="00C64046">
        <w:rPr>
          <w:rFonts w:ascii="Corbel" w:hAnsi="Corbel"/>
          <w:sz w:val="22"/>
          <w:szCs w:val="22"/>
        </w:rPr>
        <w:t xml:space="preserve">useum sector </w:t>
      </w:r>
      <w:r w:rsidRPr="00FD4A53" w:rsidR="00FB3DE2">
        <w:rPr>
          <w:rFonts w:ascii="Corbel" w:hAnsi="Corbel"/>
          <w:sz w:val="22"/>
          <w:szCs w:val="22"/>
        </w:rPr>
        <w:t xml:space="preserve">through </w:t>
      </w:r>
      <w:r w:rsidR="00A35D14">
        <w:rPr>
          <w:rFonts w:ascii="Corbel" w:hAnsi="Corbel"/>
          <w:sz w:val="22"/>
          <w:szCs w:val="22"/>
        </w:rPr>
        <w:t>capacity-building</w:t>
      </w:r>
      <w:r w:rsidRPr="00FD4A53" w:rsidR="00C64046">
        <w:rPr>
          <w:rFonts w:ascii="Corbel" w:hAnsi="Corbel"/>
          <w:sz w:val="22"/>
          <w:szCs w:val="22"/>
        </w:rPr>
        <w:t xml:space="preserve"> offerings. </w:t>
      </w:r>
      <w:r w:rsidRPr="00FD4A53" w:rsidR="00FD4A53">
        <w:rPr>
          <w:rFonts w:ascii="Corbel" w:hAnsi="Corbel"/>
          <w:sz w:val="22"/>
          <w:szCs w:val="22"/>
        </w:rPr>
        <w:t xml:space="preserve">Additionally, the study will </w:t>
      </w:r>
      <w:r w:rsidR="006014EA">
        <w:rPr>
          <w:rFonts w:ascii="Corbel" w:hAnsi="Corbel"/>
          <w:sz w:val="22"/>
          <w:szCs w:val="22"/>
        </w:rPr>
        <w:t>be of</w:t>
      </w:r>
      <w:r w:rsidRPr="00FD4A53" w:rsidR="006014EA">
        <w:rPr>
          <w:rFonts w:ascii="Corbel" w:hAnsi="Corbel"/>
          <w:sz w:val="22"/>
          <w:szCs w:val="22"/>
        </w:rPr>
        <w:t xml:space="preserve"> </w:t>
      </w:r>
      <w:r w:rsidRPr="00FD4A53" w:rsidR="00FD4A53">
        <w:rPr>
          <w:rFonts w:ascii="Corbel" w:hAnsi="Corbel"/>
          <w:sz w:val="22"/>
          <w:szCs w:val="22"/>
        </w:rPr>
        <w:t>general interest to the museum field s</w:t>
      </w:r>
      <w:r w:rsidRPr="00FD4A53" w:rsidR="00C526FC">
        <w:rPr>
          <w:rFonts w:ascii="Corbel" w:hAnsi="Corbel"/>
          <w:sz w:val="22"/>
          <w:szCs w:val="22"/>
        </w:rPr>
        <w:t xml:space="preserve">ince </w:t>
      </w:r>
      <w:r w:rsidR="00223F1C">
        <w:rPr>
          <w:rFonts w:ascii="Corbel" w:hAnsi="Corbel"/>
          <w:sz w:val="22"/>
          <w:szCs w:val="22"/>
        </w:rPr>
        <w:t>capacity-building</w:t>
      </w:r>
      <w:r w:rsidRPr="00FD4A53" w:rsidR="00C526FC">
        <w:rPr>
          <w:rFonts w:ascii="Corbel" w:hAnsi="Corbel"/>
          <w:sz w:val="22"/>
          <w:szCs w:val="22"/>
        </w:rPr>
        <w:t xml:space="preserve"> experiences of small and medium museums </w:t>
      </w:r>
      <w:r w:rsidRPr="00FD4A53" w:rsidR="006014EA">
        <w:rPr>
          <w:rFonts w:ascii="Corbel" w:hAnsi="Corbel"/>
          <w:sz w:val="22"/>
          <w:szCs w:val="22"/>
        </w:rPr>
        <w:t>ha</w:t>
      </w:r>
      <w:r w:rsidR="006014EA">
        <w:rPr>
          <w:rFonts w:ascii="Corbel" w:hAnsi="Corbel"/>
          <w:sz w:val="22"/>
          <w:szCs w:val="22"/>
        </w:rPr>
        <w:t>ve</w:t>
      </w:r>
      <w:r w:rsidRPr="00FD4A53" w:rsidR="006014EA">
        <w:rPr>
          <w:rFonts w:ascii="Corbel" w:hAnsi="Corbel"/>
          <w:sz w:val="22"/>
          <w:szCs w:val="22"/>
        </w:rPr>
        <w:t xml:space="preserve"> </w:t>
      </w:r>
      <w:r w:rsidRPr="00FD4A53" w:rsidR="00C526FC">
        <w:rPr>
          <w:rFonts w:ascii="Corbel" w:hAnsi="Corbel"/>
          <w:sz w:val="22"/>
          <w:szCs w:val="22"/>
        </w:rPr>
        <w:t xml:space="preserve">not yet been the topic of </w:t>
      </w:r>
      <w:r w:rsidRPr="00FD4A53" w:rsidR="003734B0">
        <w:rPr>
          <w:rFonts w:ascii="Corbel" w:hAnsi="Corbel"/>
          <w:sz w:val="22"/>
          <w:szCs w:val="22"/>
        </w:rPr>
        <w:t xml:space="preserve">a </w:t>
      </w:r>
      <w:r w:rsidRPr="00FD4A53" w:rsidR="00C526FC">
        <w:rPr>
          <w:rFonts w:ascii="Corbel" w:hAnsi="Corbel"/>
          <w:sz w:val="22"/>
          <w:szCs w:val="22"/>
        </w:rPr>
        <w:t>study</w:t>
      </w:r>
      <w:r w:rsidRPr="00FD4A53" w:rsidR="00FD4A53">
        <w:rPr>
          <w:rFonts w:ascii="Corbel" w:hAnsi="Corbel"/>
          <w:sz w:val="22"/>
          <w:szCs w:val="22"/>
        </w:rPr>
        <w:t>.</w:t>
      </w:r>
      <w:r w:rsidRPr="00FD4A53" w:rsidR="00C526FC">
        <w:rPr>
          <w:rFonts w:ascii="Corbel" w:hAnsi="Corbel"/>
          <w:sz w:val="22"/>
          <w:szCs w:val="22"/>
        </w:rPr>
        <w:t xml:space="preserve">  </w:t>
      </w:r>
    </w:p>
    <w:p w:rsidRPr="00A171AF" w:rsidR="00C64046" w:rsidP="00D67F24" w:rsidRDefault="00C64046" w14:paraId="49337C30" w14:textId="758E7759">
      <w:pPr>
        <w:rPr>
          <w:rFonts w:ascii="Corbel" w:hAnsi="Corbel"/>
          <w:sz w:val="22"/>
          <w:szCs w:val="22"/>
        </w:rPr>
      </w:pPr>
    </w:p>
    <w:p w:rsidR="001E7122" w:rsidP="00D67F24" w:rsidRDefault="00C64046" w14:paraId="6D1EB09B" w14:textId="09806F61">
      <w:pPr>
        <w:rPr>
          <w:rFonts w:ascii="Corbel" w:hAnsi="Corbel"/>
          <w:sz w:val="22"/>
          <w:szCs w:val="22"/>
        </w:rPr>
      </w:pPr>
      <w:r w:rsidRPr="00A171AF">
        <w:rPr>
          <w:rFonts w:ascii="Corbel" w:hAnsi="Corbel"/>
          <w:sz w:val="22"/>
          <w:szCs w:val="22"/>
        </w:rPr>
        <w:t>Data will be collected from museums primarily through an opinion survey</w:t>
      </w:r>
      <w:r w:rsidR="005C7DDA">
        <w:rPr>
          <w:rFonts w:ascii="Corbel" w:hAnsi="Corbel"/>
          <w:sz w:val="22"/>
          <w:szCs w:val="22"/>
        </w:rPr>
        <w:t xml:space="preserve"> supplemented with information gathered via interviews and virtual focus groups</w:t>
      </w:r>
      <w:r w:rsidRPr="00A171AF">
        <w:rPr>
          <w:rFonts w:ascii="Corbel" w:hAnsi="Corbel"/>
          <w:sz w:val="22"/>
          <w:szCs w:val="22"/>
        </w:rPr>
        <w:t>. As mentioned above, no</w:t>
      </w:r>
      <w:r w:rsidRPr="00A171AF" w:rsidR="006029CB">
        <w:rPr>
          <w:rFonts w:ascii="Corbel" w:hAnsi="Corbel"/>
          <w:sz w:val="22"/>
          <w:szCs w:val="22"/>
        </w:rPr>
        <w:t xml:space="preserve"> </w:t>
      </w:r>
      <w:r w:rsidRPr="00A171AF">
        <w:rPr>
          <w:rFonts w:ascii="Corbel" w:hAnsi="Corbel"/>
          <w:sz w:val="22"/>
          <w:szCs w:val="22"/>
        </w:rPr>
        <w:t>other report has surveyed museums to collect their perceptions of the state of capacity building in the museum sector. As such, the proposed survey and mixed methods data collection provide an opportunity to colle</w:t>
      </w:r>
      <w:r w:rsidRPr="00FD4A53">
        <w:rPr>
          <w:rFonts w:ascii="Corbel" w:hAnsi="Corbel"/>
          <w:sz w:val="22"/>
          <w:szCs w:val="22"/>
        </w:rPr>
        <w:t xml:space="preserve">ct, analyze, and report on the opinions of </w:t>
      </w:r>
      <w:r w:rsidRPr="00FD4A53" w:rsidR="001E7122">
        <w:rPr>
          <w:rFonts w:ascii="Corbel" w:hAnsi="Corbel"/>
          <w:sz w:val="22"/>
          <w:szCs w:val="22"/>
        </w:rPr>
        <w:t xml:space="preserve">various types of </w:t>
      </w:r>
      <w:r w:rsidRPr="00FD4A53">
        <w:rPr>
          <w:rFonts w:ascii="Corbel" w:hAnsi="Corbel"/>
          <w:sz w:val="22"/>
          <w:szCs w:val="22"/>
        </w:rPr>
        <w:t>museum leaders</w:t>
      </w:r>
      <w:r w:rsidRPr="00FD4A53" w:rsidR="00DE4769">
        <w:rPr>
          <w:rFonts w:ascii="Corbel" w:hAnsi="Corbel"/>
          <w:sz w:val="22"/>
          <w:szCs w:val="22"/>
        </w:rPr>
        <w:t xml:space="preserve"> and funders</w:t>
      </w:r>
      <w:r w:rsidRPr="00FD4A53" w:rsidR="002D3508">
        <w:rPr>
          <w:rFonts w:ascii="Corbel" w:hAnsi="Corbel"/>
          <w:sz w:val="22"/>
          <w:szCs w:val="22"/>
        </w:rPr>
        <w:t xml:space="preserve"> of non-profit capacity building</w:t>
      </w:r>
      <w:r w:rsidRPr="00FD4A53">
        <w:rPr>
          <w:rFonts w:ascii="Corbel" w:hAnsi="Corbel"/>
          <w:sz w:val="22"/>
          <w:szCs w:val="22"/>
        </w:rPr>
        <w:t>.</w:t>
      </w:r>
      <w:r w:rsidRPr="00FD4A53" w:rsidR="00260238">
        <w:rPr>
          <w:rFonts w:ascii="Corbel" w:hAnsi="Corbel"/>
          <w:sz w:val="22"/>
          <w:szCs w:val="22"/>
        </w:rPr>
        <w:t xml:space="preserve"> </w:t>
      </w:r>
      <w:r w:rsidRPr="00FD4A53" w:rsidR="001E7122">
        <w:rPr>
          <w:rFonts w:ascii="Corbel" w:hAnsi="Corbel"/>
          <w:sz w:val="22"/>
          <w:szCs w:val="22"/>
        </w:rPr>
        <w:t>This mixed method design engage</w:t>
      </w:r>
      <w:r w:rsidR="00C1411C">
        <w:rPr>
          <w:rFonts w:ascii="Corbel" w:hAnsi="Corbel"/>
          <w:sz w:val="22"/>
          <w:szCs w:val="22"/>
        </w:rPr>
        <w:t>s</w:t>
      </w:r>
      <w:r w:rsidRPr="00FD4A53" w:rsidR="001E7122">
        <w:rPr>
          <w:rFonts w:ascii="Corbel" w:hAnsi="Corbel"/>
          <w:sz w:val="22"/>
          <w:szCs w:val="22"/>
        </w:rPr>
        <w:t xml:space="preserve"> different stakeholder groups to cross-validate results.</w:t>
      </w:r>
      <w:r w:rsidR="001E7122">
        <w:rPr>
          <w:rFonts w:ascii="Corbel" w:hAnsi="Corbel"/>
          <w:sz w:val="22"/>
          <w:szCs w:val="22"/>
        </w:rPr>
        <w:t xml:space="preserve"> </w:t>
      </w:r>
    </w:p>
    <w:p w:rsidR="001E7122" w:rsidP="00D67F24" w:rsidRDefault="001E7122" w14:paraId="7BC5A294" w14:textId="77777777">
      <w:pPr>
        <w:rPr>
          <w:rFonts w:ascii="Corbel" w:hAnsi="Corbel"/>
          <w:sz w:val="22"/>
          <w:szCs w:val="22"/>
        </w:rPr>
      </w:pPr>
    </w:p>
    <w:p w:rsidRPr="00A171AF" w:rsidR="00260238" w:rsidP="00D67F24" w:rsidRDefault="00260238" w14:paraId="79173BAC" w14:textId="4D6A22CB">
      <w:pPr>
        <w:rPr>
          <w:rFonts w:ascii="Corbel" w:hAnsi="Corbel"/>
          <w:sz w:val="22"/>
          <w:szCs w:val="22"/>
        </w:rPr>
      </w:pPr>
      <w:r w:rsidRPr="00A171AF">
        <w:rPr>
          <w:rFonts w:ascii="Corbel" w:hAnsi="Corbel"/>
          <w:sz w:val="22"/>
          <w:szCs w:val="22"/>
        </w:rPr>
        <w:t>Goals for data collection include identifying perceptions of:</w:t>
      </w:r>
    </w:p>
    <w:p w:rsidRPr="00A171AF" w:rsidR="00260238" w:rsidP="00D67F24" w:rsidRDefault="00260238" w14:paraId="73229ED7" w14:textId="0F29D498">
      <w:pPr>
        <w:pStyle w:val="ListParagraph"/>
        <w:numPr>
          <w:ilvl w:val="0"/>
          <w:numId w:val="13"/>
        </w:numPr>
        <w:tabs>
          <w:tab w:val="clear" w:pos="1069"/>
        </w:tabs>
        <w:rPr>
          <w:rFonts w:ascii="Corbel" w:hAnsi="Corbel"/>
          <w:sz w:val="22"/>
          <w:szCs w:val="22"/>
        </w:rPr>
      </w:pPr>
      <w:r w:rsidRPr="00A171AF">
        <w:rPr>
          <w:rFonts w:ascii="Corbel" w:hAnsi="Corbel"/>
          <w:sz w:val="22"/>
          <w:szCs w:val="22"/>
        </w:rPr>
        <w:lastRenderedPageBreak/>
        <w:t xml:space="preserve">Existing </w:t>
      </w:r>
      <w:r w:rsidR="00223F1C">
        <w:rPr>
          <w:rFonts w:ascii="Corbel" w:hAnsi="Corbel"/>
          <w:b/>
          <w:bCs/>
          <w:i/>
          <w:iCs/>
          <w:sz w:val="22"/>
          <w:szCs w:val="22"/>
        </w:rPr>
        <w:t>capacity-building</w:t>
      </w:r>
      <w:r w:rsidRPr="00A171AF">
        <w:rPr>
          <w:rFonts w:ascii="Corbel" w:hAnsi="Corbel"/>
          <w:b/>
          <w:bCs/>
          <w:i/>
          <w:iCs/>
          <w:sz w:val="22"/>
          <w:szCs w:val="22"/>
        </w:rPr>
        <w:t xml:space="preserve"> opportunities</w:t>
      </w:r>
      <w:r w:rsidRPr="00A171AF">
        <w:rPr>
          <w:rFonts w:ascii="Corbel" w:hAnsi="Corbel"/>
          <w:sz w:val="22"/>
          <w:szCs w:val="22"/>
        </w:rPr>
        <w:t xml:space="preserve"> for museums; </w:t>
      </w:r>
    </w:p>
    <w:p w:rsidRPr="00A171AF" w:rsidR="00260238" w:rsidP="00D67F24" w:rsidRDefault="00260238" w14:paraId="12348A74" w14:textId="52CD87D6">
      <w:pPr>
        <w:pStyle w:val="ListParagraph"/>
        <w:numPr>
          <w:ilvl w:val="0"/>
          <w:numId w:val="13"/>
        </w:numPr>
        <w:tabs>
          <w:tab w:val="clear" w:pos="1069"/>
        </w:tabs>
        <w:rPr>
          <w:rFonts w:ascii="Corbel" w:hAnsi="Corbel"/>
          <w:sz w:val="22"/>
          <w:szCs w:val="22"/>
        </w:rPr>
      </w:pPr>
      <w:r w:rsidRPr="00A171AF">
        <w:rPr>
          <w:rFonts w:ascii="Corbel" w:hAnsi="Corbel"/>
          <w:sz w:val="22"/>
          <w:szCs w:val="22"/>
        </w:rPr>
        <w:t xml:space="preserve">Current </w:t>
      </w:r>
      <w:r w:rsidRPr="00A171AF">
        <w:rPr>
          <w:rFonts w:ascii="Corbel" w:hAnsi="Corbel"/>
          <w:b/>
          <w:bCs/>
          <w:i/>
          <w:iCs/>
          <w:sz w:val="22"/>
          <w:szCs w:val="22"/>
        </w:rPr>
        <w:t>participation</w:t>
      </w:r>
      <w:r w:rsidRPr="00A171AF">
        <w:rPr>
          <w:rFonts w:ascii="Corbel" w:hAnsi="Corbel"/>
          <w:sz w:val="22"/>
          <w:szCs w:val="22"/>
        </w:rPr>
        <w:t xml:space="preserve"> </w:t>
      </w:r>
      <w:r w:rsidR="00CC106C">
        <w:rPr>
          <w:rFonts w:ascii="Corbel" w:hAnsi="Corbel"/>
          <w:sz w:val="22"/>
          <w:szCs w:val="22"/>
        </w:rPr>
        <w:t>of</w:t>
      </w:r>
      <w:r w:rsidRPr="00A171AF">
        <w:rPr>
          <w:rFonts w:ascii="Corbel" w:hAnsi="Corbel"/>
          <w:sz w:val="22"/>
          <w:szCs w:val="22"/>
        </w:rPr>
        <w:t xml:space="preserve"> the museum sector </w:t>
      </w:r>
      <w:r w:rsidR="003D05E2">
        <w:rPr>
          <w:rFonts w:ascii="Corbel" w:hAnsi="Corbel"/>
          <w:sz w:val="22"/>
          <w:szCs w:val="22"/>
        </w:rPr>
        <w:t>in</w:t>
      </w:r>
      <w:r w:rsidRPr="00A171AF">
        <w:rPr>
          <w:rFonts w:ascii="Corbel" w:hAnsi="Corbel"/>
          <w:sz w:val="22"/>
          <w:szCs w:val="22"/>
        </w:rPr>
        <w:t xml:space="preserve"> </w:t>
      </w:r>
      <w:r w:rsidR="00223F1C">
        <w:rPr>
          <w:rFonts w:ascii="Corbel" w:hAnsi="Corbel"/>
          <w:sz w:val="22"/>
          <w:szCs w:val="22"/>
        </w:rPr>
        <w:t>capacity-building</w:t>
      </w:r>
      <w:r w:rsidRPr="00A171AF">
        <w:rPr>
          <w:rFonts w:ascii="Corbel" w:hAnsi="Corbel"/>
          <w:sz w:val="22"/>
          <w:szCs w:val="22"/>
        </w:rPr>
        <w:t xml:space="preserve"> funding and services;</w:t>
      </w:r>
    </w:p>
    <w:p w:rsidRPr="00A171AF" w:rsidR="00260238" w:rsidP="00D67F24" w:rsidRDefault="00260238" w14:paraId="04B050CC" w14:textId="77777777">
      <w:pPr>
        <w:pStyle w:val="ListParagraph"/>
        <w:numPr>
          <w:ilvl w:val="0"/>
          <w:numId w:val="13"/>
        </w:numPr>
        <w:tabs>
          <w:tab w:val="clear" w:pos="1069"/>
        </w:tabs>
        <w:rPr>
          <w:rFonts w:ascii="Corbel" w:hAnsi="Corbel"/>
          <w:sz w:val="22"/>
          <w:szCs w:val="22"/>
        </w:rPr>
      </w:pPr>
      <w:r w:rsidRPr="00A171AF">
        <w:rPr>
          <w:rFonts w:ascii="Corbel" w:hAnsi="Corbel"/>
          <w:sz w:val="22"/>
          <w:szCs w:val="22"/>
        </w:rPr>
        <w:t xml:space="preserve">How </w:t>
      </w:r>
      <w:r w:rsidRPr="00A171AF">
        <w:rPr>
          <w:rFonts w:ascii="Corbel" w:hAnsi="Corbel"/>
          <w:b/>
          <w:i/>
          <w:sz w:val="22"/>
          <w:szCs w:val="22"/>
        </w:rPr>
        <w:t>funds and services</w:t>
      </w:r>
      <w:r w:rsidRPr="00A171AF">
        <w:rPr>
          <w:rFonts w:ascii="Corbel" w:hAnsi="Corbel"/>
          <w:sz w:val="22"/>
          <w:szCs w:val="22"/>
        </w:rPr>
        <w:t xml:space="preserve"> are being utilized;</w:t>
      </w:r>
    </w:p>
    <w:p w:rsidRPr="00A171AF" w:rsidR="00260238" w:rsidP="00D67F24" w:rsidRDefault="00260238" w14:paraId="7B184E9D" w14:textId="45542D71">
      <w:pPr>
        <w:pStyle w:val="ListParagraph"/>
        <w:numPr>
          <w:ilvl w:val="0"/>
          <w:numId w:val="13"/>
        </w:numPr>
        <w:tabs>
          <w:tab w:val="clear" w:pos="1069"/>
        </w:tabs>
        <w:rPr>
          <w:rFonts w:ascii="Corbel" w:hAnsi="Corbel"/>
          <w:sz w:val="22"/>
          <w:szCs w:val="22"/>
        </w:rPr>
      </w:pPr>
      <w:r w:rsidRPr="00A171AF">
        <w:rPr>
          <w:rFonts w:ascii="Corbel" w:hAnsi="Corbel"/>
          <w:b/>
          <w:i/>
          <w:sz w:val="22"/>
          <w:szCs w:val="22"/>
        </w:rPr>
        <w:t>Motivations and barriers</w:t>
      </w:r>
      <w:r w:rsidRPr="00A171AF">
        <w:rPr>
          <w:rFonts w:ascii="Corbel" w:hAnsi="Corbel"/>
          <w:sz w:val="22"/>
          <w:szCs w:val="22"/>
        </w:rPr>
        <w:t xml:space="preserve"> that drive participation in capacity building; </w:t>
      </w:r>
    </w:p>
    <w:p w:rsidRPr="00A171AF" w:rsidR="00260238" w:rsidP="00D67F24" w:rsidRDefault="00260238" w14:paraId="6E8CD930" w14:textId="21855F97">
      <w:pPr>
        <w:pStyle w:val="ListParagraph"/>
        <w:numPr>
          <w:ilvl w:val="0"/>
          <w:numId w:val="13"/>
        </w:numPr>
        <w:tabs>
          <w:tab w:val="clear" w:pos="1069"/>
        </w:tabs>
        <w:rPr>
          <w:rFonts w:ascii="Corbel" w:hAnsi="Corbel"/>
          <w:sz w:val="22"/>
          <w:szCs w:val="22"/>
        </w:rPr>
      </w:pPr>
      <w:r w:rsidRPr="00A171AF">
        <w:rPr>
          <w:rFonts w:ascii="Corbel" w:hAnsi="Corbel"/>
          <w:sz w:val="22"/>
          <w:szCs w:val="22"/>
        </w:rPr>
        <w:t xml:space="preserve">A nuanced understanding of </w:t>
      </w:r>
      <w:r w:rsidR="00223F1C">
        <w:rPr>
          <w:rFonts w:ascii="Corbel" w:hAnsi="Corbel"/>
          <w:sz w:val="22"/>
          <w:szCs w:val="22"/>
        </w:rPr>
        <w:t>capacity-building</w:t>
      </w:r>
      <w:r w:rsidRPr="00A171AF">
        <w:rPr>
          <w:rFonts w:ascii="Corbel" w:hAnsi="Corbel"/>
          <w:sz w:val="22"/>
          <w:szCs w:val="22"/>
        </w:rPr>
        <w:t xml:space="preserve"> participants’ </w:t>
      </w:r>
      <w:r w:rsidRPr="00A171AF">
        <w:rPr>
          <w:rFonts w:ascii="Corbel" w:hAnsi="Corbel"/>
          <w:b/>
          <w:bCs/>
          <w:i/>
          <w:iCs/>
          <w:sz w:val="22"/>
          <w:szCs w:val="22"/>
        </w:rPr>
        <w:t>ability to adopt, sustain, and evaluate</w:t>
      </w:r>
      <w:r w:rsidRPr="00A171AF">
        <w:rPr>
          <w:rFonts w:ascii="Corbel" w:hAnsi="Corbel"/>
          <w:sz w:val="22"/>
          <w:szCs w:val="22"/>
        </w:rPr>
        <w:t xml:space="preserve"> their </w:t>
      </w:r>
      <w:r w:rsidR="00223F1C">
        <w:rPr>
          <w:rFonts w:ascii="Corbel" w:hAnsi="Corbel"/>
          <w:sz w:val="22"/>
          <w:szCs w:val="22"/>
        </w:rPr>
        <w:t>capacity-building</w:t>
      </w:r>
      <w:r w:rsidRPr="00A171AF">
        <w:rPr>
          <w:rFonts w:ascii="Corbel" w:hAnsi="Corbel"/>
          <w:sz w:val="22"/>
          <w:szCs w:val="22"/>
        </w:rPr>
        <w:t xml:space="preserve"> initiatives; and </w:t>
      </w:r>
    </w:p>
    <w:p w:rsidRPr="00A171AF" w:rsidR="00260238" w:rsidP="00D67F24" w:rsidRDefault="00595AC0" w14:paraId="73C845E9" w14:textId="120ECB4F">
      <w:pPr>
        <w:pStyle w:val="ListParagraph"/>
        <w:numPr>
          <w:ilvl w:val="0"/>
          <w:numId w:val="13"/>
        </w:numPr>
        <w:tabs>
          <w:tab w:val="clear" w:pos="1069"/>
        </w:tabs>
        <w:rPr>
          <w:rFonts w:ascii="Corbel" w:hAnsi="Corbel"/>
          <w:sz w:val="22"/>
          <w:szCs w:val="22"/>
        </w:rPr>
      </w:pPr>
      <w:r w:rsidRPr="00A171AF">
        <w:rPr>
          <w:rFonts w:ascii="Corbel" w:hAnsi="Corbel"/>
          <w:b/>
          <w:i/>
          <w:iCs/>
          <w:sz w:val="22"/>
          <w:szCs w:val="22"/>
        </w:rPr>
        <w:t>G</w:t>
      </w:r>
      <w:r w:rsidRPr="00A171AF" w:rsidR="00260238">
        <w:rPr>
          <w:rFonts w:ascii="Corbel" w:hAnsi="Corbel"/>
          <w:b/>
          <w:i/>
          <w:iCs/>
          <w:sz w:val="22"/>
          <w:szCs w:val="22"/>
        </w:rPr>
        <w:t>rowth opportunity</w:t>
      </w:r>
      <w:r w:rsidRPr="00A171AF" w:rsidR="00260238">
        <w:rPr>
          <w:rFonts w:ascii="Corbel" w:hAnsi="Corbel"/>
          <w:sz w:val="22"/>
          <w:szCs w:val="22"/>
        </w:rPr>
        <w:t xml:space="preserve"> areas where the sector’s organizational strengthening needs are not being met.</w:t>
      </w:r>
    </w:p>
    <w:p w:rsidRPr="00A171AF" w:rsidR="00260238" w:rsidP="00D67F24" w:rsidRDefault="00260238" w14:paraId="494B0B16" w14:textId="77777777">
      <w:pPr>
        <w:rPr>
          <w:rFonts w:ascii="Corbel" w:hAnsi="Corbel"/>
          <w:sz w:val="22"/>
          <w:szCs w:val="22"/>
        </w:rPr>
      </w:pPr>
    </w:p>
    <w:p w:rsidRPr="00A171AF" w:rsidR="00BD07E2" w:rsidP="00D67F24" w:rsidRDefault="00260238" w14:paraId="1EE0AE46" w14:textId="14B0FA40">
      <w:pPr>
        <w:tabs>
          <w:tab w:val="left" w:pos="288"/>
        </w:tabs>
        <w:spacing w:after="60"/>
        <w:rPr>
          <w:rFonts w:ascii="Corbel" w:hAnsi="Corbel"/>
          <w:sz w:val="22"/>
          <w:szCs w:val="22"/>
        </w:rPr>
      </w:pPr>
      <w:r w:rsidRPr="00A171AF">
        <w:rPr>
          <w:rFonts w:ascii="Corbel" w:hAnsi="Corbel"/>
          <w:sz w:val="22"/>
          <w:szCs w:val="22"/>
        </w:rPr>
        <w:t xml:space="preserve">PPG will collect qualitative and quantitative data to fully appreciate each of these areas from museum leaders, </w:t>
      </w:r>
      <w:r w:rsidR="00223F1C">
        <w:rPr>
          <w:rFonts w:ascii="Corbel" w:hAnsi="Corbel"/>
          <w:sz w:val="22"/>
          <w:szCs w:val="22"/>
        </w:rPr>
        <w:t>capacity-building</w:t>
      </w:r>
      <w:r w:rsidRPr="00A171AF">
        <w:rPr>
          <w:rFonts w:ascii="Corbel" w:hAnsi="Corbel"/>
          <w:sz w:val="22"/>
          <w:szCs w:val="22"/>
        </w:rPr>
        <w:t xml:space="preserve"> providers</w:t>
      </w:r>
      <w:r w:rsidR="007B7041">
        <w:rPr>
          <w:rFonts w:ascii="Corbel" w:hAnsi="Corbel"/>
          <w:sz w:val="22"/>
          <w:szCs w:val="22"/>
        </w:rPr>
        <w:t>,</w:t>
      </w:r>
      <w:r w:rsidRPr="00A171AF">
        <w:rPr>
          <w:rFonts w:ascii="Corbel" w:hAnsi="Corbel"/>
          <w:sz w:val="22"/>
          <w:szCs w:val="22"/>
        </w:rPr>
        <w:t xml:space="preserve"> and funders through the following provisional </w:t>
      </w:r>
      <w:r w:rsidRPr="00A171AF">
        <w:rPr>
          <w:rFonts w:ascii="Corbel" w:hAnsi="Corbel"/>
          <w:bCs/>
          <w:sz w:val="22"/>
          <w:szCs w:val="22"/>
        </w:rPr>
        <w:t>methods</w:t>
      </w:r>
      <w:r w:rsidRPr="00A171AF">
        <w:rPr>
          <w:rFonts w:ascii="Corbel" w:hAnsi="Corbel"/>
          <w:sz w:val="22"/>
          <w:szCs w:val="22"/>
        </w:rPr>
        <w:t>:</w:t>
      </w:r>
    </w:p>
    <w:p w:rsidRPr="00EF4047" w:rsidR="00EF4047" w:rsidP="00D67F24" w:rsidRDefault="005E6CC5" w14:paraId="7B73AF33" w14:textId="3BD326B9">
      <w:pPr>
        <w:pStyle w:val="ListParagraph"/>
        <w:numPr>
          <w:ilvl w:val="2"/>
          <w:numId w:val="3"/>
        </w:numPr>
        <w:tabs>
          <w:tab w:val="clear" w:pos="1069"/>
          <w:tab w:val="left" w:pos="450"/>
        </w:tabs>
        <w:spacing w:before="240" w:after="60"/>
        <w:ind w:left="450" w:hanging="450"/>
        <w:contextualSpacing w:val="0"/>
        <w:rPr>
          <w:sz w:val="22"/>
          <w:szCs w:val="22"/>
        </w:rPr>
      </w:pPr>
      <w:r w:rsidRPr="00FD4A53">
        <w:rPr>
          <w:rFonts w:ascii="Corbel" w:hAnsi="Corbel"/>
          <w:b/>
          <w:bCs/>
          <w:sz w:val="22"/>
          <w:szCs w:val="22"/>
        </w:rPr>
        <w:t>Museum Survey:</w:t>
      </w:r>
      <w:r w:rsidRPr="00FD4A53">
        <w:rPr>
          <w:rFonts w:ascii="Corbel" w:hAnsi="Corbel"/>
          <w:sz w:val="22"/>
          <w:szCs w:val="22"/>
        </w:rPr>
        <w:t xml:space="preserve"> PPG will administer a field-wide survey </w:t>
      </w:r>
      <w:r w:rsidRPr="00FD4A53" w:rsidR="0048615E">
        <w:rPr>
          <w:rFonts w:ascii="Corbel" w:hAnsi="Corbel"/>
          <w:sz w:val="22"/>
          <w:szCs w:val="22"/>
        </w:rPr>
        <w:t xml:space="preserve">to a sample of 3,000 </w:t>
      </w:r>
      <w:r w:rsidRPr="00FD4A53">
        <w:rPr>
          <w:rFonts w:ascii="Corbel" w:hAnsi="Corbel"/>
          <w:sz w:val="22"/>
          <w:szCs w:val="22"/>
        </w:rPr>
        <w:t>museum leadership and staff, aimed at understanding which types of museums do and do not participate in capacity building</w:t>
      </w:r>
      <w:r w:rsidRPr="00FD4A53" w:rsidR="001E7122">
        <w:rPr>
          <w:rFonts w:ascii="Corbel" w:hAnsi="Corbel"/>
          <w:sz w:val="22"/>
          <w:szCs w:val="22"/>
        </w:rPr>
        <w:t xml:space="preserve"> (Goals 1 and 2)</w:t>
      </w:r>
      <w:r w:rsidRPr="00FD4A53">
        <w:rPr>
          <w:rFonts w:ascii="Corbel" w:hAnsi="Corbel"/>
          <w:sz w:val="22"/>
          <w:szCs w:val="22"/>
        </w:rPr>
        <w:t xml:space="preserve">, </w:t>
      </w:r>
      <w:r w:rsidRPr="00FD4A53" w:rsidR="00651388">
        <w:rPr>
          <w:rFonts w:ascii="Corbel" w:hAnsi="Corbel"/>
          <w:sz w:val="22"/>
          <w:szCs w:val="22"/>
        </w:rPr>
        <w:t xml:space="preserve">types of </w:t>
      </w:r>
      <w:r w:rsidR="00223F1C">
        <w:rPr>
          <w:rFonts w:ascii="Corbel" w:hAnsi="Corbel"/>
          <w:sz w:val="22"/>
          <w:szCs w:val="22"/>
        </w:rPr>
        <w:t>capacity-building</w:t>
      </w:r>
      <w:r w:rsidRPr="00FD4A53" w:rsidR="00651388">
        <w:rPr>
          <w:rFonts w:ascii="Corbel" w:hAnsi="Corbel"/>
          <w:sz w:val="22"/>
          <w:szCs w:val="22"/>
        </w:rPr>
        <w:t xml:space="preserve"> initiatives in which participants have engaged (Goal 2 and 3), </w:t>
      </w:r>
      <w:r w:rsidRPr="00FD4A53">
        <w:rPr>
          <w:rFonts w:ascii="Corbel" w:hAnsi="Corbel"/>
          <w:sz w:val="22"/>
          <w:szCs w:val="22"/>
        </w:rPr>
        <w:t>museums’ perceived organizational strengths and challenges</w:t>
      </w:r>
      <w:r w:rsidRPr="00FD4A53" w:rsidR="001E7122">
        <w:rPr>
          <w:rFonts w:ascii="Corbel" w:hAnsi="Corbel"/>
          <w:sz w:val="22"/>
          <w:szCs w:val="22"/>
        </w:rPr>
        <w:t xml:space="preserve"> (Goal 4)</w:t>
      </w:r>
      <w:r w:rsidRPr="00FD4A53">
        <w:rPr>
          <w:rFonts w:ascii="Corbel" w:hAnsi="Corbel"/>
          <w:sz w:val="22"/>
          <w:szCs w:val="22"/>
        </w:rPr>
        <w:t xml:space="preserve">, </w:t>
      </w:r>
      <w:r w:rsidRPr="00FD4A53" w:rsidR="00651388">
        <w:rPr>
          <w:rFonts w:ascii="Corbel" w:hAnsi="Corbel"/>
          <w:sz w:val="22"/>
          <w:szCs w:val="22"/>
        </w:rPr>
        <w:t>perceived drivers and barriers to participation (Goal 4), perceived levels of success in adopting and sustaining increased capacity (Goal 5)</w:t>
      </w:r>
      <w:r w:rsidR="00651388">
        <w:rPr>
          <w:rFonts w:ascii="Corbel" w:hAnsi="Corbel"/>
          <w:sz w:val="22"/>
          <w:szCs w:val="22"/>
        </w:rPr>
        <w:t>, and</w:t>
      </w:r>
      <w:r w:rsidRPr="00FD4A53" w:rsidR="00651388">
        <w:rPr>
          <w:rFonts w:ascii="Corbel" w:hAnsi="Corbel"/>
          <w:sz w:val="22"/>
          <w:szCs w:val="22"/>
        </w:rPr>
        <w:t xml:space="preserve"> </w:t>
      </w:r>
      <w:r w:rsidRPr="00FD4A53">
        <w:rPr>
          <w:rFonts w:ascii="Corbel" w:hAnsi="Corbel"/>
          <w:sz w:val="22"/>
          <w:szCs w:val="22"/>
        </w:rPr>
        <w:t xml:space="preserve">gaps in </w:t>
      </w:r>
      <w:r w:rsidR="00223F1C">
        <w:rPr>
          <w:rFonts w:ascii="Corbel" w:hAnsi="Corbel"/>
          <w:sz w:val="22"/>
          <w:szCs w:val="22"/>
        </w:rPr>
        <w:t>capacity-building</w:t>
      </w:r>
      <w:r w:rsidRPr="00FD4A53">
        <w:rPr>
          <w:rFonts w:ascii="Corbel" w:hAnsi="Corbel"/>
          <w:sz w:val="22"/>
          <w:szCs w:val="22"/>
        </w:rPr>
        <w:t xml:space="preserve"> service offerings</w:t>
      </w:r>
      <w:r w:rsidRPr="00FD4A53" w:rsidR="001E7122">
        <w:rPr>
          <w:rFonts w:ascii="Corbel" w:hAnsi="Corbel"/>
          <w:sz w:val="22"/>
          <w:szCs w:val="22"/>
        </w:rPr>
        <w:t xml:space="preserve"> (Goal </w:t>
      </w:r>
      <w:r w:rsidRPr="00FD4A53" w:rsidR="00772D13">
        <w:rPr>
          <w:rFonts w:ascii="Corbel" w:hAnsi="Corbel"/>
          <w:sz w:val="22"/>
          <w:szCs w:val="22"/>
        </w:rPr>
        <w:t>6</w:t>
      </w:r>
      <w:r w:rsidRPr="00FD4A53" w:rsidR="001E7122">
        <w:rPr>
          <w:rFonts w:ascii="Corbel" w:hAnsi="Corbel"/>
          <w:sz w:val="22"/>
          <w:szCs w:val="22"/>
        </w:rPr>
        <w:t>)</w:t>
      </w:r>
      <w:r w:rsidR="00651388">
        <w:rPr>
          <w:rFonts w:ascii="Corbel" w:hAnsi="Corbel"/>
          <w:sz w:val="22"/>
          <w:szCs w:val="22"/>
        </w:rPr>
        <w:t>.</w:t>
      </w:r>
      <w:r w:rsidRPr="00FD4A53">
        <w:rPr>
          <w:rFonts w:ascii="Corbel" w:hAnsi="Corbel"/>
          <w:sz w:val="22"/>
          <w:szCs w:val="22"/>
        </w:rPr>
        <w:t xml:space="preserve"> Although a variety of analyses will be conducted, the primary dependent variables for survey analysis include</w:t>
      </w:r>
      <w:r w:rsidRPr="00FD4A53">
        <w:rPr>
          <w:sz w:val="22"/>
          <w:szCs w:val="22"/>
        </w:rPr>
        <w:t xml:space="preserve"> </w:t>
      </w:r>
      <w:r w:rsidRPr="00FD4A53">
        <w:rPr>
          <w:rFonts w:ascii="Corbel" w:hAnsi="Corbel"/>
          <w:sz w:val="22"/>
          <w:szCs w:val="22"/>
        </w:rPr>
        <w:t>museum region, income, museum type, and place types (e.g.</w:t>
      </w:r>
      <w:r w:rsidR="0038022E">
        <w:rPr>
          <w:rFonts w:ascii="Corbel" w:hAnsi="Corbel"/>
          <w:sz w:val="22"/>
          <w:szCs w:val="22"/>
        </w:rPr>
        <w:t>,</w:t>
      </w:r>
      <w:r w:rsidRPr="00FD4A53">
        <w:rPr>
          <w:rFonts w:ascii="Corbel" w:hAnsi="Corbel"/>
          <w:sz w:val="22"/>
          <w:szCs w:val="22"/>
        </w:rPr>
        <w:t xml:space="preserve"> rural, suburban, </w:t>
      </w:r>
      <w:r w:rsidRPr="00FD4A53" w:rsidR="00C24221">
        <w:rPr>
          <w:rFonts w:ascii="Corbel" w:hAnsi="Corbel"/>
          <w:sz w:val="22"/>
          <w:szCs w:val="22"/>
        </w:rPr>
        <w:t>city</w:t>
      </w:r>
      <w:r w:rsidRPr="00FD4A53">
        <w:rPr>
          <w:rFonts w:ascii="Corbel" w:hAnsi="Corbel"/>
          <w:sz w:val="22"/>
          <w:szCs w:val="22"/>
        </w:rPr>
        <w:t>). (See Appendix B for survey instrument, and Part B for full survey methodology</w:t>
      </w:r>
      <w:r w:rsidR="00405479">
        <w:rPr>
          <w:rFonts w:ascii="Corbel" w:hAnsi="Corbel"/>
          <w:sz w:val="22"/>
          <w:szCs w:val="22"/>
        </w:rPr>
        <w:t>.</w:t>
      </w:r>
      <w:r w:rsidRPr="00FD4A53">
        <w:rPr>
          <w:rFonts w:ascii="Corbel" w:hAnsi="Corbel"/>
          <w:sz w:val="22"/>
          <w:szCs w:val="22"/>
        </w:rPr>
        <w:t>)</w:t>
      </w:r>
    </w:p>
    <w:p w:rsidRPr="00EF4047" w:rsidR="00EF4047" w:rsidP="00D67F24" w:rsidRDefault="00EF4047" w14:paraId="579C667D" w14:textId="09D4943B">
      <w:pPr>
        <w:pStyle w:val="ListParagraph"/>
        <w:tabs>
          <w:tab w:val="clear" w:pos="1069"/>
          <w:tab w:val="left" w:pos="450"/>
        </w:tabs>
        <w:spacing w:before="240" w:after="60"/>
        <w:ind w:left="450"/>
        <w:contextualSpacing w:val="0"/>
      </w:pPr>
      <w:r w:rsidRPr="00EF4047">
        <w:rPr>
          <w:rFonts w:ascii="Corbel" w:hAnsi="Corbel"/>
          <w:sz w:val="22"/>
          <w:szCs w:val="22"/>
        </w:rPr>
        <w:t>The survey is mainly an “opinion survey” including a needs assessment, which also involves respondents’ subjective opinions about previous capacity-building strategies. The term “perceived” is used merely to underscore that the Likert scale responses provided by respondents represent a set of perceptions rather than objective reality. The perceptions, of course, have great value. The analyses will be framed in this way as well.</w:t>
      </w:r>
    </w:p>
    <w:p w:rsidRPr="00FD4A53" w:rsidR="03B1F2A3" w:rsidP="00D67F24" w:rsidRDefault="4AE1F536" w14:paraId="5EE49BB2" w14:textId="16FEEA9D">
      <w:pPr>
        <w:pStyle w:val="ListParagraph"/>
        <w:numPr>
          <w:ilvl w:val="2"/>
          <w:numId w:val="3"/>
        </w:numPr>
        <w:spacing w:before="240" w:after="60"/>
        <w:rPr>
          <w:b/>
          <w:bCs/>
          <w:sz w:val="22"/>
          <w:szCs w:val="22"/>
        </w:rPr>
      </w:pPr>
      <w:r w:rsidRPr="00FD4A53">
        <w:rPr>
          <w:rFonts w:ascii="Corbel" w:hAnsi="Corbel"/>
          <w:b/>
          <w:bCs/>
          <w:sz w:val="22"/>
          <w:szCs w:val="22"/>
        </w:rPr>
        <w:t>Interviews</w:t>
      </w:r>
      <w:r w:rsidR="006C31CE">
        <w:rPr>
          <w:rFonts w:ascii="Corbel" w:hAnsi="Corbel"/>
          <w:b/>
          <w:bCs/>
          <w:sz w:val="22"/>
          <w:szCs w:val="22"/>
        </w:rPr>
        <w:t xml:space="preserve">: </w:t>
      </w:r>
      <w:r w:rsidRPr="00FD4A53">
        <w:rPr>
          <w:rFonts w:ascii="Corbel" w:hAnsi="Corbel"/>
          <w:sz w:val="22"/>
          <w:szCs w:val="22"/>
        </w:rPr>
        <w:t xml:space="preserve">PPG will conduct </w:t>
      </w:r>
      <w:r w:rsidRPr="00FD4A53" w:rsidR="00A4799B">
        <w:rPr>
          <w:rFonts w:ascii="Corbel" w:hAnsi="Corbel"/>
          <w:sz w:val="22"/>
          <w:szCs w:val="22"/>
        </w:rPr>
        <w:t xml:space="preserve">up to 20 </w:t>
      </w:r>
      <w:r w:rsidRPr="00FD4A53">
        <w:rPr>
          <w:rFonts w:ascii="Corbel" w:hAnsi="Corbel"/>
          <w:sz w:val="22"/>
          <w:szCs w:val="22"/>
        </w:rPr>
        <w:t xml:space="preserve">individual interviews with </w:t>
      </w:r>
      <w:r w:rsidRPr="00FD4A53" w:rsidR="00A4799B">
        <w:rPr>
          <w:rFonts w:ascii="Corbel" w:hAnsi="Corbel"/>
          <w:sz w:val="22"/>
          <w:szCs w:val="22"/>
        </w:rPr>
        <w:t xml:space="preserve">individuals at </w:t>
      </w:r>
      <w:r w:rsidRPr="00FD4A53">
        <w:rPr>
          <w:rFonts w:ascii="Corbel" w:hAnsi="Corbel"/>
          <w:sz w:val="22"/>
          <w:szCs w:val="22"/>
        </w:rPr>
        <w:t xml:space="preserve">foundations and other funders providing financial support and/or services to </w:t>
      </w:r>
      <w:r w:rsidRPr="00FD4A53" w:rsidR="00EA53D3">
        <w:rPr>
          <w:rFonts w:ascii="Corbel" w:hAnsi="Corbel"/>
          <w:sz w:val="22"/>
          <w:szCs w:val="22"/>
        </w:rPr>
        <w:t xml:space="preserve">non-profit organizations </w:t>
      </w:r>
      <w:r w:rsidRPr="00FD4A53">
        <w:rPr>
          <w:rFonts w:ascii="Corbel" w:hAnsi="Corbel"/>
          <w:sz w:val="22"/>
          <w:szCs w:val="22"/>
        </w:rPr>
        <w:t xml:space="preserve">for capacity building to review survey findings. These interviews will target individuals most knowledgeable about </w:t>
      </w:r>
      <w:r w:rsidRPr="00FD4A53" w:rsidR="009C1D63">
        <w:rPr>
          <w:rFonts w:ascii="Corbel" w:hAnsi="Corbel"/>
          <w:sz w:val="22"/>
          <w:szCs w:val="22"/>
        </w:rPr>
        <w:t>capacity building</w:t>
      </w:r>
      <w:r w:rsidRPr="00FD4A53">
        <w:rPr>
          <w:rFonts w:ascii="Corbel" w:hAnsi="Corbel"/>
          <w:sz w:val="22"/>
          <w:szCs w:val="22"/>
        </w:rPr>
        <w:t xml:space="preserve"> and will include a diversity of funder and provider types (</w:t>
      </w:r>
      <w:r w:rsidR="007358BD">
        <w:rPr>
          <w:rFonts w:ascii="Corbel" w:hAnsi="Corbel"/>
          <w:sz w:val="22"/>
          <w:szCs w:val="22"/>
        </w:rPr>
        <w:t xml:space="preserve">e.g., </w:t>
      </w:r>
      <w:r w:rsidRPr="00FD4A53">
        <w:rPr>
          <w:rFonts w:ascii="Corbel" w:hAnsi="Corbel"/>
          <w:sz w:val="22"/>
          <w:szCs w:val="22"/>
        </w:rPr>
        <w:t>funders at the fore of providing cohort-based and individual organization capacity-building initiative support, independent consultants and firms, both art and culture-specific specialists and those serving the entire nonprofit sector</w:t>
      </w:r>
      <w:r w:rsidRPr="00FD4A53" w:rsidR="001E7122">
        <w:rPr>
          <w:rFonts w:ascii="Corbel" w:hAnsi="Corbel"/>
          <w:sz w:val="22"/>
          <w:szCs w:val="22"/>
        </w:rPr>
        <w:t xml:space="preserve">, </w:t>
      </w:r>
      <w:r w:rsidRPr="00FD4A53" w:rsidR="00CD7AF5">
        <w:rPr>
          <w:rFonts w:ascii="Corbel" w:hAnsi="Corbel"/>
          <w:sz w:val="22"/>
          <w:szCs w:val="22"/>
        </w:rPr>
        <w:t xml:space="preserve">and </w:t>
      </w:r>
      <w:r w:rsidRPr="00FD4A53" w:rsidR="00800DAF">
        <w:rPr>
          <w:rFonts w:ascii="Corbel" w:hAnsi="Corbel"/>
          <w:sz w:val="22"/>
          <w:szCs w:val="22"/>
        </w:rPr>
        <w:t xml:space="preserve">a number of </w:t>
      </w:r>
      <w:r w:rsidRPr="00FD4A53" w:rsidR="000F1CB4">
        <w:rPr>
          <w:rFonts w:ascii="Corbel" w:hAnsi="Corbel"/>
          <w:sz w:val="22"/>
          <w:szCs w:val="22"/>
        </w:rPr>
        <w:t xml:space="preserve">museum practitioners familiar with </w:t>
      </w:r>
      <w:r w:rsidR="00223F1C">
        <w:rPr>
          <w:rFonts w:ascii="Corbel" w:hAnsi="Corbel"/>
          <w:sz w:val="22"/>
          <w:szCs w:val="22"/>
        </w:rPr>
        <w:t>capacity-building</w:t>
      </w:r>
      <w:r w:rsidRPr="00FD4A53" w:rsidR="00824B9D">
        <w:rPr>
          <w:rFonts w:ascii="Corbel" w:hAnsi="Corbel"/>
          <w:sz w:val="22"/>
          <w:szCs w:val="22"/>
        </w:rPr>
        <w:t xml:space="preserve"> </w:t>
      </w:r>
      <w:r w:rsidRPr="00FD4A53" w:rsidR="000F1CB4">
        <w:rPr>
          <w:rFonts w:ascii="Corbel" w:hAnsi="Corbel"/>
          <w:sz w:val="22"/>
          <w:szCs w:val="22"/>
        </w:rPr>
        <w:t>programs</w:t>
      </w:r>
      <w:r w:rsidR="00486A92">
        <w:rPr>
          <w:rFonts w:ascii="Corbel" w:hAnsi="Corbel"/>
          <w:sz w:val="22"/>
          <w:szCs w:val="22"/>
        </w:rPr>
        <w:t>)</w:t>
      </w:r>
      <w:r w:rsidRPr="00FD4A53" w:rsidR="001E7122">
        <w:rPr>
          <w:rFonts w:ascii="Corbel" w:hAnsi="Corbel"/>
          <w:sz w:val="22"/>
          <w:szCs w:val="22"/>
        </w:rPr>
        <w:t xml:space="preserve"> </w:t>
      </w:r>
      <w:r w:rsidR="00486A92">
        <w:rPr>
          <w:rFonts w:ascii="Corbel" w:hAnsi="Corbel"/>
          <w:sz w:val="22"/>
          <w:szCs w:val="22"/>
        </w:rPr>
        <w:t>(</w:t>
      </w:r>
      <w:r w:rsidRPr="00FD4A53" w:rsidR="001E7122">
        <w:rPr>
          <w:rFonts w:ascii="Corbel" w:hAnsi="Corbel"/>
          <w:sz w:val="22"/>
          <w:szCs w:val="22"/>
        </w:rPr>
        <w:t>Goal 1</w:t>
      </w:r>
      <w:r w:rsidRPr="00FD4A53">
        <w:rPr>
          <w:rFonts w:ascii="Corbel" w:hAnsi="Corbel"/>
          <w:sz w:val="22"/>
          <w:szCs w:val="22"/>
        </w:rPr>
        <w:t xml:space="preserve">). Interviews will gather specific data on grantmaking strategies, capacity support offered, structures of engagement, and specific capacities addressed, as well as the process by which museums are invited to, or prevented from, participating in </w:t>
      </w:r>
      <w:r w:rsidR="00223F1C">
        <w:rPr>
          <w:rFonts w:ascii="Corbel" w:hAnsi="Corbel"/>
          <w:sz w:val="22"/>
          <w:szCs w:val="22"/>
        </w:rPr>
        <w:t>capacity-building</w:t>
      </w:r>
      <w:r w:rsidRPr="00FD4A53">
        <w:rPr>
          <w:rFonts w:ascii="Corbel" w:hAnsi="Corbel"/>
          <w:sz w:val="22"/>
          <w:szCs w:val="22"/>
        </w:rPr>
        <w:t xml:space="preserve"> offerings</w:t>
      </w:r>
      <w:r w:rsidRPr="00FD4A53" w:rsidR="001E7122">
        <w:rPr>
          <w:rFonts w:ascii="Corbel" w:hAnsi="Corbel"/>
          <w:sz w:val="22"/>
          <w:szCs w:val="22"/>
        </w:rPr>
        <w:t xml:space="preserve"> (Goals 1, 3, 4, 5 and 6)</w:t>
      </w:r>
      <w:r w:rsidRPr="00FD4A53">
        <w:rPr>
          <w:rFonts w:ascii="Corbel" w:hAnsi="Corbel"/>
          <w:sz w:val="22"/>
          <w:szCs w:val="22"/>
        </w:rPr>
        <w:t>. These interviews provide an opportunity to vet the findings from the survey and to obtain more detailed qualitative information from experts in the field to inform the virtual focus groups and final report. (See Appendix A for guiding questions</w:t>
      </w:r>
      <w:r w:rsidR="00F75D97">
        <w:rPr>
          <w:rFonts w:ascii="Corbel" w:hAnsi="Corbel"/>
          <w:sz w:val="22"/>
          <w:szCs w:val="22"/>
        </w:rPr>
        <w:t>.</w:t>
      </w:r>
      <w:r w:rsidRPr="00FD4A53">
        <w:rPr>
          <w:rFonts w:ascii="Corbel" w:hAnsi="Corbel"/>
          <w:sz w:val="22"/>
          <w:szCs w:val="22"/>
        </w:rPr>
        <w:t>)</w:t>
      </w:r>
    </w:p>
    <w:p w:rsidRPr="00FD4A53" w:rsidR="00B44739" w:rsidP="00D67F24" w:rsidRDefault="00B44739" w14:paraId="2864CDB5" w14:textId="054CDDA5">
      <w:pPr>
        <w:pStyle w:val="ListParagraph"/>
        <w:numPr>
          <w:ilvl w:val="0"/>
          <w:numId w:val="3"/>
        </w:numPr>
        <w:tabs>
          <w:tab w:val="clear" w:pos="1069"/>
          <w:tab w:val="left" w:pos="360"/>
        </w:tabs>
        <w:spacing w:before="240" w:after="60"/>
        <w:ind w:left="360"/>
        <w:contextualSpacing w:val="0"/>
        <w:rPr>
          <w:rFonts w:ascii="Corbel" w:hAnsi="Corbel"/>
          <w:sz w:val="22"/>
          <w:szCs w:val="22"/>
        </w:rPr>
      </w:pPr>
      <w:r w:rsidRPr="00FD4A53">
        <w:rPr>
          <w:rFonts w:ascii="Corbel" w:hAnsi="Corbel"/>
          <w:b/>
          <w:sz w:val="22"/>
          <w:szCs w:val="22"/>
        </w:rPr>
        <w:lastRenderedPageBreak/>
        <w:t xml:space="preserve">Virtual Focus Groups with Museum Leadership and Staff: </w:t>
      </w:r>
      <w:r w:rsidRPr="00FD4A53">
        <w:rPr>
          <w:rFonts w:ascii="Corbel" w:hAnsi="Corbel"/>
          <w:sz w:val="22"/>
          <w:szCs w:val="22"/>
        </w:rPr>
        <w:t xml:space="preserve">PPG will conduct </w:t>
      </w:r>
      <w:r w:rsidR="003B2EB4">
        <w:rPr>
          <w:rFonts w:ascii="Corbel" w:hAnsi="Corbel"/>
          <w:sz w:val="22"/>
          <w:szCs w:val="22"/>
        </w:rPr>
        <w:t>two</w:t>
      </w:r>
      <w:r w:rsidRPr="00FD4A53" w:rsidR="003B2EB4">
        <w:rPr>
          <w:rFonts w:ascii="Corbel" w:hAnsi="Corbel"/>
          <w:sz w:val="22"/>
          <w:szCs w:val="22"/>
        </w:rPr>
        <w:t xml:space="preserve"> </w:t>
      </w:r>
      <w:r w:rsidRPr="00FD4A53">
        <w:rPr>
          <w:rFonts w:ascii="Corbel" w:hAnsi="Corbel"/>
          <w:sz w:val="22"/>
          <w:szCs w:val="22"/>
        </w:rPr>
        <w:t xml:space="preserve">virtual focus groups with museum leadership and staff from a variety of museum budget sizes and types to vet the hypotheses and findings to date. </w:t>
      </w:r>
      <w:r w:rsidRPr="00FD4A53" w:rsidR="00C159B2">
        <w:rPr>
          <w:rFonts w:ascii="Corbel" w:hAnsi="Corbel"/>
          <w:sz w:val="22"/>
          <w:szCs w:val="22"/>
        </w:rPr>
        <w:t>While the individual interviews</w:t>
      </w:r>
      <w:r w:rsidR="00E44605">
        <w:rPr>
          <w:rFonts w:ascii="Corbel" w:hAnsi="Corbel"/>
          <w:sz w:val="22"/>
          <w:szCs w:val="22"/>
        </w:rPr>
        <w:t xml:space="preserve"> </w:t>
      </w:r>
      <w:r w:rsidRPr="00FD4A53" w:rsidR="00C159B2">
        <w:rPr>
          <w:rFonts w:ascii="Corbel" w:hAnsi="Corbel"/>
          <w:sz w:val="22"/>
          <w:szCs w:val="22"/>
        </w:rPr>
        <w:t xml:space="preserve">will </w:t>
      </w:r>
      <w:r w:rsidRPr="00FD4A53" w:rsidR="00743FEB">
        <w:rPr>
          <w:rFonts w:ascii="Corbel" w:hAnsi="Corbel"/>
          <w:sz w:val="22"/>
          <w:szCs w:val="22"/>
        </w:rPr>
        <w:t>primarily focus on</w:t>
      </w:r>
      <w:r w:rsidRPr="00FD4A53" w:rsidR="00C159B2">
        <w:rPr>
          <w:rFonts w:ascii="Corbel" w:hAnsi="Corbel"/>
          <w:sz w:val="22"/>
          <w:szCs w:val="22"/>
        </w:rPr>
        <w:t xml:space="preserve"> foundations and</w:t>
      </w:r>
      <w:r w:rsidRPr="00FD4A53" w:rsidR="00831A4B">
        <w:rPr>
          <w:rFonts w:ascii="Corbel" w:hAnsi="Corbel"/>
          <w:sz w:val="22"/>
          <w:szCs w:val="22"/>
        </w:rPr>
        <w:t xml:space="preserve"> other</w:t>
      </w:r>
      <w:r w:rsidRPr="00FD4A53" w:rsidR="00C159B2">
        <w:rPr>
          <w:rFonts w:ascii="Corbel" w:hAnsi="Corbel"/>
          <w:sz w:val="22"/>
          <w:szCs w:val="22"/>
        </w:rPr>
        <w:t xml:space="preserve"> funders, the focus groups provide an opportunity to learn from </w:t>
      </w:r>
      <w:r w:rsidRPr="00FD4A53" w:rsidR="00A4799B">
        <w:rPr>
          <w:rFonts w:ascii="Corbel" w:hAnsi="Corbel"/>
          <w:sz w:val="22"/>
          <w:szCs w:val="22"/>
        </w:rPr>
        <w:t xml:space="preserve">museum staff members as a separate stakeholder group within the museum landscape. </w:t>
      </w:r>
      <w:r w:rsidRPr="00FD4A53">
        <w:rPr>
          <w:rFonts w:ascii="Corbel" w:hAnsi="Corbel"/>
          <w:sz w:val="22"/>
          <w:szCs w:val="22"/>
        </w:rPr>
        <w:t xml:space="preserve">Each focus group </w:t>
      </w:r>
      <w:r w:rsidR="003B2EB4">
        <w:rPr>
          <w:rFonts w:ascii="Corbel" w:hAnsi="Corbel"/>
          <w:sz w:val="22"/>
          <w:szCs w:val="22"/>
        </w:rPr>
        <w:t xml:space="preserve">session </w:t>
      </w:r>
      <w:r w:rsidRPr="00FD4A53">
        <w:rPr>
          <w:rFonts w:ascii="Corbel" w:hAnsi="Corbel"/>
          <w:sz w:val="22"/>
          <w:szCs w:val="22"/>
        </w:rPr>
        <w:t xml:space="preserve">will be 90 minutes in length and will consist of </w:t>
      </w:r>
      <w:r w:rsidRPr="00FD4A53" w:rsidR="002B3147">
        <w:rPr>
          <w:rFonts w:ascii="Corbel" w:hAnsi="Corbel"/>
          <w:sz w:val="22"/>
          <w:szCs w:val="22"/>
        </w:rPr>
        <w:t>at most</w:t>
      </w:r>
      <w:r w:rsidRPr="00FD4A53">
        <w:rPr>
          <w:rFonts w:ascii="Corbel" w:hAnsi="Corbel"/>
          <w:sz w:val="22"/>
          <w:szCs w:val="22"/>
        </w:rPr>
        <w:t xml:space="preserve"> 10 individuals. </w:t>
      </w:r>
      <w:r w:rsidRPr="00FD4A53" w:rsidR="00BA27E2">
        <w:rPr>
          <w:rFonts w:ascii="Corbel" w:hAnsi="Corbel"/>
          <w:sz w:val="22"/>
          <w:szCs w:val="22"/>
        </w:rPr>
        <w:t>Based on PPG’s</w:t>
      </w:r>
      <w:r w:rsidRPr="00FD4A53">
        <w:rPr>
          <w:rFonts w:ascii="Corbel" w:hAnsi="Corbel"/>
          <w:sz w:val="22"/>
          <w:szCs w:val="22"/>
        </w:rPr>
        <w:t xml:space="preserve"> extensive experience with qualitative research, two focus groups will provide sufficient data to vet findings</w:t>
      </w:r>
      <w:r w:rsidRPr="00FD4A53" w:rsidR="00A4799B">
        <w:rPr>
          <w:rFonts w:ascii="Corbel" w:hAnsi="Corbel"/>
          <w:sz w:val="22"/>
          <w:szCs w:val="22"/>
        </w:rPr>
        <w:t xml:space="preserve"> from the survey and to gather more detail about the </w:t>
      </w:r>
      <w:r w:rsidR="00223F1C">
        <w:rPr>
          <w:rFonts w:ascii="Corbel" w:hAnsi="Corbel"/>
          <w:sz w:val="22"/>
          <w:szCs w:val="22"/>
        </w:rPr>
        <w:t>capacity-building</w:t>
      </w:r>
      <w:r w:rsidRPr="00FD4A53" w:rsidR="00A4799B">
        <w:rPr>
          <w:rFonts w:ascii="Corbel" w:hAnsi="Corbel"/>
          <w:sz w:val="22"/>
          <w:szCs w:val="22"/>
        </w:rPr>
        <w:t xml:space="preserve"> challenges that museum staff</w:t>
      </w:r>
      <w:r w:rsidRPr="00630A60" w:rsidR="00630A60">
        <w:rPr>
          <w:rFonts w:ascii="Corbel" w:hAnsi="Corbel"/>
          <w:sz w:val="22"/>
          <w:szCs w:val="22"/>
        </w:rPr>
        <w:t xml:space="preserve"> </w:t>
      </w:r>
      <w:r w:rsidRPr="00FD4A53" w:rsidR="00630A60">
        <w:rPr>
          <w:rFonts w:ascii="Corbel" w:hAnsi="Corbel"/>
          <w:sz w:val="22"/>
          <w:szCs w:val="22"/>
        </w:rPr>
        <w:t>face</w:t>
      </w:r>
      <w:r w:rsidRPr="00FD4A53" w:rsidR="00A4799B">
        <w:rPr>
          <w:rFonts w:ascii="Corbel" w:hAnsi="Corbel"/>
          <w:sz w:val="22"/>
          <w:szCs w:val="22"/>
        </w:rPr>
        <w:t>, especially those from small and medium-sized museums</w:t>
      </w:r>
      <w:r w:rsidRPr="00FD4A53">
        <w:rPr>
          <w:rFonts w:ascii="Corbel" w:hAnsi="Corbel"/>
          <w:sz w:val="22"/>
          <w:szCs w:val="22"/>
        </w:rPr>
        <w:t xml:space="preserve">. Guiding questions for focus groups will be informed by the findings developed from prior data analysis but will aim to understand museum leadership and staff perspectives on how, if at all, </w:t>
      </w:r>
      <w:r w:rsidR="004B7EF3">
        <w:rPr>
          <w:rFonts w:ascii="Corbel" w:hAnsi="Corbel"/>
          <w:sz w:val="22"/>
          <w:szCs w:val="22"/>
        </w:rPr>
        <w:t>the</w:t>
      </w:r>
      <w:r w:rsidRPr="00FD4A53" w:rsidR="004B7EF3">
        <w:rPr>
          <w:rFonts w:ascii="Corbel" w:hAnsi="Corbel"/>
          <w:sz w:val="22"/>
          <w:szCs w:val="22"/>
        </w:rPr>
        <w:t xml:space="preserve"> </w:t>
      </w:r>
      <w:r w:rsidRPr="00FD4A53">
        <w:rPr>
          <w:rFonts w:ascii="Corbel" w:hAnsi="Corbel"/>
          <w:sz w:val="22"/>
          <w:szCs w:val="22"/>
        </w:rPr>
        <w:t xml:space="preserve">findings resonate with their experiences, and ways in which the </w:t>
      </w:r>
      <w:r w:rsidRPr="00FD4A53" w:rsidR="00A4799B">
        <w:rPr>
          <w:rFonts w:ascii="Corbel" w:hAnsi="Corbel"/>
          <w:sz w:val="22"/>
          <w:szCs w:val="22"/>
        </w:rPr>
        <w:t>f</w:t>
      </w:r>
      <w:r w:rsidRPr="00FD4A53">
        <w:rPr>
          <w:rFonts w:ascii="Corbel" w:hAnsi="Corbel"/>
          <w:sz w:val="22"/>
          <w:szCs w:val="22"/>
        </w:rPr>
        <w:t>indings might be amended</w:t>
      </w:r>
      <w:r w:rsidRPr="00FD4A53" w:rsidR="001E7122">
        <w:rPr>
          <w:rFonts w:ascii="Corbel" w:hAnsi="Corbel"/>
          <w:sz w:val="22"/>
          <w:szCs w:val="22"/>
        </w:rPr>
        <w:t xml:space="preserve"> to gain a more nuanced understanding of participants’ experiences with capacity building (Goals 4, 5, and 6)</w:t>
      </w:r>
      <w:r w:rsidRPr="00FD4A53">
        <w:rPr>
          <w:rFonts w:ascii="Corbel" w:hAnsi="Corbel"/>
          <w:sz w:val="22"/>
          <w:szCs w:val="22"/>
        </w:rPr>
        <w:t>.</w:t>
      </w:r>
    </w:p>
    <w:p w:rsidR="009A2FF9" w:rsidP="00D67F24" w:rsidRDefault="009A2FF9" w14:paraId="07AFAC38" w14:textId="0B7F34EA">
      <w:pPr>
        <w:rPr>
          <w:rFonts w:ascii="Corbel" w:hAnsi="Corbel"/>
          <w:sz w:val="22"/>
          <w:szCs w:val="22"/>
        </w:rPr>
      </w:pPr>
    </w:p>
    <w:p w:rsidRPr="003F117E" w:rsidR="003F117E" w:rsidP="00EB7A91" w:rsidRDefault="003F117E" w14:paraId="0BA42F46" w14:textId="51A4DBEF">
      <w:pPr>
        <w:spacing w:line="240" w:lineRule="auto"/>
        <w:contextualSpacing/>
        <w:rPr>
          <w:rFonts w:ascii="Corbel" w:hAnsi="Corbel"/>
          <w:sz w:val="22"/>
          <w:szCs w:val="22"/>
        </w:rPr>
      </w:pPr>
      <w:r>
        <w:rPr>
          <w:rFonts w:ascii="Corbel" w:hAnsi="Corbel"/>
          <w:sz w:val="22"/>
          <w:szCs w:val="22"/>
        </w:rPr>
        <w:t>IMLS has proposed</w:t>
      </w:r>
      <w:r w:rsidRPr="003F117E">
        <w:rPr>
          <w:rFonts w:ascii="Corbel" w:hAnsi="Corbel"/>
          <w:sz w:val="22"/>
          <w:szCs w:val="22"/>
        </w:rPr>
        <w:t xml:space="preserve"> a combined approach with the broad survey and in-depth interviews and focus groups to gather as many perspectives on the range of approaches to capacity building as possible. Since the museum sector is very heterogenous with organizations representing different disciplines such as art, history, science, </w:t>
      </w:r>
      <w:r w:rsidR="007B508A">
        <w:rPr>
          <w:rFonts w:ascii="Corbel" w:hAnsi="Corbel"/>
          <w:sz w:val="22"/>
          <w:szCs w:val="22"/>
        </w:rPr>
        <w:t xml:space="preserve">as well as </w:t>
      </w:r>
      <w:r w:rsidRPr="003F117E">
        <w:rPr>
          <w:rFonts w:ascii="Corbel" w:hAnsi="Corbel"/>
          <w:sz w:val="22"/>
          <w:szCs w:val="22"/>
        </w:rPr>
        <w:t xml:space="preserve">children’s museums, zoos, nature centers, </w:t>
      </w:r>
      <w:r w:rsidR="00BA5BD5">
        <w:rPr>
          <w:rFonts w:ascii="Corbel" w:hAnsi="Corbel"/>
          <w:sz w:val="22"/>
          <w:szCs w:val="22"/>
        </w:rPr>
        <w:t xml:space="preserve">botanic </w:t>
      </w:r>
      <w:r w:rsidRPr="003F117E">
        <w:rPr>
          <w:rFonts w:ascii="Corbel" w:hAnsi="Corbel"/>
          <w:sz w:val="22"/>
          <w:szCs w:val="22"/>
        </w:rPr>
        <w:t>gardens, and historic house museums, all of different sizes, the broad survey would offer IMLS an opportunity to gather the feedback from many vs. reaching out only to a much smaller universe.</w:t>
      </w:r>
    </w:p>
    <w:p w:rsidRPr="003F117E" w:rsidR="003F117E" w:rsidP="00DC356C" w:rsidRDefault="003F117E" w14:paraId="34B651C5" w14:textId="77777777">
      <w:pPr>
        <w:spacing w:line="240" w:lineRule="auto"/>
        <w:ind w:left="360"/>
        <w:contextualSpacing/>
        <w:rPr>
          <w:rFonts w:ascii="Corbel" w:hAnsi="Corbel"/>
          <w:sz w:val="22"/>
          <w:szCs w:val="22"/>
        </w:rPr>
      </w:pPr>
    </w:p>
    <w:p w:rsidRPr="003F117E" w:rsidR="003F117E" w:rsidP="00DD0304" w:rsidRDefault="003F117E" w14:paraId="516BB507" w14:textId="4FFEA85F">
      <w:pPr>
        <w:spacing w:line="240" w:lineRule="auto"/>
        <w:contextualSpacing/>
        <w:rPr>
          <w:rFonts w:ascii="Corbel" w:hAnsi="Corbel"/>
          <w:sz w:val="22"/>
          <w:szCs w:val="22"/>
        </w:rPr>
      </w:pPr>
      <w:r>
        <w:rPr>
          <w:rFonts w:ascii="Corbel" w:hAnsi="Corbel"/>
          <w:sz w:val="22"/>
          <w:szCs w:val="22"/>
        </w:rPr>
        <w:t>As noted above, t</w:t>
      </w:r>
      <w:r w:rsidRPr="003F117E">
        <w:rPr>
          <w:rFonts w:ascii="Corbel" w:hAnsi="Corbel"/>
          <w:sz w:val="22"/>
          <w:szCs w:val="22"/>
        </w:rPr>
        <w:t xml:space="preserve">he survey will focus on a sample of 3,000 small- and medium-sized museums, for whom capacity building may be an important but less common activity or something that is compromised due to lack of funding or resources. </w:t>
      </w:r>
      <w:r>
        <w:rPr>
          <w:rFonts w:ascii="Corbel" w:hAnsi="Corbel"/>
          <w:sz w:val="22"/>
          <w:szCs w:val="22"/>
        </w:rPr>
        <w:t>IMLS and PPG</w:t>
      </w:r>
      <w:r w:rsidRPr="003F117E">
        <w:rPr>
          <w:rFonts w:ascii="Corbel" w:hAnsi="Corbel"/>
          <w:sz w:val="22"/>
          <w:szCs w:val="22"/>
        </w:rPr>
        <w:t xml:space="preserve"> feel that the survey is an important initial information collection to provide a focus for the subsequent interviews and focus groups. </w:t>
      </w:r>
    </w:p>
    <w:p w:rsidRPr="003F117E" w:rsidR="003F117E" w:rsidP="00597203" w:rsidRDefault="003F117E" w14:paraId="2C0CABCE" w14:textId="77777777">
      <w:pPr>
        <w:spacing w:line="240" w:lineRule="auto"/>
        <w:ind w:left="360"/>
        <w:contextualSpacing/>
        <w:rPr>
          <w:rFonts w:ascii="Corbel" w:hAnsi="Corbel"/>
          <w:sz w:val="22"/>
          <w:szCs w:val="22"/>
        </w:rPr>
      </w:pPr>
    </w:p>
    <w:p w:rsidRPr="003F117E" w:rsidR="003F117E" w:rsidP="00D67F24" w:rsidRDefault="003F117E" w14:paraId="7D27C4A4" w14:textId="77777777">
      <w:pPr>
        <w:spacing w:line="240" w:lineRule="auto"/>
        <w:contextualSpacing/>
        <w:rPr>
          <w:rFonts w:ascii="Corbel" w:hAnsi="Corbel"/>
          <w:sz w:val="22"/>
          <w:szCs w:val="22"/>
        </w:rPr>
      </w:pPr>
      <w:r w:rsidRPr="003F117E">
        <w:rPr>
          <w:rFonts w:ascii="Corbel" w:hAnsi="Corbel"/>
          <w:sz w:val="22"/>
          <w:szCs w:val="22"/>
        </w:rPr>
        <w:t xml:space="preserve">The focus groups permit a closer examination of the survey findings by representatives of the museum field, who will be able to see their results benchmarked to those of other non-profit sectors based on previous work by the cooperator, PPG. </w:t>
      </w:r>
    </w:p>
    <w:p w:rsidRPr="003F117E" w:rsidR="003F117E" w:rsidP="00D67F24" w:rsidRDefault="003F117E" w14:paraId="79AFBA5D" w14:textId="77777777">
      <w:pPr>
        <w:spacing w:line="240" w:lineRule="auto"/>
        <w:ind w:left="360"/>
        <w:contextualSpacing/>
        <w:rPr>
          <w:rFonts w:ascii="Corbel" w:hAnsi="Corbel"/>
          <w:sz w:val="22"/>
          <w:szCs w:val="22"/>
        </w:rPr>
      </w:pPr>
    </w:p>
    <w:p w:rsidRPr="003F117E" w:rsidR="003F117E" w:rsidP="00D67F24" w:rsidRDefault="003F117E" w14:paraId="658D8C7A" w14:textId="1E323CB5">
      <w:pPr>
        <w:spacing w:line="240" w:lineRule="auto"/>
        <w:contextualSpacing/>
        <w:rPr>
          <w:rFonts w:ascii="Corbel" w:hAnsi="Corbel"/>
          <w:sz w:val="22"/>
          <w:szCs w:val="22"/>
        </w:rPr>
      </w:pPr>
      <w:r w:rsidRPr="003F117E">
        <w:rPr>
          <w:rFonts w:ascii="Corbel" w:hAnsi="Corbel"/>
          <w:sz w:val="22"/>
          <w:szCs w:val="22"/>
        </w:rPr>
        <w:t xml:space="preserve">The interviews are a separate but related effort, engaging a different audience who can provide an additional point of view on the issue of museum capacity building, providing a “test bed” for the ideas that emerge from the survey findings and the focus groups. Individuals who represent foundations or who fund non-profit capacity-building efforts will be key participants in the interviews. They will be able to contextualize the survey findings within the larger context of non-profit capacity building. As such, these funders will be able to comment on the similarities as well as the unique aspects of the museum field </w:t>
      </w:r>
      <w:r w:rsidRPr="003F117E">
        <w:rPr>
          <w:rFonts w:ascii="Corbel" w:hAnsi="Corbel"/>
          <w:i/>
          <w:iCs/>
          <w:sz w:val="22"/>
          <w:szCs w:val="22"/>
        </w:rPr>
        <w:t xml:space="preserve">vis </w:t>
      </w:r>
      <w:r w:rsidRPr="000C2D75" w:rsidR="000C2D75">
        <w:rPr>
          <w:rFonts w:ascii="Corbel" w:hAnsi="Corbel"/>
          <w:i/>
          <w:iCs/>
          <w:sz w:val="22"/>
          <w:szCs w:val="22"/>
        </w:rPr>
        <w:t>à</w:t>
      </w:r>
      <w:r w:rsidRPr="003F117E">
        <w:rPr>
          <w:rFonts w:ascii="Corbel" w:hAnsi="Corbel"/>
          <w:i/>
          <w:iCs/>
          <w:sz w:val="22"/>
          <w:szCs w:val="22"/>
        </w:rPr>
        <w:t xml:space="preserve"> vis</w:t>
      </w:r>
      <w:r w:rsidRPr="003F117E">
        <w:rPr>
          <w:rFonts w:ascii="Corbel" w:hAnsi="Corbel"/>
          <w:sz w:val="22"/>
          <w:szCs w:val="22"/>
        </w:rPr>
        <w:t xml:space="preserve"> capacity building. In short, they will be able to see how capacity building in other non-profit sectors might be able to “translate” to the museum sector.</w:t>
      </w:r>
    </w:p>
    <w:p w:rsidRPr="003F117E" w:rsidR="003F117E" w:rsidP="00D67F24" w:rsidRDefault="003F117E" w14:paraId="0253068E" w14:textId="77777777">
      <w:pPr>
        <w:spacing w:line="240" w:lineRule="auto"/>
        <w:ind w:left="360"/>
        <w:contextualSpacing/>
        <w:rPr>
          <w:rFonts w:ascii="Corbel" w:hAnsi="Corbel"/>
          <w:sz w:val="22"/>
          <w:szCs w:val="22"/>
        </w:rPr>
      </w:pPr>
    </w:p>
    <w:p w:rsidRPr="003F117E" w:rsidR="003F117E" w:rsidP="00D67F24" w:rsidRDefault="003F117E" w14:paraId="462F2E15" w14:textId="77777777">
      <w:pPr>
        <w:spacing w:line="240" w:lineRule="auto"/>
        <w:contextualSpacing/>
        <w:rPr>
          <w:rFonts w:ascii="Corbel" w:hAnsi="Corbel"/>
          <w:sz w:val="22"/>
          <w:szCs w:val="22"/>
        </w:rPr>
      </w:pPr>
      <w:r w:rsidRPr="003F117E">
        <w:rPr>
          <w:rFonts w:ascii="Corbel" w:hAnsi="Corbel"/>
          <w:sz w:val="22"/>
          <w:szCs w:val="22"/>
        </w:rPr>
        <w:t>We feel this combined outreach juxtaposing perspectives from various stakeholders will create more credibility for the project findings and make them more relatable for the smaller institutions.</w:t>
      </w:r>
    </w:p>
    <w:p w:rsidR="00B413EB" w:rsidP="00D67F24" w:rsidRDefault="00B413EB" w14:paraId="4FD714DA" w14:textId="77777777">
      <w:pPr>
        <w:rPr>
          <w:rFonts w:ascii="Corbel" w:hAnsi="Corbel"/>
          <w:sz w:val="22"/>
          <w:szCs w:val="22"/>
        </w:rPr>
      </w:pPr>
    </w:p>
    <w:p w:rsidR="00A92F22" w:rsidP="00D67F24" w:rsidRDefault="60474868" w14:paraId="018B924F" w14:textId="5017106C">
      <w:pPr>
        <w:rPr>
          <w:rFonts w:ascii="Corbel" w:hAnsi="Corbel"/>
          <w:sz w:val="22"/>
          <w:szCs w:val="22"/>
        </w:rPr>
      </w:pPr>
      <w:r w:rsidRPr="60474868">
        <w:rPr>
          <w:rFonts w:ascii="Corbel" w:hAnsi="Corbel"/>
          <w:sz w:val="22"/>
          <w:szCs w:val="22"/>
        </w:rPr>
        <w:t xml:space="preserve">PPG’s final report </w:t>
      </w:r>
      <w:r w:rsidR="00364BD9">
        <w:rPr>
          <w:rFonts w:ascii="Corbel" w:hAnsi="Corbel"/>
          <w:sz w:val="22"/>
          <w:szCs w:val="22"/>
        </w:rPr>
        <w:t xml:space="preserve">will </w:t>
      </w:r>
      <w:r w:rsidRPr="60474868">
        <w:rPr>
          <w:rFonts w:ascii="Corbel" w:hAnsi="Corbel"/>
          <w:sz w:val="22"/>
          <w:szCs w:val="22"/>
        </w:rPr>
        <w:t>present</w:t>
      </w:r>
      <w:r w:rsidR="00364BD9">
        <w:rPr>
          <w:rFonts w:ascii="Corbel" w:hAnsi="Corbel"/>
          <w:sz w:val="22"/>
          <w:szCs w:val="22"/>
        </w:rPr>
        <w:t xml:space="preserve"> </w:t>
      </w:r>
      <w:r w:rsidRPr="60474868">
        <w:rPr>
          <w:rFonts w:ascii="Corbel" w:hAnsi="Corbel"/>
          <w:sz w:val="22"/>
          <w:szCs w:val="22"/>
        </w:rPr>
        <w:t xml:space="preserve">the </w:t>
      </w:r>
      <w:r w:rsidR="000B7B4D">
        <w:rPr>
          <w:rFonts w:ascii="Corbel" w:hAnsi="Corbel"/>
          <w:sz w:val="22"/>
          <w:szCs w:val="22"/>
        </w:rPr>
        <w:t>project</w:t>
      </w:r>
      <w:r w:rsidRPr="60474868">
        <w:rPr>
          <w:rFonts w:ascii="Corbel" w:hAnsi="Corbel"/>
          <w:sz w:val="22"/>
          <w:szCs w:val="22"/>
        </w:rPr>
        <w:t xml:space="preserve"> findings and PPG’s museum </w:t>
      </w:r>
      <w:r w:rsidR="00223F1C">
        <w:rPr>
          <w:rFonts w:ascii="Corbel" w:hAnsi="Corbel"/>
          <w:sz w:val="22"/>
          <w:szCs w:val="22"/>
        </w:rPr>
        <w:t>capacity-building</w:t>
      </w:r>
      <w:r w:rsidRPr="60474868">
        <w:rPr>
          <w:rFonts w:ascii="Corbel" w:hAnsi="Corbel"/>
          <w:sz w:val="22"/>
          <w:szCs w:val="22"/>
        </w:rPr>
        <w:t xml:space="preserve"> recommendations. </w:t>
      </w:r>
      <w:r w:rsidR="00084B05">
        <w:rPr>
          <w:rFonts w:ascii="Corbel" w:hAnsi="Corbel"/>
          <w:sz w:val="22"/>
          <w:szCs w:val="22"/>
        </w:rPr>
        <w:t>IMLS and PPG have engaged</w:t>
      </w:r>
      <w:r w:rsidRPr="60474868">
        <w:rPr>
          <w:rFonts w:ascii="Corbel" w:hAnsi="Corbel"/>
          <w:sz w:val="22"/>
          <w:szCs w:val="22"/>
        </w:rPr>
        <w:t xml:space="preserve"> with Subject Matter </w:t>
      </w:r>
      <w:r w:rsidRPr="60474868" w:rsidR="00137117">
        <w:rPr>
          <w:rFonts w:ascii="Corbel" w:hAnsi="Corbel"/>
          <w:sz w:val="22"/>
          <w:szCs w:val="22"/>
        </w:rPr>
        <w:t>Expert</w:t>
      </w:r>
      <w:r w:rsidR="00137117">
        <w:rPr>
          <w:rFonts w:ascii="Corbel" w:hAnsi="Corbel"/>
          <w:sz w:val="22"/>
          <w:szCs w:val="22"/>
        </w:rPr>
        <w:t xml:space="preserve"> </w:t>
      </w:r>
      <w:r w:rsidRPr="60474868">
        <w:rPr>
          <w:rFonts w:ascii="Corbel" w:hAnsi="Corbel"/>
          <w:sz w:val="22"/>
          <w:szCs w:val="22"/>
        </w:rPr>
        <w:t>(SME)</w:t>
      </w:r>
      <w:r w:rsidR="00137117">
        <w:rPr>
          <w:rFonts w:ascii="Corbel" w:hAnsi="Corbel"/>
          <w:sz w:val="22"/>
          <w:szCs w:val="22"/>
        </w:rPr>
        <w:t xml:space="preserve"> Committee</w:t>
      </w:r>
      <w:r w:rsidRPr="60474868">
        <w:rPr>
          <w:rFonts w:ascii="Corbel" w:hAnsi="Corbel"/>
          <w:sz w:val="22"/>
          <w:szCs w:val="22"/>
        </w:rPr>
        <w:t xml:space="preserve"> in </w:t>
      </w:r>
      <w:r w:rsidR="00084B05">
        <w:rPr>
          <w:rFonts w:ascii="Corbel" w:hAnsi="Corbel"/>
          <w:sz w:val="22"/>
          <w:szCs w:val="22"/>
        </w:rPr>
        <w:t>c</w:t>
      </w:r>
      <w:r w:rsidRPr="60474868">
        <w:rPr>
          <w:rFonts w:ascii="Corbel" w:hAnsi="Corbel"/>
          <w:sz w:val="22"/>
          <w:szCs w:val="22"/>
        </w:rPr>
        <w:t xml:space="preserve">apacity </w:t>
      </w:r>
      <w:r w:rsidR="006E2061">
        <w:rPr>
          <w:rFonts w:ascii="Corbel" w:hAnsi="Corbel"/>
          <w:sz w:val="22"/>
          <w:szCs w:val="22"/>
        </w:rPr>
        <w:t>b</w:t>
      </w:r>
      <w:r w:rsidRPr="60474868">
        <w:rPr>
          <w:rFonts w:ascii="Corbel" w:hAnsi="Corbel"/>
          <w:sz w:val="22"/>
          <w:szCs w:val="22"/>
        </w:rPr>
        <w:t xml:space="preserve">uilding </w:t>
      </w:r>
      <w:r w:rsidR="006E2061">
        <w:rPr>
          <w:rFonts w:ascii="Corbel" w:hAnsi="Corbel"/>
          <w:sz w:val="22"/>
          <w:szCs w:val="22"/>
        </w:rPr>
        <w:t>and</w:t>
      </w:r>
      <w:r w:rsidRPr="60474868">
        <w:rPr>
          <w:rFonts w:ascii="Corbel" w:hAnsi="Corbel"/>
          <w:sz w:val="22"/>
          <w:szCs w:val="22"/>
        </w:rPr>
        <w:t xml:space="preserve"> a Steering Committee </w:t>
      </w:r>
      <w:r w:rsidR="007410D5">
        <w:rPr>
          <w:rFonts w:ascii="Corbel" w:hAnsi="Corbel"/>
          <w:sz w:val="22"/>
          <w:szCs w:val="22"/>
        </w:rPr>
        <w:t>representing</w:t>
      </w:r>
      <w:r w:rsidRPr="60474868">
        <w:rPr>
          <w:rFonts w:ascii="Corbel" w:hAnsi="Corbel"/>
          <w:sz w:val="22"/>
          <w:szCs w:val="22"/>
        </w:rPr>
        <w:t xml:space="preserve"> museum sector leadership (museums, </w:t>
      </w:r>
      <w:r w:rsidRPr="60474868">
        <w:rPr>
          <w:rFonts w:ascii="Corbel" w:hAnsi="Corbel"/>
          <w:sz w:val="22"/>
          <w:szCs w:val="22"/>
        </w:rPr>
        <w:lastRenderedPageBreak/>
        <w:t>associations, etc.) to ensure the data collection and final product take into account best practices and current trends in effective capacity building and the professional perspective and expertise of key stakeholders. PPG will meet with the Steering Committee and SME Committee to: 1) review all data analysis findings prior to developing the recommendations report, and 2) discuss the first report draft to ensure PPG’s recommendations have been field-tested prior to finalization. (See Section A.8.2. for more information, such as Steering Committee affiliations</w:t>
      </w:r>
      <w:r w:rsidR="00077170">
        <w:rPr>
          <w:rFonts w:ascii="Corbel" w:hAnsi="Corbel"/>
          <w:sz w:val="22"/>
          <w:szCs w:val="22"/>
        </w:rPr>
        <w:t>.</w:t>
      </w:r>
      <w:r w:rsidRPr="60474868">
        <w:rPr>
          <w:rFonts w:ascii="Corbel" w:hAnsi="Corbel"/>
          <w:sz w:val="22"/>
          <w:szCs w:val="22"/>
        </w:rPr>
        <w:t>)</w:t>
      </w:r>
    </w:p>
    <w:p w:rsidRPr="00A171AF" w:rsidR="00C159B2" w:rsidP="00D67F24" w:rsidRDefault="00C159B2" w14:paraId="4AABE1E0" w14:textId="77777777">
      <w:pPr>
        <w:rPr>
          <w:rFonts w:ascii="Corbel" w:hAnsi="Corbel"/>
          <w:sz w:val="22"/>
          <w:szCs w:val="22"/>
        </w:rPr>
      </w:pPr>
    </w:p>
    <w:p w:rsidRPr="00A171AF" w:rsidR="00260238" w:rsidP="00D67F24" w:rsidRDefault="0000377D" w14:paraId="63481CD7" w14:textId="6C11C28D">
      <w:pPr>
        <w:rPr>
          <w:rFonts w:ascii="Corbel" w:hAnsi="Corbel"/>
          <w:sz w:val="22"/>
          <w:szCs w:val="22"/>
        </w:rPr>
      </w:pPr>
      <w:r w:rsidRPr="00A171AF">
        <w:rPr>
          <w:rFonts w:ascii="Corbel" w:hAnsi="Corbel"/>
          <w:sz w:val="22"/>
          <w:szCs w:val="22"/>
        </w:rPr>
        <w:t xml:space="preserve">The planned final report will include the following sections: executive summary; introduction; methodology; summary of findings; recommendations; and appendices. </w:t>
      </w:r>
      <w:r w:rsidR="006A6810">
        <w:rPr>
          <w:rFonts w:ascii="Corbel" w:hAnsi="Corbel"/>
          <w:sz w:val="22"/>
          <w:szCs w:val="22"/>
        </w:rPr>
        <w:t>Analyses of the s</w:t>
      </w:r>
      <w:r w:rsidRPr="00A171AF">
        <w:rPr>
          <w:rFonts w:ascii="Corbel" w:hAnsi="Corbel"/>
          <w:sz w:val="22"/>
          <w:szCs w:val="22"/>
        </w:rPr>
        <w:t xml:space="preserve">urvey data will be included in the appendices of the written report. </w:t>
      </w:r>
      <w:r w:rsidRPr="00A171AF" w:rsidR="006A6810">
        <w:rPr>
          <w:rFonts w:ascii="Corbel" w:hAnsi="Corbel"/>
          <w:sz w:val="22"/>
          <w:szCs w:val="22"/>
        </w:rPr>
        <w:t>Th</w:t>
      </w:r>
      <w:r w:rsidR="006A6810">
        <w:rPr>
          <w:rFonts w:ascii="Corbel" w:hAnsi="Corbel"/>
          <w:sz w:val="22"/>
          <w:szCs w:val="22"/>
        </w:rPr>
        <w:t>ese findings</w:t>
      </w:r>
      <w:r w:rsidRPr="00A171AF">
        <w:rPr>
          <w:rFonts w:ascii="Corbel" w:hAnsi="Corbel"/>
          <w:sz w:val="22"/>
          <w:szCs w:val="22"/>
        </w:rPr>
        <w:t xml:space="preserve"> may be shared and available for future use through a combination of conference presentations, briefing papers and publications, blogs, webinars, website postings, and firm newsletters. The museum field, IMLS, and</w:t>
      </w:r>
      <w:r w:rsidR="002D4815">
        <w:rPr>
          <w:rFonts w:ascii="Corbel" w:hAnsi="Corbel"/>
          <w:sz w:val="22"/>
          <w:szCs w:val="22"/>
        </w:rPr>
        <w:t xml:space="preserve"> other</w:t>
      </w:r>
      <w:r w:rsidRPr="00A171AF">
        <w:rPr>
          <w:rFonts w:ascii="Corbel" w:hAnsi="Corbel"/>
          <w:sz w:val="22"/>
          <w:szCs w:val="22"/>
        </w:rPr>
        <w:t xml:space="preserve"> funders may draw from this project to inform future </w:t>
      </w:r>
      <w:r w:rsidR="00223F1C">
        <w:rPr>
          <w:rFonts w:ascii="Corbel" w:hAnsi="Corbel"/>
          <w:sz w:val="22"/>
          <w:szCs w:val="22"/>
        </w:rPr>
        <w:t>capacity-building</w:t>
      </w:r>
      <w:r w:rsidRPr="00A171AF">
        <w:rPr>
          <w:rFonts w:ascii="Corbel" w:hAnsi="Corbel"/>
          <w:sz w:val="22"/>
          <w:szCs w:val="22"/>
        </w:rPr>
        <w:t xml:space="preserve"> offerings that will, in turn, improve museum practices and increase organizational capacity.</w:t>
      </w:r>
    </w:p>
    <w:p w:rsidRPr="00A171AF" w:rsidR="00A92F22" w:rsidP="00D67F24" w:rsidRDefault="00A92F22" w14:paraId="06704A13" w14:textId="77777777">
      <w:pPr>
        <w:rPr>
          <w:rFonts w:ascii="Corbel" w:hAnsi="Corbel"/>
          <w:sz w:val="22"/>
          <w:szCs w:val="22"/>
        </w:rPr>
      </w:pPr>
    </w:p>
    <w:p w:rsidRPr="00A171AF" w:rsidR="00BD07E2" w:rsidP="00D67F24" w:rsidRDefault="00A92F22" w14:paraId="00477EBF" w14:textId="39A8EC63">
      <w:pPr>
        <w:rPr>
          <w:rFonts w:ascii="Corbel" w:hAnsi="Corbel"/>
          <w:sz w:val="22"/>
          <w:szCs w:val="22"/>
        </w:rPr>
      </w:pPr>
      <w:r w:rsidRPr="00A171AF">
        <w:rPr>
          <w:rFonts w:ascii="Corbel" w:hAnsi="Corbel"/>
          <w:sz w:val="22"/>
          <w:szCs w:val="22"/>
        </w:rPr>
        <w:t xml:space="preserve">Implementation of this project’s recommendations will position IMLS and </w:t>
      </w:r>
      <w:r w:rsidR="006F7638">
        <w:rPr>
          <w:rFonts w:ascii="Corbel" w:hAnsi="Corbel"/>
          <w:sz w:val="22"/>
          <w:szCs w:val="22"/>
        </w:rPr>
        <w:t>its</w:t>
      </w:r>
      <w:r w:rsidRPr="00A171AF" w:rsidR="006F7638">
        <w:rPr>
          <w:rFonts w:ascii="Corbel" w:hAnsi="Corbel"/>
          <w:sz w:val="22"/>
          <w:szCs w:val="22"/>
        </w:rPr>
        <w:t xml:space="preserve"> </w:t>
      </w:r>
      <w:r w:rsidRPr="00A171AF">
        <w:rPr>
          <w:rFonts w:ascii="Corbel" w:hAnsi="Corbel"/>
          <w:sz w:val="22"/>
          <w:szCs w:val="22"/>
        </w:rPr>
        <w:t>stakeholders</w:t>
      </w:r>
      <w:r w:rsidR="006F7638">
        <w:rPr>
          <w:rFonts w:ascii="Corbel" w:hAnsi="Corbel"/>
          <w:sz w:val="22"/>
          <w:szCs w:val="22"/>
        </w:rPr>
        <w:t xml:space="preserve"> and </w:t>
      </w:r>
      <w:r w:rsidRPr="00A171AF">
        <w:rPr>
          <w:rFonts w:ascii="Corbel" w:hAnsi="Corbel"/>
          <w:sz w:val="22"/>
          <w:szCs w:val="22"/>
        </w:rPr>
        <w:t xml:space="preserve">cooperators to strengthen practices across two current signature programs, </w:t>
      </w:r>
      <w:r w:rsidRPr="00A171AF" w:rsidR="00E54AEB">
        <w:rPr>
          <w:rFonts w:ascii="Corbel" w:hAnsi="Corbel"/>
          <w:sz w:val="22"/>
          <w:szCs w:val="22"/>
        </w:rPr>
        <w:t>MAP and CAP</w:t>
      </w:r>
      <w:r w:rsidRPr="00A171AF" w:rsidR="002C5F65">
        <w:rPr>
          <w:rFonts w:ascii="Corbel" w:hAnsi="Corbel"/>
          <w:sz w:val="22"/>
          <w:szCs w:val="22"/>
        </w:rPr>
        <w:t>,</w:t>
      </w:r>
      <w:r w:rsidRPr="00A171AF">
        <w:rPr>
          <w:rFonts w:ascii="Corbel" w:hAnsi="Corbel"/>
          <w:sz w:val="22"/>
          <w:szCs w:val="22"/>
        </w:rPr>
        <w:t xml:space="preserve"> which can result in increasing their penetration, perceived value and distinctiveness, accessibility to diverse organizations, new outreach strategies, program administration optimization techniques and assess</w:t>
      </w:r>
      <w:r w:rsidRPr="00A171AF" w:rsidR="002C5F65">
        <w:rPr>
          <w:rFonts w:ascii="Corbel" w:hAnsi="Corbel"/>
          <w:sz w:val="22"/>
          <w:szCs w:val="22"/>
        </w:rPr>
        <w:t xml:space="preserve">ment techniques </w:t>
      </w:r>
      <w:r w:rsidRPr="00A171AF">
        <w:rPr>
          <w:rFonts w:ascii="Corbel" w:hAnsi="Corbel"/>
          <w:sz w:val="22"/>
          <w:szCs w:val="22"/>
        </w:rPr>
        <w:t>on museums and their communities. Funders</w:t>
      </w:r>
      <w:r w:rsidRPr="00A171AF" w:rsidR="00E867B9">
        <w:rPr>
          <w:rFonts w:ascii="Corbel" w:hAnsi="Corbel"/>
          <w:sz w:val="22"/>
          <w:szCs w:val="22"/>
        </w:rPr>
        <w:t>,</w:t>
      </w:r>
      <w:r w:rsidRPr="00A171AF">
        <w:rPr>
          <w:rFonts w:ascii="Corbel" w:hAnsi="Corbel"/>
          <w:sz w:val="22"/>
          <w:szCs w:val="22"/>
        </w:rPr>
        <w:t xml:space="preserve"> including IMLS</w:t>
      </w:r>
      <w:r w:rsidRPr="00A171AF" w:rsidR="00E867B9">
        <w:rPr>
          <w:rFonts w:ascii="Corbel" w:hAnsi="Corbel"/>
          <w:sz w:val="22"/>
          <w:szCs w:val="22"/>
        </w:rPr>
        <w:t>,</w:t>
      </w:r>
      <w:r w:rsidRPr="00A171AF">
        <w:rPr>
          <w:rFonts w:ascii="Corbel" w:hAnsi="Corbel"/>
          <w:sz w:val="22"/>
          <w:szCs w:val="22"/>
        </w:rPr>
        <w:t xml:space="preserve"> may also draw from data generated by this project to inform future </w:t>
      </w:r>
      <w:r w:rsidR="00223F1C">
        <w:rPr>
          <w:rFonts w:ascii="Corbel" w:hAnsi="Corbel"/>
          <w:sz w:val="22"/>
          <w:szCs w:val="22"/>
        </w:rPr>
        <w:t>capacity-building</w:t>
      </w:r>
      <w:r w:rsidRPr="00A171AF">
        <w:rPr>
          <w:rFonts w:ascii="Corbel" w:hAnsi="Corbel"/>
          <w:sz w:val="22"/>
          <w:szCs w:val="22"/>
        </w:rPr>
        <w:t xml:space="preserve"> offerings that will, in turn, improve museum practices and increase community impact. Project findings related to the gaps, unmet needs, and current landscape of the museum sector will be broadly useful to organizations involved directly in museum work, as well as other informal</w:t>
      </w:r>
      <w:r w:rsidRPr="00A171AF" w:rsidR="00E867B9">
        <w:rPr>
          <w:rFonts w:ascii="Corbel" w:hAnsi="Corbel"/>
          <w:sz w:val="22"/>
          <w:szCs w:val="22"/>
        </w:rPr>
        <w:t>-</w:t>
      </w:r>
      <w:r w:rsidRPr="00A171AF">
        <w:rPr>
          <w:rFonts w:ascii="Corbel" w:hAnsi="Corbel"/>
          <w:sz w:val="22"/>
          <w:szCs w:val="22"/>
        </w:rPr>
        <w:t>learning and public-serving organizations seeking to build their capacity.</w:t>
      </w:r>
    </w:p>
    <w:p w:rsidRPr="00A171AF" w:rsidR="00286AC0" w:rsidP="00EB7A91" w:rsidRDefault="00286AC0" w14:paraId="57B1E49F" w14:textId="4B229A74">
      <w:pPr>
        <w:rPr>
          <w:rFonts w:ascii="Corbel" w:hAnsi="Corbel"/>
          <w:noProof/>
          <w:sz w:val="22"/>
          <w:szCs w:val="22"/>
          <w:lang w:bidi="ar-SA"/>
        </w:rPr>
      </w:pPr>
    </w:p>
    <w:p w:rsidRPr="00B82642" w:rsidR="00D55958" w:rsidP="00DC356C" w:rsidRDefault="00DC18EA" w14:paraId="1ABDF441" w14:textId="39C92C8C">
      <w:pPr>
        <w:pStyle w:val="Heading2"/>
        <w:rPr>
          <w:rFonts w:ascii="Corbel" w:hAnsi="Corbel"/>
        </w:rPr>
      </w:pPr>
      <w:r w:rsidRPr="00B82642">
        <w:rPr>
          <w:rFonts w:ascii="Corbel" w:hAnsi="Corbel"/>
        </w:rPr>
        <w:t>A</w:t>
      </w:r>
      <w:r w:rsidRPr="00B82642" w:rsidR="00024EF4">
        <w:rPr>
          <w:rFonts w:ascii="Corbel" w:hAnsi="Corbel"/>
        </w:rPr>
        <w:t>.3.</w:t>
      </w:r>
      <w:r w:rsidRPr="00B82642" w:rsidR="00436365">
        <w:rPr>
          <w:rFonts w:ascii="Corbel" w:hAnsi="Corbel"/>
        </w:rPr>
        <w:tab/>
      </w:r>
      <w:r w:rsidRPr="00B82642" w:rsidR="00024EF4">
        <w:rPr>
          <w:rFonts w:ascii="Corbel" w:hAnsi="Corbel"/>
        </w:rPr>
        <w:t>Use of Improved Information Technology</w:t>
      </w:r>
      <w:r w:rsidRPr="00B82642" w:rsidR="00D55958">
        <w:rPr>
          <w:rFonts w:ascii="Corbel" w:hAnsi="Corbel"/>
        </w:rPr>
        <w:t xml:space="preserve"> </w:t>
      </w:r>
    </w:p>
    <w:p w:rsidRPr="00AF37DE" w:rsidR="00C6026C" w:rsidP="00DD0304" w:rsidRDefault="00C6026C" w14:paraId="045027AD" w14:textId="77777777">
      <w:pPr>
        <w:rPr>
          <w:rFonts w:ascii="Corbel" w:hAnsi="Corbel"/>
        </w:rPr>
      </w:pPr>
    </w:p>
    <w:p w:rsidRPr="00A171AF" w:rsidR="0095203E" w:rsidP="00597203" w:rsidRDefault="00D0431A" w14:paraId="2E43E7AA" w14:textId="20815328">
      <w:pPr>
        <w:rPr>
          <w:rFonts w:ascii="Corbel" w:hAnsi="Corbel"/>
          <w:sz w:val="22"/>
          <w:szCs w:val="22"/>
        </w:rPr>
      </w:pPr>
      <w:r w:rsidRPr="00A171AF">
        <w:rPr>
          <w:rFonts w:ascii="Corbel" w:hAnsi="Corbel"/>
          <w:sz w:val="22"/>
          <w:szCs w:val="22"/>
        </w:rPr>
        <w:t xml:space="preserve">The </w:t>
      </w:r>
      <w:r w:rsidRPr="00A171AF" w:rsidR="00392FC8">
        <w:rPr>
          <w:rFonts w:ascii="Corbel" w:hAnsi="Corbel"/>
          <w:sz w:val="22"/>
          <w:szCs w:val="22"/>
        </w:rPr>
        <w:t>PPG</w:t>
      </w:r>
      <w:r w:rsidRPr="00A171AF">
        <w:rPr>
          <w:rFonts w:ascii="Corbel" w:hAnsi="Corbel"/>
          <w:sz w:val="22"/>
          <w:szCs w:val="22"/>
        </w:rPr>
        <w:t xml:space="preserve"> </w:t>
      </w:r>
      <w:r w:rsidRPr="00A171AF" w:rsidR="00AB2F57">
        <w:rPr>
          <w:rFonts w:ascii="Corbel" w:hAnsi="Corbel"/>
          <w:sz w:val="22"/>
          <w:szCs w:val="22"/>
        </w:rPr>
        <w:t xml:space="preserve">survey </w:t>
      </w:r>
      <w:r w:rsidRPr="00A171AF">
        <w:rPr>
          <w:rFonts w:ascii="Corbel" w:hAnsi="Corbel"/>
          <w:sz w:val="22"/>
          <w:szCs w:val="22"/>
        </w:rPr>
        <w:t xml:space="preserve">data </w:t>
      </w:r>
      <w:r w:rsidRPr="00A171AF" w:rsidR="00C9597E">
        <w:rPr>
          <w:rFonts w:ascii="Corbel" w:hAnsi="Corbel"/>
          <w:sz w:val="22"/>
          <w:szCs w:val="22"/>
        </w:rPr>
        <w:t>will be</w:t>
      </w:r>
      <w:r w:rsidRPr="00A171AF">
        <w:rPr>
          <w:rFonts w:ascii="Corbel" w:hAnsi="Corbel"/>
          <w:sz w:val="22"/>
          <w:szCs w:val="22"/>
        </w:rPr>
        <w:t xml:space="preserve"> co</w:t>
      </w:r>
      <w:r w:rsidRPr="00A171AF" w:rsidR="00DE4F79">
        <w:rPr>
          <w:rFonts w:ascii="Corbel" w:hAnsi="Corbel"/>
          <w:sz w:val="22"/>
          <w:szCs w:val="22"/>
        </w:rPr>
        <w:t xml:space="preserve">llected </w:t>
      </w:r>
      <w:r w:rsidRPr="00A171AF" w:rsidR="002C5F65">
        <w:rPr>
          <w:rFonts w:ascii="Corbel" w:hAnsi="Corbel"/>
          <w:sz w:val="22"/>
          <w:szCs w:val="22"/>
        </w:rPr>
        <w:t xml:space="preserve">online </w:t>
      </w:r>
      <w:r w:rsidRPr="00A171AF" w:rsidR="00DE4F79">
        <w:rPr>
          <w:rFonts w:ascii="Corbel" w:hAnsi="Corbel"/>
          <w:sz w:val="22"/>
          <w:szCs w:val="22"/>
        </w:rPr>
        <w:t xml:space="preserve">via </w:t>
      </w:r>
      <w:proofErr w:type="spellStart"/>
      <w:r w:rsidRPr="00A171AF" w:rsidR="00DE4F79">
        <w:rPr>
          <w:rFonts w:ascii="Corbel" w:hAnsi="Corbel"/>
          <w:sz w:val="22"/>
          <w:szCs w:val="22"/>
        </w:rPr>
        <w:t>S</w:t>
      </w:r>
      <w:r w:rsidRPr="00A171AF" w:rsidR="00392FC8">
        <w:rPr>
          <w:rFonts w:ascii="Corbel" w:hAnsi="Corbel"/>
          <w:sz w:val="22"/>
          <w:szCs w:val="22"/>
        </w:rPr>
        <w:t>oGo</w:t>
      </w:r>
      <w:r w:rsidRPr="00A171AF" w:rsidR="00BD07E2">
        <w:rPr>
          <w:rFonts w:ascii="Corbel" w:hAnsi="Corbel"/>
          <w:sz w:val="22"/>
          <w:szCs w:val="22"/>
        </w:rPr>
        <w:t>Survey</w:t>
      </w:r>
      <w:proofErr w:type="spellEnd"/>
      <w:r w:rsidRPr="00A171AF" w:rsidR="00840E24">
        <w:rPr>
          <w:rFonts w:ascii="Corbel" w:hAnsi="Corbel"/>
          <w:sz w:val="22"/>
          <w:szCs w:val="22"/>
        </w:rPr>
        <w:t xml:space="preserve">. </w:t>
      </w:r>
      <w:r w:rsidRPr="00A171AF">
        <w:rPr>
          <w:rFonts w:ascii="Corbel" w:hAnsi="Corbel"/>
          <w:sz w:val="22"/>
          <w:szCs w:val="22"/>
        </w:rPr>
        <w:t xml:space="preserve">The </w:t>
      </w:r>
      <w:r w:rsidRPr="00A171AF" w:rsidR="00691374">
        <w:rPr>
          <w:rFonts w:ascii="Corbel" w:hAnsi="Corbel"/>
          <w:sz w:val="22"/>
          <w:szCs w:val="22"/>
        </w:rPr>
        <w:t>survey instrument</w:t>
      </w:r>
      <w:r w:rsidRPr="00A171AF">
        <w:rPr>
          <w:rFonts w:ascii="Corbel" w:hAnsi="Corbel"/>
          <w:sz w:val="22"/>
          <w:szCs w:val="22"/>
        </w:rPr>
        <w:t xml:space="preserve"> includes </w:t>
      </w:r>
      <w:r w:rsidRPr="00A171AF" w:rsidR="00691374">
        <w:rPr>
          <w:rFonts w:ascii="Corbel" w:hAnsi="Corbel"/>
          <w:sz w:val="22"/>
          <w:szCs w:val="22"/>
        </w:rPr>
        <w:t xml:space="preserve">instructions, </w:t>
      </w:r>
      <w:r w:rsidRPr="00A171AF">
        <w:rPr>
          <w:rFonts w:ascii="Corbel" w:hAnsi="Corbel"/>
          <w:sz w:val="22"/>
          <w:szCs w:val="22"/>
        </w:rPr>
        <w:t xml:space="preserve">the </w:t>
      </w:r>
      <w:r w:rsidRPr="00A171AF" w:rsidR="003830D0">
        <w:rPr>
          <w:rFonts w:ascii="Corbel" w:hAnsi="Corbel"/>
          <w:sz w:val="22"/>
          <w:szCs w:val="22"/>
        </w:rPr>
        <w:t>questionnaire</w:t>
      </w:r>
      <w:r w:rsidRPr="00A171AF">
        <w:rPr>
          <w:rFonts w:ascii="Corbel" w:hAnsi="Corbel"/>
          <w:sz w:val="22"/>
          <w:szCs w:val="22"/>
        </w:rPr>
        <w:t>,</w:t>
      </w:r>
      <w:r w:rsidRPr="00A171AF" w:rsidR="00691374">
        <w:rPr>
          <w:rFonts w:ascii="Corbel" w:hAnsi="Corbel"/>
          <w:sz w:val="22"/>
          <w:szCs w:val="22"/>
        </w:rPr>
        <w:t xml:space="preserve"> and contact information in the event a respondent requires assistance</w:t>
      </w:r>
      <w:r w:rsidRPr="00A171AF" w:rsidR="00840E24">
        <w:rPr>
          <w:rFonts w:ascii="Corbel" w:hAnsi="Corbel"/>
          <w:sz w:val="22"/>
          <w:szCs w:val="22"/>
        </w:rPr>
        <w:t xml:space="preserve">. </w:t>
      </w:r>
      <w:r w:rsidRPr="00A171AF" w:rsidR="00E54AEB">
        <w:rPr>
          <w:rFonts w:ascii="Corbel" w:hAnsi="Corbel"/>
          <w:sz w:val="22"/>
          <w:szCs w:val="22"/>
        </w:rPr>
        <w:t xml:space="preserve">Key terms </w:t>
      </w:r>
      <w:r w:rsidRPr="00A171AF" w:rsidR="00CC1362">
        <w:rPr>
          <w:rFonts w:ascii="Corbel" w:hAnsi="Corbel"/>
          <w:sz w:val="22"/>
          <w:szCs w:val="22"/>
        </w:rPr>
        <w:t>are defined</w:t>
      </w:r>
      <w:r w:rsidRPr="00A171AF" w:rsidR="00E54AEB">
        <w:rPr>
          <w:rFonts w:ascii="Corbel" w:hAnsi="Corbel"/>
          <w:sz w:val="22"/>
          <w:szCs w:val="22"/>
        </w:rPr>
        <w:t xml:space="preserve"> in the survey instructions, as well as throughout the survey, as needed. </w:t>
      </w:r>
      <w:r w:rsidR="00BE6813">
        <w:rPr>
          <w:rFonts w:ascii="Corbel" w:hAnsi="Corbel"/>
          <w:sz w:val="22"/>
          <w:szCs w:val="22"/>
        </w:rPr>
        <w:t>(</w:t>
      </w:r>
      <w:r w:rsidRPr="00A171AF" w:rsidR="00E54AEB">
        <w:rPr>
          <w:rFonts w:ascii="Corbel" w:hAnsi="Corbel"/>
          <w:sz w:val="22"/>
          <w:szCs w:val="22"/>
        </w:rPr>
        <w:t>See</w:t>
      </w:r>
      <w:r w:rsidRPr="00A171AF" w:rsidR="00C57240">
        <w:rPr>
          <w:rFonts w:ascii="Corbel" w:hAnsi="Corbel"/>
          <w:sz w:val="22"/>
          <w:szCs w:val="22"/>
        </w:rPr>
        <w:t xml:space="preserve"> Appendix </w:t>
      </w:r>
      <w:r w:rsidRPr="00A171AF" w:rsidR="00E54AEB">
        <w:rPr>
          <w:rFonts w:ascii="Corbel" w:hAnsi="Corbel"/>
          <w:sz w:val="22"/>
          <w:szCs w:val="22"/>
        </w:rPr>
        <w:t xml:space="preserve">B for </w:t>
      </w:r>
      <w:r w:rsidR="006A6810">
        <w:rPr>
          <w:rFonts w:ascii="Corbel" w:hAnsi="Corbel"/>
          <w:sz w:val="22"/>
          <w:szCs w:val="22"/>
        </w:rPr>
        <w:t xml:space="preserve">the </w:t>
      </w:r>
      <w:r w:rsidRPr="00A171AF" w:rsidR="00E54AEB">
        <w:rPr>
          <w:rFonts w:ascii="Corbel" w:hAnsi="Corbel"/>
          <w:sz w:val="22"/>
          <w:szCs w:val="22"/>
        </w:rPr>
        <w:t>survey instrument</w:t>
      </w:r>
      <w:r w:rsidR="00C62C78">
        <w:rPr>
          <w:rFonts w:ascii="Corbel" w:hAnsi="Corbel"/>
          <w:sz w:val="22"/>
          <w:szCs w:val="22"/>
        </w:rPr>
        <w:t>.</w:t>
      </w:r>
      <w:r w:rsidR="00BE6813">
        <w:rPr>
          <w:rFonts w:ascii="Corbel" w:hAnsi="Corbel"/>
          <w:sz w:val="22"/>
          <w:szCs w:val="22"/>
        </w:rPr>
        <w:t>)</w:t>
      </w:r>
    </w:p>
    <w:p w:rsidRPr="00A171AF" w:rsidR="0095203E" w:rsidP="00D67F24" w:rsidRDefault="0095203E" w14:paraId="738E4429" w14:textId="77777777">
      <w:pPr>
        <w:rPr>
          <w:rFonts w:ascii="Corbel" w:hAnsi="Corbel"/>
          <w:sz w:val="22"/>
          <w:szCs w:val="22"/>
        </w:rPr>
      </w:pPr>
    </w:p>
    <w:p w:rsidRPr="00A171AF" w:rsidR="00D0431A" w:rsidP="00D67F24" w:rsidRDefault="0B7E8244" w14:paraId="120EC4F5" w14:textId="0F1F1C97">
      <w:pPr>
        <w:rPr>
          <w:rFonts w:ascii="Corbel" w:hAnsi="Corbel"/>
          <w:sz w:val="22"/>
          <w:szCs w:val="22"/>
        </w:rPr>
      </w:pPr>
      <w:r w:rsidRPr="00A171AF">
        <w:rPr>
          <w:rFonts w:ascii="Corbel" w:hAnsi="Corbel"/>
          <w:sz w:val="22"/>
          <w:szCs w:val="22"/>
        </w:rPr>
        <w:t xml:space="preserve">The survey is designed to minimize respondent burden, improve timeliness and quality of the data, and require minimal follow-up for data problems. The questionnaire uses skip logic, a feature that </w:t>
      </w:r>
      <w:r w:rsidRPr="00A171AF" w:rsidR="002C5F65">
        <w:rPr>
          <w:rFonts w:ascii="Corbel" w:hAnsi="Corbel"/>
          <w:sz w:val="22"/>
          <w:szCs w:val="22"/>
        </w:rPr>
        <w:t xml:space="preserve">determines the next </w:t>
      </w:r>
      <w:r w:rsidRPr="00A171AF">
        <w:rPr>
          <w:rFonts w:ascii="Corbel" w:hAnsi="Corbel"/>
          <w:sz w:val="22"/>
          <w:szCs w:val="22"/>
        </w:rPr>
        <w:t xml:space="preserve">question based on </w:t>
      </w:r>
      <w:r w:rsidRPr="00A171AF" w:rsidR="002C5F65">
        <w:rPr>
          <w:rFonts w:ascii="Corbel" w:hAnsi="Corbel"/>
          <w:sz w:val="22"/>
          <w:szCs w:val="22"/>
        </w:rPr>
        <w:t xml:space="preserve">a respondent’s </w:t>
      </w:r>
      <w:r w:rsidRPr="00A171AF">
        <w:rPr>
          <w:rFonts w:ascii="Corbel" w:hAnsi="Corbel"/>
          <w:sz w:val="22"/>
          <w:szCs w:val="22"/>
        </w:rPr>
        <w:t>answer to the current question, to reduce respondent burden and increase data reliability.</w:t>
      </w:r>
      <w:r w:rsidRPr="00A171AF" w:rsidR="008A4734">
        <w:rPr>
          <w:rFonts w:ascii="Corbel" w:hAnsi="Corbel"/>
          <w:sz w:val="22"/>
          <w:szCs w:val="22"/>
        </w:rPr>
        <w:t xml:space="preserve"> No survey items </w:t>
      </w:r>
      <w:r w:rsidRPr="00A171AF" w:rsidR="002C5F65">
        <w:rPr>
          <w:rFonts w:ascii="Corbel" w:hAnsi="Corbel"/>
          <w:sz w:val="22"/>
          <w:szCs w:val="22"/>
        </w:rPr>
        <w:t xml:space="preserve">are </w:t>
      </w:r>
      <w:r w:rsidRPr="00A171AF" w:rsidR="008A4734">
        <w:rPr>
          <w:rFonts w:ascii="Corbel" w:hAnsi="Corbel"/>
          <w:sz w:val="22"/>
          <w:szCs w:val="22"/>
        </w:rPr>
        <w:t>require</w:t>
      </w:r>
      <w:r w:rsidRPr="00A171AF" w:rsidR="002C5F65">
        <w:rPr>
          <w:rFonts w:ascii="Corbel" w:hAnsi="Corbel"/>
          <w:sz w:val="22"/>
          <w:szCs w:val="22"/>
        </w:rPr>
        <w:t>d</w:t>
      </w:r>
      <w:r w:rsidRPr="00A171AF" w:rsidR="008A4734">
        <w:rPr>
          <w:rFonts w:ascii="Corbel" w:hAnsi="Corbel"/>
          <w:sz w:val="22"/>
          <w:szCs w:val="22"/>
        </w:rPr>
        <w:t xml:space="preserve"> </w:t>
      </w:r>
      <w:r w:rsidRPr="00A171AF" w:rsidR="002C5F65">
        <w:rPr>
          <w:rFonts w:ascii="Corbel" w:hAnsi="Corbel"/>
          <w:sz w:val="22"/>
          <w:szCs w:val="22"/>
        </w:rPr>
        <w:t>items</w:t>
      </w:r>
      <w:r w:rsidRPr="00A171AF" w:rsidR="008A4734">
        <w:rPr>
          <w:rFonts w:ascii="Corbel" w:hAnsi="Corbel"/>
          <w:sz w:val="22"/>
          <w:szCs w:val="22"/>
        </w:rPr>
        <w:t>.</w:t>
      </w:r>
      <w:r w:rsidRPr="00A171AF">
        <w:rPr>
          <w:rFonts w:ascii="Corbel" w:hAnsi="Corbel"/>
          <w:sz w:val="22"/>
          <w:szCs w:val="22"/>
        </w:rPr>
        <w:t xml:space="preserve"> </w:t>
      </w:r>
      <w:r w:rsidRPr="00A171AF" w:rsidR="008A4734">
        <w:rPr>
          <w:rFonts w:ascii="Corbel" w:hAnsi="Corbel"/>
          <w:sz w:val="22"/>
          <w:szCs w:val="22"/>
        </w:rPr>
        <w:t xml:space="preserve">The introduction to the “Organizational Capacity Assessment” section instructs respondents to </w:t>
      </w:r>
      <w:r w:rsidRPr="00A171AF" w:rsidR="00BE38F5">
        <w:rPr>
          <w:rFonts w:ascii="Corbel" w:hAnsi="Corbel"/>
          <w:sz w:val="22"/>
          <w:szCs w:val="22"/>
        </w:rPr>
        <w:t>skip</w:t>
      </w:r>
      <w:r w:rsidRPr="00A171AF" w:rsidR="008A4734">
        <w:rPr>
          <w:rFonts w:ascii="Corbel" w:hAnsi="Corbel"/>
          <w:sz w:val="22"/>
          <w:szCs w:val="22"/>
        </w:rPr>
        <w:t xml:space="preserve"> survey items</w:t>
      </w:r>
      <w:r w:rsidRPr="00A171AF" w:rsidR="00B44DF1">
        <w:rPr>
          <w:rFonts w:ascii="Corbel" w:hAnsi="Corbel"/>
          <w:sz w:val="22"/>
          <w:szCs w:val="22"/>
        </w:rPr>
        <w:t xml:space="preserve"> </w:t>
      </w:r>
      <w:r w:rsidRPr="00A171AF" w:rsidR="008A4734">
        <w:rPr>
          <w:rFonts w:ascii="Corbel" w:hAnsi="Corbel"/>
          <w:sz w:val="22"/>
          <w:szCs w:val="22"/>
        </w:rPr>
        <w:t>if they do</w:t>
      </w:r>
      <w:r w:rsidRPr="00A171AF" w:rsidR="00B44DF1">
        <w:rPr>
          <w:rFonts w:ascii="Corbel" w:hAnsi="Corbel"/>
          <w:sz w:val="22"/>
          <w:szCs w:val="22"/>
        </w:rPr>
        <w:t xml:space="preserve"> not have enough information</w:t>
      </w:r>
      <w:r w:rsidRPr="00A171AF" w:rsidR="008A4734">
        <w:rPr>
          <w:rFonts w:ascii="Corbel" w:hAnsi="Corbel"/>
          <w:sz w:val="22"/>
          <w:szCs w:val="22"/>
        </w:rPr>
        <w:t xml:space="preserve"> </w:t>
      </w:r>
      <w:r w:rsidRPr="00A171AF" w:rsidR="00B44DF1">
        <w:rPr>
          <w:rFonts w:ascii="Corbel" w:hAnsi="Corbel"/>
          <w:sz w:val="22"/>
          <w:szCs w:val="22"/>
        </w:rPr>
        <w:t>or if the item is “not applicable.”</w:t>
      </w:r>
      <w:r w:rsidRPr="00A171AF" w:rsidR="00036418">
        <w:rPr>
          <w:rFonts w:ascii="Corbel" w:hAnsi="Corbel"/>
          <w:sz w:val="22"/>
          <w:szCs w:val="22"/>
        </w:rPr>
        <w:t xml:space="preserve"> </w:t>
      </w:r>
      <w:r w:rsidRPr="00A171AF">
        <w:rPr>
          <w:rFonts w:ascii="Corbel" w:hAnsi="Corbel"/>
          <w:sz w:val="22"/>
          <w:szCs w:val="22"/>
        </w:rPr>
        <w:t>M</w:t>
      </w:r>
      <w:r w:rsidRPr="00A171AF" w:rsidR="00B44DF1">
        <w:rPr>
          <w:rFonts w:ascii="Corbel" w:hAnsi="Corbel"/>
          <w:sz w:val="22"/>
          <w:szCs w:val="22"/>
        </w:rPr>
        <w:t>ost survey items have fixed-choice response options</w:t>
      </w:r>
      <w:r w:rsidRPr="00A171AF">
        <w:rPr>
          <w:rFonts w:ascii="Corbel" w:hAnsi="Corbel"/>
          <w:sz w:val="22"/>
          <w:szCs w:val="22"/>
        </w:rPr>
        <w:t>, which also reduces burden on respondents.</w:t>
      </w:r>
      <w:r w:rsidR="00785B0F">
        <w:rPr>
          <w:rFonts w:ascii="Corbel" w:hAnsi="Corbel"/>
          <w:sz w:val="22"/>
          <w:szCs w:val="22"/>
        </w:rPr>
        <w:t xml:space="preserve"> Specifically:</w:t>
      </w:r>
      <w:r w:rsidRPr="00A171AF">
        <w:rPr>
          <w:rFonts w:ascii="Corbel" w:hAnsi="Corbel"/>
          <w:sz w:val="22"/>
          <w:szCs w:val="22"/>
        </w:rPr>
        <w:t xml:space="preserve"> </w:t>
      </w:r>
    </w:p>
    <w:p w:rsidRPr="00A171AF" w:rsidR="00756A1C" w:rsidP="00D67F24" w:rsidRDefault="00E27868" w14:paraId="12689A69" w14:textId="0F739EED">
      <w:pPr>
        <w:pStyle w:val="ListParagraph"/>
        <w:numPr>
          <w:ilvl w:val="0"/>
          <w:numId w:val="2"/>
        </w:numPr>
        <w:rPr>
          <w:rFonts w:ascii="Corbel" w:hAnsi="Corbel"/>
          <w:sz w:val="22"/>
          <w:szCs w:val="22"/>
        </w:rPr>
      </w:pPr>
      <w:r>
        <w:rPr>
          <w:rFonts w:ascii="Corbel" w:hAnsi="Corbel"/>
          <w:sz w:val="22"/>
          <w:szCs w:val="22"/>
        </w:rPr>
        <w:lastRenderedPageBreak/>
        <w:t xml:space="preserve">Respondents will make </w:t>
      </w:r>
      <w:r w:rsidR="006239E6">
        <w:rPr>
          <w:rFonts w:ascii="Corbel" w:hAnsi="Corbel"/>
          <w:sz w:val="22"/>
          <w:szCs w:val="22"/>
        </w:rPr>
        <w:t xml:space="preserve">107 </w:t>
      </w:r>
      <w:r>
        <w:rPr>
          <w:rFonts w:ascii="Corbel" w:hAnsi="Corbel"/>
          <w:sz w:val="22"/>
          <w:szCs w:val="22"/>
        </w:rPr>
        <w:t xml:space="preserve">fixed choices </w:t>
      </w:r>
      <w:r w:rsidRPr="00A171AF" w:rsidR="00756A1C">
        <w:rPr>
          <w:rFonts w:ascii="Corbel" w:hAnsi="Corbel"/>
          <w:sz w:val="22"/>
          <w:szCs w:val="22"/>
        </w:rPr>
        <w:t>(</w:t>
      </w:r>
      <w:r w:rsidR="00344A5F">
        <w:rPr>
          <w:rFonts w:ascii="Corbel" w:hAnsi="Corbel"/>
          <w:sz w:val="22"/>
          <w:szCs w:val="22"/>
        </w:rPr>
        <w:t xml:space="preserve">i.e., </w:t>
      </w:r>
      <w:r w:rsidRPr="00A171AF" w:rsidR="00756A1C">
        <w:rPr>
          <w:rFonts w:ascii="Corbel" w:hAnsi="Corbel"/>
          <w:sz w:val="22"/>
          <w:szCs w:val="22"/>
        </w:rPr>
        <w:t>respondent will click a radio button</w:t>
      </w:r>
      <w:r w:rsidRPr="00A171AF" w:rsidR="00B44DF1">
        <w:rPr>
          <w:rFonts w:ascii="Corbel" w:hAnsi="Corbel"/>
          <w:sz w:val="22"/>
          <w:szCs w:val="22"/>
        </w:rPr>
        <w:t xml:space="preserve"> or check a box</w:t>
      </w:r>
      <w:r w:rsidRPr="00A171AF" w:rsidR="004D7294">
        <w:rPr>
          <w:rFonts w:ascii="Corbel" w:hAnsi="Corbel"/>
          <w:sz w:val="22"/>
          <w:szCs w:val="22"/>
        </w:rPr>
        <w:t>);</w:t>
      </w:r>
    </w:p>
    <w:p w:rsidRPr="00A171AF" w:rsidR="00B44DF1" w:rsidP="00D67F24" w:rsidRDefault="008A4734" w14:paraId="1FF0BB62" w14:textId="1B69A6E8">
      <w:pPr>
        <w:pStyle w:val="ListParagraph"/>
        <w:numPr>
          <w:ilvl w:val="0"/>
          <w:numId w:val="2"/>
        </w:numPr>
        <w:rPr>
          <w:rFonts w:ascii="Corbel" w:hAnsi="Corbel"/>
          <w:sz w:val="22"/>
          <w:szCs w:val="22"/>
        </w:rPr>
      </w:pPr>
      <w:r w:rsidRPr="00A171AF">
        <w:rPr>
          <w:rFonts w:ascii="Corbel" w:hAnsi="Corbel"/>
          <w:sz w:val="22"/>
          <w:szCs w:val="22"/>
        </w:rPr>
        <w:t>Ten</w:t>
      </w:r>
      <w:r w:rsidRPr="00A171AF" w:rsidR="004D7294">
        <w:rPr>
          <w:rFonts w:ascii="Corbel" w:hAnsi="Corbel"/>
          <w:sz w:val="22"/>
          <w:szCs w:val="22"/>
        </w:rPr>
        <w:t xml:space="preserve"> items include an option for “Other” </w:t>
      </w:r>
      <w:r w:rsidRPr="00A171AF" w:rsidR="00FD0EB9">
        <w:rPr>
          <w:rFonts w:ascii="Corbel" w:hAnsi="Corbel"/>
          <w:sz w:val="22"/>
          <w:szCs w:val="22"/>
        </w:rPr>
        <w:t xml:space="preserve">with space for </w:t>
      </w:r>
      <w:r w:rsidRPr="00A171AF" w:rsidR="004D7294">
        <w:rPr>
          <w:rFonts w:ascii="Corbel" w:hAnsi="Corbel"/>
          <w:sz w:val="22"/>
          <w:szCs w:val="22"/>
        </w:rPr>
        <w:t>additional detail;</w:t>
      </w:r>
    </w:p>
    <w:p w:rsidRPr="00A171AF" w:rsidR="008A4734" w:rsidP="00D67F24" w:rsidRDefault="009D2735" w14:paraId="3F34DEA2" w14:textId="61A49268">
      <w:pPr>
        <w:pStyle w:val="ListParagraph"/>
        <w:numPr>
          <w:ilvl w:val="0"/>
          <w:numId w:val="2"/>
        </w:numPr>
        <w:rPr>
          <w:rFonts w:ascii="Corbel" w:hAnsi="Corbel"/>
          <w:sz w:val="22"/>
          <w:szCs w:val="22"/>
        </w:rPr>
      </w:pPr>
      <w:r>
        <w:rPr>
          <w:rFonts w:ascii="Corbel" w:hAnsi="Corbel"/>
          <w:sz w:val="22"/>
          <w:szCs w:val="22"/>
        </w:rPr>
        <w:t>Four</w:t>
      </w:r>
      <w:r w:rsidRPr="00A171AF" w:rsidR="008A4734">
        <w:rPr>
          <w:rFonts w:ascii="Corbel" w:hAnsi="Corbel"/>
          <w:sz w:val="22"/>
          <w:szCs w:val="22"/>
        </w:rPr>
        <w:t xml:space="preserve"> items ask respondents to type in numbers (</w:t>
      </w:r>
      <w:r w:rsidR="00B76ECB">
        <w:rPr>
          <w:rFonts w:ascii="Corbel" w:hAnsi="Corbel"/>
          <w:sz w:val="22"/>
          <w:szCs w:val="22"/>
        </w:rPr>
        <w:t xml:space="preserve">e.g., </w:t>
      </w:r>
      <w:r w:rsidRPr="00A171AF" w:rsidR="008A4734">
        <w:rPr>
          <w:rFonts w:ascii="Corbel" w:hAnsi="Corbel"/>
          <w:sz w:val="22"/>
          <w:szCs w:val="22"/>
        </w:rPr>
        <w:t>number of staff and number of annual visitors)</w:t>
      </w:r>
      <w:r w:rsidR="002D5DBD">
        <w:rPr>
          <w:rFonts w:ascii="Corbel" w:hAnsi="Corbel"/>
          <w:sz w:val="22"/>
          <w:szCs w:val="22"/>
        </w:rPr>
        <w:t>; and</w:t>
      </w:r>
    </w:p>
    <w:p w:rsidRPr="00A171AF" w:rsidR="004D7294" w:rsidP="00D67F24" w:rsidRDefault="00D5451C" w14:paraId="3F64AE3E" w14:textId="22AE919A">
      <w:pPr>
        <w:pStyle w:val="ListParagraph"/>
        <w:numPr>
          <w:ilvl w:val="0"/>
          <w:numId w:val="2"/>
        </w:numPr>
        <w:rPr>
          <w:rFonts w:ascii="Corbel" w:hAnsi="Corbel"/>
          <w:sz w:val="22"/>
          <w:szCs w:val="22"/>
        </w:rPr>
      </w:pPr>
      <w:r>
        <w:rPr>
          <w:rFonts w:ascii="Corbel" w:hAnsi="Corbel"/>
          <w:sz w:val="22"/>
          <w:szCs w:val="22"/>
        </w:rPr>
        <w:t>Four</w:t>
      </w:r>
      <w:r w:rsidRPr="00A171AF" w:rsidR="008A4734">
        <w:rPr>
          <w:rFonts w:ascii="Corbel" w:hAnsi="Corbel"/>
          <w:sz w:val="22"/>
          <w:szCs w:val="22"/>
        </w:rPr>
        <w:t xml:space="preserve"> </w:t>
      </w:r>
      <w:r w:rsidRPr="00A171AF" w:rsidR="00B44DF1">
        <w:rPr>
          <w:rFonts w:ascii="Corbel" w:hAnsi="Corbel"/>
          <w:sz w:val="22"/>
          <w:szCs w:val="22"/>
        </w:rPr>
        <w:t>items ask for written responses; one is short-answer (</w:t>
      </w:r>
      <w:r w:rsidR="00344A5F">
        <w:rPr>
          <w:rFonts w:ascii="Corbel" w:hAnsi="Corbel"/>
          <w:sz w:val="22"/>
          <w:szCs w:val="22"/>
        </w:rPr>
        <w:t xml:space="preserve">i.e., </w:t>
      </w:r>
      <w:r w:rsidRPr="00A171AF" w:rsidR="00B44DF1">
        <w:rPr>
          <w:rFonts w:ascii="Corbel" w:hAnsi="Corbel"/>
          <w:sz w:val="22"/>
          <w:szCs w:val="22"/>
        </w:rPr>
        <w:t xml:space="preserve">a few words or phrase), and </w:t>
      </w:r>
      <w:r w:rsidR="00FB4446">
        <w:rPr>
          <w:rFonts w:ascii="Corbel" w:hAnsi="Corbel"/>
          <w:sz w:val="22"/>
          <w:szCs w:val="22"/>
        </w:rPr>
        <w:t xml:space="preserve">the other </w:t>
      </w:r>
      <w:r>
        <w:rPr>
          <w:rFonts w:ascii="Corbel" w:hAnsi="Corbel"/>
          <w:sz w:val="22"/>
          <w:szCs w:val="22"/>
        </w:rPr>
        <w:t>three are</w:t>
      </w:r>
      <w:r w:rsidR="00FB4446">
        <w:rPr>
          <w:rFonts w:ascii="Corbel" w:hAnsi="Corbel"/>
          <w:sz w:val="22"/>
          <w:szCs w:val="22"/>
        </w:rPr>
        <w:t xml:space="preserve"> </w:t>
      </w:r>
      <w:r w:rsidRPr="00A171AF" w:rsidR="00A708A5">
        <w:rPr>
          <w:rFonts w:ascii="Corbel" w:hAnsi="Corbel"/>
          <w:sz w:val="22"/>
          <w:szCs w:val="22"/>
        </w:rPr>
        <w:t xml:space="preserve">open-ended </w:t>
      </w:r>
      <w:r w:rsidR="00FB4446">
        <w:rPr>
          <w:rFonts w:ascii="Corbel" w:hAnsi="Corbel"/>
          <w:sz w:val="22"/>
          <w:szCs w:val="22"/>
        </w:rPr>
        <w:t>item</w:t>
      </w:r>
      <w:r>
        <w:rPr>
          <w:rFonts w:ascii="Corbel" w:hAnsi="Corbel"/>
          <w:sz w:val="22"/>
          <w:szCs w:val="22"/>
        </w:rPr>
        <w:t>s</w:t>
      </w:r>
      <w:r w:rsidR="00FB4446">
        <w:rPr>
          <w:rFonts w:ascii="Corbel" w:hAnsi="Corbel"/>
          <w:sz w:val="22"/>
          <w:szCs w:val="22"/>
        </w:rPr>
        <w:t xml:space="preserve"> that permit </w:t>
      </w:r>
      <w:r w:rsidRPr="00A171AF" w:rsidR="00B44DF1">
        <w:rPr>
          <w:rFonts w:ascii="Corbel" w:hAnsi="Corbel"/>
          <w:sz w:val="22"/>
          <w:szCs w:val="22"/>
        </w:rPr>
        <w:t>longer response</w:t>
      </w:r>
      <w:r>
        <w:rPr>
          <w:rFonts w:ascii="Corbel" w:hAnsi="Corbel"/>
          <w:sz w:val="22"/>
          <w:szCs w:val="22"/>
        </w:rPr>
        <w:t>s</w:t>
      </w:r>
      <w:r w:rsidRPr="00A171AF" w:rsidR="00B44DF1">
        <w:rPr>
          <w:rFonts w:ascii="Corbel" w:hAnsi="Corbel"/>
          <w:sz w:val="22"/>
          <w:szCs w:val="22"/>
        </w:rPr>
        <w:t xml:space="preserve"> (</w:t>
      </w:r>
      <w:r w:rsidR="00344A5F">
        <w:rPr>
          <w:rFonts w:ascii="Corbel" w:hAnsi="Corbel"/>
          <w:sz w:val="22"/>
          <w:szCs w:val="22"/>
        </w:rPr>
        <w:t xml:space="preserve">i.e., </w:t>
      </w:r>
      <w:r w:rsidRPr="00A171AF" w:rsidR="00B44DF1">
        <w:rPr>
          <w:rFonts w:ascii="Corbel" w:hAnsi="Corbel"/>
          <w:sz w:val="22"/>
          <w:szCs w:val="22"/>
        </w:rPr>
        <w:t xml:space="preserve">a few sentences). </w:t>
      </w:r>
    </w:p>
    <w:p w:rsidRPr="00A171AF" w:rsidR="00F43FC8" w:rsidP="00D67F24" w:rsidRDefault="00F43FC8" w14:paraId="5BA6ABD1" w14:textId="77777777">
      <w:pPr>
        <w:rPr>
          <w:rFonts w:ascii="Corbel" w:hAnsi="Corbel"/>
          <w:sz w:val="22"/>
          <w:szCs w:val="22"/>
        </w:rPr>
      </w:pPr>
    </w:p>
    <w:p w:rsidRPr="00A171AF" w:rsidR="005029B9" w:rsidP="00D67F24" w:rsidRDefault="00657F7A" w14:paraId="23D35556" w14:textId="1E147DDD">
      <w:pPr>
        <w:rPr>
          <w:rFonts w:ascii="Corbel" w:hAnsi="Corbel"/>
          <w:sz w:val="22"/>
          <w:szCs w:val="22"/>
        </w:rPr>
      </w:pPr>
      <w:r w:rsidRPr="00A171AF">
        <w:rPr>
          <w:rFonts w:ascii="Corbel" w:hAnsi="Corbel"/>
          <w:sz w:val="22"/>
          <w:szCs w:val="22"/>
        </w:rPr>
        <w:t xml:space="preserve">The survey will be hosted on </w:t>
      </w:r>
      <w:proofErr w:type="spellStart"/>
      <w:r w:rsidRPr="00A171AF">
        <w:rPr>
          <w:rFonts w:ascii="Corbel" w:hAnsi="Corbel"/>
          <w:sz w:val="22"/>
          <w:szCs w:val="22"/>
        </w:rPr>
        <w:t>SoGoSurvey</w:t>
      </w:r>
      <w:proofErr w:type="spellEnd"/>
      <w:r w:rsidRPr="00A171AF">
        <w:rPr>
          <w:rFonts w:ascii="Corbel" w:hAnsi="Corbel"/>
          <w:sz w:val="22"/>
          <w:szCs w:val="22"/>
        </w:rPr>
        <w:t xml:space="preserve">, which will send individual links by email with </w:t>
      </w:r>
      <w:r w:rsidRPr="00A171AF" w:rsidR="00FD0EB9">
        <w:rPr>
          <w:rFonts w:ascii="Corbel" w:hAnsi="Corbel"/>
          <w:sz w:val="22"/>
          <w:szCs w:val="22"/>
        </w:rPr>
        <w:t>unique identifier</w:t>
      </w:r>
      <w:r w:rsidRPr="00A171AF">
        <w:rPr>
          <w:rFonts w:ascii="Corbel" w:hAnsi="Corbel"/>
          <w:sz w:val="22"/>
          <w:szCs w:val="22"/>
        </w:rPr>
        <w:t>s</w:t>
      </w:r>
      <w:r w:rsidRPr="00A171AF" w:rsidR="00FD0EB9">
        <w:rPr>
          <w:rFonts w:ascii="Corbel" w:hAnsi="Corbel"/>
          <w:sz w:val="22"/>
          <w:szCs w:val="22"/>
        </w:rPr>
        <w:t xml:space="preserve"> provided to each respondent</w:t>
      </w:r>
      <w:r w:rsidRPr="00A171AF">
        <w:rPr>
          <w:rFonts w:ascii="Corbel" w:hAnsi="Corbel"/>
          <w:sz w:val="22"/>
          <w:szCs w:val="22"/>
        </w:rPr>
        <w:t xml:space="preserve"> in order</w:t>
      </w:r>
      <w:r w:rsidRPr="00A171AF" w:rsidR="00EA076B">
        <w:rPr>
          <w:rFonts w:ascii="Corbel" w:hAnsi="Corbel"/>
          <w:sz w:val="22"/>
          <w:szCs w:val="22"/>
        </w:rPr>
        <w:t xml:space="preserve"> to</w:t>
      </w:r>
      <w:r w:rsidRPr="00A171AF" w:rsidR="00F43FC8">
        <w:rPr>
          <w:rFonts w:ascii="Corbel" w:hAnsi="Corbel"/>
          <w:sz w:val="22"/>
          <w:szCs w:val="22"/>
        </w:rPr>
        <w:t xml:space="preserve"> </w:t>
      </w:r>
      <w:r w:rsidRPr="00A171AF" w:rsidR="00FD0EB9">
        <w:rPr>
          <w:rFonts w:ascii="Corbel" w:hAnsi="Corbel"/>
          <w:sz w:val="22"/>
          <w:szCs w:val="22"/>
        </w:rPr>
        <w:t xml:space="preserve">permit </w:t>
      </w:r>
      <w:r w:rsidRPr="00A171AF" w:rsidR="00F43FC8">
        <w:rPr>
          <w:rFonts w:ascii="Corbel" w:hAnsi="Corbel"/>
          <w:sz w:val="22"/>
          <w:szCs w:val="22"/>
        </w:rPr>
        <w:t>track</w:t>
      </w:r>
      <w:r w:rsidRPr="00A171AF" w:rsidR="00FD0EB9">
        <w:rPr>
          <w:rFonts w:ascii="Corbel" w:hAnsi="Corbel"/>
          <w:sz w:val="22"/>
          <w:szCs w:val="22"/>
        </w:rPr>
        <w:t>ing</w:t>
      </w:r>
      <w:r w:rsidRPr="00A171AF" w:rsidR="00F43FC8">
        <w:rPr>
          <w:rFonts w:ascii="Corbel" w:hAnsi="Corbel"/>
          <w:sz w:val="22"/>
          <w:szCs w:val="22"/>
        </w:rPr>
        <w:t xml:space="preserve"> </w:t>
      </w:r>
      <w:r w:rsidRPr="00A171AF">
        <w:rPr>
          <w:rFonts w:ascii="Corbel" w:hAnsi="Corbel"/>
          <w:sz w:val="22"/>
          <w:szCs w:val="22"/>
        </w:rPr>
        <w:t xml:space="preserve">for </w:t>
      </w:r>
      <w:r w:rsidRPr="00A171AF" w:rsidR="00B64AC7">
        <w:rPr>
          <w:rFonts w:ascii="Corbel" w:hAnsi="Corbel"/>
          <w:sz w:val="22"/>
          <w:szCs w:val="22"/>
        </w:rPr>
        <w:t>follow-up</w:t>
      </w:r>
      <w:r w:rsidRPr="00A171AF" w:rsidR="00703376">
        <w:rPr>
          <w:rFonts w:ascii="Corbel" w:hAnsi="Corbel"/>
          <w:sz w:val="22"/>
          <w:szCs w:val="22"/>
        </w:rPr>
        <w:t xml:space="preserve"> </w:t>
      </w:r>
      <w:r w:rsidRPr="00A171AF">
        <w:rPr>
          <w:rFonts w:ascii="Corbel" w:hAnsi="Corbel"/>
          <w:sz w:val="22"/>
          <w:szCs w:val="22"/>
        </w:rPr>
        <w:t xml:space="preserve">on </w:t>
      </w:r>
      <w:r w:rsidRPr="00A171AF" w:rsidR="00703376">
        <w:rPr>
          <w:rFonts w:ascii="Corbel" w:hAnsi="Corbel"/>
          <w:sz w:val="22"/>
          <w:szCs w:val="22"/>
        </w:rPr>
        <w:t>non-response</w:t>
      </w:r>
      <w:r w:rsidRPr="00A171AF">
        <w:rPr>
          <w:rFonts w:ascii="Corbel" w:hAnsi="Corbel"/>
          <w:sz w:val="22"/>
          <w:szCs w:val="22"/>
        </w:rPr>
        <w:t>s</w:t>
      </w:r>
      <w:r w:rsidRPr="00A171AF" w:rsidR="00703376">
        <w:rPr>
          <w:rFonts w:ascii="Corbel" w:hAnsi="Corbel"/>
          <w:sz w:val="22"/>
          <w:szCs w:val="22"/>
        </w:rPr>
        <w:t xml:space="preserve"> or data entry questions</w:t>
      </w:r>
      <w:r w:rsidRPr="00A171AF" w:rsidR="00B64AC7">
        <w:rPr>
          <w:rFonts w:ascii="Corbel" w:hAnsi="Corbel"/>
          <w:sz w:val="22"/>
          <w:szCs w:val="22"/>
        </w:rPr>
        <w:t xml:space="preserve">. </w:t>
      </w:r>
      <w:r w:rsidR="001966DB">
        <w:rPr>
          <w:rFonts w:ascii="Corbel" w:hAnsi="Corbel"/>
          <w:sz w:val="22"/>
          <w:szCs w:val="22"/>
        </w:rPr>
        <w:t>PPG will not share any</w:t>
      </w:r>
      <w:r w:rsidRPr="00A171AF" w:rsidR="002670E9">
        <w:rPr>
          <w:rFonts w:ascii="Corbel" w:hAnsi="Corbel"/>
          <w:sz w:val="22"/>
          <w:szCs w:val="22"/>
        </w:rPr>
        <w:t xml:space="preserve"> identifying information</w:t>
      </w:r>
      <w:r w:rsidRPr="00A171AF" w:rsidR="00392FC8">
        <w:rPr>
          <w:rFonts w:ascii="Corbel" w:hAnsi="Corbel"/>
          <w:sz w:val="22"/>
          <w:szCs w:val="22"/>
        </w:rPr>
        <w:t xml:space="preserve"> </w:t>
      </w:r>
      <w:r w:rsidR="00583DA1">
        <w:rPr>
          <w:rFonts w:ascii="Corbel" w:hAnsi="Corbel"/>
          <w:sz w:val="22"/>
          <w:szCs w:val="22"/>
        </w:rPr>
        <w:t>contained in responses</w:t>
      </w:r>
      <w:r w:rsidRPr="00A171AF">
        <w:rPr>
          <w:rFonts w:ascii="Corbel" w:hAnsi="Corbel"/>
          <w:sz w:val="22"/>
          <w:szCs w:val="22"/>
        </w:rPr>
        <w:t xml:space="preserve">; data </w:t>
      </w:r>
      <w:r w:rsidRPr="00A171AF" w:rsidR="002670E9">
        <w:rPr>
          <w:rFonts w:ascii="Corbel" w:hAnsi="Corbel"/>
          <w:sz w:val="22"/>
          <w:szCs w:val="22"/>
        </w:rPr>
        <w:t>will only be shared anonymously with IMLS and reported broadly</w:t>
      </w:r>
      <w:r w:rsidRPr="00A171AF">
        <w:rPr>
          <w:rFonts w:ascii="Corbel" w:hAnsi="Corbel"/>
          <w:sz w:val="22"/>
          <w:szCs w:val="22"/>
        </w:rPr>
        <w:t xml:space="preserve"> without names or attributions</w:t>
      </w:r>
      <w:r w:rsidRPr="00A171AF" w:rsidR="002670E9">
        <w:rPr>
          <w:rFonts w:ascii="Corbel" w:hAnsi="Corbel"/>
          <w:sz w:val="22"/>
          <w:szCs w:val="22"/>
        </w:rPr>
        <w:t>.</w:t>
      </w:r>
    </w:p>
    <w:p w:rsidRPr="00A171AF" w:rsidR="00980DBA" w:rsidP="00D67F24" w:rsidRDefault="00980DBA" w14:paraId="5CCC8F92" w14:textId="2EACB586">
      <w:pPr>
        <w:rPr>
          <w:rFonts w:ascii="Corbel" w:hAnsi="Corbel"/>
          <w:sz w:val="22"/>
          <w:szCs w:val="22"/>
        </w:rPr>
      </w:pPr>
    </w:p>
    <w:p w:rsidRPr="00A171AF" w:rsidR="00980DBA" w:rsidP="00D67F24" w:rsidRDefault="00980DBA" w14:paraId="07B56063" w14:textId="4B440324">
      <w:pPr>
        <w:tabs>
          <w:tab w:val="left" w:pos="-1440"/>
          <w:tab w:val="left" w:pos="-720"/>
          <w:tab w:val="left" w:pos="0"/>
          <w:tab w:val="left" w:pos="388"/>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rbel" w:hAnsi="Corbel"/>
          <w:sz w:val="22"/>
          <w:szCs w:val="22"/>
        </w:rPr>
      </w:pPr>
      <w:r w:rsidRPr="00A171AF">
        <w:rPr>
          <w:rFonts w:ascii="Corbel" w:hAnsi="Corbel"/>
          <w:sz w:val="22"/>
          <w:szCs w:val="22"/>
        </w:rPr>
        <w:t>The research data</w:t>
      </w:r>
      <w:r w:rsidR="00D5451C">
        <w:rPr>
          <w:rFonts w:ascii="Corbel" w:hAnsi="Corbel"/>
          <w:sz w:val="22"/>
          <w:szCs w:val="22"/>
        </w:rPr>
        <w:t xml:space="preserve"> analyses</w:t>
      </w:r>
      <w:r w:rsidRPr="00A171AF">
        <w:rPr>
          <w:rFonts w:ascii="Corbel" w:hAnsi="Corbel"/>
          <w:sz w:val="22"/>
          <w:szCs w:val="22"/>
        </w:rPr>
        <w:t xml:space="preserve"> and report will be shared in digital format. Any blogs, webinars, </w:t>
      </w:r>
      <w:r w:rsidRPr="00A171AF" w:rsidR="00657F7A">
        <w:rPr>
          <w:rFonts w:ascii="Corbel" w:hAnsi="Corbel"/>
          <w:sz w:val="22"/>
          <w:szCs w:val="22"/>
        </w:rPr>
        <w:t xml:space="preserve">or </w:t>
      </w:r>
      <w:r w:rsidRPr="00A171AF">
        <w:rPr>
          <w:rFonts w:ascii="Corbel" w:hAnsi="Corbel"/>
          <w:sz w:val="22"/>
          <w:szCs w:val="22"/>
        </w:rPr>
        <w:t xml:space="preserve">website postings will be published on the TCC website (tccgrp.com) and/or on TCC/PPG and social media platforms (Facebook, Twitter, etc.), and open source options accessible via standard web browsers. Conference presentations will be made available publicly </w:t>
      </w:r>
      <w:r w:rsidR="00612812">
        <w:rPr>
          <w:rFonts w:ascii="Corbel" w:hAnsi="Corbel"/>
          <w:sz w:val="22"/>
          <w:szCs w:val="22"/>
        </w:rPr>
        <w:t>online</w:t>
      </w:r>
      <w:r w:rsidRPr="00A171AF">
        <w:rPr>
          <w:rFonts w:ascii="Corbel" w:hAnsi="Corbel"/>
          <w:sz w:val="22"/>
          <w:szCs w:val="22"/>
        </w:rPr>
        <w:t>. Firm newsletters will be distributed to the TCC/PPG mailing list, which consists of clients, peers, and other firm contacts.</w:t>
      </w:r>
    </w:p>
    <w:p w:rsidRPr="00B82642" w:rsidR="00FB22F0" w:rsidP="00D67F24" w:rsidRDefault="00FB22F0" w14:paraId="46E15557" w14:textId="6E4BD1AC">
      <w:pPr>
        <w:pStyle w:val="Heading1"/>
        <w:rPr>
          <w:rFonts w:ascii="Corbel" w:hAnsi="Corbel"/>
          <w:sz w:val="24"/>
          <w:szCs w:val="24"/>
        </w:rPr>
      </w:pPr>
    </w:p>
    <w:p w:rsidRPr="00B82642" w:rsidR="00D55958" w:rsidP="00D67F24" w:rsidRDefault="00DC18EA" w14:paraId="4D93BA07" w14:textId="3D926583">
      <w:pPr>
        <w:pStyle w:val="Heading2"/>
        <w:rPr>
          <w:rFonts w:ascii="Corbel" w:hAnsi="Corbel"/>
        </w:rPr>
      </w:pPr>
      <w:r w:rsidRPr="00B82642">
        <w:rPr>
          <w:rFonts w:ascii="Corbel" w:hAnsi="Corbel"/>
        </w:rPr>
        <w:t>A</w:t>
      </w:r>
      <w:r w:rsidRPr="00B82642" w:rsidR="00024EF4">
        <w:rPr>
          <w:rFonts w:ascii="Corbel" w:hAnsi="Corbel"/>
        </w:rPr>
        <w:t>.</w:t>
      </w:r>
      <w:r w:rsidRPr="00B82642" w:rsidR="00D55958">
        <w:rPr>
          <w:rFonts w:ascii="Corbel" w:hAnsi="Corbel"/>
        </w:rPr>
        <w:t>4.</w:t>
      </w:r>
      <w:r w:rsidRPr="00B82642" w:rsidR="00024EF4">
        <w:rPr>
          <w:rFonts w:ascii="Corbel" w:hAnsi="Corbel"/>
        </w:rPr>
        <w:tab/>
        <w:t>Efforts to Identify Duplication</w:t>
      </w:r>
    </w:p>
    <w:p w:rsidR="00B72B5D" w:rsidP="00D67F24" w:rsidRDefault="00B72B5D" w14:paraId="1CE700D8" w14:textId="65182E57"/>
    <w:p w:rsidRPr="0005290E" w:rsidR="0005290E" w:rsidP="00D67F24" w:rsidRDefault="0005290E" w14:paraId="37583BC1" w14:textId="132D549D">
      <w:pPr>
        <w:rPr>
          <w:rStyle w:val="Hyperlink"/>
          <w:rFonts w:ascii="Corbel" w:hAnsi="Corbel"/>
          <w:bCs/>
          <w:color w:val="auto"/>
          <w:sz w:val="22"/>
          <w:szCs w:val="22"/>
          <w:u w:val="none"/>
        </w:rPr>
      </w:pPr>
      <w:r w:rsidRPr="0005290E">
        <w:rPr>
          <w:rStyle w:val="Hyperlink"/>
          <w:rFonts w:ascii="Corbel" w:hAnsi="Corbel"/>
          <w:bCs/>
          <w:color w:val="auto"/>
          <w:sz w:val="22"/>
          <w:szCs w:val="22"/>
          <w:u w:val="none"/>
        </w:rPr>
        <w:t xml:space="preserve">As noted in the section above, to the best of </w:t>
      </w:r>
      <w:r w:rsidR="008F47B1">
        <w:rPr>
          <w:rStyle w:val="Hyperlink"/>
          <w:rFonts w:ascii="Corbel" w:hAnsi="Corbel"/>
          <w:bCs/>
          <w:color w:val="auto"/>
          <w:sz w:val="22"/>
          <w:szCs w:val="22"/>
          <w:u w:val="none"/>
        </w:rPr>
        <w:t>IMLS’s and PPG’s</w:t>
      </w:r>
      <w:r w:rsidRPr="0005290E">
        <w:rPr>
          <w:rStyle w:val="Hyperlink"/>
          <w:rFonts w:ascii="Corbel" w:hAnsi="Corbel"/>
          <w:bCs/>
          <w:color w:val="auto"/>
          <w:sz w:val="22"/>
          <w:szCs w:val="22"/>
          <w:u w:val="none"/>
        </w:rPr>
        <w:t xml:space="preserve"> knowledge, no similar study examining </w:t>
      </w:r>
      <w:r w:rsidR="004D5643">
        <w:rPr>
          <w:rStyle w:val="Hyperlink"/>
          <w:rFonts w:ascii="Corbel" w:hAnsi="Corbel"/>
          <w:bCs/>
          <w:color w:val="auto"/>
          <w:sz w:val="22"/>
          <w:szCs w:val="22"/>
          <w:u w:val="none"/>
        </w:rPr>
        <w:t>capacity-building</w:t>
      </w:r>
      <w:r w:rsidRPr="0005290E">
        <w:rPr>
          <w:rStyle w:val="Hyperlink"/>
          <w:rFonts w:ascii="Corbel" w:hAnsi="Corbel"/>
          <w:bCs/>
          <w:color w:val="auto"/>
          <w:sz w:val="22"/>
          <w:szCs w:val="22"/>
          <w:u w:val="none"/>
        </w:rPr>
        <w:t xml:space="preserve"> effectiveness in the museum sector has been conducted in the past. While the Official Museum Directory and the American Alliance of Museums (AAM) collect contact and background information quarterly from museums across the United States, no other identity has surveyed this particular population about the state of capacity building in the museum sector. Where possible, PPG will leverage existing data to minimize the burden on respondents and limit duplication of efforts. </w:t>
      </w:r>
    </w:p>
    <w:p w:rsidRPr="0005290E" w:rsidR="0005290E" w:rsidP="00D67F24" w:rsidRDefault="0005290E" w14:paraId="4EF91B67" w14:textId="77777777">
      <w:pPr>
        <w:rPr>
          <w:rStyle w:val="Hyperlink"/>
          <w:rFonts w:ascii="Corbel" w:hAnsi="Corbel"/>
          <w:bCs/>
          <w:color w:val="auto"/>
          <w:sz w:val="22"/>
          <w:szCs w:val="22"/>
          <w:u w:val="none"/>
        </w:rPr>
      </w:pPr>
    </w:p>
    <w:p w:rsidRPr="0005290E" w:rsidR="0005290E" w:rsidP="00D67F24" w:rsidRDefault="0005290E" w14:paraId="459D126A" w14:textId="77777777">
      <w:pPr>
        <w:rPr>
          <w:rStyle w:val="Hyperlink"/>
          <w:rFonts w:ascii="Corbel" w:hAnsi="Corbel"/>
          <w:bCs/>
          <w:color w:val="auto"/>
          <w:sz w:val="22"/>
          <w:szCs w:val="22"/>
          <w:u w:val="none"/>
        </w:rPr>
      </w:pPr>
      <w:r w:rsidRPr="0005290E">
        <w:rPr>
          <w:rStyle w:val="Hyperlink"/>
          <w:rFonts w:ascii="Corbel" w:hAnsi="Corbel"/>
          <w:bCs/>
          <w:color w:val="auto"/>
          <w:sz w:val="22"/>
          <w:szCs w:val="22"/>
          <w:u w:val="none"/>
        </w:rPr>
        <w:t>Individual funders, such as IMLS, have evaluated the effectiveness of their own unique programs to varying degrees, but no formal data collection activities have explored such topics as the:</w:t>
      </w:r>
    </w:p>
    <w:p w:rsidRPr="0005290E" w:rsidR="0005290E" w:rsidP="00D67F24" w:rsidRDefault="0005290E" w14:paraId="35D837BD" w14:textId="77777777">
      <w:pPr>
        <w:pStyle w:val="ListParagraph"/>
        <w:numPr>
          <w:ilvl w:val="0"/>
          <w:numId w:val="9"/>
        </w:numPr>
        <w:rPr>
          <w:rStyle w:val="Hyperlink"/>
          <w:rFonts w:ascii="Corbel" w:hAnsi="Corbel"/>
          <w:bCs/>
          <w:color w:val="auto"/>
          <w:sz w:val="22"/>
          <w:szCs w:val="22"/>
          <w:u w:val="none"/>
        </w:rPr>
      </w:pPr>
      <w:r w:rsidRPr="0005290E">
        <w:rPr>
          <w:rStyle w:val="Hyperlink"/>
          <w:rFonts w:ascii="Corbel" w:hAnsi="Corbel"/>
          <w:bCs/>
          <w:color w:val="auto"/>
          <w:sz w:val="22"/>
          <w:szCs w:val="22"/>
          <w:u w:val="none"/>
        </w:rPr>
        <w:t>Market profile and penetration of capacity building in the museum sector</w:t>
      </w:r>
    </w:p>
    <w:p w:rsidRPr="0005290E" w:rsidR="0005290E" w:rsidP="00D67F24" w:rsidRDefault="0005290E" w14:paraId="42DF0F39" w14:textId="77777777">
      <w:pPr>
        <w:pStyle w:val="ListParagraph"/>
        <w:numPr>
          <w:ilvl w:val="0"/>
          <w:numId w:val="9"/>
        </w:numPr>
        <w:rPr>
          <w:rStyle w:val="Hyperlink"/>
          <w:rFonts w:ascii="Corbel" w:hAnsi="Corbel"/>
          <w:bCs/>
          <w:color w:val="auto"/>
          <w:sz w:val="22"/>
          <w:szCs w:val="22"/>
          <w:u w:val="none"/>
        </w:rPr>
      </w:pPr>
      <w:r w:rsidRPr="0005290E">
        <w:rPr>
          <w:rStyle w:val="Hyperlink"/>
          <w:rFonts w:ascii="Corbel" w:hAnsi="Corbel"/>
          <w:bCs/>
          <w:color w:val="auto"/>
          <w:sz w:val="22"/>
          <w:szCs w:val="22"/>
          <w:u w:val="none"/>
        </w:rPr>
        <w:t>Drivers of participation</w:t>
      </w:r>
    </w:p>
    <w:p w:rsidRPr="0005290E" w:rsidR="0005290E" w:rsidP="00D67F24" w:rsidRDefault="0005290E" w14:paraId="0257D514" w14:textId="77777777">
      <w:pPr>
        <w:pStyle w:val="ListParagraph"/>
        <w:numPr>
          <w:ilvl w:val="0"/>
          <w:numId w:val="9"/>
        </w:numPr>
        <w:rPr>
          <w:rStyle w:val="Hyperlink"/>
          <w:rFonts w:ascii="Corbel" w:hAnsi="Corbel"/>
          <w:bCs/>
          <w:color w:val="auto"/>
          <w:sz w:val="22"/>
          <w:szCs w:val="22"/>
          <w:u w:val="none"/>
        </w:rPr>
      </w:pPr>
      <w:r w:rsidRPr="0005290E">
        <w:rPr>
          <w:rStyle w:val="Hyperlink"/>
          <w:rFonts w:ascii="Corbel" w:hAnsi="Corbel"/>
          <w:bCs/>
          <w:color w:val="auto"/>
          <w:sz w:val="22"/>
          <w:szCs w:val="22"/>
          <w:u w:val="none"/>
        </w:rPr>
        <w:t>Critical field-wide needs not being met</w:t>
      </w:r>
    </w:p>
    <w:p w:rsidRPr="0005290E" w:rsidR="0005290E" w:rsidP="00D67F24" w:rsidRDefault="0005290E" w14:paraId="7E960BCC" w14:textId="4D13CFE5">
      <w:pPr>
        <w:pStyle w:val="ListParagraph"/>
        <w:numPr>
          <w:ilvl w:val="0"/>
          <w:numId w:val="9"/>
        </w:numPr>
        <w:rPr>
          <w:rStyle w:val="Hyperlink"/>
          <w:rFonts w:ascii="Corbel" w:hAnsi="Corbel"/>
          <w:bCs/>
          <w:color w:val="auto"/>
          <w:sz w:val="22"/>
          <w:szCs w:val="22"/>
          <w:u w:val="none"/>
        </w:rPr>
      </w:pPr>
      <w:r w:rsidRPr="0005290E">
        <w:rPr>
          <w:rStyle w:val="Hyperlink"/>
          <w:rFonts w:ascii="Corbel" w:hAnsi="Corbel"/>
          <w:bCs/>
          <w:color w:val="auto"/>
          <w:sz w:val="22"/>
          <w:szCs w:val="22"/>
          <w:u w:val="none"/>
        </w:rPr>
        <w:t xml:space="preserve">Perceived values of </w:t>
      </w:r>
      <w:r w:rsidR="004D5643">
        <w:rPr>
          <w:rStyle w:val="Hyperlink"/>
          <w:rFonts w:ascii="Corbel" w:hAnsi="Corbel"/>
          <w:bCs/>
          <w:color w:val="auto"/>
          <w:sz w:val="22"/>
          <w:szCs w:val="22"/>
          <w:u w:val="none"/>
        </w:rPr>
        <w:t>capacity-building</w:t>
      </w:r>
      <w:r w:rsidRPr="0005290E">
        <w:rPr>
          <w:rStyle w:val="Hyperlink"/>
          <w:rFonts w:ascii="Corbel" w:hAnsi="Corbel"/>
          <w:bCs/>
          <w:color w:val="auto"/>
          <w:sz w:val="22"/>
          <w:szCs w:val="22"/>
          <w:u w:val="none"/>
        </w:rPr>
        <w:t xml:space="preserve"> offerings</w:t>
      </w:r>
    </w:p>
    <w:p w:rsidRPr="0005290E" w:rsidR="0005290E" w:rsidP="00D67F24" w:rsidRDefault="0005290E" w14:paraId="5D4F7F68" w14:textId="0C1B5B43">
      <w:pPr>
        <w:pStyle w:val="ListParagraph"/>
        <w:numPr>
          <w:ilvl w:val="0"/>
          <w:numId w:val="9"/>
        </w:numPr>
        <w:rPr>
          <w:rStyle w:val="Hyperlink"/>
          <w:rFonts w:ascii="Corbel" w:hAnsi="Corbel"/>
          <w:bCs/>
          <w:color w:val="auto"/>
          <w:sz w:val="22"/>
          <w:szCs w:val="22"/>
          <w:u w:val="none"/>
        </w:rPr>
      </w:pPr>
      <w:r w:rsidRPr="0005290E">
        <w:rPr>
          <w:rStyle w:val="Hyperlink"/>
          <w:rFonts w:ascii="Corbel" w:hAnsi="Corbel"/>
          <w:bCs/>
          <w:color w:val="auto"/>
          <w:sz w:val="22"/>
          <w:szCs w:val="22"/>
          <w:u w:val="none"/>
        </w:rPr>
        <w:t xml:space="preserve">Adoption and sustainability of </w:t>
      </w:r>
      <w:r w:rsidR="004D5643">
        <w:rPr>
          <w:rStyle w:val="Hyperlink"/>
          <w:rFonts w:ascii="Corbel" w:hAnsi="Corbel"/>
          <w:bCs/>
          <w:color w:val="auto"/>
          <w:sz w:val="22"/>
          <w:szCs w:val="22"/>
          <w:u w:val="none"/>
        </w:rPr>
        <w:t>capacity-building</w:t>
      </w:r>
      <w:r w:rsidRPr="0005290E">
        <w:rPr>
          <w:rStyle w:val="Hyperlink"/>
          <w:rFonts w:ascii="Corbel" w:hAnsi="Corbel"/>
          <w:bCs/>
          <w:color w:val="auto"/>
          <w:sz w:val="22"/>
          <w:szCs w:val="22"/>
          <w:u w:val="none"/>
        </w:rPr>
        <w:t xml:space="preserve"> interventions</w:t>
      </w:r>
    </w:p>
    <w:p w:rsidRPr="0005290E" w:rsidR="0005290E" w:rsidP="00D67F24" w:rsidRDefault="0005290E" w14:paraId="4DD791B8" w14:textId="77777777">
      <w:pPr>
        <w:rPr>
          <w:rStyle w:val="Hyperlink"/>
          <w:rFonts w:ascii="Corbel" w:hAnsi="Corbel"/>
          <w:bCs/>
          <w:color w:val="auto"/>
          <w:sz w:val="22"/>
          <w:szCs w:val="22"/>
          <w:u w:val="none"/>
        </w:rPr>
      </w:pPr>
    </w:p>
    <w:p w:rsidRPr="0005290E" w:rsidR="0005290E" w:rsidP="00D67F24" w:rsidRDefault="005E1210" w14:paraId="6B688E45" w14:textId="6B87FB33">
      <w:pPr>
        <w:rPr>
          <w:rStyle w:val="Hyperlink"/>
          <w:rFonts w:ascii="Corbel" w:hAnsi="Corbel"/>
          <w:bCs/>
          <w:color w:val="auto"/>
          <w:sz w:val="22"/>
          <w:szCs w:val="22"/>
          <w:u w:val="none"/>
        </w:rPr>
      </w:pPr>
      <w:r>
        <w:rPr>
          <w:rStyle w:val="Hyperlink"/>
          <w:rFonts w:ascii="Corbel" w:hAnsi="Corbel"/>
          <w:bCs/>
          <w:color w:val="auto"/>
          <w:sz w:val="22"/>
          <w:szCs w:val="22"/>
          <w:u w:val="none"/>
        </w:rPr>
        <w:t xml:space="preserve">Two other IMLS-funded studies in the recent past surveyed and/or interviewed museum staff members but did not include the </w:t>
      </w:r>
      <w:r w:rsidR="004D5643">
        <w:rPr>
          <w:rStyle w:val="Hyperlink"/>
          <w:rFonts w:ascii="Corbel" w:hAnsi="Corbel"/>
          <w:bCs/>
          <w:color w:val="auto"/>
          <w:sz w:val="22"/>
          <w:szCs w:val="22"/>
          <w:u w:val="none"/>
        </w:rPr>
        <w:t>capacity-building</w:t>
      </w:r>
      <w:r>
        <w:rPr>
          <w:rStyle w:val="Hyperlink"/>
          <w:rFonts w:ascii="Corbel" w:hAnsi="Corbel"/>
          <w:bCs/>
          <w:color w:val="auto"/>
          <w:sz w:val="22"/>
          <w:szCs w:val="22"/>
          <w:u w:val="none"/>
        </w:rPr>
        <w:t xml:space="preserve"> topics that are the focus of the proposed </w:t>
      </w:r>
      <w:r w:rsidRPr="005E1210">
        <w:rPr>
          <w:rStyle w:val="Hyperlink"/>
          <w:rFonts w:ascii="Corbel" w:hAnsi="Corbel"/>
          <w:bCs/>
          <w:color w:val="auto"/>
          <w:sz w:val="22"/>
          <w:szCs w:val="22"/>
          <w:u w:val="none"/>
        </w:rPr>
        <w:t xml:space="preserve">Market Analysis and Opportunity Assessment of Museum </w:t>
      </w:r>
      <w:r w:rsidR="004D5643">
        <w:rPr>
          <w:rStyle w:val="Hyperlink"/>
          <w:rFonts w:ascii="Corbel" w:hAnsi="Corbel"/>
          <w:bCs/>
          <w:color w:val="auto"/>
          <w:sz w:val="22"/>
          <w:szCs w:val="22"/>
          <w:u w:val="none"/>
        </w:rPr>
        <w:t>Capacity-building</w:t>
      </w:r>
      <w:r w:rsidRPr="005E1210">
        <w:rPr>
          <w:rStyle w:val="Hyperlink"/>
          <w:rFonts w:ascii="Corbel" w:hAnsi="Corbel"/>
          <w:bCs/>
          <w:color w:val="auto"/>
          <w:sz w:val="22"/>
          <w:szCs w:val="22"/>
          <w:u w:val="none"/>
        </w:rPr>
        <w:t xml:space="preserve"> Programs.</w:t>
      </w:r>
      <w:r>
        <w:rPr>
          <w:rStyle w:val="Hyperlink"/>
          <w:rFonts w:ascii="Corbel" w:hAnsi="Corbel"/>
          <w:bCs/>
          <w:color w:val="auto"/>
          <w:sz w:val="22"/>
          <w:szCs w:val="22"/>
          <w:u w:val="none"/>
        </w:rPr>
        <w:t xml:space="preserve"> </w:t>
      </w:r>
      <w:r w:rsidRPr="0005290E" w:rsidR="0005290E">
        <w:rPr>
          <w:rStyle w:val="Hyperlink"/>
          <w:rFonts w:ascii="Corbel" w:hAnsi="Corbel"/>
          <w:bCs/>
          <w:color w:val="auto"/>
          <w:sz w:val="22"/>
          <w:szCs w:val="22"/>
          <w:u w:val="none"/>
        </w:rPr>
        <w:t>IMLS</w:t>
      </w:r>
      <w:r>
        <w:rPr>
          <w:rStyle w:val="Hyperlink"/>
          <w:rFonts w:ascii="Corbel" w:hAnsi="Corbel"/>
          <w:bCs/>
          <w:color w:val="auto"/>
          <w:sz w:val="22"/>
          <w:szCs w:val="22"/>
          <w:u w:val="none"/>
        </w:rPr>
        <w:t>’</w:t>
      </w:r>
      <w:r w:rsidRPr="0005290E" w:rsidR="0005290E">
        <w:rPr>
          <w:rStyle w:val="Hyperlink"/>
          <w:rFonts w:ascii="Corbel" w:hAnsi="Corbel"/>
          <w:bCs/>
          <w:color w:val="auto"/>
          <w:sz w:val="22"/>
          <w:szCs w:val="22"/>
          <w:u w:val="none"/>
        </w:rPr>
        <w:t xml:space="preserve"> 2014 Heritage Health Information Survey (HHIS), receive</w:t>
      </w:r>
      <w:r>
        <w:rPr>
          <w:rStyle w:val="Hyperlink"/>
          <w:rFonts w:ascii="Corbel" w:hAnsi="Corbel"/>
          <w:bCs/>
          <w:color w:val="auto"/>
          <w:sz w:val="22"/>
          <w:szCs w:val="22"/>
          <w:u w:val="none"/>
        </w:rPr>
        <w:t>d</w:t>
      </w:r>
      <w:r w:rsidRPr="0005290E" w:rsidR="0005290E">
        <w:rPr>
          <w:rStyle w:val="Hyperlink"/>
          <w:rFonts w:ascii="Corbel" w:hAnsi="Corbel"/>
          <w:bCs/>
          <w:color w:val="auto"/>
          <w:sz w:val="22"/>
          <w:szCs w:val="22"/>
          <w:u w:val="none"/>
        </w:rPr>
        <w:t xml:space="preserve"> responses from 1,714 institutional respondents</w:t>
      </w:r>
      <w:r>
        <w:rPr>
          <w:rStyle w:val="Hyperlink"/>
          <w:rFonts w:ascii="Corbel" w:hAnsi="Corbel"/>
          <w:bCs/>
          <w:color w:val="auto"/>
          <w:sz w:val="22"/>
          <w:szCs w:val="22"/>
          <w:u w:val="none"/>
        </w:rPr>
        <w:t xml:space="preserve">. The HHIS </w:t>
      </w:r>
      <w:r w:rsidRPr="0005290E" w:rsidR="0005290E">
        <w:rPr>
          <w:rStyle w:val="Hyperlink"/>
          <w:rFonts w:ascii="Corbel" w:hAnsi="Corbel"/>
          <w:bCs/>
          <w:color w:val="auto"/>
          <w:sz w:val="22"/>
          <w:szCs w:val="22"/>
          <w:u w:val="none"/>
        </w:rPr>
        <w:t xml:space="preserve">scope was limited to understanding the extent of collecting institutions' commitment to collections </w:t>
      </w:r>
      <w:r w:rsidRPr="0005290E" w:rsidR="0005290E">
        <w:rPr>
          <w:rStyle w:val="Hyperlink"/>
          <w:rFonts w:ascii="Corbel" w:hAnsi="Corbel"/>
          <w:bCs/>
          <w:color w:val="auto"/>
          <w:sz w:val="22"/>
          <w:szCs w:val="22"/>
          <w:u w:val="none"/>
        </w:rPr>
        <w:lastRenderedPageBreak/>
        <w:t xml:space="preserve">preservation </w:t>
      </w:r>
      <w:r w:rsidR="000B7B4D">
        <w:rPr>
          <w:rStyle w:val="Hyperlink"/>
          <w:rFonts w:ascii="Corbel" w:hAnsi="Corbel"/>
          <w:bCs/>
          <w:color w:val="auto"/>
          <w:sz w:val="22"/>
          <w:szCs w:val="22"/>
          <w:u w:val="none"/>
        </w:rPr>
        <w:t>at</w:t>
      </w:r>
      <w:r w:rsidRPr="0005290E" w:rsidR="0005290E">
        <w:rPr>
          <w:rStyle w:val="Hyperlink"/>
          <w:rFonts w:ascii="Corbel" w:hAnsi="Corbel"/>
          <w:bCs/>
          <w:color w:val="auto"/>
          <w:sz w:val="22"/>
          <w:szCs w:val="22"/>
          <w:u w:val="none"/>
        </w:rPr>
        <w:t xml:space="preserve"> institutions including museums, </w:t>
      </w:r>
      <w:r w:rsidR="000B7B4D">
        <w:rPr>
          <w:rStyle w:val="Hyperlink"/>
          <w:rFonts w:ascii="Corbel" w:hAnsi="Corbel"/>
          <w:bCs/>
          <w:color w:val="auto"/>
          <w:sz w:val="22"/>
          <w:szCs w:val="22"/>
          <w:u w:val="none"/>
        </w:rPr>
        <w:t xml:space="preserve">historical societies, </w:t>
      </w:r>
      <w:r w:rsidRPr="0005290E" w:rsidR="0005290E">
        <w:rPr>
          <w:rStyle w:val="Hyperlink"/>
          <w:rFonts w:ascii="Corbel" w:hAnsi="Corbel"/>
          <w:bCs/>
          <w:color w:val="auto"/>
          <w:sz w:val="22"/>
          <w:szCs w:val="22"/>
          <w:u w:val="none"/>
        </w:rPr>
        <w:t xml:space="preserve">and others. </w:t>
      </w:r>
      <w:r>
        <w:rPr>
          <w:rStyle w:val="Hyperlink"/>
          <w:rFonts w:ascii="Corbel" w:hAnsi="Corbel"/>
          <w:bCs/>
          <w:color w:val="auto"/>
          <w:sz w:val="22"/>
          <w:szCs w:val="22"/>
          <w:u w:val="none"/>
        </w:rPr>
        <w:t xml:space="preserve">The second study, initiated in 2016 by </w:t>
      </w:r>
      <w:r w:rsidRPr="00D3322F" w:rsidR="0005290E">
        <w:rPr>
          <w:rStyle w:val="Hyperlink"/>
          <w:rFonts w:ascii="Corbel" w:hAnsi="Corbel"/>
          <w:bCs/>
          <w:color w:val="auto"/>
          <w:sz w:val="22"/>
          <w:szCs w:val="22"/>
          <w:u w:val="none"/>
        </w:rPr>
        <w:t>the Reinvestment Fund and the University of Pennsylvania's Social Impact of the Arts Project</w:t>
      </w:r>
      <w:r w:rsidR="00372CF5">
        <w:rPr>
          <w:rStyle w:val="Hyperlink"/>
          <w:rFonts w:ascii="Corbel" w:hAnsi="Corbel"/>
          <w:bCs/>
          <w:color w:val="auto"/>
          <w:sz w:val="22"/>
          <w:szCs w:val="22"/>
          <w:u w:val="none"/>
        </w:rPr>
        <w:t>,</w:t>
      </w:r>
      <w:r>
        <w:rPr>
          <w:rStyle w:val="Hyperlink"/>
          <w:rFonts w:ascii="Corbel" w:hAnsi="Corbel"/>
          <w:bCs/>
          <w:color w:val="auto"/>
          <w:sz w:val="22"/>
          <w:szCs w:val="22"/>
          <w:u w:val="none"/>
        </w:rPr>
        <w:t xml:space="preserve"> included </w:t>
      </w:r>
      <w:r w:rsidRPr="00D3322F">
        <w:rPr>
          <w:rStyle w:val="Hyperlink"/>
          <w:rFonts w:ascii="Corbel" w:hAnsi="Corbel"/>
          <w:bCs/>
          <w:color w:val="auto"/>
          <w:sz w:val="22"/>
          <w:szCs w:val="22"/>
          <w:u w:val="none"/>
        </w:rPr>
        <w:t>interview</w:t>
      </w:r>
      <w:r>
        <w:rPr>
          <w:rStyle w:val="Hyperlink"/>
          <w:rFonts w:ascii="Corbel" w:hAnsi="Corbel"/>
          <w:bCs/>
          <w:color w:val="auto"/>
          <w:sz w:val="22"/>
          <w:szCs w:val="22"/>
          <w:u w:val="none"/>
        </w:rPr>
        <w:t>s</w:t>
      </w:r>
      <w:r w:rsidRPr="00D3322F">
        <w:rPr>
          <w:rStyle w:val="Hyperlink"/>
          <w:rFonts w:ascii="Corbel" w:hAnsi="Corbel"/>
          <w:bCs/>
          <w:color w:val="auto"/>
          <w:sz w:val="22"/>
          <w:szCs w:val="22"/>
          <w:u w:val="none"/>
        </w:rPr>
        <w:t xml:space="preserve"> </w:t>
      </w:r>
      <w:r w:rsidRPr="00D3322F" w:rsidR="0005290E">
        <w:rPr>
          <w:rStyle w:val="Hyperlink"/>
          <w:rFonts w:ascii="Corbel" w:hAnsi="Corbel"/>
          <w:bCs/>
          <w:color w:val="auto"/>
          <w:sz w:val="22"/>
          <w:szCs w:val="22"/>
          <w:u w:val="none"/>
        </w:rPr>
        <w:t xml:space="preserve">and </w:t>
      </w:r>
      <w:r w:rsidRPr="00D3322F">
        <w:rPr>
          <w:rStyle w:val="Hyperlink"/>
          <w:rFonts w:ascii="Corbel" w:hAnsi="Corbel"/>
          <w:bCs/>
          <w:color w:val="auto"/>
          <w:sz w:val="22"/>
          <w:szCs w:val="22"/>
          <w:u w:val="none"/>
        </w:rPr>
        <w:t>survey</w:t>
      </w:r>
      <w:r>
        <w:rPr>
          <w:rStyle w:val="Hyperlink"/>
          <w:rFonts w:ascii="Corbel" w:hAnsi="Corbel"/>
          <w:bCs/>
          <w:color w:val="auto"/>
          <w:sz w:val="22"/>
          <w:szCs w:val="22"/>
          <w:u w:val="none"/>
        </w:rPr>
        <w:t>s about how</w:t>
      </w:r>
      <w:r w:rsidRPr="00D3322F" w:rsidR="0005290E">
        <w:rPr>
          <w:rStyle w:val="Hyperlink"/>
          <w:rFonts w:ascii="Corbel" w:hAnsi="Corbel"/>
          <w:bCs/>
          <w:color w:val="auto"/>
          <w:sz w:val="22"/>
          <w:szCs w:val="22"/>
          <w:u w:val="none"/>
        </w:rPr>
        <w:t xml:space="preserve"> museums and libraries address community challenges</w:t>
      </w:r>
      <w:r w:rsidR="00D44B38">
        <w:rPr>
          <w:rStyle w:val="Hyperlink"/>
          <w:rFonts w:ascii="Corbel" w:hAnsi="Corbel"/>
          <w:bCs/>
          <w:color w:val="auto"/>
          <w:sz w:val="22"/>
          <w:szCs w:val="22"/>
          <w:u w:val="none"/>
        </w:rPr>
        <w:t xml:space="preserve"> but </w:t>
      </w:r>
      <w:r w:rsidRPr="00D3322F" w:rsidR="0005290E">
        <w:rPr>
          <w:rStyle w:val="Hyperlink"/>
          <w:rFonts w:ascii="Corbel" w:hAnsi="Corbel"/>
          <w:bCs/>
          <w:color w:val="auto"/>
          <w:sz w:val="22"/>
          <w:szCs w:val="22"/>
          <w:u w:val="none"/>
        </w:rPr>
        <w:t>did not address topics ab</w:t>
      </w:r>
      <w:r w:rsidR="00625E1C">
        <w:rPr>
          <w:rStyle w:val="Hyperlink"/>
          <w:rFonts w:ascii="Corbel" w:hAnsi="Corbel"/>
          <w:bCs/>
          <w:color w:val="auto"/>
          <w:sz w:val="22"/>
          <w:szCs w:val="22"/>
          <w:u w:val="none"/>
        </w:rPr>
        <w:t xml:space="preserve">out </w:t>
      </w:r>
      <w:r w:rsidRPr="00D3322F" w:rsidR="0005290E">
        <w:rPr>
          <w:rStyle w:val="Hyperlink"/>
          <w:rFonts w:ascii="Corbel" w:hAnsi="Corbel"/>
          <w:bCs/>
          <w:color w:val="auto"/>
          <w:sz w:val="22"/>
          <w:szCs w:val="22"/>
          <w:u w:val="none"/>
        </w:rPr>
        <w:t xml:space="preserve">capacity building in museums. </w:t>
      </w:r>
    </w:p>
    <w:p w:rsidRPr="00AF37DE" w:rsidR="00B91628" w:rsidP="00D67F24" w:rsidRDefault="00B91628" w14:paraId="0A2B9473" w14:textId="77777777">
      <w:pPr>
        <w:rPr>
          <w:rFonts w:ascii="Corbel" w:hAnsi="Corbel"/>
        </w:rPr>
      </w:pPr>
    </w:p>
    <w:p w:rsidRPr="00B82642" w:rsidR="00D55958" w:rsidP="00D67F24" w:rsidRDefault="00024EF4" w14:paraId="44EABA39" w14:textId="0617BFB3">
      <w:pPr>
        <w:pStyle w:val="Heading2"/>
        <w:rPr>
          <w:rFonts w:ascii="Corbel" w:hAnsi="Corbel"/>
        </w:rPr>
      </w:pPr>
      <w:r w:rsidRPr="00B82642">
        <w:rPr>
          <w:rFonts w:ascii="Corbel" w:hAnsi="Corbel"/>
        </w:rPr>
        <w:t>A.5.</w:t>
      </w:r>
      <w:r w:rsidR="00D41FE8">
        <w:rPr>
          <w:rFonts w:ascii="Corbel" w:hAnsi="Corbel"/>
        </w:rPr>
        <w:tab/>
      </w:r>
      <w:r w:rsidRPr="00B82642">
        <w:rPr>
          <w:rFonts w:ascii="Corbel" w:hAnsi="Corbel"/>
        </w:rPr>
        <w:t>Method Used to Minimize Burden on Small Businesses</w:t>
      </w:r>
    </w:p>
    <w:p w:rsidRPr="00AF37DE" w:rsidR="00980DBA" w:rsidP="00D67F24" w:rsidRDefault="00980DBA" w14:paraId="21A58383" w14:textId="77777777">
      <w:pPr>
        <w:rPr>
          <w:rFonts w:ascii="Corbel" w:hAnsi="Corbel"/>
        </w:rPr>
      </w:pPr>
    </w:p>
    <w:p w:rsidRPr="00A171AF" w:rsidR="00980DBA" w:rsidP="00D67F24" w:rsidRDefault="00DC1B82" w14:paraId="2F9798E2" w14:textId="3FE0916C">
      <w:pPr>
        <w:rPr>
          <w:rFonts w:ascii="Corbel" w:hAnsi="Corbel"/>
          <w:sz w:val="22"/>
          <w:szCs w:val="22"/>
        </w:rPr>
      </w:pPr>
      <w:r w:rsidRPr="00A171AF">
        <w:rPr>
          <w:rFonts w:ascii="Corbel" w:hAnsi="Corbel"/>
          <w:sz w:val="22"/>
          <w:szCs w:val="22"/>
        </w:rPr>
        <w:t xml:space="preserve">This </w:t>
      </w:r>
      <w:r w:rsidRPr="00A171AF" w:rsidR="00980DBA">
        <w:rPr>
          <w:rFonts w:ascii="Corbel" w:hAnsi="Corbel"/>
          <w:sz w:val="22"/>
          <w:szCs w:val="22"/>
        </w:rPr>
        <w:t xml:space="preserve">survey will be administered to </w:t>
      </w:r>
      <w:r w:rsidRPr="00A171AF">
        <w:rPr>
          <w:rFonts w:ascii="Corbel" w:hAnsi="Corbel"/>
          <w:sz w:val="22"/>
          <w:szCs w:val="22"/>
        </w:rPr>
        <w:t>small</w:t>
      </w:r>
      <w:r w:rsidRPr="00A171AF" w:rsidR="00F751A7">
        <w:rPr>
          <w:rFonts w:ascii="Corbel" w:hAnsi="Corbel"/>
          <w:sz w:val="22"/>
          <w:szCs w:val="22"/>
        </w:rPr>
        <w:t>-</w:t>
      </w:r>
      <w:r w:rsidRPr="00A171AF">
        <w:rPr>
          <w:rFonts w:ascii="Corbel" w:hAnsi="Corbel"/>
          <w:sz w:val="22"/>
          <w:szCs w:val="22"/>
        </w:rPr>
        <w:t xml:space="preserve">and </w:t>
      </w:r>
      <w:r w:rsidR="00312657">
        <w:rPr>
          <w:rFonts w:ascii="Corbel" w:hAnsi="Corbel"/>
          <w:sz w:val="22"/>
          <w:szCs w:val="22"/>
        </w:rPr>
        <w:t>medium</w:t>
      </w:r>
      <w:r w:rsidRPr="00A171AF">
        <w:rPr>
          <w:rFonts w:ascii="Corbel" w:hAnsi="Corbel"/>
          <w:sz w:val="22"/>
          <w:szCs w:val="22"/>
        </w:rPr>
        <w:t xml:space="preserve">-sized </w:t>
      </w:r>
      <w:r w:rsidRPr="00A171AF" w:rsidR="00980DBA">
        <w:rPr>
          <w:rFonts w:ascii="Corbel" w:hAnsi="Corbel"/>
          <w:sz w:val="22"/>
          <w:szCs w:val="22"/>
        </w:rPr>
        <w:t>museums</w:t>
      </w:r>
      <w:r w:rsidR="00FD4A53">
        <w:rPr>
          <w:rFonts w:ascii="Corbel" w:hAnsi="Corbel"/>
          <w:sz w:val="22"/>
          <w:szCs w:val="22"/>
        </w:rPr>
        <w:t xml:space="preserve"> (defined as those with </w:t>
      </w:r>
      <w:r w:rsidRPr="00A171AF" w:rsidR="00F751A7">
        <w:rPr>
          <w:rFonts w:ascii="Corbel" w:hAnsi="Corbel"/>
          <w:sz w:val="22"/>
          <w:szCs w:val="22"/>
        </w:rPr>
        <w:t>income</w:t>
      </w:r>
      <w:r w:rsidR="00B24E97">
        <w:rPr>
          <w:rFonts w:ascii="Corbel" w:hAnsi="Corbel"/>
          <w:sz w:val="22"/>
          <w:szCs w:val="22"/>
        </w:rPr>
        <w:t>s</w:t>
      </w:r>
      <w:r w:rsidRPr="00A171AF" w:rsidR="00F751A7">
        <w:rPr>
          <w:rFonts w:ascii="Corbel" w:hAnsi="Corbel"/>
          <w:sz w:val="22"/>
          <w:szCs w:val="22"/>
        </w:rPr>
        <w:t xml:space="preserve"> of $4,999,999 </w:t>
      </w:r>
      <w:r w:rsidR="00FD4A53">
        <w:rPr>
          <w:rFonts w:ascii="Corbel" w:hAnsi="Corbel"/>
          <w:sz w:val="22"/>
          <w:szCs w:val="22"/>
        </w:rPr>
        <w:t>or</w:t>
      </w:r>
      <w:r w:rsidRPr="00A171AF" w:rsidR="00F751A7">
        <w:rPr>
          <w:rFonts w:ascii="Corbel" w:hAnsi="Corbel"/>
          <w:sz w:val="22"/>
          <w:szCs w:val="22"/>
        </w:rPr>
        <w:t xml:space="preserve"> less</w:t>
      </w:r>
      <w:r w:rsidR="00FD4A53">
        <w:rPr>
          <w:rFonts w:ascii="Corbel" w:hAnsi="Corbel"/>
          <w:sz w:val="22"/>
          <w:szCs w:val="22"/>
        </w:rPr>
        <w:t>)</w:t>
      </w:r>
      <w:r w:rsidRPr="00A171AF" w:rsidR="00F751A7">
        <w:rPr>
          <w:rFonts w:ascii="Corbel" w:hAnsi="Corbel"/>
          <w:sz w:val="22"/>
          <w:szCs w:val="22"/>
        </w:rPr>
        <w:t xml:space="preserve">. </w:t>
      </w:r>
      <w:r w:rsidRPr="00A171AF">
        <w:rPr>
          <w:rFonts w:ascii="Corbel" w:hAnsi="Corbel"/>
          <w:sz w:val="22"/>
          <w:szCs w:val="22"/>
        </w:rPr>
        <w:t xml:space="preserve">To </w:t>
      </w:r>
      <w:r w:rsidRPr="00A171AF" w:rsidR="00980DBA">
        <w:rPr>
          <w:rFonts w:ascii="Corbel" w:hAnsi="Corbel"/>
          <w:sz w:val="22"/>
          <w:szCs w:val="22"/>
        </w:rPr>
        <w:t xml:space="preserve">minimize the burden on these </w:t>
      </w:r>
      <w:r w:rsidRPr="00A171AF">
        <w:rPr>
          <w:rFonts w:ascii="Corbel" w:hAnsi="Corbel"/>
          <w:sz w:val="22"/>
          <w:szCs w:val="22"/>
        </w:rPr>
        <w:t>museums</w:t>
      </w:r>
      <w:r w:rsidRPr="00A171AF" w:rsidR="00980DBA">
        <w:rPr>
          <w:rFonts w:ascii="Corbel" w:hAnsi="Corbel"/>
          <w:sz w:val="22"/>
          <w:szCs w:val="22"/>
        </w:rPr>
        <w:t xml:space="preserve">, PPG has included only the instructions and survey items essential for </w:t>
      </w:r>
      <w:r w:rsidRPr="00A171AF" w:rsidR="001C71E8">
        <w:rPr>
          <w:rFonts w:ascii="Corbel" w:hAnsi="Corbel"/>
          <w:sz w:val="22"/>
          <w:szCs w:val="22"/>
        </w:rPr>
        <w:t xml:space="preserve">this inquiry. PPG has also ensured the survey will be technologically accessible by </w:t>
      </w:r>
      <w:r w:rsidRPr="00A171AF" w:rsidR="00657F7A">
        <w:rPr>
          <w:rFonts w:ascii="Corbel" w:hAnsi="Corbel"/>
          <w:sz w:val="22"/>
          <w:szCs w:val="22"/>
        </w:rPr>
        <w:t xml:space="preserve">using </w:t>
      </w:r>
      <w:r w:rsidRPr="00A171AF" w:rsidR="001C71E8">
        <w:rPr>
          <w:rFonts w:ascii="Corbel" w:hAnsi="Corbel"/>
          <w:sz w:val="22"/>
          <w:szCs w:val="22"/>
        </w:rPr>
        <w:t xml:space="preserve">the web-based </w:t>
      </w:r>
      <w:proofErr w:type="spellStart"/>
      <w:r w:rsidRPr="00A171AF" w:rsidR="00BD07E2">
        <w:rPr>
          <w:rFonts w:ascii="Corbel" w:hAnsi="Corbel"/>
          <w:sz w:val="22"/>
          <w:szCs w:val="22"/>
        </w:rPr>
        <w:t>SoGoS</w:t>
      </w:r>
      <w:r w:rsidRPr="00A171AF" w:rsidR="001C71E8">
        <w:rPr>
          <w:rFonts w:ascii="Corbel" w:hAnsi="Corbel"/>
          <w:sz w:val="22"/>
          <w:szCs w:val="22"/>
        </w:rPr>
        <w:t>urvey</w:t>
      </w:r>
      <w:proofErr w:type="spellEnd"/>
      <w:r w:rsidRPr="00A171AF" w:rsidR="001C71E8">
        <w:rPr>
          <w:rFonts w:ascii="Corbel" w:hAnsi="Corbel"/>
          <w:sz w:val="22"/>
          <w:szCs w:val="22"/>
        </w:rPr>
        <w:t xml:space="preserve"> platform, which does not require specific browsers or software for survey completion.</w:t>
      </w:r>
    </w:p>
    <w:p w:rsidRPr="00AF37DE" w:rsidR="00FB22F0" w:rsidP="00D67F24" w:rsidRDefault="00FB22F0" w14:paraId="0819A6E1" w14:textId="77777777">
      <w:pPr>
        <w:rPr>
          <w:rFonts w:ascii="Corbel" w:hAnsi="Corbel"/>
        </w:rPr>
      </w:pPr>
    </w:p>
    <w:p w:rsidRPr="00B82642" w:rsidR="00024EF4" w:rsidP="00D67F24" w:rsidRDefault="00DC18EA" w14:paraId="5B23CAD2" w14:textId="6DFA3B0E">
      <w:pPr>
        <w:pStyle w:val="Heading2"/>
        <w:rPr>
          <w:rFonts w:ascii="Corbel" w:hAnsi="Corbel"/>
        </w:rPr>
      </w:pPr>
      <w:r w:rsidRPr="00B82642">
        <w:rPr>
          <w:rFonts w:ascii="Corbel" w:hAnsi="Corbel"/>
        </w:rPr>
        <w:t>A</w:t>
      </w:r>
      <w:r w:rsidRPr="00B82642" w:rsidR="00024EF4">
        <w:rPr>
          <w:rFonts w:ascii="Corbel" w:hAnsi="Corbel"/>
        </w:rPr>
        <w:t>.</w:t>
      </w:r>
      <w:r w:rsidRPr="00B82642" w:rsidR="00D55958">
        <w:rPr>
          <w:rFonts w:ascii="Corbel" w:hAnsi="Corbel"/>
        </w:rPr>
        <w:t>6.</w:t>
      </w:r>
      <w:r w:rsidRPr="00B82642" w:rsidR="00024EF4">
        <w:rPr>
          <w:rFonts w:ascii="Corbel" w:hAnsi="Corbel"/>
        </w:rPr>
        <w:tab/>
        <w:t>Frequency of Data Collection</w:t>
      </w:r>
    </w:p>
    <w:p w:rsidRPr="00AF37DE" w:rsidR="00AE3147" w:rsidP="00D67F24" w:rsidRDefault="00AE3147" w14:paraId="0728C644" w14:textId="77777777">
      <w:pPr>
        <w:rPr>
          <w:rFonts w:ascii="Corbel" w:hAnsi="Corbel"/>
        </w:rPr>
      </w:pPr>
    </w:p>
    <w:p w:rsidRPr="00A171AF" w:rsidR="001C71E8" w:rsidP="00D67F24" w:rsidRDefault="001C71E8" w14:paraId="60415225" w14:textId="220BF3BC">
      <w:pPr>
        <w:keepNext/>
        <w:keepLines/>
        <w:tabs>
          <w:tab w:val="left" w:pos="-1440"/>
          <w:tab w:val="left" w:pos="-720"/>
          <w:tab w:val="left" w:pos="0"/>
          <w:tab w:val="left" w:pos="388"/>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rbel" w:hAnsi="Corbel"/>
          <w:sz w:val="22"/>
          <w:szCs w:val="22"/>
        </w:rPr>
      </w:pPr>
      <w:r w:rsidRPr="00A171AF">
        <w:rPr>
          <w:rFonts w:ascii="Corbel" w:hAnsi="Corbel"/>
          <w:sz w:val="22"/>
          <w:szCs w:val="22"/>
        </w:rPr>
        <w:t xml:space="preserve">This survey will only be administered </w:t>
      </w:r>
      <w:r w:rsidR="006F2156">
        <w:rPr>
          <w:rFonts w:ascii="Corbel" w:hAnsi="Corbel"/>
          <w:sz w:val="22"/>
          <w:szCs w:val="22"/>
        </w:rPr>
        <w:t>once</w:t>
      </w:r>
      <w:r w:rsidRPr="00A171AF">
        <w:rPr>
          <w:rFonts w:ascii="Corbel" w:hAnsi="Corbel"/>
          <w:sz w:val="22"/>
          <w:szCs w:val="22"/>
        </w:rPr>
        <w:t xml:space="preserve">. </w:t>
      </w:r>
    </w:p>
    <w:p w:rsidRPr="00AF37DE" w:rsidR="000726F3" w:rsidP="00D67F24" w:rsidRDefault="000726F3" w14:paraId="49F57153" w14:textId="77777777">
      <w:pPr>
        <w:rPr>
          <w:rFonts w:ascii="Corbel" w:hAnsi="Corbel"/>
        </w:rPr>
      </w:pPr>
    </w:p>
    <w:p w:rsidRPr="00B82642" w:rsidR="00D55958" w:rsidP="00D67F24" w:rsidRDefault="00024EF4" w14:paraId="68095950" w14:textId="5C0E78E3">
      <w:pPr>
        <w:pStyle w:val="Heading2"/>
        <w:rPr>
          <w:rFonts w:ascii="Corbel" w:hAnsi="Corbel"/>
        </w:rPr>
      </w:pPr>
      <w:r w:rsidRPr="00B82642">
        <w:rPr>
          <w:rFonts w:ascii="Corbel" w:hAnsi="Corbel"/>
        </w:rPr>
        <w:t>A.7.</w:t>
      </w:r>
      <w:r w:rsidRPr="00B82642" w:rsidR="00436365">
        <w:rPr>
          <w:rFonts w:ascii="Corbel" w:hAnsi="Corbel"/>
        </w:rPr>
        <w:tab/>
      </w:r>
      <w:r w:rsidRPr="00B82642">
        <w:rPr>
          <w:rFonts w:ascii="Corbel" w:hAnsi="Corbel"/>
        </w:rPr>
        <w:t>Special Circumstances of Data Collection</w:t>
      </w:r>
    </w:p>
    <w:p w:rsidRPr="00AF37DE" w:rsidR="00D55958" w:rsidP="00D67F24" w:rsidRDefault="00D55958" w14:paraId="49B43BF0" w14:textId="77777777">
      <w:pPr>
        <w:rPr>
          <w:rFonts w:ascii="Corbel" w:hAnsi="Corbel"/>
        </w:rPr>
      </w:pPr>
    </w:p>
    <w:p w:rsidRPr="00A171AF" w:rsidR="00C344E0" w:rsidP="00D67F24" w:rsidRDefault="00DC18EA" w14:paraId="226C32EB" w14:textId="77777777">
      <w:pPr>
        <w:rPr>
          <w:rFonts w:ascii="Corbel" w:hAnsi="Corbel"/>
          <w:sz w:val="22"/>
          <w:szCs w:val="22"/>
        </w:rPr>
      </w:pPr>
      <w:r w:rsidRPr="00A171AF">
        <w:rPr>
          <w:rFonts w:ascii="Corbel" w:hAnsi="Corbel"/>
          <w:sz w:val="22"/>
          <w:szCs w:val="22"/>
        </w:rPr>
        <w:t>No special circumstances require the collection to be conducted in a manner inconsistent with the guidelines in 5 CFR 1320.6.</w:t>
      </w:r>
    </w:p>
    <w:p w:rsidRPr="00AF37DE" w:rsidR="000E4EAF" w:rsidP="00D67F24" w:rsidRDefault="000E4EAF" w14:paraId="4E139B9A" w14:textId="77777777">
      <w:pPr>
        <w:rPr>
          <w:rFonts w:ascii="Corbel" w:hAnsi="Corbel"/>
        </w:rPr>
      </w:pPr>
    </w:p>
    <w:p w:rsidRPr="00B82642" w:rsidR="00D55958" w:rsidP="00D67F24" w:rsidRDefault="00C74C0E" w14:paraId="4E2E9A81" w14:textId="799FEF26">
      <w:pPr>
        <w:pStyle w:val="Heading2"/>
        <w:rPr>
          <w:rFonts w:ascii="Corbel" w:hAnsi="Corbel"/>
        </w:rPr>
      </w:pPr>
      <w:r w:rsidRPr="00B82642">
        <w:rPr>
          <w:rFonts w:ascii="Corbel" w:hAnsi="Corbel"/>
        </w:rPr>
        <w:t>A.8.</w:t>
      </w:r>
      <w:r w:rsidRPr="00B82642">
        <w:rPr>
          <w:rFonts w:ascii="Corbel" w:hAnsi="Corbel"/>
        </w:rPr>
        <w:tab/>
        <w:t>Consultation and Feedback from Outside the Agency</w:t>
      </w:r>
    </w:p>
    <w:p w:rsidRPr="00AF37DE" w:rsidR="00C74C0E" w:rsidP="00D67F24" w:rsidRDefault="00C74C0E" w14:paraId="6CEA2040" w14:textId="77777777">
      <w:pPr>
        <w:rPr>
          <w:rFonts w:ascii="Corbel" w:hAnsi="Corbel"/>
        </w:rPr>
      </w:pPr>
    </w:p>
    <w:p w:rsidRPr="00A171AF" w:rsidR="00C74C0E" w:rsidP="00D67F24" w:rsidRDefault="00C74C0E" w14:paraId="6CE42BD6" w14:textId="15F3CBD5">
      <w:pPr>
        <w:pStyle w:val="Heading3"/>
        <w:rPr>
          <w:rFonts w:ascii="Corbel" w:hAnsi="Corbel"/>
          <w:b w:val="0"/>
          <w:bCs/>
        </w:rPr>
      </w:pPr>
      <w:r w:rsidRPr="00A171AF">
        <w:rPr>
          <w:rFonts w:ascii="Corbel" w:hAnsi="Corbel"/>
          <w:b w:val="0"/>
          <w:bCs/>
        </w:rPr>
        <w:t>A.8.1.</w:t>
      </w:r>
      <w:r w:rsidRPr="00A171AF">
        <w:rPr>
          <w:rFonts w:ascii="Corbel" w:hAnsi="Corbel"/>
          <w:b w:val="0"/>
          <w:bCs/>
        </w:rPr>
        <w:tab/>
        <w:t>Public comments solicited through</w:t>
      </w:r>
      <w:r w:rsidR="00B82642">
        <w:rPr>
          <w:rFonts w:ascii="Corbel" w:hAnsi="Corbel"/>
          <w:b w:val="0"/>
          <w:bCs/>
        </w:rPr>
        <w:t xml:space="preserve"> the</w:t>
      </w:r>
      <w:r w:rsidRPr="00A171AF">
        <w:rPr>
          <w:rFonts w:ascii="Corbel" w:hAnsi="Corbel"/>
          <w:b w:val="0"/>
          <w:bCs/>
        </w:rPr>
        <w:t xml:space="preserve"> </w:t>
      </w:r>
      <w:r w:rsidRPr="00A171AF">
        <w:rPr>
          <w:rFonts w:ascii="Corbel" w:hAnsi="Corbel"/>
          <w:b w:val="0"/>
          <w:bCs/>
          <w:i/>
        </w:rPr>
        <w:t>Federal Register</w:t>
      </w:r>
    </w:p>
    <w:p w:rsidR="00C42AF8" w:rsidP="00D67F24" w:rsidRDefault="009F4E6B" w14:paraId="3E2E0127" w14:textId="5341A48B">
      <w:pPr>
        <w:rPr>
          <w:rFonts w:ascii="Corbel" w:hAnsi="Corbel"/>
          <w:sz w:val="22"/>
          <w:szCs w:val="22"/>
        </w:rPr>
      </w:pPr>
      <w:r w:rsidRPr="00A171AF">
        <w:rPr>
          <w:rFonts w:ascii="Corbel" w:hAnsi="Corbel"/>
          <w:sz w:val="22"/>
          <w:szCs w:val="22"/>
        </w:rPr>
        <w:t xml:space="preserve">IMLS published a notice in the </w:t>
      </w:r>
      <w:r w:rsidRPr="00A171AF">
        <w:rPr>
          <w:rFonts w:ascii="Corbel" w:hAnsi="Corbel"/>
          <w:i/>
          <w:iCs/>
          <w:sz w:val="22"/>
          <w:szCs w:val="22"/>
        </w:rPr>
        <w:t>Federal Register</w:t>
      </w:r>
      <w:r w:rsidRPr="00A171AF">
        <w:rPr>
          <w:rFonts w:ascii="Corbel" w:hAnsi="Corbel"/>
          <w:sz w:val="22"/>
          <w:szCs w:val="22"/>
        </w:rPr>
        <w:t xml:space="preserve"> with a 60-day public comment period to announce this proposed information collection on</w:t>
      </w:r>
      <w:r w:rsidR="00295AE0">
        <w:rPr>
          <w:rFonts w:ascii="Corbel" w:hAnsi="Corbel"/>
          <w:sz w:val="22"/>
          <w:szCs w:val="22"/>
        </w:rPr>
        <w:t xml:space="preserve"> February 1, 2019 (</w:t>
      </w:r>
      <w:r w:rsidR="00A13201">
        <w:rPr>
          <w:rFonts w:ascii="Corbel" w:hAnsi="Corbel"/>
          <w:sz w:val="22"/>
          <w:szCs w:val="22"/>
        </w:rPr>
        <w:t>FR</w:t>
      </w:r>
      <w:r w:rsidR="00A13201">
        <w:rPr>
          <w:rFonts w:ascii="Corbel" w:hAnsi="Corbel"/>
          <w:sz w:val="22"/>
          <w:szCs w:val="22"/>
        </w:rPr>
        <w:t xml:space="preserve"> </w:t>
      </w:r>
      <w:r w:rsidR="00295AE0">
        <w:rPr>
          <w:rFonts w:ascii="Corbel" w:hAnsi="Corbel"/>
          <w:sz w:val="22"/>
          <w:szCs w:val="22"/>
        </w:rPr>
        <w:t>84</w:t>
      </w:r>
      <w:r w:rsidR="00A13201">
        <w:rPr>
          <w:rFonts w:ascii="Corbel" w:hAnsi="Corbel"/>
          <w:sz w:val="22"/>
          <w:szCs w:val="22"/>
        </w:rPr>
        <w:t xml:space="preserve"> No 22; page</w:t>
      </w:r>
      <w:r w:rsidR="00295AE0">
        <w:rPr>
          <w:rFonts w:ascii="Corbel" w:hAnsi="Corbel"/>
          <w:sz w:val="22"/>
          <w:szCs w:val="22"/>
        </w:rPr>
        <w:t xml:space="preserve"> 1239)</w:t>
      </w:r>
      <w:r w:rsidRPr="00295AE0" w:rsidR="00C42AF8">
        <w:rPr>
          <w:rFonts w:ascii="Corbel" w:hAnsi="Corbel"/>
          <w:color w:val="000000"/>
        </w:rPr>
        <w:t>.</w:t>
      </w:r>
      <w:r w:rsidR="00295AE0">
        <w:rPr>
          <w:rFonts w:ascii="Corbel" w:hAnsi="Corbel"/>
          <w:color w:val="000000"/>
        </w:rPr>
        <w:t xml:space="preserve"> </w:t>
      </w:r>
      <w:r w:rsidR="00C42AF8">
        <w:rPr>
          <w:rFonts w:ascii="Corbel" w:hAnsi="Corbel"/>
          <w:sz w:val="22"/>
          <w:szCs w:val="22"/>
        </w:rPr>
        <w:t>No comments were received.</w:t>
      </w:r>
    </w:p>
    <w:p w:rsidR="00C42AF8" w:rsidP="00D67F24" w:rsidRDefault="00C42AF8" w14:paraId="40532390" w14:textId="77777777">
      <w:pPr>
        <w:rPr>
          <w:rFonts w:ascii="Corbel" w:hAnsi="Corbel"/>
          <w:sz w:val="22"/>
          <w:szCs w:val="22"/>
        </w:rPr>
      </w:pPr>
    </w:p>
    <w:p w:rsidRPr="00C42AF8" w:rsidR="009F4E6B" w:rsidP="00D67F24" w:rsidRDefault="006478BA" w14:paraId="30DE9DFA" w14:textId="4F4633E4">
      <w:pPr>
        <w:rPr>
          <w:rFonts w:ascii="Corbel" w:hAnsi="Corbel"/>
          <w:i/>
          <w:iCs/>
          <w:sz w:val="22"/>
          <w:szCs w:val="22"/>
        </w:rPr>
      </w:pPr>
      <w:r w:rsidRPr="00C42AF8">
        <w:rPr>
          <w:rFonts w:ascii="Corbel" w:hAnsi="Corbel"/>
          <w:i/>
          <w:iCs/>
          <w:sz w:val="22"/>
          <w:szCs w:val="22"/>
        </w:rPr>
        <w:t xml:space="preserve">The 30-day Federal Register notice </w:t>
      </w:r>
      <w:r w:rsidRPr="00766686">
        <w:rPr>
          <w:rFonts w:ascii="Corbel" w:hAnsi="Corbel"/>
          <w:i/>
          <w:iCs/>
          <w:sz w:val="22"/>
          <w:szCs w:val="22"/>
        </w:rPr>
        <w:t xml:space="preserve">was published on </w:t>
      </w:r>
      <w:r w:rsidR="00A862CD">
        <w:rPr>
          <w:rFonts w:ascii="Corbel" w:hAnsi="Corbel"/>
          <w:i/>
          <w:iCs/>
          <w:sz w:val="22"/>
          <w:szCs w:val="22"/>
        </w:rPr>
        <w:t>March 4,2020</w:t>
      </w:r>
      <w:r w:rsidRPr="00C42AF8">
        <w:rPr>
          <w:rFonts w:ascii="Corbel" w:hAnsi="Corbel"/>
          <w:i/>
          <w:iCs/>
          <w:sz w:val="22"/>
          <w:szCs w:val="22"/>
        </w:rPr>
        <w:t xml:space="preserve"> (</w:t>
      </w:r>
      <w:r w:rsidR="00A13201">
        <w:rPr>
          <w:rFonts w:ascii="Corbel" w:hAnsi="Corbel"/>
          <w:i/>
          <w:iCs/>
          <w:sz w:val="22"/>
          <w:szCs w:val="22"/>
        </w:rPr>
        <w:t xml:space="preserve">FR </w:t>
      </w:r>
      <w:r w:rsidRPr="00C42AF8" w:rsidR="00A862CD">
        <w:rPr>
          <w:rFonts w:ascii="Corbel" w:hAnsi="Corbel"/>
          <w:i/>
          <w:iCs/>
          <w:sz w:val="22"/>
          <w:szCs w:val="22"/>
        </w:rPr>
        <w:t>8</w:t>
      </w:r>
      <w:r w:rsidR="00A862CD">
        <w:rPr>
          <w:rFonts w:ascii="Corbel" w:hAnsi="Corbel"/>
          <w:i/>
          <w:iCs/>
          <w:sz w:val="22"/>
          <w:szCs w:val="22"/>
        </w:rPr>
        <w:t xml:space="preserve">5 </w:t>
      </w:r>
      <w:r w:rsidR="00B56128">
        <w:rPr>
          <w:rFonts w:ascii="Corbel" w:hAnsi="Corbel"/>
          <w:i/>
          <w:iCs/>
          <w:sz w:val="22"/>
          <w:szCs w:val="22"/>
        </w:rPr>
        <w:t>No. 43</w:t>
      </w:r>
      <w:r w:rsidR="00A13201">
        <w:rPr>
          <w:rFonts w:ascii="Corbel" w:hAnsi="Corbel"/>
          <w:i/>
          <w:iCs/>
          <w:sz w:val="22"/>
          <w:szCs w:val="22"/>
        </w:rPr>
        <w:t>;</w:t>
      </w:r>
      <w:r w:rsidR="00766686">
        <w:rPr>
          <w:rFonts w:ascii="Corbel" w:hAnsi="Corbel"/>
          <w:i/>
          <w:iCs/>
          <w:sz w:val="22"/>
          <w:szCs w:val="22"/>
        </w:rPr>
        <w:t xml:space="preserve"> pages </w:t>
      </w:r>
      <w:r w:rsidR="00B56128">
        <w:rPr>
          <w:rFonts w:ascii="Corbel" w:hAnsi="Corbel"/>
          <w:i/>
          <w:iCs/>
          <w:sz w:val="22"/>
          <w:szCs w:val="22"/>
        </w:rPr>
        <w:t>12810-12811</w:t>
      </w:r>
      <w:r w:rsidRPr="00C42AF8">
        <w:rPr>
          <w:rFonts w:ascii="Corbel" w:hAnsi="Corbel"/>
          <w:i/>
          <w:iCs/>
          <w:sz w:val="22"/>
          <w:szCs w:val="22"/>
        </w:rPr>
        <w:t>).</w:t>
      </w:r>
      <w:r w:rsidRPr="00C42AF8" w:rsidR="00840E24">
        <w:rPr>
          <w:rFonts w:ascii="Corbel" w:hAnsi="Corbel"/>
          <w:i/>
          <w:iCs/>
          <w:sz w:val="22"/>
          <w:szCs w:val="22"/>
        </w:rPr>
        <w:t xml:space="preserve"> </w:t>
      </w:r>
    </w:p>
    <w:p w:rsidRPr="00AF37DE" w:rsidR="00D55958" w:rsidP="00D67F24" w:rsidRDefault="00D55958" w14:paraId="675F414E" w14:textId="258A6E48">
      <w:pPr>
        <w:rPr>
          <w:rFonts w:ascii="Corbel" w:hAnsi="Corbel"/>
        </w:rPr>
      </w:pPr>
    </w:p>
    <w:p w:rsidRPr="00A171AF" w:rsidR="00C74C0E" w:rsidP="00D67F24" w:rsidRDefault="00C74C0E" w14:paraId="4C594419" w14:textId="56A37103">
      <w:pPr>
        <w:pStyle w:val="Heading3"/>
        <w:rPr>
          <w:rFonts w:ascii="Corbel" w:hAnsi="Corbel"/>
          <w:b w:val="0"/>
          <w:bCs/>
        </w:rPr>
      </w:pPr>
      <w:r w:rsidRPr="00A171AF">
        <w:rPr>
          <w:rFonts w:ascii="Corbel" w:hAnsi="Corbel"/>
          <w:b w:val="0"/>
          <w:bCs/>
        </w:rPr>
        <w:t>A.8.2.</w:t>
      </w:r>
      <w:r w:rsidRPr="00A171AF">
        <w:rPr>
          <w:rFonts w:ascii="Corbel" w:hAnsi="Corbel"/>
          <w:b w:val="0"/>
          <w:bCs/>
        </w:rPr>
        <w:tab/>
        <w:t xml:space="preserve">Consultants </w:t>
      </w:r>
      <w:r w:rsidRPr="00A171AF" w:rsidR="001B5318">
        <w:rPr>
          <w:rFonts w:ascii="Corbel" w:hAnsi="Corbel"/>
          <w:b w:val="0"/>
          <w:bCs/>
        </w:rPr>
        <w:t>o</w:t>
      </w:r>
      <w:r w:rsidRPr="00A171AF">
        <w:rPr>
          <w:rFonts w:ascii="Corbel" w:hAnsi="Corbel"/>
          <w:b w:val="0"/>
          <w:bCs/>
        </w:rPr>
        <w:t>utside the Agency</w:t>
      </w:r>
    </w:p>
    <w:p w:rsidRPr="00A171AF" w:rsidR="00053EE9" w:rsidP="00D67F24" w:rsidRDefault="00053EE9" w14:paraId="5EB2754B" w14:textId="75545B33">
      <w:pPr>
        <w:rPr>
          <w:rFonts w:ascii="Corbel" w:hAnsi="Corbel"/>
          <w:sz w:val="22"/>
          <w:szCs w:val="22"/>
          <w:lang w:bidi="ar-SA"/>
        </w:rPr>
      </w:pPr>
      <w:r w:rsidRPr="00A171AF">
        <w:rPr>
          <w:rFonts w:ascii="Corbel" w:hAnsi="Corbel"/>
          <w:sz w:val="22"/>
          <w:szCs w:val="22"/>
        </w:rPr>
        <w:t xml:space="preserve">The Steering Committee for this project includes representatives from </w:t>
      </w:r>
      <w:proofErr w:type="spellStart"/>
      <w:r w:rsidRPr="00A171AF">
        <w:rPr>
          <w:rFonts w:ascii="Corbel" w:hAnsi="Corbel"/>
          <w:sz w:val="22"/>
          <w:szCs w:val="22"/>
        </w:rPr>
        <w:t>Kidspace</w:t>
      </w:r>
      <w:proofErr w:type="spellEnd"/>
      <w:r w:rsidRPr="00A171AF">
        <w:rPr>
          <w:rFonts w:ascii="Corbel" w:hAnsi="Corbel"/>
          <w:sz w:val="22"/>
          <w:szCs w:val="22"/>
        </w:rPr>
        <w:t xml:space="preserve"> Children's Museum (Pasadena, CA), National Museum of African American History &amp; Culture (Washington, DC), John. F. Kennedy University</w:t>
      </w:r>
      <w:r w:rsidR="00824C83">
        <w:rPr>
          <w:rFonts w:ascii="Corbel" w:hAnsi="Corbel"/>
          <w:sz w:val="22"/>
          <w:szCs w:val="22"/>
        </w:rPr>
        <w:t xml:space="preserve"> </w:t>
      </w:r>
      <w:r w:rsidRPr="00A171AF">
        <w:rPr>
          <w:rFonts w:ascii="Corbel" w:hAnsi="Corbel"/>
          <w:sz w:val="22"/>
          <w:szCs w:val="22"/>
        </w:rPr>
        <w:t xml:space="preserve">Museum Studies (Pleasant Hill, CA), Kentucky Science Center (Louisville, KY), Coalition of State Museum Associations (Fort Worth, TX), Ohio History Connection (Columbus, OH), Leigh </w:t>
      </w:r>
      <w:proofErr w:type="spellStart"/>
      <w:r w:rsidRPr="00A171AF">
        <w:rPr>
          <w:rFonts w:ascii="Corbel" w:hAnsi="Corbel"/>
          <w:sz w:val="22"/>
          <w:szCs w:val="22"/>
        </w:rPr>
        <w:t>Yawkey</w:t>
      </w:r>
      <w:proofErr w:type="spellEnd"/>
      <w:r w:rsidRPr="00A171AF">
        <w:rPr>
          <w:rFonts w:ascii="Corbel" w:hAnsi="Corbel"/>
          <w:sz w:val="22"/>
          <w:szCs w:val="22"/>
        </w:rPr>
        <w:t xml:space="preserve"> Woodson Art Museum (Wausau, WI), and </w:t>
      </w:r>
      <w:r w:rsidRPr="00A171AF" w:rsidR="00B4679B">
        <w:rPr>
          <w:rFonts w:ascii="Corbel" w:hAnsi="Corbel"/>
          <w:sz w:val="22"/>
          <w:szCs w:val="22"/>
        </w:rPr>
        <w:t xml:space="preserve">COSI’s Center for Research and Evaluation </w:t>
      </w:r>
      <w:r w:rsidRPr="00A171AF">
        <w:rPr>
          <w:rFonts w:ascii="Corbel" w:hAnsi="Corbel"/>
          <w:sz w:val="22"/>
          <w:szCs w:val="22"/>
        </w:rPr>
        <w:t>(Columbus, OH)</w:t>
      </w:r>
      <w:r w:rsidRPr="00A171AF" w:rsidR="00B4679B">
        <w:rPr>
          <w:rFonts w:ascii="Corbel" w:hAnsi="Corbel"/>
          <w:sz w:val="22"/>
          <w:szCs w:val="22"/>
        </w:rPr>
        <w:t>.</w:t>
      </w:r>
    </w:p>
    <w:p w:rsidRPr="00A171AF" w:rsidR="00FB22F0" w:rsidP="00D67F24" w:rsidRDefault="00FB22F0" w14:paraId="59AE15BF" w14:textId="15BD35DB">
      <w:pPr>
        <w:rPr>
          <w:rFonts w:ascii="Corbel" w:hAnsi="Corbel"/>
          <w:sz w:val="22"/>
          <w:szCs w:val="22"/>
        </w:rPr>
      </w:pPr>
    </w:p>
    <w:p w:rsidRPr="00A171AF" w:rsidR="00B4679B" w:rsidP="00D67F24" w:rsidRDefault="00B4679B" w14:paraId="16C7D938" w14:textId="2295C296">
      <w:pPr>
        <w:rPr>
          <w:rFonts w:ascii="Corbel" w:hAnsi="Corbel"/>
          <w:sz w:val="22"/>
          <w:szCs w:val="22"/>
        </w:rPr>
      </w:pPr>
      <w:r w:rsidRPr="00A171AF">
        <w:rPr>
          <w:rFonts w:ascii="Corbel" w:hAnsi="Corbel"/>
          <w:sz w:val="22"/>
          <w:szCs w:val="22"/>
        </w:rPr>
        <w:lastRenderedPageBreak/>
        <w:t xml:space="preserve">The </w:t>
      </w:r>
      <w:r w:rsidRPr="00A171AF" w:rsidR="00E54AEB">
        <w:rPr>
          <w:rFonts w:ascii="Corbel" w:hAnsi="Corbel"/>
          <w:sz w:val="22"/>
          <w:szCs w:val="22"/>
        </w:rPr>
        <w:t>SME</w:t>
      </w:r>
      <w:r w:rsidRPr="00A171AF">
        <w:rPr>
          <w:rFonts w:ascii="Corbel" w:hAnsi="Corbel"/>
          <w:sz w:val="22"/>
          <w:szCs w:val="22"/>
        </w:rPr>
        <w:t xml:space="preserve"> Committee for this project includes representatives from YMCA USA, Robert Wood Johnson Foundation, and the UJA-Federation</w:t>
      </w:r>
      <w:r w:rsidRPr="00A171AF" w:rsidR="00657F7A">
        <w:rPr>
          <w:rFonts w:ascii="Corbel" w:hAnsi="Corbel"/>
          <w:sz w:val="22"/>
          <w:szCs w:val="22"/>
        </w:rPr>
        <w:t xml:space="preserve"> of New York. </w:t>
      </w:r>
    </w:p>
    <w:p w:rsidRPr="00AF37DE" w:rsidR="00B4679B" w:rsidP="00D67F24" w:rsidRDefault="00B4679B" w14:paraId="7EA63C96" w14:textId="77777777">
      <w:pPr>
        <w:rPr>
          <w:rFonts w:ascii="Corbel" w:hAnsi="Corbel"/>
        </w:rPr>
      </w:pPr>
    </w:p>
    <w:p w:rsidRPr="00B82642" w:rsidR="00D55958" w:rsidP="00D67F24" w:rsidRDefault="00C74C0E" w14:paraId="06852206" w14:textId="507261EF">
      <w:pPr>
        <w:pStyle w:val="Heading2"/>
        <w:rPr>
          <w:rFonts w:ascii="Corbel" w:hAnsi="Corbel"/>
        </w:rPr>
      </w:pPr>
      <w:r w:rsidRPr="00B82642">
        <w:rPr>
          <w:rFonts w:ascii="Corbel" w:hAnsi="Corbel"/>
        </w:rPr>
        <w:t>A.9</w:t>
      </w:r>
      <w:r w:rsidR="00D41FE8">
        <w:rPr>
          <w:rFonts w:ascii="Corbel" w:hAnsi="Corbel"/>
        </w:rPr>
        <w:t>.</w:t>
      </w:r>
      <w:r w:rsidR="00D41FE8">
        <w:rPr>
          <w:rFonts w:ascii="Corbel" w:hAnsi="Corbel"/>
        </w:rPr>
        <w:tab/>
      </w:r>
      <w:r w:rsidRPr="00B82642">
        <w:rPr>
          <w:rFonts w:ascii="Corbel" w:hAnsi="Corbel"/>
        </w:rPr>
        <w:t>Provision of Payments or Gifts to Respondents</w:t>
      </w:r>
    </w:p>
    <w:p w:rsidRPr="00AF37DE" w:rsidR="00D55958" w:rsidP="00D67F24" w:rsidRDefault="00D55958" w14:paraId="3C76E74B" w14:textId="77777777">
      <w:pPr>
        <w:rPr>
          <w:rFonts w:ascii="Corbel" w:hAnsi="Corbel"/>
        </w:rPr>
      </w:pPr>
    </w:p>
    <w:p w:rsidRPr="00A171AF" w:rsidR="00600ABD" w:rsidP="00D67F24" w:rsidRDefault="00600ABD" w14:paraId="3893FB0B" w14:textId="77777777">
      <w:pPr>
        <w:rPr>
          <w:rFonts w:ascii="Corbel" w:hAnsi="Corbel"/>
          <w:sz w:val="22"/>
          <w:szCs w:val="22"/>
        </w:rPr>
      </w:pPr>
      <w:r w:rsidRPr="00A171AF">
        <w:rPr>
          <w:rFonts w:ascii="Corbel" w:hAnsi="Corbel"/>
          <w:sz w:val="22"/>
          <w:szCs w:val="22"/>
        </w:rPr>
        <w:t>There are no payments or gifts to respondents.</w:t>
      </w:r>
    </w:p>
    <w:p w:rsidRPr="00AF37DE" w:rsidR="0069551B" w:rsidP="00D67F24" w:rsidRDefault="0069551B" w14:paraId="42479599" w14:textId="4873EDCD">
      <w:pPr>
        <w:rPr>
          <w:rFonts w:ascii="Corbel" w:hAnsi="Corbel"/>
          <w:b/>
        </w:rPr>
      </w:pPr>
    </w:p>
    <w:p w:rsidRPr="00B82642" w:rsidR="00D55958" w:rsidP="00D67F24" w:rsidRDefault="00C74C0E" w14:paraId="06238C6E" w14:textId="2F9AD502">
      <w:pPr>
        <w:pStyle w:val="Heading2"/>
        <w:rPr>
          <w:rFonts w:ascii="Corbel" w:hAnsi="Corbel"/>
        </w:rPr>
      </w:pPr>
      <w:r w:rsidRPr="00B82642">
        <w:rPr>
          <w:rFonts w:ascii="Corbel" w:hAnsi="Corbel"/>
        </w:rPr>
        <w:t>A.10.</w:t>
      </w:r>
      <w:r w:rsidR="00D41FE8">
        <w:rPr>
          <w:rFonts w:ascii="Corbel" w:hAnsi="Corbel"/>
        </w:rPr>
        <w:tab/>
      </w:r>
      <w:r w:rsidRPr="00B82642">
        <w:rPr>
          <w:rFonts w:ascii="Corbel" w:hAnsi="Corbel"/>
        </w:rPr>
        <w:t>Assurance of Confidentiality</w:t>
      </w:r>
    </w:p>
    <w:p w:rsidRPr="00AF37DE" w:rsidR="003E3E0A" w:rsidP="00D67F24" w:rsidRDefault="003E3E0A" w14:paraId="1CCF02F9" w14:textId="77777777">
      <w:pPr>
        <w:rPr>
          <w:rFonts w:ascii="Corbel" w:hAnsi="Corbel"/>
        </w:rPr>
      </w:pPr>
    </w:p>
    <w:p w:rsidRPr="00A171AF" w:rsidR="0069551B" w:rsidP="00D67F24" w:rsidRDefault="0067640E" w14:paraId="3A368BBD" w14:textId="63C19693">
      <w:pPr>
        <w:rPr>
          <w:rFonts w:ascii="Corbel" w:hAnsi="Corbel"/>
          <w:color w:val="000000" w:themeColor="text1"/>
          <w:sz w:val="22"/>
          <w:szCs w:val="22"/>
          <w:lang w:bidi="ar-SA"/>
        </w:rPr>
      </w:pPr>
      <w:r w:rsidRPr="00A171AF">
        <w:rPr>
          <w:rFonts w:ascii="Corbel" w:hAnsi="Corbel"/>
          <w:color w:val="000000" w:themeColor="text1"/>
          <w:sz w:val="22"/>
          <w:szCs w:val="22"/>
          <w:lang w:bidi="ar-SA"/>
        </w:rPr>
        <w:t xml:space="preserve">PPG will limit the scope of the </w:t>
      </w:r>
      <w:r w:rsidRPr="00A171AF" w:rsidR="0B7E8244">
        <w:rPr>
          <w:rFonts w:ascii="Corbel" w:hAnsi="Corbel"/>
          <w:color w:val="000000" w:themeColor="text1"/>
          <w:sz w:val="22"/>
          <w:szCs w:val="22"/>
          <w:lang w:bidi="ar-SA"/>
        </w:rPr>
        <w:t xml:space="preserve">personally identifiable information (PII) collected (e.g., the </w:t>
      </w:r>
      <w:r w:rsidRPr="00A171AF">
        <w:rPr>
          <w:rFonts w:ascii="Corbel" w:hAnsi="Corbel"/>
          <w:color w:val="000000" w:themeColor="text1"/>
          <w:sz w:val="22"/>
          <w:szCs w:val="22"/>
          <w:lang w:bidi="ar-SA"/>
        </w:rPr>
        <w:t>title</w:t>
      </w:r>
      <w:r w:rsidRPr="00A171AF" w:rsidR="0B7E8244">
        <w:rPr>
          <w:rFonts w:ascii="Corbel" w:hAnsi="Corbel"/>
          <w:color w:val="000000" w:themeColor="text1"/>
          <w:sz w:val="22"/>
          <w:szCs w:val="22"/>
          <w:lang w:bidi="ar-SA"/>
        </w:rPr>
        <w:t xml:space="preserve"> of the individual responding on behalf of the </w:t>
      </w:r>
      <w:r w:rsidRPr="00A171AF">
        <w:rPr>
          <w:rFonts w:ascii="Corbel" w:hAnsi="Corbel"/>
          <w:color w:val="000000" w:themeColor="text1"/>
          <w:sz w:val="22"/>
          <w:szCs w:val="22"/>
          <w:lang w:bidi="ar-SA"/>
        </w:rPr>
        <w:t>museum</w:t>
      </w:r>
      <w:r w:rsidRPr="00A171AF" w:rsidR="0B7E8244">
        <w:rPr>
          <w:rFonts w:ascii="Corbel" w:hAnsi="Corbel"/>
          <w:color w:val="000000" w:themeColor="text1"/>
          <w:sz w:val="22"/>
          <w:szCs w:val="22"/>
          <w:lang w:bidi="ar-SA"/>
        </w:rPr>
        <w:t>)</w:t>
      </w:r>
      <w:r w:rsidR="00A13818">
        <w:rPr>
          <w:rFonts w:ascii="Corbel" w:hAnsi="Corbel"/>
          <w:color w:val="000000" w:themeColor="text1"/>
          <w:sz w:val="22"/>
          <w:szCs w:val="22"/>
          <w:lang w:bidi="ar-SA"/>
        </w:rPr>
        <w:t>,</w:t>
      </w:r>
      <w:r w:rsidRPr="00A171AF" w:rsidR="003A5D0F">
        <w:rPr>
          <w:rFonts w:ascii="Corbel" w:hAnsi="Corbel"/>
          <w:color w:val="000000" w:themeColor="text1"/>
          <w:sz w:val="22"/>
          <w:szCs w:val="22"/>
          <w:lang w:bidi="ar-SA"/>
        </w:rPr>
        <w:t xml:space="preserve"> and</w:t>
      </w:r>
      <w:r w:rsidR="00DD2387">
        <w:rPr>
          <w:rFonts w:ascii="Corbel" w:hAnsi="Corbel"/>
          <w:color w:val="000000" w:themeColor="text1"/>
          <w:sz w:val="22"/>
          <w:szCs w:val="22"/>
          <w:lang w:bidi="ar-SA"/>
        </w:rPr>
        <w:t xml:space="preserve"> it</w:t>
      </w:r>
      <w:r w:rsidRPr="00A171AF" w:rsidR="0B7E8244">
        <w:rPr>
          <w:rFonts w:ascii="Corbel" w:hAnsi="Corbel"/>
          <w:color w:val="000000" w:themeColor="text1"/>
          <w:sz w:val="22"/>
          <w:szCs w:val="22"/>
          <w:lang w:bidi="ar-SA"/>
        </w:rPr>
        <w:t xml:space="preserve"> will be kept secure during data collection, securely stored, and accessed only by authorized </w:t>
      </w:r>
      <w:r w:rsidRPr="00A171AF">
        <w:rPr>
          <w:rFonts w:ascii="Corbel" w:hAnsi="Corbel"/>
          <w:color w:val="000000" w:themeColor="text1"/>
          <w:sz w:val="22"/>
          <w:szCs w:val="22"/>
          <w:lang w:bidi="ar-SA"/>
        </w:rPr>
        <w:t>PPG</w:t>
      </w:r>
      <w:r w:rsidRPr="00A171AF" w:rsidR="0B7E8244">
        <w:rPr>
          <w:rFonts w:ascii="Corbel" w:hAnsi="Corbel"/>
          <w:color w:val="000000" w:themeColor="text1"/>
          <w:sz w:val="22"/>
          <w:szCs w:val="22"/>
          <w:lang w:bidi="ar-SA"/>
        </w:rPr>
        <w:t xml:space="preserve"> staff and the data analysis contractor. </w:t>
      </w:r>
      <w:r w:rsidR="00583DA1">
        <w:rPr>
          <w:rFonts w:ascii="Corbel" w:hAnsi="Corbel"/>
          <w:sz w:val="22"/>
          <w:szCs w:val="22"/>
        </w:rPr>
        <w:t>D</w:t>
      </w:r>
      <w:r w:rsidRPr="00A171AF" w:rsidR="00583DA1">
        <w:rPr>
          <w:rFonts w:ascii="Corbel" w:hAnsi="Corbel"/>
          <w:sz w:val="22"/>
          <w:szCs w:val="22"/>
        </w:rPr>
        <w:t>ata will be shared anonymously with IMLS</w:t>
      </w:r>
      <w:r w:rsidR="00A13818">
        <w:rPr>
          <w:rFonts w:ascii="Corbel" w:hAnsi="Corbel"/>
          <w:sz w:val="22"/>
          <w:szCs w:val="22"/>
        </w:rPr>
        <w:t>,</w:t>
      </w:r>
      <w:r w:rsidRPr="00A171AF" w:rsidR="00583DA1">
        <w:rPr>
          <w:rFonts w:ascii="Corbel" w:hAnsi="Corbel"/>
          <w:sz w:val="22"/>
          <w:szCs w:val="22"/>
        </w:rPr>
        <w:t xml:space="preserve"> and </w:t>
      </w:r>
      <w:r w:rsidR="008473C6">
        <w:rPr>
          <w:rFonts w:ascii="Corbel" w:hAnsi="Corbel"/>
          <w:sz w:val="22"/>
          <w:szCs w:val="22"/>
        </w:rPr>
        <w:t xml:space="preserve">no </w:t>
      </w:r>
      <w:r w:rsidRPr="00A171AF" w:rsidR="0B7E8244">
        <w:rPr>
          <w:rFonts w:ascii="Corbel" w:hAnsi="Corbel"/>
          <w:color w:val="000000" w:themeColor="text1"/>
          <w:sz w:val="22"/>
          <w:szCs w:val="22"/>
          <w:lang w:bidi="ar-SA"/>
        </w:rPr>
        <w:t xml:space="preserve">personal data will be published (i.e., included in the final report) unless expressly approved by the respondent. Assurances of security of PII will be conveyed at the beginning of the survey instrument. </w:t>
      </w:r>
    </w:p>
    <w:p w:rsidRPr="00A171AF" w:rsidR="0067640E" w:rsidP="00D67F24" w:rsidRDefault="0067640E" w14:paraId="267A32FC" w14:textId="77777777">
      <w:pPr>
        <w:rPr>
          <w:rFonts w:ascii="Corbel" w:hAnsi="Corbel"/>
          <w:color w:val="000000" w:themeColor="text1"/>
          <w:sz w:val="22"/>
          <w:szCs w:val="22"/>
          <w:lang w:bidi="ar-SA"/>
        </w:rPr>
      </w:pPr>
    </w:p>
    <w:p w:rsidRPr="00B82642" w:rsidR="000E4EAF" w:rsidP="00D67F24" w:rsidRDefault="77CC1843" w14:paraId="36DB0C78" w14:textId="1FAE2D3C">
      <w:pPr>
        <w:rPr>
          <w:rFonts w:ascii="Corbel" w:hAnsi="Corbel"/>
          <w:color w:val="000000" w:themeColor="text1"/>
          <w:sz w:val="22"/>
          <w:szCs w:val="22"/>
          <w:lang w:bidi="ar-SA"/>
        </w:rPr>
      </w:pPr>
      <w:r w:rsidRPr="77CC1843">
        <w:rPr>
          <w:rFonts w:ascii="Corbel" w:hAnsi="Corbel"/>
          <w:color w:val="000000" w:themeColor="text1"/>
          <w:sz w:val="22"/>
          <w:szCs w:val="22"/>
          <w:lang w:bidi="ar-SA"/>
        </w:rPr>
        <w:t xml:space="preserve">PPG’s final report may include a list of participating organizations as an appendix. The proposed survey will include a concluding question to permit respondents to opt in for inclusion in such a list. </w:t>
      </w:r>
    </w:p>
    <w:p w:rsidRPr="00A171AF" w:rsidR="00606CFE" w:rsidP="00D67F24" w:rsidRDefault="00606CFE" w14:paraId="33597C33" w14:textId="77777777">
      <w:pPr>
        <w:rPr>
          <w:rFonts w:ascii="Corbel" w:hAnsi="Corbel"/>
          <w:color w:val="1F497D"/>
          <w:sz w:val="22"/>
          <w:szCs w:val="22"/>
          <w:lang w:bidi="ar-SA"/>
        </w:rPr>
      </w:pPr>
    </w:p>
    <w:p w:rsidRPr="00B82642" w:rsidR="00D55958" w:rsidP="00D67F24" w:rsidRDefault="00C74C0E" w14:paraId="5B517A2A" w14:textId="38DA8A7B">
      <w:pPr>
        <w:pStyle w:val="Heading2"/>
        <w:rPr>
          <w:rFonts w:ascii="Corbel" w:hAnsi="Corbel"/>
        </w:rPr>
      </w:pPr>
      <w:r w:rsidRPr="00B82642">
        <w:rPr>
          <w:rFonts w:ascii="Corbel" w:hAnsi="Corbel"/>
        </w:rPr>
        <w:t>A.11.</w:t>
      </w:r>
      <w:r w:rsidR="003231F1">
        <w:rPr>
          <w:rFonts w:ascii="Corbel" w:hAnsi="Corbel"/>
        </w:rPr>
        <w:tab/>
      </w:r>
      <w:r w:rsidRPr="00B82642">
        <w:rPr>
          <w:rFonts w:ascii="Corbel" w:hAnsi="Corbel"/>
        </w:rPr>
        <w:t>Sensitive Questions</w:t>
      </w:r>
    </w:p>
    <w:p w:rsidRPr="00AF37DE" w:rsidR="00C96696" w:rsidP="00D67F24" w:rsidRDefault="00C96696" w14:paraId="5FC88DE0" w14:textId="77777777">
      <w:pPr>
        <w:rPr>
          <w:rFonts w:ascii="Corbel" w:hAnsi="Corbel"/>
        </w:rPr>
      </w:pPr>
    </w:p>
    <w:p w:rsidRPr="00A171AF" w:rsidR="00600ABD" w:rsidP="00D67F24" w:rsidRDefault="00606CFE" w14:paraId="2BF7A471" w14:textId="0BF5EADB">
      <w:pPr>
        <w:rPr>
          <w:rFonts w:ascii="Corbel" w:hAnsi="Corbel"/>
          <w:color w:val="000000" w:themeColor="text1"/>
          <w:sz w:val="22"/>
          <w:szCs w:val="22"/>
        </w:rPr>
      </w:pPr>
      <w:r w:rsidRPr="00A171AF">
        <w:rPr>
          <w:rFonts w:ascii="Corbel" w:hAnsi="Corbel"/>
          <w:color w:val="000000" w:themeColor="text1"/>
          <w:sz w:val="22"/>
          <w:szCs w:val="22"/>
        </w:rPr>
        <w:t xml:space="preserve">Question sensitivity </w:t>
      </w:r>
      <w:r w:rsidRPr="00A171AF" w:rsidR="00456051">
        <w:rPr>
          <w:rFonts w:ascii="Corbel" w:hAnsi="Corbel"/>
          <w:color w:val="000000" w:themeColor="text1"/>
          <w:sz w:val="22"/>
          <w:szCs w:val="22"/>
        </w:rPr>
        <w:t>was</w:t>
      </w:r>
      <w:r w:rsidRPr="00A171AF">
        <w:rPr>
          <w:rFonts w:ascii="Corbel" w:hAnsi="Corbel"/>
          <w:color w:val="000000" w:themeColor="text1"/>
          <w:sz w:val="22"/>
          <w:szCs w:val="22"/>
        </w:rPr>
        <w:t xml:space="preserve"> considered when developing the survey instrument. </w:t>
      </w:r>
      <w:r w:rsidRPr="00A171AF" w:rsidR="001C71E8">
        <w:rPr>
          <w:rFonts w:ascii="Corbel" w:hAnsi="Corbel"/>
          <w:color w:val="000000" w:themeColor="text1"/>
          <w:sz w:val="22"/>
          <w:szCs w:val="22"/>
        </w:rPr>
        <w:t xml:space="preserve">Because the entirety of the survey addresses only organizational background questions, organizational engagement with capacity building, and individuals’ professional experiences with capacity building, we do not anticipate </w:t>
      </w:r>
      <w:r w:rsidR="000E602F">
        <w:rPr>
          <w:rFonts w:ascii="Corbel" w:hAnsi="Corbel"/>
          <w:color w:val="000000" w:themeColor="text1"/>
          <w:sz w:val="22"/>
          <w:szCs w:val="22"/>
        </w:rPr>
        <w:t xml:space="preserve">that respondents will deem </w:t>
      </w:r>
      <w:r w:rsidRPr="00A171AF" w:rsidR="001C71E8">
        <w:rPr>
          <w:rFonts w:ascii="Corbel" w:hAnsi="Corbel"/>
          <w:color w:val="000000" w:themeColor="text1"/>
          <w:sz w:val="22"/>
          <w:szCs w:val="22"/>
        </w:rPr>
        <w:t xml:space="preserve">any questions </w:t>
      </w:r>
      <w:r w:rsidR="000E602F">
        <w:rPr>
          <w:rFonts w:ascii="Corbel" w:hAnsi="Corbel"/>
          <w:color w:val="000000" w:themeColor="text1"/>
          <w:sz w:val="22"/>
          <w:szCs w:val="22"/>
        </w:rPr>
        <w:t>as</w:t>
      </w:r>
      <w:r w:rsidRPr="00A171AF" w:rsidR="001C71E8">
        <w:rPr>
          <w:rFonts w:ascii="Corbel" w:hAnsi="Corbel"/>
          <w:color w:val="000000" w:themeColor="text1"/>
          <w:sz w:val="22"/>
          <w:szCs w:val="22"/>
        </w:rPr>
        <w:t xml:space="preserve"> sensitive. Should individuals elect not to respond to a survey item, they will have the ability to skip</w:t>
      </w:r>
      <w:r w:rsidRPr="00A171AF" w:rsidR="00F454F6">
        <w:rPr>
          <w:rFonts w:ascii="Corbel" w:hAnsi="Corbel"/>
          <w:color w:val="000000" w:themeColor="text1"/>
          <w:sz w:val="22"/>
          <w:szCs w:val="22"/>
        </w:rPr>
        <w:t xml:space="preserve"> to the next survey item.</w:t>
      </w:r>
    </w:p>
    <w:p w:rsidR="00807CD7" w:rsidP="00D67F24" w:rsidRDefault="00807CD7" w14:paraId="566C4343" w14:textId="56F1D944">
      <w:pPr>
        <w:tabs>
          <w:tab w:val="clear" w:pos="1069"/>
        </w:tabs>
        <w:spacing w:line="240" w:lineRule="auto"/>
        <w:rPr>
          <w:rFonts w:ascii="Corbel" w:hAnsi="Corbel"/>
        </w:rPr>
      </w:pPr>
    </w:p>
    <w:p w:rsidRPr="00B82642" w:rsidR="00D55958" w:rsidP="00D67F24" w:rsidRDefault="00C74C0E" w14:paraId="125D54BC" w14:textId="48217B6B">
      <w:pPr>
        <w:pStyle w:val="Heading2"/>
        <w:rPr>
          <w:rFonts w:ascii="Corbel" w:hAnsi="Corbel"/>
        </w:rPr>
      </w:pPr>
      <w:r w:rsidRPr="00B82642">
        <w:rPr>
          <w:rFonts w:ascii="Corbel" w:hAnsi="Corbel"/>
        </w:rPr>
        <w:t>A.12.</w:t>
      </w:r>
      <w:r w:rsidR="00D41FE8">
        <w:rPr>
          <w:rFonts w:ascii="Corbel" w:hAnsi="Corbel"/>
        </w:rPr>
        <w:tab/>
      </w:r>
      <w:r w:rsidRPr="00B82642">
        <w:rPr>
          <w:rFonts w:ascii="Corbel" w:hAnsi="Corbel"/>
        </w:rPr>
        <w:t>Estimated Response Burden</w:t>
      </w:r>
    </w:p>
    <w:p w:rsidRPr="00EA19C2" w:rsidR="00FF463C" w:rsidP="00BD07E2" w:rsidRDefault="00FF463C" w14:paraId="54EB1D3A" w14:textId="09BDA016">
      <w:pPr>
        <w:pStyle w:val="Heading3"/>
        <w:rPr>
          <w:rFonts w:ascii="Corbel" w:hAnsi="Corbel"/>
        </w:rPr>
      </w:pPr>
    </w:p>
    <w:tbl>
      <w:tblPr>
        <w:tblW w:w="9837" w:type="dxa"/>
        <w:tblLayout w:type="fixed"/>
        <w:tblLook w:val="04A0" w:firstRow="1" w:lastRow="0" w:firstColumn="1" w:lastColumn="0" w:noHBand="0" w:noVBand="1"/>
      </w:tblPr>
      <w:tblGrid>
        <w:gridCol w:w="3261"/>
        <w:gridCol w:w="992"/>
        <w:gridCol w:w="1620"/>
        <w:gridCol w:w="1260"/>
        <w:gridCol w:w="1331"/>
        <w:gridCol w:w="1373"/>
      </w:tblGrid>
      <w:tr w:rsidRPr="00EA19C2" w:rsidR="00CB5B58" w:rsidTr="000F7B36" w14:paraId="09402908" w14:textId="77777777">
        <w:trPr>
          <w:trHeight w:val="255"/>
        </w:trPr>
        <w:tc>
          <w:tcPr>
            <w:tcW w:w="9837" w:type="dxa"/>
            <w:gridSpan w:val="6"/>
            <w:tcBorders>
              <w:top w:val="nil"/>
              <w:left w:val="nil"/>
              <w:bottom w:val="single" w:color="auto" w:sz="4" w:space="0"/>
              <w:right w:val="nil"/>
            </w:tcBorders>
            <w:shd w:val="clear" w:color="auto" w:fill="auto"/>
            <w:noWrap/>
            <w:hideMark/>
          </w:tcPr>
          <w:p w:rsidRPr="00A171AF" w:rsidR="00CB5B58" w:rsidP="00CB5B58" w:rsidRDefault="00CB5B58" w14:paraId="6E5D3827" w14:textId="33BB6368">
            <w:pPr>
              <w:tabs>
                <w:tab w:val="clear" w:pos="1069"/>
              </w:tabs>
              <w:spacing w:line="240" w:lineRule="auto"/>
              <w:rPr>
                <w:rFonts w:ascii="Corbel" w:hAnsi="Corbel" w:cs="Calibri"/>
                <w:b/>
                <w:bCs/>
                <w:color w:val="000000"/>
                <w:sz w:val="22"/>
                <w:szCs w:val="22"/>
                <w:lang w:bidi="ar-SA"/>
              </w:rPr>
            </w:pPr>
            <w:r w:rsidRPr="00A171AF">
              <w:rPr>
                <w:rFonts w:ascii="Corbel" w:hAnsi="Corbel" w:cs="Calibri"/>
                <w:b/>
                <w:bCs/>
                <w:color w:val="000000"/>
                <w:sz w:val="22"/>
                <w:szCs w:val="22"/>
                <w:lang w:bidi="ar-SA"/>
              </w:rPr>
              <w:t xml:space="preserve">Table 1. Estimated </w:t>
            </w:r>
            <w:r w:rsidRPr="00A171AF" w:rsidR="00EA19C2">
              <w:rPr>
                <w:rFonts w:ascii="Corbel" w:hAnsi="Corbel" w:cs="Calibri"/>
                <w:b/>
                <w:bCs/>
                <w:color w:val="000000"/>
                <w:sz w:val="22"/>
                <w:szCs w:val="22"/>
                <w:lang w:bidi="ar-SA"/>
              </w:rPr>
              <w:t xml:space="preserve">Survey </w:t>
            </w:r>
            <w:r w:rsidRPr="00A171AF">
              <w:rPr>
                <w:rFonts w:ascii="Corbel" w:hAnsi="Corbel" w:cs="Calibri"/>
                <w:b/>
                <w:bCs/>
                <w:color w:val="000000"/>
                <w:sz w:val="22"/>
                <w:szCs w:val="22"/>
                <w:lang w:bidi="ar-SA"/>
              </w:rPr>
              <w:t>Response Burden for Each Type of Respondent</w:t>
            </w:r>
            <w:r w:rsidRPr="00A171AF">
              <w:rPr>
                <w:rFonts w:ascii="Corbel" w:hAnsi="Corbel" w:cs="Calibri"/>
                <w:color w:val="000000"/>
                <w:sz w:val="22"/>
                <w:szCs w:val="22"/>
                <w:lang w:bidi="ar-SA"/>
              </w:rPr>
              <w:t> </w:t>
            </w:r>
          </w:p>
        </w:tc>
      </w:tr>
      <w:tr w:rsidRPr="00EA19C2" w:rsidR="00CB5B58" w:rsidTr="00C159B2" w14:paraId="10B603E4" w14:textId="77777777">
        <w:trPr>
          <w:trHeight w:val="548"/>
        </w:trPr>
        <w:tc>
          <w:tcPr>
            <w:tcW w:w="3261" w:type="dxa"/>
            <w:tcBorders>
              <w:top w:val="single" w:color="auto" w:sz="4" w:space="0"/>
              <w:left w:val="single" w:color="auto" w:sz="4" w:space="0"/>
              <w:bottom w:val="single" w:color="auto" w:sz="4" w:space="0"/>
              <w:right w:val="single" w:color="auto" w:sz="4" w:space="0"/>
            </w:tcBorders>
            <w:shd w:val="clear" w:color="auto" w:fill="2D2C7C" w:themeFill="text2"/>
            <w:hideMark/>
          </w:tcPr>
          <w:p w:rsidRPr="00A171AF" w:rsidR="00CB5B58" w:rsidP="00EA19C2" w:rsidRDefault="00CB5B58" w14:paraId="7D72CAEE" w14:textId="77777777">
            <w:pPr>
              <w:tabs>
                <w:tab w:val="clear" w:pos="1069"/>
              </w:tabs>
              <w:spacing w:line="240" w:lineRule="auto"/>
              <w:rPr>
                <w:rFonts w:ascii="Corbel" w:hAnsi="Corbel" w:cs="Calibri"/>
                <w:b/>
                <w:bCs/>
                <w:color w:val="FFFFFF" w:themeColor="background1"/>
                <w:sz w:val="22"/>
                <w:szCs w:val="22"/>
                <w:lang w:bidi="ar-SA"/>
              </w:rPr>
            </w:pPr>
            <w:r w:rsidRPr="00A171AF">
              <w:rPr>
                <w:rFonts w:ascii="Corbel" w:hAnsi="Corbel" w:cs="Calibri"/>
                <w:b/>
                <w:bCs/>
                <w:color w:val="FFFFFF" w:themeColor="background1"/>
                <w:sz w:val="22"/>
                <w:szCs w:val="22"/>
                <w:lang w:bidi="ar-SA"/>
              </w:rPr>
              <w:t>Participant group</w:t>
            </w:r>
          </w:p>
        </w:tc>
        <w:tc>
          <w:tcPr>
            <w:tcW w:w="992" w:type="dxa"/>
            <w:tcBorders>
              <w:top w:val="single" w:color="auto" w:sz="4" w:space="0"/>
              <w:left w:val="single" w:color="auto" w:sz="4" w:space="0"/>
              <w:bottom w:val="single" w:color="auto" w:sz="4" w:space="0"/>
              <w:right w:val="single" w:color="auto" w:sz="4" w:space="0"/>
            </w:tcBorders>
            <w:shd w:val="clear" w:color="auto" w:fill="2D2C7C" w:themeFill="text2"/>
            <w:hideMark/>
          </w:tcPr>
          <w:p w:rsidRPr="00A171AF" w:rsidR="00CB5B58" w:rsidP="00EA19C2" w:rsidRDefault="00CB5B58" w14:paraId="37E0010D" w14:textId="77777777">
            <w:pPr>
              <w:tabs>
                <w:tab w:val="clear" w:pos="1069"/>
              </w:tabs>
              <w:spacing w:line="240" w:lineRule="auto"/>
              <w:rPr>
                <w:rFonts w:ascii="Corbel" w:hAnsi="Corbel" w:cs="Calibri"/>
                <w:b/>
                <w:bCs/>
                <w:color w:val="FFFFFF" w:themeColor="background1"/>
                <w:sz w:val="22"/>
                <w:szCs w:val="22"/>
                <w:lang w:bidi="ar-SA"/>
              </w:rPr>
            </w:pPr>
            <w:r w:rsidRPr="00A171AF">
              <w:rPr>
                <w:rFonts w:ascii="Corbel" w:hAnsi="Corbel" w:cs="Calibri"/>
                <w:b/>
                <w:bCs/>
                <w:color w:val="FFFFFF" w:themeColor="background1"/>
                <w:sz w:val="22"/>
                <w:szCs w:val="22"/>
                <w:lang w:bidi="ar-SA"/>
              </w:rPr>
              <w:t>Sample</w:t>
            </w:r>
          </w:p>
        </w:tc>
        <w:tc>
          <w:tcPr>
            <w:tcW w:w="1620" w:type="dxa"/>
            <w:tcBorders>
              <w:top w:val="single" w:color="auto" w:sz="4" w:space="0"/>
              <w:left w:val="single" w:color="auto" w:sz="4" w:space="0"/>
              <w:bottom w:val="single" w:color="auto" w:sz="4" w:space="0"/>
              <w:right w:val="single" w:color="auto" w:sz="4" w:space="0"/>
            </w:tcBorders>
            <w:shd w:val="clear" w:color="auto" w:fill="2D2C7C" w:themeFill="text2"/>
            <w:hideMark/>
          </w:tcPr>
          <w:p w:rsidRPr="00A171AF" w:rsidR="00CB5B58" w:rsidP="00EA19C2" w:rsidRDefault="00CB5B58" w14:paraId="27951B7A" w14:textId="7708932A">
            <w:pPr>
              <w:tabs>
                <w:tab w:val="clear" w:pos="1069"/>
              </w:tabs>
              <w:spacing w:line="240" w:lineRule="auto"/>
              <w:rPr>
                <w:rFonts w:ascii="Corbel" w:hAnsi="Corbel" w:cs="Calibri"/>
                <w:b/>
                <w:bCs/>
                <w:color w:val="FFFFFF" w:themeColor="background1"/>
                <w:sz w:val="22"/>
                <w:szCs w:val="22"/>
                <w:lang w:bidi="ar-SA"/>
              </w:rPr>
            </w:pPr>
            <w:r w:rsidRPr="00A171AF">
              <w:rPr>
                <w:rFonts w:ascii="Corbel" w:hAnsi="Corbel" w:cs="Calibri"/>
                <w:b/>
                <w:bCs/>
                <w:color w:val="FFFFFF" w:themeColor="background1"/>
                <w:sz w:val="22"/>
                <w:szCs w:val="22"/>
                <w:lang w:bidi="ar-SA"/>
              </w:rPr>
              <w:t>Expected # of Respondents</w:t>
            </w:r>
          </w:p>
        </w:tc>
        <w:tc>
          <w:tcPr>
            <w:tcW w:w="1260" w:type="dxa"/>
            <w:tcBorders>
              <w:top w:val="single" w:color="auto" w:sz="4" w:space="0"/>
              <w:left w:val="single" w:color="auto" w:sz="4" w:space="0"/>
              <w:bottom w:val="single" w:color="auto" w:sz="4" w:space="0"/>
              <w:right w:val="single" w:color="auto" w:sz="4" w:space="0"/>
            </w:tcBorders>
            <w:shd w:val="clear" w:color="auto" w:fill="2D2C7C" w:themeFill="text2"/>
            <w:hideMark/>
          </w:tcPr>
          <w:p w:rsidRPr="00A171AF" w:rsidR="00CB5B58" w:rsidP="00EA19C2" w:rsidRDefault="00CB5B58" w14:paraId="1E4BE34D" w14:textId="77777777">
            <w:pPr>
              <w:tabs>
                <w:tab w:val="clear" w:pos="1069"/>
              </w:tabs>
              <w:spacing w:line="240" w:lineRule="auto"/>
              <w:rPr>
                <w:rFonts w:ascii="Corbel" w:hAnsi="Corbel" w:cs="Calibri"/>
                <w:b/>
                <w:bCs/>
                <w:color w:val="FFFFFF" w:themeColor="background1"/>
                <w:sz w:val="22"/>
                <w:szCs w:val="22"/>
                <w:lang w:bidi="ar-SA"/>
              </w:rPr>
            </w:pPr>
            <w:r w:rsidRPr="00A171AF">
              <w:rPr>
                <w:rFonts w:ascii="Corbel" w:hAnsi="Corbel" w:cs="Calibri"/>
                <w:b/>
                <w:bCs/>
                <w:color w:val="FFFFFF" w:themeColor="background1"/>
                <w:sz w:val="22"/>
                <w:szCs w:val="22"/>
                <w:lang w:bidi="ar-SA"/>
              </w:rPr>
              <w:t>Hours per Response</w:t>
            </w:r>
          </w:p>
        </w:tc>
        <w:tc>
          <w:tcPr>
            <w:tcW w:w="1331" w:type="dxa"/>
            <w:tcBorders>
              <w:top w:val="single" w:color="auto" w:sz="4" w:space="0"/>
              <w:left w:val="single" w:color="auto" w:sz="4" w:space="0"/>
              <w:bottom w:val="single" w:color="auto" w:sz="4" w:space="0"/>
              <w:right w:val="single" w:color="auto" w:sz="4" w:space="0"/>
            </w:tcBorders>
            <w:shd w:val="clear" w:color="auto" w:fill="2D2C7C" w:themeFill="text2"/>
            <w:hideMark/>
          </w:tcPr>
          <w:p w:rsidRPr="00A171AF" w:rsidR="00CB5B58" w:rsidP="00EA19C2" w:rsidRDefault="00CB5B58" w14:paraId="605BBB7D" w14:textId="77777777">
            <w:pPr>
              <w:tabs>
                <w:tab w:val="clear" w:pos="1069"/>
              </w:tabs>
              <w:spacing w:line="240" w:lineRule="auto"/>
              <w:rPr>
                <w:rFonts w:ascii="Corbel" w:hAnsi="Corbel" w:cs="Calibri"/>
                <w:b/>
                <w:bCs/>
                <w:color w:val="FFFFFF" w:themeColor="background1"/>
                <w:sz w:val="22"/>
                <w:szCs w:val="22"/>
                <w:lang w:bidi="ar-SA"/>
              </w:rPr>
            </w:pPr>
            <w:r w:rsidRPr="00A171AF">
              <w:rPr>
                <w:rFonts w:ascii="Corbel" w:hAnsi="Corbel" w:cs="Calibri"/>
                <w:b/>
                <w:bCs/>
                <w:color w:val="FFFFFF" w:themeColor="background1"/>
                <w:sz w:val="22"/>
                <w:szCs w:val="22"/>
                <w:lang w:bidi="ar-SA"/>
              </w:rPr>
              <w:t>Total Hours</w:t>
            </w:r>
          </w:p>
        </w:tc>
        <w:tc>
          <w:tcPr>
            <w:tcW w:w="1369" w:type="dxa"/>
            <w:tcBorders>
              <w:top w:val="single" w:color="auto" w:sz="4" w:space="0"/>
              <w:left w:val="single" w:color="auto" w:sz="4" w:space="0"/>
              <w:bottom w:val="single" w:color="auto" w:sz="4" w:space="0"/>
              <w:right w:val="single" w:color="auto" w:sz="4" w:space="0"/>
            </w:tcBorders>
            <w:shd w:val="clear" w:color="auto" w:fill="2D2C7C" w:themeFill="text2"/>
            <w:hideMark/>
          </w:tcPr>
          <w:p w:rsidRPr="00A171AF" w:rsidR="00CB5B58" w:rsidP="00EA19C2" w:rsidRDefault="00CB5B58" w14:paraId="3A34A54B" w14:textId="403BAE1C">
            <w:pPr>
              <w:tabs>
                <w:tab w:val="clear" w:pos="1069"/>
              </w:tabs>
              <w:spacing w:line="240" w:lineRule="auto"/>
              <w:rPr>
                <w:rFonts w:ascii="Corbel" w:hAnsi="Corbel" w:cs="Calibri"/>
                <w:b/>
                <w:bCs/>
                <w:color w:val="FFFFFF" w:themeColor="background1"/>
                <w:sz w:val="22"/>
                <w:szCs w:val="22"/>
                <w:lang w:bidi="ar-SA"/>
              </w:rPr>
            </w:pPr>
            <w:r w:rsidRPr="00A171AF">
              <w:rPr>
                <w:rFonts w:ascii="Corbel" w:hAnsi="Corbel" w:cs="Calibri"/>
                <w:b/>
                <w:bCs/>
                <w:color w:val="FFFFFF" w:themeColor="background1"/>
                <w:sz w:val="22"/>
                <w:szCs w:val="22"/>
                <w:lang w:bidi="ar-SA"/>
              </w:rPr>
              <w:t xml:space="preserve">Cost per </w:t>
            </w:r>
            <w:r w:rsidR="001D6670">
              <w:rPr>
                <w:rFonts w:ascii="Corbel" w:hAnsi="Corbel" w:cs="Calibri"/>
                <w:b/>
                <w:bCs/>
                <w:color w:val="FFFFFF" w:themeColor="background1"/>
                <w:sz w:val="22"/>
                <w:szCs w:val="22"/>
                <w:lang w:bidi="ar-SA"/>
              </w:rPr>
              <w:t>G</w:t>
            </w:r>
            <w:r w:rsidRPr="00A171AF" w:rsidR="001D6670">
              <w:rPr>
                <w:rFonts w:ascii="Corbel" w:hAnsi="Corbel" w:cs="Calibri"/>
                <w:b/>
                <w:bCs/>
                <w:color w:val="FFFFFF" w:themeColor="background1"/>
                <w:sz w:val="22"/>
                <w:szCs w:val="22"/>
                <w:lang w:bidi="ar-SA"/>
              </w:rPr>
              <w:t>roup</w:t>
            </w:r>
            <w:r w:rsidRPr="00A171AF">
              <w:rPr>
                <w:rFonts w:ascii="Corbel" w:hAnsi="Corbel" w:cs="Calibri"/>
                <w:b/>
                <w:bCs/>
                <w:color w:val="FFFFFF" w:themeColor="background1"/>
                <w:sz w:val="22"/>
                <w:szCs w:val="22"/>
                <w:vertAlign w:val="superscript"/>
                <w:lang w:bidi="ar-SA"/>
              </w:rPr>
              <w:t>(</w:t>
            </w:r>
            <w:r w:rsidR="004B5584">
              <w:rPr>
                <w:rFonts w:ascii="Corbel" w:hAnsi="Corbel" w:cs="Calibri"/>
                <w:b/>
                <w:bCs/>
                <w:color w:val="FFFFFF" w:themeColor="background1"/>
                <w:sz w:val="22"/>
                <w:szCs w:val="22"/>
                <w:vertAlign w:val="superscript"/>
                <w:lang w:bidi="ar-SA"/>
              </w:rPr>
              <w:t>4</w:t>
            </w:r>
            <w:r w:rsidRPr="00A171AF">
              <w:rPr>
                <w:rFonts w:ascii="Corbel" w:hAnsi="Corbel" w:cs="Calibri"/>
                <w:b/>
                <w:bCs/>
                <w:color w:val="FFFFFF" w:themeColor="background1"/>
                <w:sz w:val="22"/>
                <w:szCs w:val="22"/>
                <w:vertAlign w:val="superscript"/>
                <w:lang w:bidi="ar-SA"/>
              </w:rPr>
              <w:t>)</w:t>
            </w:r>
          </w:p>
        </w:tc>
      </w:tr>
      <w:tr w:rsidRPr="00EA19C2" w:rsidR="00CB5B58" w:rsidTr="000F7B36" w14:paraId="0AEFCD85" w14:textId="77777777">
        <w:trPr>
          <w:trHeight w:val="133"/>
        </w:trPr>
        <w:tc>
          <w:tcPr>
            <w:tcW w:w="326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171AF" w:rsidR="00CB5B58" w:rsidP="00824C83" w:rsidRDefault="004B5584" w14:paraId="31C00CE8" w14:textId="76A7275A">
            <w:pPr>
              <w:tabs>
                <w:tab w:val="clear" w:pos="1069"/>
              </w:tabs>
              <w:spacing w:line="240" w:lineRule="auto"/>
              <w:rPr>
                <w:rFonts w:ascii="Corbel" w:hAnsi="Corbel" w:cs="Calibri"/>
                <w:color w:val="000000"/>
                <w:sz w:val="22"/>
                <w:szCs w:val="22"/>
                <w:lang w:bidi="ar-SA"/>
              </w:rPr>
            </w:pPr>
            <w:r>
              <w:rPr>
                <w:rFonts w:ascii="Corbel" w:hAnsi="Corbel" w:cs="Calibri"/>
                <w:color w:val="000000"/>
                <w:sz w:val="22"/>
                <w:szCs w:val="22"/>
                <w:lang w:bidi="ar-SA"/>
              </w:rPr>
              <w:t>Survey Respondents</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171AF" w:rsidR="00CB5B58" w:rsidP="00824C83" w:rsidRDefault="00CB5B58" w14:paraId="2FBBFA45" w14:textId="77777777">
            <w:pPr>
              <w:tabs>
                <w:tab w:val="clear" w:pos="1069"/>
              </w:tabs>
              <w:spacing w:line="240" w:lineRule="auto"/>
              <w:jc w:val="right"/>
              <w:rPr>
                <w:rFonts w:ascii="Corbel" w:hAnsi="Corbel" w:cs="Calibri"/>
                <w:color w:val="000000"/>
                <w:sz w:val="22"/>
                <w:szCs w:val="22"/>
                <w:lang w:bidi="ar-SA"/>
              </w:rPr>
            </w:pPr>
            <w:r w:rsidRPr="00A171AF">
              <w:rPr>
                <w:rFonts w:ascii="Corbel" w:hAnsi="Corbel" w:cs="Calibri"/>
                <w:color w:val="000000"/>
                <w:sz w:val="22"/>
                <w:szCs w:val="22"/>
                <w:lang w:bidi="ar-SA"/>
              </w:rPr>
              <w:t>3,000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171AF" w:rsidR="00CB5B58" w:rsidP="00824C83" w:rsidRDefault="00824C83" w14:paraId="597D08AC" w14:textId="165F2C4A">
            <w:pPr>
              <w:tabs>
                <w:tab w:val="clear" w:pos="1069"/>
              </w:tabs>
              <w:spacing w:line="240" w:lineRule="auto"/>
              <w:jc w:val="right"/>
              <w:rPr>
                <w:rFonts w:ascii="Corbel" w:hAnsi="Corbel" w:cs="Calibri"/>
                <w:color w:val="000000"/>
                <w:sz w:val="22"/>
                <w:szCs w:val="22"/>
                <w:lang w:bidi="ar-SA"/>
              </w:rPr>
            </w:pPr>
            <w:r>
              <w:rPr>
                <w:rFonts w:ascii="Corbel" w:hAnsi="Corbel" w:cs="Calibri"/>
                <w:color w:val="000000"/>
                <w:sz w:val="22"/>
                <w:szCs w:val="22"/>
                <w:lang w:bidi="ar-SA"/>
              </w:rPr>
              <w:t>1,050</w:t>
            </w:r>
            <w:r w:rsidRPr="004B5584" w:rsidR="004B5584">
              <w:rPr>
                <w:rFonts w:ascii="Corbel" w:hAnsi="Corbel" w:cs="Calibri"/>
                <w:color w:val="000000" w:themeColor="text1"/>
                <w:sz w:val="22"/>
                <w:szCs w:val="22"/>
                <w:vertAlign w:val="superscript"/>
                <w:lang w:bidi="ar-SA"/>
              </w:rPr>
              <w:t>(1)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171AF" w:rsidR="00CB5B58" w:rsidP="00824C83" w:rsidRDefault="002306D9" w14:paraId="2CC2A5FF" w14:textId="14686C5C">
            <w:pPr>
              <w:tabs>
                <w:tab w:val="clear" w:pos="1069"/>
              </w:tabs>
              <w:spacing w:line="240" w:lineRule="auto"/>
              <w:jc w:val="right"/>
              <w:rPr>
                <w:rFonts w:ascii="Corbel" w:hAnsi="Corbel" w:cs="Calibri"/>
                <w:color w:val="000000"/>
                <w:sz w:val="22"/>
                <w:szCs w:val="22"/>
                <w:lang w:bidi="ar-SA"/>
              </w:rPr>
            </w:pPr>
            <w:r w:rsidRPr="00A171AF">
              <w:rPr>
                <w:rFonts w:ascii="Corbel" w:hAnsi="Corbel" w:cs="Calibri"/>
                <w:color w:val="000000"/>
                <w:sz w:val="22"/>
                <w:szCs w:val="22"/>
                <w:lang w:bidi="ar-SA"/>
              </w:rPr>
              <w:t>0.333</w:t>
            </w:r>
            <w:r w:rsidRPr="00A171AF" w:rsidR="00EA19C2">
              <w:rPr>
                <w:rFonts w:ascii="Corbel" w:hAnsi="Corbel" w:cs="Calibri"/>
                <w:color w:val="000000"/>
                <w:sz w:val="22"/>
                <w:szCs w:val="22"/>
                <w:lang w:bidi="ar-SA"/>
              </w:rPr>
              <w:t xml:space="preserve"> </w:t>
            </w:r>
            <w:r w:rsidRPr="00A171AF" w:rsidR="00892CDB">
              <w:rPr>
                <w:rFonts w:ascii="Corbel" w:hAnsi="Corbel" w:cs="Calibri"/>
                <w:color w:val="000000"/>
                <w:sz w:val="22"/>
                <w:szCs w:val="22"/>
                <w:lang w:bidi="ar-SA"/>
              </w:rPr>
              <w:t>hrs.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171AF" w:rsidR="00CB5B58" w:rsidP="00824C83" w:rsidRDefault="00824C83" w14:paraId="4266F69C" w14:textId="006ADFCB">
            <w:pPr>
              <w:tabs>
                <w:tab w:val="clear" w:pos="1069"/>
              </w:tabs>
              <w:spacing w:line="240" w:lineRule="auto"/>
              <w:jc w:val="right"/>
              <w:rPr>
                <w:rFonts w:ascii="Corbel" w:hAnsi="Corbel" w:cs="Calibri"/>
                <w:color w:val="000000"/>
                <w:sz w:val="22"/>
                <w:szCs w:val="22"/>
                <w:lang w:bidi="ar-SA"/>
              </w:rPr>
            </w:pPr>
            <w:r>
              <w:rPr>
                <w:rFonts w:ascii="Corbel" w:hAnsi="Corbel" w:cs="Calibri"/>
                <w:color w:val="000000"/>
                <w:sz w:val="22"/>
                <w:szCs w:val="22"/>
                <w:lang w:bidi="ar-SA"/>
              </w:rPr>
              <w:t>~350</w:t>
            </w:r>
            <w:r w:rsidRPr="00A171AF">
              <w:rPr>
                <w:rFonts w:ascii="Corbel" w:hAnsi="Corbel" w:cs="Calibri"/>
                <w:color w:val="000000"/>
                <w:sz w:val="22"/>
                <w:szCs w:val="22"/>
                <w:lang w:bidi="ar-SA"/>
              </w:rPr>
              <w:t xml:space="preserve"> </w:t>
            </w:r>
            <w:r w:rsidRPr="00A171AF" w:rsidR="00892CDB">
              <w:rPr>
                <w:rFonts w:ascii="Corbel" w:hAnsi="Corbel" w:cs="Calibri"/>
                <w:color w:val="000000"/>
                <w:sz w:val="22"/>
                <w:szCs w:val="22"/>
                <w:lang w:bidi="ar-SA"/>
              </w:rPr>
              <w:t>hrs.</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171AF" w:rsidR="00CB5B58" w:rsidP="00824C83" w:rsidRDefault="00CB5B58" w14:paraId="030FA9C0" w14:textId="4B7E5CFB">
            <w:pPr>
              <w:tabs>
                <w:tab w:val="clear" w:pos="1069"/>
              </w:tabs>
              <w:spacing w:line="240" w:lineRule="auto"/>
              <w:jc w:val="right"/>
              <w:rPr>
                <w:rFonts w:ascii="Corbel" w:hAnsi="Corbel" w:cs="Calibri"/>
                <w:color w:val="000000"/>
                <w:sz w:val="22"/>
                <w:szCs w:val="22"/>
                <w:lang w:bidi="ar-SA"/>
              </w:rPr>
            </w:pPr>
            <w:r w:rsidRPr="00A171AF">
              <w:rPr>
                <w:rFonts w:ascii="Corbel" w:hAnsi="Corbel" w:cs="Calibri"/>
                <w:color w:val="000000"/>
                <w:sz w:val="22"/>
                <w:szCs w:val="22"/>
                <w:lang w:bidi="ar-SA"/>
              </w:rPr>
              <w:t>$</w:t>
            </w:r>
            <w:r w:rsidR="00824C83">
              <w:rPr>
                <w:rFonts w:ascii="Corbel" w:hAnsi="Corbel" w:cs="Calibri"/>
                <w:color w:val="000000"/>
                <w:sz w:val="22"/>
                <w:szCs w:val="22"/>
                <w:lang w:bidi="ar-SA"/>
              </w:rPr>
              <w:t>9,754.50</w:t>
            </w:r>
            <w:r w:rsidRPr="00A171AF">
              <w:rPr>
                <w:rFonts w:ascii="Corbel" w:hAnsi="Corbel" w:cs="Calibri"/>
                <w:color w:val="000000"/>
                <w:sz w:val="22"/>
                <w:szCs w:val="22"/>
                <w:lang w:bidi="ar-SA"/>
              </w:rPr>
              <w:t xml:space="preserve"> </w:t>
            </w:r>
          </w:p>
        </w:tc>
      </w:tr>
      <w:tr w:rsidRPr="00EA19C2" w:rsidR="004B5584" w:rsidTr="000F7B36" w14:paraId="02808262" w14:textId="77777777">
        <w:trPr>
          <w:trHeight w:val="332"/>
        </w:trPr>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rsidRPr="00A171AF" w:rsidR="004B5584" w:rsidP="00824C83" w:rsidRDefault="004B5584" w14:paraId="5A077435" w14:textId="30A37B18">
            <w:pPr>
              <w:tabs>
                <w:tab w:val="clear" w:pos="1069"/>
              </w:tabs>
              <w:spacing w:line="240" w:lineRule="auto"/>
              <w:rPr>
                <w:rFonts w:ascii="Corbel" w:hAnsi="Corbel" w:cs="Calibri"/>
                <w:color w:val="000000"/>
                <w:sz w:val="22"/>
                <w:szCs w:val="22"/>
                <w:lang w:bidi="ar-SA"/>
              </w:rPr>
            </w:pPr>
            <w:r>
              <w:rPr>
                <w:rFonts w:ascii="Corbel" w:hAnsi="Corbel" w:cs="Calibri"/>
                <w:color w:val="000000"/>
                <w:sz w:val="22"/>
                <w:szCs w:val="22"/>
                <w:lang w:bidi="ar-SA"/>
              </w:rPr>
              <w:t>Interviewees</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rsidRPr="00A171AF" w:rsidR="004B5584" w:rsidP="00824C83" w:rsidRDefault="004B5584" w14:paraId="6B020292" w14:textId="586A41D6">
            <w:pPr>
              <w:tabs>
                <w:tab w:val="clear" w:pos="1069"/>
              </w:tabs>
              <w:spacing w:line="240" w:lineRule="auto"/>
              <w:jc w:val="right"/>
              <w:rPr>
                <w:rFonts w:ascii="Corbel" w:hAnsi="Corbel" w:cs="Calibri"/>
                <w:color w:val="000000"/>
                <w:sz w:val="22"/>
                <w:szCs w:val="22"/>
                <w:lang w:bidi="ar-SA"/>
              </w:rPr>
            </w:pPr>
            <w:r>
              <w:rPr>
                <w:rFonts w:ascii="Corbel" w:hAnsi="Corbel" w:cs="Calibri"/>
                <w:color w:val="000000"/>
                <w:sz w:val="22"/>
                <w:szCs w:val="22"/>
                <w:lang w:bidi="ar-SA"/>
              </w:rPr>
              <w:t>22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A171AF" w:rsidR="004B5584" w:rsidP="00824C83" w:rsidRDefault="004B5584" w14:paraId="47299BC4" w14:textId="0ADBFDDB">
            <w:pPr>
              <w:tabs>
                <w:tab w:val="clear" w:pos="1069"/>
              </w:tabs>
              <w:spacing w:line="240" w:lineRule="auto"/>
              <w:jc w:val="right"/>
              <w:rPr>
                <w:rFonts w:ascii="Corbel" w:hAnsi="Corbel" w:cs="Calibri"/>
                <w:color w:val="000000"/>
                <w:sz w:val="22"/>
                <w:szCs w:val="22"/>
                <w:lang w:bidi="ar-SA"/>
              </w:rPr>
            </w:pPr>
            <w:r>
              <w:rPr>
                <w:rFonts w:ascii="Corbel" w:hAnsi="Corbel" w:cs="Calibri"/>
                <w:color w:val="000000"/>
                <w:sz w:val="22"/>
                <w:szCs w:val="22"/>
                <w:lang w:bidi="ar-SA"/>
              </w:rPr>
              <w:t xml:space="preserve">20 </w:t>
            </w:r>
            <w:r w:rsidRPr="004B5584">
              <w:rPr>
                <w:rFonts w:ascii="Corbel" w:hAnsi="Corbel" w:cs="Calibri"/>
                <w:color w:val="000000"/>
                <w:sz w:val="22"/>
                <w:szCs w:val="22"/>
                <w:vertAlign w:val="superscript"/>
                <w:lang w:bidi="ar-SA"/>
              </w:rPr>
              <w:t>(2)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A171AF" w:rsidR="004B5584" w:rsidP="00824C83" w:rsidRDefault="004B5584" w14:paraId="22498A71" w14:textId="48446FF3">
            <w:pPr>
              <w:tabs>
                <w:tab w:val="clear" w:pos="1069"/>
              </w:tabs>
              <w:spacing w:line="240" w:lineRule="auto"/>
              <w:jc w:val="right"/>
              <w:rPr>
                <w:rFonts w:ascii="Corbel" w:hAnsi="Corbel" w:cs="Calibri"/>
                <w:color w:val="000000"/>
                <w:sz w:val="22"/>
                <w:szCs w:val="22"/>
                <w:lang w:bidi="ar-SA"/>
              </w:rPr>
            </w:pPr>
            <w:r>
              <w:rPr>
                <w:rFonts w:ascii="Corbel" w:hAnsi="Corbel" w:cs="Calibri"/>
                <w:color w:val="000000"/>
                <w:sz w:val="22"/>
                <w:szCs w:val="22"/>
                <w:lang w:bidi="ar-SA"/>
              </w:rPr>
              <w:t>1 hr.</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A171AF" w:rsidR="004B5584" w:rsidP="00824C83" w:rsidRDefault="004B5584" w14:paraId="7A50DB87" w14:textId="6080FAE1">
            <w:pPr>
              <w:tabs>
                <w:tab w:val="clear" w:pos="1069"/>
              </w:tabs>
              <w:spacing w:line="240" w:lineRule="auto"/>
              <w:jc w:val="right"/>
              <w:rPr>
                <w:rFonts w:ascii="Corbel" w:hAnsi="Corbel" w:cs="Calibri"/>
                <w:color w:val="000000"/>
                <w:sz w:val="22"/>
                <w:szCs w:val="22"/>
                <w:lang w:bidi="ar-SA"/>
              </w:rPr>
            </w:pPr>
            <w:r>
              <w:rPr>
                <w:rFonts w:ascii="Corbel" w:hAnsi="Corbel" w:cs="Calibri"/>
                <w:color w:val="000000"/>
                <w:sz w:val="22"/>
                <w:szCs w:val="22"/>
                <w:lang w:bidi="ar-SA"/>
              </w:rPr>
              <w:t>20 hrs.</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rsidRPr="00A171AF" w:rsidR="004B5584" w:rsidP="00824C83" w:rsidRDefault="00824C83" w14:paraId="0B02B904" w14:textId="6E733F3F">
            <w:pPr>
              <w:tabs>
                <w:tab w:val="clear" w:pos="1069"/>
              </w:tabs>
              <w:spacing w:line="240" w:lineRule="auto"/>
              <w:jc w:val="right"/>
              <w:rPr>
                <w:rFonts w:ascii="Corbel" w:hAnsi="Corbel" w:cs="Calibri"/>
                <w:color w:val="000000"/>
                <w:sz w:val="22"/>
                <w:szCs w:val="22"/>
                <w:lang w:bidi="ar-SA"/>
              </w:rPr>
            </w:pPr>
            <w:r>
              <w:rPr>
                <w:rFonts w:ascii="Corbel" w:hAnsi="Corbel" w:cs="Calibri"/>
                <w:color w:val="000000"/>
                <w:sz w:val="22"/>
                <w:szCs w:val="22"/>
                <w:lang w:bidi="ar-SA"/>
              </w:rPr>
              <w:t>$557.40</w:t>
            </w:r>
          </w:p>
        </w:tc>
      </w:tr>
      <w:tr w:rsidRPr="00EA19C2" w:rsidR="004B5584" w:rsidTr="000F7B36" w14:paraId="365E3E6B" w14:textId="77777777">
        <w:trPr>
          <w:trHeight w:val="243"/>
        </w:trPr>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rsidRPr="00A171AF" w:rsidR="004B5584" w:rsidP="00824C83" w:rsidRDefault="00824C83" w14:paraId="00D39BC1" w14:textId="7797CC25">
            <w:pPr>
              <w:tabs>
                <w:tab w:val="clear" w:pos="1069"/>
              </w:tabs>
              <w:spacing w:line="240" w:lineRule="auto"/>
              <w:rPr>
                <w:rFonts w:ascii="Corbel" w:hAnsi="Corbel" w:cs="Calibri"/>
                <w:color w:val="000000"/>
                <w:sz w:val="22"/>
                <w:szCs w:val="22"/>
                <w:lang w:bidi="ar-SA"/>
              </w:rPr>
            </w:pPr>
            <w:r>
              <w:rPr>
                <w:rFonts w:ascii="Corbel" w:hAnsi="Corbel" w:cs="Calibri"/>
                <w:color w:val="000000"/>
                <w:sz w:val="22"/>
                <w:szCs w:val="22"/>
                <w:lang w:bidi="ar-SA"/>
              </w:rPr>
              <w:t xml:space="preserve">Virtual </w:t>
            </w:r>
            <w:r w:rsidR="004B5584">
              <w:rPr>
                <w:rFonts w:ascii="Corbel" w:hAnsi="Corbel" w:cs="Calibri"/>
                <w:color w:val="000000"/>
                <w:sz w:val="22"/>
                <w:szCs w:val="22"/>
                <w:lang w:bidi="ar-SA"/>
              </w:rPr>
              <w:t>Focus Group Participants</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rsidRPr="00A171AF" w:rsidR="004B5584" w:rsidP="00824C83" w:rsidRDefault="004B5584" w14:paraId="510AEA2B" w14:textId="0275A5A8">
            <w:pPr>
              <w:tabs>
                <w:tab w:val="clear" w:pos="1069"/>
              </w:tabs>
              <w:spacing w:line="240" w:lineRule="auto"/>
              <w:jc w:val="right"/>
              <w:rPr>
                <w:rFonts w:ascii="Corbel" w:hAnsi="Corbel" w:cs="Calibri"/>
                <w:color w:val="000000"/>
                <w:sz w:val="22"/>
                <w:szCs w:val="22"/>
                <w:lang w:bidi="ar-SA"/>
              </w:rPr>
            </w:pPr>
            <w:r>
              <w:rPr>
                <w:rFonts w:ascii="Corbel" w:hAnsi="Corbel" w:cs="Calibri"/>
                <w:color w:val="000000"/>
                <w:sz w:val="22"/>
                <w:szCs w:val="22"/>
                <w:lang w:bidi="ar-SA"/>
              </w:rPr>
              <w:t>20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4B5584" w:rsidR="004B5584" w:rsidP="00824C83" w:rsidRDefault="004B5584" w14:paraId="2AC65029" w14:textId="5A4BD141">
            <w:pPr>
              <w:tabs>
                <w:tab w:val="clear" w:pos="1069"/>
              </w:tabs>
              <w:spacing w:line="240" w:lineRule="auto"/>
              <w:jc w:val="right"/>
              <w:rPr>
                <w:rFonts w:ascii="Corbel" w:hAnsi="Corbel" w:cs="Calibri"/>
                <w:color w:val="000000"/>
                <w:sz w:val="22"/>
                <w:szCs w:val="22"/>
                <w:vertAlign w:val="superscript"/>
                <w:lang w:bidi="ar-SA"/>
              </w:rPr>
            </w:pPr>
            <w:r>
              <w:rPr>
                <w:rFonts w:ascii="Corbel" w:hAnsi="Corbel" w:cs="Calibri"/>
                <w:color w:val="000000"/>
                <w:sz w:val="22"/>
                <w:szCs w:val="22"/>
                <w:lang w:bidi="ar-SA"/>
              </w:rPr>
              <w:t>14</w:t>
            </w:r>
            <w:r>
              <w:rPr>
                <w:rFonts w:ascii="Corbel" w:hAnsi="Corbel" w:cs="Calibri"/>
                <w:color w:val="000000"/>
                <w:sz w:val="22"/>
                <w:szCs w:val="22"/>
                <w:vertAlign w:val="superscript"/>
                <w:lang w:bidi="ar-SA"/>
              </w:rPr>
              <w:t>(3)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A171AF" w:rsidR="004B5584" w:rsidP="00824C83" w:rsidRDefault="004B5584" w14:paraId="14FE005A" w14:textId="2F1336D5">
            <w:pPr>
              <w:tabs>
                <w:tab w:val="clear" w:pos="1069"/>
              </w:tabs>
              <w:spacing w:line="240" w:lineRule="auto"/>
              <w:jc w:val="right"/>
              <w:rPr>
                <w:rFonts w:ascii="Corbel" w:hAnsi="Corbel" w:cs="Calibri"/>
                <w:color w:val="000000"/>
                <w:sz w:val="22"/>
                <w:szCs w:val="22"/>
                <w:lang w:bidi="ar-SA"/>
              </w:rPr>
            </w:pPr>
            <w:r>
              <w:rPr>
                <w:rFonts w:ascii="Corbel" w:hAnsi="Corbel" w:cs="Calibri"/>
                <w:color w:val="000000"/>
                <w:sz w:val="22"/>
                <w:szCs w:val="22"/>
                <w:lang w:bidi="ar-SA"/>
              </w:rPr>
              <w:t>1.5 hrs.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A171AF" w:rsidR="004B5584" w:rsidP="00824C83" w:rsidRDefault="004B5584" w14:paraId="6F602CCC" w14:textId="2B605234">
            <w:pPr>
              <w:tabs>
                <w:tab w:val="clear" w:pos="1069"/>
              </w:tabs>
              <w:spacing w:line="240" w:lineRule="auto"/>
              <w:jc w:val="right"/>
              <w:rPr>
                <w:rFonts w:ascii="Corbel" w:hAnsi="Corbel" w:cs="Calibri"/>
                <w:color w:val="000000"/>
                <w:sz w:val="22"/>
                <w:szCs w:val="22"/>
                <w:lang w:bidi="ar-SA"/>
              </w:rPr>
            </w:pPr>
            <w:r>
              <w:rPr>
                <w:rFonts w:ascii="Corbel" w:hAnsi="Corbel" w:cs="Calibri"/>
                <w:color w:val="000000"/>
                <w:sz w:val="22"/>
                <w:szCs w:val="22"/>
                <w:lang w:bidi="ar-SA"/>
              </w:rPr>
              <w:t>21 hrs.</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rsidRPr="00A171AF" w:rsidR="004B5584" w:rsidP="00824C83" w:rsidRDefault="00824C83" w14:paraId="57A37F7A" w14:textId="7624330B">
            <w:pPr>
              <w:tabs>
                <w:tab w:val="clear" w:pos="1069"/>
              </w:tabs>
              <w:spacing w:line="240" w:lineRule="auto"/>
              <w:jc w:val="right"/>
              <w:rPr>
                <w:rFonts w:ascii="Corbel" w:hAnsi="Corbel" w:cs="Calibri"/>
                <w:color w:val="000000"/>
                <w:sz w:val="22"/>
                <w:szCs w:val="22"/>
                <w:lang w:bidi="ar-SA"/>
              </w:rPr>
            </w:pPr>
            <w:r>
              <w:rPr>
                <w:rFonts w:ascii="Corbel" w:hAnsi="Corbel" w:cs="Calibri"/>
                <w:color w:val="000000"/>
                <w:sz w:val="22"/>
                <w:szCs w:val="22"/>
                <w:lang w:bidi="ar-SA"/>
              </w:rPr>
              <w:t>$585.27</w:t>
            </w:r>
          </w:p>
        </w:tc>
      </w:tr>
      <w:tr w:rsidRPr="00EA19C2" w:rsidR="00CC485F" w:rsidTr="00CC485F" w14:paraId="06475F27" w14:textId="77777777">
        <w:trPr>
          <w:trHeight w:val="243"/>
        </w:trPr>
        <w:tc>
          <w:tcPr>
            <w:tcW w:w="3261" w:type="dxa"/>
            <w:tcBorders>
              <w:top w:val="single" w:color="auto" w:sz="4" w:space="0"/>
              <w:left w:val="single" w:color="auto" w:sz="4" w:space="0"/>
              <w:bottom w:val="single" w:color="auto" w:sz="4" w:space="0"/>
              <w:right w:val="single" w:color="auto" w:sz="4" w:space="0"/>
            </w:tcBorders>
            <w:shd w:val="clear" w:color="auto" w:fill="auto"/>
            <w:vAlign w:val="bottom"/>
          </w:tcPr>
          <w:p w:rsidR="00CC485F" w:rsidP="00CC485F" w:rsidRDefault="00CC485F" w14:paraId="46936D4F" w14:textId="40ECD0BB">
            <w:pPr>
              <w:tabs>
                <w:tab w:val="clear" w:pos="1069"/>
              </w:tabs>
              <w:spacing w:line="240" w:lineRule="auto"/>
              <w:jc w:val="right"/>
              <w:rPr>
                <w:rFonts w:ascii="Corbel" w:hAnsi="Corbel" w:cs="Calibri"/>
                <w:color w:val="000000"/>
                <w:sz w:val="22"/>
                <w:szCs w:val="22"/>
                <w:lang w:bidi="ar-SA"/>
              </w:rPr>
            </w:pPr>
            <w:r>
              <w:rPr>
                <w:rFonts w:ascii="Corbel" w:hAnsi="Corbel" w:cs="Calibri"/>
                <w:color w:val="000000"/>
                <w:sz w:val="22"/>
                <w:szCs w:val="22"/>
                <w:lang w:bidi="ar-SA"/>
              </w:rPr>
              <w:t>TOTAL</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rsidR="00CC485F" w:rsidP="00824C83" w:rsidRDefault="00CC485F" w14:paraId="20D54139" w14:textId="4ECF8B0A">
            <w:pPr>
              <w:tabs>
                <w:tab w:val="clear" w:pos="1069"/>
              </w:tabs>
              <w:spacing w:line="240" w:lineRule="auto"/>
              <w:jc w:val="right"/>
              <w:rPr>
                <w:rFonts w:ascii="Corbel" w:hAnsi="Corbel" w:cs="Calibri"/>
                <w:color w:val="000000"/>
                <w:sz w:val="22"/>
                <w:szCs w:val="22"/>
                <w:lang w:bidi="ar-SA"/>
              </w:rPr>
            </w:pPr>
            <w:r>
              <w:rPr>
                <w:rFonts w:ascii="Corbel" w:hAnsi="Corbel" w:cs="Calibri"/>
                <w:color w:val="000000"/>
                <w:sz w:val="22"/>
                <w:szCs w:val="22"/>
                <w:lang w:bidi="ar-SA"/>
              </w:rPr>
              <w:t>3,042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00CC485F" w:rsidP="00824C83" w:rsidRDefault="00CC485F" w14:paraId="3033F329" w14:textId="0B15D328">
            <w:pPr>
              <w:tabs>
                <w:tab w:val="clear" w:pos="1069"/>
              </w:tabs>
              <w:spacing w:line="240" w:lineRule="auto"/>
              <w:jc w:val="right"/>
              <w:rPr>
                <w:rFonts w:ascii="Corbel" w:hAnsi="Corbel" w:cs="Calibri"/>
                <w:color w:val="000000"/>
                <w:sz w:val="22"/>
                <w:szCs w:val="22"/>
                <w:lang w:bidi="ar-SA"/>
              </w:rPr>
            </w:pPr>
            <w:r>
              <w:rPr>
                <w:rFonts w:ascii="Corbel" w:hAnsi="Corbel" w:cs="Calibri"/>
                <w:color w:val="000000"/>
                <w:sz w:val="22"/>
                <w:szCs w:val="22"/>
                <w:lang w:bidi="ar-SA"/>
              </w:rPr>
              <w:t>1,084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00CC485F" w:rsidP="00824C83" w:rsidRDefault="00CC485F" w14:paraId="5404425C" w14:textId="77777777">
            <w:pPr>
              <w:tabs>
                <w:tab w:val="clear" w:pos="1069"/>
              </w:tabs>
              <w:spacing w:line="240" w:lineRule="auto"/>
              <w:jc w:val="right"/>
              <w:rPr>
                <w:rFonts w:ascii="Corbel" w:hAnsi="Corbel" w:cs="Calibri"/>
                <w:color w:val="000000"/>
                <w:sz w:val="22"/>
                <w:szCs w:val="22"/>
                <w:lang w:bidi="ar-SA"/>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00CC485F" w:rsidP="00824C83" w:rsidRDefault="00CC485F" w14:paraId="4272B4CA" w14:textId="5F5254CF">
            <w:pPr>
              <w:tabs>
                <w:tab w:val="clear" w:pos="1069"/>
              </w:tabs>
              <w:spacing w:line="240" w:lineRule="auto"/>
              <w:jc w:val="right"/>
              <w:rPr>
                <w:rFonts w:ascii="Corbel" w:hAnsi="Corbel" w:cs="Calibri"/>
                <w:color w:val="000000"/>
                <w:sz w:val="22"/>
                <w:szCs w:val="22"/>
                <w:lang w:bidi="ar-SA"/>
              </w:rPr>
            </w:pPr>
            <w:r>
              <w:rPr>
                <w:rFonts w:ascii="Corbel" w:hAnsi="Corbel" w:cs="Calibri"/>
                <w:color w:val="000000"/>
                <w:sz w:val="22"/>
                <w:szCs w:val="22"/>
                <w:lang w:bidi="ar-SA"/>
              </w:rPr>
              <w:t>391</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rsidR="00CC485F" w:rsidP="00824C83" w:rsidRDefault="00CC485F" w14:paraId="458E7C67" w14:textId="748C7AA3">
            <w:pPr>
              <w:tabs>
                <w:tab w:val="clear" w:pos="1069"/>
              </w:tabs>
              <w:spacing w:line="240" w:lineRule="auto"/>
              <w:jc w:val="right"/>
              <w:rPr>
                <w:rFonts w:ascii="Corbel" w:hAnsi="Corbel" w:cs="Calibri"/>
                <w:color w:val="000000"/>
                <w:sz w:val="22"/>
                <w:szCs w:val="22"/>
                <w:lang w:bidi="ar-SA"/>
              </w:rPr>
            </w:pPr>
            <w:r>
              <w:rPr>
                <w:rFonts w:ascii="Corbel" w:hAnsi="Corbel" w:cs="Calibri"/>
                <w:color w:val="000000"/>
                <w:sz w:val="22"/>
                <w:szCs w:val="22"/>
                <w:lang w:bidi="ar-SA"/>
              </w:rPr>
              <w:t>$10,897.17</w:t>
            </w:r>
          </w:p>
        </w:tc>
      </w:tr>
      <w:tr w:rsidRPr="00EA19C2" w:rsidR="00CB5B58" w:rsidTr="0004367A" w14:paraId="4D8494FB" w14:textId="77777777">
        <w:trPr>
          <w:trHeight w:val="143"/>
        </w:trPr>
        <w:tc>
          <w:tcPr>
            <w:tcW w:w="3261" w:type="dxa"/>
            <w:tcBorders>
              <w:top w:val="single" w:color="auto" w:sz="4" w:space="0"/>
              <w:left w:val="nil"/>
              <w:bottom w:val="nil"/>
              <w:right w:val="nil"/>
            </w:tcBorders>
            <w:shd w:val="clear" w:color="auto" w:fill="auto"/>
            <w:vAlign w:val="bottom"/>
            <w:hideMark/>
          </w:tcPr>
          <w:p w:rsidRPr="0004367A" w:rsidR="00CB5B58" w:rsidP="00CB5B58" w:rsidRDefault="00CB5B58" w14:paraId="3F19F5D6" w14:textId="20BF712E">
            <w:pPr>
              <w:tabs>
                <w:tab w:val="clear" w:pos="1069"/>
              </w:tabs>
              <w:spacing w:line="240" w:lineRule="auto"/>
              <w:rPr>
                <w:rFonts w:ascii="Corbel" w:hAnsi="Corbel" w:cs="Calibri"/>
                <w:color w:val="000000"/>
                <w:sz w:val="18"/>
                <w:szCs w:val="18"/>
                <w:u w:val="single"/>
                <w:lang w:bidi="ar-SA"/>
              </w:rPr>
            </w:pPr>
            <w:r w:rsidRPr="0004367A">
              <w:rPr>
                <w:rFonts w:ascii="Corbel" w:hAnsi="Corbel" w:cs="Calibri"/>
                <w:color w:val="000000"/>
                <w:sz w:val="18"/>
                <w:szCs w:val="18"/>
                <w:u w:val="single"/>
                <w:lang w:bidi="ar-SA"/>
              </w:rPr>
              <w:t>Notes:</w:t>
            </w:r>
          </w:p>
        </w:tc>
        <w:tc>
          <w:tcPr>
            <w:tcW w:w="992" w:type="dxa"/>
            <w:tcBorders>
              <w:top w:val="single" w:color="auto" w:sz="4" w:space="0"/>
              <w:left w:val="nil"/>
              <w:bottom w:val="nil"/>
              <w:right w:val="nil"/>
            </w:tcBorders>
            <w:shd w:val="clear" w:color="auto" w:fill="auto"/>
            <w:noWrap/>
            <w:vAlign w:val="bottom"/>
            <w:hideMark/>
          </w:tcPr>
          <w:p w:rsidRPr="000F7B36" w:rsidR="00CB5B58" w:rsidP="00CB5B58" w:rsidRDefault="00CB5B58" w14:paraId="61F8FAF7" w14:textId="77777777">
            <w:pPr>
              <w:tabs>
                <w:tab w:val="clear" w:pos="1069"/>
              </w:tabs>
              <w:spacing w:line="240" w:lineRule="auto"/>
              <w:rPr>
                <w:rFonts w:ascii="Corbel" w:hAnsi="Corbel" w:cs="Calibri"/>
                <w:color w:val="000000"/>
                <w:sz w:val="20"/>
                <w:szCs w:val="20"/>
                <w:lang w:bidi="ar-SA"/>
              </w:rPr>
            </w:pPr>
            <w:r w:rsidRPr="000F7B36">
              <w:rPr>
                <w:rFonts w:ascii="Corbel" w:hAnsi="Corbel" w:cs="Calibri"/>
                <w:color w:val="000000"/>
                <w:sz w:val="20"/>
                <w:szCs w:val="20"/>
                <w:lang w:bidi="ar-SA"/>
              </w:rPr>
              <w:t> </w:t>
            </w:r>
          </w:p>
        </w:tc>
        <w:tc>
          <w:tcPr>
            <w:tcW w:w="1620" w:type="dxa"/>
            <w:tcBorders>
              <w:top w:val="single" w:color="auto" w:sz="4" w:space="0"/>
              <w:left w:val="nil"/>
              <w:bottom w:val="nil"/>
              <w:right w:val="nil"/>
            </w:tcBorders>
            <w:shd w:val="clear" w:color="auto" w:fill="auto"/>
            <w:noWrap/>
            <w:vAlign w:val="bottom"/>
            <w:hideMark/>
          </w:tcPr>
          <w:p w:rsidRPr="000F7B36" w:rsidR="00CB5B58" w:rsidP="00CB5B58" w:rsidRDefault="00CB5B58" w14:paraId="27C0C8F9" w14:textId="77777777">
            <w:pPr>
              <w:tabs>
                <w:tab w:val="clear" w:pos="1069"/>
              </w:tabs>
              <w:spacing w:line="240" w:lineRule="auto"/>
              <w:rPr>
                <w:rFonts w:ascii="Corbel" w:hAnsi="Corbel" w:cs="Calibri"/>
                <w:color w:val="000000"/>
                <w:sz w:val="20"/>
                <w:szCs w:val="20"/>
                <w:lang w:bidi="ar-SA"/>
              </w:rPr>
            </w:pPr>
            <w:r w:rsidRPr="000F7B36">
              <w:rPr>
                <w:rFonts w:ascii="Corbel" w:hAnsi="Corbel" w:cs="Calibri"/>
                <w:color w:val="000000"/>
                <w:sz w:val="20"/>
                <w:szCs w:val="20"/>
                <w:lang w:bidi="ar-SA"/>
              </w:rPr>
              <w:t> </w:t>
            </w:r>
          </w:p>
        </w:tc>
        <w:tc>
          <w:tcPr>
            <w:tcW w:w="1260" w:type="dxa"/>
            <w:tcBorders>
              <w:top w:val="single" w:color="auto" w:sz="4" w:space="0"/>
              <w:left w:val="nil"/>
              <w:bottom w:val="nil"/>
              <w:right w:val="nil"/>
            </w:tcBorders>
            <w:shd w:val="clear" w:color="auto" w:fill="auto"/>
            <w:noWrap/>
            <w:vAlign w:val="bottom"/>
            <w:hideMark/>
          </w:tcPr>
          <w:p w:rsidRPr="000F7B36" w:rsidR="00CB5B58" w:rsidP="00CB5B58" w:rsidRDefault="00CB5B58" w14:paraId="29EAB9DF" w14:textId="77777777">
            <w:pPr>
              <w:tabs>
                <w:tab w:val="clear" w:pos="1069"/>
              </w:tabs>
              <w:spacing w:line="240" w:lineRule="auto"/>
              <w:rPr>
                <w:rFonts w:ascii="Corbel" w:hAnsi="Corbel" w:cs="Calibri"/>
                <w:color w:val="000000"/>
                <w:sz w:val="20"/>
                <w:szCs w:val="20"/>
                <w:lang w:bidi="ar-SA"/>
              </w:rPr>
            </w:pPr>
            <w:r w:rsidRPr="000F7B36">
              <w:rPr>
                <w:rFonts w:ascii="Corbel" w:hAnsi="Corbel" w:cs="Calibri"/>
                <w:color w:val="000000"/>
                <w:sz w:val="20"/>
                <w:szCs w:val="20"/>
                <w:lang w:bidi="ar-SA"/>
              </w:rPr>
              <w:t> </w:t>
            </w:r>
          </w:p>
        </w:tc>
        <w:tc>
          <w:tcPr>
            <w:tcW w:w="1331" w:type="dxa"/>
            <w:tcBorders>
              <w:top w:val="single" w:color="auto" w:sz="4" w:space="0"/>
              <w:left w:val="nil"/>
              <w:bottom w:val="nil"/>
              <w:right w:val="nil"/>
            </w:tcBorders>
            <w:shd w:val="clear" w:color="auto" w:fill="auto"/>
            <w:noWrap/>
            <w:vAlign w:val="bottom"/>
            <w:hideMark/>
          </w:tcPr>
          <w:p w:rsidRPr="000F7B36" w:rsidR="00CB5B58" w:rsidP="00CB5B58" w:rsidRDefault="00CB5B58" w14:paraId="2CE96971" w14:textId="77777777">
            <w:pPr>
              <w:tabs>
                <w:tab w:val="clear" w:pos="1069"/>
              </w:tabs>
              <w:spacing w:line="240" w:lineRule="auto"/>
              <w:jc w:val="right"/>
              <w:rPr>
                <w:rFonts w:ascii="Corbel" w:hAnsi="Corbel" w:cs="Calibri"/>
                <w:color w:val="000000"/>
                <w:sz w:val="20"/>
                <w:szCs w:val="20"/>
                <w:lang w:bidi="ar-SA"/>
              </w:rPr>
            </w:pPr>
            <w:r w:rsidRPr="000F7B36">
              <w:rPr>
                <w:rFonts w:ascii="Corbel" w:hAnsi="Corbel" w:cs="Calibri"/>
                <w:color w:val="000000"/>
                <w:sz w:val="20"/>
                <w:szCs w:val="20"/>
                <w:lang w:bidi="ar-SA"/>
              </w:rPr>
              <w:t> </w:t>
            </w:r>
          </w:p>
        </w:tc>
        <w:tc>
          <w:tcPr>
            <w:tcW w:w="1369" w:type="dxa"/>
            <w:tcBorders>
              <w:top w:val="single" w:color="auto" w:sz="4" w:space="0"/>
              <w:left w:val="nil"/>
              <w:bottom w:val="nil"/>
              <w:right w:val="nil"/>
            </w:tcBorders>
            <w:shd w:val="clear" w:color="auto" w:fill="auto"/>
            <w:noWrap/>
            <w:vAlign w:val="bottom"/>
            <w:hideMark/>
          </w:tcPr>
          <w:p w:rsidRPr="000F7B36" w:rsidR="00CB5B58" w:rsidP="00CB5B58" w:rsidRDefault="00CB5B58" w14:paraId="117EEE31" w14:textId="77777777">
            <w:pPr>
              <w:tabs>
                <w:tab w:val="clear" w:pos="1069"/>
              </w:tabs>
              <w:spacing w:line="240" w:lineRule="auto"/>
              <w:rPr>
                <w:rFonts w:ascii="Corbel" w:hAnsi="Corbel" w:cs="Calibri"/>
                <w:color w:val="000000"/>
                <w:sz w:val="20"/>
                <w:szCs w:val="20"/>
                <w:lang w:bidi="ar-SA"/>
              </w:rPr>
            </w:pPr>
            <w:r w:rsidRPr="000F7B36">
              <w:rPr>
                <w:rFonts w:ascii="Corbel" w:hAnsi="Corbel" w:cs="Calibri"/>
                <w:color w:val="000000"/>
                <w:sz w:val="20"/>
                <w:szCs w:val="20"/>
                <w:lang w:bidi="ar-SA"/>
              </w:rPr>
              <w:t> </w:t>
            </w:r>
          </w:p>
        </w:tc>
      </w:tr>
      <w:tr w:rsidRPr="00EA19C2" w:rsidR="00CB5B58" w:rsidTr="000F7B36" w14:paraId="279F41DE" w14:textId="77777777">
        <w:trPr>
          <w:trHeight w:val="390"/>
        </w:trPr>
        <w:tc>
          <w:tcPr>
            <w:tcW w:w="9837" w:type="dxa"/>
            <w:gridSpan w:val="6"/>
            <w:tcBorders>
              <w:top w:val="nil"/>
              <w:left w:val="nil"/>
              <w:bottom w:val="nil"/>
              <w:right w:val="nil"/>
            </w:tcBorders>
            <w:shd w:val="clear" w:color="auto" w:fill="auto"/>
            <w:hideMark/>
          </w:tcPr>
          <w:p w:rsidRPr="000F7B36" w:rsidR="00CB5B58" w:rsidP="00CB5B58" w:rsidRDefault="00CB5B58" w14:paraId="103838C2" w14:textId="49C1E4D2">
            <w:pPr>
              <w:tabs>
                <w:tab w:val="clear" w:pos="1069"/>
              </w:tabs>
              <w:spacing w:line="240" w:lineRule="auto"/>
              <w:rPr>
                <w:rFonts w:ascii="Corbel" w:hAnsi="Corbel" w:cs="Calibri"/>
                <w:i/>
                <w:iCs/>
                <w:color w:val="000000"/>
                <w:sz w:val="20"/>
                <w:szCs w:val="20"/>
                <w:lang w:bidi="ar-SA"/>
              </w:rPr>
            </w:pPr>
            <w:r w:rsidRPr="000F7B36">
              <w:rPr>
                <w:rFonts w:ascii="Corbel" w:hAnsi="Corbel" w:cs="Calibri"/>
                <w:i/>
                <w:iCs/>
                <w:color w:val="000000"/>
                <w:sz w:val="20"/>
                <w:szCs w:val="20"/>
                <w:lang w:bidi="ar-SA"/>
              </w:rPr>
              <w:t xml:space="preserve">(1)  </w:t>
            </w:r>
            <w:r w:rsidRPr="000F7B36" w:rsidR="004B5584">
              <w:rPr>
                <w:rFonts w:ascii="Corbel" w:hAnsi="Corbel" w:cs="Calibri"/>
                <w:i/>
                <w:iCs/>
                <w:color w:val="000000"/>
                <w:sz w:val="20"/>
                <w:szCs w:val="20"/>
                <w:lang w:bidi="ar-SA"/>
              </w:rPr>
              <w:t xml:space="preserve">Survey response rate goal is </w:t>
            </w:r>
            <w:r w:rsidRPr="000F7B36" w:rsidR="00824C83">
              <w:rPr>
                <w:rFonts w:ascii="Corbel" w:hAnsi="Corbel" w:cs="Calibri"/>
                <w:i/>
                <w:iCs/>
                <w:color w:val="000000"/>
                <w:sz w:val="20"/>
                <w:szCs w:val="20"/>
                <w:lang w:bidi="ar-SA"/>
              </w:rPr>
              <w:t>35</w:t>
            </w:r>
            <w:r w:rsidRPr="000F7B36" w:rsidR="004B5584">
              <w:rPr>
                <w:rFonts w:ascii="Corbel" w:hAnsi="Corbel" w:cs="Calibri"/>
                <w:i/>
                <w:iCs/>
                <w:color w:val="000000"/>
                <w:sz w:val="20"/>
                <w:szCs w:val="20"/>
                <w:lang w:bidi="ar-SA"/>
              </w:rPr>
              <w:t>%.</w:t>
            </w:r>
            <w:r w:rsidRPr="000F7B36" w:rsidR="00407526">
              <w:rPr>
                <w:rFonts w:ascii="Corbel" w:hAnsi="Corbel" w:cs="Calibri"/>
                <w:i/>
                <w:iCs/>
                <w:color w:val="000000"/>
                <w:sz w:val="20"/>
                <w:szCs w:val="20"/>
                <w:lang w:bidi="ar-SA"/>
              </w:rPr>
              <w:t xml:space="preserve"> See Part B.1.2. </w:t>
            </w:r>
          </w:p>
          <w:p w:rsidRPr="000F7B36" w:rsidR="004B5584" w:rsidP="00CB5B58" w:rsidRDefault="004B5584" w14:paraId="75A42A32" w14:textId="318A4F06">
            <w:pPr>
              <w:tabs>
                <w:tab w:val="clear" w:pos="1069"/>
              </w:tabs>
              <w:spacing w:line="240" w:lineRule="auto"/>
              <w:rPr>
                <w:rFonts w:ascii="Corbel" w:hAnsi="Corbel" w:cs="Calibri"/>
                <w:i/>
                <w:iCs/>
                <w:color w:val="000000"/>
                <w:sz w:val="20"/>
                <w:szCs w:val="20"/>
                <w:lang w:bidi="ar-SA"/>
              </w:rPr>
            </w:pPr>
            <w:r w:rsidRPr="000F7B36">
              <w:rPr>
                <w:rFonts w:ascii="Corbel" w:hAnsi="Corbel" w:cs="Calibri"/>
                <w:i/>
                <w:iCs/>
                <w:color w:val="000000"/>
                <w:sz w:val="20"/>
                <w:szCs w:val="20"/>
                <w:lang w:bidi="ar-SA"/>
              </w:rPr>
              <w:t xml:space="preserve">(2) Because of IMLS’s and PPG’s reputations in the museum and </w:t>
            </w:r>
            <w:r w:rsidR="004D5643">
              <w:rPr>
                <w:rFonts w:ascii="Corbel" w:hAnsi="Corbel" w:cs="Calibri"/>
                <w:i/>
                <w:iCs/>
                <w:color w:val="000000"/>
                <w:sz w:val="20"/>
                <w:szCs w:val="20"/>
                <w:lang w:bidi="ar-SA"/>
              </w:rPr>
              <w:t>capacity-building</w:t>
            </w:r>
            <w:r w:rsidRPr="000F7B36">
              <w:rPr>
                <w:rFonts w:ascii="Corbel" w:hAnsi="Corbel" w:cs="Calibri"/>
                <w:i/>
                <w:iCs/>
                <w:color w:val="000000"/>
                <w:sz w:val="20"/>
                <w:szCs w:val="20"/>
                <w:lang w:bidi="ar-SA"/>
              </w:rPr>
              <w:t xml:space="preserve"> sectors, </w:t>
            </w:r>
            <w:r w:rsidRPr="000F7B36" w:rsidR="00407526">
              <w:rPr>
                <w:rFonts w:ascii="Corbel" w:hAnsi="Corbel" w:cs="Calibri"/>
                <w:i/>
                <w:iCs/>
                <w:color w:val="000000"/>
                <w:sz w:val="20"/>
                <w:szCs w:val="20"/>
                <w:lang w:bidi="ar-SA"/>
              </w:rPr>
              <w:t>and because PPG consultants may a</w:t>
            </w:r>
            <w:r w:rsidRPr="000F7B36" w:rsidR="00A61A8B">
              <w:rPr>
                <w:rFonts w:ascii="Corbel" w:hAnsi="Corbel" w:cs="Calibri"/>
                <w:i/>
                <w:iCs/>
                <w:color w:val="000000"/>
                <w:sz w:val="20"/>
                <w:szCs w:val="20"/>
                <w:lang w:bidi="ar-SA"/>
              </w:rPr>
              <w:t>djust</w:t>
            </w:r>
            <w:r w:rsidRPr="000F7B36" w:rsidR="00407526">
              <w:rPr>
                <w:rFonts w:ascii="Corbel" w:hAnsi="Corbel" w:cs="Calibri"/>
                <w:i/>
                <w:iCs/>
                <w:color w:val="000000"/>
                <w:sz w:val="20"/>
                <w:szCs w:val="20"/>
                <w:lang w:bidi="ar-SA"/>
              </w:rPr>
              <w:t xml:space="preserve"> their schedules to meet the needs of interviewees, </w:t>
            </w:r>
            <w:r w:rsidRPr="000F7B36">
              <w:rPr>
                <w:rFonts w:ascii="Corbel" w:hAnsi="Corbel" w:cs="Calibri"/>
                <w:i/>
                <w:iCs/>
                <w:color w:val="000000"/>
                <w:sz w:val="20"/>
                <w:szCs w:val="20"/>
                <w:lang w:bidi="ar-SA"/>
              </w:rPr>
              <w:t>we anticipate only 2 people will decline or be unavailable</w:t>
            </w:r>
            <w:r w:rsidR="00782F67">
              <w:rPr>
                <w:rFonts w:ascii="Corbel" w:hAnsi="Corbel" w:cs="Calibri"/>
                <w:i/>
                <w:iCs/>
                <w:color w:val="000000"/>
                <w:sz w:val="20"/>
                <w:szCs w:val="20"/>
                <w:lang w:bidi="ar-SA"/>
              </w:rPr>
              <w:t>.</w:t>
            </w:r>
          </w:p>
          <w:p w:rsidRPr="000F7B36" w:rsidR="004B5584" w:rsidP="00CB5B58" w:rsidRDefault="004B5584" w14:paraId="72545073" w14:textId="5462D5ED">
            <w:pPr>
              <w:tabs>
                <w:tab w:val="clear" w:pos="1069"/>
              </w:tabs>
              <w:spacing w:line="240" w:lineRule="auto"/>
              <w:rPr>
                <w:rFonts w:ascii="Corbel" w:hAnsi="Corbel" w:cs="Calibri"/>
                <w:i/>
                <w:iCs/>
                <w:color w:val="000000"/>
                <w:sz w:val="20"/>
                <w:szCs w:val="20"/>
                <w:lang w:bidi="ar-SA"/>
              </w:rPr>
            </w:pPr>
            <w:r w:rsidRPr="000F7B36">
              <w:rPr>
                <w:rFonts w:ascii="Corbel" w:hAnsi="Corbel" w:cs="Calibri"/>
                <w:i/>
                <w:iCs/>
                <w:color w:val="000000"/>
                <w:sz w:val="20"/>
                <w:szCs w:val="20"/>
                <w:lang w:bidi="ar-SA"/>
              </w:rPr>
              <w:t>(3) Because focus groups are not one-on-one, but require a group of individuals to be available at one time, we anticipate 6 people will decline or be unavailable for focus groups.</w:t>
            </w:r>
          </w:p>
        </w:tc>
      </w:tr>
      <w:tr w:rsidRPr="00EA19C2" w:rsidR="00CB5B58" w:rsidTr="000F7B36" w14:paraId="7D22ACB5" w14:textId="77777777">
        <w:trPr>
          <w:trHeight w:val="300"/>
        </w:trPr>
        <w:tc>
          <w:tcPr>
            <w:tcW w:w="9837" w:type="dxa"/>
            <w:gridSpan w:val="6"/>
            <w:tcBorders>
              <w:top w:val="nil"/>
              <w:left w:val="nil"/>
              <w:bottom w:val="nil"/>
              <w:right w:val="nil"/>
            </w:tcBorders>
            <w:shd w:val="clear" w:color="auto" w:fill="auto"/>
            <w:hideMark/>
          </w:tcPr>
          <w:p w:rsidRPr="000F7B36" w:rsidR="00CB5B58" w:rsidP="00CB5B58" w:rsidRDefault="00CB5B58" w14:paraId="23AE9F51" w14:textId="1A15A0D0">
            <w:pPr>
              <w:tabs>
                <w:tab w:val="clear" w:pos="1069"/>
              </w:tabs>
              <w:spacing w:line="240" w:lineRule="auto"/>
              <w:rPr>
                <w:rFonts w:ascii="Corbel" w:hAnsi="Corbel" w:cs="Calibri"/>
                <w:i/>
                <w:iCs/>
                <w:color w:val="000000"/>
                <w:sz w:val="20"/>
                <w:szCs w:val="20"/>
                <w:lang w:bidi="ar-SA"/>
              </w:rPr>
            </w:pPr>
            <w:r w:rsidRPr="000F7B36">
              <w:rPr>
                <w:rFonts w:ascii="Corbel" w:hAnsi="Corbel" w:cs="Calibri"/>
                <w:i/>
                <w:iCs/>
                <w:color w:val="000000"/>
                <w:sz w:val="20"/>
                <w:szCs w:val="20"/>
                <w:lang w:bidi="ar-SA"/>
              </w:rPr>
              <w:lastRenderedPageBreak/>
              <w:t>(</w:t>
            </w:r>
            <w:r w:rsidRPr="000F7B36" w:rsidR="004B5584">
              <w:rPr>
                <w:rFonts w:ascii="Corbel" w:hAnsi="Corbel" w:cs="Calibri"/>
                <w:i/>
                <w:iCs/>
                <w:color w:val="000000"/>
                <w:sz w:val="20"/>
                <w:szCs w:val="20"/>
                <w:lang w:bidi="ar-SA"/>
              </w:rPr>
              <w:t>4</w:t>
            </w:r>
            <w:r w:rsidRPr="000F7B36">
              <w:rPr>
                <w:rFonts w:ascii="Corbel" w:hAnsi="Corbel" w:cs="Calibri"/>
                <w:i/>
                <w:iCs/>
                <w:color w:val="000000"/>
                <w:sz w:val="20"/>
                <w:szCs w:val="20"/>
                <w:lang w:bidi="ar-SA"/>
              </w:rPr>
              <w:t>) Cost is based on average of Museum and Library Professionals of $27.87/hour</w:t>
            </w:r>
          </w:p>
        </w:tc>
      </w:tr>
      <w:tr w:rsidRPr="00EA19C2" w:rsidR="00C159B2" w:rsidTr="000F7B36" w14:paraId="485647A7" w14:textId="77777777">
        <w:trPr>
          <w:trHeight w:val="300"/>
        </w:trPr>
        <w:tc>
          <w:tcPr>
            <w:tcW w:w="9837" w:type="dxa"/>
            <w:gridSpan w:val="6"/>
            <w:tcBorders>
              <w:top w:val="nil"/>
              <w:left w:val="nil"/>
              <w:bottom w:val="nil"/>
              <w:right w:val="nil"/>
            </w:tcBorders>
            <w:shd w:val="clear" w:color="auto" w:fill="auto"/>
          </w:tcPr>
          <w:p w:rsidRPr="000F7B36" w:rsidR="00C159B2" w:rsidP="00CB5B58" w:rsidRDefault="00C159B2" w14:paraId="6563FFB9" w14:textId="77777777">
            <w:pPr>
              <w:tabs>
                <w:tab w:val="clear" w:pos="1069"/>
              </w:tabs>
              <w:spacing w:line="240" w:lineRule="auto"/>
              <w:rPr>
                <w:rFonts w:ascii="Corbel" w:hAnsi="Corbel" w:cs="Calibri"/>
                <w:i/>
                <w:iCs/>
                <w:color w:val="000000"/>
                <w:sz w:val="20"/>
                <w:szCs w:val="20"/>
                <w:lang w:bidi="ar-SA"/>
              </w:rPr>
            </w:pPr>
          </w:p>
        </w:tc>
      </w:tr>
    </w:tbl>
    <w:p w:rsidRPr="00B82642" w:rsidR="00D55958" w:rsidP="00DC356C" w:rsidRDefault="00E67ECC" w14:paraId="74FA56FB" w14:textId="5F250F73">
      <w:pPr>
        <w:pStyle w:val="Heading2"/>
        <w:rPr>
          <w:rFonts w:ascii="Corbel" w:hAnsi="Corbel"/>
        </w:rPr>
      </w:pPr>
      <w:r w:rsidRPr="00B82642">
        <w:rPr>
          <w:rFonts w:ascii="Corbel" w:hAnsi="Corbel"/>
        </w:rPr>
        <w:t>A.13.</w:t>
      </w:r>
      <w:r w:rsidR="00D41FE8">
        <w:rPr>
          <w:rFonts w:ascii="Corbel" w:hAnsi="Corbel"/>
        </w:rPr>
        <w:tab/>
      </w:r>
      <w:r w:rsidRPr="00B82642">
        <w:rPr>
          <w:rFonts w:ascii="Corbel" w:hAnsi="Corbel"/>
        </w:rPr>
        <w:t>Estimates of Cost</w:t>
      </w:r>
    </w:p>
    <w:p w:rsidRPr="00AF37DE" w:rsidR="00D14C6B" w:rsidP="0000421C" w:rsidRDefault="00D14C6B" w14:paraId="42E7D7F0" w14:textId="77777777">
      <w:pPr>
        <w:rPr>
          <w:rFonts w:ascii="Corbel" w:hAnsi="Corbel"/>
          <w:highlight w:val="yellow"/>
          <w:lang w:bidi="ar-SA"/>
        </w:rPr>
      </w:pPr>
    </w:p>
    <w:p w:rsidRPr="00CC485F" w:rsidR="00CC485F" w:rsidP="00DD0304" w:rsidRDefault="00807CD7" w14:paraId="044C252E" w14:textId="6D6BFC99">
      <w:pPr>
        <w:rPr>
          <w:rFonts w:ascii="Corbel" w:hAnsi="Corbel" w:cs="Arial"/>
          <w:sz w:val="22"/>
          <w:szCs w:val="22"/>
          <w:lang w:bidi="ar-SA"/>
        </w:rPr>
      </w:pPr>
      <w:r w:rsidRPr="00807CD7">
        <w:rPr>
          <w:rFonts w:ascii="Corbel" w:hAnsi="Corbel" w:cs="Arial"/>
          <w:sz w:val="22"/>
          <w:szCs w:val="22"/>
          <w:u w:val="single"/>
          <w:lang w:bidi="ar-SA"/>
        </w:rPr>
        <w:t>Staff time</w:t>
      </w:r>
      <w:r>
        <w:rPr>
          <w:rFonts w:ascii="Corbel" w:hAnsi="Corbel" w:cs="Arial"/>
          <w:sz w:val="22"/>
          <w:szCs w:val="22"/>
          <w:lang w:bidi="ar-SA"/>
        </w:rPr>
        <w:t xml:space="preserve">: </w:t>
      </w:r>
      <w:r w:rsidRPr="00CC485F" w:rsidR="00CC485F">
        <w:rPr>
          <w:rFonts w:ascii="Corbel" w:hAnsi="Corbel" w:cs="Arial"/>
          <w:sz w:val="22"/>
          <w:szCs w:val="22"/>
          <w:lang w:bidi="ar-SA"/>
        </w:rPr>
        <w:t xml:space="preserve">As shown in Table 1, based on the average salary for museum and library professionals of $27.87 per hour and the estimated response rates, the value of the expected 1,084 participants’ ~391 hours’ time is $10,897.17. </w:t>
      </w:r>
    </w:p>
    <w:p w:rsidR="00CC485F" w:rsidP="00DD0304" w:rsidRDefault="00CC485F" w14:paraId="4C49BF91" w14:textId="77777777">
      <w:pPr>
        <w:rPr>
          <w:rFonts w:ascii="Corbel" w:hAnsi="Corbel" w:cs="Arial"/>
          <w:sz w:val="22"/>
          <w:szCs w:val="22"/>
          <w:u w:val="single"/>
          <w:lang w:bidi="ar-SA"/>
        </w:rPr>
      </w:pPr>
    </w:p>
    <w:p w:rsidRPr="00A171AF" w:rsidR="00D14C6B" w:rsidP="00341D1F" w:rsidRDefault="00740D86" w14:paraId="1542DD1A" w14:textId="62C658E4">
      <w:pPr>
        <w:rPr>
          <w:rFonts w:ascii="Corbel" w:hAnsi="Corbel"/>
          <w:b/>
          <w:color w:val="000000" w:themeColor="text1"/>
          <w:sz w:val="22"/>
          <w:szCs w:val="22"/>
          <w:lang w:bidi="ar-SA"/>
        </w:rPr>
      </w:pPr>
      <w:r w:rsidRPr="00A171AF">
        <w:rPr>
          <w:rFonts w:ascii="Corbel" w:hAnsi="Corbel"/>
          <w:color w:val="000000" w:themeColor="text1"/>
          <w:sz w:val="22"/>
          <w:szCs w:val="22"/>
          <w:u w:val="single"/>
          <w:lang w:bidi="ar-SA"/>
        </w:rPr>
        <w:t>Equipment, software or services</w:t>
      </w:r>
      <w:r w:rsidRPr="00A171AF">
        <w:rPr>
          <w:rFonts w:ascii="Corbel" w:hAnsi="Corbel"/>
          <w:color w:val="000000" w:themeColor="text1"/>
          <w:sz w:val="22"/>
          <w:szCs w:val="22"/>
          <w:lang w:bidi="ar-SA"/>
        </w:rPr>
        <w:t xml:space="preserve">: </w:t>
      </w:r>
      <w:r w:rsidRPr="00A171AF" w:rsidR="00D14C6B">
        <w:rPr>
          <w:rFonts w:ascii="Corbel" w:hAnsi="Corbel"/>
          <w:color w:val="000000" w:themeColor="text1"/>
          <w:sz w:val="22"/>
          <w:szCs w:val="22"/>
          <w:lang w:bidi="ar-SA"/>
        </w:rPr>
        <w:t xml:space="preserve">This survey does not require respondents to purchase equipment, software, or services beyond those normally used in </w:t>
      </w:r>
      <w:r w:rsidRPr="00A171AF" w:rsidR="0067640E">
        <w:rPr>
          <w:rFonts w:ascii="Corbel" w:hAnsi="Corbel"/>
          <w:color w:val="000000" w:themeColor="text1"/>
          <w:sz w:val="22"/>
          <w:szCs w:val="22"/>
          <w:lang w:bidi="ar-SA"/>
        </w:rPr>
        <w:t>museums</w:t>
      </w:r>
      <w:r w:rsidRPr="00A171AF" w:rsidR="00D14C6B">
        <w:rPr>
          <w:rFonts w:ascii="Corbel" w:hAnsi="Corbel"/>
          <w:color w:val="000000" w:themeColor="text1"/>
          <w:sz w:val="22"/>
          <w:szCs w:val="22"/>
          <w:lang w:bidi="ar-SA"/>
        </w:rPr>
        <w:t xml:space="preserve"> or as part of customary and usual business.</w:t>
      </w:r>
    </w:p>
    <w:p w:rsidRPr="00A171AF" w:rsidR="00D14C6B" w:rsidP="00597203" w:rsidRDefault="00D14C6B" w14:paraId="4128DCC0" w14:textId="77777777">
      <w:pPr>
        <w:rPr>
          <w:rFonts w:ascii="Corbel" w:hAnsi="Corbel"/>
          <w:color w:val="000000" w:themeColor="text1"/>
          <w:sz w:val="22"/>
          <w:szCs w:val="22"/>
          <w:highlight w:val="yellow"/>
        </w:rPr>
      </w:pPr>
    </w:p>
    <w:p w:rsidRPr="00A171AF" w:rsidR="00872124" w:rsidP="006C31CE" w:rsidRDefault="00740D86" w14:paraId="57A99554" w14:textId="6E4CFE77">
      <w:pPr>
        <w:rPr>
          <w:rFonts w:ascii="Corbel" w:hAnsi="Corbel"/>
          <w:color w:val="000000" w:themeColor="text1"/>
          <w:sz w:val="22"/>
          <w:szCs w:val="22"/>
        </w:rPr>
      </w:pPr>
      <w:r w:rsidRPr="00A171AF">
        <w:rPr>
          <w:rFonts w:ascii="Corbel" w:hAnsi="Corbel"/>
          <w:color w:val="000000" w:themeColor="text1"/>
          <w:sz w:val="22"/>
          <w:szCs w:val="22"/>
          <w:u w:val="single"/>
        </w:rPr>
        <w:t>Record keeping or reporting costs</w:t>
      </w:r>
      <w:r w:rsidRPr="00A171AF">
        <w:rPr>
          <w:rFonts w:ascii="Corbel" w:hAnsi="Corbel"/>
          <w:color w:val="000000" w:themeColor="text1"/>
          <w:sz w:val="22"/>
          <w:szCs w:val="22"/>
        </w:rPr>
        <w:t xml:space="preserve">: </w:t>
      </w:r>
      <w:r w:rsidRPr="00A171AF" w:rsidR="009B62C6">
        <w:rPr>
          <w:rFonts w:ascii="Corbel" w:hAnsi="Corbel"/>
          <w:color w:val="000000" w:themeColor="text1"/>
          <w:sz w:val="22"/>
          <w:szCs w:val="22"/>
        </w:rPr>
        <w:t xml:space="preserve">There are no record keeping or reporting costs to the survey respondents. </w:t>
      </w:r>
    </w:p>
    <w:p w:rsidRPr="00AF37DE" w:rsidR="00FF463C" w:rsidP="00D67F24" w:rsidRDefault="00FF463C" w14:paraId="1A96D699" w14:textId="77777777">
      <w:pPr>
        <w:rPr>
          <w:rFonts w:ascii="Corbel" w:hAnsi="Corbel"/>
        </w:rPr>
      </w:pPr>
    </w:p>
    <w:p w:rsidRPr="00B82642" w:rsidR="00D55958" w:rsidP="00D67F24" w:rsidRDefault="00E67ECC" w14:paraId="6E6C6737" w14:textId="77777777">
      <w:pPr>
        <w:pStyle w:val="Heading2"/>
        <w:rPr>
          <w:rFonts w:ascii="Corbel" w:hAnsi="Corbel"/>
        </w:rPr>
      </w:pPr>
      <w:r w:rsidRPr="00B82642">
        <w:rPr>
          <w:rFonts w:ascii="Corbel" w:hAnsi="Corbel"/>
        </w:rPr>
        <w:t>A.14.</w:t>
      </w:r>
      <w:r w:rsidRPr="00B82642">
        <w:rPr>
          <w:rFonts w:ascii="Corbel" w:hAnsi="Corbel"/>
        </w:rPr>
        <w:tab/>
        <w:t>Annualized Cost to the Federal Government</w:t>
      </w:r>
    </w:p>
    <w:p w:rsidRPr="00AF37DE" w:rsidR="00D55958" w:rsidP="00D67F24" w:rsidRDefault="00D55958" w14:paraId="4FC0A7E9" w14:textId="77777777">
      <w:pPr>
        <w:rPr>
          <w:rFonts w:ascii="Corbel" w:hAnsi="Corbel"/>
        </w:rPr>
      </w:pPr>
    </w:p>
    <w:p w:rsidRPr="00CE6BD4" w:rsidR="00C344E0" w:rsidP="00D67F24" w:rsidRDefault="25800DC5" w14:paraId="2CF66419" w14:textId="59B0C404">
      <w:pPr>
        <w:rPr>
          <w:rFonts w:ascii="Corbel" w:hAnsi="Corbel"/>
          <w:color w:val="000000" w:themeColor="text1"/>
          <w:sz w:val="22"/>
          <w:szCs w:val="22"/>
        </w:rPr>
      </w:pPr>
      <w:r w:rsidRPr="00CE6BD4">
        <w:rPr>
          <w:rFonts w:ascii="Corbel" w:hAnsi="Corbel"/>
          <w:color w:val="000000" w:themeColor="text1"/>
          <w:sz w:val="22"/>
          <w:szCs w:val="22"/>
        </w:rPr>
        <w:t>The total cost to the federal government is $</w:t>
      </w:r>
      <w:r w:rsidR="003D5BC1">
        <w:rPr>
          <w:rFonts w:ascii="Corbel" w:hAnsi="Corbel"/>
          <w:color w:val="000000" w:themeColor="text1"/>
          <w:sz w:val="22"/>
          <w:szCs w:val="22"/>
        </w:rPr>
        <w:t>219,</w:t>
      </w:r>
      <w:r w:rsidR="00605FEB">
        <w:rPr>
          <w:rFonts w:ascii="Corbel" w:hAnsi="Corbel"/>
          <w:color w:val="000000" w:themeColor="text1"/>
          <w:sz w:val="22"/>
          <w:szCs w:val="22"/>
        </w:rPr>
        <w:t>829</w:t>
      </w:r>
      <w:r w:rsidR="002A2777">
        <w:rPr>
          <w:rFonts w:ascii="Corbel" w:hAnsi="Corbel"/>
          <w:color w:val="000000" w:themeColor="text1"/>
          <w:sz w:val="22"/>
          <w:szCs w:val="22"/>
        </w:rPr>
        <w:t>, including</w:t>
      </w:r>
      <w:r w:rsidRPr="00CE6BD4">
        <w:rPr>
          <w:rFonts w:ascii="Corbel" w:hAnsi="Corbel"/>
          <w:color w:val="000000" w:themeColor="text1"/>
          <w:sz w:val="22"/>
          <w:szCs w:val="22"/>
        </w:rPr>
        <w:t xml:space="preserve"> a co</w:t>
      </w:r>
      <w:r w:rsidRPr="00CE6BD4" w:rsidR="006478BA">
        <w:rPr>
          <w:rFonts w:ascii="Corbel" w:hAnsi="Corbel"/>
          <w:color w:val="000000" w:themeColor="text1"/>
          <w:sz w:val="22"/>
          <w:szCs w:val="22"/>
        </w:rPr>
        <w:t xml:space="preserve">operative agreement with </w:t>
      </w:r>
      <w:r w:rsidRPr="00CE6BD4" w:rsidR="0067640E">
        <w:rPr>
          <w:rFonts w:ascii="Corbel" w:hAnsi="Corbel"/>
          <w:color w:val="000000" w:themeColor="text1"/>
          <w:sz w:val="22"/>
          <w:szCs w:val="22"/>
        </w:rPr>
        <w:t>PPG</w:t>
      </w:r>
      <w:r w:rsidRPr="00CE6BD4">
        <w:rPr>
          <w:rFonts w:ascii="Corbel" w:hAnsi="Corbel"/>
          <w:color w:val="000000" w:themeColor="text1"/>
          <w:sz w:val="22"/>
          <w:szCs w:val="22"/>
        </w:rPr>
        <w:t xml:space="preserve"> </w:t>
      </w:r>
      <w:r w:rsidR="00353186">
        <w:rPr>
          <w:rFonts w:ascii="Corbel" w:hAnsi="Corbel"/>
          <w:color w:val="000000" w:themeColor="text1"/>
          <w:sz w:val="22"/>
          <w:szCs w:val="22"/>
        </w:rPr>
        <w:t xml:space="preserve">in the amount of $182,975 and </w:t>
      </w:r>
      <w:r w:rsidRPr="00CE6BD4">
        <w:rPr>
          <w:rFonts w:ascii="Corbel" w:hAnsi="Corbel"/>
          <w:color w:val="000000" w:themeColor="text1"/>
          <w:sz w:val="22"/>
          <w:szCs w:val="22"/>
        </w:rPr>
        <w:t xml:space="preserve">approximately </w:t>
      </w:r>
      <w:r w:rsidRPr="00CE6BD4" w:rsidR="000D2D97">
        <w:rPr>
          <w:rFonts w:ascii="Corbel" w:hAnsi="Corbel"/>
          <w:color w:val="000000" w:themeColor="text1"/>
          <w:sz w:val="22"/>
          <w:szCs w:val="22"/>
        </w:rPr>
        <w:t xml:space="preserve">472 </w:t>
      </w:r>
      <w:r w:rsidRPr="00CE6BD4">
        <w:rPr>
          <w:rFonts w:ascii="Corbel" w:hAnsi="Corbel"/>
          <w:color w:val="000000" w:themeColor="text1"/>
          <w:sz w:val="22"/>
          <w:szCs w:val="22"/>
        </w:rPr>
        <w:t xml:space="preserve">hours of labor </w:t>
      </w:r>
      <w:r w:rsidR="00D16E2C">
        <w:rPr>
          <w:rFonts w:ascii="Corbel" w:hAnsi="Corbel"/>
          <w:color w:val="000000" w:themeColor="text1"/>
          <w:sz w:val="22"/>
          <w:szCs w:val="22"/>
        </w:rPr>
        <w:t xml:space="preserve">by federal government staff </w:t>
      </w:r>
      <w:r w:rsidR="00336E15">
        <w:rPr>
          <w:rFonts w:ascii="Corbel" w:hAnsi="Corbel"/>
          <w:color w:val="000000" w:themeColor="text1"/>
          <w:sz w:val="22"/>
          <w:szCs w:val="22"/>
        </w:rPr>
        <w:t xml:space="preserve">equaling </w:t>
      </w:r>
      <w:r w:rsidRPr="00CE6BD4">
        <w:rPr>
          <w:rFonts w:ascii="Corbel" w:hAnsi="Corbel"/>
          <w:color w:val="000000" w:themeColor="text1"/>
          <w:sz w:val="22"/>
          <w:szCs w:val="22"/>
        </w:rPr>
        <w:t xml:space="preserve">approximately </w:t>
      </w:r>
      <w:r w:rsidRPr="00CE6BD4" w:rsidR="00380F2C">
        <w:rPr>
          <w:rFonts w:ascii="Corbel" w:hAnsi="Corbel"/>
          <w:color w:val="000000" w:themeColor="text1"/>
          <w:sz w:val="22"/>
          <w:szCs w:val="22"/>
        </w:rPr>
        <w:t>$36,854</w:t>
      </w:r>
      <w:r w:rsidR="00FD4A53">
        <w:rPr>
          <w:rFonts w:ascii="Corbel" w:hAnsi="Corbel"/>
          <w:color w:val="000000" w:themeColor="text1"/>
          <w:sz w:val="22"/>
          <w:szCs w:val="22"/>
        </w:rPr>
        <w:t xml:space="preserve"> in salaries</w:t>
      </w:r>
      <w:r w:rsidRPr="00CE6BD4">
        <w:rPr>
          <w:rFonts w:ascii="Corbel" w:hAnsi="Corbel"/>
          <w:color w:val="000000" w:themeColor="text1"/>
          <w:sz w:val="22"/>
          <w:szCs w:val="22"/>
        </w:rPr>
        <w:t xml:space="preserve">. </w:t>
      </w:r>
    </w:p>
    <w:p w:rsidRPr="00CE6BD4" w:rsidR="00312BF9" w:rsidP="00D67F24" w:rsidRDefault="00312BF9" w14:paraId="036ACD61" w14:textId="77777777">
      <w:pPr>
        <w:rPr>
          <w:rFonts w:ascii="Corbel" w:hAnsi="Corbel"/>
          <w:sz w:val="22"/>
          <w:szCs w:val="22"/>
        </w:rPr>
      </w:pPr>
    </w:p>
    <w:p w:rsidRPr="00B82642" w:rsidR="00D55958" w:rsidP="00066860" w:rsidRDefault="00E67ECC" w14:paraId="3355C1DA" w14:textId="53A177A0">
      <w:pPr>
        <w:pStyle w:val="Heading2"/>
        <w:rPr>
          <w:rFonts w:ascii="Corbel" w:hAnsi="Corbel"/>
        </w:rPr>
      </w:pPr>
      <w:r w:rsidRPr="00B82642">
        <w:rPr>
          <w:rFonts w:ascii="Corbel" w:hAnsi="Corbel"/>
        </w:rPr>
        <w:t>A.15.</w:t>
      </w:r>
      <w:r w:rsidR="00D41FE8">
        <w:rPr>
          <w:rFonts w:ascii="Corbel" w:hAnsi="Corbel"/>
        </w:rPr>
        <w:tab/>
      </w:r>
      <w:r w:rsidRPr="00B82642">
        <w:rPr>
          <w:rFonts w:ascii="Corbel" w:hAnsi="Corbel"/>
        </w:rPr>
        <w:t>Reasons for Changes in Response Burden and Costs</w:t>
      </w:r>
    </w:p>
    <w:p w:rsidRPr="00AF37DE" w:rsidR="00D55958" w:rsidP="00066860" w:rsidRDefault="00D55958" w14:paraId="7BFAAA33" w14:textId="77777777">
      <w:pPr>
        <w:rPr>
          <w:rFonts w:ascii="Corbel" w:hAnsi="Corbel"/>
        </w:rPr>
      </w:pPr>
    </w:p>
    <w:p w:rsidRPr="00A171AF" w:rsidR="00BB2F77" w:rsidP="00066860" w:rsidRDefault="00201CB4" w14:paraId="5A6056D8" w14:textId="683D624A">
      <w:pPr>
        <w:rPr>
          <w:rFonts w:ascii="Corbel" w:hAnsi="Corbel"/>
          <w:sz w:val="22"/>
          <w:szCs w:val="22"/>
        </w:rPr>
      </w:pPr>
      <w:r w:rsidRPr="00A171AF">
        <w:rPr>
          <w:rFonts w:ascii="Corbel" w:hAnsi="Corbel"/>
          <w:sz w:val="22"/>
          <w:szCs w:val="22"/>
        </w:rPr>
        <w:t xml:space="preserve">Not applicable. </w:t>
      </w:r>
    </w:p>
    <w:p w:rsidRPr="00AF37DE" w:rsidR="00FB22F0" w:rsidP="00066860" w:rsidRDefault="00FB22F0" w14:paraId="3CF08119" w14:textId="77777777">
      <w:pPr>
        <w:rPr>
          <w:rFonts w:ascii="Corbel" w:hAnsi="Corbel"/>
        </w:rPr>
      </w:pPr>
    </w:p>
    <w:p w:rsidRPr="00B82642" w:rsidR="00D55958" w:rsidP="00066860" w:rsidRDefault="00E67ECC" w14:paraId="719573BF" w14:textId="4B69A20F">
      <w:pPr>
        <w:pStyle w:val="Heading2"/>
        <w:rPr>
          <w:rFonts w:ascii="Corbel" w:hAnsi="Corbel"/>
        </w:rPr>
      </w:pPr>
      <w:r w:rsidRPr="00B82642">
        <w:rPr>
          <w:rFonts w:ascii="Corbel" w:hAnsi="Corbel"/>
        </w:rPr>
        <w:t>A.16.</w:t>
      </w:r>
      <w:r w:rsidR="00D41FE8">
        <w:rPr>
          <w:rFonts w:ascii="Corbel" w:hAnsi="Corbel"/>
        </w:rPr>
        <w:tab/>
      </w:r>
      <w:r w:rsidRPr="00B82642" w:rsidR="002306D9">
        <w:rPr>
          <w:rFonts w:ascii="Corbel" w:hAnsi="Corbel"/>
        </w:rPr>
        <w:t xml:space="preserve">Data Collection </w:t>
      </w:r>
      <w:r w:rsidRPr="00B82642">
        <w:rPr>
          <w:rFonts w:ascii="Corbel" w:hAnsi="Corbel"/>
        </w:rPr>
        <w:t>Schedule</w:t>
      </w:r>
      <w:r w:rsidRPr="00B82642" w:rsidR="00E4790B">
        <w:rPr>
          <w:rFonts w:ascii="Corbel" w:hAnsi="Corbel"/>
        </w:rPr>
        <w:t xml:space="preserve"> </w:t>
      </w:r>
    </w:p>
    <w:p w:rsidRPr="00AF37DE" w:rsidR="00F75267" w:rsidP="00066860" w:rsidRDefault="00F75267" w14:paraId="6CA095D4" w14:textId="77777777">
      <w:pPr>
        <w:rPr>
          <w:rFonts w:ascii="Corbel" w:hAnsi="Corbel"/>
        </w:rPr>
      </w:pPr>
    </w:p>
    <w:p w:rsidR="00F75267" w:rsidP="00066860" w:rsidRDefault="00840E24" w14:paraId="46F5D91E" w14:textId="1ACAFAB1">
      <w:pPr>
        <w:rPr>
          <w:rFonts w:ascii="Corbel" w:hAnsi="Corbel"/>
          <w:sz w:val="22"/>
          <w:szCs w:val="22"/>
        </w:rPr>
      </w:pPr>
      <w:r w:rsidRPr="00A171AF">
        <w:rPr>
          <w:rFonts w:ascii="Corbel" w:hAnsi="Corbel"/>
          <w:sz w:val="22"/>
          <w:szCs w:val="22"/>
        </w:rPr>
        <w:t xml:space="preserve">Table 2 summarizes </w:t>
      </w:r>
      <w:r w:rsidRPr="00A171AF" w:rsidR="00725DF4">
        <w:rPr>
          <w:rFonts w:ascii="Corbel" w:hAnsi="Corbel"/>
          <w:sz w:val="22"/>
          <w:szCs w:val="22"/>
        </w:rPr>
        <w:t xml:space="preserve">the proposed </w:t>
      </w:r>
      <w:r w:rsidR="00EA53D3">
        <w:rPr>
          <w:rFonts w:ascii="Corbel" w:hAnsi="Corbel"/>
          <w:sz w:val="22"/>
          <w:szCs w:val="22"/>
        </w:rPr>
        <w:t>study</w:t>
      </w:r>
      <w:r w:rsidRPr="00A171AF" w:rsidR="00725DF4">
        <w:rPr>
          <w:rFonts w:ascii="Corbel" w:hAnsi="Corbel"/>
          <w:sz w:val="22"/>
          <w:szCs w:val="22"/>
        </w:rPr>
        <w:t xml:space="preserve"> timeline</w:t>
      </w:r>
      <w:r w:rsidRPr="00A171AF">
        <w:rPr>
          <w:rFonts w:ascii="Corbel" w:hAnsi="Corbel"/>
          <w:sz w:val="22"/>
          <w:szCs w:val="22"/>
        </w:rPr>
        <w:t>.</w:t>
      </w:r>
      <w:r w:rsidRPr="00FD4A53">
        <w:rPr>
          <w:rFonts w:ascii="Corbel" w:hAnsi="Corbel"/>
          <w:b/>
          <w:sz w:val="22"/>
          <w:szCs w:val="22"/>
        </w:rPr>
        <w:t xml:space="preserve"> </w:t>
      </w:r>
      <w:r w:rsidRPr="00FD4A53" w:rsidR="00FD4A53">
        <w:rPr>
          <w:rFonts w:ascii="Corbel" w:hAnsi="Corbel"/>
          <w:bCs/>
          <w:sz w:val="22"/>
          <w:szCs w:val="22"/>
        </w:rPr>
        <w:t>Activity starts are shown as the maximum number of days after</w:t>
      </w:r>
      <w:r w:rsidRPr="00FD4A53" w:rsidR="00725DF4">
        <w:rPr>
          <w:rFonts w:ascii="Corbel" w:hAnsi="Corbel"/>
          <w:bCs/>
          <w:sz w:val="22"/>
          <w:szCs w:val="22"/>
        </w:rPr>
        <w:t xml:space="preserve"> OMB approval</w:t>
      </w:r>
      <w:r w:rsidRPr="00FD4A53" w:rsidR="00FD4A53">
        <w:rPr>
          <w:rFonts w:ascii="Corbel" w:hAnsi="Corbel"/>
          <w:bCs/>
          <w:sz w:val="22"/>
          <w:szCs w:val="22"/>
        </w:rPr>
        <w:t xml:space="preserve"> along with the expected month(s) in which the activities will commenc</w:t>
      </w:r>
      <w:r w:rsidRPr="00C91BC1" w:rsidR="00FD4A53">
        <w:rPr>
          <w:rFonts w:ascii="Corbel" w:hAnsi="Corbel"/>
          <w:bCs/>
          <w:sz w:val="22"/>
          <w:szCs w:val="22"/>
        </w:rPr>
        <w:t>e</w:t>
      </w:r>
      <w:r w:rsidRPr="00C91BC1" w:rsidR="00725DF4">
        <w:rPr>
          <w:rFonts w:ascii="Corbel" w:hAnsi="Corbel"/>
          <w:bCs/>
          <w:sz w:val="22"/>
          <w:szCs w:val="22"/>
        </w:rPr>
        <w:t>.</w:t>
      </w:r>
      <w:r w:rsidRPr="00C91BC1" w:rsidR="00725DF4">
        <w:rPr>
          <w:rFonts w:ascii="Corbel" w:hAnsi="Corbel"/>
          <w:sz w:val="22"/>
          <w:szCs w:val="22"/>
        </w:rPr>
        <w:t xml:space="preserve"> </w:t>
      </w:r>
      <w:r w:rsidR="002A5523">
        <w:rPr>
          <w:rFonts w:ascii="Corbel" w:hAnsi="Corbel"/>
          <w:sz w:val="22"/>
          <w:szCs w:val="22"/>
        </w:rPr>
        <w:t>(</w:t>
      </w:r>
      <w:r w:rsidRPr="00C91BC1" w:rsidR="00FD1103">
        <w:rPr>
          <w:rFonts w:ascii="Corbel" w:hAnsi="Corbel"/>
          <w:sz w:val="22"/>
          <w:szCs w:val="22"/>
        </w:rPr>
        <w:t xml:space="preserve">See </w:t>
      </w:r>
      <w:r w:rsidRPr="00A171AF" w:rsidR="00FD1103">
        <w:rPr>
          <w:rFonts w:ascii="Corbel" w:hAnsi="Corbel"/>
          <w:sz w:val="22"/>
          <w:szCs w:val="22"/>
        </w:rPr>
        <w:t>Appendix C for sample communications</w:t>
      </w:r>
      <w:r w:rsidR="00416FC7">
        <w:rPr>
          <w:rFonts w:ascii="Corbel" w:hAnsi="Corbel"/>
          <w:sz w:val="22"/>
          <w:szCs w:val="22"/>
        </w:rPr>
        <w:t>.</w:t>
      </w:r>
      <w:r w:rsidR="002A5523">
        <w:rPr>
          <w:rFonts w:ascii="Corbel" w:hAnsi="Corbel"/>
          <w:sz w:val="22"/>
          <w:szCs w:val="22"/>
        </w:rPr>
        <w:t>)</w:t>
      </w:r>
    </w:p>
    <w:p w:rsidR="00FD4A53" w:rsidP="00066860" w:rsidRDefault="00FD4A53" w14:paraId="2764AA4F" w14:textId="77777777">
      <w:pPr>
        <w:rPr>
          <w:rFonts w:ascii="Corbel" w:hAnsi="Corbel"/>
          <w:sz w:val="22"/>
          <w:szCs w:val="22"/>
        </w:rPr>
      </w:pPr>
    </w:p>
    <w:tbl>
      <w:tblPr>
        <w:tblW w:w="9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30"/>
        <w:gridCol w:w="3420"/>
        <w:gridCol w:w="1980"/>
      </w:tblGrid>
      <w:tr w:rsidRPr="009A2FF9" w:rsidR="009A2FF9" w:rsidTr="00FD4A53" w14:paraId="299DBA69" w14:textId="77777777">
        <w:trPr>
          <w:trHeight w:val="450"/>
        </w:trPr>
        <w:tc>
          <w:tcPr>
            <w:tcW w:w="9630" w:type="dxa"/>
            <w:gridSpan w:val="3"/>
            <w:tcBorders>
              <w:top w:val="nil"/>
              <w:left w:val="nil"/>
              <w:right w:val="nil"/>
            </w:tcBorders>
            <w:shd w:val="clear" w:color="auto" w:fill="auto"/>
            <w:vAlign w:val="center"/>
            <w:hideMark/>
          </w:tcPr>
          <w:p w:rsidRPr="009A2FF9" w:rsidR="009A2FF9" w:rsidP="00EA53D3" w:rsidRDefault="009A2FF9" w14:paraId="00B48D4F" w14:textId="088F3BCB">
            <w:pPr>
              <w:tabs>
                <w:tab w:val="clear" w:pos="1069"/>
              </w:tabs>
              <w:spacing w:line="240" w:lineRule="auto"/>
              <w:rPr>
                <w:rFonts w:ascii="Corbel" w:hAnsi="Corbel" w:cs="Calibri"/>
                <w:b/>
                <w:bCs/>
                <w:color w:val="000000"/>
                <w:sz w:val="22"/>
                <w:szCs w:val="22"/>
                <w:lang w:bidi="ar-SA"/>
              </w:rPr>
            </w:pPr>
            <w:r w:rsidRPr="009A2FF9">
              <w:rPr>
                <w:rFonts w:ascii="Corbel" w:hAnsi="Corbel" w:cs="Calibri"/>
                <w:b/>
                <w:bCs/>
                <w:color w:val="000000"/>
                <w:sz w:val="22"/>
                <w:szCs w:val="22"/>
                <w:lang w:bidi="ar-SA"/>
              </w:rPr>
              <w:t xml:space="preserve">Table 2. Proposed </w:t>
            </w:r>
            <w:r>
              <w:rPr>
                <w:rFonts w:ascii="Corbel" w:hAnsi="Corbel" w:cs="Calibri"/>
                <w:b/>
                <w:bCs/>
                <w:color w:val="000000"/>
                <w:sz w:val="22"/>
                <w:szCs w:val="22"/>
                <w:lang w:bidi="ar-SA"/>
              </w:rPr>
              <w:t xml:space="preserve">Study </w:t>
            </w:r>
            <w:r w:rsidR="00EA53D3">
              <w:rPr>
                <w:rFonts w:ascii="Corbel" w:hAnsi="Corbel" w:cs="Calibri"/>
                <w:b/>
                <w:bCs/>
                <w:color w:val="000000"/>
                <w:sz w:val="22"/>
                <w:szCs w:val="22"/>
                <w:lang w:bidi="ar-SA"/>
              </w:rPr>
              <w:t>Timeline</w:t>
            </w:r>
          </w:p>
        </w:tc>
      </w:tr>
      <w:tr w:rsidRPr="009A2FF9" w:rsidR="009A2FF9" w:rsidTr="00FD4A53" w14:paraId="5F7DD17B" w14:textId="77777777">
        <w:trPr>
          <w:trHeight w:val="600"/>
        </w:trPr>
        <w:tc>
          <w:tcPr>
            <w:tcW w:w="4230" w:type="dxa"/>
            <w:shd w:val="clear" w:color="000000" w:fill="2D2C7C"/>
            <w:vAlign w:val="center"/>
            <w:hideMark/>
          </w:tcPr>
          <w:p w:rsidRPr="009A2FF9" w:rsidR="009A2FF9" w:rsidP="00EA53D3" w:rsidRDefault="009A2FF9" w14:paraId="23051627" w14:textId="77777777">
            <w:pPr>
              <w:tabs>
                <w:tab w:val="clear" w:pos="1069"/>
              </w:tabs>
              <w:spacing w:line="240" w:lineRule="auto"/>
              <w:jc w:val="center"/>
              <w:rPr>
                <w:rFonts w:ascii="Corbel" w:hAnsi="Corbel" w:cs="Calibri"/>
                <w:b/>
                <w:bCs/>
                <w:color w:val="FFFFFF"/>
                <w:sz w:val="22"/>
                <w:szCs w:val="22"/>
                <w:lang w:bidi="ar-SA"/>
              </w:rPr>
            </w:pPr>
            <w:r w:rsidRPr="009A2FF9">
              <w:rPr>
                <w:rFonts w:ascii="Corbel" w:hAnsi="Corbel" w:cs="Calibri"/>
                <w:b/>
                <w:bCs/>
                <w:color w:val="FFFFFF"/>
                <w:sz w:val="22"/>
                <w:szCs w:val="22"/>
                <w:lang w:bidi="ar-SA"/>
              </w:rPr>
              <w:t>Activities</w:t>
            </w:r>
          </w:p>
        </w:tc>
        <w:tc>
          <w:tcPr>
            <w:tcW w:w="3420" w:type="dxa"/>
            <w:shd w:val="clear" w:color="000000" w:fill="2D2C7C"/>
            <w:vAlign w:val="center"/>
            <w:hideMark/>
          </w:tcPr>
          <w:p w:rsidR="00EA53D3" w:rsidP="00EA53D3" w:rsidRDefault="009A2FF9" w14:paraId="48F95E1E" w14:textId="57A8B9A4">
            <w:pPr>
              <w:tabs>
                <w:tab w:val="clear" w:pos="1069"/>
              </w:tabs>
              <w:spacing w:line="240" w:lineRule="auto"/>
              <w:jc w:val="center"/>
              <w:rPr>
                <w:rFonts w:ascii="Corbel" w:hAnsi="Corbel" w:cs="Calibri"/>
                <w:b/>
                <w:bCs/>
                <w:color w:val="FFFFFF"/>
                <w:sz w:val="22"/>
                <w:szCs w:val="22"/>
                <w:lang w:bidi="ar-SA"/>
              </w:rPr>
            </w:pPr>
            <w:r w:rsidRPr="009A2FF9">
              <w:rPr>
                <w:rFonts w:ascii="Corbel" w:hAnsi="Corbel" w:cs="Calibri"/>
                <w:b/>
                <w:bCs/>
                <w:color w:val="FFFFFF"/>
                <w:sz w:val="22"/>
                <w:szCs w:val="22"/>
                <w:lang w:bidi="ar-SA"/>
              </w:rPr>
              <w:t>Activity Start</w:t>
            </w:r>
          </w:p>
          <w:p w:rsidRPr="009A2FF9" w:rsidR="009A2FF9" w:rsidP="00EA53D3" w:rsidRDefault="009A2FF9" w14:paraId="152FAA81" w14:textId="219C7D64">
            <w:pPr>
              <w:tabs>
                <w:tab w:val="clear" w:pos="1069"/>
              </w:tabs>
              <w:spacing w:line="240" w:lineRule="auto"/>
              <w:jc w:val="center"/>
              <w:rPr>
                <w:rFonts w:ascii="Corbel" w:hAnsi="Corbel" w:cs="Calibri"/>
                <w:b/>
                <w:bCs/>
                <w:color w:val="FFFFFF"/>
                <w:sz w:val="22"/>
                <w:szCs w:val="22"/>
                <w:lang w:bidi="ar-SA"/>
              </w:rPr>
            </w:pPr>
            <w:r w:rsidRPr="009A2FF9">
              <w:rPr>
                <w:rFonts w:ascii="Corbel" w:hAnsi="Corbel" w:cs="Calibri"/>
                <w:b/>
                <w:bCs/>
                <w:color w:val="FFFFFF"/>
                <w:sz w:val="22"/>
                <w:szCs w:val="22"/>
                <w:lang w:bidi="ar-SA"/>
              </w:rPr>
              <w:t>(days after OMB approval)</w:t>
            </w:r>
          </w:p>
        </w:tc>
        <w:tc>
          <w:tcPr>
            <w:tcW w:w="1980" w:type="dxa"/>
            <w:shd w:val="clear" w:color="000000" w:fill="2D2C7C"/>
            <w:vAlign w:val="center"/>
            <w:hideMark/>
          </w:tcPr>
          <w:p w:rsidRPr="009A2FF9" w:rsidR="009A2FF9" w:rsidP="00EA53D3" w:rsidRDefault="009A2FF9" w14:paraId="60ACC7E7" w14:textId="77777777">
            <w:pPr>
              <w:tabs>
                <w:tab w:val="clear" w:pos="1069"/>
              </w:tabs>
              <w:spacing w:line="240" w:lineRule="auto"/>
              <w:jc w:val="center"/>
              <w:rPr>
                <w:rFonts w:ascii="Corbel" w:hAnsi="Corbel" w:cs="Calibri"/>
                <w:b/>
                <w:bCs/>
                <w:color w:val="FFFFFF"/>
                <w:sz w:val="22"/>
                <w:szCs w:val="22"/>
                <w:lang w:bidi="ar-SA"/>
              </w:rPr>
            </w:pPr>
            <w:r w:rsidRPr="009A2FF9">
              <w:rPr>
                <w:rFonts w:ascii="Corbel" w:hAnsi="Corbel" w:cs="Calibri"/>
                <w:b/>
                <w:bCs/>
                <w:color w:val="FFFFFF"/>
                <w:sz w:val="22"/>
                <w:szCs w:val="22"/>
                <w:lang w:bidi="ar-SA"/>
              </w:rPr>
              <w:t>Estimated Activity Duration</w:t>
            </w:r>
          </w:p>
        </w:tc>
      </w:tr>
      <w:tr w:rsidRPr="009A2FF9" w:rsidR="009A2FF9" w:rsidTr="00FD4A53" w14:paraId="6D6E64DB" w14:textId="77777777">
        <w:trPr>
          <w:trHeight w:val="510"/>
        </w:trPr>
        <w:tc>
          <w:tcPr>
            <w:tcW w:w="4230" w:type="dxa"/>
            <w:shd w:val="clear" w:color="auto" w:fill="auto"/>
            <w:vAlign w:val="center"/>
            <w:hideMark/>
          </w:tcPr>
          <w:p w:rsidRPr="009A2FF9" w:rsidR="009A2FF9" w:rsidP="009A2FF9" w:rsidRDefault="009A2FF9" w14:paraId="78DA34B2" w14:textId="77777777">
            <w:pPr>
              <w:tabs>
                <w:tab w:val="clear" w:pos="1069"/>
              </w:tabs>
              <w:spacing w:line="240" w:lineRule="auto"/>
              <w:rPr>
                <w:rFonts w:ascii="Corbel" w:hAnsi="Corbel" w:cs="Calibri"/>
                <w:b/>
                <w:bCs/>
                <w:color w:val="000000"/>
                <w:sz w:val="22"/>
                <w:szCs w:val="22"/>
                <w:lang w:bidi="ar-SA"/>
              </w:rPr>
            </w:pPr>
            <w:r w:rsidRPr="009A2FF9">
              <w:rPr>
                <w:rFonts w:ascii="Corbel" w:hAnsi="Corbel" w:cs="Calibri"/>
                <w:b/>
                <w:bCs/>
                <w:color w:val="000000"/>
                <w:sz w:val="22"/>
                <w:szCs w:val="22"/>
                <w:lang w:bidi="ar-SA"/>
              </w:rPr>
              <w:t>Museum Opinion Survey</w:t>
            </w:r>
          </w:p>
        </w:tc>
        <w:tc>
          <w:tcPr>
            <w:tcW w:w="3420" w:type="dxa"/>
            <w:shd w:val="clear" w:color="auto" w:fill="auto"/>
            <w:vAlign w:val="center"/>
            <w:hideMark/>
          </w:tcPr>
          <w:p w:rsidRPr="009A2FF9" w:rsidR="009A2FF9" w:rsidP="009A2FF9" w:rsidRDefault="009A2FF9" w14:paraId="662488C6" w14:textId="78001BA9">
            <w:pPr>
              <w:tabs>
                <w:tab w:val="clear" w:pos="1069"/>
              </w:tabs>
              <w:spacing w:line="240" w:lineRule="auto"/>
              <w:rPr>
                <w:rFonts w:ascii="Corbel" w:hAnsi="Corbel" w:cs="Calibri"/>
                <w:color w:val="000000"/>
                <w:sz w:val="22"/>
                <w:szCs w:val="22"/>
                <w:lang w:bidi="ar-SA"/>
              </w:rPr>
            </w:pPr>
            <w:r w:rsidRPr="009A2FF9">
              <w:rPr>
                <w:rFonts w:ascii="Corbel" w:hAnsi="Corbel" w:cs="Calibri"/>
                <w:color w:val="000000"/>
                <w:sz w:val="22"/>
                <w:szCs w:val="22"/>
                <w:lang w:bidi="ar-SA"/>
              </w:rPr>
              <w:t xml:space="preserve">Within 30 days of OMB approval </w:t>
            </w:r>
          </w:p>
        </w:tc>
        <w:tc>
          <w:tcPr>
            <w:tcW w:w="1980" w:type="dxa"/>
            <w:shd w:val="clear" w:color="auto" w:fill="auto"/>
            <w:noWrap/>
            <w:vAlign w:val="center"/>
            <w:hideMark/>
          </w:tcPr>
          <w:p w:rsidRPr="009A2FF9" w:rsidR="009A2FF9" w:rsidP="009A2FF9" w:rsidRDefault="009A2FF9" w14:paraId="229FF45D" w14:textId="77777777">
            <w:pPr>
              <w:tabs>
                <w:tab w:val="clear" w:pos="1069"/>
              </w:tabs>
              <w:spacing w:line="240" w:lineRule="auto"/>
              <w:ind w:firstLine="440" w:firstLineChars="200"/>
              <w:rPr>
                <w:rFonts w:ascii="Calibri" w:hAnsi="Calibri" w:cs="Calibri"/>
                <w:color w:val="000000"/>
                <w:sz w:val="22"/>
                <w:szCs w:val="22"/>
                <w:lang w:bidi="ar-SA"/>
              </w:rPr>
            </w:pPr>
            <w:r w:rsidRPr="009A2FF9">
              <w:rPr>
                <w:rFonts w:ascii="Calibri" w:hAnsi="Calibri" w:cs="Calibri"/>
                <w:color w:val="000000"/>
                <w:sz w:val="22"/>
                <w:szCs w:val="22"/>
                <w:lang w:bidi="ar-SA"/>
              </w:rPr>
              <w:t>1 month</w:t>
            </w:r>
          </w:p>
        </w:tc>
      </w:tr>
      <w:tr w:rsidRPr="009A2FF9" w:rsidR="009A2FF9" w:rsidTr="00FD4A53" w14:paraId="505B2A0A" w14:textId="77777777">
        <w:trPr>
          <w:trHeight w:val="450"/>
        </w:trPr>
        <w:tc>
          <w:tcPr>
            <w:tcW w:w="4230" w:type="dxa"/>
            <w:shd w:val="clear" w:color="auto" w:fill="auto"/>
            <w:vAlign w:val="center"/>
            <w:hideMark/>
          </w:tcPr>
          <w:p w:rsidRPr="009A2FF9" w:rsidR="009A2FF9" w:rsidP="009A2FF9" w:rsidRDefault="009A2FF9" w14:paraId="3F2013EE" w14:textId="77777777">
            <w:pPr>
              <w:tabs>
                <w:tab w:val="clear" w:pos="1069"/>
              </w:tabs>
              <w:spacing w:line="240" w:lineRule="auto"/>
              <w:rPr>
                <w:rFonts w:ascii="Corbel" w:hAnsi="Corbel" w:cs="Calibri"/>
                <w:b/>
                <w:bCs/>
                <w:color w:val="000000"/>
                <w:sz w:val="22"/>
                <w:szCs w:val="22"/>
                <w:lang w:bidi="ar-SA"/>
              </w:rPr>
            </w:pPr>
            <w:r w:rsidRPr="009A2FF9">
              <w:rPr>
                <w:rFonts w:ascii="Corbel" w:hAnsi="Corbel" w:cs="Calibri"/>
                <w:b/>
                <w:bCs/>
                <w:color w:val="000000"/>
                <w:sz w:val="22"/>
                <w:szCs w:val="22"/>
                <w:lang w:bidi="ar-SA"/>
              </w:rPr>
              <w:t>Data analysis of survey results</w:t>
            </w:r>
          </w:p>
        </w:tc>
        <w:tc>
          <w:tcPr>
            <w:tcW w:w="3420" w:type="dxa"/>
            <w:shd w:val="clear" w:color="auto" w:fill="auto"/>
            <w:vAlign w:val="center"/>
            <w:hideMark/>
          </w:tcPr>
          <w:p w:rsidRPr="009A2FF9" w:rsidR="009A2FF9" w:rsidP="009A2FF9" w:rsidRDefault="009A2FF9" w14:paraId="4CA95A5E" w14:textId="3732078C">
            <w:pPr>
              <w:tabs>
                <w:tab w:val="clear" w:pos="1069"/>
              </w:tabs>
              <w:spacing w:line="240" w:lineRule="auto"/>
              <w:rPr>
                <w:rFonts w:ascii="Corbel" w:hAnsi="Corbel" w:cs="Calibri"/>
                <w:color w:val="000000"/>
                <w:sz w:val="22"/>
                <w:szCs w:val="22"/>
                <w:lang w:bidi="ar-SA"/>
              </w:rPr>
            </w:pPr>
            <w:r w:rsidRPr="009A2FF9">
              <w:rPr>
                <w:rFonts w:ascii="Corbel" w:hAnsi="Corbel" w:cs="Calibri"/>
                <w:color w:val="000000"/>
                <w:sz w:val="22"/>
                <w:szCs w:val="22"/>
                <w:lang w:bidi="ar-SA"/>
              </w:rPr>
              <w:t xml:space="preserve">Within 60 days </w:t>
            </w:r>
            <w:r w:rsidRPr="009A2FF9" w:rsidR="00FD4A53">
              <w:rPr>
                <w:rFonts w:ascii="Corbel" w:hAnsi="Corbel" w:cs="Calibri"/>
                <w:color w:val="000000"/>
                <w:sz w:val="22"/>
                <w:szCs w:val="22"/>
                <w:lang w:bidi="ar-SA"/>
              </w:rPr>
              <w:t xml:space="preserve">of OMB approval </w:t>
            </w:r>
          </w:p>
        </w:tc>
        <w:tc>
          <w:tcPr>
            <w:tcW w:w="1980" w:type="dxa"/>
            <w:shd w:val="clear" w:color="auto" w:fill="auto"/>
            <w:noWrap/>
            <w:vAlign w:val="center"/>
            <w:hideMark/>
          </w:tcPr>
          <w:p w:rsidRPr="009A2FF9" w:rsidR="009A2FF9" w:rsidP="009A2FF9" w:rsidRDefault="009A2FF9" w14:paraId="17FC97E0" w14:textId="77777777">
            <w:pPr>
              <w:tabs>
                <w:tab w:val="clear" w:pos="1069"/>
              </w:tabs>
              <w:spacing w:line="240" w:lineRule="auto"/>
              <w:ind w:firstLine="440" w:firstLineChars="200"/>
              <w:rPr>
                <w:rFonts w:ascii="Calibri" w:hAnsi="Calibri" w:cs="Calibri"/>
                <w:color w:val="000000"/>
                <w:sz w:val="22"/>
                <w:szCs w:val="22"/>
                <w:lang w:bidi="ar-SA"/>
              </w:rPr>
            </w:pPr>
            <w:r w:rsidRPr="009A2FF9">
              <w:rPr>
                <w:rFonts w:ascii="Calibri" w:hAnsi="Calibri" w:cs="Calibri"/>
                <w:color w:val="000000"/>
                <w:sz w:val="22"/>
                <w:szCs w:val="22"/>
                <w:lang w:bidi="ar-SA"/>
              </w:rPr>
              <w:t>1 month</w:t>
            </w:r>
          </w:p>
        </w:tc>
      </w:tr>
      <w:tr w:rsidRPr="009A2FF9" w:rsidR="009A2FF9" w:rsidTr="00FD4A53" w14:paraId="423C6FDC" w14:textId="77777777">
        <w:trPr>
          <w:trHeight w:val="600"/>
        </w:trPr>
        <w:tc>
          <w:tcPr>
            <w:tcW w:w="4230" w:type="dxa"/>
            <w:shd w:val="clear" w:color="auto" w:fill="auto"/>
            <w:vAlign w:val="center"/>
            <w:hideMark/>
          </w:tcPr>
          <w:p w:rsidRPr="009A2FF9" w:rsidR="009A2FF9" w:rsidP="009A2FF9" w:rsidRDefault="009A2FF9" w14:paraId="5468AE47" w14:textId="77777777">
            <w:pPr>
              <w:tabs>
                <w:tab w:val="clear" w:pos="1069"/>
              </w:tabs>
              <w:spacing w:line="240" w:lineRule="auto"/>
              <w:rPr>
                <w:rFonts w:ascii="Corbel" w:hAnsi="Corbel" w:cs="Calibri"/>
                <w:b/>
                <w:bCs/>
                <w:color w:val="000000"/>
                <w:sz w:val="22"/>
                <w:szCs w:val="22"/>
                <w:lang w:bidi="ar-SA"/>
              </w:rPr>
            </w:pPr>
            <w:r w:rsidRPr="009A2FF9">
              <w:rPr>
                <w:rFonts w:ascii="Corbel" w:hAnsi="Corbel" w:cs="Calibri"/>
                <w:b/>
                <w:bCs/>
                <w:color w:val="000000"/>
                <w:sz w:val="22"/>
                <w:szCs w:val="22"/>
                <w:lang w:bidi="ar-SA"/>
              </w:rPr>
              <w:t>Interim report of Museum Survey findings for Steering Committee and SMEs</w:t>
            </w:r>
          </w:p>
        </w:tc>
        <w:tc>
          <w:tcPr>
            <w:tcW w:w="3420" w:type="dxa"/>
            <w:shd w:val="clear" w:color="auto" w:fill="auto"/>
            <w:vAlign w:val="center"/>
            <w:hideMark/>
          </w:tcPr>
          <w:p w:rsidRPr="009A2FF9" w:rsidR="009A2FF9" w:rsidP="009A2FF9" w:rsidRDefault="009A2FF9" w14:paraId="4EF2C22B" w14:textId="7B9E1936">
            <w:pPr>
              <w:tabs>
                <w:tab w:val="clear" w:pos="1069"/>
              </w:tabs>
              <w:spacing w:line="240" w:lineRule="auto"/>
              <w:rPr>
                <w:rFonts w:ascii="Corbel" w:hAnsi="Corbel" w:cs="Calibri"/>
                <w:color w:val="000000"/>
                <w:sz w:val="22"/>
                <w:szCs w:val="22"/>
                <w:lang w:bidi="ar-SA"/>
              </w:rPr>
            </w:pPr>
            <w:r w:rsidRPr="009A2FF9">
              <w:rPr>
                <w:rFonts w:ascii="Corbel" w:hAnsi="Corbel" w:cs="Calibri"/>
                <w:color w:val="000000"/>
                <w:sz w:val="22"/>
                <w:szCs w:val="22"/>
                <w:lang w:bidi="ar-SA"/>
              </w:rPr>
              <w:t xml:space="preserve">Within 75 days </w:t>
            </w:r>
            <w:r w:rsidRPr="009A2FF9" w:rsidR="00FD4A53">
              <w:rPr>
                <w:rFonts w:ascii="Corbel" w:hAnsi="Corbel" w:cs="Calibri"/>
                <w:color w:val="000000"/>
                <w:sz w:val="22"/>
                <w:szCs w:val="22"/>
                <w:lang w:bidi="ar-SA"/>
              </w:rPr>
              <w:t xml:space="preserve">of OMB approval </w:t>
            </w:r>
          </w:p>
        </w:tc>
        <w:tc>
          <w:tcPr>
            <w:tcW w:w="1980" w:type="dxa"/>
            <w:shd w:val="clear" w:color="auto" w:fill="auto"/>
            <w:noWrap/>
            <w:vAlign w:val="center"/>
            <w:hideMark/>
          </w:tcPr>
          <w:p w:rsidRPr="009A2FF9" w:rsidR="009A2FF9" w:rsidP="009A2FF9" w:rsidRDefault="009A2FF9" w14:paraId="520FC66F" w14:textId="77777777">
            <w:pPr>
              <w:tabs>
                <w:tab w:val="clear" w:pos="1069"/>
              </w:tabs>
              <w:spacing w:line="240" w:lineRule="auto"/>
              <w:ind w:firstLine="440" w:firstLineChars="200"/>
              <w:rPr>
                <w:rFonts w:ascii="Calibri" w:hAnsi="Calibri" w:cs="Calibri"/>
                <w:color w:val="000000"/>
                <w:sz w:val="22"/>
                <w:szCs w:val="22"/>
                <w:lang w:bidi="ar-SA"/>
              </w:rPr>
            </w:pPr>
            <w:r w:rsidRPr="009A2FF9">
              <w:rPr>
                <w:rFonts w:ascii="Calibri" w:hAnsi="Calibri" w:cs="Calibri"/>
                <w:color w:val="000000"/>
                <w:sz w:val="22"/>
                <w:szCs w:val="22"/>
                <w:lang w:bidi="ar-SA"/>
              </w:rPr>
              <w:t>1 day</w:t>
            </w:r>
          </w:p>
        </w:tc>
      </w:tr>
      <w:tr w:rsidRPr="009A2FF9" w:rsidR="009A2FF9" w:rsidTr="00FD4A53" w14:paraId="445DD108" w14:textId="77777777">
        <w:trPr>
          <w:trHeight w:val="555"/>
        </w:trPr>
        <w:tc>
          <w:tcPr>
            <w:tcW w:w="4230" w:type="dxa"/>
            <w:shd w:val="clear" w:color="auto" w:fill="auto"/>
            <w:vAlign w:val="center"/>
            <w:hideMark/>
          </w:tcPr>
          <w:p w:rsidRPr="009A2FF9" w:rsidR="009A2FF9" w:rsidP="009A2FF9" w:rsidRDefault="009A2FF9" w14:paraId="239C151A" w14:textId="77777777">
            <w:pPr>
              <w:tabs>
                <w:tab w:val="clear" w:pos="1069"/>
              </w:tabs>
              <w:spacing w:line="240" w:lineRule="auto"/>
              <w:rPr>
                <w:rFonts w:ascii="Corbel" w:hAnsi="Corbel" w:cs="Calibri"/>
                <w:b/>
                <w:bCs/>
                <w:color w:val="000000"/>
                <w:sz w:val="22"/>
                <w:szCs w:val="22"/>
                <w:lang w:bidi="ar-SA"/>
              </w:rPr>
            </w:pPr>
            <w:r w:rsidRPr="009A2FF9">
              <w:rPr>
                <w:rFonts w:ascii="Corbel" w:hAnsi="Corbel" w:cs="Calibri"/>
                <w:b/>
                <w:bCs/>
                <w:color w:val="000000"/>
                <w:sz w:val="22"/>
                <w:szCs w:val="22"/>
                <w:lang w:bidi="ar-SA"/>
              </w:rPr>
              <w:lastRenderedPageBreak/>
              <w:t xml:space="preserve">Interviews </w:t>
            </w:r>
          </w:p>
        </w:tc>
        <w:tc>
          <w:tcPr>
            <w:tcW w:w="3420" w:type="dxa"/>
            <w:shd w:val="clear" w:color="auto" w:fill="auto"/>
            <w:vAlign w:val="center"/>
            <w:hideMark/>
          </w:tcPr>
          <w:p w:rsidRPr="009A2FF9" w:rsidR="009A2FF9" w:rsidP="009A2FF9" w:rsidRDefault="009A2FF9" w14:paraId="35E2598B" w14:textId="7B3A2B2B">
            <w:pPr>
              <w:tabs>
                <w:tab w:val="clear" w:pos="1069"/>
              </w:tabs>
              <w:spacing w:line="240" w:lineRule="auto"/>
              <w:rPr>
                <w:rFonts w:ascii="Corbel" w:hAnsi="Corbel" w:cs="Calibri"/>
                <w:color w:val="000000"/>
                <w:sz w:val="22"/>
                <w:szCs w:val="22"/>
                <w:lang w:bidi="ar-SA"/>
              </w:rPr>
            </w:pPr>
            <w:r w:rsidRPr="009A2FF9">
              <w:rPr>
                <w:rFonts w:ascii="Corbel" w:hAnsi="Corbel" w:cs="Calibri"/>
                <w:color w:val="000000"/>
                <w:sz w:val="22"/>
                <w:szCs w:val="22"/>
                <w:lang w:bidi="ar-SA"/>
              </w:rPr>
              <w:t xml:space="preserve">Within 80 days of OMB approval </w:t>
            </w:r>
          </w:p>
        </w:tc>
        <w:tc>
          <w:tcPr>
            <w:tcW w:w="1980" w:type="dxa"/>
            <w:shd w:val="clear" w:color="auto" w:fill="auto"/>
            <w:noWrap/>
            <w:vAlign w:val="center"/>
            <w:hideMark/>
          </w:tcPr>
          <w:p w:rsidRPr="009A2FF9" w:rsidR="009A2FF9" w:rsidP="009A2FF9" w:rsidRDefault="009A2FF9" w14:paraId="4791EDD5" w14:textId="77777777">
            <w:pPr>
              <w:tabs>
                <w:tab w:val="clear" w:pos="1069"/>
              </w:tabs>
              <w:spacing w:line="240" w:lineRule="auto"/>
              <w:ind w:firstLine="440" w:firstLineChars="200"/>
              <w:rPr>
                <w:rFonts w:ascii="Calibri" w:hAnsi="Calibri" w:cs="Calibri"/>
                <w:color w:val="000000"/>
                <w:sz w:val="22"/>
                <w:szCs w:val="22"/>
                <w:lang w:bidi="ar-SA"/>
              </w:rPr>
            </w:pPr>
            <w:r w:rsidRPr="009A2FF9">
              <w:rPr>
                <w:rFonts w:ascii="Calibri" w:hAnsi="Calibri" w:cs="Calibri"/>
                <w:color w:val="000000"/>
                <w:sz w:val="22"/>
                <w:szCs w:val="22"/>
                <w:lang w:bidi="ar-SA"/>
              </w:rPr>
              <w:t>2 weeks</w:t>
            </w:r>
          </w:p>
        </w:tc>
      </w:tr>
      <w:tr w:rsidRPr="009A2FF9" w:rsidR="009A2FF9" w:rsidTr="00FD4A53" w14:paraId="49CB3179" w14:textId="77777777">
        <w:trPr>
          <w:trHeight w:val="585"/>
        </w:trPr>
        <w:tc>
          <w:tcPr>
            <w:tcW w:w="4230" w:type="dxa"/>
            <w:shd w:val="clear" w:color="auto" w:fill="auto"/>
            <w:vAlign w:val="center"/>
            <w:hideMark/>
          </w:tcPr>
          <w:p w:rsidRPr="009A2FF9" w:rsidR="009A2FF9" w:rsidP="009A2FF9" w:rsidRDefault="009A2FF9" w14:paraId="5E28F2C7" w14:textId="77777777">
            <w:pPr>
              <w:tabs>
                <w:tab w:val="clear" w:pos="1069"/>
              </w:tabs>
              <w:spacing w:line="240" w:lineRule="auto"/>
              <w:rPr>
                <w:rFonts w:ascii="Corbel" w:hAnsi="Corbel" w:cs="Calibri"/>
                <w:b/>
                <w:bCs/>
                <w:color w:val="000000"/>
                <w:sz w:val="22"/>
                <w:szCs w:val="22"/>
                <w:lang w:bidi="ar-SA"/>
              </w:rPr>
            </w:pPr>
            <w:r w:rsidRPr="009A2FF9">
              <w:rPr>
                <w:rFonts w:ascii="Corbel" w:hAnsi="Corbel" w:cs="Calibri"/>
                <w:b/>
                <w:bCs/>
                <w:color w:val="000000"/>
                <w:sz w:val="22"/>
                <w:szCs w:val="22"/>
                <w:lang w:bidi="ar-SA"/>
              </w:rPr>
              <w:t xml:space="preserve">Virtual Focus Groups </w:t>
            </w:r>
          </w:p>
        </w:tc>
        <w:tc>
          <w:tcPr>
            <w:tcW w:w="3420" w:type="dxa"/>
            <w:shd w:val="clear" w:color="auto" w:fill="auto"/>
            <w:vAlign w:val="center"/>
            <w:hideMark/>
          </w:tcPr>
          <w:p w:rsidRPr="009A2FF9" w:rsidR="009A2FF9" w:rsidP="009A2FF9" w:rsidRDefault="009A2FF9" w14:paraId="63F69216" w14:textId="019708E3">
            <w:pPr>
              <w:tabs>
                <w:tab w:val="clear" w:pos="1069"/>
              </w:tabs>
              <w:spacing w:line="240" w:lineRule="auto"/>
              <w:rPr>
                <w:rFonts w:ascii="Corbel" w:hAnsi="Corbel" w:cs="Calibri"/>
                <w:color w:val="000000"/>
                <w:sz w:val="22"/>
                <w:szCs w:val="22"/>
                <w:lang w:bidi="ar-SA"/>
              </w:rPr>
            </w:pPr>
            <w:r w:rsidRPr="009A2FF9">
              <w:rPr>
                <w:rFonts w:ascii="Corbel" w:hAnsi="Corbel" w:cs="Calibri"/>
                <w:color w:val="000000"/>
                <w:sz w:val="22"/>
                <w:szCs w:val="22"/>
                <w:lang w:bidi="ar-SA"/>
              </w:rPr>
              <w:t xml:space="preserve">Within 80 days of OMB approval </w:t>
            </w:r>
          </w:p>
        </w:tc>
        <w:tc>
          <w:tcPr>
            <w:tcW w:w="1980" w:type="dxa"/>
            <w:shd w:val="clear" w:color="auto" w:fill="auto"/>
            <w:noWrap/>
            <w:vAlign w:val="center"/>
            <w:hideMark/>
          </w:tcPr>
          <w:p w:rsidRPr="009A2FF9" w:rsidR="009A2FF9" w:rsidP="009A2FF9" w:rsidRDefault="009A2FF9" w14:paraId="054F2F03" w14:textId="77777777">
            <w:pPr>
              <w:tabs>
                <w:tab w:val="clear" w:pos="1069"/>
              </w:tabs>
              <w:spacing w:line="240" w:lineRule="auto"/>
              <w:ind w:firstLine="440" w:firstLineChars="200"/>
              <w:rPr>
                <w:rFonts w:ascii="Calibri" w:hAnsi="Calibri" w:cs="Calibri"/>
                <w:color w:val="000000"/>
                <w:sz w:val="22"/>
                <w:szCs w:val="22"/>
                <w:lang w:bidi="ar-SA"/>
              </w:rPr>
            </w:pPr>
            <w:r w:rsidRPr="009A2FF9">
              <w:rPr>
                <w:rFonts w:ascii="Calibri" w:hAnsi="Calibri" w:cs="Calibri"/>
                <w:color w:val="000000"/>
                <w:sz w:val="22"/>
                <w:szCs w:val="22"/>
                <w:lang w:bidi="ar-SA"/>
              </w:rPr>
              <w:t>2 weeks</w:t>
            </w:r>
          </w:p>
        </w:tc>
      </w:tr>
      <w:tr w:rsidRPr="009A2FF9" w:rsidR="009A2FF9" w:rsidTr="00FD4A53" w14:paraId="6A2CC939" w14:textId="77777777">
        <w:trPr>
          <w:trHeight w:val="600"/>
        </w:trPr>
        <w:tc>
          <w:tcPr>
            <w:tcW w:w="4230" w:type="dxa"/>
            <w:shd w:val="clear" w:color="auto" w:fill="auto"/>
            <w:vAlign w:val="center"/>
            <w:hideMark/>
          </w:tcPr>
          <w:p w:rsidRPr="009A2FF9" w:rsidR="009A2FF9" w:rsidP="009A2FF9" w:rsidRDefault="009A2FF9" w14:paraId="1335CF51" w14:textId="77777777">
            <w:pPr>
              <w:tabs>
                <w:tab w:val="clear" w:pos="1069"/>
              </w:tabs>
              <w:spacing w:line="240" w:lineRule="auto"/>
              <w:rPr>
                <w:rFonts w:ascii="Corbel" w:hAnsi="Corbel" w:cs="Calibri"/>
                <w:b/>
                <w:bCs/>
                <w:color w:val="000000"/>
                <w:sz w:val="22"/>
                <w:szCs w:val="22"/>
                <w:lang w:bidi="ar-SA"/>
              </w:rPr>
            </w:pPr>
            <w:r w:rsidRPr="009A2FF9">
              <w:rPr>
                <w:rFonts w:ascii="Corbel" w:hAnsi="Corbel" w:cs="Calibri"/>
                <w:b/>
                <w:bCs/>
                <w:color w:val="000000"/>
                <w:sz w:val="22"/>
                <w:szCs w:val="22"/>
                <w:lang w:bidi="ar-SA"/>
              </w:rPr>
              <w:t xml:space="preserve">Preparation of draft report to IMLS of Survey, Interview and Focus Group Findings </w:t>
            </w:r>
          </w:p>
        </w:tc>
        <w:tc>
          <w:tcPr>
            <w:tcW w:w="3420" w:type="dxa"/>
            <w:shd w:val="clear" w:color="auto" w:fill="auto"/>
            <w:vAlign w:val="center"/>
            <w:hideMark/>
          </w:tcPr>
          <w:p w:rsidRPr="009A2FF9" w:rsidR="009A2FF9" w:rsidP="009A2FF9" w:rsidRDefault="009A2FF9" w14:paraId="125F2088" w14:textId="1A3C8E1C">
            <w:pPr>
              <w:tabs>
                <w:tab w:val="clear" w:pos="1069"/>
              </w:tabs>
              <w:spacing w:line="240" w:lineRule="auto"/>
              <w:rPr>
                <w:rFonts w:ascii="Corbel" w:hAnsi="Corbel" w:cs="Calibri"/>
                <w:color w:val="000000"/>
                <w:sz w:val="22"/>
                <w:szCs w:val="22"/>
                <w:lang w:bidi="ar-SA"/>
              </w:rPr>
            </w:pPr>
            <w:r w:rsidRPr="009A2FF9">
              <w:rPr>
                <w:rFonts w:ascii="Corbel" w:hAnsi="Corbel" w:cs="Calibri"/>
                <w:color w:val="000000"/>
                <w:sz w:val="22"/>
                <w:szCs w:val="22"/>
                <w:lang w:bidi="ar-SA"/>
              </w:rPr>
              <w:t xml:space="preserve">100-120 days after OMB approval </w:t>
            </w:r>
          </w:p>
        </w:tc>
        <w:tc>
          <w:tcPr>
            <w:tcW w:w="1980" w:type="dxa"/>
            <w:shd w:val="clear" w:color="auto" w:fill="auto"/>
            <w:noWrap/>
            <w:vAlign w:val="center"/>
            <w:hideMark/>
          </w:tcPr>
          <w:p w:rsidRPr="009A2FF9" w:rsidR="009A2FF9" w:rsidP="009A2FF9" w:rsidRDefault="009A2FF9" w14:paraId="666FCD88" w14:textId="77777777">
            <w:pPr>
              <w:tabs>
                <w:tab w:val="clear" w:pos="1069"/>
              </w:tabs>
              <w:spacing w:line="240" w:lineRule="auto"/>
              <w:ind w:firstLine="440" w:firstLineChars="200"/>
              <w:rPr>
                <w:rFonts w:ascii="Calibri" w:hAnsi="Calibri" w:cs="Calibri"/>
                <w:color w:val="000000"/>
                <w:sz w:val="22"/>
                <w:szCs w:val="22"/>
                <w:lang w:bidi="ar-SA"/>
              </w:rPr>
            </w:pPr>
            <w:r w:rsidRPr="009A2FF9">
              <w:rPr>
                <w:rFonts w:ascii="Calibri" w:hAnsi="Calibri" w:cs="Calibri"/>
                <w:color w:val="000000"/>
                <w:sz w:val="22"/>
                <w:szCs w:val="22"/>
                <w:lang w:bidi="ar-SA"/>
              </w:rPr>
              <w:t>3 weeks</w:t>
            </w:r>
          </w:p>
        </w:tc>
      </w:tr>
      <w:tr w:rsidRPr="009A2FF9" w:rsidR="009A2FF9" w:rsidTr="00FD4A53" w14:paraId="1AA45E74" w14:textId="77777777">
        <w:trPr>
          <w:trHeight w:val="525"/>
        </w:trPr>
        <w:tc>
          <w:tcPr>
            <w:tcW w:w="4230" w:type="dxa"/>
            <w:shd w:val="clear" w:color="auto" w:fill="auto"/>
            <w:vAlign w:val="center"/>
            <w:hideMark/>
          </w:tcPr>
          <w:p w:rsidRPr="009A2FF9" w:rsidR="009A2FF9" w:rsidP="009A2FF9" w:rsidRDefault="009A2FF9" w14:paraId="53308259" w14:textId="77777777">
            <w:pPr>
              <w:tabs>
                <w:tab w:val="clear" w:pos="1069"/>
              </w:tabs>
              <w:spacing w:line="240" w:lineRule="auto"/>
              <w:rPr>
                <w:rFonts w:ascii="Corbel" w:hAnsi="Corbel" w:cs="Calibri"/>
                <w:b/>
                <w:bCs/>
                <w:color w:val="000000"/>
                <w:sz w:val="22"/>
                <w:szCs w:val="22"/>
                <w:lang w:bidi="ar-SA"/>
              </w:rPr>
            </w:pPr>
            <w:r w:rsidRPr="009A2FF9">
              <w:rPr>
                <w:rFonts w:ascii="Corbel" w:hAnsi="Corbel" w:cs="Calibri"/>
                <w:b/>
                <w:bCs/>
                <w:color w:val="000000"/>
                <w:sz w:val="22"/>
                <w:szCs w:val="22"/>
                <w:lang w:bidi="ar-SA"/>
              </w:rPr>
              <w:t xml:space="preserve">Final report to IMLS </w:t>
            </w:r>
          </w:p>
        </w:tc>
        <w:tc>
          <w:tcPr>
            <w:tcW w:w="3420" w:type="dxa"/>
            <w:shd w:val="clear" w:color="auto" w:fill="auto"/>
            <w:vAlign w:val="center"/>
            <w:hideMark/>
          </w:tcPr>
          <w:p w:rsidRPr="009A2FF9" w:rsidR="009A2FF9" w:rsidP="009A2FF9" w:rsidRDefault="009A2FF9" w14:paraId="070566BA" w14:textId="20249101">
            <w:pPr>
              <w:tabs>
                <w:tab w:val="clear" w:pos="1069"/>
              </w:tabs>
              <w:spacing w:line="240" w:lineRule="auto"/>
              <w:rPr>
                <w:rFonts w:ascii="Corbel" w:hAnsi="Corbel" w:cs="Calibri"/>
                <w:color w:val="000000"/>
                <w:sz w:val="22"/>
                <w:szCs w:val="22"/>
                <w:lang w:bidi="ar-SA"/>
              </w:rPr>
            </w:pPr>
            <w:r w:rsidRPr="009A2FF9">
              <w:rPr>
                <w:rFonts w:ascii="Corbel" w:hAnsi="Corbel" w:cs="Calibri"/>
                <w:color w:val="000000"/>
                <w:sz w:val="22"/>
                <w:szCs w:val="22"/>
                <w:lang w:bidi="ar-SA"/>
              </w:rPr>
              <w:t>121-151 days after OMB ap</w:t>
            </w:r>
            <w:r w:rsidR="00EA53D3">
              <w:rPr>
                <w:rFonts w:ascii="Corbel" w:hAnsi="Corbel" w:cs="Calibri"/>
                <w:color w:val="000000"/>
                <w:sz w:val="22"/>
                <w:szCs w:val="22"/>
                <w:lang w:bidi="ar-SA"/>
              </w:rPr>
              <w:t>p</w:t>
            </w:r>
            <w:r w:rsidRPr="009A2FF9">
              <w:rPr>
                <w:rFonts w:ascii="Corbel" w:hAnsi="Corbel" w:cs="Calibri"/>
                <w:color w:val="000000"/>
                <w:sz w:val="22"/>
                <w:szCs w:val="22"/>
                <w:lang w:bidi="ar-SA"/>
              </w:rPr>
              <w:t xml:space="preserve">roval </w:t>
            </w:r>
          </w:p>
        </w:tc>
        <w:tc>
          <w:tcPr>
            <w:tcW w:w="1980" w:type="dxa"/>
            <w:shd w:val="clear" w:color="auto" w:fill="auto"/>
            <w:noWrap/>
            <w:vAlign w:val="center"/>
            <w:hideMark/>
          </w:tcPr>
          <w:p w:rsidRPr="009A2FF9" w:rsidR="009A2FF9" w:rsidP="009A2FF9" w:rsidRDefault="009A2FF9" w14:paraId="7542B19A" w14:textId="77777777">
            <w:pPr>
              <w:tabs>
                <w:tab w:val="clear" w:pos="1069"/>
              </w:tabs>
              <w:spacing w:line="240" w:lineRule="auto"/>
              <w:ind w:firstLine="440" w:firstLineChars="200"/>
              <w:rPr>
                <w:rFonts w:ascii="Calibri" w:hAnsi="Calibri" w:cs="Calibri"/>
                <w:color w:val="000000"/>
                <w:sz w:val="22"/>
                <w:szCs w:val="22"/>
                <w:lang w:bidi="ar-SA"/>
              </w:rPr>
            </w:pPr>
            <w:r w:rsidRPr="009A2FF9">
              <w:rPr>
                <w:rFonts w:ascii="Calibri" w:hAnsi="Calibri" w:cs="Calibri"/>
                <w:color w:val="000000"/>
                <w:sz w:val="22"/>
                <w:szCs w:val="22"/>
                <w:lang w:bidi="ar-SA"/>
              </w:rPr>
              <w:t>3 weeks</w:t>
            </w:r>
          </w:p>
        </w:tc>
      </w:tr>
    </w:tbl>
    <w:p w:rsidR="004F3856" w:rsidP="00E65A3C" w:rsidRDefault="004F3856" w14:paraId="341AB333" w14:textId="6A536E18"/>
    <w:p w:rsidRPr="00B82642" w:rsidR="00D55958" w:rsidP="00B82642" w:rsidRDefault="00E67ECC" w14:paraId="57BE6493" w14:textId="3F35BFA6">
      <w:pPr>
        <w:pStyle w:val="Heading2"/>
        <w:rPr>
          <w:rFonts w:ascii="Corbel" w:hAnsi="Corbel"/>
        </w:rPr>
      </w:pPr>
      <w:r w:rsidRPr="00B82642">
        <w:rPr>
          <w:rFonts w:ascii="Corbel" w:hAnsi="Corbel"/>
        </w:rPr>
        <w:t>A.17.</w:t>
      </w:r>
      <w:r w:rsidR="00D41FE8">
        <w:rPr>
          <w:rFonts w:ascii="Corbel" w:hAnsi="Corbel"/>
        </w:rPr>
        <w:tab/>
      </w:r>
      <w:r w:rsidRPr="00B82642">
        <w:rPr>
          <w:rFonts w:ascii="Corbel" w:hAnsi="Corbel"/>
        </w:rPr>
        <w:t>Approval for Not Displaying the Expiration Date for OMB Approval</w:t>
      </w:r>
    </w:p>
    <w:p w:rsidRPr="00B24AFC" w:rsidR="00D55958" w:rsidP="00E65A3C" w:rsidRDefault="00D55958" w14:paraId="3E254B58" w14:textId="77777777">
      <w:pPr>
        <w:rPr>
          <w:rFonts w:ascii="Corbel" w:hAnsi="Corbel"/>
        </w:rPr>
      </w:pPr>
    </w:p>
    <w:p w:rsidRPr="00A171AF" w:rsidR="00DC18EA" w:rsidP="00E65A3C" w:rsidRDefault="00E67ECC" w14:paraId="37C8570C" w14:textId="513AE2A5">
      <w:pPr>
        <w:rPr>
          <w:rFonts w:ascii="Corbel" w:hAnsi="Corbel"/>
          <w:sz w:val="22"/>
          <w:szCs w:val="22"/>
        </w:rPr>
      </w:pPr>
      <w:r w:rsidRPr="00A171AF">
        <w:rPr>
          <w:rFonts w:ascii="Corbel" w:hAnsi="Corbel"/>
          <w:sz w:val="22"/>
          <w:szCs w:val="22"/>
        </w:rPr>
        <w:t xml:space="preserve">No exemption from the requirements to display the expiration date for OMB approval of the information collection is being requested for the </w:t>
      </w:r>
      <w:r w:rsidRPr="00A171AF" w:rsidR="0027140D">
        <w:rPr>
          <w:rFonts w:ascii="Corbel" w:hAnsi="Corbel"/>
          <w:sz w:val="22"/>
          <w:szCs w:val="22"/>
        </w:rPr>
        <w:t xml:space="preserve">PPG </w:t>
      </w:r>
      <w:r w:rsidRPr="00A171AF">
        <w:rPr>
          <w:rFonts w:ascii="Corbel" w:hAnsi="Corbel"/>
          <w:sz w:val="22"/>
          <w:szCs w:val="22"/>
        </w:rPr>
        <w:t xml:space="preserve">data collection. </w:t>
      </w:r>
      <w:r w:rsidRPr="00A171AF" w:rsidR="00DC18EA">
        <w:rPr>
          <w:rFonts w:ascii="Corbel" w:hAnsi="Corbel"/>
          <w:sz w:val="22"/>
          <w:szCs w:val="22"/>
        </w:rPr>
        <w:t xml:space="preserve">The OMB approval number and expiration date will be displayed </w:t>
      </w:r>
      <w:r w:rsidRPr="00A171AF" w:rsidR="004F3856">
        <w:rPr>
          <w:rFonts w:ascii="Corbel" w:hAnsi="Corbel"/>
          <w:sz w:val="22"/>
          <w:szCs w:val="22"/>
        </w:rPr>
        <w:t>at the top of the web survey instrument</w:t>
      </w:r>
      <w:r w:rsidRPr="00A171AF" w:rsidR="00DC18EA">
        <w:rPr>
          <w:rFonts w:ascii="Corbel" w:hAnsi="Corbel"/>
          <w:sz w:val="22"/>
          <w:szCs w:val="22"/>
        </w:rPr>
        <w:t>.</w:t>
      </w:r>
    </w:p>
    <w:p w:rsidRPr="00B24AFC" w:rsidR="00FB22F0" w:rsidP="00E65A3C" w:rsidRDefault="00FB22F0" w14:paraId="1BC0264D" w14:textId="77777777">
      <w:pPr>
        <w:rPr>
          <w:rFonts w:ascii="Corbel" w:hAnsi="Corbel"/>
        </w:rPr>
      </w:pPr>
    </w:p>
    <w:p w:rsidRPr="00B82642" w:rsidR="00D55958" w:rsidP="00B82642" w:rsidRDefault="00E67ECC" w14:paraId="358A21A1" w14:textId="604E54FC">
      <w:pPr>
        <w:pStyle w:val="Heading2"/>
        <w:rPr>
          <w:rFonts w:ascii="Corbel" w:hAnsi="Corbel"/>
        </w:rPr>
      </w:pPr>
      <w:r w:rsidRPr="00B82642">
        <w:rPr>
          <w:rFonts w:ascii="Corbel" w:hAnsi="Corbel"/>
        </w:rPr>
        <w:t>A.18.</w:t>
      </w:r>
      <w:r w:rsidR="00D41FE8">
        <w:rPr>
          <w:rFonts w:ascii="Corbel" w:hAnsi="Corbel"/>
        </w:rPr>
        <w:tab/>
      </w:r>
      <w:r w:rsidRPr="00B82642">
        <w:rPr>
          <w:rFonts w:ascii="Corbel" w:hAnsi="Corbel"/>
        </w:rPr>
        <w:t>Exceptions to the Certification Statement</w:t>
      </w:r>
    </w:p>
    <w:p w:rsidRPr="00B24AFC" w:rsidR="00DC18EA" w:rsidP="00E65A3C" w:rsidRDefault="00DC18EA" w14:paraId="0F38E62C" w14:textId="77777777">
      <w:pPr>
        <w:rPr>
          <w:rFonts w:ascii="Corbel" w:hAnsi="Corbel"/>
        </w:rPr>
      </w:pPr>
    </w:p>
    <w:p w:rsidRPr="00A171AF" w:rsidR="00DC18EA" w:rsidP="00E65A3C" w:rsidRDefault="00E67ECC" w14:paraId="14E2E0CE" w14:textId="5B68B559">
      <w:pPr>
        <w:rPr>
          <w:rFonts w:ascii="Corbel" w:hAnsi="Corbel"/>
          <w:sz w:val="22"/>
          <w:szCs w:val="22"/>
        </w:rPr>
      </w:pPr>
      <w:r w:rsidRPr="00A171AF">
        <w:rPr>
          <w:rFonts w:ascii="Corbel" w:hAnsi="Corbel"/>
          <w:sz w:val="22"/>
          <w:szCs w:val="22"/>
        </w:rPr>
        <w:t>No exceptions to the certification statement identified in Item 19, “Certification for Paperwork Reduction Act Submissions,”</w:t>
      </w:r>
      <w:r w:rsidRPr="00A171AF" w:rsidR="00792808">
        <w:rPr>
          <w:rFonts w:ascii="Corbel" w:hAnsi="Corbel"/>
          <w:sz w:val="22"/>
          <w:szCs w:val="22"/>
        </w:rPr>
        <w:t xml:space="preserve"> </w:t>
      </w:r>
      <w:r w:rsidRPr="00A171AF">
        <w:rPr>
          <w:rFonts w:ascii="Corbel" w:hAnsi="Corbel"/>
          <w:sz w:val="22"/>
          <w:szCs w:val="22"/>
        </w:rPr>
        <w:t xml:space="preserve">apply to the </w:t>
      </w:r>
      <w:r w:rsidRPr="00A171AF" w:rsidR="0027140D">
        <w:rPr>
          <w:rFonts w:ascii="Corbel" w:hAnsi="Corbel"/>
          <w:sz w:val="22"/>
          <w:szCs w:val="22"/>
        </w:rPr>
        <w:t>PPG</w:t>
      </w:r>
      <w:r w:rsidRPr="00A171AF" w:rsidR="004F3856">
        <w:rPr>
          <w:rFonts w:ascii="Corbel" w:hAnsi="Corbel"/>
          <w:sz w:val="22"/>
          <w:szCs w:val="22"/>
        </w:rPr>
        <w:t xml:space="preserve"> Survey</w:t>
      </w:r>
      <w:r w:rsidRPr="00A171AF">
        <w:rPr>
          <w:rFonts w:ascii="Corbel" w:hAnsi="Corbel"/>
          <w:sz w:val="22"/>
          <w:szCs w:val="22"/>
        </w:rPr>
        <w:t>.</w:t>
      </w:r>
    </w:p>
    <w:p w:rsidRPr="00332063" w:rsidR="00332063" w:rsidP="00DB7793" w:rsidRDefault="00332063" w14:paraId="53F0714D" w14:textId="101F5923"/>
    <w:sectPr w:rsidRPr="00332063" w:rsidR="00332063" w:rsidSect="003132EB">
      <w:footerReference w:type="default" r:id="rId12"/>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74138" w14:textId="77777777" w:rsidR="00F53F79" w:rsidRDefault="00F53F79" w:rsidP="00E65A3C">
      <w:r>
        <w:separator/>
      </w:r>
    </w:p>
  </w:endnote>
  <w:endnote w:type="continuationSeparator" w:id="0">
    <w:p w14:paraId="2CF115B5" w14:textId="77777777" w:rsidR="00F53F79" w:rsidRDefault="00F53F79" w:rsidP="00E65A3C">
      <w:r>
        <w:continuationSeparator/>
      </w:r>
    </w:p>
  </w:endnote>
  <w:endnote w:type="continuationNotice" w:id="1">
    <w:p w14:paraId="54281BE7" w14:textId="77777777" w:rsidR="00F53F79" w:rsidRDefault="00F53F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9ED68" w14:textId="55FAB758" w:rsidR="008675B2" w:rsidRPr="007734F9" w:rsidRDefault="008675B2" w:rsidP="007734F9">
    <w:pPr>
      <w:pStyle w:val="Footer"/>
      <w:jc w:val="right"/>
      <w:rPr>
        <w:rFonts w:ascii="Franklin Gothic Book" w:hAnsi="Franklin Gothic Book"/>
      </w:rPr>
    </w:pPr>
    <w:r w:rsidRPr="007734F9">
      <w:rPr>
        <w:rStyle w:val="PageNumber"/>
        <w:rFonts w:ascii="Franklin Gothic Book" w:hAnsi="Franklin Gothic Book"/>
        <w:sz w:val="20"/>
        <w:szCs w:val="20"/>
      </w:rPr>
      <w:t xml:space="preserve">IMLS – </w:t>
    </w:r>
    <w:r>
      <w:rPr>
        <w:rStyle w:val="PageNumber"/>
        <w:rFonts w:ascii="Franklin Gothic Book" w:hAnsi="Franklin Gothic Book"/>
        <w:sz w:val="20"/>
        <w:szCs w:val="20"/>
      </w:rPr>
      <w:t>PPG</w:t>
    </w:r>
    <w:r w:rsidRPr="007734F9">
      <w:rPr>
        <w:rStyle w:val="PageNumber"/>
        <w:rFonts w:ascii="Franklin Gothic Book" w:hAnsi="Franklin Gothic Book"/>
        <w:sz w:val="20"/>
        <w:szCs w:val="20"/>
      </w:rPr>
      <w:t xml:space="preserve">: Supporting Statement </w:t>
    </w:r>
    <w:r>
      <w:rPr>
        <w:rStyle w:val="PageNumber"/>
        <w:rFonts w:ascii="Franklin Gothic Book" w:hAnsi="Franklin Gothic Book"/>
        <w:sz w:val="20"/>
        <w:szCs w:val="20"/>
      </w:rPr>
      <w:t>B</w:t>
    </w:r>
    <w:r w:rsidRPr="007734F9">
      <w:rPr>
        <w:rStyle w:val="PageNumber"/>
        <w:rFonts w:ascii="Franklin Gothic Book" w:hAnsi="Franklin Gothic Book"/>
        <w:sz w:val="20"/>
        <w:szCs w:val="20"/>
      </w:rPr>
      <w:t xml:space="preserve"> | </w:t>
    </w:r>
    <w:r w:rsidRPr="007734F9">
      <w:rPr>
        <w:rStyle w:val="PageNumber"/>
        <w:rFonts w:ascii="Franklin Gothic Book" w:hAnsi="Franklin Gothic Book"/>
        <w:sz w:val="20"/>
        <w:szCs w:val="20"/>
      </w:rPr>
      <w:fldChar w:fldCharType="begin"/>
    </w:r>
    <w:r w:rsidRPr="007734F9">
      <w:rPr>
        <w:rStyle w:val="PageNumber"/>
        <w:rFonts w:ascii="Franklin Gothic Book" w:hAnsi="Franklin Gothic Book"/>
        <w:sz w:val="20"/>
        <w:szCs w:val="20"/>
      </w:rPr>
      <w:instrText xml:space="preserve"> PAGE </w:instrText>
    </w:r>
    <w:r w:rsidRPr="007734F9">
      <w:rPr>
        <w:rStyle w:val="PageNumber"/>
        <w:rFonts w:ascii="Franklin Gothic Book" w:hAnsi="Franklin Gothic Book"/>
        <w:sz w:val="20"/>
        <w:szCs w:val="20"/>
      </w:rPr>
      <w:fldChar w:fldCharType="separate"/>
    </w:r>
    <w:r w:rsidR="00EE25D7">
      <w:rPr>
        <w:rStyle w:val="PageNumber"/>
        <w:rFonts w:ascii="Franklin Gothic Book" w:hAnsi="Franklin Gothic Book"/>
        <w:noProof/>
        <w:sz w:val="20"/>
        <w:szCs w:val="20"/>
      </w:rPr>
      <w:t>11</w:t>
    </w:r>
    <w:r w:rsidRPr="007734F9">
      <w:rPr>
        <w:rStyle w:val="PageNumber"/>
        <w:rFonts w:ascii="Franklin Gothic Book" w:hAnsi="Franklin Gothic Book"/>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A1303" w14:textId="77777777" w:rsidR="00F53F79" w:rsidRDefault="00F53F79" w:rsidP="00E65A3C">
      <w:r>
        <w:separator/>
      </w:r>
    </w:p>
  </w:footnote>
  <w:footnote w:type="continuationSeparator" w:id="0">
    <w:p w14:paraId="0162A7EC" w14:textId="77777777" w:rsidR="00F53F79" w:rsidRDefault="00F53F79" w:rsidP="00E65A3C">
      <w:r>
        <w:continuationSeparator/>
      </w:r>
    </w:p>
  </w:footnote>
  <w:footnote w:type="continuationNotice" w:id="1">
    <w:p w14:paraId="229D779F" w14:textId="77777777" w:rsidR="00F53F79" w:rsidRDefault="00F53F79">
      <w:pPr>
        <w:spacing w:line="240" w:lineRule="auto"/>
      </w:pPr>
    </w:p>
  </w:footnote>
  <w:footnote w:id="2">
    <w:p w14:paraId="123088E6" w14:textId="74D30D40" w:rsidR="008675B2" w:rsidRPr="00EA53D3" w:rsidRDefault="008675B2">
      <w:pPr>
        <w:pStyle w:val="FootnoteText"/>
        <w:rPr>
          <w:rFonts w:ascii="Corbel" w:hAnsi="Corbel"/>
          <w:sz w:val="18"/>
          <w:szCs w:val="18"/>
        </w:rPr>
      </w:pPr>
      <w:r w:rsidRPr="00EA53D3">
        <w:rPr>
          <w:rStyle w:val="FootnoteReference"/>
          <w:rFonts w:ascii="Corbel" w:hAnsi="Corbel"/>
          <w:sz w:val="18"/>
          <w:szCs w:val="18"/>
        </w:rPr>
        <w:footnoteRef/>
      </w:r>
      <w:r w:rsidRPr="00EA53D3">
        <w:rPr>
          <w:rFonts w:ascii="Corbel" w:hAnsi="Corbel"/>
          <w:sz w:val="18"/>
          <w:szCs w:val="18"/>
        </w:rPr>
        <w:t xml:space="preserve"> https://www.imls.gov/publications/strengthening-networks- sparking-change-museums-and-libraries-community-catalysts </w:t>
      </w:r>
    </w:p>
  </w:footnote>
  <w:footnote w:id="3">
    <w:p w14:paraId="42CFB53A" w14:textId="4369F6C1" w:rsidR="008675B2" w:rsidRPr="00C159B2" w:rsidRDefault="008675B2">
      <w:pPr>
        <w:pStyle w:val="FootnoteText"/>
        <w:rPr>
          <w:rFonts w:ascii="Corbel" w:hAnsi="Corbel"/>
          <w:sz w:val="18"/>
          <w:szCs w:val="18"/>
        </w:rPr>
      </w:pPr>
      <w:r w:rsidRPr="00C159B2">
        <w:rPr>
          <w:rStyle w:val="FootnoteReference"/>
          <w:rFonts w:ascii="Corbel" w:hAnsi="Corbel"/>
          <w:sz w:val="18"/>
          <w:szCs w:val="18"/>
        </w:rPr>
        <w:footnoteRef/>
      </w:r>
      <w:r w:rsidRPr="00C159B2">
        <w:rPr>
          <w:rFonts w:ascii="Corbel" w:hAnsi="Corbel"/>
          <w:sz w:val="18"/>
          <w:szCs w:val="18"/>
        </w:rPr>
        <w:t xml:space="preserve"> https://onlinelibrary.wiley.com/toc/14680033/68/1-2</w:t>
      </w:r>
    </w:p>
  </w:footnote>
  <w:footnote w:id="4">
    <w:p w14:paraId="4CC61F39" w14:textId="370F564A" w:rsidR="008675B2" w:rsidRPr="00C159B2" w:rsidRDefault="008675B2">
      <w:pPr>
        <w:pStyle w:val="FootnoteText"/>
        <w:rPr>
          <w:rFonts w:ascii="Corbel" w:hAnsi="Corbel"/>
          <w:sz w:val="18"/>
          <w:szCs w:val="18"/>
        </w:rPr>
      </w:pPr>
      <w:r w:rsidRPr="00C159B2">
        <w:rPr>
          <w:rStyle w:val="FootnoteReference"/>
          <w:rFonts w:ascii="Corbel" w:hAnsi="Corbel"/>
          <w:sz w:val="18"/>
          <w:szCs w:val="18"/>
        </w:rPr>
        <w:footnoteRef/>
      </w:r>
      <w:r w:rsidRPr="00C159B2">
        <w:rPr>
          <w:rFonts w:ascii="Corbel" w:hAnsi="Corbel"/>
          <w:sz w:val="18"/>
          <w:szCs w:val="18"/>
        </w:rPr>
        <w:t xml:space="preserve"> https://nemanet.org/files/9914/2894/1720/Essential_Leadership_NEMA.pdf</w:t>
      </w:r>
    </w:p>
  </w:footnote>
  <w:footnote w:id="5">
    <w:p w14:paraId="71F6D004" w14:textId="2B49C4D1" w:rsidR="008675B2" w:rsidRPr="00C159B2" w:rsidRDefault="008675B2">
      <w:pPr>
        <w:pStyle w:val="FootnoteText"/>
        <w:rPr>
          <w:rFonts w:ascii="Corbel" w:hAnsi="Corbel"/>
          <w:sz w:val="18"/>
          <w:szCs w:val="18"/>
        </w:rPr>
      </w:pPr>
      <w:r w:rsidRPr="00C159B2">
        <w:rPr>
          <w:rStyle w:val="FootnoteReference"/>
          <w:rFonts w:ascii="Corbel" w:hAnsi="Corbel"/>
          <w:sz w:val="18"/>
          <w:szCs w:val="18"/>
        </w:rPr>
        <w:footnoteRef/>
      </w:r>
      <w:r w:rsidRPr="00C159B2">
        <w:rPr>
          <w:rFonts w:ascii="Corbel" w:hAnsi="Corbel"/>
          <w:sz w:val="18"/>
          <w:szCs w:val="18"/>
        </w:rPr>
        <w:t xml:space="preserve"> https://www.wallacefoundation.org/knowledge-center/Documents/How-Museums-Can-Become-Visitor-Centered.pdf</w:t>
      </w:r>
    </w:p>
  </w:footnote>
  <w:footnote w:id="6">
    <w:p w14:paraId="10E2213A" w14:textId="2553DB13" w:rsidR="008675B2" w:rsidRPr="00C159B2" w:rsidRDefault="008675B2">
      <w:pPr>
        <w:pStyle w:val="FootnoteText"/>
        <w:rPr>
          <w:rFonts w:ascii="Corbel" w:hAnsi="Corbel"/>
          <w:sz w:val="18"/>
          <w:szCs w:val="18"/>
        </w:rPr>
      </w:pPr>
      <w:r w:rsidRPr="00C159B2">
        <w:rPr>
          <w:rStyle w:val="FootnoteReference"/>
          <w:rFonts w:ascii="Corbel" w:hAnsi="Corbel"/>
          <w:sz w:val="18"/>
          <w:szCs w:val="18"/>
        </w:rPr>
        <w:footnoteRef/>
      </w:r>
      <w:r w:rsidRPr="00C159B2">
        <w:rPr>
          <w:rFonts w:ascii="Corbel" w:hAnsi="Corbel"/>
          <w:sz w:val="18"/>
          <w:szCs w:val="18"/>
        </w:rPr>
        <w:t xml:space="preserve"> https://www.aam-us.org/wp-content/uploads/2019/11/Wallace-Foundation-Annotated-Bibliography.pdf</w:t>
      </w:r>
    </w:p>
  </w:footnote>
  <w:footnote w:id="7">
    <w:p w14:paraId="3D8A6FDA" w14:textId="31AB6BDE" w:rsidR="008675B2" w:rsidRPr="00C159B2" w:rsidRDefault="008675B2">
      <w:pPr>
        <w:pStyle w:val="FootnoteText"/>
        <w:rPr>
          <w:rFonts w:ascii="Corbel" w:hAnsi="Corbel"/>
          <w:sz w:val="18"/>
          <w:szCs w:val="18"/>
        </w:rPr>
      </w:pPr>
      <w:r w:rsidRPr="00C159B2">
        <w:rPr>
          <w:rStyle w:val="FootnoteReference"/>
          <w:rFonts w:ascii="Corbel" w:hAnsi="Corbel"/>
          <w:sz w:val="18"/>
          <w:szCs w:val="18"/>
        </w:rPr>
        <w:footnoteRef/>
      </w:r>
      <w:r w:rsidRPr="00C159B2">
        <w:rPr>
          <w:rFonts w:ascii="Corbel" w:hAnsi="Corbel"/>
          <w:sz w:val="18"/>
          <w:szCs w:val="18"/>
        </w:rPr>
        <w:t xml:space="preserve"> https://museumnotes.blogspot.com/2015/08/building-capacity-to-have-capacity.html</w:t>
      </w:r>
    </w:p>
  </w:footnote>
  <w:footnote w:id="8">
    <w:p w14:paraId="0CD395AF" w14:textId="37AE6F76" w:rsidR="008675B2" w:rsidRDefault="008675B2">
      <w:pPr>
        <w:pStyle w:val="FootnoteText"/>
      </w:pPr>
      <w:r w:rsidRPr="00C159B2">
        <w:rPr>
          <w:rStyle w:val="FootnoteReference"/>
          <w:rFonts w:ascii="Corbel" w:hAnsi="Corbel"/>
          <w:sz w:val="18"/>
          <w:szCs w:val="18"/>
        </w:rPr>
        <w:footnoteRef/>
      </w:r>
      <w:r w:rsidRPr="00C159B2">
        <w:rPr>
          <w:rFonts w:ascii="Corbel" w:hAnsi="Corbel"/>
          <w:sz w:val="18"/>
          <w:szCs w:val="18"/>
        </w:rPr>
        <w:t>https://www.utahmuseums.org/news/230233/Building-Capacity.htm</w:t>
      </w:r>
      <w:r>
        <w:t xml:space="preserve"> </w:t>
      </w:r>
    </w:p>
  </w:footnote>
  <w:footnote w:id="9">
    <w:p w14:paraId="7F671169" w14:textId="60849ED5" w:rsidR="008675B2" w:rsidRPr="00C159B2" w:rsidRDefault="008675B2">
      <w:pPr>
        <w:pStyle w:val="FootnoteText"/>
        <w:rPr>
          <w:rFonts w:ascii="Corbel" w:hAnsi="Corbel"/>
          <w:sz w:val="18"/>
          <w:szCs w:val="18"/>
        </w:rPr>
      </w:pPr>
      <w:r w:rsidRPr="00C159B2">
        <w:rPr>
          <w:rStyle w:val="FootnoteReference"/>
          <w:rFonts w:ascii="Corbel" w:hAnsi="Corbel"/>
          <w:sz w:val="18"/>
          <w:szCs w:val="18"/>
        </w:rPr>
        <w:footnoteRef/>
      </w:r>
      <w:r w:rsidRPr="00C159B2">
        <w:rPr>
          <w:rFonts w:ascii="Corbel" w:hAnsi="Corbel"/>
          <w:sz w:val="18"/>
          <w:szCs w:val="18"/>
        </w:rPr>
        <w:t xml:space="preserve"> https://www.geofunders.org/resources/strengthening-nonprofit-capacity-710</w:t>
      </w:r>
    </w:p>
  </w:footnote>
  <w:footnote w:id="10">
    <w:p w14:paraId="27808F1D" w14:textId="1E20EF2E" w:rsidR="008675B2" w:rsidRPr="00C159B2" w:rsidRDefault="008675B2">
      <w:pPr>
        <w:pStyle w:val="FootnoteText"/>
        <w:rPr>
          <w:rFonts w:ascii="Corbel" w:hAnsi="Corbel"/>
          <w:sz w:val="18"/>
          <w:szCs w:val="18"/>
        </w:rPr>
      </w:pPr>
      <w:r w:rsidRPr="00C159B2">
        <w:rPr>
          <w:rStyle w:val="FootnoteReference"/>
          <w:rFonts w:ascii="Corbel" w:hAnsi="Corbel"/>
          <w:sz w:val="18"/>
          <w:szCs w:val="18"/>
        </w:rPr>
        <w:footnoteRef/>
      </w:r>
      <w:r w:rsidRPr="00C159B2">
        <w:rPr>
          <w:rFonts w:ascii="Corbel" w:hAnsi="Corbel"/>
          <w:sz w:val="18"/>
          <w:szCs w:val="18"/>
        </w:rPr>
        <w:t xml:space="preserve"> http://cep.org/wp-content/uploads/2018/10/Strengthening_Grantees_FNL_forwebsite.pdf?utm_referrer=https%3A%2F%2Fcep.org%2Fportfolio%2Fstrengthening-grantees-foundation-and-nonprofit-perspectives%2F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F3CA3"/>
    <w:multiLevelType w:val="hybridMultilevel"/>
    <w:tmpl w:val="FE0EF9BC"/>
    <w:lvl w:ilvl="0" w:tplc="793202B4">
      <w:start w:val="1"/>
      <w:numFmt w:val="bullet"/>
      <w:lvlText w:val=""/>
      <w:lvlJc w:val="left"/>
      <w:pPr>
        <w:ind w:left="864" w:hanging="360"/>
      </w:pPr>
      <w:rPr>
        <w:rFonts w:ascii="Symbol" w:hAnsi="Symbol" w:hint="default"/>
        <w:color w:val="000000" w:themeColor="text1"/>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19156658"/>
    <w:multiLevelType w:val="hybridMultilevel"/>
    <w:tmpl w:val="28EAE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927AD"/>
    <w:multiLevelType w:val="hybridMultilevel"/>
    <w:tmpl w:val="7312F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B6CA5"/>
    <w:multiLevelType w:val="hybridMultilevel"/>
    <w:tmpl w:val="898ADA56"/>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B4FA9"/>
    <w:multiLevelType w:val="hybridMultilevel"/>
    <w:tmpl w:val="8E6411FE"/>
    <w:lvl w:ilvl="0" w:tplc="9EA835DC">
      <w:start w:val="1"/>
      <w:numFmt w:val="bullet"/>
      <w:lvlText w:val=""/>
      <w:lvlJc w:val="left"/>
      <w:pPr>
        <w:ind w:left="720" w:hanging="360"/>
      </w:pPr>
      <w:rPr>
        <w:rFonts w:ascii="Symbol" w:hAnsi="Symbol" w:hint="default"/>
      </w:rPr>
    </w:lvl>
    <w:lvl w:ilvl="1" w:tplc="97844E0C">
      <w:start w:val="1"/>
      <w:numFmt w:val="bullet"/>
      <w:lvlText w:val="o"/>
      <w:lvlJc w:val="left"/>
      <w:pPr>
        <w:ind w:left="1440" w:hanging="360"/>
      </w:pPr>
      <w:rPr>
        <w:rFonts w:ascii="Courier New" w:hAnsi="Courier New" w:hint="default"/>
      </w:rPr>
    </w:lvl>
    <w:lvl w:ilvl="2" w:tplc="BA1071FC">
      <w:start w:val="1"/>
      <w:numFmt w:val="bullet"/>
      <w:lvlText w:val=""/>
      <w:lvlJc w:val="left"/>
      <w:pPr>
        <w:ind w:left="2160" w:hanging="360"/>
      </w:pPr>
      <w:rPr>
        <w:rFonts w:ascii="Wingdings" w:hAnsi="Wingdings" w:hint="default"/>
      </w:rPr>
    </w:lvl>
    <w:lvl w:ilvl="3" w:tplc="5ACE1D0C">
      <w:start w:val="1"/>
      <w:numFmt w:val="bullet"/>
      <w:lvlText w:val=""/>
      <w:lvlJc w:val="left"/>
      <w:pPr>
        <w:ind w:left="2880" w:hanging="360"/>
      </w:pPr>
      <w:rPr>
        <w:rFonts w:ascii="Symbol" w:hAnsi="Symbol" w:hint="default"/>
      </w:rPr>
    </w:lvl>
    <w:lvl w:ilvl="4" w:tplc="CEE8175C">
      <w:start w:val="1"/>
      <w:numFmt w:val="bullet"/>
      <w:lvlText w:val="o"/>
      <w:lvlJc w:val="left"/>
      <w:pPr>
        <w:ind w:left="3600" w:hanging="360"/>
      </w:pPr>
      <w:rPr>
        <w:rFonts w:ascii="Courier New" w:hAnsi="Courier New" w:hint="default"/>
      </w:rPr>
    </w:lvl>
    <w:lvl w:ilvl="5" w:tplc="9D8A352E">
      <w:start w:val="1"/>
      <w:numFmt w:val="bullet"/>
      <w:lvlText w:val=""/>
      <w:lvlJc w:val="left"/>
      <w:pPr>
        <w:ind w:left="4320" w:hanging="360"/>
      </w:pPr>
      <w:rPr>
        <w:rFonts w:ascii="Wingdings" w:hAnsi="Wingdings" w:hint="default"/>
      </w:rPr>
    </w:lvl>
    <w:lvl w:ilvl="6" w:tplc="849604DA">
      <w:start w:val="1"/>
      <w:numFmt w:val="bullet"/>
      <w:lvlText w:val=""/>
      <w:lvlJc w:val="left"/>
      <w:pPr>
        <w:ind w:left="5040" w:hanging="360"/>
      </w:pPr>
      <w:rPr>
        <w:rFonts w:ascii="Symbol" w:hAnsi="Symbol" w:hint="default"/>
      </w:rPr>
    </w:lvl>
    <w:lvl w:ilvl="7" w:tplc="705E4A28">
      <w:start w:val="1"/>
      <w:numFmt w:val="bullet"/>
      <w:lvlText w:val="o"/>
      <w:lvlJc w:val="left"/>
      <w:pPr>
        <w:ind w:left="5760" w:hanging="360"/>
      </w:pPr>
      <w:rPr>
        <w:rFonts w:ascii="Courier New" w:hAnsi="Courier New" w:hint="default"/>
      </w:rPr>
    </w:lvl>
    <w:lvl w:ilvl="8" w:tplc="5C8E49EC">
      <w:start w:val="1"/>
      <w:numFmt w:val="bullet"/>
      <w:lvlText w:val=""/>
      <w:lvlJc w:val="left"/>
      <w:pPr>
        <w:ind w:left="6480" w:hanging="360"/>
      </w:pPr>
      <w:rPr>
        <w:rFonts w:ascii="Wingdings" w:hAnsi="Wingdings" w:hint="default"/>
      </w:rPr>
    </w:lvl>
  </w:abstractNum>
  <w:abstractNum w:abstractNumId="5" w15:restartNumberingAfterBreak="0">
    <w:nsid w:val="39FA7216"/>
    <w:multiLevelType w:val="hybridMultilevel"/>
    <w:tmpl w:val="E6FA8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3D6396"/>
    <w:multiLevelType w:val="hybridMultilevel"/>
    <w:tmpl w:val="CE5424C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206D4"/>
    <w:multiLevelType w:val="hybridMultilevel"/>
    <w:tmpl w:val="2BEE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100F46"/>
    <w:multiLevelType w:val="hybridMultilevel"/>
    <w:tmpl w:val="C9346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E63FAE"/>
    <w:multiLevelType w:val="multilevel"/>
    <w:tmpl w:val="B2F6247C"/>
    <w:name w:val="TCC Multi-tier List"/>
    <w:lvl w:ilvl="0">
      <w:start w:val="1"/>
      <w:numFmt w:val="bullet"/>
      <w:lvlText w:val=""/>
      <w:lvlJc w:val="left"/>
      <w:pPr>
        <w:ind w:left="648" w:hanging="360"/>
      </w:pPr>
      <w:rPr>
        <w:rFonts w:ascii="Symbol" w:hAnsi="Symbol" w:hint="default"/>
        <w:color w:val="2D2C7C"/>
      </w:rPr>
    </w:lvl>
    <w:lvl w:ilvl="1">
      <w:start w:val="1"/>
      <w:numFmt w:val="bullet"/>
      <w:lvlText w:val="o"/>
      <w:lvlJc w:val="left"/>
      <w:pPr>
        <w:ind w:left="1224" w:hanging="360"/>
      </w:pPr>
      <w:rPr>
        <w:rFonts w:ascii="Corbel" w:hAnsi="Corbel" w:hint="default"/>
        <w:color w:val="2D2C7C"/>
      </w:rPr>
    </w:lvl>
    <w:lvl w:ilvl="2">
      <w:start w:val="1"/>
      <w:numFmt w:val="bullet"/>
      <w:lvlText w:val=""/>
      <w:lvlJc w:val="left"/>
      <w:pPr>
        <w:ind w:left="1800" w:hanging="360"/>
      </w:pPr>
      <w:rPr>
        <w:rFonts w:ascii="Wingdings" w:hAnsi="Wingdings" w:hint="default"/>
        <w:color w:val="2D2C7C"/>
      </w:rPr>
    </w:lvl>
    <w:lvl w:ilvl="3">
      <w:start w:val="1"/>
      <w:numFmt w:val="bullet"/>
      <w:lvlText w:val=""/>
      <w:lvlJc w:val="left"/>
      <w:pPr>
        <w:ind w:left="2376" w:hanging="360"/>
      </w:pPr>
      <w:rPr>
        <w:rFonts w:ascii="Symbol" w:hAnsi="Symbol" w:hint="default"/>
        <w:color w:val="2D2C7C"/>
      </w:rPr>
    </w:lvl>
    <w:lvl w:ilvl="4">
      <w:start w:val="1"/>
      <w:numFmt w:val="bullet"/>
      <w:lvlText w:val="o"/>
      <w:lvlJc w:val="left"/>
      <w:pPr>
        <w:ind w:left="2952" w:hanging="360"/>
      </w:pPr>
      <w:rPr>
        <w:rFonts w:ascii="Corbel" w:hAnsi="Corbel" w:hint="default"/>
        <w:color w:val="2D2C7C"/>
      </w:rPr>
    </w:lvl>
    <w:lvl w:ilvl="5">
      <w:start w:val="1"/>
      <w:numFmt w:val="bullet"/>
      <w:lvlText w:val=""/>
      <w:lvlJc w:val="left"/>
      <w:pPr>
        <w:ind w:left="3528" w:hanging="360"/>
      </w:pPr>
      <w:rPr>
        <w:rFonts w:ascii="Wingdings" w:hAnsi="Wingdings" w:hint="default"/>
        <w:color w:val="2D2C7C"/>
      </w:rPr>
    </w:lvl>
    <w:lvl w:ilvl="6">
      <w:start w:val="1"/>
      <w:numFmt w:val="bullet"/>
      <w:lvlText w:val=""/>
      <w:lvlJc w:val="left"/>
      <w:pPr>
        <w:ind w:left="4392" w:hanging="648"/>
      </w:pPr>
      <w:rPr>
        <w:rFonts w:ascii="Symbol" w:hAnsi="Symbol" w:hint="default"/>
        <w:color w:val="2D2C7C"/>
      </w:rPr>
    </w:lvl>
    <w:lvl w:ilvl="7">
      <w:start w:val="1"/>
      <w:numFmt w:val="bullet"/>
      <w:lvlText w:val="o"/>
      <w:lvlJc w:val="left"/>
      <w:pPr>
        <w:ind w:left="4680" w:hanging="360"/>
      </w:pPr>
      <w:rPr>
        <w:rFonts w:ascii="Corbel" w:hAnsi="Corbel" w:hint="default"/>
        <w:color w:val="2D2C7C"/>
      </w:rPr>
    </w:lvl>
    <w:lvl w:ilvl="8">
      <w:start w:val="1"/>
      <w:numFmt w:val="bullet"/>
      <w:lvlText w:val=""/>
      <w:lvlJc w:val="left"/>
      <w:pPr>
        <w:ind w:left="5256" w:hanging="360"/>
      </w:pPr>
      <w:rPr>
        <w:rFonts w:ascii="Wingdings" w:hAnsi="Wingdings" w:hint="default"/>
        <w:color w:val="2D2C7C"/>
      </w:rPr>
    </w:lvl>
  </w:abstractNum>
  <w:abstractNum w:abstractNumId="10" w15:restartNumberingAfterBreak="0">
    <w:nsid w:val="50F4662A"/>
    <w:multiLevelType w:val="hybridMultilevel"/>
    <w:tmpl w:val="353CC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346321"/>
    <w:multiLevelType w:val="hybridMultilevel"/>
    <w:tmpl w:val="5ED81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8B32D7"/>
    <w:multiLevelType w:val="hybridMultilevel"/>
    <w:tmpl w:val="2742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2E5473"/>
    <w:multiLevelType w:val="hybridMultilevel"/>
    <w:tmpl w:val="AA62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8F6FB4"/>
    <w:multiLevelType w:val="hybridMultilevel"/>
    <w:tmpl w:val="38DE0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D16D8A"/>
    <w:multiLevelType w:val="hybridMultilevel"/>
    <w:tmpl w:val="3AB49E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3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5"/>
  </w:num>
  <w:num w:numId="4">
    <w:abstractNumId w:val="14"/>
  </w:num>
  <w:num w:numId="5">
    <w:abstractNumId w:val="10"/>
  </w:num>
  <w:num w:numId="6">
    <w:abstractNumId w:val="5"/>
  </w:num>
  <w:num w:numId="7">
    <w:abstractNumId w:val="0"/>
  </w:num>
  <w:num w:numId="8">
    <w:abstractNumId w:val="13"/>
  </w:num>
  <w:num w:numId="9">
    <w:abstractNumId w:val="12"/>
  </w:num>
  <w:num w:numId="10">
    <w:abstractNumId w:val="7"/>
  </w:num>
  <w:num w:numId="11">
    <w:abstractNumId w:val="2"/>
  </w:num>
  <w:num w:numId="12">
    <w:abstractNumId w:val="11"/>
  </w:num>
  <w:num w:numId="13">
    <w:abstractNumId w:val="3"/>
  </w:num>
  <w:num w:numId="14">
    <w:abstractNumId w:val="1"/>
  </w:num>
  <w:num w:numId="1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26B"/>
    <w:rsid w:val="00000A0B"/>
    <w:rsid w:val="000012E8"/>
    <w:rsid w:val="000021CE"/>
    <w:rsid w:val="00002B95"/>
    <w:rsid w:val="00003028"/>
    <w:rsid w:val="0000356E"/>
    <w:rsid w:val="0000377D"/>
    <w:rsid w:val="00003BED"/>
    <w:rsid w:val="0000421C"/>
    <w:rsid w:val="00004D39"/>
    <w:rsid w:val="000060EF"/>
    <w:rsid w:val="00006C2A"/>
    <w:rsid w:val="00007190"/>
    <w:rsid w:val="00007ADF"/>
    <w:rsid w:val="00010A15"/>
    <w:rsid w:val="00012DC2"/>
    <w:rsid w:val="00015A85"/>
    <w:rsid w:val="0001777C"/>
    <w:rsid w:val="00020A22"/>
    <w:rsid w:val="00021732"/>
    <w:rsid w:val="00021C84"/>
    <w:rsid w:val="00023320"/>
    <w:rsid w:val="000242D3"/>
    <w:rsid w:val="00024E13"/>
    <w:rsid w:val="00024EF4"/>
    <w:rsid w:val="000255A5"/>
    <w:rsid w:val="000259F5"/>
    <w:rsid w:val="00025EF9"/>
    <w:rsid w:val="000309CD"/>
    <w:rsid w:val="00031E5D"/>
    <w:rsid w:val="000329F1"/>
    <w:rsid w:val="000337BA"/>
    <w:rsid w:val="00035B58"/>
    <w:rsid w:val="00035CF4"/>
    <w:rsid w:val="00035D46"/>
    <w:rsid w:val="00036418"/>
    <w:rsid w:val="00037342"/>
    <w:rsid w:val="00037F68"/>
    <w:rsid w:val="000409DA"/>
    <w:rsid w:val="00040A0F"/>
    <w:rsid w:val="000414E9"/>
    <w:rsid w:val="0004160E"/>
    <w:rsid w:val="00042589"/>
    <w:rsid w:val="0004367A"/>
    <w:rsid w:val="00043BB4"/>
    <w:rsid w:val="00047AF0"/>
    <w:rsid w:val="000510AD"/>
    <w:rsid w:val="00051A3D"/>
    <w:rsid w:val="0005290E"/>
    <w:rsid w:val="00053EE9"/>
    <w:rsid w:val="00054874"/>
    <w:rsid w:val="00055042"/>
    <w:rsid w:val="000565E2"/>
    <w:rsid w:val="00056D8C"/>
    <w:rsid w:val="000600C9"/>
    <w:rsid w:val="00060D63"/>
    <w:rsid w:val="000620CB"/>
    <w:rsid w:val="00064612"/>
    <w:rsid w:val="000649C1"/>
    <w:rsid w:val="00064F3B"/>
    <w:rsid w:val="000657A5"/>
    <w:rsid w:val="0006666A"/>
    <w:rsid w:val="00066860"/>
    <w:rsid w:val="000678CF"/>
    <w:rsid w:val="000706B1"/>
    <w:rsid w:val="00070A99"/>
    <w:rsid w:val="00071437"/>
    <w:rsid w:val="0007240E"/>
    <w:rsid w:val="000726F3"/>
    <w:rsid w:val="00072C4B"/>
    <w:rsid w:val="00072F5D"/>
    <w:rsid w:val="000740AF"/>
    <w:rsid w:val="00074175"/>
    <w:rsid w:val="00076CB4"/>
    <w:rsid w:val="00077170"/>
    <w:rsid w:val="00077663"/>
    <w:rsid w:val="00081AC9"/>
    <w:rsid w:val="000829C2"/>
    <w:rsid w:val="00082C7E"/>
    <w:rsid w:val="00084019"/>
    <w:rsid w:val="00084B05"/>
    <w:rsid w:val="00087982"/>
    <w:rsid w:val="0009031C"/>
    <w:rsid w:val="00092237"/>
    <w:rsid w:val="00092259"/>
    <w:rsid w:val="00092DB9"/>
    <w:rsid w:val="0009467E"/>
    <w:rsid w:val="00094929"/>
    <w:rsid w:val="0009565B"/>
    <w:rsid w:val="000A1E1D"/>
    <w:rsid w:val="000A25F1"/>
    <w:rsid w:val="000A507F"/>
    <w:rsid w:val="000A77D4"/>
    <w:rsid w:val="000A7D2D"/>
    <w:rsid w:val="000B1352"/>
    <w:rsid w:val="000B2435"/>
    <w:rsid w:val="000B2B59"/>
    <w:rsid w:val="000B3DD9"/>
    <w:rsid w:val="000B4144"/>
    <w:rsid w:val="000B5AF4"/>
    <w:rsid w:val="000B6484"/>
    <w:rsid w:val="000B7A17"/>
    <w:rsid w:val="000B7B4D"/>
    <w:rsid w:val="000B7EF9"/>
    <w:rsid w:val="000C0CB8"/>
    <w:rsid w:val="000C24DE"/>
    <w:rsid w:val="000C2D75"/>
    <w:rsid w:val="000C3091"/>
    <w:rsid w:val="000C30DA"/>
    <w:rsid w:val="000C328B"/>
    <w:rsid w:val="000C3E8A"/>
    <w:rsid w:val="000C563C"/>
    <w:rsid w:val="000C56CC"/>
    <w:rsid w:val="000C6EA2"/>
    <w:rsid w:val="000C7C6A"/>
    <w:rsid w:val="000D065A"/>
    <w:rsid w:val="000D2021"/>
    <w:rsid w:val="000D2D97"/>
    <w:rsid w:val="000D2DC8"/>
    <w:rsid w:val="000D2EFD"/>
    <w:rsid w:val="000D3EBF"/>
    <w:rsid w:val="000D4563"/>
    <w:rsid w:val="000D4BB3"/>
    <w:rsid w:val="000D50BB"/>
    <w:rsid w:val="000D7037"/>
    <w:rsid w:val="000E0691"/>
    <w:rsid w:val="000E06A3"/>
    <w:rsid w:val="000E2A5D"/>
    <w:rsid w:val="000E3A00"/>
    <w:rsid w:val="000E432F"/>
    <w:rsid w:val="000E48AE"/>
    <w:rsid w:val="000E4EAF"/>
    <w:rsid w:val="000E602F"/>
    <w:rsid w:val="000E639D"/>
    <w:rsid w:val="000E6426"/>
    <w:rsid w:val="000E67D3"/>
    <w:rsid w:val="000E6CF7"/>
    <w:rsid w:val="000E77E6"/>
    <w:rsid w:val="000F1CB4"/>
    <w:rsid w:val="000F2776"/>
    <w:rsid w:val="000F2F30"/>
    <w:rsid w:val="000F6CD6"/>
    <w:rsid w:val="000F7B36"/>
    <w:rsid w:val="001002CB"/>
    <w:rsid w:val="0010091D"/>
    <w:rsid w:val="00101AC4"/>
    <w:rsid w:val="00101FFA"/>
    <w:rsid w:val="0010246E"/>
    <w:rsid w:val="001026E1"/>
    <w:rsid w:val="00102B76"/>
    <w:rsid w:val="00104795"/>
    <w:rsid w:val="00105031"/>
    <w:rsid w:val="00106276"/>
    <w:rsid w:val="00106F56"/>
    <w:rsid w:val="00106F62"/>
    <w:rsid w:val="0010764C"/>
    <w:rsid w:val="001077FF"/>
    <w:rsid w:val="00110E6E"/>
    <w:rsid w:val="001127FC"/>
    <w:rsid w:val="00112C2A"/>
    <w:rsid w:val="00113470"/>
    <w:rsid w:val="00113D66"/>
    <w:rsid w:val="001155EF"/>
    <w:rsid w:val="001156BA"/>
    <w:rsid w:val="001172E5"/>
    <w:rsid w:val="001214B3"/>
    <w:rsid w:val="00122B17"/>
    <w:rsid w:val="00122B26"/>
    <w:rsid w:val="0012335D"/>
    <w:rsid w:val="001242EE"/>
    <w:rsid w:val="001260FD"/>
    <w:rsid w:val="00126161"/>
    <w:rsid w:val="00127DE2"/>
    <w:rsid w:val="001311CF"/>
    <w:rsid w:val="00131755"/>
    <w:rsid w:val="00131A3B"/>
    <w:rsid w:val="00132CE3"/>
    <w:rsid w:val="00135D57"/>
    <w:rsid w:val="001360E5"/>
    <w:rsid w:val="001367F9"/>
    <w:rsid w:val="00137117"/>
    <w:rsid w:val="001374F1"/>
    <w:rsid w:val="00137FA4"/>
    <w:rsid w:val="00140BFF"/>
    <w:rsid w:val="00140DD2"/>
    <w:rsid w:val="00140E7D"/>
    <w:rsid w:val="00143094"/>
    <w:rsid w:val="00143C58"/>
    <w:rsid w:val="00144FDE"/>
    <w:rsid w:val="00145877"/>
    <w:rsid w:val="00146A17"/>
    <w:rsid w:val="00146CA4"/>
    <w:rsid w:val="001474D5"/>
    <w:rsid w:val="001474F6"/>
    <w:rsid w:val="00147633"/>
    <w:rsid w:val="00150D5C"/>
    <w:rsid w:val="001519E0"/>
    <w:rsid w:val="00151EED"/>
    <w:rsid w:val="00152BFB"/>
    <w:rsid w:val="001559BB"/>
    <w:rsid w:val="0015626A"/>
    <w:rsid w:val="00156633"/>
    <w:rsid w:val="00156943"/>
    <w:rsid w:val="00156B14"/>
    <w:rsid w:val="00156C71"/>
    <w:rsid w:val="00156CFB"/>
    <w:rsid w:val="001611AE"/>
    <w:rsid w:val="00161612"/>
    <w:rsid w:val="00163C70"/>
    <w:rsid w:val="00163D28"/>
    <w:rsid w:val="001646B9"/>
    <w:rsid w:val="001676BC"/>
    <w:rsid w:val="00170357"/>
    <w:rsid w:val="00170816"/>
    <w:rsid w:val="00171040"/>
    <w:rsid w:val="001735B9"/>
    <w:rsid w:val="001740CB"/>
    <w:rsid w:val="00174740"/>
    <w:rsid w:val="00174FD1"/>
    <w:rsid w:val="001750A0"/>
    <w:rsid w:val="00175187"/>
    <w:rsid w:val="00175E94"/>
    <w:rsid w:val="00177759"/>
    <w:rsid w:val="00180A53"/>
    <w:rsid w:val="00181C6C"/>
    <w:rsid w:val="001825CE"/>
    <w:rsid w:val="00182E5E"/>
    <w:rsid w:val="00183196"/>
    <w:rsid w:val="001835E2"/>
    <w:rsid w:val="00183766"/>
    <w:rsid w:val="00185209"/>
    <w:rsid w:val="00191788"/>
    <w:rsid w:val="00192282"/>
    <w:rsid w:val="00192D1D"/>
    <w:rsid w:val="0019390B"/>
    <w:rsid w:val="00194232"/>
    <w:rsid w:val="00195114"/>
    <w:rsid w:val="00195447"/>
    <w:rsid w:val="00196539"/>
    <w:rsid w:val="001966DB"/>
    <w:rsid w:val="001968C0"/>
    <w:rsid w:val="001A08E9"/>
    <w:rsid w:val="001A506E"/>
    <w:rsid w:val="001B204D"/>
    <w:rsid w:val="001B241A"/>
    <w:rsid w:val="001B316A"/>
    <w:rsid w:val="001B3542"/>
    <w:rsid w:val="001B35DB"/>
    <w:rsid w:val="001B3ABE"/>
    <w:rsid w:val="001B40BF"/>
    <w:rsid w:val="001B443C"/>
    <w:rsid w:val="001B5318"/>
    <w:rsid w:val="001B6B35"/>
    <w:rsid w:val="001C0238"/>
    <w:rsid w:val="001C21AA"/>
    <w:rsid w:val="001C258A"/>
    <w:rsid w:val="001C41A0"/>
    <w:rsid w:val="001C4915"/>
    <w:rsid w:val="001C4C82"/>
    <w:rsid w:val="001C67BC"/>
    <w:rsid w:val="001C71E8"/>
    <w:rsid w:val="001C786C"/>
    <w:rsid w:val="001C78CC"/>
    <w:rsid w:val="001D1E88"/>
    <w:rsid w:val="001D2A7B"/>
    <w:rsid w:val="001D507E"/>
    <w:rsid w:val="001D6670"/>
    <w:rsid w:val="001D6BB5"/>
    <w:rsid w:val="001D7998"/>
    <w:rsid w:val="001E011B"/>
    <w:rsid w:val="001E1E88"/>
    <w:rsid w:val="001E2199"/>
    <w:rsid w:val="001E2F5C"/>
    <w:rsid w:val="001E3F09"/>
    <w:rsid w:val="001E4ABD"/>
    <w:rsid w:val="001E7122"/>
    <w:rsid w:val="001F071D"/>
    <w:rsid w:val="001F0F73"/>
    <w:rsid w:val="001F1BCD"/>
    <w:rsid w:val="001F1F18"/>
    <w:rsid w:val="001F3315"/>
    <w:rsid w:val="001F39E0"/>
    <w:rsid w:val="001F6219"/>
    <w:rsid w:val="00200435"/>
    <w:rsid w:val="002005C6"/>
    <w:rsid w:val="00200D9C"/>
    <w:rsid w:val="00200E93"/>
    <w:rsid w:val="00201CB4"/>
    <w:rsid w:val="00202AD5"/>
    <w:rsid w:val="0020309F"/>
    <w:rsid w:val="002066B0"/>
    <w:rsid w:val="002111D2"/>
    <w:rsid w:val="00211456"/>
    <w:rsid w:val="00212B2B"/>
    <w:rsid w:val="00213A66"/>
    <w:rsid w:val="002143CD"/>
    <w:rsid w:val="0021549F"/>
    <w:rsid w:val="002155E7"/>
    <w:rsid w:val="00216254"/>
    <w:rsid w:val="002177F3"/>
    <w:rsid w:val="002178AF"/>
    <w:rsid w:val="00217FD4"/>
    <w:rsid w:val="0022013A"/>
    <w:rsid w:val="0022078E"/>
    <w:rsid w:val="0022110E"/>
    <w:rsid w:val="00222006"/>
    <w:rsid w:val="00222C44"/>
    <w:rsid w:val="00223F1C"/>
    <w:rsid w:val="002253C8"/>
    <w:rsid w:val="002306D9"/>
    <w:rsid w:val="00232896"/>
    <w:rsid w:val="00232980"/>
    <w:rsid w:val="00233FC5"/>
    <w:rsid w:val="00234978"/>
    <w:rsid w:val="002406AA"/>
    <w:rsid w:val="00240DCC"/>
    <w:rsid w:val="0024375C"/>
    <w:rsid w:val="00245634"/>
    <w:rsid w:val="0024709A"/>
    <w:rsid w:val="0024752A"/>
    <w:rsid w:val="00247595"/>
    <w:rsid w:val="00250435"/>
    <w:rsid w:val="00250FE1"/>
    <w:rsid w:val="002510AE"/>
    <w:rsid w:val="00251383"/>
    <w:rsid w:val="00253359"/>
    <w:rsid w:val="002542CA"/>
    <w:rsid w:val="002542DE"/>
    <w:rsid w:val="00257EB0"/>
    <w:rsid w:val="00260238"/>
    <w:rsid w:val="00260411"/>
    <w:rsid w:val="00264780"/>
    <w:rsid w:val="00265F71"/>
    <w:rsid w:val="002670E9"/>
    <w:rsid w:val="0026710D"/>
    <w:rsid w:val="00270497"/>
    <w:rsid w:val="00271005"/>
    <w:rsid w:val="00271012"/>
    <w:rsid w:val="0027140D"/>
    <w:rsid w:val="00272641"/>
    <w:rsid w:val="002743AB"/>
    <w:rsid w:val="0027455A"/>
    <w:rsid w:val="0027692E"/>
    <w:rsid w:val="00276CAD"/>
    <w:rsid w:val="00277CB6"/>
    <w:rsid w:val="0028079A"/>
    <w:rsid w:val="0028119F"/>
    <w:rsid w:val="00282BF5"/>
    <w:rsid w:val="00282EAC"/>
    <w:rsid w:val="002838A3"/>
    <w:rsid w:val="002850F0"/>
    <w:rsid w:val="0028698B"/>
    <w:rsid w:val="00286AC0"/>
    <w:rsid w:val="00287617"/>
    <w:rsid w:val="00295AE0"/>
    <w:rsid w:val="00297833"/>
    <w:rsid w:val="002A13F0"/>
    <w:rsid w:val="002A2777"/>
    <w:rsid w:val="002A28D9"/>
    <w:rsid w:val="002A2E99"/>
    <w:rsid w:val="002A4889"/>
    <w:rsid w:val="002A5523"/>
    <w:rsid w:val="002A68DD"/>
    <w:rsid w:val="002A74D1"/>
    <w:rsid w:val="002B0528"/>
    <w:rsid w:val="002B19DF"/>
    <w:rsid w:val="002B3147"/>
    <w:rsid w:val="002B40C3"/>
    <w:rsid w:val="002B4AD6"/>
    <w:rsid w:val="002B5063"/>
    <w:rsid w:val="002C0089"/>
    <w:rsid w:val="002C0614"/>
    <w:rsid w:val="002C0627"/>
    <w:rsid w:val="002C092D"/>
    <w:rsid w:val="002C0EF0"/>
    <w:rsid w:val="002C1797"/>
    <w:rsid w:val="002C2434"/>
    <w:rsid w:val="002C4DD2"/>
    <w:rsid w:val="002C5F65"/>
    <w:rsid w:val="002C7FA5"/>
    <w:rsid w:val="002D0DEC"/>
    <w:rsid w:val="002D1334"/>
    <w:rsid w:val="002D1670"/>
    <w:rsid w:val="002D2EF5"/>
    <w:rsid w:val="002D3508"/>
    <w:rsid w:val="002D4815"/>
    <w:rsid w:val="002D5B89"/>
    <w:rsid w:val="002D5DBD"/>
    <w:rsid w:val="002D62C6"/>
    <w:rsid w:val="002D6918"/>
    <w:rsid w:val="002D6AF9"/>
    <w:rsid w:val="002D72AF"/>
    <w:rsid w:val="002D766B"/>
    <w:rsid w:val="002D7FBA"/>
    <w:rsid w:val="002E09F0"/>
    <w:rsid w:val="002E28A7"/>
    <w:rsid w:val="002E2E0A"/>
    <w:rsid w:val="002E41D7"/>
    <w:rsid w:val="002E4603"/>
    <w:rsid w:val="002E4D9D"/>
    <w:rsid w:val="002E58A0"/>
    <w:rsid w:val="002E5A06"/>
    <w:rsid w:val="002E7A31"/>
    <w:rsid w:val="002F1F2D"/>
    <w:rsid w:val="002F41C1"/>
    <w:rsid w:val="002F49D9"/>
    <w:rsid w:val="002F4B07"/>
    <w:rsid w:val="002F5A39"/>
    <w:rsid w:val="002F645F"/>
    <w:rsid w:val="002F64D5"/>
    <w:rsid w:val="002F67C1"/>
    <w:rsid w:val="002F68CB"/>
    <w:rsid w:val="002F7DCB"/>
    <w:rsid w:val="002F7E25"/>
    <w:rsid w:val="0030313B"/>
    <w:rsid w:val="0030611A"/>
    <w:rsid w:val="00306318"/>
    <w:rsid w:val="00310F00"/>
    <w:rsid w:val="00312657"/>
    <w:rsid w:val="00312BF9"/>
    <w:rsid w:val="003132E9"/>
    <w:rsid w:val="003132EB"/>
    <w:rsid w:val="003137D4"/>
    <w:rsid w:val="0031614F"/>
    <w:rsid w:val="003163CA"/>
    <w:rsid w:val="00317D5E"/>
    <w:rsid w:val="003200F6"/>
    <w:rsid w:val="00320124"/>
    <w:rsid w:val="00321B88"/>
    <w:rsid w:val="003231F1"/>
    <w:rsid w:val="003232C8"/>
    <w:rsid w:val="003245EE"/>
    <w:rsid w:val="00325649"/>
    <w:rsid w:val="00326F5A"/>
    <w:rsid w:val="00330A56"/>
    <w:rsid w:val="00332034"/>
    <w:rsid w:val="00332063"/>
    <w:rsid w:val="00332390"/>
    <w:rsid w:val="003323B3"/>
    <w:rsid w:val="00332710"/>
    <w:rsid w:val="00334A37"/>
    <w:rsid w:val="0033600A"/>
    <w:rsid w:val="00336E15"/>
    <w:rsid w:val="003376C2"/>
    <w:rsid w:val="00340D3D"/>
    <w:rsid w:val="00341D1F"/>
    <w:rsid w:val="00343B3C"/>
    <w:rsid w:val="0034421B"/>
    <w:rsid w:val="00344A5F"/>
    <w:rsid w:val="00345799"/>
    <w:rsid w:val="00345AD0"/>
    <w:rsid w:val="00345E46"/>
    <w:rsid w:val="003463A3"/>
    <w:rsid w:val="00347B90"/>
    <w:rsid w:val="00353186"/>
    <w:rsid w:val="003533DC"/>
    <w:rsid w:val="003542D2"/>
    <w:rsid w:val="0035503A"/>
    <w:rsid w:val="003572A4"/>
    <w:rsid w:val="00357DB1"/>
    <w:rsid w:val="00361963"/>
    <w:rsid w:val="0036216D"/>
    <w:rsid w:val="0036354E"/>
    <w:rsid w:val="003645BC"/>
    <w:rsid w:val="00364BD9"/>
    <w:rsid w:val="00364D03"/>
    <w:rsid w:val="003652ED"/>
    <w:rsid w:val="00366F2A"/>
    <w:rsid w:val="00367CCF"/>
    <w:rsid w:val="003708F2"/>
    <w:rsid w:val="00370F55"/>
    <w:rsid w:val="00371C59"/>
    <w:rsid w:val="00372CF5"/>
    <w:rsid w:val="003734B0"/>
    <w:rsid w:val="00373E18"/>
    <w:rsid w:val="00374F01"/>
    <w:rsid w:val="0037710B"/>
    <w:rsid w:val="0038022E"/>
    <w:rsid w:val="00380AE4"/>
    <w:rsid w:val="00380B2C"/>
    <w:rsid w:val="00380F2C"/>
    <w:rsid w:val="00381346"/>
    <w:rsid w:val="003830D0"/>
    <w:rsid w:val="003836D2"/>
    <w:rsid w:val="00386D6C"/>
    <w:rsid w:val="00390E59"/>
    <w:rsid w:val="003924DA"/>
    <w:rsid w:val="00392585"/>
    <w:rsid w:val="00392FC8"/>
    <w:rsid w:val="003948C7"/>
    <w:rsid w:val="00395001"/>
    <w:rsid w:val="00395A3F"/>
    <w:rsid w:val="0039658F"/>
    <w:rsid w:val="00396E3D"/>
    <w:rsid w:val="00397558"/>
    <w:rsid w:val="00397C51"/>
    <w:rsid w:val="003A1909"/>
    <w:rsid w:val="003A2A1D"/>
    <w:rsid w:val="003A2FF0"/>
    <w:rsid w:val="003A584B"/>
    <w:rsid w:val="003A58F0"/>
    <w:rsid w:val="003A5D0F"/>
    <w:rsid w:val="003A6F4B"/>
    <w:rsid w:val="003A6F84"/>
    <w:rsid w:val="003A78F9"/>
    <w:rsid w:val="003B2EB4"/>
    <w:rsid w:val="003B3577"/>
    <w:rsid w:val="003B3B29"/>
    <w:rsid w:val="003B4224"/>
    <w:rsid w:val="003B44C7"/>
    <w:rsid w:val="003B45D2"/>
    <w:rsid w:val="003B4DD7"/>
    <w:rsid w:val="003B6E0A"/>
    <w:rsid w:val="003B7769"/>
    <w:rsid w:val="003B7C5A"/>
    <w:rsid w:val="003C16A3"/>
    <w:rsid w:val="003C29C2"/>
    <w:rsid w:val="003C3930"/>
    <w:rsid w:val="003C3FF5"/>
    <w:rsid w:val="003C4884"/>
    <w:rsid w:val="003C4EA6"/>
    <w:rsid w:val="003D05E2"/>
    <w:rsid w:val="003D084C"/>
    <w:rsid w:val="003D1B75"/>
    <w:rsid w:val="003D2DF0"/>
    <w:rsid w:val="003D2F47"/>
    <w:rsid w:val="003D3D41"/>
    <w:rsid w:val="003D434A"/>
    <w:rsid w:val="003D53E0"/>
    <w:rsid w:val="003D5503"/>
    <w:rsid w:val="003D5634"/>
    <w:rsid w:val="003D5BC1"/>
    <w:rsid w:val="003D600C"/>
    <w:rsid w:val="003E0720"/>
    <w:rsid w:val="003E0C6A"/>
    <w:rsid w:val="003E1166"/>
    <w:rsid w:val="003E2C6D"/>
    <w:rsid w:val="003E3E0A"/>
    <w:rsid w:val="003E40E3"/>
    <w:rsid w:val="003E54DC"/>
    <w:rsid w:val="003F117E"/>
    <w:rsid w:val="003F2982"/>
    <w:rsid w:val="003F3976"/>
    <w:rsid w:val="003F683D"/>
    <w:rsid w:val="003F6CF9"/>
    <w:rsid w:val="003F76E1"/>
    <w:rsid w:val="00400A60"/>
    <w:rsid w:val="00400FD3"/>
    <w:rsid w:val="00401728"/>
    <w:rsid w:val="00402E69"/>
    <w:rsid w:val="00403487"/>
    <w:rsid w:val="00404733"/>
    <w:rsid w:val="00405479"/>
    <w:rsid w:val="00407526"/>
    <w:rsid w:val="00407B2E"/>
    <w:rsid w:val="0041082A"/>
    <w:rsid w:val="00410D0C"/>
    <w:rsid w:val="00410EC6"/>
    <w:rsid w:val="00413020"/>
    <w:rsid w:val="004132A3"/>
    <w:rsid w:val="004140EB"/>
    <w:rsid w:val="004153A9"/>
    <w:rsid w:val="004157AB"/>
    <w:rsid w:val="00416228"/>
    <w:rsid w:val="00416BDA"/>
    <w:rsid w:val="00416FC7"/>
    <w:rsid w:val="00417F24"/>
    <w:rsid w:val="004201C5"/>
    <w:rsid w:val="00420A14"/>
    <w:rsid w:val="00422F86"/>
    <w:rsid w:val="00424EEF"/>
    <w:rsid w:val="0042578D"/>
    <w:rsid w:val="00426885"/>
    <w:rsid w:val="00432E08"/>
    <w:rsid w:val="00433614"/>
    <w:rsid w:val="00436365"/>
    <w:rsid w:val="004367AC"/>
    <w:rsid w:val="00440157"/>
    <w:rsid w:val="00441D38"/>
    <w:rsid w:val="00443150"/>
    <w:rsid w:val="00443BC5"/>
    <w:rsid w:val="00444200"/>
    <w:rsid w:val="00444802"/>
    <w:rsid w:val="004448C2"/>
    <w:rsid w:val="00444B5C"/>
    <w:rsid w:val="00445760"/>
    <w:rsid w:val="00445963"/>
    <w:rsid w:val="004466E3"/>
    <w:rsid w:val="00447044"/>
    <w:rsid w:val="00447A8C"/>
    <w:rsid w:val="00450251"/>
    <w:rsid w:val="00454C60"/>
    <w:rsid w:val="00456051"/>
    <w:rsid w:val="00456970"/>
    <w:rsid w:val="004576EA"/>
    <w:rsid w:val="00457756"/>
    <w:rsid w:val="00457B1E"/>
    <w:rsid w:val="00460BAF"/>
    <w:rsid w:val="00460DBD"/>
    <w:rsid w:val="00461775"/>
    <w:rsid w:val="004624E7"/>
    <w:rsid w:val="00462F22"/>
    <w:rsid w:val="00463BC5"/>
    <w:rsid w:val="00465F0D"/>
    <w:rsid w:val="0046609E"/>
    <w:rsid w:val="0046691B"/>
    <w:rsid w:val="004669FF"/>
    <w:rsid w:val="00466A64"/>
    <w:rsid w:val="00472F64"/>
    <w:rsid w:val="004742CB"/>
    <w:rsid w:val="00474AEB"/>
    <w:rsid w:val="0047680F"/>
    <w:rsid w:val="0047739F"/>
    <w:rsid w:val="00480ADD"/>
    <w:rsid w:val="004820F8"/>
    <w:rsid w:val="004828FC"/>
    <w:rsid w:val="0048320A"/>
    <w:rsid w:val="004846A6"/>
    <w:rsid w:val="00484BCF"/>
    <w:rsid w:val="00484BE7"/>
    <w:rsid w:val="00485966"/>
    <w:rsid w:val="0048615E"/>
    <w:rsid w:val="0048634B"/>
    <w:rsid w:val="00486A92"/>
    <w:rsid w:val="00487C61"/>
    <w:rsid w:val="00490721"/>
    <w:rsid w:val="0049144B"/>
    <w:rsid w:val="004919CB"/>
    <w:rsid w:val="004922B1"/>
    <w:rsid w:val="0049230B"/>
    <w:rsid w:val="004932A3"/>
    <w:rsid w:val="00493914"/>
    <w:rsid w:val="00494E45"/>
    <w:rsid w:val="0049592D"/>
    <w:rsid w:val="00495E12"/>
    <w:rsid w:val="00497302"/>
    <w:rsid w:val="004978A6"/>
    <w:rsid w:val="00497A80"/>
    <w:rsid w:val="004A060A"/>
    <w:rsid w:val="004A21D8"/>
    <w:rsid w:val="004A2900"/>
    <w:rsid w:val="004A4875"/>
    <w:rsid w:val="004A604A"/>
    <w:rsid w:val="004B2A97"/>
    <w:rsid w:val="004B2CFB"/>
    <w:rsid w:val="004B2FE4"/>
    <w:rsid w:val="004B308D"/>
    <w:rsid w:val="004B3C87"/>
    <w:rsid w:val="004B5162"/>
    <w:rsid w:val="004B5584"/>
    <w:rsid w:val="004B5BA2"/>
    <w:rsid w:val="004B642E"/>
    <w:rsid w:val="004B7EF3"/>
    <w:rsid w:val="004C0349"/>
    <w:rsid w:val="004C06A4"/>
    <w:rsid w:val="004C294B"/>
    <w:rsid w:val="004C3C1D"/>
    <w:rsid w:val="004C61B2"/>
    <w:rsid w:val="004C777E"/>
    <w:rsid w:val="004D1AAD"/>
    <w:rsid w:val="004D1DFD"/>
    <w:rsid w:val="004D1F15"/>
    <w:rsid w:val="004D2735"/>
    <w:rsid w:val="004D2E11"/>
    <w:rsid w:val="004D5609"/>
    <w:rsid w:val="004D5643"/>
    <w:rsid w:val="004D7294"/>
    <w:rsid w:val="004D7632"/>
    <w:rsid w:val="004D7975"/>
    <w:rsid w:val="004E1C21"/>
    <w:rsid w:val="004E2A26"/>
    <w:rsid w:val="004E2A6F"/>
    <w:rsid w:val="004F006E"/>
    <w:rsid w:val="004F0C0A"/>
    <w:rsid w:val="004F0EE8"/>
    <w:rsid w:val="004F2DAE"/>
    <w:rsid w:val="004F3856"/>
    <w:rsid w:val="004F3BDB"/>
    <w:rsid w:val="004F4023"/>
    <w:rsid w:val="004F4C21"/>
    <w:rsid w:val="004F6618"/>
    <w:rsid w:val="004F6FEC"/>
    <w:rsid w:val="004F7302"/>
    <w:rsid w:val="004F7492"/>
    <w:rsid w:val="004F7975"/>
    <w:rsid w:val="00500727"/>
    <w:rsid w:val="00500DD7"/>
    <w:rsid w:val="0050149B"/>
    <w:rsid w:val="00501A7A"/>
    <w:rsid w:val="005029B9"/>
    <w:rsid w:val="00504B24"/>
    <w:rsid w:val="005070F8"/>
    <w:rsid w:val="0050725F"/>
    <w:rsid w:val="00510063"/>
    <w:rsid w:val="00510462"/>
    <w:rsid w:val="005113EB"/>
    <w:rsid w:val="00512030"/>
    <w:rsid w:val="0051219A"/>
    <w:rsid w:val="005127E8"/>
    <w:rsid w:val="00513DE5"/>
    <w:rsid w:val="005144DE"/>
    <w:rsid w:val="00515280"/>
    <w:rsid w:val="00515859"/>
    <w:rsid w:val="00515CB9"/>
    <w:rsid w:val="00515E66"/>
    <w:rsid w:val="00515F79"/>
    <w:rsid w:val="005161E9"/>
    <w:rsid w:val="005177DA"/>
    <w:rsid w:val="00517EE7"/>
    <w:rsid w:val="005213E1"/>
    <w:rsid w:val="005217CA"/>
    <w:rsid w:val="00521F5A"/>
    <w:rsid w:val="005228EE"/>
    <w:rsid w:val="00522B7F"/>
    <w:rsid w:val="00526372"/>
    <w:rsid w:val="0053089A"/>
    <w:rsid w:val="005316A9"/>
    <w:rsid w:val="00532467"/>
    <w:rsid w:val="00533A30"/>
    <w:rsid w:val="005342F3"/>
    <w:rsid w:val="00534DDF"/>
    <w:rsid w:val="005357A7"/>
    <w:rsid w:val="00540A18"/>
    <w:rsid w:val="00540AB1"/>
    <w:rsid w:val="00540D12"/>
    <w:rsid w:val="0054239A"/>
    <w:rsid w:val="005437C6"/>
    <w:rsid w:val="0054414A"/>
    <w:rsid w:val="00544768"/>
    <w:rsid w:val="005466AC"/>
    <w:rsid w:val="00546FAE"/>
    <w:rsid w:val="00547C70"/>
    <w:rsid w:val="00547FD1"/>
    <w:rsid w:val="00552094"/>
    <w:rsid w:val="00552EF3"/>
    <w:rsid w:val="00555EE0"/>
    <w:rsid w:val="00556E45"/>
    <w:rsid w:val="00562767"/>
    <w:rsid w:val="00563CE7"/>
    <w:rsid w:val="00566EA0"/>
    <w:rsid w:val="0056763C"/>
    <w:rsid w:val="00571121"/>
    <w:rsid w:val="00571634"/>
    <w:rsid w:val="00576AF1"/>
    <w:rsid w:val="00576BFF"/>
    <w:rsid w:val="00577047"/>
    <w:rsid w:val="0058297F"/>
    <w:rsid w:val="00582C3A"/>
    <w:rsid w:val="00583DA1"/>
    <w:rsid w:val="005858DA"/>
    <w:rsid w:val="00590982"/>
    <w:rsid w:val="00590A5C"/>
    <w:rsid w:val="00591AAD"/>
    <w:rsid w:val="005934A2"/>
    <w:rsid w:val="00595AC0"/>
    <w:rsid w:val="00595DC5"/>
    <w:rsid w:val="005966AA"/>
    <w:rsid w:val="00597079"/>
    <w:rsid w:val="00597203"/>
    <w:rsid w:val="005A0426"/>
    <w:rsid w:val="005A11FD"/>
    <w:rsid w:val="005A2A75"/>
    <w:rsid w:val="005A3E56"/>
    <w:rsid w:val="005A4A35"/>
    <w:rsid w:val="005B27DC"/>
    <w:rsid w:val="005B4572"/>
    <w:rsid w:val="005B4863"/>
    <w:rsid w:val="005B53D9"/>
    <w:rsid w:val="005B6189"/>
    <w:rsid w:val="005B66A3"/>
    <w:rsid w:val="005C45F4"/>
    <w:rsid w:val="005C4D04"/>
    <w:rsid w:val="005C59AC"/>
    <w:rsid w:val="005C6537"/>
    <w:rsid w:val="005C6850"/>
    <w:rsid w:val="005C6B86"/>
    <w:rsid w:val="005C7007"/>
    <w:rsid w:val="005C7846"/>
    <w:rsid w:val="005C7DDA"/>
    <w:rsid w:val="005D16EC"/>
    <w:rsid w:val="005D4108"/>
    <w:rsid w:val="005D547D"/>
    <w:rsid w:val="005D5761"/>
    <w:rsid w:val="005D6D29"/>
    <w:rsid w:val="005D788A"/>
    <w:rsid w:val="005E0201"/>
    <w:rsid w:val="005E0A8C"/>
    <w:rsid w:val="005E1210"/>
    <w:rsid w:val="005E150F"/>
    <w:rsid w:val="005E17AE"/>
    <w:rsid w:val="005E1C35"/>
    <w:rsid w:val="005E23C8"/>
    <w:rsid w:val="005E2A74"/>
    <w:rsid w:val="005E393D"/>
    <w:rsid w:val="005E4446"/>
    <w:rsid w:val="005E4D03"/>
    <w:rsid w:val="005E529C"/>
    <w:rsid w:val="005E6CC5"/>
    <w:rsid w:val="005E74A2"/>
    <w:rsid w:val="005E7F3E"/>
    <w:rsid w:val="005F0407"/>
    <w:rsid w:val="005F0676"/>
    <w:rsid w:val="005F06DA"/>
    <w:rsid w:val="005F099F"/>
    <w:rsid w:val="005F15D9"/>
    <w:rsid w:val="005F24B0"/>
    <w:rsid w:val="005F256A"/>
    <w:rsid w:val="005F32D6"/>
    <w:rsid w:val="005F5299"/>
    <w:rsid w:val="005F5736"/>
    <w:rsid w:val="005F590B"/>
    <w:rsid w:val="005F78B5"/>
    <w:rsid w:val="005F7CFD"/>
    <w:rsid w:val="005F7F1C"/>
    <w:rsid w:val="006000BD"/>
    <w:rsid w:val="00600ABD"/>
    <w:rsid w:val="006014EA"/>
    <w:rsid w:val="006021C2"/>
    <w:rsid w:val="006029CB"/>
    <w:rsid w:val="00602BF6"/>
    <w:rsid w:val="006032E4"/>
    <w:rsid w:val="00605A0B"/>
    <w:rsid w:val="00605FEB"/>
    <w:rsid w:val="00606CFE"/>
    <w:rsid w:val="0060704B"/>
    <w:rsid w:val="0060748A"/>
    <w:rsid w:val="00610F4B"/>
    <w:rsid w:val="006127CF"/>
    <w:rsid w:val="00612812"/>
    <w:rsid w:val="00612A40"/>
    <w:rsid w:val="00613F84"/>
    <w:rsid w:val="0061784F"/>
    <w:rsid w:val="006209DB"/>
    <w:rsid w:val="006226E6"/>
    <w:rsid w:val="006239E6"/>
    <w:rsid w:val="00623C1F"/>
    <w:rsid w:val="00624828"/>
    <w:rsid w:val="00625196"/>
    <w:rsid w:val="00625E1C"/>
    <w:rsid w:val="00630A60"/>
    <w:rsid w:val="0063206A"/>
    <w:rsid w:val="00632DD9"/>
    <w:rsid w:val="0063381E"/>
    <w:rsid w:val="00634BC7"/>
    <w:rsid w:val="00635F6E"/>
    <w:rsid w:val="00637330"/>
    <w:rsid w:val="006400DF"/>
    <w:rsid w:val="00641514"/>
    <w:rsid w:val="00641A06"/>
    <w:rsid w:val="00645346"/>
    <w:rsid w:val="00646957"/>
    <w:rsid w:val="006469C1"/>
    <w:rsid w:val="006478BA"/>
    <w:rsid w:val="006478D8"/>
    <w:rsid w:val="00647B57"/>
    <w:rsid w:val="00651388"/>
    <w:rsid w:val="00651809"/>
    <w:rsid w:val="00652F5A"/>
    <w:rsid w:val="00654D06"/>
    <w:rsid w:val="006550FD"/>
    <w:rsid w:val="006566C0"/>
    <w:rsid w:val="00656963"/>
    <w:rsid w:val="00657270"/>
    <w:rsid w:val="00657AE8"/>
    <w:rsid w:val="00657F14"/>
    <w:rsid w:val="00657F7A"/>
    <w:rsid w:val="006610B8"/>
    <w:rsid w:val="0066464A"/>
    <w:rsid w:val="00666E13"/>
    <w:rsid w:val="00667C65"/>
    <w:rsid w:val="00671223"/>
    <w:rsid w:val="00672610"/>
    <w:rsid w:val="00673141"/>
    <w:rsid w:val="006746EC"/>
    <w:rsid w:val="006753A3"/>
    <w:rsid w:val="0067640E"/>
    <w:rsid w:val="006771A9"/>
    <w:rsid w:val="00681D1D"/>
    <w:rsid w:val="00685ACC"/>
    <w:rsid w:val="00686070"/>
    <w:rsid w:val="00687153"/>
    <w:rsid w:val="0068760F"/>
    <w:rsid w:val="00690569"/>
    <w:rsid w:val="00691374"/>
    <w:rsid w:val="006924CC"/>
    <w:rsid w:val="00692C1F"/>
    <w:rsid w:val="00692C3C"/>
    <w:rsid w:val="0069551B"/>
    <w:rsid w:val="00695983"/>
    <w:rsid w:val="00696CBD"/>
    <w:rsid w:val="00697880"/>
    <w:rsid w:val="00697B39"/>
    <w:rsid w:val="00697ED5"/>
    <w:rsid w:val="006A047A"/>
    <w:rsid w:val="006A06AC"/>
    <w:rsid w:val="006A260C"/>
    <w:rsid w:val="006A320A"/>
    <w:rsid w:val="006A3E67"/>
    <w:rsid w:val="006A4569"/>
    <w:rsid w:val="006A597C"/>
    <w:rsid w:val="006A5BD3"/>
    <w:rsid w:val="006A6810"/>
    <w:rsid w:val="006A6B1F"/>
    <w:rsid w:val="006A7409"/>
    <w:rsid w:val="006A7B19"/>
    <w:rsid w:val="006B01BF"/>
    <w:rsid w:val="006B05A3"/>
    <w:rsid w:val="006B23D1"/>
    <w:rsid w:val="006B382F"/>
    <w:rsid w:val="006B4C71"/>
    <w:rsid w:val="006B4C9C"/>
    <w:rsid w:val="006B684E"/>
    <w:rsid w:val="006C074B"/>
    <w:rsid w:val="006C205A"/>
    <w:rsid w:val="006C2B7F"/>
    <w:rsid w:val="006C3132"/>
    <w:rsid w:val="006C31CE"/>
    <w:rsid w:val="006C3F3A"/>
    <w:rsid w:val="006C4A9F"/>
    <w:rsid w:val="006C5E37"/>
    <w:rsid w:val="006C5F8C"/>
    <w:rsid w:val="006C63AA"/>
    <w:rsid w:val="006C74C6"/>
    <w:rsid w:val="006D099A"/>
    <w:rsid w:val="006D0E0D"/>
    <w:rsid w:val="006D103E"/>
    <w:rsid w:val="006D15C5"/>
    <w:rsid w:val="006D19DD"/>
    <w:rsid w:val="006D4C33"/>
    <w:rsid w:val="006D5CD1"/>
    <w:rsid w:val="006D7249"/>
    <w:rsid w:val="006D7F00"/>
    <w:rsid w:val="006E1EF0"/>
    <w:rsid w:val="006E2061"/>
    <w:rsid w:val="006E3556"/>
    <w:rsid w:val="006E5450"/>
    <w:rsid w:val="006E5ED7"/>
    <w:rsid w:val="006E66E7"/>
    <w:rsid w:val="006E7C9B"/>
    <w:rsid w:val="006F0814"/>
    <w:rsid w:val="006F0A68"/>
    <w:rsid w:val="006F0AA7"/>
    <w:rsid w:val="006F0D8C"/>
    <w:rsid w:val="006F2156"/>
    <w:rsid w:val="006F31DC"/>
    <w:rsid w:val="006F3FD0"/>
    <w:rsid w:val="006F41AD"/>
    <w:rsid w:val="006F5739"/>
    <w:rsid w:val="006F5F3A"/>
    <w:rsid w:val="006F7638"/>
    <w:rsid w:val="007029B7"/>
    <w:rsid w:val="00703376"/>
    <w:rsid w:val="0070455D"/>
    <w:rsid w:val="00705D59"/>
    <w:rsid w:val="00706342"/>
    <w:rsid w:val="00707B1F"/>
    <w:rsid w:val="00710395"/>
    <w:rsid w:val="00710ABB"/>
    <w:rsid w:val="00712230"/>
    <w:rsid w:val="007127E6"/>
    <w:rsid w:val="00715ACE"/>
    <w:rsid w:val="00715C29"/>
    <w:rsid w:val="007161B8"/>
    <w:rsid w:val="0071666E"/>
    <w:rsid w:val="00716BC6"/>
    <w:rsid w:val="00716EDE"/>
    <w:rsid w:val="0072167E"/>
    <w:rsid w:val="00722F65"/>
    <w:rsid w:val="0072332B"/>
    <w:rsid w:val="007233AB"/>
    <w:rsid w:val="00723CAF"/>
    <w:rsid w:val="007247D5"/>
    <w:rsid w:val="00725DDC"/>
    <w:rsid w:val="00725DF4"/>
    <w:rsid w:val="00732138"/>
    <w:rsid w:val="00733657"/>
    <w:rsid w:val="0073446E"/>
    <w:rsid w:val="007351AA"/>
    <w:rsid w:val="007358BD"/>
    <w:rsid w:val="007365FD"/>
    <w:rsid w:val="00736962"/>
    <w:rsid w:val="00737588"/>
    <w:rsid w:val="00740D86"/>
    <w:rsid w:val="00740F4B"/>
    <w:rsid w:val="007410D5"/>
    <w:rsid w:val="007426BE"/>
    <w:rsid w:val="00743C20"/>
    <w:rsid w:val="00743FEB"/>
    <w:rsid w:val="007449CE"/>
    <w:rsid w:val="00744A8E"/>
    <w:rsid w:val="00744B69"/>
    <w:rsid w:val="00745A43"/>
    <w:rsid w:val="00746485"/>
    <w:rsid w:val="007511E5"/>
    <w:rsid w:val="007513F2"/>
    <w:rsid w:val="007527CE"/>
    <w:rsid w:val="00752E24"/>
    <w:rsid w:val="00754256"/>
    <w:rsid w:val="007549EF"/>
    <w:rsid w:val="007552D3"/>
    <w:rsid w:val="0075645C"/>
    <w:rsid w:val="00756A1C"/>
    <w:rsid w:val="0075730B"/>
    <w:rsid w:val="00757511"/>
    <w:rsid w:val="00762D9A"/>
    <w:rsid w:val="007636BE"/>
    <w:rsid w:val="00763902"/>
    <w:rsid w:val="00764471"/>
    <w:rsid w:val="0076469A"/>
    <w:rsid w:val="00766686"/>
    <w:rsid w:val="00770B88"/>
    <w:rsid w:val="00771998"/>
    <w:rsid w:val="00772D13"/>
    <w:rsid w:val="007734F9"/>
    <w:rsid w:val="007754EC"/>
    <w:rsid w:val="00775A9C"/>
    <w:rsid w:val="00775BD7"/>
    <w:rsid w:val="007772F6"/>
    <w:rsid w:val="00777E14"/>
    <w:rsid w:val="00782F67"/>
    <w:rsid w:val="0078327C"/>
    <w:rsid w:val="0078403D"/>
    <w:rsid w:val="007848FA"/>
    <w:rsid w:val="0078595E"/>
    <w:rsid w:val="00785AB9"/>
    <w:rsid w:val="00785B0F"/>
    <w:rsid w:val="00787D8F"/>
    <w:rsid w:val="00790909"/>
    <w:rsid w:val="00791365"/>
    <w:rsid w:val="00791A90"/>
    <w:rsid w:val="00792741"/>
    <w:rsid w:val="00792808"/>
    <w:rsid w:val="0079332F"/>
    <w:rsid w:val="007933E9"/>
    <w:rsid w:val="007937D7"/>
    <w:rsid w:val="007940D1"/>
    <w:rsid w:val="007961BB"/>
    <w:rsid w:val="00797B50"/>
    <w:rsid w:val="00797E82"/>
    <w:rsid w:val="00797F6F"/>
    <w:rsid w:val="007A01DB"/>
    <w:rsid w:val="007A14EA"/>
    <w:rsid w:val="007A1B64"/>
    <w:rsid w:val="007A1EA0"/>
    <w:rsid w:val="007A50B9"/>
    <w:rsid w:val="007A5381"/>
    <w:rsid w:val="007A539A"/>
    <w:rsid w:val="007A5A8D"/>
    <w:rsid w:val="007A6354"/>
    <w:rsid w:val="007A66A5"/>
    <w:rsid w:val="007A7711"/>
    <w:rsid w:val="007A7A5E"/>
    <w:rsid w:val="007B0F81"/>
    <w:rsid w:val="007B2EE8"/>
    <w:rsid w:val="007B508A"/>
    <w:rsid w:val="007B6268"/>
    <w:rsid w:val="007B6656"/>
    <w:rsid w:val="007B6909"/>
    <w:rsid w:val="007B7041"/>
    <w:rsid w:val="007B7336"/>
    <w:rsid w:val="007B75BB"/>
    <w:rsid w:val="007C0964"/>
    <w:rsid w:val="007C0A50"/>
    <w:rsid w:val="007C0D1A"/>
    <w:rsid w:val="007C30DC"/>
    <w:rsid w:val="007C4B3A"/>
    <w:rsid w:val="007C4C47"/>
    <w:rsid w:val="007D0BB9"/>
    <w:rsid w:val="007D1E95"/>
    <w:rsid w:val="007D345A"/>
    <w:rsid w:val="007D44B9"/>
    <w:rsid w:val="007D6485"/>
    <w:rsid w:val="007D64CB"/>
    <w:rsid w:val="007D77B3"/>
    <w:rsid w:val="007E3D37"/>
    <w:rsid w:val="007E4B97"/>
    <w:rsid w:val="007E57EB"/>
    <w:rsid w:val="007E5990"/>
    <w:rsid w:val="007F2074"/>
    <w:rsid w:val="007F2832"/>
    <w:rsid w:val="007F34AD"/>
    <w:rsid w:val="007F3CD2"/>
    <w:rsid w:val="007F42A6"/>
    <w:rsid w:val="007F4748"/>
    <w:rsid w:val="007F65B9"/>
    <w:rsid w:val="007F7089"/>
    <w:rsid w:val="007F7B0F"/>
    <w:rsid w:val="00800C34"/>
    <w:rsid w:val="00800DAF"/>
    <w:rsid w:val="00801883"/>
    <w:rsid w:val="00801F46"/>
    <w:rsid w:val="0080584B"/>
    <w:rsid w:val="00805D17"/>
    <w:rsid w:val="00807CD7"/>
    <w:rsid w:val="00810345"/>
    <w:rsid w:val="008127FA"/>
    <w:rsid w:val="00812DA8"/>
    <w:rsid w:val="00812DAD"/>
    <w:rsid w:val="00813FDD"/>
    <w:rsid w:val="0081626B"/>
    <w:rsid w:val="00820342"/>
    <w:rsid w:val="00820540"/>
    <w:rsid w:val="008213FF"/>
    <w:rsid w:val="0082299C"/>
    <w:rsid w:val="00822C31"/>
    <w:rsid w:val="00823ECB"/>
    <w:rsid w:val="00824B9D"/>
    <w:rsid w:val="00824C83"/>
    <w:rsid w:val="00826591"/>
    <w:rsid w:val="00826A7B"/>
    <w:rsid w:val="00827988"/>
    <w:rsid w:val="0083147A"/>
    <w:rsid w:val="00831A4B"/>
    <w:rsid w:val="0083350F"/>
    <w:rsid w:val="0083586D"/>
    <w:rsid w:val="00836892"/>
    <w:rsid w:val="00840083"/>
    <w:rsid w:val="00840648"/>
    <w:rsid w:val="00840E24"/>
    <w:rsid w:val="0084275A"/>
    <w:rsid w:val="0084284F"/>
    <w:rsid w:val="00842A19"/>
    <w:rsid w:val="00843244"/>
    <w:rsid w:val="0084334F"/>
    <w:rsid w:val="00843CB7"/>
    <w:rsid w:val="008473C6"/>
    <w:rsid w:val="00847956"/>
    <w:rsid w:val="00850361"/>
    <w:rsid w:val="00850389"/>
    <w:rsid w:val="008535FC"/>
    <w:rsid w:val="00853721"/>
    <w:rsid w:val="00853ED2"/>
    <w:rsid w:val="0085518F"/>
    <w:rsid w:val="008551E3"/>
    <w:rsid w:val="0085735C"/>
    <w:rsid w:val="00860680"/>
    <w:rsid w:val="00860E2A"/>
    <w:rsid w:val="00862F9B"/>
    <w:rsid w:val="00864327"/>
    <w:rsid w:val="008662A5"/>
    <w:rsid w:val="00866FC3"/>
    <w:rsid w:val="008675B2"/>
    <w:rsid w:val="00867C75"/>
    <w:rsid w:val="00871212"/>
    <w:rsid w:val="0087127D"/>
    <w:rsid w:val="00871C93"/>
    <w:rsid w:val="00872124"/>
    <w:rsid w:val="00873829"/>
    <w:rsid w:val="00873EE4"/>
    <w:rsid w:val="00880934"/>
    <w:rsid w:val="0088178D"/>
    <w:rsid w:val="00882CFF"/>
    <w:rsid w:val="0088363B"/>
    <w:rsid w:val="008870FC"/>
    <w:rsid w:val="00890445"/>
    <w:rsid w:val="00890688"/>
    <w:rsid w:val="008908EB"/>
    <w:rsid w:val="008913D9"/>
    <w:rsid w:val="00892CDB"/>
    <w:rsid w:val="00893788"/>
    <w:rsid w:val="00893CAA"/>
    <w:rsid w:val="00895C96"/>
    <w:rsid w:val="00896B0B"/>
    <w:rsid w:val="0089759B"/>
    <w:rsid w:val="008A0D97"/>
    <w:rsid w:val="008A2227"/>
    <w:rsid w:val="008A254F"/>
    <w:rsid w:val="008A4734"/>
    <w:rsid w:val="008A4D51"/>
    <w:rsid w:val="008A50C9"/>
    <w:rsid w:val="008A50F5"/>
    <w:rsid w:val="008B0E39"/>
    <w:rsid w:val="008B2A00"/>
    <w:rsid w:val="008B38C3"/>
    <w:rsid w:val="008B53C5"/>
    <w:rsid w:val="008B599E"/>
    <w:rsid w:val="008C064F"/>
    <w:rsid w:val="008C400B"/>
    <w:rsid w:val="008C4F82"/>
    <w:rsid w:val="008C52A5"/>
    <w:rsid w:val="008D1127"/>
    <w:rsid w:val="008D17D4"/>
    <w:rsid w:val="008D18CA"/>
    <w:rsid w:val="008D3469"/>
    <w:rsid w:val="008D4BF5"/>
    <w:rsid w:val="008D590F"/>
    <w:rsid w:val="008D5AB2"/>
    <w:rsid w:val="008D6563"/>
    <w:rsid w:val="008D7D09"/>
    <w:rsid w:val="008E0B7E"/>
    <w:rsid w:val="008E0C21"/>
    <w:rsid w:val="008E1C3C"/>
    <w:rsid w:val="008E3704"/>
    <w:rsid w:val="008E3D61"/>
    <w:rsid w:val="008E4BB6"/>
    <w:rsid w:val="008E60D5"/>
    <w:rsid w:val="008E68F3"/>
    <w:rsid w:val="008F15EF"/>
    <w:rsid w:val="008F3FD0"/>
    <w:rsid w:val="008F47B1"/>
    <w:rsid w:val="008F4DF0"/>
    <w:rsid w:val="008F5BE8"/>
    <w:rsid w:val="008F6D0A"/>
    <w:rsid w:val="008F7D78"/>
    <w:rsid w:val="008F7DC3"/>
    <w:rsid w:val="009030B1"/>
    <w:rsid w:val="009037A5"/>
    <w:rsid w:val="00903A0D"/>
    <w:rsid w:val="00904383"/>
    <w:rsid w:val="009045A3"/>
    <w:rsid w:val="00906976"/>
    <w:rsid w:val="00906EAF"/>
    <w:rsid w:val="00906EDC"/>
    <w:rsid w:val="009070A1"/>
    <w:rsid w:val="00910EB8"/>
    <w:rsid w:val="00911851"/>
    <w:rsid w:val="00912D7B"/>
    <w:rsid w:val="0091364F"/>
    <w:rsid w:val="009142F2"/>
    <w:rsid w:val="009149E0"/>
    <w:rsid w:val="00921E71"/>
    <w:rsid w:val="00921EDD"/>
    <w:rsid w:val="0092229E"/>
    <w:rsid w:val="00923B0B"/>
    <w:rsid w:val="009242F1"/>
    <w:rsid w:val="00925939"/>
    <w:rsid w:val="00926F73"/>
    <w:rsid w:val="00927A23"/>
    <w:rsid w:val="00930E9E"/>
    <w:rsid w:val="009332D9"/>
    <w:rsid w:val="00935E0C"/>
    <w:rsid w:val="00936BD6"/>
    <w:rsid w:val="00937095"/>
    <w:rsid w:val="00937192"/>
    <w:rsid w:val="00937AA7"/>
    <w:rsid w:val="00937AB1"/>
    <w:rsid w:val="00942BB5"/>
    <w:rsid w:val="00942C07"/>
    <w:rsid w:val="00943DC2"/>
    <w:rsid w:val="009465F8"/>
    <w:rsid w:val="009507FA"/>
    <w:rsid w:val="0095203E"/>
    <w:rsid w:val="00952856"/>
    <w:rsid w:val="00954263"/>
    <w:rsid w:val="009549E3"/>
    <w:rsid w:val="00954E50"/>
    <w:rsid w:val="009559EB"/>
    <w:rsid w:val="00956D1E"/>
    <w:rsid w:val="00956F49"/>
    <w:rsid w:val="00957C58"/>
    <w:rsid w:val="00960732"/>
    <w:rsid w:val="009616D0"/>
    <w:rsid w:val="0096382B"/>
    <w:rsid w:val="0096591C"/>
    <w:rsid w:val="009663B2"/>
    <w:rsid w:val="009674C2"/>
    <w:rsid w:val="00970CC4"/>
    <w:rsid w:val="009718CD"/>
    <w:rsid w:val="0097489F"/>
    <w:rsid w:val="00975389"/>
    <w:rsid w:val="00975932"/>
    <w:rsid w:val="00975C49"/>
    <w:rsid w:val="00977C34"/>
    <w:rsid w:val="00977EF6"/>
    <w:rsid w:val="00980BD2"/>
    <w:rsid w:val="00980DBA"/>
    <w:rsid w:val="0098526E"/>
    <w:rsid w:val="0098580A"/>
    <w:rsid w:val="0098608F"/>
    <w:rsid w:val="009862AD"/>
    <w:rsid w:val="0098631E"/>
    <w:rsid w:val="0098735D"/>
    <w:rsid w:val="00987795"/>
    <w:rsid w:val="0098797D"/>
    <w:rsid w:val="00987E03"/>
    <w:rsid w:val="00990E4B"/>
    <w:rsid w:val="0099166D"/>
    <w:rsid w:val="00991957"/>
    <w:rsid w:val="00991F19"/>
    <w:rsid w:val="00993224"/>
    <w:rsid w:val="00994395"/>
    <w:rsid w:val="009A084A"/>
    <w:rsid w:val="009A0993"/>
    <w:rsid w:val="009A0BFA"/>
    <w:rsid w:val="009A2FF9"/>
    <w:rsid w:val="009A34AA"/>
    <w:rsid w:val="009A4D74"/>
    <w:rsid w:val="009A4F2F"/>
    <w:rsid w:val="009A593D"/>
    <w:rsid w:val="009A6161"/>
    <w:rsid w:val="009A7CA4"/>
    <w:rsid w:val="009B1C58"/>
    <w:rsid w:val="009B3B74"/>
    <w:rsid w:val="009B62C6"/>
    <w:rsid w:val="009B631F"/>
    <w:rsid w:val="009B6C51"/>
    <w:rsid w:val="009B7D74"/>
    <w:rsid w:val="009C08E8"/>
    <w:rsid w:val="009C14C1"/>
    <w:rsid w:val="009C197C"/>
    <w:rsid w:val="009C1D63"/>
    <w:rsid w:val="009C26A0"/>
    <w:rsid w:val="009C4C77"/>
    <w:rsid w:val="009C4E75"/>
    <w:rsid w:val="009C65F3"/>
    <w:rsid w:val="009C7C2E"/>
    <w:rsid w:val="009D12E4"/>
    <w:rsid w:val="009D1AC6"/>
    <w:rsid w:val="009D1C01"/>
    <w:rsid w:val="009D2132"/>
    <w:rsid w:val="009D2735"/>
    <w:rsid w:val="009D2B07"/>
    <w:rsid w:val="009D3BE8"/>
    <w:rsid w:val="009D428E"/>
    <w:rsid w:val="009D4844"/>
    <w:rsid w:val="009D493B"/>
    <w:rsid w:val="009D502B"/>
    <w:rsid w:val="009D5C3A"/>
    <w:rsid w:val="009D71A0"/>
    <w:rsid w:val="009E118C"/>
    <w:rsid w:val="009E3FB9"/>
    <w:rsid w:val="009E403B"/>
    <w:rsid w:val="009E4DEE"/>
    <w:rsid w:val="009E538C"/>
    <w:rsid w:val="009E5A29"/>
    <w:rsid w:val="009E680D"/>
    <w:rsid w:val="009E6EAD"/>
    <w:rsid w:val="009F0471"/>
    <w:rsid w:val="009F04D1"/>
    <w:rsid w:val="009F0BB2"/>
    <w:rsid w:val="009F2012"/>
    <w:rsid w:val="009F2B8B"/>
    <w:rsid w:val="009F4966"/>
    <w:rsid w:val="009F4E6B"/>
    <w:rsid w:val="009F5357"/>
    <w:rsid w:val="009F7200"/>
    <w:rsid w:val="009F7A6F"/>
    <w:rsid w:val="00A049A5"/>
    <w:rsid w:val="00A04BA3"/>
    <w:rsid w:val="00A0524C"/>
    <w:rsid w:val="00A067BE"/>
    <w:rsid w:val="00A07A26"/>
    <w:rsid w:val="00A07AC8"/>
    <w:rsid w:val="00A11109"/>
    <w:rsid w:val="00A1256B"/>
    <w:rsid w:val="00A1280F"/>
    <w:rsid w:val="00A128FE"/>
    <w:rsid w:val="00A13201"/>
    <w:rsid w:val="00A13818"/>
    <w:rsid w:val="00A1577B"/>
    <w:rsid w:val="00A16813"/>
    <w:rsid w:val="00A171AF"/>
    <w:rsid w:val="00A17E0F"/>
    <w:rsid w:val="00A2026F"/>
    <w:rsid w:val="00A21948"/>
    <w:rsid w:val="00A23287"/>
    <w:rsid w:val="00A236EA"/>
    <w:rsid w:val="00A23B6F"/>
    <w:rsid w:val="00A24E51"/>
    <w:rsid w:val="00A24F8D"/>
    <w:rsid w:val="00A25901"/>
    <w:rsid w:val="00A2595D"/>
    <w:rsid w:val="00A25EB9"/>
    <w:rsid w:val="00A301C7"/>
    <w:rsid w:val="00A32F04"/>
    <w:rsid w:val="00A32F59"/>
    <w:rsid w:val="00A33BF0"/>
    <w:rsid w:val="00A33C6D"/>
    <w:rsid w:val="00A34366"/>
    <w:rsid w:val="00A35013"/>
    <w:rsid w:val="00A35D14"/>
    <w:rsid w:val="00A36FC7"/>
    <w:rsid w:val="00A37FC1"/>
    <w:rsid w:val="00A41325"/>
    <w:rsid w:val="00A41354"/>
    <w:rsid w:val="00A445C3"/>
    <w:rsid w:val="00A44A9F"/>
    <w:rsid w:val="00A4517D"/>
    <w:rsid w:val="00A45EC1"/>
    <w:rsid w:val="00A469F4"/>
    <w:rsid w:val="00A46A15"/>
    <w:rsid w:val="00A477FD"/>
    <w:rsid w:val="00A4799B"/>
    <w:rsid w:val="00A51401"/>
    <w:rsid w:val="00A554EC"/>
    <w:rsid w:val="00A60C73"/>
    <w:rsid w:val="00A60DEF"/>
    <w:rsid w:val="00A61A8B"/>
    <w:rsid w:val="00A62F91"/>
    <w:rsid w:val="00A67C1B"/>
    <w:rsid w:val="00A708A5"/>
    <w:rsid w:val="00A717C6"/>
    <w:rsid w:val="00A717EF"/>
    <w:rsid w:val="00A73A68"/>
    <w:rsid w:val="00A74A11"/>
    <w:rsid w:val="00A75B37"/>
    <w:rsid w:val="00A75C48"/>
    <w:rsid w:val="00A75C67"/>
    <w:rsid w:val="00A80480"/>
    <w:rsid w:val="00A809C8"/>
    <w:rsid w:val="00A80C6D"/>
    <w:rsid w:val="00A81C8A"/>
    <w:rsid w:val="00A823EF"/>
    <w:rsid w:val="00A828B6"/>
    <w:rsid w:val="00A82C53"/>
    <w:rsid w:val="00A830E5"/>
    <w:rsid w:val="00A84378"/>
    <w:rsid w:val="00A84A64"/>
    <w:rsid w:val="00A84D98"/>
    <w:rsid w:val="00A861D2"/>
    <w:rsid w:val="00A862CD"/>
    <w:rsid w:val="00A905D2"/>
    <w:rsid w:val="00A927B5"/>
    <w:rsid w:val="00A92D2C"/>
    <w:rsid w:val="00A92F22"/>
    <w:rsid w:val="00A94CED"/>
    <w:rsid w:val="00A94F85"/>
    <w:rsid w:val="00A95510"/>
    <w:rsid w:val="00A95EE4"/>
    <w:rsid w:val="00A96282"/>
    <w:rsid w:val="00A96ABB"/>
    <w:rsid w:val="00A97598"/>
    <w:rsid w:val="00AA0261"/>
    <w:rsid w:val="00AA02D7"/>
    <w:rsid w:val="00AA32B3"/>
    <w:rsid w:val="00AA3790"/>
    <w:rsid w:val="00AA415A"/>
    <w:rsid w:val="00AA636B"/>
    <w:rsid w:val="00AA6426"/>
    <w:rsid w:val="00AA676E"/>
    <w:rsid w:val="00AA686A"/>
    <w:rsid w:val="00AB0602"/>
    <w:rsid w:val="00AB0FE3"/>
    <w:rsid w:val="00AB1677"/>
    <w:rsid w:val="00AB1FD5"/>
    <w:rsid w:val="00AB26D6"/>
    <w:rsid w:val="00AB2F57"/>
    <w:rsid w:val="00AB3AFD"/>
    <w:rsid w:val="00AB3E46"/>
    <w:rsid w:val="00AB3F07"/>
    <w:rsid w:val="00AB4014"/>
    <w:rsid w:val="00AB6BCA"/>
    <w:rsid w:val="00AB77A7"/>
    <w:rsid w:val="00AC1017"/>
    <w:rsid w:val="00AC2333"/>
    <w:rsid w:val="00AC29B1"/>
    <w:rsid w:val="00AC2DCC"/>
    <w:rsid w:val="00AC3A8B"/>
    <w:rsid w:val="00AC5883"/>
    <w:rsid w:val="00AC5A81"/>
    <w:rsid w:val="00AC5DC8"/>
    <w:rsid w:val="00AC67E6"/>
    <w:rsid w:val="00AC74EE"/>
    <w:rsid w:val="00AD140B"/>
    <w:rsid w:val="00AD24C7"/>
    <w:rsid w:val="00AD257C"/>
    <w:rsid w:val="00AD3A1D"/>
    <w:rsid w:val="00AD4CDA"/>
    <w:rsid w:val="00AD7352"/>
    <w:rsid w:val="00AE0D18"/>
    <w:rsid w:val="00AE108B"/>
    <w:rsid w:val="00AE23D7"/>
    <w:rsid w:val="00AE28C6"/>
    <w:rsid w:val="00AE3147"/>
    <w:rsid w:val="00AE3EC5"/>
    <w:rsid w:val="00AE3F5F"/>
    <w:rsid w:val="00AE5D54"/>
    <w:rsid w:val="00AE5E17"/>
    <w:rsid w:val="00AE5ECB"/>
    <w:rsid w:val="00AE7652"/>
    <w:rsid w:val="00AE7E15"/>
    <w:rsid w:val="00AF0C18"/>
    <w:rsid w:val="00AF0FEB"/>
    <w:rsid w:val="00AF367A"/>
    <w:rsid w:val="00AF37DE"/>
    <w:rsid w:val="00AF4472"/>
    <w:rsid w:val="00AF47E2"/>
    <w:rsid w:val="00AF4C0F"/>
    <w:rsid w:val="00AF4DD4"/>
    <w:rsid w:val="00AF5558"/>
    <w:rsid w:val="00AF569E"/>
    <w:rsid w:val="00AF69EC"/>
    <w:rsid w:val="00B013D3"/>
    <w:rsid w:val="00B018AE"/>
    <w:rsid w:val="00B01F0F"/>
    <w:rsid w:val="00B03A91"/>
    <w:rsid w:val="00B04356"/>
    <w:rsid w:val="00B043AA"/>
    <w:rsid w:val="00B062B9"/>
    <w:rsid w:val="00B068A6"/>
    <w:rsid w:val="00B06DAA"/>
    <w:rsid w:val="00B07350"/>
    <w:rsid w:val="00B07500"/>
    <w:rsid w:val="00B07F6C"/>
    <w:rsid w:val="00B13CE4"/>
    <w:rsid w:val="00B15811"/>
    <w:rsid w:val="00B15F4C"/>
    <w:rsid w:val="00B16271"/>
    <w:rsid w:val="00B17D48"/>
    <w:rsid w:val="00B217D1"/>
    <w:rsid w:val="00B22C09"/>
    <w:rsid w:val="00B23E19"/>
    <w:rsid w:val="00B2459D"/>
    <w:rsid w:val="00B24AFC"/>
    <w:rsid w:val="00B24E97"/>
    <w:rsid w:val="00B2597C"/>
    <w:rsid w:val="00B25DE4"/>
    <w:rsid w:val="00B26689"/>
    <w:rsid w:val="00B31D23"/>
    <w:rsid w:val="00B34471"/>
    <w:rsid w:val="00B355D7"/>
    <w:rsid w:val="00B36042"/>
    <w:rsid w:val="00B37CD8"/>
    <w:rsid w:val="00B40A9C"/>
    <w:rsid w:val="00B40C3D"/>
    <w:rsid w:val="00B40E1C"/>
    <w:rsid w:val="00B413EB"/>
    <w:rsid w:val="00B41720"/>
    <w:rsid w:val="00B43825"/>
    <w:rsid w:val="00B43982"/>
    <w:rsid w:val="00B44098"/>
    <w:rsid w:val="00B44739"/>
    <w:rsid w:val="00B44DF1"/>
    <w:rsid w:val="00B4509F"/>
    <w:rsid w:val="00B45A50"/>
    <w:rsid w:val="00B4678B"/>
    <w:rsid w:val="00B4679B"/>
    <w:rsid w:val="00B476B0"/>
    <w:rsid w:val="00B4776A"/>
    <w:rsid w:val="00B47F78"/>
    <w:rsid w:val="00B51CF7"/>
    <w:rsid w:val="00B51D6F"/>
    <w:rsid w:val="00B544FE"/>
    <w:rsid w:val="00B556CB"/>
    <w:rsid w:val="00B56128"/>
    <w:rsid w:val="00B579D2"/>
    <w:rsid w:val="00B603FF"/>
    <w:rsid w:val="00B61B55"/>
    <w:rsid w:val="00B636AC"/>
    <w:rsid w:val="00B64152"/>
    <w:rsid w:val="00B64AC7"/>
    <w:rsid w:val="00B64EB3"/>
    <w:rsid w:val="00B66C15"/>
    <w:rsid w:val="00B703A4"/>
    <w:rsid w:val="00B714F2"/>
    <w:rsid w:val="00B71CA5"/>
    <w:rsid w:val="00B72B5D"/>
    <w:rsid w:val="00B7499D"/>
    <w:rsid w:val="00B75123"/>
    <w:rsid w:val="00B76ECB"/>
    <w:rsid w:val="00B76FF5"/>
    <w:rsid w:val="00B77967"/>
    <w:rsid w:val="00B803C1"/>
    <w:rsid w:val="00B81C1B"/>
    <w:rsid w:val="00B820AC"/>
    <w:rsid w:val="00B82642"/>
    <w:rsid w:val="00B83F40"/>
    <w:rsid w:val="00B84324"/>
    <w:rsid w:val="00B84B08"/>
    <w:rsid w:val="00B84DBB"/>
    <w:rsid w:val="00B8605A"/>
    <w:rsid w:val="00B86E44"/>
    <w:rsid w:val="00B8785E"/>
    <w:rsid w:val="00B91628"/>
    <w:rsid w:val="00B920C0"/>
    <w:rsid w:val="00B9383A"/>
    <w:rsid w:val="00B940D2"/>
    <w:rsid w:val="00B9470D"/>
    <w:rsid w:val="00B951FE"/>
    <w:rsid w:val="00B95850"/>
    <w:rsid w:val="00B9749D"/>
    <w:rsid w:val="00B976E9"/>
    <w:rsid w:val="00BA27E2"/>
    <w:rsid w:val="00BA2EEE"/>
    <w:rsid w:val="00BA5BD5"/>
    <w:rsid w:val="00BA7579"/>
    <w:rsid w:val="00BA7709"/>
    <w:rsid w:val="00BB0FF5"/>
    <w:rsid w:val="00BB14AC"/>
    <w:rsid w:val="00BB26BE"/>
    <w:rsid w:val="00BB2F77"/>
    <w:rsid w:val="00BB546C"/>
    <w:rsid w:val="00BB6953"/>
    <w:rsid w:val="00BC3D1C"/>
    <w:rsid w:val="00BC5FEA"/>
    <w:rsid w:val="00BC6888"/>
    <w:rsid w:val="00BC7399"/>
    <w:rsid w:val="00BC7645"/>
    <w:rsid w:val="00BD07E2"/>
    <w:rsid w:val="00BD17F3"/>
    <w:rsid w:val="00BD2738"/>
    <w:rsid w:val="00BD2C19"/>
    <w:rsid w:val="00BD5290"/>
    <w:rsid w:val="00BD5757"/>
    <w:rsid w:val="00BD5F09"/>
    <w:rsid w:val="00BE0DA4"/>
    <w:rsid w:val="00BE13C4"/>
    <w:rsid w:val="00BE2B82"/>
    <w:rsid w:val="00BE31BB"/>
    <w:rsid w:val="00BE38F5"/>
    <w:rsid w:val="00BE5D4F"/>
    <w:rsid w:val="00BE5DA2"/>
    <w:rsid w:val="00BE67DB"/>
    <w:rsid w:val="00BE6813"/>
    <w:rsid w:val="00BE754C"/>
    <w:rsid w:val="00BE7C5B"/>
    <w:rsid w:val="00BF2ABC"/>
    <w:rsid w:val="00BF354E"/>
    <w:rsid w:val="00BF47F7"/>
    <w:rsid w:val="00BF4E66"/>
    <w:rsid w:val="00BF5C55"/>
    <w:rsid w:val="00BF5CCE"/>
    <w:rsid w:val="00BF6E5A"/>
    <w:rsid w:val="00BF75D4"/>
    <w:rsid w:val="00C00A72"/>
    <w:rsid w:val="00C01DEF"/>
    <w:rsid w:val="00C0570A"/>
    <w:rsid w:val="00C07938"/>
    <w:rsid w:val="00C07A9D"/>
    <w:rsid w:val="00C10320"/>
    <w:rsid w:val="00C109F3"/>
    <w:rsid w:val="00C10AD3"/>
    <w:rsid w:val="00C12D7A"/>
    <w:rsid w:val="00C1411C"/>
    <w:rsid w:val="00C159B2"/>
    <w:rsid w:val="00C16ED6"/>
    <w:rsid w:val="00C177E7"/>
    <w:rsid w:val="00C21526"/>
    <w:rsid w:val="00C21AFA"/>
    <w:rsid w:val="00C21C90"/>
    <w:rsid w:val="00C22E84"/>
    <w:rsid w:val="00C22F43"/>
    <w:rsid w:val="00C24221"/>
    <w:rsid w:val="00C24FC6"/>
    <w:rsid w:val="00C25E5E"/>
    <w:rsid w:val="00C2653B"/>
    <w:rsid w:val="00C30491"/>
    <w:rsid w:val="00C32B55"/>
    <w:rsid w:val="00C3317E"/>
    <w:rsid w:val="00C3350E"/>
    <w:rsid w:val="00C344E0"/>
    <w:rsid w:val="00C359FD"/>
    <w:rsid w:val="00C36DD5"/>
    <w:rsid w:val="00C36FCB"/>
    <w:rsid w:val="00C40056"/>
    <w:rsid w:val="00C40070"/>
    <w:rsid w:val="00C422F5"/>
    <w:rsid w:val="00C42AF8"/>
    <w:rsid w:val="00C42C2E"/>
    <w:rsid w:val="00C46AE7"/>
    <w:rsid w:val="00C47322"/>
    <w:rsid w:val="00C50641"/>
    <w:rsid w:val="00C50F98"/>
    <w:rsid w:val="00C50FED"/>
    <w:rsid w:val="00C526FC"/>
    <w:rsid w:val="00C55D34"/>
    <w:rsid w:val="00C55F64"/>
    <w:rsid w:val="00C57240"/>
    <w:rsid w:val="00C578C6"/>
    <w:rsid w:val="00C6026C"/>
    <w:rsid w:val="00C6084E"/>
    <w:rsid w:val="00C60E8D"/>
    <w:rsid w:val="00C61C67"/>
    <w:rsid w:val="00C62C78"/>
    <w:rsid w:val="00C62D5C"/>
    <w:rsid w:val="00C63033"/>
    <w:rsid w:val="00C64046"/>
    <w:rsid w:val="00C65F32"/>
    <w:rsid w:val="00C71753"/>
    <w:rsid w:val="00C725C9"/>
    <w:rsid w:val="00C72E26"/>
    <w:rsid w:val="00C72FF2"/>
    <w:rsid w:val="00C736B7"/>
    <w:rsid w:val="00C74404"/>
    <w:rsid w:val="00C748DB"/>
    <w:rsid w:val="00C74C0E"/>
    <w:rsid w:val="00C757FB"/>
    <w:rsid w:val="00C75900"/>
    <w:rsid w:val="00C773E6"/>
    <w:rsid w:val="00C7748C"/>
    <w:rsid w:val="00C803C3"/>
    <w:rsid w:val="00C80D88"/>
    <w:rsid w:val="00C81466"/>
    <w:rsid w:val="00C8280E"/>
    <w:rsid w:val="00C83891"/>
    <w:rsid w:val="00C8490B"/>
    <w:rsid w:val="00C84EAD"/>
    <w:rsid w:val="00C84EF3"/>
    <w:rsid w:val="00C86371"/>
    <w:rsid w:val="00C87391"/>
    <w:rsid w:val="00C914A2"/>
    <w:rsid w:val="00C918B0"/>
    <w:rsid w:val="00C91BC1"/>
    <w:rsid w:val="00C91E64"/>
    <w:rsid w:val="00C92554"/>
    <w:rsid w:val="00C92F92"/>
    <w:rsid w:val="00C9428B"/>
    <w:rsid w:val="00C9479B"/>
    <w:rsid w:val="00C9597E"/>
    <w:rsid w:val="00C96285"/>
    <w:rsid w:val="00C96696"/>
    <w:rsid w:val="00CA1896"/>
    <w:rsid w:val="00CA2310"/>
    <w:rsid w:val="00CA2528"/>
    <w:rsid w:val="00CA2B93"/>
    <w:rsid w:val="00CA2EFC"/>
    <w:rsid w:val="00CA330A"/>
    <w:rsid w:val="00CA3DC2"/>
    <w:rsid w:val="00CA6452"/>
    <w:rsid w:val="00CA7B2F"/>
    <w:rsid w:val="00CB157B"/>
    <w:rsid w:val="00CB1F40"/>
    <w:rsid w:val="00CB4D16"/>
    <w:rsid w:val="00CB4E9E"/>
    <w:rsid w:val="00CB5B58"/>
    <w:rsid w:val="00CB606C"/>
    <w:rsid w:val="00CB63CE"/>
    <w:rsid w:val="00CC0D3B"/>
    <w:rsid w:val="00CC106C"/>
    <w:rsid w:val="00CC1362"/>
    <w:rsid w:val="00CC1481"/>
    <w:rsid w:val="00CC2296"/>
    <w:rsid w:val="00CC485F"/>
    <w:rsid w:val="00CC4BBC"/>
    <w:rsid w:val="00CC60E0"/>
    <w:rsid w:val="00CC6D7B"/>
    <w:rsid w:val="00CC7DA0"/>
    <w:rsid w:val="00CD0C6E"/>
    <w:rsid w:val="00CD0FB2"/>
    <w:rsid w:val="00CD2A6D"/>
    <w:rsid w:val="00CD5CB2"/>
    <w:rsid w:val="00CD5F91"/>
    <w:rsid w:val="00CD63A0"/>
    <w:rsid w:val="00CD7484"/>
    <w:rsid w:val="00CD7AF5"/>
    <w:rsid w:val="00CE0DA8"/>
    <w:rsid w:val="00CE2B95"/>
    <w:rsid w:val="00CE4471"/>
    <w:rsid w:val="00CE456F"/>
    <w:rsid w:val="00CE4E20"/>
    <w:rsid w:val="00CE59ED"/>
    <w:rsid w:val="00CE66B4"/>
    <w:rsid w:val="00CE6BD4"/>
    <w:rsid w:val="00CE7853"/>
    <w:rsid w:val="00CF0095"/>
    <w:rsid w:val="00CF01B4"/>
    <w:rsid w:val="00CF17CF"/>
    <w:rsid w:val="00CF4A3E"/>
    <w:rsid w:val="00CF4E4B"/>
    <w:rsid w:val="00CF4F91"/>
    <w:rsid w:val="00CF7FC4"/>
    <w:rsid w:val="00D0241D"/>
    <w:rsid w:val="00D0244B"/>
    <w:rsid w:val="00D02534"/>
    <w:rsid w:val="00D02FED"/>
    <w:rsid w:val="00D0431A"/>
    <w:rsid w:val="00D047C9"/>
    <w:rsid w:val="00D0524A"/>
    <w:rsid w:val="00D06DEA"/>
    <w:rsid w:val="00D07CC1"/>
    <w:rsid w:val="00D102FB"/>
    <w:rsid w:val="00D10F40"/>
    <w:rsid w:val="00D113E0"/>
    <w:rsid w:val="00D11A4F"/>
    <w:rsid w:val="00D11BA6"/>
    <w:rsid w:val="00D12B8C"/>
    <w:rsid w:val="00D1419C"/>
    <w:rsid w:val="00D145E4"/>
    <w:rsid w:val="00D14C6B"/>
    <w:rsid w:val="00D16E2C"/>
    <w:rsid w:val="00D17131"/>
    <w:rsid w:val="00D17312"/>
    <w:rsid w:val="00D22B83"/>
    <w:rsid w:val="00D23718"/>
    <w:rsid w:val="00D23FD5"/>
    <w:rsid w:val="00D25214"/>
    <w:rsid w:val="00D262BD"/>
    <w:rsid w:val="00D268EC"/>
    <w:rsid w:val="00D3214A"/>
    <w:rsid w:val="00D32214"/>
    <w:rsid w:val="00D3230F"/>
    <w:rsid w:val="00D32786"/>
    <w:rsid w:val="00D329D1"/>
    <w:rsid w:val="00D3302B"/>
    <w:rsid w:val="00D3322F"/>
    <w:rsid w:val="00D34027"/>
    <w:rsid w:val="00D34DFE"/>
    <w:rsid w:val="00D35480"/>
    <w:rsid w:val="00D40A2C"/>
    <w:rsid w:val="00D41FE8"/>
    <w:rsid w:val="00D42F04"/>
    <w:rsid w:val="00D44B38"/>
    <w:rsid w:val="00D457F9"/>
    <w:rsid w:val="00D51500"/>
    <w:rsid w:val="00D525DB"/>
    <w:rsid w:val="00D52C88"/>
    <w:rsid w:val="00D535C7"/>
    <w:rsid w:val="00D536ED"/>
    <w:rsid w:val="00D5451C"/>
    <w:rsid w:val="00D54E54"/>
    <w:rsid w:val="00D551F3"/>
    <w:rsid w:val="00D5528C"/>
    <w:rsid w:val="00D5559D"/>
    <w:rsid w:val="00D55958"/>
    <w:rsid w:val="00D56E2D"/>
    <w:rsid w:val="00D573D7"/>
    <w:rsid w:val="00D5766D"/>
    <w:rsid w:val="00D60FED"/>
    <w:rsid w:val="00D6180F"/>
    <w:rsid w:val="00D61A4B"/>
    <w:rsid w:val="00D6286A"/>
    <w:rsid w:val="00D62D16"/>
    <w:rsid w:val="00D638B7"/>
    <w:rsid w:val="00D6448B"/>
    <w:rsid w:val="00D65201"/>
    <w:rsid w:val="00D67274"/>
    <w:rsid w:val="00D67F24"/>
    <w:rsid w:val="00D70E2C"/>
    <w:rsid w:val="00D72294"/>
    <w:rsid w:val="00D7281E"/>
    <w:rsid w:val="00D749B3"/>
    <w:rsid w:val="00D813F1"/>
    <w:rsid w:val="00D818C6"/>
    <w:rsid w:val="00D82E48"/>
    <w:rsid w:val="00D83962"/>
    <w:rsid w:val="00D83B76"/>
    <w:rsid w:val="00D84D8F"/>
    <w:rsid w:val="00D85141"/>
    <w:rsid w:val="00D903CF"/>
    <w:rsid w:val="00D90831"/>
    <w:rsid w:val="00D918D0"/>
    <w:rsid w:val="00D936B3"/>
    <w:rsid w:val="00D93710"/>
    <w:rsid w:val="00D95734"/>
    <w:rsid w:val="00D968CA"/>
    <w:rsid w:val="00D96BAE"/>
    <w:rsid w:val="00D97217"/>
    <w:rsid w:val="00D975A3"/>
    <w:rsid w:val="00D975D3"/>
    <w:rsid w:val="00DA1963"/>
    <w:rsid w:val="00DA2DE9"/>
    <w:rsid w:val="00DA4160"/>
    <w:rsid w:val="00DA4C60"/>
    <w:rsid w:val="00DA4FAA"/>
    <w:rsid w:val="00DA7271"/>
    <w:rsid w:val="00DB0F77"/>
    <w:rsid w:val="00DB12C8"/>
    <w:rsid w:val="00DB3F5D"/>
    <w:rsid w:val="00DB4373"/>
    <w:rsid w:val="00DB5528"/>
    <w:rsid w:val="00DB7239"/>
    <w:rsid w:val="00DB7793"/>
    <w:rsid w:val="00DB7CDB"/>
    <w:rsid w:val="00DC0941"/>
    <w:rsid w:val="00DC18EA"/>
    <w:rsid w:val="00DC1B82"/>
    <w:rsid w:val="00DC26E7"/>
    <w:rsid w:val="00DC356C"/>
    <w:rsid w:val="00DC37D5"/>
    <w:rsid w:val="00DC3EEE"/>
    <w:rsid w:val="00DC54C4"/>
    <w:rsid w:val="00DC7927"/>
    <w:rsid w:val="00DC7C80"/>
    <w:rsid w:val="00DD003A"/>
    <w:rsid w:val="00DD0304"/>
    <w:rsid w:val="00DD2387"/>
    <w:rsid w:val="00DD350F"/>
    <w:rsid w:val="00DE016B"/>
    <w:rsid w:val="00DE0367"/>
    <w:rsid w:val="00DE06E6"/>
    <w:rsid w:val="00DE06EE"/>
    <w:rsid w:val="00DE15D8"/>
    <w:rsid w:val="00DE1A92"/>
    <w:rsid w:val="00DE3A3A"/>
    <w:rsid w:val="00DE4769"/>
    <w:rsid w:val="00DE47B0"/>
    <w:rsid w:val="00DE4F79"/>
    <w:rsid w:val="00DE6CAA"/>
    <w:rsid w:val="00DF0BCA"/>
    <w:rsid w:val="00DF3F2E"/>
    <w:rsid w:val="00DF42D8"/>
    <w:rsid w:val="00DF59BA"/>
    <w:rsid w:val="00DF6927"/>
    <w:rsid w:val="00E00313"/>
    <w:rsid w:val="00E013D9"/>
    <w:rsid w:val="00E014F0"/>
    <w:rsid w:val="00E0252D"/>
    <w:rsid w:val="00E04543"/>
    <w:rsid w:val="00E04A43"/>
    <w:rsid w:val="00E06CF2"/>
    <w:rsid w:val="00E07D44"/>
    <w:rsid w:val="00E10167"/>
    <w:rsid w:val="00E14898"/>
    <w:rsid w:val="00E16E54"/>
    <w:rsid w:val="00E17161"/>
    <w:rsid w:val="00E2005C"/>
    <w:rsid w:val="00E2541F"/>
    <w:rsid w:val="00E27868"/>
    <w:rsid w:val="00E278CA"/>
    <w:rsid w:val="00E30EDE"/>
    <w:rsid w:val="00E321DE"/>
    <w:rsid w:val="00E32794"/>
    <w:rsid w:val="00E33091"/>
    <w:rsid w:val="00E359CE"/>
    <w:rsid w:val="00E36A2F"/>
    <w:rsid w:val="00E36D8C"/>
    <w:rsid w:val="00E404A1"/>
    <w:rsid w:val="00E405DD"/>
    <w:rsid w:val="00E415A0"/>
    <w:rsid w:val="00E41911"/>
    <w:rsid w:val="00E41A0B"/>
    <w:rsid w:val="00E42641"/>
    <w:rsid w:val="00E443C5"/>
    <w:rsid w:val="00E443D9"/>
    <w:rsid w:val="00E44605"/>
    <w:rsid w:val="00E4790B"/>
    <w:rsid w:val="00E50220"/>
    <w:rsid w:val="00E533DE"/>
    <w:rsid w:val="00E541B1"/>
    <w:rsid w:val="00E541F8"/>
    <w:rsid w:val="00E54AEB"/>
    <w:rsid w:val="00E55BA1"/>
    <w:rsid w:val="00E55BAD"/>
    <w:rsid w:val="00E56128"/>
    <w:rsid w:val="00E56352"/>
    <w:rsid w:val="00E602A9"/>
    <w:rsid w:val="00E605A0"/>
    <w:rsid w:val="00E615EF"/>
    <w:rsid w:val="00E63768"/>
    <w:rsid w:val="00E65417"/>
    <w:rsid w:val="00E656A4"/>
    <w:rsid w:val="00E658E2"/>
    <w:rsid w:val="00E65A3C"/>
    <w:rsid w:val="00E65D3B"/>
    <w:rsid w:val="00E676B4"/>
    <w:rsid w:val="00E67ECC"/>
    <w:rsid w:val="00E73CC7"/>
    <w:rsid w:val="00E745C4"/>
    <w:rsid w:val="00E765A4"/>
    <w:rsid w:val="00E7683C"/>
    <w:rsid w:val="00E77C8A"/>
    <w:rsid w:val="00E804C1"/>
    <w:rsid w:val="00E80B73"/>
    <w:rsid w:val="00E82D28"/>
    <w:rsid w:val="00E8623E"/>
    <w:rsid w:val="00E867B9"/>
    <w:rsid w:val="00E86E75"/>
    <w:rsid w:val="00E87477"/>
    <w:rsid w:val="00E907AF"/>
    <w:rsid w:val="00E90AAF"/>
    <w:rsid w:val="00E90B6F"/>
    <w:rsid w:val="00E93A9E"/>
    <w:rsid w:val="00E93B37"/>
    <w:rsid w:val="00E93CDC"/>
    <w:rsid w:val="00E944B6"/>
    <w:rsid w:val="00E959EB"/>
    <w:rsid w:val="00E9697E"/>
    <w:rsid w:val="00EA076B"/>
    <w:rsid w:val="00EA0B30"/>
    <w:rsid w:val="00EA19C2"/>
    <w:rsid w:val="00EA45F3"/>
    <w:rsid w:val="00EA53D3"/>
    <w:rsid w:val="00EA6DFA"/>
    <w:rsid w:val="00EB04B1"/>
    <w:rsid w:val="00EB0DAD"/>
    <w:rsid w:val="00EB127E"/>
    <w:rsid w:val="00EB188F"/>
    <w:rsid w:val="00EB2A6D"/>
    <w:rsid w:val="00EB3DE2"/>
    <w:rsid w:val="00EB5EBB"/>
    <w:rsid w:val="00EB65AA"/>
    <w:rsid w:val="00EB6A1E"/>
    <w:rsid w:val="00EB6A79"/>
    <w:rsid w:val="00EB7A91"/>
    <w:rsid w:val="00EB7E2B"/>
    <w:rsid w:val="00EC302D"/>
    <w:rsid w:val="00EC36B1"/>
    <w:rsid w:val="00EC5E6F"/>
    <w:rsid w:val="00EC60D9"/>
    <w:rsid w:val="00EC6FF0"/>
    <w:rsid w:val="00ED1618"/>
    <w:rsid w:val="00ED2F3C"/>
    <w:rsid w:val="00ED3CF2"/>
    <w:rsid w:val="00ED5578"/>
    <w:rsid w:val="00ED7873"/>
    <w:rsid w:val="00ED7AAA"/>
    <w:rsid w:val="00EE12C4"/>
    <w:rsid w:val="00EE1B8E"/>
    <w:rsid w:val="00EE25D7"/>
    <w:rsid w:val="00EE2E79"/>
    <w:rsid w:val="00EE3032"/>
    <w:rsid w:val="00EE5124"/>
    <w:rsid w:val="00EE51B7"/>
    <w:rsid w:val="00EE639D"/>
    <w:rsid w:val="00EE7BAD"/>
    <w:rsid w:val="00EF0D44"/>
    <w:rsid w:val="00EF12AC"/>
    <w:rsid w:val="00EF2FD6"/>
    <w:rsid w:val="00EF31D9"/>
    <w:rsid w:val="00EF4047"/>
    <w:rsid w:val="00EF44FA"/>
    <w:rsid w:val="00EF474A"/>
    <w:rsid w:val="00EF6144"/>
    <w:rsid w:val="00EF6A18"/>
    <w:rsid w:val="00EF6DB5"/>
    <w:rsid w:val="00F00CCB"/>
    <w:rsid w:val="00F044A0"/>
    <w:rsid w:val="00F1049B"/>
    <w:rsid w:val="00F10F60"/>
    <w:rsid w:val="00F1171F"/>
    <w:rsid w:val="00F12852"/>
    <w:rsid w:val="00F13F44"/>
    <w:rsid w:val="00F14EFD"/>
    <w:rsid w:val="00F16FB0"/>
    <w:rsid w:val="00F16FD6"/>
    <w:rsid w:val="00F170B9"/>
    <w:rsid w:val="00F17363"/>
    <w:rsid w:val="00F17D3A"/>
    <w:rsid w:val="00F22171"/>
    <w:rsid w:val="00F228A0"/>
    <w:rsid w:val="00F243DA"/>
    <w:rsid w:val="00F258DE"/>
    <w:rsid w:val="00F265CC"/>
    <w:rsid w:val="00F26CCB"/>
    <w:rsid w:val="00F271C2"/>
    <w:rsid w:val="00F325C1"/>
    <w:rsid w:val="00F3318E"/>
    <w:rsid w:val="00F33396"/>
    <w:rsid w:val="00F33F68"/>
    <w:rsid w:val="00F34CF1"/>
    <w:rsid w:val="00F34DF7"/>
    <w:rsid w:val="00F359B4"/>
    <w:rsid w:val="00F36D63"/>
    <w:rsid w:val="00F36DAC"/>
    <w:rsid w:val="00F40451"/>
    <w:rsid w:val="00F40B18"/>
    <w:rsid w:val="00F431DD"/>
    <w:rsid w:val="00F43E93"/>
    <w:rsid w:val="00F43FC8"/>
    <w:rsid w:val="00F454F6"/>
    <w:rsid w:val="00F459A4"/>
    <w:rsid w:val="00F46732"/>
    <w:rsid w:val="00F4786C"/>
    <w:rsid w:val="00F47D7C"/>
    <w:rsid w:val="00F500FB"/>
    <w:rsid w:val="00F509E1"/>
    <w:rsid w:val="00F511CB"/>
    <w:rsid w:val="00F51541"/>
    <w:rsid w:val="00F52448"/>
    <w:rsid w:val="00F53AE9"/>
    <w:rsid w:val="00F53F79"/>
    <w:rsid w:val="00F60062"/>
    <w:rsid w:val="00F61B4C"/>
    <w:rsid w:val="00F6419F"/>
    <w:rsid w:val="00F64F46"/>
    <w:rsid w:val="00F7026D"/>
    <w:rsid w:val="00F72786"/>
    <w:rsid w:val="00F7377A"/>
    <w:rsid w:val="00F73E94"/>
    <w:rsid w:val="00F7435E"/>
    <w:rsid w:val="00F74D67"/>
    <w:rsid w:val="00F750A1"/>
    <w:rsid w:val="00F751A7"/>
    <w:rsid w:val="00F75267"/>
    <w:rsid w:val="00F75D97"/>
    <w:rsid w:val="00F75DFA"/>
    <w:rsid w:val="00F75EB7"/>
    <w:rsid w:val="00F77452"/>
    <w:rsid w:val="00F80B55"/>
    <w:rsid w:val="00F80B7F"/>
    <w:rsid w:val="00F838B0"/>
    <w:rsid w:val="00F861F2"/>
    <w:rsid w:val="00F86F79"/>
    <w:rsid w:val="00F91EE2"/>
    <w:rsid w:val="00F92F68"/>
    <w:rsid w:val="00F961BF"/>
    <w:rsid w:val="00F97046"/>
    <w:rsid w:val="00FA0C38"/>
    <w:rsid w:val="00FA0E00"/>
    <w:rsid w:val="00FA1169"/>
    <w:rsid w:val="00FA1B11"/>
    <w:rsid w:val="00FA344A"/>
    <w:rsid w:val="00FA4342"/>
    <w:rsid w:val="00FA4E10"/>
    <w:rsid w:val="00FA5404"/>
    <w:rsid w:val="00FA5CEF"/>
    <w:rsid w:val="00FA5DA8"/>
    <w:rsid w:val="00FA6884"/>
    <w:rsid w:val="00FA7F45"/>
    <w:rsid w:val="00FB22F0"/>
    <w:rsid w:val="00FB3DE2"/>
    <w:rsid w:val="00FB4446"/>
    <w:rsid w:val="00FB4491"/>
    <w:rsid w:val="00FB4CCD"/>
    <w:rsid w:val="00FB5301"/>
    <w:rsid w:val="00FB616D"/>
    <w:rsid w:val="00FC031B"/>
    <w:rsid w:val="00FC17B6"/>
    <w:rsid w:val="00FC43FE"/>
    <w:rsid w:val="00FC45F3"/>
    <w:rsid w:val="00FC5582"/>
    <w:rsid w:val="00FC5EA1"/>
    <w:rsid w:val="00FC6492"/>
    <w:rsid w:val="00FC742E"/>
    <w:rsid w:val="00FD0EB9"/>
    <w:rsid w:val="00FD1103"/>
    <w:rsid w:val="00FD12BB"/>
    <w:rsid w:val="00FD3C2A"/>
    <w:rsid w:val="00FD481A"/>
    <w:rsid w:val="00FD4A53"/>
    <w:rsid w:val="00FD51D0"/>
    <w:rsid w:val="00FD6937"/>
    <w:rsid w:val="00FD7F45"/>
    <w:rsid w:val="00FE1983"/>
    <w:rsid w:val="00FE333E"/>
    <w:rsid w:val="00FE4609"/>
    <w:rsid w:val="00FE5AB8"/>
    <w:rsid w:val="00FE72E3"/>
    <w:rsid w:val="00FF12E4"/>
    <w:rsid w:val="00FF3358"/>
    <w:rsid w:val="00FF3414"/>
    <w:rsid w:val="00FF463C"/>
    <w:rsid w:val="00FF52F1"/>
    <w:rsid w:val="00FF684C"/>
    <w:rsid w:val="00FF69C1"/>
    <w:rsid w:val="020B8354"/>
    <w:rsid w:val="035802A0"/>
    <w:rsid w:val="0396A09B"/>
    <w:rsid w:val="03B1F2A3"/>
    <w:rsid w:val="0B7E8244"/>
    <w:rsid w:val="0CA4853B"/>
    <w:rsid w:val="10D8DFBC"/>
    <w:rsid w:val="22B0477C"/>
    <w:rsid w:val="25800DC5"/>
    <w:rsid w:val="25FD1F24"/>
    <w:rsid w:val="2799215B"/>
    <w:rsid w:val="2D0F1141"/>
    <w:rsid w:val="2E345924"/>
    <w:rsid w:val="2F9708A3"/>
    <w:rsid w:val="30FB9575"/>
    <w:rsid w:val="38E68D76"/>
    <w:rsid w:val="3B4F5A36"/>
    <w:rsid w:val="3CEA5530"/>
    <w:rsid w:val="4023C778"/>
    <w:rsid w:val="4AE1F536"/>
    <w:rsid w:val="4C1EBA69"/>
    <w:rsid w:val="5016318C"/>
    <w:rsid w:val="5140EBE2"/>
    <w:rsid w:val="518F311D"/>
    <w:rsid w:val="56A24A7C"/>
    <w:rsid w:val="60474868"/>
    <w:rsid w:val="64245F67"/>
    <w:rsid w:val="686E6614"/>
    <w:rsid w:val="6B585298"/>
    <w:rsid w:val="6E5BF15E"/>
    <w:rsid w:val="6FEF83A0"/>
    <w:rsid w:val="72165CC1"/>
    <w:rsid w:val="77CC1843"/>
    <w:rsid w:val="78CEA4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5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A3C"/>
    <w:pPr>
      <w:tabs>
        <w:tab w:val="left" w:pos="1069"/>
      </w:tabs>
      <w:spacing w:line="276" w:lineRule="auto"/>
    </w:pPr>
    <w:rPr>
      <w:rFonts w:ascii="Franklin Gothic Book" w:hAnsi="Franklin Gothic Book"/>
      <w:sz w:val="24"/>
      <w:szCs w:val="24"/>
      <w:lang w:bidi="en-US"/>
    </w:rPr>
  </w:style>
  <w:style w:type="paragraph" w:styleId="Heading1">
    <w:name w:val="heading 1"/>
    <w:basedOn w:val="Normal"/>
    <w:next w:val="Normal"/>
    <w:link w:val="Heading1Char"/>
    <w:uiPriority w:val="9"/>
    <w:qFormat/>
    <w:rsid w:val="004F2DAE"/>
    <w:pPr>
      <w:outlineLvl w:val="0"/>
    </w:pPr>
    <w:rPr>
      <w:b/>
      <w:sz w:val="28"/>
      <w:szCs w:val="28"/>
    </w:rPr>
  </w:style>
  <w:style w:type="paragraph" w:styleId="Heading2">
    <w:name w:val="heading 2"/>
    <w:basedOn w:val="Normal"/>
    <w:next w:val="Normal"/>
    <w:link w:val="Heading2Char"/>
    <w:uiPriority w:val="9"/>
    <w:qFormat/>
    <w:rsid w:val="004F2DAE"/>
    <w:pPr>
      <w:outlineLvl w:val="1"/>
    </w:pPr>
    <w:rPr>
      <w:b/>
    </w:rPr>
  </w:style>
  <w:style w:type="paragraph" w:styleId="Heading3">
    <w:name w:val="heading 3"/>
    <w:basedOn w:val="Normal"/>
    <w:next w:val="Normal"/>
    <w:link w:val="Heading3Char"/>
    <w:uiPriority w:val="9"/>
    <w:qFormat/>
    <w:rsid w:val="00FF463C"/>
    <w:pPr>
      <w:outlineLvl w:val="2"/>
    </w:pPr>
    <w:rPr>
      <w:b/>
    </w:rPr>
  </w:style>
  <w:style w:type="paragraph" w:styleId="Heading4">
    <w:name w:val="heading 4"/>
    <w:aliases w:val="Table titles"/>
    <w:basedOn w:val="Normal"/>
    <w:next w:val="Normal"/>
    <w:link w:val="Heading4Char"/>
    <w:uiPriority w:val="9"/>
    <w:qFormat/>
    <w:rsid w:val="004F2DAE"/>
    <w:pPr>
      <w:outlineLvl w:val="3"/>
    </w:pPr>
    <w:rPr>
      <w:b/>
    </w:rPr>
  </w:style>
  <w:style w:type="paragraph" w:styleId="Heading5">
    <w:name w:val="heading 5"/>
    <w:basedOn w:val="Normal"/>
    <w:next w:val="Normal"/>
    <w:link w:val="Heading5Char"/>
    <w:uiPriority w:val="9"/>
    <w:qFormat/>
    <w:rsid w:val="00FD7F45"/>
    <w:pPr>
      <w:spacing w:before="20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F2DAE"/>
    <w:rPr>
      <w:rFonts w:ascii="Franklin Gothic Book" w:hAnsi="Franklin Gothic Book"/>
      <w:b/>
      <w:sz w:val="28"/>
      <w:szCs w:val="28"/>
      <w:lang w:bidi="en-US"/>
    </w:rPr>
  </w:style>
  <w:style w:type="character" w:customStyle="1" w:styleId="Heading2Char">
    <w:name w:val="Heading 2 Char"/>
    <w:link w:val="Heading2"/>
    <w:uiPriority w:val="9"/>
    <w:rsid w:val="004F2DAE"/>
    <w:rPr>
      <w:rFonts w:ascii="Franklin Gothic Book" w:hAnsi="Franklin Gothic Book"/>
      <w:b/>
      <w:sz w:val="24"/>
      <w:szCs w:val="24"/>
      <w:lang w:bidi="en-US"/>
    </w:rPr>
  </w:style>
  <w:style w:type="character" w:customStyle="1" w:styleId="Heading3Char">
    <w:name w:val="Heading 3 Char"/>
    <w:link w:val="Heading3"/>
    <w:uiPriority w:val="9"/>
    <w:rsid w:val="00FF463C"/>
    <w:rPr>
      <w:rFonts w:ascii="Franklin Gothic Book" w:hAnsi="Franklin Gothic Book"/>
      <w:b/>
      <w:sz w:val="24"/>
      <w:szCs w:val="24"/>
      <w:lang w:bidi="en-US"/>
    </w:rPr>
  </w:style>
  <w:style w:type="character" w:customStyle="1" w:styleId="Heading4Char">
    <w:name w:val="Heading 4 Char"/>
    <w:aliases w:val="Table titles Char"/>
    <w:link w:val="Heading4"/>
    <w:uiPriority w:val="9"/>
    <w:rsid w:val="004F2DAE"/>
    <w:rPr>
      <w:rFonts w:ascii="Franklin Gothic Book" w:hAnsi="Franklin Gothic Book"/>
      <w:b/>
      <w:sz w:val="24"/>
      <w:szCs w:val="24"/>
      <w:lang w:bidi="en-U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8Char">
    <w:name w:val="Heading 8 Char"/>
    <w:link w:val="Heading8"/>
    <w:uiPriority w:val="9"/>
    <w:rsid w:val="00FD7F45"/>
    <w:rPr>
      <w:rFonts w:ascii="Cambria" w:eastAsia="Times New Roman" w:hAnsi="Cambria" w:cs="Times New Roman"/>
      <w:sz w:val="20"/>
      <w:szCs w:val="20"/>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uiPriority w:val="99"/>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line="240" w:lineRule="auto"/>
    </w:pPr>
  </w:style>
  <w:style w:type="paragraph" w:styleId="ListParagraph">
    <w:name w:val="List Paragraph"/>
    <w:basedOn w:val="Normal"/>
    <w:link w:val="ListParagraphChar"/>
    <w:uiPriority w:val="34"/>
    <w:qFormat/>
    <w:rsid w:val="00FD7F45"/>
    <w:pPr>
      <w:ind w:left="720"/>
      <w:contextualSpacing/>
    </w:pPr>
  </w:style>
  <w:style w:type="character" w:customStyle="1" w:styleId="ListParagraphChar">
    <w:name w:val="List Paragraph Char"/>
    <w:basedOn w:val="DefaultParagraphFont"/>
    <w:link w:val="ListParagraph"/>
    <w:uiPriority w:val="34"/>
    <w:locked/>
    <w:rsid w:val="003948C7"/>
    <w:rPr>
      <w:rFonts w:ascii="Franklin Gothic Book" w:hAnsi="Franklin Gothic Book"/>
      <w:sz w:val="24"/>
      <w:szCs w:val="24"/>
      <w:lang w:bidi="en-US"/>
    </w:rPr>
  </w:style>
  <w:style w:type="paragraph" w:styleId="Quote">
    <w:name w:val="Quote"/>
    <w:basedOn w:val="Normal"/>
    <w:next w:val="Normal"/>
    <w:link w:val="QuoteChar"/>
    <w:uiPriority w:val="29"/>
    <w:qFormat/>
    <w:rsid w:val="00FD7F45"/>
    <w:pPr>
      <w:spacing w:before="20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character" w:customStyle="1" w:styleId="boldredChar">
    <w:name w:val="bold red Char"/>
    <w:link w:val="boldred"/>
    <w:rsid w:val="00FD7F45"/>
    <w:rPr>
      <w:b/>
      <w:color w:val="FF0000"/>
    </w:rPr>
  </w:style>
  <w:style w:type="paragraph" w:styleId="Caption">
    <w:name w:val="caption"/>
    <w:basedOn w:val="Normal"/>
    <w:next w:val="Normal"/>
    <w:uiPriority w:val="35"/>
    <w:qFormat/>
    <w:rsid w:val="000D4BB3"/>
    <w:rPr>
      <w:rFonts w:eastAsia="Calibri"/>
      <w:b/>
      <w:bCs/>
      <w:sz w:val="20"/>
      <w:szCs w:val="20"/>
      <w:lang w:bidi="ar-SA"/>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line="240" w:lineRule="auto"/>
      <w:ind w:left="720"/>
    </w:pPr>
    <w:rPr>
      <w:rFonts w:ascii="Arial" w:hAnsi="Arial" w:cs="Arial"/>
      <w:lang w:bidi="ar-SA"/>
    </w:rPr>
  </w:style>
  <w:style w:type="paragraph" w:styleId="NormalWeb">
    <w:name w:val="Normal (Web)"/>
    <w:basedOn w:val="Normal"/>
    <w:uiPriority w:val="99"/>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line="240" w:lineRule="auto"/>
    </w:pPr>
    <w:rPr>
      <w:rFonts w:ascii="Times New Roman" w:eastAsiaTheme="minorHAnsi" w:hAnsi="Times New Roman"/>
      <w:color w:val="000000"/>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table" w:customStyle="1" w:styleId="TableGrid1">
    <w:name w:val="Table Grid1"/>
    <w:basedOn w:val="TableNormal"/>
    <w:next w:val="TableGrid"/>
    <w:uiPriority w:val="59"/>
    <w:rsid w:val="006074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04C1"/>
    <w:rPr>
      <w:sz w:val="22"/>
      <w:szCs w:val="22"/>
      <w:lang w:bidi="en-US"/>
    </w:rPr>
  </w:style>
  <w:style w:type="table" w:customStyle="1" w:styleId="ShadedStyle2-TCC1">
    <w:name w:val="Shaded Style 2 - TCC1"/>
    <w:basedOn w:val="TableNormal"/>
    <w:uiPriority w:val="99"/>
    <w:rsid w:val="00196539"/>
    <w:rPr>
      <w:rFonts w:ascii="Corbel" w:eastAsiaTheme="minorHAnsi" w:hAnsi="Corbel" w:cstheme="minorBidi"/>
      <w:sz w:val="22"/>
      <w:szCs w:val="22"/>
    </w:rPr>
    <w:tblPr>
      <w:tblStyleRow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FFFFFF" w:themeFill="background1"/>
      <w:vAlign w:val="center"/>
    </w:tcPr>
    <w:tblStylePr w:type="firstRow">
      <w:pPr>
        <w:jc w:val="center"/>
      </w:pPr>
      <w:rPr>
        <w:rFonts w:ascii="Corbel" w:hAnsi="Corbel"/>
        <w:b/>
        <w:color w:val="FFFFFF" w:themeColor="background1"/>
        <w:sz w:val="22"/>
      </w:rPr>
      <w:tblPr/>
      <w:tcPr>
        <w:shd w:val="clear" w:color="auto" w:fill="2D2C7C" w:themeFill="text2"/>
      </w:tcPr>
    </w:tblStylePr>
    <w:tblStylePr w:type="firstCol">
      <w:pPr>
        <w:jc w:val="left"/>
      </w:pPr>
      <w:rPr>
        <w:rFonts w:ascii="Corbel" w:hAnsi="Corbel"/>
        <w:b/>
        <w:color w:val="auto"/>
        <w:sz w:val="22"/>
      </w:rPr>
    </w:tblStylePr>
    <w:tblStylePr w:type="band1Horz">
      <w:pPr>
        <w:jc w:val="left"/>
      </w:pPr>
      <w:tblPr/>
      <w:tcPr>
        <w:tcBorders>
          <w:top w:val="nil"/>
          <w:left w:val="nil"/>
          <w:bottom w:val="nil"/>
          <w:right w:val="nil"/>
          <w:insideH w:val="nil"/>
          <w:insideV w:val="nil"/>
          <w:tl2br w:val="nil"/>
          <w:tr2bl w:val="nil"/>
        </w:tcBorders>
        <w:shd w:val="clear" w:color="auto" w:fill="FFFFFF" w:themeFill="background1"/>
      </w:tcPr>
    </w:tblStylePr>
    <w:tblStylePr w:type="band2Horz">
      <w:pPr>
        <w:jc w:val="left"/>
      </w:pPr>
      <w:tblPr/>
      <w:tcPr>
        <w:shd w:val="clear" w:color="auto" w:fill="CCCCED" w:themeFill="text2" w:themeFillTint="33"/>
      </w:tcPr>
    </w:tblStylePr>
  </w:style>
  <w:style w:type="character" w:customStyle="1" w:styleId="font1">
    <w:name w:val="font1"/>
    <w:basedOn w:val="DefaultParagraphFont"/>
    <w:rsid w:val="004669FF"/>
    <w:rPr>
      <w:rFonts w:ascii="Verdana" w:hAnsi="Verdana" w:hint="default"/>
      <w:color w:val="595E59"/>
      <w:sz w:val="18"/>
      <w:szCs w:val="18"/>
    </w:rPr>
  </w:style>
  <w:style w:type="paragraph" w:styleId="TOC1">
    <w:name w:val="toc 1"/>
    <w:basedOn w:val="Normal"/>
    <w:next w:val="Normal"/>
    <w:autoRedefine/>
    <w:uiPriority w:val="39"/>
    <w:unhideWhenUsed/>
    <w:rsid w:val="00EA45F3"/>
    <w:pPr>
      <w:tabs>
        <w:tab w:val="clear" w:pos="1069"/>
      </w:tabs>
      <w:spacing w:after="100"/>
    </w:pPr>
  </w:style>
  <w:style w:type="paragraph" w:styleId="TOC3">
    <w:name w:val="toc 3"/>
    <w:basedOn w:val="Normal"/>
    <w:next w:val="Normal"/>
    <w:autoRedefine/>
    <w:uiPriority w:val="39"/>
    <w:unhideWhenUsed/>
    <w:rsid w:val="00EA45F3"/>
    <w:pPr>
      <w:tabs>
        <w:tab w:val="clear" w:pos="1069"/>
      </w:tabs>
      <w:spacing w:after="100"/>
      <w:ind w:left="480"/>
    </w:pPr>
  </w:style>
  <w:style w:type="paragraph" w:styleId="TOC2">
    <w:name w:val="toc 2"/>
    <w:basedOn w:val="Normal"/>
    <w:next w:val="Normal"/>
    <w:autoRedefine/>
    <w:uiPriority w:val="39"/>
    <w:unhideWhenUsed/>
    <w:rsid w:val="00EA45F3"/>
    <w:pPr>
      <w:tabs>
        <w:tab w:val="clear" w:pos="1069"/>
      </w:tabs>
      <w:spacing w:after="100"/>
      <w:ind w:left="240"/>
    </w:pPr>
  </w:style>
  <w:style w:type="character" w:customStyle="1" w:styleId="apple-style-span">
    <w:name w:val="apple-style-span"/>
    <w:basedOn w:val="DefaultParagraphFont"/>
    <w:rsid w:val="00EA45F3"/>
  </w:style>
  <w:style w:type="character" w:styleId="PlaceholderText">
    <w:name w:val="Placeholder Text"/>
    <w:basedOn w:val="DefaultParagraphFont"/>
    <w:uiPriority w:val="99"/>
    <w:semiHidden/>
    <w:rsid w:val="00EA45F3"/>
    <w:rPr>
      <w:color w:val="808080"/>
    </w:rPr>
  </w:style>
  <w:style w:type="table" w:styleId="TableGridLight">
    <w:name w:val="Grid Table Light"/>
    <w:basedOn w:val="TableNormal"/>
    <w:uiPriority w:val="40"/>
    <w:rsid w:val="00EA45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6D0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89662306">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134495407">
      <w:bodyDiv w:val="1"/>
      <w:marLeft w:val="0"/>
      <w:marRight w:val="0"/>
      <w:marTop w:val="0"/>
      <w:marBottom w:val="0"/>
      <w:divBdr>
        <w:top w:val="none" w:sz="0" w:space="0" w:color="auto"/>
        <w:left w:val="none" w:sz="0" w:space="0" w:color="auto"/>
        <w:bottom w:val="none" w:sz="0" w:space="0" w:color="auto"/>
        <w:right w:val="none" w:sz="0" w:space="0" w:color="auto"/>
      </w:divBdr>
    </w:div>
    <w:div w:id="154223636">
      <w:bodyDiv w:val="1"/>
      <w:marLeft w:val="0"/>
      <w:marRight w:val="0"/>
      <w:marTop w:val="0"/>
      <w:marBottom w:val="0"/>
      <w:divBdr>
        <w:top w:val="none" w:sz="0" w:space="0" w:color="auto"/>
        <w:left w:val="none" w:sz="0" w:space="0" w:color="auto"/>
        <w:bottom w:val="none" w:sz="0" w:space="0" w:color="auto"/>
        <w:right w:val="none" w:sz="0" w:space="0" w:color="auto"/>
      </w:divBdr>
    </w:div>
    <w:div w:id="212887812">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347370053">
      <w:bodyDiv w:val="1"/>
      <w:marLeft w:val="0"/>
      <w:marRight w:val="0"/>
      <w:marTop w:val="0"/>
      <w:marBottom w:val="0"/>
      <w:divBdr>
        <w:top w:val="none" w:sz="0" w:space="0" w:color="auto"/>
        <w:left w:val="none" w:sz="0" w:space="0" w:color="auto"/>
        <w:bottom w:val="none" w:sz="0" w:space="0" w:color="auto"/>
        <w:right w:val="none" w:sz="0" w:space="0" w:color="auto"/>
      </w:divBdr>
    </w:div>
    <w:div w:id="388265271">
      <w:bodyDiv w:val="1"/>
      <w:marLeft w:val="0"/>
      <w:marRight w:val="0"/>
      <w:marTop w:val="0"/>
      <w:marBottom w:val="0"/>
      <w:divBdr>
        <w:top w:val="none" w:sz="0" w:space="0" w:color="auto"/>
        <w:left w:val="none" w:sz="0" w:space="0" w:color="auto"/>
        <w:bottom w:val="none" w:sz="0" w:space="0" w:color="auto"/>
        <w:right w:val="none" w:sz="0" w:space="0" w:color="auto"/>
      </w:divBdr>
    </w:div>
    <w:div w:id="392780560">
      <w:bodyDiv w:val="1"/>
      <w:marLeft w:val="0"/>
      <w:marRight w:val="0"/>
      <w:marTop w:val="0"/>
      <w:marBottom w:val="0"/>
      <w:divBdr>
        <w:top w:val="none" w:sz="0" w:space="0" w:color="auto"/>
        <w:left w:val="none" w:sz="0" w:space="0" w:color="auto"/>
        <w:bottom w:val="none" w:sz="0" w:space="0" w:color="auto"/>
        <w:right w:val="none" w:sz="0" w:space="0" w:color="auto"/>
      </w:divBdr>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00479553">
      <w:bodyDiv w:val="1"/>
      <w:marLeft w:val="0"/>
      <w:marRight w:val="0"/>
      <w:marTop w:val="0"/>
      <w:marBottom w:val="0"/>
      <w:divBdr>
        <w:top w:val="none" w:sz="0" w:space="0" w:color="auto"/>
        <w:left w:val="none" w:sz="0" w:space="0" w:color="auto"/>
        <w:bottom w:val="none" w:sz="0" w:space="0" w:color="auto"/>
        <w:right w:val="none" w:sz="0" w:space="0" w:color="auto"/>
      </w:divBdr>
    </w:div>
    <w:div w:id="793403766">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007366739">
      <w:bodyDiv w:val="1"/>
      <w:marLeft w:val="0"/>
      <w:marRight w:val="0"/>
      <w:marTop w:val="0"/>
      <w:marBottom w:val="0"/>
      <w:divBdr>
        <w:top w:val="none" w:sz="0" w:space="0" w:color="auto"/>
        <w:left w:val="none" w:sz="0" w:space="0" w:color="auto"/>
        <w:bottom w:val="none" w:sz="0" w:space="0" w:color="auto"/>
        <w:right w:val="none" w:sz="0" w:space="0" w:color="auto"/>
      </w:divBdr>
    </w:div>
    <w:div w:id="1029528449">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264919701">
      <w:bodyDiv w:val="1"/>
      <w:marLeft w:val="0"/>
      <w:marRight w:val="0"/>
      <w:marTop w:val="0"/>
      <w:marBottom w:val="0"/>
      <w:divBdr>
        <w:top w:val="none" w:sz="0" w:space="0" w:color="auto"/>
        <w:left w:val="none" w:sz="0" w:space="0" w:color="auto"/>
        <w:bottom w:val="none" w:sz="0" w:space="0" w:color="auto"/>
        <w:right w:val="none" w:sz="0" w:space="0" w:color="auto"/>
      </w:divBdr>
    </w:div>
    <w:div w:id="1318460206">
      <w:bodyDiv w:val="1"/>
      <w:marLeft w:val="0"/>
      <w:marRight w:val="0"/>
      <w:marTop w:val="0"/>
      <w:marBottom w:val="0"/>
      <w:divBdr>
        <w:top w:val="none" w:sz="0" w:space="0" w:color="auto"/>
        <w:left w:val="none" w:sz="0" w:space="0" w:color="auto"/>
        <w:bottom w:val="none" w:sz="0" w:space="0" w:color="auto"/>
        <w:right w:val="none" w:sz="0" w:space="0" w:color="auto"/>
      </w:divBdr>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68426283">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498812405">
      <w:bodyDiv w:val="1"/>
      <w:marLeft w:val="0"/>
      <w:marRight w:val="0"/>
      <w:marTop w:val="0"/>
      <w:marBottom w:val="0"/>
      <w:divBdr>
        <w:top w:val="none" w:sz="0" w:space="0" w:color="auto"/>
        <w:left w:val="none" w:sz="0" w:space="0" w:color="auto"/>
        <w:bottom w:val="none" w:sz="0" w:space="0" w:color="auto"/>
        <w:right w:val="none" w:sz="0" w:space="0" w:color="auto"/>
      </w:divBdr>
    </w:div>
    <w:div w:id="1823617833">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07378793">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 w:id="211131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TCC Group">
      <a:dk1>
        <a:sysClr val="windowText" lastClr="000000"/>
      </a:dk1>
      <a:lt1>
        <a:srgbClr val="FFFFFF"/>
      </a:lt1>
      <a:dk2>
        <a:srgbClr val="2D2C7C"/>
      </a:dk2>
      <a:lt2>
        <a:srgbClr val="6E6F71"/>
      </a:lt2>
      <a:accent1>
        <a:srgbClr val="419BC0"/>
      </a:accent1>
      <a:accent2>
        <a:srgbClr val="FDB73D"/>
      </a:accent2>
      <a:accent3>
        <a:srgbClr val="5B4999"/>
      </a:accent3>
      <a:accent4>
        <a:srgbClr val="E08027"/>
      </a:accent4>
      <a:accent5>
        <a:srgbClr val="538349"/>
      </a:accent5>
      <a:accent6>
        <a:srgbClr val="8A2E6C"/>
      </a:accent6>
      <a:hlink>
        <a:srgbClr val="2D2C7C"/>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Matthew Birnbaum</DisplayName>
        <AccountId>14</AccountId>
        <AccountType/>
      </UserInfo>
      <UserInfo>
        <DisplayName>Sandra Toro</DisplayName>
        <AccountId>58</AccountId>
        <AccountType/>
      </UserInfo>
      <UserInfo>
        <DisplayName>Christopher Reich</DisplayName>
        <AccountId>35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87447-AD5A-4BA2-878A-E195083A1A53}">
  <ds:schemaRefs>
    <ds:schemaRef ds:uri="http://schemas.microsoft.com/office/2006/metadata/properties"/>
    <ds:schemaRef ds:uri="http://schemas.microsoft.com/office/infopath/2007/PartnerControls"/>
    <ds:schemaRef ds:uri="5b7cd334-ef48-44ad-ba3d-dd607a2fcc1b"/>
  </ds:schemaRefs>
</ds:datastoreItem>
</file>

<file path=customXml/itemProps2.xml><?xml version="1.0" encoding="utf-8"?>
<ds:datastoreItem xmlns:ds="http://schemas.openxmlformats.org/officeDocument/2006/customXml" ds:itemID="{4BDAF415-139A-4BA1-8AC6-62CF6321DB8B}">
  <ds:schemaRefs>
    <ds:schemaRef ds:uri="http://schemas.microsoft.com/sharepoint/v3/contenttype/forms"/>
  </ds:schemaRefs>
</ds:datastoreItem>
</file>

<file path=customXml/itemProps3.xml><?xml version="1.0" encoding="utf-8"?>
<ds:datastoreItem xmlns:ds="http://schemas.openxmlformats.org/officeDocument/2006/customXml" ds:itemID="{ED0D0981-290B-4800-83C3-CBA79BA8CD73}"/>
</file>

<file path=customXml/itemProps4.xml><?xml version="1.0" encoding="utf-8"?>
<ds:datastoreItem xmlns:ds="http://schemas.openxmlformats.org/officeDocument/2006/customXml" ds:itemID="{2EA38AF1-9A5F-4624-B3AD-87FCC7F25FFD}">
  <ds:schemaRefs>
    <ds:schemaRef ds:uri="http://schemas.openxmlformats.org/officeDocument/2006/bibliography"/>
  </ds:schemaRefs>
</ds:datastoreItem>
</file>

<file path=customXml/itemProps5.xml><?xml version="1.0" encoding="utf-8"?>
<ds:datastoreItem xmlns:ds="http://schemas.openxmlformats.org/officeDocument/2006/customXml" ds:itemID="{D525F6B9-4365-4A06-95BF-04E34D7E8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4634</Words>
  <Characters>26414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30987</CharactersWithSpaces>
  <SharedDoc>false</SharedDoc>
  <HLinks>
    <vt:vector size="48" baseType="variant">
      <vt:variant>
        <vt:i4>4456562</vt:i4>
      </vt:variant>
      <vt:variant>
        <vt:i4>12</vt:i4>
      </vt:variant>
      <vt:variant>
        <vt:i4>0</vt:i4>
      </vt:variant>
      <vt:variant>
        <vt:i4>5</vt:i4>
      </vt:variant>
      <vt:variant>
        <vt:lpwstr>mailto:shackney@tccgrp.com</vt:lpwstr>
      </vt:variant>
      <vt:variant>
        <vt:lpwstr/>
      </vt:variant>
      <vt:variant>
        <vt:i4>3080195</vt:i4>
      </vt:variant>
      <vt:variant>
        <vt:i4>9</vt:i4>
      </vt:variant>
      <vt:variant>
        <vt:i4>0</vt:i4>
      </vt:variant>
      <vt:variant>
        <vt:i4>5</vt:i4>
      </vt:variant>
      <vt:variant>
        <vt:lpwstr>mailto:thausmann@tccgrp.com</vt:lpwstr>
      </vt:variant>
      <vt:variant>
        <vt:lpwstr/>
      </vt:variant>
      <vt:variant>
        <vt:i4>3604488</vt:i4>
      </vt:variant>
      <vt:variant>
        <vt:i4>6</vt:i4>
      </vt:variant>
      <vt:variant>
        <vt:i4>0</vt:i4>
      </vt:variant>
      <vt:variant>
        <vt:i4>5</vt:i4>
      </vt:variant>
      <vt:variant>
        <vt:lpwstr>mailto:lfrehill@imls.gov</vt:lpwstr>
      </vt:variant>
      <vt:variant>
        <vt:lpwstr/>
      </vt:variant>
      <vt:variant>
        <vt:i4>4718717</vt:i4>
      </vt:variant>
      <vt:variant>
        <vt:i4>3</vt:i4>
      </vt:variant>
      <vt:variant>
        <vt:i4>0</vt:i4>
      </vt:variant>
      <vt:variant>
        <vt:i4>5</vt:i4>
      </vt:variant>
      <vt:variant>
        <vt:lpwstr>mailto:creich@imls.gov</vt:lpwstr>
      </vt:variant>
      <vt:variant>
        <vt:lpwstr/>
      </vt:variant>
      <vt:variant>
        <vt:i4>1900628</vt:i4>
      </vt:variant>
      <vt:variant>
        <vt:i4>0</vt:i4>
      </vt:variant>
      <vt:variant>
        <vt:i4>0</vt:i4>
      </vt:variant>
      <vt:variant>
        <vt:i4>5</vt:i4>
      </vt:variant>
      <vt:variant>
        <vt:lpwstr>https://www.tccgrp.com/resource/ccat/</vt:lpwstr>
      </vt:variant>
      <vt:variant>
        <vt:lpwstr/>
      </vt:variant>
      <vt:variant>
        <vt:i4>3866673</vt:i4>
      </vt:variant>
      <vt:variant>
        <vt:i4>6</vt:i4>
      </vt:variant>
      <vt:variant>
        <vt:i4>0</vt:i4>
      </vt:variant>
      <vt:variant>
        <vt:i4>5</vt:i4>
      </vt:variant>
      <vt:variant>
        <vt:lpwstr>https://doi.org/10.1111/2041-210X.12860</vt:lpwstr>
      </vt:variant>
      <vt:variant>
        <vt:lpwstr/>
      </vt:variant>
      <vt:variant>
        <vt:i4>2621550</vt:i4>
      </vt:variant>
      <vt:variant>
        <vt:i4>3</vt:i4>
      </vt:variant>
      <vt:variant>
        <vt:i4>0</vt:i4>
      </vt:variant>
      <vt:variant>
        <vt:i4>5</vt:i4>
      </vt:variant>
      <vt:variant>
        <vt:lpwstr>http://www.officialmuseumdirectory.com/OMD/home</vt:lpwstr>
      </vt:variant>
      <vt:variant>
        <vt:lpwstr/>
      </vt:variant>
      <vt:variant>
        <vt:i4>4063338</vt:i4>
      </vt:variant>
      <vt:variant>
        <vt:i4>0</vt:i4>
      </vt:variant>
      <vt:variant>
        <vt:i4>0</vt:i4>
      </vt:variant>
      <vt:variant>
        <vt:i4>5</vt:i4>
      </vt:variant>
      <vt:variant>
        <vt:lpwstr>https://nces.ed.gov/surveys/ruraled/definitions.asp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2020-07-30T11:37:00Z</dcterms:created>
  <dcterms:modified xsi:type="dcterms:W3CDTF">2020-07-30T11:42:00Z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AuthorIds_UIVersion_12288">
    <vt:lpwstr>16</vt:lpwstr>
  </property>
  <property fmtid="{D5CDD505-2E9C-101B-9397-08002B2CF9AE}" pid="4" name="AuthorIds_UIVersion_512">
    <vt:lpwstr>16</vt:lpwstr>
  </property>
  <property fmtid="{D5CDD505-2E9C-101B-9397-08002B2CF9AE}" pid="5" name="AuthorIds_UIVersion_3584">
    <vt:lpwstr>16</vt:lpwstr>
  </property>
</Properties>
</file>