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0972" w:rsidR="00220972" w:rsidP="00220972" w:rsidRDefault="00220972">
      <w:pPr>
        <w:jc w:val="center"/>
        <w:rPr>
          <w:sz w:val="24"/>
          <w:szCs w:val="24"/>
        </w:rPr>
      </w:pPr>
      <w:r w:rsidRPr="00220972">
        <w:rPr>
          <w:sz w:val="24"/>
          <w:szCs w:val="24"/>
        </w:rPr>
        <w:t>National Credit Union Administration</w:t>
      </w:r>
    </w:p>
    <w:p w:rsidRPr="009F786F" w:rsidR="00DC2974" w:rsidRDefault="00C666E2">
      <w:pPr>
        <w:jc w:val="center"/>
        <w:rPr>
          <w:b/>
          <w:sz w:val="24"/>
          <w:szCs w:val="24"/>
        </w:rPr>
      </w:pPr>
      <w:r w:rsidRPr="009F786F">
        <w:rPr>
          <w:b/>
          <w:sz w:val="24"/>
          <w:szCs w:val="24"/>
        </w:rPr>
        <w:t>SUPPORTING STATEMENT</w:t>
      </w:r>
      <w:r w:rsidRPr="009F786F" w:rsidR="00DC2974">
        <w:rPr>
          <w:b/>
          <w:sz w:val="24"/>
          <w:szCs w:val="24"/>
        </w:rPr>
        <w:t xml:space="preserve"> </w:t>
      </w:r>
    </w:p>
    <w:p w:rsidRPr="009F786F" w:rsidR="009F786F" w:rsidRDefault="009F786F">
      <w:pPr>
        <w:jc w:val="center"/>
        <w:rPr>
          <w:b/>
          <w:sz w:val="24"/>
          <w:szCs w:val="24"/>
        </w:rPr>
      </w:pPr>
    </w:p>
    <w:p w:rsidRPr="00220972" w:rsidR="00DC2974" w:rsidRDefault="00DF4977">
      <w:pPr>
        <w:jc w:val="center"/>
        <w:rPr>
          <w:sz w:val="24"/>
          <w:szCs w:val="24"/>
        </w:rPr>
      </w:pPr>
      <w:r w:rsidRPr="00220972">
        <w:rPr>
          <w:sz w:val="24"/>
          <w:szCs w:val="24"/>
        </w:rPr>
        <w:t>Leasing</w:t>
      </w:r>
      <w:r w:rsidRPr="00220972" w:rsidR="00220972">
        <w:rPr>
          <w:sz w:val="24"/>
          <w:szCs w:val="24"/>
        </w:rPr>
        <w:t xml:space="preserve">, </w:t>
      </w:r>
      <w:r w:rsidRPr="00220972" w:rsidR="00DC2974">
        <w:rPr>
          <w:sz w:val="24"/>
          <w:szCs w:val="24"/>
        </w:rPr>
        <w:t>12 CFR Part 7</w:t>
      </w:r>
      <w:r w:rsidRPr="00220972">
        <w:rPr>
          <w:sz w:val="24"/>
          <w:szCs w:val="24"/>
        </w:rPr>
        <w:t>1</w:t>
      </w:r>
      <w:r w:rsidRPr="00220972" w:rsidR="00DC2974">
        <w:rPr>
          <w:sz w:val="24"/>
          <w:szCs w:val="24"/>
        </w:rPr>
        <w:t xml:space="preserve">4 </w:t>
      </w:r>
    </w:p>
    <w:p w:rsidRPr="00220972" w:rsidR="00DE75BB" w:rsidRDefault="00C666E2">
      <w:pPr>
        <w:jc w:val="center"/>
        <w:rPr>
          <w:sz w:val="24"/>
          <w:szCs w:val="24"/>
        </w:rPr>
      </w:pPr>
      <w:r w:rsidRPr="00220972">
        <w:rPr>
          <w:sz w:val="24"/>
          <w:szCs w:val="24"/>
        </w:rPr>
        <w:t xml:space="preserve">OMB Control Number:  </w:t>
      </w:r>
      <w:r w:rsidRPr="00220972" w:rsidR="00DF4977">
        <w:rPr>
          <w:sz w:val="24"/>
          <w:szCs w:val="24"/>
        </w:rPr>
        <w:t>3133-0151</w:t>
      </w:r>
    </w:p>
    <w:p w:rsidRPr="009F786F" w:rsidR="00DC2974" w:rsidRDefault="00DC2974">
      <w:pPr>
        <w:jc w:val="center"/>
        <w:rPr>
          <w:b/>
          <w:sz w:val="24"/>
          <w:szCs w:val="24"/>
        </w:rPr>
      </w:pPr>
    </w:p>
    <w:p w:rsidRPr="009F786F" w:rsidR="007A3CAC" w:rsidRDefault="007A3CAC">
      <w:pPr>
        <w:rPr>
          <w:b/>
          <w:sz w:val="24"/>
          <w:szCs w:val="24"/>
        </w:rPr>
      </w:pPr>
    </w:p>
    <w:p w:rsidRPr="009F786F" w:rsidR="00DC2974" w:rsidRDefault="00DC2974">
      <w:pPr>
        <w:rPr>
          <w:b/>
          <w:sz w:val="24"/>
          <w:szCs w:val="24"/>
        </w:rPr>
      </w:pPr>
      <w:r w:rsidRPr="009F786F">
        <w:rPr>
          <w:b/>
          <w:sz w:val="24"/>
          <w:szCs w:val="24"/>
        </w:rPr>
        <w:t xml:space="preserve">A.  </w:t>
      </w:r>
      <w:r w:rsidR="00220972">
        <w:rPr>
          <w:b/>
          <w:sz w:val="24"/>
          <w:szCs w:val="24"/>
        </w:rPr>
        <w:tab/>
      </w:r>
      <w:r w:rsidR="00220972">
        <w:rPr>
          <w:b/>
          <w:sz w:val="24"/>
          <w:szCs w:val="24"/>
        </w:rPr>
        <w:tab/>
      </w:r>
      <w:r w:rsidRPr="009F786F">
        <w:rPr>
          <w:b/>
          <w:sz w:val="24"/>
          <w:szCs w:val="24"/>
        </w:rPr>
        <w:t>JUSTIFICATION</w:t>
      </w:r>
    </w:p>
    <w:p w:rsidRPr="009F786F" w:rsidR="00DC2974" w:rsidRDefault="00DC2974">
      <w:pPr>
        <w:rPr>
          <w:b/>
          <w:sz w:val="24"/>
          <w:szCs w:val="24"/>
        </w:rPr>
      </w:pPr>
    </w:p>
    <w:p w:rsidRPr="009F786F" w:rsidR="00DC2974" w:rsidRDefault="00DC2974">
      <w:pPr>
        <w:rPr>
          <w:sz w:val="24"/>
          <w:szCs w:val="24"/>
        </w:rPr>
      </w:pPr>
      <w:r w:rsidRPr="009F786F">
        <w:rPr>
          <w:b/>
          <w:sz w:val="24"/>
          <w:szCs w:val="24"/>
        </w:rPr>
        <w:t>1.</w:t>
      </w:r>
      <w:r w:rsidRPr="009F786F">
        <w:rPr>
          <w:b/>
          <w:sz w:val="24"/>
          <w:szCs w:val="24"/>
        </w:rPr>
        <w:tab/>
      </w:r>
      <w:r w:rsidR="00220972">
        <w:rPr>
          <w:b/>
          <w:sz w:val="24"/>
          <w:szCs w:val="24"/>
        </w:rPr>
        <w:tab/>
      </w:r>
      <w:r w:rsidRPr="009F786F" w:rsidR="007F623B">
        <w:rPr>
          <w:b/>
          <w:sz w:val="24"/>
          <w:szCs w:val="24"/>
        </w:rPr>
        <w:t>C</w:t>
      </w:r>
      <w:r w:rsidRPr="009F786F">
        <w:rPr>
          <w:b/>
          <w:sz w:val="24"/>
          <w:szCs w:val="24"/>
        </w:rPr>
        <w:t xml:space="preserve">ircumstances </w:t>
      </w:r>
      <w:r w:rsidR="0048710C">
        <w:rPr>
          <w:b/>
          <w:sz w:val="24"/>
          <w:szCs w:val="24"/>
        </w:rPr>
        <w:t>that make the collection of information necessary.</w:t>
      </w:r>
    </w:p>
    <w:p w:rsidRPr="009F786F" w:rsidR="00DC2974" w:rsidRDefault="00DC2974">
      <w:pPr>
        <w:rPr>
          <w:sz w:val="24"/>
          <w:szCs w:val="24"/>
        </w:rPr>
      </w:pPr>
    </w:p>
    <w:p w:rsidRPr="009F786F" w:rsidR="00DF4977" w:rsidP="00CE50BA" w:rsidRDefault="00DF4977">
      <w:pPr>
        <w:overflowPunct/>
        <w:ind w:left="864"/>
        <w:textAlignment w:val="auto"/>
        <w:rPr>
          <w:sz w:val="24"/>
          <w:szCs w:val="24"/>
        </w:rPr>
      </w:pPr>
      <w:r w:rsidRPr="009F786F">
        <w:rPr>
          <w:sz w:val="24"/>
          <w:szCs w:val="24"/>
        </w:rPr>
        <w:t>Section 714.5 of NCUA’s Regulations requires a federal credit union engaged in leasing to obtain or have on file financial documentation demonstrating that the guarantor of an estimated residual value has the resources to meet the guarantee.</w:t>
      </w:r>
    </w:p>
    <w:p w:rsidRPr="009F786F" w:rsidR="00DF4977" w:rsidP="00DF4977" w:rsidRDefault="00DF4977">
      <w:pPr>
        <w:overflowPunct/>
        <w:textAlignment w:val="auto"/>
        <w:rPr>
          <w:sz w:val="24"/>
          <w:szCs w:val="24"/>
        </w:rPr>
      </w:pPr>
    </w:p>
    <w:p w:rsidRPr="009F786F" w:rsidR="00DF4977" w:rsidP="00CE50BA" w:rsidRDefault="00DF4977">
      <w:pPr>
        <w:overflowPunct/>
        <w:ind w:left="864"/>
        <w:textAlignment w:val="auto"/>
        <w:rPr>
          <w:sz w:val="24"/>
          <w:szCs w:val="24"/>
        </w:rPr>
      </w:pPr>
      <w:r w:rsidRPr="009F786F">
        <w:rPr>
          <w:sz w:val="24"/>
          <w:szCs w:val="24"/>
        </w:rPr>
        <w:t>Estimated residual value is the projected future value of leased property at lease end. The accuracy of the estimated residual values used in a lease program is a fundamental element in the success or failure of a lease program. The higher the estimated residual values used by a federal credit union, the greater the potential for loss. To mitigate this risk, the leasing rule requires that if the amount of the estimated residual value relied on by the federal credit union to satisfy the full payout lease requirement exceeds 25 percent of the original cost of the leased property, the credit union must obtain a guarantee of the excess from a financially capable party.</w:t>
      </w:r>
    </w:p>
    <w:p w:rsidRPr="009F786F" w:rsidR="00DF4977" w:rsidP="00DF4977" w:rsidRDefault="00DF4977">
      <w:pPr>
        <w:rPr>
          <w:sz w:val="24"/>
          <w:szCs w:val="24"/>
        </w:rPr>
      </w:pPr>
    </w:p>
    <w:p w:rsidRPr="009F786F" w:rsidR="00DC2974" w:rsidP="00CE50BA" w:rsidRDefault="00DF4977">
      <w:pPr>
        <w:ind w:left="864"/>
        <w:rPr>
          <w:sz w:val="24"/>
          <w:szCs w:val="24"/>
        </w:rPr>
      </w:pPr>
      <w:r w:rsidRPr="009F786F">
        <w:rPr>
          <w:sz w:val="24"/>
          <w:szCs w:val="24"/>
        </w:rPr>
        <w:t>If the guarantor cannot meet its guarantee, a federal credit union may suffer serious financial loss. Accordingly, it is important that a federal credit union documents that a guarantor has the financial resources and capability to meet the guarantee. If the guarantor is an insurance company, the federal credit union may satisfy this record keeping requirement by obtaining and maintaining information demonstrating that the insurance company has a rating equivalent to a B+ or better from a major rating company.</w:t>
      </w:r>
    </w:p>
    <w:p w:rsidRPr="009F786F" w:rsidR="00DF4977" w:rsidP="00DF4977" w:rsidRDefault="00DF4977">
      <w:pPr>
        <w:rPr>
          <w:sz w:val="24"/>
          <w:szCs w:val="24"/>
        </w:rPr>
      </w:pPr>
    </w:p>
    <w:p w:rsidRPr="009F786F" w:rsidR="00DE75BB" w:rsidRDefault="00DC2974">
      <w:pPr>
        <w:rPr>
          <w:b/>
          <w:sz w:val="24"/>
          <w:szCs w:val="24"/>
        </w:rPr>
      </w:pPr>
      <w:r w:rsidRPr="009F786F">
        <w:rPr>
          <w:b/>
          <w:sz w:val="24"/>
          <w:szCs w:val="24"/>
        </w:rPr>
        <w:t>2.</w:t>
      </w:r>
      <w:r w:rsidRPr="009F786F">
        <w:rPr>
          <w:b/>
          <w:sz w:val="24"/>
          <w:szCs w:val="24"/>
        </w:rPr>
        <w:tab/>
      </w:r>
      <w:r w:rsidR="00220972">
        <w:rPr>
          <w:b/>
          <w:sz w:val="24"/>
          <w:szCs w:val="24"/>
        </w:rPr>
        <w:tab/>
      </w:r>
      <w:r w:rsidR="0048710C">
        <w:rPr>
          <w:b/>
          <w:sz w:val="24"/>
          <w:szCs w:val="24"/>
        </w:rPr>
        <w:t>Purpose and use of the information c</w:t>
      </w:r>
      <w:r w:rsidRPr="009F786F" w:rsidR="00E3463D">
        <w:rPr>
          <w:b/>
          <w:sz w:val="24"/>
          <w:szCs w:val="24"/>
        </w:rPr>
        <w:t>ollection</w:t>
      </w:r>
      <w:r w:rsidR="0048710C">
        <w:rPr>
          <w:b/>
          <w:sz w:val="24"/>
          <w:szCs w:val="24"/>
        </w:rPr>
        <w:t>.</w:t>
      </w:r>
    </w:p>
    <w:p w:rsidRPr="009F786F" w:rsidR="00DE75BB" w:rsidRDefault="00DE75BB">
      <w:pPr>
        <w:rPr>
          <w:sz w:val="24"/>
          <w:szCs w:val="24"/>
        </w:rPr>
      </w:pPr>
    </w:p>
    <w:p w:rsidRPr="009F786F" w:rsidR="00DF4977" w:rsidP="00CE50BA" w:rsidRDefault="00DF4977">
      <w:pPr>
        <w:ind w:left="864"/>
        <w:rPr>
          <w:sz w:val="24"/>
          <w:szCs w:val="24"/>
        </w:rPr>
      </w:pPr>
      <w:r w:rsidRPr="009F786F">
        <w:rPr>
          <w:sz w:val="24"/>
          <w:szCs w:val="24"/>
        </w:rPr>
        <w:t>A federal credit union will use the information to analyze and evaluate the financial capabilities and resources of a party that guarantees the residual value used in a leasing arrangement.</w:t>
      </w:r>
    </w:p>
    <w:p w:rsidRPr="009F786F" w:rsidR="00DF4977" w:rsidRDefault="00DF4977">
      <w:pPr>
        <w:rPr>
          <w:sz w:val="24"/>
          <w:szCs w:val="24"/>
        </w:rPr>
      </w:pPr>
    </w:p>
    <w:p w:rsidRPr="009F786F" w:rsidR="00DC2974" w:rsidRDefault="00DC2974">
      <w:pPr>
        <w:rPr>
          <w:b/>
          <w:sz w:val="24"/>
          <w:szCs w:val="24"/>
        </w:rPr>
      </w:pPr>
      <w:r w:rsidRPr="009F786F">
        <w:rPr>
          <w:b/>
          <w:sz w:val="24"/>
          <w:szCs w:val="24"/>
        </w:rPr>
        <w:t>3.</w:t>
      </w:r>
      <w:r w:rsidRPr="009F786F">
        <w:rPr>
          <w:b/>
          <w:sz w:val="24"/>
          <w:szCs w:val="24"/>
        </w:rPr>
        <w:tab/>
      </w:r>
      <w:r w:rsidR="00220972">
        <w:rPr>
          <w:b/>
          <w:sz w:val="24"/>
          <w:szCs w:val="24"/>
        </w:rPr>
        <w:tab/>
      </w:r>
      <w:r w:rsidR="0048710C">
        <w:rPr>
          <w:b/>
          <w:sz w:val="24"/>
          <w:szCs w:val="24"/>
        </w:rPr>
        <w:t>Use of i</w:t>
      </w:r>
      <w:r w:rsidRPr="009F786F" w:rsidR="007D5608">
        <w:rPr>
          <w:b/>
          <w:sz w:val="24"/>
          <w:szCs w:val="24"/>
        </w:rPr>
        <w:t xml:space="preserve">nformation </w:t>
      </w:r>
      <w:r w:rsidR="0048710C">
        <w:rPr>
          <w:b/>
          <w:sz w:val="24"/>
          <w:szCs w:val="24"/>
        </w:rPr>
        <w:t>t</w:t>
      </w:r>
      <w:r w:rsidRPr="009F786F" w:rsidR="00EB7F37">
        <w:rPr>
          <w:b/>
          <w:sz w:val="24"/>
          <w:szCs w:val="24"/>
        </w:rPr>
        <w:t>echnology</w:t>
      </w:r>
      <w:r w:rsidR="0048710C">
        <w:rPr>
          <w:b/>
          <w:sz w:val="24"/>
          <w:szCs w:val="24"/>
        </w:rPr>
        <w:t>.</w:t>
      </w:r>
    </w:p>
    <w:p w:rsidRPr="009F786F" w:rsidR="00DC2974" w:rsidRDefault="00DC2974">
      <w:pPr>
        <w:rPr>
          <w:sz w:val="24"/>
          <w:szCs w:val="24"/>
        </w:rPr>
      </w:pPr>
    </w:p>
    <w:p w:rsidRPr="009F786F" w:rsidR="00DC2974" w:rsidP="00CE50BA" w:rsidRDefault="00DF4977">
      <w:pPr>
        <w:ind w:left="432" w:firstLine="432"/>
        <w:rPr>
          <w:sz w:val="24"/>
          <w:szCs w:val="24"/>
        </w:rPr>
      </w:pPr>
      <w:r w:rsidRPr="009F786F">
        <w:rPr>
          <w:sz w:val="24"/>
          <w:szCs w:val="24"/>
        </w:rPr>
        <w:t>Not applicable.</w:t>
      </w:r>
    </w:p>
    <w:p w:rsidRPr="009F786F" w:rsidR="00DF4977" w:rsidRDefault="00DF4977">
      <w:pPr>
        <w:rPr>
          <w:sz w:val="24"/>
          <w:szCs w:val="24"/>
        </w:rPr>
      </w:pPr>
    </w:p>
    <w:p w:rsidRPr="009F786F" w:rsidR="00DC2974" w:rsidRDefault="00DC2974">
      <w:pPr>
        <w:rPr>
          <w:b/>
          <w:sz w:val="24"/>
          <w:szCs w:val="24"/>
        </w:rPr>
      </w:pPr>
      <w:r w:rsidRPr="009F786F">
        <w:rPr>
          <w:b/>
          <w:sz w:val="24"/>
          <w:szCs w:val="24"/>
        </w:rPr>
        <w:t>4.</w:t>
      </w:r>
      <w:r w:rsidRPr="009F786F">
        <w:rPr>
          <w:b/>
          <w:sz w:val="24"/>
          <w:szCs w:val="24"/>
        </w:rPr>
        <w:tab/>
      </w:r>
      <w:r w:rsidR="00220972">
        <w:rPr>
          <w:b/>
          <w:sz w:val="24"/>
          <w:szCs w:val="24"/>
        </w:rPr>
        <w:tab/>
      </w:r>
      <w:r w:rsidRPr="009F786F" w:rsidR="00EB7F37">
        <w:rPr>
          <w:b/>
          <w:sz w:val="24"/>
          <w:szCs w:val="24"/>
        </w:rPr>
        <w:t>D</w:t>
      </w:r>
      <w:r w:rsidRPr="009F786F">
        <w:rPr>
          <w:b/>
          <w:sz w:val="24"/>
          <w:szCs w:val="24"/>
        </w:rPr>
        <w:t>uplication</w:t>
      </w:r>
      <w:r w:rsidR="0048710C">
        <w:rPr>
          <w:b/>
          <w:sz w:val="24"/>
          <w:szCs w:val="24"/>
        </w:rPr>
        <w:t xml:space="preserve"> of information.</w:t>
      </w:r>
    </w:p>
    <w:p w:rsidRPr="009F786F" w:rsidR="00DF4977" w:rsidRDefault="00DF4977">
      <w:pPr>
        <w:rPr>
          <w:sz w:val="24"/>
          <w:szCs w:val="24"/>
        </w:rPr>
      </w:pPr>
    </w:p>
    <w:p w:rsidRPr="009F786F" w:rsidR="00DC2974" w:rsidP="00CE50BA" w:rsidRDefault="00DF4977">
      <w:pPr>
        <w:ind w:left="864"/>
        <w:rPr>
          <w:sz w:val="24"/>
          <w:szCs w:val="24"/>
        </w:rPr>
      </w:pPr>
      <w:r w:rsidRPr="009F786F">
        <w:rPr>
          <w:sz w:val="24"/>
          <w:szCs w:val="24"/>
        </w:rPr>
        <w:t>This information collection is unique to federal cred</w:t>
      </w:r>
      <w:r w:rsidR="0015693E">
        <w:rPr>
          <w:sz w:val="24"/>
          <w:szCs w:val="24"/>
        </w:rPr>
        <w:t>it unions and is not duplicated</w:t>
      </w:r>
      <w:r w:rsidRPr="009F786F">
        <w:rPr>
          <w:sz w:val="24"/>
          <w:szCs w:val="24"/>
        </w:rPr>
        <w:t>.</w:t>
      </w:r>
    </w:p>
    <w:p w:rsidRPr="009F786F" w:rsidR="00DF4977" w:rsidRDefault="00DF4977">
      <w:pPr>
        <w:rPr>
          <w:sz w:val="24"/>
          <w:szCs w:val="24"/>
        </w:rPr>
      </w:pPr>
    </w:p>
    <w:p w:rsidRPr="009F786F" w:rsidR="00DC2974" w:rsidRDefault="00DC2974">
      <w:pPr>
        <w:rPr>
          <w:b/>
          <w:sz w:val="24"/>
          <w:szCs w:val="24"/>
        </w:rPr>
      </w:pPr>
      <w:r w:rsidRPr="009F786F">
        <w:rPr>
          <w:b/>
          <w:sz w:val="24"/>
          <w:szCs w:val="24"/>
        </w:rPr>
        <w:t>5.</w:t>
      </w:r>
      <w:r w:rsidRPr="009F786F">
        <w:rPr>
          <w:b/>
          <w:sz w:val="24"/>
          <w:szCs w:val="24"/>
        </w:rPr>
        <w:tab/>
      </w:r>
      <w:r w:rsidR="00220972">
        <w:rPr>
          <w:b/>
          <w:sz w:val="24"/>
          <w:szCs w:val="24"/>
        </w:rPr>
        <w:tab/>
      </w:r>
      <w:r w:rsidR="0019414F">
        <w:rPr>
          <w:b/>
          <w:sz w:val="24"/>
          <w:szCs w:val="24"/>
        </w:rPr>
        <w:t>Efforts to reduce burden on small e</w:t>
      </w:r>
      <w:r w:rsidRPr="009F786F" w:rsidR="007D5608">
        <w:rPr>
          <w:b/>
          <w:sz w:val="24"/>
          <w:szCs w:val="24"/>
        </w:rPr>
        <w:t>ntities</w:t>
      </w:r>
    </w:p>
    <w:p w:rsidRPr="009F786F" w:rsidR="00DC2974" w:rsidRDefault="00DC2974">
      <w:pPr>
        <w:rPr>
          <w:sz w:val="24"/>
          <w:szCs w:val="24"/>
        </w:rPr>
      </w:pPr>
    </w:p>
    <w:p w:rsidRPr="009F786F" w:rsidR="00DC2974" w:rsidP="00F92727" w:rsidRDefault="00EF4253">
      <w:pPr>
        <w:ind w:left="864"/>
        <w:rPr>
          <w:sz w:val="24"/>
          <w:szCs w:val="24"/>
        </w:rPr>
      </w:pPr>
      <w:r>
        <w:rPr>
          <w:sz w:val="24"/>
          <w:szCs w:val="24"/>
        </w:rPr>
        <w:t>This collection does not have a significant impact on a substantial number of small credit unions.</w:t>
      </w:r>
    </w:p>
    <w:p w:rsidRPr="009F786F" w:rsidR="00DF4977" w:rsidRDefault="00DF4977">
      <w:pPr>
        <w:rPr>
          <w:sz w:val="24"/>
          <w:szCs w:val="24"/>
        </w:rPr>
      </w:pPr>
    </w:p>
    <w:p w:rsidRPr="009F786F" w:rsidR="00DC2974" w:rsidRDefault="00DC2974">
      <w:pPr>
        <w:rPr>
          <w:b/>
          <w:sz w:val="24"/>
          <w:szCs w:val="24"/>
        </w:rPr>
      </w:pPr>
      <w:r w:rsidRPr="009F786F">
        <w:rPr>
          <w:b/>
          <w:sz w:val="24"/>
          <w:szCs w:val="24"/>
        </w:rPr>
        <w:t>6.</w:t>
      </w:r>
      <w:r w:rsidRPr="009F786F">
        <w:rPr>
          <w:b/>
          <w:sz w:val="24"/>
          <w:szCs w:val="24"/>
        </w:rPr>
        <w:tab/>
      </w:r>
      <w:r w:rsidR="00220972">
        <w:rPr>
          <w:b/>
          <w:sz w:val="24"/>
          <w:szCs w:val="24"/>
        </w:rPr>
        <w:tab/>
      </w:r>
      <w:r w:rsidRPr="009F786F" w:rsidR="00EB7F37">
        <w:rPr>
          <w:b/>
          <w:sz w:val="24"/>
          <w:szCs w:val="24"/>
        </w:rPr>
        <w:t>Consequences</w:t>
      </w:r>
      <w:r w:rsidR="0019414F">
        <w:rPr>
          <w:b/>
          <w:sz w:val="24"/>
          <w:szCs w:val="24"/>
        </w:rPr>
        <w:t xml:space="preserve"> of not conducting the c</w:t>
      </w:r>
      <w:r w:rsidRPr="009F786F" w:rsidR="00D57D8F">
        <w:rPr>
          <w:b/>
          <w:sz w:val="24"/>
          <w:szCs w:val="24"/>
        </w:rPr>
        <w:t>ollection</w:t>
      </w:r>
      <w:r w:rsidR="0019414F">
        <w:rPr>
          <w:b/>
          <w:sz w:val="24"/>
          <w:szCs w:val="24"/>
        </w:rPr>
        <w:t>.</w:t>
      </w:r>
    </w:p>
    <w:p w:rsidRPr="009F786F" w:rsidR="00DC2974" w:rsidRDefault="00DC2974">
      <w:pPr>
        <w:rPr>
          <w:sz w:val="24"/>
          <w:szCs w:val="24"/>
        </w:rPr>
      </w:pPr>
    </w:p>
    <w:p w:rsidRPr="009F786F" w:rsidR="00DC2974" w:rsidP="00F92727" w:rsidRDefault="00DF4977">
      <w:pPr>
        <w:ind w:left="864"/>
        <w:rPr>
          <w:sz w:val="24"/>
          <w:szCs w:val="24"/>
        </w:rPr>
      </w:pPr>
      <w:r w:rsidRPr="009F786F">
        <w:rPr>
          <w:sz w:val="24"/>
          <w:szCs w:val="24"/>
        </w:rPr>
        <w:t>As stated above, it is important that a federal credit union document that a guarantor has the financial resources and capability to meet the guarantee. Otherwise, a federal credit union may suffer serious financial loss resulting in a risk to the National Credit Union Share Insurance Fund.</w:t>
      </w:r>
    </w:p>
    <w:p w:rsidRPr="009F786F" w:rsidR="00DF4977" w:rsidRDefault="00DF4977">
      <w:pPr>
        <w:rPr>
          <w:sz w:val="24"/>
          <w:szCs w:val="24"/>
        </w:rPr>
      </w:pPr>
    </w:p>
    <w:p w:rsidRPr="009F786F" w:rsidR="00DC2974" w:rsidRDefault="00DC2974">
      <w:pPr>
        <w:rPr>
          <w:b/>
          <w:sz w:val="24"/>
          <w:szCs w:val="24"/>
        </w:rPr>
      </w:pPr>
      <w:r w:rsidRPr="009F786F">
        <w:rPr>
          <w:b/>
          <w:sz w:val="24"/>
          <w:szCs w:val="24"/>
        </w:rPr>
        <w:t>7.</w:t>
      </w:r>
      <w:r w:rsidRPr="009F786F">
        <w:rPr>
          <w:b/>
          <w:sz w:val="24"/>
          <w:szCs w:val="24"/>
        </w:rPr>
        <w:tab/>
      </w:r>
      <w:r w:rsidR="00220972">
        <w:rPr>
          <w:b/>
          <w:sz w:val="24"/>
          <w:szCs w:val="24"/>
        </w:rPr>
        <w:tab/>
      </w:r>
      <w:r w:rsidR="0019414F">
        <w:rPr>
          <w:b/>
          <w:sz w:val="24"/>
          <w:szCs w:val="24"/>
        </w:rPr>
        <w:t>Inconsistencies with g</w:t>
      </w:r>
      <w:r w:rsidRPr="009F786F" w:rsidR="00E64BFA">
        <w:rPr>
          <w:b/>
          <w:sz w:val="24"/>
          <w:szCs w:val="24"/>
        </w:rPr>
        <w:t>uidelines in 5 CFR 1320.5(d</w:t>
      </w:r>
      <w:proofErr w:type="gramStart"/>
      <w:r w:rsidRPr="009F786F" w:rsidR="00E64BFA">
        <w:rPr>
          <w:b/>
          <w:sz w:val="24"/>
          <w:szCs w:val="24"/>
        </w:rPr>
        <w:t>)(</w:t>
      </w:r>
      <w:proofErr w:type="gramEnd"/>
      <w:r w:rsidRPr="009F786F" w:rsidR="00E64BFA">
        <w:rPr>
          <w:b/>
          <w:sz w:val="24"/>
          <w:szCs w:val="24"/>
        </w:rPr>
        <w:t>2)</w:t>
      </w:r>
      <w:r w:rsidR="0019414F">
        <w:rPr>
          <w:b/>
          <w:sz w:val="24"/>
          <w:szCs w:val="24"/>
        </w:rPr>
        <w:t>.</w:t>
      </w:r>
    </w:p>
    <w:p w:rsidRPr="00A528BF" w:rsidR="00DC2974" w:rsidRDefault="00DC2974">
      <w:pPr>
        <w:rPr>
          <w:sz w:val="24"/>
          <w:szCs w:val="24"/>
        </w:rPr>
      </w:pPr>
    </w:p>
    <w:p w:rsidRPr="009F786F" w:rsidR="00DC2974" w:rsidP="00364FA6" w:rsidRDefault="00EE717F">
      <w:pPr>
        <w:numPr>
          <w:ilvl w:val="12"/>
          <w:numId w:val="0"/>
        </w:numPr>
        <w:ind w:left="864"/>
        <w:rPr>
          <w:sz w:val="24"/>
          <w:szCs w:val="24"/>
        </w:rPr>
      </w:pPr>
      <w:r>
        <w:rPr>
          <w:sz w:val="24"/>
          <w:szCs w:val="24"/>
        </w:rPr>
        <w:t>There are no special circumstances. This collection is consistent with the guidelines in 5 CFR 1320.5(d</w:t>
      </w:r>
      <w:proofErr w:type="gramStart"/>
      <w:r>
        <w:rPr>
          <w:sz w:val="24"/>
          <w:szCs w:val="24"/>
        </w:rPr>
        <w:t>)(</w:t>
      </w:r>
      <w:proofErr w:type="gramEnd"/>
      <w:r>
        <w:rPr>
          <w:sz w:val="24"/>
          <w:szCs w:val="24"/>
        </w:rPr>
        <w:t>2)</w:t>
      </w:r>
      <w:r w:rsidRPr="009F786F" w:rsidR="00DC2974">
        <w:rPr>
          <w:sz w:val="24"/>
          <w:szCs w:val="24"/>
        </w:rPr>
        <w:t xml:space="preserve">.  </w:t>
      </w:r>
    </w:p>
    <w:p w:rsidRPr="009F786F" w:rsidR="00DC2974" w:rsidP="007467AC" w:rsidRDefault="00DC2974">
      <w:pPr>
        <w:numPr>
          <w:ilvl w:val="12"/>
          <w:numId w:val="0"/>
        </w:numPr>
        <w:rPr>
          <w:sz w:val="24"/>
          <w:szCs w:val="24"/>
        </w:rPr>
      </w:pPr>
    </w:p>
    <w:p w:rsidRPr="009F786F" w:rsidR="00DC2974" w:rsidP="00DB2E7D" w:rsidRDefault="00DC2974">
      <w:pPr>
        <w:numPr>
          <w:ilvl w:val="12"/>
          <w:numId w:val="0"/>
        </w:numPr>
        <w:rPr>
          <w:b/>
          <w:sz w:val="24"/>
          <w:szCs w:val="24"/>
        </w:rPr>
      </w:pPr>
      <w:r w:rsidRPr="009F786F">
        <w:rPr>
          <w:b/>
          <w:sz w:val="24"/>
          <w:szCs w:val="24"/>
        </w:rPr>
        <w:t>8.</w:t>
      </w:r>
      <w:r w:rsidRPr="009F786F">
        <w:rPr>
          <w:b/>
          <w:sz w:val="24"/>
          <w:szCs w:val="24"/>
        </w:rPr>
        <w:tab/>
      </w:r>
      <w:r w:rsidR="00220972">
        <w:rPr>
          <w:b/>
          <w:sz w:val="24"/>
          <w:szCs w:val="24"/>
        </w:rPr>
        <w:tab/>
      </w:r>
      <w:r w:rsidR="0019414F">
        <w:rPr>
          <w:b/>
          <w:sz w:val="24"/>
          <w:szCs w:val="24"/>
        </w:rPr>
        <w:t>Efforts to consult with persons outside the a</w:t>
      </w:r>
      <w:r w:rsidRPr="009F786F" w:rsidR="00E64BFA">
        <w:rPr>
          <w:b/>
          <w:sz w:val="24"/>
          <w:szCs w:val="24"/>
        </w:rPr>
        <w:t>gency</w:t>
      </w:r>
      <w:r w:rsidR="0019414F">
        <w:rPr>
          <w:b/>
          <w:sz w:val="24"/>
          <w:szCs w:val="24"/>
        </w:rPr>
        <w:t>.</w:t>
      </w:r>
    </w:p>
    <w:p w:rsidRPr="009F786F" w:rsidR="00DC2974" w:rsidP="009F786F" w:rsidRDefault="00DC2974">
      <w:pPr>
        <w:numPr>
          <w:ilvl w:val="12"/>
          <w:numId w:val="0"/>
        </w:numPr>
        <w:rPr>
          <w:b/>
          <w:sz w:val="24"/>
          <w:szCs w:val="24"/>
        </w:rPr>
      </w:pPr>
    </w:p>
    <w:p w:rsidR="00720AF8" w:rsidP="00F92727" w:rsidRDefault="00720AF8">
      <w:pPr>
        <w:ind w:left="864"/>
        <w:rPr>
          <w:sz w:val="24"/>
          <w:szCs w:val="24"/>
        </w:rPr>
      </w:pPr>
      <w:bookmarkStart w:name="_GoBack" w:id="0"/>
      <w:bookmarkEnd w:id="0"/>
      <w:r w:rsidRPr="004A5637">
        <w:rPr>
          <w:sz w:val="24"/>
          <w:szCs w:val="24"/>
        </w:rPr>
        <w:t xml:space="preserve">A 60-day notice was published in the </w:t>
      </w:r>
      <w:r w:rsidRPr="004A5637">
        <w:rPr>
          <w:i/>
          <w:sz w:val="24"/>
          <w:szCs w:val="24"/>
        </w:rPr>
        <w:t>Federal Register</w:t>
      </w:r>
      <w:r w:rsidRPr="004A5637" w:rsidR="00215F60">
        <w:rPr>
          <w:sz w:val="24"/>
          <w:szCs w:val="24"/>
        </w:rPr>
        <w:t xml:space="preserve"> on April 17, 2020 at 85 FR 21474</w:t>
      </w:r>
      <w:r w:rsidRPr="004A5637">
        <w:rPr>
          <w:sz w:val="24"/>
          <w:szCs w:val="24"/>
        </w:rPr>
        <w:t>, solici</w:t>
      </w:r>
      <w:r w:rsidRPr="004A5637" w:rsidR="00215F60">
        <w:rPr>
          <w:sz w:val="24"/>
          <w:szCs w:val="24"/>
        </w:rPr>
        <w:t xml:space="preserve">ting comments from the public. </w:t>
      </w:r>
      <w:r w:rsidRPr="004A5637">
        <w:rPr>
          <w:sz w:val="24"/>
          <w:szCs w:val="24"/>
        </w:rPr>
        <w:t>No public comments were received in respon</w:t>
      </w:r>
      <w:r w:rsidRPr="004A5637" w:rsidR="00215F60">
        <w:rPr>
          <w:sz w:val="24"/>
          <w:szCs w:val="24"/>
        </w:rPr>
        <w:t>se to this notice</w:t>
      </w:r>
      <w:r w:rsidRPr="004A5637">
        <w:rPr>
          <w:sz w:val="24"/>
          <w:szCs w:val="24"/>
        </w:rPr>
        <w:t>.</w:t>
      </w:r>
    </w:p>
    <w:p w:rsidRPr="009F786F" w:rsidR="00DC2974" w:rsidP="007467AC" w:rsidRDefault="00DC2974">
      <w:pPr>
        <w:numPr>
          <w:ilvl w:val="12"/>
          <w:numId w:val="0"/>
        </w:numPr>
        <w:rPr>
          <w:sz w:val="24"/>
          <w:szCs w:val="24"/>
        </w:rPr>
      </w:pPr>
    </w:p>
    <w:p w:rsidRPr="009F786F" w:rsidR="00DC2974" w:rsidP="007467AC" w:rsidRDefault="00DC2974">
      <w:pPr>
        <w:numPr>
          <w:ilvl w:val="12"/>
          <w:numId w:val="0"/>
        </w:numPr>
        <w:rPr>
          <w:b/>
          <w:sz w:val="24"/>
          <w:szCs w:val="24"/>
        </w:rPr>
      </w:pPr>
      <w:r w:rsidRPr="009F786F">
        <w:rPr>
          <w:b/>
          <w:sz w:val="24"/>
          <w:szCs w:val="24"/>
        </w:rPr>
        <w:t>9.</w:t>
      </w:r>
      <w:r w:rsidRPr="009F786F">
        <w:rPr>
          <w:b/>
          <w:sz w:val="24"/>
          <w:szCs w:val="24"/>
        </w:rPr>
        <w:tab/>
      </w:r>
      <w:r w:rsidR="00220972">
        <w:rPr>
          <w:b/>
          <w:sz w:val="24"/>
          <w:szCs w:val="24"/>
        </w:rPr>
        <w:tab/>
      </w:r>
      <w:r w:rsidR="0019414F">
        <w:rPr>
          <w:b/>
          <w:sz w:val="24"/>
          <w:szCs w:val="24"/>
        </w:rPr>
        <w:t>Payment or gifts to respondents.</w:t>
      </w:r>
    </w:p>
    <w:p w:rsidRPr="009F786F" w:rsidR="00DC2974" w:rsidP="007467AC" w:rsidRDefault="00DC2974">
      <w:pPr>
        <w:numPr>
          <w:ilvl w:val="12"/>
          <w:numId w:val="0"/>
        </w:numPr>
        <w:rPr>
          <w:sz w:val="24"/>
          <w:szCs w:val="24"/>
        </w:rPr>
      </w:pPr>
    </w:p>
    <w:p w:rsidR="00720AF8" w:rsidP="00F92727" w:rsidRDefault="00720AF8">
      <w:pPr>
        <w:numPr>
          <w:ilvl w:val="12"/>
          <w:numId w:val="0"/>
        </w:numPr>
        <w:ind w:left="432" w:firstLine="432"/>
        <w:rPr>
          <w:sz w:val="24"/>
          <w:szCs w:val="24"/>
        </w:rPr>
      </w:pPr>
      <w:r>
        <w:rPr>
          <w:sz w:val="24"/>
          <w:szCs w:val="24"/>
        </w:rPr>
        <w:t>There is no intent by NCUA to provide payments or gifts for information collected.</w:t>
      </w:r>
    </w:p>
    <w:p w:rsidRPr="009F786F" w:rsidR="00BB614A" w:rsidP="00F92727" w:rsidRDefault="00BB614A">
      <w:pPr>
        <w:numPr>
          <w:ilvl w:val="12"/>
          <w:numId w:val="0"/>
        </w:numPr>
        <w:ind w:left="432" w:firstLine="432"/>
        <w:rPr>
          <w:sz w:val="24"/>
          <w:szCs w:val="24"/>
        </w:rPr>
      </w:pPr>
    </w:p>
    <w:p w:rsidRPr="009F786F" w:rsidR="00BB614A" w:rsidP="007467AC" w:rsidRDefault="00BB614A">
      <w:pPr>
        <w:numPr>
          <w:ilvl w:val="12"/>
          <w:numId w:val="0"/>
        </w:numPr>
        <w:rPr>
          <w:sz w:val="24"/>
          <w:szCs w:val="24"/>
        </w:rPr>
      </w:pPr>
    </w:p>
    <w:p w:rsidRPr="009F786F" w:rsidR="00DC2974" w:rsidP="007467AC" w:rsidRDefault="00DC2974">
      <w:pPr>
        <w:numPr>
          <w:ilvl w:val="12"/>
          <w:numId w:val="0"/>
        </w:numPr>
        <w:rPr>
          <w:b/>
          <w:sz w:val="24"/>
          <w:szCs w:val="24"/>
        </w:rPr>
      </w:pPr>
      <w:r w:rsidRPr="009F786F">
        <w:rPr>
          <w:b/>
          <w:sz w:val="24"/>
          <w:szCs w:val="24"/>
        </w:rPr>
        <w:t>10.</w:t>
      </w:r>
      <w:r w:rsidRPr="009F786F">
        <w:rPr>
          <w:b/>
          <w:sz w:val="24"/>
          <w:szCs w:val="24"/>
        </w:rPr>
        <w:tab/>
      </w:r>
      <w:r w:rsidR="00220972">
        <w:rPr>
          <w:b/>
          <w:sz w:val="24"/>
          <w:szCs w:val="24"/>
        </w:rPr>
        <w:tab/>
      </w:r>
      <w:r w:rsidR="0019414F">
        <w:rPr>
          <w:b/>
          <w:sz w:val="24"/>
          <w:szCs w:val="24"/>
        </w:rPr>
        <w:t>Assurance of c</w:t>
      </w:r>
      <w:r w:rsidRPr="009F786F" w:rsidR="00E64BFA">
        <w:rPr>
          <w:b/>
          <w:sz w:val="24"/>
          <w:szCs w:val="24"/>
        </w:rPr>
        <w:t>onfidentiality</w:t>
      </w:r>
      <w:r w:rsidR="0019414F">
        <w:rPr>
          <w:b/>
          <w:sz w:val="24"/>
          <w:szCs w:val="24"/>
        </w:rPr>
        <w:t>.</w:t>
      </w:r>
    </w:p>
    <w:p w:rsidRPr="009F786F" w:rsidR="00DC2974" w:rsidP="007467AC" w:rsidRDefault="00DC2974">
      <w:pPr>
        <w:numPr>
          <w:ilvl w:val="12"/>
          <w:numId w:val="0"/>
        </w:numPr>
        <w:rPr>
          <w:sz w:val="24"/>
          <w:szCs w:val="24"/>
        </w:rPr>
      </w:pPr>
    </w:p>
    <w:p w:rsidR="00720AF8" w:rsidP="00F92727" w:rsidRDefault="00720AF8">
      <w:pPr>
        <w:numPr>
          <w:ilvl w:val="12"/>
          <w:numId w:val="0"/>
        </w:numPr>
        <w:ind w:left="432" w:firstLine="432"/>
        <w:rPr>
          <w:sz w:val="24"/>
          <w:szCs w:val="24"/>
        </w:rPr>
      </w:pPr>
      <w:r>
        <w:rPr>
          <w:sz w:val="24"/>
          <w:szCs w:val="24"/>
        </w:rPr>
        <w:t>There is no assurance of confidentiality other than what is provided by law.</w:t>
      </w:r>
    </w:p>
    <w:p w:rsidRPr="009F786F" w:rsidR="00DC2974" w:rsidP="00F92727" w:rsidRDefault="00DC2974">
      <w:pPr>
        <w:numPr>
          <w:ilvl w:val="12"/>
          <w:numId w:val="0"/>
        </w:numPr>
        <w:ind w:left="432" w:firstLine="432"/>
        <w:rPr>
          <w:sz w:val="24"/>
          <w:szCs w:val="24"/>
        </w:rPr>
      </w:pPr>
    </w:p>
    <w:p w:rsidRPr="009F786F" w:rsidR="00DC2974" w:rsidP="007467AC" w:rsidRDefault="00DC2974">
      <w:pPr>
        <w:numPr>
          <w:ilvl w:val="12"/>
          <w:numId w:val="0"/>
        </w:numPr>
        <w:rPr>
          <w:sz w:val="24"/>
          <w:szCs w:val="24"/>
        </w:rPr>
      </w:pPr>
    </w:p>
    <w:p w:rsidRPr="009F786F" w:rsidR="00DC2974" w:rsidP="007467AC" w:rsidRDefault="00DC2974">
      <w:pPr>
        <w:numPr>
          <w:ilvl w:val="12"/>
          <w:numId w:val="0"/>
        </w:numPr>
        <w:rPr>
          <w:sz w:val="24"/>
          <w:szCs w:val="24"/>
        </w:rPr>
      </w:pPr>
      <w:r w:rsidRPr="00A528BF">
        <w:rPr>
          <w:b/>
          <w:sz w:val="24"/>
          <w:szCs w:val="24"/>
        </w:rPr>
        <w:t>11.</w:t>
      </w:r>
      <w:r w:rsidRPr="009F786F">
        <w:rPr>
          <w:sz w:val="24"/>
          <w:szCs w:val="24"/>
        </w:rPr>
        <w:tab/>
      </w:r>
      <w:r w:rsidR="00220972">
        <w:rPr>
          <w:sz w:val="24"/>
          <w:szCs w:val="24"/>
        </w:rPr>
        <w:tab/>
      </w:r>
      <w:r w:rsidR="0019414F">
        <w:rPr>
          <w:b/>
          <w:sz w:val="24"/>
          <w:szCs w:val="24"/>
        </w:rPr>
        <w:t>Questions of a sensitive n</w:t>
      </w:r>
      <w:r w:rsidRPr="009F786F" w:rsidR="00096BA4">
        <w:rPr>
          <w:b/>
          <w:sz w:val="24"/>
          <w:szCs w:val="24"/>
        </w:rPr>
        <w:t>ature</w:t>
      </w:r>
      <w:r w:rsidR="00980922">
        <w:rPr>
          <w:b/>
          <w:sz w:val="24"/>
          <w:szCs w:val="24"/>
        </w:rPr>
        <w:t>.</w:t>
      </w:r>
    </w:p>
    <w:p w:rsidRPr="009F786F" w:rsidR="00DC2974" w:rsidP="007467AC" w:rsidRDefault="00DC2974">
      <w:pPr>
        <w:numPr>
          <w:ilvl w:val="12"/>
          <w:numId w:val="0"/>
        </w:numPr>
        <w:rPr>
          <w:sz w:val="24"/>
          <w:szCs w:val="24"/>
        </w:rPr>
      </w:pPr>
    </w:p>
    <w:p w:rsidRPr="009F786F" w:rsidR="00DC2974" w:rsidP="00F92727" w:rsidRDefault="00096BA4">
      <w:pPr>
        <w:numPr>
          <w:ilvl w:val="12"/>
          <w:numId w:val="0"/>
        </w:numPr>
        <w:ind w:left="864"/>
        <w:rPr>
          <w:sz w:val="24"/>
          <w:szCs w:val="24"/>
        </w:rPr>
      </w:pPr>
      <w:r w:rsidRPr="009F786F">
        <w:rPr>
          <w:sz w:val="24"/>
          <w:szCs w:val="24"/>
        </w:rPr>
        <w:t>The information collected is not of a personally sensitive nature.  There is no collection or retention of personally identifiable information (PII).</w:t>
      </w:r>
      <w:r w:rsidRPr="009F786F" w:rsidR="00DC2974">
        <w:rPr>
          <w:sz w:val="24"/>
          <w:szCs w:val="24"/>
        </w:rPr>
        <w:t xml:space="preserve">  </w:t>
      </w:r>
    </w:p>
    <w:p w:rsidRPr="009F786F" w:rsidR="00DC2974" w:rsidP="007467AC" w:rsidRDefault="00DC2974">
      <w:pPr>
        <w:numPr>
          <w:ilvl w:val="12"/>
          <w:numId w:val="0"/>
        </w:numPr>
        <w:rPr>
          <w:sz w:val="24"/>
          <w:szCs w:val="24"/>
        </w:rPr>
      </w:pPr>
    </w:p>
    <w:p w:rsidRPr="009F786F" w:rsidR="00DC2974" w:rsidP="007467AC" w:rsidRDefault="00DC2974">
      <w:pPr>
        <w:numPr>
          <w:ilvl w:val="12"/>
          <w:numId w:val="0"/>
        </w:numPr>
        <w:rPr>
          <w:b/>
          <w:sz w:val="24"/>
          <w:szCs w:val="24"/>
        </w:rPr>
      </w:pPr>
      <w:r w:rsidRPr="009F786F">
        <w:rPr>
          <w:b/>
          <w:sz w:val="24"/>
          <w:szCs w:val="24"/>
        </w:rPr>
        <w:t>12.</w:t>
      </w:r>
      <w:r w:rsidRPr="009F786F">
        <w:rPr>
          <w:b/>
          <w:sz w:val="24"/>
          <w:szCs w:val="24"/>
        </w:rPr>
        <w:tab/>
      </w:r>
      <w:r w:rsidR="00220972">
        <w:rPr>
          <w:b/>
          <w:sz w:val="24"/>
          <w:szCs w:val="24"/>
        </w:rPr>
        <w:tab/>
      </w:r>
      <w:r w:rsidR="00980922">
        <w:rPr>
          <w:b/>
          <w:sz w:val="24"/>
          <w:szCs w:val="24"/>
        </w:rPr>
        <w:t>Burden of information c</w:t>
      </w:r>
      <w:r w:rsidRPr="009F786F" w:rsidR="00096BA4">
        <w:rPr>
          <w:b/>
          <w:sz w:val="24"/>
          <w:szCs w:val="24"/>
        </w:rPr>
        <w:t>ollection</w:t>
      </w:r>
      <w:r w:rsidR="00980922">
        <w:rPr>
          <w:b/>
          <w:sz w:val="24"/>
          <w:szCs w:val="24"/>
        </w:rPr>
        <w:t>.</w:t>
      </w:r>
    </w:p>
    <w:p w:rsidR="00DC2974" w:rsidP="007467AC" w:rsidRDefault="00DC2974">
      <w:pPr>
        <w:numPr>
          <w:ilvl w:val="12"/>
          <w:numId w:val="0"/>
        </w:numPr>
        <w:rPr>
          <w:sz w:val="24"/>
          <w:szCs w:val="24"/>
        </w:rPr>
      </w:pPr>
    </w:p>
    <w:tbl>
      <w:tblPr>
        <w:tblW w:w="7830" w:type="dxa"/>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620"/>
        <w:gridCol w:w="1440"/>
        <w:gridCol w:w="1350"/>
        <w:gridCol w:w="1800"/>
      </w:tblGrid>
      <w:tr w:rsidRPr="00364FA6" w:rsidR="00364FA6" w:rsidTr="00A603F1">
        <w:tc>
          <w:tcPr>
            <w:tcW w:w="1620" w:type="dxa"/>
            <w:shd w:val="clear" w:color="auto" w:fill="auto"/>
            <w:vAlign w:val="center"/>
          </w:tcPr>
          <w:p w:rsidRPr="00364FA6" w:rsidR="00364FA6" w:rsidP="00364FA6" w:rsidRDefault="00364FA6">
            <w:pPr>
              <w:numPr>
                <w:ilvl w:val="12"/>
                <w:numId w:val="0"/>
              </w:numPr>
              <w:rPr>
                <w:sz w:val="24"/>
                <w:szCs w:val="24"/>
              </w:rPr>
            </w:pPr>
            <w:r w:rsidRPr="00364FA6">
              <w:rPr>
                <w:sz w:val="24"/>
                <w:szCs w:val="24"/>
              </w:rPr>
              <w:t># Respondents</w:t>
            </w:r>
          </w:p>
        </w:tc>
        <w:tc>
          <w:tcPr>
            <w:tcW w:w="1620" w:type="dxa"/>
            <w:shd w:val="clear" w:color="auto" w:fill="auto"/>
            <w:vAlign w:val="center"/>
          </w:tcPr>
          <w:p w:rsidRPr="00364FA6" w:rsidR="00364FA6" w:rsidP="00364FA6" w:rsidRDefault="00364FA6">
            <w:pPr>
              <w:numPr>
                <w:ilvl w:val="12"/>
                <w:numId w:val="0"/>
              </w:numPr>
              <w:rPr>
                <w:sz w:val="24"/>
                <w:szCs w:val="24"/>
              </w:rPr>
            </w:pPr>
            <w:r w:rsidRPr="00364FA6">
              <w:rPr>
                <w:sz w:val="24"/>
                <w:szCs w:val="24"/>
              </w:rPr>
              <w:t># Responses per Respondents</w:t>
            </w:r>
          </w:p>
        </w:tc>
        <w:tc>
          <w:tcPr>
            <w:tcW w:w="1440" w:type="dxa"/>
            <w:shd w:val="clear" w:color="auto" w:fill="auto"/>
            <w:vAlign w:val="center"/>
          </w:tcPr>
          <w:p w:rsidRPr="00364FA6" w:rsidR="00364FA6" w:rsidP="00364FA6" w:rsidRDefault="00364FA6">
            <w:pPr>
              <w:numPr>
                <w:ilvl w:val="12"/>
                <w:numId w:val="0"/>
              </w:numPr>
              <w:rPr>
                <w:sz w:val="24"/>
                <w:szCs w:val="24"/>
              </w:rPr>
            </w:pPr>
            <w:r w:rsidRPr="00364FA6">
              <w:rPr>
                <w:sz w:val="24"/>
                <w:szCs w:val="24"/>
              </w:rPr>
              <w:t>Total Annual Responses</w:t>
            </w:r>
          </w:p>
        </w:tc>
        <w:tc>
          <w:tcPr>
            <w:tcW w:w="1350" w:type="dxa"/>
            <w:shd w:val="clear" w:color="auto" w:fill="auto"/>
            <w:vAlign w:val="center"/>
          </w:tcPr>
          <w:p w:rsidRPr="00364FA6" w:rsidR="00364FA6" w:rsidP="00364FA6" w:rsidRDefault="00364FA6">
            <w:pPr>
              <w:numPr>
                <w:ilvl w:val="12"/>
                <w:numId w:val="0"/>
              </w:numPr>
              <w:rPr>
                <w:sz w:val="24"/>
                <w:szCs w:val="24"/>
              </w:rPr>
            </w:pPr>
            <w:r w:rsidRPr="00364FA6">
              <w:rPr>
                <w:sz w:val="24"/>
                <w:szCs w:val="24"/>
              </w:rPr>
              <w:t>Hours per Response</w:t>
            </w:r>
          </w:p>
        </w:tc>
        <w:tc>
          <w:tcPr>
            <w:tcW w:w="1800" w:type="dxa"/>
            <w:shd w:val="clear" w:color="auto" w:fill="auto"/>
            <w:vAlign w:val="center"/>
          </w:tcPr>
          <w:p w:rsidRPr="00364FA6" w:rsidR="00364FA6" w:rsidP="00364FA6" w:rsidRDefault="00364FA6">
            <w:pPr>
              <w:numPr>
                <w:ilvl w:val="12"/>
                <w:numId w:val="0"/>
              </w:numPr>
              <w:rPr>
                <w:sz w:val="24"/>
                <w:szCs w:val="24"/>
              </w:rPr>
            </w:pPr>
            <w:r w:rsidRPr="00364FA6">
              <w:rPr>
                <w:sz w:val="24"/>
                <w:szCs w:val="24"/>
              </w:rPr>
              <w:t>Total Annual Burden Hours</w:t>
            </w:r>
          </w:p>
        </w:tc>
      </w:tr>
      <w:tr w:rsidRPr="00364FA6" w:rsidR="00364FA6" w:rsidTr="00A603F1">
        <w:trPr>
          <w:trHeight w:val="467"/>
        </w:trPr>
        <w:tc>
          <w:tcPr>
            <w:tcW w:w="1620" w:type="dxa"/>
            <w:shd w:val="clear" w:color="auto" w:fill="auto"/>
            <w:vAlign w:val="center"/>
          </w:tcPr>
          <w:p w:rsidRPr="00364FA6" w:rsidR="00364FA6" w:rsidP="00364FA6" w:rsidRDefault="00364FA6">
            <w:pPr>
              <w:numPr>
                <w:ilvl w:val="12"/>
                <w:numId w:val="0"/>
              </w:numPr>
              <w:rPr>
                <w:sz w:val="24"/>
                <w:szCs w:val="24"/>
              </w:rPr>
            </w:pPr>
            <w:r>
              <w:rPr>
                <w:sz w:val="24"/>
                <w:szCs w:val="24"/>
              </w:rPr>
              <w:t>83</w:t>
            </w:r>
          </w:p>
        </w:tc>
        <w:tc>
          <w:tcPr>
            <w:tcW w:w="1620" w:type="dxa"/>
            <w:shd w:val="clear" w:color="auto" w:fill="auto"/>
            <w:vAlign w:val="center"/>
          </w:tcPr>
          <w:p w:rsidRPr="00364FA6" w:rsidR="00364FA6" w:rsidP="00364FA6" w:rsidRDefault="00364FA6">
            <w:pPr>
              <w:numPr>
                <w:ilvl w:val="12"/>
                <w:numId w:val="0"/>
              </w:numPr>
              <w:rPr>
                <w:sz w:val="24"/>
                <w:szCs w:val="24"/>
              </w:rPr>
            </w:pPr>
            <w:r>
              <w:rPr>
                <w:sz w:val="24"/>
                <w:szCs w:val="24"/>
              </w:rPr>
              <w:t>5</w:t>
            </w:r>
          </w:p>
        </w:tc>
        <w:tc>
          <w:tcPr>
            <w:tcW w:w="1440" w:type="dxa"/>
            <w:shd w:val="clear" w:color="auto" w:fill="auto"/>
            <w:vAlign w:val="center"/>
          </w:tcPr>
          <w:p w:rsidRPr="00364FA6" w:rsidR="00364FA6" w:rsidP="00364FA6" w:rsidRDefault="00364FA6">
            <w:pPr>
              <w:numPr>
                <w:ilvl w:val="12"/>
                <w:numId w:val="0"/>
              </w:numPr>
              <w:rPr>
                <w:sz w:val="24"/>
                <w:szCs w:val="24"/>
              </w:rPr>
            </w:pPr>
            <w:r>
              <w:rPr>
                <w:sz w:val="24"/>
                <w:szCs w:val="24"/>
              </w:rPr>
              <w:t>415</w:t>
            </w:r>
          </w:p>
        </w:tc>
        <w:tc>
          <w:tcPr>
            <w:tcW w:w="1350" w:type="dxa"/>
            <w:shd w:val="clear" w:color="auto" w:fill="auto"/>
            <w:vAlign w:val="center"/>
          </w:tcPr>
          <w:p w:rsidRPr="00364FA6" w:rsidR="00364FA6" w:rsidP="00364FA6" w:rsidRDefault="00364FA6">
            <w:pPr>
              <w:numPr>
                <w:ilvl w:val="12"/>
                <w:numId w:val="0"/>
              </w:numPr>
              <w:rPr>
                <w:sz w:val="24"/>
                <w:szCs w:val="24"/>
              </w:rPr>
            </w:pPr>
            <w:r>
              <w:rPr>
                <w:sz w:val="24"/>
                <w:szCs w:val="24"/>
              </w:rPr>
              <w:t>2</w:t>
            </w:r>
          </w:p>
        </w:tc>
        <w:tc>
          <w:tcPr>
            <w:tcW w:w="1800" w:type="dxa"/>
            <w:shd w:val="clear" w:color="auto" w:fill="auto"/>
            <w:vAlign w:val="center"/>
          </w:tcPr>
          <w:p w:rsidRPr="00364FA6" w:rsidR="00364FA6" w:rsidP="00364FA6" w:rsidRDefault="00364FA6">
            <w:pPr>
              <w:numPr>
                <w:ilvl w:val="12"/>
                <w:numId w:val="0"/>
              </w:numPr>
              <w:rPr>
                <w:sz w:val="24"/>
                <w:szCs w:val="24"/>
              </w:rPr>
            </w:pPr>
            <w:r>
              <w:rPr>
                <w:sz w:val="24"/>
                <w:szCs w:val="24"/>
              </w:rPr>
              <w:t>830</w:t>
            </w:r>
          </w:p>
        </w:tc>
      </w:tr>
    </w:tbl>
    <w:p w:rsidRPr="00A528BF" w:rsidR="00364FA6" w:rsidP="007467AC" w:rsidRDefault="00364FA6">
      <w:pPr>
        <w:numPr>
          <w:ilvl w:val="12"/>
          <w:numId w:val="0"/>
        </w:numPr>
        <w:rPr>
          <w:sz w:val="24"/>
          <w:szCs w:val="24"/>
        </w:rPr>
      </w:pPr>
    </w:p>
    <w:p w:rsidRPr="004A5637" w:rsidR="00BD2B39" w:rsidP="00F92727" w:rsidRDefault="00215F60">
      <w:pPr>
        <w:numPr>
          <w:ilvl w:val="12"/>
          <w:numId w:val="0"/>
        </w:numPr>
        <w:ind w:left="864"/>
        <w:rPr>
          <w:sz w:val="24"/>
          <w:szCs w:val="24"/>
        </w:rPr>
      </w:pPr>
      <w:r w:rsidRPr="004A5637">
        <w:rPr>
          <w:sz w:val="24"/>
          <w:szCs w:val="24"/>
        </w:rPr>
        <w:t xml:space="preserve">Based on recent data, </w:t>
      </w:r>
      <w:r w:rsidRPr="004A5637" w:rsidR="00DF4977">
        <w:rPr>
          <w:sz w:val="24"/>
          <w:szCs w:val="24"/>
        </w:rPr>
        <w:t>NCUA</w:t>
      </w:r>
      <w:r w:rsidRPr="004A5637" w:rsidR="00BD2B39">
        <w:rPr>
          <w:sz w:val="24"/>
          <w:szCs w:val="24"/>
        </w:rPr>
        <w:t xml:space="preserve"> estimates that</w:t>
      </w:r>
      <w:r w:rsidRPr="004A5637">
        <w:rPr>
          <w:sz w:val="24"/>
          <w:szCs w:val="24"/>
        </w:rPr>
        <w:t xml:space="preserve"> </w:t>
      </w:r>
      <w:r w:rsidRPr="004A5637" w:rsidR="00364FA6">
        <w:rPr>
          <w:sz w:val="24"/>
          <w:szCs w:val="24"/>
        </w:rPr>
        <w:t>83</w:t>
      </w:r>
      <w:r w:rsidRPr="004A5637" w:rsidR="00DF4977">
        <w:rPr>
          <w:sz w:val="24"/>
          <w:szCs w:val="24"/>
        </w:rPr>
        <w:t xml:space="preserve"> federal credit unions are engaged in leasing activities and that it will take an average of 2 hours to collect and analyze the information. </w:t>
      </w:r>
    </w:p>
    <w:p w:rsidRPr="004A5637" w:rsidR="00BD2B39" w:rsidP="007467AC" w:rsidRDefault="00BD2B39">
      <w:pPr>
        <w:numPr>
          <w:ilvl w:val="12"/>
          <w:numId w:val="0"/>
        </w:numPr>
        <w:rPr>
          <w:sz w:val="24"/>
          <w:szCs w:val="24"/>
        </w:rPr>
      </w:pPr>
    </w:p>
    <w:p w:rsidRPr="009F786F" w:rsidR="00DF4977" w:rsidP="00F92727" w:rsidRDefault="00BD2B39">
      <w:pPr>
        <w:numPr>
          <w:ilvl w:val="12"/>
          <w:numId w:val="0"/>
        </w:numPr>
        <w:ind w:left="864"/>
        <w:rPr>
          <w:sz w:val="24"/>
          <w:szCs w:val="24"/>
        </w:rPr>
      </w:pPr>
      <w:r w:rsidRPr="004A5637">
        <w:rPr>
          <w:sz w:val="24"/>
          <w:szCs w:val="24"/>
        </w:rPr>
        <w:t>Further, we estimate that each credit union will, on average, grant 5</w:t>
      </w:r>
      <w:r w:rsidRPr="004A5637" w:rsidR="00DF4977">
        <w:rPr>
          <w:sz w:val="24"/>
          <w:szCs w:val="24"/>
        </w:rPr>
        <w:t xml:space="preserve"> leases</w:t>
      </w:r>
      <w:r w:rsidRPr="004A5637">
        <w:rPr>
          <w:sz w:val="24"/>
          <w:szCs w:val="24"/>
        </w:rPr>
        <w:t xml:space="preserve"> per year where they rely on the excess residual value is greater than 25 percent of the original cost of the leased property.  T</w:t>
      </w:r>
      <w:r w:rsidRPr="004A5637" w:rsidR="00DF4977">
        <w:rPr>
          <w:sz w:val="24"/>
          <w:szCs w:val="24"/>
        </w:rPr>
        <w:t>he total annual collection burden is estimat</w:t>
      </w:r>
      <w:r w:rsidRPr="004A5637">
        <w:rPr>
          <w:sz w:val="24"/>
          <w:szCs w:val="24"/>
        </w:rPr>
        <w:t xml:space="preserve">ed to be </w:t>
      </w:r>
      <w:r w:rsidRPr="004A5637">
        <w:rPr>
          <w:sz w:val="24"/>
          <w:szCs w:val="24"/>
        </w:rPr>
        <w:lastRenderedPageBreak/>
        <w:t xml:space="preserve">approximately </w:t>
      </w:r>
      <w:r w:rsidRPr="004A5637" w:rsidR="00364FA6">
        <w:rPr>
          <w:sz w:val="24"/>
          <w:szCs w:val="24"/>
        </w:rPr>
        <w:t>830</w:t>
      </w:r>
      <w:r w:rsidRPr="004A5637">
        <w:rPr>
          <w:sz w:val="24"/>
          <w:szCs w:val="24"/>
        </w:rPr>
        <w:t xml:space="preserve"> hours.  At an hourly rate of $35 per hour – the average wage for a credit union employee – the total annual cost burden is $</w:t>
      </w:r>
      <w:r w:rsidRPr="004A5637" w:rsidR="00215F60">
        <w:rPr>
          <w:sz w:val="24"/>
          <w:szCs w:val="24"/>
        </w:rPr>
        <w:t>29,050</w:t>
      </w:r>
      <w:r w:rsidRPr="004A5637">
        <w:rPr>
          <w:sz w:val="24"/>
          <w:szCs w:val="24"/>
        </w:rPr>
        <w:t>.</w:t>
      </w:r>
    </w:p>
    <w:p w:rsidRPr="009F786F" w:rsidR="00DF4977" w:rsidP="007467AC" w:rsidRDefault="00DF4977">
      <w:pPr>
        <w:numPr>
          <w:ilvl w:val="12"/>
          <w:numId w:val="0"/>
        </w:numPr>
        <w:rPr>
          <w:b/>
          <w:sz w:val="24"/>
          <w:szCs w:val="24"/>
        </w:rPr>
      </w:pPr>
    </w:p>
    <w:p w:rsidRPr="009F786F" w:rsidR="00DC2974" w:rsidP="007467AC" w:rsidRDefault="00DC2974">
      <w:pPr>
        <w:numPr>
          <w:ilvl w:val="12"/>
          <w:numId w:val="0"/>
        </w:numPr>
        <w:rPr>
          <w:b/>
          <w:sz w:val="24"/>
          <w:szCs w:val="24"/>
        </w:rPr>
      </w:pPr>
      <w:r w:rsidRPr="009F786F">
        <w:rPr>
          <w:b/>
          <w:sz w:val="24"/>
          <w:szCs w:val="24"/>
        </w:rPr>
        <w:t>13.</w:t>
      </w:r>
      <w:r w:rsidRPr="009F786F">
        <w:rPr>
          <w:b/>
          <w:sz w:val="24"/>
          <w:szCs w:val="24"/>
        </w:rPr>
        <w:tab/>
      </w:r>
      <w:r w:rsidR="00220972">
        <w:rPr>
          <w:b/>
          <w:sz w:val="24"/>
          <w:szCs w:val="24"/>
        </w:rPr>
        <w:tab/>
      </w:r>
      <w:r w:rsidRPr="009F786F" w:rsidR="00C91C86">
        <w:rPr>
          <w:b/>
          <w:sz w:val="24"/>
          <w:szCs w:val="24"/>
        </w:rPr>
        <w:t>C</w:t>
      </w:r>
      <w:r w:rsidR="00980922">
        <w:rPr>
          <w:b/>
          <w:sz w:val="24"/>
          <w:szCs w:val="24"/>
        </w:rPr>
        <w:t>apital start-up or on-going operation and maintenance costs.</w:t>
      </w:r>
    </w:p>
    <w:p w:rsidRPr="009F786F" w:rsidR="00DC2974" w:rsidP="007467AC" w:rsidRDefault="00DC2974">
      <w:pPr>
        <w:numPr>
          <w:ilvl w:val="12"/>
          <w:numId w:val="0"/>
        </w:numPr>
        <w:rPr>
          <w:sz w:val="24"/>
          <w:szCs w:val="24"/>
        </w:rPr>
      </w:pPr>
    </w:p>
    <w:p w:rsidRPr="009F786F" w:rsidR="00DC2974" w:rsidP="00F92727" w:rsidRDefault="008F62D7">
      <w:pPr>
        <w:ind w:left="864"/>
        <w:rPr>
          <w:sz w:val="24"/>
          <w:szCs w:val="24"/>
        </w:rPr>
      </w:pPr>
      <w:r>
        <w:rPr>
          <w:sz w:val="24"/>
          <w:szCs w:val="24"/>
        </w:rPr>
        <w:t>There are no capital/start-up or ongoing operations/maintenance costs associated with this information collection.</w:t>
      </w:r>
    </w:p>
    <w:p w:rsidRPr="009F786F" w:rsidR="00DC2974" w:rsidRDefault="00DC2974">
      <w:pPr>
        <w:rPr>
          <w:sz w:val="24"/>
          <w:szCs w:val="24"/>
        </w:rPr>
      </w:pPr>
    </w:p>
    <w:p w:rsidRPr="009F786F" w:rsidR="00DC2974" w:rsidRDefault="00DC2974">
      <w:pPr>
        <w:rPr>
          <w:b/>
          <w:sz w:val="24"/>
          <w:szCs w:val="24"/>
        </w:rPr>
      </w:pPr>
      <w:r w:rsidRPr="009F786F">
        <w:rPr>
          <w:b/>
          <w:sz w:val="24"/>
          <w:szCs w:val="24"/>
        </w:rPr>
        <w:t>14.</w:t>
      </w:r>
      <w:r w:rsidRPr="009F786F">
        <w:rPr>
          <w:b/>
          <w:sz w:val="24"/>
          <w:szCs w:val="24"/>
        </w:rPr>
        <w:tab/>
      </w:r>
      <w:r w:rsidR="00220972">
        <w:rPr>
          <w:b/>
          <w:sz w:val="24"/>
          <w:szCs w:val="24"/>
        </w:rPr>
        <w:tab/>
      </w:r>
      <w:r w:rsidR="00DC1C02">
        <w:rPr>
          <w:b/>
          <w:sz w:val="24"/>
          <w:szCs w:val="24"/>
        </w:rPr>
        <w:t xml:space="preserve">Annualized costs to </w:t>
      </w:r>
      <w:r w:rsidRPr="009F786F" w:rsidR="00C91C86">
        <w:rPr>
          <w:b/>
          <w:sz w:val="24"/>
          <w:szCs w:val="24"/>
        </w:rPr>
        <w:t>F</w:t>
      </w:r>
      <w:r w:rsidR="00DC1C02">
        <w:rPr>
          <w:b/>
          <w:sz w:val="24"/>
          <w:szCs w:val="24"/>
        </w:rPr>
        <w:t>ederal g</w:t>
      </w:r>
      <w:r w:rsidRPr="009F786F" w:rsidR="00C91C86">
        <w:rPr>
          <w:b/>
          <w:sz w:val="24"/>
          <w:szCs w:val="24"/>
        </w:rPr>
        <w:t>overnment</w:t>
      </w:r>
      <w:r w:rsidR="00DC1C02">
        <w:rPr>
          <w:b/>
          <w:sz w:val="24"/>
          <w:szCs w:val="24"/>
        </w:rPr>
        <w:t>.</w:t>
      </w:r>
    </w:p>
    <w:p w:rsidRPr="009F786F" w:rsidR="00DC2974" w:rsidRDefault="00DC2974">
      <w:pPr>
        <w:rPr>
          <w:sz w:val="24"/>
          <w:szCs w:val="24"/>
        </w:rPr>
      </w:pPr>
    </w:p>
    <w:p w:rsidRPr="009F786F" w:rsidR="00DB2E7D" w:rsidP="00F92727" w:rsidRDefault="00DC2974">
      <w:pPr>
        <w:ind w:left="864"/>
        <w:rPr>
          <w:sz w:val="24"/>
          <w:szCs w:val="24"/>
        </w:rPr>
      </w:pPr>
      <w:r w:rsidRPr="009F786F">
        <w:rPr>
          <w:sz w:val="24"/>
          <w:szCs w:val="24"/>
        </w:rPr>
        <w:t>NCUA staff will review the information</w:t>
      </w:r>
      <w:r w:rsidRPr="009F786F" w:rsidR="00BD2B39">
        <w:rPr>
          <w:sz w:val="24"/>
          <w:szCs w:val="24"/>
        </w:rPr>
        <w:t xml:space="preserve"> as part of the regular examination process</w:t>
      </w:r>
      <w:r w:rsidRPr="009F786F">
        <w:rPr>
          <w:sz w:val="24"/>
          <w:szCs w:val="24"/>
        </w:rPr>
        <w:t>.  Therefore, the</w:t>
      </w:r>
      <w:r w:rsidRPr="009F786F" w:rsidR="00BD2B39">
        <w:rPr>
          <w:sz w:val="24"/>
          <w:szCs w:val="24"/>
        </w:rPr>
        <w:t xml:space="preserve">re is no additional cost to NCUA. </w:t>
      </w:r>
    </w:p>
    <w:p w:rsidRPr="009F786F" w:rsidR="00DB2E7D" w:rsidRDefault="00DB2E7D">
      <w:pPr>
        <w:rPr>
          <w:sz w:val="24"/>
          <w:szCs w:val="24"/>
        </w:rPr>
      </w:pPr>
    </w:p>
    <w:p w:rsidRPr="009F786F" w:rsidR="00DC2974" w:rsidRDefault="00DC2974">
      <w:pPr>
        <w:rPr>
          <w:b/>
          <w:sz w:val="24"/>
          <w:szCs w:val="24"/>
        </w:rPr>
      </w:pPr>
      <w:r w:rsidRPr="009F786F">
        <w:rPr>
          <w:b/>
          <w:sz w:val="24"/>
          <w:szCs w:val="24"/>
        </w:rPr>
        <w:t>15.</w:t>
      </w:r>
      <w:r w:rsidRPr="009F786F">
        <w:rPr>
          <w:b/>
          <w:sz w:val="24"/>
          <w:szCs w:val="24"/>
        </w:rPr>
        <w:tab/>
      </w:r>
      <w:r w:rsidR="00220972">
        <w:rPr>
          <w:b/>
          <w:sz w:val="24"/>
          <w:szCs w:val="24"/>
        </w:rPr>
        <w:tab/>
      </w:r>
      <w:r w:rsidR="00DC1C02">
        <w:rPr>
          <w:b/>
          <w:sz w:val="24"/>
          <w:szCs w:val="24"/>
        </w:rPr>
        <w:t xml:space="preserve">Change in </w:t>
      </w:r>
      <w:r w:rsidRPr="009F786F" w:rsidR="00C91C86">
        <w:rPr>
          <w:b/>
          <w:sz w:val="24"/>
          <w:szCs w:val="24"/>
        </w:rPr>
        <w:t>Burden</w:t>
      </w:r>
    </w:p>
    <w:p w:rsidRPr="009F786F" w:rsidR="00DC2974" w:rsidRDefault="00DC2974">
      <w:pPr>
        <w:rPr>
          <w:sz w:val="24"/>
          <w:szCs w:val="24"/>
        </w:rPr>
      </w:pPr>
    </w:p>
    <w:p w:rsidRPr="009F786F" w:rsidR="00DC2974" w:rsidP="00F92727" w:rsidRDefault="00215F60">
      <w:pPr>
        <w:ind w:left="864"/>
        <w:rPr>
          <w:sz w:val="24"/>
          <w:szCs w:val="24"/>
        </w:rPr>
      </w:pPr>
      <w:r w:rsidRPr="004A5637">
        <w:rPr>
          <w:sz w:val="24"/>
          <w:szCs w:val="24"/>
        </w:rPr>
        <w:t>This is an extension of a currently approved collection. An adjustment was made to t</w:t>
      </w:r>
      <w:r w:rsidRPr="004A5637" w:rsidR="00BD2B39">
        <w:rPr>
          <w:sz w:val="24"/>
          <w:szCs w:val="24"/>
        </w:rPr>
        <w:t>he number of credit unions that offer leasing products</w:t>
      </w:r>
      <w:r w:rsidRPr="004A5637">
        <w:rPr>
          <w:sz w:val="24"/>
          <w:szCs w:val="24"/>
        </w:rPr>
        <w:t xml:space="preserve"> attributed to current updated data since the last collection request.</w:t>
      </w:r>
      <w:r w:rsidRPr="009F786F" w:rsidR="00BD2B39">
        <w:rPr>
          <w:sz w:val="24"/>
          <w:szCs w:val="24"/>
        </w:rPr>
        <w:t xml:space="preserve"> </w:t>
      </w:r>
    </w:p>
    <w:p w:rsidRPr="009F786F" w:rsidR="00DC2974" w:rsidRDefault="00DC2974">
      <w:pPr>
        <w:rPr>
          <w:sz w:val="24"/>
          <w:szCs w:val="24"/>
        </w:rPr>
      </w:pPr>
    </w:p>
    <w:p w:rsidRPr="009F786F" w:rsidR="00EE454B" w:rsidP="00220972" w:rsidRDefault="00EE454B">
      <w:pPr>
        <w:rPr>
          <w:b/>
          <w:sz w:val="24"/>
          <w:szCs w:val="24"/>
        </w:rPr>
      </w:pPr>
      <w:r w:rsidRPr="009F786F">
        <w:rPr>
          <w:b/>
          <w:sz w:val="24"/>
          <w:szCs w:val="24"/>
        </w:rPr>
        <w:t>16.</w:t>
      </w:r>
      <w:r w:rsidRPr="009F786F">
        <w:rPr>
          <w:b/>
          <w:sz w:val="24"/>
          <w:szCs w:val="24"/>
        </w:rPr>
        <w:tab/>
      </w:r>
      <w:r w:rsidR="00220972">
        <w:rPr>
          <w:b/>
          <w:sz w:val="24"/>
          <w:szCs w:val="24"/>
        </w:rPr>
        <w:tab/>
      </w:r>
      <w:r w:rsidR="00DC1C02">
        <w:rPr>
          <w:b/>
          <w:sz w:val="24"/>
          <w:szCs w:val="24"/>
        </w:rPr>
        <w:t>Information collection planned for statistical p</w:t>
      </w:r>
      <w:r w:rsidRPr="009F786F">
        <w:rPr>
          <w:b/>
          <w:sz w:val="24"/>
          <w:szCs w:val="24"/>
        </w:rPr>
        <w:t>urposes</w:t>
      </w:r>
      <w:r w:rsidR="00DC1C02">
        <w:rPr>
          <w:b/>
          <w:sz w:val="24"/>
          <w:szCs w:val="24"/>
        </w:rPr>
        <w:t>.</w:t>
      </w:r>
    </w:p>
    <w:p w:rsidRPr="009F786F" w:rsidR="00EE454B" w:rsidP="00EE454B" w:rsidRDefault="00EE454B">
      <w:pPr>
        <w:widowControl w:val="0"/>
        <w:tabs>
          <w:tab w:val="left" w:pos="0"/>
          <w:tab w:val="left" w:pos="445"/>
          <w:tab w:val="right" w:pos="9343"/>
        </w:tabs>
        <w:ind w:right="54"/>
        <w:rPr>
          <w:sz w:val="24"/>
          <w:szCs w:val="24"/>
        </w:rPr>
      </w:pPr>
    </w:p>
    <w:p w:rsidRPr="009F786F" w:rsidR="00EE454B" w:rsidP="00F92727" w:rsidRDefault="00EE454B">
      <w:pPr>
        <w:ind w:left="864"/>
        <w:rPr>
          <w:sz w:val="24"/>
          <w:szCs w:val="24"/>
        </w:rPr>
      </w:pPr>
      <w:r w:rsidRPr="009F786F">
        <w:rPr>
          <w:sz w:val="24"/>
          <w:szCs w:val="24"/>
        </w:rPr>
        <w:t>There is no plan to use this information for statistical purposes or to support publication of results.</w:t>
      </w:r>
    </w:p>
    <w:p w:rsidRPr="009F786F" w:rsidR="00EE454B" w:rsidP="00EE454B" w:rsidRDefault="00EE454B">
      <w:pPr>
        <w:widowControl w:val="0"/>
        <w:tabs>
          <w:tab w:val="left" w:pos="0"/>
          <w:tab w:val="left" w:pos="445"/>
          <w:tab w:val="right" w:pos="9343"/>
        </w:tabs>
        <w:ind w:right="54"/>
        <w:rPr>
          <w:sz w:val="24"/>
          <w:szCs w:val="24"/>
        </w:rPr>
      </w:pPr>
    </w:p>
    <w:p w:rsidRPr="009F786F" w:rsidR="00EE454B" w:rsidP="00220972" w:rsidRDefault="00EE454B">
      <w:pPr>
        <w:rPr>
          <w:b/>
          <w:sz w:val="24"/>
          <w:szCs w:val="24"/>
        </w:rPr>
      </w:pPr>
      <w:r w:rsidRPr="009F786F">
        <w:rPr>
          <w:b/>
          <w:sz w:val="24"/>
          <w:szCs w:val="24"/>
        </w:rPr>
        <w:t>17.</w:t>
      </w:r>
      <w:r w:rsidRPr="009F786F">
        <w:rPr>
          <w:b/>
          <w:sz w:val="24"/>
          <w:szCs w:val="24"/>
        </w:rPr>
        <w:tab/>
      </w:r>
      <w:r w:rsidR="00220972">
        <w:rPr>
          <w:b/>
          <w:sz w:val="24"/>
          <w:szCs w:val="24"/>
        </w:rPr>
        <w:tab/>
      </w:r>
      <w:r w:rsidR="00DC1C02">
        <w:rPr>
          <w:b/>
          <w:sz w:val="24"/>
          <w:szCs w:val="24"/>
        </w:rPr>
        <w:t>Request non-d</w:t>
      </w:r>
      <w:r w:rsidRPr="009F786F">
        <w:rPr>
          <w:b/>
          <w:sz w:val="24"/>
          <w:szCs w:val="24"/>
        </w:rPr>
        <w:t>isplay of</w:t>
      </w:r>
      <w:r w:rsidR="00DC1C02">
        <w:rPr>
          <w:b/>
          <w:sz w:val="24"/>
          <w:szCs w:val="24"/>
        </w:rPr>
        <w:t xml:space="preserve"> the expiration d</w:t>
      </w:r>
      <w:r w:rsidRPr="009F786F">
        <w:rPr>
          <w:b/>
          <w:sz w:val="24"/>
          <w:szCs w:val="24"/>
        </w:rPr>
        <w:t>ate</w:t>
      </w:r>
      <w:r w:rsidR="00DC1C02">
        <w:rPr>
          <w:b/>
          <w:sz w:val="24"/>
          <w:szCs w:val="24"/>
        </w:rPr>
        <w:t xml:space="preserve"> of the OMB control number.</w:t>
      </w:r>
    </w:p>
    <w:p w:rsidRPr="009F786F" w:rsidR="00EE454B" w:rsidP="00F92727" w:rsidRDefault="00EE454B">
      <w:pPr>
        <w:ind w:left="864"/>
        <w:rPr>
          <w:sz w:val="24"/>
          <w:szCs w:val="24"/>
        </w:rPr>
      </w:pPr>
    </w:p>
    <w:p w:rsidRPr="00F92727" w:rsidR="00EE454B" w:rsidP="00F92727" w:rsidRDefault="00EE454B">
      <w:pPr>
        <w:ind w:left="864"/>
        <w:rPr>
          <w:sz w:val="24"/>
          <w:szCs w:val="24"/>
        </w:rPr>
      </w:pPr>
      <w:r w:rsidRPr="009F786F">
        <w:rPr>
          <w:sz w:val="24"/>
          <w:szCs w:val="24"/>
        </w:rPr>
        <w:t>The OMB control number and expiration date associated with this PRA submission will be displayed on the Federal government’s electronic PRA docket at www.reginfo.gov.</w:t>
      </w:r>
    </w:p>
    <w:p w:rsidRPr="009F786F" w:rsidR="00EE454B" w:rsidP="00EE454B" w:rsidRDefault="00EE454B">
      <w:pPr>
        <w:widowControl w:val="0"/>
        <w:tabs>
          <w:tab w:val="left" w:pos="0"/>
          <w:tab w:val="right" w:pos="1731"/>
        </w:tabs>
        <w:ind w:right="54"/>
        <w:rPr>
          <w:sz w:val="24"/>
          <w:szCs w:val="24"/>
        </w:rPr>
      </w:pPr>
    </w:p>
    <w:p w:rsidRPr="009F786F" w:rsidR="00EE454B" w:rsidP="00220972" w:rsidRDefault="00EE454B">
      <w:pPr>
        <w:rPr>
          <w:b/>
          <w:sz w:val="24"/>
          <w:szCs w:val="24"/>
        </w:rPr>
      </w:pPr>
      <w:r w:rsidRPr="00220972">
        <w:rPr>
          <w:b/>
          <w:sz w:val="24"/>
          <w:szCs w:val="24"/>
        </w:rPr>
        <w:t>18.</w:t>
      </w:r>
      <w:r w:rsidRPr="00220972">
        <w:rPr>
          <w:b/>
          <w:sz w:val="24"/>
          <w:szCs w:val="24"/>
        </w:rPr>
        <w:tab/>
      </w:r>
      <w:r w:rsidR="00220972">
        <w:rPr>
          <w:b/>
          <w:sz w:val="24"/>
          <w:szCs w:val="24"/>
        </w:rPr>
        <w:tab/>
      </w:r>
      <w:r w:rsidRPr="009F786F">
        <w:rPr>
          <w:b/>
          <w:sz w:val="24"/>
          <w:szCs w:val="24"/>
        </w:rPr>
        <w:t>Exceptions to Certification</w:t>
      </w:r>
      <w:r w:rsidR="00DC1C02">
        <w:rPr>
          <w:b/>
          <w:sz w:val="24"/>
          <w:szCs w:val="24"/>
        </w:rPr>
        <w:t xml:space="preserve"> for Paperwork Reduction Act Submissions.</w:t>
      </w:r>
    </w:p>
    <w:p w:rsidRPr="009F786F" w:rsidR="00EE454B" w:rsidP="00EE454B" w:rsidRDefault="00EE45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auto"/>
        <w:rPr>
          <w:sz w:val="24"/>
          <w:szCs w:val="24"/>
        </w:rPr>
      </w:pPr>
    </w:p>
    <w:p w:rsidRPr="009F786F" w:rsidR="00EE454B" w:rsidP="00F92727" w:rsidRDefault="00EE717F">
      <w:pPr>
        <w:ind w:left="864"/>
        <w:rPr>
          <w:sz w:val="24"/>
          <w:szCs w:val="24"/>
        </w:rPr>
      </w:pPr>
      <w:r>
        <w:rPr>
          <w:sz w:val="24"/>
          <w:szCs w:val="24"/>
        </w:rPr>
        <w:t>There are no exceptions to the certification statement</w:t>
      </w:r>
      <w:r w:rsidRPr="009F786F" w:rsidR="00EE454B">
        <w:rPr>
          <w:sz w:val="24"/>
          <w:szCs w:val="24"/>
        </w:rPr>
        <w:t>.</w:t>
      </w:r>
    </w:p>
    <w:p w:rsidRPr="009F786F" w:rsidR="00EE454B" w:rsidP="00EE454B" w:rsidRDefault="00EE45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auto"/>
        <w:rPr>
          <w:sz w:val="24"/>
          <w:szCs w:val="24"/>
        </w:rPr>
      </w:pPr>
    </w:p>
    <w:p w:rsidRPr="009F786F" w:rsidR="00EE454B" w:rsidP="00EE454B" w:rsidRDefault="00EE45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auto"/>
        <w:rPr>
          <w:sz w:val="24"/>
          <w:szCs w:val="24"/>
        </w:rPr>
      </w:pPr>
    </w:p>
    <w:p w:rsidRPr="009F786F" w:rsidR="00EE454B" w:rsidP="00EE454B" w:rsidRDefault="00EE45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auto"/>
        <w:rPr>
          <w:b/>
          <w:sz w:val="24"/>
          <w:szCs w:val="24"/>
        </w:rPr>
      </w:pPr>
      <w:r w:rsidRPr="00DC1C02">
        <w:rPr>
          <w:b/>
          <w:sz w:val="24"/>
          <w:szCs w:val="24"/>
        </w:rPr>
        <w:t>B.</w:t>
      </w:r>
      <w:r w:rsidRPr="009F786F">
        <w:rPr>
          <w:sz w:val="24"/>
          <w:szCs w:val="24"/>
        </w:rPr>
        <w:tab/>
      </w:r>
      <w:r w:rsidRPr="009F786F">
        <w:rPr>
          <w:b/>
          <w:sz w:val="24"/>
          <w:szCs w:val="24"/>
        </w:rPr>
        <w:t>COLLECTIONS OF INFORMATION EMPLOYING STATISTICAL METHODS</w:t>
      </w:r>
    </w:p>
    <w:p w:rsidRPr="009F786F" w:rsidR="00EE454B" w:rsidP="00EE454B" w:rsidRDefault="00EE45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auto"/>
        <w:rPr>
          <w:sz w:val="24"/>
          <w:szCs w:val="24"/>
        </w:rPr>
      </w:pPr>
    </w:p>
    <w:p w:rsidRPr="009F786F" w:rsidR="00EE454B" w:rsidP="00EE454B" w:rsidRDefault="00F927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auto"/>
        <w:rPr>
          <w:sz w:val="24"/>
          <w:szCs w:val="24"/>
        </w:rPr>
      </w:pPr>
      <w:r>
        <w:rPr>
          <w:sz w:val="24"/>
          <w:szCs w:val="24"/>
        </w:rPr>
        <w:tab/>
      </w:r>
      <w:r w:rsidRPr="009F786F" w:rsidR="00EE454B">
        <w:rPr>
          <w:sz w:val="24"/>
          <w:szCs w:val="24"/>
        </w:rPr>
        <w:t xml:space="preserve">This collection does not involve statistical methods. </w:t>
      </w:r>
    </w:p>
    <w:p w:rsidRPr="009F786F" w:rsidR="00EE454B" w:rsidP="00EE454B" w:rsidRDefault="00EE454B">
      <w:pPr>
        <w:textAlignment w:val="auto"/>
        <w:rPr>
          <w:sz w:val="24"/>
          <w:szCs w:val="24"/>
        </w:rPr>
      </w:pPr>
    </w:p>
    <w:p w:rsidRPr="009F786F" w:rsidR="00264D68" w:rsidRDefault="00264D68">
      <w:pPr>
        <w:rPr>
          <w:sz w:val="24"/>
          <w:szCs w:val="24"/>
        </w:rPr>
      </w:pPr>
    </w:p>
    <w:sectPr w:rsidRPr="009F786F" w:rsidR="00264D68" w:rsidSect="009F786F">
      <w:footerReference w:type="default" r:id="rId12"/>
      <w:pgSz w:w="12240" w:h="15840" w:code="1"/>
      <w:pgMar w:top="1008" w:right="1440" w:bottom="1008" w:left="1440" w:header="720"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C16" w:rsidRDefault="00303C16" w:rsidP="00DE75BB">
      <w:r>
        <w:separator/>
      </w:r>
    </w:p>
  </w:endnote>
  <w:endnote w:type="continuationSeparator" w:id="0">
    <w:p w:rsidR="00303C16" w:rsidRDefault="00303C16" w:rsidP="00DE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5BB" w:rsidRPr="009F786F" w:rsidRDefault="009F786F" w:rsidP="009F786F">
    <w:pPr>
      <w:pStyle w:val="Footer"/>
      <w:tabs>
        <w:tab w:val="clear" w:pos="4680"/>
        <w:tab w:val="left" w:pos="0"/>
      </w:tabs>
      <w:rPr>
        <w:sz w:val="24"/>
        <w:szCs w:val="24"/>
      </w:rPr>
    </w:pPr>
    <w:r w:rsidRPr="009F786F">
      <w:rPr>
        <w:i/>
      </w:rPr>
      <w:t xml:space="preserve">OMB No. 3133-0151, </w:t>
    </w:r>
    <w:r w:rsidR="0015693E">
      <w:rPr>
        <w:i/>
      </w:rPr>
      <w:t xml:space="preserve">June </w:t>
    </w:r>
    <w:r w:rsidR="00220972">
      <w:rPr>
        <w:i/>
      </w:rPr>
      <w:t>2020</w:t>
    </w:r>
    <w:r>
      <w:rPr>
        <w:sz w:val="24"/>
        <w:szCs w:val="24"/>
      </w:rPr>
      <w:tab/>
    </w:r>
    <w:r w:rsidRPr="009F786F">
      <w:rPr>
        <w:sz w:val="24"/>
        <w:szCs w:val="24"/>
      </w:rPr>
      <w:fldChar w:fldCharType="begin"/>
    </w:r>
    <w:r w:rsidRPr="009F786F">
      <w:rPr>
        <w:sz w:val="24"/>
        <w:szCs w:val="24"/>
      </w:rPr>
      <w:instrText xml:space="preserve"> PAGE   \* MERGEFORMAT </w:instrText>
    </w:r>
    <w:r w:rsidRPr="009F786F">
      <w:rPr>
        <w:sz w:val="24"/>
        <w:szCs w:val="24"/>
      </w:rPr>
      <w:fldChar w:fldCharType="separate"/>
    </w:r>
    <w:r w:rsidR="004A5637">
      <w:rPr>
        <w:noProof/>
        <w:sz w:val="24"/>
        <w:szCs w:val="24"/>
      </w:rPr>
      <w:t>1</w:t>
    </w:r>
    <w:r w:rsidRPr="009F786F">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C16" w:rsidRDefault="00303C16" w:rsidP="00DE75BB">
      <w:r>
        <w:separator/>
      </w:r>
    </w:p>
  </w:footnote>
  <w:footnote w:type="continuationSeparator" w:id="0">
    <w:p w:rsidR="00303C16" w:rsidRDefault="00303C16" w:rsidP="00DE7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F0C4D8"/>
    <w:lvl w:ilvl="0">
      <w:numFmt w:val="bullet"/>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num>
  <w:num w:numId="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7AC"/>
    <w:rsid w:val="00036A4D"/>
    <w:rsid w:val="00096BA4"/>
    <w:rsid w:val="000B6381"/>
    <w:rsid w:val="000C4D11"/>
    <w:rsid w:val="0015693E"/>
    <w:rsid w:val="0017571E"/>
    <w:rsid w:val="0019414F"/>
    <w:rsid w:val="001E2539"/>
    <w:rsid w:val="00215F60"/>
    <w:rsid w:val="00220972"/>
    <w:rsid w:val="00264D68"/>
    <w:rsid w:val="00276EAF"/>
    <w:rsid w:val="002A590C"/>
    <w:rsid w:val="002B0A8D"/>
    <w:rsid w:val="002E49BA"/>
    <w:rsid w:val="00303C16"/>
    <w:rsid w:val="00364FA6"/>
    <w:rsid w:val="00377AE4"/>
    <w:rsid w:val="00393B1E"/>
    <w:rsid w:val="00394A29"/>
    <w:rsid w:val="003A7324"/>
    <w:rsid w:val="003C141C"/>
    <w:rsid w:val="00404A07"/>
    <w:rsid w:val="00417D39"/>
    <w:rsid w:val="0048710C"/>
    <w:rsid w:val="004A5637"/>
    <w:rsid w:val="004F2F86"/>
    <w:rsid w:val="00537F48"/>
    <w:rsid w:val="00554D59"/>
    <w:rsid w:val="00577C36"/>
    <w:rsid w:val="005840E5"/>
    <w:rsid w:val="00672BC0"/>
    <w:rsid w:val="006F780E"/>
    <w:rsid w:val="00714325"/>
    <w:rsid w:val="00720AF8"/>
    <w:rsid w:val="007467AC"/>
    <w:rsid w:val="007476E8"/>
    <w:rsid w:val="007A3CAC"/>
    <w:rsid w:val="007C5F0A"/>
    <w:rsid w:val="007D5608"/>
    <w:rsid w:val="007F623B"/>
    <w:rsid w:val="00840812"/>
    <w:rsid w:val="008578F4"/>
    <w:rsid w:val="00874EA0"/>
    <w:rsid w:val="008F62D7"/>
    <w:rsid w:val="00924D75"/>
    <w:rsid w:val="00947838"/>
    <w:rsid w:val="009562E2"/>
    <w:rsid w:val="00980922"/>
    <w:rsid w:val="009B2998"/>
    <w:rsid w:val="009F0FB6"/>
    <w:rsid w:val="009F786F"/>
    <w:rsid w:val="00A528BF"/>
    <w:rsid w:val="00A61EFC"/>
    <w:rsid w:val="00BA1A7E"/>
    <w:rsid w:val="00BB614A"/>
    <w:rsid w:val="00BD2B39"/>
    <w:rsid w:val="00C11320"/>
    <w:rsid w:val="00C26A6F"/>
    <w:rsid w:val="00C34CCF"/>
    <w:rsid w:val="00C577FB"/>
    <w:rsid w:val="00C666E2"/>
    <w:rsid w:val="00C91C86"/>
    <w:rsid w:val="00CA1E2D"/>
    <w:rsid w:val="00CE2D36"/>
    <w:rsid w:val="00CE50BA"/>
    <w:rsid w:val="00D57D8F"/>
    <w:rsid w:val="00D6003F"/>
    <w:rsid w:val="00DB2E7D"/>
    <w:rsid w:val="00DC1C02"/>
    <w:rsid w:val="00DC2974"/>
    <w:rsid w:val="00DE75BB"/>
    <w:rsid w:val="00DF4977"/>
    <w:rsid w:val="00E1213E"/>
    <w:rsid w:val="00E27369"/>
    <w:rsid w:val="00E3463D"/>
    <w:rsid w:val="00E37E61"/>
    <w:rsid w:val="00E64BFA"/>
    <w:rsid w:val="00EB7F37"/>
    <w:rsid w:val="00EE454B"/>
    <w:rsid w:val="00EE717F"/>
    <w:rsid w:val="00EF4253"/>
    <w:rsid w:val="00EF440E"/>
    <w:rsid w:val="00F92727"/>
    <w:rsid w:val="00FD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68969E-162C-41D5-B069-35B49E12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sz w:val="16"/>
    </w:rPr>
  </w:style>
  <w:style w:type="paragraph" w:styleId="Header">
    <w:name w:val="header"/>
    <w:basedOn w:val="Normal"/>
    <w:link w:val="HeaderChar"/>
    <w:rsid w:val="00DE75BB"/>
    <w:pPr>
      <w:tabs>
        <w:tab w:val="center" w:pos="4680"/>
        <w:tab w:val="right" w:pos="9360"/>
      </w:tabs>
    </w:pPr>
  </w:style>
  <w:style w:type="character" w:customStyle="1" w:styleId="HeaderChar">
    <w:name w:val="Header Char"/>
    <w:basedOn w:val="DefaultParagraphFont"/>
    <w:link w:val="Header"/>
    <w:rsid w:val="00DE75BB"/>
  </w:style>
  <w:style w:type="paragraph" w:styleId="Footer">
    <w:name w:val="footer"/>
    <w:basedOn w:val="Normal"/>
    <w:link w:val="FooterChar"/>
    <w:uiPriority w:val="99"/>
    <w:rsid w:val="00DE75BB"/>
    <w:pPr>
      <w:tabs>
        <w:tab w:val="center" w:pos="4680"/>
        <w:tab w:val="right" w:pos="9360"/>
      </w:tabs>
    </w:pPr>
  </w:style>
  <w:style w:type="character" w:customStyle="1" w:styleId="FooterChar">
    <w:name w:val="Footer Char"/>
    <w:basedOn w:val="DefaultParagraphFont"/>
    <w:link w:val="Footer"/>
    <w:uiPriority w:val="99"/>
    <w:rsid w:val="00DE75BB"/>
  </w:style>
  <w:style w:type="character" w:styleId="CommentReference">
    <w:name w:val="annotation reference"/>
    <w:rsid w:val="00394A29"/>
    <w:rPr>
      <w:sz w:val="16"/>
      <w:szCs w:val="16"/>
    </w:rPr>
  </w:style>
  <w:style w:type="paragraph" w:styleId="CommentText">
    <w:name w:val="annotation text"/>
    <w:basedOn w:val="Normal"/>
    <w:link w:val="CommentTextChar"/>
    <w:rsid w:val="00394A29"/>
  </w:style>
  <w:style w:type="character" w:customStyle="1" w:styleId="CommentTextChar">
    <w:name w:val="Comment Text Char"/>
    <w:basedOn w:val="DefaultParagraphFont"/>
    <w:link w:val="CommentText"/>
    <w:rsid w:val="00394A29"/>
  </w:style>
  <w:style w:type="paragraph" w:styleId="CommentSubject">
    <w:name w:val="annotation subject"/>
    <w:basedOn w:val="CommentText"/>
    <w:next w:val="CommentText"/>
    <w:link w:val="CommentSubjectChar"/>
    <w:rsid w:val="00394A29"/>
    <w:rPr>
      <w:b/>
      <w:bCs/>
    </w:rPr>
  </w:style>
  <w:style w:type="character" w:customStyle="1" w:styleId="CommentSubjectChar">
    <w:name w:val="Comment Subject Char"/>
    <w:link w:val="CommentSubject"/>
    <w:rsid w:val="00394A29"/>
    <w:rPr>
      <w:b/>
      <w:bCs/>
    </w:rPr>
  </w:style>
  <w:style w:type="paragraph" w:styleId="BodyTextIndent2">
    <w:name w:val="Body Text Indent 2"/>
    <w:basedOn w:val="Normal"/>
    <w:link w:val="BodyTextIndent2Char"/>
    <w:uiPriority w:val="99"/>
    <w:unhideWhenUsed/>
    <w:rsid w:val="00A528BF"/>
    <w:pPr>
      <w:overflowPunct/>
      <w:autoSpaceDE/>
      <w:autoSpaceDN/>
      <w:adjustRightInd/>
      <w:spacing w:after="120" w:line="480" w:lineRule="auto"/>
      <w:ind w:left="360"/>
      <w:textAlignment w:val="auto"/>
    </w:pPr>
    <w:rPr>
      <w:sz w:val="24"/>
      <w:szCs w:val="24"/>
    </w:rPr>
  </w:style>
  <w:style w:type="character" w:customStyle="1" w:styleId="BodyTextIndent2Char">
    <w:name w:val="Body Text Indent 2 Char"/>
    <w:link w:val="BodyTextIndent2"/>
    <w:uiPriority w:val="99"/>
    <w:rsid w:val="00A528BF"/>
    <w:rPr>
      <w:sz w:val="24"/>
      <w:szCs w:val="24"/>
    </w:rPr>
  </w:style>
  <w:style w:type="paragraph" w:customStyle="1" w:styleId="Level1">
    <w:name w:val="Level 1"/>
    <w:basedOn w:val="Normal"/>
    <w:rsid w:val="00A528BF"/>
    <w:pPr>
      <w:widowControl w:val="0"/>
      <w:numPr>
        <w:numId w:val="3"/>
      </w:numPr>
      <w:overflowPunct/>
      <w:ind w:left="474" w:hanging="186"/>
      <w:textAlignment w:val="auto"/>
      <w:outlineLvl w:val="0"/>
    </w:pPr>
    <w:rPr>
      <w:sz w:val="24"/>
      <w:szCs w:val="24"/>
    </w:rPr>
  </w:style>
  <w:style w:type="paragraph" w:customStyle="1" w:styleId="Level2">
    <w:name w:val="Level 2"/>
    <w:basedOn w:val="Normal"/>
    <w:rsid w:val="00A528BF"/>
    <w:pPr>
      <w:widowControl w:val="0"/>
      <w:overflowPunct/>
      <w:ind w:left="722" w:hanging="361"/>
      <w:textAlignment w:val="auto"/>
    </w:pPr>
    <w:rPr>
      <w:sz w:val="24"/>
      <w:szCs w:val="24"/>
    </w:rPr>
  </w:style>
  <w:style w:type="character" w:styleId="Hyperlink">
    <w:name w:val="Hyperlink"/>
    <w:rsid w:val="00714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_x0020_or_x0020_F_x003f_ xmlns="3ea56344-e6f1-4d68-b27f-fda586fbce6c">Final</D_x0020_or_x0020_F_x003f_>
    <PRA_x0020_Request_x0020_Type xmlns="3ea56344-e6f1-4d68-b27f-fda586fbce6c">Extension</PRA_x0020_Request_x0020_Type>
    <OMB_x0020_Expiration_x0020_Date xmlns="3ea56344-e6f1-4d68-b27f-fda586fbce6c">2020-06-30T04:00:00+00:00</OMB_x0020_Expiration_x0020_Date>
    <Date1 xmlns="3ea56344-e6f1-4d68-b27f-fda586fbce6c">2017-03-31T04:00:00+00:00</Date1>
    <PRA_x0020_Status xmlns="3ea56344-e6f1-4d68-b27f-fda586fbce6c">Approved</PRA_x0020_Status>
    <Form_x0020_No. xmlns="0d78573e-a0f5-4493-b684-0d1db760dd90" xsi:nil="true"/>
    <Requiring_x0020_Activity xmlns="87893fa0-2686-4088-86e9-48d7d07258e3">E&amp;I</Requiring_x0020_Activity>
    <PRA_x0020_POC xmlns="3ea56344-e6f1-4d68-b27f-fda586fbce6c">
      <UserInfo>
        <DisplayName>Vieten, Vincent H</DisplayName>
        <AccountId>969</AccountId>
        <AccountType/>
      </UserInfo>
    </PRA_x0020_POC>
    <TriggerFlag xmlns="0d78573e-a0f5-4493-b684-0d1db760dd90" xsi:nil="true"/>
    <OMB_x0020_No. xmlns="0d78573e-a0f5-4493-b684-0d1db760dd90">3133-0151</OMB_x0020_No.>
    <Reg xmlns="3ea56344-e6f1-4d68-b27f-fda586fbce6c">714</Reg>
  </documentManagement>
</p:properties>
</file>

<file path=customXml/item3.xml><?xml version="1.0" encoding="utf-8"?>
<ct:contentTypeSchema xmlns:ct="http://schemas.microsoft.com/office/2006/metadata/contentType" xmlns:ma="http://schemas.microsoft.com/office/2006/metadata/properties/metaAttributes" ct:_="" ma:_="" ma:contentTypeName="Supporting Statement" ma:contentTypeID="0x0101003F62F64E8BC28345909BC2037B65158F0100575D3864973BE743BD7602542BF628DA" ma:contentTypeVersion="14" ma:contentTypeDescription="" ma:contentTypeScope="" ma:versionID="fe4829b535a6b8252de03d6cf5784606">
  <xsd:schema xmlns:xsd="http://www.w3.org/2001/XMLSchema" xmlns:xs="http://www.w3.org/2001/XMLSchema" xmlns:p="http://schemas.microsoft.com/office/2006/metadata/properties" xmlns:ns2="3ea56344-e6f1-4d68-b27f-fda586fbce6c" xmlns:ns3="0d78573e-a0f5-4493-b684-0d1db760dd90" xmlns:ns4="87893fa0-2686-4088-86e9-48d7d07258e3" targetNamespace="http://schemas.microsoft.com/office/2006/metadata/properties" ma:root="true" ma:fieldsID="f190a850ec2a6da1b9be7669de656ae1" ns2:_="" ns3:_="" ns4:_="">
    <xsd:import namespace="3ea56344-e6f1-4d68-b27f-fda586fbce6c"/>
    <xsd:import namespace="0d78573e-a0f5-4493-b684-0d1db760dd90"/>
    <xsd:import namespace="87893fa0-2686-4088-86e9-48d7d07258e3"/>
    <xsd:element name="properties">
      <xsd:complexType>
        <xsd:sequence>
          <xsd:element name="documentManagement">
            <xsd:complexType>
              <xsd:all>
                <xsd:element ref="ns2:D_x0020_or_x0020_F_x003f_" minOccurs="0"/>
                <xsd:element ref="ns3:Form_x0020_No." minOccurs="0"/>
                <xsd:element ref="ns2:Date1" minOccurs="0"/>
                <xsd:element ref="ns2:PRA_x0020_POC" minOccurs="0"/>
                <xsd:element ref="ns2:OMB_x0020_Expiration_x0020_Date" minOccurs="0"/>
                <xsd:element ref="ns4:Requiring_x0020_Activity" minOccurs="0"/>
                <xsd:element ref="ns2:PRA_x0020_Status" minOccurs="0"/>
                <xsd:element ref="ns2:PRA_x0020_Request_x0020_Type" minOccurs="0"/>
                <xsd:element ref="ns3:OMB_x0020_No." minOccurs="0"/>
                <xsd:element ref="ns2:Reg" minOccurs="0"/>
                <xsd:element ref="ns3:TriggerFl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344-e6f1-4d68-b27f-fda586fbce6c" elementFormDefault="qualified">
    <xsd:import namespace="http://schemas.microsoft.com/office/2006/documentManagement/types"/>
    <xsd:import namespace="http://schemas.microsoft.com/office/infopath/2007/PartnerControls"/>
    <xsd:element name="D_x0020_or_x0020_F_x003f_" ma:index="8" nillable="true" ma:displayName="Draft or Final?" ma:default="Draft" ma:format="Dropdown" ma:internalName="D_x0020_or_x0020_F_x003F_" ma:readOnly="false">
      <xsd:simpleType>
        <xsd:restriction base="dms:Choice">
          <xsd:enumeration value="Draft"/>
          <xsd:enumeration value="Final"/>
        </xsd:restriction>
      </xsd:simpleType>
    </xsd:element>
    <xsd:element name="Date1" ma:index="10" nillable="true" ma:displayName="Date" ma:format="DateOnly" ma:internalName="Date1" ma:readOnly="false">
      <xsd:simpleType>
        <xsd:restriction base="dms:DateTime"/>
      </xsd:simpleType>
    </xsd:element>
    <xsd:element name="PRA_x0020_POC" ma:index="11" nillable="true" ma:displayName="PRA POC" ma:list="UserInfo" ma:SharePointGroup="0" ma:internalName="PRA_x0020_POC"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MB_x0020_Expiration_x0020_Date" ma:index="12" nillable="true" ma:displayName="OMB Expiration Date" ma:format="DateOnly" ma:internalName="OMB_x0020_Expiration_x0020_Date" ma:readOnly="false">
      <xsd:simpleType>
        <xsd:restriction base="dms:DateTime"/>
      </xsd:simpleType>
    </xsd:element>
    <xsd:element name="PRA_x0020_Status" ma:index="14" nillable="true" ma:displayName="PRA Status" ma:default="-" ma:format="Dropdown" ma:internalName="PRA_x0020_Status" ma:readOnly="false">
      <xsd:simpleType>
        <xsd:restriction base="dms:Choice">
          <xsd:enumeration value="-"/>
          <xsd:enumeration value="Pending w/OPI"/>
          <xsd:enumeration value="Pending w/PRA Office"/>
          <xsd:enumeration value="Pending w/OMB"/>
          <xsd:enumeration value="60 day comment period wait"/>
          <xsd:enumeration value="30 day comment period wait"/>
          <xsd:enumeration value="Approved"/>
          <xsd:enumeration value="Disapproved"/>
          <xsd:enumeration value="Disapproved &amp; Continued"/>
          <xsd:enumeration value="Preapproved"/>
          <xsd:enumeration value="Comment file on proposed rule"/>
          <xsd:enumeration value="Comment file on proposed rule and continued"/>
          <xsd:enumeration value="Improperly Submitted"/>
          <xsd:enumeration value="Improperly Submitted and Continued"/>
        </xsd:restriction>
      </xsd:simpleType>
    </xsd:element>
    <xsd:element name="PRA_x0020_Request_x0020_Type" ma:index="15" nillable="true" ma:displayName="PRA Request Type" ma:default="-" ma:format="Dropdown" ma:internalName="PRA_x0020_Request_x0020_Type" ma:readOnly="false">
      <xsd:simpleType>
        <xsd:restriction base="dms:Choice">
          <xsd:enumeration value="-"/>
          <xsd:enumeration value="Extension"/>
          <xsd:enumeration value="Revision"/>
          <xsd:enumeration value="New"/>
          <xsd:enumeration value="New NPRM"/>
          <xsd:enumeration value="New Final Rule"/>
          <xsd:enumeration value="In use W/O OMB#"/>
          <xsd:enumeration value="Reinstatement"/>
          <xsd:enumeration value="Discontinuation"/>
          <xsd:enumeration value="Non Material Change"/>
          <xsd:enumeration value="Generic IC"/>
          <xsd:enumeration value="Emergency Extension"/>
        </xsd:restriction>
      </xsd:simpleType>
    </xsd:element>
    <xsd:element name="Reg" ma:index="17" nillable="true" ma:displayName="Reg" ma:internalName="Reg"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0d78573e-a0f5-4493-b684-0d1db760dd90" elementFormDefault="qualified">
    <xsd:import namespace="http://schemas.microsoft.com/office/2006/documentManagement/types"/>
    <xsd:import namespace="http://schemas.microsoft.com/office/infopath/2007/PartnerControls"/>
    <xsd:element name="Form_x0020_No." ma:index="9" nillable="true" ma:displayName="Form No." ma:internalName="Form_x0020_No_x002e_" ma:readOnly="false" ma:percentage="FALSE">
      <xsd:simpleType>
        <xsd:restriction base="dms:Number"/>
      </xsd:simpleType>
    </xsd:element>
    <xsd:element name="OMB_x0020_No." ma:index="16" nillable="true" ma:displayName="OMB No." ma:internalName="OMB_x0020_No_x002e_" ma:readOnly="false">
      <xsd:simpleType>
        <xsd:restriction base="dms:Text">
          <xsd:maxLength value="10"/>
        </xsd:restriction>
      </xsd:simpleType>
    </xsd:element>
    <xsd:element name="TriggerFlag" ma:index="18" nillable="true" ma:displayName="TriggerFlag" ma:internalName="TriggerFl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93fa0-2686-4088-86e9-48d7d07258e3" elementFormDefault="qualified">
    <xsd:import namespace="http://schemas.microsoft.com/office/2006/documentManagement/types"/>
    <xsd:import namespace="http://schemas.microsoft.com/office/infopath/2007/PartnerControls"/>
    <xsd:element name="Requiring_x0020_Activity" ma:index="13" nillable="true" ma:displayName="ClientOffice" ma:default="-" ma:format="Dropdown" ma:internalName="Requiring_x0020_Activity" ma:readOnly="false">
      <xsd:simpleType>
        <xsd:restriction base="dms:Choice">
          <xsd:enumeration value="-"/>
          <xsd:enumeration value="Eastern"/>
          <xsd:enumeration value="Southern"/>
          <xsd:enumeration value="Western"/>
          <xsd:enumeration value="Region 1"/>
          <xsd:enumeration value="Region 2"/>
          <xsd:enumeration value="Region 3"/>
          <xsd:enumeration value="Region 4"/>
          <xsd:enumeration value="Region 5"/>
          <xsd:enumeration value="AMAC"/>
          <xsd:enumeration value="Board"/>
          <xsd:enumeration value="CURE"/>
          <xsd:enumeration value="E&amp;I"/>
          <xsd:enumeration value="ONES"/>
          <xsd:enumeration value="OCE"/>
          <xsd:enumeration value="OCFO"/>
          <xsd:enumeration value="OCIO"/>
          <xsd:enumeration value="OCFP"/>
          <xsd:enumeration value="OCSM"/>
          <xsd:enumeration value="OED"/>
          <xsd:enumeration value="OGC"/>
          <xsd:enumeration value="OHR"/>
          <xsd:enumeration value="OIG"/>
          <xsd:enumeration value="OMWI"/>
          <xsd:enumeration value="PAC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4052B-588A-4C2A-87CD-E39D8262FBB8}">
  <ds:schemaRefs>
    <ds:schemaRef ds:uri="http://schemas.microsoft.com/sharepoint/v3/contenttype/forms"/>
  </ds:schemaRefs>
</ds:datastoreItem>
</file>

<file path=customXml/itemProps2.xml><?xml version="1.0" encoding="utf-8"?>
<ds:datastoreItem xmlns:ds="http://schemas.openxmlformats.org/officeDocument/2006/customXml" ds:itemID="{A80D8233-1748-48C7-A157-55B6A1A24079}">
  <ds:schemaRefs>
    <ds:schemaRef ds:uri="http://schemas.microsoft.com/office/2006/metadata/properties"/>
    <ds:schemaRef ds:uri="http://schemas.microsoft.com/office/infopath/2007/PartnerControls"/>
    <ds:schemaRef ds:uri="3ea56344-e6f1-4d68-b27f-fda586fbce6c"/>
    <ds:schemaRef ds:uri="0d78573e-a0f5-4493-b684-0d1db760dd90"/>
    <ds:schemaRef ds:uri="87893fa0-2686-4088-86e9-48d7d07258e3"/>
  </ds:schemaRefs>
</ds:datastoreItem>
</file>

<file path=customXml/itemProps3.xml><?xml version="1.0" encoding="utf-8"?>
<ds:datastoreItem xmlns:ds="http://schemas.openxmlformats.org/officeDocument/2006/customXml" ds:itemID="{49D75DE2-6126-42AB-97A5-A28F535A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344-e6f1-4d68-b27f-fda586fbce6c"/>
    <ds:schemaRef ds:uri="0d78573e-a0f5-4493-b684-0d1db760dd90"/>
    <ds:schemaRef ds:uri="87893fa0-2686-4088-86e9-48d7d0725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C14A94-87EB-40D8-8137-9A0C6425651C}">
  <ds:schemaRefs>
    <ds:schemaRef ds:uri="http://schemas.microsoft.com/office/2006/metadata/longProperties"/>
  </ds:schemaRefs>
</ds:datastoreItem>
</file>

<file path=customXml/itemProps5.xml><?xml version="1.0" encoding="utf-8"?>
<ds:datastoreItem xmlns:ds="http://schemas.openxmlformats.org/officeDocument/2006/customXml" ds:itemID="{CA52EC0F-9B14-4158-9E81-177CBF8CE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1._Explain the circumstances that make the collection of information necessary.  Identify any legal</vt:lpstr>
    </vt:vector>
  </TitlesOfParts>
  <Company>NCUA</Company>
  <LinksUpToDate>false</LinksUpToDate>
  <CharactersWithSpaces>5416</CharactersWithSpaces>
  <SharedDoc>false</SharedDoc>
  <HLinks>
    <vt:vector size="6" baseType="variant">
      <vt:variant>
        <vt:i4>852034</vt:i4>
      </vt:variant>
      <vt:variant>
        <vt:i4>0</vt:i4>
      </vt:variant>
      <vt:variant>
        <vt:i4>0</vt:i4>
      </vt:variant>
      <vt:variant>
        <vt:i4>5</vt:i4>
      </vt:variant>
      <vt:variant>
        <vt:lpwstr>https://www.rocis.gov/rocis/do/place_holder_certificate.doc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1._Explain the circumstances that make the collection of information necessary.  Identify any legal</dc:title>
  <dc:subject/>
  <dc:creator>NCUA</dc:creator>
  <cp:keywords/>
  <cp:lastModifiedBy>Malaka, Mackie</cp:lastModifiedBy>
  <cp:revision>4</cp:revision>
  <cp:lastPrinted>2017-03-23T13:12:00Z</cp:lastPrinted>
  <dcterms:created xsi:type="dcterms:W3CDTF">2020-06-19T17:38:00Z</dcterms:created>
  <dcterms:modified xsi:type="dcterms:W3CDTF">2020-06-23T13:41:00Z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0x0101003F62F64E8BC28345909BC2037B65158F0100575D3864973BE743BD7602542BF628DA</vt:lpwstr>
  </property>
  <property fmtid="{D5CDD505-2E9C-101B-9397-08002B2CF9AE}" pid="3" name="display_urn:schemas-microsoft-com:office:office#PRA_x0020_POC">
    <vt:lpwstr>Vieten, Vincent H</vt:lpwstr>
  </property>
</Properties>
</file>