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E54C13" w:rsidRDefault="0040627F" w14:paraId="33CC6E9C" w14:textId="4961F4B5">
      <w:pPr>
        <w:pStyle w:val="Title"/>
        <w:outlineLvl w:val="9"/>
        <w:rPr>
          <w:rStyle w:val="GridTable1Light1"/>
          <w:rFonts w:ascii="Times New Roman" w:hAnsi="Times New Roman"/>
          <w:b/>
        </w:rPr>
      </w:pPr>
      <w:bookmarkStart w:name="_Toc478120906" w:id="0"/>
      <w:bookmarkStart w:name="_Toc478123129" w:id="1"/>
      <w:r>
        <w:rPr>
          <w:rStyle w:val="GridTable1Light1"/>
          <w:rFonts w:ascii="Times New Roman" w:hAnsi="Times New Roman"/>
          <w:b/>
        </w:rPr>
        <w:t xml:space="preserve"> </w:t>
      </w:r>
      <w:r w:rsidR="006F3268">
        <w:rPr>
          <w:rStyle w:val="GridTable1Light1"/>
          <w:rFonts w:ascii="Times New Roman" w:hAnsi="Times New Roman"/>
          <w:b/>
        </w:rPr>
        <w:t xml:space="preserve"> </w:t>
      </w:r>
      <w:r w:rsidRPr="00C85DEE" w:rsidR="004A2C71">
        <w:rPr>
          <w:rFonts w:ascii="Times New Roman" w:hAnsi="Times New Roman"/>
          <w:noProof/>
        </w:rPr>
        <w:drawing>
          <wp:inline distT="0" distB="0" distL="0" distR="0" wp14:anchorId="00423E6D" wp14:editId="08617DB2">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rsidRPr="00C85DEE" w:rsidR="00E54C13" w:rsidP="00E54C13" w:rsidRDefault="003D4733" w14:paraId="4E5F055D" w14:textId="387C05EC">
      <w:pPr>
        <w:pStyle w:val="Title"/>
        <w:outlineLvl w:val="9"/>
        <w:rPr>
          <w:rStyle w:val="GridTable1Light1"/>
          <w:rFonts w:ascii="Times New Roman" w:hAnsi="Times New Roman"/>
          <w:i w:val="0"/>
          <w:sz w:val="56"/>
          <w:szCs w:val="56"/>
        </w:rPr>
      </w:pPr>
      <w:bookmarkStart w:name="_GoBack" w:id="2"/>
      <w:r w:rsidRPr="00C85DEE">
        <w:rPr>
          <w:rStyle w:val="GridTable1Light1"/>
          <w:rFonts w:ascii="Times New Roman" w:hAnsi="Times New Roman"/>
          <w:i w:val="0"/>
          <w:sz w:val="56"/>
          <w:szCs w:val="56"/>
        </w:rPr>
        <w:t xml:space="preserve">Service Level </w:t>
      </w:r>
      <w:r w:rsidRPr="00C85DEE" w:rsidR="00125F4C">
        <w:rPr>
          <w:rStyle w:val="GridTable1Light1"/>
          <w:rFonts w:ascii="Times New Roman" w:hAnsi="Times New Roman"/>
          <w:i w:val="0"/>
          <w:sz w:val="56"/>
          <w:szCs w:val="56"/>
        </w:rPr>
        <w:t>Measurements</w:t>
      </w:r>
      <w:bookmarkStart w:name="_Toc478120907" w:id="3"/>
      <w:bookmarkStart w:name="_Toc478123130" w:id="4"/>
      <w:bookmarkEnd w:id="0"/>
      <w:bookmarkEnd w:id="1"/>
      <w:r w:rsidR="0055695B">
        <w:rPr>
          <w:rStyle w:val="GridTable1Light1"/>
          <w:rFonts w:ascii="Times New Roman" w:hAnsi="Times New Roman"/>
          <w:i w:val="0"/>
          <w:sz w:val="56"/>
          <w:szCs w:val="56"/>
        </w:rPr>
        <w:t xml:space="preserve">: </w:t>
      </w:r>
      <w:r w:rsidRPr="00C85DEE" w:rsidR="00F023DE">
        <w:rPr>
          <w:rStyle w:val="GridTable1Light1"/>
          <w:rFonts w:ascii="Times New Roman" w:hAnsi="Times New Roman"/>
          <w:i w:val="0"/>
          <w:sz w:val="56"/>
          <w:szCs w:val="56"/>
        </w:rPr>
        <w:t>Telehealth</w:t>
      </w:r>
      <w:r w:rsidR="0055695B">
        <w:rPr>
          <w:rStyle w:val="GridTable1Light1"/>
          <w:rFonts w:ascii="Times New Roman" w:hAnsi="Times New Roman"/>
          <w:i w:val="0"/>
          <w:sz w:val="56"/>
          <w:szCs w:val="56"/>
        </w:rPr>
        <w:t xml:space="preserve"> Survey</w:t>
      </w:r>
      <w:r w:rsidRPr="00C85DEE" w:rsidR="00E54C13">
        <w:rPr>
          <w:rStyle w:val="GridTable1Light1"/>
          <w:rFonts w:ascii="Times New Roman" w:hAnsi="Times New Roman"/>
          <w:i w:val="0"/>
          <w:sz w:val="56"/>
          <w:szCs w:val="56"/>
        </w:rPr>
        <w:t xml:space="preserve"> </w:t>
      </w:r>
    </w:p>
    <w:p w:rsidRPr="00C85DEE" w:rsidR="000820A0" w:rsidP="00F0576D" w:rsidRDefault="00D03BD0" w14:paraId="2E5D906F" w14:textId="09B5F490">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3"/>
      <w:bookmarkEnd w:id="4"/>
      <w:r w:rsidRPr="00C85DEE" w:rsidR="006D4D3D">
        <w:rPr>
          <w:rStyle w:val="GridTable1Light1"/>
          <w:rFonts w:ascii="Times New Roman" w:hAnsi="Times New Roman"/>
          <w:i w:val="0"/>
          <w:sz w:val="56"/>
          <w:szCs w:val="56"/>
        </w:rPr>
        <w:t>Report</w:t>
      </w:r>
    </w:p>
    <w:p w:rsidRPr="00C85DEE" w:rsidR="004A2C71" w:rsidP="004A2C71" w:rsidRDefault="00893D67" w14:paraId="2C9B95C1" w14:textId="7864E139">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Pr="00C85DEE" w:rsidR="004A2C71" w:rsidP="004A2C71" w:rsidRDefault="004A2C71" w14:paraId="61019D8B"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4A2C71" w:rsidRDefault="00794C8F" w14:paraId="1605D263" w14:textId="6991AFB4">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Pr="00C85DEE" w:rsidR="004A2C71" w:rsidP="004A2C71" w:rsidRDefault="004A2C71" w14:paraId="060419A2" w14:textId="30A5C323">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 xml:space="preserve">Version 1 </w:t>
      </w:r>
      <w:r w:rsidR="00130733">
        <w:rPr>
          <w:rFonts w:ascii="Times New Roman" w:hAnsi="Times New Roman" w:cs="Times New Roman"/>
          <w:sz w:val="30"/>
          <w:szCs w:val="30"/>
        </w:rPr>
        <w:t>June</w:t>
      </w:r>
      <w:r w:rsidRPr="00C85DEE">
        <w:rPr>
          <w:rFonts w:ascii="Times New Roman" w:hAnsi="Times New Roman" w:cs="Times New Roman"/>
          <w:sz w:val="30"/>
          <w:szCs w:val="30"/>
        </w:rPr>
        <w:t xml:space="preserve"> 2018</w:t>
      </w:r>
    </w:p>
    <w:p w:rsidRPr="00C85DEE" w:rsidR="004A2C71" w:rsidP="00893D67" w:rsidRDefault="004A2C71" w14:paraId="2C660604" w14:textId="77777777">
      <w:pPr>
        <w:jc w:val="center"/>
        <w:rPr>
          <w:rFonts w:ascii="Times New Roman" w:hAnsi="Times New Roman" w:cs="Times New Roman"/>
          <w:sz w:val="26"/>
          <w:szCs w:val="26"/>
        </w:rPr>
      </w:pPr>
    </w:p>
    <w:p w:rsidRPr="00C85DEE" w:rsidR="00C1073A" w:rsidP="00C1073A" w:rsidRDefault="00C1073A" w14:paraId="169CDAAB" w14:textId="77777777">
      <w:pPr>
        <w:rPr>
          <w:rFonts w:ascii="Times New Roman" w:hAnsi="Times New Roman" w:cs="Times New Roman"/>
        </w:rPr>
      </w:pPr>
    </w:p>
    <w:p w:rsidRPr="00C85DEE" w:rsidR="000820A0" w:rsidP="003D5BB8" w:rsidRDefault="000820A0" w14:paraId="567ACF62"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Pr="00FC514E" w:rsidR="00FC514E" w:rsidP="00FC514E" w:rsidRDefault="000820A0" w14:paraId="66EFC5D9" w14:textId="7977D75A">
      <w:pPr>
        <w:pStyle w:val="TOC1"/>
        <w:tabs>
          <w:tab w:val="clear" w:pos="9350"/>
          <w:tab w:val="center" w:leader="dot" w:pos="9346"/>
        </w:tabs>
        <w:rPr>
          <w:rFonts w:ascii="Times New Roman" w:hAnsi="Times New Roman" w:cs="Times New Roman" w:eastAsiaTheme="minorEastAsia"/>
          <w:noProof/>
          <w:lang w:eastAsia="zh-CN"/>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513723180">
        <w:r w:rsidRPr="00FC514E" w:rsidR="00FC514E">
          <w:rPr>
            <w:rStyle w:val="Hyperlink"/>
            <w:rFonts w:ascii="Times New Roman" w:hAnsi="Times New Roman" w:cs="Times New Roman"/>
            <w:noProof/>
          </w:rPr>
          <w:t>Executive Summary</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_Toc513723180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3</w:t>
        </w:r>
        <w:r w:rsidRPr="00FC514E" w:rsidR="00FC514E">
          <w:rPr>
            <w:rFonts w:ascii="Times New Roman" w:hAnsi="Times New Roman" w:cs="Times New Roman"/>
            <w:noProof/>
            <w:webHidden/>
          </w:rPr>
          <w:fldChar w:fldCharType="end"/>
        </w:r>
      </w:hyperlink>
    </w:p>
    <w:p w:rsidRPr="00FC514E" w:rsidR="00FC514E" w:rsidP="00FC514E" w:rsidRDefault="000E7C24" w14:paraId="17860195" w14:textId="4147825A">
      <w:pPr>
        <w:pStyle w:val="TOC1"/>
        <w:tabs>
          <w:tab w:val="clear" w:pos="9350"/>
          <w:tab w:val="center" w:leader="dot" w:pos="9346"/>
        </w:tabs>
        <w:rPr>
          <w:rFonts w:ascii="Times New Roman" w:hAnsi="Times New Roman" w:cs="Times New Roman" w:eastAsiaTheme="minorEastAsia"/>
          <w:noProof/>
          <w:lang w:eastAsia="zh-CN"/>
        </w:rPr>
      </w:pPr>
      <w:hyperlink w:history="1" w:anchor="_Toc513723181">
        <w:r w:rsidRPr="00FC514E" w:rsidR="00FC514E">
          <w:rPr>
            <w:rStyle w:val="Hyperlink"/>
            <w:rFonts w:ascii="Times New Roman" w:hAnsi="Times New Roman" w:cs="Times New Roman"/>
            <w:noProof/>
          </w:rPr>
          <w:t>Part I – Introduction</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_Toc513723181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4</w:t>
        </w:r>
        <w:r w:rsidRPr="00FC514E" w:rsidR="00FC514E">
          <w:rPr>
            <w:rFonts w:ascii="Times New Roman" w:hAnsi="Times New Roman" w:cs="Times New Roman"/>
            <w:noProof/>
            <w:webHidden/>
          </w:rPr>
          <w:fldChar w:fldCharType="end"/>
        </w:r>
      </w:hyperlink>
    </w:p>
    <w:p w:rsidRPr="00FC514E" w:rsidR="00FC514E" w:rsidP="00FC514E" w:rsidRDefault="000E7C24" w14:paraId="0AF76C40" w14:textId="04F1807C">
      <w:pPr>
        <w:pStyle w:val="TOC2"/>
        <w:tabs>
          <w:tab w:val="center" w:leader="dot" w:pos="9346"/>
        </w:tabs>
        <w:rPr>
          <w:rFonts w:ascii="Times New Roman" w:hAnsi="Times New Roman" w:cs="Times New Roman" w:eastAsiaTheme="minorEastAsia"/>
          <w:noProof/>
          <w:lang w:eastAsia="zh-CN"/>
        </w:rPr>
      </w:pPr>
      <w:hyperlink w:history="1" w:anchor="_Toc513723182">
        <w:r w:rsidRPr="00FC514E" w:rsidR="00FC514E">
          <w:rPr>
            <w:rStyle w:val="Hyperlink"/>
            <w:rFonts w:ascii="Times New Roman" w:hAnsi="Times New Roman" w:cs="Times New Roman"/>
            <w:noProof/>
          </w:rPr>
          <w:t>A. Background</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_Toc513723182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4</w:t>
        </w:r>
        <w:r w:rsidRPr="00FC514E" w:rsidR="00FC514E">
          <w:rPr>
            <w:rFonts w:ascii="Times New Roman" w:hAnsi="Times New Roman" w:cs="Times New Roman"/>
            <w:noProof/>
            <w:webHidden/>
          </w:rPr>
          <w:fldChar w:fldCharType="end"/>
        </w:r>
      </w:hyperlink>
    </w:p>
    <w:p w:rsidRPr="00FC514E" w:rsidR="00FC514E" w:rsidP="00FC514E" w:rsidRDefault="000E7C24" w14:paraId="510092CA" w14:textId="4AB67D2B">
      <w:pPr>
        <w:pStyle w:val="TOC2"/>
        <w:tabs>
          <w:tab w:val="center" w:leader="dot" w:pos="9346"/>
        </w:tabs>
        <w:rPr>
          <w:rFonts w:ascii="Times New Roman" w:hAnsi="Times New Roman" w:cs="Times New Roman" w:eastAsiaTheme="minorEastAsia"/>
          <w:noProof/>
          <w:lang w:eastAsia="zh-CN"/>
        </w:rPr>
      </w:pPr>
      <w:hyperlink w:history="1" w:anchor="_Toc513723183">
        <w:r w:rsidRPr="00FC514E" w:rsidR="00FC514E">
          <w:rPr>
            <w:rStyle w:val="Hyperlink"/>
            <w:rFonts w:ascii="Times New Roman" w:hAnsi="Times New Roman" w:cs="Times New Roman"/>
            <w:noProof/>
          </w:rPr>
          <w:t>B. Basic Definitions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_Toc513723183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5</w:t>
        </w:r>
        <w:r w:rsidRPr="00FC514E" w:rsidR="00FC514E">
          <w:rPr>
            <w:rFonts w:ascii="Times New Roman" w:hAnsi="Times New Roman" w:cs="Times New Roman"/>
            <w:noProof/>
            <w:webHidden/>
          </w:rPr>
          <w:fldChar w:fldCharType="end"/>
        </w:r>
      </w:hyperlink>
    </w:p>
    <w:p w:rsidRPr="00FC514E" w:rsidR="00FC514E" w:rsidP="00FC514E" w:rsidRDefault="000E7C24" w14:paraId="1E0C2A6C" w14:textId="00970138">
      <w:pPr>
        <w:pStyle w:val="TOC2"/>
        <w:tabs>
          <w:tab w:val="center" w:leader="dot" w:pos="9346"/>
        </w:tabs>
        <w:rPr>
          <w:rFonts w:ascii="Times New Roman" w:hAnsi="Times New Roman" w:cs="Times New Roman" w:eastAsiaTheme="minorEastAsia"/>
          <w:noProof/>
          <w:lang w:eastAsia="zh-CN"/>
        </w:rPr>
      </w:pPr>
      <w:hyperlink w:history="1" w:anchor="_Toc513723184">
        <w:r w:rsidRPr="00FC514E" w:rsidR="00FC514E">
          <w:rPr>
            <w:rStyle w:val="Hyperlink"/>
            <w:rFonts w:ascii="Times New Roman" w:hAnsi="Times New Roman" w:cs="Times New Roman"/>
            <w:noProof/>
          </w:rPr>
          <w:t>C. Application to Veterans Affairs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_Toc513723184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5</w:t>
        </w:r>
        <w:r w:rsidRPr="00FC514E" w:rsidR="00FC514E">
          <w:rPr>
            <w:rFonts w:ascii="Times New Roman" w:hAnsi="Times New Roman" w:cs="Times New Roman"/>
            <w:noProof/>
            <w:webHidden/>
          </w:rPr>
          <w:fldChar w:fldCharType="end"/>
        </w:r>
      </w:hyperlink>
    </w:p>
    <w:p w:rsidRPr="00FC514E" w:rsidR="00FC514E" w:rsidP="00FC514E" w:rsidRDefault="000E7C24" w14:paraId="53C43F4F" w14:textId="62C1F38B">
      <w:pPr>
        <w:pStyle w:val="TOC1"/>
        <w:tabs>
          <w:tab w:val="clear" w:pos="9350"/>
          <w:tab w:val="center" w:leader="dot" w:pos="9346"/>
        </w:tabs>
        <w:rPr>
          <w:rFonts w:ascii="Times New Roman" w:hAnsi="Times New Roman" w:cs="Times New Roman" w:eastAsiaTheme="minorEastAsia"/>
          <w:noProof/>
          <w:lang w:eastAsia="zh-CN"/>
        </w:rPr>
      </w:pPr>
      <w:hyperlink w:history="1" w:anchor="_Toc513723185">
        <w:r w:rsidRPr="00FC514E" w:rsidR="00FC514E">
          <w:rPr>
            <w:rStyle w:val="Hyperlink"/>
            <w:rFonts w:ascii="Times New Roman" w:hAnsi="Times New Roman" w:cs="Times New Roman"/>
            <w:noProof/>
          </w:rPr>
          <w:t>Part II – Methodology</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_Toc513723185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6</w:t>
        </w:r>
        <w:r w:rsidRPr="00FC514E" w:rsidR="00FC514E">
          <w:rPr>
            <w:rFonts w:ascii="Times New Roman" w:hAnsi="Times New Roman" w:cs="Times New Roman"/>
            <w:noProof/>
            <w:webHidden/>
          </w:rPr>
          <w:fldChar w:fldCharType="end"/>
        </w:r>
      </w:hyperlink>
    </w:p>
    <w:p w:rsidRPr="00FC514E" w:rsidR="00FC514E" w:rsidP="00FC514E" w:rsidRDefault="000E7C24" w14:paraId="2ABD9DE1" w14:textId="598FE7AE">
      <w:pPr>
        <w:pStyle w:val="TOC2"/>
        <w:tabs>
          <w:tab w:val="center" w:leader="dot" w:pos="9346"/>
        </w:tabs>
        <w:rPr>
          <w:rFonts w:ascii="Times New Roman" w:hAnsi="Times New Roman" w:cs="Times New Roman" w:eastAsiaTheme="minorEastAsia"/>
          <w:noProof/>
          <w:lang w:eastAsia="zh-CN"/>
        </w:rPr>
      </w:pPr>
      <w:hyperlink w:history="1" w:anchor="_Toc513723186">
        <w:r w:rsidRPr="00FC514E" w:rsidR="00FC514E">
          <w:rPr>
            <w:rStyle w:val="Hyperlink"/>
            <w:rFonts w:ascii="Times New Roman" w:hAnsi="Times New Roman" w:cs="Times New Roman"/>
            <w:noProof/>
          </w:rPr>
          <w:t>A.  Target Population and Frame</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_Toc513723186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6</w:t>
        </w:r>
        <w:r w:rsidRPr="00FC514E" w:rsidR="00FC514E">
          <w:rPr>
            <w:rFonts w:ascii="Times New Roman" w:hAnsi="Times New Roman" w:cs="Times New Roman"/>
            <w:noProof/>
            <w:webHidden/>
          </w:rPr>
          <w:fldChar w:fldCharType="end"/>
        </w:r>
      </w:hyperlink>
    </w:p>
    <w:p w:rsidRPr="00FC514E" w:rsidR="00FC514E" w:rsidP="00FC514E" w:rsidRDefault="000E7C24" w14:paraId="475E94F5" w14:textId="284E7330">
      <w:pPr>
        <w:pStyle w:val="TOC2"/>
        <w:tabs>
          <w:tab w:val="center" w:leader="dot" w:pos="9346"/>
        </w:tabs>
        <w:rPr>
          <w:rFonts w:ascii="Times New Roman" w:hAnsi="Times New Roman" w:cs="Times New Roman" w:eastAsiaTheme="minorEastAsia"/>
          <w:noProof/>
          <w:lang w:eastAsia="zh-CN"/>
        </w:rPr>
      </w:pPr>
      <w:hyperlink w:history="1" w:anchor="_Toc513723187">
        <w:r w:rsidRPr="00FC514E" w:rsidR="00FC514E">
          <w:rPr>
            <w:rStyle w:val="Hyperlink"/>
            <w:rFonts w:ascii="Times New Roman" w:hAnsi="Times New Roman" w:cs="Times New Roman"/>
            <w:noProof/>
          </w:rPr>
          <w:t>B.</w:t>
        </w:r>
        <w:r w:rsidRPr="00FC514E" w:rsidR="00FC514E">
          <w:rPr>
            <w:rFonts w:ascii="Times New Roman" w:hAnsi="Times New Roman" w:cs="Times New Roman" w:eastAsiaTheme="minorEastAsia"/>
            <w:noProof/>
            <w:lang w:eastAsia="zh-CN"/>
          </w:rPr>
          <w:tab/>
        </w:r>
        <w:r w:rsidRPr="00FC514E" w:rsidR="00FC514E">
          <w:rPr>
            <w:rStyle w:val="Hyperlink"/>
            <w:rFonts w:ascii="Times New Roman" w:hAnsi="Times New Roman" w:cs="Times New Roman"/>
            <w:noProof/>
          </w:rPr>
          <w:t>Sample Size Determination</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_Toc513723187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6</w:t>
        </w:r>
        <w:r w:rsidRPr="00FC514E" w:rsidR="00FC514E">
          <w:rPr>
            <w:rFonts w:ascii="Times New Roman" w:hAnsi="Times New Roman" w:cs="Times New Roman"/>
            <w:noProof/>
            <w:webHidden/>
          </w:rPr>
          <w:fldChar w:fldCharType="end"/>
        </w:r>
      </w:hyperlink>
    </w:p>
    <w:p w:rsidRPr="00FC514E" w:rsidR="00FC514E" w:rsidP="00FC514E" w:rsidRDefault="000E7C24" w14:paraId="12855B24" w14:textId="0DAC4E1A">
      <w:pPr>
        <w:pStyle w:val="TOC2"/>
        <w:tabs>
          <w:tab w:val="center" w:leader="dot" w:pos="9346"/>
        </w:tabs>
        <w:rPr>
          <w:rFonts w:ascii="Times New Roman" w:hAnsi="Times New Roman" w:cs="Times New Roman" w:eastAsiaTheme="minorEastAsia"/>
          <w:noProof/>
          <w:lang w:eastAsia="zh-CN"/>
        </w:rPr>
      </w:pPr>
      <w:hyperlink w:history="1" w:anchor="_Toc513723188">
        <w:r w:rsidRPr="00FC514E" w:rsidR="00FC514E">
          <w:rPr>
            <w:rStyle w:val="Hyperlink"/>
            <w:rFonts w:ascii="Times New Roman" w:hAnsi="Times New Roman" w:cs="Times New Roman"/>
            <w:noProof/>
          </w:rPr>
          <w:t>C.</w:t>
        </w:r>
        <w:r w:rsidRPr="00FC514E" w:rsidR="00FC514E">
          <w:rPr>
            <w:rFonts w:ascii="Times New Roman" w:hAnsi="Times New Roman" w:cs="Times New Roman" w:eastAsiaTheme="minorEastAsia"/>
            <w:noProof/>
            <w:lang w:eastAsia="zh-CN"/>
          </w:rPr>
          <w:tab/>
        </w:r>
        <w:r w:rsidRPr="00FC514E" w:rsidR="00FC514E">
          <w:rPr>
            <w:rStyle w:val="Hyperlink"/>
            <w:rFonts w:ascii="Times New Roman" w:hAnsi="Times New Roman" w:cs="Times New Roman"/>
            <w:noProof/>
          </w:rPr>
          <w:t>Data Collection Methods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_Toc513723188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9</w:t>
        </w:r>
        <w:r w:rsidRPr="00FC514E" w:rsidR="00FC514E">
          <w:rPr>
            <w:rFonts w:ascii="Times New Roman" w:hAnsi="Times New Roman" w:cs="Times New Roman"/>
            <w:noProof/>
            <w:webHidden/>
          </w:rPr>
          <w:fldChar w:fldCharType="end"/>
        </w:r>
      </w:hyperlink>
    </w:p>
    <w:p w:rsidRPr="00FC514E" w:rsidR="00FC514E" w:rsidP="00FC514E" w:rsidRDefault="000E7C24" w14:paraId="21062948" w14:textId="01ED668E">
      <w:pPr>
        <w:pStyle w:val="TOC2"/>
        <w:tabs>
          <w:tab w:val="center" w:leader="dot" w:pos="9346"/>
        </w:tabs>
        <w:rPr>
          <w:rFonts w:ascii="Times New Roman" w:hAnsi="Times New Roman" w:cs="Times New Roman" w:eastAsiaTheme="minorEastAsia"/>
          <w:noProof/>
          <w:lang w:eastAsia="zh-CN"/>
        </w:rPr>
      </w:pPr>
      <w:hyperlink w:history="1" w:anchor="_Toc513723189">
        <w:r w:rsidRPr="00FC514E" w:rsidR="00FC514E">
          <w:rPr>
            <w:rStyle w:val="Hyperlink"/>
            <w:rFonts w:ascii="Times New Roman" w:hAnsi="Times New Roman" w:cs="Times New Roman"/>
            <w:noProof/>
          </w:rPr>
          <w:t>D.</w:t>
        </w:r>
        <w:r w:rsidRPr="00FC514E" w:rsidR="00FC514E">
          <w:rPr>
            <w:rFonts w:ascii="Times New Roman" w:hAnsi="Times New Roman" w:cs="Times New Roman" w:eastAsiaTheme="minorEastAsia"/>
            <w:noProof/>
            <w:lang w:eastAsia="zh-CN"/>
          </w:rPr>
          <w:tab/>
        </w:r>
        <w:r w:rsidRPr="00FC514E" w:rsidR="00FC514E">
          <w:rPr>
            <w:rStyle w:val="Hyperlink"/>
            <w:rFonts w:ascii="Times New Roman" w:hAnsi="Times New Roman" w:cs="Times New Roman"/>
            <w:noProof/>
          </w:rPr>
          <w:t>Reporting</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_Toc513723189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10</w:t>
        </w:r>
        <w:r w:rsidRPr="00FC514E" w:rsidR="00FC514E">
          <w:rPr>
            <w:rFonts w:ascii="Times New Roman" w:hAnsi="Times New Roman" w:cs="Times New Roman"/>
            <w:noProof/>
            <w:webHidden/>
          </w:rPr>
          <w:fldChar w:fldCharType="end"/>
        </w:r>
      </w:hyperlink>
    </w:p>
    <w:p w:rsidRPr="00FC514E" w:rsidR="00FC514E" w:rsidP="00FC514E" w:rsidRDefault="000E7C24" w14:paraId="046A614A" w14:textId="6CF5EE63">
      <w:pPr>
        <w:pStyle w:val="TOC2"/>
        <w:tabs>
          <w:tab w:val="center" w:leader="dot" w:pos="9346"/>
        </w:tabs>
        <w:rPr>
          <w:rFonts w:ascii="Times New Roman" w:hAnsi="Times New Roman" w:cs="Times New Roman" w:eastAsiaTheme="minorEastAsia"/>
          <w:noProof/>
          <w:lang w:eastAsia="zh-CN"/>
        </w:rPr>
      </w:pPr>
      <w:hyperlink w:history="1" w:anchor="_Toc513723190">
        <w:r w:rsidRPr="00FC514E" w:rsidR="00FC514E">
          <w:rPr>
            <w:rStyle w:val="Hyperlink"/>
            <w:rFonts w:ascii="Times New Roman" w:hAnsi="Times New Roman" w:cs="Times New Roman"/>
            <w:noProof/>
          </w:rPr>
          <w:t>E.</w:t>
        </w:r>
        <w:r w:rsidRPr="00FC514E" w:rsidR="00FC514E">
          <w:rPr>
            <w:rFonts w:ascii="Times New Roman" w:hAnsi="Times New Roman" w:cs="Times New Roman" w:eastAsiaTheme="minorEastAsia"/>
            <w:noProof/>
            <w:lang w:eastAsia="zh-CN"/>
          </w:rPr>
          <w:tab/>
        </w:r>
        <w:r w:rsidRPr="00FC514E" w:rsidR="00FC514E">
          <w:rPr>
            <w:rStyle w:val="Hyperlink"/>
            <w:rFonts w:ascii="Times New Roman" w:hAnsi="Times New Roman" w:cs="Times New Roman"/>
            <w:noProof/>
          </w:rPr>
          <w:t>Quality Control</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_Toc513723190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10</w:t>
        </w:r>
        <w:r w:rsidRPr="00FC514E" w:rsidR="00FC514E">
          <w:rPr>
            <w:rFonts w:ascii="Times New Roman" w:hAnsi="Times New Roman" w:cs="Times New Roman"/>
            <w:noProof/>
            <w:webHidden/>
          </w:rPr>
          <w:fldChar w:fldCharType="end"/>
        </w:r>
      </w:hyperlink>
    </w:p>
    <w:p w:rsidRPr="00FC514E" w:rsidR="00FC514E" w:rsidP="00FC514E" w:rsidRDefault="000E7C24" w14:paraId="0022F4DB" w14:textId="4BCC4625">
      <w:pPr>
        <w:pStyle w:val="TOC2"/>
        <w:tabs>
          <w:tab w:val="center" w:leader="dot" w:pos="9346"/>
        </w:tabs>
        <w:rPr>
          <w:rFonts w:ascii="Times New Roman" w:hAnsi="Times New Roman" w:cs="Times New Roman" w:eastAsiaTheme="minorEastAsia"/>
          <w:noProof/>
          <w:lang w:eastAsia="zh-CN"/>
        </w:rPr>
      </w:pPr>
      <w:hyperlink w:history="1" w:anchor="_Toc513723191">
        <w:r w:rsidRPr="00FC514E" w:rsidR="00FC514E">
          <w:rPr>
            <w:rStyle w:val="Hyperlink"/>
            <w:rFonts w:ascii="Times New Roman" w:hAnsi="Times New Roman" w:cs="Times New Roman"/>
            <w:noProof/>
          </w:rPr>
          <w:t>F.</w:t>
        </w:r>
        <w:r w:rsidRPr="00FC514E" w:rsidR="00FC514E">
          <w:rPr>
            <w:rFonts w:ascii="Times New Roman" w:hAnsi="Times New Roman" w:cs="Times New Roman" w:eastAsiaTheme="minorEastAsia"/>
            <w:noProof/>
            <w:lang w:eastAsia="zh-CN"/>
          </w:rPr>
          <w:tab/>
        </w:r>
        <w:r w:rsidRPr="00FC514E" w:rsidR="00FC514E">
          <w:rPr>
            <w:rStyle w:val="Hyperlink"/>
            <w:rFonts w:ascii="Times New Roman" w:hAnsi="Times New Roman" w:cs="Times New Roman"/>
            <w:noProof/>
          </w:rPr>
          <w:t>Sample Weighting, Coverage Bias, and Non-Response Bias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_Toc513723191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11</w:t>
        </w:r>
        <w:r w:rsidRPr="00FC514E" w:rsidR="00FC514E">
          <w:rPr>
            <w:rFonts w:ascii="Times New Roman" w:hAnsi="Times New Roman" w:cs="Times New Roman"/>
            <w:noProof/>
            <w:webHidden/>
          </w:rPr>
          <w:fldChar w:fldCharType="end"/>
        </w:r>
      </w:hyperlink>
    </w:p>
    <w:p w:rsidRPr="00FC514E" w:rsidR="00FC514E" w:rsidP="00FC514E" w:rsidRDefault="000E7C24" w14:paraId="58182609" w14:textId="23660E42">
      <w:pPr>
        <w:pStyle w:val="TOC2"/>
        <w:tabs>
          <w:tab w:val="center" w:leader="dot" w:pos="9346"/>
        </w:tabs>
        <w:rPr>
          <w:rFonts w:ascii="Times New Roman" w:hAnsi="Times New Roman" w:cs="Times New Roman" w:eastAsiaTheme="minorEastAsia"/>
          <w:noProof/>
          <w:lang w:eastAsia="zh-CN"/>
        </w:rPr>
      </w:pPr>
      <w:hyperlink w:history="1" w:anchor="_Toc513723192">
        <w:r w:rsidRPr="00FC514E" w:rsidR="00FC514E">
          <w:rPr>
            <w:rStyle w:val="Hyperlink"/>
            <w:rFonts w:ascii="Times New Roman" w:hAnsi="Times New Roman" w:cs="Times New Roman"/>
            <w:noProof/>
          </w:rPr>
          <w:t>G.</w:t>
        </w:r>
        <w:r w:rsidRPr="00FC514E" w:rsidR="00FC514E">
          <w:rPr>
            <w:rFonts w:ascii="Times New Roman" w:hAnsi="Times New Roman" w:cs="Times New Roman" w:eastAsiaTheme="minorEastAsia"/>
            <w:noProof/>
            <w:lang w:eastAsia="zh-CN"/>
          </w:rPr>
          <w:tab/>
        </w:r>
        <w:r w:rsidRPr="00FC514E" w:rsidR="00FC514E">
          <w:rPr>
            <w:rStyle w:val="Hyperlink"/>
            <w:rFonts w:ascii="Times New Roman" w:hAnsi="Times New Roman" w:cs="Times New Roman"/>
            <w:noProof/>
          </w:rPr>
          <w:t>Quarantine Rules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_Toc513723192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12</w:t>
        </w:r>
        <w:r w:rsidRPr="00FC514E" w:rsidR="00FC514E">
          <w:rPr>
            <w:rFonts w:ascii="Times New Roman" w:hAnsi="Times New Roman" w:cs="Times New Roman"/>
            <w:noProof/>
            <w:webHidden/>
          </w:rPr>
          <w:fldChar w:fldCharType="end"/>
        </w:r>
      </w:hyperlink>
    </w:p>
    <w:p w:rsidRPr="00FC514E" w:rsidR="00FC514E" w:rsidP="00FC514E" w:rsidRDefault="000E7C24" w14:paraId="3178151E" w14:textId="6F477B37">
      <w:pPr>
        <w:pStyle w:val="TOC1"/>
        <w:tabs>
          <w:tab w:val="clear" w:pos="9350"/>
          <w:tab w:val="center" w:leader="dot" w:pos="9346"/>
        </w:tabs>
        <w:rPr>
          <w:rFonts w:ascii="Times New Roman" w:hAnsi="Times New Roman" w:cs="Times New Roman" w:eastAsiaTheme="minorEastAsia"/>
          <w:noProof/>
          <w:lang w:eastAsia="zh-CN"/>
        </w:rPr>
      </w:pPr>
      <w:hyperlink w:history="1" w:anchor="_Toc513723193">
        <w:r w:rsidRPr="00FC514E" w:rsidR="00FC514E">
          <w:rPr>
            <w:rStyle w:val="Hyperlink"/>
            <w:rFonts w:ascii="Times New Roman" w:hAnsi="Times New Roman" w:cs="Times New Roman"/>
            <w:noProof/>
          </w:rPr>
          <w:t>Part III – Assumptions and Limitations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_Toc513723193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13</w:t>
        </w:r>
        <w:r w:rsidRPr="00FC514E" w:rsidR="00FC514E">
          <w:rPr>
            <w:rFonts w:ascii="Times New Roman" w:hAnsi="Times New Roman" w:cs="Times New Roman"/>
            <w:noProof/>
            <w:webHidden/>
          </w:rPr>
          <w:fldChar w:fldCharType="end"/>
        </w:r>
      </w:hyperlink>
    </w:p>
    <w:p w:rsidRPr="00FC514E" w:rsidR="00FC514E" w:rsidP="00FC514E" w:rsidRDefault="000E7C24" w14:paraId="66CEECB3" w14:textId="0DAC22E7">
      <w:pPr>
        <w:pStyle w:val="TOC2"/>
        <w:tabs>
          <w:tab w:val="center" w:leader="dot" w:pos="9346"/>
        </w:tabs>
        <w:rPr>
          <w:rFonts w:ascii="Times New Roman" w:hAnsi="Times New Roman" w:cs="Times New Roman" w:eastAsiaTheme="minorEastAsia"/>
          <w:noProof/>
          <w:lang w:eastAsia="zh-CN"/>
        </w:rPr>
      </w:pPr>
      <w:hyperlink w:history="1" w:anchor="_Toc513723194">
        <w:r w:rsidRPr="00FC514E" w:rsidR="00FC514E">
          <w:rPr>
            <w:rStyle w:val="Hyperlink"/>
            <w:rFonts w:ascii="Times New Roman" w:hAnsi="Times New Roman" w:cs="Times New Roman"/>
            <w:noProof/>
          </w:rPr>
          <w:t>A. Post Call Surveys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_Toc513723194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13</w:t>
        </w:r>
        <w:r w:rsidRPr="00FC514E" w:rsidR="00FC514E">
          <w:rPr>
            <w:rFonts w:ascii="Times New Roman" w:hAnsi="Times New Roman" w:cs="Times New Roman"/>
            <w:noProof/>
            <w:webHidden/>
          </w:rPr>
          <w:fldChar w:fldCharType="end"/>
        </w:r>
      </w:hyperlink>
    </w:p>
    <w:p w:rsidRPr="00FC514E" w:rsidR="00FC514E" w:rsidP="00FC514E" w:rsidRDefault="000E7C24" w14:paraId="2B5B6FD6" w14:textId="00DC489A">
      <w:pPr>
        <w:pStyle w:val="TOC2"/>
        <w:tabs>
          <w:tab w:val="center" w:leader="dot" w:pos="9346"/>
        </w:tabs>
        <w:rPr>
          <w:rFonts w:ascii="Times New Roman" w:hAnsi="Times New Roman" w:cs="Times New Roman" w:eastAsiaTheme="minorEastAsia"/>
          <w:noProof/>
          <w:lang w:eastAsia="zh-CN"/>
        </w:rPr>
      </w:pPr>
      <w:hyperlink w:history="1" w:anchor="_Toc513723195">
        <w:r w:rsidRPr="00FC514E" w:rsidR="00FC514E">
          <w:rPr>
            <w:rStyle w:val="Hyperlink"/>
            <w:rFonts w:ascii="Times New Roman" w:hAnsi="Times New Roman" w:cs="Times New Roman"/>
            <w:noProof/>
          </w:rPr>
          <w:t>B. Availability of Email Addresses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_Toc513723195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13</w:t>
        </w:r>
        <w:r w:rsidRPr="00FC514E" w:rsidR="00FC514E">
          <w:rPr>
            <w:rFonts w:ascii="Times New Roman" w:hAnsi="Times New Roman" w:cs="Times New Roman"/>
            <w:noProof/>
            <w:webHidden/>
          </w:rPr>
          <w:fldChar w:fldCharType="end"/>
        </w:r>
      </w:hyperlink>
    </w:p>
    <w:p w:rsidRPr="00FC514E" w:rsidR="00FC514E" w:rsidP="00FC514E" w:rsidRDefault="000E7C24" w14:paraId="6DDE324A" w14:textId="773C95F2">
      <w:pPr>
        <w:pStyle w:val="TOC2"/>
        <w:tabs>
          <w:tab w:val="center" w:leader="dot" w:pos="9346"/>
        </w:tabs>
        <w:rPr>
          <w:rFonts w:ascii="Times New Roman" w:hAnsi="Times New Roman" w:cs="Times New Roman" w:eastAsiaTheme="minorEastAsia"/>
          <w:noProof/>
          <w:lang w:eastAsia="zh-CN"/>
        </w:rPr>
      </w:pPr>
      <w:hyperlink w:history="1" w:anchor="_Toc513723196">
        <w:r w:rsidRPr="00FC514E" w:rsidR="00FC514E">
          <w:rPr>
            <w:rStyle w:val="Hyperlink"/>
            <w:rFonts w:ascii="Times New Roman" w:hAnsi="Times New Roman" w:cs="Times New Roman"/>
            <w:noProof/>
          </w:rPr>
          <w:t>C. Immeasurability of Directory Assistance Calls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_Toc513723196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14</w:t>
        </w:r>
        <w:r w:rsidRPr="00FC514E" w:rsidR="00FC514E">
          <w:rPr>
            <w:rFonts w:ascii="Times New Roman" w:hAnsi="Times New Roman" w:cs="Times New Roman"/>
            <w:noProof/>
            <w:webHidden/>
          </w:rPr>
          <w:fldChar w:fldCharType="end"/>
        </w:r>
      </w:hyperlink>
    </w:p>
    <w:p w:rsidRPr="00FC514E" w:rsidR="00FC514E" w:rsidP="00FC514E" w:rsidRDefault="000E7C24" w14:paraId="003C4104" w14:textId="1E220DDC">
      <w:pPr>
        <w:pStyle w:val="TOC2"/>
        <w:tabs>
          <w:tab w:val="center" w:leader="dot" w:pos="9346"/>
        </w:tabs>
        <w:rPr>
          <w:rFonts w:ascii="Times New Roman" w:hAnsi="Times New Roman" w:cs="Times New Roman" w:eastAsiaTheme="minorEastAsia"/>
          <w:noProof/>
          <w:lang w:eastAsia="zh-CN"/>
        </w:rPr>
      </w:pPr>
      <w:hyperlink w:history="1" w:anchor="_Toc513723197">
        <w:r w:rsidRPr="00FC514E" w:rsidR="00FC514E">
          <w:rPr>
            <w:rStyle w:val="Hyperlink"/>
            <w:rFonts w:ascii="Times New Roman" w:hAnsi="Times New Roman" w:cs="Times New Roman"/>
            <w:noProof/>
          </w:rPr>
          <w:t>D. Response Rates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_Toc513723197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14</w:t>
        </w:r>
        <w:r w:rsidRPr="00FC514E" w:rsidR="00FC514E">
          <w:rPr>
            <w:rFonts w:ascii="Times New Roman" w:hAnsi="Times New Roman" w:cs="Times New Roman"/>
            <w:noProof/>
            <w:webHidden/>
          </w:rPr>
          <w:fldChar w:fldCharType="end"/>
        </w:r>
      </w:hyperlink>
    </w:p>
    <w:p w:rsidRPr="00FC514E" w:rsidR="00FC514E" w:rsidP="00FC514E" w:rsidRDefault="000E7C24" w14:paraId="2296DAF2" w14:textId="2B17CA1D">
      <w:pPr>
        <w:pStyle w:val="TOC2"/>
        <w:tabs>
          <w:tab w:val="center" w:leader="dot" w:pos="9346"/>
        </w:tabs>
        <w:rPr>
          <w:rFonts w:ascii="Times New Roman" w:hAnsi="Times New Roman" w:cs="Times New Roman" w:eastAsiaTheme="minorEastAsia"/>
          <w:noProof/>
          <w:lang w:eastAsia="zh-CN"/>
        </w:rPr>
      </w:pPr>
      <w:hyperlink w:history="1" w:anchor="_Toc513723198">
        <w:r w:rsidRPr="00FC514E" w:rsidR="00FC514E">
          <w:rPr>
            <w:rStyle w:val="Hyperlink"/>
            <w:rFonts w:ascii="Times New Roman" w:hAnsi="Times New Roman" w:cs="Times New Roman"/>
            <w:noProof/>
          </w:rPr>
          <w:t>E. Unavailability of Gender for Veterans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_Toc513723198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14</w:t>
        </w:r>
        <w:r w:rsidRPr="00FC514E" w:rsidR="00FC514E">
          <w:rPr>
            <w:rFonts w:ascii="Times New Roman" w:hAnsi="Times New Roman" w:cs="Times New Roman"/>
            <w:noProof/>
            <w:webHidden/>
          </w:rPr>
          <w:fldChar w:fldCharType="end"/>
        </w:r>
      </w:hyperlink>
    </w:p>
    <w:p w:rsidRPr="00FC514E" w:rsidR="00FC514E" w:rsidP="00FC514E" w:rsidRDefault="000E7C24" w14:paraId="105A3B01" w14:textId="7EE3D701">
      <w:pPr>
        <w:pStyle w:val="TOC2"/>
        <w:tabs>
          <w:tab w:val="center" w:leader="dot" w:pos="9346"/>
        </w:tabs>
        <w:rPr>
          <w:rFonts w:ascii="Times New Roman" w:hAnsi="Times New Roman" w:cs="Times New Roman" w:eastAsiaTheme="minorEastAsia"/>
          <w:noProof/>
          <w:lang w:eastAsia="zh-CN"/>
        </w:rPr>
      </w:pPr>
      <w:hyperlink w:history="1" w:anchor="_Toc513723199">
        <w:r w:rsidRPr="00FC514E" w:rsidR="00FC514E">
          <w:rPr>
            <w:rStyle w:val="Hyperlink"/>
            <w:rFonts w:ascii="Times New Roman" w:hAnsi="Times New Roman" w:cs="Times New Roman"/>
            <w:noProof/>
          </w:rPr>
          <w:t>F. Missing Values and Non-Response</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_Toc513723199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14</w:t>
        </w:r>
        <w:r w:rsidRPr="00FC514E" w:rsidR="00FC514E">
          <w:rPr>
            <w:rFonts w:ascii="Times New Roman" w:hAnsi="Times New Roman" w:cs="Times New Roman"/>
            <w:noProof/>
            <w:webHidden/>
          </w:rPr>
          <w:fldChar w:fldCharType="end"/>
        </w:r>
      </w:hyperlink>
    </w:p>
    <w:p w:rsidRPr="00FC514E" w:rsidR="00FC514E" w:rsidP="00FC514E" w:rsidRDefault="000E7C24" w14:paraId="709642FE" w14:textId="75AB3B8D">
      <w:pPr>
        <w:pStyle w:val="TOC1"/>
        <w:tabs>
          <w:tab w:val="clear" w:pos="9350"/>
          <w:tab w:val="center" w:leader="dot" w:pos="9346"/>
        </w:tabs>
        <w:rPr>
          <w:rFonts w:ascii="Times New Roman" w:hAnsi="Times New Roman" w:cs="Times New Roman" w:eastAsiaTheme="minorEastAsia"/>
          <w:noProof/>
          <w:lang w:eastAsia="zh-CN"/>
        </w:rPr>
      </w:pPr>
      <w:hyperlink w:history="1" w:anchor="_Toc513723200">
        <w:r w:rsidRPr="00FC514E" w:rsidR="00FC514E">
          <w:rPr>
            <w:rStyle w:val="Hyperlink"/>
            <w:rFonts w:ascii="Times New Roman" w:hAnsi="Times New Roman" w:cs="Times New Roman"/>
            <w:noProof/>
          </w:rPr>
          <w:t>Part IV - Appendices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_Toc513723200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15</w:t>
        </w:r>
        <w:r w:rsidRPr="00FC514E" w:rsidR="00FC514E">
          <w:rPr>
            <w:rFonts w:ascii="Times New Roman" w:hAnsi="Times New Roman" w:cs="Times New Roman"/>
            <w:noProof/>
            <w:webHidden/>
          </w:rPr>
          <w:fldChar w:fldCharType="end"/>
        </w:r>
      </w:hyperlink>
    </w:p>
    <w:p w:rsidR="00FC514E" w:rsidP="00FC514E" w:rsidRDefault="000E7C24" w14:paraId="0DF92FFD" w14:textId="011A245E">
      <w:pPr>
        <w:pStyle w:val="TOC2"/>
        <w:tabs>
          <w:tab w:val="center" w:leader="dot" w:pos="9346"/>
        </w:tabs>
        <w:rPr>
          <w:rFonts w:asciiTheme="minorHAnsi" w:hAnsiTheme="minorHAnsi" w:eastAsiaTheme="minorEastAsia" w:cstheme="minorBidi"/>
          <w:noProof/>
          <w:lang w:eastAsia="zh-CN"/>
        </w:rPr>
      </w:pPr>
      <w:hyperlink w:history="1" w:anchor="_Toc513723203">
        <w:r w:rsidRPr="00FC514E" w:rsidR="00FC514E">
          <w:rPr>
            <w:rStyle w:val="Hyperlink"/>
            <w:rFonts w:ascii="Times New Roman" w:hAnsi="Times New Roman" w:eastAsia="Calibri" w:cs="Times New Roman"/>
            <w:b/>
            <w:noProof/>
          </w:rPr>
          <w:t>Appendix 3. References</w:t>
        </w:r>
        <w:r w:rsidRPr="00FC514E" w:rsidR="00FC514E">
          <w:rPr>
            <w:rFonts w:ascii="Times New Roman" w:hAnsi="Times New Roman" w:cs="Times New Roman"/>
            <w:noProof/>
            <w:webHidden/>
          </w:rPr>
          <w:tab/>
        </w:r>
        <w:r w:rsidRPr="00FC514E" w:rsidR="00FC514E">
          <w:rPr>
            <w:rFonts w:ascii="Times New Roman" w:hAnsi="Times New Roman" w:cs="Times New Roman"/>
            <w:noProof/>
            <w:webHidden/>
          </w:rPr>
          <w:fldChar w:fldCharType="begin"/>
        </w:r>
        <w:r w:rsidRPr="00FC514E" w:rsidR="00FC514E">
          <w:rPr>
            <w:rFonts w:ascii="Times New Roman" w:hAnsi="Times New Roman" w:cs="Times New Roman"/>
            <w:noProof/>
            <w:webHidden/>
          </w:rPr>
          <w:instrText xml:space="preserve"> PAGEREF _Toc513723203 \h </w:instrText>
        </w:r>
        <w:r w:rsidRPr="00FC514E" w:rsidR="00FC514E">
          <w:rPr>
            <w:rFonts w:ascii="Times New Roman" w:hAnsi="Times New Roman" w:cs="Times New Roman"/>
            <w:noProof/>
            <w:webHidden/>
          </w:rPr>
        </w:r>
        <w:r w:rsidRPr="00FC514E" w:rsidR="00FC514E">
          <w:rPr>
            <w:rFonts w:ascii="Times New Roman" w:hAnsi="Times New Roman" w:cs="Times New Roman"/>
            <w:noProof/>
            <w:webHidden/>
          </w:rPr>
          <w:fldChar w:fldCharType="separate"/>
        </w:r>
        <w:r w:rsidRPr="00FC514E" w:rsidR="00FC514E">
          <w:rPr>
            <w:rFonts w:ascii="Times New Roman" w:hAnsi="Times New Roman" w:cs="Times New Roman"/>
            <w:noProof/>
            <w:webHidden/>
          </w:rPr>
          <w:t>15</w:t>
        </w:r>
        <w:r w:rsidRPr="00FC514E" w:rsidR="00FC514E">
          <w:rPr>
            <w:rFonts w:ascii="Times New Roman" w:hAnsi="Times New Roman" w:cs="Times New Roman"/>
            <w:noProof/>
            <w:webHidden/>
          </w:rPr>
          <w:fldChar w:fldCharType="end"/>
        </w:r>
      </w:hyperlink>
    </w:p>
    <w:p w:rsidRPr="00C85DEE" w:rsidR="000820A0" w:rsidP="00E738A2" w:rsidRDefault="000820A0" w14:paraId="4D0F28F7" w14:textId="7D710A8C">
      <w:pPr>
        <w:pStyle w:val="Heading1"/>
        <w:tabs>
          <w:tab w:val="center" w:leader="dot" w:pos="9346"/>
          <w:tab w:val="right" w:leader="dot" w:pos="11520"/>
        </w:tabs>
        <w:spacing w:after="240" w:line="240" w:lineRule="auto"/>
        <w:jc w:val="center"/>
        <w:rPr>
          <w:rFonts w:ascii="Times New Roman" w:hAnsi="Times New Roman"/>
        </w:rPr>
      </w:pPr>
      <w:r w:rsidRPr="00C85DEE">
        <w:rPr>
          <w:rFonts w:ascii="Times New Roman" w:hAnsi="Times New Roman"/>
          <w:noProof/>
          <w:sz w:val="20"/>
          <w:szCs w:val="20"/>
        </w:rPr>
        <w:fldChar w:fldCharType="end"/>
      </w:r>
      <w:bookmarkStart w:name="_Toc513723180" w:id="5"/>
      <w:r w:rsidRPr="00C85DEE" w:rsidR="00E77994">
        <w:rPr>
          <w:rFonts w:ascii="Times New Roman" w:hAnsi="Times New Roman"/>
        </w:rPr>
        <w:t>Executive Summary</w:t>
      </w:r>
      <w:bookmarkEnd w:id="5"/>
    </w:p>
    <w:p w:rsidR="00E77994" w:rsidP="0061516E" w:rsidRDefault="00C149BB" w14:paraId="14B623F6" w14:textId="2B7A3F98">
      <w:pPr>
        <w:spacing w:after="120" w:line="240" w:lineRule="auto"/>
        <w:ind w:firstLine="720"/>
        <w:rPr>
          <w:rFonts w:ascii="Times New Roman" w:hAnsi="Times New Roman" w:cs="Times New Roman"/>
        </w:rPr>
      </w:pPr>
      <w:r w:rsidRPr="00C85DEE">
        <w:rPr>
          <w:rFonts w:ascii="Times New Roman" w:hAnsi="Times New Roman" w:cs="Times New Roman"/>
        </w:rPr>
        <w:t xml:space="preserve">Telehealth is an effective and convenient way for patients to </w:t>
      </w:r>
      <w:r w:rsidRPr="00C85DEE">
        <w:rPr>
          <w:rFonts w:ascii="Times New Roman" w:hAnsi="Times New Roman" w:cs="Times New Roman"/>
          <w:i/>
        </w:rPr>
        <w:t>receive</w:t>
      </w:r>
      <w:r w:rsidRPr="00C85DEE">
        <w:rPr>
          <w:rFonts w:ascii="Times New Roman" w:hAnsi="Times New Roman" w:cs="Times New Roman"/>
        </w:rPr>
        <w:t xml:space="preserve">, and for clinicians to </w:t>
      </w:r>
      <w:r w:rsidRPr="00C85DEE">
        <w:rPr>
          <w:rFonts w:ascii="Times New Roman" w:hAnsi="Times New Roman" w:cs="Times New Roman"/>
          <w:i/>
        </w:rPr>
        <w:t>provide</w:t>
      </w:r>
      <w:r w:rsidRPr="00C85DEE">
        <w:rPr>
          <w:rFonts w:ascii="Times New Roman" w:hAnsi="Times New Roman" w:cs="Times New Roman"/>
        </w:rPr>
        <w:t xml:space="preserve"> quality care management.</w:t>
      </w:r>
      <w:r>
        <w:rPr>
          <w:rFonts w:ascii="Times New Roman" w:hAnsi="Times New Roman" w:cs="Times New Roman"/>
        </w:rPr>
        <w:t xml:space="preserve"> </w:t>
      </w:r>
      <w:r w:rsidR="00073536">
        <w:rPr>
          <w:rFonts w:ascii="Times New Roman" w:hAnsi="Times New Roman" w:cs="Times New Roman"/>
        </w:rPr>
        <w:t>The initiative is a way to incorporate telecommunications technology to improve and modernize health care offered by the</w:t>
      </w:r>
      <w:r w:rsidR="00AD5D99">
        <w:rPr>
          <w:rFonts w:ascii="Times New Roman" w:hAnsi="Times New Roman" w:cs="Times New Roman"/>
        </w:rPr>
        <w:t xml:space="preserve"> Veteran Health Administration (VHA). In order to assess patient satisfaction with the program </w:t>
      </w:r>
      <w:r w:rsidR="00152394">
        <w:rPr>
          <w:rFonts w:ascii="Times New Roman" w:hAnsi="Times New Roman" w:cs="Times New Roman"/>
        </w:rPr>
        <w:t>and</w:t>
      </w:r>
      <w:r w:rsidR="00AD5D99">
        <w:rPr>
          <w:rFonts w:ascii="Times New Roman" w:hAnsi="Times New Roman" w:cs="Times New Roman"/>
        </w:rPr>
        <w:t xml:space="preserve"> identify areas for intervention </w:t>
      </w:r>
      <w:r w:rsidR="00152394">
        <w:rPr>
          <w:rFonts w:ascii="Times New Roman" w:hAnsi="Times New Roman" w:cs="Times New Roman"/>
        </w:rPr>
        <w:t>or further</w:t>
      </w:r>
      <w:r w:rsidR="00AD5D99">
        <w:rPr>
          <w:rFonts w:ascii="Times New Roman" w:hAnsi="Times New Roman" w:cs="Times New Roman"/>
        </w:rPr>
        <w:t xml:space="preserve"> evaluation</w:t>
      </w:r>
      <w:r w:rsidR="00FA0497">
        <w:rPr>
          <w:rFonts w:ascii="Times New Roman" w:hAnsi="Times New Roman" w:cs="Times New Roman"/>
        </w:rPr>
        <w:t>, the Telehealth</w:t>
      </w:r>
      <w:r w:rsidR="00FC68A8">
        <w:rPr>
          <w:rFonts w:ascii="Times New Roman" w:hAnsi="Times New Roman" w:cs="Times New Roman"/>
        </w:rPr>
        <w:t xml:space="preserve"> Services Office within VHA enlisted </w:t>
      </w:r>
      <w:r w:rsidR="00FA0497">
        <w:rPr>
          <w:rFonts w:ascii="Times New Roman" w:hAnsi="Times New Roman" w:cs="Times New Roman"/>
        </w:rPr>
        <w:t xml:space="preserve">the services of the </w:t>
      </w:r>
      <w:r w:rsidR="00A067FB">
        <w:rPr>
          <w:rFonts w:ascii="Times New Roman" w:hAnsi="Times New Roman" w:cs="Times New Roman"/>
        </w:rPr>
        <w:t>VEO</w:t>
      </w:r>
      <w:r w:rsidR="00AD5D99">
        <w:rPr>
          <w:rFonts w:ascii="Times New Roman" w:hAnsi="Times New Roman" w:cs="Times New Roman"/>
        </w:rPr>
        <w:t xml:space="preserve">. </w:t>
      </w:r>
      <w:r w:rsidRPr="00112F57" w:rsidR="002C50E1">
        <w:rPr>
          <w:rFonts w:ascii="Times New Roman" w:hAnsi="Times New Roman" w:cs="Times New Roman"/>
        </w:rPr>
        <w:t xml:space="preserve">The </w:t>
      </w:r>
      <w:r w:rsidR="0055695B">
        <w:rPr>
          <w:rFonts w:ascii="Times New Roman" w:hAnsi="Times New Roman" w:cs="Times New Roman"/>
        </w:rPr>
        <w:t xml:space="preserve">Veteran </w:t>
      </w:r>
      <w:r w:rsidRPr="00112F57" w:rsidR="00447CAC">
        <w:rPr>
          <w:rFonts w:ascii="Times New Roman" w:hAnsi="Times New Roman" w:cs="Times New Roman"/>
        </w:rPr>
        <w:t>Telehealth</w:t>
      </w:r>
      <w:r w:rsidRPr="00112F57" w:rsidR="002C50E1">
        <w:rPr>
          <w:rFonts w:ascii="Times New Roman" w:hAnsi="Times New Roman" w:cs="Times New Roman"/>
        </w:rPr>
        <w:t xml:space="preserve"> Survey is </w:t>
      </w:r>
      <w:r w:rsidRPr="00112F57" w:rsidR="00131178">
        <w:rPr>
          <w:rFonts w:ascii="Times New Roman" w:hAnsi="Times New Roman" w:cs="Times New Roman"/>
        </w:rPr>
        <w:t>designed</w:t>
      </w:r>
      <w:r w:rsidR="00152394">
        <w:rPr>
          <w:rFonts w:ascii="Times New Roman" w:hAnsi="Times New Roman" w:cs="Times New Roman"/>
        </w:rPr>
        <w:t xml:space="preserve"> to measure C</w:t>
      </w:r>
      <w:r w:rsidRPr="00112F57" w:rsidR="00131178">
        <w:rPr>
          <w:rFonts w:ascii="Times New Roman" w:hAnsi="Times New Roman" w:cs="Times New Roman"/>
        </w:rPr>
        <w:t>ustomer</w:t>
      </w:r>
      <w:r w:rsidR="00152394">
        <w:rPr>
          <w:rFonts w:ascii="Times New Roman" w:hAnsi="Times New Roman" w:cs="Times New Roman"/>
        </w:rPr>
        <w:t xml:space="preserve"> E</w:t>
      </w:r>
      <w:r w:rsidRPr="00112F57" w:rsidR="002C50E1">
        <w:rPr>
          <w:rFonts w:ascii="Times New Roman" w:hAnsi="Times New Roman" w:cs="Times New Roman"/>
        </w:rPr>
        <w:t xml:space="preserve">xperience </w:t>
      </w:r>
      <w:r w:rsidR="0055695B">
        <w:rPr>
          <w:rFonts w:ascii="Times New Roman" w:hAnsi="Times New Roman" w:cs="Times New Roman"/>
        </w:rPr>
        <w:t xml:space="preserve">associated </w:t>
      </w:r>
      <w:r w:rsidRPr="00112F57" w:rsidR="002C50E1">
        <w:rPr>
          <w:rFonts w:ascii="Times New Roman" w:hAnsi="Times New Roman" w:cs="Times New Roman"/>
        </w:rPr>
        <w:t xml:space="preserve">with </w:t>
      </w:r>
      <w:r w:rsidR="00197927">
        <w:rPr>
          <w:rFonts w:ascii="Times New Roman" w:hAnsi="Times New Roman" w:cs="Times New Roman"/>
        </w:rPr>
        <w:t>utilizing VA electronic</w:t>
      </w:r>
      <w:r w:rsidR="00FC68A8">
        <w:rPr>
          <w:rFonts w:ascii="Times New Roman" w:hAnsi="Times New Roman" w:cs="Times New Roman"/>
        </w:rPr>
        <w:t xml:space="preserve"> health</w:t>
      </w:r>
      <w:r w:rsidR="00197927">
        <w:rPr>
          <w:rFonts w:ascii="Times New Roman" w:hAnsi="Times New Roman" w:cs="Times New Roman"/>
        </w:rPr>
        <w:t xml:space="preserve"> services </w:t>
      </w:r>
      <w:r w:rsidRPr="00112F57" w:rsidR="00447CAC">
        <w:rPr>
          <w:rFonts w:ascii="Times New Roman" w:hAnsi="Times New Roman" w:cs="Times New Roman"/>
        </w:rPr>
        <w:t>within t</w:t>
      </w:r>
      <w:r w:rsidR="004962C1">
        <w:rPr>
          <w:rFonts w:ascii="Times New Roman" w:hAnsi="Times New Roman" w:cs="Times New Roman"/>
        </w:rPr>
        <w:t>he three major aspects</w:t>
      </w:r>
      <w:r w:rsidR="00073536">
        <w:rPr>
          <w:rFonts w:ascii="Times New Roman" w:hAnsi="Times New Roman" w:cs="Times New Roman"/>
        </w:rPr>
        <w:t xml:space="preserve">, or </w:t>
      </w:r>
      <w:r w:rsidR="00073536">
        <w:rPr>
          <w:rFonts w:ascii="Times New Roman" w:hAnsi="Times New Roman" w:cs="Times New Roman"/>
          <w:i/>
        </w:rPr>
        <w:t>modalities</w:t>
      </w:r>
      <w:r w:rsidR="00073536">
        <w:rPr>
          <w:rFonts w:ascii="Times New Roman" w:hAnsi="Times New Roman" w:cs="Times New Roman"/>
        </w:rPr>
        <w:t xml:space="preserve">, </w:t>
      </w:r>
      <w:r w:rsidR="004962C1">
        <w:rPr>
          <w:rFonts w:ascii="Times New Roman" w:hAnsi="Times New Roman" w:cs="Times New Roman"/>
        </w:rPr>
        <w:t>of T</w:t>
      </w:r>
      <w:r w:rsidRPr="00112F57" w:rsidR="00447CAC">
        <w:rPr>
          <w:rFonts w:ascii="Times New Roman" w:hAnsi="Times New Roman" w:cs="Times New Roman"/>
        </w:rPr>
        <w:t>elehealth: Clinical Video Telehealth</w:t>
      </w:r>
      <w:r w:rsidR="004962C1">
        <w:rPr>
          <w:rFonts w:ascii="Times New Roman" w:hAnsi="Times New Roman" w:cs="Times New Roman"/>
        </w:rPr>
        <w:t xml:space="preserve"> (CVT)</w:t>
      </w:r>
      <w:r w:rsidRPr="00112F57" w:rsidR="00447CAC">
        <w:rPr>
          <w:rFonts w:ascii="Times New Roman" w:hAnsi="Times New Roman" w:cs="Times New Roman"/>
        </w:rPr>
        <w:t>, Home Telehealth</w:t>
      </w:r>
      <w:r w:rsidR="004962C1">
        <w:rPr>
          <w:rFonts w:ascii="Times New Roman" w:hAnsi="Times New Roman" w:cs="Times New Roman"/>
        </w:rPr>
        <w:t xml:space="preserve"> (HT)</w:t>
      </w:r>
      <w:r w:rsidRPr="00112F57" w:rsidR="00447CAC">
        <w:rPr>
          <w:rFonts w:ascii="Times New Roman" w:hAnsi="Times New Roman" w:cs="Times New Roman"/>
        </w:rPr>
        <w:t>, and Store and Forward</w:t>
      </w:r>
      <w:r w:rsidR="004962C1">
        <w:rPr>
          <w:rFonts w:ascii="Times New Roman" w:hAnsi="Times New Roman" w:cs="Times New Roman"/>
        </w:rPr>
        <w:t xml:space="preserve"> (</w:t>
      </w:r>
      <w:r w:rsidR="007F0DE7">
        <w:rPr>
          <w:rFonts w:ascii="Times New Roman" w:hAnsi="Times New Roman" w:cs="Times New Roman"/>
        </w:rPr>
        <w:t>SFT</w:t>
      </w:r>
      <w:r w:rsidR="004962C1">
        <w:rPr>
          <w:rFonts w:ascii="Times New Roman" w:hAnsi="Times New Roman" w:cs="Times New Roman"/>
        </w:rPr>
        <w:t>).</w:t>
      </w:r>
      <w:r w:rsidRPr="00112F57" w:rsidR="004C6A51">
        <w:rPr>
          <w:rFonts w:ascii="Times New Roman" w:hAnsi="Times New Roman" w:cs="Times New Roman"/>
        </w:rPr>
        <w:t xml:space="preserve"> </w:t>
      </w:r>
      <w:r w:rsidRPr="00112F57" w:rsidR="00DB63FD">
        <w:rPr>
          <w:rFonts w:ascii="Times New Roman" w:hAnsi="Times New Roman" w:cs="Times New Roman"/>
        </w:rPr>
        <w:t>The purpose of this report is to document the</w:t>
      </w:r>
      <w:r w:rsidRPr="00112F57" w:rsidR="00131178">
        <w:rPr>
          <w:rFonts w:ascii="Times New Roman" w:hAnsi="Times New Roman" w:cs="Times New Roman"/>
        </w:rPr>
        <w:t xml:space="preserve"> survey</w:t>
      </w:r>
      <w:r w:rsidRPr="00112F57" w:rsidR="00DB63FD">
        <w:rPr>
          <w:rFonts w:ascii="Times New Roman" w:hAnsi="Times New Roman" w:cs="Times New Roman"/>
        </w:rPr>
        <w:t xml:space="preserve"> methodology</w:t>
      </w:r>
      <w:r w:rsidRPr="00112F57" w:rsidR="00CF4FA3">
        <w:rPr>
          <w:rFonts w:ascii="Times New Roman" w:hAnsi="Times New Roman" w:cs="Times New Roman"/>
        </w:rPr>
        <w:t xml:space="preserve"> </w:t>
      </w:r>
      <w:r w:rsidRPr="00112F57" w:rsidR="00131178">
        <w:rPr>
          <w:rFonts w:ascii="Times New Roman" w:hAnsi="Times New Roman" w:cs="Times New Roman"/>
        </w:rPr>
        <w:t>and</w:t>
      </w:r>
      <w:r w:rsidRPr="00112F57" w:rsidR="008C7601">
        <w:rPr>
          <w:rFonts w:ascii="Times New Roman" w:hAnsi="Times New Roman" w:cs="Times New Roman"/>
        </w:rPr>
        <w:t xml:space="preserve"> sampling plan </w:t>
      </w:r>
      <w:r w:rsidRPr="00112F57" w:rsidR="00DB63FD">
        <w:rPr>
          <w:rFonts w:ascii="Times New Roman" w:hAnsi="Times New Roman" w:cs="Times New Roman"/>
        </w:rPr>
        <w:t xml:space="preserve">of the </w:t>
      </w:r>
      <w:r w:rsidR="00152394">
        <w:rPr>
          <w:rFonts w:ascii="Times New Roman" w:hAnsi="Times New Roman" w:cs="Times New Roman"/>
        </w:rPr>
        <w:t>survey</w:t>
      </w:r>
      <w:r w:rsidR="00740CA9">
        <w:rPr>
          <w:rFonts w:ascii="Times New Roman" w:hAnsi="Times New Roman" w:cs="Times New Roman"/>
        </w:rPr>
        <w:t xml:space="preserve">. </w:t>
      </w:r>
      <w:r w:rsidRPr="00112F57" w:rsidR="00740CA9">
        <w:rPr>
          <w:rFonts w:ascii="Times New Roman" w:hAnsi="Times New Roman" w:cs="Times New Roman"/>
        </w:rPr>
        <w:t>Information about quality assurance protocols</w:t>
      </w:r>
      <w:r w:rsidR="00740CA9">
        <w:rPr>
          <w:rFonts w:ascii="Times New Roman" w:hAnsi="Times New Roman" w:cs="Times New Roman"/>
        </w:rPr>
        <w:t>,</w:t>
      </w:r>
      <w:r w:rsidRPr="00112F57" w:rsidR="00740CA9">
        <w:rPr>
          <w:rFonts w:ascii="Times New Roman" w:hAnsi="Times New Roman" w:cs="Times New Roman"/>
        </w:rPr>
        <w:t xml:space="preserve"> a</w:t>
      </w:r>
      <w:r w:rsidR="00740CA9">
        <w:rPr>
          <w:rFonts w:ascii="Times New Roman" w:hAnsi="Times New Roman" w:cs="Times New Roman"/>
        </w:rPr>
        <w:t xml:space="preserve">s well as limitations </w:t>
      </w:r>
      <w:r w:rsidRPr="00112F57" w:rsidR="00740CA9">
        <w:rPr>
          <w:rFonts w:ascii="Times New Roman" w:hAnsi="Times New Roman" w:cs="Times New Roman"/>
        </w:rPr>
        <w:t>of the survey methodology</w:t>
      </w:r>
      <w:r w:rsidR="00740CA9">
        <w:rPr>
          <w:rFonts w:ascii="Times New Roman" w:hAnsi="Times New Roman" w:cs="Times New Roman"/>
        </w:rPr>
        <w:t>,</w:t>
      </w:r>
      <w:r w:rsidRPr="00112F57" w:rsidR="00740CA9">
        <w:rPr>
          <w:rFonts w:ascii="Times New Roman" w:hAnsi="Times New Roman" w:cs="Times New Roman"/>
        </w:rPr>
        <w:t xml:space="preserve"> </w:t>
      </w:r>
      <w:r w:rsidR="00152394">
        <w:rPr>
          <w:rFonts w:ascii="Times New Roman" w:hAnsi="Times New Roman" w:cs="Times New Roman"/>
        </w:rPr>
        <w:t>is</w:t>
      </w:r>
      <w:r w:rsidRPr="00112F57" w:rsidR="00740CA9">
        <w:rPr>
          <w:rFonts w:ascii="Times New Roman" w:hAnsi="Times New Roman" w:cs="Times New Roman"/>
        </w:rPr>
        <w:t xml:space="preserve"> included in this report.</w:t>
      </w:r>
    </w:p>
    <w:p w:rsidR="0024749E" w:rsidP="0061516E" w:rsidRDefault="00073536" w14:paraId="3FAED708" w14:textId="476F2E29">
      <w:pPr>
        <w:spacing w:after="120" w:line="240" w:lineRule="auto"/>
        <w:ind w:firstLine="720"/>
        <w:rPr>
          <w:rFonts w:ascii="Times New Roman" w:hAnsi="Times New Roman" w:cs="Times New Roman"/>
        </w:rPr>
      </w:pPr>
      <w:r>
        <w:rPr>
          <w:rFonts w:ascii="Times New Roman" w:hAnsi="Times New Roman" w:cs="Times New Roman"/>
        </w:rPr>
        <w:t xml:space="preserve">The study consists of a nationally representative survey of Veterans who utilized telehealth services within the past week. Beginning in July 2018, a weekly sample of such Veterans will be collected, in which they will be asked </w:t>
      </w:r>
      <w:r w:rsidR="004962C1">
        <w:rPr>
          <w:rFonts w:ascii="Times New Roman" w:hAnsi="Times New Roman" w:cs="Times New Roman"/>
        </w:rPr>
        <w:t>questions</w:t>
      </w:r>
      <w:r w:rsidR="000551E8">
        <w:rPr>
          <w:rFonts w:ascii="Times New Roman" w:hAnsi="Times New Roman" w:cs="Times New Roman"/>
        </w:rPr>
        <w:t xml:space="preserve"> regarding their </w:t>
      </w:r>
      <w:r w:rsidR="00005B6F">
        <w:rPr>
          <w:rFonts w:ascii="Times New Roman" w:hAnsi="Times New Roman" w:cs="Times New Roman"/>
        </w:rPr>
        <w:t>satisfaction</w:t>
      </w:r>
      <w:r w:rsidR="00A067FB">
        <w:rPr>
          <w:rFonts w:ascii="Times New Roman" w:hAnsi="Times New Roman" w:cs="Times New Roman"/>
        </w:rPr>
        <w:t xml:space="preserve"> specifically</w:t>
      </w:r>
      <w:r w:rsidR="00005B6F">
        <w:rPr>
          <w:rFonts w:ascii="Times New Roman" w:hAnsi="Times New Roman" w:cs="Times New Roman"/>
        </w:rPr>
        <w:t xml:space="preserve"> </w:t>
      </w:r>
      <w:r w:rsidR="004E1429">
        <w:rPr>
          <w:rFonts w:ascii="Times New Roman" w:hAnsi="Times New Roman" w:cs="Times New Roman"/>
        </w:rPr>
        <w:t xml:space="preserve">under </w:t>
      </w:r>
      <w:r w:rsidR="00A067FB">
        <w:rPr>
          <w:rFonts w:ascii="Times New Roman" w:hAnsi="Times New Roman" w:cs="Times New Roman"/>
        </w:rPr>
        <w:t>a telehealth modality</w:t>
      </w:r>
      <w:r w:rsidR="00575992">
        <w:rPr>
          <w:rFonts w:ascii="Times New Roman" w:hAnsi="Times New Roman" w:cs="Times New Roman"/>
        </w:rPr>
        <w:t xml:space="preserve">. </w:t>
      </w:r>
      <w:r w:rsidR="00DE521C">
        <w:rPr>
          <w:rFonts w:ascii="Times New Roman" w:hAnsi="Times New Roman" w:cs="Times New Roman"/>
        </w:rPr>
        <w:t>Survey links</w:t>
      </w:r>
      <w:r w:rsidR="001A6874">
        <w:rPr>
          <w:rFonts w:ascii="Times New Roman" w:hAnsi="Times New Roman" w:cs="Times New Roman"/>
        </w:rPr>
        <w:t xml:space="preserve"> are</w:t>
      </w:r>
      <w:r w:rsidR="00575992">
        <w:rPr>
          <w:rFonts w:ascii="Times New Roman" w:hAnsi="Times New Roman" w:cs="Times New Roman"/>
        </w:rPr>
        <w:t xml:space="preserve"> disseminated to patients undergoing care at different points</w:t>
      </w:r>
      <w:r w:rsidR="00FA61B8">
        <w:rPr>
          <w:rFonts w:ascii="Times New Roman" w:hAnsi="Times New Roman" w:cs="Times New Roman"/>
        </w:rPr>
        <w:t xml:space="preserve"> (stages)</w:t>
      </w:r>
      <w:r w:rsidR="00575992">
        <w:rPr>
          <w:rFonts w:ascii="Times New Roman" w:hAnsi="Times New Roman" w:cs="Times New Roman"/>
        </w:rPr>
        <w:t xml:space="preserve"> in the </w:t>
      </w:r>
      <w:r w:rsidR="00592F48">
        <w:rPr>
          <w:rFonts w:ascii="Times New Roman" w:hAnsi="Times New Roman" w:cs="Times New Roman"/>
        </w:rPr>
        <w:t xml:space="preserve">health monitoring </w:t>
      </w:r>
      <w:r w:rsidR="003B4FEE">
        <w:rPr>
          <w:rFonts w:ascii="Times New Roman" w:hAnsi="Times New Roman" w:cs="Times New Roman"/>
        </w:rPr>
        <w:t>process</w:t>
      </w:r>
      <w:r w:rsidR="007D140B">
        <w:rPr>
          <w:rFonts w:ascii="Times New Roman" w:hAnsi="Times New Roman" w:cs="Times New Roman"/>
        </w:rPr>
        <w:t xml:space="preserve">, which differ by </w:t>
      </w:r>
      <w:r w:rsidR="00005B6F">
        <w:rPr>
          <w:rFonts w:ascii="Times New Roman" w:hAnsi="Times New Roman" w:cs="Times New Roman"/>
        </w:rPr>
        <w:t>modality</w:t>
      </w:r>
      <w:r w:rsidR="003B4FEE">
        <w:rPr>
          <w:rFonts w:ascii="Times New Roman" w:hAnsi="Times New Roman" w:cs="Times New Roman"/>
        </w:rPr>
        <w:t xml:space="preserve">. </w:t>
      </w:r>
      <w:r w:rsidR="00C40BD4">
        <w:rPr>
          <w:rFonts w:ascii="Times New Roman" w:hAnsi="Times New Roman" w:cs="Times New Roman"/>
        </w:rPr>
        <w:t xml:space="preserve">The online questionnaire is brief and follows a human-centered design </w:t>
      </w:r>
      <w:r w:rsidR="004962C1">
        <w:rPr>
          <w:rFonts w:ascii="Times New Roman" w:hAnsi="Times New Roman" w:cs="Times New Roman"/>
        </w:rPr>
        <w:t>methodology</w:t>
      </w:r>
      <w:r w:rsidR="00005B6F">
        <w:rPr>
          <w:rFonts w:ascii="Times New Roman" w:hAnsi="Times New Roman" w:cs="Times New Roman"/>
        </w:rPr>
        <w:t xml:space="preserve"> focusing on T</w:t>
      </w:r>
      <w:r w:rsidR="00C40BD4">
        <w:rPr>
          <w:rFonts w:ascii="Times New Roman" w:hAnsi="Times New Roman" w:cs="Times New Roman"/>
        </w:rPr>
        <w:t xml:space="preserve">rust, </w:t>
      </w:r>
      <w:r w:rsidR="00005B6F">
        <w:rPr>
          <w:rFonts w:ascii="Times New Roman" w:hAnsi="Times New Roman" w:cs="Times New Roman"/>
        </w:rPr>
        <w:t>Emotion, E</w:t>
      </w:r>
      <w:r w:rsidR="00C40BD4">
        <w:rPr>
          <w:rFonts w:ascii="Times New Roman" w:hAnsi="Times New Roman" w:cs="Times New Roman"/>
        </w:rPr>
        <w:t>ffective</w:t>
      </w:r>
      <w:r w:rsidR="004962C1">
        <w:rPr>
          <w:rFonts w:ascii="Times New Roman" w:hAnsi="Times New Roman" w:cs="Times New Roman"/>
        </w:rPr>
        <w:t>ness</w:t>
      </w:r>
      <w:r w:rsidR="00005B6F">
        <w:rPr>
          <w:rFonts w:ascii="Times New Roman" w:hAnsi="Times New Roman" w:cs="Times New Roman"/>
        </w:rPr>
        <w:t>, and E</w:t>
      </w:r>
      <w:r w:rsidR="00C40BD4">
        <w:rPr>
          <w:rFonts w:ascii="Times New Roman" w:hAnsi="Times New Roman" w:cs="Times New Roman"/>
        </w:rPr>
        <w:t>ase with the care they received. The measurement questions are based on a five-point Liker</w:t>
      </w:r>
      <w:r w:rsidR="004962C1">
        <w:rPr>
          <w:rFonts w:ascii="Times New Roman" w:hAnsi="Times New Roman" w:cs="Times New Roman"/>
        </w:rPr>
        <w:t>t</w:t>
      </w:r>
      <w:r w:rsidR="00C40BD4">
        <w:rPr>
          <w:rFonts w:ascii="Times New Roman" w:hAnsi="Times New Roman" w:cs="Times New Roman"/>
        </w:rPr>
        <w:t xml:space="preserve"> scale</w:t>
      </w:r>
      <w:r w:rsidR="004962C1">
        <w:rPr>
          <w:rFonts w:ascii="Times New Roman" w:hAnsi="Times New Roman" w:cs="Times New Roman"/>
        </w:rPr>
        <w:t xml:space="preserve"> (1-5)</w:t>
      </w:r>
      <w:r w:rsidR="00C40BD4">
        <w:rPr>
          <w:rFonts w:ascii="Times New Roman" w:hAnsi="Times New Roman" w:cs="Times New Roman"/>
        </w:rPr>
        <w:t xml:space="preserve"> from Strongly Disagree</w:t>
      </w:r>
      <w:r w:rsidR="004962C1">
        <w:rPr>
          <w:rFonts w:ascii="Times New Roman" w:hAnsi="Times New Roman" w:cs="Times New Roman"/>
        </w:rPr>
        <w:t xml:space="preserve"> (1)</w:t>
      </w:r>
      <w:r w:rsidR="00C40BD4">
        <w:rPr>
          <w:rFonts w:ascii="Times New Roman" w:hAnsi="Times New Roman" w:cs="Times New Roman"/>
        </w:rPr>
        <w:t xml:space="preserve"> to Strongly Agree</w:t>
      </w:r>
      <w:r w:rsidR="004962C1">
        <w:rPr>
          <w:rFonts w:ascii="Times New Roman" w:hAnsi="Times New Roman" w:cs="Times New Roman"/>
        </w:rPr>
        <w:t xml:space="preserve"> (5)</w:t>
      </w:r>
      <w:r w:rsidR="00C40BD4">
        <w:rPr>
          <w:rFonts w:ascii="Times New Roman" w:hAnsi="Times New Roman" w:cs="Times New Roman"/>
        </w:rPr>
        <w:t xml:space="preserve">. </w:t>
      </w:r>
    </w:p>
    <w:p w:rsidR="00554130" w:rsidP="0061516E" w:rsidRDefault="007D64C6" w14:paraId="3C39915C" w14:textId="126270B9">
      <w:pPr>
        <w:spacing w:after="120" w:line="240" w:lineRule="auto"/>
        <w:ind w:firstLine="720"/>
        <w:rPr>
          <w:rFonts w:ascii="Times New Roman" w:hAnsi="Times New Roman" w:cs="Times New Roman"/>
        </w:rPr>
      </w:pPr>
      <w:r w:rsidRPr="00112F57">
        <w:rPr>
          <w:rFonts w:ascii="Times New Roman" w:hAnsi="Times New Roman" w:cs="Times New Roman"/>
        </w:rPr>
        <w:t>The</w:t>
      </w:r>
      <w:r w:rsidR="00271B54">
        <w:rPr>
          <w:rFonts w:ascii="Times New Roman" w:hAnsi="Times New Roman" w:cs="Times New Roman"/>
        </w:rPr>
        <w:t xml:space="preserve"> overall</w:t>
      </w:r>
      <w:r w:rsidRPr="00112F57">
        <w:rPr>
          <w:rFonts w:ascii="Times New Roman" w:hAnsi="Times New Roman" w:cs="Times New Roman"/>
        </w:rPr>
        <w:t xml:space="preserve"> sample size </w:t>
      </w:r>
      <w:r w:rsidR="00990289">
        <w:rPr>
          <w:rFonts w:ascii="Times New Roman" w:hAnsi="Times New Roman" w:cs="Times New Roman"/>
        </w:rPr>
        <w:t xml:space="preserve">is determined based on </w:t>
      </w:r>
      <w:r w:rsidRPr="00112F57" w:rsidR="00FC552D">
        <w:rPr>
          <w:rFonts w:ascii="Times New Roman" w:hAnsi="Times New Roman" w:cs="Times New Roman"/>
        </w:rPr>
        <w:t>a 95% confiden</w:t>
      </w:r>
      <w:r w:rsidR="004962C1">
        <w:rPr>
          <w:rFonts w:ascii="Times New Roman" w:hAnsi="Times New Roman" w:cs="Times New Roman"/>
        </w:rPr>
        <w:t xml:space="preserve">ce level and 3% margin </w:t>
      </w:r>
      <w:r w:rsidRPr="00112F57" w:rsidR="00797CBE">
        <w:rPr>
          <w:rFonts w:ascii="Times New Roman" w:hAnsi="Times New Roman" w:cs="Times New Roman"/>
        </w:rPr>
        <w:t>of error</w:t>
      </w:r>
      <w:r w:rsidR="00C149BB">
        <w:rPr>
          <w:rFonts w:ascii="Times New Roman" w:hAnsi="Times New Roman" w:cs="Times New Roman"/>
        </w:rPr>
        <w:t xml:space="preserve"> with respect to monthly estimates</w:t>
      </w:r>
      <w:r w:rsidRPr="00112F57" w:rsidR="00797CBE">
        <w:rPr>
          <w:rFonts w:ascii="Times New Roman" w:hAnsi="Times New Roman" w:cs="Times New Roman"/>
        </w:rPr>
        <w:t>.</w:t>
      </w:r>
      <w:r w:rsidR="00CE5216">
        <w:rPr>
          <w:rFonts w:ascii="Times New Roman" w:hAnsi="Times New Roman" w:cs="Times New Roman"/>
        </w:rPr>
        <w:t xml:space="preserve"> This is a compromise between obtaining ongoing cross-sectional estimates of suitable precision, while maintain low sampling rates over time.</w:t>
      </w:r>
      <w:r w:rsidRPr="00112F57" w:rsidR="00797CBE">
        <w:rPr>
          <w:rFonts w:ascii="Times New Roman" w:hAnsi="Times New Roman" w:cs="Times New Roman"/>
        </w:rPr>
        <w:t xml:space="preserve"> </w:t>
      </w:r>
      <w:r w:rsidR="000551E8">
        <w:rPr>
          <w:rFonts w:ascii="Times New Roman" w:hAnsi="Times New Roman" w:cs="Times New Roman"/>
        </w:rPr>
        <w:t xml:space="preserve">The selection process is a stratified design: controlling for geographic region (district), demographic, modality, and stage. </w:t>
      </w:r>
      <w:r w:rsidR="00B36825">
        <w:rPr>
          <w:rFonts w:ascii="Times New Roman" w:hAnsi="Times New Roman" w:cs="Times New Roman"/>
        </w:rPr>
        <w:t>Once data collection is completed</w:t>
      </w:r>
      <w:r w:rsidRPr="00112F57" w:rsidR="00797882">
        <w:rPr>
          <w:rFonts w:ascii="Times New Roman" w:hAnsi="Times New Roman" w:cs="Times New Roman"/>
        </w:rPr>
        <w:t xml:space="preserve">, the </w:t>
      </w:r>
      <w:r w:rsidRPr="00112F57" w:rsidR="005D738C">
        <w:rPr>
          <w:rFonts w:ascii="Times New Roman" w:hAnsi="Times New Roman" w:cs="Times New Roman"/>
        </w:rPr>
        <w:t xml:space="preserve">participant responses </w:t>
      </w:r>
      <w:r w:rsidRPr="00112F57" w:rsidR="007A29F2">
        <w:rPr>
          <w:rFonts w:ascii="Times New Roman" w:hAnsi="Times New Roman" w:cs="Times New Roman"/>
        </w:rPr>
        <w:t xml:space="preserve">in the online survey </w:t>
      </w:r>
      <w:r w:rsidRPr="00112F57" w:rsidR="005D738C">
        <w:rPr>
          <w:rFonts w:ascii="Times New Roman" w:hAnsi="Times New Roman" w:cs="Times New Roman"/>
        </w:rPr>
        <w:t>will be weighted so that the sample</w:t>
      </w:r>
      <w:r w:rsidRPr="00112F57" w:rsidR="00A74FBF">
        <w:rPr>
          <w:rFonts w:ascii="Times New Roman" w:hAnsi="Times New Roman" w:cs="Times New Roman"/>
        </w:rPr>
        <w:t>s</w:t>
      </w:r>
      <w:r w:rsidRPr="00112F57" w:rsidR="005D738C">
        <w:rPr>
          <w:rFonts w:ascii="Times New Roman" w:hAnsi="Times New Roman" w:cs="Times New Roman"/>
        </w:rPr>
        <w:t xml:space="preserve"> will be </w:t>
      </w:r>
      <w:r w:rsidRPr="00112F57" w:rsidR="007329B2">
        <w:rPr>
          <w:rFonts w:ascii="Times New Roman" w:hAnsi="Times New Roman" w:cs="Times New Roman"/>
        </w:rPr>
        <w:t xml:space="preserve">more </w:t>
      </w:r>
      <w:r w:rsidRPr="00112F57" w:rsidR="005D738C">
        <w:rPr>
          <w:rFonts w:ascii="Times New Roman" w:hAnsi="Times New Roman" w:cs="Times New Roman"/>
        </w:rPr>
        <w:t>representative of the overall population</w:t>
      </w:r>
      <w:r w:rsidRPr="00112F57" w:rsidR="00797882">
        <w:rPr>
          <w:rFonts w:ascii="Times New Roman" w:hAnsi="Times New Roman" w:cs="Times New Roman"/>
        </w:rPr>
        <w:t xml:space="preserve">. </w:t>
      </w:r>
      <w:r w:rsidR="004962C1">
        <w:rPr>
          <w:rFonts w:ascii="Times New Roman" w:hAnsi="Times New Roman" w:cs="Times New Roman"/>
        </w:rPr>
        <w:t>Iterative proportional fitting</w:t>
      </w:r>
      <w:r w:rsidRPr="00112F57" w:rsidR="00545505">
        <w:rPr>
          <w:rFonts w:ascii="Times New Roman" w:hAnsi="Times New Roman" w:cs="Times New Roman"/>
        </w:rPr>
        <w:t xml:space="preserve"> </w:t>
      </w:r>
      <w:r w:rsidR="00800433">
        <w:rPr>
          <w:rFonts w:ascii="Times New Roman" w:hAnsi="Times New Roman" w:cs="Times New Roman"/>
        </w:rPr>
        <w:t>to create sample weights</w:t>
      </w:r>
      <w:r w:rsidRPr="00112F57" w:rsidR="00545505">
        <w:rPr>
          <w:rFonts w:ascii="Times New Roman" w:hAnsi="Times New Roman" w:cs="Times New Roman"/>
        </w:rPr>
        <w:t xml:space="preserve"> will be applied using </w:t>
      </w:r>
      <w:r w:rsidR="0061516E">
        <w:rPr>
          <w:rFonts w:ascii="Times New Roman" w:hAnsi="Times New Roman" w:cs="Times New Roman"/>
        </w:rPr>
        <w:t xml:space="preserve">variables: </w:t>
      </w:r>
      <w:r w:rsidR="00540D40">
        <w:rPr>
          <w:rFonts w:ascii="Times New Roman" w:hAnsi="Times New Roman" w:cs="Times New Roman"/>
        </w:rPr>
        <w:t>Modality/Stage</w:t>
      </w:r>
      <w:r w:rsidR="0061516E">
        <w:rPr>
          <w:rFonts w:ascii="Times New Roman" w:hAnsi="Times New Roman" w:cs="Times New Roman"/>
        </w:rPr>
        <w:t xml:space="preserve">, Gender, Age Group </w:t>
      </w:r>
      <w:r w:rsidRPr="0061516E" w:rsidR="0061516E">
        <w:rPr>
          <w:rFonts w:ascii="Times New Roman" w:hAnsi="Times New Roman" w:cs="Times New Roman"/>
        </w:rPr>
        <w:t>(18-</w:t>
      </w:r>
      <w:r w:rsidR="00800433">
        <w:rPr>
          <w:rFonts w:ascii="Times New Roman" w:hAnsi="Times New Roman" w:cs="Times New Roman"/>
        </w:rPr>
        <w:t>39</w:t>
      </w:r>
      <w:r w:rsidRPr="0061516E" w:rsidR="0061516E">
        <w:rPr>
          <w:rFonts w:ascii="Times New Roman" w:hAnsi="Times New Roman" w:cs="Times New Roman"/>
        </w:rPr>
        <w:t xml:space="preserve">, </w:t>
      </w:r>
      <w:r w:rsidR="00800433">
        <w:rPr>
          <w:rFonts w:ascii="Times New Roman" w:hAnsi="Times New Roman" w:cs="Times New Roman"/>
        </w:rPr>
        <w:t>40</w:t>
      </w:r>
      <w:r w:rsidRPr="0061516E" w:rsidR="0061516E">
        <w:rPr>
          <w:rFonts w:ascii="Times New Roman" w:hAnsi="Times New Roman" w:cs="Times New Roman"/>
        </w:rPr>
        <w:t>-</w:t>
      </w:r>
      <w:r w:rsidR="00800433">
        <w:rPr>
          <w:rFonts w:ascii="Times New Roman" w:hAnsi="Times New Roman" w:cs="Times New Roman"/>
        </w:rPr>
        <w:t>59</w:t>
      </w:r>
      <w:r w:rsidRPr="0061516E" w:rsidR="0061516E">
        <w:rPr>
          <w:rFonts w:ascii="Times New Roman" w:hAnsi="Times New Roman" w:cs="Times New Roman"/>
        </w:rPr>
        <w:t xml:space="preserve">, </w:t>
      </w:r>
      <w:r w:rsidR="00800433">
        <w:rPr>
          <w:rFonts w:ascii="Times New Roman" w:hAnsi="Times New Roman" w:cs="Times New Roman"/>
        </w:rPr>
        <w:t>60</w:t>
      </w:r>
      <w:r w:rsidRPr="0061516E" w:rsidR="0061516E">
        <w:rPr>
          <w:rFonts w:ascii="Times New Roman" w:hAnsi="Times New Roman" w:cs="Times New Roman"/>
        </w:rPr>
        <w:t>+)</w:t>
      </w:r>
      <w:r w:rsidR="0061516E">
        <w:rPr>
          <w:rFonts w:ascii="Times New Roman" w:hAnsi="Times New Roman" w:cs="Times New Roman"/>
        </w:rPr>
        <w:t xml:space="preserve">, and </w:t>
      </w:r>
      <w:r w:rsidR="00C149BB">
        <w:rPr>
          <w:rFonts w:ascii="Times New Roman" w:hAnsi="Times New Roman" w:cs="Times New Roman"/>
        </w:rPr>
        <w:t>District</w:t>
      </w:r>
      <w:r w:rsidR="0061516E">
        <w:rPr>
          <w:rFonts w:ascii="Times New Roman" w:hAnsi="Times New Roman" w:cs="Times New Roman"/>
        </w:rPr>
        <w:t xml:space="preserve">. </w:t>
      </w:r>
    </w:p>
    <w:p w:rsidR="00AF0174" w:rsidP="0061516E" w:rsidRDefault="00AF0174" w14:paraId="591270BD" w14:textId="727604E6">
      <w:pPr>
        <w:spacing w:after="120" w:line="240" w:lineRule="auto"/>
        <w:ind w:firstLine="720"/>
        <w:rPr>
          <w:rFonts w:ascii="Times New Roman" w:hAnsi="Times New Roman" w:cs="Times New Roman"/>
        </w:rPr>
      </w:pPr>
      <w:r>
        <w:rPr>
          <w:rFonts w:ascii="Times New Roman" w:hAnsi="Times New Roman" w:cs="Times New Roman"/>
        </w:rPr>
        <w:t xml:space="preserve">Once the data is collected, it is immediately available in the Veteran Insight System. </w:t>
      </w:r>
      <w:r w:rsidR="00D313CC">
        <w:rPr>
          <w:rFonts w:ascii="Times New Roman" w:hAnsi="Times New Roman" w:cs="Times New Roman"/>
        </w:rPr>
        <w:t>Survey weights are incorporated into the system at the close of every weekly survey. The interface</w:t>
      </w:r>
      <w:r>
        <w:rPr>
          <w:rFonts w:ascii="Times New Roman" w:hAnsi="Times New Roman" w:cs="Times New Roman"/>
        </w:rPr>
        <w:t xml:space="preserve"> allows </w:t>
      </w:r>
      <w:r w:rsidR="00D313CC">
        <w:rPr>
          <w:rFonts w:ascii="Times New Roman" w:hAnsi="Times New Roman" w:cs="Times New Roman"/>
        </w:rPr>
        <w:t xml:space="preserve">data </w:t>
      </w:r>
      <w:r>
        <w:rPr>
          <w:rFonts w:ascii="Times New Roman" w:hAnsi="Times New Roman" w:cs="Times New Roman"/>
        </w:rPr>
        <w:t>users to a</w:t>
      </w:r>
      <w:r w:rsidR="00D313CC">
        <w:rPr>
          <w:rFonts w:ascii="Times New Roman" w:hAnsi="Times New Roman" w:cs="Times New Roman"/>
        </w:rPr>
        <w:t>nalyze the survey results using interactive charts and sub-populations</w:t>
      </w:r>
      <w:r>
        <w:rPr>
          <w:rFonts w:ascii="Times New Roman" w:hAnsi="Times New Roman" w:cs="Times New Roman"/>
        </w:rPr>
        <w:t xml:space="preserve">. </w:t>
      </w:r>
      <w:r w:rsidR="00D313CC">
        <w:rPr>
          <w:rFonts w:ascii="Times New Roman" w:hAnsi="Times New Roman" w:cs="Times New Roman"/>
        </w:rPr>
        <w:t xml:space="preserve">Survey data may also be reviewed over differing time periods, ranging from weekly, to monthly, to quarterly estimates. </w:t>
      </w:r>
    </w:p>
    <w:p w:rsidRPr="00C85DEE" w:rsidR="00637321" w:rsidP="004008F5" w:rsidRDefault="001D3191" w14:paraId="3DBC815F" w14:textId="3DB0E755">
      <w:pPr>
        <w:pStyle w:val="Heading1"/>
        <w:spacing w:after="240" w:line="240" w:lineRule="auto"/>
        <w:rPr>
          <w:rFonts w:ascii="Times New Roman" w:hAnsi="Times New Roman"/>
        </w:rPr>
      </w:pPr>
      <w:bookmarkStart w:name="_Toc513723181" w:id="6"/>
      <w:r w:rsidRPr="00C85DEE">
        <w:rPr>
          <w:rFonts w:ascii="Times New Roman" w:hAnsi="Times New Roman"/>
        </w:rPr>
        <w:t xml:space="preserve">Part I </w:t>
      </w:r>
      <w:r w:rsidRPr="00C85DEE" w:rsidR="00637321">
        <w:rPr>
          <w:rFonts w:ascii="Times New Roman" w:hAnsi="Times New Roman"/>
        </w:rPr>
        <w:t>–</w:t>
      </w:r>
      <w:r w:rsidRPr="00C85DEE">
        <w:rPr>
          <w:rFonts w:ascii="Times New Roman" w:hAnsi="Times New Roman"/>
        </w:rPr>
        <w:t xml:space="preserve"> Introduction</w:t>
      </w:r>
      <w:bookmarkEnd w:id="6"/>
    </w:p>
    <w:p w:rsidRPr="00C85DEE" w:rsidR="001D3191" w:rsidP="004008F5" w:rsidRDefault="001D3191" w14:paraId="40AC2672" w14:textId="77777777">
      <w:pPr>
        <w:pStyle w:val="Heading2"/>
        <w:spacing w:after="240" w:line="240" w:lineRule="auto"/>
        <w:rPr>
          <w:rFonts w:ascii="Times New Roman" w:hAnsi="Times New Roman"/>
        </w:rPr>
      </w:pPr>
      <w:bookmarkStart w:name="_Toc513723182" w:id="7"/>
      <w:bookmarkStart w:name="_Hlk511300100" w:id="8"/>
      <w:r w:rsidRPr="00C85DEE">
        <w:rPr>
          <w:rFonts w:ascii="Times New Roman" w:hAnsi="Times New Roman"/>
        </w:rPr>
        <w:t>A. Background</w:t>
      </w:r>
      <w:bookmarkEnd w:id="7"/>
      <w:r w:rsidRPr="00C85DEE">
        <w:rPr>
          <w:rFonts w:ascii="Times New Roman" w:hAnsi="Times New Roman"/>
        </w:rPr>
        <w:t xml:space="preserve"> </w:t>
      </w:r>
    </w:p>
    <w:p w:rsidRPr="00C85DEE" w:rsidR="000F0942" w:rsidP="000F0942" w:rsidRDefault="0044178A" w14:paraId="748A5C64" w14:textId="04042232">
      <w:pPr>
        <w:rPr>
          <w:rFonts w:ascii="Times New Roman" w:hAnsi="Times New Roman" w:cs="Times New Roman"/>
        </w:rPr>
      </w:pPr>
      <w:r w:rsidRPr="00C85DEE">
        <w:rPr>
          <w:rFonts w:ascii="Times New Roman" w:hAnsi="Times New Roman" w:cs="Times New Roman"/>
        </w:rPr>
        <w:tab/>
      </w:r>
      <w:bookmarkStart w:name="_Toc490572151" w:id="9"/>
      <w:bookmarkStart w:name="_Hlk511314360" w:id="10"/>
      <w:bookmarkEnd w:id="8"/>
      <w:r w:rsidRPr="00C85DEE" w:rsidR="000F0942">
        <w:rPr>
          <w:rFonts w:ascii="Times New Roman" w:hAnsi="Times New Roman" w:cs="Times New Roman"/>
        </w:rPr>
        <w:t xml:space="preserve">The </w:t>
      </w:r>
      <w:r w:rsidRPr="00C85DEE" w:rsidR="000F0942">
        <w:rPr>
          <w:rFonts w:ascii="Times New Roman" w:hAnsi="Times New Roman" w:cs="Times New Roman"/>
          <w:b/>
        </w:rPr>
        <w:t>Enterprise Measurement and Program Improvement</w:t>
      </w:r>
      <w:r w:rsidRPr="00C85DEE" w:rsidR="000F0942">
        <w:rPr>
          <w:rFonts w:ascii="Times New Roman" w:hAnsi="Times New Roman" w:cs="Times New Roman"/>
          <w:i/>
        </w:rPr>
        <w:t xml:space="preserve"> </w:t>
      </w:r>
      <w:r w:rsidRPr="00C85DEE" w:rsidR="000F0942">
        <w:rPr>
          <w:rFonts w:ascii="Times New Roman" w:hAnsi="Times New Roman" w:cs="Times New Roman"/>
        </w:rPr>
        <w:t xml:space="preserve">team (EM&amp;PI) is part of the </w:t>
      </w:r>
      <w:r w:rsidRPr="00C85DEE" w:rsidR="000F0942">
        <w:rPr>
          <w:rFonts w:ascii="Times New Roman" w:hAnsi="Times New Roman" w:cs="Times New Roman"/>
          <w:b/>
        </w:rPr>
        <w:t xml:space="preserve">Insights and Analytics </w:t>
      </w:r>
      <w:r w:rsidRPr="00C85DEE" w:rsidR="000F0942">
        <w:rPr>
          <w:rFonts w:ascii="Times New Roman" w:hAnsi="Times New Roman" w:cs="Times New Roman"/>
        </w:rPr>
        <w:t xml:space="preserve">(I&amp;A) division within the </w:t>
      </w:r>
      <w:r w:rsidRPr="00C85DEE" w:rsidR="000F0942">
        <w:rPr>
          <w:rFonts w:ascii="Times New Roman" w:hAnsi="Times New Roman" w:cs="Times New Roman"/>
          <w:b/>
        </w:rPr>
        <w:t xml:space="preserve">Veterans Experience Office </w:t>
      </w:r>
      <w:r w:rsidRPr="00C85DEE" w:rsidR="000F0942">
        <w:rPr>
          <w:rFonts w:ascii="Times New Roman" w:hAnsi="Times New Roman" w:cs="Times New Roman"/>
        </w:rPr>
        <w:t>(VEO). The</w:t>
      </w:r>
      <w:r w:rsidRPr="00C85DEE" w:rsidR="000F0942">
        <w:rPr>
          <w:rFonts w:ascii="Times New Roman" w:hAnsi="Times New Roman" w:cs="Times New Roman"/>
          <w:b/>
        </w:rPr>
        <w:t xml:space="preserve"> </w:t>
      </w:r>
      <w:r w:rsidRPr="00C85DEE" w:rsidR="000F0942">
        <w:rPr>
          <w:rFonts w:ascii="Times New Roman" w:hAnsi="Times New Roman" w:cs="Times New Roman"/>
        </w:rPr>
        <w:t xml:space="preserve">EM&amp;PI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C85DEE" w:rsidR="000F0942">
        <w:rPr>
          <w:rFonts w:ascii="Times New Roman" w:hAnsi="Times New Roman" w:cs="Times New Roman"/>
          <w:i/>
        </w:rPr>
        <w:t>probability</w:t>
      </w:r>
      <w:r w:rsidRPr="00C85DEE" w:rsidR="000F094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have the ability to opt out of future invitations. A </w:t>
      </w:r>
      <w:r w:rsidRPr="00C85DEE" w:rsidR="000F0942">
        <w:rPr>
          <w:rFonts w:ascii="Times New Roman" w:hAnsi="Times New Roman" w:cs="Times New Roman"/>
          <w:i/>
        </w:rPr>
        <w:t>quarantine</w:t>
      </w:r>
      <w:r w:rsidRPr="00C85DEE" w:rsidR="000F0942">
        <w:rPr>
          <w:rFonts w:ascii="Times New Roman" w:hAnsi="Times New Roman" w:cs="Times New Roman"/>
        </w:rPr>
        <w:t xml:space="preserve"> protocol is maintained to limit the number of times a Veteran may be contacted, in order to prevent survey fatigue, across all VEO surveys. </w:t>
      </w:r>
    </w:p>
    <w:p w:rsidRPr="00C85DEE" w:rsidR="000F0942" w:rsidP="000F0942" w:rsidRDefault="000F0942" w14:paraId="7B076D66" w14:textId="59190473">
      <w:pPr>
        <w:ind w:firstLine="720"/>
        <w:rPr>
          <w:rFonts w:ascii="Times New Roman" w:hAnsi="Times New Roman" w:cs="Times New Roman"/>
        </w:rPr>
      </w:pPr>
      <w:r w:rsidRPr="00C85DEE">
        <w:rPr>
          <w:rFonts w:ascii="Times New Roman" w:hAnsi="Times New Roman" w:cs="Times New Roman"/>
        </w:rPr>
        <w:t>Surveys issued by EM&amp;PI are generally brief in nature, and present a low amount of burden to Veterans. A few targeted questions will utilize a human centered design (HCD)</w:t>
      </w:r>
      <w:r w:rsidR="008F1C30">
        <w:rPr>
          <w:rFonts w:ascii="Times New Roman" w:hAnsi="Times New Roman" w:cs="Times New Roman"/>
        </w:rPr>
        <w:t xml:space="preserve"> methodology</w:t>
      </w:r>
      <w:r w:rsidRPr="00C85DEE">
        <w:rPr>
          <w:rFonts w:ascii="Times New Roman" w:hAnsi="Times New Roman" w:cs="Times New Roman"/>
        </w:rPr>
        <w:t xml:space="preserve">, revolving around concepts of Trust, Ease, Effectiveness and Emotion. 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w:t>
      </w:r>
      <w:r w:rsidR="008F1C30">
        <w:rPr>
          <w:rFonts w:ascii="Times New Roman" w:hAnsi="Times New Roman" w:cs="Times New Roman"/>
        </w:rPr>
        <w:t>provided</w:t>
      </w:r>
      <w:r w:rsidRPr="00C85DEE">
        <w:rPr>
          <w:rFonts w:ascii="Times New Roman" w:hAnsi="Times New Roman" w:cs="Times New Roman"/>
        </w:rPr>
        <w:t xml:space="preserve"> within most surveys. This open text has been demonstrated to yield enormous information. Machine learning tools are used for text classification, ranking by sentiment scores, and scr</w:t>
      </w:r>
      <w:r w:rsidR="008F1C30">
        <w:rPr>
          <w:rFonts w:ascii="Times New Roman" w:hAnsi="Times New Roman" w:cs="Times New Roman"/>
        </w:rPr>
        <w:t xml:space="preserve">eening for homelessness, </w:t>
      </w:r>
      <w:r w:rsidRPr="00C85DEE">
        <w:rPr>
          <w:rFonts w:ascii="Times New Roman" w:hAnsi="Times New Roman" w:cs="Times New Roman"/>
        </w:rPr>
        <w:t xml:space="preserve">depression, etc. Modern survey theory is used to create sample designs which are representative, statistically sound, and in accordance with OMB guidelines on federal surveys. </w:t>
      </w:r>
    </w:p>
    <w:p w:rsidRPr="00C85DEE" w:rsidR="00F60845" w:rsidP="000F0942" w:rsidRDefault="000F0942" w14:paraId="0535E3DD" w14:textId="4AB6B1B7">
      <w:pPr>
        <w:rPr>
          <w:rFonts w:ascii="Times New Roman" w:hAnsi="Times New Roman" w:cs="Times New Roman"/>
        </w:rPr>
      </w:pPr>
      <w:r w:rsidRPr="00C85DEE">
        <w:rPr>
          <w:rFonts w:ascii="Times New Roman" w:hAnsi="Times New Roman" w:cs="Times New Roman"/>
        </w:rPr>
        <w:tab/>
      </w:r>
      <w:r w:rsidRPr="00C85DEE" w:rsidR="008D3696">
        <w:rPr>
          <w:rFonts w:ascii="Times New Roman" w:hAnsi="Times New Roman" w:cs="Times New Roman"/>
        </w:rPr>
        <w:t>VA uses a wide variety of technologies to facilitate quality healthcare to its beneficiaries. Telehealth</w:t>
      </w:r>
      <w:r w:rsidRPr="00C85DEE" w:rsidR="008D3696">
        <w:rPr>
          <w:rFonts w:ascii="Times New Roman" w:hAnsi="Times New Roman" w:cs="Times New Roman"/>
          <w:b/>
        </w:rPr>
        <w:t xml:space="preserve"> </w:t>
      </w:r>
      <w:r w:rsidRPr="00C85DEE" w:rsidR="008D3696">
        <w:rPr>
          <w:rFonts w:ascii="Times New Roman" w:hAnsi="Times New Roman" w:cs="Times New Roman"/>
        </w:rPr>
        <w:t>services ar</w:t>
      </w:r>
      <w:r w:rsidR="00A5359F">
        <w:rPr>
          <w:rFonts w:ascii="Times New Roman" w:hAnsi="Times New Roman" w:cs="Times New Roman"/>
        </w:rPr>
        <w:t>e a critical aspect to modernizing</w:t>
      </w:r>
      <w:r w:rsidRPr="00C85DEE" w:rsidR="008D3696">
        <w:rPr>
          <w:rFonts w:ascii="Times New Roman" w:hAnsi="Times New Roman" w:cs="Times New Roman"/>
        </w:rPr>
        <w:t xml:space="preserve"> the VA health care system. </w:t>
      </w:r>
      <w:r w:rsidRPr="00C85DEE" w:rsidR="008D3696">
        <w:rPr>
          <w:rFonts w:ascii="Times New Roman" w:hAnsi="Times New Roman" w:cs="Times New Roman"/>
          <w:b/>
        </w:rPr>
        <w:t>Telehealth (TH)</w:t>
      </w:r>
      <w:r w:rsidRPr="00C85DEE" w:rsidR="008D3696">
        <w:rPr>
          <w:rFonts w:ascii="Times New Roman" w:hAnsi="Times New Roman" w:cs="Times New Roman"/>
        </w:rPr>
        <w:t xml:space="preserve"> increases access to high quality services by using information technology and telecommunication for Veterans, especially those that live in remote areas or are incapacitated. In FY 2017, over 700,000 patients received care via the three central telehealth modalities</w:t>
      </w:r>
      <w:r w:rsidRPr="00C85DEE" w:rsidR="008D3CD6">
        <w:rPr>
          <w:rStyle w:val="FootnoteReference"/>
          <w:rFonts w:ascii="Times New Roman" w:hAnsi="Times New Roman" w:cs="Times New Roman"/>
        </w:rPr>
        <w:footnoteReference w:id="2"/>
      </w:r>
      <w:r w:rsidRPr="00C85DEE" w:rsidR="008D3696">
        <w:rPr>
          <w:rFonts w:ascii="Times New Roman" w:hAnsi="Times New Roman" w:cs="Times New Roman"/>
        </w:rPr>
        <w:t xml:space="preserve">. </w:t>
      </w:r>
      <w:r w:rsidRPr="00C85DEE" w:rsidR="00F60845">
        <w:rPr>
          <w:rFonts w:ascii="Times New Roman" w:hAnsi="Times New Roman" w:cs="Times New Roman"/>
          <w:b/>
        </w:rPr>
        <w:t>Clinical Video Telehealth</w:t>
      </w:r>
      <w:r w:rsidRPr="00C85DEE" w:rsidR="00F60845">
        <w:rPr>
          <w:rFonts w:ascii="Times New Roman" w:hAnsi="Times New Roman" w:cs="Times New Roman"/>
        </w:rPr>
        <w:t xml:space="preserve"> (CVT) is the use of real-time interactive video conferencing to assess, treat and provide patient care remotely. Veterans may be linked to physicians from a local clinic or even from home, for over 50 clinical applications, ranging from primary care to numerous specialties (e.g. </w:t>
      </w:r>
      <w:r w:rsidR="004D25CD">
        <w:rPr>
          <w:rFonts w:ascii="Times New Roman" w:hAnsi="Times New Roman" w:cs="Times New Roman"/>
        </w:rPr>
        <w:t>tele-</w:t>
      </w:r>
      <w:r w:rsidRPr="00C85DEE" w:rsidR="00F60845">
        <w:rPr>
          <w:rFonts w:ascii="Times New Roman" w:hAnsi="Times New Roman" w:cs="Times New Roman"/>
        </w:rPr>
        <w:t xml:space="preserve">dermatology). </w:t>
      </w:r>
      <w:r w:rsidRPr="00C85DEE" w:rsidR="00F60845">
        <w:rPr>
          <w:rFonts w:ascii="Times New Roman" w:hAnsi="Times New Roman" w:cs="Times New Roman"/>
          <w:b/>
        </w:rPr>
        <w:t>Home Telehealth</w:t>
      </w:r>
      <w:r w:rsidRPr="00C85DEE" w:rsidR="00F60845">
        <w:rPr>
          <w:rFonts w:ascii="Times New Roman" w:hAnsi="Times New Roman" w:cs="Times New Roman"/>
        </w:rPr>
        <w:t xml:space="preserve"> (HT) is applied to high-risk Veterans with chronic disease requiring long-term care. Care management is augmented through such technologies as in-home and mobile monitoring, messaging, and/or video conferencing. The goal of HT is to reduce complications, hospitalizations, and clinical/ER visitations, so at-risk patients may remain in their own homes. Finally, </w:t>
      </w:r>
      <w:r w:rsidRPr="00C85DEE" w:rsidR="00F60845">
        <w:rPr>
          <w:rFonts w:ascii="Times New Roman" w:hAnsi="Times New Roman" w:cs="Times New Roman"/>
          <w:b/>
        </w:rPr>
        <w:t>Store and Forward Telehealth</w:t>
      </w:r>
      <w:r w:rsidRPr="00C85DEE" w:rsidR="00F60845">
        <w:rPr>
          <w:rFonts w:ascii="Times New Roman" w:hAnsi="Times New Roman" w:cs="Times New Roman"/>
        </w:rPr>
        <w:t xml:space="preserve"> (</w:t>
      </w:r>
      <w:r w:rsidR="007F0DE7">
        <w:rPr>
          <w:rFonts w:ascii="Times New Roman" w:hAnsi="Times New Roman" w:cs="Times New Roman"/>
        </w:rPr>
        <w:t>SFT</w:t>
      </w:r>
      <w:r w:rsidRPr="00C85DEE" w:rsidR="00F60845">
        <w:rPr>
          <w:rFonts w:ascii="Times New Roman" w:hAnsi="Times New Roman" w:cs="Times New Roman"/>
        </w:rPr>
        <w:t xml:space="preserve">) concerns the acquisition and storage of electronic patient information (e.g., images, sounds, and video) collected at a VA clinic or medical center. The information is forwarded and retrieved by healthcare professionals at another VA medical facility where an assessment is performed. </w:t>
      </w:r>
    </w:p>
    <w:p w:rsidRPr="00C85DEE" w:rsidR="00A61492" w:rsidP="00A61492" w:rsidRDefault="00A61492" w14:paraId="02634D5C" w14:textId="0F58BEA4">
      <w:pPr>
        <w:ind w:firstLine="720"/>
        <w:rPr>
          <w:rFonts w:ascii="Times New Roman" w:hAnsi="Times New Roman" w:cs="Times New Roman"/>
        </w:rPr>
      </w:pPr>
      <w:r w:rsidRPr="00C85DEE">
        <w:rPr>
          <w:rFonts w:ascii="Times New Roman" w:hAnsi="Times New Roman" w:cs="Times New Roman"/>
        </w:rPr>
        <w:t xml:space="preserve">The Veteran Experience Office (VEO) has been commissioned by the Veteran Health Administration (VHA) to measure the satisfaction of Telehealth recipients regarding their electronic interaction with physicians, nursing professionals, and other medical staff. It also seeks Veteran input on the quality of the treatment they received via the three modalities listed above. VEO proposes to conduct a </w:t>
      </w:r>
      <w:r w:rsidRPr="00C85DEE">
        <w:rPr>
          <w:rFonts w:ascii="Times New Roman" w:hAnsi="Times New Roman" w:cs="Times New Roman"/>
          <w:b/>
        </w:rPr>
        <w:t>brief transactional survey</w:t>
      </w:r>
      <w:r w:rsidRPr="00C85DEE">
        <w:rPr>
          <w:rFonts w:ascii="Times New Roman" w:hAnsi="Times New Roman" w:cs="Times New Roman"/>
        </w:rPr>
        <w:t xml:space="preserve"> on </w:t>
      </w:r>
      <w:r w:rsidR="00C149BB">
        <w:rPr>
          <w:rFonts w:ascii="Times New Roman" w:hAnsi="Times New Roman" w:cs="Times New Roman"/>
        </w:rPr>
        <w:t>Veterans</w:t>
      </w:r>
      <w:r w:rsidRPr="00C85DEE" w:rsidR="00C149BB">
        <w:rPr>
          <w:rFonts w:ascii="Times New Roman" w:hAnsi="Times New Roman" w:cs="Times New Roman"/>
        </w:rPr>
        <w:t xml:space="preserve"> </w:t>
      </w:r>
      <w:r w:rsidRPr="00C85DEE">
        <w:rPr>
          <w:rFonts w:ascii="Times New Roman" w:hAnsi="Times New Roman" w:cs="Times New Roman"/>
        </w:rPr>
        <w:t xml:space="preserve">who utilized the service within the past week. A subset of veterans will be randomly selected to participate. Sampled </w:t>
      </w:r>
      <w:r w:rsidR="00C149BB">
        <w:rPr>
          <w:rFonts w:ascii="Times New Roman" w:hAnsi="Times New Roman" w:cs="Times New Roman"/>
        </w:rPr>
        <w:t>patients</w:t>
      </w:r>
      <w:r w:rsidRPr="00C85DEE" w:rsidR="00C149BB">
        <w:rPr>
          <w:rFonts w:ascii="Times New Roman" w:hAnsi="Times New Roman" w:cs="Times New Roman"/>
        </w:rPr>
        <w:t xml:space="preserve"> </w:t>
      </w:r>
      <w:r w:rsidRPr="00C85DEE">
        <w:rPr>
          <w:rFonts w:ascii="Times New Roman" w:hAnsi="Times New Roman" w:cs="Times New Roman"/>
        </w:rPr>
        <w:t xml:space="preserve">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 </w:t>
      </w:r>
    </w:p>
    <w:p w:rsidRPr="00C85DEE" w:rsidR="000F0942" w:rsidP="00942B6E" w:rsidRDefault="000F0942" w14:paraId="3A3CE32F" w14:textId="77777777">
      <w:pPr>
        <w:pStyle w:val="Heading2"/>
        <w:spacing w:before="0" w:after="240" w:line="240" w:lineRule="auto"/>
        <w:rPr>
          <w:rFonts w:ascii="Times New Roman" w:hAnsi="Times New Roman"/>
        </w:rPr>
      </w:pPr>
      <w:bookmarkStart w:name="_Toc511750800" w:id="11"/>
      <w:bookmarkStart w:name="_Toc513723183" w:id="12"/>
      <w:r w:rsidRPr="00C85DEE">
        <w:rPr>
          <w:rFonts w:ascii="Times New Roman" w:hAnsi="Times New Roman"/>
        </w:rPr>
        <w:t>B. Basic Definitions</w:t>
      </w:r>
      <w:bookmarkEnd w:id="11"/>
      <w:bookmarkEnd w:id="12"/>
    </w:p>
    <w:tbl>
      <w:tblPr>
        <w:tblStyle w:val="TableGrid"/>
        <w:tblW w:w="0" w:type="auto"/>
        <w:tblLook w:val="04A0" w:firstRow="1" w:lastRow="0" w:firstColumn="1" w:lastColumn="0" w:noHBand="0" w:noVBand="1"/>
      </w:tblPr>
      <w:tblGrid>
        <w:gridCol w:w="3055"/>
        <w:gridCol w:w="9895"/>
      </w:tblGrid>
      <w:tr w:rsidR="007F0DE7" w:rsidTr="007F0DE7" w14:paraId="47D2DA60"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2C15754C" w14:textId="77777777">
            <w:pPr>
              <w:pStyle w:val="Heading2"/>
              <w:spacing w:before="0" w:after="240" w:line="240" w:lineRule="auto"/>
              <w:outlineLvl w:val="1"/>
              <w:rPr>
                <w:rFonts w:ascii="Times New Roman" w:hAnsi="Times New Roman"/>
                <w:b/>
              </w:rPr>
            </w:pPr>
            <w:bookmarkStart w:name="_Toc511750801" w:id="13"/>
            <w:bookmarkStart w:name="_Toc513723184" w:id="14"/>
            <w:r>
              <w:rPr>
                <w:rFonts w:ascii="Times New Roman" w:hAnsi="Times New Roman"/>
                <w:b/>
                <w:bCs/>
              </w:rPr>
              <w:t>Coverage</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4E41A7E5" w14:textId="77777777">
            <w:pPr>
              <w:pStyle w:val="Heading2"/>
              <w:spacing w:before="0" w:after="240" w:line="240" w:lineRule="auto"/>
              <w:outlineLvl w:val="1"/>
              <w:rPr>
                <w:rFonts w:ascii="Times New Roman" w:hAnsi="Times New Roman"/>
              </w:rPr>
            </w:pPr>
            <w:r>
              <w:rPr>
                <w:rFonts w:ascii="Times New Roman" w:hAnsi="Times New Roman"/>
                <w:bCs/>
              </w:rPr>
              <w:t>The percentage of the population of interest that is included in the sampling frame.</w:t>
            </w:r>
          </w:p>
        </w:tc>
      </w:tr>
      <w:tr w:rsidR="007F0DE7" w:rsidTr="007F0DE7" w14:paraId="7C63D597"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7F107B13" w14:textId="77777777">
            <w:pPr>
              <w:pStyle w:val="Heading2"/>
              <w:spacing w:before="0" w:after="240" w:line="240" w:lineRule="auto"/>
              <w:outlineLvl w:val="1"/>
              <w:rPr>
                <w:rFonts w:ascii="Times New Roman" w:hAnsi="Times New Roman"/>
                <w:b/>
              </w:rPr>
            </w:pPr>
            <w:r>
              <w:rPr>
                <w:rFonts w:ascii="Times New Roman" w:hAnsi="Times New Roman"/>
                <w:b/>
              </w:rP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364E7ED1" w14:textId="77777777">
            <w:pPr>
              <w:pStyle w:val="Heading2"/>
              <w:spacing w:before="0" w:after="240" w:line="240" w:lineRule="auto"/>
              <w:outlineLvl w:val="1"/>
              <w:rPr>
                <w:rFonts w:ascii="Times New Roman" w:hAnsi="Times New Roman"/>
              </w:rPr>
            </w:pPr>
            <w:r>
              <w:rPr>
                <w:rFonts w:ascii="Times New Roman" w:hAnsi="Times New Roman"/>
                <w:bCs/>
              </w:rPr>
              <w:t>The difference between the response coded and the true value of the characteristic being studied for a respondent.</w:t>
            </w:r>
          </w:p>
        </w:tc>
      </w:tr>
      <w:tr w:rsidR="007F0DE7" w:rsidTr="007F0DE7" w14:paraId="757E07ED"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1D05EE81" w14:textId="77777777">
            <w:pPr>
              <w:pStyle w:val="Heading2"/>
              <w:spacing w:before="0" w:after="240" w:line="240" w:lineRule="auto"/>
              <w:outlineLvl w:val="1"/>
              <w:rPr>
                <w:rFonts w:ascii="Times New Roman" w:hAnsi="Times New Roman"/>
                <w:b/>
              </w:rPr>
            </w:pPr>
            <w:r>
              <w:rPr>
                <w:rFonts w:ascii="Times New Roman" w:hAnsi="Times New Roman"/>
                <w:b/>
              </w:rPr>
              <w:t>Non-Response</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079B8D07" w14:textId="77777777">
            <w:pPr>
              <w:pStyle w:val="Heading2"/>
              <w:spacing w:before="0" w:after="240" w:line="240" w:lineRule="auto"/>
              <w:outlineLvl w:val="1"/>
              <w:rPr>
                <w:rFonts w:ascii="Times New Roman" w:hAnsi="Times New Roman"/>
              </w:rPr>
            </w:pPr>
            <w:r>
              <w:rPr>
                <w:rFonts w:ascii="Times New Roman" w:hAnsi="Times New Roman"/>
                <w:bCs/>
              </w:rPr>
              <w:t>Failure of some respondents in the sample to provide responses in the survey.</w:t>
            </w:r>
          </w:p>
        </w:tc>
      </w:tr>
      <w:tr w:rsidR="007F0DE7" w:rsidTr="007F0DE7" w14:paraId="17A338FF"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7F030CC0" w14:textId="77777777">
            <w:pPr>
              <w:pStyle w:val="Heading2"/>
              <w:spacing w:before="0" w:after="240" w:line="240" w:lineRule="auto"/>
              <w:outlineLvl w:val="1"/>
              <w:rPr>
                <w:rFonts w:ascii="Times New Roman" w:hAnsi="Times New Roman"/>
                <w:b/>
              </w:rPr>
            </w:pPr>
            <w:r>
              <w:rPr>
                <w:rFonts w:ascii="Times New Roman" w:hAnsi="Times New Roman"/>
                <w:b/>
              </w:rPr>
              <w:t>Transaction</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330D131E" w14:textId="77777777">
            <w:pPr>
              <w:pStyle w:val="Heading2"/>
              <w:spacing w:before="0" w:after="240" w:line="240" w:lineRule="auto"/>
              <w:outlineLvl w:val="1"/>
              <w:rPr>
                <w:rFonts w:ascii="Times New Roman" w:hAnsi="Times New Roman"/>
              </w:rPr>
            </w:pPr>
            <w:r>
              <w:rPr>
                <w:rFonts w:ascii="Times New Roman" w:hAnsi="Times New Roman"/>
              </w:rPr>
              <w:t xml:space="preserve">A </w:t>
            </w:r>
            <w:r>
              <w:rPr>
                <w:rFonts w:ascii="Times New Roman" w:hAnsi="Times New Roman"/>
                <w:i/>
              </w:rPr>
              <w:t>transaction</w:t>
            </w:r>
            <w:r>
              <w:rPr>
                <w:rFonts w:ascii="Times New Roman" w:hAnsi="Times New Roman"/>
              </w:rPr>
              <w:t xml:space="preserve"> refers to the specific time a Veteran interacts with the VA that impacts the Veteran’s journey and their perception of VA’s effectiveness in caring for Veterans. </w:t>
            </w:r>
          </w:p>
        </w:tc>
      </w:tr>
      <w:tr w:rsidR="007F0DE7" w:rsidTr="007F0DE7" w14:paraId="121BF01F"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6BCE52F8" w14:textId="77777777">
            <w:pPr>
              <w:pStyle w:val="Heading2"/>
              <w:spacing w:before="0" w:after="240" w:line="240" w:lineRule="auto"/>
              <w:outlineLvl w:val="1"/>
              <w:rPr>
                <w:rFonts w:ascii="Times New Roman" w:hAnsi="Times New Roman"/>
                <w:b/>
              </w:rPr>
            </w:pPr>
            <w:r>
              <w:rPr>
                <w:rFonts w:ascii="Times New Roman" w:hAnsi="Times New Roman"/>
                <w:b/>
              </w:rPr>
              <w:t>Response Rate</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6551E71B" w14:textId="77777777">
            <w:pPr>
              <w:pStyle w:val="Heading2"/>
              <w:spacing w:before="0" w:after="240" w:line="240" w:lineRule="auto"/>
              <w:outlineLvl w:val="1"/>
              <w:rPr>
                <w:rFonts w:ascii="Times New Roman" w:hAnsi="Times New Roman"/>
              </w:rPr>
            </w:pPr>
            <w:r>
              <w:rPr>
                <w:rFonts w:ascii="Times New Roman" w:hAnsi="Times New Roman"/>
                <w:bCs/>
              </w:rPr>
              <w:t>The ratio of participating persons to the number of contacted persons. This is one of the basic indicators of survey quality.</w:t>
            </w:r>
          </w:p>
        </w:tc>
      </w:tr>
      <w:tr w:rsidR="007F0DE7" w:rsidTr="007F0DE7" w14:paraId="15BF9402"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54D78BA9" w14:textId="77777777">
            <w:pPr>
              <w:pStyle w:val="Heading2"/>
              <w:spacing w:before="0" w:after="240" w:line="240" w:lineRule="auto"/>
              <w:outlineLvl w:val="1"/>
              <w:rPr>
                <w:rFonts w:ascii="Times New Roman" w:hAnsi="Times New Roman"/>
                <w:b/>
              </w:rPr>
            </w:pPr>
            <w:r>
              <w:rPr>
                <w:rFonts w:ascii="Times New Roman" w:hAnsi="Times New Roman"/>
                <w:b/>
              </w:rPr>
              <w:t>Sample</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6C15A749" w14:textId="77777777">
            <w:pPr>
              <w:pStyle w:val="Heading2"/>
              <w:spacing w:before="0" w:after="240" w:line="240" w:lineRule="auto"/>
              <w:outlineLvl w:val="1"/>
              <w:rPr>
                <w:rFonts w:ascii="Times New Roman" w:hAnsi="Times New Roman"/>
              </w:rPr>
            </w:pPr>
            <w:r>
              <w:rPr>
                <w:rFonts w:ascii="Times New Roman" w:hAnsi="Times New Roman"/>
                <w:bCs/>
              </w:rPr>
              <w:t>In statistics, a data sample is a set of data collected and/or selected from a statistical population by a defined procedure.</w:t>
            </w:r>
          </w:p>
        </w:tc>
      </w:tr>
      <w:tr w:rsidR="007F0DE7" w:rsidTr="007F0DE7" w14:paraId="265A897B"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719DC732" w14:textId="77777777">
            <w:pPr>
              <w:pStyle w:val="Heading2"/>
              <w:spacing w:before="0" w:after="240" w:line="240" w:lineRule="auto"/>
              <w:outlineLvl w:val="1"/>
              <w:rPr>
                <w:rFonts w:ascii="Times New Roman" w:hAnsi="Times New Roman"/>
                <w:b/>
              </w:rPr>
            </w:pPr>
            <w:r>
              <w:rPr>
                <w:rFonts w:ascii="Times New Roman" w:hAnsi="Times New Roman"/>
                <w:b/>
              </w:rPr>
              <w:t>Sampling Error</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4CEFCB64" w14:textId="77777777">
            <w:pPr>
              <w:pStyle w:val="Heading2"/>
              <w:spacing w:before="0" w:after="240" w:line="240" w:lineRule="auto"/>
              <w:outlineLvl w:val="1"/>
              <w:rPr>
                <w:rFonts w:ascii="Times New Roman" w:hAnsi="Times New Roman"/>
              </w:rPr>
            </w:pPr>
            <w:r>
              <w:rPr>
                <w:rFonts w:ascii="Times New Roman" w:hAnsi="Times New Roman"/>
                <w:bCs/>
              </w:rPr>
              <w:t xml:space="preserve">Error in estimation due to taking a </w:t>
            </w:r>
            <w:proofErr w:type="gramStart"/>
            <w:r>
              <w:rPr>
                <w:rFonts w:ascii="Times New Roman" w:hAnsi="Times New Roman"/>
                <w:bCs/>
              </w:rPr>
              <w:t>particular sample</w:t>
            </w:r>
            <w:proofErr w:type="gramEnd"/>
            <w:r>
              <w:rPr>
                <w:rFonts w:ascii="Times New Roman" w:hAnsi="Times New Roman"/>
                <w:bCs/>
              </w:rPr>
              <w:t xml:space="preserve"> instead of measuring</w:t>
            </w:r>
            <w:r>
              <w:rPr>
                <w:rFonts w:ascii="Times New Roman" w:hAnsi="Times New Roman"/>
                <w:b/>
                <w:bCs/>
                <w:u w:val="single"/>
              </w:rPr>
              <w:t xml:space="preserve"> </w:t>
            </w:r>
            <w:r>
              <w:rPr>
                <w:rFonts w:ascii="Times New Roman" w:hAnsi="Times New Roman"/>
                <w:bCs/>
              </w:rPr>
              <w:t>every unit in the population.</w:t>
            </w:r>
          </w:p>
        </w:tc>
      </w:tr>
      <w:tr w:rsidR="007F0DE7" w:rsidTr="007F0DE7" w14:paraId="4E6BDDE2"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7A58F877" w14:textId="77777777">
            <w:pPr>
              <w:pStyle w:val="Heading2"/>
              <w:spacing w:before="0" w:after="240" w:line="240" w:lineRule="auto"/>
              <w:outlineLvl w:val="1"/>
              <w:rPr>
                <w:rFonts w:ascii="Times New Roman" w:hAnsi="Times New Roman"/>
                <w:b/>
              </w:rPr>
            </w:pPr>
            <w:r>
              <w:rPr>
                <w:rFonts w:ascii="Times New Roman" w:hAnsi="Times New Roman"/>
                <w:b/>
              </w:rPr>
              <w:t>Sampling Frame</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4240E3B1" w14:textId="77777777">
            <w:pPr>
              <w:pStyle w:val="Heading2"/>
              <w:spacing w:before="0" w:after="240" w:line="240" w:lineRule="auto"/>
              <w:outlineLvl w:val="1"/>
              <w:rPr>
                <w:rFonts w:ascii="Times New Roman" w:hAnsi="Times New Roman"/>
              </w:rPr>
            </w:pPr>
            <w:r>
              <w:rPr>
                <w:rFonts w:ascii="Times New Roman" w:hAnsi="Times New Roman"/>
                <w:bCs/>
              </w:rPr>
              <w:t xml:space="preserve">A list, map, or other specification of units in the population from which a sample may be selected. </w:t>
            </w:r>
          </w:p>
        </w:tc>
      </w:tr>
      <w:tr w:rsidR="007F0DE7" w:rsidTr="007F0DE7" w14:paraId="49DCC18D" w14:textId="77777777">
        <w:tc>
          <w:tcPr>
            <w:tcW w:w="3055" w:type="dxa"/>
            <w:tcBorders>
              <w:top w:val="single" w:color="auto" w:sz="4" w:space="0"/>
              <w:left w:val="single" w:color="auto" w:sz="4" w:space="0"/>
              <w:bottom w:val="single" w:color="auto" w:sz="4" w:space="0"/>
              <w:right w:val="single" w:color="auto" w:sz="4" w:space="0"/>
            </w:tcBorders>
            <w:hideMark/>
          </w:tcPr>
          <w:p w:rsidR="007F0DE7" w:rsidRDefault="007F0DE7" w14:paraId="1B2C061D" w14:textId="77777777">
            <w:pPr>
              <w:pStyle w:val="Heading2"/>
              <w:spacing w:before="0" w:after="240" w:line="240" w:lineRule="auto"/>
              <w:outlineLvl w:val="1"/>
              <w:rPr>
                <w:rFonts w:ascii="Times New Roman" w:hAnsi="Times New Roman"/>
                <w:b/>
              </w:rPr>
            </w:pPr>
            <w:r>
              <w:rPr>
                <w:rFonts w:ascii="Times New Roman" w:hAnsi="Times New Roman"/>
                <w:b/>
              </w:rPr>
              <w:t>Reliability</w:t>
            </w:r>
          </w:p>
        </w:tc>
        <w:tc>
          <w:tcPr>
            <w:tcW w:w="9895" w:type="dxa"/>
            <w:tcBorders>
              <w:top w:val="single" w:color="auto" w:sz="4" w:space="0"/>
              <w:left w:val="single" w:color="auto" w:sz="4" w:space="0"/>
              <w:bottom w:val="single" w:color="auto" w:sz="4" w:space="0"/>
              <w:right w:val="single" w:color="auto" w:sz="4" w:space="0"/>
            </w:tcBorders>
            <w:hideMark/>
          </w:tcPr>
          <w:p w:rsidR="007F0DE7" w:rsidRDefault="007F0DE7" w14:paraId="02F3464E" w14:textId="77777777">
            <w:pPr>
              <w:pStyle w:val="Heading2"/>
              <w:spacing w:before="0" w:after="240" w:line="240" w:lineRule="auto"/>
              <w:outlineLvl w:val="1"/>
              <w:rPr>
                <w:rFonts w:ascii="Times New Roman" w:hAnsi="Times New Roman"/>
              </w:rPr>
            </w:pPr>
            <w:r>
              <w:rPr>
                <w:rFonts w:ascii="Times New Roman" w:hAnsi="Times New Roman"/>
                <w:bCs/>
              </w:rPr>
              <w:t xml:space="preserve">The consistency or dependability of a measure. Also referred to as </w:t>
            </w:r>
            <w:r>
              <w:rPr>
                <w:rFonts w:ascii="Times New Roman" w:hAnsi="Times New Roman"/>
                <w:bCs/>
                <w:i/>
              </w:rPr>
              <w:t>standard error</w:t>
            </w:r>
            <w:r>
              <w:rPr>
                <w:rFonts w:ascii="Times New Roman" w:hAnsi="Times New Roman"/>
                <w:bCs/>
              </w:rPr>
              <w:t>.</w:t>
            </w:r>
          </w:p>
        </w:tc>
      </w:tr>
    </w:tbl>
    <w:p w:rsidR="007F0DE7" w:rsidP="00942B6E" w:rsidRDefault="007F0DE7" w14:paraId="4FED2C17" w14:textId="77777777">
      <w:pPr>
        <w:pStyle w:val="Heading2"/>
        <w:spacing w:before="0" w:after="240" w:line="240" w:lineRule="auto"/>
        <w:rPr>
          <w:rFonts w:ascii="Times New Roman" w:hAnsi="Times New Roman" w:eastAsia="SimSun"/>
          <w:color w:val="auto"/>
          <w:sz w:val="22"/>
          <w:szCs w:val="22"/>
        </w:rPr>
      </w:pPr>
    </w:p>
    <w:p w:rsidRPr="00C85DEE" w:rsidR="000F0942" w:rsidP="00942B6E" w:rsidRDefault="000F0942" w14:paraId="7CA531AE" w14:textId="77777777">
      <w:pPr>
        <w:pStyle w:val="Heading2"/>
        <w:spacing w:before="0" w:after="240" w:line="240" w:lineRule="auto"/>
        <w:rPr>
          <w:rFonts w:ascii="Times New Roman" w:hAnsi="Times New Roman"/>
        </w:rPr>
      </w:pPr>
      <w:r w:rsidRPr="00C85DEE">
        <w:rPr>
          <w:rFonts w:ascii="Times New Roman" w:hAnsi="Times New Roman"/>
        </w:rPr>
        <w:t>C. Application to Veterans Affairs</w:t>
      </w:r>
      <w:bookmarkEnd w:id="13"/>
      <w:bookmarkEnd w:id="14"/>
    </w:p>
    <w:p w:rsidRPr="00C85DEE" w:rsidR="000F0942" w:rsidP="00942B6E" w:rsidRDefault="000F0942" w14:paraId="686FE3C8" w14:textId="77777777">
      <w:pPr>
        <w:spacing w:after="240" w:line="240" w:lineRule="auto"/>
        <w:ind w:firstLine="720"/>
        <w:rPr>
          <w:rFonts w:ascii="Times New Roman" w:hAnsi="Times New Roman" w:cs="Times New Roman"/>
        </w:rPr>
      </w:pPr>
      <w:r w:rsidRPr="00C85DEE">
        <w:rPr>
          <w:rFonts w:ascii="Times New Roman" w:hAnsi="Times New Roman" w:cs="Times New Roman"/>
        </w:rPr>
        <w:t>In general, customer experience and satisfaction are usually measured at three levels: the enterprise level, the service level patterns, and point-of-service feedback. 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C85DEE" w:rsidR="000F0942" w:rsidP="000F0942" w:rsidRDefault="000F0942" w14:paraId="27826E5D" w14:textId="77777777">
      <w:pPr>
        <w:ind w:firstLine="720"/>
        <w:rPr>
          <w:rFonts w:ascii="Times New Roman" w:hAnsi="Times New Roman" w:cs="Times New Roman"/>
        </w:rPr>
      </w:pPr>
      <w:r w:rsidRPr="00C85DEE">
        <w:rPr>
          <w:rFonts w:ascii="Times New Roman" w:hAnsi="Times New Roman" w:cs="Times New Roman"/>
        </w:rPr>
        <w:t>1) To collect continuous customer experience data that make or break the service experience</w:t>
      </w:r>
    </w:p>
    <w:p w:rsidRPr="00C85DEE" w:rsidR="000F0942" w:rsidP="000F0942" w:rsidRDefault="000F0942" w14:paraId="51D09F2E" w14:textId="77777777">
      <w:pPr>
        <w:ind w:firstLine="720"/>
        <w:rPr>
          <w:rFonts w:ascii="Times New Roman" w:hAnsi="Times New Roman" w:cs="Times New Roman"/>
        </w:rPr>
      </w:pPr>
      <w:r w:rsidRPr="00C85DEE">
        <w:rPr>
          <w:rFonts w:ascii="Times New Roman" w:hAnsi="Times New Roman" w:cs="Times New Roman"/>
        </w:rPr>
        <w:t>2) To help field staff and the national office identify areas of improvement</w:t>
      </w:r>
    </w:p>
    <w:p w:rsidRPr="00C85DEE" w:rsidR="000F0942" w:rsidP="00942B6E" w:rsidRDefault="000F0942" w14:paraId="4B7786CB" w14:textId="77777777">
      <w:pPr>
        <w:spacing w:after="240" w:line="240" w:lineRule="auto"/>
        <w:ind w:firstLine="720"/>
        <w:rPr>
          <w:rFonts w:ascii="Times New Roman" w:hAnsi="Times New Roman" w:cs="Times New Roman"/>
        </w:rPr>
      </w:pPr>
      <w:r w:rsidRPr="00C85DEE">
        <w:rPr>
          <w:rFonts w:ascii="Times New Roman" w:hAnsi="Times New Roman" w:cs="Times New Roman"/>
        </w:rPr>
        <w:t xml:space="preserve">3) To understand emerging drivers and detractors of customer experience. </w:t>
      </w:r>
    </w:p>
    <w:p w:rsidRPr="00C85DEE" w:rsidR="000F0942" w:rsidP="00942B6E" w:rsidRDefault="000F0942" w14:paraId="61C251ED" w14:textId="33F24FB1">
      <w:pPr>
        <w:pStyle w:val="Heading1"/>
        <w:spacing w:before="0" w:after="240" w:line="240" w:lineRule="auto"/>
        <w:rPr>
          <w:rFonts w:ascii="Times New Roman" w:hAnsi="Times New Roman"/>
        </w:rPr>
      </w:pPr>
      <w:bookmarkStart w:name="_Toc511750802" w:id="15"/>
      <w:bookmarkStart w:name="_Toc513723185" w:id="16"/>
      <w:r w:rsidRPr="00C85DEE">
        <w:rPr>
          <w:rFonts w:ascii="Times New Roman" w:hAnsi="Times New Roman"/>
        </w:rPr>
        <w:t>Part II – Methodology</w:t>
      </w:r>
      <w:bookmarkEnd w:id="15"/>
      <w:bookmarkEnd w:id="16"/>
    </w:p>
    <w:p w:rsidRPr="00C85DEE" w:rsidR="000F0942" w:rsidP="00942B6E" w:rsidRDefault="000F0942" w14:paraId="76CDD98B" w14:textId="77777777">
      <w:pPr>
        <w:pStyle w:val="Heading2"/>
        <w:spacing w:before="0" w:after="240" w:line="240" w:lineRule="auto"/>
        <w:rPr>
          <w:rFonts w:ascii="Times New Roman" w:hAnsi="Times New Roman"/>
        </w:rPr>
      </w:pPr>
      <w:bookmarkStart w:name="_Toc483228672" w:id="17"/>
      <w:bookmarkStart w:name="_Toc511750803" w:id="18"/>
      <w:bookmarkStart w:name="_Toc513723186" w:id="19"/>
      <w:r w:rsidRPr="00C85DEE">
        <w:rPr>
          <w:rFonts w:ascii="Times New Roman" w:hAnsi="Times New Roman"/>
        </w:rPr>
        <w:t>A.  Target Population and Frame</w:t>
      </w:r>
      <w:bookmarkEnd w:id="17"/>
      <w:bookmarkEnd w:id="18"/>
      <w:bookmarkEnd w:id="19"/>
    </w:p>
    <w:p w:rsidR="00E2481B" w:rsidP="00942B6E" w:rsidRDefault="00D92DE4" w14:paraId="6E6A9A03" w14:textId="5EDB48AE">
      <w:pPr>
        <w:spacing w:after="240" w:line="240" w:lineRule="auto"/>
        <w:ind w:firstLine="720"/>
        <w:rPr>
          <w:rFonts w:ascii="Times New Roman" w:hAnsi="Times New Roman" w:cs="Times New Roman"/>
          <w:lang w:eastAsia="zh-CN"/>
        </w:rPr>
      </w:pPr>
      <w:r w:rsidRPr="00C85DEE">
        <w:rPr>
          <w:rFonts w:ascii="Times New Roman" w:hAnsi="Times New Roman" w:cs="Times New Roman"/>
        </w:rPr>
        <w:t xml:space="preserve">The target population of the TH survey is all </w:t>
      </w:r>
      <w:r w:rsidRPr="00C85DEE">
        <w:rPr>
          <w:rFonts w:ascii="Times New Roman" w:hAnsi="Times New Roman" w:cs="Times New Roman"/>
          <w:u w:val="single"/>
        </w:rPr>
        <w:t>Veterans having a</w:t>
      </w:r>
      <w:r w:rsidR="00A06251">
        <w:rPr>
          <w:rFonts w:ascii="Times New Roman" w:hAnsi="Times New Roman" w:cs="Times New Roman"/>
          <w:u w:val="single"/>
        </w:rPr>
        <w:t>n Outpatient</w:t>
      </w:r>
      <w:r w:rsidRPr="00C85DEE">
        <w:rPr>
          <w:rFonts w:ascii="Times New Roman" w:hAnsi="Times New Roman" w:cs="Times New Roman"/>
          <w:u w:val="single"/>
        </w:rPr>
        <w:t xml:space="preserve"> CVT, HT, or SFT event in the past 7 days</w:t>
      </w:r>
      <w:r w:rsidRPr="00C85DEE">
        <w:rPr>
          <w:rFonts w:ascii="Times New Roman" w:hAnsi="Times New Roman" w:cs="Times New Roman"/>
        </w:rPr>
        <w:t xml:space="preserve">. </w:t>
      </w:r>
      <w:r w:rsidR="006073A3">
        <w:rPr>
          <w:rFonts w:ascii="Times New Roman" w:hAnsi="Times New Roman" w:cs="Times New Roman"/>
        </w:rPr>
        <w:t xml:space="preserve">The identification of </w:t>
      </w:r>
      <w:r w:rsidR="00E06785">
        <w:rPr>
          <w:rFonts w:ascii="Times New Roman" w:hAnsi="Times New Roman" w:cs="Times New Roman"/>
        </w:rPr>
        <w:t xml:space="preserve">Telehealth patients </w:t>
      </w:r>
      <w:r w:rsidR="00E2481B">
        <w:rPr>
          <w:rFonts w:ascii="Times New Roman" w:hAnsi="Times New Roman" w:cs="Times New Roman"/>
        </w:rPr>
        <w:t>utilizes</w:t>
      </w:r>
      <w:r w:rsidR="00E06785">
        <w:rPr>
          <w:rFonts w:ascii="Times New Roman" w:hAnsi="Times New Roman" w:cs="Times New Roman"/>
        </w:rPr>
        <w:t xml:space="preserve"> </w:t>
      </w:r>
      <w:r w:rsidR="00152394">
        <w:rPr>
          <w:rFonts w:ascii="Times New Roman" w:hAnsi="Times New Roman" w:cs="Times New Roman"/>
        </w:rPr>
        <w:t>weekly data extracts from the</w:t>
      </w:r>
      <w:r w:rsidR="00E06785">
        <w:rPr>
          <w:rFonts w:ascii="Times New Roman" w:hAnsi="Times New Roman" w:cs="Times New Roman"/>
        </w:rPr>
        <w:t xml:space="preserve"> Corporate Data Warehouse (CDW), which house</w:t>
      </w:r>
      <w:r w:rsidR="00E2481B">
        <w:rPr>
          <w:rFonts w:ascii="Times New Roman" w:hAnsi="Times New Roman" w:cs="Times New Roman"/>
        </w:rPr>
        <w:t>s</w:t>
      </w:r>
      <w:r w:rsidR="00E06785">
        <w:rPr>
          <w:rFonts w:ascii="Times New Roman" w:hAnsi="Times New Roman" w:cs="Times New Roman"/>
        </w:rPr>
        <w:t xml:space="preserve"> the operational records of VHA. Each Telehealth event </w:t>
      </w:r>
      <w:r w:rsidR="001C6AA9">
        <w:rPr>
          <w:rFonts w:ascii="Times New Roman" w:hAnsi="Times New Roman" w:cs="Times New Roman"/>
        </w:rPr>
        <w:t xml:space="preserve">eligible for </w:t>
      </w:r>
      <w:r w:rsidR="00E06785">
        <w:rPr>
          <w:rFonts w:ascii="Times New Roman" w:hAnsi="Times New Roman" w:cs="Times New Roman"/>
        </w:rPr>
        <w:t xml:space="preserve">a VEO survey will be associated </w:t>
      </w:r>
      <w:r w:rsidR="00A06251">
        <w:rPr>
          <w:rFonts w:ascii="Times New Roman" w:hAnsi="Times New Roman" w:cs="Times New Roman"/>
        </w:rPr>
        <w:t xml:space="preserve">with </w:t>
      </w:r>
      <w:r w:rsidR="00E06785">
        <w:rPr>
          <w:rFonts w:ascii="Times New Roman" w:hAnsi="Times New Roman" w:cs="Times New Roman"/>
        </w:rPr>
        <w:t>one of</w:t>
      </w:r>
      <w:r w:rsidR="008C5917">
        <w:rPr>
          <w:rFonts w:ascii="Times New Roman" w:hAnsi="Times New Roman" w:cs="Times New Roman"/>
        </w:rPr>
        <w:t xml:space="preserve"> these</w:t>
      </w:r>
      <w:r w:rsidR="00E06785">
        <w:rPr>
          <w:rFonts w:ascii="Times New Roman" w:hAnsi="Times New Roman" w:cs="Times New Roman"/>
        </w:rPr>
        <w:t xml:space="preserve"> three modalities. The classification of TH events into a modality is </w:t>
      </w:r>
      <w:r w:rsidR="006073A3">
        <w:rPr>
          <w:rFonts w:ascii="Times New Roman" w:hAnsi="Times New Roman" w:cs="Times New Roman"/>
        </w:rPr>
        <w:t>based on a combination of</w:t>
      </w:r>
      <w:r w:rsidR="00E06785">
        <w:rPr>
          <w:rFonts w:ascii="Times New Roman" w:hAnsi="Times New Roman" w:cs="Times New Roman"/>
        </w:rPr>
        <w:t xml:space="preserve"> primary and/or secondary</w:t>
      </w:r>
      <w:r w:rsidR="006073A3">
        <w:rPr>
          <w:rFonts w:ascii="Times New Roman" w:hAnsi="Times New Roman" w:cs="Times New Roman"/>
        </w:rPr>
        <w:t xml:space="preserve"> stop codes (see Appendix</w:t>
      </w:r>
      <w:r w:rsidR="00E06785">
        <w:rPr>
          <w:rFonts w:ascii="Times New Roman" w:hAnsi="Times New Roman" w:cs="Times New Roman"/>
        </w:rPr>
        <w:t xml:space="preserve"> 1</w:t>
      </w:r>
      <w:r w:rsidR="006073A3">
        <w:rPr>
          <w:rFonts w:ascii="Times New Roman" w:hAnsi="Times New Roman" w:cs="Times New Roman"/>
        </w:rPr>
        <w:t>)</w:t>
      </w:r>
      <w:r w:rsidR="00A06251">
        <w:rPr>
          <w:rFonts w:ascii="Times New Roman" w:hAnsi="Times New Roman" w:cs="Times New Roman"/>
        </w:rPr>
        <w:t>, as indicated by VSSC</w:t>
      </w:r>
      <w:r w:rsidR="008C5917">
        <w:rPr>
          <w:rFonts w:ascii="Times New Roman" w:hAnsi="Times New Roman" w:cs="Times New Roman"/>
        </w:rPr>
        <w:t xml:space="preserve"> documentation</w:t>
      </w:r>
      <w:r w:rsidR="00A06251">
        <w:rPr>
          <w:rFonts w:ascii="Times New Roman" w:hAnsi="Times New Roman" w:cs="Times New Roman"/>
        </w:rPr>
        <w:t xml:space="preserve">. </w:t>
      </w:r>
      <w:r w:rsidR="00276395">
        <w:rPr>
          <w:rFonts w:ascii="Times New Roman" w:hAnsi="Times New Roman" w:cs="Times New Roman"/>
        </w:rPr>
        <w:t xml:space="preserve">Under each modality, </w:t>
      </w:r>
      <w:r w:rsidR="00EA1A1E">
        <w:rPr>
          <w:rFonts w:ascii="Times New Roman" w:hAnsi="Times New Roman" w:cs="Times New Roman"/>
        </w:rPr>
        <w:t>three</w:t>
      </w:r>
      <w:r w:rsidR="001F10FE">
        <w:rPr>
          <w:rFonts w:ascii="Times New Roman" w:hAnsi="Times New Roman" w:cs="Times New Roman"/>
        </w:rPr>
        <w:t xml:space="preserve"> types of surveys are designed</w:t>
      </w:r>
      <w:r w:rsidR="00276395">
        <w:rPr>
          <w:rFonts w:ascii="Times New Roman" w:hAnsi="Times New Roman" w:cs="Times New Roman"/>
        </w:rPr>
        <w:t xml:space="preserve"> to </w:t>
      </w:r>
      <w:r w:rsidR="00276395">
        <w:rPr>
          <w:rFonts w:ascii="Times New Roman" w:hAnsi="Times New Roman" w:cs="Times New Roman"/>
          <w:lang w:eastAsia="zh-CN"/>
        </w:rPr>
        <w:t xml:space="preserve">inquire </w:t>
      </w:r>
      <w:r w:rsidR="00152394">
        <w:rPr>
          <w:rFonts w:ascii="Times New Roman" w:hAnsi="Times New Roman" w:cs="Times New Roman"/>
          <w:lang w:eastAsia="zh-CN"/>
        </w:rPr>
        <w:t xml:space="preserve">about </w:t>
      </w:r>
      <w:r w:rsidR="00276395">
        <w:rPr>
          <w:rFonts w:ascii="Times New Roman" w:hAnsi="Times New Roman" w:cs="Times New Roman"/>
          <w:lang w:eastAsia="zh-CN"/>
        </w:rPr>
        <w:t xml:space="preserve">veterans’ experience </w:t>
      </w:r>
      <w:r w:rsidR="001F10FE">
        <w:rPr>
          <w:rFonts w:ascii="Times New Roman" w:hAnsi="Times New Roman" w:cs="Times New Roman"/>
          <w:lang w:eastAsia="zh-CN"/>
        </w:rPr>
        <w:t xml:space="preserve">in terms of </w:t>
      </w:r>
      <w:r w:rsidR="00276395">
        <w:rPr>
          <w:rFonts w:ascii="Times New Roman" w:hAnsi="Times New Roman" w:cs="Times New Roman"/>
          <w:lang w:eastAsia="zh-CN"/>
        </w:rPr>
        <w:t>different VA service domains</w:t>
      </w:r>
      <w:r w:rsidR="00923B3C">
        <w:rPr>
          <w:rFonts w:ascii="Times New Roman" w:hAnsi="Times New Roman" w:cs="Times New Roman"/>
          <w:lang w:eastAsia="zh-CN"/>
        </w:rPr>
        <w:t xml:space="preserve"> (see Table 1)</w:t>
      </w:r>
      <w:r w:rsidR="00A06251">
        <w:rPr>
          <w:rFonts w:ascii="Times New Roman" w:hAnsi="Times New Roman" w:cs="Times New Roman"/>
          <w:lang w:eastAsia="zh-CN"/>
        </w:rPr>
        <w:t>.</w:t>
      </w:r>
    </w:p>
    <w:p w:rsidR="00C9195F" w:rsidP="00E2481B" w:rsidRDefault="00A06251" w14:paraId="057E0E30" w14:textId="1D801E91">
      <w:pPr>
        <w:spacing w:after="240" w:line="240" w:lineRule="auto"/>
        <w:ind w:firstLine="720"/>
        <w:rPr>
          <w:rFonts w:ascii="Times New Roman" w:hAnsi="Times New Roman" w:cs="Times New Roman"/>
          <w:lang w:eastAsia="zh-CN"/>
        </w:rPr>
      </w:pPr>
      <w:r>
        <w:rPr>
          <w:rFonts w:ascii="Times New Roman" w:hAnsi="Times New Roman" w:cs="Times New Roman"/>
          <w:lang w:eastAsia="zh-CN"/>
        </w:rPr>
        <w:t>Patients scheduling CVT appointments are derived from the general Outpatient scheduling database table from CDW.</w:t>
      </w:r>
      <w:r w:rsidR="00E2481B">
        <w:rPr>
          <w:rFonts w:ascii="Times New Roman" w:hAnsi="Times New Roman" w:cs="Times New Roman"/>
          <w:lang w:eastAsia="zh-CN"/>
        </w:rPr>
        <w:t xml:space="preserve"> When either an actual CVT or SFT appointment occurs, t</w:t>
      </w:r>
      <w:r>
        <w:rPr>
          <w:rFonts w:ascii="Times New Roman" w:hAnsi="Times New Roman" w:cs="Times New Roman"/>
          <w:lang w:eastAsia="zh-CN"/>
        </w:rPr>
        <w:t xml:space="preserve">he </w:t>
      </w:r>
      <w:r w:rsidR="00E2481B">
        <w:rPr>
          <w:rFonts w:ascii="Times New Roman" w:hAnsi="Times New Roman" w:cs="Times New Roman"/>
          <w:lang w:eastAsia="zh-CN"/>
        </w:rPr>
        <w:t>distinction</w:t>
      </w:r>
      <w:r>
        <w:rPr>
          <w:rFonts w:ascii="Times New Roman" w:hAnsi="Times New Roman" w:cs="Times New Roman"/>
          <w:lang w:eastAsia="zh-CN"/>
        </w:rPr>
        <w:t xml:space="preserve"> between Offsite </w:t>
      </w:r>
      <w:r w:rsidR="00E2481B">
        <w:rPr>
          <w:rFonts w:ascii="Times New Roman" w:hAnsi="Times New Roman" w:cs="Times New Roman"/>
          <w:lang w:eastAsia="zh-CN"/>
        </w:rPr>
        <w:t xml:space="preserve">appointments (home, mobile, or non-VA facilities) vs. appointments taking place within a VAMC or CBOC is based on secondary stop codes. </w:t>
      </w:r>
      <w:r w:rsidR="002C56BC">
        <w:rPr>
          <w:rFonts w:ascii="Times New Roman" w:hAnsi="Times New Roman" w:cs="Times New Roman"/>
          <w:color w:val="FF0000"/>
          <w:lang w:eastAsia="zh-CN"/>
        </w:rPr>
        <w:t xml:space="preserve">[Need to add data sources for SFT Feedback and Home Telehealth New Enrollments and </w:t>
      </w:r>
      <w:proofErr w:type="spellStart"/>
      <w:r w:rsidR="002C56BC">
        <w:rPr>
          <w:rFonts w:ascii="Times New Roman" w:hAnsi="Times New Roman" w:cs="Times New Roman"/>
          <w:color w:val="FF0000"/>
          <w:lang w:eastAsia="zh-CN"/>
        </w:rPr>
        <w:t>Disenrollments</w:t>
      </w:r>
      <w:proofErr w:type="spellEnd"/>
      <w:r w:rsidR="002C56BC">
        <w:rPr>
          <w:rFonts w:ascii="Times New Roman" w:hAnsi="Times New Roman" w:cs="Times New Roman"/>
          <w:color w:val="FF0000"/>
          <w:lang w:eastAsia="zh-CN"/>
        </w:rPr>
        <w:t xml:space="preserve">]. </w:t>
      </w:r>
      <w:r w:rsidR="00BB22BC">
        <w:rPr>
          <w:rFonts w:ascii="Times New Roman" w:hAnsi="Times New Roman" w:cs="Times New Roman"/>
          <w:lang w:eastAsia="zh-CN"/>
        </w:rPr>
        <w:t>A subset</w:t>
      </w:r>
      <w:r w:rsidR="00E2481B">
        <w:rPr>
          <w:rFonts w:ascii="Times New Roman" w:hAnsi="Times New Roman" w:cs="Times New Roman"/>
          <w:lang w:eastAsia="zh-CN"/>
        </w:rPr>
        <w:t xml:space="preserve"> of veterans in each modality and subtype</w:t>
      </w:r>
      <w:r w:rsidR="00BB22BC">
        <w:rPr>
          <w:rFonts w:ascii="Times New Roman" w:hAnsi="Times New Roman" w:cs="Times New Roman"/>
          <w:lang w:eastAsia="zh-CN"/>
        </w:rPr>
        <w:t xml:space="preserve"> will be randomly selected to participate</w:t>
      </w:r>
      <w:r w:rsidR="00A701F8">
        <w:rPr>
          <w:rFonts w:ascii="Times New Roman" w:hAnsi="Times New Roman" w:cs="Times New Roman"/>
          <w:lang w:eastAsia="zh-CN"/>
        </w:rPr>
        <w:t xml:space="preserve"> in the survey.</w:t>
      </w:r>
      <w:r w:rsidR="008C5917">
        <w:rPr>
          <w:rFonts w:ascii="Times New Roman" w:hAnsi="Times New Roman" w:cs="Times New Roman"/>
          <w:lang w:eastAsia="zh-CN"/>
        </w:rPr>
        <w:t xml:space="preserve"> However, the subtypes of </w:t>
      </w:r>
      <w:r w:rsidR="008C5917">
        <w:rPr>
          <w:rFonts w:ascii="Times New Roman" w:hAnsi="Times New Roman" w:cs="Times New Roman"/>
          <w:color w:val="FF0000"/>
          <w:lang w:eastAsia="zh-CN"/>
        </w:rPr>
        <w:t xml:space="preserve">[add information here] </w:t>
      </w:r>
      <w:r w:rsidR="00A44CF6">
        <w:rPr>
          <w:rFonts w:ascii="Times New Roman" w:hAnsi="Times New Roman" w:cs="Times New Roman"/>
          <w:lang w:eastAsia="zh-CN"/>
        </w:rPr>
        <w:t>are sparsely populated s</w:t>
      </w:r>
      <w:r w:rsidR="008C5917">
        <w:rPr>
          <w:rFonts w:ascii="Times New Roman" w:hAnsi="Times New Roman" w:cs="Times New Roman"/>
          <w:lang w:eastAsia="zh-CN"/>
        </w:rPr>
        <w:t xml:space="preserve">o these will be selected into each weekly sample with certainty. </w:t>
      </w:r>
      <w:r w:rsidR="00152394">
        <w:rPr>
          <w:rFonts w:ascii="Times New Roman" w:hAnsi="Times New Roman" w:cs="Times New Roman"/>
          <w:lang w:eastAsia="zh-CN"/>
        </w:rPr>
        <w:t xml:space="preserve">Telehealth subtypes that are less than </w:t>
      </w:r>
      <w:r w:rsidRPr="00152394" w:rsidR="00152394">
        <w:rPr>
          <w:rFonts w:ascii="Times New Roman" w:hAnsi="Times New Roman" w:cs="Times New Roman"/>
          <w:color w:val="FF0000"/>
          <w:lang w:eastAsia="zh-CN"/>
        </w:rPr>
        <w:t>10%</w:t>
      </w:r>
      <w:r w:rsidR="00152394">
        <w:rPr>
          <w:rFonts w:ascii="Times New Roman" w:hAnsi="Times New Roman" w:cs="Times New Roman"/>
          <w:lang w:eastAsia="zh-CN"/>
        </w:rPr>
        <w:t xml:space="preserve"> of the modality population will be selected with certainty. </w:t>
      </w:r>
      <w:r w:rsidR="008C5917">
        <w:rPr>
          <w:rFonts w:ascii="Times New Roman" w:hAnsi="Times New Roman" w:cs="Times New Roman"/>
          <w:lang w:eastAsia="zh-CN"/>
        </w:rPr>
        <w:t xml:space="preserve">In total, </w:t>
      </w:r>
      <w:r w:rsidR="00D0562C">
        <w:rPr>
          <w:rFonts w:ascii="Times New Roman" w:hAnsi="Times New Roman" w:cs="Times New Roman"/>
          <w:lang w:eastAsia="zh-CN"/>
        </w:rPr>
        <w:t>there will be 9 total sets of</w:t>
      </w:r>
      <w:r w:rsidR="008C5917">
        <w:rPr>
          <w:rFonts w:ascii="Times New Roman" w:hAnsi="Times New Roman" w:cs="Times New Roman"/>
          <w:lang w:eastAsia="zh-CN"/>
        </w:rPr>
        <w:t xml:space="preserve"> survey</w:t>
      </w:r>
      <w:r w:rsidR="00D0562C">
        <w:rPr>
          <w:rFonts w:ascii="Times New Roman" w:hAnsi="Times New Roman" w:cs="Times New Roman"/>
          <w:lang w:eastAsia="zh-CN"/>
        </w:rPr>
        <w:t xml:space="preserve"> questions.</w:t>
      </w:r>
      <w:r w:rsidR="00C27852">
        <w:rPr>
          <w:rFonts w:ascii="Times New Roman" w:hAnsi="Times New Roman" w:cs="Times New Roman"/>
          <w:lang w:eastAsia="zh-CN"/>
        </w:rPr>
        <w:t xml:space="preserve"> </w:t>
      </w:r>
    </w:p>
    <w:p w:rsidR="001F10FE" w:rsidP="00BB22BC" w:rsidRDefault="00BB22BC" w14:paraId="003F60C4" w14:textId="35573CF6">
      <w:pPr>
        <w:spacing w:after="120" w:line="240" w:lineRule="auto"/>
        <w:rPr>
          <w:rFonts w:ascii="Times New Roman" w:hAnsi="Times New Roman" w:cs="Times New Roman"/>
          <w:b/>
          <w:color w:val="5B9BD5" w:themeColor="accent1"/>
          <w:lang w:eastAsia="zh-CN"/>
        </w:rPr>
      </w:pPr>
      <w:r>
        <w:rPr>
          <w:rFonts w:ascii="Times New Roman" w:hAnsi="Times New Roman" w:cs="Times New Roman"/>
          <w:b/>
          <w:color w:val="5B9BD5" w:themeColor="accent1"/>
          <w:lang w:eastAsia="zh-CN"/>
        </w:rPr>
        <w:t>Table 1. Survey Types under Telehealth Modalities</w:t>
      </w:r>
    </w:p>
    <w:tbl>
      <w:tblPr>
        <w:tblStyle w:val="GridTable4-Accent11"/>
        <w:tblW w:w="0" w:type="auto"/>
        <w:jc w:val="center"/>
        <w:tblLook w:val="04A0" w:firstRow="1" w:lastRow="0" w:firstColumn="1" w:lastColumn="0" w:noHBand="0" w:noVBand="1"/>
      </w:tblPr>
      <w:tblGrid>
        <w:gridCol w:w="2430"/>
        <w:gridCol w:w="2500"/>
        <w:gridCol w:w="2593"/>
        <w:gridCol w:w="2593"/>
      </w:tblGrid>
      <w:tr w:rsidR="001F10FE" w:rsidTr="001F10FE" w14:paraId="3F37D87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tcPr>
          <w:p w:rsidRPr="001F10FE" w:rsidR="001F10FE" w:rsidP="00356B66" w:rsidRDefault="001F10FE" w14:paraId="10BFE412" w14:textId="77777777">
            <w:pPr>
              <w:jc w:val="center"/>
              <w:rPr>
                <w:b w:val="0"/>
              </w:rPr>
            </w:pPr>
            <w:r w:rsidRPr="001F10FE">
              <w:t>Telehealth Modality</w:t>
            </w:r>
          </w:p>
        </w:tc>
        <w:tc>
          <w:tcPr>
            <w:tcW w:w="2500" w:type="dxa"/>
          </w:tcPr>
          <w:p w:rsidRPr="001F10FE" w:rsidR="001F10FE" w:rsidP="00356B66" w:rsidRDefault="001F10FE" w14:paraId="2C9D43E8"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1F10FE">
              <w:t>Subtype 1</w:t>
            </w:r>
          </w:p>
        </w:tc>
        <w:tc>
          <w:tcPr>
            <w:tcW w:w="2593" w:type="dxa"/>
          </w:tcPr>
          <w:p w:rsidRPr="001F10FE" w:rsidR="001F10FE" w:rsidP="00356B66" w:rsidRDefault="001F10FE" w14:paraId="2842EC0E"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1F10FE">
              <w:t>Subtype 2</w:t>
            </w:r>
          </w:p>
        </w:tc>
        <w:tc>
          <w:tcPr>
            <w:tcW w:w="2593" w:type="dxa"/>
          </w:tcPr>
          <w:p w:rsidRPr="001F10FE" w:rsidR="001F10FE" w:rsidP="00356B66" w:rsidRDefault="001F10FE" w14:paraId="2A66A795"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1F10FE">
              <w:t>Subtype 3</w:t>
            </w:r>
          </w:p>
        </w:tc>
      </w:tr>
      <w:tr w:rsidR="001F10FE" w:rsidTr="001F10FE" w14:paraId="5D2A1E4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tcPr>
          <w:p w:rsidRPr="001F10FE" w:rsidR="001F10FE" w:rsidP="00356B66" w:rsidRDefault="001F10FE" w14:paraId="5C7754AB" w14:textId="77777777">
            <w:pPr>
              <w:rPr>
                <w:rFonts w:ascii="Times New Roman" w:hAnsi="Times New Roman" w:cs="Times New Roman"/>
                <w:b w:val="0"/>
              </w:rPr>
            </w:pPr>
            <w:r w:rsidRPr="001F10FE">
              <w:rPr>
                <w:rFonts w:ascii="Times New Roman" w:hAnsi="Times New Roman" w:cs="Times New Roman"/>
              </w:rPr>
              <w:t>Clinical Video Telehealth</w:t>
            </w:r>
          </w:p>
        </w:tc>
        <w:tc>
          <w:tcPr>
            <w:tcW w:w="2500" w:type="dxa"/>
          </w:tcPr>
          <w:p w:rsidRPr="001F10FE" w:rsidR="001F10FE" w:rsidP="00356B66" w:rsidRDefault="001F10FE" w14:paraId="68F81A5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0FE">
              <w:rPr>
                <w:rFonts w:ascii="Times New Roman" w:hAnsi="Times New Roman" w:cs="Times New Roman"/>
              </w:rPr>
              <w:t>Scheduled Appointment</w:t>
            </w:r>
          </w:p>
        </w:tc>
        <w:tc>
          <w:tcPr>
            <w:tcW w:w="2593" w:type="dxa"/>
          </w:tcPr>
          <w:p w:rsidRPr="001F10FE" w:rsidR="001F10FE" w:rsidP="00356B66" w:rsidRDefault="001F10FE" w14:paraId="11180707" w14:textId="77777777">
            <w:pP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rPr>
            </w:pPr>
            <w:r w:rsidRPr="001F10FE">
              <w:rPr>
                <w:rFonts w:ascii="Times New Roman" w:hAnsi="Times New Roman" w:cs="Times New Roman"/>
              </w:rPr>
              <w:t>Visited VAMC or CBOC</w:t>
            </w:r>
          </w:p>
        </w:tc>
        <w:tc>
          <w:tcPr>
            <w:tcW w:w="2593" w:type="dxa"/>
          </w:tcPr>
          <w:p w:rsidRPr="001F10FE" w:rsidR="001F10FE" w:rsidP="00356B66" w:rsidRDefault="007F0DE7" w14:paraId="61D25595" w14:textId="546CF4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rPr>
              <w:t>Offsite Appointment</w:t>
            </w:r>
            <w:r w:rsidRPr="001F10FE" w:rsidR="001F10FE">
              <w:rPr>
                <w:rFonts w:ascii="Times New Roman" w:hAnsi="Times New Roman" w:cs="Times New Roman"/>
              </w:rPr>
              <w:t>.</w:t>
            </w:r>
          </w:p>
        </w:tc>
      </w:tr>
      <w:tr w:rsidR="001F10FE" w:rsidTr="001F10FE" w14:paraId="56574183" w14:textId="77777777">
        <w:trPr>
          <w:jc w:val="center"/>
        </w:trPr>
        <w:tc>
          <w:tcPr>
            <w:cnfStyle w:val="001000000000" w:firstRow="0" w:lastRow="0" w:firstColumn="1" w:lastColumn="0" w:oddVBand="0" w:evenVBand="0" w:oddHBand="0" w:evenHBand="0" w:firstRowFirstColumn="0" w:firstRowLastColumn="0" w:lastRowFirstColumn="0" w:lastRowLastColumn="0"/>
            <w:tcW w:w="2430" w:type="dxa"/>
          </w:tcPr>
          <w:p w:rsidRPr="001F10FE" w:rsidR="001F10FE" w:rsidP="00356B66" w:rsidRDefault="001F10FE" w14:paraId="33D77762" w14:textId="77777777">
            <w:pPr>
              <w:rPr>
                <w:rFonts w:ascii="Times New Roman" w:hAnsi="Times New Roman" w:cs="Times New Roman"/>
                <w:b w:val="0"/>
              </w:rPr>
            </w:pPr>
            <w:r w:rsidRPr="001F10FE">
              <w:rPr>
                <w:rFonts w:ascii="Times New Roman" w:hAnsi="Times New Roman" w:cs="Times New Roman"/>
              </w:rPr>
              <w:t>Store and Forward</w:t>
            </w:r>
          </w:p>
        </w:tc>
        <w:tc>
          <w:tcPr>
            <w:tcW w:w="2500" w:type="dxa"/>
          </w:tcPr>
          <w:p w:rsidRPr="001F10FE" w:rsidR="001F10FE" w:rsidP="00356B66" w:rsidRDefault="001F10FE" w14:paraId="6C0BC749" w14:textId="77777777">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rPr>
            </w:pPr>
            <w:r w:rsidRPr="001F10FE">
              <w:rPr>
                <w:rFonts w:ascii="Times New Roman" w:hAnsi="Times New Roman" w:cs="Times New Roman"/>
              </w:rPr>
              <w:t>Visited VAMC or CBOC</w:t>
            </w:r>
          </w:p>
        </w:tc>
        <w:tc>
          <w:tcPr>
            <w:tcW w:w="2593" w:type="dxa"/>
          </w:tcPr>
          <w:p w:rsidRPr="001F10FE" w:rsidR="001F10FE" w:rsidP="00356B66" w:rsidRDefault="007F0DE7" w14:paraId="1AE92FD0" w14:textId="72E79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rPr>
              <w:t>Offsite Appointment</w:t>
            </w:r>
            <w:r w:rsidRPr="001F10FE" w:rsidR="001F10FE">
              <w:rPr>
                <w:rFonts w:ascii="Times New Roman" w:hAnsi="Times New Roman" w:cs="Times New Roman"/>
              </w:rPr>
              <w:t>.</w:t>
            </w:r>
          </w:p>
        </w:tc>
        <w:tc>
          <w:tcPr>
            <w:tcW w:w="2593" w:type="dxa"/>
          </w:tcPr>
          <w:p w:rsidRPr="001F10FE" w:rsidR="001F10FE" w:rsidP="00356B66" w:rsidRDefault="001F10FE" w14:paraId="7EDBEE7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F10FE">
              <w:rPr>
                <w:rFonts w:ascii="Times New Roman" w:hAnsi="Times New Roman" w:cs="Times New Roman"/>
              </w:rPr>
              <w:t>Received HCP Feedback</w:t>
            </w:r>
          </w:p>
        </w:tc>
      </w:tr>
      <w:tr w:rsidR="001F10FE" w:rsidTr="001F10FE" w14:paraId="5115263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tcPr>
          <w:p w:rsidRPr="001F10FE" w:rsidR="001F10FE" w:rsidP="00356B66" w:rsidRDefault="001F10FE" w14:paraId="6C791E1F" w14:textId="77777777">
            <w:pPr>
              <w:rPr>
                <w:rFonts w:ascii="Times New Roman" w:hAnsi="Times New Roman" w:cs="Times New Roman"/>
                <w:b w:val="0"/>
              </w:rPr>
            </w:pPr>
            <w:r w:rsidRPr="001F10FE">
              <w:rPr>
                <w:rFonts w:ascii="Times New Roman" w:hAnsi="Times New Roman" w:cs="Times New Roman"/>
              </w:rPr>
              <w:t>Home Telehealth</w:t>
            </w:r>
          </w:p>
        </w:tc>
        <w:tc>
          <w:tcPr>
            <w:tcW w:w="2500" w:type="dxa"/>
          </w:tcPr>
          <w:p w:rsidRPr="001F10FE" w:rsidR="001F10FE" w:rsidP="00D05D4A" w:rsidRDefault="001F10FE" w14:paraId="7D857BCD" w14:textId="3A52F5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F10FE">
              <w:rPr>
                <w:rFonts w:ascii="Times New Roman" w:hAnsi="Times New Roman" w:cs="Times New Roman"/>
              </w:rPr>
              <w:t xml:space="preserve">New </w:t>
            </w:r>
            <w:r w:rsidR="00D05D4A">
              <w:rPr>
                <w:rFonts w:ascii="Times New Roman" w:hAnsi="Times New Roman" w:cs="Times New Roman"/>
              </w:rPr>
              <w:t>Enrollment</w:t>
            </w:r>
          </w:p>
        </w:tc>
        <w:tc>
          <w:tcPr>
            <w:tcW w:w="2593" w:type="dxa"/>
          </w:tcPr>
          <w:p w:rsidRPr="001F10FE" w:rsidR="001F10FE" w:rsidP="00356B66" w:rsidRDefault="001F10FE" w14:paraId="04EB6116" w14:textId="1B8DF6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F10FE">
              <w:rPr>
                <w:rFonts w:ascii="Times New Roman" w:hAnsi="Times New Roman" w:cs="Times New Roman"/>
              </w:rPr>
              <w:t>Patient</w:t>
            </w:r>
            <w:r w:rsidR="00D05D4A">
              <w:rPr>
                <w:rFonts w:ascii="Times New Roman" w:hAnsi="Times New Roman" w:cs="Times New Roman"/>
              </w:rPr>
              <w:t xml:space="preserve"> Monitoring</w:t>
            </w:r>
          </w:p>
        </w:tc>
        <w:tc>
          <w:tcPr>
            <w:tcW w:w="2593" w:type="dxa"/>
          </w:tcPr>
          <w:p w:rsidRPr="001F10FE" w:rsidR="001F10FE" w:rsidP="00356B66" w:rsidRDefault="00D05D4A" w14:paraId="54F834F9" w14:textId="30278C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rPr>
              <w:t>Disenrollment</w:t>
            </w:r>
          </w:p>
        </w:tc>
      </w:tr>
    </w:tbl>
    <w:p w:rsidR="001F10FE" w:rsidP="009D00A6" w:rsidRDefault="001F10FE" w14:paraId="50D83040" w14:textId="77777777">
      <w:pPr>
        <w:spacing w:after="120" w:line="240" w:lineRule="auto"/>
        <w:ind w:firstLine="720"/>
        <w:rPr>
          <w:rFonts w:ascii="Times New Roman" w:hAnsi="Times New Roman" w:cs="Times New Roman"/>
          <w:b/>
          <w:color w:val="5B9BD5" w:themeColor="accent1"/>
          <w:lang w:eastAsia="zh-CN"/>
        </w:rPr>
      </w:pPr>
    </w:p>
    <w:p w:rsidRPr="00C85DEE" w:rsidR="000F0942" w:rsidP="00BD648A" w:rsidRDefault="000F0942" w14:paraId="445EC2BC" w14:textId="3033EAC9">
      <w:pPr>
        <w:pStyle w:val="Heading2"/>
        <w:numPr>
          <w:ilvl w:val="0"/>
          <w:numId w:val="14"/>
        </w:numPr>
        <w:spacing w:before="0" w:after="120" w:line="240" w:lineRule="auto"/>
        <w:rPr>
          <w:rFonts w:ascii="Times New Roman" w:hAnsi="Times New Roman"/>
        </w:rPr>
      </w:pPr>
      <w:bookmarkStart w:name="_Toc511750804" w:id="20"/>
      <w:bookmarkStart w:name="_Toc513723187" w:id="21"/>
      <w:r w:rsidRPr="00C85DEE">
        <w:rPr>
          <w:rFonts w:ascii="Times New Roman" w:hAnsi="Times New Roman"/>
        </w:rPr>
        <w:t>Sample Size Determination</w:t>
      </w:r>
      <w:bookmarkEnd w:id="20"/>
      <w:bookmarkEnd w:id="21"/>
    </w:p>
    <w:p w:rsidR="00EC01D8" w:rsidP="00BD648A" w:rsidRDefault="00D05D4A" w14:paraId="00FA67D7" w14:textId="56A1839B">
      <w:pPr>
        <w:spacing w:after="120" w:line="240" w:lineRule="auto"/>
        <w:ind w:firstLine="720"/>
        <w:rPr>
          <w:rFonts w:ascii="Times New Roman" w:hAnsi="Times New Roman" w:cs="Times New Roman"/>
        </w:rPr>
      </w:pPr>
      <w:r>
        <w:rPr>
          <w:rFonts w:ascii="Times New Roman" w:hAnsi="Times New Roman" w:cs="Times New Roman"/>
        </w:rPr>
        <w:t>For a given margin of error and confidence level</w:t>
      </w:r>
      <w:r w:rsidR="003F24C3">
        <w:rPr>
          <w:rFonts w:ascii="Times New Roman" w:hAnsi="Times New Roman" w:cs="Times New Roman"/>
        </w:rPr>
        <w:t xml:space="preserve">, </w:t>
      </w:r>
      <w:r w:rsidR="00642A6F">
        <w:rPr>
          <w:rFonts w:ascii="Times New Roman" w:hAnsi="Times New Roman" w:cs="Times New Roman"/>
        </w:rPr>
        <w:t>the sample size is</w:t>
      </w:r>
      <w:r w:rsidR="003F24C3">
        <w:rPr>
          <w:rFonts w:ascii="Times New Roman" w:hAnsi="Times New Roman" w:cs="Times New Roman"/>
        </w:rPr>
        <w:t xml:space="preserve"> calculated as below (</w:t>
      </w:r>
      <w:proofErr w:type="spellStart"/>
      <w:r w:rsidRPr="00C85DEE" w:rsidR="003F24C3">
        <w:rPr>
          <w:rFonts w:ascii="Times New Roman" w:hAnsi="Times New Roman" w:cs="Times New Roman"/>
        </w:rPr>
        <w:t>Lohr</w:t>
      </w:r>
      <w:proofErr w:type="spellEnd"/>
      <w:r w:rsidRPr="00C85DEE" w:rsidR="003F24C3">
        <w:rPr>
          <w:rFonts w:ascii="Times New Roman" w:hAnsi="Times New Roman" w:cs="Times New Roman"/>
        </w:rPr>
        <w:t>, 1999</w:t>
      </w:r>
      <w:r w:rsidR="003F24C3">
        <w:rPr>
          <w:rFonts w:ascii="Times New Roman" w:hAnsi="Times New Roman" w:cs="Times New Roman"/>
        </w:rPr>
        <w:t>):</w:t>
      </w:r>
    </w:p>
    <w:p w:rsidRPr="00C85DEE" w:rsidR="003F24C3" w:rsidP="003F24C3" w:rsidRDefault="003F24C3" w14:paraId="2D3652BB" w14:textId="77777777">
      <w:pPr>
        <w:ind w:firstLine="720"/>
        <w:rPr>
          <w:rFonts w:ascii="Times New Roman" w:hAnsi="Times New Roman" w:cs="Times New Roman"/>
        </w:rPr>
      </w:pPr>
      <w:r w:rsidRPr="00C85DEE">
        <w:rPr>
          <w:rFonts w:ascii="Times New Roman" w:hAnsi="Times New Roman" w:cs="Times New Roman"/>
        </w:rPr>
        <w:t xml:space="preserve">For 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p w:rsidRPr="003F24C3" w:rsidR="003F24C3" w:rsidP="003F24C3" w:rsidRDefault="000E7C24" w14:paraId="181092D9" w14:textId="15387A35">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rsidRPr="00C85DEE" w:rsidR="003F24C3" w:rsidP="00E56D3D" w:rsidRDefault="003F24C3" w14:paraId="32B4EF9D" w14:textId="043CE005">
      <w:pPr>
        <w:spacing w:after="120" w:line="240" w:lineRule="auto"/>
        <w:rPr>
          <w:rFonts w:ascii="Times New Roman" w:hAnsi="Times New Roman" w:cs="Times New Roman"/>
        </w:rPr>
      </w:pPr>
      <w:r>
        <w:rPr>
          <w:rFonts w:ascii="Times New Roman" w:hAnsi="Times New Roman" w:cs="Times New Roman"/>
        </w:rPr>
        <w:t>where</w:t>
      </w:r>
    </w:p>
    <w:p w:rsidRPr="00C85DEE" w:rsidR="003F24C3" w:rsidP="00E56D3D" w:rsidRDefault="000E7C24" w14:paraId="4EDE4A2D" w14:textId="77777777">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1.96, which is the critical Z score value under the normal distribution when using a 95% confidence level (α = 0.05).</w:t>
      </w:r>
    </w:p>
    <w:p w:rsidR="004202EB" w:rsidP="004202EB" w:rsidRDefault="003F24C3" w14:paraId="43C4CB19" w14:textId="77777777">
      <w:pPr>
        <w:pStyle w:val="ListParagraph"/>
        <w:numPr>
          <w:ilvl w:val="0"/>
          <w:numId w:val="18"/>
        </w:numPr>
        <w:spacing w:after="120" w:line="240" w:lineRule="auto"/>
        <w:jc w:val="both"/>
        <w:rPr>
          <w:rFonts w:ascii="Times New Roman" w:hAnsi="Times New Roman" w:eastAsia="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202EB" w:rsidRDefault="003F24C3" w14:paraId="181D5E6C" w14:textId="32B0CD68">
      <w:pPr>
        <w:pStyle w:val="ListParagraph"/>
        <w:numPr>
          <w:ilvl w:val="0"/>
          <w:numId w:val="30"/>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w:t>
      </w:r>
      <w:proofErr w:type="spellStart"/>
      <w:r w:rsidRPr="004202EB">
        <w:rPr>
          <w:rFonts w:ascii="Times New Roman" w:hAnsi="Times New Roman" w:eastAsia="Times New Roman" w:cs="Times New Roman"/>
          <w:lang w:eastAsia="zh-CN"/>
        </w:rPr>
        <w:t>pq</w:t>
      </w:r>
      <w:proofErr w:type="spellEnd"/>
      <w:r w:rsidRPr="004202EB">
        <w:rPr>
          <w:rFonts w:ascii="Times New Roman" w:hAnsi="Times New Roman" w:eastAsia="Times New Roman" w:cs="Times New Roman"/>
          <w:lang w:eastAsia="zh-CN"/>
        </w:rPr>
        <w:t xml:space="preserve"> attains its maximum when value p=0.5, and this is sometimes used for a conservative sample size (i.e., large enough for any proportion).</w:t>
      </w:r>
    </w:p>
    <w:p w:rsidRPr="00001AA3" w:rsidR="003F24C3" w:rsidP="003F24C3" w:rsidRDefault="003F24C3" w14:paraId="01CE8FF1" w14:textId="5B1A6BBD">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desired level of precision; in the current case, the margin of error e = 0.03, or 3%. Also referred to as </w:t>
      </w:r>
      <w:r w:rsidRPr="00C85DEE">
        <w:rPr>
          <w:rFonts w:ascii="Times New Roman" w:hAnsi="Times New Roman" w:cs="Times New Roman"/>
          <w:b/>
        </w:rPr>
        <w:t>MOE</w:t>
      </w:r>
      <w:r w:rsidRPr="00C85DEE">
        <w:rPr>
          <w:rFonts w:ascii="Times New Roman" w:hAnsi="Times New Roman" w:cs="Times New Roman"/>
        </w:rPr>
        <w:t>.</w:t>
      </w:r>
    </w:p>
    <w:p w:rsidRPr="00C85DEE" w:rsidR="003F24C3" w:rsidP="003F24C3" w:rsidRDefault="003F24C3" w14:paraId="6C74CD51" w14:textId="77777777">
      <w:pPr>
        <w:jc w:val="both"/>
        <w:rPr>
          <w:rFonts w:ascii="Times New Roman" w:hAnsi="Times New Roman" w:cs="Times New Roman"/>
        </w:rPr>
      </w:pPr>
    </w:p>
    <w:p w:rsidRPr="00C85DEE" w:rsidR="003F24C3" w:rsidP="003F24C3" w:rsidRDefault="003F24C3" w14:paraId="57F5822E"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3F24C3" w:rsidRDefault="003F24C3" w14:paraId="009002E5" w14:textId="0788B293">
      <w:pPr>
        <w:jc w:val="cente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p w:rsidRPr="00C85DEE" w:rsidR="00001AA3" w:rsidP="00E56D3D" w:rsidRDefault="00001AA3" w14:paraId="22376508" w14:textId="5263C7F1">
      <w:pPr>
        <w:spacing w:after="120" w:line="240" w:lineRule="auto"/>
        <w:rPr>
          <w:rFonts w:ascii="Times New Roman" w:hAnsi="Times New Roman" w:cs="Times New Roman"/>
        </w:rPr>
      </w:pPr>
      <w:r>
        <w:rPr>
          <w:rFonts w:ascii="Times New Roman" w:hAnsi="Times New Roman" w:cs="Times New Roman"/>
        </w:rPr>
        <w:t>Where</w:t>
      </w:r>
    </w:p>
    <w:p w:rsidRPr="00001AA3" w:rsidR="003F24C3" w:rsidP="00E56D3D" w:rsidRDefault="000E7C24" w14:paraId="2FCBB90D"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E56D3D" w:rsidRDefault="003F24C3" w14:paraId="261AB83A" w14:textId="7CA034D8">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E56D3D" w:rsidRDefault="00001AA3" w14:paraId="1106B0AF" w14:textId="48B4F1F4">
      <w:pPr>
        <w:pStyle w:val="ListParagraph"/>
        <w:spacing w:after="120" w:line="240" w:lineRule="auto"/>
        <w:ind w:left="0"/>
        <w:rPr>
          <w:rFonts w:ascii="Times New Roman" w:hAnsi="Times New Roman" w:cs="Times New Roman"/>
          <w:b/>
        </w:rPr>
      </w:pPr>
    </w:p>
    <w:p w:rsidR="00001AA3" w:rsidP="00001AA3" w:rsidRDefault="00001AA3" w14:paraId="60B30950" w14:textId="77777777">
      <w:pPr>
        <w:pStyle w:val="ListParagraph"/>
        <w:spacing w:after="120" w:line="240" w:lineRule="auto"/>
        <w:ind w:left="0"/>
        <w:rPr>
          <w:rFonts w:ascii="Times New Roman" w:hAnsi="Times New Roman" w:cs="Times New Roman"/>
        </w:rPr>
      </w:pPr>
    </w:p>
    <w:p w:rsidRPr="00001AA3" w:rsidR="00001AA3" w:rsidP="00001AA3" w:rsidRDefault="00001AA3" w14:paraId="2EF90E30" w14:textId="726B1115">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4C2B1E4D" w14:textId="1F06B1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4A84680F" w14:textId="2B40E6A1">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E56D3D" w:rsidRDefault="000E7C24" w14:paraId="568DDD0B" w14:textId="166C3F6C">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1.96, which is the critical Z score value under the normal distribution when using a 95% confidence level (α = 0.05).</w:t>
      </w:r>
    </w:p>
    <w:p w:rsidR="00E56D3D" w:rsidP="00E56D3D" w:rsidRDefault="00E56D3D" w14:paraId="1B65CB9C" w14:textId="29182B25">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E56D3D" w:rsidRDefault="00E56D3D" w14:paraId="1B4248EB" w14:textId="1F3BFAD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E56D3D" w:rsidR="00E56D3D" w:rsidP="00356B66" w:rsidRDefault="00E56D3D" w14:paraId="74823D93" w14:textId="04AAD26E">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E56D3D" w:rsidR="00E56D3D" w:rsidP="00E56D3D" w:rsidRDefault="00E56D3D" w14:paraId="28576AE7" w14:textId="77777777">
      <w:pPr>
        <w:pStyle w:val="ListParagraph"/>
        <w:spacing w:after="120" w:line="240" w:lineRule="auto"/>
        <w:ind w:left="0"/>
        <w:rPr>
          <w:rFonts w:ascii="Times New Roman" w:hAnsi="Times New Roman" w:cs="Times New Roman"/>
        </w:rPr>
      </w:pPr>
    </w:p>
    <w:p w:rsidR="00BD648A" w:rsidP="00BD648A" w:rsidRDefault="00BD648A" w14:paraId="7B7EBB4D" w14:textId="2AFE4B6C">
      <w:pPr>
        <w:spacing w:after="120" w:line="240" w:lineRule="auto"/>
        <w:ind w:firstLine="720"/>
        <w:rPr>
          <w:rFonts w:ascii="Times New Roman" w:hAnsi="Times New Roman" w:cs="Times New Roman"/>
        </w:rPr>
      </w:pPr>
      <w:r w:rsidRPr="00C85DEE">
        <w:rPr>
          <w:rFonts w:ascii="Times New Roman" w:hAnsi="Times New Roman" w:cs="Times New Roman"/>
        </w:rPr>
        <w:t xml:space="preserve">Sample sizes are calibrated to ensure monthly reports have </w:t>
      </w:r>
      <w:r w:rsidR="00D05D4A">
        <w:rPr>
          <w:rFonts w:ascii="Times New Roman" w:hAnsi="Times New Roman" w:cs="Times New Roman"/>
        </w:rPr>
        <w:t>a</w:t>
      </w:r>
      <w:r w:rsidRPr="00C85DEE">
        <w:rPr>
          <w:rFonts w:ascii="Times New Roman" w:hAnsi="Times New Roman" w:cs="Times New Roman"/>
        </w:rPr>
        <w:t xml:space="preserve"> 3% </w:t>
      </w:r>
      <w:r w:rsidR="000B36A5">
        <w:rPr>
          <w:rFonts w:ascii="Times New Roman" w:hAnsi="Times New Roman" w:cs="Times New Roman"/>
        </w:rPr>
        <w:t>MOE</w:t>
      </w:r>
      <w:r w:rsidRPr="00C85DEE">
        <w:rPr>
          <w:rFonts w:ascii="Times New Roman" w:hAnsi="Times New Roman" w:cs="Times New Roman"/>
        </w:rPr>
        <w:t xml:space="preserve"> at a 95% Confidence Level</w:t>
      </w:r>
      <w:r w:rsidR="006C4850">
        <w:rPr>
          <w:rFonts w:ascii="Times New Roman" w:hAnsi="Times New Roman" w:cs="Times New Roman"/>
        </w:rPr>
        <w:t xml:space="preserve"> </w:t>
      </w:r>
      <w:r w:rsidR="00681396">
        <w:rPr>
          <w:rFonts w:ascii="Times New Roman" w:hAnsi="Times New Roman" w:cs="Times New Roman"/>
        </w:rPr>
        <w:t>at the modality level</w:t>
      </w:r>
      <w:r w:rsidR="00191370">
        <w:rPr>
          <w:rFonts w:ascii="Times New Roman" w:hAnsi="Times New Roman" w:cs="Times New Roman"/>
        </w:rPr>
        <w:t xml:space="preserve"> for Veterans 18+</w:t>
      </w:r>
      <w:r w:rsidRPr="00C85DEE">
        <w:rPr>
          <w:rFonts w:ascii="Times New Roman" w:hAnsi="Times New Roman" w:cs="Times New Roman"/>
        </w:rPr>
        <w:t>. This represents a</w:t>
      </w:r>
      <w:r w:rsidR="00D05D4A">
        <w:rPr>
          <w:rFonts w:ascii="Times New Roman" w:hAnsi="Times New Roman" w:cs="Times New Roman"/>
        </w:rPr>
        <w:t>n industry</w:t>
      </w:r>
      <w:r w:rsidRPr="00C85DEE">
        <w:rPr>
          <w:rFonts w:ascii="Times New Roman" w:hAnsi="Times New Roman" w:cs="Times New Roman"/>
        </w:rPr>
        <w:t xml:space="preserve"> standard for reliability widely used </w:t>
      </w:r>
      <w:r w:rsidR="00D05D4A">
        <w:rPr>
          <w:rFonts w:ascii="Times New Roman" w:hAnsi="Times New Roman" w:cs="Times New Roman"/>
        </w:rPr>
        <w:t>by</w:t>
      </w:r>
      <w:r w:rsidRPr="00C85DEE">
        <w:rPr>
          <w:rFonts w:ascii="Times New Roman" w:hAnsi="Times New Roman" w:cs="Times New Roman"/>
        </w:rPr>
        <w:t xml:space="preserve"> survey </w:t>
      </w:r>
      <w:r w:rsidR="00D05D4A">
        <w:rPr>
          <w:rFonts w:ascii="Times New Roman" w:hAnsi="Times New Roman" w:cs="Times New Roman"/>
        </w:rPr>
        <w:t xml:space="preserve">administrators </w:t>
      </w:r>
      <w:r w:rsidRPr="00C85DEE">
        <w:rPr>
          <w:rFonts w:ascii="Times New Roman" w:hAnsi="Times New Roman" w:cs="Times New Roman"/>
        </w:rPr>
        <w:t xml:space="preserve">(Lohr, 1999). In order to improve measurements at the facility-level, the sample sizes are </w:t>
      </w:r>
      <w:r w:rsidR="006C4850">
        <w:rPr>
          <w:rFonts w:ascii="Times New Roman" w:hAnsi="Times New Roman" w:cs="Times New Roman"/>
        </w:rPr>
        <w:t xml:space="preserve">marginally </w:t>
      </w:r>
      <w:r w:rsidRPr="00C85DEE">
        <w:rPr>
          <w:rFonts w:ascii="Times New Roman" w:hAnsi="Times New Roman" w:cs="Times New Roman"/>
        </w:rPr>
        <w:t>increased</w:t>
      </w:r>
      <w:r w:rsidR="00152394">
        <w:rPr>
          <w:rFonts w:ascii="Times New Roman" w:hAnsi="Times New Roman" w:cs="Times New Roman"/>
        </w:rPr>
        <w:t xml:space="preserve"> for the CVT modality</w:t>
      </w:r>
      <w:r w:rsidRPr="00C85DEE">
        <w:rPr>
          <w:rFonts w:ascii="Times New Roman" w:hAnsi="Times New Roman" w:cs="Times New Roman"/>
        </w:rPr>
        <w:t>, but are still kept low enough to prevent excessive repeated contacts.</w:t>
      </w:r>
      <w:r w:rsidR="006C4850">
        <w:rPr>
          <w:rFonts w:ascii="Times New Roman" w:hAnsi="Times New Roman" w:cs="Times New Roman"/>
        </w:rPr>
        <w:t xml:space="preserve"> The CVT population may support an increased sampling rate (42%), but this is not the case for SFT, which already has a sampling rate above 50% (62%). Although the Home Telehealth rate is relatively low (21%), there is little </w:t>
      </w:r>
      <w:r w:rsidR="00681396">
        <w:rPr>
          <w:rFonts w:ascii="Times New Roman" w:hAnsi="Times New Roman" w:cs="Times New Roman"/>
        </w:rPr>
        <w:t xml:space="preserve">month-to-month </w:t>
      </w:r>
      <w:r w:rsidR="006C4850">
        <w:rPr>
          <w:rFonts w:ascii="Times New Roman" w:hAnsi="Times New Roman" w:cs="Times New Roman"/>
        </w:rPr>
        <w:t xml:space="preserve">turnover within this modality: </w:t>
      </w:r>
      <w:r w:rsidRPr="00C85DEE" w:rsidR="00681396">
        <w:rPr>
          <w:rFonts w:ascii="Times New Roman" w:hAnsi="Times New Roman" w:cs="Times New Roman"/>
        </w:rPr>
        <w:t xml:space="preserve">HT patients receive </w:t>
      </w:r>
      <w:r w:rsidR="00681396">
        <w:rPr>
          <w:rFonts w:ascii="Times New Roman" w:hAnsi="Times New Roman" w:cs="Times New Roman"/>
        </w:rPr>
        <w:t xml:space="preserve">care on a more permanent basis. </w:t>
      </w:r>
      <w:r w:rsidR="006C4850">
        <w:rPr>
          <w:rFonts w:ascii="Times New Roman" w:hAnsi="Times New Roman" w:cs="Times New Roman"/>
        </w:rPr>
        <w:t xml:space="preserve">Therefore, it is reasonable </w:t>
      </w:r>
      <w:r w:rsidR="00681396">
        <w:rPr>
          <w:rFonts w:ascii="Times New Roman" w:hAnsi="Times New Roman" w:cs="Times New Roman"/>
        </w:rPr>
        <w:t>to maintain a lower sampling rate since there will be repeated sampling over time.</w:t>
      </w:r>
    </w:p>
    <w:p w:rsidRPr="00C85DEE" w:rsidR="008B1F9F" w:rsidP="009F4FF6" w:rsidRDefault="00BD648A" w14:paraId="51286353" w14:textId="62A67268">
      <w:pPr>
        <w:ind w:firstLine="720"/>
        <w:rPr>
          <w:rFonts w:ascii="Times New Roman" w:hAnsi="Times New Roman" w:cs="Times New Roman"/>
        </w:rPr>
      </w:pPr>
      <w:r w:rsidRPr="00C85DEE">
        <w:rPr>
          <w:rFonts w:ascii="Times New Roman" w:hAnsi="Times New Roman" w:cs="Times New Roman"/>
        </w:rPr>
        <w:t xml:space="preserve">Table </w:t>
      </w:r>
      <w:r w:rsidR="009F647B">
        <w:rPr>
          <w:rFonts w:ascii="Times New Roman" w:hAnsi="Times New Roman" w:cs="Times New Roman"/>
        </w:rPr>
        <w:t xml:space="preserve">2 </w:t>
      </w:r>
      <w:r w:rsidRPr="00C85DEE">
        <w:rPr>
          <w:rFonts w:ascii="Times New Roman" w:hAnsi="Times New Roman" w:cs="Times New Roman"/>
        </w:rPr>
        <w:t xml:space="preserve">depicts the number of unique Telehealth patients that received care in fiscal year 2017, along with the approximate monthly populations. Preliminary analysis of the Telehealth patient population indicates that approximately </w:t>
      </w:r>
      <w:r w:rsidRPr="00C85DEE">
        <w:rPr>
          <w:rFonts w:ascii="Times New Roman" w:hAnsi="Times New Roman" w:cs="Times New Roman"/>
          <w:b/>
        </w:rPr>
        <w:t>30%</w:t>
      </w:r>
      <w:r w:rsidRPr="00C85DEE">
        <w:rPr>
          <w:rFonts w:ascii="Times New Roman" w:hAnsi="Times New Roman" w:cs="Times New Roman"/>
        </w:rPr>
        <w:t xml:space="preserve"> of such patients have provided an email address to the VHA. This represents the frame population for the survey (see section below for information on possible bias due to frame </w:t>
      </w:r>
      <w:r w:rsidRPr="00C85DEE">
        <w:rPr>
          <w:rFonts w:ascii="Times New Roman" w:hAnsi="Times New Roman" w:cs="Times New Roman"/>
          <w:i/>
        </w:rPr>
        <w:t>under-coverage</w:t>
      </w:r>
      <w:r w:rsidRPr="00C85DEE">
        <w:rPr>
          <w:rFonts w:ascii="Times New Roman" w:hAnsi="Times New Roman" w:cs="Times New Roman"/>
        </w:rPr>
        <w:t xml:space="preserve">). Table 2A shows the sample targets from each TH modality for the three reporting periods, while Table 2B provides the expected number of Veterans that need to be invited to achieve the sample targets, presuming a </w:t>
      </w:r>
      <w:r w:rsidR="009F4FF6">
        <w:rPr>
          <w:rFonts w:ascii="Times New Roman" w:hAnsi="Times New Roman" w:cs="Times New Roman"/>
        </w:rPr>
        <w:t>response</w:t>
      </w:r>
      <w:r w:rsidRPr="00C85DEE">
        <w:rPr>
          <w:rFonts w:ascii="Times New Roman" w:hAnsi="Times New Roman" w:cs="Times New Roman"/>
        </w:rPr>
        <w:t xml:space="preserve"> rate of </w:t>
      </w:r>
      <w:r w:rsidRPr="009F4FF6">
        <w:rPr>
          <w:rFonts w:ascii="Times New Roman" w:hAnsi="Times New Roman" w:cs="Times New Roman"/>
          <w:b/>
        </w:rPr>
        <w:t>20%</w:t>
      </w:r>
      <w:r w:rsidR="009F4FF6">
        <w:rPr>
          <w:rFonts w:ascii="Times New Roman" w:hAnsi="Times New Roman" w:cs="Times New Roman"/>
        </w:rPr>
        <w:t xml:space="preserve"> (observed in the VEO Outpatient Survey)</w:t>
      </w:r>
    </w:p>
    <w:p w:rsidRPr="00C85DEE" w:rsidR="00BD648A" w:rsidP="00942B6E" w:rsidRDefault="00BD648A" w14:paraId="41C91F8C" w14:textId="3BE29415">
      <w:pPr>
        <w:spacing w:after="240" w:line="240" w:lineRule="auto"/>
        <w:rPr>
          <w:rFonts w:ascii="Times New Roman" w:hAnsi="Times New Roman" w:cs="Times New Roman"/>
        </w:rPr>
      </w:pPr>
      <w:r w:rsidRPr="00C85DEE">
        <w:rPr>
          <w:rFonts w:ascii="Times New Roman" w:hAnsi="Times New Roman" w:cs="Times New Roman"/>
          <w:b/>
          <w:color w:val="5B9BD5" w:themeColor="accent1"/>
        </w:rPr>
        <w:t xml:space="preserve">Table </w:t>
      </w:r>
      <w:r w:rsidR="006A4B43">
        <w:rPr>
          <w:rFonts w:ascii="Times New Roman" w:hAnsi="Times New Roman" w:cs="Times New Roman"/>
          <w:b/>
          <w:color w:val="5B9BD5" w:themeColor="accent1"/>
        </w:rPr>
        <w:t>2</w:t>
      </w:r>
      <w:r w:rsidRPr="00C85DEE">
        <w:rPr>
          <w:rFonts w:ascii="Times New Roman" w:hAnsi="Times New Roman" w:cs="Times New Roman"/>
          <w:b/>
          <w:color w:val="5B9BD5" w:themeColor="accent1"/>
        </w:rPr>
        <w:t>. Target Population Figures</w:t>
      </w:r>
    </w:p>
    <w:tbl>
      <w:tblPr>
        <w:tblStyle w:val="GridTable4-Accent11"/>
        <w:tblW w:w="0" w:type="auto"/>
        <w:jc w:val="center"/>
        <w:tblLook w:val="04A0" w:firstRow="1" w:lastRow="0" w:firstColumn="1" w:lastColumn="0" w:noHBand="0" w:noVBand="1"/>
      </w:tblPr>
      <w:tblGrid>
        <w:gridCol w:w="1626"/>
        <w:gridCol w:w="1251"/>
        <w:gridCol w:w="1509"/>
        <w:gridCol w:w="1656"/>
        <w:gridCol w:w="1446"/>
      </w:tblGrid>
      <w:tr w:rsidRPr="00C85DEE" w:rsidR="007452D5" w:rsidTr="00BD648A" w14:paraId="5CD6D378"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6" w:type="dxa"/>
          </w:tcPr>
          <w:p w:rsidRPr="00C85DEE" w:rsidR="007452D5" w:rsidP="00942B6E" w:rsidRDefault="007452D5" w14:paraId="5BCC0AA9" w14:textId="77777777">
            <w:pPr>
              <w:spacing w:after="240" w:line="240" w:lineRule="auto"/>
              <w:rPr>
                <w:rFonts w:ascii="Times New Roman" w:hAnsi="Times New Roman" w:cs="Times New Roman"/>
                <w:b w:val="0"/>
              </w:rPr>
            </w:pPr>
            <w:r w:rsidRPr="00C85DEE">
              <w:rPr>
                <w:rFonts w:ascii="Times New Roman" w:hAnsi="Times New Roman" w:cs="Times New Roman"/>
              </w:rPr>
              <w:t>Survey Stratum</w:t>
            </w:r>
          </w:p>
        </w:tc>
        <w:tc>
          <w:tcPr>
            <w:tcW w:w="1251" w:type="dxa"/>
          </w:tcPr>
          <w:p w:rsidRPr="00C85DEE" w:rsidR="007452D5" w:rsidP="00942B6E" w:rsidRDefault="007452D5" w14:paraId="3DC1D634"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Unique Population in FY 2017</w:t>
            </w:r>
          </w:p>
          <w:p w:rsidRPr="00C85DEE" w:rsidR="007452D5" w:rsidP="00942B6E" w:rsidRDefault="007452D5" w14:paraId="50435671"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509" w:type="dxa"/>
          </w:tcPr>
          <w:p w:rsidRPr="00C85DEE" w:rsidR="007452D5" w:rsidP="00942B6E" w:rsidRDefault="007452D5" w14:paraId="425806D1"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Approximate Monthly Population</w:t>
            </w:r>
          </w:p>
        </w:tc>
        <w:tc>
          <w:tcPr>
            <w:tcW w:w="1656" w:type="dxa"/>
          </w:tcPr>
          <w:p w:rsidRPr="00C85DEE" w:rsidR="007452D5" w:rsidP="00942B6E" w:rsidRDefault="007452D5" w14:paraId="460A4AA1"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Approximate Monthly Email Population</w:t>
            </w:r>
          </w:p>
        </w:tc>
        <w:tc>
          <w:tcPr>
            <w:tcW w:w="1446" w:type="dxa"/>
          </w:tcPr>
          <w:p w:rsidRPr="00C85DEE" w:rsidR="007452D5" w:rsidP="00942B6E" w:rsidRDefault="007452D5" w14:paraId="13DDE000"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Precision at 3% MOE</w:t>
            </w:r>
          </w:p>
        </w:tc>
      </w:tr>
      <w:tr w:rsidRPr="00C85DEE" w:rsidR="007452D5" w:rsidTr="00BD648A" w14:paraId="673F3D4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6" w:type="dxa"/>
          </w:tcPr>
          <w:p w:rsidRPr="00C85DEE" w:rsidR="007452D5" w:rsidP="00942B6E" w:rsidRDefault="007452D5" w14:paraId="387B832D" w14:textId="77777777">
            <w:pPr>
              <w:spacing w:after="240" w:line="240" w:lineRule="auto"/>
              <w:rPr>
                <w:rFonts w:ascii="Times New Roman" w:hAnsi="Times New Roman" w:cs="Times New Roman"/>
              </w:rPr>
            </w:pPr>
            <w:r w:rsidRPr="00C85DEE">
              <w:rPr>
                <w:rFonts w:ascii="Times New Roman" w:hAnsi="Times New Roman" w:cs="Times New Roman"/>
              </w:rPr>
              <w:t xml:space="preserve">Clinical Video </w:t>
            </w:r>
          </w:p>
        </w:tc>
        <w:tc>
          <w:tcPr>
            <w:tcW w:w="1251" w:type="dxa"/>
          </w:tcPr>
          <w:p w:rsidRPr="00C85DEE" w:rsidR="007452D5" w:rsidP="00942B6E" w:rsidRDefault="007452D5" w14:paraId="7564345B"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336,000</w:t>
            </w:r>
          </w:p>
        </w:tc>
        <w:tc>
          <w:tcPr>
            <w:tcW w:w="1509" w:type="dxa"/>
          </w:tcPr>
          <w:p w:rsidRPr="00C85DEE" w:rsidR="007452D5" w:rsidP="00942B6E" w:rsidRDefault="007452D5" w14:paraId="20396D30"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60,000</w:t>
            </w:r>
          </w:p>
        </w:tc>
        <w:tc>
          <w:tcPr>
            <w:tcW w:w="1656" w:type="dxa"/>
          </w:tcPr>
          <w:p w:rsidRPr="00C85DEE" w:rsidR="007452D5" w:rsidP="00942B6E" w:rsidRDefault="007452D5" w14:paraId="561E9417"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18,000</w:t>
            </w:r>
          </w:p>
        </w:tc>
        <w:tc>
          <w:tcPr>
            <w:tcW w:w="1446" w:type="dxa"/>
          </w:tcPr>
          <w:p w:rsidRPr="00C85DEE" w:rsidR="007452D5" w:rsidP="00942B6E" w:rsidRDefault="007452D5" w14:paraId="6E242566"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1,049</w:t>
            </w:r>
          </w:p>
        </w:tc>
      </w:tr>
      <w:tr w:rsidRPr="00C85DEE" w:rsidR="007452D5" w:rsidTr="00BD648A" w14:paraId="18E65F6C" w14:textId="77777777">
        <w:trPr>
          <w:jc w:val="center"/>
        </w:trPr>
        <w:tc>
          <w:tcPr>
            <w:cnfStyle w:val="001000000000" w:firstRow="0" w:lastRow="0" w:firstColumn="1" w:lastColumn="0" w:oddVBand="0" w:evenVBand="0" w:oddHBand="0" w:evenHBand="0" w:firstRowFirstColumn="0" w:firstRowLastColumn="0" w:lastRowFirstColumn="0" w:lastRowLastColumn="0"/>
            <w:tcW w:w="1626" w:type="dxa"/>
          </w:tcPr>
          <w:p w:rsidRPr="00C85DEE" w:rsidR="007452D5" w:rsidP="00942B6E" w:rsidRDefault="007452D5" w14:paraId="001E25E9" w14:textId="77777777">
            <w:pPr>
              <w:spacing w:after="240" w:line="240" w:lineRule="auto"/>
              <w:rPr>
                <w:rFonts w:ascii="Times New Roman" w:hAnsi="Times New Roman" w:cs="Times New Roman"/>
              </w:rPr>
            </w:pPr>
            <w:r w:rsidRPr="00C85DEE">
              <w:rPr>
                <w:rFonts w:ascii="Times New Roman" w:hAnsi="Times New Roman" w:cs="Times New Roman"/>
              </w:rPr>
              <w:t xml:space="preserve">Home Telehealth </w:t>
            </w:r>
          </w:p>
        </w:tc>
        <w:tc>
          <w:tcPr>
            <w:tcW w:w="1251" w:type="dxa"/>
          </w:tcPr>
          <w:p w:rsidRPr="00C85DEE" w:rsidR="007452D5" w:rsidP="00942B6E" w:rsidRDefault="007452D5" w14:paraId="1FA104B5"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145,000</w:t>
            </w:r>
          </w:p>
        </w:tc>
        <w:tc>
          <w:tcPr>
            <w:tcW w:w="1509" w:type="dxa"/>
          </w:tcPr>
          <w:p w:rsidRPr="00C85DEE" w:rsidR="007452D5" w:rsidP="00942B6E" w:rsidRDefault="007452D5" w14:paraId="7F3E5BE8"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81,000</w:t>
            </w:r>
          </w:p>
        </w:tc>
        <w:tc>
          <w:tcPr>
            <w:tcW w:w="1656" w:type="dxa"/>
          </w:tcPr>
          <w:p w:rsidRPr="00C85DEE" w:rsidR="007452D5" w:rsidP="00942B6E" w:rsidRDefault="007452D5" w14:paraId="1658DECD"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24,300</w:t>
            </w:r>
          </w:p>
        </w:tc>
        <w:tc>
          <w:tcPr>
            <w:tcW w:w="1446" w:type="dxa"/>
          </w:tcPr>
          <w:p w:rsidRPr="00C85DEE" w:rsidR="007452D5" w:rsidP="00942B6E" w:rsidRDefault="007452D5" w14:paraId="6A681A57"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1,054</w:t>
            </w:r>
          </w:p>
        </w:tc>
      </w:tr>
      <w:tr w:rsidRPr="00C85DEE" w:rsidR="007452D5" w:rsidTr="00BD648A" w14:paraId="7471D5A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6" w:type="dxa"/>
          </w:tcPr>
          <w:p w:rsidRPr="00C85DEE" w:rsidR="007452D5" w:rsidP="00942B6E" w:rsidRDefault="007452D5" w14:paraId="58E7840E" w14:textId="77777777">
            <w:pPr>
              <w:spacing w:after="240" w:line="240" w:lineRule="auto"/>
              <w:rPr>
                <w:rFonts w:ascii="Times New Roman" w:hAnsi="Times New Roman" w:cs="Times New Roman"/>
              </w:rPr>
            </w:pPr>
            <w:r w:rsidRPr="00C85DEE">
              <w:rPr>
                <w:rFonts w:ascii="Times New Roman" w:hAnsi="Times New Roman" w:cs="Times New Roman"/>
              </w:rPr>
              <w:t xml:space="preserve">Store and Forward </w:t>
            </w:r>
          </w:p>
        </w:tc>
        <w:tc>
          <w:tcPr>
            <w:tcW w:w="1251" w:type="dxa"/>
          </w:tcPr>
          <w:p w:rsidRPr="00C85DEE" w:rsidR="007452D5" w:rsidP="00942B6E" w:rsidRDefault="007452D5" w14:paraId="44C1F469"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306,000</w:t>
            </w:r>
          </w:p>
        </w:tc>
        <w:tc>
          <w:tcPr>
            <w:tcW w:w="1509" w:type="dxa"/>
          </w:tcPr>
          <w:p w:rsidRPr="00C85DEE" w:rsidR="007452D5" w:rsidP="00942B6E" w:rsidRDefault="007452D5" w14:paraId="5FCA4C7D"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27,000</w:t>
            </w:r>
          </w:p>
        </w:tc>
        <w:tc>
          <w:tcPr>
            <w:tcW w:w="1656" w:type="dxa"/>
          </w:tcPr>
          <w:p w:rsidRPr="00C85DEE" w:rsidR="007452D5" w:rsidP="00942B6E" w:rsidRDefault="007452D5" w14:paraId="6EE54A46"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8,100</w:t>
            </w:r>
          </w:p>
        </w:tc>
        <w:tc>
          <w:tcPr>
            <w:tcW w:w="1446" w:type="dxa"/>
          </w:tcPr>
          <w:p w:rsidRPr="00C85DEE" w:rsidR="007452D5" w:rsidP="00942B6E" w:rsidRDefault="007452D5" w14:paraId="6D5F4AB9" w14:textId="7777777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1,027</w:t>
            </w:r>
          </w:p>
        </w:tc>
      </w:tr>
    </w:tbl>
    <w:p w:rsidR="009F4FF6" w:rsidP="00942B6E" w:rsidRDefault="009F4FF6" w14:paraId="364C5394" w14:textId="77777777">
      <w:pPr>
        <w:spacing w:after="240" w:line="240" w:lineRule="auto"/>
        <w:rPr>
          <w:rFonts w:ascii="Times New Roman" w:hAnsi="Times New Roman" w:cs="Times New Roman"/>
          <w:sz w:val="20"/>
          <w:szCs w:val="20"/>
        </w:rPr>
      </w:pPr>
    </w:p>
    <w:p w:rsidRPr="009F4FF6" w:rsidR="009F4FF6" w:rsidP="00942B6E" w:rsidRDefault="009F4FF6" w14:paraId="267FEBE8" w14:textId="079EBB0A">
      <w:pPr>
        <w:spacing w:after="240" w:line="240" w:lineRule="auto"/>
        <w:rPr>
          <w:rFonts w:ascii="Times New Roman" w:hAnsi="Times New Roman" w:cs="Times New Roman"/>
          <w:i/>
          <w:sz w:val="20"/>
          <w:szCs w:val="20"/>
        </w:rPr>
      </w:pPr>
      <w:r w:rsidRPr="009F4FF6">
        <w:rPr>
          <w:rFonts w:ascii="Times New Roman" w:hAnsi="Times New Roman" w:cs="Times New Roman"/>
          <w:i/>
          <w:sz w:val="20"/>
          <w:szCs w:val="20"/>
        </w:rPr>
        <w:t>Source: VA Telehealth Services Factsheet for FY18</w:t>
      </w:r>
    </w:p>
    <w:p w:rsidRPr="00C85DEE" w:rsidR="00BD648A" w:rsidP="00942B6E" w:rsidRDefault="00BD648A" w14:paraId="74EA21D7" w14:textId="77777777">
      <w:pPr>
        <w:spacing w:after="24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Table 2A. Proposed Sample Targets by Time Period</w:t>
      </w:r>
    </w:p>
    <w:tbl>
      <w:tblPr>
        <w:tblStyle w:val="GridTable4-Accent11"/>
        <w:tblW w:w="0" w:type="auto"/>
        <w:jc w:val="center"/>
        <w:tblLook w:val="04A0" w:firstRow="1" w:lastRow="0" w:firstColumn="1" w:lastColumn="0" w:noHBand="0" w:noVBand="1"/>
      </w:tblPr>
      <w:tblGrid>
        <w:gridCol w:w="1684"/>
        <w:gridCol w:w="1458"/>
        <w:gridCol w:w="1458"/>
        <w:gridCol w:w="1458"/>
      </w:tblGrid>
      <w:tr w:rsidRPr="00C85DEE" w:rsidR="00BD648A" w:rsidTr="00BD648A" w14:paraId="1E8B6E4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BD648A" w:rsidP="00942B6E" w:rsidRDefault="00BD648A" w14:paraId="5521250C" w14:textId="77777777">
            <w:pPr>
              <w:spacing w:after="240" w:line="240" w:lineRule="auto"/>
              <w:rPr>
                <w:rFonts w:ascii="Times New Roman" w:hAnsi="Times New Roman" w:cs="Times New Roman"/>
                <w:b w:val="0"/>
              </w:rPr>
            </w:pPr>
            <w:r w:rsidRPr="00C85DEE">
              <w:rPr>
                <w:rFonts w:ascii="Times New Roman" w:hAnsi="Times New Roman" w:cs="Times New Roman"/>
              </w:rPr>
              <w:t>Survey Stratum</w:t>
            </w:r>
          </w:p>
        </w:tc>
        <w:tc>
          <w:tcPr>
            <w:tcW w:w="1458" w:type="dxa"/>
          </w:tcPr>
          <w:p w:rsidRPr="00C85DEE" w:rsidR="00BD648A" w:rsidP="00942B6E" w:rsidRDefault="00BD648A" w14:paraId="73972595"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Weekly Target</w:t>
            </w:r>
          </w:p>
        </w:tc>
        <w:tc>
          <w:tcPr>
            <w:tcW w:w="1458" w:type="dxa"/>
          </w:tcPr>
          <w:p w:rsidRPr="00C85DEE" w:rsidR="00BD648A" w:rsidP="00942B6E" w:rsidRDefault="00BD648A" w14:paraId="0889B85F"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Monthly Target</w:t>
            </w:r>
          </w:p>
        </w:tc>
        <w:tc>
          <w:tcPr>
            <w:tcW w:w="1458" w:type="dxa"/>
          </w:tcPr>
          <w:p w:rsidRPr="00C85DEE" w:rsidR="00BD648A" w:rsidP="00942B6E" w:rsidRDefault="00BD648A" w14:paraId="2672D613"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Quarterly Target</w:t>
            </w:r>
          </w:p>
        </w:tc>
      </w:tr>
      <w:tr w:rsidRPr="00C85DEE" w:rsidR="00152394" w:rsidTr="00BD648A" w14:paraId="15343CF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66121EF6" w14:textId="77777777">
            <w:pPr>
              <w:spacing w:after="240" w:line="240" w:lineRule="auto"/>
              <w:rPr>
                <w:rFonts w:ascii="Times New Roman" w:hAnsi="Times New Roman" w:cs="Times New Roman"/>
              </w:rPr>
            </w:pPr>
            <w:r w:rsidRPr="00C85DEE">
              <w:rPr>
                <w:rFonts w:ascii="Times New Roman" w:hAnsi="Times New Roman" w:cs="Times New Roman"/>
              </w:rPr>
              <w:t xml:space="preserve">Clinical Video </w:t>
            </w:r>
          </w:p>
        </w:tc>
        <w:tc>
          <w:tcPr>
            <w:tcW w:w="1458" w:type="dxa"/>
          </w:tcPr>
          <w:p w:rsidRPr="00152394" w:rsidR="00152394" w:rsidP="00942B6E" w:rsidRDefault="00152394" w14:paraId="603AB1A9" w14:textId="6FC500DE">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375</w:t>
            </w:r>
          </w:p>
        </w:tc>
        <w:tc>
          <w:tcPr>
            <w:tcW w:w="1458" w:type="dxa"/>
          </w:tcPr>
          <w:p w:rsidRPr="00152394" w:rsidR="00152394" w:rsidP="00942B6E" w:rsidRDefault="00152394" w14:paraId="46BE889F" w14:textId="074C045D">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1,500</w:t>
            </w:r>
          </w:p>
        </w:tc>
        <w:tc>
          <w:tcPr>
            <w:tcW w:w="1458" w:type="dxa"/>
          </w:tcPr>
          <w:p w:rsidRPr="00152394" w:rsidR="00152394" w:rsidP="00942B6E" w:rsidRDefault="00152394" w14:paraId="168C08A4" w14:textId="3D993703">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4,500</w:t>
            </w:r>
          </w:p>
        </w:tc>
      </w:tr>
      <w:tr w:rsidRPr="00C85DEE" w:rsidR="00BD648A" w:rsidTr="00BD648A" w14:paraId="750A8090" w14:textId="77777777">
        <w:trPr>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BD648A" w:rsidP="00942B6E" w:rsidRDefault="00BD648A" w14:paraId="1014A5B5" w14:textId="77777777">
            <w:pPr>
              <w:spacing w:after="240" w:line="240" w:lineRule="auto"/>
              <w:rPr>
                <w:rFonts w:ascii="Times New Roman" w:hAnsi="Times New Roman" w:cs="Times New Roman"/>
              </w:rPr>
            </w:pPr>
            <w:r w:rsidRPr="00C85DEE">
              <w:rPr>
                <w:rFonts w:ascii="Times New Roman" w:hAnsi="Times New Roman" w:cs="Times New Roman"/>
              </w:rPr>
              <w:t xml:space="preserve">Home Telehealth </w:t>
            </w:r>
          </w:p>
        </w:tc>
        <w:tc>
          <w:tcPr>
            <w:tcW w:w="1458" w:type="dxa"/>
          </w:tcPr>
          <w:p w:rsidRPr="00C85DEE" w:rsidR="00BD648A" w:rsidP="00942B6E" w:rsidRDefault="00BD648A" w14:paraId="0325C48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250</w:t>
            </w:r>
          </w:p>
        </w:tc>
        <w:tc>
          <w:tcPr>
            <w:tcW w:w="1458" w:type="dxa"/>
          </w:tcPr>
          <w:p w:rsidRPr="00C85DEE" w:rsidR="00BD648A" w:rsidP="00942B6E" w:rsidRDefault="00BD648A" w14:paraId="5AF15C96"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1,000</w:t>
            </w:r>
          </w:p>
        </w:tc>
        <w:tc>
          <w:tcPr>
            <w:tcW w:w="1458" w:type="dxa"/>
          </w:tcPr>
          <w:p w:rsidRPr="00C85DEE" w:rsidR="00BD648A" w:rsidP="00942B6E" w:rsidRDefault="00BD648A" w14:paraId="7879D5C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3,000</w:t>
            </w:r>
          </w:p>
        </w:tc>
      </w:tr>
      <w:tr w:rsidRPr="00C85DEE" w:rsidR="00152394" w:rsidTr="00BD648A" w14:paraId="61E2F0A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2EF315B7" w14:textId="77777777">
            <w:pPr>
              <w:spacing w:after="240" w:line="240" w:lineRule="auto"/>
              <w:rPr>
                <w:rFonts w:ascii="Times New Roman" w:hAnsi="Times New Roman" w:cs="Times New Roman"/>
              </w:rPr>
            </w:pPr>
            <w:r w:rsidRPr="00C85DEE">
              <w:rPr>
                <w:rFonts w:ascii="Times New Roman" w:hAnsi="Times New Roman" w:cs="Times New Roman"/>
              </w:rPr>
              <w:t xml:space="preserve">Store and Forward </w:t>
            </w:r>
          </w:p>
        </w:tc>
        <w:tc>
          <w:tcPr>
            <w:tcW w:w="1458" w:type="dxa"/>
          </w:tcPr>
          <w:p w:rsidRPr="00FA273B" w:rsidR="00152394" w:rsidP="00942B6E" w:rsidRDefault="00152394" w14:paraId="3E94DBA2" w14:textId="46FEB930">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cyan"/>
              </w:rPr>
            </w:pPr>
            <w:r w:rsidRPr="00C85DEE">
              <w:rPr>
                <w:rFonts w:ascii="Times New Roman" w:hAnsi="Times New Roman" w:cs="Times New Roman"/>
              </w:rPr>
              <w:t>250</w:t>
            </w:r>
          </w:p>
        </w:tc>
        <w:tc>
          <w:tcPr>
            <w:tcW w:w="1458" w:type="dxa"/>
          </w:tcPr>
          <w:p w:rsidRPr="00FA273B" w:rsidR="00152394" w:rsidP="00942B6E" w:rsidRDefault="00152394" w14:paraId="6FBA9AA2" w14:textId="35134C57">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cyan"/>
              </w:rPr>
            </w:pPr>
            <w:r w:rsidRPr="00C85DEE">
              <w:rPr>
                <w:rFonts w:ascii="Times New Roman" w:hAnsi="Times New Roman" w:cs="Times New Roman"/>
              </w:rPr>
              <w:t>1,000</w:t>
            </w:r>
          </w:p>
        </w:tc>
        <w:tc>
          <w:tcPr>
            <w:tcW w:w="1458" w:type="dxa"/>
          </w:tcPr>
          <w:p w:rsidRPr="00FA273B" w:rsidR="00152394" w:rsidP="00942B6E" w:rsidRDefault="00152394" w14:paraId="64CB2F50" w14:textId="406480A5">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cyan"/>
              </w:rPr>
            </w:pPr>
            <w:r w:rsidRPr="00C85DEE">
              <w:rPr>
                <w:rFonts w:ascii="Times New Roman" w:hAnsi="Times New Roman" w:cs="Times New Roman"/>
              </w:rPr>
              <w:t>3,000</w:t>
            </w:r>
          </w:p>
        </w:tc>
      </w:tr>
      <w:tr w:rsidRPr="00C85DEE" w:rsidR="00152394" w:rsidTr="00BD648A" w14:paraId="3629C072" w14:textId="77777777">
        <w:trPr>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5A36C8F3" w14:textId="77777777">
            <w:pPr>
              <w:spacing w:after="240" w:line="240" w:lineRule="auto"/>
              <w:rPr>
                <w:rFonts w:ascii="Times New Roman" w:hAnsi="Times New Roman" w:cs="Times New Roman"/>
                <w:b w:val="0"/>
              </w:rPr>
            </w:pPr>
            <w:r w:rsidRPr="00C85DEE">
              <w:rPr>
                <w:rFonts w:ascii="Times New Roman" w:hAnsi="Times New Roman" w:cs="Times New Roman"/>
              </w:rPr>
              <w:t>Total</w:t>
            </w:r>
          </w:p>
        </w:tc>
        <w:tc>
          <w:tcPr>
            <w:tcW w:w="1458" w:type="dxa"/>
          </w:tcPr>
          <w:p w:rsidRPr="00152394" w:rsidR="00152394" w:rsidP="00942B6E" w:rsidRDefault="00152394" w14:paraId="02C7F869" w14:textId="412187B3">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875</w:t>
            </w:r>
          </w:p>
        </w:tc>
        <w:tc>
          <w:tcPr>
            <w:tcW w:w="1458" w:type="dxa"/>
          </w:tcPr>
          <w:p w:rsidRPr="00152394" w:rsidR="00152394" w:rsidP="00942B6E" w:rsidRDefault="00152394" w14:paraId="4C91775C" w14:textId="3814AAA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3,500</w:t>
            </w:r>
          </w:p>
        </w:tc>
        <w:tc>
          <w:tcPr>
            <w:tcW w:w="1458" w:type="dxa"/>
          </w:tcPr>
          <w:p w:rsidRPr="00152394" w:rsidR="00152394" w:rsidP="00942B6E" w:rsidRDefault="00152394" w14:paraId="039CEC81" w14:textId="4B93665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10,500</w:t>
            </w:r>
          </w:p>
        </w:tc>
      </w:tr>
    </w:tbl>
    <w:p w:rsidR="00BD648A" w:rsidP="00942B6E" w:rsidRDefault="00BD648A" w14:paraId="7AC89600" w14:textId="77777777">
      <w:pPr>
        <w:spacing w:after="240" w:line="240" w:lineRule="auto"/>
        <w:rPr>
          <w:rFonts w:ascii="Times New Roman" w:hAnsi="Times New Roman" w:cs="Times New Roman"/>
          <w:b/>
          <w:color w:val="5B9BD5" w:themeColor="accent1"/>
        </w:rPr>
      </w:pPr>
    </w:p>
    <w:p w:rsidRPr="00C85DEE" w:rsidR="00DD30D6" w:rsidP="00942B6E" w:rsidRDefault="00DD30D6" w14:paraId="27DD8E5F" w14:textId="77777777">
      <w:pPr>
        <w:spacing w:after="240" w:line="240" w:lineRule="auto"/>
        <w:rPr>
          <w:rFonts w:ascii="Times New Roman" w:hAnsi="Times New Roman" w:cs="Times New Roman"/>
          <w:b/>
          <w:color w:val="5B9BD5" w:themeColor="accent1"/>
        </w:rPr>
      </w:pPr>
    </w:p>
    <w:p w:rsidRPr="00C85DEE" w:rsidR="00BD648A" w:rsidP="00942B6E" w:rsidRDefault="00BD648A" w14:paraId="7C2F6DDD" w14:textId="77777777">
      <w:pPr>
        <w:spacing w:after="24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Table 2B. Proposed Number of Invited Telehealth Patients, by Time Period</w:t>
      </w:r>
    </w:p>
    <w:tbl>
      <w:tblPr>
        <w:tblStyle w:val="GridTable4-Accent11"/>
        <w:tblW w:w="0" w:type="auto"/>
        <w:jc w:val="center"/>
        <w:tblLook w:val="04A0" w:firstRow="1" w:lastRow="0" w:firstColumn="1" w:lastColumn="0" w:noHBand="0" w:noVBand="1"/>
      </w:tblPr>
      <w:tblGrid>
        <w:gridCol w:w="1684"/>
        <w:gridCol w:w="1458"/>
        <w:gridCol w:w="1458"/>
        <w:gridCol w:w="1678"/>
        <w:gridCol w:w="1238"/>
      </w:tblGrid>
      <w:tr w:rsidRPr="00C85DEE" w:rsidR="00152394" w:rsidTr="007452D5" w14:paraId="14322931"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4296BED5" w14:textId="77777777">
            <w:pPr>
              <w:spacing w:after="240" w:line="240" w:lineRule="auto"/>
              <w:rPr>
                <w:rFonts w:ascii="Times New Roman" w:hAnsi="Times New Roman" w:cs="Times New Roman"/>
                <w:b w:val="0"/>
              </w:rPr>
            </w:pPr>
            <w:r w:rsidRPr="00C85DEE">
              <w:rPr>
                <w:rFonts w:ascii="Times New Roman" w:hAnsi="Times New Roman" w:cs="Times New Roman"/>
              </w:rPr>
              <w:t>Survey Stratum</w:t>
            </w:r>
          </w:p>
        </w:tc>
        <w:tc>
          <w:tcPr>
            <w:tcW w:w="1458" w:type="dxa"/>
          </w:tcPr>
          <w:p w:rsidRPr="00C85DEE" w:rsidR="00152394" w:rsidP="00942B6E" w:rsidRDefault="00152394" w14:paraId="2C23BB7C"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Weekly Contacts</w:t>
            </w:r>
          </w:p>
        </w:tc>
        <w:tc>
          <w:tcPr>
            <w:tcW w:w="1458" w:type="dxa"/>
          </w:tcPr>
          <w:p w:rsidRPr="00C85DEE" w:rsidR="00152394" w:rsidP="00942B6E" w:rsidRDefault="00152394" w14:paraId="71DC502C" w14:textId="7777777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Monthly Contacts</w:t>
            </w:r>
          </w:p>
        </w:tc>
        <w:tc>
          <w:tcPr>
            <w:tcW w:w="1678" w:type="dxa"/>
          </w:tcPr>
          <w:p w:rsidRPr="00C85DEE" w:rsidR="00152394" w:rsidP="00942B6E" w:rsidRDefault="00152394" w14:paraId="6F6DB6FF" w14:textId="0A88076F">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Monthly </w:t>
            </w:r>
            <w:r w:rsidR="007452D5">
              <w:rPr>
                <w:rFonts w:ascii="Times New Roman" w:hAnsi="Times New Roman" w:cs="Times New Roman"/>
              </w:rPr>
              <w:t xml:space="preserve">Email </w:t>
            </w:r>
            <w:r>
              <w:rPr>
                <w:rFonts w:ascii="Times New Roman" w:hAnsi="Times New Roman" w:cs="Times New Roman"/>
              </w:rPr>
              <w:t>Sampling Rate</w:t>
            </w:r>
          </w:p>
        </w:tc>
        <w:tc>
          <w:tcPr>
            <w:tcW w:w="1238" w:type="dxa"/>
          </w:tcPr>
          <w:p w:rsidRPr="00C85DEE" w:rsidR="00152394" w:rsidP="00942B6E" w:rsidRDefault="00152394" w14:paraId="2BFC96CE" w14:textId="62CD0CB7">
            <w:pPr>
              <w:spacing w:after="24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85DEE">
              <w:rPr>
                <w:rFonts w:ascii="Times New Roman" w:hAnsi="Times New Roman" w:cs="Times New Roman"/>
              </w:rPr>
              <w:t>Quarterly Contacts</w:t>
            </w:r>
          </w:p>
        </w:tc>
      </w:tr>
      <w:tr w:rsidRPr="00C85DEE" w:rsidR="00152394" w:rsidTr="007452D5" w14:paraId="1EAE940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6362F3CC" w14:textId="77777777">
            <w:pPr>
              <w:spacing w:after="240" w:line="240" w:lineRule="auto"/>
              <w:rPr>
                <w:rFonts w:ascii="Times New Roman" w:hAnsi="Times New Roman" w:cs="Times New Roman"/>
              </w:rPr>
            </w:pPr>
            <w:r w:rsidRPr="00C85DEE">
              <w:rPr>
                <w:rFonts w:ascii="Times New Roman" w:hAnsi="Times New Roman" w:cs="Times New Roman"/>
              </w:rPr>
              <w:t xml:space="preserve">Clinical Video </w:t>
            </w:r>
          </w:p>
        </w:tc>
        <w:tc>
          <w:tcPr>
            <w:tcW w:w="1458" w:type="dxa"/>
          </w:tcPr>
          <w:p w:rsidRPr="00152394" w:rsidR="00152394" w:rsidP="00942B6E" w:rsidRDefault="00152394" w14:paraId="662FBF62" w14:textId="4B18CA5C">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1,875</w:t>
            </w:r>
          </w:p>
        </w:tc>
        <w:tc>
          <w:tcPr>
            <w:tcW w:w="1458" w:type="dxa"/>
          </w:tcPr>
          <w:p w:rsidRPr="00152394" w:rsidR="00152394" w:rsidP="00942B6E" w:rsidRDefault="00152394" w14:paraId="50CE107B" w14:textId="11181094">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7,500</w:t>
            </w:r>
          </w:p>
        </w:tc>
        <w:tc>
          <w:tcPr>
            <w:tcW w:w="1678" w:type="dxa"/>
          </w:tcPr>
          <w:p w:rsidRPr="00152394" w:rsidR="00152394" w:rsidP="00942B6E" w:rsidRDefault="007452D5" w14:paraId="5CD7B33A" w14:textId="1F91DBC8">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tc>
        <w:tc>
          <w:tcPr>
            <w:tcW w:w="1238" w:type="dxa"/>
          </w:tcPr>
          <w:p w:rsidRPr="00152394" w:rsidR="00152394" w:rsidP="00942B6E" w:rsidRDefault="00152394" w14:paraId="0C5B1E85" w14:textId="5F1251C4">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22,500</w:t>
            </w:r>
          </w:p>
        </w:tc>
      </w:tr>
      <w:tr w:rsidRPr="00C85DEE" w:rsidR="00152394" w:rsidTr="007452D5" w14:paraId="60BF59B0" w14:textId="77777777">
        <w:trPr>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2A70D357" w14:textId="77777777">
            <w:pPr>
              <w:spacing w:after="240" w:line="240" w:lineRule="auto"/>
              <w:rPr>
                <w:rFonts w:ascii="Times New Roman" w:hAnsi="Times New Roman" w:cs="Times New Roman"/>
              </w:rPr>
            </w:pPr>
            <w:r w:rsidRPr="00C85DEE">
              <w:rPr>
                <w:rFonts w:ascii="Times New Roman" w:hAnsi="Times New Roman" w:cs="Times New Roman"/>
              </w:rPr>
              <w:t xml:space="preserve">Home Telehealth </w:t>
            </w:r>
          </w:p>
        </w:tc>
        <w:tc>
          <w:tcPr>
            <w:tcW w:w="1458" w:type="dxa"/>
          </w:tcPr>
          <w:p w:rsidRPr="00C85DEE" w:rsidR="00152394" w:rsidP="00942B6E" w:rsidRDefault="00152394" w14:paraId="45687670"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1,250</w:t>
            </w:r>
          </w:p>
        </w:tc>
        <w:tc>
          <w:tcPr>
            <w:tcW w:w="1458" w:type="dxa"/>
          </w:tcPr>
          <w:p w:rsidRPr="00C85DEE" w:rsidR="00152394" w:rsidP="00942B6E" w:rsidRDefault="00152394" w14:paraId="53948B9D"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5,000</w:t>
            </w:r>
          </w:p>
        </w:tc>
        <w:tc>
          <w:tcPr>
            <w:tcW w:w="1678" w:type="dxa"/>
          </w:tcPr>
          <w:p w:rsidRPr="00C85DEE" w:rsidR="00152394" w:rsidP="00942B6E" w:rsidRDefault="007452D5" w14:paraId="5A59D744" w14:textId="39A952CF">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p>
        </w:tc>
        <w:tc>
          <w:tcPr>
            <w:tcW w:w="1238" w:type="dxa"/>
          </w:tcPr>
          <w:p w:rsidRPr="00C85DEE" w:rsidR="00152394" w:rsidP="00942B6E" w:rsidRDefault="00152394" w14:paraId="04BCF994" w14:textId="5A03AEE8">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15,000</w:t>
            </w:r>
          </w:p>
        </w:tc>
      </w:tr>
      <w:tr w:rsidRPr="00C85DEE" w:rsidR="00152394" w:rsidTr="007452D5" w14:paraId="505E19D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27E09440" w14:textId="77777777">
            <w:pPr>
              <w:spacing w:after="240" w:line="240" w:lineRule="auto"/>
              <w:rPr>
                <w:rFonts w:ascii="Times New Roman" w:hAnsi="Times New Roman" w:cs="Times New Roman"/>
              </w:rPr>
            </w:pPr>
            <w:r w:rsidRPr="00C85DEE">
              <w:rPr>
                <w:rFonts w:ascii="Times New Roman" w:hAnsi="Times New Roman" w:cs="Times New Roman"/>
              </w:rPr>
              <w:t xml:space="preserve">Store and Forward </w:t>
            </w:r>
          </w:p>
        </w:tc>
        <w:tc>
          <w:tcPr>
            <w:tcW w:w="1458" w:type="dxa"/>
          </w:tcPr>
          <w:p w:rsidRPr="00304F5A" w:rsidR="00152394" w:rsidP="00942B6E" w:rsidRDefault="00152394" w14:paraId="6DA41086" w14:textId="529CA9F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cyan"/>
              </w:rPr>
            </w:pPr>
            <w:r w:rsidRPr="00C85DEE">
              <w:rPr>
                <w:rFonts w:ascii="Times New Roman" w:hAnsi="Times New Roman" w:cs="Times New Roman"/>
              </w:rPr>
              <w:t>1,250</w:t>
            </w:r>
          </w:p>
        </w:tc>
        <w:tc>
          <w:tcPr>
            <w:tcW w:w="1458" w:type="dxa"/>
          </w:tcPr>
          <w:p w:rsidRPr="00304F5A" w:rsidR="00152394" w:rsidP="00942B6E" w:rsidRDefault="00152394" w14:paraId="4A1AC423" w14:textId="13DEA5DE">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cyan"/>
              </w:rPr>
            </w:pPr>
            <w:r w:rsidRPr="00C85DEE">
              <w:rPr>
                <w:rFonts w:ascii="Times New Roman" w:hAnsi="Times New Roman" w:cs="Times New Roman"/>
              </w:rPr>
              <w:t>5,000</w:t>
            </w:r>
          </w:p>
        </w:tc>
        <w:tc>
          <w:tcPr>
            <w:tcW w:w="1678" w:type="dxa"/>
          </w:tcPr>
          <w:p w:rsidRPr="00C85DEE" w:rsidR="00152394" w:rsidP="00942B6E" w:rsidRDefault="007452D5" w14:paraId="0DA55BA0" w14:textId="2FDAB028">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w:t>
            </w:r>
          </w:p>
        </w:tc>
        <w:tc>
          <w:tcPr>
            <w:tcW w:w="1238" w:type="dxa"/>
          </w:tcPr>
          <w:p w:rsidRPr="00304F5A" w:rsidR="00152394" w:rsidP="00942B6E" w:rsidRDefault="00152394" w14:paraId="7FE35C6F" w14:textId="43A4358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cyan"/>
              </w:rPr>
            </w:pPr>
            <w:r w:rsidRPr="00C85DEE">
              <w:rPr>
                <w:rFonts w:ascii="Times New Roman" w:hAnsi="Times New Roman" w:cs="Times New Roman"/>
              </w:rPr>
              <w:t>15,000</w:t>
            </w:r>
          </w:p>
        </w:tc>
      </w:tr>
      <w:tr w:rsidRPr="00C85DEE" w:rsidR="00152394" w:rsidTr="007452D5" w14:paraId="3F6FB199" w14:textId="77777777">
        <w:trPr>
          <w:jc w:val="center"/>
        </w:trPr>
        <w:tc>
          <w:tcPr>
            <w:cnfStyle w:val="001000000000" w:firstRow="0" w:lastRow="0" w:firstColumn="1" w:lastColumn="0" w:oddVBand="0" w:evenVBand="0" w:oddHBand="0" w:evenHBand="0" w:firstRowFirstColumn="0" w:firstRowLastColumn="0" w:lastRowFirstColumn="0" w:lastRowLastColumn="0"/>
            <w:tcW w:w="1684" w:type="dxa"/>
          </w:tcPr>
          <w:p w:rsidRPr="00C85DEE" w:rsidR="00152394" w:rsidP="00942B6E" w:rsidRDefault="00152394" w14:paraId="45122F56" w14:textId="77777777">
            <w:pPr>
              <w:spacing w:after="240" w:line="240" w:lineRule="auto"/>
              <w:rPr>
                <w:rFonts w:ascii="Times New Roman" w:hAnsi="Times New Roman" w:cs="Times New Roman"/>
                <w:b w:val="0"/>
              </w:rPr>
            </w:pPr>
            <w:r w:rsidRPr="00C85DEE">
              <w:rPr>
                <w:rFonts w:ascii="Times New Roman" w:hAnsi="Times New Roman" w:cs="Times New Roman"/>
              </w:rPr>
              <w:t>Total</w:t>
            </w:r>
          </w:p>
        </w:tc>
        <w:tc>
          <w:tcPr>
            <w:tcW w:w="1458" w:type="dxa"/>
          </w:tcPr>
          <w:p w:rsidRPr="00152394" w:rsidR="00152394" w:rsidP="00942B6E" w:rsidRDefault="00152394" w14:paraId="65AED519" w14:textId="300F4B8E">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4,375</w:t>
            </w:r>
          </w:p>
        </w:tc>
        <w:tc>
          <w:tcPr>
            <w:tcW w:w="1458" w:type="dxa"/>
          </w:tcPr>
          <w:p w:rsidRPr="00152394" w:rsidR="00152394" w:rsidP="00942B6E" w:rsidRDefault="00152394" w14:paraId="7F321EA2" w14:textId="3868770F">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17,500</w:t>
            </w:r>
          </w:p>
        </w:tc>
        <w:tc>
          <w:tcPr>
            <w:tcW w:w="1678" w:type="dxa"/>
          </w:tcPr>
          <w:p w:rsidRPr="00152394" w:rsidR="00152394" w:rsidP="00942B6E" w:rsidRDefault="007452D5" w14:paraId="19C64A82" w14:textId="73A4CA0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1238" w:type="dxa"/>
          </w:tcPr>
          <w:p w:rsidRPr="00152394" w:rsidR="00152394" w:rsidP="00942B6E" w:rsidRDefault="00152394" w14:paraId="40CE2509" w14:textId="1BB8C0B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2394">
              <w:rPr>
                <w:rFonts w:ascii="Times New Roman" w:hAnsi="Times New Roman" w:cs="Times New Roman"/>
              </w:rPr>
              <w:t>52,500</w:t>
            </w:r>
          </w:p>
        </w:tc>
      </w:tr>
    </w:tbl>
    <w:p w:rsidRPr="00C85DEE" w:rsidR="000F0942" w:rsidP="00942B6E" w:rsidRDefault="000F0942" w14:paraId="6EB8D3E4" w14:textId="77777777">
      <w:pPr>
        <w:spacing w:after="240" w:line="240" w:lineRule="auto"/>
        <w:rPr>
          <w:rFonts w:ascii="Times New Roman" w:hAnsi="Times New Roman" w:cs="Times New Roman"/>
        </w:rPr>
      </w:pPr>
    </w:p>
    <w:p w:rsidR="00DD30D6" w:rsidP="00DD30D6" w:rsidRDefault="00DD30D6" w14:paraId="4403E3A6" w14:textId="46F51925">
      <w:pPr>
        <w:pStyle w:val="Heading2"/>
        <w:numPr>
          <w:ilvl w:val="0"/>
          <w:numId w:val="14"/>
        </w:numPr>
        <w:rPr>
          <w:b/>
        </w:rPr>
      </w:pPr>
      <w:bookmarkStart w:name="_Toc511750805" w:id="22"/>
      <w:bookmarkStart w:name="_Toc513723188" w:id="23"/>
      <w:r w:rsidRPr="00DD30D6">
        <w:rPr>
          <w:b/>
        </w:rPr>
        <w:t>Stratification</w:t>
      </w:r>
    </w:p>
    <w:p w:rsidR="00DD30D6" w:rsidP="00DD30D6" w:rsidRDefault="00DD30D6" w14:paraId="43D285E5" w14:textId="0B611A8E">
      <w:pPr>
        <w:ind w:firstLine="360"/>
        <w:rPr>
          <w:rFonts w:ascii="Times New Roman" w:hAnsi="Times New Roman" w:cs="Times New Roman"/>
        </w:rPr>
      </w:pPr>
    </w:p>
    <w:p w:rsidR="00DD30D6" w:rsidP="00DD30D6" w:rsidRDefault="00DD30D6" w14:paraId="27448125" w14:textId="0858ACA3">
      <w:pPr>
        <w:ind w:firstLine="360"/>
        <w:rPr>
          <w:rFonts w:ascii="Times New Roman" w:hAnsi="Times New Roman" w:cs="Times New Roman"/>
        </w:rPr>
      </w:pPr>
      <w:r>
        <w:rPr>
          <w:rFonts w:ascii="Times New Roman" w:hAnsi="Times New Roman" w:cs="Times New Roman"/>
        </w:rPr>
        <w:t>As noted in the section above, stratification is employed to ensure that sufficient amounts of Veterans will be sampled within each of the three modalities. Additionally, a second layer of stratification is used to ensure ample representation for each of the three subtypes within modality. Thus there are two stratification variables from which explicit sample targets are derived: modality and subtype.</w:t>
      </w:r>
      <w:r w:rsidR="00AA0BD0">
        <w:rPr>
          <w:rFonts w:ascii="Times New Roman" w:hAnsi="Times New Roman" w:cs="Times New Roman"/>
        </w:rPr>
        <w:t xml:space="preserve"> T</w:t>
      </w:r>
      <w:r w:rsidR="00BD7CA1">
        <w:rPr>
          <w:rFonts w:ascii="Times New Roman" w:hAnsi="Times New Roman" w:cs="Times New Roman"/>
        </w:rPr>
        <w:t xml:space="preserve">hese two stratification variables will be called </w:t>
      </w:r>
      <w:r w:rsidR="00BD7CA1">
        <w:rPr>
          <w:rFonts w:ascii="Times New Roman" w:hAnsi="Times New Roman" w:cs="Times New Roman"/>
          <w:i/>
        </w:rPr>
        <w:t>explicit</w:t>
      </w:r>
      <w:r w:rsidR="00BD7CA1">
        <w:rPr>
          <w:rFonts w:ascii="Times New Roman" w:hAnsi="Times New Roman" w:cs="Times New Roman"/>
        </w:rPr>
        <w:t>.</w:t>
      </w:r>
      <w:r>
        <w:rPr>
          <w:rFonts w:ascii="Times New Roman" w:hAnsi="Times New Roman" w:cs="Times New Roman"/>
        </w:rPr>
        <w:t xml:space="preserve"> The allocation of subtype within each modality is proportional to the underlying population (as opposed to the email population). In the event that subtype population is less than 10% of the modality population, then these telehealth patients are sampled with certainty.</w:t>
      </w:r>
    </w:p>
    <w:p w:rsidR="00BD7CA1" w:rsidP="00DD30D6" w:rsidRDefault="00DD30D6" w14:paraId="72F534C5" w14:textId="77777777">
      <w:pPr>
        <w:ind w:firstLine="360"/>
        <w:rPr>
          <w:rFonts w:ascii="Times New Roman" w:hAnsi="Times New Roman" w:cs="Times New Roman"/>
        </w:rPr>
      </w:pPr>
      <w:r>
        <w:rPr>
          <w:rFonts w:ascii="Times New Roman" w:hAnsi="Times New Roman" w:cs="Times New Roman"/>
        </w:rPr>
        <w:t xml:space="preserve">To ensure samples are balanced with respect to the </w:t>
      </w:r>
      <w:r w:rsidR="00BD7CA1">
        <w:rPr>
          <w:rFonts w:ascii="Times New Roman" w:hAnsi="Times New Roman" w:cs="Times New Roman"/>
        </w:rPr>
        <w:t xml:space="preserve">following demographic variables: </w:t>
      </w:r>
      <w:r>
        <w:rPr>
          <w:rFonts w:ascii="Times New Roman" w:hAnsi="Times New Roman" w:cs="Times New Roman"/>
        </w:rPr>
        <w:t xml:space="preserve">Age Group, Gender, District and VAMC/CBOC, the random selection </w:t>
      </w:r>
      <w:r w:rsidR="00BD7CA1">
        <w:rPr>
          <w:rFonts w:ascii="Times New Roman" w:hAnsi="Times New Roman" w:cs="Times New Roman"/>
        </w:rPr>
        <w:t>of patients within each stratum will follow a systematic sampling design. The Veterans are sorted according to the demographic variables, and every n</w:t>
      </w:r>
      <w:r w:rsidRPr="00BD7CA1" w:rsidR="00BD7CA1">
        <w:rPr>
          <w:rFonts w:ascii="Times New Roman" w:hAnsi="Times New Roman" w:cs="Times New Roman"/>
          <w:vertAlign w:val="superscript"/>
        </w:rPr>
        <w:t>th</w:t>
      </w:r>
      <w:r w:rsidR="00BD7CA1">
        <w:rPr>
          <w:rFonts w:ascii="Times New Roman" w:hAnsi="Times New Roman" w:cs="Times New Roman"/>
        </w:rPr>
        <w:t xml:space="preserve"> patient will be selected for survey invitation (the value of </w:t>
      </w:r>
      <w:r w:rsidRPr="00BD7CA1" w:rsidR="00BD7CA1">
        <w:rPr>
          <w:rFonts w:ascii="Times New Roman" w:hAnsi="Times New Roman" w:cs="Times New Roman"/>
          <w:i/>
        </w:rPr>
        <w:t>n</w:t>
      </w:r>
      <w:r w:rsidR="00BD7CA1">
        <w:rPr>
          <w:rFonts w:ascii="Times New Roman" w:hAnsi="Times New Roman" w:cs="Times New Roman"/>
        </w:rPr>
        <w:t xml:space="preserve"> will change randomly with each new survey iteration). This mechanism ensures that resulting respondent sample resembles the email population with respect to the demographic variables. Since these stratification variables do not have explicit targets for each permutation, they are deemed to be implicit stratification variables.</w:t>
      </w:r>
    </w:p>
    <w:p w:rsidR="00DD30D6" w:rsidP="00DD30D6" w:rsidRDefault="00BD7CA1" w14:paraId="1EA3FA3F" w14:textId="23A558D0">
      <w:pPr>
        <w:ind w:firstLine="360"/>
        <w:rPr>
          <w:rFonts w:ascii="Times New Roman" w:hAnsi="Times New Roman" w:cs="Times New Roman"/>
        </w:rPr>
      </w:pPr>
      <w:r>
        <w:rPr>
          <w:rFonts w:ascii="Times New Roman" w:hAnsi="Times New Roman" w:cs="Times New Roman"/>
        </w:rPr>
        <w:t xml:space="preserve"> Although we do not expect differences between the email population and the general population with regard to geography, email populations tend to skew somewhat younger and more female. Since these groups are less represented in the Veteran population, it is not problematic for these demographics to be marginally oversampled – sample weighting calibrated to the general population will ensure valid representation and correct for any imbalances.</w:t>
      </w:r>
    </w:p>
    <w:tbl>
      <w:tblPr>
        <w:tblStyle w:val="GridTable4-Accent11"/>
        <w:tblW w:w="0" w:type="auto"/>
        <w:jc w:val="center"/>
        <w:tblLook w:val="04A0" w:firstRow="1" w:lastRow="0" w:firstColumn="1" w:lastColumn="0" w:noHBand="0" w:noVBand="1"/>
      </w:tblPr>
      <w:tblGrid>
        <w:gridCol w:w="2718"/>
        <w:gridCol w:w="4590"/>
      </w:tblGrid>
      <w:tr w:rsidR="004C529B" w:rsidTr="00AA0BD0" w14:paraId="09680CF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Pr>
          <w:p w:rsidR="004C529B" w:rsidP="00DD30D6" w:rsidRDefault="004C529B" w14:paraId="63B9B94E" w14:textId="61678C70">
            <w:pPr>
              <w:rPr>
                <w:rFonts w:ascii="Times New Roman" w:hAnsi="Times New Roman" w:cs="Times New Roman"/>
              </w:rPr>
            </w:pPr>
            <w:r>
              <w:rPr>
                <w:rFonts w:ascii="Times New Roman" w:hAnsi="Times New Roman" w:cs="Times New Roman"/>
              </w:rPr>
              <w:t>St</w:t>
            </w:r>
            <w:r w:rsidR="00AA0BD0">
              <w:rPr>
                <w:rFonts w:ascii="Times New Roman" w:hAnsi="Times New Roman" w:cs="Times New Roman"/>
              </w:rPr>
              <w:t>ratification Type</w:t>
            </w:r>
          </w:p>
        </w:tc>
        <w:tc>
          <w:tcPr>
            <w:tcW w:w="4590" w:type="dxa"/>
          </w:tcPr>
          <w:p w:rsidR="004C529B" w:rsidP="00DD30D6" w:rsidRDefault="00AA0BD0" w14:paraId="6706C2B2" w14:textId="365E7F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Variables</w:t>
            </w:r>
          </w:p>
        </w:tc>
      </w:tr>
      <w:tr w:rsidR="004C529B" w:rsidTr="00AA0BD0" w14:paraId="5F6907D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8" w:type="dxa"/>
          </w:tcPr>
          <w:p w:rsidR="004C529B" w:rsidP="00DD30D6" w:rsidRDefault="00AA0BD0" w14:paraId="77C55110" w14:textId="5C838C76">
            <w:pPr>
              <w:rPr>
                <w:rFonts w:ascii="Times New Roman" w:hAnsi="Times New Roman" w:cs="Times New Roman"/>
              </w:rPr>
            </w:pPr>
            <w:r>
              <w:rPr>
                <w:rFonts w:ascii="Times New Roman" w:hAnsi="Times New Roman" w:cs="Times New Roman"/>
              </w:rPr>
              <w:t>Explicit</w:t>
            </w:r>
          </w:p>
        </w:tc>
        <w:tc>
          <w:tcPr>
            <w:tcW w:w="4590" w:type="dxa"/>
          </w:tcPr>
          <w:p w:rsidR="004C529B" w:rsidP="00DD30D6" w:rsidRDefault="00AA0BD0" w14:paraId="67C3D902" w14:textId="18F015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Modality, Subtype</w:t>
            </w:r>
          </w:p>
        </w:tc>
      </w:tr>
      <w:tr w:rsidR="004C529B" w:rsidTr="00AA0BD0" w14:paraId="7929CEAF" w14:textId="77777777">
        <w:trPr>
          <w:jc w:val="center"/>
        </w:trPr>
        <w:tc>
          <w:tcPr>
            <w:cnfStyle w:val="001000000000" w:firstRow="0" w:lastRow="0" w:firstColumn="1" w:lastColumn="0" w:oddVBand="0" w:evenVBand="0" w:oddHBand="0" w:evenHBand="0" w:firstRowFirstColumn="0" w:firstRowLastColumn="0" w:lastRowFirstColumn="0" w:lastRowLastColumn="0"/>
            <w:tcW w:w="2718" w:type="dxa"/>
          </w:tcPr>
          <w:p w:rsidR="004C529B" w:rsidP="00DD30D6" w:rsidRDefault="00AA0BD0" w14:paraId="5B5F2623" w14:textId="3DB07AA9">
            <w:pPr>
              <w:rPr>
                <w:rFonts w:ascii="Times New Roman" w:hAnsi="Times New Roman" w:cs="Times New Roman"/>
              </w:rPr>
            </w:pPr>
            <w:r>
              <w:rPr>
                <w:rFonts w:ascii="Times New Roman" w:hAnsi="Times New Roman" w:cs="Times New Roman"/>
              </w:rPr>
              <w:t>Implicit</w:t>
            </w:r>
          </w:p>
        </w:tc>
        <w:tc>
          <w:tcPr>
            <w:tcW w:w="4590" w:type="dxa"/>
          </w:tcPr>
          <w:p w:rsidR="004C529B" w:rsidP="00DD30D6" w:rsidRDefault="00AA0BD0" w14:paraId="6C46F4CA" w14:textId="4D793F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Age Group, Gender, District, VAMC, CBOC</w:t>
            </w:r>
          </w:p>
        </w:tc>
      </w:tr>
    </w:tbl>
    <w:p w:rsidR="004C529B" w:rsidP="00DD30D6" w:rsidRDefault="004C529B" w14:paraId="2611E508" w14:textId="77777777">
      <w:pPr>
        <w:ind w:firstLine="360"/>
        <w:rPr>
          <w:rFonts w:ascii="Times New Roman" w:hAnsi="Times New Roman" w:cs="Times New Roman"/>
        </w:rPr>
      </w:pPr>
    </w:p>
    <w:p w:rsidRPr="00C85DEE" w:rsidR="000F0942" w:rsidP="00942B6E" w:rsidRDefault="000F0942" w14:paraId="43A5B256" w14:textId="50661642">
      <w:pPr>
        <w:pStyle w:val="Heading2"/>
        <w:numPr>
          <w:ilvl w:val="0"/>
          <w:numId w:val="14"/>
        </w:numPr>
        <w:spacing w:before="0" w:after="240" w:line="240" w:lineRule="auto"/>
        <w:rPr>
          <w:rFonts w:ascii="Times New Roman" w:hAnsi="Times New Roman"/>
        </w:rPr>
      </w:pPr>
      <w:r w:rsidRPr="00C85DEE">
        <w:rPr>
          <w:rFonts w:ascii="Times New Roman" w:hAnsi="Times New Roman"/>
        </w:rPr>
        <w:t>Data Collection Methods</w:t>
      </w:r>
      <w:bookmarkEnd w:id="22"/>
      <w:bookmarkEnd w:id="23"/>
    </w:p>
    <w:p w:rsidRPr="008D7DA5" w:rsidR="00A70639" w:rsidP="00DD30D6" w:rsidRDefault="00FF0A8A" w14:paraId="3F2E01A7" w14:textId="52EE93FE">
      <w:pPr>
        <w:pStyle w:val="ListParagraph"/>
        <w:spacing w:after="240" w:line="240" w:lineRule="auto"/>
        <w:ind w:left="0" w:firstLine="360"/>
        <w:rPr>
          <w:rFonts w:ascii="Times New Roman" w:hAnsi="Times New Roman" w:cs="Times New Roman"/>
        </w:rPr>
      </w:pPr>
      <w:r w:rsidRPr="00C85DEE">
        <w:rPr>
          <w:rFonts w:ascii="Times New Roman" w:hAnsi="Times New Roman" w:cs="Times New Roman"/>
        </w:rPr>
        <w:t xml:space="preserve">At the beginning of every measurement period, VEO data analysts will access the Corporate Data Warehouse (CDW), which contains the governmental database for all VHA interactions. The telehealth target population will be extracted and recorded with each new iteration. Those veterans with a valid email address will be included in the survey frame. A new random sample, according to the stratification and quarantine protocol defined below will be used to create an invitation file. Emails are immediately delivered to all selected patients. Selected respondents will be contacted within </w:t>
      </w:r>
      <w:r w:rsidR="00D05D4A">
        <w:rPr>
          <w:rFonts w:ascii="Times New Roman" w:hAnsi="Times New Roman" w:cs="Times New Roman"/>
        </w:rPr>
        <w:t>7</w:t>
      </w:r>
      <w:r w:rsidRPr="00C85DEE">
        <w:rPr>
          <w:rFonts w:ascii="Times New Roman" w:hAnsi="Times New Roman" w:cs="Times New Roman"/>
        </w:rPr>
        <w:t xml:space="preserve"> days of their Telehealth interaction. They will have 14 days to complete the survey. Estimates will be accessible to data users instantly, with the final weighted results available 14 days after the beginning of the survey. </w:t>
      </w:r>
    </w:p>
    <w:p w:rsidRPr="00C85DEE" w:rsidR="00A70639" w:rsidP="008D7DA5" w:rsidRDefault="00A70639" w14:paraId="63023304" w14:textId="185F6BE3">
      <w:pPr>
        <w:spacing w:after="24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firstRow="1" w:lastRow="0" w:firstColumn="1" w:lastColumn="0" w:noHBand="0" w:noVBand="1"/>
      </w:tblPr>
      <w:tblGrid>
        <w:gridCol w:w="2324"/>
        <w:gridCol w:w="1647"/>
        <w:gridCol w:w="1980"/>
        <w:gridCol w:w="1548"/>
        <w:gridCol w:w="1548"/>
      </w:tblGrid>
      <w:tr w:rsidRPr="00C85DEE" w:rsidR="00A70639" w:rsidTr="00D65964" w14:paraId="33FA3E2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tcPr>
          <w:p w:rsidRPr="00D65964" w:rsidR="00A70639" w:rsidP="00F928C7" w:rsidRDefault="00A70639" w14:paraId="666C0801" w14:textId="77777777">
            <w:pPr>
              <w:spacing w:after="120" w:line="240" w:lineRule="auto"/>
              <w:rPr>
                <w:rFonts w:ascii="Times New Roman" w:hAnsi="Times New Roman" w:cs="Times New Roman"/>
                <w:b w:val="0"/>
              </w:rPr>
            </w:pPr>
            <w:r w:rsidRPr="00D65964">
              <w:rPr>
                <w:rFonts w:ascii="Times New Roman" w:hAnsi="Times New Roman" w:cs="Times New Roman"/>
              </w:rPr>
              <w:t>Mode of Data Collection</w:t>
            </w:r>
          </w:p>
          <w:p w:rsidRPr="00D65964" w:rsidR="00A70639" w:rsidP="00F928C7" w:rsidRDefault="00A70639" w14:paraId="597BE940" w14:textId="77777777">
            <w:pPr>
              <w:spacing w:after="120" w:line="240" w:lineRule="auto"/>
              <w:rPr>
                <w:rFonts w:ascii="Times New Roman" w:hAnsi="Times New Roman" w:cs="Times New Roman"/>
                <w:b w:val="0"/>
              </w:rPr>
            </w:pPr>
          </w:p>
        </w:tc>
        <w:tc>
          <w:tcPr>
            <w:tcW w:w="1647" w:type="dxa"/>
          </w:tcPr>
          <w:p w:rsidRPr="00D65964" w:rsidR="00A70639" w:rsidP="00F928C7" w:rsidRDefault="00A70639" w14:paraId="01B022C2"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80" w:type="dxa"/>
          </w:tcPr>
          <w:p w:rsidRPr="00D65964" w:rsidR="00A70639" w:rsidP="00F928C7" w:rsidRDefault="00A70639" w14:paraId="5D320C2B"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48" w:type="dxa"/>
          </w:tcPr>
          <w:p w:rsidRPr="00D65964" w:rsidR="00A70639" w:rsidP="00F928C7" w:rsidRDefault="00A70639" w14:paraId="6409C774"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Period</w:t>
            </w:r>
          </w:p>
        </w:tc>
        <w:tc>
          <w:tcPr>
            <w:tcW w:w="1548" w:type="dxa"/>
          </w:tcPr>
          <w:p w:rsidRPr="00D65964" w:rsidR="00A70639" w:rsidP="00F928C7" w:rsidRDefault="00A70639" w14:paraId="6635AB51"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65964">
              <w:rPr>
                <w:rFonts w:ascii="Times New Roman" w:hAnsi="Times New Roman" w:cs="Times New Roman"/>
              </w:rPr>
              <w:t>Collection Days</w:t>
            </w:r>
          </w:p>
        </w:tc>
      </w:tr>
      <w:tr w:rsidRPr="00C85DEE" w:rsidR="00A70639" w:rsidTr="00D65964" w14:paraId="59E08C0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tcPr>
          <w:p w:rsidRPr="00C85DEE" w:rsidR="00A70639" w:rsidP="00AA0BD0" w:rsidRDefault="00A70639" w14:paraId="222E73EC" w14:textId="4CE3A588">
            <w:pPr>
              <w:spacing w:after="120" w:line="240" w:lineRule="auto"/>
              <w:rPr>
                <w:rFonts w:ascii="Times New Roman" w:hAnsi="Times New Roman" w:cs="Times New Roman"/>
              </w:rPr>
            </w:pPr>
            <w:r w:rsidRPr="00C85DEE">
              <w:rPr>
                <w:rFonts w:ascii="Times New Roman" w:hAnsi="Times New Roman" w:cs="Times New Roman"/>
              </w:rPr>
              <w:t>Online Survey</w:t>
            </w:r>
          </w:p>
        </w:tc>
        <w:tc>
          <w:tcPr>
            <w:tcW w:w="1647" w:type="dxa"/>
          </w:tcPr>
          <w:p w:rsidRPr="00C85DEE" w:rsidR="00A70639" w:rsidP="00F928C7" w:rsidRDefault="00A70639" w14:paraId="6B21E8D8"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80" w:type="dxa"/>
          </w:tcPr>
          <w:p w:rsidRPr="00C85DEE" w:rsidR="00A70639" w:rsidP="00D05D4A" w:rsidRDefault="00A70639" w14:paraId="0EEE8495" w14:textId="25B04F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sidR="00D05D4A">
              <w:rPr>
                <w:rFonts w:ascii="Times New Roman" w:hAnsi="Times New Roman" w:cs="Times New Roman"/>
              </w:rPr>
              <w:t>7</w:t>
            </w:r>
            <w:r w:rsidRPr="00C85DEE">
              <w:rPr>
                <w:rFonts w:ascii="Times New Roman" w:hAnsi="Times New Roman" w:cs="Times New Roman"/>
              </w:rPr>
              <w:t xml:space="preserve"> days after Telehealth Appointment</w:t>
            </w:r>
          </w:p>
        </w:tc>
        <w:tc>
          <w:tcPr>
            <w:tcW w:w="1548" w:type="dxa"/>
          </w:tcPr>
          <w:p w:rsidRPr="00C85DEE" w:rsidR="00A70639" w:rsidP="00F928C7" w:rsidRDefault="00A70639" w14:paraId="6F6100FF"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A70639" w:rsidP="00F928C7" w:rsidRDefault="00A70639" w14:paraId="777031AA"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c>
          <w:tcPr>
            <w:tcW w:w="1548" w:type="dxa"/>
          </w:tcPr>
          <w:p w:rsidRPr="00C85DEE" w:rsidR="00A70639" w:rsidP="00F928C7" w:rsidRDefault="009F4FF6" w14:paraId="262E50DA" w14:textId="0FF6BAAF">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Friday</w:t>
            </w:r>
          </w:p>
        </w:tc>
      </w:tr>
    </w:tbl>
    <w:p w:rsidRPr="00C85DEE" w:rsidR="00A70639" w:rsidP="00A70639" w:rsidRDefault="00A70639" w14:paraId="7770C135" w14:textId="77777777">
      <w:pPr>
        <w:rPr>
          <w:rFonts w:ascii="Times New Roman" w:hAnsi="Times New Roman" w:cs="Times New Roman"/>
        </w:rPr>
      </w:pPr>
    </w:p>
    <w:p w:rsidRPr="00C85DEE" w:rsidR="000F0942" w:rsidP="00942B6E" w:rsidRDefault="000F0942" w14:paraId="3EF3C57C" w14:textId="67C449A2">
      <w:pPr>
        <w:pStyle w:val="Heading2"/>
        <w:numPr>
          <w:ilvl w:val="0"/>
          <w:numId w:val="14"/>
        </w:numPr>
        <w:spacing w:after="240" w:line="240" w:lineRule="auto"/>
        <w:rPr>
          <w:rFonts w:ascii="Times New Roman" w:hAnsi="Times New Roman"/>
        </w:rPr>
      </w:pPr>
      <w:bookmarkStart w:name="_Toc511750806" w:id="24"/>
      <w:bookmarkStart w:name="_Toc513723189" w:id="25"/>
      <w:r w:rsidRPr="00C85DEE">
        <w:rPr>
          <w:rFonts w:ascii="Times New Roman" w:hAnsi="Times New Roman"/>
        </w:rPr>
        <w:t>Reporting</w:t>
      </w:r>
      <w:bookmarkEnd w:id="24"/>
      <w:bookmarkEnd w:id="25"/>
    </w:p>
    <w:p w:rsidR="00492426" w:rsidP="00ED007A" w:rsidRDefault="00EE105D" w14:paraId="6D6F07BD" w14:textId="3EBD8F29">
      <w:pPr>
        <w:spacing w:after="240" w:line="240" w:lineRule="auto"/>
        <w:ind w:left="58" w:firstLine="662"/>
        <w:rPr>
          <w:rFonts w:ascii="Times New Roman" w:hAnsi="Times New Roman" w:cs="Times New Roman"/>
        </w:rPr>
      </w:pPr>
      <w:r w:rsidRPr="00C85DEE">
        <w:rPr>
          <w:rFonts w:ascii="Times New Roman" w:hAnsi="Times New Roman" w:cs="Times New Roman"/>
        </w:rPr>
        <w:t>Researchers</w:t>
      </w:r>
      <w:r w:rsidRPr="00C85DEE" w:rsidR="00A46248">
        <w:rPr>
          <w:rFonts w:ascii="Times New Roman" w:hAnsi="Times New Roman" w:cs="Times New Roman"/>
        </w:rPr>
        <w:t xml:space="preserve"> will be able to use </w:t>
      </w:r>
      <w:r w:rsidR="0083246A">
        <w:rPr>
          <w:rFonts w:ascii="Times New Roman" w:hAnsi="Times New Roman" w:cs="Times New Roman"/>
        </w:rPr>
        <w:t>the Veteran Insight System (powered by Medallia)</w:t>
      </w:r>
      <w:r w:rsidRPr="00C85DEE" w:rsidR="00E41783">
        <w:rPr>
          <w:rFonts w:ascii="Times New Roman" w:hAnsi="Times New Roman" w:cs="Times New Roman"/>
        </w:rPr>
        <w:t xml:space="preserve"> for interactive reporting and data visualization.</w:t>
      </w:r>
      <w:r w:rsidR="00492426">
        <w:rPr>
          <w:rFonts w:ascii="Times New Roman" w:hAnsi="Times New Roman" w:cs="Times New Roman"/>
        </w:rPr>
        <w:t xml:space="preserve"> VA employees with a PIV card may access the system at </w:t>
      </w:r>
      <w:hyperlink w:history="1" r:id="rId12">
        <w:r w:rsidR="00492426">
          <w:rPr>
            <w:rStyle w:val="Hyperlink"/>
          </w:rPr>
          <w:t>https://va.voice.medallia.com/sso/va/</w:t>
        </w:r>
      </w:hyperlink>
      <w:r w:rsidR="00492426">
        <w:rPr>
          <w:color w:val="1F497D"/>
        </w:rPr>
        <w:t>.</w:t>
      </w:r>
      <w:r w:rsidRPr="00C85DEE" w:rsidR="00E41783">
        <w:rPr>
          <w:rFonts w:ascii="Times New Roman" w:hAnsi="Times New Roman" w:cs="Times New Roman"/>
        </w:rPr>
        <w:t xml:space="preserve"> </w:t>
      </w:r>
      <w:r w:rsidR="00CD3220">
        <w:rPr>
          <w:rFonts w:ascii="Times New Roman" w:hAnsi="Times New Roman" w:cs="Times New Roman"/>
        </w:rPr>
        <w:t xml:space="preserve">Trust, Ease, Effectiveness, and Emotion scores can be observed </w:t>
      </w:r>
      <w:r w:rsidR="00492426">
        <w:rPr>
          <w:rFonts w:ascii="Times New Roman" w:hAnsi="Times New Roman" w:cs="Times New Roman"/>
        </w:rPr>
        <w:t xml:space="preserve">for each Modality and Subtype (or Survey Type). The scores may </w:t>
      </w:r>
      <w:proofErr w:type="gramStart"/>
      <w:r w:rsidR="00492426">
        <w:rPr>
          <w:rFonts w:ascii="Times New Roman" w:hAnsi="Times New Roman" w:cs="Times New Roman"/>
        </w:rPr>
        <w:t>viewed</w:t>
      </w:r>
      <w:proofErr w:type="gramEnd"/>
      <w:r w:rsidR="00492426">
        <w:rPr>
          <w:rFonts w:ascii="Times New Roman" w:hAnsi="Times New Roman" w:cs="Times New Roman"/>
        </w:rPr>
        <w:t xml:space="preserve"> </w:t>
      </w:r>
      <w:r w:rsidR="00CD3220">
        <w:rPr>
          <w:rFonts w:ascii="Times New Roman" w:hAnsi="Times New Roman" w:cs="Times New Roman"/>
        </w:rPr>
        <w:t>by Age Group, Gender, and Race/Ethnicity</w:t>
      </w:r>
      <w:r w:rsidR="00492426">
        <w:rPr>
          <w:rFonts w:ascii="Times New Roman" w:hAnsi="Times New Roman" w:cs="Times New Roman"/>
        </w:rPr>
        <w:t xml:space="preserve"> in various charts for different perspective. </w:t>
      </w:r>
      <w:r w:rsidR="00D77007">
        <w:rPr>
          <w:rFonts w:ascii="Times New Roman" w:hAnsi="Times New Roman" w:cs="Times New Roman"/>
        </w:rPr>
        <w:t xml:space="preserve">They are also depicted within </w:t>
      </w:r>
      <w:r w:rsidR="00492426">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sidR="00492426">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sidR="00492426">
        <w:rPr>
          <w:rFonts w:ascii="Times New Roman" w:hAnsi="Times New Roman" w:cs="Times New Roman"/>
        </w:rPr>
        <w:t xml:space="preserve"> within the context of other collected variable information.</w:t>
      </w:r>
    </w:p>
    <w:p w:rsidRPr="00C85DEE" w:rsidR="00596F4B" w:rsidP="00ED007A" w:rsidRDefault="00596F4B" w14:paraId="41DFB757" w14:textId="53832537">
      <w:pPr>
        <w:spacing w:after="240" w:line="240" w:lineRule="auto"/>
        <w:ind w:left="58" w:firstLine="662"/>
        <w:rPr>
          <w:rFonts w:ascii="Times New Roman" w:hAnsi="Times New Roman" w:cs="Times New Roman"/>
        </w:rPr>
      </w:pPr>
      <w:r w:rsidRPr="00FF32AB">
        <w:rPr>
          <w:rFonts w:ascii="Times New Roman" w:hAnsi="Times New Roman" w:cs="Times New Roman"/>
        </w:rPr>
        <w:t xml:space="preserve">Recruitment is continuous (weekly) but the results from several weeks may be combined into a </w:t>
      </w:r>
      <w:r w:rsidRPr="00FF32AB">
        <w:rPr>
          <w:rFonts w:ascii="Times New Roman" w:hAnsi="Times New Roman" w:cs="Times New Roman"/>
          <w:i/>
        </w:rPr>
        <w:t>monthly</w:t>
      </w:r>
      <w:r w:rsidR="00CD3220">
        <w:rPr>
          <w:rFonts w:ascii="Times New Roman" w:hAnsi="Times New Roman" w:cs="Times New Roman"/>
        </w:rPr>
        <w:t xml:space="preserve"> estimate</w:t>
      </w:r>
      <w:r w:rsidR="00492426">
        <w:rPr>
          <w:rFonts w:ascii="Times New Roman" w:hAnsi="Times New Roman" w:cs="Times New Roman"/>
        </w:rPr>
        <w:t xml:space="preserve"> for more precise estimates</w:t>
      </w:r>
      <w:r w:rsidR="00CD3220">
        <w:rPr>
          <w:rFonts w:ascii="Times New Roman" w:hAnsi="Times New Roman" w:cs="Times New Roman"/>
        </w:rPr>
        <w:t>, which is the recommended</w:t>
      </w:r>
      <w:r w:rsidR="00D77007">
        <w:rPr>
          <w:rFonts w:ascii="Times New Roman" w:hAnsi="Times New Roman" w:cs="Times New Roman"/>
        </w:rPr>
        <w:t xml:space="preserve"> reporting level. Weekly estimates are unweighted, but allow analysts to review scores more quickly and within smaller time intervals. Weekly estimates are less reliable for small domains, and should only be considered for aggregated populations. </w:t>
      </w:r>
      <w:r w:rsidR="00CD3220">
        <w:rPr>
          <w:rFonts w:ascii="Times New Roman" w:hAnsi="Times New Roman" w:cs="Times New Roman"/>
        </w:rPr>
        <w:t xml:space="preserve"> </w:t>
      </w:r>
      <w:r w:rsidR="00D77007">
        <w:rPr>
          <w:rFonts w:ascii="Times New Roman" w:hAnsi="Times New Roman" w:cs="Times New Roman"/>
        </w:rPr>
        <w:t>M</w:t>
      </w:r>
      <w:r w:rsidRPr="00FF32AB">
        <w:rPr>
          <w:rFonts w:ascii="Times New Roman" w:hAnsi="Times New Roman" w:cs="Times New Roman"/>
        </w:rPr>
        <w:t>onthly estimates will have larger sample sizes, and therefore higher reliability</w:t>
      </w:r>
      <w:r w:rsidR="00191370">
        <w:rPr>
          <w:rFonts w:ascii="Times New Roman" w:hAnsi="Times New Roman" w:cs="Times New Roman"/>
        </w:rPr>
        <w:t xml:space="preserve"> set to a 3% MOE at the 95% Confidence level (at the Modality Level for Veterans 18+)</w:t>
      </w:r>
      <w:r w:rsidRPr="00FF32AB">
        <w:rPr>
          <w:rFonts w:ascii="Times New Roman" w:hAnsi="Times New Roman" w:cs="Times New Roman"/>
        </w:rPr>
        <w:t xml:space="preserve">. </w:t>
      </w:r>
      <w:r w:rsidR="00D77007">
        <w:rPr>
          <w:rFonts w:ascii="Times New Roman" w:hAnsi="Times New Roman" w:cs="Times New Roman"/>
        </w:rPr>
        <w:t xml:space="preserve">Monthly estimates are also weighted for improved representation and less bias (non-response and </w:t>
      </w:r>
      <w:r w:rsidR="00191370">
        <w:rPr>
          <w:rFonts w:ascii="Times New Roman" w:hAnsi="Times New Roman" w:cs="Times New Roman"/>
        </w:rPr>
        <w:t>coverage, see section G on Sample Weighting)</w:t>
      </w:r>
      <w:r w:rsidR="00D77007">
        <w:rPr>
          <w:rFonts w:ascii="Times New Roman" w:hAnsi="Times New Roman" w:cs="Times New Roman"/>
        </w:rPr>
        <w:t xml:space="preserve">. </w:t>
      </w:r>
      <w:r w:rsidRPr="00FF32AB">
        <w:rPr>
          <w:rFonts w:ascii="Times New Roman" w:hAnsi="Times New Roman" w:cs="Times New Roman"/>
        </w:rPr>
        <w:t xml:space="preserve">Quarterly estimates are the most precise, but will take the greatest amount of time to obtain (12 weeks of collection). </w:t>
      </w:r>
      <w:r w:rsidR="00191370">
        <w:rPr>
          <w:rFonts w:ascii="Times New Roman" w:hAnsi="Times New Roman" w:cs="Times New Roman"/>
        </w:rPr>
        <w:t>However, Quarterly estimates are the most suitable for the analysis of small populations (e.g. VAMC, Female Veterans 18-29, etc.).</w:t>
      </w:r>
    </w:p>
    <w:p w:rsidRPr="00C85DEE" w:rsidR="00A5072E" w:rsidP="00ED007A" w:rsidRDefault="00A5072E" w14:paraId="31ABA771" w14:textId="313260FD">
      <w:pPr>
        <w:pStyle w:val="Heading2"/>
        <w:numPr>
          <w:ilvl w:val="0"/>
          <w:numId w:val="14"/>
        </w:numPr>
        <w:spacing w:before="0" w:after="240" w:line="240" w:lineRule="auto"/>
        <w:rPr>
          <w:rFonts w:ascii="Times New Roman" w:hAnsi="Times New Roman"/>
        </w:rPr>
      </w:pPr>
      <w:bookmarkStart w:name="_Toc513723190" w:id="26"/>
      <w:bookmarkStart w:name="_Toc511750807" w:id="27"/>
      <w:r w:rsidRPr="00C85DEE">
        <w:rPr>
          <w:rFonts w:ascii="Times New Roman" w:hAnsi="Times New Roman"/>
        </w:rPr>
        <w:t>Quality Control</w:t>
      </w:r>
      <w:bookmarkEnd w:id="26"/>
    </w:p>
    <w:p w:rsidRPr="00C34DFE" w:rsidR="00C85DEE" w:rsidP="0014589C" w:rsidRDefault="00C85DEE" w14:paraId="123A476D"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14589C" w:rsidRDefault="00C85DEE" w14:paraId="60D2D7BE" w14:textId="77777777">
      <w:pPr>
        <w:pStyle w:val="ListParagraph"/>
        <w:numPr>
          <w:ilvl w:val="0"/>
          <w:numId w:val="31"/>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14589C" w:rsidRDefault="00C85DEE" w14:paraId="13AB883E"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Any duplicate records will be removed from the population file to both maintain the probabilities of selection and prevent the double sampling of the same veteran.</w:t>
      </w:r>
    </w:p>
    <w:p w:rsidRPr="0014589C" w:rsidR="00C85DEE" w:rsidP="0014589C" w:rsidRDefault="00C85DEE" w14:paraId="36965B6F"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413E91E8"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00191370" w:rsidP="0014589C" w:rsidRDefault="00191370" w14:paraId="78A04479" w14:textId="77777777">
      <w:pPr>
        <w:pStyle w:val="ListParagraph"/>
        <w:numPr>
          <w:ilvl w:val="0"/>
          <w:numId w:val="32"/>
        </w:numPr>
        <w:spacing w:after="120" w:line="240" w:lineRule="auto"/>
        <w:rPr>
          <w:rFonts w:ascii="Times New Roman" w:hAnsi="Times New Roman" w:cs="Times New Roman"/>
        </w:rPr>
      </w:pPr>
      <w:r>
        <w:rPr>
          <w:rFonts w:ascii="Times New Roman" w:hAnsi="Times New Roman" w:cs="Times New Roman"/>
        </w:rPr>
        <w:t>The extracted sample will be reviewed for representativeness. A secondary review will be applied to the final respondent sample.</w:t>
      </w:r>
    </w:p>
    <w:p w:rsidRPr="0014589C" w:rsidR="00C85DEE" w:rsidP="0014589C" w:rsidRDefault="00C85DEE" w14:paraId="1870504B" w14:textId="77777777">
      <w:pPr>
        <w:pStyle w:val="ListParagraph"/>
        <w:numPr>
          <w:ilvl w:val="0"/>
          <w:numId w:val="32"/>
        </w:numPr>
        <w:spacing w:after="120" w:line="240" w:lineRule="auto"/>
        <w:rPr>
          <w:rFonts w:ascii="Times New Roman" w:hAnsi="Times New Roman" w:cs="Times New Roman"/>
        </w:rPr>
      </w:pPr>
      <w:r w:rsidRPr="0014589C">
        <w:rPr>
          <w:rFonts w:ascii="Times New Roman" w:hAnsi="Times New Roman" w:cs="Times New Roman"/>
        </w:rPr>
        <w:t>The survey load process will be rigorously tested prior to the induction of the TH Survey to ensure that sampled customers is not inadvertently dropped or sent multiple emails.</w:t>
      </w:r>
    </w:p>
    <w:p w:rsidRPr="0014589C" w:rsidR="00C85DEE" w:rsidP="0014589C" w:rsidRDefault="00C85DEE" w14:paraId="27C50D03" w14:textId="77777777">
      <w:pPr>
        <w:pStyle w:val="ListParagraph"/>
        <w:numPr>
          <w:ilvl w:val="0"/>
          <w:numId w:val="32"/>
        </w:numPr>
        <w:spacing w:after="240" w:line="240" w:lineRule="auto"/>
        <w:rPr>
          <w:rFonts w:ascii="Times New Roman" w:hAnsi="Times New Roman" w:cs="Times New Roman"/>
        </w:rPr>
      </w:pPr>
      <w:r w:rsidRPr="0014589C">
        <w:rPr>
          <w:rFonts w:ascii="Times New Roman" w:hAnsi="Times New Roman" w:cs="Times New Roman"/>
        </w:rPr>
        <w:t xml:space="preserve">The email delivery process is monitored to ensure that bounce-back records will not hold up the email delivery process.  </w:t>
      </w:r>
    </w:p>
    <w:p w:rsidRPr="00C34DFE" w:rsidR="00C85DEE" w:rsidP="00C85DEE" w:rsidRDefault="00C85DEE" w14:paraId="4D90F5AB"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14589C" w:rsidR="00C85DEE" w:rsidP="0014589C" w:rsidRDefault="00C85DEE" w14:paraId="4D2D8932" w14:textId="77777777">
      <w:pPr>
        <w:pStyle w:val="ListParagraph"/>
        <w:numPr>
          <w:ilvl w:val="0"/>
          <w:numId w:val="33"/>
        </w:numPr>
        <w:spacing w:after="120" w:line="240" w:lineRule="auto"/>
        <w:rPr>
          <w:rFonts w:ascii="Times New Roman" w:hAnsi="Times New Roman" w:cs="Times New Roman"/>
        </w:rPr>
      </w:pPr>
      <w:r w:rsidRPr="0014589C">
        <w:rPr>
          <w:rFonts w:ascii="Times New Roman"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Pr="0014589C" w:rsidR="00C85DEE" w:rsidP="0014589C" w:rsidRDefault="00C85DEE" w14:paraId="66F52877" w14:textId="5ECFBEC1">
      <w:pPr>
        <w:pStyle w:val="ListParagraph"/>
        <w:numPr>
          <w:ilvl w:val="0"/>
          <w:numId w:val="33"/>
        </w:numPr>
        <w:spacing w:after="240" w:line="240" w:lineRule="auto"/>
        <w:rPr>
          <w:rFonts w:ascii="Times New Roman" w:hAnsi="Times New Roman" w:cs="Times New Roman"/>
        </w:rPr>
      </w:pPr>
      <w:r w:rsidRPr="0014589C">
        <w:rPr>
          <w:rFonts w:ascii="Times New Roman"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252A24" w:rsidRDefault="000F0942" w14:paraId="7B17D95C" w14:textId="77777777">
      <w:pPr>
        <w:pStyle w:val="Heading2"/>
        <w:numPr>
          <w:ilvl w:val="0"/>
          <w:numId w:val="14"/>
        </w:numPr>
        <w:spacing w:before="0" w:after="240" w:line="240" w:lineRule="auto"/>
        <w:rPr>
          <w:rFonts w:ascii="Times New Roman" w:hAnsi="Times New Roman"/>
        </w:rPr>
      </w:pPr>
      <w:bookmarkStart w:name="_Toc513723191" w:id="28"/>
      <w:r w:rsidRPr="00C85DEE">
        <w:rPr>
          <w:rFonts w:ascii="Times New Roman" w:hAnsi="Times New Roman"/>
        </w:rPr>
        <w:t>Sample Weighting, Coverage Bias, and Non-Response Bias</w:t>
      </w:r>
      <w:bookmarkEnd w:id="27"/>
      <w:bookmarkEnd w:id="28"/>
    </w:p>
    <w:p w:rsidRPr="00984AA9" w:rsidR="00416063" w:rsidP="00252A24" w:rsidRDefault="00984AA9" w14:paraId="2E7BFB46" w14:textId="78C4C329">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 xml:space="preserve">A final respondent sample should closely resemble the true population, in terms of the demographic distributions (e.g. age groups). One problem that arises in the survey collection process is </w:t>
      </w:r>
      <w:r w:rsidRPr="00984AA9">
        <w:rPr>
          <w:rFonts w:ascii="Times New Roman" w:hAnsi="Times New Roman" w:eastAsia="Times New Roman" w:cs="Times New Roman"/>
          <w:b/>
          <w:i/>
        </w:rPr>
        <w:t>nonresponse</w:t>
      </w:r>
      <w:r w:rsidRPr="00984AA9">
        <w:rPr>
          <w:rFonts w:ascii="Times New Roman" w:hAnsi="Times New Roman" w:eastAsia="Times New Roman" w:cs="Times New Roman"/>
        </w:rPr>
        <w:t xml:space="preserve">, which is defined as failure of selected persons in the sample to provide responses. This occurs in various degrees to </w:t>
      </w:r>
      <w:r w:rsidRPr="00984AA9">
        <w:rPr>
          <w:rFonts w:ascii="Times New Roman" w:hAnsi="Times New Roman" w:eastAsia="Times New Roman" w:cs="Times New Roman"/>
          <w:i/>
        </w:rPr>
        <w:t>all</w:t>
      </w:r>
      <w:r w:rsidRPr="00984AA9">
        <w:rPr>
          <w:rFonts w:ascii="Times New Roman" w:hAnsi="Times New Roman" w:eastAsia="Times New Roman" w:cs="Times New Roman"/>
        </w:rPr>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rFonts w:ascii="Times New Roman" w:hAnsi="Times New Roman" w:eastAsia="Times New Roman" w:cs="Times New Roman"/>
          <w:b/>
          <w:i/>
        </w:rPr>
        <w:t>under-coverage</w:t>
      </w:r>
      <w:r w:rsidRPr="00984AA9">
        <w:rPr>
          <w:rFonts w:ascii="Times New Roman" w:hAnsi="Times New Roman" w:eastAsia="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reliable, and are said to be </w:t>
      </w:r>
      <w:r w:rsidRPr="00984AA9">
        <w:rPr>
          <w:rFonts w:ascii="Times New Roman" w:hAnsi="Times New Roman" w:eastAsia="Times New Roman" w:cs="Times New Roman"/>
          <w:b/>
        </w:rPr>
        <w:t>biased</w:t>
      </w:r>
      <w:r w:rsidRPr="00984AA9">
        <w:rPr>
          <w:rFonts w:ascii="Times New Roman" w:hAnsi="Times New Roman" w:eastAsia="Times New Roman" w:cs="Times New Roman"/>
        </w:rPr>
        <w:t>.</w:t>
      </w:r>
    </w:p>
    <w:p w:rsidRPr="00984AA9" w:rsidR="00416063" w:rsidP="00252A24" w:rsidRDefault="000F0942" w14:paraId="65F3C770" w14:textId="77777777">
      <w:pPr>
        <w:spacing w:after="120" w:line="240" w:lineRule="auto"/>
        <w:ind w:firstLine="720"/>
        <w:rPr>
          <w:rFonts w:ascii="Times New Roman" w:hAnsi="Times New Roman" w:eastAsia="Times New Roman" w:cs="Times New Roman"/>
        </w:rPr>
      </w:pPr>
      <w:r w:rsidRPr="00984AA9">
        <w:rPr>
          <w:rFonts w:ascii="Times New Roman" w:hAnsi="Times New Roman" w:cs="Times New Roman"/>
        </w:rPr>
        <w:t xml:space="preserve">Survey practitioners recommend the use of sampling weighting to improve inference on the population. This will be </w:t>
      </w:r>
      <w:r w:rsidRPr="00984AA9">
        <w:rPr>
          <w:rFonts w:ascii="Times New Roman" w:hAnsi="Times New Roman" w:eastAsia="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Survey 2 is expected to be small. In many surveys, however, differential response rates may be observed 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hAnsi="Times New Roman" w:eastAsia="Times New Roman" w:cs="Times New Roman"/>
          <w:i/>
        </w:rPr>
        <w:t>non-response bias correction</w:t>
      </w:r>
      <w:r w:rsidRPr="00984AA9">
        <w:rPr>
          <w:rFonts w:ascii="Times New Roman" w:hAnsi="Times New Roman" w:eastAsia="Times New Roman" w:cs="Times New Roman"/>
        </w:rPr>
        <w:t xml:space="preserve"> for a single variable. Strictly speaking, we can never know how non-respondents would have really answered the question, but the aforementioned adjustment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0F0942" w:rsidP="00984AA9" w:rsidRDefault="00416063" w14:paraId="6283406E" w14:textId="130948C1">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tbl>
      <w:tblPr>
        <w:tblStyle w:val="GridTable4-Accent11"/>
        <w:tblW w:w="0" w:type="auto"/>
        <w:jc w:val="center"/>
        <w:tblLook w:val="04A0" w:firstRow="1" w:lastRow="0" w:firstColumn="1" w:lastColumn="0" w:noHBand="0" w:noVBand="1"/>
      </w:tblPr>
      <w:tblGrid>
        <w:gridCol w:w="4392"/>
      </w:tblGrid>
      <w:tr w:rsidR="00E738A2" w:rsidTr="002077B0" w14:paraId="3CF393FE"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2" w:type="dxa"/>
          </w:tcPr>
          <w:p w:rsidRPr="00E738A2" w:rsidR="00E738A2" w:rsidP="002077B0" w:rsidRDefault="00E738A2" w14:paraId="01320FEC" w14:textId="6321B9DE">
            <w:pPr>
              <w:spacing w:after="120" w:line="240" w:lineRule="auto"/>
              <w:jc w:val="center"/>
              <w:rPr>
                <w:rFonts w:ascii="Times New Roman" w:hAnsi="Times New Roman" w:cs="Times New Roman"/>
              </w:rPr>
            </w:pPr>
            <w:r w:rsidRPr="00E738A2">
              <w:rPr>
                <w:rFonts w:ascii="Times New Roman" w:hAnsi="Times New Roman" w:cs="Times New Roman"/>
              </w:rPr>
              <w:t>Stratification Variables</w:t>
            </w:r>
          </w:p>
        </w:tc>
      </w:tr>
      <w:tr w:rsidR="00E738A2" w:rsidTr="002077B0" w14:paraId="75DD3F9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2" w:type="dxa"/>
          </w:tcPr>
          <w:p w:rsidR="00E738A2" w:rsidP="002077B0" w:rsidRDefault="00605A7A" w14:paraId="678141C0" w14:textId="0308C4AE">
            <w:pPr>
              <w:spacing w:after="120" w:line="240" w:lineRule="auto"/>
              <w:jc w:val="center"/>
              <w:rPr>
                <w:rFonts w:ascii="Times New Roman" w:hAnsi="Times New Roman" w:cs="Times New Roman"/>
                <w:b w:val="0"/>
              </w:rPr>
            </w:pPr>
            <w:r>
              <w:rPr>
                <w:rFonts w:ascii="Times New Roman" w:hAnsi="Times New Roman" w:cs="Times New Roman"/>
                <w:b w:val="0"/>
              </w:rPr>
              <w:t>Modality</w:t>
            </w:r>
            <w:r w:rsidR="00214122">
              <w:rPr>
                <w:rFonts w:ascii="Times New Roman" w:hAnsi="Times New Roman" w:cs="Times New Roman"/>
                <w:b w:val="0"/>
              </w:rPr>
              <w:t xml:space="preserve"> </w:t>
            </w:r>
            <w:r w:rsidR="00E738A2">
              <w:rPr>
                <w:rFonts w:ascii="Times New Roman" w:hAnsi="Times New Roman" w:cs="Times New Roman"/>
                <w:b w:val="0"/>
              </w:rPr>
              <w:t>(CVT, HT, SFT)</w:t>
            </w:r>
          </w:p>
        </w:tc>
      </w:tr>
      <w:tr w:rsidR="00E738A2" w:rsidTr="002077B0" w14:paraId="34132255" w14:textId="77777777">
        <w:trPr>
          <w:jc w:val="center"/>
        </w:trPr>
        <w:tc>
          <w:tcPr>
            <w:cnfStyle w:val="001000000000" w:firstRow="0" w:lastRow="0" w:firstColumn="1" w:lastColumn="0" w:oddVBand="0" w:evenVBand="0" w:oddHBand="0" w:evenHBand="0" w:firstRowFirstColumn="0" w:firstRowLastColumn="0" w:lastRowFirstColumn="0" w:lastRowLastColumn="0"/>
            <w:tcW w:w="4392" w:type="dxa"/>
          </w:tcPr>
          <w:p w:rsidR="00E738A2" w:rsidP="002077B0" w:rsidRDefault="00191370" w14:paraId="43DDBBBB" w14:textId="56D998C3">
            <w:pPr>
              <w:spacing w:after="120" w:line="240" w:lineRule="auto"/>
              <w:jc w:val="center"/>
              <w:rPr>
                <w:rFonts w:ascii="Times New Roman" w:hAnsi="Times New Roman" w:cs="Times New Roman"/>
                <w:b w:val="0"/>
              </w:rPr>
            </w:pPr>
            <w:r w:rsidRPr="00191370">
              <w:rPr>
                <w:rFonts w:ascii="Times New Roman" w:hAnsi="Times New Roman" w:cs="Times New Roman"/>
                <w:b w:val="0"/>
              </w:rPr>
              <w:t>Subtype of Survey Modality</w:t>
            </w:r>
          </w:p>
        </w:tc>
      </w:tr>
      <w:tr w:rsidR="00191370" w:rsidTr="002077B0" w14:paraId="329B5FA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2" w:type="dxa"/>
          </w:tcPr>
          <w:p w:rsidR="00191370" w:rsidP="002077B0" w:rsidRDefault="00191370" w14:paraId="13FB8148" w14:textId="03F8D8AF">
            <w:pPr>
              <w:spacing w:after="120" w:line="240" w:lineRule="auto"/>
              <w:jc w:val="center"/>
              <w:rPr>
                <w:rFonts w:ascii="Times New Roman" w:hAnsi="Times New Roman" w:cs="Times New Roman"/>
                <w:b w:val="0"/>
              </w:rPr>
            </w:pPr>
            <w:r>
              <w:rPr>
                <w:rFonts w:ascii="Times New Roman" w:hAnsi="Times New Roman" w:cs="Times New Roman"/>
                <w:b w:val="0"/>
              </w:rPr>
              <w:t>Gender (M, F)</w:t>
            </w:r>
          </w:p>
        </w:tc>
      </w:tr>
      <w:tr w:rsidR="00E738A2" w:rsidTr="002077B0" w14:paraId="060505D1" w14:textId="77777777">
        <w:trPr>
          <w:jc w:val="center"/>
        </w:trPr>
        <w:tc>
          <w:tcPr>
            <w:cnfStyle w:val="001000000000" w:firstRow="0" w:lastRow="0" w:firstColumn="1" w:lastColumn="0" w:oddVBand="0" w:evenVBand="0" w:oddHBand="0" w:evenHBand="0" w:firstRowFirstColumn="0" w:firstRowLastColumn="0" w:lastRowFirstColumn="0" w:lastRowLastColumn="0"/>
            <w:tcW w:w="4392" w:type="dxa"/>
          </w:tcPr>
          <w:p w:rsidR="00E738A2" w:rsidP="002077B0" w:rsidRDefault="00E738A2" w14:paraId="5D18DB83" w14:textId="673A643A">
            <w:pPr>
              <w:spacing w:after="120" w:line="240" w:lineRule="auto"/>
              <w:jc w:val="center"/>
              <w:rPr>
                <w:rFonts w:ascii="Times New Roman" w:hAnsi="Times New Roman" w:cs="Times New Roman"/>
                <w:b w:val="0"/>
              </w:rPr>
            </w:pPr>
            <w:r>
              <w:rPr>
                <w:rFonts w:ascii="Times New Roman" w:hAnsi="Times New Roman" w:cs="Times New Roman"/>
                <w:b w:val="0"/>
              </w:rPr>
              <w:t xml:space="preserve">Age Group </w:t>
            </w:r>
            <w:r w:rsidRPr="00E738A2">
              <w:rPr>
                <w:rFonts w:ascii="Times New Roman" w:hAnsi="Times New Roman" w:cs="Times New Roman"/>
                <w:b w:val="0"/>
              </w:rPr>
              <w:t>(18-</w:t>
            </w:r>
            <w:r w:rsidR="006C1F9E">
              <w:rPr>
                <w:rFonts w:ascii="Times New Roman" w:hAnsi="Times New Roman" w:cs="Times New Roman"/>
                <w:b w:val="0"/>
              </w:rPr>
              <w:t>39</w:t>
            </w:r>
            <w:r w:rsidRPr="00E738A2">
              <w:rPr>
                <w:rFonts w:ascii="Times New Roman" w:hAnsi="Times New Roman" w:cs="Times New Roman"/>
                <w:b w:val="0"/>
              </w:rPr>
              <w:t xml:space="preserve">, </w:t>
            </w:r>
            <w:r w:rsidR="006C1F9E">
              <w:rPr>
                <w:rFonts w:ascii="Times New Roman" w:hAnsi="Times New Roman" w:cs="Times New Roman"/>
                <w:b w:val="0"/>
              </w:rPr>
              <w:t>40-59</w:t>
            </w:r>
            <w:r w:rsidRPr="00E738A2">
              <w:rPr>
                <w:rFonts w:ascii="Times New Roman" w:hAnsi="Times New Roman" w:cs="Times New Roman"/>
                <w:b w:val="0"/>
              </w:rPr>
              <w:t xml:space="preserve">, </w:t>
            </w:r>
            <w:r w:rsidR="006C1F9E">
              <w:rPr>
                <w:rFonts w:ascii="Times New Roman" w:hAnsi="Times New Roman" w:cs="Times New Roman"/>
                <w:b w:val="0"/>
              </w:rPr>
              <w:t>60+</w:t>
            </w:r>
            <w:r w:rsidRPr="00E738A2">
              <w:rPr>
                <w:rFonts w:ascii="Times New Roman" w:hAnsi="Times New Roman" w:cs="Times New Roman"/>
                <w:b w:val="0"/>
              </w:rPr>
              <w:t>)</w:t>
            </w:r>
          </w:p>
        </w:tc>
      </w:tr>
      <w:tr w:rsidR="00E738A2" w:rsidTr="002077B0" w14:paraId="08F08B4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2" w:type="dxa"/>
          </w:tcPr>
          <w:p w:rsidR="00E738A2" w:rsidP="002077B0" w:rsidRDefault="00E738A2" w14:paraId="09BCC77F" w14:textId="6F17C220">
            <w:pPr>
              <w:spacing w:after="120" w:line="240" w:lineRule="auto"/>
              <w:jc w:val="center"/>
              <w:rPr>
                <w:rFonts w:ascii="Times New Roman" w:hAnsi="Times New Roman" w:cs="Times New Roman"/>
                <w:b w:val="0"/>
              </w:rPr>
            </w:pPr>
            <w:r>
              <w:rPr>
                <w:rFonts w:ascii="Times New Roman" w:hAnsi="Times New Roman" w:cs="Times New Roman"/>
                <w:b w:val="0"/>
              </w:rPr>
              <w:t>District</w:t>
            </w:r>
          </w:p>
        </w:tc>
      </w:tr>
    </w:tbl>
    <w:p w:rsidRPr="000B35A5" w:rsidR="00E738A2" w:rsidP="00984AA9" w:rsidRDefault="00E738A2" w14:paraId="1D47F948" w14:textId="77777777">
      <w:pPr>
        <w:spacing w:after="120" w:line="240" w:lineRule="auto"/>
        <w:ind w:firstLine="720"/>
        <w:rPr>
          <w:rFonts w:ascii="Times New Roman" w:hAnsi="Times New Roman" w:cs="Times New Roman"/>
          <w:b/>
        </w:rPr>
      </w:pPr>
    </w:p>
    <w:p w:rsidR="002F5243" w:rsidP="00984AA9" w:rsidRDefault="002F5243" w14:paraId="58C67474" w14:textId="22AECDA4">
      <w:pPr>
        <w:spacing w:after="120" w:line="240" w:lineRule="auto"/>
        <w:ind w:left="360" w:firstLine="360"/>
        <w:rPr>
          <w:rFonts w:ascii="Times New Roman" w:hAnsi="Times New Roman" w:cs="Times New Roman"/>
        </w:rPr>
      </w:pPr>
      <w:r w:rsidRPr="002F5243">
        <w:rPr>
          <w:rFonts w:ascii="Times New Roman" w:hAnsi="Times New Roman" w:cs="Times New Roman"/>
        </w:rPr>
        <w:t>The stratification scheme above will result in a representative sample (w.r.t to the full population).</w:t>
      </w:r>
      <w:r>
        <w:rPr>
          <w:rFonts w:ascii="Times New Roman" w:hAnsi="Times New Roman" w:cs="Times New Roman"/>
        </w:rPr>
        <w:t xml:space="preserve"> </w:t>
      </w:r>
      <w:r w:rsidRPr="002F5243">
        <w:rPr>
          <w:rFonts w:ascii="Times New Roman" w:hAnsi="Times New Roman" w:cs="Times New Roman"/>
        </w:rPr>
        <w:t>Weighting will then be applied so that the sample is more fully matched to the population. Sample weights will be generated for Monthly, and Quarterly estimates.</w:t>
      </w:r>
    </w:p>
    <w:p w:rsidRPr="00BF5747" w:rsidR="000B35A5" w:rsidP="00BF5747" w:rsidRDefault="002F5243" w14:paraId="31E8F6D6" w14:textId="3BD694A8">
      <w:pPr>
        <w:spacing w:after="120" w:line="240" w:lineRule="auto"/>
        <w:ind w:firstLine="720"/>
        <w:rPr>
          <w:rFonts w:ascii="Times New Roman" w:hAnsi="Times New Roman" w:cs="Times New Roman"/>
        </w:rPr>
      </w:pPr>
      <w:r w:rsidRPr="002F5243">
        <w:rPr>
          <w:rFonts w:ascii="Times New Roman" w:hAnsi="Times New Roman" w:cs="Times New Roman"/>
        </w:rPr>
        <w:t>It was reported earlier that the email population comprises 30% of the full Telehealth population. Since 85% of older Americans utilize email</w:t>
      </w:r>
      <w:r>
        <w:rPr>
          <w:rFonts w:ascii="Times New Roman" w:hAnsi="Times New Roman" w:cs="Times New Roman"/>
        </w:rPr>
        <w:t xml:space="preserve"> (Choi &amp; </w:t>
      </w:r>
      <w:proofErr w:type="spellStart"/>
      <w:r>
        <w:rPr>
          <w:rFonts w:ascii="Times New Roman" w:hAnsi="Times New Roman" w:cs="Times New Roman"/>
        </w:rPr>
        <w:t>Dinitto</w:t>
      </w:r>
      <w:proofErr w:type="spellEnd"/>
      <w:r>
        <w:rPr>
          <w:rFonts w:ascii="Times New Roman" w:hAnsi="Times New Roman" w:cs="Times New Roman"/>
        </w:rPr>
        <w:t>, 2013)</w:t>
      </w:r>
      <w:r w:rsidRPr="002F5243">
        <w:rPr>
          <w:rFonts w:ascii="Times New Roman" w:hAnsi="Times New Roman" w:cs="Times New Roman"/>
        </w:rPr>
        <w:t>, we can presume that most veterans choose not to share their email address with VHA or are simply unware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Pr="00F46670" w:rsidR="000523E6" w:rsidP="004C42D1" w:rsidRDefault="00BF5747" w14:paraId="02D54616" w14:textId="36B0AFB5">
      <w:pPr>
        <w:spacing w:after="120" w:line="240" w:lineRule="auto"/>
        <w:ind w:firstLine="720"/>
        <w:rPr>
          <w:rFonts w:ascii="Times New Roman" w:hAnsi="Times New Roman" w:cs="Times New Roman"/>
        </w:rPr>
      </w:pPr>
      <w:r w:rsidRPr="00F46670">
        <w:rPr>
          <w:rFonts w:ascii="Times New Roman" w:hAnsi="Times New Roman" w:eastAsia="Times New Roman" w:cs="Times New Roman"/>
        </w:rPr>
        <w:t xml:space="preserve">Raking or Iterative Proportional Fitting (IPF) will be used as the method for the sampling weighting. The IPF weighting is </w:t>
      </w:r>
      <w:r w:rsidRPr="00F46670" w:rsidR="00F14B85">
        <w:rPr>
          <w:rFonts w:ascii="Times New Roman" w:hAnsi="Times New Roman" w:eastAsia="Times New Roman" w:cs="Times New Roman"/>
        </w:rPr>
        <w:t>a mathematical scaling method, which is used to ensure that the sample data is adjusted so that its marginal (row and column) totals agree with constraining marginal totals from the population data</w:t>
      </w:r>
      <w:r w:rsidRPr="00F46670" w:rsidR="002B3EFB">
        <w:rPr>
          <w:rFonts w:ascii="Times New Roman" w:hAnsi="Times New Roman" w:eastAsia="Times New Roman" w:cs="Times New Roman"/>
        </w:rPr>
        <w:t xml:space="preserve"> (</w:t>
      </w:r>
      <w:r w:rsidRPr="00F46670" w:rsidR="00F86306">
        <w:rPr>
          <w:rFonts w:ascii="Times New Roman" w:hAnsi="Times New Roman" w:eastAsia="Times New Roman" w:cs="Times New Roman"/>
        </w:rPr>
        <w:t>Battaglia et al., 2009</w:t>
      </w:r>
      <w:r w:rsidRPr="00F46670" w:rsidR="00593DED">
        <w:rPr>
          <w:rFonts w:ascii="Times New Roman" w:hAnsi="Times New Roman" w:eastAsia="Times New Roman" w:cs="Times New Roman"/>
        </w:rPr>
        <w:t>;</w:t>
      </w:r>
      <w:r w:rsidRPr="00F46670" w:rsidR="00F86306">
        <w:rPr>
          <w:rFonts w:ascii="Times New Roman" w:hAnsi="Times New Roman" w:eastAsia="Times New Roman" w:cs="Times New Roman"/>
        </w:rPr>
        <w:t xml:space="preserve"> </w:t>
      </w:r>
      <w:proofErr w:type="spellStart"/>
      <w:r w:rsidRPr="00F46670" w:rsidR="00F86306">
        <w:rPr>
          <w:rFonts w:ascii="Times New Roman" w:hAnsi="Times New Roman" w:eastAsia="Times New Roman" w:cs="Times New Roman"/>
        </w:rPr>
        <w:t>Kalton</w:t>
      </w:r>
      <w:proofErr w:type="spellEnd"/>
      <w:r w:rsidRPr="00F46670" w:rsidR="00F86306">
        <w:rPr>
          <w:rFonts w:ascii="Times New Roman" w:hAnsi="Times New Roman" w:eastAsia="Times New Roman" w:cs="Times New Roman"/>
        </w:rPr>
        <w:t xml:space="preserve"> &amp; Flores-Cervantes, 2003</w:t>
      </w:r>
      <w:r w:rsidRPr="00F46670" w:rsidR="00640793">
        <w:rPr>
          <w:rFonts w:ascii="Times New Roman" w:hAnsi="Times New Roman" w:eastAsia="Times New Roman" w:cs="Times New Roman"/>
        </w:rPr>
        <w:t>;</w:t>
      </w:r>
      <w:r w:rsidRPr="00F46670" w:rsidR="00593DED">
        <w:rPr>
          <w:rFonts w:ascii="Times New Roman" w:hAnsi="Times New Roman" w:eastAsia="Times New Roman" w:cs="Times New Roman"/>
        </w:rPr>
        <w:t xml:space="preserve"> </w:t>
      </w:r>
      <w:proofErr w:type="spellStart"/>
      <w:r w:rsidRPr="00F46670" w:rsidR="00593DED">
        <w:rPr>
          <w:rFonts w:ascii="Times New Roman" w:hAnsi="Times New Roman" w:eastAsia="Times New Roman" w:cs="Times New Roman"/>
        </w:rPr>
        <w:t>Kolenikov</w:t>
      </w:r>
      <w:proofErr w:type="spellEnd"/>
      <w:r w:rsidRPr="00F46670" w:rsidR="00593DED">
        <w:rPr>
          <w:rFonts w:ascii="Times New Roman" w:hAnsi="Times New Roman" w:eastAsia="Times New Roman" w:cs="Times New Roman"/>
        </w:rPr>
        <w:t>, 2014</w:t>
      </w:r>
      <w:r w:rsidRPr="00F46670" w:rsidR="00F86306">
        <w:rPr>
          <w:rFonts w:ascii="Times New Roman" w:hAnsi="Times New Roman" w:eastAsia="Times New Roman" w:cs="Times New Roman"/>
        </w:rPr>
        <w:t>)</w:t>
      </w:r>
      <w:r w:rsidRPr="00F46670" w:rsidR="00F14B85">
        <w:rPr>
          <w:rFonts w:ascii="Times New Roman" w:hAnsi="Times New Roman" w:eastAsia="Times New Roman" w:cs="Times New Roman"/>
        </w:rPr>
        <w:t xml:space="preserve">. </w:t>
      </w:r>
      <w:r w:rsidRPr="00F46670" w:rsidR="004C42D1">
        <w:rPr>
          <w:rFonts w:ascii="Times New Roman" w:hAnsi="Times New Roman" w:eastAsia="Times New Roman" w:cs="Times New Roman"/>
        </w:rPr>
        <w:t>Therefore, the response probabilities in IPF depend on the row and column and not on the particular cell</w:t>
      </w:r>
      <w:r w:rsidRPr="00F46670" w:rsidR="0055076E">
        <w:rPr>
          <w:rFonts w:ascii="Times New Roman" w:hAnsi="Times New Roman" w:eastAsia="Times New Roman" w:cs="Times New Roman"/>
        </w:rPr>
        <w:t xml:space="preserve"> (</w:t>
      </w:r>
      <w:proofErr w:type="spellStart"/>
      <w:r w:rsidRPr="00F46670" w:rsidR="0055076E">
        <w:rPr>
          <w:rFonts w:ascii="Times New Roman" w:hAnsi="Times New Roman" w:cs="Times New Roman"/>
        </w:rPr>
        <w:t>Lohr</w:t>
      </w:r>
      <w:proofErr w:type="spellEnd"/>
      <w:r w:rsidRPr="00F46670" w:rsidR="0055076E">
        <w:rPr>
          <w:rFonts w:ascii="Times New Roman" w:hAnsi="Times New Roman" w:cs="Times New Roman"/>
        </w:rPr>
        <w:t>, 1999)</w:t>
      </w:r>
      <w:r w:rsidRPr="00F46670" w:rsidR="004C42D1">
        <w:rPr>
          <w:rFonts w:ascii="Times New Roman" w:hAnsi="Times New Roman" w:eastAsia="Times New Roman" w:cs="Times New Roman"/>
        </w:rPr>
        <w:t xml:space="preserve">. </w:t>
      </w:r>
      <w:r w:rsidRPr="00F46670" w:rsidR="00F14B85">
        <w:rPr>
          <w:rFonts w:ascii="Times New Roman" w:hAnsi="Times New Roman" w:eastAsia="Times New Roman" w:cs="Times New Roman"/>
        </w:rPr>
        <w:t xml:space="preserve">IPF acts as </w:t>
      </w:r>
      <w:r w:rsidRPr="00F46670">
        <w:rPr>
          <w:rFonts w:ascii="Times New Roman" w:hAnsi="Times New Roman" w:cs="Times New Roman"/>
        </w:rPr>
        <w:t>an iterative process of recalculating the weights</w:t>
      </w:r>
      <w:r w:rsidRPr="00F46670" w:rsidR="00F14B85">
        <w:rPr>
          <w:rFonts w:ascii="Times New Roman" w:hAnsi="Times New Roman" w:cs="Times New Roman"/>
        </w:rPr>
        <w:t xml:space="preserve"> </w:t>
      </w:r>
      <w:r w:rsidRPr="00F46670">
        <w:rPr>
          <w:rFonts w:ascii="Times New Roman" w:hAnsi="Times New Roman" w:cs="Times New Roman"/>
        </w:rPr>
        <w:t xml:space="preserve">so that the </w:t>
      </w:r>
      <w:r w:rsidRPr="00F46670" w:rsidR="00F9602E">
        <w:rPr>
          <w:rFonts w:ascii="Times New Roman" w:hAnsi="Times New Roman" w:cs="Times New Roman"/>
        </w:rPr>
        <w:t>original sample values are gradually adjusted through repeated calculations to fit the marginal constrains</w:t>
      </w:r>
      <w:r w:rsidRPr="00F46670" w:rsidR="00857908">
        <w:rPr>
          <w:rFonts w:ascii="Times New Roman" w:hAnsi="Times New Roman" w:cs="Times New Roman"/>
        </w:rPr>
        <w:t xml:space="preserve"> </w:t>
      </w:r>
      <w:r w:rsidRPr="00F46670" w:rsidR="00415CEF">
        <w:rPr>
          <w:rFonts w:ascii="Times New Roman" w:hAnsi="Times New Roman" w:cs="Times New Roman"/>
        </w:rPr>
        <w:t>from the pop</w:t>
      </w:r>
      <w:r w:rsidRPr="00F46670" w:rsidR="002D25EB">
        <w:rPr>
          <w:rFonts w:ascii="Times New Roman" w:hAnsi="Times New Roman" w:cs="Times New Roman"/>
        </w:rPr>
        <w:t>u</w:t>
      </w:r>
      <w:r w:rsidRPr="00F46670" w:rsidR="00415CEF">
        <w:rPr>
          <w:rFonts w:ascii="Times New Roman" w:hAnsi="Times New Roman" w:cs="Times New Roman"/>
        </w:rPr>
        <w:t>lation</w:t>
      </w:r>
      <w:r w:rsidRPr="00F46670" w:rsidR="00857908">
        <w:rPr>
          <w:rFonts w:ascii="Times New Roman" w:hAnsi="Times New Roman" w:cs="Times New Roman"/>
        </w:rPr>
        <w:t xml:space="preserve">. </w:t>
      </w:r>
      <w:r w:rsidR="00F46670">
        <w:rPr>
          <w:rFonts w:ascii="Times New Roman" w:hAnsi="Times New Roman" w:cs="Times New Roman"/>
        </w:rPr>
        <w:t xml:space="preserve">The starting weights correspond to the inverse of the probability of selection multiple by a non-response adjustment </w:t>
      </w:r>
      <w:proofErr w:type="spellStart"/>
      <w:r w:rsidR="00F46670">
        <w:rPr>
          <w:rFonts w:ascii="Times New Roman" w:hAnsi="Times New Roman" w:cs="Times New Roman"/>
        </w:rPr>
        <w:t>factor.</w:t>
      </w:r>
      <w:r w:rsidRPr="00F46670" w:rsidR="001B22E5">
        <w:rPr>
          <w:rFonts w:ascii="Times New Roman" w:hAnsi="Times New Roman" w:cs="Times New Roman"/>
        </w:rPr>
        <w:t>The</w:t>
      </w:r>
      <w:proofErr w:type="spellEnd"/>
      <w:r w:rsidRPr="00F46670" w:rsidR="001B22E5">
        <w:rPr>
          <w:rFonts w:ascii="Times New Roman" w:hAnsi="Times New Roman" w:cs="Times New Roman"/>
        </w:rPr>
        <w:t xml:space="preserve"> final sample data is a joint probability distribution of maximum likelihood estimates obtained when the probabilities are convergent within an acceptable (pre-defined) level of tolerance</w:t>
      </w:r>
      <w:r w:rsidRPr="00F46670" w:rsidR="006951B2">
        <w:rPr>
          <w:rFonts w:ascii="Times New Roman" w:hAnsi="Times New Roman" w:cs="Times New Roman"/>
        </w:rPr>
        <w:t>.</w:t>
      </w:r>
      <w:r w:rsidRPr="00F46670" w:rsidR="00A931C8">
        <w:rPr>
          <w:rFonts w:ascii="Times New Roman" w:hAnsi="Times New Roman" w:cs="Times New Roman"/>
        </w:rPr>
        <w:t xml:space="preserve"> </w:t>
      </w:r>
      <w:r w:rsidRPr="00F46670" w:rsidR="004C42D1">
        <w:rPr>
          <w:rFonts w:ascii="Times New Roman" w:hAnsi="Times New Roman" w:cs="Times New Roman"/>
        </w:rPr>
        <w:t xml:space="preserve">The completion of IPF depends on the convergence of the algorithm that requires the cell estimates </w:t>
      </w:r>
      <w:r w:rsidRPr="00F46670" w:rsidR="001544E6">
        <w:rPr>
          <w:rFonts w:ascii="Times New Roman" w:hAnsi="Times New Roman" w:cs="Times New Roman"/>
        </w:rPr>
        <w:t>are not</w:t>
      </w:r>
      <w:r w:rsidRPr="00F46670" w:rsidR="004C42D1">
        <w:rPr>
          <w:rFonts w:ascii="Times New Roman" w:hAnsi="Times New Roman" w:cs="Times New Roman"/>
        </w:rPr>
        <w:t xml:space="preserve"> zero.</w:t>
      </w:r>
      <w:r w:rsidRPr="00F46670" w:rsidR="002B7C6E">
        <w:rPr>
          <w:rFonts w:ascii="Times New Roman" w:hAnsi="Times New Roman" w:cs="Times New Roman"/>
        </w:rPr>
        <w:t xml:space="preserve"> </w:t>
      </w:r>
    </w:p>
    <w:p w:rsidRPr="00F46670" w:rsidR="0076099E" w:rsidP="004C42D1" w:rsidRDefault="0076099E" w14:paraId="502F59E0" w14:textId="1FB1BCA9">
      <w:pPr>
        <w:spacing w:after="120" w:line="240" w:lineRule="auto"/>
        <w:ind w:firstLine="720"/>
        <w:rPr>
          <w:rFonts w:ascii="Times New Roman" w:hAnsi="Times New Roman" w:eastAsia="Times New Roman" w:cs="Times New Roman"/>
        </w:rPr>
      </w:pPr>
      <w:r w:rsidRPr="00F46670">
        <w:rPr>
          <w:rFonts w:ascii="Times New Roman" w:hAnsi="Times New Roman" w:eastAsia="Times New Roman" w:cs="Times New Roman"/>
        </w:rPr>
        <w:t xml:space="preserve">The </w:t>
      </w:r>
      <w:r w:rsidRPr="00F46670" w:rsidR="00D816D4">
        <w:rPr>
          <w:rFonts w:ascii="Times New Roman" w:hAnsi="Times New Roman" w:eastAsia="Times New Roman" w:cs="Times New Roman"/>
        </w:rPr>
        <w:t>mathematical definitions of IPF are indicated below (Wong, 1992):</w:t>
      </w:r>
    </w:p>
    <w:p w:rsidRPr="00F46670" w:rsidR="000523E6" w:rsidP="001B22E5" w:rsidRDefault="000E7C24" w14:paraId="3951B61A" w14:textId="78BB74BF">
      <w:pPr>
        <w:spacing w:after="120" w:line="240" w:lineRule="auto"/>
        <w:ind w:firstLine="72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d>
                <m:dPr>
                  <m:ctrlPr>
                    <w:rPr>
                      <w:rFonts w:ascii="Cambria Math" w:hAnsi="Cambria Math" w:cs="Times New Roman"/>
                      <w:i/>
                    </w:rPr>
                  </m:ctrlPr>
                </m:dPr>
                <m:e>
                  <m:r>
                    <w:rPr>
                      <w:rFonts w:ascii="Cambria Math" w:hAnsi="Cambria Math" w:cs="Times New Roman"/>
                    </w:rPr>
                    <m:t>k+1</m:t>
                  </m:r>
                </m:e>
              </m:d>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num>
            <m:den>
              <m:nary>
                <m:naryPr>
                  <m:chr m:val="∑"/>
                  <m:limLoc m:val="undOvr"/>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e>
              </m:nary>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r>
            <w:rPr>
              <w:rFonts w:ascii="Cambria Math" w:hAnsi="Cambria Math" w:cs="Times New Roman"/>
            </w:rPr>
            <m:t xml:space="preserve">          (1)</m:t>
          </m:r>
        </m:oMath>
      </m:oMathPara>
    </w:p>
    <w:p w:rsidRPr="00F46670" w:rsidR="00F50F74" w:rsidP="001B22E5" w:rsidRDefault="00F50F74" w14:paraId="052112B4" w14:textId="77777777">
      <w:pPr>
        <w:spacing w:after="120" w:line="240" w:lineRule="auto"/>
        <w:ind w:firstLine="720"/>
        <w:rPr>
          <w:rFonts w:ascii="Times New Roman" w:hAnsi="Times New Roman" w:cs="Times New Roman"/>
        </w:rPr>
      </w:pPr>
    </w:p>
    <w:p w:rsidRPr="00F46670" w:rsidR="00F50F74" w:rsidP="00F50F74" w:rsidRDefault="000E7C24" w14:paraId="2DA59098" w14:textId="3C2B475B">
      <w:pPr>
        <w:spacing w:after="120" w:line="240" w:lineRule="auto"/>
        <w:ind w:firstLine="72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d>
                <m:dPr>
                  <m:ctrlPr>
                    <w:rPr>
                      <w:rFonts w:ascii="Cambria Math" w:hAnsi="Cambria Math" w:cs="Times New Roman"/>
                      <w:i/>
                    </w:rPr>
                  </m:ctrlPr>
                </m:dPr>
                <m:e>
                  <m:r>
                    <w:rPr>
                      <w:rFonts w:ascii="Cambria Math" w:hAnsi="Cambria Math" w:cs="Times New Roman"/>
                    </w:rPr>
                    <m:t>k+2</m:t>
                  </m:r>
                </m:e>
              </m:d>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ij(k+1)</m:t>
                  </m:r>
                </m:sub>
              </m:sSub>
            </m:num>
            <m:den>
              <m:nary>
                <m:naryPr>
                  <m:chr m:val="∑"/>
                  <m:limLoc m:val="undOvr"/>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ij(k+1)</m:t>
                      </m:r>
                    </m:sub>
                  </m:sSub>
                </m:e>
              </m:nary>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r>
            <w:rPr>
              <w:rFonts w:ascii="Cambria Math" w:hAnsi="Cambria Math" w:cs="Times New Roman"/>
            </w:rPr>
            <m:t xml:space="preserve">          (2)</m:t>
          </m:r>
        </m:oMath>
      </m:oMathPara>
    </w:p>
    <w:p w:rsidRPr="00F46670" w:rsidR="00F50F74" w:rsidP="001B22E5" w:rsidRDefault="00F50F74" w14:paraId="464D48BB" w14:textId="25E7B73A">
      <w:pPr>
        <w:spacing w:after="120" w:line="240" w:lineRule="auto"/>
        <w:ind w:firstLine="720"/>
        <w:rPr>
          <w:rFonts w:ascii="Times New Roman" w:hAnsi="Times New Roman" w:cs="Times New Roman"/>
        </w:rPr>
      </w:pPr>
      <w:r w:rsidRPr="00F46670">
        <w:rPr>
          <w:rFonts w:ascii="Times New Roman" w:hAnsi="Times New Roman" w:cs="Times New Roman"/>
        </w:rPr>
        <w:t>Where</w:t>
      </w:r>
    </w:p>
    <w:p w:rsidRPr="00F46670" w:rsidR="00F50F74" w:rsidP="00F50F74" w:rsidRDefault="000E7C24" w14:paraId="3B9CAC5E" w14:textId="277EA665">
      <w:pPr>
        <w:pStyle w:val="ListParagraph"/>
        <w:numPr>
          <w:ilvl w:val="0"/>
          <w:numId w:val="34"/>
        </w:numPr>
        <w:spacing w:after="120" w:line="24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oMath>
      <w:r w:rsidRPr="00F46670" w:rsidR="00F50F74">
        <w:rPr>
          <w:rFonts w:ascii="Times New Roman" w:hAnsi="Times New Roman" w:cs="Times New Roman"/>
        </w:rPr>
        <w:t xml:space="preserve"> is the ma</w:t>
      </w:r>
      <w:r w:rsidRPr="00F46670" w:rsidR="004273E7">
        <w:rPr>
          <w:rFonts w:ascii="Times New Roman" w:hAnsi="Times New Roman" w:cs="Times New Roman"/>
        </w:rPr>
        <w:t>trix</w:t>
      </w:r>
      <w:r w:rsidRPr="00F46670" w:rsidR="00F50F74">
        <w:rPr>
          <w:rFonts w:ascii="Times New Roman" w:hAnsi="Times New Roman" w:cs="Times New Roman"/>
        </w:rPr>
        <w:t xml:space="preserve"> element in row i, column j, and iteration k.</w:t>
      </w:r>
    </w:p>
    <w:p w:rsidRPr="00F46670" w:rsidR="00F50F74" w:rsidP="00F50F74" w:rsidRDefault="000E7C24" w14:paraId="456CF8F2" w14:textId="27846EFE">
      <w:pPr>
        <w:pStyle w:val="ListParagraph"/>
        <w:numPr>
          <w:ilvl w:val="0"/>
          <w:numId w:val="34"/>
        </w:numPr>
        <w:spacing w:after="120" w:line="24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oMath>
      <w:r w:rsidRPr="00F46670" w:rsidR="00F50F74">
        <w:rPr>
          <w:rFonts w:ascii="Times New Roman" w:hAnsi="Times New Roman" w:cs="Times New Roman"/>
        </w:rPr>
        <w:t xml:space="preserve"> are the pre-defined row totals and column totals respectively.</w:t>
      </w:r>
    </w:p>
    <w:p w:rsidRPr="00F46670" w:rsidR="00F50F74" w:rsidP="00F50F74" w:rsidRDefault="00F50F74" w14:paraId="1EA2CB0F" w14:textId="77777777">
      <w:pPr>
        <w:pStyle w:val="ListParagraph"/>
        <w:spacing w:after="120" w:line="240" w:lineRule="auto"/>
        <w:ind w:left="1440"/>
        <w:rPr>
          <w:rFonts w:ascii="Times New Roman" w:hAnsi="Times New Roman" w:cs="Times New Roman"/>
        </w:rPr>
      </w:pPr>
    </w:p>
    <w:p w:rsidRPr="00F46670" w:rsidR="007C4821" w:rsidP="007C4821" w:rsidRDefault="00F50F74" w14:paraId="2A88A838" w14:textId="080CC35B">
      <w:pPr>
        <w:spacing w:after="120" w:line="240" w:lineRule="auto"/>
        <w:ind w:left="720"/>
        <w:rPr>
          <w:rFonts w:ascii="Times New Roman" w:hAnsi="Times New Roman" w:cs="Times New Roman"/>
        </w:rPr>
      </w:pPr>
      <w:r w:rsidRPr="00F46670">
        <w:rPr>
          <w:rFonts w:ascii="Times New Roman" w:hAnsi="Times New Roman" w:cs="Times New Roman"/>
        </w:rPr>
        <w:t>Equation</w:t>
      </w:r>
      <w:r w:rsidRPr="00F46670" w:rsidR="002C05FA">
        <w:rPr>
          <w:rFonts w:ascii="Times New Roman" w:hAnsi="Times New Roman" w:cs="Times New Roman"/>
        </w:rPr>
        <w:t>s</w:t>
      </w:r>
      <w:r w:rsidRPr="00F46670">
        <w:rPr>
          <w:rFonts w:ascii="Times New Roman" w:hAnsi="Times New Roman" w:cs="Times New Roman"/>
        </w:rPr>
        <w:t xml:space="preserve"> (1) and (2) are employed iteratively to estimate new cell values and will theoretically stop at iteration m </w:t>
      </w:r>
      <w:r w:rsidRPr="00F46670" w:rsidR="007C4821">
        <w:rPr>
          <w:rFonts w:ascii="Times New Roman" w:hAnsi="Times New Roman" w:cs="Times New Roman"/>
        </w:rPr>
        <w:t>where:</w:t>
      </w:r>
    </w:p>
    <w:p w:rsidR="00F14B85" w:rsidP="00A56E8C" w:rsidRDefault="000E7C24" w14:paraId="33F6A459" w14:textId="4E617B53">
      <w:pPr>
        <w:spacing w:after="120" w:line="240" w:lineRule="auto"/>
        <w:ind w:firstLine="720"/>
        <w:rPr>
          <w:rFonts w:ascii="Times New Roman" w:hAnsi="Times New Roman" w:cs="Times New Roman"/>
        </w:rPr>
      </w:pPr>
      <m:oMathPara>
        <m:oMath>
          <m:nary>
            <m:naryPr>
              <m:chr m:val="∑"/>
              <m:limLoc m:val="undOvr"/>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m:t>
                  </m:r>
                </m:sub>
              </m:sSub>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r>
            <w:rPr>
              <w:rFonts w:ascii="Cambria Math" w:hAnsi="Cambria Math" w:cs="Times New Roman"/>
            </w:rPr>
            <m:t xml:space="preserve"> and </m:t>
          </m:r>
          <m:nary>
            <m:naryPr>
              <m:chr m:val="∑"/>
              <m:limLoc m:val="undOvr"/>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m:oMathPara>
    </w:p>
    <w:p w:rsidRPr="00F14B85" w:rsidR="00F14B85" w:rsidP="00081763" w:rsidRDefault="00F14B85" w14:paraId="14387744" w14:textId="77777777">
      <w:pPr>
        <w:spacing w:after="120" w:line="240" w:lineRule="auto"/>
        <w:rPr>
          <w:rFonts w:ascii="Times New Roman" w:hAnsi="Times New Roman" w:cs="Times New Roman"/>
        </w:rPr>
      </w:pPr>
    </w:p>
    <w:p w:rsidRPr="00222409" w:rsidR="00222409" w:rsidP="00222409" w:rsidRDefault="000F0942" w14:paraId="04EEB14F" w14:textId="29451EEF">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This statistic is an indication of the amount of variation that may be expected due to the inclusion of weighting. </w:t>
      </w:r>
      <w:r w:rsidRPr="00222409" w:rsidR="00222409">
        <w:rPr>
          <w:rFonts w:ascii="Times New Roman" w:hAnsi="Times New Roman" w:cs="Times New Roman"/>
        </w:rPr>
        <w:t>The unequal weighting effect estimates the percent increase in the variance of the final estimate due to the presence of weights and is calculated as</w:t>
      </w:r>
      <w:r w:rsidR="00222409">
        <w:rPr>
          <w:rFonts w:ascii="Times New Roman" w:hAnsi="Times New Roman" w:cs="Times New Roman"/>
        </w:rPr>
        <w:t>:</w:t>
      </w:r>
    </w:p>
    <w:p w:rsidRPr="00222409" w:rsidR="00222409" w:rsidP="00222409" w:rsidRDefault="00E3742F" w14:paraId="5414C6D7" w14:textId="5129DC32">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rsidRDefault="00222409" w14:paraId="3C1D0737" w14:textId="429BB80C">
      <w:pPr>
        <w:spacing w:after="120" w:line="240" w:lineRule="auto"/>
        <w:rPr>
          <w:rFonts w:ascii="Times New Roman" w:hAnsi="Times New Roman" w:cs="Times New Roman"/>
        </w:rPr>
      </w:pPr>
      <w:r w:rsidRPr="00222409">
        <w:rPr>
          <w:rFonts w:ascii="Times New Roman" w:hAnsi="Times New Roman" w:cs="Times New Roman"/>
        </w:rPr>
        <w:t xml:space="preserve">where </w:t>
      </w:r>
    </w:p>
    <w:p w:rsidR="00222409" w:rsidP="004202EB" w:rsidRDefault="00222409" w14:paraId="55D55412" w14:textId="47A65452">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Pr="00A82D89" w:rsidR="00A82D89" w:rsidP="004202EB" w:rsidRDefault="00A82D89" w14:paraId="52FD96FE" w14:textId="6ED28A0C">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Pr="00936A7C" w:rsidR="00222409" w:rsidP="00936A7C" w:rsidRDefault="000E7C24" w14:paraId="64A789F8" w14:textId="048E6C85">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Pr="00C85DEE" w:rsidR="00936A7C" w:rsidP="00936A7C" w:rsidRDefault="00936A7C" w14:paraId="47FA0AD6" w14:textId="636C24C7">
      <w:pPr>
        <w:pStyle w:val="Heading2"/>
        <w:numPr>
          <w:ilvl w:val="0"/>
          <w:numId w:val="14"/>
        </w:numPr>
        <w:spacing w:before="0" w:after="240" w:line="240" w:lineRule="auto"/>
        <w:rPr>
          <w:rFonts w:ascii="Times New Roman" w:hAnsi="Times New Roman"/>
        </w:rPr>
      </w:pPr>
      <w:bookmarkStart w:name="_Toc513723192" w:id="29"/>
      <w:r>
        <w:rPr>
          <w:rFonts w:ascii="Times New Roman" w:hAnsi="Times New Roman"/>
        </w:rPr>
        <w:t>Quarantine Rules</w:t>
      </w:r>
      <w:bookmarkEnd w:id="29"/>
    </w:p>
    <w:p w:rsidRPr="00C85DEE" w:rsidR="000F0942" w:rsidP="00257B5B" w:rsidRDefault="000F0942" w14:paraId="252BCC20" w14:textId="5CE6F12F">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These rules are enacted to prevent excessive recruitment attempts upon Telehealth patients. VEO also monitors veteran participation within other surveys, to ensure veterans 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r w:rsidRPr="00C85DEE">
        <w:rPr>
          <w:rFonts w:ascii="Times New Roman" w:hAnsi="Times New Roman" w:cs="Times New Roman"/>
        </w:rPr>
        <w:t xml:space="preserve">VEO also monitors Veteran participation within other surveys, to ensure Veterans do not experience survey </w:t>
      </w:r>
      <w:r w:rsidRPr="00C85DEE">
        <w:rPr>
          <w:rFonts w:ascii="Times New Roman" w:hAnsi="Times New Roman" w:cs="Times New Roman"/>
          <w:i/>
        </w:rPr>
        <w:t xml:space="preserve">fatigue. </w:t>
      </w:r>
      <w:r w:rsidRPr="00C85DEE">
        <w:rPr>
          <w:rFonts w:ascii="Times New Roman" w:hAnsi="Times New Roman" w:cs="Times New Roman"/>
        </w:rPr>
        <w:t>Finally, all VEO surveys offer options for respondents to opt out, and ensure they are no longer contacted for a specific survey.</w:t>
      </w:r>
    </w:p>
    <w:p w:rsidRPr="00C85DEE" w:rsidR="000F0942" w:rsidP="00257B5B" w:rsidRDefault="000F0942" w14:paraId="1C429C74" w14:textId="4F2125AA">
      <w:pPr>
        <w:spacing w:after="24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5023B9" w:rsidTr="005023B9" w14:paraId="6761327B"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5023B9" w:rsidP="00356B66" w:rsidRDefault="005023B9" w14:paraId="01D06D2F" w14:textId="77777777">
            <w:pPr>
              <w:rPr>
                <w:rFonts w:cstheme="minorHAnsi"/>
                <w:b w:val="0"/>
              </w:rPr>
            </w:pPr>
            <w:r w:rsidRPr="005023B9">
              <w:rPr>
                <w:rFonts w:cstheme="minorHAnsi"/>
              </w:rPr>
              <w:t>Quarantine Rule</w:t>
            </w:r>
          </w:p>
        </w:tc>
        <w:tc>
          <w:tcPr>
            <w:tcW w:w="5670" w:type="dxa"/>
          </w:tcPr>
          <w:p w:rsidRPr="005023B9" w:rsidR="005023B9" w:rsidP="00356B66" w:rsidRDefault="005023B9" w14:paraId="33F949EA"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5023B9" w:rsidP="00356B66" w:rsidRDefault="005023B9" w14:paraId="7D95656E"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5023B9" w:rsidTr="005023B9" w14:paraId="274A6F9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16DA8CE6" w14:textId="77777777">
            <w:pPr>
              <w:rPr>
                <w:rFonts w:cstheme="minorHAnsi"/>
              </w:rPr>
            </w:pPr>
            <w:r w:rsidRPr="00491605">
              <w:rPr>
                <w:rFonts w:cstheme="minorHAnsi"/>
              </w:rPr>
              <w:t>Repeated Sampling for Telehealth Survey</w:t>
            </w:r>
          </w:p>
        </w:tc>
        <w:tc>
          <w:tcPr>
            <w:tcW w:w="5670" w:type="dxa"/>
          </w:tcPr>
          <w:p w:rsidRPr="004E6DC5" w:rsidR="005023B9" w:rsidP="00356B66" w:rsidRDefault="005023B9" w14:paraId="595C22D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Number of days between receiving/completing online survey, prior to receiving email invitation for a separate Telehealth experience</w:t>
            </w:r>
          </w:p>
        </w:tc>
        <w:tc>
          <w:tcPr>
            <w:tcW w:w="1530" w:type="dxa"/>
          </w:tcPr>
          <w:p w:rsidRPr="001947E9" w:rsidR="005023B9" w:rsidP="00356B66" w:rsidRDefault="005023B9" w14:paraId="3EB0FF9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1947E9">
              <w:rPr>
                <w:rFonts w:cstheme="minorHAnsi"/>
              </w:rPr>
              <w:t xml:space="preserve">60 Days </w:t>
            </w:r>
          </w:p>
        </w:tc>
      </w:tr>
      <w:tr w:rsidRPr="00363FE0" w:rsidR="005023B9" w:rsidTr="005023B9" w14:paraId="11C67113"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DA7D9FB" w14:textId="77777777">
            <w:pPr>
              <w:rPr>
                <w:rFonts w:cstheme="minorHAnsi"/>
              </w:rPr>
            </w:pPr>
            <w:r w:rsidRPr="00491605">
              <w:rPr>
                <w:rFonts w:cstheme="minorHAnsi"/>
              </w:rPr>
              <w:t>Other VEO Surveys</w:t>
            </w:r>
          </w:p>
        </w:tc>
        <w:tc>
          <w:tcPr>
            <w:tcW w:w="5670" w:type="dxa"/>
          </w:tcPr>
          <w:p w:rsidRPr="00663B4E" w:rsidR="005023B9" w:rsidP="00356B66" w:rsidRDefault="005023B9" w14:paraId="5B62622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5023B9" w:rsidP="00356B66" w:rsidRDefault="009D2B32" w14:paraId="685B4DD9" w14:textId="6DA15AB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Pr="00663B4E" w:rsidR="005023B9">
              <w:rPr>
                <w:rFonts w:cstheme="minorHAnsi"/>
              </w:rPr>
              <w:t>0 Days</w:t>
            </w:r>
          </w:p>
        </w:tc>
      </w:tr>
      <w:tr w:rsidRPr="00363FE0" w:rsidR="005023B9" w:rsidTr="005023B9" w14:paraId="2305483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04ECA752" w14:textId="3351828E">
            <w:pPr>
              <w:rPr>
                <w:rFonts w:cstheme="minorHAnsi"/>
              </w:rPr>
            </w:pPr>
            <w:r w:rsidRPr="00491605">
              <w:rPr>
                <w:rFonts w:cstheme="minorHAnsi"/>
              </w:rPr>
              <w:t>Prioritization</w:t>
            </w:r>
          </w:p>
        </w:tc>
        <w:tc>
          <w:tcPr>
            <w:tcW w:w="5670" w:type="dxa"/>
          </w:tcPr>
          <w:p w:rsidRPr="00491605" w:rsidR="005023B9" w:rsidP="00356B66" w:rsidRDefault="00F46670" w14:paraId="05DB97DC" w14:textId="43D9FBA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Prioritization is based on the observe</w:t>
            </w:r>
            <w:r w:rsidR="004A1A51">
              <w:rPr>
                <w:rFonts w:cstheme="minorHAnsi"/>
              </w:rPr>
              <w:t>d</w:t>
            </w:r>
            <w:r>
              <w:rPr>
                <w:rFonts w:cstheme="minorHAnsi"/>
              </w:rPr>
              <w:t xml:space="preserve"> sample siz</w:t>
            </w:r>
            <w:r w:rsidR="004A1A51">
              <w:rPr>
                <w:rFonts w:cstheme="minorHAnsi"/>
              </w:rPr>
              <w:t xml:space="preserve">es. </w:t>
            </w:r>
          </w:p>
        </w:tc>
        <w:tc>
          <w:tcPr>
            <w:tcW w:w="1530" w:type="dxa"/>
          </w:tcPr>
          <w:p w:rsidRPr="00663B4E" w:rsidR="005023B9" w:rsidP="00356B66" w:rsidRDefault="005023B9" w14:paraId="545D86B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r w:rsidRPr="00363FE0" w:rsidR="005023B9" w:rsidTr="005023B9" w14:paraId="3FE6B662"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D7908D2" w14:textId="77777777">
            <w:pPr>
              <w:rPr>
                <w:rFonts w:cstheme="minorHAnsi"/>
              </w:rPr>
            </w:pPr>
            <w:r w:rsidRPr="00491605">
              <w:rPr>
                <w:rFonts w:cstheme="minorHAnsi"/>
              </w:rPr>
              <w:t>Opt Outs</w:t>
            </w:r>
          </w:p>
        </w:tc>
        <w:tc>
          <w:tcPr>
            <w:tcW w:w="5670" w:type="dxa"/>
          </w:tcPr>
          <w:p w:rsidRPr="00491605" w:rsidR="005023B9" w:rsidP="00356B66" w:rsidRDefault="005023B9" w14:paraId="5754617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5023B9" w:rsidP="00356B66" w:rsidRDefault="005023B9" w14:paraId="5B2BF1C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bl>
    <w:p w:rsidRPr="00C85DEE" w:rsidR="000F0942" w:rsidP="000F0942" w:rsidRDefault="000F0942" w14:paraId="2BB6BB44" w14:textId="77777777">
      <w:pPr>
        <w:rPr>
          <w:rFonts w:ascii="Times New Roman" w:hAnsi="Times New Roman" w:cs="Times New Roman"/>
        </w:rPr>
      </w:pPr>
    </w:p>
    <w:p w:rsidRPr="00C535DC" w:rsidR="00130733" w:rsidP="00130733" w:rsidRDefault="00130733" w14:paraId="11BE6789" w14:textId="77777777">
      <w:pPr>
        <w:pStyle w:val="Heading1"/>
        <w:spacing w:before="0" w:after="240" w:line="240" w:lineRule="auto"/>
        <w:rPr>
          <w:rFonts w:ascii="Times New Roman" w:hAnsi="Times New Roman"/>
        </w:rPr>
      </w:pPr>
      <w:bookmarkStart w:name="_Toc516137687" w:id="30"/>
      <w:bookmarkStart w:name="_Toc490572153" w:id="31"/>
      <w:bookmarkStart w:name="_Toc490572159" w:id="32"/>
      <w:bookmarkStart w:name="_Toc513723199" w:id="33"/>
      <w:bookmarkEnd w:id="9"/>
      <w:r w:rsidRPr="00C535DC">
        <w:rPr>
          <w:rFonts w:ascii="Times New Roman" w:hAnsi="Times New Roman"/>
        </w:rPr>
        <w:t>Part III – Assumptions and Limitations</w:t>
      </w:r>
      <w:bookmarkEnd w:id="30"/>
    </w:p>
    <w:p w:rsidRPr="00C535DC" w:rsidR="00130733" w:rsidP="00130733" w:rsidRDefault="00130733" w14:paraId="5096BE39" w14:textId="2D6E6496">
      <w:pPr>
        <w:pStyle w:val="Heading2"/>
        <w:spacing w:before="0" w:after="240" w:line="240" w:lineRule="auto"/>
        <w:rPr>
          <w:rFonts w:ascii="Times New Roman" w:hAnsi="Times New Roman"/>
        </w:rPr>
      </w:pPr>
      <w:bookmarkStart w:name="_Toc516137688" w:id="34"/>
      <w:r w:rsidRPr="00C535DC">
        <w:rPr>
          <w:rFonts w:ascii="Times New Roman" w:hAnsi="Times New Roman"/>
        </w:rPr>
        <w:t xml:space="preserve">A. </w:t>
      </w:r>
      <w:bookmarkEnd w:id="31"/>
      <w:bookmarkEnd w:id="34"/>
      <w:r w:rsidR="0019351C">
        <w:rPr>
          <w:rFonts w:ascii="Times New Roman" w:hAnsi="Times New Roman"/>
        </w:rPr>
        <w:t>Repeated Surveys</w:t>
      </w:r>
    </w:p>
    <w:p w:rsidRPr="00C535DC" w:rsidR="00130733" w:rsidP="00130733" w:rsidRDefault="0019351C" w14:paraId="420C672D" w14:textId="094A9B17">
      <w:pPr>
        <w:pStyle w:val="NoSpacing"/>
        <w:spacing w:after="240"/>
        <w:ind w:firstLine="720"/>
        <w:rPr>
          <w:rFonts w:ascii="Times New Roman" w:hAnsi="Times New Roman" w:cs="Times New Roman"/>
        </w:rPr>
      </w:pPr>
      <w:r>
        <w:rPr>
          <w:rFonts w:ascii="Times New Roman" w:hAnsi="Times New Roman" w:cs="Times New Roman"/>
        </w:rPr>
        <w:t>There are currently existing Telehealth Surveys that are administered electronically to patients through means other than email. This double-surveying may reduce the expected 20% response rate for the VEO Telehealth Survey, due to survey fatigue of Telehealth patients. The response rate will be monitored, and the number of patients contacted may be increased to maintain the final respondent targets.</w:t>
      </w:r>
    </w:p>
    <w:p w:rsidRPr="00C535DC" w:rsidR="00130733" w:rsidP="00130733" w:rsidRDefault="00130733" w14:paraId="70DEF459" w14:textId="20D2B2FA">
      <w:pPr>
        <w:pStyle w:val="Heading2"/>
        <w:spacing w:before="0" w:after="240" w:line="240" w:lineRule="auto"/>
        <w:rPr>
          <w:rFonts w:ascii="Times New Roman" w:hAnsi="Times New Roman"/>
        </w:rPr>
      </w:pPr>
      <w:bookmarkStart w:name="_Toc490572154" w:id="35"/>
      <w:bookmarkStart w:name="_Toc516137689" w:id="36"/>
      <w:r w:rsidRPr="00C535DC">
        <w:rPr>
          <w:rFonts w:ascii="Times New Roman" w:hAnsi="Times New Roman"/>
        </w:rPr>
        <w:t xml:space="preserve">B. </w:t>
      </w:r>
      <w:bookmarkEnd w:id="35"/>
      <w:bookmarkEnd w:id="36"/>
      <w:r w:rsidR="0019351C">
        <w:rPr>
          <w:rFonts w:ascii="Times New Roman" w:hAnsi="Times New Roman"/>
        </w:rPr>
        <w:t>Coverage Bias</w:t>
      </w:r>
    </w:p>
    <w:p w:rsidRPr="00C535DC" w:rsidR="00130733" w:rsidP="00130733" w:rsidRDefault="0019351C" w14:paraId="3450F3B8" w14:textId="5E3BE6E3">
      <w:pPr>
        <w:spacing w:after="240" w:line="240" w:lineRule="auto"/>
        <w:ind w:firstLine="720"/>
        <w:rPr>
          <w:rFonts w:ascii="Times New Roman" w:hAnsi="Times New Roman" w:cs="Times New Roman"/>
        </w:rPr>
      </w:pPr>
      <w:r>
        <w:rPr>
          <w:rFonts w:ascii="Times New Roman" w:hAnsi="Times New Roman" w:cs="Times New Roman"/>
        </w:rPr>
        <w:t xml:space="preserve">Since the VEO Telehealth Survey is email only, there is a large population VHA patients that cannot be reached by the survey. Veterans that lack access to the internet or do not use email may have different </w:t>
      </w:r>
      <w:r w:rsidR="00244E1A">
        <w:rPr>
          <w:rFonts w:ascii="Times New Roman" w:hAnsi="Times New Roman" w:cs="Times New Roman"/>
        </w:rPr>
        <w:t xml:space="preserve">levels of Trust and satisfaction with their service. However, the majority of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assess the amount of coverage bias due, and derive adjustment factors in the presence of non-negligible bias. </w:t>
      </w:r>
    </w:p>
    <w:p w:rsidRPr="00C535DC" w:rsidR="00130733" w:rsidP="00130733" w:rsidRDefault="00130733" w14:paraId="20A29736" w14:textId="3D0ABB47">
      <w:pPr>
        <w:pStyle w:val="Heading2"/>
        <w:spacing w:before="0" w:after="240" w:line="240" w:lineRule="auto"/>
        <w:rPr>
          <w:rFonts w:ascii="Times New Roman" w:hAnsi="Times New Roman"/>
        </w:rPr>
      </w:pPr>
      <w:bookmarkStart w:name="_Toc516137690" w:id="37"/>
      <w:r w:rsidRPr="00C535DC">
        <w:rPr>
          <w:rFonts w:ascii="Times New Roman" w:hAnsi="Times New Roman"/>
        </w:rPr>
        <w:t xml:space="preserve">C. </w:t>
      </w:r>
      <w:bookmarkEnd w:id="37"/>
      <w:r w:rsidR="00C535DC">
        <w:rPr>
          <w:rFonts w:ascii="Times New Roman" w:hAnsi="Times New Roman"/>
        </w:rPr>
        <w:t>Other Issues</w:t>
      </w:r>
    </w:p>
    <w:p w:rsidRPr="00C535DC" w:rsidR="00C535DC" w:rsidP="00C535DC" w:rsidRDefault="00C535DC" w14:paraId="6B870CCE" w14:textId="40C4F7FA">
      <w:pPr>
        <w:pStyle w:val="NoSpacing"/>
        <w:spacing w:after="240"/>
        <w:ind w:firstLine="720"/>
        <w:rPr>
          <w:rFonts w:ascii="Times New Roman" w:hAnsi="Times New Roman" w:cs="Times New Roman"/>
        </w:rPr>
      </w:pPr>
      <w:r w:rsidRPr="00C535DC">
        <w:rPr>
          <w:rFonts w:ascii="Times New Roman" w:hAnsi="Times New Roman" w:cs="Times New Roman"/>
        </w:rPr>
        <w:t>The telehealth service may have limited use to the diagnosis and treatment of common illnesses and conditions. Veterans who have complex disease types, such as cancer or tumor, may not choose to use telehealth to pursuit the medical care even if they are located in the remote area. The telehealth service users do not cover Veterans with a wide spectrum of diseases. Therefore, the Veteran respondent types should be incorporated into consideration when interpreting the survey results and applications.</w:t>
      </w:r>
    </w:p>
    <w:p w:rsidR="00130733" w:rsidP="00C535DC" w:rsidRDefault="00130733" w14:paraId="188FC365" w14:textId="77777777">
      <w:pPr>
        <w:ind w:firstLine="720"/>
        <w:rPr>
          <w:rFonts w:ascii="Times New Roman" w:hAnsi="Times New Roman" w:cs="Times New Roman"/>
        </w:rPr>
      </w:pPr>
      <w:r w:rsidRPr="00C535DC">
        <w:rPr>
          <w:rFonts w:ascii="Times New Roman" w:hAnsi="Times New Roman" w:cs="Times New Roman"/>
        </w:rPr>
        <w:t>The telehealth service rating may require Veterans to be familiar with and have access to modern technologies (e.g., Apps, Mobil Appt, Online Video Chat). Therefore, Veterans who use the telehealth services and respond to the survey may be younger in age. The demographic distribution of the survey respondents will be reviewed by the VEO when receiving the survey results.</w:t>
      </w:r>
    </w:p>
    <w:bookmarkEnd w:id="32"/>
    <w:bookmarkEnd w:id="33"/>
    <w:p w:rsidRPr="00C535DC" w:rsidR="00C535DC" w:rsidP="00C535DC" w:rsidRDefault="00C535DC" w14:paraId="0991FDDF" w14:textId="77777777">
      <w:pPr>
        <w:spacing w:after="240" w:line="240" w:lineRule="auto"/>
        <w:ind w:firstLine="720"/>
        <w:rPr>
          <w:rFonts w:ascii="Times New Roman" w:hAnsi="Times New Roman" w:cs="Times New Roman"/>
        </w:rPr>
      </w:pPr>
      <w:r w:rsidRPr="00C535DC">
        <w:rPr>
          <w:rFonts w:ascii="Times New Roman" w:hAnsi="Times New Roman" w:cs="Times New Roman"/>
        </w:rPr>
        <w:t>Home Telehealth is designed to provide medical care and services to high-risk Veterans with chronic disease. When such patients receive the survey, their family members, caregivers, or nurses are likely to respond to the survey on behalf of them. Therefore, the feedback and information from the primary source may be missing. VEO will continue to identify these responses in the VA databases and assess the effect of them on the Telehealth Survey estimates.</w:t>
      </w:r>
    </w:p>
    <w:p w:rsidRPr="00C85DEE" w:rsidR="00C535DC" w:rsidP="00AB4D39" w:rsidRDefault="00C535DC" w14:paraId="1047D40A" w14:textId="77777777">
      <w:pPr>
        <w:pStyle w:val="ColorfulList-Accent11"/>
        <w:spacing w:after="240" w:line="240" w:lineRule="auto"/>
        <w:ind w:left="0" w:firstLine="720"/>
        <w:rPr>
          <w:rFonts w:ascii="Times New Roman" w:hAnsi="Times New Roman" w:cs="Times New Roman"/>
        </w:rPr>
        <w:sectPr w:rsidRPr="00C85DEE" w:rsidR="00C535DC" w:rsidSect="00056DE5">
          <w:footerReference w:type="default" r:id="rId13"/>
          <w:pgSz w:w="15840" w:h="12240" w:orient="landscape"/>
          <w:pgMar w:top="1440" w:right="1440" w:bottom="1440" w:left="1440" w:header="720" w:footer="720" w:gutter="0"/>
          <w:cols w:space="720"/>
          <w:docGrid w:linePitch="360"/>
        </w:sectPr>
      </w:pPr>
    </w:p>
    <w:p w:rsidRPr="007142DF" w:rsidR="000E66E9" w:rsidP="007142DF" w:rsidRDefault="00DF2046" w14:paraId="05AC04D9" w14:textId="34CDF034">
      <w:pPr>
        <w:pStyle w:val="Heading1"/>
        <w:spacing w:after="240" w:line="240" w:lineRule="auto"/>
        <w:rPr>
          <w:rFonts w:ascii="Times New Roman" w:hAnsi="Times New Roman"/>
        </w:rPr>
      </w:pPr>
      <w:bookmarkStart w:name="_Toc490572161" w:id="38"/>
      <w:bookmarkStart w:name="_Toc513723200" w:id="39"/>
      <w:r w:rsidRPr="00C85DEE">
        <w:rPr>
          <w:rFonts w:ascii="Times New Roman" w:hAnsi="Times New Roman"/>
        </w:rPr>
        <w:t xml:space="preserve">Part </w:t>
      </w:r>
      <w:r w:rsidRPr="00C85DEE" w:rsidR="0004235D">
        <w:rPr>
          <w:rFonts w:ascii="Times New Roman" w:hAnsi="Times New Roman"/>
        </w:rPr>
        <w:t>IV</w:t>
      </w:r>
      <w:r w:rsidRPr="00C85DEE">
        <w:rPr>
          <w:rFonts w:ascii="Times New Roman" w:hAnsi="Times New Roman"/>
        </w:rPr>
        <w:t xml:space="preserve"> - Appendices</w:t>
      </w:r>
      <w:bookmarkEnd w:id="10"/>
      <w:bookmarkEnd w:id="38"/>
      <w:bookmarkEnd w:id="39"/>
    </w:p>
    <w:p w:rsidR="000135E0" w:rsidP="003C0525" w:rsidRDefault="00090E2A" w14:paraId="795E9E31" w14:textId="31678025">
      <w:pPr>
        <w:pStyle w:val="Heading2"/>
        <w:spacing w:before="0" w:after="240" w:line="240" w:lineRule="auto"/>
        <w:rPr>
          <w:rFonts w:ascii="Times New Roman" w:hAnsi="Times New Roman" w:eastAsia="Calibri"/>
          <w:b/>
        </w:rPr>
      </w:pPr>
      <w:bookmarkStart w:name="_Toc513723203" w:id="40"/>
      <w:r w:rsidRPr="00C85DEE">
        <w:rPr>
          <w:rFonts w:ascii="Times New Roman" w:hAnsi="Times New Roman" w:eastAsia="Calibri"/>
          <w:b/>
        </w:rPr>
        <w:t>Appendix</w:t>
      </w:r>
      <w:r w:rsidR="007142DF">
        <w:rPr>
          <w:rFonts w:ascii="Times New Roman" w:hAnsi="Times New Roman" w:eastAsia="Calibri"/>
          <w:b/>
        </w:rPr>
        <w:t xml:space="preserve"> 1</w:t>
      </w:r>
      <w:r w:rsidRPr="00C85DEE">
        <w:rPr>
          <w:rFonts w:ascii="Times New Roman" w:hAnsi="Times New Roman" w:eastAsia="Calibri"/>
          <w:b/>
        </w:rPr>
        <w:t>. References</w:t>
      </w:r>
      <w:bookmarkEnd w:id="40"/>
    </w:p>
    <w:p w:rsidR="00F91507" w:rsidP="0026309F" w:rsidRDefault="00F91507" w14:paraId="170AFB1E" w14:textId="3B9E046A">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proofErr w:type="spellStart"/>
      <w:r w:rsidRPr="00F91507">
        <w:rPr>
          <w:rFonts w:ascii="Times New Roman" w:hAnsi="Times New Roman" w:cs="Times New Roman"/>
        </w:rPr>
        <w:t>Dinitto</w:t>
      </w:r>
      <w:proofErr w:type="spellEnd"/>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F91507" w:rsidR="00F03B46" w:rsidP="0026309F" w:rsidRDefault="00F03B46" w14:paraId="381C1945" w14:textId="6B114428">
      <w:pPr>
        <w:spacing w:after="120" w:line="240" w:lineRule="auto"/>
        <w:ind w:left="720" w:hanging="720"/>
        <w:rPr>
          <w:rFonts w:ascii="Times New Roman" w:hAnsi="Times New Roman" w:cs="Times New Roman"/>
        </w:rPr>
      </w:pPr>
      <w:proofErr w:type="spellStart"/>
      <w:r>
        <w:rPr>
          <w:rFonts w:ascii="Times New Roman" w:hAnsi="Times New Roman" w:cs="Times New Roman"/>
        </w:rPr>
        <w:t>Kalton</w:t>
      </w:r>
      <w:proofErr w:type="spellEnd"/>
      <w:r>
        <w:rPr>
          <w:rFonts w:ascii="Times New Roman" w:hAnsi="Times New Roman" w:cs="Times New Roman"/>
        </w:rPr>
        <w:t>,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rsidRDefault="003935D9" w14:paraId="6C610BCF" w14:textId="0F50B5C4">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26309F" w:rsidP="0026309F" w:rsidRDefault="0026309F" w14:paraId="2659CDFC" w14:textId="2EE29C62">
      <w:pPr>
        <w:spacing w:after="120" w:line="240" w:lineRule="auto"/>
        <w:ind w:left="720" w:hanging="720"/>
        <w:rPr>
          <w:rFonts w:ascii="Times New Roman" w:hAnsi="Times New Roman" w:cs="Times New Roman"/>
        </w:rPr>
      </w:pPr>
      <w:proofErr w:type="spellStart"/>
      <w:r w:rsidRPr="0026309F">
        <w:rPr>
          <w:rFonts w:ascii="Times New Roman" w:hAnsi="Times New Roman" w:cs="Times New Roman"/>
        </w:rPr>
        <w:t>Kolenikov</w:t>
      </w:r>
      <w:proofErr w:type="spellEnd"/>
      <w:r w:rsidRPr="0026309F">
        <w:rPr>
          <w:rFonts w:ascii="Times New Roman" w:hAnsi="Times New Roman" w:cs="Times New Roman"/>
        </w:rPr>
        <w:t xml:space="preserve">,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Pr="00C85DEE" w:rsidR="008D02CF" w:rsidP="0026309F" w:rsidRDefault="00FD5840" w14:paraId="42DB0864" w14:textId="092065FD">
      <w:pPr>
        <w:spacing w:after="120" w:line="240" w:lineRule="auto"/>
        <w:ind w:left="720" w:hanging="720"/>
        <w:rPr>
          <w:rFonts w:ascii="Times New Roman" w:hAnsi="Times New Roman" w:cs="Times New Roman"/>
        </w:rPr>
      </w:pPr>
      <w:proofErr w:type="spellStart"/>
      <w:r w:rsidRPr="00C85DEE">
        <w:rPr>
          <w:rFonts w:ascii="Times New Roman" w:hAnsi="Times New Roman" w:cs="Times New Roman"/>
        </w:rPr>
        <w:t>Lohr</w:t>
      </w:r>
      <w:proofErr w:type="spellEnd"/>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rsidRDefault="00EB742E" w14:paraId="4699EEBD" w14:textId="59020745">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proofErr w:type="spellStart"/>
      <w:r w:rsidRPr="00C85DEE">
        <w:rPr>
          <w:rFonts w:ascii="Times New Roman" w:hAnsi="Times New Roman" w:cs="Times New Roman"/>
        </w:rPr>
        <w:t>Iannacchione</w:t>
      </w:r>
      <w:proofErr w:type="spellEnd"/>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Pr="00C85DEE" w:rsidR="004D2A2E" w:rsidP="004D2A2E" w:rsidRDefault="004D2A2E" w14:paraId="3DDDCA71" w14:textId="7C2BC722">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Pr="00C85DEE" w:rsidR="00090E2A" w:rsidP="00090E2A" w:rsidRDefault="00700BEF" w14:paraId="30B927D3" w14:textId="7D57AE0B">
      <w:pPr>
        <w:rPr>
          <w:rFonts w:ascii="Times New Roman" w:hAnsi="Times New Roman" w:cs="Times New Roman"/>
        </w:rPr>
      </w:pPr>
      <w:r>
        <w:rPr>
          <w:rFonts w:ascii="Times New Roman" w:hAnsi="Times New Roman" w:cs="Times New Roman"/>
        </w:rPr>
        <w:t xml:space="preserve"> </w:t>
      </w:r>
      <w:bookmarkEnd w:id="2"/>
    </w:p>
    <w:sectPr w:rsidRPr="00C85DEE" w:rsidR="00090E2A" w:rsidSect="00056DE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B8BEB" w14:textId="77777777" w:rsidR="000E7C24" w:rsidRDefault="000E7C24" w:rsidP="007A0A94">
      <w:pPr>
        <w:spacing w:after="0" w:line="240" w:lineRule="auto"/>
      </w:pPr>
      <w:r>
        <w:separator/>
      </w:r>
    </w:p>
  </w:endnote>
  <w:endnote w:type="continuationSeparator" w:id="0">
    <w:p w14:paraId="1D227D93" w14:textId="77777777" w:rsidR="000E7C24" w:rsidRDefault="000E7C24" w:rsidP="007A0A94">
      <w:pPr>
        <w:spacing w:after="0" w:line="240" w:lineRule="auto"/>
      </w:pPr>
      <w:r>
        <w:continuationSeparator/>
      </w:r>
    </w:p>
  </w:endnote>
  <w:endnote w:type="continuationNotice" w:id="1">
    <w:p w14:paraId="3BD5D198" w14:textId="77777777" w:rsidR="000E7C24" w:rsidRDefault="000E7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5212" w14:textId="08EC5F31" w:rsidR="00152394" w:rsidRPr="00941F40" w:rsidRDefault="00152394" w:rsidP="00941F40">
    <w:pPr>
      <w:pStyle w:val="Footer"/>
      <w:tabs>
        <w:tab w:val="clear" w:pos="4680"/>
        <w:tab w:val="clear" w:pos="9360"/>
      </w:tabs>
      <w:rPr>
        <w:caps/>
        <w:noProof/>
        <w:color w:val="5B9BD5" w:themeColor="accent1"/>
      </w:rPr>
    </w:pPr>
    <w:r w:rsidRPr="00572F3F">
      <w:rPr>
        <w:rFonts w:cs="Times New Roman"/>
        <w:noProof/>
        <w:sz w:val="16"/>
        <w:szCs w:val="16"/>
      </w:rPr>
      <w:drawing>
        <wp:inline distT="0" distB="0" distL="0" distR="0" wp14:anchorId="4D164CCF" wp14:editId="6B8D71BF">
          <wp:extent cx="1205386" cy="4480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5386" cy="448056"/>
                  </a:xfrm>
                  <a:prstGeom prst="rect">
                    <a:avLst/>
                  </a:prstGeom>
                  <a:ln/>
                </pic:spPr>
              </pic:pic>
            </a:graphicData>
          </a:graphic>
        </wp:inline>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44E1A">
      <w:rPr>
        <w:caps/>
        <w:noProof/>
        <w:color w:val="5B9BD5" w:themeColor="accent1"/>
      </w:rPr>
      <w:t>1</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9E771" w14:textId="77777777" w:rsidR="000E7C24" w:rsidRDefault="000E7C24" w:rsidP="007A0A94">
      <w:pPr>
        <w:spacing w:after="0" w:line="240" w:lineRule="auto"/>
      </w:pPr>
      <w:r>
        <w:separator/>
      </w:r>
    </w:p>
  </w:footnote>
  <w:footnote w:type="continuationSeparator" w:id="0">
    <w:p w14:paraId="11BBB6D4" w14:textId="77777777" w:rsidR="000E7C24" w:rsidRDefault="000E7C24" w:rsidP="007A0A94">
      <w:pPr>
        <w:spacing w:after="0" w:line="240" w:lineRule="auto"/>
      </w:pPr>
      <w:r>
        <w:continuationSeparator/>
      </w:r>
    </w:p>
  </w:footnote>
  <w:footnote w:type="continuationNotice" w:id="1">
    <w:p w14:paraId="627D92EC" w14:textId="77777777" w:rsidR="000E7C24" w:rsidRDefault="000E7C24">
      <w:pPr>
        <w:spacing w:after="0" w:line="240" w:lineRule="auto"/>
      </w:pPr>
    </w:p>
  </w:footnote>
  <w:footnote w:id="2">
    <w:p w14:paraId="021DD85E" w14:textId="57C90FC0" w:rsidR="00152394" w:rsidRDefault="00152394">
      <w:pPr>
        <w:pStyle w:val="FootnoteText"/>
      </w:pPr>
      <w:r>
        <w:rPr>
          <w:rStyle w:val="FootnoteReference"/>
        </w:rPr>
        <w:footnoteRef/>
      </w:r>
      <w:r>
        <w:t xml:space="preserve"> </w:t>
      </w:r>
      <w:r w:rsidRPr="008D3CD6">
        <w:t>VA Telehealth Services Fact Sheet FY17, Office of Connected Care, VHA, 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0C9"/>
    <w:multiLevelType w:val="hybridMultilevel"/>
    <w:tmpl w:val="BBC64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97460C"/>
    <w:multiLevelType w:val="hybridMultilevel"/>
    <w:tmpl w:val="DCC8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24E4B"/>
    <w:multiLevelType w:val="hybridMultilevel"/>
    <w:tmpl w:val="B09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B0505"/>
    <w:multiLevelType w:val="hybridMultilevel"/>
    <w:tmpl w:val="8088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009C6"/>
    <w:multiLevelType w:val="hybridMultilevel"/>
    <w:tmpl w:val="9418FC48"/>
    <w:lvl w:ilvl="0" w:tplc="15D6F1C0">
      <w:start w:val="1"/>
      <w:numFmt w:val="upperLetter"/>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C692906"/>
    <w:multiLevelType w:val="hybridMultilevel"/>
    <w:tmpl w:val="1D3C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52469"/>
    <w:multiLevelType w:val="hybridMultilevel"/>
    <w:tmpl w:val="33BABB3C"/>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04124"/>
    <w:multiLevelType w:val="hybridMultilevel"/>
    <w:tmpl w:val="6E58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B65C4"/>
    <w:multiLevelType w:val="hybridMultilevel"/>
    <w:tmpl w:val="BE5A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1419C"/>
    <w:multiLevelType w:val="hybridMultilevel"/>
    <w:tmpl w:val="2FFC4398"/>
    <w:lvl w:ilvl="0" w:tplc="3132D320">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E4D0291"/>
    <w:multiLevelType w:val="hybridMultilevel"/>
    <w:tmpl w:val="5EFC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A1B11"/>
    <w:multiLevelType w:val="hybridMultilevel"/>
    <w:tmpl w:val="41B4F678"/>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7" w15:restartNumberingAfterBreak="0">
    <w:nsid w:val="30E5784F"/>
    <w:multiLevelType w:val="hybridMultilevel"/>
    <w:tmpl w:val="8B02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D768B"/>
    <w:multiLevelType w:val="hybridMultilevel"/>
    <w:tmpl w:val="FFEA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F2D64"/>
    <w:multiLevelType w:val="hybridMultilevel"/>
    <w:tmpl w:val="B9602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CC496F"/>
    <w:multiLevelType w:val="hybridMultilevel"/>
    <w:tmpl w:val="E2BCF634"/>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3CD9073C"/>
    <w:multiLevelType w:val="hybridMultilevel"/>
    <w:tmpl w:val="925C442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3E672B72"/>
    <w:multiLevelType w:val="hybridMultilevel"/>
    <w:tmpl w:val="EDE4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A6703"/>
    <w:multiLevelType w:val="hybridMultilevel"/>
    <w:tmpl w:val="79924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5" w15:restartNumberingAfterBreak="0">
    <w:nsid w:val="4B9D0B10"/>
    <w:multiLevelType w:val="hybridMultilevel"/>
    <w:tmpl w:val="F5100A92"/>
    <w:lvl w:ilvl="0" w:tplc="0409000F">
      <w:start w:val="1"/>
      <w:numFmt w:val="decimal"/>
      <w:lvlText w:val="%1."/>
      <w:lvlJc w:val="left"/>
      <w:pPr>
        <w:ind w:left="360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5AE54594"/>
    <w:multiLevelType w:val="hybridMultilevel"/>
    <w:tmpl w:val="FBF69F84"/>
    <w:lvl w:ilvl="0" w:tplc="0409000F">
      <w:start w:val="1"/>
      <w:numFmt w:val="decimal"/>
      <w:lvlText w:val="%1."/>
      <w:lvlJc w:val="lef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7" w15:restartNumberingAfterBreak="0">
    <w:nsid w:val="5FA32930"/>
    <w:multiLevelType w:val="hybridMultilevel"/>
    <w:tmpl w:val="A548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E6960"/>
    <w:multiLevelType w:val="hybridMultilevel"/>
    <w:tmpl w:val="418E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9468D"/>
    <w:multiLevelType w:val="hybridMultilevel"/>
    <w:tmpl w:val="A54A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668DD"/>
    <w:multiLevelType w:val="hybridMultilevel"/>
    <w:tmpl w:val="7B3A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E0511"/>
    <w:multiLevelType w:val="hybridMultilevel"/>
    <w:tmpl w:val="F4CAA9AA"/>
    <w:lvl w:ilvl="0" w:tplc="677A4588">
      <w:start w:val="1"/>
      <w:numFmt w:val="bullet"/>
      <w:lvlText w:val="•"/>
      <w:lvlJc w:val="left"/>
      <w:pPr>
        <w:tabs>
          <w:tab w:val="num" w:pos="720"/>
        </w:tabs>
        <w:ind w:left="720" w:hanging="360"/>
      </w:pPr>
      <w:rPr>
        <w:rFonts w:ascii="Arial" w:hAnsi="Arial" w:hint="default"/>
      </w:rPr>
    </w:lvl>
    <w:lvl w:ilvl="1" w:tplc="FFFAD8E2" w:tentative="1">
      <w:start w:val="1"/>
      <w:numFmt w:val="bullet"/>
      <w:lvlText w:val="•"/>
      <w:lvlJc w:val="left"/>
      <w:pPr>
        <w:tabs>
          <w:tab w:val="num" w:pos="1440"/>
        </w:tabs>
        <w:ind w:left="1440" w:hanging="360"/>
      </w:pPr>
      <w:rPr>
        <w:rFonts w:ascii="Arial" w:hAnsi="Arial" w:hint="default"/>
      </w:rPr>
    </w:lvl>
    <w:lvl w:ilvl="2" w:tplc="DBD8AB88" w:tentative="1">
      <w:start w:val="1"/>
      <w:numFmt w:val="bullet"/>
      <w:lvlText w:val="•"/>
      <w:lvlJc w:val="left"/>
      <w:pPr>
        <w:tabs>
          <w:tab w:val="num" w:pos="2160"/>
        </w:tabs>
        <w:ind w:left="2160" w:hanging="360"/>
      </w:pPr>
      <w:rPr>
        <w:rFonts w:ascii="Arial" w:hAnsi="Arial" w:hint="default"/>
      </w:rPr>
    </w:lvl>
    <w:lvl w:ilvl="3" w:tplc="170A593C" w:tentative="1">
      <w:start w:val="1"/>
      <w:numFmt w:val="bullet"/>
      <w:lvlText w:val="•"/>
      <w:lvlJc w:val="left"/>
      <w:pPr>
        <w:tabs>
          <w:tab w:val="num" w:pos="2880"/>
        </w:tabs>
        <w:ind w:left="2880" w:hanging="360"/>
      </w:pPr>
      <w:rPr>
        <w:rFonts w:ascii="Arial" w:hAnsi="Arial" w:hint="default"/>
      </w:rPr>
    </w:lvl>
    <w:lvl w:ilvl="4" w:tplc="DC08D222" w:tentative="1">
      <w:start w:val="1"/>
      <w:numFmt w:val="bullet"/>
      <w:lvlText w:val="•"/>
      <w:lvlJc w:val="left"/>
      <w:pPr>
        <w:tabs>
          <w:tab w:val="num" w:pos="3600"/>
        </w:tabs>
        <w:ind w:left="3600" w:hanging="360"/>
      </w:pPr>
      <w:rPr>
        <w:rFonts w:ascii="Arial" w:hAnsi="Arial" w:hint="default"/>
      </w:rPr>
    </w:lvl>
    <w:lvl w:ilvl="5" w:tplc="1D5005AA" w:tentative="1">
      <w:start w:val="1"/>
      <w:numFmt w:val="bullet"/>
      <w:lvlText w:val="•"/>
      <w:lvlJc w:val="left"/>
      <w:pPr>
        <w:tabs>
          <w:tab w:val="num" w:pos="4320"/>
        </w:tabs>
        <w:ind w:left="4320" w:hanging="360"/>
      </w:pPr>
      <w:rPr>
        <w:rFonts w:ascii="Arial" w:hAnsi="Arial" w:hint="default"/>
      </w:rPr>
    </w:lvl>
    <w:lvl w:ilvl="6" w:tplc="B5421FC0" w:tentative="1">
      <w:start w:val="1"/>
      <w:numFmt w:val="bullet"/>
      <w:lvlText w:val="•"/>
      <w:lvlJc w:val="left"/>
      <w:pPr>
        <w:tabs>
          <w:tab w:val="num" w:pos="5040"/>
        </w:tabs>
        <w:ind w:left="5040" w:hanging="360"/>
      </w:pPr>
      <w:rPr>
        <w:rFonts w:ascii="Arial" w:hAnsi="Arial" w:hint="default"/>
      </w:rPr>
    </w:lvl>
    <w:lvl w:ilvl="7" w:tplc="6A6295B2" w:tentative="1">
      <w:start w:val="1"/>
      <w:numFmt w:val="bullet"/>
      <w:lvlText w:val="•"/>
      <w:lvlJc w:val="left"/>
      <w:pPr>
        <w:tabs>
          <w:tab w:val="num" w:pos="5760"/>
        </w:tabs>
        <w:ind w:left="5760" w:hanging="360"/>
      </w:pPr>
      <w:rPr>
        <w:rFonts w:ascii="Arial" w:hAnsi="Arial" w:hint="default"/>
      </w:rPr>
    </w:lvl>
    <w:lvl w:ilvl="8" w:tplc="738EB1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BE5FD2"/>
    <w:multiLevelType w:val="hybridMultilevel"/>
    <w:tmpl w:val="6EE4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25"/>
  </w:num>
  <w:num w:numId="4">
    <w:abstractNumId w:val="21"/>
  </w:num>
  <w:num w:numId="5">
    <w:abstractNumId w:val="26"/>
  </w:num>
  <w:num w:numId="6">
    <w:abstractNumId w:val="20"/>
  </w:num>
  <w:num w:numId="7">
    <w:abstractNumId w:val="6"/>
  </w:num>
  <w:num w:numId="8">
    <w:abstractNumId w:val="24"/>
  </w:num>
  <w:num w:numId="9">
    <w:abstractNumId w:val="16"/>
  </w:num>
  <w:num w:numId="10">
    <w:abstractNumId w:val="10"/>
  </w:num>
  <w:num w:numId="11">
    <w:abstractNumId w:val="27"/>
  </w:num>
  <w:num w:numId="12">
    <w:abstractNumId w:val="15"/>
  </w:num>
  <w:num w:numId="13">
    <w:abstractNumId w:val="28"/>
  </w:num>
  <w:num w:numId="14">
    <w:abstractNumId w:val="32"/>
  </w:num>
  <w:num w:numId="15">
    <w:abstractNumId w:val="22"/>
  </w:num>
  <w:num w:numId="16">
    <w:abstractNumId w:val="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31"/>
  </w:num>
  <w:num w:numId="21">
    <w:abstractNumId w:val="33"/>
  </w:num>
  <w:num w:numId="22">
    <w:abstractNumId w:val="9"/>
  </w:num>
  <w:num w:numId="23">
    <w:abstractNumId w:val="18"/>
  </w:num>
  <w:num w:numId="24">
    <w:abstractNumId w:val="13"/>
  </w:num>
  <w:num w:numId="25">
    <w:abstractNumId w:val="29"/>
  </w:num>
  <w:num w:numId="26">
    <w:abstractNumId w:val="12"/>
  </w:num>
  <w:num w:numId="27">
    <w:abstractNumId w:val="17"/>
  </w:num>
  <w:num w:numId="28">
    <w:abstractNumId w:val="0"/>
  </w:num>
  <w:num w:numId="29">
    <w:abstractNumId w:val="5"/>
  </w:num>
  <w:num w:numId="30">
    <w:abstractNumId w:val="11"/>
  </w:num>
  <w:num w:numId="31">
    <w:abstractNumId w:val="3"/>
  </w:num>
  <w:num w:numId="32">
    <w:abstractNumId w:val="23"/>
  </w:num>
  <w:num w:numId="33">
    <w:abstractNumId w:val="19"/>
  </w:num>
  <w:num w:numId="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374"/>
    <w:rsid w:val="00001757"/>
    <w:rsid w:val="00001AA3"/>
    <w:rsid w:val="00002848"/>
    <w:rsid w:val="00003CA4"/>
    <w:rsid w:val="00004F3F"/>
    <w:rsid w:val="00005B6F"/>
    <w:rsid w:val="000074FC"/>
    <w:rsid w:val="000135E0"/>
    <w:rsid w:val="00015B1B"/>
    <w:rsid w:val="00016FBA"/>
    <w:rsid w:val="00017A2C"/>
    <w:rsid w:val="0002329A"/>
    <w:rsid w:val="000240B8"/>
    <w:rsid w:val="00024EED"/>
    <w:rsid w:val="000255B4"/>
    <w:rsid w:val="00026D96"/>
    <w:rsid w:val="00035915"/>
    <w:rsid w:val="00036D32"/>
    <w:rsid w:val="0004116C"/>
    <w:rsid w:val="0004235D"/>
    <w:rsid w:val="00042FF1"/>
    <w:rsid w:val="00046332"/>
    <w:rsid w:val="0004755E"/>
    <w:rsid w:val="00050613"/>
    <w:rsid w:val="000523E6"/>
    <w:rsid w:val="000551E8"/>
    <w:rsid w:val="00056DE5"/>
    <w:rsid w:val="00056EF4"/>
    <w:rsid w:val="00061097"/>
    <w:rsid w:val="00061A25"/>
    <w:rsid w:val="00061AFE"/>
    <w:rsid w:val="000707BF"/>
    <w:rsid w:val="00071F8E"/>
    <w:rsid w:val="00073536"/>
    <w:rsid w:val="000806F7"/>
    <w:rsid w:val="00081763"/>
    <w:rsid w:val="000820A0"/>
    <w:rsid w:val="00084070"/>
    <w:rsid w:val="00085D87"/>
    <w:rsid w:val="000866D5"/>
    <w:rsid w:val="0009027A"/>
    <w:rsid w:val="00090E2A"/>
    <w:rsid w:val="000912DD"/>
    <w:rsid w:val="00091FD6"/>
    <w:rsid w:val="0009232C"/>
    <w:rsid w:val="00094852"/>
    <w:rsid w:val="00097ACE"/>
    <w:rsid w:val="000A0E17"/>
    <w:rsid w:val="000A0FC4"/>
    <w:rsid w:val="000A2589"/>
    <w:rsid w:val="000A29D8"/>
    <w:rsid w:val="000A49E6"/>
    <w:rsid w:val="000A51DB"/>
    <w:rsid w:val="000A52AB"/>
    <w:rsid w:val="000A733F"/>
    <w:rsid w:val="000A7D16"/>
    <w:rsid w:val="000A7DB4"/>
    <w:rsid w:val="000B35A5"/>
    <w:rsid w:val="000B36A5"/>
    <w:rsid w:val="000B639B"/>
    <w:rsid w:val="000C1675"/>
    <w:rsid w:val="000C23FC"/>
    <w:rsid w:val="000C4CCE"/>
    <w:rsid w:val="000C7696"/>
    <w:rsid w:val="000D325A"/>
    <w:rsid w:val="000D3EA0"/>
    <w:rsid w:val="000D693A"/>
    <w:rsid w:val="000E47DE"/>
    <w:rsid w:val="000E66E9"/>
    <w:rsid w:val="000E7214"/>
    <w:rsid w:val="000E7C24"/>
    <w:rsid w:val="000F0833"/>
    <w:rsid w:val="000F0942"/>
    <w:rsid w:val="000F1D30"/>
    <w:rsid w:val="000F6567"/>
    <w:rsid w:val="0010227D"/>
    <w:rsid w:val="0010258E"/>
    <w:rsid w:val="00102DCA"/>
    <w:rsid w:val="0010311F"/>
    <w:rsid w:val="0010459F"/>
    <w:rsid w:val="00104B98"/>
    <w:rsid w:val="00105569"/>
    <w:rsid w:val="00105708"/>
    <w:rsid w:val="00105896"/>
    <w:rsid w:val="00105CE0"/>
    <w:rsid w:val="00107A8B"/>
    <w:rsid w:val="00111ACB"/>
    <w:rsid w:val="00112F57"/>
    <w:rsid w:val="001155AA"/>
    <w:rsid w:val="00115DFD"/>
    <w:rsid w:val="00116DDD"/>
    <w:rsid w:val="00120CD2"/>
    <w:rsid w:val="00121080"/>
    <w:rsid w:val="0012468C"/>
    <w:rsid w:val="00125F4C"/>
    <w:rsid w:val="00130733"/>
    <w:rsid w:val="00131178"/>
    <w:rsid w:val="0013259C"/>
    <w:rsid w:val="00134E34"/>
    <w:rsid w:val="0013629D"/>
    <w:rsid w:val="001369D1"/>
    <w:rsid w:val="001375F0"/>
    <w:rsid w:val="001400EA"/>
    <w:rsid w:val="00143589"/>
    <w:rsid w:val="0014589C"/>
    <w:rsid w:val="00145C58"/>
    <w:rsid w:val="00150347"/>
    <w:rsid w:val="00152394"/>
    <w:rsid w:val="001544E6"/>
    <w:rsid w:val="00154726"/>
    <w:rsid w:val="001561E0"/>
    <w:rsid w:val="00160465"/>
    <w:rsid w:val="00160482"/>
    <w:rsid w:val="00160580"/>
    <w:rsid w:val="00160FC3"/>
    <w:rsid w:val="0016281F"/>
    <w:rsid w:val="00163552"/>
    <w:rsid w:val="00164DFB"/>
    <w:rsid w:val="0016595F"/>
    <w:rsid w:val="00174FFB"/>
    <w:rsid w:val="00180258"/>
    <w:rsid w:val="0018225C"/>
    <w:rsid w:val="0018315F"/>
    <w:rsid w:val="0018568C"/>
    <w:rsid w:val="00191370"/>
    <w:rsid w:val="0019348E"/>
    <w:rsid w:val="0019351C"/>
    <w:rsid w:val="00193AE2"/>
    <w:rsid w:val="00197927"/>
    <w:rsid w:val="001A2BAF"/>
    <w:rsid w:val="001A308B"/>
    <w:rsid w:val="001A30AC"/>
    <w:rsid w:val="001A46D3"/>
    <w:rsid w:val="001A4EC7"/>
    <w:rsid w:val="001A6732"/>
    <w:rsid w:val="001A6874"/>
    <w:rsid w:val="001A6F6C"/>
    <w:rsid w:val="001A7294"/>
    <w:rsid w:val="001A7801"/>
    <w:rsid w:val="001B013A"/>
    <w:rsid w:val="001B195F"/>
    <w:rsid w:val="001B22E5"/>
    <w:rsid w:val="001B7522"/>
    <w:rsid w:val="001B7EA5"/>
    <w:rsid w:val="001C0BBC"/>
    <w:rsid w:val="001C5361"/>
    <w:rsid w:val="001C6AA9"/>
    <w:rsid w:val="001C7F6F"/>
    <w:rsid w:val="001D1DA7"/>
    <w:rsid w:val="001D3191"/>
    <w:rsid w:val="001D3B34"/>
    <w:rsid w:val="001E2990"/>
    <w:rsid w:val="001E2A0D"/>
    <w:rsid w:val="001E2F4D"/>
    <w:rsid w:val="001E327B"/>
    <w:rsid w:val="001E6272"/>
    <w:rsid w:val="001F0374"/>
    <w:rsid w:val="001F0485"/>
    <w:rsid w:val="001F056B"/>
    <w:rsid w:val="001F10FE"/>
    <w:rsid w:val="001F3020"/>
    <w:rsid w:val="001F7A9D"/>
    <w:rsid w:val="002002BB"/>
    <w:rsid w:val="00204C60"/>
    <w:rsid w:val="00204E10"/>
    <w:rsid w:val="00206D1F"/>
    <w:rsid w:val="002076DB"/>
    <w:rsid w:val="002077B0"/>
    <w:rsid w:val="00214122"/>
    <w:rsid w:val="00220F27"/>
    <w:rsid w:val="00222409"/>
    <w:rsid w:val="00223664"/>
    <w:rsid w:val="00230640"/>
    <w:rsid w:val="00231714"/>
    <w:rsid w:val="00232F22"/>
    <w:rsid w:val="00240BF7"/>
    <w:rsid w:val="00241784"/>
    <w:rsid w:val="00242AA0"/>
    <w:rsid w:val="00244E1A"/>
    <w:rsid w:val="00245F65"/>
    <w:rsid w:val="0024749E"/>
    <w:rsid w:val="00250823"/>
    <w:rsid w:val="00252A24"/>
    <w:rsid w:val="00252E2B"/>
    <w:rsid w:val="002549C3"/>
    <w:rsid w:val="00254C44"/>
    <w:rsid w:val="002577AF"/>
    <w:rsid w:val="00257B5B"/>
    <w:rsid w:val="00260BCE"/>
    <w:rsid w:val="00260F71"/>
    <w:rsid w:val="002617B2"/>
    <w:rsid w:val="00261A00"/>
    <w:rsid w:val="0026309F"/>
    <w:rsid w:val="00264492"/>
    <w:rsid w:val="0026764C"/>
    <w:rsid w:val="00267DA8"/>
    <w:rsid w:val="002718E4"/>
    <w:rsid w:val="00271B54"/>
    <w:rsid w:val="00274B43"/>
    <w:rsid w:val="00275814"/>
    <w:rsid w:val="00276395"/>
    <w:rsid w:val="00277573"/>
    <w:rsid w:val="0028542B"/>
    <w:rsid w:val="00287FE8"/>
    <w:rsid w:val="00294A96"/>
    <w:rsid w:val="00295136"/>
    <w:rsid w:val="00295F14"/>
    <w:rsid w:val="002A03A5"/>
    <w:rsid w:val="002A31AE"/>
    <w:rsid w:val="002A33DD"/>
    <w:rsid w:val="002A354E"/>
    <w:rsid w:val="002B0287"/>
    <w:rsid w:val="002B1AB9"/>
    <w:rsid w:val="002B3EFB"/>
    <w:rsid w:val="002B6029"/>
    <w:rsid w:val="002B718E"/>
    <w:rsid w:val="002B7C6E"/>
    <w:rsid w:val="002C05FA"/>
    <w:rsid w:val="002C0D15"/>
    <w:rsid w:val="002C21FE"/>
    <w:rsid w:val="002C50E1"/>
    <w:rsid w:val="002C56BC"/>
    <w:rsid w:val="002C668A"/>
    <w:rsid w:val="002C7991"/>
    <w:rsid w:val="002D19DD"/>
    <w:rsid w:val="002D25EB"/>
    <w:rsid w:val="002D2AB8"/>
    <w:rsid w:val="002D5753"/>
    <w:rsid w:val="002D7EB2"/>
    <w:rsid w:val="002E1117"/>
    <w:rsid w:val="002E1140"/>
    <w:rsid w:val="002E2169"/>
    <w:rsid w:val="002E6D86"/>
    <w:rsid w:val="002F00CA"/>
    <w:rsid w:val="002F5243"/>
    <w:rsid w:val="002F6A69"/>
    <w:rsid w:val="00300B07"/>
    <w:rsid w:val="0030116E"/>
    <w:rsid w:val="0030322E"/>
    <w:rsid w:val="0030338A"/>
    <w:rsid w:val="00304F5A"/>
    <w:rsid w:val="0031041D"/>
    <w:rsid w:val="003109E8"/>
    <w:rsid w:val="00311E51"/>
    <w:rsid w:val="003128CE"/>
    <w:rsid w:val="003132EE"/>
    <w:rsid w:val="0031371D"/>
    <w:rsid w:val="00315E9B"/>
    <w:rsid w:val="0032131C"/>
    <w:rsid w:val="0032694B"/>
    <w:rsid w:val="0033175E"/>
    <w:rsid w:val="003379B9"/>
    <w:rsid w:val="003410C7"/>
    <w:rsid w:val="00347266"/>
    <w:rsid w:val="003473DF"/>
    <w:rsid w:val="003507AB"/>
    <w:rsid w:val="00350D63"/>
    <w:rsid w:val="0035235A"/>
    <w:rsid w:val="003525FD"/>
    <w:rsid w:val="00353A89"/>
    <w:rsid w:val="00356A6F"/>
    <w:rsid w:val="00356B66"/>
    <w:rsid w:val="00362C63"/>
    <w:rsid w:val="0036579A"/>
    <w:rsid w:val="003708B9"/>
    <w:rsid w:val="00371DB3"/>
    <w:rsid w:val="003723E1"/>
    <w:rsid w:val="00372885"/>
    <w:rsid w:val="003808CA"/>
    <w:rsid w:val="00380AF3"/>
    <w:rsid w:val="00382127"/>
    <w:rsid w:val="00384802"/>
    <w:rsid w:val="00385536"/>
    <w:rsid w:val="0038784A"/>
    <w:rsid w:val="00391207"/>
    <w:rsid w:val="003914F3"/>
    <w:rsid w:val="00392F9F"/>
    <w:rsid w:val="00393282"/>
    <w:rsid w:val="003933E5"/>
    <w:rsid w:val="003935D9"/>
    <w:rsid w:val="003952C5"/>
    <w:rsid w:val="003A205A"/>
    <w:rsid w:val="003A23FE"/>
    <w:rsid w:val="003A63E3"/>
    <w:rsid w:val="003A738D"/>
    <w:rsid w:val="003B2B6B"/>
    <w:rsid w:val="003B3273"/>
    <w:rsid w:val="003B3684"/>
    <w:rsid w:val="003B3FAA"/>
    <w:rsid w:val="003B4BF1"/>
    <w:rsid w:val="003B4FEE"/>
    <w:rsid w:val="003B64ED"/>
    <w:rsid w:val="003B65CF"/>
    <w:rsid w:val="003C0525"/>
    <w:rsid w:val="003C2887"/>
    <w:rsid w:val="003C437D"/>
    <w:rsid w:val="003C486C"/>
    <w:rsid w:val="003C6752"/>
    <w:rsid w:val="003D3655"/>
    <w:rsid w:val="003D4733"/>
    <w:rsid w:val="003D4F65"/>
    <w:rsid w:val="003D5BB8"/>
    <w:rsid w:val="003D6883"/>
    <w:rsid w:val="003D7664"/>
    <w:rsid w:val="003E1A56"/>
    <w:rsid w:val="003E51E5"/>
    <w:rsid w:val="003E6D8B"/>
    <w:rsid w:val="003F1044"/>
    <w:rsid w:val="003F2479"/>
    <w:rsid w:val="003F24C3"/>
    <w:rsid w:val="003F2CD9"/>
    <w:rsid w:val="003F3C99"/>
    <w:rsid w:val="003F588C"/>
    <w:rsid w:val="004008F5"/>
    <w:rsid w:val="00402F04"/>
    <w:rsid w:val="00404FCB"/>
    <w:rsid w:val="0040627F"/>
    <w:rsid w:val="004121E0"/>
    <w:rsid w:val="004141E2"/>
    <w:rsid w:val="00415CEF"/>
    <w:rsid w:val="00416063"/>
    <w:rsid w:val="004202EB"/>
    <w:rsid w:val="00421841"/>
    <w:rsid w:val="00423D9C"/>
    <w:rsid w:val="004273E7"/>
    <w:rsid w:val="00430EE5"/>
    <w:rsid w:val="004318ED"/>
    <w:rsid w:val="004326F0"/>
    <w:rsid w:val="00432898"/>
    <w:rsid w:val="00435111"/>
    <w:rsid w:val="00435E63"/>
    <w:rsid w:val="00436B24"/>
    <w:rsid w:val="004411C2"/>
    <w:rsid w:val="0044178A"/>
    <w:rsid w:val="00442744"/>
    <w:rsid w:val="004447BF"/>
    <w:rsid w:val="00445C1E"/>
    <w:rsid w:val="004462D2"/>
    <w:rsid w:val="004478DB"/>
    <w:rsid w:val="00447B0D"/>
    <w:rsid w:val="00447CAC"/>
    <w:rsid w:val="004512A1"/>
    <w:rsid w:val="00451AC5"/>
    <w:rsid w:val="004576E4"/>
    <w:rsid w:val="004607B1"/>
    <w:rsid w:val="00462695"/>
    <w:rsid w:val="00465412"/>
    <w:rsid w:val="004700AC"/>
    <w:rsid w:val="004707E5"/>
    <w:rsid w:val="0047091C"/>
    <w:rsid w:val="0047779E"/>
    <w:rsid w:val="00480DEA"/>
    <w:rsid w:val="0048210C"/>
    <w:rsid w:val="0048386D"/>
    <w:rsid w:val="00486F34"/>
    <w:rsid w:val="00487C74"/>
    <w:rsid w:val="004905BB"/>
    <w:rsid w:val="004910C4"/>
    <w:rsid w:val="00492426"/>
    <w:rsid w:val="00494D90"/>
    <w:rsid w:val="004953CC"/>
    <w:rsid w:val="00495919"/>
    <w:rsid w:val="00496051"/>
    <w:rsid w:val="004962C1"/>
    <w:rsid w:val="0049784A"/>
    <w:rsid w:val="004A1A51"/>
    <w:rsid w:val="004A2C71"/>
    <w:rsid w:val="004A6883"/>
    <w:rsid w:val="004A73BC"/>
    <w:rsid w:val="004B2CC6"/>
    <w:rsid w:val="004B5A87"/>
    <w:rsid w:val="004B6062"/>
    <w:rsid w:val="004B6BFB"/>
    <w:rsid w:val="004B7BA9"/>
    <w:rsid w:val="004C41C1"/>
    <w:rsid w:val="004C42D1"/>
    <w:rsid w:val="004C4BC1"/>
    <w:rsid w:val="004C529B"/>
    <w:rsid w:val="004C6A51"/>
    <w:rsid w:val="004D152C"/>
    <w:rsid w:val="004D25CD"/>
    <w:rsid w:val="004D2A2E"/>
    <w:rsid w:val="004D30D5"/>
    <w:rsid w:val="004D62F8"/>
    <w:rsid w:val="004E1429"/>
    <w:rsid w:val="004E3483"/>
    <w:rsid w:val="004E39BF"/>
    <w:rsid w:val="004E538C"/>
    <w:rsid w:val="004E7B5E"/>
    <w:rsid w:val="004F11E6"/>
    <w:rsid w:val="004F2D22"/>
    <w:rsid w:val="004F57C5"/>
    <w:rsid w:val="00500F1D"/>
    <w:rsid w:val="00502089"/>
    <w:rsid w:val="005023B9"/>
    <w:rsid w:val="00504343"/>
    <w:rsid w:val="00504DBC"/>
    <w:rsid w:val="00506154"/>
    <w:rsid w:val="00514097"/>
    <w:rsid w:val="0051487C"/>
    <w:rsid w:val="00517AC3"/>
    <w:rsid w:val="00520607"/>
    <w:rsid w:val="00521A20"/>
    <w:rsid w:val="00524244"/>
    <w:rsid w:val="005242C6"/>
    <w:rsid w:val="00532F26"/>
    <w:rsid w:val="0053436B"/>
    <w:rsid w:val="00534764"/>
    <w:rsid w:val="00540035"/>
    <w:rsid w:val="00540935"/>
    <w:rsid w:val="00540D40"/>
    <w:rsid w:val="00545505"/>
    <w:rsid w:val="00547EFE"/>
    <w:rsid w:val="0055076E"/>
    <w:rsid w:val="00551109"/>
    <w:rsid w:val="00554130"/>
    <w:rsid w:val="005562C3"/>
    <w:rsid w:val="0055695B"/>
    <w:rsid w:val="00560B9C"/>
    <w:rsid w:val="00561698"/>
    <w:rsid w:val="005701B0"/>
    <w:rsid w:val="00570ECE"/>
    <w:rsid w:val="005728C4"/>
    <w:rsid w:val="00573B59"/>
    <w:rsid w:val="00574C18"/>
    <w:rsid w:val="00575292"/>
    <w:rsid w:val="0057573F"/>
    <w:rsid w:val="00575992"/>
    <w:rsid w:val="00576801"/>
    <w:rsid w:val="00580260"/>
    <w:rsid w:val="0058391A"/>
    <w:rsid w:val="00586713"/>
    <w:rsid w:val="00592F48"/>
    <w:rsid w:val="00593186"/>
    <w:rsid w:val="0059373D"/>
    <w:rsid w:val="00593DED"/>
    <w:rsid w:val="00594AC2"/>
    <w:rsid w:val="005962B4"/>
    <w:rsid w:val="00596932"/>
    <w:rsid w:val="00596F4B"/>
    <w:rsid w:val="00597C0F"/>
    <w:rsid w:val="005A1FAD"/>
    <w:rsid w:val="005A3308"/>
    <w:rsid w:val="005A3428"/>
    <w:rsid w:val="005A5961"/>
    <w:rsid w:val="005A672C"/>
    <w:rsid w:val="005A6CFF"/>
    <w:rsid w:val="005B0EC3"/>
    <w:rsid w:val="005B649E"/>
    <w:rsid w:val="005B697C"/>
    <w:rsid w:val="005B69FD"/>
    <w:rsid w:val="005B6C18"/>
    <w:rsid w:val="005C6305"/>
    <w:rsid w:val="005C67AA"/>
    <w:rsid w:val="005C6DF9"/>
    <w:rsid w:val="005D602F"/>
    <w:rsid w:val="005D738C"/>
    <w:rsid w:val="005E59CF"/>
    <w:rsid w:val="005E6462"/>
    <w:rsid w:val="00603B82"/>
    <w:rsid w:val="00605A7A"/>
    <w:rsid w:val="00605AC1"/>
    <w:rsid w:val="00606289"/>
    <w:rsid w:val="00606C02"/>
    <w:rsid w:val="006073A3"/>
    <w:rsid w:val="00607689"/>
    <w:rsid w:val="00613C4A"/>
    <w:rsid w:val="00615021"/>
    <w:rsid w:val="0061516E"/>
    <w:rsid w:val="006152DF"/>
    <w:rsid w:val="0061737F"/>
    <w:rsid w:val="00617F0D"/>
    <w:rsid w:val="00625430"/>
    <w:rsid w:val="006261AF"/>
    <w:rsid w:val="00633473"/>
    <w:rsid w:val="0063480A"/>
    <w:rsid w:val="0063628F"/>
    <w:rsid w:val="00637321"/>
    <w:rsid w:val="00640793"/>
    <w:rsid w:val="00642A6F"/>
    <w:rsid w:val="0064556E"/>
    <w:rsid w:val="00647039"/>
    <w:rsid w:val="00650487"/>
    <w:rsid w:val="00650615"/>
    <w:rsid w:val="006508E4"/>
    <w:rsid w:val="006531A7"/>
    <w:rsid w:val="0065741C"/>
    <w:rsid w:val="00664E88"/>
    <w:rsid w:val="00665488"/>
    <w:rsid w:val="0066573D"/>
    <w:rsid w:val="00670167"/>
    <w:rsid w:val="00670851"/>
    <w:rsid w:val="00670E61"/>
    <w:rsid w:val="00676203"/>
    <w:rsid w:val="00681396"/>
    <w:rsid w:val="0068171C"/>
    <w:rsid w:val="00686DA4"/>
    <w:rsid w:val="0068744E"/>
    <w:rsid w:val="00687D52"/>
    <w:rsid w:val="00691A63"/>
    <w:rsid w:val="006924FC"/>
    <w:rsid w:val="006951B2"/>
    <w:rsid w:val="006A03EF"/>
    <w:rsid w:val="006A13CF"/>
    <w:rsid w:val="006A2C6D"/>
    <w:rsid w:val="006A33B9"/>
    <w:rsid w:val="006A34F8"/>
    <w:rsid w:val="006A4B43"/>
    <w:rsid w:val="006A53EA"/>
    <w:rsid w:val="006A5700"/>
    <w:rsid w:val="006A5850"/>
    <w:rsid w:val="006B01D7"/>
    <w:rsid w:val="006B0BFE"/>
    <w:rsid w:val="006B183D"/>
    <w:rsid w:val="006B4E2A"/>
    <w:rsid w:val="006B7F66"/>
    <w:rsid w:val="006C1F9E"/>
    <w:rsid w:val="006C4850"/>
    <w:rsid w:val="006C5309"/>
    <w:rsid w:val="006C5760"/>
    <w:rsid w:val="006C7FB1"/>
    <w:rsid w:val="006D1658"/>
    <w:rsid w:val="006D178C"/>
    <w:rsid w:val="006D4D3D"/>
    <w:rsid w:val="006E5B72"/>
    <w:rsid w:val="006F10A8"/>
    <w:rsid w:val="006F3268"/>
    <w:rsid w:val="006F34DC"/>
    <w:rsid w:val="006F65B5"/>
    <w:rsid w:val="006F677F"/>
    <w:rsid w:val="00700426"/>
    <w:rsid w:val="00700BEF"/>
    <w:rsid w:val="0070195B"/>
    <w:rsid w:val="00703473"/>
    <w:rsid w:val="00703A34"/>
    <w:rsid w:val="0071414C"/>
    <w:rsid w:val="007142DF"/>
    <w:rsid w:val="007147D6"/>
    <w:rsid w:val="007156D7"/>
    <w:rsid w:val="00715C3E"/>
    <w:rsid w:val="00716F17"/>
    <w:rsid w:val="00717052"/>
    <w:rsid w:val="00722C19"/>
    <w:rsid w:val="00725591"/>
    <w:rsid w:val="00725EF6"/>
    <w:rsid w:val="00726563"/>
    <w:rsid w:val="00726EC7"/>
    <w:rsid w:val="00727F62"/>
    <w:rsid w:val="007316B6"/>
    <w:rsid w:val="00732530"/>
    <w:rsid w:val="00732904"/>
    <w:rsid w:val="007329B2"/>
    <w:rsid w:val="00735742"/>
    <w:rsid w:val="00740CA9"/>
    <w:rsid w:val="0074296D"/>
    <w:rsid w:val="007452D5"/>
    <w:rsid w:val="007459D4"/>
    <w:rsid w:val="00746CC8"/>
    <w:rsid w:val="00751E1C"/>
    <w:rsid w:val="00752C45"/>
    <w:rsid w:val="00753B87"/>
    <w:rsid w:val="00756067"/>
    <w:rsid w:val="007600B4"/>
    <w:rsid w:val="0076099E"/>
    <w:rsid w:val="00762C7C"/>
    <w:rsid w:val="00762E0E"/>
    <w:rsid w:val="0076483B"/>
    <w:rsid w:val="0076621F"/>
    <w:rsid w:val="00767890"/>
    <w:rsid w:val="0076794D"/>
    <w:rsid w:val="00767E5B"/>
    <w:rsid w:val="0077332B"/>
    <w:rsid w:val="0077474E"/>
    <w:rsid w:val="007766BC"/>
    <w:rsid w:val="00777B99"/>
    <w:rsid w:val="0078004F"/>
    <w:rsid w:val="0078191F"/>
    <w:rsid w:val="0078211E"/>
    <w:rsid w:val="00783A6B"/>
    <w:rsid w:val="007855A6"/>
    <w:rsid w:val="007930AC"/>
    <w:rsid w:val="0079475A"/>
    <w:rsid w:val="00794C8F"/>
    <w:rsid w:val="0079765E"/>
    <w:rsid w:val="00797882"/>
    <w:rsid w:val="00797CBE"/>
    <w:rsid w:val="007A07BD"/>
    <w:rsid w:val="007A0A94"/>
    <w:rsid w:val="007A0B66"/>
    <w:rsid w:val="007A222B"/>
    <w:rsid w:val="007A29F2"/>
    <w:rsid w:val="007A2A6B"/>
    <w:rsid w:val="007A4A44"/>
    <w:rsid w:val="007A4F56"/>
    <w:rsid w:val="007B0A19"/>
    <w:rsid w:val="007B277B"/>
    <w:rsid w:val="007B4713"/>
    <w:rsid w:val="007C1E33"/>
    <w:rsid w:val="007C4821"/>
    <w:rsid w:val="007C55EE"/>
    <w:rsid w:val="007D140B"/>
    <w:rsid w:val="007D38A5"/>
    <w:rsid w:val="007D455F"/>
    <w:rsid w:val="007D64C6"/>
    <w:rsid w:val="007D7123"/>
    <w:rsid w:val="007D749F"/>
    <w:rsid w:val="007E023D"/>
    <w:rsid w:val="007E0941"/>
    <w:rsid w:val="007E0B47"/>
    <w:rsid w:val="007E18C4"/>
    <w:rsid w:val="007E23B4"/>
    <w:rsid w:val="007E2545"/>
    <w:rsid w:val="007E51C1"/>
    <w:rsid w:val="007F0DE7"/>
    <w:rsid w:val="007F3050"/>
    <w:rsid w:val="007F3144"/>
    <w:rsid w:val="007F3C23"/>
    <w:rsid w:val="007F3C69"/>
    <w:rsid w:val="007F3E04"/>
    <w:rsid w:val="007F543D"/>
    <w:rsid w:val="008003B8"/>
    <w:rsid w:val="00800433"/>
    <w:rsid w:val="00804595"/>
    <w:rsid w:val="008060DA"/>
    <w:rsid w:val="00807500"/>
    <w:rsid w:val="00811A27"/>
    <w:rsid w:val="008129A2"/>
    <w:rsid w:val="008132AC"/>
    <w:rsid w:val="00821992"/>
    <w:rsid w:val="00826D4A"/>
    <w:rsid w:val="00827144"/>
    <w:rsid w:val="0083246A"/>
    <w:rsid w:val="00832524"/>
    <w:rsid w:val="00834293"/>
    <w:rsid w:val="00835582"/>
    <w:rsid w:val="008358F3"/>
    <w:rsid w:val="008368DA"/>
    <w:rsid w:val="008402F0"/>
    <w:rsid w:val="00857657"/>
    <w:rsid w:val="00857908"/>
    <w:rsid w:val="008612E3"/>
    <w:rsid w:val="00862695"/>
    <w:rsid w:val="008651BB"/>
    <w:rsid w:val="008655EE"/>
    <w:rsid w:val="00873F81"/>
    <w:rsid w:val="008766BA"/>
    <w:rsid w:val="00877CDD"/>
    <w:rsid w:val="00893D67"/>
    <w:rsid w:val="008949CD"/>
    <w:rsid w:val="008954EA"/>
    <w:rsid w:val="008958F7"/>
    <w:rsid w:val="00896732"/>
    <w:rsid w:val="00897458"/>
    <w:rsid w:val="008974CE"/>
    <w:rsid w:val="008A2FAF"/>
    <w:rsid w:val="008A3A4E"/>
    <w:rsid w:val="008A3F6C"/>
    <w:rsid w:val="008A4624"/>
    <w:rsid w:val="008A672D"/>
    <w:rsid w:val="008B1F9F"/>
    <w:rsid w:val="008B79BB"/>
    <w:rsid w:val="008C0D2D"/>
    <w:rsid w:val="008C5917"/>
    <w:rsid w:val="008C6D06"/>
    <w:rsid w:val="008C7601"/>
    <w:rsid w:val="008D02CF"/>
    <w:rsid w:val="008D3696"/>
    <w:rsid w:val="008D3CD6"/>
    <w:rsid w:val="008D52B3"/>
    <w:rsid w:val="008D6520"/>
    <w:rsid w:val="008D7DA5"/>
    <w:rsid w:val="008D7DB0"/>
    <w:rsid w:val="008E0580"/>
    <w:rsid w:val="008E50EE"/>
    <w:rsid w:val="008F1C30"/>
    <w:rsid w:val="008F2FE4"/>
    <w:rsid w:val="008F7BA6"/>
    <w:rsid w:val="00900FF8"/>
    <w:rsid w:val="00901AE9"/>
    <w:rsid w:val="00906E2B"/>
    <w:rsid w:val="00910C2C"/>
    <w:rsid w:val="009117A1"/>
    <w:rsid w:val="0091215F"/>
    <w:rsid w:val="00914AA0"/>
    <w:rsid w:val="00917598"/>
    <w:rsid w:val="00923B3C"/>
    <w:rsid w:val="00930040"/>
    <w:rsid w:val="00931895"/>
    <w:rsid w:val="0093192E"/>
    <w:rsid w:val="00933D42"/>
    <w:rsid w:val="00936A7C"/>
    <w:rsid w:val="009400A0"/>
    <w:rsid w:val="00941F40"/>
    <w:rsid w:val="0094235B"/>
    <w:rsid w:val="009423B8"/>
    <w:rsid w:val="00942B6E"/>
    <w:rsid w:val="0094612D"/>
    <w:rsid w:val="0095156A"/>
    <w:rsid w:val="0095209F"/>
    <w:rsid w:val="00953FBA"/>
    <w:rsid w:val="009541A4"/>
    <w:rsid w:val="009550DB"/>
    <w:rsid w:val="00955629"/>
    <w:rsid w:val="00957AA3"/>
    <w:rsid w:val="00957DF2"/>
    <w:rsid w:val="009657E9"/>
    <w:rsid w:val="009664A9"/>
    <w:rsid w:val="0096681A"/>
    <w:rsid w:val="00967830"/>
    <w:rsid w:val="00973F9B"/>
    <w:rsid w:val="00974A90"/>
    <w:rsid w:val="00976439"/>
    <w:rsid w:val="0098207F"/>
    <w:rsid w:val="00982FA1"/>
    <w:rsid w:val="00982FC8"/>
    <w:rsid w:val="00984AA9"/>
    <w:rsid w:val="00987092"/>
    <w:rsid w:val="00990289"/>
    <w:rsid w:val="0099048B"/>
    <w:rsid w:val="00991A59"/>
    <w:rsid w:val="009925C5"/>
    <w:rsid w:val="009925CA"/>
    <w:rsid w:val="009A0FB8"/>
    <w:rsid w:val="009A27A0"/>
    <w:rsid w:val="009A2BF8"/>
    <w:rsid w:val="009A3A19"/>
    <w:rsid w:val="009B153C"/>
    <w:rsid w:val="009B1927"/>
    <w:rsid w:val="009C28DD"/>
    <w:rsid w:val="009C5FA3"/>
    <w:rsid w:val="009D00A6"/>
    <w:rsid w:val="009D0394"/>
    <w:rsid w:val="009D2B32"/>
    <w:rsid w:val="009D4B44"/>
    <w:rsid w:val="009D55AB"/>
    <w:rsid w:val="009D636C"/>
    <w:rsid w:val="009D6F87"/>
    <w:rsid w:val="009D7EF3"/>
    <w:rsid w:val="009E1885"/>
    <w:rsid w:val="009E31ED"/>
    <w:rsid w:val="009E5457"/>
    <w:rsid w:val="009F2559"/>
    <w:rsid w:val="009F369B"/>
    <w:rsid w:val="009F4FF6"/>
    <w:rsid w:val="009F647B"/>
    <w:rsid w:val="009F6AB3"/>
    <w:rsid w:val="009F789B"/>
    <w:rsid w:val="00A014EC"/>
    <w:rsid w:val="00A01B67"/>
    <w:rsid w:val="00A0499C"/>
    <w:rsid w:val="00A05D1C"/>
    <w:rsid w:val="00A06251"/>
    <w:rsid w:val="00A067FB"/>
    <w:rsid w:val="00A06DE4"/>
    <w:rsid w:val="00A10EEE"/>
    <w:rsid w:val="00A159D8"/>
    <w:rsid w:val="00A17972"/>
    <w:rsid w:val="00A20E81"/>
    <w:rsid w:val="00A21C1C"/>
    <w:rsid w:val="00A22392"/>
    <w:rsid w:val="00A22A94"/>
    <w:rsid w:val="00A23914"/>
    <w:rsid w:val="00A279A7"/>
    <w:rsid w:val="00A31D50"/>
    <w:rsid w:val="00A32F9A"/>
    <w:rsid w:val="00A3680F"/>
    <w:rsid w:val="00A40123"/>
    <w:rsid w:val="00A43D46"/>
    <w:rsid w:val="00A44CF6"/>
    <w:rsid w:val="00A45747"/>
    <w:rsid w:val="00A45780"/>
    <w:rsid w:val="00A46248"/>
    <w:rsid w:val="00A46BCC"/>
    <w:rsid w:val="00A5072E"/>
    <w:rsid w:val="00A5118A"/>
    <w:rsid w:val="00A51E63"/>
    <w:rsid w:val="00A5359F"/>
    <w:rsid w:val="00A543D6"/>
    <w:rsid w:val="00A55F74"/>
    <w:rsid w:val="00A56E8C"/>
    <w:rsid w:val="00A573BD"/>
    <w:rsid w:val="00A576B8"/>
    <w:rsid w:val="00A577CC"/>
    <w:rsid w:val="00A61492"/>
    <w:rsid w:val="00A620DF"/>
    <w:rsid w:val="00A63BB1"/>
    <w:rsid w:val="00A652BF"/>
    <w:rsid w:val="00A701F8"/>
    <w:rsid w:val="00A70639"/>
    <w:rsid w:val="00A74FB5"/>
    <w:rsid w:val="00A74FBF"/>
    <w:rsid w:val="00A75E48"/>
    <w:rsid w:val="00A824E3"/>
    <w:rsid w:val="00A82D89"/>
    <w:rsid w:val="00A83ACB"/>
    <w:rsid w:val="00A841AD"/>
    <w:rsid w:val="00A85655"/>
    <w:rsid w:val="00A9027C"/>
    <w:rsid w:val="00A90838"/>
    <w:rsid w:val="00A9277D"/>
    <w:rsid w:val="00A931C8"/>
    <w:rsid w:val="00A945FC"/>
    <w:rsid w:val="00A947D1"/>
    <w:rsid w:val="00A975D3"/>
    <w:rsid w:val="00AA0BD0"/>
    <w:rsid w:val="00AA249A"/>
    <w:rsid w:val="00AA2A3F"/>
    <w:rsid w:val="00AA33E1"/>
    <w:rsid w:val="00AA540C"/>
    <w:rsid w:val="00AA5508"/>
    <w:rsid w:val="00AB0866"/>
    <w:rsid w:val="00AB401B"/>
    <w:rsid w:val="00AB4D39"/>
    <w:rsid w:val="00AB5427"/>
    <w:rsid w:val="00AC162A"/>
    <w:rsid w:val="00AC2E10"/>
    <w:rsid w:val="00AC44D9"/>
    <w:rsid w:val="00AC6A94"/>
    <w:rsid w:val="00AC7797"/>
    <w:rsid w:val="00AD5D99"/>
    <w:rsid w:val="00AD6585"/>
    <w:rsid w:val="00AD6EF3"/>
    <w:rsid w:val="00AE66C2"/>
    <w:rsid w:val="00AE7318"/>
    <w:rsid w:val="00AF0174"/>
    <w:rsid w:val="00AF01E2"/>
    <w:rsid w:val="00AF4003"/>
    <w:rsid w:val="00AF516F"/>
    <w:rsid w:val="00AF5841"/>
    <w:rsid w:val="00AF65EF"/>
    <w:rsid w:val="00B00608"/>
    <w:rsid w:val="00B03B23"/>
    <w:rsid w:val="00B068AA"/>
    <w:rsid w:val="00B10FD3"/>
    <w:rsid w:val="00B12108"/>
    <w:rsid w:val="00B13A38"/>
    <w:rsid w:val="00B225D7"/>
    <w:rsid w:val="00B22C98"/>
    <w:rsid w:val="00B25982"/>
    <w:rsid w:val="00B26F19"/>
    <w:rsid w:val="00B32DB3"/>
    <w:rsid w:val="00B3311A"/>
    <w:rsid w:val="00B33E66"/>
    <w:rsid w:val="00B35CF3"/>
    <w:rsid w:val="00B36825"/>
    <w:rsid w:val="00B41C1D"/>
    <w:rsid w:val="00B46174"/>
    <w:rsid w:val="00B46379"/>
    <w:rsid w:val="00B464DB"/>
    <w:rsid w:val="00B50108"/>
    <w:rsid w:val="00B51BA7"/>
    <w:rsid w:val="00B52C7F"/>
    <w:rsid w:val="00B5330B"/>
    <w:rsid w:val="00B57CD8"/>
    <w:rsid w:val="00B61E0C"/>
    <w:rsid w:val="00B73055"/>
    <w:rsid w:val="00B73D75"/>
    <w:rsid w:val="00B760E3"/>
    <w:rsid w:val="00B76267"/>
    <w:rsid w:val="00B76AAA"/>
    <w:rsid w:val="00B84A52"/>
    <w:rsid w:val="00B8595E"/>
    <w:rsid w:val="00B87BCE"/>
    <w:rsid w:val="00B87BE7"/>
    <w:rsid w:val="00B92AF4"/>
    <w:rsid w:val="00B947B9"/>
    <w:rsid w:val="00B94FF4"/>
    <w:rsid w:val="00B96598"/>
    <w:rsid w:val="00BA0005"/>
    <w:rsid w:val="00BA0ABE"/>
    <w:rsid w:val="00BA0C5B"/>
    <w:rsid w:val="00BA0CC1"/>
    <w:rsid w:val="00BA4120"/>
    <w:rsid w:val="00BB086A"/>
    <w:rsid w:val="00BB22BC"/>
    <w:rsid w:val="00BB3C29"/>
    <w:rsid w:val="00BB6340"/>
    <w:rsid w:val="00BB7547"/>
    <w:rsid w:val="00BB7E7B"/>
    <w:rsid w:val="00BB7EEC"/>
    <w:rsid w:val="00BC1FFB"/>
    <w:rsid w:val="00BC28E9"/>
    <w:rsid w:val="00BD0BAD"/>
    <w:rsid w:val="00BD1A8E"/>
    <w:rsid w:val="00BD1AE5"/>
    <w:rsid w:val="00BD1AF0"/>
    <w:rsid w:val="00BD4D1A"/>
    <w:rsid w:val="00BD648A"/>
    <w:rsid w:val="00BD65C7"/>
    <w:rsid w:val="00BD7CA1"/>
    <w:rsid w:val="00BE0CFD"/>
    <w:rsid w:val="00BE24F8"/>
    <w:rsid w:val="00BE6D2F"/>
    <w:rsid w:val="00BE6F22"/>
    <w:rsid w:val="00BF0EB8"/>
    <w:rsid w:val="00BF436E"/>
    <w:rsid w:val="00BF4919"/>
    <w:rsid w:val="00BF54C0"/>
    <w:rsid w:val="00BF5747"/>
    <w:rsid w:val="00BF6DD8"/>
    <w:rsid w:val="00C0586F"/>
    <w:rsid w:val="00C05F1E"/>
    <w:rsid w:val="00C0730C"/>
    <w:rsid w:val="00C10422"/>
    <w:rsid w:val="00C1073A"/>
    <w:rsid w:val="00C12F27"/>
    <w:rsid w:val="00C149BB"/>
    <w:rsid w:val="00C170B3"/>
    <w:rsid w:val="00C27852"/>
    <w:rsid w:val="00C31BA3"/>
    <w:rsid w:val="00C31D76"/>
    <w:rsid w:val="00C33925"/>
    <w:rsid w:val="00C33BB3"/>
    <w:rsid w:val="00C34ABB"/>
    <w:rsid w:val="00C34DFE"/>
    <w:rsid w:val="00C3501F"/>
    <w:rsid w:val="00C35596"/>
    <w:rsid w:val="00C3618B"/>
    <w:rsid w:val="00C369C0"/>
    <w:rsid w:val="00C40BD4"/>
    <w:rsid w:val="00C412C8"/>
    <w:rsid w:val="00C4558D"/>
    <w:rsid w:val="00C46D4D"/>
    <w:rsid w:val="00C47E68"/>
    <w:rsid w:val="00C5031B"/>
    <w:rsid w:val="00C5264F"/>
    <w:rsid w:val="00C52C18"/>
    <w:rsid w:val="00C535DC"/>
    <w:rsid w:val="00C53BB1"/>
    <w:rsid w:val="00C5419F"/>
    <w:rsid w:val="00C54C71"/>
    <w:rsid w:val="00C6015E"/>
    <w:rsid w:val="00C612C5"/>
    <w:rsid w:val="00C632D6"/>
    <w:rsid w:val="00C63D25"/>
    <w:rsid w:val="00C63D66"/>
    <w:rsid w:val="00C66E1C"/>
    <w:rsid w:val="00C7553B"/>
    <w:rsid w:val="00C815E9"/>
    <w:rsid w:val="00C83E6B"/>
    <w:rsid w:val="00C844D2"/>
    <w:rsid w:val="00C85DEE"/>
    <w:rsid w:val="00C87F3F"/>
    <w:rsid w:val="00C90178"/>
    <w:rsid w:val="00C91909"/>
    <w:rsid w:val="00C9195F"/>
    <w:rsid w:val="00C92CB8"/>
    <w:rsid w:val="00CA1248"/>
    <w:rsid w:val="00CA36B6"/>
    <w:rsid w:val="00CA59D9"/>
    <w:rsid w:val="00CA7C5D"/>
    <w:rsid w:val="00CB072F"/>
    <w:rsid w:val="00CB1E32"/>
    <w:rsid w:val="00CB45BE"/>
    <w:rsid w:val="00CC5A84"/>
    <w:rsid w:val="00CC6257"/>
    <w:rsid w:val="00CC77AC"/>
    <w:rsid w:val="00CD0099"/>
    <w:rsid w:val="00CD0339"/>
    <w:rsid w:val="00CD2F06"/>
    <w:rsid w:val="00CD3220"/>
    <w:rsid w:val="00CD32E8"/>
    <w:rsid w:val="00CD391F"/>
    <w:rsid w:val="00CD4F59"/>
    <w:rsid w:val="00CD72AB"/>
    <w:rsid w:val="00CE492E"/>
    <w:rsid w:val="00CE4A77"/>
    <w:rsid w:val="00CE5016"/>
    <w:rsid w:val="00CE5216"/>
    <w:rsid w:val="00CE6EAD"/>
    <w:rsid w:val="00CF2D06"/>
    <w:rsid w:val="00CF4FA3"/>
    <w:rsid w:val="00D000AC"/>
    <w:rsid w:val="00D004C9"/>
    <w:rsid w:val="00D01510"/>
    <w:rsid w:val="00D03BD0"/>
    <w:rsid w:val="00D0562C"/>
    <w:rsid w:val="00D05D4A"/>
    <w:rsid w:val="00D05E56"/>
    <w:rsid w:val="00D0683A"/>
    <w:rsid w:val="00D07AAD"/>
    <w:rsid w:val="00D10583"/>
    <w:rsid w:val="00D10959"/>
    <w:rsid w:val="00D1198F"/>
    <w:rsid w:val="00D11DD4"/>
    <w:rsid w:val="00D1420F"/>
    <w:rsid w:val="00D148F2"/>
    <w:rsid w:val="00D20DF2"/>
    <w:rsid w:val="00D25342"/>
    <w:rsid w:val="00D30913"/>
    <w:rsid w:val="00D313CC"/>
    <w:rsid w:val="00D32F04"/>
    <w:rsid w:val="00D333DD"/>
    <w:rsid w:val="00D346EA"/>
    <w:rsid w:val="00D36BC7"/>
    <w:rsid w:val="00D36D3E"/>
    <w:rsid w:val="00D418AF"/>
    <w:rsid w:val="00D430DC"/>
    <w:rsid w:val="00D44D47"/>
    <w:rsid w:val="00D46130"/>
    <w:rsid w:val="00D46D43"/>
    <w:rsid w:val="00D471AC"/>
    <w:rsid w:val="00D56B73"/>
    <w:rsid w:val="00D56B7B"/>
    <w:rsid w:val="00D57664"/>
    <w:rsid w:val="00D64344"/>
    <w:rsid w:val="00D64766"/>
    <w:rsid w:val="00D65964"/>
    <w:rsid w:val="00D700FC"/>
    <w:rsid w:val="00D701F0"/>
    <w:rsid w:val="00D709EF"/>
    <w:rsid w:val="00D74CBC"/>
    <w:rsid w:val="00D7510C"/>
    <w:rsid w:val="00D769BD"/>
    <w:rsid w:val="00D77007"/>
    <w:rsid w:val="00D77C2D"/>
    <w:rsid w:val="00D80181"/>
    <w:rsid w:val="00D816D4"/>
    <w:rsid w:val="00D81763"/>
    <w:rsid w:val="00D81A4A"/>
    <w:rsid w:val="00D81FAA"/>
    <w:rsid w:val="00D82DEA"/>
    <w:rsid w:val="00D83217"/>
    <w:rsid w:val="00D843CF"/>
    <w:rsid w:val="00D87474"/>
    <w:rsid w:val="00D92DE4"/>
    <w:rsid w:val="00D93701"/>
    <w:rsid w:val="00D93E78"/>
    <w:rsid w:val="00D941AF"/>
    <w:rsid w:val="00D95C42"/>
    <w:rsid w:val="00D95CA5"/>
    <w:rsid w:val="00D96817"/>
    <w:rsid w:val="00D97FC3"/>
    <w:rsid w:val="00DA2B8D"/>
    <w:rsid w:val="00DA33F4"/>
    <w:rsid w:val="00DA65D0"/>
    <w:rsid w:val="00DA6A95"/>
    <w:rsid w:val="00DB20FB"/>
    <w:rsid w:val="00DB358C"/>
    <w:rsid w:val="00DB63FD"/>
    <w:rsid w:val="00DC0248"/>
    <w:rsid w:val="00DC0864"/>
    <w:rsid w:val="00DC08B8"/>
    <w:rsid w:val="00DC55C6"/>
    <w:rsid w:val="00DC6FAA"/>
    <w:rsid w:val="00DC7C1E"/>
    <w:rsid w:val="00DD01D6"/>
    <w:rsid w:val="00DD1D5E"/>
    <w:rsid w:val="00DD1F50"/>
    <w:rsid w:val="00DD30D6"/>
    <w:rsid w:val="00DD35ED"/>
    <w:rsid w:val="00DE0C29"/>
    <w:rsid w:val="00DE2F8A"/>
    <w:rsid w:val="00DE3672"/>
    <w:rsid w:val="00DE4B76"/>
    <w:rsid w:val="00DE521C"/>
    <w:rsid w:val="00DE5743"/>
    <w:rsid w:val="00DE6C4E"/>
    <w:rsid w:val="00DF03A6"/>
    <w:rsid w:val="00DF04FB"/>
    <w:rsid w:val="00DF0DD7"/>
    <w:rsid w:val="00DF2046"/>
    <w:rsid w:val="00DF21FE"/>
    <w:rsid w:val="00DF2C5B"/>
    <w:rsid w:val="00DF4356"/>
    <w:rsid w:val="00DF4931"/>
    <w:rsid w:val="00DF519A"/>
    <w:rsid w:val="00DF5849"/>
    <w:rsid w:val="00E051C5"/>
    <w:rsid w:val="00E05A75"/>
    <w:rsid w:val="00E05EF7"/>
    <w:rsid w:val="00E06785"/>
    <w:rsid w:val="00E078FA"/>
    <w:rsid w:val="00E140AE"/>
    <w:rsid w:val="00E200E0"/>
    <w:rsid w:val="00E20EE1"/>
    <w:rsid w:val="00E22342"/>
    <w:rsid w:val="00E2276F"/>
    <w:rsid w:val="00E22CB7"/>
    <w:rsid w:val="00E2301D"/>
    <w:rsid w:val="00E2481B"/>
    <w:rsid w:val="00E27FEF"/>
    <w:rsid w:val="00E3168C"/>
    <w:rsid w:val="00E31691"/>
    <w:rsid w:val="00E31879"/>
    <w:rsid w:val="00E33423"/>
    <w:rsid w:val="00E3742F"/>
    <w:rsid w:val="00E37FC9"/>
    <w:rsid w:val="00E41783"/>
    <w:rsid w:val="00E42B2E"/>
    <w:rsid w:val="00E45D3B"/>
    <w:rsid w:val="00E470CA"/>
    <w:rsid w:val="00E51981"/>
    <w:rsid w:val="00E534B6"/>
    <w:rsid w:val="00E54C13"/>
    <w:rsid w:val="00E55DC7"/>
    <w:rsid w:val="00E56D3D"/>
    <w:rsid w:val="00E56D6A"/>
    <w:rsid w:val="00E61BAA"/>
    <w:rsid w:val="00E62AC6"/>
    <w:rsid w:val="00E63166"/>
    <w:rsid w:val="00E65CFC"/>
    <w:rsid w:val="00E71A7C"/>
    <w:rsid w:val="00E728BB"/>
    <w:rsid w:val="00E738A2"/>
    <w:rsid w:val="00E738C3"/>
    <w:rsid w:val="00E75917"/>
    <w:rsid w:val="00E76120"/>
    <w:rsid w:val="00E76274"/>
    <w:rsid w:val="00E776F8"/>
    <w:rsid w:val="00E77994"/>
    <w:rsid w:val="00E80F0F"/>
    <w:rsid w:val="00E81808"/>
    <w:rsid w:val="00E82D0C"/>
    <w:rsid w:val="00E8576C"/>
    <w:rsid w:val="00E860B3"/>
    <w:rsid w:val="00E87F01"/>
    <w:rsid w:val="00E91456"/>
    <w:rsid w:val="00E917B9"/>
    <w:rsid w:val="00E91BD1"/>
    <w:rsid w:val="00E92417"/>
    <w:rsid w:val="00E93027"/>
    <w:rsid w:val="00E9444C"/>
    <w:rsid w:val="00E954C7"/>
    <w:rsid w:val="00E96075"/>
    <w:rsid w:val="00E97468"/>
    <w:rsid w:val="00EA1055"/>
    <w:rsid w:val="00EA11B4"/>
    <w:rsid w:val="00EA1A1E"/>
    <w:rsid w:val="00EA347B"/>
    <w:rsid w:val="00EA3CC6"/>
    <w:rsid w:val="00EA5000"/>
    <w:rsid w:val="00EA6E9D"/>
    <w:rsid w:val="00EB2197"/>
    <w:rsid w:val="00EB3E09"/>
    <w:rsid w:val="00EB4362"/>
    <w:rsid w:val="00EB4D12"/>
    <w:rsid w:val="00EB742E"/>
    <w:rsid w:val="00EB75AC"/>
    <w:rsid w:val="00EB78E6"/>
    <w:rsid w:val="00EC01D8"/>
    <w:rsid w:val="00EC4366"/>
    <w:rsid w:val="00EC4CC2"/>
    <w:rsid w:val="00EC615C"/>
    <w:rsid w:val="00EC7B0B"/>
    <w:rsid w:val="00ED007A"/>
    <w:rsid w:val="00ED360F"/>
    <w:rsid w:val="00ED399F"/>
    <w:rsid w:val="00ED5321"/>
    <w:rsid w:val="00EE105D"/>
    <w:rsid w:val="00EE1601"/>
    <w:rsid w:val="00EE1F28"/>
    <w:rsid w:val="00EE49F7"/>
    <w:rsid w:val="00EE63F0"/>
    <w:rsid w:val="00EF108F"/>
    <w:rsid w:val="00EF3C77"/>
    <w:rsid w:val="00EF49D9"/>
    <w:rsid w:val="00EF62DA"/>
    <w:rsid w:val="00F001F0"/>
    <w:rsid w:val="00F00FA3"/>
    <w:rsid w:val="00F023DE"/>
    <w:rsid w:val="00F03B46"/>
    <w:rsid w:val="00F0576D"/>
    <w:rsid w:val="00F05ED0"/>
    <w:rsid w:val="00F10A37"/>
    <w:rsid w:val="00F13592"/>
    <w:rsid w:val="00F14B85"/>
    <w:rsid w:val="00F14D86"/>
    <w:rsid w:val="00F16251"/>
    <w:rsid w:val="00F20F51"/>
    <w:rsid w:val="00F219C9"/>
    <w:rsid w:val="00F220AF"/>
    <w:rsid w:val="00F23BDF"/>
    <w:rsid w:val="00F27AA1"/>
    <w:rsid w:val="00F32615"/>
    <w:rsid w:val="00F34CFC"/>
    <w:rsid w:val="00F35B02"/>
    <w:rsid w:val="00F431C1"/>
    <w:rsid w:val="00F43D65"/>
    <w:rsid w:val="00F446CC"/>
    <w:rsid w:val="00F4470F"/>
    <w:rsid w:val="00F46670"/>
    <w:rsid w:val="00F50F74"/>
    <w:rsid w:val="00F52A05"/>
    <w:rsid w:val="00F53EAE"/>
    <w:rsid w:val="00F56210"/>
    <w:rsid w:val="00F60845"/>
    <w:rsid w:val="00F6225B"/>
    <w:rsid w:val="00F63D68"/>
    <w:rsid w:val="00F64785"/>
    <w:rsid w:val="00F65AF1"/>
    <w:rsid w:val="00F72FB8"/>
    <w:rsid w:val="00F730F1"/>
    <w:rsid w:val="00F7358A"/>
    <w:rsid w:val="00F7628B"/>
    <w:rsid w:val="00F77DBF"/>
    <w:rsid w:val="00F80A0F"/>
    <w:rsid w:val="00F813DA"/>
    <w:rsid w:val="00F81F6B"/>
    <w:rsid w:val="00F83921"/>
    <w:rsid w:val="00F85556"/>
    <w:rsid w:val="00F86306"/>
    <w:rsid w:val="00F91507"/>
    <w:rsid w:val="00F928C7"/>
    <w:rsid w:val="00F95BD3"/>
    <w:rsid w:val="00F9602E"/>
    <w:rsid w:val="00FA0497"/>
    <w:rsid w:val="00FA0C4D"/>
    <w:rsid w:val="00FA0DC7"/>
    <w:rsid w:val="00FA0E37"/>
    <w:rsid w:val="00FA1537"/>
    <w:rsid w:val="00FA273B"/>
    <w:rsid w:val="00FA4012"/>
    <w:rsid w:val="00FA4130"/>
    <w:rsid w:val="00FA61B8"/>
    <w:rsid w:val="00FB211F"/>
    <w:rsid w:val="00FB3D01"/>
    <w:rsid w:val="00FB683E"/>
    <w:rsid w:val="00FC327F"/>
    <w:rsid w:val="00FC514E"/>
    <w:rsid w:val="00FC552D"/>
    <w:rsid w:val="00FC5CA5"/>
    <w:rsid w:val="00FC68A8"/>
    <w:rsid w:val="00FC6D8C"/>
    <w:rsid w:val="00FC6F23"/>
    <w:rsid w:val="00FD5840"/>
    <w:rsid w:val="00FD72E6"/>
    <w:rsid w:val="00FE0E0E"/>
    <w:rsid w:val="00FE14A9"/>
    <w:rsid w:val="00FE1784"/>
    <w:rsid w:val="00FE2539"/>
    <w:rsid w:val="00FE4064"/>
    <w:rsid w:val="00FE5B05"/>
    <w:rsid w:val="00FE64BB"/>
    <w:rsid w:val="00FF0717"/>
    <w:rsid w:val="00FF0A8A"/>
    <w:rsid w:val="00FF224E"/>
    <w:rsid w:val="00FF2666"/>
    <w:rsid w:val="00FF27AC"/>
    <w:rsid w:val="00FF3133"/>
    <w:rsid w:val="00FF32AB"/>
    <w:rsid w:val="00FF48A8"/>
    <w:rsid w:val="00FF521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DC16"/>
  <w15:docId w15:val="{5D9ADD5C-4CE7-4F23-9BA2-4D789BBB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7B4713"/>
    <w:pPr>
      <w:tabs>
        <w:tab w:val="left" w:pos="660"/>
        <w:tab w:val="right" w:leader="dot" w:pos="11520"/>
        <w:tab w:val="right" w:leader="dot" w:pos="12950"/>
      </w:tabs>
      <w:spacing w:after="100"/>
      <w:ind w:left="216"/>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732">
      <w:bodyDiv w:val="1"/>
      <w:marLeft w:val="0"/>
      <w:marRight w:val="0"/>
      <w:marTop w:val="0"/>
      <w:marBottom w:val="0"/>
      <w:divBdr>
        <w:top w:val="none" w:sz="0" w:space="0" w:color="auto"/>
        <w:left w:val="none" w:sz="0" w:space="0" w:color="auto"/>
        <w:bottom w:val="none" w:sz="0" w:space="0" w:color="auto"/>
        <w:right w:val="none" w:sz="0" w:space="0" w:color="auto"/>
      </w:divBdr>
      <w:divsChild>
        <w:div w:id="418793249">
          <w:marLeft w:val="0"/>
          <w:marRight w:val="0"/>
          <w:marTop w:val="0"/>
          <w:marBottom w:val="0"/>
          <w:divBdr>
            <w:top w:val="none" w:sz="0" w:space="0" w:color="auto"/>
            <w:left w:val="none" w:sz="0" w:space="0" w:color="auto"/>
            <w:bottom w:val="none" w:sz="0" w:space="0" w:color="auto"/>
            <w:right w:val="none" w:sz="0" w:space="0" w:color="auto"/>
          </w:divBdr>
        </w:div>
        <w:div w:id="1563101266">
          <w:marLeft w:val="0"/>
          <w:marRight w:val="0"/>
          <w:marTop w:val="0"/>
          <w:marBottom w:val="0"/>
          <w:divBdr>
            <w:top w:val="none" w:sz="0" w:space="0" w:color="auto"/>
            <w:left w:val="none" w:sz="0" w:space="0" w:color="auto"/>
            <w:bottom w:val="none" w:sz="0" w:space="0" w:color="auto"/>
            <w:right w:val="none" w:sz="0" w:space="0" w:color="auto"/>
          </w:divBdr>
        </w:div>
        <w:div w:id="711460668">
          <w:marLeft w:val="0"/>
          <w:marRight w:val="0"/>
          <w:marTop w:val="0"/>
          <w:marBottom w:val="0"/>
          <w:divBdr>
            <w:top w:val="none" w:sz="0" w:space="0" w:color="auto"/>
            <w:left w:val="none" w:sz="0" w:space="0" w:color="auto"/>
            <w:bottom w:val="none" w:sz="0" w:space="0" w:color="auto"/>
            <w:right w:val="none" w:sz="0" w:space="0" w:color="auto"/>
          </w:divBdr>
        </w:div>
      </w:divsChild>
    </w:div>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3986256">
      <w:bodyDiv w:val="1"/>
      <w:marLeft w:val="0"/>
      <w:marRight w:val="0"/>
      <w:marTop w:val="0"/>
      <w:marBottom w:val="0"/>
      <w:divBdr>
        <w:top w:val="none" w:sz="0" w:space="0" w:color="auto"/>
        <w:left w:val="none" w:sz="0" w:space="0" w:color="auto"/>
        <w:bottom w:val="none" w:sz="0" w:space="0" w:color="auto"/>
        <w:right w:val="none" w:sz="0" w:space="0" w:color="auto"/>
      </w:divBdr>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 w:id="19651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voice.medallia.com/sso/v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2.xml><?xml version="1.0" encoding="utf-8"?>
<ds:datastoreItem xmlns:ds="http://schemas.openxmlformats.org/officeDocument/2006/customXml" ds:itemID="{C8CEC87D-9E22-47AE-BFDE-79E47594A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8cfa96f4-b5f8-4a1a-9ec4-d0be118ee092"/>
  </ds:schemaRefs>
</ds:datastoreItem>
</file>

<file path=customXml/itemProps4.xml><?xml version="1.0" encoding="utf-8"?>
<ds:datastoreItem xmlns:ds="http://schemas.openxmlformats.org/officeDocument/2006/customXml" ds:itemID="{D7CBCB08-6810-4DE0-AFAE-B9880A9D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5386</Words>
  <Characters>29948</Characters>
  <Application>Microsoft Office Word</Application>
  <DocSecurity>0</DocSecurity>
  <Lines>598</Lines>
  <Paragraphs>346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34988</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Jacobsen, Michael</dc:creator>
  <cp:lastModifiedBy>Albert, Evan</cp:lastModifiedBy>
  <cp:revision>2</cp:revision>
  <cp:lastPrinted>2018-04-23T18:10:00Z</cp:lastPrinted>
  <dcterms:created xsi:type="dcterms:W3CDTF">2020-08-20T19:29:00Z</dcterms:created>
  <dcterms:modified xsi:type="dcterms:W3CDTF">2020-08-20T19:29:00Z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y fmtid="{D5CDD505-2E9C-101B-9397-08002B2CF9AE}" pid="3" name="Order">
    <vt:r8>361500</vt:r8>
  </property>
</Properties>
</file>