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4AD" w:rsidP="006A6949" w:rsidRDefault="00D73EE7" w14:paraId="2C79F664" w14:textId="77777777">
      <w:pPr>
        <w:pStyle w:val="Heading1"/>
        <w:rPr>
          <w:rFonts w:ascii="Times New Roman" w:hAnsi="Times New Roman"/>
        </w:rPr>
      </w:pPr>
      <w:r w:rsidRPr="000D2DF6">
        <w:rPr>
          <w:rFonts w:ascii="Times New Roman" w:hAnsi="Times New Roman"/>
        </w:rPr>
        <w:t>Supporting Statement for Paperwork Reduction Act Submission</w:t>
      </w:r>
      <w:r w:rsidRPr="000D2DF6" w:rsidR="006A6949">
        <w:rPr>
          <w:rFonts w:ascii="Times New Roman" w:hAnsi="Times New Roman"/>
        </w:rPr>
        <w:t xml:space="preserve"> – Housing Opportunities for Persons With AIDS (HOPWA) </w:t>
      </w:r>
    </w:p>
    <w:p w:rsidRPr="000D2DF6" w:rsidR="006A6949" w:rsidP="006A6949" w:rsidRDefault="006A6949" w14:paraId="5DEE1DC3" w14:textId="77777777">
      <w:pPr>
        <w:pStyle w:val="Heading1"/>
        <w:rPr>
          <w:rFonts w:ascii="Times New Roman" w:hAnsi="Times New Roman"/>
        </w:rPr>
      </w:pPr>
      <w:r w:rsidRPr="000D2DF6">
        <w:rPr>
          <w:rFonts w:ascii="Times New Roman" w:hAnsi="Times New Roman"/>
        </w:rPr>
        <w:t>OMB Control No. 2506-0133</w:t>
      </w:r>
    </w:p>
    <w:p w:rsidR="00D73EE7" w:rsidRDefault="00D73EE7" w14:paraId="12F8ADF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4E185B" w:rsidRDefault="004E185B" w14:paraId="693694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Pr="000D2DF6" w:rsidR="00D73EE7" w:rsidRDefault="00D73EE7" w14:paraId="6DE52B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0D2DF6">
        <w:rPr>
          <w:color w:val="000000"/>
          <w:sz w:val="22"/>
          <w:szCs w:val="22"/>
        </w:rPr>
        <w:t xml:space="preserve">A. </w:t>
      </w:r>
      <w:r w:rsidRPr="000D2DF6">
        <w:rPr>
          <w:color w:val="000000"/>
          <w:sz w:val="22"/>
          <w:szCs w:val="22"/>
        </w:rPr>
        <w:tab/>
        <w:t>Justification</w:t>
      </w:r>
    </w:p>
    <w:p w:rsidRPr="003B27A6" w:rsidR="00D73EE7" w:rsidP="00A73D8E" w:rsidRDefault="00D73EE7" w14:paraId="5DC4C1EC" w14:textId="77777777">
      <w:pPr>
        <w:pStyle w:val="BodyTextIndent"/>
        <w:tabs>
          <w:tab w:val="clear" w:pos="360"/>
          <w:tab w:val="left" w:pos="0"/>
        </w:tabs>
        <w:ind w:left="0" w:firstLine="0"/>
      </w:pPr>
    </w:p>
    <w:p w:rsidRPr="003B27A6" w:rsidR="006A6949" w:rsidP="004E185B" w:rsidRDefault="00D73EE7" w14:paraId="605075FD" w14:textId="77777777">
      <w:pPr>
        <w:pStyle w:val="BodyTextIndent"/>
        <w:rPr>
          <w:szCs w:val="22"/>
        </w:rPr>
      </w:pPr>
      <w:r w:rsidRPr="003B27A6">
        <w:rPr>
          <w:szCs w:val="22"/>
        </w:rPr>
        <w:t>1.</w:t>
      </w:r>
      <w:r w:rsidRPr="003B27A6">
        <w:rPr>
          <w:szCs w:val="22"/>
        </w:rPr>
        <w:tab/>
      </w:r>
      <w:r w:rsidRPr="003B27A6" w:rsidR="004E185B">
        <w:rPr>
          <w:szCs w:val="22"/>
        </w:rPr>
        <w:t>Need for Information Collection.</w:t>
      </w:r>
    </w:p>
    <w:p w:rsidR="004D30DA" w:rsidP="006A6949" w:rsidRDefault="006A6949" w14:paraId="2FE1591F" w14:textId="02A2D5E3">
      <w:pPr>
        <w:rPr>
          <w:color w:val="000000"/>
          <w:sz w:val="22"/>
          <w:szCs w:val="22"/>
        </w:rPr>
      </w:pPr>
      <w:r w:rsidRPr="003B27A6">
        <w:rPr>
          <w:color w:val="000000"/>
          <w:sz w:val="22"/>
          <w:szCs w:val="22"/>
        </w:rPr>
        <w:t xml:space="preserve">The currently approved HOPWA paperwork collection expires on </w:t>
      </w:r>
      <w:r w:rsidR="00612026">
        <w:rPr>
          <w:color w:val="000000"/>
          <w:sz w:val="22"/>
          <w:szCs w:val="22"/>
        </w:rPr>
        <w:t>January</w:t>
      </w:r>
      <w:r w:rsidRPr="003B27A6">
        <w:rPr>
          <w:color w:val="000000"/>
          <w:sz w:val="22"/>
          <w:szCs w:val="22"/>
        </w:rPr>
        <w:t xml:space="preserve"> 31, 20</w:t>
      </w:r>
      <w:r w:rsidR="00612026">
        <w:rPr>
          <w:color w:val="000000"/>
          <w:sz w:val="22"/>
          <w:szCs w:val="22"/>
        </w:rPr>
        <w:t>21</w:t>
      </w:r>
      <w:r w:rsidRPr="003B27A6">
        <w:rPr>
          <w:color w:val="000000"/>
          <w:sz w:val="22"/>
          <w:szCs w:val="22"/>
        </w:rPr>
        <w:t xml:space="preserve">, under OMB Control Number 2506-0133. HUD is requesting a revision of </w:t>
      </w:r>
      <w:r w:rsidR="00AE666B">
        <w:rPr>
          <w:color w:val="000000"/>
          <w:sz w:val="22"/>
          <w:szCs w:val="22"/>
        </w:rPr>
        <w:t xml:space="preserve">the </w:t>
      </w:r>
      <w:r w:rsidRPr="003B27A6">
        <w:rPr>
          <w:color w:val="000000"/>
          <w:sz w:val="22"/>
          <w:szCs w:val="22"/>
        </w:rPr>
        <w:t xml:space="preserve">currently approved collection. </w:t>
      </w:r>
      <w:r w:rsidRPr="003B27A6" w:rsidR="00696B16">
        <w:rPr>
          <w:color w:val="000000"/>
          <w:sz w:val="22"/>
          <w:szCs w:val="22"/>
        </w:rPr>
        <w:t>This revision request</w:t>
      </w:r>
      <w:r w:rsidR="00612026">
        <w:rPr>
          <w:color w:val="000000"/>
          <w:sz w:val="22"/>
          <w:szCs w:val="22"/>
        </w:rPr>
        <w:t xml:space="preserve"> would </w:t>
      </w:r>
      <w:r w:rsidR="00900583">
        <w:rPr>
          <w:color w:val="000000"/>
          <w:sz w:val="22"/>
          <w:szCs w:val="22"/>
        </w:rPr>
        <w:t>expand</w:t>
      </w:r>
      <w:r w:rsidR="00612026">
        <w:rPr>
          <w:color w:val="000000"/>
          <w:sz w:val="22"/>
          <w:szCs w:val="22"/>
        </w:rPr>
        <w:t xml:space="preserve"> reporting requirements for new</w:t>
      </w:r>
      <w:r w:rsidRPr="003B27A6" w:rsidR="00696B16">
        <w:rPr>
          <w:color w:val="000000"/>
          <w:sz w:val="22"/>
          <w:szCs w:val="22"/>
        </w:rPr>
        <w:t xml:space="preserve"> competitive grant</w:t>
      </w:r>
      <w:r w:rsidR="00612026">
        <w:rPr>
          <w:color w:val="000000"/>
          <w:sz w:val="22"/>
          <w:szCs w:val="22"/>
        </w:rPr>
        <w:t>s</w:t>
      </w:r>
      <w:r w:rsidR="003D5D9B">
        <w:rPr>
          <w:color w:val="000000"/>
          <w:sz w:val="22"/>
          <w:szCs w:val="22"/>
        </w:rPr>
        <w:t xml:space="preserve"> </w:t>
      </w:r>
      <w:r w:rsidR="00695588">
        <w:rPr>
          <w:color w:val="000000"/>
          <w:sz w:val="22"/>
          <w:szCs w:val="22"/>
        </w:rPr>
        <w:t xml:space="preserve">funded as special projects of national significance (SPNS) </w:t>
      </w:r>
      <w:r w:rsidR="003D5D9B">
        <w:rPr>
          <w:color w:val="000000"/>
          <w:sz w:val="22"/>
          <w:szCs w:val="22"/>
        </w:rPr>
        <w:t xml:space="preserve">only. </w:t>
      </w:r>
      <w:r w:rsidR="00E35721">
        <w:rPr>
          <w:color w:val="000000"/>
          <w:sz w:val="22"/>
          <w:szCs w:val="22"/>
        </w:rPr>
        <w:t xml:space="preserve">The HOPWA statute at </w:t>
      </w:r>
      <w:r w:rsidR="00E35721">
        <w:t xml:space="preserve">42 U.S.C. 12903(c)(5) and </w:t>
      </w:r>
      <w:r w:rsidR="00E35721">
        <w:rPr>
          <w:color w:val="000000"/>
          <w:sz w:val="22"/>
          <w:szCs w:val="22"/>
        </w:rPr>
        <w:t xml:space="preserve">the corresponding regulations at </w:t>
      </w:r>
      <w:r w:rsidRPr="003B27A6" w:rsidR="00E35721">
        <w:rPr>
          <w:color w:val="000000"/>
          <w:sz w:val="22"/>
          <w:szCs w:val="22"/>
        </w:rPr>
        <w:t xml:space="preserve">24 CFR </w:t>
      </w:r>
      <w:r w:rsidR="00E35721">
        <w:rPr>
          <w:color w:val="000000"/>
          <w:sz w:val="22"/>
          <w:szCs w:val="22"/>
        </w:rPr>
        <w:t xml:space="preserve">Part </w:t>
      </w:r>
      <w:r w:rsidRPr="003B27A6" w:rsidR="00E35721">
        <w:rPr>
          <w:color w:val="000000"/>
          <w:sz w:val="22"/>
          <w:szCs w:val="22"/>
        </w:rPr>
        <w:t>574</w:t>
      </w:r>
      <w:r w:rsidR="00E35721">
        <w:rPr>
          <w:color w:val="000000"/>
          <w:sz w:val="22"/>
          <w:szCs w:val="22"/>
        </w:rPr>
        <w:t xml:space="preserve"> – Subpart C </w:t>
      </w:r>
      <w:r w:rsidR="000506F9">
        <w:rPr>
          <w:color w:val="000000"/>
          <w:sz w:val="22"/>
          <w:szCs w:val="22"/>
        </w:rPr>
        <w:t xml:space="preserve">allows HOPWA to fund special projects of national significance (SPNS) on a competitive basis. Per </w:t>
      </w:r>
      <w:r w:rsidRPr="001159FC" w:rsidR="000506F9">
        <w:rPr>
          <w:color w:val="000000"/>
          <w:sz w:val="22"/>
          <w:szCs w:val="22"/>
        </w:rPr>
        <w:t>U.S.C. 12903(c)(5)(C), “…in selecting projects of national significance the Secretary shall consider (i) the need to assess the effectiveness of a particular model for providing supportive housing for eligible persons; (ii) the innovative nature of the proposed activity; and (iii) the potential replicability of the proposed activity in other similar localities or nationally.”</w:t>
      </w:r>
      <w:r w:rsidR="000506F9">
        <w:rPr>
          <w:color w:val="000000"/>
          <w:sz w:val="22"/>
          <w:szCs w:val="22"/>
        </w:rPr>
        <w:t xml:space="preserve"> </w:t>
      </w:r>
    </w:p>
    <w:p w:rsidR="004D30DA" w:rsidP="006A6949" w:rsidRDefault="004D30DA" w14:paraId="62942D09" w14:textId="77777777">
      <w:pPr>
        <w:rPr>
          <w:color w:val="000000"/>
          <w:sz w:val="22"/>
          <w:szCs w:val="22"/>
        </w:rPr>
      </w:pPr>
    </w:p>
    <w:p w:rsidR="00612026" w:rsidP="006A6949" w:rsidRDefault="00695588" w14:paraId="388CC448" w14:textId="2105A95A">
      <w:pPr>
        <w:rPr>
          <w:color w:val="000000"/>
          <w:sz w:val="22"/>
          <w:szCs w:val="22"/>
        </w:rPr>
      </w:pPr>
      <w:r>
        <w:rPr>
          <w:color w:val="000000"/>
          <w:sz w:val="22"/>
          <w:szCs w:val="22"/>
        </w:rPr>
        <w:t>To ensure the innovative nature of the funded SPNS grants</w:t>
      </w:r>
      <w:r w:rsidR="004D30DA">
        <w:rPr>
          <w:color w:val="000000"/>
          <w:sz w:val="22"/>
          <w:szCs w:val="22"/>
        </w:rPr>
        <w:t xml:space="preserve"> can be shared for </w:t>
      </w:r>
      <w:r w:rsidRPr="00635B28" w:rsidR="004D30DA">
        <w:rPr>
          <w:color w:val="000000"/>
          <w:sz w:val="22"/>
          <w:szCs w:val="22"/>
        </w:rPr>
        <w:t xml:space="preserve">potential replicability of </w:t>
      </w:r>
      <w:r w:rsidR="004D30DA">
        <w:rPr>
          <w:color w:val="000000"/>
          <w:sz w:val="22"/>
          <w:szCs w:val="22"/>
        </w:rPr>
        <w:t>grant</w:t>
      </w:r>
      <w:r w:rsidRPr="00635B28" w:rsidR="004D30DA">
        <w:rPr>
          <w:color w:val="000000"/>
          <w:sz w:val="22"/>
          <w:szCs w:val="22"/>
        </w:rPr>
        <w:t xml:space="preserve"> activit</w:t>
      </w:r>
      <w:r w:rsidR="004D30DA">
        <w:rPr>
          <w:color w:val="000000"/>
          <w:sz w:val="22"/>
          <w:szCs w:val="22"/>
        </w:rPr>
        <w:t>ies</w:t>
      </w:r>
      <w:r w:rsidRPr="00635B28" w:rsidR="004D30DA">
        <w:rPr>
          <w:color w:val="000000"/>
          <w:sz w:val="22"/>
          <w:szCs w:val="22"/>
        </w:rPr>
        <w:t xml:space="preserve"> in other similar localities or nationally</w:t>
      </w:r>
      <w:r w:rsidR="004D30DA">
        <w:rPr>
          <w:color w:val="000000"/>
          <w:sz w:val="22"/>
          <w:szCs w:val="22"/>
        </w:rPr>
        <w:t>, HOPWA requests additional data elements and narratives to be reported by new competitive SPNS grantees</w:t>
      </w:r>
      <w:r w:rsidR="00AE666B">
        <w:rPr>
          <w:color w:val="000000"/>
          <w:sz w:val="22"/>
          <w:szCs w:val="22"/>
        </w:rPr>
        <w:t xml:space="preserve"> through the HIV Housing Care Continuum Model Report and the Housing as an Intervention to Fight AIDS (HIFA) Model Report</w:t>
      </w:r>
      <w:r w:rsidR="004D30DA">
        <w:rPr>
          <w:color w:val="000000"/>
          <w:sz w:val="22"/>
          <w:szCs w:val="22"/>
        </w:rPr>
        <w:t>.</w:t>
      </w:r>
      <w:r>
        <w:rPr>
          <w:color w:val="000000"/>
          <w:sz w:val="22"/>
          <w:szCs w:val="22"/>
        </w:rPr>
        <w:t xml:space="preserve"> </w:t>
      </w:r>
      <w:r w:rsidR="00E35721">
        <w:rPr>
          <w:color w:val="000000"/>
          <w:sz w:val="22"/>
          <w:szCs w:val="22"/>
        </w:rPr>
        <w:t xml:space="preserve">This </w:t>
      </w:r>
      <w:r w:rsidR="003D5D9B">
        <w:rPr>
          <w:color w:val="000000"/>
          <w:sz w:val="22"/>
          <w:szCs w:val="22"/>
        </w:rPr>
        <w:t xml:space="preserve">revision would </w:t>
      </w:r>
      <w:r w:rsidR="004D30DA">
        <w:rPr>
          <w:color w:val="000000"/>
          <w:sz w:val="22"/>
          <w:szCs w:val="22"/>
        </w:rPr>
        <w:t xml:space="preserve">also </w:t>
      </w:r>
      <w:r w:rsidR="003D5D9B">
        <w:rPr>
          <w:color w:val="000000"/>
          <w:sz w:val="22"/>
          <w:szCs w:val="22"/>
        </w:rPr>
        <w:t xml:space="preserve">allow </w:t>
      </w:r>
      <w:r w:rsidR="00DD67CA">
        <w:rPr>
          <w:color w:val="000000"/>
          <w:sz w:val="22"/>
          <w:szCs w:val="22"/>
        </w:rPr>
        <w:t>HOPWA to begin</w:t>
      </w:r>
      <w:r w:rsidR="003D5D9B">
        <w:rPr>
          <w:color w:val="000000"/>
          <w:sz w:val="22"/>
          <w:szCs w:val="22"/>
        </w:rPr>
        <w:t xml:space="preserve"> align</w:t>
      </w:r>
      <w:r w:rsidR="00DD67CA">
        <w:rPr>
          <w:color w:val="000000"/>
          <w:sz w:val="22"/>
          <w:szCs w:val="22"/>
        </w:rPr>
        <w:t>ing</w:t>
      </w:r>
      <w:r w:rsidR="003D5D9B">
        <w:rPr>
          <w:color w:val="000000"/>
          <w:sz w:val="22"/>
          <w:szCs w:val="22"/>
        </w:rPr>
        <w:t xml:space="preserve"> report</w:t>
      </w:r>
      <w:r w:rsidR="00DD67CA">
        <w:rPr>
          <w:color w:val="000000"/>
          <w:sz w:val="22"/>
          <w:szCs w:val="22"/>
        </w:rPr>
        <w:t>ed data elements</w:t>
      </w:r>
      <w:r w:rsidR="003D5D9B">
        <w:rPr>
          <w:color w:val="000000"/>
          <w:sz w:val="22"/>
          <w:szCs w:val="22"/>
        </w:rPr>
        <w:t xml:space="preserve"> with the </w:t>
      </w:r>
      <w:r w:rsidR="00632CAC">
        <w:rPr>
          <w:color w:val="000000"/>
          <w:sz w:val="22"/>
          <w:szCs w:val="22"/>
        </w:rPr>
        <w:t xml:space="preserve">Ryan White HIV/AIDS Program </w:t>
      </w:r>
      <w:r w:rsidR="00DD67CA">
        <w:rPr>
          <w:color w:val="000000"/>
          <w:sz w:val="22"/>
          <w:szCs w:val="22"/>
        </w:rPr>
        <w:t>under OMB Control Number 0906-0039</w:t>
      </w:r>
      <w:r w:rsidR="004D30DA">
        <w:rPr>
          <w:color w:val="000000"/>
          <w:sz w:val="22"/>
          <w:szCs w:val="22"/>
        </w:rPr>
        <w:t xml:space="preserve"> and</w:t>
      </w:r>
      <w:r w:rsidR="00DD67CA">
        <w:rPr>
          <w:color w:val="000000"/>
          <w:sz w:val="22"/>
          <w:szCs w:val="22"/>
        </w:rPr>
        <w:t xml:space="preserve"> meaningfully participate in the Federal initiative, </w:t>
      </w:r>
      <w:r w:rsidRPr="00635B28" w:rsidR="00DD67CA">
        <w:rPr>
          <w:i/>
          <w:iCs/>
          <w:color w:val="000000"/>
          <w:sz w:val="22"/>
          <w:szCs w:val="22"/>
        </w:rPr>
        <w:t>Ending the Epidemic: A Plan for America</w:t>
      </w:r>
      <w:r w:rsidR="00B86159">
        <w:rPr>
          <w:color w:val="000000"/>
          <w:sz w:val="22"/>
          <w:szCs w:val="22"/>
        </w:rPr>
        <w:t>.</w:t>
      </w:r>
      <w:r w:rsidR="004D30DA">
        <w:rPr>
          <w:color w:val="000000"/>
          <w:sz w:val="22"/>
          <w:szCs w:val="22"/>
        </w:rPr>
        <w:t xml:space="preserve"> Per HOPWA statue and corresponding regulations, </w:t>
      </w:r>
      <w:r w:rsidR="009D26D5">
        <w:rPr>
          <w:color w:val="000000"/>
          <w:sz w:val="22"/>
          <w:szCs w:val="22"/>
        </w:rPr>
        <w:t>the reporting requirements allow HUD to identify required reporting criteria not explicitly identified in the statue or regulation cited below.</w:t>
      </w:r>
    </w:p>
    <w:p w:rsidR="009D26D5" w:rsidP="006A6949" w:rsidRDefault="009D26D5" w14:paraId="76B51005" w14:textId="1B34926B">
      <w:pPr>
        <w:rPr>
          <w:color w:val="000000"/>
          <w:sz w:val="22"/>
          <w:szCs w:val="22"/>
        </w:rPr>
      </w:pPr>
    </w:p>
    <w:p w:rsidR="009D26D5" w:rsidP="009D26D5" w:rsidRDefault="009D26D5" w14:paraId="4AE1DD6D" w14:textId="2127D1EE">
      <w:pPr>
        <w:rPr>
          <w:color w:val="000000"/>
          <w:sz w:val="22"/>
          <w:szCs w:val="22"/>
        </w:rPr>
      </w:pPr>
      <w:r w:rsidRPr="009D26D5">
        <w:rPr>
          <w:color w:val="000000"/>
          <w:sz w:val="22"/>
          <w:szCs w:val="22"/>
        </w:rPr>
        <w:t>§12911. Report</w:t>
      </w:r>
      <w:r>
        <w:rPr>
          <w:color w:val="000000"/>
          <w:sz w:val="22"/>
          <w:szCs w:val="22"/>
        </w:rPr>
        <w:t xml:space="preserve">. </w:t>
      </w:r>
      <w:r w:rsidRPr="009D26D5">
        <w:rPr>
          <w:color w:val="000000"/>
          <w:sz w:val="22"/>
          <w:szCs w:val="22"/>
        </w:rPr>
        <w:t>Any organization or agency that receives a grant under this chapter shall submit to the Secretary, for any fiscal year in which the organization or agency receives a grant under this chapter, a report describing the use of the amounts received, which shall include the number of individuals assisted, the types of assistance provided, and any other information that the Secretary determines to be appropriate.</w:t>
      </w:r>
    </w:p>
    <w:p w:rsidR="009D26D5" w:rsidP="009D26D5" w:rsidRDefault="009D26D5" w14:paraId="0FAD48D8" w14:textId="05D02E7C">
      <w:pPr>
        <w:rPr>
          <w:color w:val="000000"/>
          <w:sz w:val="22"/>
          <w:szCs w:val="22"/>
        </w:rPr>
      </w:pPr>
    </w:p>
    <w:p w:rsidR="009D26D5" w:rsidP="009D26D5" w:rsidRDefault="009D26D5" w14:paraId="1E93FE60" w14:textId="5C66A7B9">
      <w:pPr>
        <w:rPr>
          <w:color w:val="000000"/>
          <w:sz w:val="22"/>
          <w:szCs w:val="22"/>
        </w:rPr>
      </w:pPr>
      <w:r w:rsidRPr="001159FC">
        <w:rPr>
          <w:color w:val="000000"/>
          <w:sz w:val="22"/>
          <w:szCs w:val="22"/>
        </w:rPr>
        <w:t>24 CFR 574.520(b) Competitive grants. A grantee shall submit to HUD annually a report describing the use of the amounts received, including the number of individuals assisted, the types of assistance provided, data on emergency transfers requested under 24 CFR 5.2005(e), pertaining to victims of domestic violence, dating violence, sexual assault, or stalking, including data on the outcomes of such requests, and any other information that HUD may require. Annual reports are required until all grant funds are expended.</w:t>
      </w:r>
    </w:p>
    <w:p w:rsidR="009D26D5" w:rsidP="006A6949" w:rsidRDefault="009D26D5" w14:paraId="00EF12BC" w14:textId="7216ABE1">
      <w:pPr>
        <w:rPr>
          <w:color w:val="000000"/>
          <w:sz w:val="22"/>
          <w:szCs w:val="22"/>
        </w:rPr>
      </w:pPr>
    </w:p>
    <w:p w:rsidR="00900583" w:rsidP="006A6949" w:rsidRDefault="00900583" w14:paraId="6ACCBD76" w14:textId="088EFA78">
      <w:pPr>
        <w:rPr>
          <w:color w:val="000000"/>
          <w:sz w:val="22"/>
          <w:szCs w:val="22"/>
        </w:rPr>
      </w:pPr>
      <w:r>
        <w:rPr>
          <w:color w:val="000000"/>
          <w:sz w:val="22"/>
          <w:szCs w:val="22"/>
        </w:rPr>
        <w:t xml:space="preserve">This request is to expand reporting requirements for new competitive SPNS grants to aggregately report on an additional four data elements for each program beneficiary assisted annually, and provide a narrative summary of SPNS grant activities at the end of the grant period of performance. </w:t>
      </w:r>
    </w:p>
    <w:p w:rsidR="009B73E6" w:rsidP="006A6949" w:rsidRDefault="009B73E6" w14:paraId="702B912D" w14:textId="77777777">
      <w:pPr>
        <w:rPr>
          <w:color w:val="000000"/>
          <w:sz w:val="22"/>
          <w:szCs w:val="22"/>
        </w:rPr>
      </w:pPr>
    </w:p>
    <w:p w:rsidRPr="003B27A6" w:rsidR="00D73EE7" w:rsidRDefault="00D73EE7" w14:paraId="2197F2D2" w14:textId="77777777">
      <w:pPr>
        <w:tabs>
          <w:tab w:val="left" w:pos="360"/>
        </w:tabs>
        <w:rPr>
          <w:color w:val="000000"/>
          <w:sz w:val="22"/>
          <w:szCs w:val="22"/>
        </w:rPr>
      </w:pPr>
      <w:bookmarkStart w:name="substructure-location_d_1" w:id="0"/>
      <w:bookmarkStart w:name="substructure-location_d_2" w:id="1"/>
      <w:bookmarkStart w:name="substructure-location_d_3" w:id="2"/>
      <w:bookmarkStart w:name="substructure-location_d_4" w:id="3"/>
      <w:bookmarkStart w:name="substructure-location_d_5" w:id="4"/>
      <w:bookmarkStart w:name="substructure-location_d_6" w:id="5"/>
      <w:bookmarkStart w:name="se24.3.574_1530" w:id="6"/>
      <w:bookmarkEnd w:id="0"/>
      <w:bookmarkEnd w:id="1"/>
      <w:bookmarkEnd w:id="2"/>
      <w:bookmarkEnd w:id="3"/>
      <w:bookmarkEnd w:id="4"/>
      <w:bookmarkEnd w:id="5"/>
      <w:bookmarkEnd w:id="6"/>
    </w:p>
    <w:p w:rsidRPr="003B27A6" w:rsidR="00D73EE7" w:rsidP="003B27A6" w:rsidRDefault="00D73EE7" w14:paraId="5D4B3588" w14:textId="77777777">
      <w:pPr>
        <w:keepLines/>
        <w:tabs>
          <w:tab w:val="left" w:pos="360"/>
        </w:tabs>
        <w:spacing w:after="80"/>
        <w:ind w:left="360" w:hanging="360"/>
        <w:rPr>
          <w:color w:val="000000"/>
          <w:sz w:val="22"/>
          <w:szCs w:val="22"/>
        </w:rPr>
      </w:pPr>
      <w:r w:rsidRPr="003B27A6">
        <w:rPr>
          <w:color w:val="000000"/>
          <w:sz w:val="22"/>
          <w:szCs w:val="22"/>
        </w:rPr>
        <w:t>2.</w:t>
      </w:r>
      <w:r w:rsidRPr="003B27A6">
        <w:rPr>
          <w:color w:val="000000"/>
          <w:sz w:val="22"/>
          <w:szCs w:val="22"/>
        </w:rPr>
        <w:tab/>
      </w:r>
      <w:r w:rsidRPr="002E1334" w:rsidR="003B27A6">
        <w:rPr>
          <w:sz w:val="22"/>
          <w:szCs w:val="22"/>
        </w:rPr>
        <w:t>How the information is or will be used.</w:t>
      </w:r>
    </w:p>
    <w:p w:rsidRPr="002F6D3D" w:rsidR="002B70A5" w:rsidP="00696B16" w:rsidRDefault="00B4088E" w14:paraId="50213A1B" w14:textId="3AD85EC6">
      <w:pPr>
        <w:rPr>
          <w:color w:val="000000"/>
          <w:sz w:val="22"/>
          <w:szCs w:val="22"/>
        </w:rPr>
      </w:pPr>
      <w:bookmarkStart w:name="_Hlk33185028" w:id="7"/>
      <w:r w:rsidRPr="002F6D3D">
        <w:rPr>
          <w:color w:val="000000"/>
          <w:sz w:val="22"/>
          <w:szCs w:val="22"/>
        </w:rPr>
        <w:t xml:space="preserve">The current </w:t>
      </w:r>
      <w:r w:rsidRPr="002F6D3D" w:rsidR="000C67AE">
        <w:rPr>
          <w:color w:val="000000"/>
          <w:sz w:val="22"/>
          <w:szCs w:val="22"/>
        </w:rPr>
        <w:t>Paperwork R</w:t>
      </w:r>
      <w:r w:rsidRPr="002F6D3D">
        <w:rPr>
          <w:color w:val="000000"/>
          <w:sz w:val="22"/>
          <w:szCs w:val="22"/>
        </w:rPr>
        <w:t xml:space="preserve">eduction </w:t>
      </w:r>
      <w:r w:rsidRPr="002F6D3D" w:rsidR="000C67AE">
        <w:rPr>
          <w:color w:val="000000"/>
          <w:sz w:val="22"/>
          <w:szCs w:val="22"/>
        </w:rPr>
        <w:t xml:space="preserve">Act </w:t>
      </w:r>
      <w:r w:rsidRPr="002F6D3D">
        <w:rPr>
          <w:color w:val="000000"/>
          <w:sz w:val="22"/>
          <w:szCs w:val="22"/>
        </w:rPr>
        <w:t xml:space="preserve">approval under OMB Control No. 2506-0133 covers both the HOPWA formula and competitive grant programs. </w:t>
      </w:r>
      <w:bookmarkStart w:name="_Hlk33184859" w:id="8"/>
      <w:r w:rsidRPr="002F6D3D">
        <w:rPr>
          <w:color w:val="000000"/>
          <w:sz w:val="22"/>
          <w:szCs w:val="22"/>
        </w:rPr>
        <w:t xml:space="preserve">The competitive grant program includes new competitive grants and renewal grants. </w:t>
      </w:r>
      <w:r w:rsidRPr="002F6D3D" w:rsidR="007B5F1F">
        <w:rPr>
          <w:color w:val="000000"/>
          <w:sz w:val="22"/>
          <w:szCs w:val="22"/>
        </w:rPr>
        <w:t xml:space="preserve">This revision would only apply </w:t>
      </w:r>
      <w:r w:rsidRPr="002F6D3D" w:rsidR="00E20465">
        <w:rPr>
          <w:color w:val="000000"/>
          <w:sz w:val="22"/>
          <w:szCs w:val="22"/>
        </w:rPr>
        <w:t xml:space="preserve">to </w:t>
      </w:r>
      <w:r w:rsidRPr="002F6D3D" w:rsidR="007B5F1F">
        <w:rPr>
          <w:color w:val="000000"/>
          <w:sz w:val="22"/>
          <w:szCs w:val="22"/>
        </w:rPr>
        <w:t xml:space="preserve">reporting requirements for new competitive </w:t>
      </w:r>
      <w:r w:rsidRPr="007A5B8F" w:rsidR="002A7B77">
        <w:rPr>
          <w:color w:val="000000"/>
        </w:rPr>
        <w:t>Special Projects of National Significance (SPNS)</w:t>
      </w:r>
      <w:r w:rsidRPr="002F6D3D" w:rsidR="007B5F1F">
        <w:rPr>
          <w:color w:val="000000"/>
          <w:sz w:val="22"/>
          <w:szCs w:val="22"/>
        </w:rPr>
        <w:t xml:space="preserve"> grants.</w:t>
      </w:r>
      <w:bookmarkEnd w:id="8"/>
    </w:p>
    <w:p w:rsidRPr="002F6D3D" w:rsidR="002B70A5" w:rsidP="00696B16" w:rsidRDefault="002B70A5" w14:paraId="2A6EAA22" w14:textId="77777777">
      <w:pPr>
        <w:rPr>
          <w:color w:val="000000"/>
          <w:sz w:val="22"/>
          <w:szCs w:val="22"/>
        </w:rPr>
      </w:pPr>
    </w:p>
    <w:p w:rsidRPr="002F6D3D" w:rsidR="0046639B" w:rsidP="00696B16" w:rsidRDefault="002B70A5" w14:paraId="0A84AF20" w14:textId="31B4549C">
      <w:pPr>
        <w:rPr>
          <w:color w:val="000000"/>
          <w:sz w:val="22"/>
          <w:szCs w:val="22"/>
        </w:rPr>
      </w:pPr>
      <w:r w:rsidRPr="002F6D3D">
        <w:rPr>
          <w:color w:val="000000"/>
          <w:sz w:val="22"/>
          <w:szCs w:val="22"/>
        </w:rPr>
        <w:lastRenderedPageBreak/>
        <w:t xml:space="preserve">The current approval </w:t>
      </w:r>
      <w:r w:rsidRPr="002F6D3D" w:rsidR="007C3944">
        <w:rPr>
          <w:color w:val="000000"/>
          <w:sz w:val="22"/>
          <w:szCs w:val="22"/>
        </w:rPr>
        <w:t>covers reporting for</w:t>
      </w:r>
      <w:r w:rsidRPr="002F6D3D" w:rsidR="009C3678">
        <w:rPr>
          <w:color w:val="000000"/>
          <w:sz w:val="22"/>
          <w:szCs w:val="22"/>
        </w:rPr>
        <w:t xml:space="preserve"> new competitive SPNS grants through </w:t>
      </w:r>
      <w:r w:rsidRPr="007A5B8F" w:rsidR="002A7B77">
        <w:rPr>
          <w:color w:val="000000"/>
        </w:rPr>
        <w:t>HUD-40110-C, the HOPWA Annual Performance Report (APR</w:t>
      </w:r>
      <w:r w:rsidRPr="002F6D3D">
        <w:rPr>
          <w:color w:val="000000"/>
          <w:sz w:val="22"/>
          <w:szCs w:val="22"/>
        </w:rPr>
        <w:t>)</w:t>
      </w:r>
      <w:r w:rsidRPr="002F6D3D" w:rsidR="007C3944">
        <w:rPr>
          <w:color w:val="000000"/>
          <w:sz w:val="22"/>
          <w:szCs w:val="22"/>
        </w:rPr>
        <w:t>. T</w:t>
      </w:r>
      <w:r w:rsidRPr="002F6D3D" w:rsidR="000D7916">
        <w:rPr>
          <w:color w:val="000000"/>
          <w:sz w:val="22"/>
          <w:szCs w:val="22"/>
        </w:rPr>
        <w:t xml:space="preserve">his submission requests to add four data elements to </w:t>
      </w:r>
      <w:r w:rsidRPr="002F6D3D" w:rsidR="007C3944">
        <w:rPr>
          <w:color w:val="000000"/>
          <w:sz w:val="22"/>
          <w:szCs w:val="22"/>
        </w:rPr>
        <w:t>be reported annually</w:t>
      </w:r>
      <w:r w:rsidRPr="002F6D3D" w:rsidR="005E7E08">
        <w:rPr>
          <w:color w:val="000000"/>
          <w:sz w:val="22"/>
          <w:szCs w:val="22"/>
        </w:rPr>
        <w:t xml:space="preserve"> through the HIV Housing Care Continuum Model Report</w:t>
      </w:r>
      <w:r w:rsidRPr="002F6D3D" w:rsidR="007C3944">
        <w:rPr>
          <w:color w:val="000000"/>
          <w:sz w:val="22"/>
          <w:szCs w:val="22"/>
        </w:rPr>
        <w:t xml:space="preserve"> </w:t>
      </w:r>
      <w:r w:rsidRPr="002F6D3D" w:rsidR="00BF2A81">
        <w:rPr>
          <w:color w:val="000000"/>
          <w:sz w:val="22"/>
          <w:szCs w:val="22"/>
        </w:rPr>
        <w:t xml:space="preserve">to be submitted annually </w:t>
      </w:r>
      <w:r w:rsidRPr="002F6D3D" w:rsidR="007C3944">
        <w:rPr>
          <w:color w:val="000000"/>
          <w:sz w:val="22"/>
          <w:szCs w:val="22"/>
        </w:rPr>
        <w:t xml:space="preserve">and </w:t>
      </w:r>
      <w:r w:rsidRPr="002F6D3D" w:rsidR="005E7E08">
        <w:rPr>
          <w:color w:val="000000"/>
          <w:sz w:val="22"/>
          <w:szCs w:val="22"/>
        </w:rPr>
        <w:t xml:space="preserve">the Housing as an Intervention to Fight AIDS (HIFA) report </w:t>
      </w:r>
      <w:r w:rsidRPr="002F6D3D" w:rsidR="00BF2A81">
        <w:rPr>
          <w:color w:val="000000"/>
          <w:sz w:val="22"/>
          <w:szCs w:val="22"/>
        </w:rPr>
        <w:t xml:space="preserve">to be submitted </w:t>
      </w:r>
      <w:r w:rsidRPr="002F6D3D" w:rsidR="005F3E30">
        <w:rPr>
          <w:color w:val="000000"/>
          <w:sz w:val="22"/>
          <w:szCs w:val="22"/>
        </w:rPr>
        <w:t xml:space="preserve">at the end of the grant period of performance. </w:t>
      </w:r>
      <w:r w:rsidRPr="002F6D3D" w:rsidR="003C6295">
        <w:rPr>
          <w:color w:val="000000"/>
          <w:sz w:val="22"/>
          <w:szCs w:val="22"/>
        </w:rPr>
        <w:t xml:space="preserve">The additional reporting will allow HOPWA to share lessons learned and </w:t>
      </w:r>
      <w:r w:rsidRPr="002F6D3D" w:rsidR="00375A5B">
        <w:rPr>
          <w:color w:val="000000"/>
          <w:sz w:val="22"/>
          <w:szCs w:val="22"/>
        </w:rPr>
        <w:t>promising</w:t>
      </w:r>
      <w:r w:rsidRPr="002F6D3D" w:rsidR="003C6295">
        <w:rPr>
          <w:color w:val="000000"/>
          <w:sz w:val="22"/>
          <w:szCs w:val="22"/>
        </w:rPr>
        <w:t xml:space="preserve"> practices </w:t>
      </w:r>
      <w:r w:rsidRPr="001159FC" w:rsidR="003C6295">
        <w:rPr>
          <w:sz w:val="22"/>
          <w:szCs w:val="22"/>
        </w:rPr>
        <w:t>with the public</w:t>
      </w:r>
      <w:r w:rsidRPr="001159FC" w:rsidR="005D4C5C">
        <w:rPr>
          <w:sz w:val="22"/>
          <w:szCs w:val="22"/>
        </w:rPr>
        <w:t xml:space="preserve">, and uphold </w:t>
      </w:r>
      <w:r w:rsidRPr="001159FC" w:rsidR="00375A5B">
        <w:rPr>
          <w:sz w:val="22"/>
          <w:szCs w:val="22"/>
        </w:rPr>
        <w:t>the</w:t>
      </w:r>
      <w:r w:rsidRPr="001159FC" w:rsidR="005D4C5C">
        <w:rPr>
          <w:sz w:val="22"/>
          <w:szCs w:val="22"/>
        </w:rPr>
        <w:t xml:space="preserve"> purpose of SPNS grants to be replicable</w:t>
      </w:r>
      <w:r w:rsidRPr="001159FC" w:rsidR="0046639B">
        <w:rPr>
          <w:sz w:val="22"/>
          <w:szCs w:val="22"/>
        </w:rPr>
        <w:t xml:space="preserve"> </w:t>
      </w:r>
      <w:r w:rsidRPr="002F6D3D" w:rsidR="0046639B">
        <w:rPr>
          <w:color w:val="000000"/>
          <w:sz w:val="22"/>
          <w:szCs w:val="22"/>
        </w:rPr>
        <w:t>in other similar localities or nationally.</w:t>
      </w:r>
    </w:p>
    <w:p w:rsidRPr="002F6D3D" w:rsidR="0046639B" w:rsidP="00696B16" w:rsidRDefault="0046639B" w14:paraId="54218489" w14:textId="77777777">
      <w:pPr>
        <w:rPr>
          <w:color w:val="000000"/>
          <w:sz w:val="22"/>
          <w:szCs w:val="22"/>
        </w:rPr>
      </w:pPr>
    </w:p>
    <w:p w:rsidRPr="001159FC" w:rsidR="00BF2A81" w:rsidP="00BF2A81" w:rsidRDefault="0046639B" w14:paraId="28A534FF" w14:textId="215CCFA8">
      <w:pPr>
        <w:rPr>
          <w:sz w:val="22"/>
          <w:szCs w:val="22"/>
        </w:rPr>
      </w:pPr>
      <w:r w:rsidRPr="002F6D3D">
        <w:rPr>
          <w:color w:val="000000"/>
          <w:sz w:val="22"/>
          <w:szCs w:val="22"/>
        </w:rPr>
        <w:t xml:space="preserve">The data elements </w:t>
      </w:r>
      <w:r w:rsidRPr="002F6D3D" w:rsidR="00AC2885">
        <w:rPr>
          <w:color w:val="000000"/>
          <w:sz w:val="22"/>
          <w:szCs w:val="22"/>
        </w:rPr>
        <w:t xml:space="preserve">in the HIV Housing Care Continuum Model Report </w:t>
      </w:r>
      <w:r w:rsidRPr="002F6D3D">
        <w:rPr>
          <w:color w:val="000000"/>
          <w:sz w:val="22"/>
          <w:szCs w:val="22"/>
        </w:rPr>
        <w:t xml:space="preserve">follow Center for Disease Control (CDC) definitions for the HIV Care Continuum and will allow SPNS grantees to collect standardized project data that can be </w:t>
      </w:r>
      <w:r w:rsidRPr="002F6D3D" w:rsidR="00AC2885">
        <w:rPr>
          <w:color w:val="000000"/>
          <w:sz w:val="22"/>
          <w:szCs w:val="22"/>
        </w:rPr>
        <w:t>used to</w:t>
      </w:r>
      <w:r w:rsidRPr="002F6D3D">
        <w:rPr>
          <w:color w:val="000000"/>
          <w:sz w:val="22"/>
          <w:szCs w:val="22"/>
        </w:rPr>
        <w:t xml:space="preserve"> compare outcomes with other projects</w:t>
      </w:r>
      <w:r w:rsidRPr="002F6D3D" w:rsidR="00AC2885">
        <w:rPr>
          <w:color w:val="000000"/>
          <w:sz w:val="22"/>
          <w:szCs w:val="22"/>
        </w:rPr>
        <w:t xml:space="preserve">. </w:t>
      </w:r>
      <w:r w:rsidRPr="001159FC" w:rsidR="00BF2A81">
        <w:rPr>
          <w:sz w:val="22"/>
          <w:szCs w:val="22"/>
        </w:rPr>
        <w:t xml:space="preserve">The HIV Housing Care Continuum Model </w:t>
      </w:r>
      <w:r w:rsidR="002A7B77">
        <w:rPr>
          <w:sz w:val="22"/>
          <w:szCs w:val="22"/>
        </w:rPr>
        <w:t xml:space="preserve">report </w:t>
      </w:r>
      <w:r w:rsidRPr="001159FC" w:rsidR="00BF2A81">
        <w:rPr>
          <w:sz w:val="22"/>
          <w:szCs w:val="22"/>
        </w:rPr>
        <w:t>will require grantees to collect four client-level data elements for each person with diagnosed HIV receiving HOPWA assistance by type of assistance received through this NOFA. The data elements include:</w:t>
      </w:r>
    </w:p>
    <w:p w:rsidRPr="001159FC" w:rsidR="00BF2A81" w:rsidP="001159FC" w:rsidRDefault="00BF2A81" w14:paraId="64EED262" w14:textId="6B611E47">
      <w:pPr>
        <w:pStyle w:val="ListParagraph"/>
        <w:numPr>
          <w:ilvl w:val="0"/>
          <w:numId w:val="28"/>
        </w:numPr>
        <w:rPr>
          <w:sz w:val="22"/>
          <w:szCs w:val="22"/>
        </w:rPr>
      </w:pPr>
      <w:r w:rsidRPr="001159FC">
        <w:rPr>
          <w:sz w:val="22"/>
          <w:szCs w:val="22"/>
        </w:rPr>
        <w:t xml:space="preserve">Receipt of Care. Receipt of care is measured as a person with diagnosed HIV receiving HOPWA assistance under this NOFA who had at least one CD4 or viral load test during the operating year. </w:t>
      </w:r>
    </w:p>
    <w:p w:rsidRPr="001159FC" w:rsidR="00BF2A81" w:rsidP="001159FC" w:rsidRDefault="00BF2A81" w14:paraId="3909D8D6" w14:textId="07D368BB">
      <w:pPr>
        <w:pStyle w:val="ListParagraph"/>
        <w:numPr>
          <w:ilvl w:val="0"/>
          <w:numId w:val="28"/>
        </w:numPr>
        <w:rPr>
          <w:sz w:val="22"/>
          <w:szCs w:val="22"/>
        </w:rPr>
      </w:pPr>
      <w:r w:rsidRPr="001159FC">
        <w:rPr>
          <w:sz w:val="22"/>
          <w:szCs w:val="22"/>
        </w:rPr>
        <w:t>Retained in Care. Retained in care is measured as a person with diagnosed HIV receiving HOPWA assistance under this NOFA who had two or more CD4 or viral load tests, performed at least three months apart during the operating year.</w:t>
      </w:r>
    </w:p>
    <w:p w:rsidRPr="001159FC" w:rsidR="00BF2A81" w:rsidP="001159FC" w:rsidRDefault="00BF2A81" w14:paraId="49D05E69" w14:textId="546586CE">
      <w:pPr>
        <w:pStyle w:val="ListParagraph"/>
        <w:numPr>
          <w:ilvl w:val="0"/>
          <w:numId w:val="28"/>
        </w:numPr>
        <w:rPr>
          <w:sz w:val="22"/>
          <w:szCs w:val="22"/>
        </w:rPr>
      </w:pPr>
      <w:r w:rsidRPr="001159FC">
        <w:rPr>
          <w:sz w:val="22"/>
          <w:szCs w:val="22"/>
        </w:rPr>
        <w:t>Viral Suppression. Viral suppression is measured as a person with diagnosed HIV receiving HOPWA assistance under this NOFA who had a viral load test result of &lt;200 copies/mL at the most recent viral load test during the operating year.</w:t>
      </w:r>
    </w:p>
    <w:p w:rsidRPr="001159FC" w:rsidR="00BF2A81" w:rsidP="001159FC" w:rsidRDefault="00BF2A81" w14:paraId="0A2917CC" w14:textId="37CF3350">
      <w:pPr>
        <w:pStyle w:val="ListParagraph"/>
        <w:numPr>
          <w:ilvl w:val="0"/>
          <w:numId w:val="28"/>
        </w:numPr>
        <w:rPr>
          <w:sz w:val="22"/>
          <w:szCs w:val="22"/>
        </w:rPr>
      </w:pPr>
      <w:r w:rsidRPr="001159FC">
        <w:rPr>
          <w:sz w:val="22"/>
          <w:szCs w:val="22"/>
        </w:rPr>
        <w:t>Type of HOPWA assistance received. The type of HOPWA assistance received by the person with diagnosed HIV includes any HOPWA assistance for housing or supportive services funded through this NOFA. This data element will provide the denominator for the variety of HIV Housing Care Continuums created through the HIV Housing Care Continuum Model Report. Grantees will be required to separately report receipt of care, retained in care, and viral suppression for persons with diagnosed HIV receiving the following categories of type of HOPWA assistance under this NOFA: Any eligible HOPWA assistance;</w:t>
      </w:r>
      <w:r w:rsidRPr="001159FC" w:rsidR="00306161">
        <w:rPr>
          <w:sz w:val="22"/>
          <w:szCs w:val="22"/>
        </w:rPr>
        <w:t xml:space="preserve"> </w:t>
      </w:r>
      <w:r w:rsidRPr="001159FC">
        <w:rPr>
          <w:sz w:val="22"/>
          <w:szCs w:val="22"/>
        </w:rPr>
        <w:t>Housing assistance only;</w:t>
      </w:r>
      <w:r w:rsidRPr="001159FC" w:rsidR="00306161">
        <w:rPr>
          <w:sz w:val="22"/>
          <w:szCs w:val="22"/>
        </w:rPr>
        <w:t xml:space="preserve"> </w:t>
      </w:r>
      <w:r w:rsidRPr="001159FC">
        <w:rPr>
          <w:sz w:val="22"/>
          <w:szCs w:val="22"/>
        </w:rPr>
        <w:t>Supportive Services only;</w:t>
      </w:r>
      <w:r w:rsidRPr="001159FC" w:rsidR="00306161">
        <w:rPr>
          <w:sz w:val="22"/>
          <w:szCs w:val="22"/>
        </w:rPr>
        <w:t xml:space="preserve"> </w:t>
      </w:r>
      <w:r w:rsidRPr="001159FC">
        <w:rPr>
          <w:sz w:val="22"/>
          <w:szCs w:val="22"/>
        </w:rPr>
        <w:t>Both Housing assistance and Supportive Services;</w:t>
      </w:r>
      <w:r w:rsidRPr="001159FC" w:rsidR="00306161">
        <w:rPr>
          <w:sz w:val="22"/>
          <w:szCs w:val="22"/>
        </w:rPr>
        <w:t xml:space="preserve"> Tenant-based Rental Assistance (</w:t>
      </w:r>
      <w:r w:rsidRPr="001159FC">
        <w:rPr>
          <w:sz w:val="22"/>
          <w:szCs w:val="22"/>
        </w:rPr>
        <w:t>TBRA</w:t>
      </w:r>
      <w:r w:rsidRPr="001159FC" w:rsidR="00306161">
        <w:rPr>
          <w:sz w:val="22"/>
          <w:szCs w:val="22"/>
        </w:rPr>
        <w:t>)</w:t>
      </w:r>
      <w:r w:rsidRPr="001159FC">
        <w:rPr>
          <w:sz w:val="22"/>
          <w:szCs w:val="22"/>
        </w:rPr>
        <w:t xml:space="preserve"> and Master Leasing only;</w:t>
      </w:r>
      <w:r w:rsidRPr="001159FC" w:rsidR="00306161">
        <w:rPr>
          <w:sz w:val="22"/>
          <w:szCs w:val="22"/>
        </w:rPr>
        <w:t xml:space="preserve"> </w:t>
      </w:r>
      <w:r w:rsidRPr="001159FC">
        <w:rPr>
          <w:sz w:val="22"/>
          <w:szCs w:val="22"/>
        </w:rPr>
        <w:t>TBRA, Master Leasing, and Supportive Services;</w:t>
      </w:r>
      <w:r w:rsidRPr="001159FC" w:rsidR="00306161">
        <w:rPr>
          <w:sz w:val="22"/>
          <w:szCs w:val="22"/>
        </w:rPr>
        <w:t xml:space="preserve"> </w:t>
      </w:r>
      <w:r w:rsidRPr="001159FC">
        <w:rPr>
          <w:sz w:val="22"/>
          <w:szCs w:val="22"/>
        </w:rPr>
        <w:t>Facility-based Housing only;</w:t>
      </w:r>
      <w:r w:rsidRPr="001159FC" w:rsidR="00306161">
        <w:rPr>
          <w:sz w:val="22"/>
          <w:szCs w:val="22"/>
        </w:rPr>
        <w:t xml:space="preserve"> </w:t>
      </w:r>
      <w:r w:rsidRPr="001159FC">
        <w:rPr>
          <w:sz w:val="22"/>
          <w:szCs w:val="22"/>
        </w:rPr>
        <w:t>Facility-based Housing and Supportive Services;</w:t>
      </w:r>
      <w:r w:rsidRPr="001159FC" w:rsidR="00306161">
        <w:rPr>
          <w:sz w:val="22"/>
          <w:szCs w:val="22"/>
        </w:rPr>
        <w:t xml:space="preserve"> Short-term Rent, Mortgage, and Utilities (</w:t>
      </w:r>
      <w:r w:rsidRPr="001159FC">
        <w:rPr>
          <w:sz w:val="22"/>
          <w:szCs w:val="22"/>
        </w:rPr>
        <w:t>STRMU</w:t>
      </w:r>
      <w:r w:rsidRPr="001159FC" w:rsidR="00306161">
        <w:rPr>
          <w:sz w:val="22"/>
          <w:szCs w:val="22"/>
        </w:rPr>
        <w:t>)</w:t>
      </w:r>
      <w:r w:rsidRPr="001159FC">
        <w:rPr>
          <w:sz w:val="22"/>
          <w:szCs w:val="22"/>
        </w:rPr>
        <w:t xml:space="preserve"> only;</w:t>
      </w:r>
      <w:r w:rsidRPr="001159FC" w:rsidR="00306161">
        <w:rPr>
          <w:sz w:val="22"/>
          <w:szCs w:val="22"/>
        </w:rPr>
        <w:t xml:space="preserve"> </w:t>
      </w:r>
      <w:r w:rsidRPr="001159FC">
        <w:rPr>
          <w:sz w:val="22"/>
          <w:szCs w:val="22"/>
        </w:rPr>
        <w:t>STRMU and Supportive Services;</w:t>
      </w:r>
      <w:r w:rsidRPr="001159FC" w:rsidR="00306161">
        <w:rPr>
          <w:sz w:val="22"/>
          <w:szCs w:val="22"/>
        </w:rPr>
        <w:t xml:space="preserve"> </w:t>
      </w:r>
      <w:r w:rsidRPr="001159FC">
        <w:rPr>
          <w:sz w:val="22"/>
          <w:szCs w:val="22"/>
        </w:rPr>
        <w:t>Other Housing Activities only;</w:t>
      </w:r>
      <w:r w:rsidRPr="001159FC" w:rsidR="00306161">
        <w:rPr>
          <w:sz w:val="22"/>
          <w:szCs w:val="22"/>
        </w:rPr>
        <w:t xml:space="preserve"> and </w:t>
      </w:r>
      <w:r w:rsidRPr="001159FC">
        <w:rPr>
          <w:sz w:val="22"/>
          <w:szCs w:val="22"/>
        </w:rPr>
        <w:t>Other Housing Activities and Supportive Services.</w:t>
      </w:r>
    </w:p>
    <w:p w:rsidRPr="001159FC" w:rsidR="00306161" w:rsidRDefault="00306161" w14:paraId="363D83A4" w14:textId="77777777">
      <w:pPr>
        <w:rPr>
          <w:sz w:val="22"/>
          <w:szCs w:val="22"/>
        </w:rPr>
      </w:pPr>
    </w:p>
    <w:p w:rsidRPr="001159FC" w:rsidR="002A7B77" w:rsidP="002F6D3D" w:rsidRDefault="00BF2A81" w14:paraId="3ED77F11" w14:textId="77777777">
      <w:pPr>
        <w:rPr>
          <w:color w:val="000000"/>
          <w:sz w:val="22"/>
          <w:szCs w:val="22"/>
        </w:rPr>
      </w:pPr>
      <w:r w:rsidRPr="001159FC">
        <w:rPr>
          <w:sz w:val="22"/>
          <w:szCs w:val="22"/>
        </w:rPr>
        <w:t>Each annual submission of the HIV Housing Care Continuum Model</w:t>
      </w:r>
      <w:r w:rsidR="002A7B77">
        <w:rPr>
          <w:sz w:val="22"/>
          <w:szCs w:val="22"/>
        </w:rPr>
        <w:t xml:space="preserve"> report</w:t>
      </w:r>
      <w:r w:rsidRPr="001159FC">
        <w:rPr>
          <w:sz w:val="22"/>
          <w:szCs w:val="22"/>
        </w:rPr>
        <w:t xml:space="preserve"> will cover only the data from the program year covered. The client-level data elements should be collected at minimum annually and at </w:t>
      </w:r>
      <w:r w:rsidRPr="001159FC">
        <w:rPr>
          <w:color w:val="000000"/>
          <w:sz w:val="22"/>
          <w:szCs w:val="22"/>
        </w:rPr>
        <w:t>the following times: Client Intake, HOPWA Assistance Ends, Type of HOPWA Assistance Changes, or Recertification for HOPWA Assistance.  In addition to the data elements collected, the grantee will provide a brief narrative to interpret the data reported.</w:t>
      </w:r>
    </w:p>
    <w:p w:rsidRPr="001159FC" w:rsidR="002A7B77" w:rsidP="002F6D3D" w:rsidRDefault="002A7B77" w14:paraId="6999D1CE" w14:textId="77777777">
      <w:pPr>
        <w:rPr>
          <w:color w:val="000000"/>
          <w:sz w:val="22"/>
          <w:szCs w:val="22"/>
        </w:rPr>
      </w:pPr>
    </w:p>
    <w:p w:rsidRPr="002F6D3D" w:rsidR="009C3678" w:rsidRDefault="002A7B77" w14:paraId="3DE53ABF" w14:textId="7D0EF874">
      <w:pPr>
        <w:rPr>
          <w:color w:val="000000"/>
          <w:sz w:val="22"/>
          <w:szCs w:val="22"/>
        </w:rPr>
      </w:pPr>
      <w:r w:rsidRPr="001159FC">
        <w:rPr>
          <w:color w:val="000000"/>
          <w:sz w:val="22"/>
          <w:szCs w:val="22"/>
        </w:rPr>
        <w:t>The HIFA Model report will document the project's design, implementation, and outcomes, and identify best practices and model qualities related to the use of housing as a structural intervention in the ending the HIV/AIDS epidemic. The HIFA Model report includes the following components: a vision or goal for the project; description of the need being met by the project; description of the program design; description of the alignment with initiatives or strategies to end the HIV/AIDS epidemic; description of data collection and analysis used to make data-driven decisions on stable housing and positive health outcomes; description of culturally competent approaches used to clients experiencing service gaps; partnerships formed or continued with community organizations and other housing and service providers; resources and partnerships used to transition clients to self-sufficiency or other forms of housing assistance by the end of the grant period; successes and challenges in using housing as a structural intervention to end the HIV/AIDS epidemic; client outcomes related to health and housing stability including a summary of HIV Housing Care Continuum results and, if applicable, employment and income growth. Health outcome measures will include eligible program beneficiary CD4 count, viral load, and perceived health. This data will be provided in the aggregate.  Each HIFA Model will be shared with the public, and lessons learned through these grantee efforts will help inform national and community policy and actions.</w:t>
      </w:r>
      <w:r w:rsidRPr="001159FC" w:rsidR="003C6295">
        <w:rPr>
          <w:sz w:val="22"/>
          <w:szCs w:val="22"/>
        </w:rPr>
        <w:br/>
      </w:r>
    </w:p>
    <w:p w:rsidRPr="002F6D3D" w:rsidR="009C3678" w:rsidP="00696B16" w:rsidRDefault="00EB19F0" w14:paraId="3C227F28" w14:textId="116B61BF">
      <w:pPr>
        <w:rPr>
          <w:color w:val="000000"/>
          <w:sz w:val="22"/>
          <w:szCs w:val="22"/>
        </w:rPr>
      </w:pPr>
      <w:r w:rsidRPr="002F6D3D">
        <w:rPr>
          <w:color w:val="000000"/>
          <w:sz w:val="22"/>
          <w:szCs w:val="22"/>
        </w:rPr>
        <w:t xml:space="preserve">Reporting and recordkeeping for both HOPWA formula and competitive grant programs are already included in this approval. </w:t>
      </w:r>
      <w:r w:rsidRPr="002F6D3D" w:rsidR="009F09C5">
        <w:rPr>
          <w:color w:val="000000"/>
          <w:sz w:val="22"/>
          <w:szCs w:val="22"/>
        </w:rPr>
        <w:t xml:space="preserve">As currently approved through this collection, </w:t>
      </w:r>
      <w:r w:rsidRPr="002F6D3D" w:rsidR="00375A5B">
        <w:rPr>
          <w:color w:val="000000"/>
          <w:sz w:val="22"/>
          <w:szCs w:val="22"/>
        </w:rPr>
        <w:t xml:space="preserve">all </w:t>
      </w:r>
      <w:r w:rsidRPr="002F6D3D" w:rsidR="009F09C5">
        <w:rPr>
          <w:color w:val="000000"/>
          <w:sz w:val="22"/>
          <w:szCs w:val="22"/>
        </w:rPr>
        <w:t>HOPWA g</w:t>
      </w:r>
      <w:r w:rsidRPr="002F6D3D" w:rsidR="009C3678">
        <w:rPr>
          <w:color w:val="000000"/>
          <w:sz w:val="22"/>
          <w:szCs w:val="22"/>
        </w:rPr>
        <w:t xml:space="preserve">rantees </w:t>
      </w:r>
      <w:r w:rsidRPr="002F6D3D" w:rsidR="009F09C5">
        <w:rPr>
          <w:color w:val="000000"/>
          <w:sz w:val="22"/>
          <w:szCs w:val="22"/>
        </w:rPr>
        <w:t xml:space="preserve">will continue to </w:t>
      </w:r>
      <w:r w:rsidRPr="002F6D3D" w:rsidR="009C3678">
        <w:rPr>
          <w:color w:val="000000"/>
          <w:sz w:val="22"/>
          <w:szCs w:val="22"/>
        </w:rPr>
        <w:t xml:space="preserve">provide annual information on program accomplishments that supports program evaluation and the ability to measure program beneficiary outcomes related to: maintaining housing stability; preventing homelessness; and improving access to care and support. </w:t>
      </w:r>
      <w:r w:rsidRPr="007A5B8F" w:rsidR="002A7B77">
        <w:rPr>
          <w:color w:val="000000"/>
        </w:rPr>
        <w:t xml:space="preserve">Competitive grantees report through HUD-40110-C, the HOPWA APR; Formula grantees report through HUD-40110-D, the HOPWA Consolidated Annual Performance and Evaluation Report (CAPER). </w:t>
      </w:r>
      <w:r w:rsidRPr="002F6D3D" w:rsidR="009C3678">
        <w:rPr>
          <w:color w:val="000000"/>
          <w:sz w:val="22"/>
          <w:szCs w:val="22"/>
        </w:rPr>
        <w:t>Grantees are required to report on the activities undertaken only</w:t>
      </w:r>
      <w:r w:rsidRPr="001159FC" w:rsidR="009C3678">
        <w:rPr>
          <w:sz w:val="22"/>
          <w:szCs w:val="22"/>
        </w:rPr>
        <w:t>, thus there may be components of these reporting requirements that may not be applicable</w:t>
      </w:r>
      <w:r w:rsidRPr="002F6D3D" w:rsidR="009C3678">
        <w:rPr>
          <w:color w:val="000000"/>
          <w:sz w:val="22"/>
          <w:szCs w:val="22"/>
        </w:rPr>
        <w:t>. HUD systematically reviews and conducts data analysis in order to prepare national and individual grantee performance profiles that are not only used to measure program performance against benchmark goals and objectives, but also to communicate the program’s achievement and contributions towards Departmental strategic goals.</w:t>
      </w:r>
    </w:p>
    <w:p w:rsidRPr="002F6D3D" w:rsidR="007B5F1F" w:rsidP="00696B16" w:rsidRDefault="007B5F1F" w14:paraId="3B44D0AE" w14:textId="77777777">
      <w:pPr>
        <w:rPr>
          <w:color w:val="000000"/>
          <w:sz w:val="22"/>
          <w:szCs w:val="22"/>
        </w:rPr>
      </w:pPr>
    </w:p>
    <w:p w:rsidR="00156405" w:rsidP="00696B16" w:rsidRDefault="00915D7F" w14:paraId="29519B0B" w14:textId="19C0F148">
      <w:pPr>
        <w:rPr>
          <w:color w:val="000000"/>
          <w:sz w:val="22"/>
          <w:szCs w:val="22"/>
        </w:rPr>
      </w:pPr>
      <w:r w:rsidRPr="002F6D3D">
        <w:rPr>
          <w:color w:val="000000"/>
          <w:sz w:val="22"/>
          <w:szCs w:val="22"/>
        </w:rPr>
        <w:t xml:space="preserve">The </w:t>
      </w:r>
      <w:r w:rsidRPr="002F6D3D" w:rsidR="009F09C5">
        <w:rPr>
          <w:color w:val="000000"/>
          <w:sz w:val="22"/>
          <w:szCs w:val="22"/>
        </w:rPr>
        <w:t xml:space="preserve">currently approved collection also </w:t>
      </w:r>
      <w:r w:rsidRPr="002F6D3D">
        <w:rPr>
          <w:color w:val="000000"/>
          <w:sz w:val="22"/>
          <w:szCs w:val="22"/>
        </w:rPr>
        <w:t>pertain</w:t>
      </w:r>
      <w:r w:rsidRPr="002F6D3D" w:rsidR="009F09C5">
        <w:rPr>
          <w:color w:val="000000"/>
          <w:sz w:val="22"/>
          <w:szCs w:val="22"/>
        </w:rPr>
        <w:t>s</w:t>
      </w:r>
      <w:r w:rsidRPr="002F6D3D">
        <w:rPr>
          <w:color w:val="000000"/>
          <w:sz w:val="22"/>
          <w:szCs w:val="22"/>
        </w:rPr>
        <w:t xml:space="preserve"> to grant application submission requirements which will be used to rate applications, determine eligibility, and establish grant amounts. HOPWA </w:t>
      </w:r>
      <w:r w:rsidRPr="002F6D3D" w:rsidR="009F09C5">
        <w:rPr>
          <w:color w:val="000000"/>
          <w:sz w:val="22"/>
          <w:szCs w:val="22"/>
        </w:rPr>
        <w:t>will</w:t>
      </w:r>
      <w:r w:rsidRPr="002F6D3D">
        <w:rPr>
          <w:color w:val="000000"/>
          <w:sz w:val="22"/>
          <w:szCs w:val="22"/>
        </w:rPr>
        <w:t xml:space="preserve"> continue using </w:t>
      </w:r>
      <w:r w:rsidRPr="002F6D3D" w:rsidR="009F09C5">
        <w:rPr>
          <w:color w:val="000000"/>
          <w:sz w:val="22"/>
          <w:szCs w:val="22"/>
        </w:rPr>
        <w:t xml:space="preserve">application narratives and </w:t>
      </w:r>
      <w:r w:rsidRPr="002F6D3D">
        <w:rPr>
          <w:color w:val="000000"/>
          <w:sz w:val="22"/>
          <w:szCs w:val="22"/>
        </w:rPr>
        <w:t>form HUD-40110-B, HOPWA Competitive Application &amp; Renewal of Permanent Supportive</w:t>
      </w:r>
      <w:r w:rsidRPr="002F6D3D" w:rsidR="00DF03EB">
        <w:rPr>
          <w:color w:val="000000"/>
          <w:sz w:val="22"/>
          <w:szCs w:val="22"/>
        </w:rPr>
        <w:t xml:space="preserve"> Housing Project Budget Summary, as a component of determining applicant eligibility and establishing grant amounts for competitive grants. </w:t>
      </w:r>
      <w:r w:rsidRPr="002F6D3D" w:rsidR="0088526D">
        <w:rPr>
          <w:color w:val="000000"/>
          <w:sz w:val="22"/>
          <w:szCs w:val="22"/>
        </w:rPr>
        <w:t>HOPWA</w:t>
      </w:r>
      <w:r w:rsidR="0088526D">
        <w:rPr>
          <w:color w:val="000000"/>
          <w:sz w:val="22"/>
          <w:szCs w:val="22"/>
        </w:rPr>
        <w:t xml:space="preserve"> competitive and renewal application submission also </w:t>
      </w:r>
      <w:r w:rsidR="009F09C5">
        <w:rPr>
          <w:color w:val="000000"/>
          <w:sz w:val="22"/>
          <w:szCs w:val="22"/>
        </w:rPr>
        <w:t xml:space="preserve">continue to </w:t>
      </w:r>
      <w:r w:rsidR="0088526D">
        <w:rPr>
          <w:color w:val="000000"/>
          <w:sz w:val="22"/>
          <w:szCs w:val="22"/>
        </w:rPr>
        <w:t>require submission of the following forms</w:t>
      </w:r>
      <w:r w:rsidR="009F09C5">
        <w:rPr>
          <w:color w:val="000000"/>
          <w:sz w:val="22"/>
          <w:szCs w:val="22"/>
        </w:rPr>
        <w:t xml:space="preserve"> currently approved under this collection</w:t>
      </w:r>
      <w:r w:rsidR="0088526D">
        <w:rPr>
          <w:color w:val="000000"/>
          <w:sz w:val="22"/>
          <w:szCs w:val="22"/>
        </w:rPr>
        <w:t>: SF424</w:t>
      </w:r>
      <w:r w:rsidR="00880B5D">
        <w:rPr>
          <w:color w:val="000000"/>
          <w:sz w:val="22"/>
          <w:szCs w:val="22"/>
        </w:rPr>
        <w:t xml:space="preserve"> and SF424b assurances</w:t>
      </w:r>
      <w:r w:rsidR="0088526D">
        <w:rPr>
          <w:color w:val="000000"/>
          <w:sz w:val="22"/>
          <w:szCs w:val="22"/>
        </w:rPr>
        <w:t xml:space="preserve">; SFLLL; and HUD-2991. Form HUD-2991 is currently covered under OMB approval number 2506-0112. </w:t>
      </w:r>
    </w:p>
    <w:bookmarkEnd w:id="7"/>
    <w:p w:rsidR="00D76070" w:rsidP="00BE001F" w:rsidRDefault="00D76070" w14:paraId="2309AA07" w14:textId="77777777">
      <w:pPr>
        <w:rPr>
          <w:color w:val="000000"/>
          <w:sz w:val="22"/>
          <w:szCs w:val="22"/>
        </w:rPr>
      </w:pPr>
    </w:p>
    <w:p w:rsidR="00D76070" w:rsidP="00BE001F" w:rsidRDefault="00D76070" w14:paraId="44CC999F" w14:textId="77777777">
      <w:pPr>
        <w:rPr>
          <w:color w:val="000000"/>
          <w:sz w:val="22"/>
          <w:szCs w:val="22"/>
        </w:rPr>
      </w:pPr>
      <w:r>
        <w:rPr>
          <w:color w:val="000000"/>
          <w:sz w:val="22"/>
          <w:szCs w:val="22"/>
        </w:rPr>
        <w:t xml:space="preserve">The Office of HIV/AIDS Housing is currently working to further update and streamline forms HUD-40110-C and HUD-40110-D into one reporting form for all HOPWA grantees. HUD continues to strive toward reducing grantee reporting burden by ensuring all reporting requirements and guidance are clear and succinct. The Department is consulting with HOPWA stakeholders, particularly the team of HOPWA national technical assistance providers, to provide feedback and recommendations for consolidation and ease of HOPWA reporting. HUD will be seeking public comment through a Federal Register Notice once the consolidation of these forms </w:t>
      </w:r>
      <w:proofErr w:type="gramStart"/>
      <w:r>
        <w:rPr>
          <w:color w:val="000000"/>
          <w:sz w:val="22"/>
          <w:szCs w:val="22"/>
        </w:rPr>
        <w:t>have</w:t>
      </w:r>
      <w:proofErr w:type="gramEnd"/>
      <w:r>
        <w:rPr>
          <w:color w:val="000000"/>
          <w:sz w:val="22"/>
          <w:szCs w:val="22"/>
        </w:rPr>
        <w:t xml:space="preserve"> been completed.</w:t>
      </w:r>
    </w:p>
    <w:p w:rsidR="00D76070" w:rsidP="00BE001F" w:rsidRDefault="00D76070" w14:paraId="782E42BF" w14:textId="77777777">
      <w:pPr>
        <w:rPr>
          <w:color w:val="000000"/>
          <w:sz w:val="22"/>
          <w:szCs w:val="22"/>
        </w:rPr>
      </w:pPr>
    </w:p>
    <w:p w:rsidRPr="003B27A6" w:rsidR="00696B16" w:rsidRDefault="00D76070" w14:paraId="1BFBB783" w14:textId="77777777">
      <w:pPr>
        <w:tabs>
          <w:tab w:val="left" w:pos="360"/>
        </w:tabs>
        <w:rPr>
          <w:color w:val="000000"/>
          <w:sz w:val="22"/>
          <w:szCs w:val="22"/>
        </w:rPr>
      </w:pPr>
      <w:r>
        <w:rPr>
          <w:color w:val="000000"/>
          <w:sz w:val="22"/>
          <w:szCs w:val="22"/>
        </w:rPr>
        <w:t xml:space="preserve">  </w:t>
      </w:r>
    </w:p>
    <w:p w:rsidRPr="003B27A6" w:rsidR="00D73EE7" w:rsidP="003B27A6" w:rsidRDefault="00D73EE7" w14:paraId="22BBCC79" w14:textId="77777777">
      <w:pPr>
        <w:pStyle w:val="BodyTextIndent"/>
        <w:rPr>
          <w:szCs w:val="22"/>
        </w:rPr>
      </w:pPr>
      <w:r w:rsidRPr="003B27A6">
        <w:rPr>
          <w:szCs w:val="22"/>
        </w:rPr>
        <w:t>3.</w:t>
      </w:r>
      <w:r w:rsidRPr="003B27A6">
        <w:rPr>
          <w:szCs w:val="22"/>
        </w:rPr>
        <w:tab/>
      </w:r>
      <w:r w:rsidR="003B27A6">
        <w:rPr>
          <w:szCs w:val="22"/>
        </w:rPr>
        <w:t>Electronic submission of information.</w:t>
      </w:r>
    </w:p>
    <w:p w:rsidRPr="003B27A6" w:rsidR="00D73EE7" w:rsidP="00267E0E" w:rsidRDefault="00A72A07" w14:paraId="6A198A32" w14:textId="7871BE0A">
      <w:pPr>
        <w:tabs>
          <w:tab w:val="left" w:pos="0"/>
        </w:tabs>
        <w:rPr>
          <w:color w:val="000000"/>
          <w:sz w:val="22"/>
          <w:szCs w:val="22"/>
        </w:rPr>
      </w:pPr>
      <w:r w:rsidRPr="003B27A6">
        <w:rPr>
          <w:color w:val="000000"/>
          <w:sz w:val="22"/>
          <w:szCs w:val="22"/>
        </w:rPr>
        <w:t xml:space="preserve">All </w:t>
      </w:r>
      <w:r w:rsidR="00EB19F0">
        <w:rPr>
          <w:color w:val="000000"/>
          <w:sz w:val="22"/>
          <w:szCs w:val="22"/>
        </w:rPr>
        <w:t xml:space="preserve">new </w:t>
      </w:r>
      <w:r w:rsidRPr="003B27A6">
        <w:rPr>
          <w:color w:val="000000"/>
          <w:sz w:val="22"/>
          <w:szCs w:val="22"/>
        </w:rPr>
        <w:t xml:space="preserve">competitive grant applications are submitted electronically. The </w:t>
      </w:r>
      <w:r w:rsidR="00466396">
        <w:rPr>
          <w:color w:val="000000"/>
          <w:sz w:val="22"/>
          <w:szCs w:val="22"/>
        </w:rPr>
        <w:t>applications</w:t>
      </w:r>
      <w:r w:rsidRPr="003B27A6" w:rsidR="00466396">
        <w:rPr>
          <w:color w:val="000000"/>
          <w:sz w:val="22"/>
          <w:szCs w:val="22"/>
        </w:rPr>
        <w:t xml:space="preserve"> </w:t>
      </w:r>
      <w:r w:rsidRPr="003B27A6">
        <w:rPr>
          <w:color w:val="000000"/>
          <w:sz w:val="22"/>
          <w:szCs w:val="22"/>
        </w:rPr>
        <w:t xml:space="preserve">for new competitive grants </w:t>
      </w:r>
      <w:r w:rsidR="00466396">
        <w:rPr>
          <w:color w:val="000000"/>
          <w:sz w:val="22"/>
          <w:szCs w:val="22"/>
        </w:rPr>
        <w:t>are</w:t>
      </w:r>
      <w:r w:rsidRPr="003B27A6">
        <w:rPr>
          <w:color w:val="000000"/>
          <w:sz w:val="22"/>
          <w:szCs w:val="22"/>
        </w:rPr>
        <w:t xml:space="preserve"> submitted through Grants.gov</w:t>
      </w:r>
      <w:r w:rsidR="00EB19F0">
        <w:rPr>
          <w:color w:val="000000"/>
          <w:sz w:val="22"/>
          <w:szCs w:val="22"/>
        </w:rPr>
        <w:t xml:space="preserve">. </w:t>
      </w:r>
      <w:r w:rsidR="00E9425C">
        <w:rPr>
          <w:color w:val="000000"/>
          <w:sz w:val="22"/>
          <w:szCs w:val="22"/>
        </w:rPr>
        <w:t>At this time, the APR and CAPER are utilize</w:t>
      </w:r>
      <w:r w:rsidR="003016EA">
        <w:rPr>
          <w:color w:val="000000"/>
          <w:sz w:val="22"/>
          <w:szCs w:val="22"/>
        </w:rPr>
        <w:t>d</w:t>
      </w:r>
      <w:r w:rsidR="00E9425C">
        <w:rPr>
          <w:color w:val="000000"/>
          <w:sz w:val="22"/>
          <w:szCs w:val="22"/>
        </w:rPr>
        <w:t xml:space="preserve"> through a paper-based information collecting system in which </w:t>
      </w:r>
      <w:r w:rsidR="003016EA">
        <w:rPr>
          <w:color w:val="000000"/>
          <w:sz w:val="22"/>
          <w:szCs w:val="22"/>
        </w:rPr>
        <w:t>performance</w:t>
      </w:r>
      <w:r w:rsidR="00E9425C">
        <w:rPr>
          <w:color w:val="000000"/>
          <w:sz w:val="22"/>
          <w:szCs w:val="22"/>
        </w:rPr>
        <w:t xml:space="preserve"> data is entered into an </w:t>
      </w:r>
      <w:r w:rsidR="003016EA">
        <w:rPr>
          <w:color w:val="000000"/>
          <w:sz w:val="22"/>
          <w:szCs w:val="22"/>
        </w:rPr>
        <w:t>Access</w:t>
      </w:r>
      <w:r w:rsidR="00E9425C">
        <w:rPr>
          <w:color w:val="000000"/>
          <w:sz w:val="22"/>
          <w:szCs w:val="22"/>
        </w:rPr>
        <w:t xml:space="preserve"> database system after the grantee submits their report to HUD. Part of the work to further update and streamline the APR and CAPER involves making the reporting form available in an electronic form that allows completion electronically. Currently, grantees submit completed APRs and CAPERs via email to HUD.</w:t>
      </w:r>
      <w:r w:rsidR="00EB19F0">
        <w:rPr>
          <w:color w:val="000000"/>
          <w:sz w:val="22"/>
          <w:szCs w:val="22"/>
        </w:rPr>
        <w:t xml:space="preserve"> The two new reporting forms for new competitive </w:t>
      </w:r>
      <w:r w:rsidR="00375A5B">
        <w:rPr>
          <w:color w:val="000000"/>
          <w:sz w:val="22"/>
          <w:szCs w:val="22"/>
        </w:rPr>
        <w:t xml:space="preserve">SPNS </w:t>
      </w:r>
      <w:r w:rsidR="00EB19F0">
        <w:rPr>
          <w:color w:val="000000"/>
          <w:sz w:val="22"/>
          <w:szCs w:val="22"/>
        </w:rPr>
        <w:t xml:space="preserve">grants added through this revision request will also be </w:t>
      </w:r>
      <w:r w:rsidR="00375A5B">
        <w:rPr>
          <w:color w:val="000000"/>
          <w:sz w:val="22"/>
          <w:szCs w:val="22"/>
        </w:rPr>
        <w:t xml:space="preserve">paper-based and </w:t>
      </w:r>
      <w:r w:rsidR="00EB19F0">
        <w:rPr>
          <w:color w:val="000000"/>
          <w:sz w:val="22"/>
          <w:szCs w:val="22"/>
        </w:rPr>
        <w:t>submitted via email to HUD.</w:t>
      </w:r>
    </w:p>
    <w:p w:rsidRPr="003B27A6" w:rsidR="009B73E6" w:rsidRDefault="009B73E6" w14:paraId="44599295" w14:textId="77777777">
      <w:pPr>
        <w:tabs>
          <w:tab w:val="left" w:pos="360"/>
        </w:tabs>
        <w:ind w:left="360" w:hanging="360"/>
        <w:rPr>
          <w:color w:val="000000"/>
          <w:sz w:val="22"/>
          <w:szCs w:val="22"/>
        </w:rPr>
      </w:pPr>
    </w:p>
    <w:p w:rsidRPr="003B27A6" w:rsidR="00D73EE7" w:rsidRDefault="00D73EE7" w14:paraId="1B69853D" w14:textId="77777777">
      <w:pPr>
        <w:keepLines/>
        <w:tabs>
          <w:tab w:val="left" w:pos="360"/>
        </w:tabs>
        <w:spacing w:after="80"/>
        <w:ind w:left="360" w:hanging="360"/>
        <w:rPr>
          <w:color w:val="000000"/>
          <w:sz w:val="22"/>
          <w:szCs w:val="22"/>
        </w:rPr>
      </w:pPr>
      <w:r w:rsidRPr="003B27A6">
        <w:rPr>
          <w:color w:val="000000"/>
          <w:sz w:val="22"/>
          <w:szCs w:val="22"/>
        </w:rPr>
        <w:t>4.</w:t>
      </w:r>
      <w:r w:rsidRPr="003B27A6">
        <w:rPr>
          <w:color w:val="000000"/>
          <w:sz w:val="22"/>
          <w:szCs w:val="22"/>
        </w:rPr>
        <w:tab/>
      </w:r>
      <w:r w:rsidR="003B27A6">
        <w:rPr>
          <w:color w:val="000000"/>
          <w:sz w:val="22"/>
          <w:szCs w:val="22"/>
        </w:rPr>
        <w:t>Identification of information duplication.</w:t>
      </w:r>
    </w:p>
    <w:p w:rsidR="00183FA6" w:rsidRDefault="00A03021" w14:paraId="6DC1B499" w14:textId="307ECDFA">
      <w:pPr>
        <w:keepLines/>
        <w:tabs>
          <w:tab w:val="left" w:pos="0"/>
        </w:tabs>
        <w:spacing w:before="240" w:after="80"/>
        <w:rPr>
          <w:color w:val="000000"/>
          <w:sz w:val="22"/>
          <w:szCs w:val="22"/>
        </w:rPr>
      </w:pPr>
      <w:r>
        <w:rPr>
          <w:color w:val="000000"/>
          <w:sz w:val="22"/>
          <w:szCs w:val="22"/>
        </w:rPr>
        <w:t xml:space="preserve">Information collected under this collection is relevant only to HOPWA grants and does not contain any information duplication. </w:t>
      </w:r>
    </w:p>
    <w:p w:rsidR="00D73EE7" w:rsidRDefault="00D73EE7" w14:paraId="3B3A4E90" w14:textId="09E58CAC">
      <w:pPr>
        <w:tabs>
          <w:tab w:val="left" w:pos="360"/>
        </w:tabs>
        <w:ind w:left="360" w:hanging="360"/>
        <w:rPr>
          <w:color w:val="000000"/>
          <w:sz w:val="22"/>
          <w:szCs w:val="22"/>
        </w:rPr>
      </w:pPr>
    </w:p>
    <w:p w:rsidR="00D37636" w:rsidRDefault="00D37636" w14:paraId="46526818" w14:textId="627030BE">
      <w:pPr>
        <w:tabs>
          <w:tab w:val="left" w:pos="360"/>
        </w:tabs>
        <w:ind w:left="360" w:hanging="360"/>
        <w:rPr>
          <w:color w:val="000000"/>
          <w:sz w:val="22"/>
          <w:szCs w:val="22"/>
        </w:rPr>
      </w:pPr>
    </w:p>
    <w:p w:rsidR="00D37636" w:rsidRDefault="00D37636" w14:paraId="050AC291" w14:textId="08D6EA7A">
      <w:pPr>
        <w:tabs>
          <w:tab w:val="left" w:pos="360"/>
        </w:tabs>
        <w:ind w:left="360" w:hanging="360"/>
        <w:rPr>
          <w:color w:val="000000"/>
          <w:sz w:val="22"/>
          <w:szCs w:val="22"/>
        </w:rPr>
      </w:pPr>
    </w:p>
    <w:p w:rsidR="00D37636" w:rsidRDefault="00D37636" w14:paraId="37EE0DD5" w14:textId="77777777">
      <w:pPr>
        <w:tabs>
          <w:tab w:val="left" w:pos="360"/>
        </w:tabs>
        <w:ind w:left="360" w:hanging="360"/>
        <w:rPr>
          <w:color w:val="000000"/>
          <w:sz w:val="22"/>
          <w:szCs w:val="22"/>
        </w:rPr>
      </w:pPr>
    </w:p>
    <w:p w:rsidRPr="003B27A6" w:rsidR="00DB61AC" w:rsidRDefault="00DB61AC" w14:paraId="24015385" w14:textId="77777777">
      <w:pPr>
        <w:tabs>
          <w:tab w:val="left" w:pos="360"/>
        </w:tabs>
        <w:ind w:left="360" w:hanging="360"/>
        <w:rPr>
          <w:color w:val="000000"/>
          <w:sz w:val="22"/>
          <w:szCs w:val="22"/>
        </w:rPr>
      </w:pPr>
    </w:p>
    <w:p w:rsidRPr="003B27A6" w:rsidR="00D73EE7" w:rsidRDefault="00D73EE7" w14:paraId="46E4C341" w14:textId="77777777">
      <w:pPr>
        <w:keepLines/>
        <w:tabs>
          <w:tab w:val="left" w:pos="360"/>
        </w:tabs>
        <w:spacing w:after="80"/>
        <w:ind w:left="360" w:hanging="360"/>
        <w:rPr>
          <w:color w:val="000000"/>
          <w:sz w:val="22"/>
          <w:szCs w:val="22"/>
        </w:rPr>
      </w:pPr>
      <w:r w:rsidRPr="003B27A6">
        <w:rPr>
          <w:color w:val="000000"/>
          <w:sz w:val="22"/>
          <w:szCs w:val="22"/>
        </w:rPr>
        <w:t>5.</w:t>
      </w:r>
      <w:r w:rsidRPr="003B27A6">
        <w:rPr>
          <w:color w:val="000000"/>
          <w:sz w:val="22"/>
          <w:szCs w:val="22"/>
        </w:rPr>
        <w:tab/>
      </w:r>
      <w:r w:rsidR="003B27A6">
        <w:rPr>
          <w:color w:val="000000"/>
          <w:sz w:val="22"/>
          <w:szCs w:val="22"/>
        </w:rPr>
        <w:t>I</w:t>
      </w:r>
      <w:r w:rsidRPr="003B27A6">
        <w:rPr>
          <w:color w:val="000000"/>
          <w:sz w:val="22"/>
          <w:szCs w:val="22"/>
        </w:rPr>
        <w:t xml:space="preserve">mpact </w:t>
      </w:r>
      <w:r w:rsidR="003B27A6">
        <w:rPr>
          <w:color w:val="000000"/>
          <w:sz w:val="22"/>
          <w:szCs w:val="22"/>
        </w:rPr>
        <w:t xml:space="preserve">on </w:t>
      </w:r>
      <w:r w:rsidRPr="003B27A6">
        <w:rPr>
          <w:color w:val="000000"/>
          <w:sz w:val="22"/>
          <w:szCs w:val="22"/>
        </w:rPr>
        <w:t>small bus</w:t>
      </w:r>
      <w:r w:rsidR="003B27A6">
        <w:rPr>
          <w:color w:val="000000"/>
          <w:sz w:val="22"/>
          <w:szCs w:val="22"/>
        </w:rPr>
        <w:t>inesses or other small entities.</w:t>
      </w:r>
    </w:p>
    <w:p w:rsidRPr="003B27A6" w:rsidR="00867DDE" w:rsidP="00A73D8E" w:rsidRDefault="00867DDE" w14:paraId="51235F64" w14:textId="6372AB9F">
      <w:pPr>
        <w:keepLines/>
        <w:tabs>
          <w:tab w:val="left" w:pos="0"/>
        </w:tabs>
        <w:rPr>
          <w:color w:val="000000"/>
          <w:sz w:val="22"/>
          <w:szCs w:val="22"/>
        </w:rPr>
      </w:pPr>
      <w:r w:rsidRPr="003B27A6">
        <w:rPr>
          <w:color w:val="000000"/>
          <w:sz w:val="22"/>
          <w:szCs w:val="22"/>
        </w:rPr>
        <w:t xml:space="preserve">Small businesses or other small entities will not be impacted by the </w:t>
      </w:r>
      <w:r w:rsidR="00DB2F37">
        <w:rPr>
          <w:color w:val="000000"/>
          <w:sz w:val="22"/>
          <w:szCs w:val="22"/>
        </w:rPr>
        <w:t xml:space="preserve">revision to </w:t>
      </w:r>
      <w:r w:rsidR="004E4595">
        <w:rPr>
          <w:color w:val="000000"/>
          <w:sz w:val="22"/>
          <w:szCs w:val="22"/>
        </w:rPr>
        <w:t>add reporting forms</w:t>
      </w:r>
      <w:r w:rsidRPr="003B27A6">
        <w:rPr>
          <w:color w:val="000000"/>
          <w:sz w:val="22"/>
          <w:szCs w:val="22"/>
        </w:rPr>
        <w:t xml:space="preserve"> for HOPWA</w:t>
      </w:r>
      <w:r w:rsidR="004E4595">
        <w:rPr>
          <w:color w:val="000000"/>
          <w:sz w:val="22"/>
          <w:szCs w:val="22"/>
        </w:rPr>
        <w:t xml:space="preserve"> new</w:t>
      </w:r>
      <w:r w:rsidRPr="003B27A6">
        <w:rPr>
          <w:color w:val="000000"/>
          <w:sz w:val="22"/>
          <w:szCs w:val="22"/>
        </w:rPr>
        <w:t xml:space="preserve"> competitive</w:t>
      </w:r>
      <w:r w:rsidR="004E4595">
        <w:rPr>
          <w:color w:val="000000"/>
          <w:sz w:val="22"/>
          <w:szCs w:val="22"/>
        </w:rPr>
        <w:t xml:space="preserve"> SPNS</w:t>
      </w:r>
      <w:r w:rsidRPr="003B27A6">
        <w:rPr>
          <w:color w:val="000000"/>
          <w:sz w:val="22"/>
          <w:szCs w:val="22"/>
        </w:rPr>
        <w:t xml:space="preserve"> grants. Eligibility for HOPWA competitive grants is limited to States, units of local governments, and nonprofits. While some nonprofits may be small </w:t>
      </w:r>
      <w:r w:rsidRPr="003B27A6" w:rsidR="003016EA">
        <w:rPr>
          <w:color w:val="000000"/>
          <w:sz w:val="22"/>
          <w:szCs w:val="22"/>
        </w:rPr>
        <w:t>entities</w:t>
      </w:r>
      <w:r w:rsidRPr="003B27A6">
        <w:rPr>
          <w:color w:val="000000"/>
          <w:sz w:val="22"/>
          <w:szCs w:val="22"/>
        </w:rPr>
        <w:t xml:space="preserve">, </w:t>
      </w:r>
      <w:r w:rsidR="004E4595">
        <w:rPr>
          <w:color w:val="000000"/>
          <w:sz w:val="22"/>
          <w:szCs w:val="22"/>
        </w:rPr>
        <w:t xml:space="preserve">the reporting requirements are identified in the Notice of Funding Availability (NOFA) </w:t>
      </w:r>
      <w:r w:rsidR="00392A6A">
        <w:rPr>
          <w:color w:val="000000"/>
          <w:sz w:val="22"/>
          <w:szCs w:val="22"/>
        </w:rPr>
        <w:t xml:space="preserve">for new </w:t>
      </w:r>
      <w:r w:rsidRPr="003B27A6">
        <w:rPr>
          <w:color w:val="000000"/>
          <w:sz w:val="22"/>
          <w:szCs w:val="22"/>
        </w:rPr>
        <w:t xml:space="preserve">competitive </w:t>
      </w:r>
      <w:r w:rsidR="00392A6A">
        <w:rPr>
          <w:color w:val="000000"/>
          <w:sz w:val="22"/>
          <w:szCs w:val="22"/>
        </w:rPr>
        <w:t xml:space="preserve">SPNS </w:t>
      </w:r>
      <w:r w:rsidRPr="003B27A6">
        <w:rPr>
          <w:color w:val="000000"/>
          <w:sz w:val="22"/>
          <w:szCs w:val="22"/>
        </w:rPr>
        <w:t>grant</w:t>
      </w:r>
      <w:r w:rsidR="00392A6A">
        <w:rPr>
          <w:color w:val="000000"/>
          <w:sz w:val="22"/>
          <w:szCs w:val="22"/>
        </w:rPr>
        <w:t xml:space="preserve">s and applicants for will </w:t>
      </w:r>
      <w:r w:rsidR="00375A5B">
        <w:rPr>
          <w:color w:val="000000"/>
          <w:sz w:val="22"/>
          <w:szCs w:val="22"/>
        </w:rPr>
        <w:t xml:space="preserve">have </w:t>
      </w:r>
      <w:r w:rsidR="00392A6A">
        <w:rPr>
          <w:color w:val="000000"/>
          <w:sz w:val="22"/>
          <w:szCs w:val="22"/>
        </w:rPr>
        <w:t xml:space="preserve">an appropriate amount of time to prepare for the </w:t>
      </w:r>
      <w:r w:rsidR="007606F6">
        <w:rPr>
          <w:color w:val="000000"/>
          <w:sz w:val="22"/>
          <w:szCs w:val="22"/>
        </w:rPr>
        <w:t xml:space="preserve">addition </w:t>
      </w:r>
      <w:r w:rsidR="00375A5B">
        <w:rPr>
          <w:color w:val="000000"/>
          <w:sz w:val="22"/>
          <w:szCs w:val="22"/>
        </w:rPr>
        <w:t>re</w:t>
      </w:r>
      <w:r w:rsidR="007606F6">
        <w:rPr>
          <w:color w:val="000000"/>
          <w:sz w:val="22"/>
          <w:szCs w:val="22"/>
        </w:rPr>
        <w:t>porting. HUD also intends to support awarded grantees with reporting requirements and grant implementation through technical assistance.</w:t>
      </w:r>
      <w:r w:rsidRPr="003B27A6">
        <w:rPr>
          <w:color w:val="000000"/>
          <w:sz w:val="22"/>
          <w:szCs w:val="22"/>
        </w:rPr>
        <w:t xml:space="preserve"> </w:t>
      </w:r>
    </w:p>
    <w:p w:rsidR="00D73EE7" w:rsidP="00A73D8E" w:rsidRDefault="00D73EE7" w14:paraId="550F63CE" w14:textId="5F24E288">
      <w:pPr>
        <w:tabs>
          <w:tab w:val="left" w:pos="360"/>
        </w:tabs>
        <w:ind w:left="360" w:hanging="360"/>
        <w:rPr>
          <w:color w:val="000000"/>
          <w:sz w:val="22"/>
          <w:szCs w:val="22"/>
        </w:rPr>
      </w:pPr>
    </w:p>
    <w:p w:rsidRPr="003B27A6" w:rsidR="00DB61AC" w:rsidRDefault="00DB61AC" w14:paraId="2513643C" w14:textId="77777777">
      <w:pPr>
        <w:tabs>
          <w:tab w:val="left" w:pos="360"/>
        </w:tabs>
        <w:ind w:left="360" w:hanging="360"/>
        <w:rPr>
          <w:color w:val="000000"/>
          <w:sz w:val="22"/>
          <w:szCs w:val="22"/>
        </w:rPr>
      </w:pPr>
    </w:p>
    <w:p w:rsidRPr="003B27A6" w:rsidR="00D73EE7" w:rsidP="00F15B40" w:rsidRDefault="00D73EE7" w14:paraId="4A74C5EE" w14:textId="77777777">
      <w:pPr>
        <w:pStyle w:val="BodyTextIndent"/>
        <w:rPr>
          <w:szCs w:val="22"/>
        </w:rPr>
      </w:pPr>
      <w:r w:rsidRPr="003B27A6">
        <w:rPr>
          <w:szCs w:val="22"/>
        </w:rPr>
        <w:t>6.</w:t>
      </w:r>
      <w:r w:rsidRPr="003B27A6">
        <w:rPr>
          <w:szCs w:val="22"/>
        </w:rPr>
        <w:tab/>
        <w:t>Describe the consequence to Federal program or policy activities if the collection is not conducted or is conducted less frequently, as well as any technical or legal obstacles to reducing burden.</w:t>
      </w:r>
    </w:p>
    <w:p w:rsidRPr="003B27A6" w:rsidR="00867DDE" w:rsidRDefault="00EA7CE1" w14:paraId="53E90E3B" w14:textId="217FB1C9">
      <w:pPr>
        <w:keepLines/>
        <w:tabs>
          <w:tab w:val="left" w:pos="360"/>
        </w:tabs>
        <w:spacing w:before="240" w:after="80"/>
        <w:rPr>
          <w:color w:val="000000"/>
          <w:sz w:val="22"/>
          <w:szCs w:val="22"/>
        </w:rPr>
      </w:pPr>
      <w:r>
        <w:rPr>
          <w:color w:val="000000"/>
          <w:sz w:val="22"/>
          <w:szCs w:val="22"/>
        </w:rPr>
        <w:t xml:space="preserve">The additional reporting for new competitive SPNS grants will allow HOPWA to ensure the innovative nature of the funded SPNS grants is documented for </w:t>
      </w:r>
      <w:r w:rsidRPr="00635B28">
        <w:rPr>
          <w:color w:val="000000"/>
          <w:sz w:val="22"/>
          <w:szCs w:val="22"/>
        </w:rPr>
        <w:t xml:space="preserve">potential replicability of </w:t>
      </w:r>
      <w:r>
        <w:rPr>
          <w:color w:val="000000"/>
          <w:sz w:val="22"/>
          <w:szCs w:val="22"/>
        </w:rPr>
        <w:t>grant</w:t>
      </w:r>
      <w:r w:rsidRPr="00635B28">
        <w:rPr>
          <w:color w:val="000000"/>
          <w:sz w:val="22"/>
          <w:szCs w:val="22"/>
        </w:rPr>
        <w:t xml:space="preserve"> activit</w:t>
      </w:r>
      <w:r>
        <w:rPr>
          <w:color w:val="000000"/>
          <w:sz w:val="22"/>
          <w:szCs w:val="22"/>
        </w:rPr>
        <w:t>ies</w:t>
      </w:r>
      <w:r w:rsidRPr="00635B28">
        <w:rPr>
          <w:color w:val="000000"/>
          <w:sz w:val="22"/>
          <w:szCs w:val="22"/>
        </w:rPr>
        <w:t xml:space="preserve"> in other similar localities or nationally</w:t>
      </w:r>
      <w:r>
        <w:rPr>
          <w:color w:val="000000"/>
          <w:sz w:val="22"/>
          <w:szCs w:val="22"/>
        </w:rPr>
        <w:t xml:space="preserve"> as intended for SPNS grants per </w:t>
      </w:r>
      <w:r>
        <w:t xml:space="preserve">42 U.S.C. 12903(c)(5). </w:t>
      </w:r>
      <w:r w:rsidR="009C2B68">
        <w:rPr>
          <w:color w:val="000000"/>
          <w:sz w:val="22"/>
          <w:szCs w:val="22"/>
        </w:rPr>
        <w:t>If the reporting information is not captured, the Department will be hindered in its effort to award innovative projects and share promising practices to support successful and effective HOPWA program designs and activities</w:t>
      </w:r>
      <w:r w:rsidR="00B67060">
        <w:rPr>
          <w:color w:val="000000"/>
          <w:sz w:val="22"/>
          <w:szCs w:val="22"/>
        </w:rPr>
        <w:t>.</w:t>
      </w:r>
      <w:r w:rsidR="00C00C5F">
        <w:rPr>
          <w:color w:val="000000"/>
          <w:sz w:val="22"/>
          <w:szCs w:val="22"/>
        </w:rPr>
        <w:t xml:space="preserve"> </w:t>
      </w:r>
      <w:r w:rsidR="00B67060">
        <w:rPr>
          <w:color w:val="000000"/>
          <w:sz w:val="22"/>
          <w:szCs w:val="22"/>
        </w:rPr>
        <w:t xml:space="preserve">It will also hinder the HOPWA program </w:t>
      </w:r>
      <w:r w:rsidR="00C00C5F">
        <w:rPr>
          <w:color w:val="000000"/>
          <w:sz w:val="22"/>
          <w:szCs w:val="22"/>
        </w:rPr>
        <w:t xml:space="preserve">from </w:t>
      </w:r>
      <w:r>
        <w:rPr>
          <w:color w:val="000000"/>
          <w:sz w:val="22"/>
          <w:szCs w:val="22"/>
        </w:rPr>
        <w:t>meaningfully participat</w:t>
      </w:r>
      <w:r w:rsidR="00B67060">
        <w:rPr>
          <w:color w:val="000000"/>
          <w:sz w:val="22"/>
          <w:szCs w:val="22"/>
        </w:rPr>
        <w:t xml:space="preserve">ing </w:t>
      </w:r>
      <w:r>
        <w:rPr>
          <w:color w:val="000000"/>
          <w:sz w:val="22"/>
          <w:szCs w:val="22"/>
        </w:rPr>
        <w:t>in Federal initiative</w:t>
      </w:r>
      <w:r w:rsidR="00B67060">
        <w:rPr>
          <w:color w:val="000000"/>
          <w:sz w:val="22"/>
          <w:szCs w:val="22"/>
        </w:rPr>
        <w:t xml:space="preserve"> activities to end the HIV/AIDS epidemic.</w:t>
      </w:r>
      <w:r w:rsidR="00E40AE1">
        <w:rPr>
          <w:color w:val="000000"/>
          <w:sz w:val="22"/>
          <w:szCs w:val="22"/>
        </w:rPr>
        <w:t xml:space="preserve"> </w:t>
      </w:r>
    </w:p>
    <w:p w:rsidR="00D73EE7" w:rsidRDefault="00D73EE7" w14:paraId="2ED3DE5A" w14:textId="130C875E">
      <w:pPr>
        <w:tabs>
          <w:tab w:val="left" w:pos="360"/>
        </w:tabs>
        <w:ind w:left="360" w:hanging="360"/>
        <w:rPr>
          <w:color w:val="000000"/>
          <w:sz w:val="22"/>
          <w:szCs w:val="22"/>
        </w:rPr>
      </w:pPr>
    </w:p>
    <w:p w:rsidRPr="003B27A6" w:rsidR="00DB61AC" w:rsidRDefault="00DB61AC" w14:paraId="62B1EED9" w14:textId="77777777">
      <w:pPr>
        <w:tabs>
          <w:tab w:val="left" w:pos="360"/>
        </w:tabs>
        <w:ind w:left="360" w:hanging="360"/>
        <w:rPr>
          <w:color w:val="000000"/>
          <w:sz w:val="22"/>
          <w:szCs w:val="22"/>
        </w:rPr>
      </w:pPr>
    </w:p>
    <w:p w:rsidRPr="003B27A6" w:rsidR="00D73EE7" w:rsidP="00F15B40" w:rsidRDefault="00D73EE7" w14:paraId="1105F246" w14:textId="77777777">
      <w:pPr>
        <w:tabs>
          <w:tab w:val="left" w:pos="360"/>
        </w:tabs>
        <w:rPr>
          <w:color w:val="000000"/>
          <w:sz w:val="22"/>
          <w:szCs w:val="22"/>
        </w:rPr>
      </w:pPr>
      <w:r w:rsidRPr="00267E0E">
        <w:rPr>
          <w:color w:val="000000"/>
          <w:sz w:val="22"/>
          <w:szCs w:val="22"/>
        </w:rPr>
        <w:t>7.</w:t>
      </w:r>
      <w:r w:rsidRPr="003B27A6">
        <w:rPr>
          <w:color w:val="000000"/>
          <w:sz w:val="22"/>
          <w:szCs w:val="22"/>
        </w:rPr>
        <w:tab/>
      </w:r>
      <w:r w:rsidR="00F15B40">
        <w:rPr>
          <w:color w:val="000000"/>
          <w:sz w:val="22"/>
          <w:szCs w:val="22"/>
        </w:rPr>
        <w:t>Special circumstances</w:t>
      </w:r>
      <w:r w:rsidR="00323F07">
        <w:rPr>
          <w:sz w:val="22"/>
          <w:szCs w:val="22"/>
        </w:rPr>
        <w:t>.</w:t>
      </w:r>
    </w:p>
    <w:p w:rsidRPr="003B27A6" w:rsidR="00422A44" w:rsidP="00422A44" w:rsidRDefault="00422A44" w14:paraId="2C2C1729" w14:textId="77777777">
      <w:pPr>
        <w:tabs>
          <w:tab w:val="left" w:pos="600"/>
        </w:tabs>
        <w:rPr>
          <w:color w:val="000000"/>
          <w:sz w:val="22"/>
          <w:szCs w:val="22"/>
        </w:rPr>
      </w:pPr>
    </w:p>
    <w:p w:rsidR="00393A57" w:rsidP="00393A57" w:rsidRDefault="00393A57" w14:paraId="32814E6C" w14:textId="77777777">
      <w:pPr>
        <w:overflowPunct w:val="0"/>
        <w:autoSpaceDE w:val="0"/>
        <w:autoSpaceDN w:val="0"/>
        <w:adjustRightInd w:val="0"/>
        <w:textAlignment w:val="baseline"/>
        <w:rPr>
          <w:sz w:val="22"/>
          <w:szCs w:val="22"/>
        </w:rPr>
      </w:pPr>
      <w:r>
        <w:rPr>
          <w:sz w:val="22"/>
          <w:szCs w:val="22"/>
        </w:rPr>
        <w:t>In accordance to HOPWA regulation at 24 CFR 574.530, HOPWA grantees must ensure that records are maintained for a four-year period to document compliance. No other</w:t>
      </w:r>
      <w:r w:rsidRPr="00F15B40">
        <w:rPr>
          <w:sz w:val="22"/>
          <w:szCs w:val="22"/>
        </w:rPr>
        <w:t xml:space="preserve"> special circumstances </w:t>
      </w:r>
      <w:r>
        <w:rPr>
          <w:sz w:val="22"/>
          <w:szCs w:val="22"/>
        </w:rPr>
        <w:t xml:space="preserve">for the HOPWA program </w:t>
      </w:r>
      <w:r w:rsidRPr="00F15B40">
        <w:rPr>
          <w:sz w:val="22"/>
          <w:szCs w:val="22"/>
        </w:rPr>
        <w:t>would cause this information collection to be conducted in a manner that would impose additional requirements identified under this item.</w:t>
      </w:r>
      <w:r>
        <w:rPr>
          <w:sz w:val="22"/>
          <w:szCs w:val="22"/>
        </w:rPr>
        <w:t xml:space="preserve"> Special circumstances not required for this information collection are listed below.</w:t>
      </w:r>
    </w:p>
    <w:p w:rsidR="00393A57" w:rsidP="00393A57" w:rsidRDefault="00393A57" w14:paraId="25AA4680" w14:textId="77777777">
      <w:pPr>
        <w:overflowPunct w:val="0"/>
        <w:autoSpaceDE w:val="0"/>
        <w:autoSpaceDN w:val="0"/>
        <w:adjustRightInd w:val="0"/>
        <w:textAlignment w:val="baseline"/>
      </w:pPr>
    </w:p>
    <w:p w:rsidRPr="007A7053" w:rsidR="00393A57" w:rsidP="00393A57" w:rsidRDefault="00393A57" w14:paraId="105F57FF" w14:textId="214BD090">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report information more often than quarterly. </w:t>
      </w:r>
      <w:r w:rsidR="0085059F">
        <w:rPr>
          <w:sz w:val="22"/>
          <w:szCs w:val="22"/>
        </w:rPr>
        <w:t>n/a</w:t>
      </w:r>
    </w:p>
    <w:p w:rsidRPr="007A7053" w:rsidR="00393A57" w:rsidP="00393A57" w:rsidRDefault="00393A57" w14:paraId="34BF8DA8" w14:textId="5A5BE954">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prepare a written response in fewer than thirty days after they receive the request. </w:t>
      </w:r>
      <w:r w:rsidR="0085059F">
        <w:rPr>
          <w:sz w:val="22"/>
          <w:szCs w:val="22"/>
        </w:rPr>
        <w:t>n/a</w:t>
      </w:r>
    </w:p>
    <w:p w:rsidRPr="007A7053" w:rsidR="00393A57" w:rsidP="00393A57" w:rsidRDefault="00393A57" w14:paraId="33AA2C77" w14:textId="2C4C325F">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submit more than an original and two copies of any document. </w:t>
      </w:r>
      <w:r w:rsidR="0085059F">
        <w:rPr>
          <w:sz w:val="22"/>
          <w:szCs w:val="22"/>
        </w:rPr>
        <w:t>n/a</w:t>
      </w:r>
    </w:p>
    <w:p w:rsidRPr="00F477DD" w:rsidR="0062515B" w:rsidP="00F477DD" w:rsidRDefault="00393A57" w14:paraId="2278A12E" w14:textId="5C515F6B">
      <w:pPr>
        <w:numPr>
          <w:ilvl w:val="0"/>
          <w:numId w:val="24"/>
        </w:numPr>
        <w:overflowPunct w:val="0"/>
        <w:autoSpaceDE w:val="0"/>
        <w:autoSpaceDN w:val="0"/>
        <w:adjustRightInd w:val="0"/>
        <w:textAlignment w:val="baseline"/>
        <w:rPr>
          <w:sz w:val="22"/>
          <w:szCs w:val="22"/>
        </w:rPr>
      </w:pPr>
      <w:r w:rsidRPr="00F477DD">
        <w:rPr>
          <w:sz w:val="22"/>
          <w:szCs w:val="22"/>
        </w:rPr>
        <w:t xml:space="preserve">This information collection does not </w:t>
      </w:r>
      <w:r w:rsidRPr="0062515B" w:rsidR="0062515B">
        <w:rPr>
          <w:sz w:val="22"/>
          <w:szCs w:val="22"/>
        </w:rPr>
        <w:t>include</w:t>
      </w:r>
      <w:r w:rsidRPr="0062515B">
        <w:rPr>
          <w:sz w:val="22"/>
          <w:szCs w:val="22"/>
        </w:rPr>
        <w:t xml:space="preserve"> </w:t>
      </w:r>
      <w:r w:rsidRPr="0062515B" w:rsidR="0062515B">
        <w:rPr>
          <w:color w:val="000000"/>
          <w:sz w:val="22"/>
        </w:rPr>
        <w:t xml:space="preserve">statistical surveys </w:t>
      </w:r>
      <w:r w:rsidR="0062515B">
        <w:rPr>
          <w:color w:val="000000"/>
          <w:sz w:val="22"/>
        </w:rPr>
        <w:t xml:space="preserve">not </w:t>
      </w:r>
      <w:r w:rsidRPr="00F477DD" w:rsidR="0062515B">
        <w:rPr>
          <w:color w:val="000000"/>
          <w:sz w:val="22"/>
        </w:rPr>
        <w:t>designed to produce results tha</w:t>
      </w:r>
      <w:r w:rsidR="0062515B">
        <w:rPr>
          <w:color w:val="000000"/>
          <w:sz w:val="22"/>
        </w:rPr>
        <w:t>t</w:t>
      </w:r>
      <w:r w:rsidRPr="00F477DD" w:rsidR="0062515B">
        <w:rPr>
          <w:color w:val="000000"/>
          <w:sz w:val="22"/>
        </w:rPr>
        <w:t xml:space="preserve"> can be generalized to the universe of study</w:t>
      </w:r>
      <w:r w:rsidR="0062515B">
        <w:rPr>
          <w:color w:val="000000"/>
          <w:sz w:val="22"/>
        </w:rPr>
        <w:t>.</w:t>
      </w:r>
      <w:r w:rsidR="0085059F">
        <w:rPr>
          <w:color w:val="000000"/>
          <w:sz w:val="22"/>
        </w:rPr>
        <w:t xml:space="preserve"> n/a</w:t>
      </w:r>
    </w:p>
    <w:p w:rsidRPr="007A7053" w:rsidR="00393A57" w:rsidP="00393A57" w:rsidRDefault="00393A57" w14:paraId="08CC3449" w14:textId="4B066AC5">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the use of a statistical data classification that has not been reviewed and approved by OMB. </w:t>
      </w:r>
      <w:r w:rsidR="0085059F">
        <w:rPr>
          <w:sz w:val="22"/>
          <w:szCs w:val="22"/>
        </w:rPr>
        <w:t>n/a</w:t>
      </w:r>
    </w:p>
    <w:p w:rsidRPr="007A7053" w:rsidR="00393A57" w:rsidP="00393A57" w:rsidRDefault="00393A57" w14:paraId="1CFE8E71" w14:textId="6BA90E66">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include a pledge of confidentiality that is not supported by authority established in statute or regulation, that is not supported by disclosure and security policies that are consistent with the pledge, or which unnecessarily impedes sharing of data with other agencies for compatible confidential use. </w:t>
      </w:r>
      <w:r w:rsidR="0085059F">
        <w:rPr>
          <w:sz w:val="22"/>
          <w:szCs w:val="22"/>
        </w:rPr>
        <w:t>n/a</w:t>
      </w:r>
    </w:p>
    <w:p w:rsidRPr="00F15B40" w:rsidR="00393A57" w:rsidP="00393A57" w:rsidRDefault="00393A57" w14:paraId="6CAB482F" w14:textId="624C307D">
      <w:pPr>
        <w:numPr>
          <w:ilvl w:val="0"/>
          <w:numId w:val="24"/>
        </w:numPr>
        <w:overflowPunct w:val="0"/>
        <w:autoSpaceDE w:val="0"/>
        <w:autoSpaceDN w:val="0"/>
        <w:adjustRightInd w:val="0"/>
        <w:textAlignment w:val="baseline"/>
        <w:rPr>
          <w:sz w:val="22"/>
          <w:szCs w:val="22"/>
        </w:rPr>
      </w:pPr>
      <w:r w:rsidRPr="007A7053">
        <w:rPr>
          <w:sz w:val="22"/>
          <w:szCs w:val="22"/>
        </w:rPr>
        <w:t>This information collection does not require respondents to submit proprietary, trade secret, or other confidential information unless the agency can demonstrate that it has instituted (and not just planned) procedures to protect its confidentiality to the extent permitted by law.</w:t>
      </w:r>
      <w:r w:rsidR="0085059F">
        <w:rPr>
          <w:sz w:val="22"/>
          <w:szCs w:val="22"/>
        </w:rPr>
        <w:t xml:space="preserve"> n/a</w:t>
      </w:r>
    </w:p>
    <w:p w:rsidR="00393A57" w:rsidP="00393A57" w:rsidRDefault="00393A57" w14:paraId="01FD29B1" w14:textId="4274AF52">
      <w:pPr>
        <w:overflowPunct w:val="0"/>
        <w:autoSpaceDE w:val="0"/>
        <w:autoSpaceDN w:val="0"/>
        <w:adjustRightInd w:val="0"/>
        <w:textAlignment w:val="baseline"/>
        <w:rPr>
          <w:sz w:val="22"/>
          <w:szCs w:val="22"/>
        </w:rPr>
      </w:pPr>
    </w:p>
    <w:p w:rsidRPr="00F15B40" w:rsidR="00DB61AC" w:rsidP="00393A57" w:rsidRDefault="00DB61AC" w14:paraId="1176BBBA" w14:textId="77777777">
      <w:pPr>
        <w:overflowPunct w:val="0"/>
        <w:autoSpaceDE w:val="0"/>
        <w:autoSpaceDN w:val="0"/>
        <w:adjustRightInd w:val="0"/>
        <w:textAlignment w:val="baseline"/>
        <w:rPr>
          <w:sz w:val="22"/>
          <w:szCs w:val="22"/>
        </w:rPr>
      </w:pPr>
    </w:p>
    <w:p w:rsidRPr="003B27A6" w:rsidR="00D73EE7" w:rsidRDefault="00D73EE7" w14:paraId="5644287D" w14:textId="77777777">
      <w:pPr>
        <w:keepLines/>
        <w:tabs>
          <w:tab w:val="left" w:pos="360"/>
        </w:tabs>
        <w:spacing w:after="80"/>
        <w:ind w:left="360" w:hanging="360"/>
        <w:rPr>
          <w:color w:val="000000"/>
          <w:sz w:val="22"/>
          <w:szCs w:val="22"/>
        </w:rPr>
      </w:pPr>
      <w:r w:rsidRPr="00FD526B">
        <w:rPr>
          <w:color w:val="000000"/>
          <w:sz w:val="22"/>
          <w:szCs w:val="22"/>
        </w:rPr>
        <w:t>8.</w:t>
      </w:r>
      <w:r w:rsidRPr="003B27A6">
        <w:rPr>
          <w:color w:val="000000"/>
          <w:sz w:val="22"/>
          <w:szCs w:val="22"/>
        </w:rPr>
        <w:tab/>
        <w:t>Date and page number of the Federal Register notice (provide a copy) soliciting comments and public input</w:t>
      </w:r>
      <w:r w:rsidR="000007ED">
        <w:rPr>
          <w:color w:val="000000"/>
          <w:sz w:val="22"/>
          <w:szCs w:val="22"/>
        </w:rPr>
        <w:t>.</w:t>
      </w:r>
      <w:r w:rsidRPr="003B27A6">
        <w:rPr>
          <w:color w:val="000000"/>
          <w:sz w:val="22"/>
          <w:szCs w:val="22"/>
        </w:rPr>
        <w:t xml:space="preserve"> Summarize any public comments and describe response to comments.  Describe all efforts to consult with persons outside the agency to obtain their input. </w:t>
      </w:r>
    </w:p>
    <w:p w:rsidR="006F6265" w:rsidP="00ED2128" w:rsidRDefault="000007ED" w14:paraId="0FD21AEE" w14:textId="0F1A8150">
      <w:pPr>
        <w:keepLines/>
        <w:tabs>
          <w:tab w:val="left" w:pos="0"/>
        </w:tabs>
        <w:spacing w:after="80"/>
        <w:rPr>
          <w:color w:val="000000"/>
          <w:sz w:val="22"/>
          <w:szCs w:val="22"/>
        </w:rPr>
      </w:pPr>
      <w:r>
        <w:rPr>
          <w:color w:val="000000"/>
          <w:sz w:val="22"/>
          <w:szCs w:val="22"/>
        </w:rPr>
        <w:t xml:space="preserve">HUD published a notice in the Federal Register to solicit public comment on </w:t>
      </w:r>
      <w:r w:rsidRPr="00C32BD3" w:rsidR="00C32BD3">
        <w:rPr>
          <w:sz w:val="22"/>
          <w:szCs w:val="22"/>
        </w:rPr>
        <w:t>March 24, 2020</w:t>
      </w:r>
      <w:r w:rsidR="00C32BD3">
        <w:rPr>
          <w:sz w:val="22"/>
          <w:szCs w:val="22"/>
        </w:rPr>
        <w:t>, vol 85, page 16643</w:t>
      </w:r>
      <w:r>
        <w:rPr>
          <w:color w:val="000000"/>
          <w:sz w:val="22"/>
          <w:szCs w:val="22"/>
        </w:rPr>
        <w:t xml:space="preserve">. HUD received </w:t>
      </w:r>
      <w:r w:rsidR="00C32BD3">
        <w:rPr>
          <w:color w:val="000000"/>
          <w:sz w:val="22"/>
          <w:szCs w:val="22"/>
        </w:rPr>
        <w:t>no</w:t>
      </w:r>
      <w:r w:rsidR="00B67060">
        <w:rPr>
          <w:color w:val="000000"/>
          <w:sz w:val="22"/>
          <w:szCs w:val="22"/>
        </w:rPr>
        <w:t xml:space="preserve"> </w:t>
      </w:r>
      <w:r>
        <w:rPr>
          <w:color w:val="000000"/>
          <w:sz w:val="22"/>
          <w:szCs w:val="22"/>
        </w:rPr>
        <w:t xml:space="preserve">comments. </w:t>
      </w:r>
    </w:p>
    <w:p w:rsidR="00D73EE7" w:rsidRDefault="00D73EE7" w14:paraId="0A5FD5EF" w14:textId="53BD99E0">
      <w:pPr>
        <w:tabs>
          <w:tab w:val="left" w:pos="360"/>
        </w:tabs>
        <w:ind w:left="360" w:hanging="360"/>
        <w:rPr>
          <w:color w:val="000000"/>
          <w:sz w:val="22"/>
          <w:szCs w:val="22"/>
        </w:rPr>
      </w:pPr>
    </w:p>
    <w:p w:rsidRPr="003B27A6" w:rsidR="00DB61AC" w:rsidRDefault="00DB61AC" w14:paraId="2BC512F3" w14:textId="77777777">
      <w:pPr>
        <w:tabs>
          <w:tab w:val="left" w:pos="360"/>
        </w:tabs>
        <w:ind w:left="360" w:hanging="360"/>
        <w:rPr>
          <w:color w:val="000000"/>
          <w:sz w:val="22"/>
          <w:szCs w:val="22"/>
        </w:rPr>
      </w:pPr>
    </w:p>
    <w:p w:rsidRPr="003B27A6" w:rsidR="00D73EE7" w:rsidRDefault="00D73EE7" w14:paraId="199EF184" w14:textId="77777777">
      <w:pPr>
        <w:keepLines/>
        <w:tabs>
          <w:tab w:val="left" w:pos="360"/>
        </w:tabs>
        <w:spacing w:after="80"/>
        <w:ind w:left="360" w:hanging="360"/>
        <w:rPr>
          <w:color w:val="000000"/>
          <w:sz w:val="22"/>
          <w:szCs w:val="22"/>
        </w:rPr>
      </w:pPr>
      <w:r w:rsidRPr="003B27A6">
        <w:rPr>
          <w:color w:val="000000"/>
          <w:sz w:val="22"/>
          <w:szCs w:val="22"/>
        </w:rPr>
        <w:t>9.</w:t>
      </w:r>
      <w:r w:rsidRPr="003B27A6">
        <w:rPr>
          <w:color w:val="000000"/>
          <w:sz w:val="22"/>
          <w:szCs w:val="22"/>
        </w:rPr>
        <w:tab/>
        <w:t>Explain any payments or gifts to respondents, other than remuneration of contractors or grantees.</w:t>
      </w:r>
    </w:p>
    <w:p w:rsidRPr="00F15B40" w:rsidR="00F15B40" w:rsidP="00F15B40" w:rsidRDefault="000007ED" w14:paraId="01A41792" w14:textId="77777777">
      <w:pPr>
        <w:tabs>
          <w:tab w:val="left" w:pos="0"/>
        </w:tabs>
        <w:overflowPunct w:val="0"/>
        <w:autoSpaceDE w:val="0"/>
        <w:autoSpaceDN w:val="0"/>
        <w:adjustRightInd w:val="0"/>
        <w:textAlignment w:val="baseline"/>
        <w:rPr>
          <w:sz w:val="22"/>
          <w:szCs w:val="22"/>
        </w:rPr>
      </w:pPr>
      <w:r>
        <w:rPr>
          <w:sz w:val="22"/>
          <w:szCs w:val="22"/>
        </w:rPr>
        <w:t>These circumstances are not applicable to the HOPWA program since HUD does not provide payment.</w:t>
      </w:r>
    </w:p>
    <w:p w:rsidR="00D73EE7" w:rsidRDefault="00D73EE7" w14:paraId="0F28DB83" w14:textId="42A1F10E">
      <w:pPr>
        <w:tabs>
          <w:tab w:val="left" w:pos="360"/>
        </w:tabs>
        <w:ind w:left="360" w:hanging="360"/>
        <w:rPr>
          <w:color w:val="000000"/>
          <w:sz w:val="22"/>
          <w:szCs w:val="22"/>
        </w:rPr>
      </w:pPr>
    </w:p>
    <w:p w:rsidRPr="003B27A6" w:rsidR="00DB61AC" w:rsidRDefault="00DB61AC" w14:paraId="59A96CBE" w14:textId="77777777">
      <w:pPr>
        <w:tabs>
          <w:tab w:val="left" w:pos="360"/>
        </w:tabs>
        <w:ind w:left="360" w:hanging="360"/>
        <w:rPr>
          <w:color w:val="000000"/>
          <w:sz w:val="22"/>
          <w:szCs w:val="22"/>
        </w:rPr>
      </w:pPr>
    </w:p>
    <w:p w:rsidRPr="003B27A6" w:rsidR="00D73EE7" w:rsidRDefault="00D73EE7" w14:paraId="2D79EF28" w14:textId="77777777">
      <w:pPr>
        <w:keepLines/>
        <w:tabs>
          <w:tab w:val="left" w:pos="360"/>
        </w:tabs>
        <w:spacing w:after="80"/>
        <w:ind w:left="360" w:hanging="360"/>
        <w:rPr>
          <w:color w:val="000000"/>
          <w:sz w:val="22"/>
          <w:szCs w:val="22"/>
        </w:rPr>
      </w:pPr>
      <w:r w:rsidRPr="003B27A6">
        <w:rPr>
          <w:color w:val="000000"/>
          <w:sz w:val="22"/>
          <w:szCs w:val="22"/>
        </w:rPr>
        <w:t>10.</w:t>
      </w:r>
      <w:r w:rsidRPr="003B27A6">
        <w:rPr>
          <w:color w:val="000000"/>
          <w:sz w:val="22"/>
          <w:szCs w:val="22"/>
        </w:rPr>
        <w:tab/>
        <w:t>Describe any assurance of confidentiality provided to respondents and the basis for assurance in statute, regulation or agency policy.</w:t>
      </w:r>
    </w:p>
    <w:p w:rsidR="00ED2128" w:rsidP="000D2DF6" w:rsidRDefault="007F17FE" w14:paraId="39D8AA36" w14:textId="1E3ED818">
      <w:pPr>
        <w:keepLines/>
        <w:tabs>
          <w:tab w:val="left" w:pos="0"/>
        </w:tabs>
        <w:spacing w:before="240" w:after="80"/>
        <w:rPr>
          <w:color w:val="000000"/>
          <w:sz w:val="22"/>
          <w:szCs w:val="22"/>
        </w:rPr>
      </w:pPr>
      <w:r>
        <w:rPr>
          <w:color w:val="000000"/>
          <w:sz w:val="22"/>
          <w:szCs w:val="22"/>
        </w:rPr>
        <w:t xml:space="preserve">HOPWA new competitive SPNS grant applicants are notified in the NOFA that the required reporting for the grant will be shared publicly. Information collected is specific to the project funded </w:t>
      </w:r>
      <w:r w:rsidR="00C00C5F">
        <w:rPr>
          <w:color w:val="000000"/>
          <w:sz w:val="22"/>
          <w:szCs w:val="22"/>
        </w:rPr>
        <w:t xml:space="preserve">through the </w:t>
      </w:r>
      <w:r>
        <w:rPr>
          <w:color w:val="000000"/>
          <w:sz w:val="22"/>
          <w:szCs w:val="22"/>
        </w:rPr>
        <w:t xml:space="preserve">HOPWA </w:t>
      </w:r>
      <w:r w:rsidR="00C00C5F">
        <w:rPr>
          <w:color w:val="000000"/>
          <w:sz w:val="22"/>
          <w:szCs w:val="22"/>
        </w:rPr>
        <w:t>program</w:t>
      </w:r>
      <w:r>
        <w:rPr>
          <w:color w:val="000000"/>
          <w:sz w:val="22"/>
          <w:szCs w:val="22"/>
        </w:rPr>
        <w:t xml:space="preserve">. </w:t>
      </w:r>
      <w:r w:rsidRPr="003B27A6" w:rsidR="00ED2128">
        <w:rPr>
          <w:color w:val="000000"/>
          <w:sz w:val="22"/>
          <w:szCs w:val="22"/>
        </w:rPr>
        <w:t xml:space="preserve">HOPWA competitive </w:t>
      </w:r>
      <w:r w:rsidR="00B67060">
        <w:rPr>
          <w:color w:val="000000"/>
          <w:sz w:val="22"/>
          <w:szCs w:val="22"/>
        </w:rPr>
        <w:t>grant</w:t>
      </w:r>
      <w:r w:rsidRPr="003B27A6" w:rsidR="00B67060">
        <w:rPr>
          <w:color w:val="000000"/>
          <w:sz w:val="22"/>
          <w:szCs w:val="22"/>
        </w:rPr>
        <w:t xml:space="preserve"> </w:t>
      </w:r>
      <w:r w:rsidR="00A3391A">
        <w:rPr>
          <w:color w:val="000000"/>
          <w:sz w:val="22"/>
          <w:szCs w:val="22"/>
        </w:rPr>
        <w:t>applications</w:t>
      </w:r>
      <w:r w:rsidRPr="003B27A6" w:rsidR="00A3391A">
        <w:rPr>
          <w:color w:val="000000"/>
          <w:sz w:val="22"/>
          <w:szCs w:val="22"/>
        </w:rPr>
        <w:t xml:space="preserve"> </w:t>
      </w:r>
      <w:r w:rsidRPr="003B27A6" w:rsidR="00ED2128">
        <w:rPr>
          <w:color w:val="000000"/>
          <w:sz w:val="22"/>
          <w:szCs w:val="22"/>
        </w:rPr>
        <w:t xml:space="preserve">are reviewed by HUD staff or other reviewers defined in the </w:t>
      </w:r>
      <w:r w:rsidR="000007ED">
        <w:rPr>
          <w:color w:val="000000"/>
          <w:sz w:val="22"/>
          <w:szCs w:val="22"/>
        </w:rPr>
        <w:t>NOFA or renewal notice</w:t>
      </w:r>
      <w:r w:rsidRPr="003B27A6" w:rsidR="00EA28BB">
        <w:rPr>
          <w:color w:val="000000"/>
          <w:sz w:val="22"/>
          <w:szCs w:val="22"/>
        </w:rPr>
        <w:t xml:space="preserve">. </w:t>
      </w:r>
      <w:r w:rsidRPr="003B27A6" w:rsidR="00724680">
        <w:rPr>
          <w:color w:val="000000"/>
          <w:sz w:val="22"/>
          <w:szCs w:val="22"/>
        </w:rPr>
        <w:t xml:space="preserve">The </w:t>
      </w:r>
      <w:r w:rsidR="00A3391A">
        <w:rPr>
          <w:color w:val="000000"/>
          <w:sz w:val="22"/>
          <w:szCs w:val="22"/>
        </w:rPr>
        <w:t>applications</w:t>
      </w:r>
      <w:r w:rsidRPr="003B27A6" w:rsidR="00A3391A">
        <w:rPr>
          <w:color w:val="000000"/>
          <w:sz w:val="22"/>
          <w:szCs w:val="22"/>
        </w:rPr>
        <w:t xml:space="preserve"> </w:t>
      </w:r>
      <w:r w:rsidR="000007ED">
        <w:rPr>
          <w:color w:val="000000"/>
          <w:sz w:val="22"/>
          <w:szCs w:val="22"/>
        </w:rPr>
        <w:t>for</w:t>
      </w:r>
      <w:r w:rsidRPr="003B27A6" w:rsidR="000007ED">
        <w:rPr>
          <w:color w:val="000000"/>
          <w:sz w:val="22"/>
          <w:szCs w:val="22"/>
        </w:rPr>
        <w:t xml:space="preserve"> </w:t>
      </w:r>
      <w:r w:rsidRPr="003B27A6" w:rsidR="00724680">
        <w:rPr>
          <w:color w:val="000000"/>
          <w:sz w:val="22"/>
          <w:szCs w:val="22"/>
        </w:rPr>
        <w:t>awarded grants will serve as the grant project plan and be incorpor</w:t>
      </w:r>
      <w:r w:rsidRPr="003B27A6" w:rsidR="00EA28BB">
        <w:rPr>
          <w:color w:val="000000"/>
          <w:sz w:val="22"/>
          <w:szCs w:val="22"/>
        </w:rPr>
        <w:t xml:space="preserve">ated into the grant agreement. </w:t>
      </w:r>
      <w:r w:rsidRPr="003B27A6" w:rsidR="00724680">
        <w:rPr>
          <w:color w:val="000000"/>
          <w:sz w:val="22"/>
          <w:szCs w:val="22"/>
        </w:rPr>
        <w:t xml:space="preserve">The </w:t>
      </w:r>
      <w:r w:rsidR="00A3391A">
        <w:rPr>
          <w:color w:val="000000"/>
          <w:sz w:val="22"/>
          <w:szCs w:val="22"/>
        </w:rPr>
        <w:t>applications</w:t>
      </w:r>
      <w:r w:rsidRPr="003B27A6" w:rsidR="00A3391A">
        <w:rPr>
          <w:color w:val="000000"/>
          <w:sz w:val="22"/>
          <w:szCs w:val="22"/>
        </w:rPr>
        <w:t xml:space="preserve"> </w:t>
      </w:r>
      <w:r w:rsidRPr="003B27A6" w:rsidR="00724680">
        <w:rPr>
          <w:color w:val="000000"/>
          <w:sz w:val="22"/>
          <w:szCs w:val="22"/>
        </w:rPr>
        <w:t xml:space="preserve">of </w:t>
      </w:r>
      <w:r w:rsidR="000007ED">
        <w:rPr>
          <w:color w:val="000000"/>
          <w:sz w:val="22"/>
          <w:szCs w:val="22"/>
        </w:rPr>
        <w:t xml:space="preserve">unawarded </w:t>
      </w:r>
      <w:r w:rsidRPr="003B27A6" w:rsidR="00724680">
        <w:rPr>
          <w:color w:val="000000"/>
          <w:sz w:val="22"/>
          <w:szCs w:val="22"/>
        </w:rPr>
        <w:t>grants will</w:t>
      </w:r>
      <w:r w:rsidR="000007ED">
        <w:rPr>
          <w:color w:val="000000"/>
          <w:sz w:val="22"/>
          <w:szCs w:val="22"/>
        </w:rPr>
        <w:t xml:space="preserve"> be</w:t>
      </w:r>
      <w:r w:rsidRPr="003B27A6" w:rsidR="00724680">
        <w:rPr>
          <w:color w:val="000000"/>
          <w:sz w:val="22"/>
          <w:szCs w:val="22"/>
        </w:rPr>
        <w:t xml:space="preserve"> filed for the required 3-year record keeping period, and then destroyed. The unawarded </w:t>
      </w:r>
      <w:r w:rsidR="00A3391A">
        <w:rPr>
          <w:color w:val="000000"/>
          <w:sz w:val="22"/>
          <w:szCs w:val="22"/>
        </w:rPr>
        <w:t>applications</w:t>
      </w:r>
      <w:r w:rsidRPr="003B27A6" w:rsidR="00A3391A">
        <w:rPr>
          <w:color w:val="000000"/>
          <w:sz w:val="22"/>
          <w:szCs w:val="22"/>
        </w:rPr>
        <w:t xml:space="preserve"> </w:t>
      </w:r>
      <w:r w:rsidRPr="003B27A6" w:rsidR="00724680">
        <w:rPr>
          <w:color w:val="000000"/>
          <w:sz w:val="22"/>
          <w:szCs w:val="22"/>
        </w:rPr>
        <w:t xml:space="preserve">will only be accessible </w:t>
      </w:r>
      <w:r w:rsidR="00A3391A">
        <w:rPr>
          <w:color w:val="000000"/>
          <w:sz w:val="22"/>
          <w:szCs w:val="22"/>
        </w:rPr>
        <w:t>to</w:t>
      </w:r>
      <w:r w:rsidRPr="003B27A6" w:rsidR="00A3391A">
        <w:rPr>
          <w:color w:val="000000"/>
          <w:sz w:val="22"/>
          <w:szCs w:val="22"/>
        </w:rPr>
        <w:t xml:space="preserve"> </w:t>
      </w:r>
      <w:r w:rsidRPr="003B27A6" w:rsidR="00724680">
        <w:rPr>
          <w:color w:val="000000"/>
          <w:sz w:val="22"/>
          <w:szCs w:val="22"/>
        </w:rPr>
        <w:t xml:space="preserve">the public through an approved FOIA request. </w:t>
      </w:r>
    </w:p>
    <w:p w:rsidRPr="003B27A6" w:rsidR="000007ED" w:rsidP="000D2DF6" w:rsidRDefault="000C67AE" w14:paraId="48069F30" w14:textId="77777777">
      <w:pPr>
        <w:keepLines/>
        <w:tabs>
          <w:tab w:val="left" w:pos="0"/>
        </w:tabs>
        <w:spacing w:before="240" w:after="80"/>
        <w:rPr>
          <w:color w:val="000000"/>
          <w:sz w:val="22"/>
          <w:szCs w:val="22"/>
        </w:rPr>
      </w:pPr>
      <w:r>
        <w:rPr>
          <w:color w:val="000000"/>
          <w:sz w:val="22"/>
          <w:szCs w:val="22"/>
        </w:rPr>
        <w:t xml:space="preserve">42 U.S.C. § 12905(e) and </w:t>
      </w:r>
      <w:r w:rsidR="000007ED">
        <w:rPr>
          <w:color w:val="000000"/>
          <w:sz w:val="22"/>
          <w:szCs w:val="22"/>
        </w:rPr>
        <w:t xml:space="preserve">24 CFR 574.440 </w:t>
      </w:r>
      <w:r>
        <w:rPr>
          <w:color w:val="000000"/>
          <w:sz w:val="22"/>
          <w:szCs w:val="22"/>
        </w:rPr>
        <w:t>require</w:t>
      </w:r>
      <w:r w:rsidR="000007ED">
        <w:rPr>
          <w:color w:val="000000"/>
          <w:sz w:val="22"/>
          <w:szCs w:val="22"/>
        </w:rPr>
        <w:t xml:space="preserve"> that grantees and their respective project sponsors maintain the confidentiality and identities of HOPWA program participants</w:t>
      </w:r>
      <w:r>
        <w:rPr>
          <w:color w:val="000000"/>
          <w:sz w:val="22"/>
          <w:szCs w:val="22"/>
        </w:rPr>
        <w:t>, which includes</w:t>
      </w:r>
      <w:r w:rsidR="000007ED">
        <w:rPr>
          <w:color w:val="000000"/>
          <w:sz w:val="22"/>
          <w:szCs w:val="22"/>
        </w:rPr>
        <w:t xml:space="preserve"> that sufficient processes are in place to ensure sound confidential recordkeeping. </w:t>
      </w:r>
      <w:r>
        <w:rPr>
          <w:color w:val="000000"/>
          <w:sz w:val="22"/>
          <w:szCs w:val="22"/>
        </w:rPr>
        <w:t>A</w:t>
      </w:r>
      <w:r w:rsidR="000007ED">
        <w:rPr>
          <w:color w:val="000000"/>
          <w:sz w:val="22"/>
          <w:szCs w:val="22"/>
        </w:rPr>
        <w:t xml:space="preserve">ll forms are in compliance </w:t>
      </w:r>
      <w:r w:rsidR="00F7313B">
        <w:rPr>
          <w:color w:val="000000"/>
          <w:sz w:val="22"/>
          <w:szCs w:val="22"/>
        </w:rPr>
        <w:t xml:space="preserve">with this requirement. </w:t>
      </w:r>
    </w:p>
    <w:p w:rsidR="00D73EE7" w:rsidRDefault="00D73EE7" w14:paraId="4115D432" w14:textId="14D3F219">
      <w:pPr>
        <w:tabs>
          <w:tab w:val="left" w:pos="360"/>
        </w:tabs>
        <w:ind w:left="360" w:hanging="360"/>
        <w:rPr>
          <w:color w:val="000000"/>
          <w:sz w:val="22"/>
          <w:szCs w:val="22"/>
        </w:rPr>
      </w:pPr>
    </w:p>
    <w:p w:rsidRPr="003B27A6" w:rsidR="00DB61AC" w:rsidRDefault="00DB61AC" w14:paraId="21FB596A" w14:textId="77777777">
      <w:pPr>
        <w:tabs>
          <w:tab w:val="left" w:pos="360"/>
        </w:tabs>
        <w:ind w:left="360" w:hanging="360"/>
        <w:rPr>
          <w:color w:val="000000"/>
          <w:sz w:val="22"/>
          <w:szCs w:val="22"/>
        </w:rPr>
      </w:pPr>
    </w:p>
    <w:p w:rsidRPr="003B27A6" w:rsidR="00B1027E" w:rsidP="00267E0E" w:rsidRDefault="00D73EE7" w14:paraId="7D7A613F" w14:textId="77777777">
      <w:pPr>
        <w:keepLines/>
        <w:tabs>
          <w:tab w:val="left" w:pos="360"/>
          <w:tab w:val="left" w:pos="720"/>
        </w:tabs>
        <w:ind w:left="360" w:hanging="360"/>
        <w:rPr>
          <w:color w:val="000000"/>
          <w:sz w:val="22"/>
          <w:szCs w:val="22"/>
        </w:rPr>
      </w:pPr>
      <w:r w:rsidRPr="003B27A6">
        <w:rPr>
          <w:color w:val="000000"/>
          <w:sz w:val="22"/>
          <w:szCs w:val="22"/>
        </w:rPr>
        <w:t>11.</w:t>
      </w:r>
      <w:r w:rsidRPr="003B27A6">
        <w:rPr>
          <w:color w:val="000000"/>
          <w:sz w:val="22"/>
          <w:szCs w:val="22"/>
        </w:rPr>
        <w:tab/>
        <w:t>Justify any questions of a sensitive nature, such as sexual, religious beliefs, and other matters that are commonly considered private</w:t>
      </w:r>
      <w:r w:rsidRPr="003B27A6" w:rsidR="00B1027E">
        <w:rPr>
          <w:color w:val="000000"/>
          <w:sz w:val="22"/>
          <w:szCs w:val="22"/>
        </w:rPr>
        <w:t>.</w:t>
      </w:r>
    </w:p>
    <w:p w:rsidRPr="003B27A6" w:rsidR="00B1027E" w:rsidP="000D2DF6" w:rsidRDefault="00F7313B" w14:paraId="5AF19AFB" w14:textId="77777777">
      <w:pPr>
        <w:keepLines/>
        <w:tabs>
          <w:tab w:val="left" w:pos="0"/>
          <w:tab w:val="left" w:pos="720"/>
        </w:tabs>
        <w:spacing w:before="240"/>
        <w:rPr>
          <w:color w:val="000000"/>
          <w:sz w:val="22"/>
          <w:szCs w:val="22"/>
        </w:rPr>
      </w:pPr>
      <w:r>
        <w:rPr>
          <w:color w:val="000000"/>
          <w:sz w:val="22"/>
          <w:szCs w:val="22"/>
        </w:rPr>
        <w:t xml:space="preserve">No questions of a sensitive matter are included as part of the requested or required submission of these application submission or reporting requirements. </w:t>
      </w:r>
    </w:p>
    <w:p w:rsidR="00D73EE7" w:rsidRDefault="00D73EE7" w14:paraId="01D37B02" w14:textId="4BA7E8A8">
      <w:pPr>
        <w:keepLines/>
        <w:tabs>
          <w:tab w:val="left" w:pos="360"/>
        </w:tabs>
        <w:ind w:left="360" w:hanging="360"/>
        <w:rPr>
          <w:color w:val="000000"/>
          <w:sz w:val="22"/>
          <w:szCs w:val="22"/>
        </w:rPr>
      </w:pPr>
    </w:p>
    <w:p w:rsidRPr="003B27A6" w:rsidR="00DB61AC" w:rsidRDefault="00DB61AC" w14:paraId="039561C2" w14:textId="77777777">
      <w:pPr>
        <w:keepLines/>
        <w:tabs>
          <w:tab w:val="left" w:pos="360"/>
        </w:tabs>
        <w:ind w:left="360" w:hanging="360"/>
        <w:rPr>
          <w:color w:val="000000"/>
          <w:sz w:val="22"/>
          <w:szCs w:val="22"/>
        </w:rPr>
      </w:pPr>
    </w:p>
    <w:p w:rsidR="00E86574" w:rsidRDefault="00D73EE7" w14:paraId="2922BDD1" w14:textId="77777777">
      <w:pPr>
        <w:keepLines/>
        <w:tabs>
          <w:tab w:val="left" w:pos="360"/>
          <w:tab w:val="left" w:pos="720"/>
        </w:tabs>
        <w:ind w:left="360" w:hanging="360"/>
        <w:rPr>
          <w:color w:val="000000"/>
          <w:sz w:val="22"/>
          <w:szCs w:val="22"/>
        </w:rPr>
      </w:pPr>
      <w:r w:rsidRPr="003B27A6">
        <w:rPr>
          <w:color w:val="000000"/>
          <w:sz w:val="22"/>
          <w:szCs w:val="22"/>
        </w:rPr>
        <w:t>12.</w:t>
      </w:r>
      <w:r w:rsidRPr="003B27A6">
        <w:rPr>
          <w:color w:val="000000"/>
          <w:sz w:val="22"/>
          <w:szCs w:val="22"/>
        </w:rPr>
        <w:tab/>
      </w:r>
      <w:r w:rsidR="00F7313B">
        <w:rPr>
          <w:color w:val="000000"/>
          <w:sz w:val="22"/>
          <w:szCs w:val="22"/>
        </w:rPr>
        <w:t>Hour and Cost Burden Estimates to Grant Recipients:</w:t>
      </w:r>
    </w:p>
    <w:p w:rsidR="00F7313B" w:rsidRDefault="00F7313B" w14:paraId="34D8B659" w14:textId="77777777">
      <w:pPr>
        <w:keepLines/>
        <w:tabs>
          <w:tab w:val="left" w:pos="360"/>
          <w:tab w:val="left" w:pos="720"/>
        </w:tabs>
        <w:ind w:left="360" w:hanging="360"/>
        <w:rPr>
          <w:color w:val="000000"/>
          <w:sz w:val="22"/>
          <w:szCs w:val="22"/>
        </w:rPr>
      </w:pPr>
    </w:p>
    <w:tbl>
      <w:tblPr>
        <w:tblW w:w="996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7"/>
        <w:gridCol w:w="1260"/>
        <w:gridCol w:w="1080"/>
        <w:gridCol w:w="1170"/>
        <w:gridCol w:w="1080"/>
        <w:gridCol w:w="1080"/>
        <w:gridCol w:w="990"/>
        <w:gridCol w:w="1350"/>
      </w:tblGrid>
      <w:tr w:rsidRPr="009B73E6" w:rsidR="00A26621" w:rsidTr="00A73D8E" w14:paraId="64B963C1" w14:textId="77777777">
        <w:tc>
          <w:tcPr>
            <w:tcW w:w="1957" w:type="dxa"/>
            <w:shd w:val="clear" w:color="auto" w:fill="auto"/>
          </w:tcPr>
          <w:p w:rsidRPr="00A73D8E" w:rsidR="00A26621" w:rsidP="00A26621" w:rsidRDefault="00A26621" w14:paraId="78D84062" w14:textId="7C969064">
            <w:pPr>
              <w:jc w:val="center"/>
              <w:rPr>
                <w:color w:val="000000"/>
                <w:sz w:val="18"/>
                <w:szCs w:val="18"/>
              </w:rPr>
            </w:pPr>
            <w:r w:rsidRPr="00A73D8E">
              <w:rPr>
                <w:color w:val="000000"/>
                <w:sz w:val="20"/>
                <w:szCs w:val="20"/>
              </w:rPr>
              <w:t>Information Collection</w:t>
            </w:r>
          </w:p>
        </w:tc>
        <w:tc>
          <w:tcPr>
            <w:tcW w:w="1260" w:type="dxa"/>
            <w:shd w:val="clear" w:color="auto" w:fill="auto"/>
          </w:tcPr>
          <w:p w:rsidRPr="00A73D8E" w:rsidR="00A26621" w:rsidP="00A26621" w:rsidRDefault="00A26621" w14:paraId="1B2AD774" w14:textId="372E4D5B">
            <w:pPr>
              <w:jc w:val="center"/>
              <w:rPr>
                <w:color w:val="000000"/>
                <w:sz w:val="18"/>
                <w:szCs w:val="18"/>
              </w:rPr>
            </w:pPr>
            <w:r w:rsidRPr="00A73D8E">
              <w:rPr>
                <w:color w:val="000000"/>
                <w:sz w:val="20"/>
                <w:szCs w:val="20"/>
              </w:rPr>
              <w:t>Number of Respondents</w:t>
            </w:r>
          </w:p>
        </w:tc>
        <w:tc>
          <w:tcPr>
            <w:tcW w:w="1080" w:type="dxa"/>
            <w:shd w:val="clear" w:color="auto" w:fill="auto"/>
          </w:tcPr>
          <w:p w:rsidRPr="00A73D8E" w:rsidR="00A26621" w:rsidP="00A26621" w:rsidRDefault="00A26621" w14:paraId="55984DB0" w14:textId="065A6DCF">
            <w:pPr>
              <w:jc w:val="center"/>
              <w:rPr>
                <w:color w:val="000000"/>
                <w:sz w:val="18"/>
                <w:szCs w:val="18"/>
              </w:rPr>
            </w:pPr>
            <w:r w:rsidRPr="00A73D8E">
              <w:rPr>
                <w:color w:val="000000"/>
                <w:sz w:val="20"/>
                <w:szCs w:val="20"/>
              </w:rPr>
              <w:t>Frequency of Response</w:t>
            </w:r>
          </w:p>
        </w:tc>
        <w:tc>
          <w:tcPr>
            <w:tcW w:w="1170" w:type="dxa"/>
            <w:shd w:val="clear" w:color="auto" w:fill="auto"/>
          </w:tcPr>
          <w:p w:rsidRPr="00A73D8E" w:rsidR="00A26621" w:rsidP="00A26621" w:rsidRDefault="00A26621" w14:paraId="484D1B4F" w14:textId="77777777">
            <w:pPr>
              <w:autoSpaceDN w:val="0"/>
              <w:jc w:val="center"/>
              <w:rPr>
                <w:color w:val="000000"/>
                <w:sz w:val="20"/>
                <w:szCs w:val="20"/>
              </w:rPr>
            </w:pPr>
            <w:r w:rsidRPr="00A73D8E">
              <w:rPr>
                <w:color w:val="000000"/>
                <w:sz w:val="20"/>
                <w:szCs w:val="20"/>
              </w:rPr>
              <w:t>Responses</w:t>
            </w:r>
          </w:p>
          <w:p w:rsidRPr="00A73D8E" w:rsidR="00A26621" w:rsidP="00A26621" w:rsidRDefault="00A26621" w14:paraId="4EE93CE4" w14:textId="56335831">
            <w:pPr>
              <w:jc w:val="center"/>
              <w:rPr>
                <w:color w:val="000000"/>
                <w:sz w:val="18"/>
                <w:szCs w:val="18"/>
              </w:rPr>
            </w:pPr>
            <w:r w:rsidRPr="00A73D8E">
              <w:rPr>
                <w:color w:val="000000"/>
                <w:sz w:val="20"/>
                <w:szCs w:val="20"/>
              </w:rPr>
              <w:t>Per Annum</w:t>
            </w:r>
          </w:p>
        </w:tc>
        <w:tc>
          <w:tcPr>
            <w:tcW w:w="1080" w:type="dxa"/>
            <w:shd w:val="clear" w:color="auto" w:fill="auto"/>
          </w:tcPr>
          <w:p w:rsidRPr="00A73D8E" w:rsidR="00A26621" w:rsidP="00A26621" w:rsidRDefault="00A26621" w14:paraId="64D1DC81" w14:textId="0ACB4046">
            <w:pPr>
              <w:jc w:val="center"/>
              <w:rPr>
                <w:color w:val="000000"/>
                <w:sz w:val="18"/>
                <w:szCs w:val="18"/>
              </w:rPr>
            </w:pPr>
            <w:r w:rsidRPr="00A73D8E">
              <w:rPr>
                <w:color w:val="000000"/>
                <w:sz w:val="20"/>
                <w:szCs w:val="20"/>
              </w:rPr>
              <w:t>Burden Hour Per Response</w:t>
            </w:r>
          </w:p>
        </w:tc>
        <w:tc>
          <w:tcPr>
            <w:tcW w:w="1080" w:type="dxa"/>
            <w:shd w:val="clear" w:color="auto" w:fill="auto"/>
          </w:tcPr>
          <w:p w:rsidRPr="00A73D8E" w:rsidR="00A26621" w:rsidP="00A26621" w:rsidRDefault="00A26621" w14:paraId="62052D5C" w14:textId="326D6332">
            <w:pPr>
              <w:jc w:val="center"/>
              <w:rPr>
                <w:color w:val="000000"/>
                <w:sz w:val="18"/>
                <w:szCs w:val="18"/>
              </w:rPr>
            </w:pPr>
            <w:r w:rsidRPr="00A73D8E">
              <w:rPr>
                <w:color w:val="000000"/>
                <w:sz w:val="20"/>
                <w:szCs w:val="20"/>
              </w:rPr>
              <w:t>Annual Burden Hours</w:t>
            </w:r>
          </w:p>
        </w:tc>
        <w:tc>
          <w:tcPr>
            <w:tcW w:w="990" w:type="dxa"/>
          </w:tcPr>
          <w:p w:rsidRPr="00A73D8E" w:rsidR="00A26621" w:rsidP="00A26621" w:rsidRDefault="00A26621" w14:paraId="7BA9FCDB" w14:textId="29833D9F">
            <w:pPr>
              <w:jc w:val="center"/>
              <w:rPr>
                <w:color w:val="000000"/>
                <w:sz w:val="18"/>
                <w:szCs w:val="18"/>
              </w:rPr>
            </w:pPr>
            <w:r w:rsidRPr="00A73D8E">
              <w:rPr>
                <w:color w:val="000000"/>
                <w:sz w:val="20"/>
                <w:szCs w:val="20"/>
              </w:rPr>
              <w:t>Hourly Cost Per Response</w:t>
            </w:r>
          </w:p>
        </w:tc>
        <w:tc>
          <w:tcPr>
            <w:tcW w:w="1350" w:type="dxa"/>
          </w:tcPr>
          <w:p w:rsidRPr="00A73D8E" w:rsidR="00A26621" w:rsidP="00A26621" w:rsidRDefault="00A26621" w14:paraId="471E379E" w14:textId="77777777">
            <w:pPr>
              <w:autoSpaceDN w:val="0"/>
              <w:jc w:val="center"/>
              <w:rPr>
                <w:color w:val="000000"/>
                <w:sz w:val="20"/>
                <w:szCs w:val="20"/>
              </w:rPr>
            </w:pPr>
            <w:r w:rsidRPr="00A73D8E">
              <w:rPr>
                <w:color w:val="000000"/>
                <w:sz w:val="20"/>
                <w:szCs w:val="20"/>
              </w:rPr>
              <w:t>Annual Cost</w:t>
            </w:r>
          </w:p>
          <w:p w:rsidRPr="00A73D8E" w:rsidR="00A26621" w:rsidP="00A26621" w:rsidRDefault="00A26621" w14:paraId="435666FA" w14:textId="2ADFC90A">
            <w:pPr>
              <w:jc w:val="center"/>
              <w:rPr>
                <w:color w:val="000000"/>
                <w:sz w:val="18"/>
                <w:szCs w:val="18"/>
              </w:rPr>
            </w:pPr>
          </w:p>
        </w:tc>
      </w:tr>
      <w:tr w:rsidRPr="009B73E6" w:rsidR="001D43D9" w:rsidTr="00A73D8E" w14:paraId="2ADC0CE5" w14:textId="77777777">
        <w:trPr>
          <w:trHeight w:val="1152"/>
        </w:trPr>
        <w:tc>
          <w:tcPr>
            <w:tcW w:w="1957" w:type="dxa"/>
            <w:shd w:val="clear" w:color="auto" w:fill="auto"/>
          </w:tcPr>
          <w:p w:rsidRPr="009B73E6" w:rsidR="001D43D9" w:rsidP="001D43D9" w:rsidRDefault="001D43D9" w14:paraId="3734C246" w14:textId="77777777">
            <w:pPr>
              <w:rPr>
                <w:color w:val="000000"/>
                <w:sz w:val="18"/>
                <w:szCs w:val="18"/>
              </w:rPr>
            </w:pPr>
            <w:r w:rsidRPr="009B73E6">
              <w:rPr>
                <w:color w:val="000000"/>
                <w:sz w:val="18"/>
                <w:szCs w:val="18"/>
              </w:rPr>
              <w:t>HOPWA Renewal Application (including HUD-40110-B, narratives, and other requirements listed in the renewal notice)</w:t>
            </w:r>
          </w:p>
        </w:tc>
        <w:tc>
          <w:tcPr>
            <w:tcW w:w="1260" w:type="dxa"/>
            <w:shd w:val="clear" w:color="auto" w:fill="auto"/>
            <w:vAlign w:val="center"/>
          </w:tcPr>
          <w:p w:rsidRPr="009B73E6" w:rsidR="001D43D9" w:rsidP="001D43D9" w:rsidRDefault="001D43D9" w14:paraId="7E0DC520" w14:textId="2BE8D7DE">
            <w:pPr>
              <w:pStyle w:val="NoSpacing"/>
              <w:jc w:val="right"/>
              <w:rPr>
                <w:sz w:val="18"/>
                <w:szCs w:val="18"/>
              </w:rPr>
            </w:pPr>
            <w:r w:rsidRPr="009B73E6">
              <w:rPr>
                <w:color w:val="000000"/>
                <w:sz w:val="18"/>
                <w:szCs w:val="18"/>
              </w:rPr>
              <w:t>28.00</w:t>
            </w:r>
          </w:p>
        </w:tc>
        <w:tc>
          <w:tcPr>
            <w:tcW w:w="1080" w:type="dxa"/>
            <w:shd w:val="clear" w:color="auto" w:fill="auto"/>
            <w:vAlign w:val="center"/>
          </w:tcPr>
          <w:p w:rsidRPr="009B73E6" w:rsidR="001D43D9" w:rsidP="001D43D9" w:rsidRDefault="001D43D9" w14:paraId="71506AB0" w14:textId="19D26543">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3519CAC3" w14:textId="496FCBE4">
            <w:pPr>
              <w:pStyle w:val="NoSpacing"/>
              <w:jc w:val="right"/>
              <w:rPr>
                <w:sz w:val="18"/>
                <w:szCs w:val="18"/>
              </w:rPr>
            </w:pPr>
            <w:r w:rsidRPr="009B73E6">
              <w:rPr>
                <w:color w:val="000000"/>
                <w:sz w:val="18"/>
                <w:szCs w:val="18"/>
              </w:rPr>
              <w:t>28.00</w:t>
            </w:r>
          </w:p>
        </w:tc>
        <w:tc>
          <w:tcPr>
            <w:tcW w:w="1080" w:type="dxa"/>
            <w:shd w:val="clear" w:color="auto" w:fill="auto"/>
            <w:vAlign w:val="center"/>
          </w:tcPr>
          <w:p w:rsidRPr="009B73E6" w:rsidR="001D43D9" w:rsidP="001D43D9" w:rsidRDefault="001D43D9" w14:paraId="3984792D" w14:textId="1A2DE32E">
            <w:pPr>
              <w:pStyle w:val="NoSpacing"/>
              <w:jc w:val="right"/>
              <w:rPr>
                <w:sz w:val="18"/>
                <w:szCs w:val="18"/>
              </w:rPr>
            </w:pPr>
            <w:r w:rsidRPr="009B73E6">
              <w:rPr>
                <w:color w:val="000000"/>
                <w:sz w:val="18"/>
                <w:szCs w:val="18"/>
              </w:rPr>
              <w:t>15.00</w:t>
            </w:r>
          </w:p>
        </w:tc>
        <w:tc>
          <w:tcPr>
            <w:tcW w:w="1080" w:type="dxa"/>
            <w:shd w:val="clear" w:color="auto" w:fill="auto"/>
            <w:vAlign w:val="center"/>
          </w:tcPr>
          <w:p w:rsidRPr="009B73E6" w:rsidR="001D43D9" w:rsidP="001D43D9" w:rsidRDefault="001D43D9" w14:paraId="2A298120" w14:textId="24D0BC94">
            <w:pPr>
              <w:pStyle w:val="NoSpacing"/>
              <w:jc w:val="right"/>
              <w:rPr>
                <w:sz w:val="18"/>
                <w:szCs w:val="18"/>
              </w:rPr>
            </w:pPr>
            <w:r w:rsidRPr="009B73E6">
              <w:rPr>
                <w:color w:val="000000"/>
                <w:sz w:val="18"/>
                <w:szCs w:val="18"/>
              </w:rPr>
              <w:t>420.00</w:t>
            </w:r>
          </w:p>
        </w:tc>
        <w:tc>
          <w:tcPr>
            <w:tcW w:w="990" w:type="dxa"/>
            <w:vAlign w:val="center"/>
          </w:tcPr>
          <w:p w:rsidRPr="009B73E6" w:rsidR="001D43D9" w:rsidP="001D43D9" w:rsidRDefault="001D43D9" w14:paraId="154B70EF" w14:textId="528E0A81">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Del="00F7313B" w:rsidP="001D43D9" w:rsidRDefault="001D43D9" w14:paraId="0A383F2B" w14:textId="60A8A5AA">
            <w:pPr>
              <w:pStyle w:val="NoSpacing"/>
              <w:jc w:val="right"/>
              <w:rPr>
                <w:sz w:val="18"/>
                <w:szCs w:val="18"/>
              </w:rPr>
            </w:pPr>
            <w:r w:rsidRPr="009B73E6">
              <w:rPr>
                <w:color w:val="000000"/>
                <w:sz w:val="18"/>
                <w:szCs w:val="18"/>
              </w:rPr>
              <w:t xml:space="preserve">$10,647.00 </w:t>
            </w:r>
          </w:p>
        </w:tc>
      </w:tr>
      <w:tr w:rsidRPr="009B73E6" w:rsidR="001D43D9" w:rsidTr="00A73D8E" w14:paraId="34233F4F" w14:textId="77777777">
        <w:tc>
          <w:tcPr>
            <w:tcW w:w="1957" w:type="dxa"/>
            <w:shd w:val="clear" w:color="auto" w:fill="auto"/>
          </w:tcPr>
          <w:p w:rsidRPr="009B73E6" w:rsidR="001D43D9" w:rsidP="001D43D9" w:rsidRDefault="001D43D9" w14:paraId="56E7707A" w14:textId="77777777">
            <w:pPr>
              <w:rPr>
                <w:color w:val="000000"/>
                <w:sz w:val="18"/>
                <w:szCs w:val="18"/>
              </w:rPr>
            </w:pPr>
            <w:r w:rsidRPr="009B73E6">
              <w:rPr>
                <w:color w:val="000000"/>
                <w:sz w:val="18"/>
                <w:szCs w:val="18"/>
              </w:rPr>
              <w:t>HOPWA Competitive Application (including HUD-40110-B, narratives, and other requirements listed in the NOFA)</w:t>
            </w:r>
          </w:p>
        </w:tc>
        <w:tc>
          <w:tcPr>
            <w:tcW w:w="1260" w:type="dxa"/>
            <w:shd w:val="clear" w:color="auto" w:fill="auto"/>
            <w:vAlign w:val="center"/>
          </w:tcPr>
          <w:p w:rsidRPr="009B73E6" w:rsidR="001D43D9" w:rsidP="001D43D9" w:rsidRDefault="001D43D9" w14:paraId="07D2D682" w14:textId="14DAF2F0">
            <w:pPr>
              <w:pStyle w:val="NoSpacing"/>
              <w:jc w:val="right"/>
              <w:rPr>
                <w:sz w:val="18"/>
                <w:szCs w:val="18"/>
              </w:rPr>
            </w:pPr>
            <w:r w:rsidRPr="009B73E6">
              <w:rPr>
                <w:color w:val="000000"/>
                <w:sz w:val="18"/>
                <w:szCs w:val="18"/>
              </w:rPr>
              <w:t>40.00</w:t>
            </w:r>
          </w:p>
        </w:tc>
        <w:tc>
          <w:tcPr>
            <w:tcW w:w="1080" w:type="dxa"/>
            <w:shd w:val="clear" w:color="auto" w:fill="auto"/>
            <w:vAlign w:val="center"/>
          </w:tcPr>
          <w:p w:rsidRPr="009B73E6" w:rsidR="001D43D9" w:rsidP="001D43D9" w:rsidRDefault="001D43D9" w14:paraId="3E7BF911" w14:textId="4BB5807C">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350ED1BA" w14:textId="10E6AC87">
            <w:pPr>
              <w:pStyle w:val="NoSpacing"/>
              <w:jc w:val="right"/>
              <w:rPr>
                <w:sz w:val="18"/>
                <w:szCs w:val="18"/>
              </w:rPr>
            </w:pPr>
            <w:r w:rsidRPr="009B73E6">
              <w:rPr>
                <w:color w:val="000000"/>
                <w:sz w:val="18"/>
                <w:szCs w:val="18"/>
              </w:rPr>
              <w:t>40.00</w:t>
            </w:r>
          </w:p>
        </w:tc>
        <w:tc>
          <w:tcPr>
            <w:tcW w:w="1080" w:type="dxa"/>
            <w:shd w:val="clear" w:color="auto" w:fill="auto"/>
            <w:vAlign w:val="center"/>
          </w:tcPr>
          <w:p w:rsidRPr="009B73E6" w:rsidR="001D43D9" w:rsidP="001D43D9" w:rsidRDefault="001D43D9" w14:paraId="14908A2A" w14:textId="414D4D6D">
            <w:pPr>
              <w:pStyle w:val="NoSpacing"/>
              <w:jc w:val="right"/>
              <w:rPr>
                <w:sz w:val="18"/>
                <w:szCs w:val="18"/>
              </w:rPr>
            </w:pPr>
            <w:r w:rsidRPr="009B73E6">
              <w:rPr>
                <w:color w:val="000000"/>
                <w:sz w:val="18"/>
                <w:szCs w:val="18"/>
              </w:rPr>
              <w:t>45.00</w:t>
            </w:r>
          </w:p>
        </w:tc>
        <w:tc>
          <w:tcPr>
            <w:tcW w:w="1080" w:type="dxa"/>
            <w:shd w:val="clear" w:color="auto" w:fill="auto"/>
            <w:vAlign w:val="center"/>
          </w:tcPr>
          <w:p w:rsidRPr="009B73E6" w:rsidR="001D43D9" w:rsidP="001D43D9" w:rsidRDefault="001D43D9" w14:paraId="08112C93" w14:textId="13B7E850">
            <w:pPr>
              <w:pStyle w:val="NoSpacing"/>
              <w:jc w:val="right"/>
              <w:rPr>
                <w:sz w:val="18"/>
                <w:szCs w:val="18"/>
              </w:rPr>
            </w:pPr>
            <w:r w:rsidRPr="009B73E6">
              <w:rPr>
                <w:color w:val="000000"/>
                <w:sz w:val="18"/>
                <w:szCs w:val="18"/>
              </w:rPr>
              <w:t>1800.00</w:t>
            </w:r>
          </w:p>
        </w:tc>
        <w:tc>
          <w:tcPr>
            <w:tcW w:w="990" w:type="dxa"/>
            <w:vAlign w:val="center"/>
          </w:tcPr>
          <w:p w:rsidRPr="009B73E6" w:rsidR="001D43D9" w:rsidP="001D43D9" w:rsidRDefault="001D43D9" w14:paraId="15E7C98A" w14:textId="2E313E7E">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Del="00283F75" w:rsidP="001D43D9" w:rsidRDefault="001D43D9" w14:paraId="782B6734" w14:textId="0808ED52">
            <w:pPr>
              <w:pStyle w:val="NoSpacing"/>
              <w:jc w:val="right"/>
              <w:rPr>
                <w:sz w:val="18"/>
                <w:szCs w:val="18"/>
              </w:rPr>
            </w:pPr>
            <w:r w:rsidRPr="009B73E6">
              <w:rPr>
                <w:color w:val="000000"/>
                <w:sz w:val="18"/>
                <w:szCs w:val="18"/>
              </w:rPr>
              <w:t xml:space="preserve">$45,630.00 </w:t>
            </w:r>
          </w:p>
        </w:tc>
      </w:tr>
      <w:tr w:rsidRPr="009B73E6" w:rsidR="001D43D9" w:rsidTr="00A73D8E" w14:paraId="33CB0877" w14:textId="77777777">
        <w:tc>
          <w:tcPr>
            <w:tcW w:w="1957" w:type="dxa"/>
            <w:shd w:val="clear" w:color="auto" w:fill="auto"/>
          </w:tcPr>
          <w:p w:rsidRPr="009B73E6" w:rsidR="001D43D9" w:rsidP="001D43D9" w:rsidRDefault="001D43D9" w14:paraId="474098A2" w14:textId="77777777">
            <w:pPr>
              <w:rPr>
                <w:color w:val="000000"/>
                <w:sz w:val="18"/>
                <w:szCs w:val="18"/>
              </w:rPr>
            </w:pPr>
            <w:r w:rsidRPr="009B73E6">
              <w:rPr>
                <w:color w:val="000000"/>
                <w:sz w:val="18"/>
                <w:szCs w:val="18"/>
              </w:rPr>
              <w:t>HUD-40110-C Annual Progress Report (APR)</w:t>
            </w:r>
          </w:p>
        </w:tc>
        <w:tc>
          <w:tcPr>
            <w:tcW w:w="1260" w:type="dxa"/>
            <w:shd w:val="clear" w:color="auto" w:fill="auto"/>
            <w:vAlign w:val="center"/>
          </w:tcPr>
          <w:p w:rsidRPr="009B73E6" w:rsidR="001D43D9" w:rsidP="001D43D9" w:rsidRDefault="001D43D9" w14:paraId="142C5E03" w14:textId="05CA53F4">
            <w:pPr>
              <w:pStyle w:val="NoSpacing"/>
              <w:jc w:val="right"/>
              <w:rPr>
                <w:sz w:val="18"/>
                <w:szCs w:val="18"/>
              </w:rPr>
            </w:pPr>
            <w:r w:rsidRPr="009B73E6">
              <w:rPr>
                <w:color w:val="000000"/>
                <w:sz w:val="18"/>
                <w:szCs w:val="18"/>
              </w:rPr>
              <w:t>116.00</w:t>
            </w:r>
          </w:p>
        </w:tc>
        <w:tc>
          <w:tcPr>
            <w:tcW w:w="1080" w:type="dxa"/>
            <w:shd w:val="clear" w:color="auto" w:fill="auto"/>
            <w:vAlign w:val="center"/>
          </w:tcPr>
          <w:p w:rsidRPr="009B73E6" w:rsidR="001D43D9" w:rsidP="001D43D9" w:rsidRDefault="001D43D9" w14:paraId="051F66CB" w14:textId="236DB85E">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20B73B16" w14:textId="213E9F1A">
            <w:pPr>
              <w:pStyle w:val="NoSpacing"/>
              <w:jc w:val="right"/>
              <w:rPr>
                <w:sz w:val="18"/>
                <w:szCs w:val="18"/>
              </w:rPr>
            </w:pPr>
            <w:r w:rsidRPr="009B73E6">
              <w:rPr>
                <w:color w:val="000000"/>
                <w:sz w:val="18"/>
                <w:szCs w:val="18"/>
              </w:rPr>
              <w:t>116.00</w:t>
            </w:r>
          </w:p>
        </w:tc>
        <w:tc>
          <w:tcPr>
            <w:tcW w:w="1080" w:type="dxa"/>
            <w:shd w:val="clear" w:color="auto" w:fill="auto"/>
            <w:vAlign w:val="center"/>
          </w:tcPr>
          <w:p w:rsidRPr="009B73E6" w:rsidR="001D43D9" w:rsidP="001D43D9" w:rsidRDefault="001D43D9" w14:paraId="30627D74" w14:textId="5E43D3AC">
            <w:pPr>
              <w:pStyle w:val="NoSpacing"/>
              <w:jc w:val="right"/>
              <w:rPr>
                <w:sz w:val="18"/>
                <w:szCs w:val="18"/>
              </w:rPr>
            </w:pPr>
            <w:r w:rsidRPr="009B73E6">
              <w:rPr>
                <w:color w:val="000000"/>
                <w:sz w:val="18"/>
                <w:szCs w:val="18"/>
              </w:rPr>
              <w:t>55.00</w:t>
            </w:r>
          </w:p>
        </w:tc>
        <w:tc>
          <w:tcPr>
            <w:tcW w:w="1080" w:type="dxa"/>
            <w:shd w:val="clear" w:color="auto" w:fill="auto"/>
            <w:vAlign w:val="center"/>
          </w:tcPr>
          <w:p w:rsidRPr="009B73E6" w:rsidR="001D43D9" w:rsidP="001D43D9" w:rsidRDefault="001D43D9" w14:paraId="4D73A966" w14:textId="04118BE4">
            <w:pPr>
              <w:pStyle w:val="NoSpacing"/>
              <w:jc w:val="right"/>
              <w:rPr>
                <w:sz w:val="18"/>
                <w:szCs w:val="18"/>
              </w:rPr>
            </w:pPr>
            <w:r w:rsidRPr="009B73E6">
              <w:rPr>
                <w:color w:val="000000"/>
                <w:sz w:val="18"/>
                <w:szCs w:val="18"/>
              </w:rPr>
              <w:t>6380.00</w:t>
            </w:r>
          </w:p>
        </w:tc>
        <w:tc>
          <w:tcPr>
            <w:tcW w:w="990" w:type="dxa"/>
            <w:vAlign w:val="center"/>
          </w:tcPr>
          <w:p w:rsidRPr="009B73E6" w:rsidR="001D43D9" w:rsidP="001D43D9" w:rsidRDefault="001D43D9" w14:paraId="69369B39" w14:textId="62BC747A">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6EEDCC7F" w14:textId="48A49D95">
            <w:pPr>
              <w:pStyle w:val="NoSpacing"/>
              <w:jc w:val="right"/>
              <w:rPr>
                <w:sz w:val="18"/>
                <w:szCs w:val="18"/>
              </w:rPr>
            </w:pPr>
            <w:r w:rsidRPr="009B73E6">
              <w:rPr>
                <w:color w:val="000000"/>
                <w:sz w:val="18"/>
                <w:szCs w:val="18"/>
              </w:rPr>
              <w:t xml:space="preserve">$161,733.00 </w:t>
            </w:r>
          </w:p>
        </w:tc>
      </w:tr>
      <w:tr w:rsidRPr="009B73E6" w:rsidR="001D43D9" w:rsidTr="00A73D8E" w14:paraId="42DA5FF9" w14:textId="77777777">
        <w:tc>
          <w:tcPr>
            <w:tcW w:w="1957" w:type="dxa"/>
            <w:shd w:val="clear" w:color="auto" w:fill="auto"/>
          </w:tcPr>
          <w:p w:rsidRPr="009B73E6" w:rsidR="001D43D9" w:rsidP="001D43D9" w:rsidRDefault="001D43D9" w14:paraId="0F109F77" w14:textId="77777777">
            <w:pPr>
              <w:rPr>
                <w:color w:val="000000"/>
                <w:sz w:val="18"/>
                <w:szCs w:val="18"/>
              </w:rPr>
            </w:pPr>
            <w:r w:rsidRPr="009B73E6">
              <w:rPr>
                <w:color w:val="000000"/>
                <w:sz w:val="18"/>
                <w:szCs w:val="18"/>
              </w:rPr>
              <w:t>HUD-40110-D Consolidated Annual Performance and Evaluation Report (CAPER)</w:t>
            </w:r>
          </w:p>
        </w:tc>
        <w:tc>
          <w:tcPr>
            <w:tcW w:w="1260" w:type="dxa"/>
            <w:shd w:val="clear" w:color="auto" w:fill="auto"/>
            <w:vAlign w:val="center"/>
          </w:tcPr>
          <w:p w:rsidRPr="009B73E6" w:rsidR="001D43D9" w:rsidP="001D43D9" w:rsidRDefault="001D43D9" w14:paraId="0BC250BB" w14:textId="1DA6C3F2">
            <w:pPr>
              <w:pStyle w:val="NoSpacing"/>
              <w:jc w:val="right"/>
              <w:rPr>
                <w:sz w:val="18"/>
                <w:szCs w:val="18"/>
              </w:rPr>
            </w:pPr>
            <w:r w:rsidRPr="009B73E6">
              <w:rPr>
                <w:color w:val="000000"/>
                <w:sz w:val="18"/>
                <w:szCs w:val="18"/>
              </w:rPr>
              <w:t>128.00</w:t>
            </w:r>
          </w:p>
        </w:tc>
        <w:tc>
          <w:tcPr>
            <w:tcW w:w="1080" w:type="dxa"/>
            <w:shd w:val="clear" w:color="auto" w:fill="auto"/>
            <w:vAlign w:val="center"/>
          </w:tcPr>
          <w:p w:rsidRPr="009B73E6" w:rsidR="001D43D9" w:rsidP="001D43D9" w:rsidRDefault="001D43D9" w14:paraId="389FC7C3" w14:textId="22DA6AFC">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64BF55A9" w14:textId="3255789B">
            <w:pPr>
              <w:pStyle w:val="NoSpacing"/>
              <w:jc w:val="right"/>
              <w:rPr>
                <w:sz w:val="18"/>
                <w:szCs w:val="18"/>
              </w:rPr>
            </w:pPr>
            <w:r w:rsidRPr="009B73E6">
              <w:rPr>
                <w:color w:val="000000"/>
                <w:sz w:val="18"/>
                <w:szCs w:val="18"/>
              </w:rPr>
              <w:t>128.00</w:t>
            </w:r>
          </w:p>
        </w:tc>
        <w:tc>
          <w:tcPr>
            <w:tcW w:w="1080" w:type="dxa"/>
            <w:shd w:val="clear" w:color="auto" w:fill="auto"/>
            <w:vAlign w:val="center"/>
          </w:tcPr>
          <w:p w:rsidRPr="009B73E6" w:rsidR="001D43D9" w:rsidP="001D43D9" w:rsidRDefault="001D43D9" w14:paraId="1B461BB9" w14:textId="767D5AA2">
            <w:pPr>
              <w:pStyle w:val="NoSpacing"/>
              <w:jc w:val="right"/>
              <w:rPr>
                <w:sz w:val="18"/>
                <w:szCs w:val="18"/>
              </w:rPr>
            </w:pPr>
            <w:r w:rsidRPr="009B73E6">
              <w:rPr>
                <w:color w:val="000000"/>
                <w:sz w:val="18"/>
                <w:szCs w:val="18"/>
              </w:rPr>
              <w:t>41.00</w:t>
            </w:r>
          </w:p>
        </w:tc>
        <w:tc>
          <w:tcPr>
            <w:tcW w:w="1080" w:type="dxa"/>
            <w:shd w:val="clear" w:color="auto" w:fill="auto"/>
            <w:vAlign w:val="center"/>
          </w:tcPr>
          <w:p w:rsidRPr="009B73E6" w:rsidR="001D43D9" w:rsidP="001D43D9" w:rsidRDefault="001D43D9" w14:paraId="6BA24E30" w14:textId="37667DD6">
            <w:pPr>
              <w:pStyle w:val="NoSpacing"/>
              <w:jc w:val="right"/>
              <w:rPr>
                <w:sz w:val="18"/>
                <w:szCs w:val="18"/>
              </w:rPr>
            </w:pPr>
            <w:r w:rsidRPr="009B73E6">
              <w:rPr>
                <w:color w:val="000000"/>
                <w:sz w:val="18"/>
                <w:szCs w:val="18"/>
              </w:rPr>
              <w:t>5248.00</w:t>
            </w:r>
          </w:p>
        </w:tc>
        <w:tc>
          <w:tcPr>
            <w:tcW w:w="990" w:type="dxa"/>
            <w:vAlign w:val="center"/>
          </w:tcPr>
          <w:p w:rsidRPr="009B73E6" w:rsidR="001D43D9" w:rsidP="001D43D9" w:rsidRDefault="001D43D9" w14:paraId="4C9E7A4D" w14:textId="64E38D59">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76C6C758" w14:textId="4361E1A7">
            <w:pPr>
              <w:pStyle w:val="NoSpacing"/>
              <w:jc w:val="right"/>
              <w:rPr>
                <w:sz w:val="18"/>
                <w:szCs w:val="18"/>
              </w:rPr>
            </w:pPr>
            <w:r w:rsidRPr="009B73E6">
              <w:rPr>
                <w:color w:val="000000"/>
                <w:sz w:val="18"/>
                <w:szCs w:val="18"/>
              </w:rPr>
              <w:t xml:space="preserve">$133,036.80 </w:t>
            </w:r>
          </w:p>
        </w:tc>
      </w:tr>
      <w:tr w:rsidRPr="009B73E6" w:rsidR="001D43D9" w:rsidTr="00A73D8E" w14:paraId="27A88C31" w14:textId="77777777">
        <w:tc>
          <w:tcPr>
            <w:tcW w:w="1957" w:type="dxa"/>
            <w:shd w:val="clear" w:color="auto" w:fill="auto"/>
          </w:tcPr>
          <w:p w:rsidRPr="009B73E6" w:rsidR="001D43D9" w:rsidP="001D43D9" w:rsidRDefault="001D43D9" w14:paraId="409354FF" w14:textId="0815DBEF">
            <w:pPr>
              <w:rPr>
                <w:color w:val="000000"/>
                <w:sz w:val="18"/>
                <w:szCs w:val="18"/>
              </w:rPr>
            </w:pPr>
            <w:r w:rsidRPr="009B73E6">
              <w:rPr>
                <w:color w:val="000000"/>
                <w:sz w:val="18"/>
                <w:szCs w:val="18"/>
              </w:rPr>
              <w:t>HIV Housing Care Continuum Model Report (new competitive SPNS grant only)</w:t>
            </w:r>
          </w:p>
        </w:tc>
        <w:tc>
          <w:tcPr>
            <w:tcW w:w="1260" w:type="dxa"/>
            <w:shd w:val="clear" w:color="auto" w:fill="auto"/>
            <w:vAlign w:val="center"/>
          </w:tcPr>
          <w:p w:rsidRPr="009B73E6" w:rsidR="001D43D9" w:rsidP="001D43D9" w:rsidRDefault="001D43D9" w14:paraId="6F309167" w14:textId="6FC767CC">
            <w:pPr>
              <w:pStyle w:val="NoSpacing"/>
              <w:jc w:val="right"/>
              <w:rPr>
                <w:sz w:val="18"/>
                <w:szCs w:val="18"/>
              </w:rPr>
            </w:pPr>
            <w:r w:rsidRPr="009B73E6">
              <w:rPr>
                <w:color w:val="000000"/>
                <w:sz w:val="18"/>
                <w:szCs w:val="18"/>
              </w:rPr>
              <w:t>26.00</w:t>
            </w:r>
          </w:p>
        </w:tc>
        <w:tc>
          <w:tcPr>
            <w:tcW w:w="1080" w:type="dxa"/>
            <w:shd w:val="clear" w:color="auto" w:fill="auto"/>
            <w:vAlign w:val="center"/>
          </w:tcPr>
          <w:p w:rsidRPr="009B73E6" w:rsidR="001D43D9" w:rsidP="001D43D9" w:rsidRDefault="001D43D9" w14:paraId="3547034C" w14:textId="4FE5E3E9">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00563D3A" w14:textId="41654393">
            <w:pPr>
              <w:pStyle w:val="NoSpacing"/>
              <w:jc w:val="right"/>
              <w:rPr>
                <w:sz w:val="18"/>
                <w:szCs w:val="18"/>
              </w:rPr>
            </w:pPr>
            <w:r w:rsidRPr="009B73E6">
              <w:rPr>
                <w:color w:val="000000"/>
                <w:sz w:val="18"/>
                <w:szCs w:val="18"/>
              </w:rPr>
              <w:t>26.00</w:t>
            </w:r>
          </w:p>
        </w:tc>
        <w:tc>
          <w:tcPr>
            <w:tcW w:w="1080" w:type="dxa"/>
            <w:shd w:val="clear" w:color="auto" w:fill="auto"/>
            <w:vAlign w:val="center"/>
          </w:tcPr>
          <w:p w:rsidRPr="009B73E6" w:rsidR="001D43D9" w:rsidP="001D43D9" w:rsidRDefault="001D43D9" w14:paraId="0777798B" w14:textId="64DE47C0">
            <w:pPr>
              <w:pStyle w:val="NoSpacing"/>
              <w:jc w:val="right"/>
              <w:rPr>
                <w:sz w:val="18"/>
                <w:szCs w:val="18"/>
              </w:rPr>
            </w:pPr>
            <w:r w:rsidRPr="009B73E6">
              <w:rPr>
                <w:color w:val="000000"/>
                <w:sz w:val="18"/>
                <w:szCs w:val="18"/>
              </w:rPr>
              <w:t>20.00</w:t>
            </w:r>
          </w:p>
        </w:tc>
        <w:tc>
          <w:tcPr>
            <w:tcW w:w="1080" w:type="dxa"/>
            <w:shd w:val="clear" w:color="auto" w:fill="auto"/>
            <w:vAlign w:val="center"/>
          </w:tcPr>
          <w:p w:rsidRPr="009B73E6" w:rsidR="001D43D9" w:rsidP="001D43D9" w:rsidRDefault="001D43D9" w14:paraId="0D7E8811" w14:textId="3E73796D">
            <w:pPr>
              <w:pStyle w:val="NoSpacing"/>
              <w:jc w:val="right"/>
              <w:rPr>
                <w:sz w:val="18"/>
                <w:szCs w:val="18"/>
              </w:rPr>
            </w:pPr>
            <w:r w:rsidRPr="009B73E6">
              <w:rPr>
                <w:color w:val="000000"/>
                <w:sz w:val="18"/>
                <w:szCs w:val="18"/>
              </w:rPr>
              <w:t>520.00</w:t>
            </w:r>
          </w:p>
        </w:tc>
        <w:tc>
          <w:tcPr>
            <w:tcW w:w="990" w:type="dxa"/>
            <w:vAlign w:val="center"/>
          </w:tcPr>
          <w:p w:rsidRPr="009B73E6" w:rsidR="001D43D9" w:rsidP="001D43D9" w:rsidRDefault="001D43D9" w14:paraId="4A36A95D" w14:textId="1ED4B006">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2E0C4464" w14:textId="02AE962F">
            <w:pPr>
              <w:pStyle w:val="NoSpacing"/>
              <w:jc w:val="right"/>
              <w:rPr>
                <w:sz w:val="18"/>
                <w:szCs w:val="18"/>
              </w:rPr>
            </w:pPr>
            <w:r w:rsidRPr="009B73E6">
              <w:rPr>
                <w:color w:val="000000"/>
                <w:sz w:val="18"/>
                <w:szCs w:val="18"/>
              </w:rPr>
              <w:t xml:space="preserve">$13,182.00 </w:t>
            </w:r>
          </w:p>
        </w:tc>
      </w:tr>
      <w:tr w:rsidRPr="009B73E6" w:rsidR="001D43D9" w:rsidTr="00A73D8E" w14:paraId="2A3079B3" w14:textId="77777777">
        <w:tc>
          <w:tcPr>
            <w:tcW w:w="1957" w:type="dxa"/>
            <w:shd w:val="clear" w:color="auto" w:fill="auto"/>
          </w:tcPr>
          <w:p w:rsidRPr="009B73E6" w:rsidR="001D43D9" w:rsidP="001D43D9" w:rsidRDefault="001D43D9" w14:paraId="51CA3CE6" w14:textId="1317D451">
            <w:pPr>
              <w:rPr>
                <w:color w:val="000000"/>
                <w:sz w:val="18"/>
                <w:szCs w:val="18"/>
              </w:rPr>
            </w:pPr>
            <w:r w:rsidRPr="009B73E6">
              <w:rPr>
                <w:color w:val="000000"/>
                <w:sz w:val="18"/>
                <w:szCs w:val="18"/>
              </w:rPr>
              <w:t>Housing as an Intervention to Fight AIDS (HIFA) Model Report (new competitive SPNS grant only)</w:t>
            </w:r>
          </w:p>
        </w:tc>
        <w:tc>
          <w:tcPr>
            <w:tcW w:w="1260" w:type="dxa"/>
            <w:shd w:val="clear" w:color="auto" w:fill="auto"/>
            <w:vAlign w:val="center"/>
          </w:tcPr>
          <w:p w:rsidRPr="009B73E6" w:rsidR="001D43D9" w:rsidP="001D43D9" w:rsidRDefault="001D43D9" w14:paraId="568F2C01" w14:textId="352F50C6">
            <w:pPr>
              <w:pStyle w:val="NoSpacing"/>
              <w:jc w:val="right"/>
              <w:rPr>
                <w:sz w:val="18"/>
                <w:szCs w:val="18"/>
              </w:rPr>
            </w:pPr>
            <w:r w:rsidRPr="009B73E6">
              <w:rPr>
                <w:color w:val="000000"/>
                <w:sz w:val="18"/>
                <w:szCs w:val="18"/>
              </w:rPr>
              <w:t>26.00</w:t>
            </w:r>
          </w:p>
        </w:tc>
        <w:tc>
          <w:tcPr>
            <w:tcW w:w="1080" w:type="dxa"/>
            <w:shd w:val="clear" w:color="auto" w:fill="auto"/>
            <w:vAlign w:val="center"/>
          </w:tcPr>
          <w:p w:rsidRPr="009B73E6" w:rsidR="001D43D9" w:rsidP="001D43D9" w:rsidRDefault="001D43D9" w14:paraId="4D980425" w14:textId="733A87E7">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5BE3DADA" w14:textId="277CB02A">
            <w:pPr>
              <w:pStyle w:val="NoSpacing"/>
              <w:jc w:val="right"/>
              <w:rPr>
                <w:sz w:val="18"/>
                <w:szCs w:val="18"/>
              </w:rPr>
            </w:pPr>
            <w:r w:rsidRPr="009B73E6">
              <w:rPr>
                <w:color w:val="000000"/>
                <w:sz w:val="18"/>
                <w:szCs w:val="18"/>
              </w:rPr>
              <w:t>26.00</w:t>
            </w:r>
          </w:p>
        </w:tc>
        <w:tc>
          <w:tcPr>
            <w:tcW w:w="1080" w:type="dxa"/>
            <w:shd w:val="clear" w:color="auto" w:fill="auto"/>
            <w:vAlign w:val="center"/>
          </w:tcPr>
          <w:p w:rsidRPr="009B73E6" w:rsidR="001D43D9" w:rsidP="001D43D9" w:rsidRDefault="001D43D9" w14:paraId="4F4FCE1D" w14:textId="757F0FD9">
            <w:pPr>
              <w:pStyle w:val="NoSpacing"/>
              <w:jc w:val="right"/>
              <w:rPr>
                <w:sz w:val="18"/>
                <w:szCs w:val="18"/>
              </w:rPr>
            </w:pPr>
            <w:r w:rsidRPr="009B73E6">
              <w:rPr>
                <w:color w:val="000000"/>
                <w:sz w:val="18"/>
                <w:szCs w:val="18"/>
              </w:rPr>
              <w:t>40.00</w:t>
            </w:r>
          </w:p>
        </w:tc>
        <w:tc>
          <w:tcPr>
            <w:tcW w:w="1080" w:type="dxa"/>
            <w:shd w:val="clear" w:color="auto" w:fill="auto"/>
            <w:vAlign w:val="center"/>
          </w:tcPr>
          <w:p w:rsidRPr="009B73E6" w:rsidR="001D43D9" w:rsidP="001D43D9" w:rsidRDefault="001D43D9" w14:paraId="43A2FE1C" w14:textId="268FFACF">
            <w:pPr>
              <w:pStyle w:val="NoSpacing"/>
              <w:jc w:val="right"/>
              <w:rPr>
                <w:sz w:val="18"/>
                <w:szCs w:val="18"/>
              </w:rPr>
            </w:pPr>
            <w:r w:rsidRPr="009B73E6">
              <w:rPr>
                <w:color w:val="000000"/>
                <w:sz w:val="18"/>
                <w:szCs w:val="18"/>
              </w:rPr>
              <w:t>1040.00</w:t>
            </w:r>
          </w:p>
        </w:tc>
        <w:tc>
          <w:tcPr>
            <w:tcW w:w="990" w:type="dxa"/>
            <w:vAlign w:val="center"/>
          </w:tcPr>
          <w:p w:rsidRPr="009B73E6" w:rsidR="001D43D9" w:rsidP="001D43D9" w:rsidRDefault="001D43D9" w14:paraId="5EFB4E43" w14:textId="4A567342">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69F6553A" w14:textId="4FD11CC5">
            <w:pPr>
              <w:pStyle w:val="NoSpacing"/>
              <w:jc w:val="right"/>
              <w:rPr>
                <w:sz w:val="18"/>
                <w:szCs w:val="18"/>
              </w:rPr>
            </w:pPr>
            <w:r w:rsidRPr="009B73E6">
              <w:rPr>
                <w:color w:val="000000"/>
                <w:sz w:val="18"/>
                <w:szCs w:val="18"/>
              </w:rPr>
              <w:t xml:space="preserve">$26,364.00 </w:t>
            </w:r>
          </w:p>
        </w:tc>
      </w:tr>
      <w:tr w:rsidRPr="009B73E6" w:rsidR="001D43D9" w:rsidTr="00A73D8E" w14:paraId="07B47C85" w14:textId="77777777">
        <w:tc>
          <w:tcPr>
            <w:tcW w:w="1957" w:type="dxa"/>
            <w:shd w:val="clear" w:color="auto" w:fill="auto"/>
          </w:tcPr>
          <w:p w:rsidRPr="009B73E6" w:rsidR="001D43D9" w:rsidP="001D43D9" w:rsidRDefault="001D43D9" w14:paraId="4EA0A79A" w14:textId="77777777">
            <w:pPr>
              <w:rPr>
                <w:color w:val="000000"/>
                <w:sz w:val="18"/>
                <w:szCs w:val="18"/>
              </w:rPr>
            </w:pPr>
            <w:r w:rsidRPr="009B73E6">
              <w:rPr>
                <w:color w:val="000000"/>
                <w:sz w:val="18"/>
                <w:szCs w:val="18"/>
              </w:rPr>
              <w:t>Recordkeeping for Competitive, Renewal, and Formula Grantees</w:t>
            </w:r>
          </w:p>
        </w:tc>
        <w:tc>
          <w:tcPr>
            <w:tcW w:w="1260" w:type="dxa"/>
            <w:shd w:val="clear" w:color="auto" w:fill="auto"/>
            <w:vAlign w:val="center"/>
          </w:tcPr>
          <w:p w:rsidRPr="009B73E6" w:rsidR="001D43D9" w:rsidDel="00283F75" w:rsidP="001D43D9" w:rsidRDefault="001D43D9" w14:paraId="044A981D" w14:textId="7D3DB0A7">
            <w:pPr>
              <w:pStyle w:val="NoSpacing"/>
              <w:jc w:val="right"/>
              <w:rPr>
                <w:sz w:val="18"/>
                <w:szCs w:val="18"/>
              </w:rPr>
            </w:pPr>
            <w:r w:rsidRPr="009B73E6">
              <w:rPr>
                <w:color w:val="000000"/>
                <w:sz w:val="18"/>
                <w:szCs w:val="18"/>
              </w:rPr>
              <w:t>244.00</w:t>
            </w:r>
          </w:p>
        </w:tc>
        <w:tc>
          <w:tcPr>
            <w:tcW w:w="1080" w:type="dxa"/>
            <w:shd w:val="clear" w:color="auto" w:fill="auto"/>
            <w:vAlign w:val="center"/>
          </w:tcPr>
          <w:p w:rsidRPr="009B73E6" w:rsidR="001D43D9" w:rsidP="001D43D9" w:rsidRDefault="001D43D9" w14:paraId="3CBA49DB" w14:textId="1038166C">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Del="00283F75" w:rsidP="001D43D9" w:rsidRDefault="001D43D9" w14:paraId="51B02EAC" w14:textId="6B3393FC">
            <w:pPr>
              <w:pStyle w:val="NoSpacing"/>
              <w:jc w:val="right"/>
              <w:rPr>
                <w:sz w:val="18"/>
                <w:szCs w:val="18"/>
              </w:rPr>
            </w:pPr>
            <w:r w:rsidRPr="009B73E6">
              <w:rPr>
                <w:color w:val="000000"/>
                <w:sz w:val="18"/>
                <w:szCs w:val="18"/>
              </w:rPr>
              <w:t>244.00</w:t>
            </w:r>
          </w:p>
        </w:tc>
        <w:tc>
          <w:tcPr>
            <w:tcW w:w="1080" w:type="dxa"/>
            <w:shd w:val="clear" w:color="auto" w:fill="auto"/>
            <w:vAlign w:val="center"/>
          </w:tcPr>
          <w:p w:rsidRPr="009B73E6" w:rsidR="001D43D9" w:rsidP="001D43D9" w:rsidRDefault="001D43D9" w14:paraId="6EFB6DB3" w14:textId="4CBD6B67">
            <w:pPr>
              <w:pStyle w:val="NoSpacing"/>
              <w:jc w:val="right"/>
              <w:rPr>
                <w:sz w:val="18"/>
                <w:szCs w:val="18"/>
              </w:rPr>
            </w:pPr>
            <w:r w:rsidRPr="009B73E6">
              <w:rPr>
                <w:color w:val="000000"/>
                <w:sz w:val="18"/>
                <w:szCs w:val="18"/>
              </w:rPr>
              <w:t>60.00</w:t>
            </w:r>
          </w:p>
        </w:tc>
        <w:tc>
          <w:tcPr>
            <w:tcW w:w="1080" w:type="dxa"/>
            <w:shd w:val="clear" w:color="auto" w:fill="auto"/>
            <w:vAlign w:val="center"/>
          </w:tcPr>
          <w:p w:rsidRPr="009B73E6" w:rsidR="001D43D9" w:rsidP="001D43D9" w:rsidRDefault="001D43D9" w14:paraId="3EAC577A" w14:textId="6AD977AF">
            <w:pPr>
              <w:pStyle w:val="NoSpacing"/>
              <w:jc w:val="right"/>
              <w:rPr>
                <w:sz w:val="18"/>
                <w:szCs w:val="18"/>
              </w:rPr>
            </w:pPr>
            <w:r w:rsidRPr="009B73E6">
              <w:rPr>
                <w:color w:val="000000"/>
                <w:sz w:val="18"/>
                <w:szCs w:val="18"/>
              </w:rPr>
              <w:t>14640.00</w:t>
            </w:r>
          </w:p>
        </w:tc>
        <w:tc>
          <w:tcPr>
            <w:tcW w:w="990" w:type="dxa"/>
            <w:vAlign w:val="center"/>
          </w:tcPr>
          <w:p w:rsidRPr="009B73E6" w:rsidR="001D43D9" w:rsidP="001D43D9" w:rsidRDefault="001D43D9" w14:paraId="74A4A913" w14:textId="361F5350">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6BF74239" w14:textId="2F5C92A4">
            <w:pPr>
              <w:pStyle w:val="NoSpacing"/>
              <w:jc w:val="right"/>
              <w:rPr>
                <w:sz w:val="18"/>
                <w:szCs w:val="18"/>
              </w:rPr>
            </w:pPr>
            <w:r w:rsidRPr="009B73E6">
              <w:rPr>
                <w:color w:val="000000"/>
                <w:sz w:val="18"/>
                <w:szCs w:val="18"/>
              </w:rPr>
              <w:t xml:space="preserve">$371,124.00 </w:t>
            </w:r>
          </w:p>
        </w:tc>
      </w:tr>
      <w:tr w:rsidRPr="009B73E6" w:rsidR="001D43D9" w:rsidTr="00A73D8E" w14:paraId="4E2402FF" w14:textId="77777777">
        <w:tc>
          <w:tcPr>
            <w:tcW w:w="1957" w:type="dxa"/>
            <w:shd w:val="clear" w:color="auto" w:fill="auto"/>
          </w:tcPr>
          <w:p w:rsidRPr="009B73E6" w:rsidR="001D43D9" w:rsidP="001D43D9" w:rsidRDefault="001D43D9" w14:paraId="3219BEE1" w14:textId="77777777">
            <w:pPr>
              <w:rPr>
                <w:color w:val="000000"/>
                <w:sz w:val="18"/>
                <w:szCs w:val="18"/>
              </w:rPr>
            </w:pPr>
            <w:r w:rsidRPr="009B73E6">
              <w:rPr>
                <w:color w:val="000000"/>
                <w:sz w:val="18"/>
                <w:szCs w:val="18"/>
              </w:rPr>
              <w:t>Grant Amendments (budget change, extension, or early termination)</w:t>
            </w:r>
          </w:p>
        </w:tc>
        <w:tc>
          <w:tcPr>
            <w:tcW w:w="1260" w:type="dxa"/>
            <w:shd w:val="clear" w:color="auto" w:fill="auto"/>
            <w:vAlign w:val="center"/>
          </w:tcPr>
          <w:p w:rsidRPr="009B73E6" w:rsidR="001D43D9" w:rsidP="001D43D9" w:rsidRDefault="001D43D9" w14:paraId="20BC78EF" w14:textId="51F24C9E">
            <w:pPr>
              <w:pStyle w:val="NoSpacing"/>
              <w:jc w:val="right"/>
              <w:rPr>
                <w:sz w:val="18"/>
                <w:szCs w:val="18"/>
              </w:rPr>
            </w:pPr>
            <w:r w:rsidRPr="009B73E6">
              <w:rPr>
                <w:color w:val="000000"/>
                <w:sz w:val="18"/>
                <w:szCs w:val="18"/>
              </w:rPr>
              <w:t>30.00</w:t>
            </w:r>
          </w:p>
        </w:tc>
        <w:tc>
          <w:tcPr>
            <w:tcW w:w="1080" w:type="dxa"/>
            <w:shd w:val="clear" w:color="auto" w:fill="auto"/>
            <w:vAlign w:val="center"/>
          </w:tcPr>
          <w:p w:rsidRPr="009B73E6" w:rsidR="001D43D9" w:rsidP="001D43D9" w:rsidRDefault="001D43D9" w14:paraId="79782F54" w14:textId="546202EE">
            <w:pPr>
              <w:pStyle w:val="NoSpacing"/>
              <w:jc w:val="right"/>
              <w:rPr>
                <w:sz w:val="18"/>
                <w:szCs w:val="18"/>
              </w:rPr>
            </w:pPr>
            <w:r w:rsidRPr="009B73E6">
              <w:rPr>
                <w:color w:val="000000"/>
                <w:sz w:val="18"/>
                <w:szCs w:val="18"/>
              </w:rPr>
              <w:t>1.00</w:t>
            </w:r>
          </w:p>
        </w:tc>
        <w:tc>
          <w:tcPr>
            <w:tcW w:w="1170" w:type="dxa"/>
            <w:shd w:val="clear" w:color="auto" w:fill="auto"/>
            <w:vAlign w:val="center"/>
          </w:tcPr>
          <w:p w:rsidRPr="009B73E6" w:rsidR="001D43D9" w:rsidP="001D43D9" w:rsidRDefault="001D43D9" w14:paraId="12BCA6CC" w14:textId="4ACC157D">
            <w:pPr>
              <w:pStyle w:val="NoSpacing"/>
              <w:jc w:val="right"/>
              <w:rPr>
                <w:sz w:val="18"/>
                <w:szCs w:val="18"/>
              </w:rPr>
            </w:pPr>
            <w:r w:rsidRPr="009B73E6">
              <w:rPr>
                <w:color w:val="000000"/>
                <w:sz w:val="18"/>
                <w:szCs w:val="18"/>
              </w:rPr>
              <w:t>30.00</w:t>
            </w:r>
          </w:p>
        </w:tc>
        <w:tc>
          <w:tcPr>
            <w:tcW w:w="1080" w:type="dxa"/>
            <w:shd w:val="clear" w:color="auto" w:fill="auto"/>
            <w:vAlign w:val="center"/>
          </w:tcPr>
          <w:p w:rsidRPr="009B73E6" w:rsidR="001D43D9" w:rsidP="001D43D9" w:rsidRDefault="001D43D9" w14:paraId="6A57AE8F" w14:textId="35CA0E2A">
            <w:pPr>
              <w:pStyle w:val="NoSpacing"/>
              <w:jc w:val="right"/>
              <w:rPr>
                <w:sz w:val="18"/>
                <w:szCs w:val="18"/>
              </w:rPr>
            </w:pPr>
            <w:r w:rsidRPr="009B73E6">
              <w:rPr>
                <w:color w:val="000000"/>
                <w:sz w:val="18"/>
                <w:szCs w:val="18"/>
              </w:rPr>
              <w:t>6.00</w:t>
            </w:r>
          </w:p>
        </w:tc>
        <w:tc>
          <w:tcPr>
            <w:tcW w:w="1080" w:type="dxa"/>
            <w:shd w:val="clear" w:color="auto" w:fill="auto"/>
            <w:vAlign w:val="center"/>
          </w:tcPr>
          <w:p w:rsidRPr="009B73E6" w:rsidR="001D43D9" w:rsidP="001D43D9" w:rsidRDefault="001D43D9" w14:paraId="40D0849B" w14:textId="2283BF7F">
            <w:pPr>
              <w:pStyle w:val="NoSpacing"/>
              <w:jc w:val="right"/>
              <w:rPr>
                <w:sz w:val="18"/>
                <w:szCs w:val="18"/>
              </w:rPr>
            </w:pPr>
            <w:r w:rsidRPr="009B73E6">
              <w:rPr>
                <w:color w:val="000000"/>
                <w:sz w:val="18"/>
                <w:szCs w:val="18"/>
              </w:rPr>
              <w:t>180.00</w:t>
            </w:r>
          </w:p>
        </w:tc>
        <w:tc>
          <w:tcPr>
            <w:tcW w:w="990" w:type="dxa"/>
            <w:vAlign w:val="center"/>
          </w:tcPr>
          <w:p w:rsidRPr="009B73E6" w:rsidR="001D43D9" w:rsidP="001D43D9" w:rsidRDefault="001D43D9" w14:paraId="1A7C144A" w14:textId="7BA11270">
            <w:pPr>
              <w:pStyle w:val="NoSpacing"/>
              <w:jc w:val="right"/>
              <w:rPr>
                <w:sz w:val="18"/>
                <w:szCs w:val="18"/>
              </w:rPr>
            </w:pPr>
            <w:r w:rsidRPr="009B73E6">
              <w:rPr>
                <w:color w:val="000000"/>
                <w:sz w:val="18"/>
                <w:szCs w:val="18"/>
              </w:rPr>
              <w:t xml:space="preserve">$25.35 </w:t>
            </w:r>
          </w:p>
        </w:tc>
        <w:tc>
          <w:tcPr>
            <w:tcW w:w="1350" w:type="dxa"/>
            <w:vAlign w:val="center"/>
          </w:tcPr>
          <w:p w:rsidRPr="009B73E6" w:rsidR="001D43D9" w:rsidP="001D43D9" w:rsidRDefault="001D43D9" w14:paraId="25231687" w14:textId="470DADA2">
            <w:pPr>
              <w:pStyle w:val="NoSpacing"/>
              <w:jc w:val="right"/>
              <w:rPr>
                <w:sz w:val="18"/>
                <w:szCs w:val="18"/>
              </w:rPr>
            </w:pPr>
            <w:r w:rsidRPr="009B73E6">
              <w:rPr>
                <w:color w:val="000000"/>
                <w:sz w:val="18"/>
                <w:szCs w:val="18"/>
              </w:rPr>
              <w:t xml:space="preserve">$4,563.00 </w:t>
            </w:r>
          </w:p>
        </w:tc>
      </w:tr>
      <w:tr w:rsidRPr="009B73E6" w:rsidR="001D43D9" w:rsidTr="00A73D8E" w14:paraId="4AF7808D" w14:textId="77777777">
        <w:trPr>
          <w:trHeight w:val="272"/>
        </w:trPr>
        <w:tc>
          <w:tcPr>
            <w:tcW w:w="1957" w:type="dxa"/>
            <w:shd w:val="clear" w:color="auto" w:fill="auto"/>
            <w:vAlign w:val="center"/>
          </w:tcPr>
          <w:p w:rsidRPr="009B73E6" w:rsidR="001D43D9" w:rsidP="001D43D9" w:rsidRDefault="001D43D9" w14:paraId="5693D530" w14:textId="77777777">
            <w:pPr>
              <w:rPr>
                <w:b/>
                <w:color w:val="000000"/>
                <w:sz w:val="18"/>
                <w:szCs w:val="18"/>
              </w:rPr>
            </w:pPr>
            <w:r w:rsidRPr="009B73E6">
              <w:rPr>
                <w:b/>
                <w:color w:val="000000"/>
                <w:sz w:val="18"/>
                <w:szCs w:val="18"/>
              </w:rPr>
              <w:t>Total</w:t>
            </w:r>
          </w:p>
        </w:tc>
        <w:tc>
          <w:tcPr>
            <w:tcW w:w="1260" w:type="dxa"/>
            <w:shd w:val="clear" w:color="auto" w:fill="auto"/>
          </w:tcPr>
          <w:p w:rsidRPr="009B73E6" w:rsidR="001D43D9" w:rsidP="001D43D9" w:rsidRDefault="001D43D9" w14:paraId="00668981" w14:textId="0FC5D2BF">
            <w:pPr>
              <w:pStyle w:val="NoSpacing"/>
              <w:jc w:val="right"/>
              <w:rPr>
                <w:b/>
                <w:bCs/>
                <w:sz w:val="18"/>
                <w:szCs w:val="18"/>
              </w:rPr>
            </w:pPr>
            <w:r w:rsidRPr="009B73E6">
              <w:rPr>
                <w:b/>
                <w:bCs/>
                <w:sz w:val="18"/>
                <w:szCs w:val="18"/>
              </w:rPr>
              <w:t>638.00</w:t>
            </w:r>
          </w:p>
        </w:tc>
        <w:tc>
          <w:tcPr>
            <w:tcW w:w="1080" w:type="dxa"/>
            <w:shd w:val="clear" w:color="auto" w:fill="auto"/>
          </w:tcPr>
          <w:p w:rsidRPr="009B73E6" w:rsidR="001D43D9" w:rsidP="001D43D9" w:rsidRDefault="001D43D9" w14:paraId="78B5BF06" w14:textId="77777777">
            <w:pPr>
              <w:pStyle w:val="NoSpacing"/>
              <w:jc w:val="right"/>
              <w:rPr>
                <w:b/>
                <w:bCs/>
                <w:sz w:val="18"/>
                <w:szCs w:val="18"/>
              </w:rPr>
            </w:pPr>
            <w:r w:rsidRPr="009B73E6">
              <w:rPr>
                <w:b/>
                <w:bCs/>
                <w:sz w:val="18"/>
                <w:szCs w:val="18"/>
              </w:rPr>
              <w:t>-</w:t>
            </w:r>
          </w:p>
        </w:tc>
        <w:tc>
          <w:tcPr>
            <w:tcW w:w="1170" w:type="dxa"/>
            <w:shd w:val="clear" w:color="auto" w:fill="auto"/>
          </w:tcPr>
          <w:p w:rsidRPr="009B73E6" w:rsidR="001D43D9" w:rsidP="001D43D9" w:rsidRDefault="001D43D9" w14:paraId="6F6E4CFA" w14:textId="14D7CB9A">
            <w:pPr>
              <w:pStyle w:val="NoSpacing"/>
              <w:jc w:val="right"/>
              <w:rPr>
                <w:b/>
                <w:bCs/>
                <w:sz w:val="18"/>
                <w:szCs w:val="18"/>
              </w:rPr>
            </w:pPr>
            <w:r w:rsidRPr="009B73E6">
              <w:rPr>
                <w:b/>
                <w:bCs/>
                <w:sz w:val="18"/>
                <w:szCs w:val="18"/>
              </w:rPr>
              <w:t>638.00</w:t>
            </w:r>
          </w:p>
        </w:tc>
        <w:tc>
          <w:tcPr>
            <w:tcW w:w="1080" w:type="dxa"/>
            <w:shd w:val="clear" w:color="auto" w:fill="auto"/>
          </w:tcPr>
          <w:p w:rsidRPr="009B73E6" w:rsidR="001D43D9" w:rsidP="001D43D9" w:rsidRDefault="001D43D9" w14:paraId="758C0E86" w14:textId="77777777">
            <w:pPr>
              <w:pStyle w:val="NoSpacing"/>
              <w:jc w:val="right"/>
              <w:rPr>
                <w:b/>
                <w:bCs/>
                <w:sz w:val="18"/>
                <w:szCs w:val="18"/>
              </w:rPr>
            </w:pPr>
            <w:r w:rsidRPr="009B73E6">
              <w:rPr>
                <w:b/>
                <w:bCs/>
                <w:sz w:val="18"/>
                <w:szCs w:val="18"/>
              </w:rPr>
              <w:t>-</w:t>
            </w:r>
          </w:p>
        </w:tc>
        <w:tc>
          <w:tcPr>
            <w:tcW w:w="1080" w:type="dxa"/>
            <w:shd w:val="clear" w:color="auto" w:fill="auto"/>
          </w:tcPr>
          <w:p w:rsidRPr="009B73E6" w:rsidR="001D43D9" w:rsidP="001D43D9" w:rsidRDefault="001D43D9" w14:paraId="191626B0" w14:textId="1A90E097">
            <w:pPr>
              <w:pStyle w:val="NoSpacing"/>
              <w:jc w:val="right"/>
              <w:rPr>
                <w:b/>
                <w:bCs/>
                <w:sz w:val="18"/>
                <w:szCs w:val="18"/>
              </w:rPr>
            </w:pPr>
            <w:r w:rsidRPr="009B73E6">
              <w:rPr>
                <w:b/>
                <w:bCs/>
                <w:sz w:val="18"/>
                <w:szCs w:val="18"/>
              </w:rPr>
              <w:t>30,228.00</w:t>
            </w:r>
          </w:p>
        </w:tc>
        <w:tc>
          <w:tcPr>
            <w:tcW w:w="990" w:type="dxa"/>
            <w:vAlign w:val="center"/>
          </w:tcPr>
          <w:p w:rsidRPr="009B73E6" w:rsidR="001D43D9" w:rsidP="001D43D9" w:rsidRDefault="001D43D9" w14:paraId="01D6F918" w14:textId="6DA0A694">
            <w:pPr>
              <w:pStyle w:val="NoSpacing"/>
              <w:jc w:val="right"/>
              <w:rPr>
                <w:b/>
                <w:bCs/>
                <w:sz w:val="18"/>
                <w:szCs w:val="18"/>
              </w:rPr>
            </w:pPr>
            <w:r w:rsidRPr="009B73E6">
              <w:rPr>
                <w:b/>
                <w:bCs/>
                <w:color w:val="000000"/>
                <w:sz w:val="18"/>
                <w:szCs w:val="18"/>
              </w:rPr>
              <w:t>-</w:t>
            </w:r>
          </w:p>
        </w:tc>
        <w:tc>
          <w:tcPr>
            <w:tcW w:w="1350" w:type="dxa"/>
            <w:vAlign w:val="center"/>
          </w:tcPr>
          <w:p w:rsidRPr="009B73E6" w:rsidR="001D43D9" w:rsidP="001D43D9" w:rsidRDefault="001D43D9" w14:paraId="2F1EC850" w14:textId="33135BFC">
            <w:pPr>
              <w:pStyle w:val="NoSpacing"/>
              <w:jc w:val="right"/>
              <w:rPr>
                <w:b/>
                <w:bCs/>
                <w:sz w:val="18"/>
                <w:szCs w:val="18"/>
              </w:rPr>
            </w:pPr>
            <w:r w:rsidRPr="009B73E6">
              <w:rPr>
                <w:b/>
                <w:bCs/>
                <w:color w:val="000000"/>
                <w:sz w:val="18"/>
                <w:szCs w:val="18"/>
              </w:rPr>
              <w:t xml:space="preserve">$766,279.80 </w:t>
            </w:r>
          </w:p>
        </w:tc>
      </w:tr>
    </w:tbl>
    <w:p w:rsidR="00D73EE7" w:rsidRDefault="00D73EE7" w14:paraId="140B89C0" w14:textId="77777777">
      <w:pPr>
        <w:keepLines/>
        <w:tabs>
          <w:tab w:val="left" w:pos="360"/>
          <w:tab w:val="left" w:pos="720"/>
        </w:tabs>
        <w:ind w:left="360" w:hanging="360"/>
        <w:rPr>
          <w:color w:val="000000"/>
          <w:sz w:val="22"/>
          <w:szCs w:val="22"/>
        </w:rPr>
      </w:pPr>
      <w:r w:rsidRPr="003B27A6">
        <w:rPr>
          <w:color w:val="000000"/>
          <w:sz w:val="22"/>
          <w:szCs w:val="22"/>
        </w:rPr>
        <w:t xml:space="preserve"> </w:t>
      </w:r>
    </w:p>
    <w:p w:rsidR="00A43738" w:rsidP="00496EF5" w:rsidRDefault="00A50D0D" w14:paraId="382A53EE" w14:textId="6D386638">
      <w:pPr>
        <w:keepLines/>
        <w:tabs>
          <w:tab w:val="left" w:pos="0"/>
          <w:tab w:val="left" w:pos="720"/>
        </w:tabs>
        <w:rPr>
          <w:color w:val="000000"/>
          <w:sz w:val="22"/>
          <w:szCs w:val="22"/>
        </w:rPr>
      </w:pPr>
      <w:r>
        <w:rPr>
          <w:color w:val="000000"/>
          <w:sz w:val="22"/>
          <w:szCs w:val="22"/>
        </w:rPr>
        <w:t xml:space="preserve">This chart reflects the public burden for OMB approval 2506-0133 adjusted for the revision to add </w:t>
      </w:r>
      <w:r w:rsidR="00A43738">
        <w:rPr>
          <w:color w:val="000000"/>
          <w:sz w:val="22"/>
          <w:szCs w:val="22"/>
        </w:rPr>
        <w:t>two reporting forms for new competitive SPNS grants only (HIV Housing Care Continuum Model report and HIFA Model Report)</w:t>
      </w:r>
      <w:r>
        <w:rPr>
          <w:color w:val="000000"/>
          <w:sz w:val="22"/>
          <w:szCs w:val="22"/>
        </w:rPr>
        <w:t>.</w:t>
      </w:r>
      <w:r w:rsidR="00A43738">
        <w:rPr>
          <w:color w:val="000000"/>
          <w:sz w:val="22"/>
          <w:szCs w:val="22"/>
        </w:rPr>
        <w:t xml:space="preserve"> </w:t>
      </w:r>
      <w:r w:rsidR="00FA1002">
        <w:rPr>
          <w:color w:val="000000"/>
          <w:sz w:val="22"/>
          <w:szCs w:val="22"/>
        </w:rPr>
        <w:t>The HIV Housing Care Continuum Model Report is an annual report with the first submissions expected in 2022. The HIFA Model Report</w:t>
      </w:r>
      <w:r w:rsidR="00C00C5F">
        <w:rPr>
          <w:color w:val="000000"/>
          <w:sz w:val="22"/>
          <w:szCs w:val="22"/>
        </w:rPr>
        <w:t xml:space="preserve"> is</w:t>
      </w:r>
      <w:r w:rsidR="00FA1002">
        <w:rPr>
          <w:color w:val="000000"/>
          <w:sz w:val="22"/>
          <w:szCs w:val="22"/>
        </w:rPr>
        <w:t xml:space="preserve"> only required</w:t>
      </w:r>
      <w:r w:rsidR="00C00C5F">
        <w:rPr>
          <w:color w:val="000000"/>
          <w:sz w:val="22"/>
          <w:szCs w:val="22"/>
        </w:rPr>
        <w:t xml:space="preserve"> to be submitted</w:t>
      </w:r>
      <w:r w:rsidR="00FA1002">
        <w:rPr>
          <w:color w:val="000000"/>
          <w:sz w:val="22"/>
          <w:szCs w:val="22"/>
        </w:rPr>
        <w:t xml:space="preserve"> at the end of the SPNS grant period of performance with the first submissions from awarded grantees expected in 2024.</w:t>
      </w:r>
    </w:p>
    <w:p w:rsidR="00A43738" w:rsidP="00496EF5" w:rsidRDefault="00A43738" w14:paraId="76174C07" w14:textId="77777777">
      <w:pPr>
        <w:keepLines/>
        <w:tabs>
          <w:tab w:val="left" w:pos="0"/>
          <w:tab w:val="left" w:pos="720"/>
        </w:tabs>
        <w:rPr>
          <w:color w:val="000000"/>
          <w:sz w:val="22"/>
          <w:szCs w:val="22"/>
        </w:rPr>
      </w:pPr>
    </w:p>
    <w:p w:rsidR="003126EB" w:rsidP="001159FC" w:rsidRDefault="004051C1" w14:paraId="1B8C0F02" w14:textId="3DB460BE">
      <w:pPr>
        <w:keepLines/>
        <w:tabs>
          <w:tab w:val="left" w:pos="0"/>
          <w:tab w:val="left" w:pos="720"/>
        </w:tabs>
        <w:rPr>
          <w:color w:val="000000"/>
          <w:sz w:val="22"/>
          <w:szCs w:val="22"/>
        </w:rPr>
      </w:pPr>
      <w:r>
        <w:rPr>
          <w:color w:val="000000"/>
          <w:sz w:val="22"/>
          <w:szCs w:val="22"/>
        </w:rPr>
        <w:t xml:space="preserve">Renewal applications and new competitive applications were separated out to reflect the number of hours required to renew a HOPWA grant versus applying for a new HOPWA grant award. </w:t>
      </w:r>
      <w:bookmarkStart w:name="_Hlk33187112" w:id="9"/>
      <w:r w:rsidR="003D50AE">
        <w:rPr>
          <w:color w:val="000000"/>
          <w:sz w:val="22"/>
          <w:szCs w:val="22"/>
        </w:rPr>
        <w:t>Renewal grants are awarded for a three</w:t>
      </w:r>
      <w:r w:rsidR="00A3391A">
        <w:rPr>
          <w:color w:val="000000"/>
          <w:sz w:val="22"/>
          <w:szCs w:val="22"/>
        </w:rPr>
        <w:t>-</w:t>
      </w:r>
      <w:r w:rsidR="003D50AE">
        <w:rPr>
          <w:color w:val="000000"/>
          <w:sz w:val="22"/>
          <w:szCs w:val="22"/>
        </w:rPr>
        <w:t>year operating period. Currently, there are 8</w:t>
      </w:r>
      <w:r w:rsidR="00183FA6">
        <w:rPr>
          <w:color w:val="000000"/>
          <w:sz w:val="22"/>
          <w:szCs w:val="22"/>
        </w:rPr>
        <w:t>2</w:t>
      </w:r>
      <w:r w:rsidR="003D50AE">
        <w:rPr>
          <w:color w:val="000000"/>
          <w:sz w:val="22"/>
          <w:szCs w:val="22"/>
        </w:rPr>
        <w:t xml:space="preserve"> eligible renewal grantees. The number of respondents listed for HOPWA renewal applications represents one-third of the renewal grantees</w:t>
      </w:r>
      <w:r w:rsidR="00A3391A">
        <w:rPr>
          <w:color w:val="000000"/>
          <w:sz w:val="22"/>
          <w:szCs w:val="22"/>
        </w:rPr>
        <w:t>, or the estimated number of grantees projected to renew HOPWA grants each year</w:t>
      </w:r>
      <w:r w:rsidR="003D50AE">
        <w:rPr>
          <w:color w:val="000000"/>
          <w:sz w:val="22"/>
          <w:szCs w:val="22"/>
        </w:rPr>
        <w:t xml:space="preserve">. The number of respondents listed for HOPWA competitive applications represents the number of respondents expected to submit an application. </w:t>
      </w:r>
      <w:r w:rsidR="00F673E0">
        <w:rPr>
          <w:color w:val="000000"/>
          <w:sz w:val="22"/>
          <w:szCs w:val="22"/>
        </w:rPr>
        <w:t>Form HUD-40110-C, the APR is submitted by all renewal and competitive grantees on an annual basis. The number of respondents for the APR include 8</w:t>
      </w:r>
      <w:r w:rsidR="0061056B">
        <w:rPr>
          <w:color w:val="000000"/>
          <w:sz w:val="22"/>
          <w:szCs w:val="22"/>
        </w:rPr>
        <w:t>2</w:t>
      </w:r>
      <w:r w:rsidR="00F673E0">
        <w:rPr>
          <w:color w:val="000000"/>
          <w:sz w:val="22"/>
          <w:szCs w:val="22"/>
        </w:rPr>
        <w:t xml:space="preserve"> renewal grantees, eight (8) current HOPWA competitive grantees, and </w:t>
      </w:r>
      <w:r w:rsidR="00FA1002">
        <w:rPr>
          <w:color w:val="000000"/>
          <w:sz w:val="22"/>
          <w:szCs w:val="22"/>
        </w:rPr>
        <w:t>26</w:t>
      </w:r>
      <w:r w:rsidR="00F673E0">
        <w:rPr>
          <w:color w:val="000000"/>
          <w:sz w:val="22"/>
          <w:szCs w:val="22"/>
        </w:rPr>
        <w:t xml:space="preserve"> </w:t>
      </w:r>
      <w:r w:rsidR="00FA1002">
        <w:rPr>
          <w:color w:val="000000"/>
          <w:sz w:val="22"/>
          <w:szCs w:val="22"/>
        </w:rPr>
        <w:t xml:space="preserve">expected new </w:t>
      </w:r>
      <w:r w:rsidR="00F673E0">
        <w:rPr>
          <w:color w:val="000000"/>
          <w:sz w:val="22"/>
          <w:szCs w:val="22"/>
        </w:rPr>
        <w:t xml:space="preserve">competitive </w:t>
      </w:r>
      <w:r w:rsidR="00FA1002">
        <w:rPr>
          <w:color w:val="000000"/>
          <w:sz w:val="22"/>
          <w:szCs w:val="22"/>
        </w:rPr>
        <w:t xml:space="preserve">SPNS </w:t>
      </w:r>
      <w:r w:rsidR="00F673E0">
        <w:rPr>
          <w:color w:val="000000"/>
          <w:sz w:val="22"/>
          <w:szCs w:val="22"/>
        </w:rPr>
        <w:t>grantees</w:t>
      </w:r>
      <w:r w:rsidR="00FA1002">
        <w:rPr>
          <w:color w:val="000000"/>
          <w:sz w:val="22"/>
          <w:szCs w:val="22"/>
        </w:rPr>
        <w:t>.</w:t>
      </w:r>
      <w:r w:rsidR="00F673E0">
        <w:rPr>
          <w:color w:val="000000"/>
          <w:sz w:val="22"/>
          <w:szCs w:val="22"/>
        </w:rPr>
        <w:t xml:space="preserve"> </w:t>
      </w:r>
    </w:p>
    <w:p w:rsidR="0061056B" w:rsidP="000D2DF6" w:rsidRDefault="003126EB" w14:paraId="67288AA7" w14:textId="1B593520">
      <w:pPr>
        <w:keepLines/>
        <w:tabs>
          <w:tab w:val="left" w:pos="0"/>
          <w:tab w:val="left" w:pos="720"/>
        </w:tabs>
        <w:spacing w:before="240"/>
        <w:rPr>
          <w:color w:val="000000"/>
          <w:sz w:val="22"/>
          <w:szCs w:val="22"/>
        </w:rPr>
      </w:pPr>
      <w:r>
        <w:rPr>
          <w:color w:val="000000"/>
          <w:sz w:val="22"/>
          <w:szCs w:val="22"/>
        </w:rPr>
        <w:t xml:space="preserve">HOPWA grantees and applicants may be required to respond to more than one piece of information </w:t>
      </w:r>
      <w:r w:rsidR="00BF1C14">
        <w:rPr>
          <w:color w:val="000000"/>
          <w:sz w:val="22"/>
          <w:szCs w:val="22"/>
        </w:rPr>
        <w:t>collection</w:t>
      </w:r>
      <w:r>
        <w:rPr>
          <w:color w:val="000000"/>
          <w:sz w:val="22"/>
          <w:szCs w:val="22"/>
        </w:rPr>
        <w:t xml:space="preserve">. The total number of respondents include: 82 renewal grantees, eight (8) current HOPWA competitive grantees, </w:t>
      </w:r>
      <w:r w:rsidR="00F95C7F">
        <w:rPr>
          <w:color w:val="000000"/>
          <w:sz w:val="22"/>
          <w:szCs w:val="22"/>
        </w:rPr>
        <w:t xml:space="preserve">26 expected new competitive SPNS grantees, </w:t>
      </w:r>
      <w:r>
        <w:rPr>
          <w:color w:val="000000"/>
          <w:sz w:val="22"/>
          <w:szCs w:val="22"/>
        </w:rPr>
        <w:t xml:space="preserve">40 potential competitive applicants, and 128 current HOPWA formula grantees. The total of </w:t>
      </w:r>
      <w:r w:rsidR="00D91621">
        <w:rPr>
          <w:color w:val="000000"/>
          <w:sz w:val="22"/>
          <w:szCs w:val="22"/>
        </w:rPr>
        <w:t>6</w:t>
      </w:r>
      <w:r w:rsidR="006448FB">
        <w:rPr>
          <w:color w:val="000000"/>
          <w:sz w:val="22"/>
          <w:szCs w:val="22"/>
        </w:rPr>
        <w:t>38</w:t>
      </w:r>
      <w:r w:rsidR="00D91621">
        <w:rPr>
          <w:color w:val="000000"/>
          <w:sz w:val="22"/>
          <w:szCs w:val="22"/>
        </w:rPr>
        <w:t xml:space="preserve"> </w:t>
      </w:r>
      <w:r>
        <w:rPr>
          <w:color w:val="000000"/>
          <w:sz w:val="22"/>
          <w:szCs w:val="22"/>
        </w:rPr>
        <w:t>total annual re</w:t>
      </w:r>
      <w:r w:rsidR="002F6D3D">
        <w:rPr>
          <w:color w:val="000000"/>
          <w:sz w:val="22"/>
          <w:szCs w:val="22"/>
        </w:rPr>
        <w:t>s</w:t>
      </w:r>
      <w:r>
        <w:rPr>
          <w:color w:val="000000"/>
          <w:sz w:val="22"/>
          <w:szCs w:val="22"/>
        </w:rPr>
        <w:t xml:space="preserve">ponses captures each unique response from the </w:t>
      </w:r>
      <w:r w:rsidR="00F95C7F">
        <w:rPr>
          <w:color w:val="000000"/>
          <w:sz w:val="22"/>
          <w:szCs w:val="22"/>
        </w:rPr>
        <w:t xml:space="preserve">284 </w:t>
      </w:r>
      <w:r>
        <w:rPr>
          <w:color w:val="000000"/>
          <w:sz w:val="22"/>
          <w:szCs w:val="22"/>
        </w:rPr>
        <w:t xml:space="preserve">respondents.  </w:t>
      </w:r>
      <w:r w:rsidR="0061056B">
        <w:rPr>
          <w:color w:val="000000"/>
          <w:sz w:val="22"/>
          <w:szCs w:val="22"/>
        </w:rPr>
        <w:t>All annualized costs reflect staff time spent on tasks in the table. The hourly rate</w:t>
      </w:r>
      <w:r w:rsidR="001D43D9">
        <w:rPr>
          <w:color w:val="000000"/>
          <w:sz w:val="22"/>
          <w:szCs w:val="22"/>
        </w:rPr>
        <w:t xml:space="preserve"> of $25.35</w:t>
      </w:r>
      <w:r w:rsidR="0061056B">
        <w:rPr>
          <w:color w:val="000000"/>
          <w:sz w:val="22"/>
          <w:szCs w:val="22"/>
        </w:rPr>
        <w:t xml:space="preserve"> is based on a GS-9 for Rest of United States. </w:t>
      </w:r>
      <w:r w:rsidR="006448FB">
        <w:rPr>
          <w:color w:val="000000"/>
          <w:sz w:val="22"/>
          <w:szCs w:val="22"/>
        </w:rPr>
        <w:t>30</w:t>
      </w:r>
      <w:r w:rsidRPr="00305E84" w:rsidR="0061056B">
        <w:rPr>
          <w:color w:val="000000"/>
          <w:sz w:val="22"/>
          <w:szCs w:val="22"/>
        </w:rPr>
        <w:t>,</w:t>
      </w:r>
      <w:r w:rsidR="00D91621">
        <w:rPr>
          <w:color w:val="000000"/>
          <w:sz w:val="22"/>
          <w:szCs w:val="22"/>
        </w:rPr>
        <w:t>2</w:t>
      </w:r>
      <w:r w:rsidR="006448FB">
        <w:rPr>
          <w:color w:val="000000"/>
          <w:sz w:val="22"/>
          <w:szCs w:val="22"/>
        </w:rPr>
        <w:t>2</w:t>
      </w:r>
      <w:r w:rsidR="00D91621">
        <w:rPr>
          <w:color w:val="000000"/>
          <w:sz w:val="22"/>
          <w:szCs w:val="22"/>
        </w:rPr>
        <w:t>8</w:t>
      </w:r>
      <w:r w:rsidRPr="00305E84" w:rsidR="00D91621">
        <w:rPr>
          <w:color w:val="000000"/>
          <w:sz w:val="22"/>
          <w:szCs w:val="22"/>
        </w:rPr>
        <w:t xml:space="preserve"> </w:t>
      </w:r>
      <w:r w:rsidRPr="00305E84" w:rsidR="0061056B">
        <w:rPr>
          <w:color w:val="000000"/>
          <w:sz w:val="22"/>
          <w:szCs w:val="22"/>
        </w:rPr>
        <w:t>hours * $</w:t>
      </w:r>
      <w:r w:rsidR="00D91621">
        <w:rPr>
          <w:color w:val="000000"/>
          <w:sz w:val="22"/>
          <w:szCs w:val="22"/>
        </w:rPr>
        <w:t>25</w:t>
      </w:r>
      <w:r w:rsidRPr="00305E84" w:rsidR="0061056B">
        <w:rPr>
          <w:color w:val="000000"/>
          <w:sz w:val="22"/>
          <w:szCs w:val="22"/>
        </w:rPr>
        <w:t>.</w:t>
      </w:r>
      <w:r w:rsidR="001D43D9">
        <w:rPr>
          <w:color w:val="000000"/>
          <w:sz w:val="22"/>
          <w:szCs w:val="22"/>
        </w:rPr>
        <w:t>35</w:t>
      </w:r>
      <w:r w:rsidRPr="00305E84" w:rsidR="00D91621">
        <w:rPr>
          <w:color w:val="000000"/>
          <w:sz w:val="22"/>
          <w:szCs w:val="22"/>
        </w:rPr>
        <w:t xml:space="preserve"> </w:t>
      </w:r>
      <w:r w:rsidRPr="00305E84" w:rsidR="0061056B">
        <w:rPr>
          <w:color w:val="000000"/>
          <w:sz w:val="22"/>
          <w:szCs w:val="22"/>
        </w:rPr>
        <w:t>= $</w:t>
      </w:r>
      <w:r w:rsidR="00D91621">
        <w:rPr>
          <w:color w:val="000000"/>
          <w:sz w:val="22"/>
          <w:szCs w:val="22"/>
        </w:rPr>
        <w:t>7</w:t>
      </w:r>
      <w:r w:rsidR="006448FB">
        <w:rPr>
          <w:color w:val="000000"/>
          <w:sz w:val="22"/>
          <w:szCs w:val="22"/>
        </w:rPr>
        <w:t>6</w:t>
      </w:r>
      <w:r w:rsidR="001D43D9">
        <w:rPr>
          <w:color w:val="000000"/>
          <w:sz w:val="22"/>
          <w:szCs w:val="22"/>
        </w:rPr>
        <w:t>6</w:t>
      </w:r>
      <w:r w:rsidRPr="00305E84" w:rsidR="0061056B">
        <w:rPr>
          <w:color w:val="000000"/>
          <w:sz w:val="22"/>
          <w:szCs w:val="22"/>
        </w:rPr>
        <w:t>,</w:t>
      </w:r>
      <w:r w:rsidR="001D43D9">
        <w:rPr>
          <w:color w:val="000000"/>
          <w:sz w:val="22"/>
          <w:szCs w:val="22"/>
        </w:rPr>
        <w:t>279</w:t>
      </w:r>
      <w:r w:rsidR="006448FB">
        <w:rPr>
          <w:color w:val="000000"/>
          <w:sz w:val="22"/>
          <w:szCs w:val="22"/>
        </w:rPr>
        <w:t>.</w:t>
      </w:r>
      <w:r w:rsidR="001D43D9">
        <w:rPr>
          <w:color w:val="000000"/>
          <w:sz w:val="22"/>
          <w:szCs w:val="22"/>
        </w:rPr>
        <w:t>80</w:t>
      </w:r>
      <w:r w:rsidR="006448FB">
        <w:rPr>
          <w:color w:val="000000"/>
          <w:sz w:val="22"/>
          <w:szCs w:val="22"/>
        </w:rPr>
        <w:t>.</w:t>
      </w:r>
    </w:p>
    <w:bookmarkEnd w:id="9"/>
    <w:p w:rsidR="0061056B" w:rsidP="00496EF5" w:rsidRDefault="0061056B" w14:paraId="195C1B16" w14:textId="6991D155">
      <w:pPr>
        <w:keepLines/>
        <w:tabs>
          <w:tab w:val="left" w:pos="0"/>
          <w:tab w:val="left" w:pos="720"/>
        </w:tabs>
        <w:rPr>
          <w:color w:val="000000"/>
          <w:sz w:val="22"/>
          <w:szCs w:val="22"/>
        </w:rPr>
      </w:pPr>
    </w:p>
    <w:p w:rsidR="00DB61AC" w:rsidP="00496EF5" w:rsidRDefault="00DB61AC" w14:paraId="1A18A883" w14:textId="77777777">
      <w:pPr>
        <w:keepLines/>
        <w:tabs>
          <w:tab w:val="left" w:pos="0"/>
          <w:tab w:val="left" w:pos="720"/>
        </w:tabs>
        <w:rPr>
          <w:color w:val="000000"/>
          <w:sz w:val="22"/>
          <w:szCs w:val="22"/>
        </w:rPr>
      </w:pPr>
    </w:p>
    <w:p w:rsidR="00F673E0" w:rsidRDefault="00D73EE7" w14:paraId="7D87DC7A" w14:textId="66305B06">
      <w:pPr>
        <w:tabs>
          <w:tab w:val="left" w:pos="360"/>
        </w:tabs>
        <w:ind w:left="360" w:hanging="360"/>
        <w:rPr>
          <w:color w:val="000000"/>
          <w:sz w:val="22"/>
          <w:szCs w:val="22"/>
        </w:rPr>
      </w:pPr>
      <w:r w:rsidRPr="003B27A6">
        <w:rPr>
          <w:color w:val="000000"/>
          <w:sz w:val="22"/>
          <w:szCs w:val="22"/>
        </w:rPr>
        <w:t>13.</w:t>
      </w:r>
      <w:r w:rsidRPr="003B27A6">
        <w:rPr>
          <w:color w:val="000000"/>
          <w:sz w:val="22"/>
          <w:szCs w:val="22"/>
        </w:rPr>
        <w:tab/>
        <w:t xml:space="preserve">Estimate of the average, annual cost beyond the cost of hour burden shown in Items 12.  </w:t>
      </w:r>
    </w:p>
    <w:p w:rsidR="00F673E0" w:rsidP="000D2DF6" w:rsidRDefault="00F673E0" w14:paraId="60222B14" w14:textId="77777777">
      <w:pPr>
        <w:tabs>
          <w:tab w:val="left" w:pos="360"/>
        </w:tabs>
        <w:spacing w:before="240"/>
        <w:ind w:left="360" w:hanging="360"/>
        <w:rPr>
          <w:color w:val="000000"/>
          <w:sz w:val="22"/>
          <w:szCs w:val="22"/>
        </w:rPr>
      </w:pPr>
      <w:r>
        <w:rPr>
          <w:color w:val="000000"/>
          <w:sz w:val="22"/>
          <w:szCs w:val="22"/>
        </w:rPr>
        <w:t>There are no known additional costs to respondents.</w:t>
      </w:r>
    </w:p>
    <w:p w:rsidR="00D73EE7" w:rsidRDefault="00D73EE7" w14:paraId="19DB9AB9" w14:textId="41AA2FAA">
      <w:pPr>
        <w:tabs>
          <w:tab w:val="left" w:pos="360"/>
        </w:tabs>
        <w:ind w:left="360" w:hanging="360"/>
        <w:rPr>
          <w:color w:val="000000"/>
          <w:sz w:val="22"/>
          <w:szCs w:val="22"/>
        </w:rPr>
      </w:pPr>
    </w:p>
    <w:p w:rsidRPr="003B27A6" w:rsidR="00DB61AC" w:rsidRDefault="00DB61AC" w14:paraId="38F351B1" w14:textId="77777777">
      <w:pPr>
        <w:tabs>
          <w:tab w:val="left" w:pos="360"/>
        </w:tabs>
        <w:ind w:left="360" w:hanging="360"/>
        <w:rPr>
          <w:color w:val="000000"/>
          <w:sz w:val="22"/>
          <w:szCs w:val="22"/>
        </w:rPr>
      </w:pPr>
    </w:p>
    <w:p w:rsidR="00D73EE7" w:rsidRDefault="00D73EE7" w14:paraId="18CB79BC" w14:textId="66439CE9">
      <w:pPr>
        <w:keepLines/>
        <w:tabs>
          <w:tab w:val="left" w:pos="360"/>
        </w:tabs>
        <w:spacing w:after="80"/>
        <w:ind w:left="360" w:hanging="360"/>
        <w:rPr>
          <w:color w:val="000000"/>
          <w:sz w:val="22"/>
          <w:szCs w:val="22"/>
        </w:rPr>
      </w:pPr>
      <w:r w:rsidRPr="003B27A6">
        <w:rPr>
          <w:color w:val="000000"/>
          <w:sz w:val="22"/>
          <w:szCs w:val="22"/>
        </w:rPr>
        <w:t>14.</w:t>
      </w:r>
      <w:r w:rsidRPr="003B27A6">
        <w:rPr>
          <w:color w:val="000000"/>
          <w:sz w:val="22"/>
          <w:szCs w:val="22"/>
        </w:rPr>
        <w:tab/>
        <w:t xml:space="preserve">Estimate annualized costs to HUD of collecting the information, including processing the information. </w:t>
      </w:r>
    </w:p>
    <w:tbl>
      <w:tblPr>
        <w:tblW w:w="9609" w:type="dxa"/>
        <w:tblLayout w:type="fixed"/>
        <w:tblLook w:val="04A0" w:firstRow="1" w:lastRow="0" w:firstColumn="1" w:lastColumn="0" w:noHBand="0" w:noVBand="1"/>
      </w:tblPr>
      <w:tblGrid>
        <w:gridCol w:w="1880"/>
        <w:gridCol w:w="1260"/>
        <w:gridCol w:w="1170"/>
        <w:gridCol w:w="1080"/>
        <w:gridCol w:w="1170"/>
        <w:gridCol w:w="900"/>
        <w:gridCol w:w="1033"/>
        <w:gridCol w:w="1116"/>
      </w:tblGrid>
      <w:tr w:rsidR="00C01865" w:rsidTr="00A73D8E" w14:paraId="158C125A" w14:textId="77777777">
        <w:trPr>
          <w:trHeight w:val="930"/>
        </w:trPr>
        <w:tc>
          <w:tcPr>
            <w:tcW w:w="18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C01865" w:rsidRDefault="00C01865" w14:paraId="70DBCEF8" w14:textId="77777777">
            <w:pPr>
              <w:rPr>
                <w:b/>
                <w:bCs/>
                <w:color w:val="000000"/>
                <w:sz w:val="18"/>
                <w:szCs w:val="18"/>
              </w:rPr>
            </w:pPr>
            <w:r>
              <w:rPr>
                <w:b/>
                <w:bCs/>
                <w:color w:val="000000"/>
                <w:sz w:val="18"/>
                <w:szCs w:val="18"/>
              </w:rPr>
              <w:t xml:space="preserve">Type of Collection </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3B9FF642" w14:textId="77777777">
            <w:pPr>
              <w:rPr>
                <w:b/>
                <w:bCs/>
                <w:color w:val="000000"/>
                <w:sz w:val="18"/>
                <w:szCs w:val="18"/>
              </w:rPr>
            </w:pPr>
            <w:r>
              <w:rPr>
                <w:b/>
                <w:bCs/>
                <w:color w:val="000000"/>
                <w:sz w:val="18"/>
                <w:szCs w:val="18"/>
              </w:rPr>
              <w:t>Number of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02B706B1" w14:textId="77777777">
            <w:pPr>
              <w:rPr>
                <w:b/>
                <w:bCs/>
                <w:color w:val="000000"/>
                <w:sz w:val="18"/>
                <w:szCs w:val="18"/>
              </w:rPr>
            </w:pPr>
            <w:r>
              <w:rPr>
                <w:b/>
                <w:bCs/>
                <w:color w:val="000000"/>
                <w:sz w:val="18"/>
                <w:szCs w:val="18"/>
              </w:rPr>
              <w:t>Frequency of Response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42885711" w14:textId="77777777">
            <w:pPr>
              <w:rPr>
                <w:b/>
                <w:bCs/>
                <w:color w:val="000000"/>
                <w:sz w:val="18"/>
                <w:szCs w:val="18"/>
              </w:rPr>
            </w:pPr>
            <w:r>
              <w:rPr>
                <w:b/>
                <w:bCs/>
                <w:color w:val="000000"/>
                <w:sz w:val="18"/>
                <w:szCs w:val="18"/>
              </w:rPr>
              <w:t>Responses Per Annum</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03810BD0" w14:textId="77777777">
            <w:pPr>
              <w:rPr>
                <w:b/>
                <w:bCs/>
                <w:color w:val="000000"/>
                <w:sz w:val="18"/>
                <w:szCs w:val="18"/>
              </w:rPr>
            </w:pPr>
            <w:r>
              <w:rPr>
                <w:b/>
                <w:bCs/>
                <w:color w:val="000000"/>
                <w:sz w:val="18"/>
                <w:szCs w:val="18"/>
              </w:rPr>
              <w:t>Burden Hour per Respondent</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08AECC82" w14:textId="77777777">
            <w:pPr>
              <w:rPr>
                <w:b/>
                <w:bCs/>
                <w:color w:val="000000"/>
                <w:sz w:val="18"/>
                <w:szCs w:val="18"/>
              </w:rPr>
            </w:pPr>
            <w:r>
              <w:rPr>
                <w:b/>
                <w:bCs/>
                <w:color w:val="000000"/>
                <w:sz w:val="18"/>
                <w:szCs w:val="18"/>
              </w:rPr>
              <w:t>Annual Burden Hours</w:t>
            </w:r>
            <w:r>
              <w:rPr>
                <w:color w:val="000000"/>
                <w:sz w:val="16"/>
                <w:szCs w:val="16"/>
              </w:rPr>
              <w:t> </w:t>
            </w:r>
          </w:p>
        </w:tc>
        <w:tc>
          <w:tcPr>
            <w:tcW w:w="1033"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34E85591" w14:textId="77777777">
            <w:pPr>
              <w:rPr>
                <w:b/>
                <w:bCs/>
                <w:color w:val="000000"/>
                <w:sz w:val="18"/>
                <w:szCs w:val="18"/>
              </w:rPr>
            </w:pPr>
            <w:r>
              <w:rPr>
                <w:b/>
                <w:bCs/>
                <w:color w:val="000000"/>
                <w:sz w:val="18"/>
                <w:szCs w:val="18"/>
              </w:rPr>
              <w:t>Hourly Cost Per Response</w:t>
            </w:r>
          </w:p>
        </w:tc>
        <w:tc>
          <w:tcPr>
            <w:tcW w:w="1116" w:type="dxa"/>
            <w:tcBorders>
              <w:top w:val="single" w:color="auto" w:sz="8" w:space="0"/>
              <w:left w:val="nil"/>
              <w:bottom w:val="single" w:color="auto" w:sz="8" w:space="0"/>
              <w:right w:val="single" w:color="auto" w:sz="8" w:space="0"/>
            </w:tcBorders>
            <w:shd w:val="clear" w:color="auto" w:fill="auto"/>
            <w:vAlign w:val="center"/>
            <w:hideMark/>
          </w:tcPr>
          <w:p w:rsidR="00C01865" w:rsidRDefault="00C01865" w14:paraId="50277A4F" w14:textId="77777777">
            <w:pPr>
              <w:rPr>
                <w:b/>
                <w:bCs/>
                <w:color w:val="000000"/>
                <w:sz w:val="18"/>
                <w:szCs w:val="18"/>
              </w:rPr>
            </w:pPr>
            <w:r>
              <w:rPr>
                <w:b/>
                <w:bCs/>
                <w:color w:val="000000"/>
                <w:sz w:val="18"/>
                <w:szCs w:val="18"/>
              </w:rPr>
              <w:t xml:space="preserve">Annual Cost </w:t>
            </w:r>
          </w:p>
        </w:tc>
      </w:tr>
      <w:tr w:rsidR="00C01865" w:rsidTr="00A73D8E" w14:paraId="2DD6B91C" w14:textId="77777777">
        <w:trPr>
          <w:trHeight w:val="93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39A8BE85" w14:textId="77777777">
            <w:pPr>
              <w:rPr>
                <w:color w:val="000000"/>
                <w:sz w:val="18"/>
                <w:szCs w:val="18"/>
              </w:rPr>
            </w:pPr>
            <w:r>
              <w:rPr>
                <w:color w:val="000000"/>
                <w:sz w:val="18"/>
                <w:szCs w:val="18"/>
              </w:rPr>
              <w:t>Review of Renewal Application (including HUD-40110-B and narratives)</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19A1B428" w14:textId="77777777">
            <w:pPr>
              <w:jc w:val="right"/>
              <w:rPr>
                <w:color w:val="000000"/>
                <w:sz w:val="18"/>
                <w:szCs w:val="18"/>
              </w:rPr>
            </w:pPr>
            <w:r>
              <w:rPr>
                <w:color w:val="000000"/>
                <w:sz w:val="18"/>
                <w:szCs w:val="18"/>
              </w:rPr>
              <w:t>28.00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B893314"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09796A39" w14:textId="77777777">
            <w:pPr>
              <w:jc w:val="right"/>
              <w:rPr>
                <w:color w:val="000000"/>
                <w:sz w:val="18"/>
                <w:szCs w:val="18"/>
              </w:rPr>
            </w:pPr>
            <w:r>
              <w:rPr>
                <w:color w:val="000000"/>
                <w:sz w:val="18"/>
                <w:szCs w:val="18"/>
              </w:rPr>
              <w:t>28.00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11ECCC2D" w14:textId="77777777">
            <w:pPr>
              <w:jc w:val="right"/>
              <w:rPr>
                <w:color w:val="000000"/>
                <w:sz w:val="18"/>
                <w:szCs w:val="18"/>
              </w:rPr>
            </w:pPr>
            <w:r>
              <w:rPr>
                <w:color w:val="000000"/>
                <w:sz w:val="18"/>
                <w:szCs w:val="18"/>
              </w:rPr>
              <w:t>20.00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4461880E" w14:textId="77777777">
            <w:pPr>
              <w:jc w:val="right"/>
              <w:rPr>
                <w:color w:val="000000"/>
                <w:sz w:val="18"/>
                <w:szCs w:val="18"/>
              </w:rPr>
            </w:pPr>
            <w:r>
              <w:rPr>
                <w:color w:val="000000"/>
                <w:sz w:val="18"/>
                <w:szCs w:val="18"/>
              </w:rPr>
              <w:t>560.00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6CAD5348"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5060D4F6" w14:textId="77777777">
            <w:pPr>
              <w:jc w:val="right"/>
              <w:rPr>
                <w:color w:val="000000"/>
                <w:sz w:val="18"/>
                <w:szCs w:val="18"/>
              </w:rPr>
            </w:pPr>
            <w:r>
              <w:rPr>
                <w:color w:val="000000"/>
                <w:sz w:val="18"/>
                <w:szCs w:val="18"/>
              </w:rPr>
              <w:t xml:space="preserve">$23,167.20 </w:t>
            </w:r>
          </w:p>
        </w:tc>
      </w:tr>
      <w:tr w:rsidR="00C01865" w:rsidTr="00A73D8E" w14:paraId="593C8FB3" w14:textId="77777777">
        <w:trPr>
          <w:trHeight w:val="93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2188358D" w14:textId="77777777">
            <w:pPr>
              <w:rPr>
                <w:color w:val="000000"/>
                <w:sz w:val="18"/>
                <w:szCs w:val="18"/>
              </w:rPr>
            </w:pPr>
            <w:r>
              <w:rPr>
                <w:color w:val="000000"/>
                <w:sz w:val="18"/>
                <w:szCs w:val="18"/>
              </w:rPr>
              <w:t>Review of HOPWA Competitive Application (including HUD-40110-B and narratives)</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017B158D" w14:textId="77777777">
            <w:pPr>
              <w:jc w:val="right"/>
              <w:rPr>
                <w:color w:val="000000"/>
                <w:sz w:val="18"/>
                <w:szCs w:val="18"/>
              </w:rPr>
            </w:pPr>
            <w:r>
              <w:rPr>
                <w:color w:val="000000"/>
                <w:sz w:val="18"/>
                <w:szCs w:val="18"/>
              </w:rPr>
              <w:t>40.00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9F685F5"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317DE9A3" w14:textId="77777777">
            <w:pPr>
              <w:jc w:val="right"/>
              <w:rPr>
                <w:color w:val="000000"/>
                <w:sz w:val="18"/>
                <w:szCs w:val="18"/>
              </w:rPr>
            </w:pPr>
            <w:r>
              <w:rPr>
                <w:color w:val="000000"/>
                <w:sz w:val="18"/>
                <w:szCs w:val="18"/>
              </w:rPr>
              <w:t>40.00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4678EB28" w14:textId="77777777">
            <w:pPr>
              <w:jc w:val="right"/>
              <w:rPr>
                <w:color w:val="000000"/>
                <w:sz w:val="18"/>
                <w:szCs w:val="18"/>
              </w:rPr>
            </w:pPr>
            <w:r>
              <w:rPr>
                <w:color w:val="000000"/>
                <w:sz w:val="18"/>
                <w:szCs w:val="18"/>
              </w:rPr>
              <w:t>30.00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27E22850" w14:textId="77777777">
            <w:pPr>
              <w:jc w:val="right"/>
              <w:rPr>
                <w:color w:val="000000"/>
                <w:sz w:val="18"/>
                <w:szCs w:val="18"/>
              </w:rPr>
            </w:pPr>
            <w:r>
              <w:rPr>
                <w:color w:val="000000"/>
                <w:sz w:val="18"/>
                <w:szCs w:val="18"/>
              </w:rPr>
              <w:t>1200.00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2A31432E"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3EEB0571" w14:textId="77777777">
            <w:pPr>
              <w:jc w:val="right"/>
              <w:rPr>
                <w:color w:val="000000"/>
                <w:sz w:val="18"/>
                <w:szCs w:val="18"/>
              </w:rPr>
            </w:pPr>
            <w:r>
              <w:rPr>
                <w:color w:val="000000"/>
                <w:sz w:val="18"/>
                <w:szCs w:val="18"/>
              </w:rPr>
              <w:t xml:space="preserve">$49,644.00 </w:t>
            </w:r>
          </w:p>
        </w:tc>
      </w:tr>
      <w:tr w:rsidR="00C01865" w:rsidTr="00A73D8E" w14:paraId="7E8EB0CB" w14:textId="77777777">
        <w:trPr>
          <w:trHeight w:val="47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0361A318" w14:textId="77777777">
            <w:pPr>
              <w:rPr>
                <w:color w:val="000000"/>
                <w:sz w:val="18"/>
                <w:szCs w:val="18"/>
              </w:rPr>
            </w:pPr>
            <w:r>
              <w:rPr>
                <w:color w:val="000000"/>
                <w:sz w:val="18"/>
                <w:szCs w:val="18"/>
              </w:rPr>
              <w:t>Awarding of Competitive and Renewal Grants</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53BA73C2" w14:textId="77777777">
            <w:pPr>
              <w:jc w:val="right"/>
              <w:rPr>
                <w:color w:val="000000"/>
                <w:sz w:val="18"/>
                <w:szCs w:val="18"/>
              </w:rPr>
            </w:pPr>
            <w:r>
              <w:rPr>
                <w:color w:val="000000"/>
                <w:sz w:val="18"/>
                <w:szCs w:val="18"/>
              </w:rPr>
              <w:t>54.00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32F7C17A"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65C643A7" w14:textId="77777777">
            <w:pPr>
              <w:jc w:val="right"/>
              <w:rPr>
                <w:color w:val="000000"/>
                <w:sz w:val="18"/>
                <w:szCs w:val="18"/>
              </w:rPr>
            </w:pPr>
            <w:r>
              <w:rPr>
                <w:color w:val="000000"/>
                <w:sz w:val="18"/>
                <w:szCs w:val="18"/>
              </w:rPr>
              <w:t>54.00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021E51D0" w14:textId="77777777">
            <w:pPr>
              <w:jc w:val="right"/>
              <w:rPr>
                <w:color w:val="000000"/>
                <w:sz w:val="18"/>
                <w:szCs w:val="18"/>
              </w:rPr>
            </w:pPr>
            <w:r>
              <w:rPr>
                <w:color w:val="000000"/>
                <w:sz w:val="18"/>
                <w:szCs w:val="18"/>
              </w:rPr>
              <w:t>10.00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60353A81" w14:textId="77777777">
            <w:pPr>
              <w:jc w:val="right"/>
              <w:rPr>
                <w:color w:val="000000"/>
                <w:sz w:val="18"/>
                <w:szCs w:val="18"/>
              </w:rPr>
            </w:pPr>
            <w:r>
              <w:rPr>
                <w:color w:val="000000"/>
                <w:sz w:val="18"/>
                <w:szCs w:val="18"/>
              </w:rPr>
              <w:t>540.00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75124B91"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59E9EF50" w14:textId="77777777">
            <w:pPr>
              <w:jc w:val="right"/>
              <w:rPr>
                <w:color w:val="000000"/>
                <w:sz w:val="18"/>
                <w:szCs w:val="18"/>
              </w:rPr>
            </w:pPr>
            <w:r>
              <w:rPr>
                <w:color w:val="000000"/>
                <w:sz w:val="18"/>
                <w:szCs w:val="18"/>
              </w:rPr>
              <w:t xml:space="preserve">$22,339.80 </w:t>
            </w:r>
          </w:p>
        </w:tc>
      </w:tr>
      <w:tr w:rsidR="00C01865" w:rsidTr="00A73D8E" w14:paraId="56A0B808" w14:textId="77777777">
        <w:trPr>
          <w:trHeight w:val="70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432148B1" w14:textId="77777777">
            <w:pPr>
              <w:rPr>
                <w:color w:val="000000"/>
                <w:sz w:val="18"/>
                <w:szCs w:val="18"/>
              </w:rPr>
            </w:pPr>
            <w:r>
              <w:rPr>
                <w:color w:val="000000"/>
                <w:sz w:val="18"/>
                <w:szCs w:val="18"/>
              </w:rPr>
              <w:t>Review of HUD-40110-C Annual Progress Report (APR)</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6EEE8C55" w14:textId="77777777">
            <w:pPr>
              <w:jc w:val="right"/>
              <w:rPr>
                <w:color w:val="000000"/>
                <w:sz w:val="18"/>
                <w:szCs w:val="18"/>
              </w:rPr>
            </w:pPr>
            <w:r>
              <w:rPr>
                <w:color w:val="000000"/>
                <w:sz w:val="18"/>
                <w:szCs w:val="18"/>
              </w:rPr>
              <w:t>116.00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508A9782"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6FE32F2A" w14:textId="77777777">
            <w:pPr>
              <w:jc w:val="right"/>
              <w:rPr>
                <w:color w:val="000000"/>
                <w:sz w:val="18"/>
                <w:szCs w:val="18"/>
              </w:rPr>
            </w:pPr>
            <w:r>
              <w:rPr>
                <w:color w:val="000000"/>
                <w:sz w:val="18"/>
                <w:szCs w:val="18"/>
              </w:rPr>
              <w:t>116.00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79954F65" w14:textId="77777777">
            <w:pPr>
              <w:jc w:val="right"/>
              <w:rPr>
                <w:color w:val="000000"/>
                <w:sz w:val="18"/>
                <w:szCs w:val="18"/>
              </w:rPr>
            </w:pPr>
            <w:r>
              <w:rPr>
                <w:color w:val="000000"/>
                <w:sz w:val="18"/>
                <w:szCs w:val="18"/>
              </w:rPr>
              <w:t>16.00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7013E0AE" w14:textId="77777777">
            <w:pPr>
              <w:jc w:val="right"/>
              <w:rPr>
                <w:color w:val="000000"/>
                <w:sz w:val="18"/>
                <w:szCs w:val="18"/>
              </w:rPr>
            </w:pPr>
            <w:r>
              <w:rPr>
                <w:color w:val="000000"/>
                <w:sz w:val="18"/>
                <w:szCs w:val="18"/>
              </w:rPr>
              <w:t>1856.00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459F7151"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10CAFEE1" w14:textId="77777777">
            <w:pPr>
              <w:jc w:val="right"/>
              <w:rPr>
                <w:color w:val="000000"/>
                <w:sz w:val="18"/>
                <w:szCs w:val="18"/>
              </w:rPr>
            </w:pPr>
            <w:r>
              <w:rPr>
                <w:color w:val="000000"/>
                <w:sz w:val="18"/>
                <w:szCs w:val="18"/>
              </w:rPr>
              <w:t xml:space="preserve">$76,782.72 </w:t>
            </w:r>
          </w:p>
        </w:tc>
      </w:tr>
      <w:tr w:rsidR="00C01865" w:rsidTr="00A73D8E" w14:paraId="30F276B4" w14:textId="77777777">
        <w:trPr>
          <w:trHeight w:val="116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6EC0F0E2" w14:textId="77777777">
            <w:pPr>
              <w:rPr>
                <w:color w:val="000000"/>
                <w:sz w:val="18"/>
                <w:szCs w:val="18"/>
              </w:rPr>
            </w:pPr>
            <w:r>
              <w:rPr>
                <w:color w:val="000000"/>
                <w:sz w:val="18"/>
                <w:szCs w:val="18"/>
              </w:rPr>
              <w:t>Review of HUD-40110-D Consolidated Annual Performance and Evaluation Report (CAPER)</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7AE5F01B" w14:textId="77777777">
            <w:pPr>
              <w:jc w:val="right"/>
              <w:rPr>
                <w:color w:val="000000"/>
                <w:sz w:val="18"/>
                <w:szCs w:val="18"/>
              </w:rPr>
            </w:pPr>
            <w:r>
              <w:rPr>
                <w:color w:val="000000"/>
                <w:sz w:val="18"/>
                <w:szCs w:val="18"/>
              </w:rPr>
              <w:t>128.00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2392C20"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465EAC41" w14:textId="77777777">
            <w:pPr>
              <w:jc w:val="right"/>
              <w:rPr>
                <w:color w:val="000000"/>
                <w:sz w:val="18"/>
                <w:szCs w:val="18"/>
              </w:rPr>
            </w:pPr>
            <w:r>
              <w:rPr>
                <w:color w:val="000000"/>
                <w:sz w:val="18"/>
                <w:szCs w:val="18"/>
              </w:rPr>
              <w:t>128.00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39031148" w14:textId="77777777">
            <w:pPr>
              <w:jc w:val="right"/>
              <w:rPr>
                <w:color w:val="000000"/>
                <w:sz w:val="18"/>
                <w:szCs w:val="18"/>
              </w:rPr>
            </w:pPr>
            <w:r>
              <w:rPr>
                <w:color w:val="000000"/>
                <w:sz w:val="18"/>
                <w:szCs w:val="18"/>
              </w:rPr>
              <w:t>12.00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45BABE90" w14:textId="77777777">
            <w:pPr>
              <w:jc w:val="right"/>
              <w:rPr>
                <w:color w:val="000000"/>
                <w:sz w:val="18"/>
                <w:szCs w:val="18"/>
              </w:rPr>
            </w:pPr>
            <w:r>
              <w:rPr>
                <w:color w:val="000000"/>
                <w:sz w:val="18"/>
                <w:szCs w:val="18"/>
              </w:rPr>
              <w:t>1536.00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282D7820"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736626FC" w14:textId="77777777">
            <w:pPr>
              <w:jc w:val="right"/>
              <w:rPr>
                <w:color w:val="000000"/>
                <w:sz w:val="18"/>
                <w:szCs w:val="18"/>
              </w:rPr>
            </w:pPr>
            <w:r>
              <w:rPr>
                <w:color w:val="000000"/>
                <w:sz w:val="18"/>
                <w:szCs w:val="18"/>
              </w:rPr>
              <w:t xml:space="preserve">$63,544.32 </w:t>
            </w:r>
          </w:p>
        </w:tc>
      </w:tr>
      <w:tr w:rsidR="00C01865" w:rsidTr="00A73D8E" w14:paraId="116C43AE" w14:textId="77777777">
        <w:trPr>
          <w:trHeight w:val="93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60C09342" w14:textId="77777777">
            <w:pPr>
              <w:rPr>
                <w:color w:val="000000"/>
                <w:sz w:val="18"/>
                <w:szCs w:val="18"/>
              </w:rPr>
            </w:pPr>
            <w:r>
              <w:rPr>
                <w:color w:val="000000"/>
                <w:sz w:val="18"/>
                <w:szCs w:val="18"/>
              </w:rPr>
              <w:t>HIV Housing Care Continuum Model Report (new competitive SPNS grant only)</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56DE29D6"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23F7CEEF"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74CA78A5"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16833945" w14:textId="77777777">
            <w:pPr>
              <w:jc w:val="right"/>
              <w:rPr>
                <w:color w:val="000000"/>
                <w:sz w:val="18"/>
                <w:szCs w:val="18"/>
              </w:rPr>
            </w:pPr>
            <w:r>
              <w:rPr>
                <w:color w:val="000000"/>
                <w:sz w:val="18"/>
                <w:szCs w:val="18"/>
              </w:rPr>
              <w:t>10.00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4338D220" w14:textId="77777777">
            <w:pPr>
              <w:jc w:val="right"/>
              <w:rPr>
                <w:color w:val="000000"/>
                <w:sz w:val="18"/>
                <w:szCs w:val="18"/>
              </w:rPr>
            </w:pPr>
            <w:r>
              <w:rPr>
                <w:color w:val="000000"/>
                <w:sz w:val="18"/>
                <w:szCs w:val="18"/>
              </w:rPr>
              <w:t>260.00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75E1E918"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76B824E4" w14:textId="77777777">
            <w:pPr>
              <w:jc w:val="right"/>
              <w:rPr>
                <w:color w:val="000000"/>
                <w:sz w:val="18"/>
                <w:szCs w:val="18"/>
              </w:rPr>
            </w:pPr>
            <w:r>
              <w:rPr>
                <w:color w:val="000000"/>
                <w:sz w:val="18"/>
                <w:szCs w:val="18"/>
              </w:rPr>
              <w:t xml:space="preserve">$10,756.20 </w:t>
            </w:r>
          </w:p>
        </w:tc>
      </w:tr>
      <w:tr w:rsidR="00C01865" w:rsidTr="00A73D8E" w14:paraId="33BD8D4E" w14:textId="77777777">
        <w:trPr>
          <w:trHeight w:val="116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016D1FA4" w14:textId="77777777">
            <w:pPr>
              <w:rPr>
                <w:color w:val="000000"/>
                <w:sz w:val="18"/>
                <w:szCs w:val="18"/>
              </w:rPr>
            </w:pPr>
            <w:r>
              <w:rPr>
                <w:color w:val="000000"/>
                <w:sz w:val="18"/>
                <w:szCs w:val="18"/>
              </w:rPr>
              <w:t>Housing as an Intervention to Fight AIDS (HIFA) Model Report (new competitive SPNS grant only)</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5263773F"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4CE28D38"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2A5080C6"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D690731" w14:textId="77777777">
            <w:pPr>
              <w:jc w:val="right"/>
              <w:rPr>
                <w:color w:val="000000"/>
                <w:sz w:val="18"/>
                <w:szCs w:val="18"/>
              </w:rPr>
            </w:pPr>
            <w:r>
              <w:rPr>
                <w:color w:val="000000"/>
                <w:sz w:val="18"/>
                <w:szCs w:val="18"/>
              </w:rPr>
              <w:t>20.00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7145C5C7" w14:textId="77777777">
            <w:pPr>
              <w:jc w:val="right"/>
              <w:rPr>
                <w:color w:val="000000"/>
                <w:sz w:val="18"/>
                <w:szCs w:val="18"/>
              </w:rPr>
            </w:pPr>
            <w:r>
              <w:rPr>
                <w:color w:val="000000"/>
                <w:sz w:val="18"/>
                <w:szCs w:val="18"/>
              </w:rPr>
              <w:t>520.00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1CC1618D"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41C8143F" w14:textId="77777777">
            <w:pPr>
              <w:jc w:val="right"/>
              <w:rPr>
                <w:color w:val="000000"/>
                <w:sz w:val="18"/>
                <w:szCs w:val="18"/>
              </w:rPr>
            </w:pPr>
            <w:r>
              <w:rPr>
                <w:color w:val="000000"/>
                <w:sz w:val="18"/>
                <w:szCs w:val="18"/>
              </w:rPr>
              <w:t xml:space="preserve">$21,512.40 </w:t>
            </w:r>
          </w:p>
        </w:tc>
      </w:tr>
      <w:tr w:rsidR="00C01865" w:rsidTr="00A73D8E" w14:paraId="6C9C2855" w14:textId="77777777">
        <w:trPr>
          <w:trHeight w:val="116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09E2A9B4" w14:textId="77777777">
            <w:pPr>
              <w:rPr>
                <w:color w:val="000000"/>
                <w:sz w:val="18"/>
                <w:szCs w:val="18"/>
              </w:rPr>
            </w:pPr>
            <w:r>
              <w:rPr>
                <w:color w:val="000000"/>
                <w:sz w:val="18"/>
                <w:szCs w:val="18"/>
              </w:rPr>
              <w:t>Compiling and publicly publishing grantee performance and accomplishment summaries</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579512FD" w14:textId="77777777">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0D066162"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48D2AE8A" w14:textId="77777777">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557EB7FA" w14:textId="77777777">
            <w:pPr>
              <w:jc w:val="right"/>
              <w:rPr>
                <w:color w:val="000000"/>
                <w:sz w:val="18"/>
                <w:szCs w:val="18"/>
              </w:rPr>
            </w:pPr>
            <w:r>
              <w:rPr>
                <w:color w:val="000000"/>
                <w:sz w:val="18"/>
                <w:szCs w:val="18"/>
              </w:rPr>
              <w:t>4.00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7964D579" w14:textId="77777777">
            <w:pPr>
              <w:jc w:val="right"/>
              <w:rPr>
                <w:color w:val="000000"/>
                <w:sz w:val="18"/>
                <w:szCs w:val="18"/>
              </w:rPr>
            </w:pPr>
            <w:r>
              <w:rPr>
                <w:color w:val="000000"/>
                <w:sz w:val="18"/>
                <w:szCs w:val="18"/>
              </w:rPr>
              <w:t>976.00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2C5E7320"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3E736951" w14:textId="77777777">
            <w:pPr>
              <w:jc w:val="right"/>
              <w:rPr>
                <w:color w:val="000000"/>
                <w:sz w:val="18"/>
                <w:szCs w:val="18"/>
              </w:rPr>
            </w:pPr>
            <w:r>
              <w:rPr>
                <w:color w:val="000000"/>
                <w:sz w:val="18"/>
                <w:szCs w:val="18"/>
              </w:rPr>
              <w:t xml:space="preserve">$40,377.12 </w:t>
            </w:r>
          </w:p>
        </w:tc>
      </w:tr>
      <w:tr w:rsidR="00C01865" w:rsidTr="00A73D8E" w14:paraId="5E3ACF62" w14:textId="77777777">
        <w:trPr>
          <w:trHeight w:val="93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3DC431E6" w14:textId="77777777">
            <w:pPr>
              <w:rPr>
                <w:color w:val="000000"/>
                <w:sz w:val="18"/>
                <w:szCs w:val="18"/>
              </w:rPr>
            </w:pPr>
            <w:r>
              <w:rPr>
                <w:color w:val="000000"/>
                <w:sz w:val="18"/>
                <w:szCs w:val="18"/>
              </w:rPr>
              <w:t>Execution of Grant Amendments (budget change, extension, or early termination)</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2ABB297C" w14:textId="77777777">
            <w:pPr>
              <w:jc w:val="right"/>
              <w:rPr>
                <w:color w:val="000000"/>
                <w:sz w:val="18"/>
                <w:szCs w:val="18"/>
              </w:rPr>
            </w:pPr>
            <w:r>
              <w:rPr>
                <w:color w:val="000000"/>
                <w:sz w:val="18"/>
                <w:szCs w:val="18"/>
              </w:rPr>
              <w:t>30.00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9334739"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6F4032FD" w14:textId="77777777">
            <w:pPr>
              <w:jc w:val="right"/>
              <w:rPr>
                <w:color w:val="000000"/>
                <w:sz w:val="18"/>
                <w:szCs w:val="18"/>
              </w:rPr>
            </w:pPr>
            <w:r>
              <w:rPr>
                <w:color w:val="000000"/>
                <w:sz w:val="18"/>
                <w:szCs w:val="18"/>
              </w:rPr>
              <w:t>30.00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0CF11996" w14:textId="77777777">
            <w:pPr>
              <w:jc w:val="right"/>
              <w:rPr>
                <w:color w:val="000000"/>
                <w:sz w:val="18"/>
                <w:szCs w:val="18"/>
              </w:rPr>
            </w:pPr>
            <w:r>
              <w:rPr>
                <w:color w:val="000000"/>
                <w:sz w:val="18"/>
                <w:szCs w:val="18"/>
              </w:rPr>
              <w:t>6.00</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186F44C5" w14:textId="77777777">
            <w:pPr>
              <w:jc w:val="right"/>
              <w:rPr>
                <w:color w:val="000000"/>
                <w:sz w:val="18"/>
                <w:szCs w:val="18"/>
              </w:rPr>
            </w:pPr>
            <w:r>
              <w:rPr>
                <w:color w:val="000000"/>
                <w:sz w:val="18"/>
                <w:szCs w:val="18"/>
              </w:rPr>
              <w:t>180.00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7FADF2A9"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4F4326F8" w14:textId="77777777">
            <w:pPr>
              <w:jc w:val="right"/>
              <w:rPr>
                <w:color w:val="000000"/>
                <w:sz w:val="18"/>
                <w:szCs w:val="18"/>
              </w:rPr>
            </w:pPr>
            <w:r>
              <w:rPr>
                <w:color w:val="000000"/>
                <w:sz w:val="18"/>
                <w:szCs w:val="18"/>
              </w:rPr>
              <w:t xml:space="preserve">$7,446.60 </w:t>
            </w:r>
          </w:p>
        </w:tc>
      </w:tr>
      <w:tr w:rsidR="00C01865" w:rsidTr="00A73D8E" w14:paraId="13BDBDDC" w14:textId="77777777">
        <w:trPr>
          <w:trHeight w:val="66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00C01865" w:rsidRDefault="00C01865" w14:paraId="1132D3E5" w14:textId="77777777">
            <w:pPr>
              <w:rPr>
                <w:b/>
                <w:bCs/>
                <w:color w:val="000000"/>
                <w:sz w:val="18"/>
                <w:szCs w:val="18"/>
              </w:rPr>
            </w:pPr>
            <w:r>
              <w:rPr>
                <w:b/>
                <w:bCs/>
                <w:color w:val="000000"/>
                <w:sz w:val="18"/>
                <w:szCs w:val="18"/>
              </w:rPr>
              <w:t>Total</w:t>
            </w:r>
          </w:p>
        </w:tc>
        <w:tc>
          <w:tcPr>
            <w:tcW w:w="1260" w:type="dxa"/>
            <w:tcBorders>
              <w:top w:val="nil"/>
              <w:left w:val="nil"/>
              <w:bottom w:val="single" w:color="auto" w:sz="8" w:space="0"/>
              <w:right w:val="single" w:color="auto" w:sz="8" w:space="0"/>
            </w:tcBorders>
            <w:shd w:val="clear" w:color="auto" w:fill="auto"/>
            <w:vAlign w:val="center"/>
            <w:hideMark/>
          </w:tcPr>
          <w:p w:rsidR="00C01865" w:rsidRDefault="00C01865" w14:paraId="65F7C43E" w14:textId="6F6B4D30">
            <w:pPr>
              <w:jc w:val="right"/>
              <w:rPr>
                <w:b/>
                <w:bCs/>
                <w:color w:val="000000"/>
                <w:sz w:val="18"/>
                <w:szCs w:val="18"/>
              </w:rPr>
            </w:pPr>
            <w:r>
              <w:rPr>
                <w:b/>
                <w:bCs/>
                <w:color w:val="000000"/>
                <w:sz w:val="18"/>
                <w:szCs w:val="18"/>
              </w:rPr>
              <w:t>692.00</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6D30665F" w14:textId="77777777">
            <w:pPr>
              <w:jc w:val="right"/>
              <w:rPr>
                <w:color w:val="000000"/>
                <w:sz w:val="18"/>
                <w:szCs w:val="18"/>
              </w:rPr>
            </w:pPr>
            <w:r>
              <w:rPr>
                <w:color w:val="000000"/>
                <w:sz w:val="18"/>
                <w:szCs w:val="18"/>
              </w:rPr>
              <w:t> </w:t>
            </w:r>
          </w:p>
        </w:tc>
        <w:tc>
          <w:tcPr>
            <w:tcW w:w="1080" w:type="dxa"/>
            <w:tcBorders>
              <w:top w:val="nil"/>
              <w:left w:val="nil"/>
              <w:bottom w:val="single" w:color="auto" w:sz="8" w:space="0"/>
              <w:right w:val="single" w:color="auto" w:sz="8" w:space="0"/>
            </w:tcBorders>
            <w:shd w:val="clear" w:color="auto" w:fill="auto"/>
            <w:vAlign w:val="center"/>
            <w:hideMark/>
          </w:tcPr>
          <w:p w:rsidR="00C01865" w:rsidRDefault="00C01865" w14:paraId="74D44145" w14:textId="77777777">
            <w:pPr>
              <w:jc w:val="right"/>
              <w:rPr>
                <w:b/>
                <w:bCs/>
                <w:color w:val="000000"/>
                <w:sz w:val="18"/>
                <w:szCs w:val="18"/>
              </w:rPr>
            </w:pPr>
            <w:r>
              <w:rPr>
                <w:b/>
                <w:bCs/>
                <w:color w:val="000000"/>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00C01865" w:rsidRDefault="00C01865" w14:paraId="0DD8F087" w14:textId="77777777">
            <w:pPr>
              <w:ind w:firstLine="720" w:firstLineChars="400"/>
              <w:jc w:val="right"/>
              <w:rPr>
                <w:rFonts w:ascii="Calibri" w:hAnsi="Calibri" w:cs="Calibri"/>
                <w:color w:val="000000"/>
                <w:sz w:val="18"/>
                <w:szCs w:val="18"/>
              </w:rPr>
            </w:pPr>
            <w:r>
              <w:rPr>
                <w:rFonts w:ascii="Calibri" w:hAnsi="Calibri" w:eastAsia="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900" w:type="dxa"/>
            <w:tcBorders>
              <w:top w:val="nil"/>
              <w:left w:val="nil"/>
              <w:bottom w:val="single" w:color="auto" w:sz="8" w:space="0"/>
              <w:right w:val="single" w:color="auto" w:sz="8" w:space="0"/>
            </w:tcBorders>
            <w:shd w:val="clear" w:color="auto" w:fill="auto"/>
            <w:vAlign w:val="center"/>
            <w:hideMark/>
          </w:tcPr>
          <w:p w:rsidR="00C01865" w:rsidRDefault="00C01865" w14:paraId="56901347" w14:textId="79EB8ED7">
            <w:pPr>
              <w:jc w:val="right"/>
              <w:rPr>
                <w:b/>
                <w:bCs/>
                <w:color w:val="000000"/>
                <w:sz w:val="18"/>
                <w:szCs w:val="18"/>
              </w:rPr>
            </w:pPr>
            <w:r>
              <w:rPr>
                <w:b/>
                <w:bCs/>
                <w:color w:val="000000"/>
                <w:sz w:val="18"/>
                <w:szCs w:val="18"/>
              </w:rPr>
              <w:t>7,628.00</w:t>
            </w:r>
          </w:p>
        </w:tc>
        <w:tc>
          <w:tcPr>
            <w:tcW w:w="1033" w:type="dxa"/>
            <w:tcBorders>
              <w:top w:val="nil"/>
              <w:left w:val="nil"/>
              <w:bottom w:val="single" w:color="auto" w:sz="8" w:space="0"/>
              <w:right w:val="single" w:color="auto" w:sz="8" w:space="0"/>
            </w:tcBorders>
            <w:shd w:val="clear" w:color="auto" w:fill="auto"/>
            <w:vAlign w:val="center"/>
            <w:hideMark/>
          </w:tcPr>
          <w:p w:rsidR="00C01865" w:rsidRDefault="00C01865" w14:paraId="70407962" w14:textId="77777777">
            <w:pPr>
              <w:ind w:firstLine="720" w:firstLineChars="400"/>
              <w:jc w:val="right"/>
              <w:rPr>
                <w:rFonts w:ascii="Calibri" w:hAnsi="Calibri" w:cs="Calibri"/>
                <w:color w:val="000000"/>
                <w:sz w:val="18"/>
                <w:szCs w:val="18"/>
              </w:rPr>
            </w:pPr>
            <w:r>
              <w:rPr>
                <w:rFonts w:ascii="Calibri" w:hAnsi="Calibri" w:eastAsia="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1116" w:type="dxa"/>
            <w:tcBorders>
              <w:top w:val="nil"/>
              <w:left w:val="nil"/>
              <w:bottom w:val="single" w:color="auto" w:sz="8" w:space="0"/>
              <w:right w:val="single" w:color="auto" w:sz="8" w:space="0"/>
            </w:tcBorders>
            <w:shd w:val="clear" w:color="auto" w:fill="auto"/>
            <w:vAlign w:val="center"/>
            <w:hideMark/>
          </w:tcPr>
          <w:p w:rsidR="00C01865" w:rsidRDefault="00C01865" w14:paraId="747DA8B3" w14:textId="77777777">
            <w:pPr>
              <w:jc w:val="right"/>
              <w:rPr>
                <w:b/>
                <w:bCs/>
                <w:color w:val="000000"/>
                <w:sz w:val="18"/>
                <w:szCs w:val="18"/>
              </w:rPr>
            </w:pPr>
            <w:r>
              <w:rPr>
                <w:b/>
                <w:bCs/>
                <w:color w:val="000000"/>
                <w:sz w:val="18"/>
                <w:szCs w:val="18"/>
              </w:rPr>
              <w:t xml:space="preserve">$315,570.36 </w:t>
            </w:r>
          </w:p>
        </w:tc>
      </w:tr>
    </w:tbl>
    <w:p w:rsidR="00C01865" w:rsidRDefault="00C01865" w14:paraId="4AE78430" w14:textId="77777777">
      <w:pPr>
        <w:keepLines/>
        <w:tabs>
          <w:tab w:val="left" w:pos="360"/>
        </w:tabs>
        <w:spacing w:after="80"/>
        <w:ind w:left="360" w:hanging="360"/>
        <w:rPr>
          <w:color w:val="000000"/>
          <w:sz w:val="22"/>
          <w:szCs w:val="22"/>
        </w:rPr>
      </w:pPr>
    </w:p>
    <w:p w:rsidR="0061056B" w:rsidP="0061056B" w:rsidRDefault="00994883" w14:paraId="2E56C9EC" w14:textId="3BC4E72F">
      <w:pPr>
        <w:keepLines/>
        <w:tabs>
          <w:tab w:val="left" w:pos="0"/>
          <w:tab w:val="left" w:pos="720"/>
        </w:tabs>
        <w:spacing w:before="240"/>
        <w:rPr>
          <w:color w:val="000000"/>
          <w:sz w:val="22"/>
          <w:szCs w:val="22"/>
        </w:rPr>
      </w:pPr>
      <w:r>
        <w:rPr>
          <w:color w:val="000000"/>
          <w:sz w:val="22"/>
          <w:szCs w:val="22"/>
        </w:rPr>
        <w:t>All annualized costs reflect staff time spent on tasks in the table.</w:t>
      </w:r>
      <w:r w:rsidR="0061056B">
        <w:rPr>
          <w:color w:val="000000"/>
          <w:sz w:val="22"/>
          <w:szCs w:val="22"/>
        </w:rPr>
        <w:t xml:space="preserve"> The hourly rate is based on a GS-12 in Washington, DC. </w:t>
      </w:r>
      <w:r w:rsidR="001F113A">
        <w:rPr>
          <w:color w:val="000000"/>
          <w:sz w:val="22"/>
          <w:szCs w:val="22"/>
        </w:rPr>
        <w:t>7</w:t>
      </w:r>
      <w:r w:rsidR="0061056B">
        <w:rPr>
          <w:color w:val="000000"/>
          <w:sz w:val="22"/>
          <w:szCs w:val="22"/>
        </w:rPr>
        <w:t>,</w:t>
      </w:r>
      <w:r w:rsidR="001F113A">
        <w:rPr>
          <w:color w:val="000000"/>
          <w:sz w:val="22"/>
          <w:szCs w:val="22"/>
        </w:rPr>
        <w:t>628</w:t>
      </w:r>
      <w:r w:rsidR="00C1682B">
        <w:rPr>
          <w:color w:val="000000"/>
          <w:sz w:val="22"/>
          <w:szCs w:val="22"/>
        </w:rPr>
        <w:t>.00</w:t>
      </w:r>
      <w:r w:rsidRPr="00305E84" w:rsidR="0061056B">
        <w:rPr>
          <w:color w:val="000000"/>
          <w:sz w:val="22"/>
          <w:szCs w:val="22"/>
        </w:rPr>
        <w:t xml:space="preserve"> hours * $</w:t>
      </w:r>
      <w:r w:rsidR="00D91621">
        <w:rPr>
          <w:color w:val="000000"/>
          <w:sz w:val="22"/>
          <w:szCs w:val="22"/>
        </w:rPr>
        <w:t>41</w:t>
      </w:r>
      <w:r w:rsidR="0061056B">
        <w:rPr>
          <w:color w:val="000000"/>
          <w:sz w:val="22"/>
          <w:szCs w:val="22"/>
        </w:rPr>
        <w:t>.</w:t>
      </w:r>
      <w:r w:rsidR="00B114AA">
        <w:rPr>
          <w:color w:val="000000"/>
          <w:sz w:val="22"/>
          <w:szCs w:val="22"/>
        </w:rPr>
        <w:t>37</w:t>
      </w:r>
      <w:r w:rsidRPr="00305E84" w:rsidR="00B114AA">
        <w:rPr>
          <w:color w:val="000000"/>
          <w:sz w:val="22"/>
          <w:szCs w:val="22"/>
        </w:rPr>
        <w:t xml:space="preserve"> </w:t>
      </w:r>
      <w:r w:rsidRPr="00305E84" w:rsidR="0061056B">
        <w:rPr>
          <w:color w:val="000000"/>
          <w:sz w:val="22"/>
          <w:szCs w:val="22"/>
        </w:rPr>
        <w:t xml:space="preserve">= </w:t>
      </w:r>
      <w:r w:rsidRPr="00A73D8E" w:rsidR="00C01865">
        <w:rPr>
          <w:color w:val="000000"/>
          <w:sz w:val="22"/>
          <w:szCs w:val="22"/>
        </w:rPr>
        <w:t>$315,570.36</w:t>
      </w:r>
    </w:p>
    <w:p w:rsidR="00994883" w:rsidRDefault="00994883" w14:paraId="528D3F92" w14:textId="2857A435">
      <w:pPr>
        <w:tabs>
          <w:tab w:val="left" w:pos="360"/>
        </w:tabs>
        <w:ind w:left="360" w:hanging="360"/>
        <w:rPr>
          <w:color w:val="000000"/>
          <w:sz w:val="22"/>
          <w:szCs w:val="22"/>
        </w:rPr>
      </w:pPr>
    </w:p>
    <w:p w:rsidRPr="003B27A6" w:rsidR="00DB61AC" w:rsidRDefault="00DB61AC" w14:paraId="45434B3D" w14:textId="77777777">
      <w:pPr>
        <w:tabs>
          <w:tab w:val="left" w:pos="360"/>
        </w:tabs>
        <w:ind w:left="360" w:hanging="360"/>
        <w:rPr>
          <w:color w:val="000000"/>
          <w:sz w:val="22"/>
          <w:szCs w:val="22"/>
        </w:rPr>
      </w:pPr>
    </w:p>
    <w:p w:rsidRPr="003B27A6" w:rsidR="00D73EE7" w:rsidRDefault="00D73EE7" w14:paraId="0FCC9FE8" w14:textId="77777777">
      <w:pPr>
        <w:pStyle w:val="BodyTextIndent"/>
        <w:rPr>
          <w:szCs w:val="22"/>
        </w:rPr>
      </w:pPr>
      <w:r w:rsidRPr="00FE04B9">
        <w:rPr>
          <w:szCs w:val="22"/>
        </w:rPr>
        <w:t>15.</w:t>
      </w:r>
      <w:r w:rsidRPr="003B27A6">
        <w:rPr>
          <w:szCs w:val="22"/>
        </w:rPr>
        <w:tab/>
        <w:t>Explain any program changes or adjustments reported in items 13 and 14 of the OMB Form 83i.</w:t>
      </w:r>
    </w:p>
    <w:p w:rsidR="00D73EE7" w:rsidP="000D2DF6" w:rsidRDefault="00D73EE7" w14:paraId="381F2EEB" w14:textId="77777777">
      <w:pPr>
        <w:keepLines/>
        <w:tabs>
          <w:tab w:val="left" w:pos="360"/>
        </w:tabs>
        <w:spacing w:after="80"/>
        <w:rPr>
          <w:color w:val="000000"/>
          <w:sz w:val="22"/>
          <w:szCs w:val="22"/>
        </w:rPr>
      </w:pPr>
      <w:r w:rsidRPr="003B27A6">
        <w:rPr>
          <w:color w:val="000000"/>
          <w:sz w:val="22"/>
          <w:szCs w:val="22"/>
        </w:rPr>
        <w:t>Also explain any other changes/revisions to the information collection.</w:t>
      </w:r>
    </w:p>
    <w:p w:rsidR="0083523E" w:rsidP="000D2DF6" w:rsidRDefault="00C01865" w14:paraId="06038E79" w14:textId="652A6FEB">
      <w:pPr>
        <w:keepLines/>
        <w:tabs>
          <w:tab w:val="left" w:pos="360"/>
        </w:tabs>
        <w:spacing w:before="240" w:after="80"/>
        <w:rPr>
          <w:color w:val="000000"/>
          <w:sz w:val="22"/>
          <w:szCs w:val="22"/>
        </w:rPr>
      </w:pPr>
      <w:r w:rsidRPr="00E2682D">
        <w:rPr>
          <w:szCs w:val="22"/>
        </w:rPr>
        <w:t xml:space="preserve">This submission </w:t>
      </w:r>
      <w:r>
        <w:rPr>
          <w:szCs w:val="22"/>
        </w:rPr>
        <w:t xml:space="preserve">is to request a revision of a currently approved collection for the application submission and reporting burden associated with the Housing Opportunities for Persons With AIDS (HOPWA) program. </w:t>
      </w:r>
      <w:r w:rsidR="0083523E">
        <w:rPr>
          <w:color w:val="000000"/>
          <w:sz w:val="22"/>
          <w:szCs w:val="22"/>
        </w:rPr>
        <w:t xml:space="preserve">This submission is requesting an increase in burden hours </w:t>
      </w:r>
      <w:r w:rsidR="00495ADC">
        <w:rPr>
          <w:color w:val="000000"/>
          <w:sz w:val="22"/>
          <w:szCs w:val="22"/>
        </w:rPr>
        <w:t>to account for</w:t>
      </w:r>
      <w:r w:rsidR="0083523E">
        <w:rPr>
          <w:color w:val="000000"/>
          <w:sz w:val="22"/>
          <w:szCs w:val="22"/>
        </w:rPr>
        <w:t xml:space="preserve"> </w:t>
      </w:r>
      <w:r w:rsidR="005133F4">
        <w:rPr>
          <w:color w:val="000000"/>
          <w:sz w:val="22"/>
          <w:szCs w:val="22"/>
        </w:rPr>
        <w:t xml:space="preserve">the two added reporting forms for new competitive SPNS grants </w:t>
      </w:r>
      <w:r w:rsidR="00495ADC">
        <w:rPr>
          <w:color w:val="000000"/>
          <w:sz w:val="22"/>
          <w:szCs w:val="22"/>
        </w:rPr>
        <w:t>under this approval</w:t>
      </w:r>
      <w:r w:rsidR="005133F4">
        <w:rPr>
          <w:color w:val="000000"/>
          <w:sz w:val="22"/>
          <w:szCs w:val="22"/>
        </w:rPr>
        <w:t>. There is also an increase in the number of new competitive grants that can be funded through the HOPWA program accounting for the increase of 26 new grantee responses.</w:t>
      </w:r>
      <w:r w:rsidR="00495ADC">
        <w:rPr>
          <w:color w:val="000000"/>
          <w:sz w:val="22"/>
          <w:szCs w:val="22"/>
        </w:rPr>
        <w:t xml:space="preserve"> </w:t>
      </w:r>
      <w:r w:rsidR="0083523E">
        <w:rPr>
          <w:color w:val="000000"/>
          <w:sz w:val="22"/>
          <w:szCs w:val="22"/>
        </w:rPr>
        <w:t xml:space="preserve">It is projected that the </w:t>
      </w:r>
      <w:r w:rsidR="007E4664">
        <w:rPr>
          <w:color w:val="000000"/>
          <w:sz w:val="22"/>
          <w:szCs w:val="22"/>
        </w:rPr>
        <w:t>proposed</w:t>
      </w:r>
      <w:r w:rsidR="0083523E">
        <w:rPr>
          <w:color w:val="000000"/>
          <w:sz w:val="22"/>
          <w:szCs w:val="22"/>
        </w:rPr>
        <w:t xml:space="preserve"> revisions will increase the overall burden requirement shown below</w:t>
      </w:r>
      <w:r w:rsidR="005133F4">
        <w:rPr>
          <w:color w:val="000000"/>
          <w:sz w:val="22"/>
          <w:szCs w:val="22"/>
        </w:rPr>
        <w:t>.</w:t>
      </w:r>
    </w:p>
    <w:p w:rsidR="007E4664" w:rsidP="000D2DF6" w:rsidRDefault="007E4664" w14:paraId="517D715A" w14:textId="77777777">
      <w:pPr>
        <w:keepLines/>
        <w:tabs>
          <w:tab w:val="left" w:pos="360"/>
        </w:tabs>
        <w:spacing w:after="80"/>
        <w:rPr>
          <w:color w:val="000000"/>
          <w:sz w:val="22"/>
          <w:szCs w:val="22"/>
        </w:rPr>
      </w:pPr>
    </w:p>
    <w:p w:rsidRPr="000D2DF6" w:rsidR="007E4664" w:rsidP="000D2DF6" w:rsidRDefault="0083523E" w14:paraId="547268C7" w14:textId="77777777">
      <w:pPr>
        <w:keepLines/>
        <w:tabs>
          <w:tab w:val="left" w:pos="360"/>
        </w:tabs>
        <w:spacing w:after="80"/>
        <w:rPr>
          <w:sz w:val="22"/>
          <w:szCs w:val="22"/>
        </w:rPr>
      </w:pPr>
      <w:r w:rsidRPr="000D2DF6">
        <w:rPr>
          <w:sz w:val="22"/>
          <w:szCs w:val="22"/>
        </w:rPr>
        <w:t xml:space="preserve">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5"/>
        <w:gridCol w:w="2630"/>
        <w:gridCol w:w="2520"/>
      </w:tblGrid>
      <w:tr w:rsidRPr="00517720" w:rsidR="007E4664" w:rsidTr="009174AD" w14:paraId="755E945F" w14:textId="77777777">
        <w:tc>
          <w:tcPr>
            <w:tcW w:w="3125" w:type="dxa"/>
            <w:shd w:val="clear" w:color="auto" w:fill="auto"/>
          </w:tcPr>
          <w:p w:rsidRPr="009174AD" w:rsidR="007E4664" w:rsidP="009174AD" w:rsidRDefault="007E4664" w14:paraId="442A8763" w14:textId="77777777">
            <w:pPr>
              <w:keepLines/>
              <w:tabs>
                <w:tab w:val="left" w:pos="360"/>
              </w:tabs>
              <w:spacing w:after="80"/>
              <w:jc w:val="center"/>
              <w:rPr>
                <w:sz w:val="20"/>
                <w:szCs w:val="20"/>
              </w:rPr>
            </w:pPr>
          </w:p>
        </w:tc>
        <w:tc>
          <w:tcPr>
            <w:tcW w:w="2630" w:type="dxa"/>
            <w:shd w:val="clear" w:color="auto" w:fill="auto"/>
          </w:tcPr>
          <w:p w:rsidRPr="009174AD" w:rsidR="007E4664" w:rsidP="009174AD" w:rsidRDefault="007E4664" w14:paraId="2E98CCCA" w14:textId="77777777">
            <w:pPr>
              <w:keepLines/>
              <w:tabs>
                <w:tab w:val="left" w:pos="360"/>
              </w:tabs>
              <w:spacing w:after="80"/>
              <w:jc w:val="center"/>
              <w:rPr>
                <w:b/>
                <w:sz w:val="20"/>
                <w:szCs w:val="20"/>
              </w:rPr>
            </w:pPr>
            <w:r w:rsidRPr="009174AD">
              <w:rPr>
                <w:b/>
                <w:sz w:val="20"/>
                <w:szCs w:val="20"/>
              </w:rPr>
              <w:t>Responses</w:t>
            </w:r>
          </w:p>
        </w:tc>
        <w:tc>
          <w:tcPr>
            <w:tcW w:w="2520" w:type="dxa"/>
            <w:shd w:val="clear" w:color="auto" w:fill="auto"/>
          </w:tcPr>
          <w:p w:rsidRPr="009174AD" w:rsidR="007E4664" w:rsidP="009174AD" w:rsidRDefault="007E4664" w14:paraId="36F52378" w14:textId="77777777">
            <w:pPr>
              <w:keepLines/>
              <w:tabs>
                <w:tab w:val="left" w:pos="360"/>
              </w:tabs>
              <w:spacing w:after="80"/>
              <w:jc w:val="center"/>
              <w:rPr>
                <w:b/>
                <w:sz w:val="20"/>
                <w:szCs w:val="20"/>
              </w:rPr>
            </w:pPr>
            <w:r w:rsidRPr="009174AD">
              <w:rPr>
                <w:b/>
                <w:sz w:val="20"/>
                <w:szCs w:val="20"/>
              </w:rPr>
              <w:t>Hours</w:t>
            </w:r>
          </w:p>
        </w:tc>
      </w:tr>
      <w:tr w:rsidRPr="00517720" w:rsidR="007E4664" w:rsidTr="009174AD" w14:paraId="68FECB6E" w14:textId="77777777">
        <w:tc>
          <w:tcPr>
            <w:tcW w:w="3125" w:type="dxa"/>
            <w:shd w:val="clear" w:color="auto" w:fill="auto"/>
          </w:tcPr>
          <w:p w:rsidRPr="009174AD" w:rsidR="007E4664" w:rsidP="00A54704" w:rsidRDefault="007E4664" w14:paraId="486F024A" w14:textId="77777777">
            <w:pPr>
              <w:keepLines/>
              <w:tabs>
                <w:tab w:val="left" w:pos="360"/>
              </w:tabs>
              <w:spacing w:after="80"/>
              <w:rPr>
                <w:b/>
                <w:sz w:val="20"/>
                <w:szCs w:val="20"/>
              </w:rPr>
            </w:pPr>
            <w:r w:rsidRPr="009174AD">
              <w:rPr>
                <w:b/>
                <w:sz w:val="20"/>
                <w:szCs w:val="20"/>
              </w:rPr>
              <w:t>Previous</w:t>
            </w:r>
          </w:p>
        </w:tc>
        <w:tc>
          <w:tcPr>
            <w:tcW w:w="2630" w:type="dxa"/>
            <w:shd w:val="clear" w:color="auto" w:fill="auto"/>
          </w:tcPr>
          <w:p w:rsidRPr="009174AD" w:rsidR="007E4664" w:rsidP="009174AD" w:rsidRDefault="005133F4" w14:paraId="65B79B6F" w14:textId="6FA7ABD4">
            <w:pPr>
              <w:keepLines/>
              <w:tabs>
                <w:tab w:val="left" w:pos="360"/>
              </w:tabs>
              <w:spacing w:after="80"/>
              <w:jc w:val="right"/>
              <w:rPr>
                <w:sz w:val="20"/>
                <w:szCs w:val="20"/>
              </w:rPr>
            </w:pPr>
            <w:r w:rsidRPr="009174AD">
              <w:rPr>
                <w:sz w:val="20"/>
                <w:szCs w:val="20"/>
              </w:rPr>
              <w:t>25</w:t>
            </w:r>
            <w:r>
              <w:rPr>
                <w:sz w:val="20"/>
                <w:szCs w:val="20"/>
              </w:rPr>
              <w:t>8</w:t>
            </w:r>
          </w:p>
        </w:tc>
        <w:tc>
          <w:tcPr>
            <w:tcW w:w="2520" w:type="dxa"/>
            <w:shd w:val="clear" w:color="auto" w:fill="auto"/>
          </w:tcPr>
          <w:p w:rsidRPr="009174AD" w:rsidR="007E4664" w:rsidP="009174AD" w:rsidRDefault="005133F4" w14:paraId="4FD2E743" w14:textId="0E77D6E2">
            <w:pPr>
              <w:keepLines/>
              <w:tabs>
                <w:tab w:val="left" w:pos="360"/>
              </w:tabs>
              <w:spacing w:after="80"/>
              <w:jc w:val="right"/>
              <w:rPr>
                <w:sz w:val="20"/>
                <w:szCs w:val="20"/>
              </w:rPr>
            </w:pPr>
            <w:r w:rsidRPr="009174AD">
              <w:rPr>
                <w:bCs/>
                <w:color w:val="000000"/>
                <w:sz w:val="20"/>
                <w:szCs w:val="20"/>
              </w:rPr>
              <w:t>26,713</w:t>
            </w:r>
          </w:p>
        </w:tc>
      </w:tr>
      <w:tr w:rsidRPr="00517720" w:rsidR="007E4664" w:rsidTr="009174AD" w14:paraId="5F0CE4CD" w14:textId="77777777">
        <w:tc>
          <w:tcPr>
            <w:tcW w:w="3125" w:type="dxa"/>
            <w:shd w:val="clear" w:color="auto" w:fill="auto"/>
          </w:tcPr>
          <w:p w:rsidRPr="009174AD" w:rsidR="007E4664" w:rsidP="00A54704" w:rsidRDefault="007E4664" w14:paraId="11CF2FDA" w14:textId="77777777">
            <w:pPr>
              <w:keepLines/>
              <w:tabs>
                <w:tab w:val="left" w:pos="360"/>
              </w:tabs>
              <w:spacing w:after="80"/>
              <w:rPr>
                <w:b/>
                <w:sz w:val="20"/>
                <w:szCs w:val="20"/>
              </w:rPr>
            </w:pPr>
            <w:r w:rsidRPr="009174AD">
              <w:rPr>
                <w:b/>
                <w:sz w:val="20"/>
                <w:szCs w:val="20"/>
              </w:rPr>
              <w:t>New</w:t>
            </w:r>
          </w:p>
        </w:tc>
        <w:tc>
          <w:tcPr>
            <w:tcW w:w="2630" w:type="dxa"/>
            <w:shd w:val="clear" w:color="auto" w:fill="auto"/>
          </w:tcPr>
          <w:p w:rsidRPr="009174AD" w:rsidR="007E4664" w:rsidP="009174AD" w:rsidRDefault="005133F4" w14:paraId="546B7F75" w14:textId="267B611D">
            <w:pPr>
              <w:keepLines/>
              <w:tabs>
                <w:tab w:val="left" w:pos="360"/>
              </w:tabs>
              <w:spacing w:after="80"/>
              <w:jc w:val="right"/>
              <w:rPr>
                <w:sz w:val="20"/>
                <w:szCs w:val="20"/>
              </w:rPr>
            </w:pPr>
            <w:r w:rsidRPr="009174AD">
              <w:rPr>
                <w:sz w:val="20"/>
                <w:szCs w:val="20"/>
              </w:rPr>
              <w:t>2</w:t>
            </w:r>
            <w:r>
              <w:rPr>
                <w:sz w:val="20"/>
                <w:szCs w:val="20"/>
              </w:rPr>
              <w:t>84</w:t>
            </w:r>
          </w:p>
        </w:tc>
        <w:tc>
          <w:tcPr>
            <w:tcW w:w="2520" w:type="dxa"/>
            <w:shd w:val="clear" w:color="auto" w:fill="auto"/>
          </w:tcPr>
          <w:p w:rsidRPr="009174AD" w:rsidR="007E4664" w:rsidP="009174AD" w:rsidRDefault="006448FB" w14:paraId="3B058D5C" w14:textId="262F167E">
            <w:pPr>
              <w:keepLines/>
              <w:tabs>
                <w:tab w:val="left" w:pos="360"/>
              </w:tabs>
              <w:spacing w:after="80"/>
              <w:jc w:val="right"/>
              <w:rPr>
                <w:sz w:val="20"/>
                <w:szCs w:val="20"/>
              </w:rPr>
            </w:pPr>
            <w:r>
              <w:rPr>
                <w:sz w:val="20"/>
                <w:szCs w:val="20"/>
              </w:rPr>
              <w:t>30,228</w:t>
            </w:r>
          </w:p>
        </w:tc>
      </w:tr>
      <w:tr w:rsidRPr="00517720" w:rsidR="007E4664" w:rsidTr="009174AD" w14:paraId="4BF2FE76" w14:textId="77777777">
        <w:tc>
          <w:tcPr>
            <w:tcW w:w="3125" w:type="dxa"/>
            <w:shd w:val="clear" w:color="auto" w:fill="auto"/>
          </w:tcPr>
          <w:p w:rsidRPr="009174AD" w:rsidR="007E4664" w:rsidP="00A54704" w:rsidRDefault="007E4664" w14:paraId="0CB27946" w14:textId="77777777">
            <w:pPr>
              <w:keepLines/>
              <w:tabs>
                <w:tab w:val="left" w:pos="360"/>
              </w:tabs>
              <w:spacing w:after="80"/>
              <w:rPr>
                <w:b/>
                <w:sz w:val="20"/>
                <w:szCs w:val="20"/>
              </w:rPr>
            </w:pPr>
            <w:r w:rsidRPr="009174AD">
              <w:rPr>
                <w:b/>
                <w:sz w:val="20"/>
                <w:szCs w:val="20"/>
              </w:rPr>
              <w:t>Adjustment</w:t>
            </w:r>
          </w:p>
        </w:tc>
        <w:tc>
          <w:tcPr>
            <w:tcW w:w="2630" w:type="dxa"/>
            <w:shd w:val="clear" w:color="auto" w:fill="auto"/>
          </w:tcPr>
          <w:p w:rsidRPr="009174AD" w:rsidR="007E4664" w:rsidP="009174AD" w:rsidRDefault="007E4664" w14:paraId="35E31C04" w14:textId="777EB8EF">
            <w:pPr>
              <w:keepLines/>
              <w:tabs>
                <w:tab w:val="left" w:pos="360"/>
              </w:tabs>
              <w:spacing w:after="80"/>
              <w:jc w:val="right"/>
              <w:rPr>
                <w:sz w:val="20"/>
                <w:szCs w:val="20"/>
              </w:rPr>
            </w:pPr>
            <w:r w:rsidRPr="009174AD">
              <w:rPr>
                <w:sz w:val="20"/>
                <w:szCs w:val="20"/>
              </w:rPr>
              <w:t xml:space="preserve">+ </w:t>
            </w:r>
            <w:r w:rsidR="005133F4">
              <w:rPr>
                <w:sz w:val="20"/>
                <w:szCs w:val="20"/>
              </w:rPr>
              <w:t>26</w:t>
            </w:r>
          </w:p>
        </w:tc>
        <w:tc>
          <w:tcPr>
            <w:tcW w:w="2520" w:type="dxa"/>
            <w:shd w:val="clear" w:color="auto" w:fill="auto"/>
          </w:tcPr>
          <w:p w:rsidRPr="009174AD" w:rsidR="007E4664" w:rsidP="009174AD" w:rsidRDefault="007E4664" w14:paraId="64B69806" w14:textId="676491B6">
            <w:pPr>
              <w:keepLines/>
              <w:tabs>
                <w:tab w:val="left" w:pos="360"/>
              </w:tabs>
              <w:spacing w:after="80"/>
              <w:jc w:val="right"/>
              <w:rPr>
                <w:sz w:val="20"/>
                <w:szCs w:val="20"/>
              </w:rPr>
            </w:pPr>
            <w:r w:rsidRPr="009174AD">
              <w:rPr>
                <w:sz w:val="20"/>
                <w:szCs w:val="20"/>
              </w:rPr>
              <w:t xml:space="preserve">+ </w:t>
            </w:r>
            <w:r w:rsidR="00AE666B">
              <w:rPr>
                <w:sz w:val="20"/>
                <w:szCs w:val="20"/>
              </w:rPr>
              <w:t>3</w:t>
            </w:r>
            <w:r w:rsidRPr="009174AD">
              <w:rPr>
                <w:sz w:val="20"/>
                <w:szCs w:val="20"/>
              </w:rPr>
              <w:t>,</w:t>
            </w:r>
            <w:r w:rsidR="00AE666B">
              <w:rPr>
                <w:sz w:val="20"/>
                <w:szCs w:val="20"/>
              </w:rPr>
              <w:t>515</w:t>
            </w:r>
          </w:p>
        </w:tc>
      </w:tr>
    </w:tbl>
    <w:p w:rsidR="00D73EE7" w:rsidRDefault="00D73EE7" w14:paraId="4418DE5E" w14:textId="245D57AE">
      <w:pPr>
        <w:tabs>
          <w:tab w:val="left" w:pos="360"/>
        </w:tabs>
        <w:ind w:left="360" w:hanging="360"/>
        <w:rPr>
          <w:color w:val="000000"/>
          <w:sz w:val="22"/>
          <w:szCs w:val="22"/>
        </w:rPr>
      </w:pPr>
    </w:p>
    <w:p w:rsidRPr="003B27A6" w:rsidR="00DB61AC" w:rsidRDefault="00DB61AC" w14:paraId="2BF9758B" w14:textId="77777777">
      <w:pPr>
        <w:tabs>
          <w:tab w:val="left" w:pos="360"/>
        </w:tabs>
        <w:ind w:left="360" w:hanging="360"/>
        <w:rPr>
          <w:color w:val="000000"/>
          <w:sz w:val="22"/>
          <w:szCs w:val="22"/>
        </w:rPr>
      </w:pPr>
    </w:p>
    <w:p w:rsidR="00D73EE7" w:rsidRDefault="00D73EE7" w14:paraId="09178C66" w14:textId="77777777">
      <w:pPr>
        <w:keepLines/>
        <w:tabs>
          <w:tab w:val="left" w:pos="360"/>
          <w:tab w:val="left" w:pos="720"/>
        </w:tabs>
        <w:ind w:left="360" w:hanging="360"/>
        <w:rPr>
          <w:color w:val="000000"/>
          <w:sz w:val="22"/>
          <w:szCs w:val="22"/>
        </w:rPr>
      </w:pPr>
      <w:r w:rsidRPr="00FE04B9">
        <w:rPr>
          <w:color w:val="000000"/>
          <w:sz w:val="22"/>
          <w:szCs w:val="22"/>
        </w:rPr>
        <w:t>16.</w:t>
      </w:r>
      <w:r w:rsidRPr="003B27A6">
        <w:rPr>
          <w:color w:val="000000"/>
          <w:sz w:val="22"/>
          <w:szCs w:val="22"/>
        </w:rPr>
        <w:tab/>
        <w:t xml:space="preserve">If the information will be published, outline plans for tabulation and publication.  </w:t>
      </w:r>
    </w:p>
    <w:p w:rsidR="00994883" w:rsidP="000D2DF6" w:rsidRDefault="00B37D9B" w14:paraId="6771ED22" w14:textId="77777777">
      <w:pPr>
        <w:keepLines/>
        <w:tabs>
          <w:tab w:val="left" w:pos="0"/>
          <w:tab w:val="left" w:pos="720"/>
        </w:tabs>
        <w:spacing w:before="240"/>
        <w:rPr>
          <w:color w:val="000000"/>
          <w:sz w:val="22"/>
          <w:szCs w:val="22"/>
        </w:rPr>
      </w:pPr>
      <w:r w:rsidRPr="000D2DF6">
        <w:rPr>
          <w:color w:val="000000"/>
          <w:sz w:val="22"/>
          <w:szCs w:val="22"/>
        </w:rPr>
        <w:t>The Department analyzes grantee performance and accomplishment data on an annual basis and responds to congressional and budget inquiries for specific reporting of program accomplishments.</w:t>
      </w:r>
      <w:r w:rsidR="007E4664">
        <w:rPr>
          <w:color w:val="000000"/>
          <w:sz w:val="22"/>
          <w:szCs w:val="22"/>
        </w:rPr>
        <w:t xml:space="preserve"> National and grantee-level performance profiles based on information submitted in the APR and CAPER are posted on the HOPWA page on the HUD Exchange website</w:t>
      </w:r>
      <w:r w:rsidR="00AF78C7">
        <w:rPr>
          <w:color w:val="000000"/>
          <w:sz w:val="22"/>
          <w:szCs w:val="22"/>
        </w:rPr>
        <w:t xml:space="preserve"> quarterly</w:t>
      </w:r>
      <w:r w:rsidR="006B6EF3">
        <w:rPr>
          <w:color w:val="000000"/>
          <w:sz w:val="22"/>
          <w:szCs w:val="22"/>
        </w:rPr>
        <w:t xml:space="preserve"> in March, June, September, and December</w:t>
      </w:r>
      <w:r w:rsidR="007E4664">
        <w:rPr>
          <w:color w:val="000000"/>
          <w:sz w:val="22"/>
          <w:szCs w:val="22"/>
        </w:rPr>
        <w:t>.</w:t>
      </w:r>
    </w:p>
    <w:p w:rsidR="00D73EE7" w:rsidRDefault="00D73EE7" w14:paraId="18A32784" w14:textId="1C1F2C57">
      <w:pPr>
        <w:tabs>
          <w:tab w:val="left" w:pos="360"/>
        </w:tabs>
        <w:ind w:left="360" w:hanging="360"/>
        <w:rPr>
          <w:color w:val="000000"/>
          <w:sz w:val="22"/>
          <w:szCs w:val="22"/>
        </w:rPr>
      </w:pPr>
    </w:p>
    <w:p w:rsidRPr="003B27A6" w:rsidR="00DB61AC" w:rsidRDefault="00DB61AC" w14:paraId="72F4CD16" w14:textId="77777777">
      <w:pPr>
        <w:tabs>
          <w:tab w:val="left" w:pos="360"/>
        </w:tabs>
        <w:ind w:left="360" w:hanging="360"/>
        <w:rPr>
          <w:color w:val="000000"/>
          <w:sz w:val="22"/>
          <w:szCs w:val="22"/>
        </w:rPr>
      </w:pPr>
    </w:p>
    <w:p w:rsidRPr="003B27A6" w:rsidR="00D73EE7" w:rsidRDefault="00D73EE7" w14:paraId="462FB796" w14:textId="77777777">
      <w:pPr>
        <w:keepLines/>
        <w:tabs>
          <w:tab w:val="left" w:pos="360"/>
          <w:tab w:val="left" w:pos="720"/>
        </w:tabs>
        <w:ind w:left="360" w:hanging="360"/>
        <w:rPr>
          <w:color w:val="000000"/>
          <w:sz w:val="22"/>
          <w:szCs w:val="22"/>
        </w:rPr>
      </w:pPr>
      <w:r w:rsidRPr="003B27A6">
        <w:rPr>
          <w:color w:val="000000"/>
          <w:sz w:val="22"/>
          <w:szCs w:val="22"/>
        </w:rPr>
        <w:t>17.</w:t>
      </w:r>
      <w:r w:rsidRPr="003B27A6">
        <w:rPr>
          <w:color w:val="000000"/>
          <w:sz w:val="22"/>
          <w:szCs w:val="22"/>
        </w:rPr>
        <w:tab/>
        <w:t xml:space="preserve">Explain any request to not display the expiration date. </w:t>
      </w:r>
    </w:p>
    <w:p w:rsidRPr="003B27A6" w:rsidR="00994883" w:rsidP="00A73D8E" w:rsidRDefault="00994883" w14:paraId="2FA2DE05" w14:textId="77777777">
      <w:pPr>
        <w:tabs>
          <w:tab w:val="left" w:pos="0"/>
        </w:tabs>
        <w:spacing w:before="240" w:after="240"/>
        <w:rPr>
          <w:color w:val="000000"/>
          <w:sz w:val="22"/>
          <w:szCs w:val="22"/>
        </w:rPr>
      </w:pPr>
      <w:r>
        <w:rPr>
          <w:color w:val="000000"/>
          <w:sz w:val="22"/>
          <w:szCs w:val="22"/>
        </w:rPr>
        <w:t>No approval is sought to not display the expiration date for the OMB approval of the information collected.</w:t>
      </w:r>
    </w:p>
    <w:p w:rsidR="00DB61AC" w:rsidP="00A73D8E" w:rsidRDefault="00DB61AC" w14:paraId="6DBDE541" w14:textId="77777777">
      <w:pPr>
        <w:pStyle w:val="BodyTextIndent"/>
        <w:keepLines w:val="0"/>
        <w:spacing w:before="240"/>
        <w:rPr>
          <w:szCs w:val="22"/>
        </w:rPr>
      </w:pPr>
    </w:p>
    <w:p w:rsidRPr="003B27A6" w:rsidR="00D73EE7" w:rsidP="00A73D8E" w:rsidRDefault="00D73EE7" w14:paraId="162C2835" w14:textId="3E76C705">
      <w:pPr>
        <w:pStyle w:val="BodyTextIndent"/>
        <w:keepLines w:val="0"/>
        <w:rPr>
          <w:szCs w:val="22"/>
        </w:rPr>
      </w:pPr>
      <w:r w:rsidRPr="003B27A6">
        <w:rPr>
          <w:szCs w:val="22"/>
        </w:rPr>
        <w:t>18.</w:t>
      </w:r>
      <w:r w:rsidRPr="003B27A6">
        <w:rPr>
          <w:szCs w:val="22"/>
        </w:rPr>
        <w:tab/>
        <w:t xml:space="preserve">Explain each exception to the certification statement identified in item 83i-19.  </w:t>
      </w:r>
    </w:p>
    <w:p w:rsidR="002260F4" w:rsidP="000D2DF6" w:rsidRDefault="001A62FC" w14:paraId="370F2A2F" w14:textId="77777777">
      <w:pPr>
        <w:spacing w:before="240"/>
        <w:rPr>
          <w:color w:val="000000"/>
          <w:sz w:val="22"/>
          <w:szCs w:val="22"/>
        </w:rPr>
      </w:pPr>
      <w:r>
        <w:rPr>
          <w:color w:val="000000"/>
          <w:sz w:val="22"/>
          <w:szCs w:val="22"/>
        </w:rPr>
        <w:t>No exception is sought to the certification statement.</w:t>
      </w:r>
      <w:r w:rsidRPr="003B27A6" w:rsidR="00D73EE7">
        <w:rPr>
          <w:color w:val="000000"/>
          <w:sz w:val="22"/>
          <w:szCs w:val="22"/>
        </w:rPr>
        <w:t xml:space="preserve"> </w:t>
      </w:r>
    </w:p>
    <w:p w:rsidR="00B37D9B" w:rsidP="000D2DF6" w:rsidRDefault="00B37D9B" w14:paraId="5BD21800" w14:textId="77777777">
      <w:pPr>
        <w:spacing w:before="240"/>
        <w:jc w:val="both"/>
        <w:rPr>
          <w:color w:val="000000"/>
          <w:sz w:val="22"/>
          <w:szCs w:val="22"/>
        </w:rPr>
      </w:pPr>
    </w:p>
    <w:p w:rsidRPr="000D2DF6" w:rsidR="00B37D9B" w:rsidP="000D2DF6" w:rsidRDefault="00B37D9B" w14:paraId="25EFAA6B" w14:textId="77777777">
      <w:pPr>
        <w:spacing w:before="240"/>
        <w:jc w:val="both"/>
        <w:rPr>
          <w:color w:val="000000"/>
          <w:sz w:val="22"/>
          <w:szCs w:val="22"/>
        </w:rPr>
      </w:pPr>
      <w:r w:rsidRPr="000D2DF6">
        <w:rPr>
          <w:color w:val="000000"/>
          <w:sz w:val="22"/>
          <w:szCs w:val="22"/>
        </w:rPr>
        <w:t>B. Collections of Information Employing Statistical Methods</w:t>
      </w:r>
    </w:p>
    <w:p w:rsidR="00B37D9B" w:rsidP="000D2DF6" w:rsidRDefault="00B37D9B" w14:paraId="76698C5B" w14:textId="77777777">
      <w:pPr>
        <w:spacing w:before="240"/>
        <w:jc w:val="both"/>
        <w:rPr>
          <w:color w:val="000000"/>
          <w:sz w:val="22"/>
          <w:szCs w:val="22"/>
        </w:rPr>
      </w:pPr>
      <w:r w:rsidRPr="000D2DF6">
        <w:rPr>
          <w:color w:val="000000"/>
          <w:sz w:val="22"/>
          <w:szCs w:val="22"/>
        </w:rPr>
        <w:t>The HOPWA program does not use statistical methods.</w:t>
      </w:r>
    </w:p>
    <w:p w:rsidRPr="003B27A6" w:rsidR="00B37D9B" w:rsidP="000D2DF6" w:rsidRDefault="00B37D9B" w14:paraId="4A3A75D2" w14:textId="77777777">
      <w:pPr>
        <w:rPr>
          <w:color w:val="000000"/>
          <w:sz w:val="22"/>
          <w:szCs w:val="22"/>
        </w:rPr>
      </w:pPr>
    </w:p>
    <w:sectPr w:rsidRPr="003B27A6" w:rsidR="00B37D9B">
      <w:pgSz w:w="12240" w:h="15840"/>
      <w:pgMar w:top="960" w:right="1440" w:bottom="9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A7AFA" w14:textId="77777777" w:rsidR="00D16758" w:rsidRDefault="00D16758" w:rsidP="000D2DF6">
      <w:r>
        <w:separator/>
      </w:r>
    </w:p>
  </w:endnote>
  <w:endnote w:type="continuationSeparator" w:id="0">
    <w:p w14:paraId="30BC0632" w14:textId="77777777" w:rsidR="00D16758" w:rsidRDefault="00D16758" w:rsidP="000D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985BE" w14:textId="77777777" w:rsidR="00D16758" w:rsidRDefault="00D16758" w:rsidP="000D2DF6">
      <w:r>
        <w:separator/>
      </w:r>
    </w:p>
  </w:footnote>
  <w:footnote w:type="continuationSeparator" w:id="0">
    <w:p w14:paraId="45563CDA" w14:textId="77777777" w:rsidR="00D16758" w:rsidRDefault="00D16758" w:rsidP="000D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FAE5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26EA4E0"/>
    <w:lvl w:ilvl="0">
      <w:numFmt w:val="decimal"/>
      <w:lvlText w:val="*"/>
      <w:lvlJc w:val="left"/>
    </w:lvl>
  </w:abstractNum>
  <w:abstractNum w:abstractNumId="2" w15:restartNumberingAfterBreak="0">
    <w:nsid w:val="033363FD"/>
    <w:multiLevelType w:val="hybridMultilevel"/>
    <w:tmpl w:val="39DE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C6E04"/>
    <w:multiLevelType w:val="hybridMultilevel"/>
    <w:tmpl w:val="BCE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D1B0A"/>
    <w:multiLevelType w:val="hybridMultilevel"/>
    <w:tmpl w:val="20A6F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2C3703"/>
    <w:multiLevelType w:val="hybridMultilevel"/>
    <w:tmpl w:val="364A2B8E"/>
    <w:lvl w:ilvl="0" w:tplc="BB621BD6">
      <w:start w:val="1"/>
      <w:numFmt w:val="upperRoman"/>
      <w:lvlText w:val="%1."/>
      <w:lvlJc w:val="left"/>
      <w:pPr>
        <w:ind w:left="829" w:hanging="360"/>
      </w:pPr>
      <w:rPr>
        <w:rFonts w:ascii="Times New Roman" w:hAnsi="Times New Roman" w:cs="Times New Roman" w:hint="default"/>
        <w:sz w:val="40"/>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9" w15:restartNumberingAfterBreak="0">
    <w:nsid w:val="109E242E"/>
    <w:multiLevelType w:val="hybridMultilevel"/>
    <w:tmpl w:val="1DD4C2A0"/>
    <w:lvl w:ilvl="0" w:tplc="07C6A42A">
      <w:start w:val="1"/>
      <w:numFmt w:val="upperRoman"/>
      <w:lvlText w:val="%1."/>
      <w:lvlJc w:val="left"/>
      <w:pPr>
        <w:ind w:left="1080" w:hanging="720"/>
      </w:pPr>
      <w:rPr>
        <w:rFonts w:hint="default"/>
        <w:b w:val="0"/>
      </w:rPr>
    </w:lvl>
    <w:lvl w:ilvl="1" w:tplc="1A8A61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9756C"/>
    <w:multiLevelType w:val="hybridMultilevel"/>
    <w:tmpl w:val="E56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971A5"/>
    <w:multiLevelType w:val="hybridMultilevel"/>
    <w:tmpl w:val="87B83E00"/>
    <w:lvl w:ilvl="0" w:tplc="71DA1588">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64C43"/>
    <w:multiLevelType w:val="hybridMultilevel"/>
    <w:tmpl w:val="6FCA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F0811"/>
    <w:multiLevelType w:val="hybridMultilevel"/>
    <w:tmpl w:val="30FE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3D2C1A"/>
    <w:multiLevelType w:val="hybridMultilevel"/>
    <w:tmpl w:val="6F7C82EC"/>
    <w:lvl w:ilvl="0" w:tplc="14EAAE26">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046FE"/>
    <w:multiLevelType w:val="hybridMultilevel"/>
    <w:tmpl w:val="9650F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461C8"/>
    <w:multiLevelType w:val="hybridMultilevel"/>
    <w:tmpl w:val="EECE0A5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343427"/>
    <w:multiLevelType w:val="hybridMultilevel"/>
    <w:tmpl w:val="AA5E6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B7C70"/>
    <w:multiLevelType w:val="hybridMultilevel"/>
    <w:tmpl w:val="39805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C07339"/>
    <w:multiLevelType w:val="hybridMultilevel"/>
    <w:tmpl w:val="54F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C315E"/>
    <w:multiLevelType w:val="hybridMultilevel"/>
    <w:tmpl w:val="FA34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15:restartNumberingAfterBreak="0">
    <w:nsid w:val="7CC44AC7"/>
    <w:multiLevelType w:val="hybridMultilevel"/>
    <w:tmpl w:val="114AA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23"/>
  </w:num>
  <w:num w:numId="3">
    <w:abstractNumId w:val="6"/>
  </w:num>
  <w:num w:numId="4">
    <w:abstractNumId w:val="20"/>
  </w:num>
  <w:num w:numId="5">
    <w:abstractNumId w:val="15"/>
  </w:num>
  <w:num w:numId="6">
    <w:abstractNumId w:val="14"/>
  </w:num>
  <w:num w:numId="7">
    <w:abstractNumId w:val="3"/>
  </w:num>
  <w:num w:numId="8">
    <w:abstractNumId w:val="26"/>
  </w:num>
  <w:num w:numId="9">
    <w:abstractNumId w:val="18"/>
  </w:num>
  <w:num w:numId="10">
    <w:abstractNumId w:val="7"/>
  </w:num>
  <w:num w:numId="11">
    <w:abstractNumId w:val="0"/>
  </w:num>
  <w:num w:numId="12">
    <w:abstractNumId w:val="24"/>
  </w:num>
  <w:num w:numId="13">
    <w:abstractNumId w:val="17"/>
  </w:num>
  <w:num w:numId="14">
    <w:abstractNumId w:val="21"/>
  </w:num>
  <w:num w:numId="15">
    <w:abstractNumId w:val="19"/>
  </w:num>
  <w:num w:numId="16">
    <w:abstractNumId w:val="4"/>
  </w:num>
  <w:num w:numId="17">
    <w:abstractNumId w:val="9"/>
  </w:num>
  <w:num w:numId="18">
    <w:abstractNumId w:val="13"/>
  </w:num>
  <w:num w:numId="19">
    <w:abstractNumId w:val="8"/>
  </w:num>
  <w:num w:numId="20">
    <w:abstractNumId w:val="22"/>
  </w:num>
  <w:num w:numId="21">
    <w:abstractNumId w:val="27"/>
  </w:num>
  <w:num w:numId="22">
    <w:abstractNumId w:val="16"/>
  </w:num>
  <w:num w:numId="23">
    <w:abstractNumId w:val="11"/>
  </w:num>
  <w:num w:numId="24">
    <w:abstractNumId w:val="10"/>
  </w:num>
  <w:num w:numId="25">
    <w:abstractNumId w:val="12"/>
  </w:num>
  <w:num w:numId="26">
    <w:abstractNumId w:val="5"/>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5F"/>
    <w:rsid w:val="000005D8"/>
    <w:rsid w:val="000007ED"/>
    <w:rsid w:val="00023BB4"/>
    <w:rsid w:val="00030661"/>
    <w:rsid w:val="000506F9"/>
    <w:rsid w:val="00053B4C"/>
    <w:rsid w:val="00062554"/>
    <w:rsid w:val="000B5411"/>
    <w:rsid w:val="000B5C46"/>
    <w:rsid w:val="000C14CE"/>
    <w:rsid w:val="000C2A55"/>
    <w:rsid w:val="000C67AE"/>
    <w:rsid w:val="000D2DF6"/>
    <w:rsid w:val="000D4B55"/>
    <w:rsid w:val="000D7916"/>
    <w:rsid w:val="000E0627"/>
    <w:rsid w:val="000E29EE"/>
    <w:rsid w:val="000F2080"/>
    <w:rsid w:val="001159FC"/>
    <w:rsid w:val="00116FD8"/>
    <w:rsid w:val="00136362"/>
    <w:rsid w:val="00145EE0"/>
    <w:rsid w:val="00156405"/>
    <w:rsid w:val="00175586"/>
    <w:rsid w:val="00181A8D"/>
    <w:rsid w:val="00183FA6"/>
    <w:rsid w:val="001A62FC"/>
    <w:rsid w:val="001C7B64"/>
    <w:rsid w:val="001D43D9"/>
    <w:rsid w:val="001F113A"/>
    <w:rsid w:val="001F3738"/>
    <w:rsid w:val="001F50B1"/>
    <w:rsid w:val="00213D25"/>
    <w:rsid w:val="002260F4"/>
    <w:rsid w:val="002271FD"/>
    <w:rsid w:val="002561CC"/>
    <w:rsid w:val="00260D23"/>
    <w:rsid w:val="00267E0E"/>
    <w:rsid w:val="002702B6"/>
    <w:rsid w:val="00283F75"/>
    <w:rsid w:val="00286022"/>
    <w:rsid w:val="002971AC"/>
    <w:rsid w:val="002A7B77"/>
    <w:rsid w:val="002B70A5"/>
    <w:rsid w:val="002C06E8"/>
    <w:rsid w:val="002C0D66"/>
    <w:rsid w:val="002D547B"/>
    <w:rsid w:val="002E1304"/>
    <w:rsid w:val="002E1334"/>
    <w:rsid w:val="002F4F33"/>
    <w:rsid w:val="002F6D3D"/>
    <w:rsid w:val="003016EA"/>
    <w:rsid w:val="00306161"/>
    <w:rsid w:val="003124EE"/>
    <w:rsid w:val="003126EB"/>
    <w:rsid w:val="00323F07"/>
    <w:rsid w:val="00344FE4"/>
    <w:rsid w:val="00345A0F"/>
    <w:rsid w:val="00375A5B"/>
    <w:rsid w:val="00392A6A"/>
    <w:rsid w:val="00393A57"/>
    <w:rsid w:val="003B00BA"/>
    <w:rsid w:val="003B27A6"/>
    <w:rsid w:val="003B6D72"/>
    <w:rsid w:val="003C6295"/>
    <w:rsid w:val="003D3AA1"/>
    <w:rsid w:val="003D50AE"/>
    <w:rsid w:val="003D5D9B"/>
    <w:rsid w:val="003D5E69"/>
    <w:rsid w:val="00404849"/>
    <w:rsid w:val="004051C1"/>
    <w:rsid w:val="00422A44"/>
    <w:rsid w:val="00425F2F"/>
    <w:rsid w:val="00466396"/>
    <w:rsid w:val="0046639B"/>
    <w:rsid w:val="00495ADC"/>
    <w:rsid w:val="00496EF5"/>
    <w:rsid w:val="004D30DA"/>
    <w:rsid w:val="004E185B"/>
    <w:rsid w:val="004E4595"/>
    <w:rsid w:val="005133F4"/>
    <w:rsid w:val="00517720"/>
    <w:rsid w:val="00526AC0"/>
    <w:rsid w:val="00540B0A"/>
    <w:rsid w:val="0054522D"/>
    <w:rsid w:val="005722F6"/>
    <w:rsid w:val="00583DBD"/>
    <w:rsid w:val="005C17CF"/>
    <w:rsid w:val="005C7D25"/>
    <w:rsid w:val="005D1AB4"/>
    <w:rsid w:val="005D4C5C"/>
    <w:rsid w:val="005E062F"/>
    <w:rsid w:val="005E7E08"/>
    <w:rsid w:val="005F15F1"/>
    <w:rsid w:val="005F3E30"/>
    <w:rsid w:val="0061056B"/>
    <w:rsid w:val="00612026"/>
    <w:rsid w:val="006160B8"/>
    <w:rsid w:val="0062515B"/>
    <w:rsid w:val="00631CF9"/>
    <w:rsid w:val="00632CAC"/>
    <w:rsid w:val="006448FB"/>
    <w:rsid w:val="00663F72"/>
    <w:rsid w:val="00673D2B"/>
    <w:rsid w:val="00691073"/>
    <w:rsid w:val="00695588"/>
    <w:rsid w:val="00696B16"/>
    <w:rsid w:val="006A6949"/>
    <w:rsid w:val="006B6EF3"/>
    <w:rsid w:val="006B743E"/>
    <w:rsid w:val="006F6265"/>
    <w:rsid w:val="00703E58"/>
    <w:rsid w:val="00724680"/>
    <w:rsid w:val="0075494F"/>
    <w:rsid w:val="00760373"/>
    <w:rsid w:val="007606F6"/>
    <w:rsid w:val="00766BA6"/>
    <w:rsid w:val="00780022"/>
    <w:rsid w:val="00796EE6"/>
    <w:rsid w:val="00797F82"/>
    <w:rsid w:val="007A14E8"/>
    <w:rsid w:val="007A1873"/>
    <w:rsid w:val="007A3FED"/>
    <w:rsid w:val="007A4639"/>
    <w:rsid w:val="007B5F1F"/>
    <w:rsid w:val="007C3944"/>
    <w:rsid w:val="007C46C1"/>
    <w:rsid w:val="007E0075"/>
    <w:rsid w:val="007E2B9D"/>
    <w:rsid w:val="007E4664"/>
    <w:rsid w:val="007F17FE"/>
    <w:rsid w:val="0080589B"/>
    <w:rsid w:val="008252CE"/>
    <w:rsid w:val="0083523E"/>
    <w:rsid w:val="00841659"/>
    <w:rsid w:val="008466EA"/>
    <w:rsid w:val="0085059F"/>
    <w:rsid w:val="00864DF9"/>
    <w:rsid w:val="00867DDE"/>
    <w:rsid w:val="00880B5D"/>
    <w:rsid w:val="0088526D"/>
    <w:rsid w:val="008C6005"/>
    <w:rsid w:val="008C63B4"/>
    <w:rsid w:val="008C6F27"/>
    <w:rsid w:val="008F1CAE"/>
    <w:rsid w:val="008F2547"/>
    <w:rsid w:val="00900583"/>
    <w:rsid w:val="00903C4D"/>
    <w:rsid w:val="0090425C"/>
    <w:rsid w:val="00904730"/>
    <w:rsid w:val="00915D7F"/>
    <w:rsid w:val="009174AD"/>
    <w:rsid w:val="00934B38"/>
    <w:rsid w:val="00934CD0"/>
    <w:rsid w:val="00961750"/>
    <w:rsid w:val="00967AED"/>
    <w:rsid w:val="009812FD"/>
    <w:rsid w:val="00994883"/>
    <w:rsid w:val="009A046F"/>
    <w:rsid w:val="009B73E6"/>
    <w:rsid w:val="009C2B68"/>
    <w:rsid w:val="009C3678"/>
    <w:rsid w:val="009D26D5"/>
    <w:rsid w:val="009F09C5"/>
    <w:rsid w:val="00A03021"/>
    <w:rsid w:val="00A141E6"/>
    <w:rsid w:val="00A16E1F"/>
    <w:rsid w:val="00A26621"/>
    <w:rsid w:val="00A3391A"/>
    <w:rsid w:val="00A369CF"/>
    <w:rsid w:val="00A43738"/>
    <w:rsid w:val="00A50D0D"/>
    <w:rsid w:val="00A54704"/>
    <w:rsid w:val="00A72A07"/>
    <w:rsid w:val="00A73D8E"/>
    <w:rsid w:val="00A73F47"/>
    <w:rsid w:val="00A8191C"/>
    <w:rsid w:val="00A833A7"/>
    <w:rsid w:val="00AC2885"/>
    <w:rsid w:val="00AE666B"/>
    <w:rsid w:val="00AF78C7"/>
    <w:rsid w:val="00B1027E"/>
    <w:rsid w:val="00B114AA"/>
    <w:rsid w:val="00B35F6F"/>
    <w:rsid w:val="00B37D9B"/>
    <w:rsid w:val="00B4088E"/>
    <w:rsid w:val="00B43A9B"/>
    <w:rsid w:val="00B563D8"/>
    <w:rsid w:val="00B67060"/>
    <w:rsid w:val="00B81FF7"/>
    <w:rsid w:val="00B86159"/>
    <w:rsid w:val="00B91F12"/>
    <w:rsid w:val="00B932E3"/>
    <w:rsid w:val="00BA4EF7"/>
    <w:rsid w:val="00BE001F"/>
    <w:rsid w:val="00BF1C14"/>
    <w:rsid w:val="00BF2A81"/>
    <w:rsid w:val="00C00B7F"/>
    <w:rsid w:val="00C00C5F"/>
    <w:rsid w:val="00C01865"/>
    <w:rsid w:val="00C1682B"/>
    <w:rsid w:val="00C32BD3"/>
    <w:rsid w:val="00C35DAA"/>
    <w:rsid w:val="00C76D72"/>
    <w:rsid w:val="00C9012F"/>
    <w:rsid w:val="00CA6472"/>
    <w:rsid w:val="00CD4495"/>
    <w:rsid w:val="00CE1D3C"/>
    <w:rsid w:val="00D14244"/>
    <w:rsid w:val="00D14F7B"/>
    <w:rsid w:val="00D16758"/>
    <w:rsid w:val="00D16DF8"/>
    <w:rsid w:val="00D16E22"/>
    <w:rsid w:val="00D25D75"/>
    <w:rsid w:val="00D34E92"/>
    <w:rsid w:val="00D37636"/>
    <w:rsid w:val="00D5015D"/>
    <w:rsid w:val="00D73D85"/>
    <w:rsid w:val="00D73EE7"/>
    <w:rsid w:val="00D76070"/>
    <w:rsid w:val="00D91621"/>
    <w:rsid w:val="00DB2F37"/>
    <w:rsid w:val="00DB61AC"/>
    <w:rsid w:val="00DC14DE"/>
    <w:rsid w:val="00DC1697"/>
    <w:rsid w:val="00DD1804"/>
    <w:rsid w:val="00DD45E8"/>
    <w:rsid w:val="00DD67CA"/>
    <w:rsid w:val="00DF03EB"/>
    <w:rsid w:val="00E07DCF"/>
    <w:rsid w:val="00E10951"/>
    <w:rsid w:val="00E10F05"/>
    <w:rsid w:val="00E13AC5"/>
    <w:rsid w:val="00E156BC"/>
    <w:rsid w:val="00E20465"/>
    <w:rsid w:val="00E35721"/>
    <w:rsid w:val="00E40AE1"/>
    <w:rsid w:val="00E5285F"/>
    <w:rsid w:val="00E86574"/>
    <w:rsid w:val="00E9425C"/>
    <w:rsid w:val="00EA28BB"/>
    <w:rsid w:val="00EA7CE1"/>
    <w:rsid w:val="00EB19F0"/>
    <w:rsid w:val="00ED2128"/>
    <w:rsid w:val="00F1280D"/>
    <w:rsid w:val="00F13C09"/>
    <w:rsid w:val="00F15B40"/>
    <w:rsid w:val="00F15FEF"/>
    <w:rsid w:val="00F219B5"/>
    <w:rsid w:val="00F44758"/>
    <w:rsid w:val="00F477DD"/>
    <w:rsid w:val="00F673E0"/>
    <w:rsid w:val="00F70409"/>
    <w:rsid w:val="00F7313B"/>
    <w:rsid w:val="00F8142F"/>
    <w:rsid w:val="00F95C7F"/>
    <w:rsid w:val="00FA1002"/>
    <w:rsid w:val="00FB334A"/>
    <w:rsid w:val="00FD526B"/>
    <w:rsid w:val="00FE01E1"/>
    <w:rsid w:val="00FE04B9"/>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3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semiHidden/>
    <w:unhideWhenUsed/>
    <w:rsid w:val="00696B16"/>
    <w:rPr>
      <w:sz w:val="20"/>
      <w:szCs w:val="20"/>
    </w:rPr>
  </w:style>
  <w:style w:type="character" w:customStyle="1" w:styleId="CommentTextChar">
    <w:name w:val="Comment Text Char"/>
    <w:basedOn w:val="DefaultParagraphFont"/>
    <w:link w:val="CommentText"/>
    <w:uiPriority w:val="99"/>
    <w:semiHidden/>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934CD0"/>
    <w:pPr>
      <w:ind w:left="720"/>
      <w:contextualSpacing/>
    </w:pPr>
  </w:style>
  <w:style w:type="paragraph" w:styleId="NoSpacing">
    <w:name w:val="No Spacing"/>
    <w:uiPriority w:val="1"/>
    <w:qFormat/>
    <w:rsid w:val="002702B6"/>
    <w:rPr>
      <w:sz w:val="24"/>
      <w:szCs w:val="24"/>
    </w:rPr>
  </w:style>
  <w:style w:type="paragraph" w:customStyle="1" w:styleId="statutory-body-2em">
    <w:name w:val="statutory-body-2em"/>
    <w:basedOn w:val="Normal"/>
    <w:rsid w:val="00050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5930">
      <w:bodyDiv w:val="1"/>
      <w:marLeft w:val="0"/>
      <w:marRight w:val="0"/>
      <w:marTop w:val="0"/>
      <w:marBottom w:val="0"/>
      <w:divBdr>
        <w:top w:val="none" w:sz="0" w:space="0" w:color="auto"/>
        <w:left w:val="none" w:sz="0" w:space="0" w:color="auto"/>
        <w:bottom w:val="none" w:sz="0" w:space="0" w:color="auto"/>
        <w:right w:val="none" w:sz="0" w:space="0" w:color="auto"/>
      </w:divBdr>
    </w:div>
    <w:div w:id="152993180">
      <w:bodyDiv w:val="1"/>
      <w:marLeft w:val="0"/>
      <w:marRight w:val="0"/>
      <w:marTop w:val="0"/>
      <w:marBottom w:val="0"/>
      <w:divBdr>
        <w:top w:val="none" w:sz="0" w:space="0" w:color="auto"/>
        <w:left w:val="none" w:sz="0" w:space="0" w:color="auto"/>
        <w:bottom w:val="none" w:sz="0" w:space="0" w:color="auto"/>
        <w:right w:val="none" w:sz="0" w:space="0" w:color="auto"/>
      </w:divBdr>
    </w:div>
    <w:div w:id="199707183">
      <w:bodyDiv w:val="1"/>
      <w:marLeft w:val="0"/>
      <w:marRight w:val="0"/>
      <w:marTop w:val="0"/>
      <w:marBottom w:val="0"/>
      <w:divBdr>
        <w:top w:val="none" w:sz="0" w:space="0" w:color="auto"/>
        <w:left w:val="none" w:sz="0" w:space="0" w:color="auto"/>
        <w:bottom w:val="none" w:sz="0" w:space="0" w:color="auto"/>
        <w:right w:val="none" w:sz="0" w:space="0" w:color="auto"/>
      </w:divBdr>
    </w:div>
    <w:div w:id="453867954">
      <w:bodyDiv w:val="1"/>
      <w:marLeft w:val="0"/>
      <w:marRight w:val="0"/>
      <w:marTop w:val="0"/>
      <w:marBottom w:val="0"/>
      <w:divBdr>
        <w:top w:val="none" w:sz="0" w:space="0" w:color="auto"/>
        <w:left w:val="none" w:sz="0" w:space="0" w:color="auto"/>
        <w:bottom w:val="none" w:sz="0" w:space="0" w:color="auto"/>
        <w:right w:val="none" w:sz="0" w:space="0" w:color="auto"/>
      </w:divBdr>
    </w:div>
    <w:div w:id="718359741">
      <w:bodyDiv w:val="1"/>
      <w:marLeft w:val="0"/>
      <w:marRight w:val="0"/>
      <w:marTop w:val="0"/>
      <w:marBottom w:val="0"/>
      <w:divBdr>
        <w:top w:val="none" w:sz="0" w:space="0" w:color="auto"/>
        <w:left w:val="none" w:sz="0" w:space="0" w:color="auto"/>
        <w:bottom w:val="none" w:sz="0" w:space="0" w:color="auto"/>
        <w:right w:val="none" w:sz="0" w:space="0" w:color="auto"/>
      </w:divBdr>
    </w:div>
    <w:div w:id="854538458">
      <w:bodyDiv w:val="1"/>
      <w:marLeft w:val="0"/>
      <w:marRight w:val="0"/>
      <w:marTop w:val="0"/>
      <w:marBottom w:val="0"/>
      <w:divBdr>
        <w:top w:val="none" w:sz="0" w:space="0" w:color="auto"/>
        <w:left w:val="none" w:sz="0" w:space="0" w:color="auto"/>
        <w:bottom w:val="none" w:sz="0" w:space="0" w:color="auto"/>
        <w:right w:val="none" w:sz="0" w:space="0" w:color="auto"/>
      </w:divBdr>
    </w:div>
    <w:div w:id="977144461">
      <w:bodyDiv w:val="1"/>
      <w:marLeft w:val="0"/>
      <w:marRight w:val="0"/>
      <w:marTop w:val="0"/>
      <w:marBottom w:val="0"/>
      <w:divBdr>
        <w:top w:val="none" w:sz="0" w:space="0" w:color="auto"/>
        <w:left w:val="none" w:sz="0" w:space="0" w:color="auto"/>
        <w:bottom w:val="none" w:sz="0" w:space="0" w:color="auto"/>
        <w:right w:val="none" w:sz="0" w:space="0" w:color="auto"/>
      </w:divBdr>
    </w:div>
    <w:div w:id="1094470642">
      <w:bodyDiv w:val="1"/>
      <w:marLeft w:val="0"/>
      <w:marRight w:val="0"/>
      <w:marTop w:val="0"/>
      <w:marBottom w:val="0"/>
      <w:divBdr>
        <w:top w:val="none" w:sz="0" w:space="0" w:color="auto"/>
        <w:left w:val="none" w:sz="0" w:space="0" w:color="auto"/>
        <w:bottom w:val="none" w:sz="0" w:space="0" w:color="auto"/>
        <w:right w:val="none" w:sz="0" w:space="0" w:color="auto"/>
      </w:divBdr>
    </w:div>
    <w:div w:id="1132670037">
      <w:bodyDiv w:val="1"/>
      <w:marLeft w:val="0"/>
      <w:marRight w:val="0"/>
      <w:marTop w:val="0"/>
      <w:marBottom w:val="0"/>
      <w:divBdr>
        <w:top w:val="none" w:sz="0" w:space="0" w:color="auto"/>
        <w:left w:val="none" w:sz="0" w:space="0" w:color="auto"/>
        <w:bottom w:val="none" w:sz="0" w:space="0" w:color="auto"/>
        <w:right w:val="none" w:sz="0" w:space="0" w:color="auto"/>
      </w:divBdr>
    </w:div>
    <w:div w:id="1170490215">
      <w:bodyDiv w:val="1"/>
      <w:marLeft w:val="0"/>
      <w:marRight w:val="0"/>
      <w:marTop w:val="0"/>
      <w:marBottom w:val="0"/>
      <w:divBdr>
        <w:top w:val="none" w:sz="0" w:space="0" w:color="auto"/>
        <w:left w:val="none" w:sz="0" w:space="0" w:color="auto"/>
        <w:bottom w:val="none" w:sz="0" w:space="0" w:color="auto"/>
        <w:right w:val="none" w:sz="0" w:space="0" w:color="auto"/>
      </w:divBdr>
    </w:div>
    <w:div w:id="1428889792">
      <w:bodyDiv w:val="1"/>
      <w:marLeft w:val="0"/>
      <w:marRight w:val="0"/>
      <w:marTop w:val="0"/>
      <w:marBottom w:val="0"/>
      <w:divBdr>
        <w:top w:val="none" w:sz="0" w:space="0" w:color="auto"/>
        <w:left w:val="none" w:sz="0" w:space="0" w:color="auto"/>
        <w:bottom w:val="none" w:sz="0" w:space="0" w:color="auto"/>
        <w:right w:val="none" w:sz="0" w:space="0" w:color="auto"/>
      </w:divBdr>
    </w:div>
    <w:div w:id="1654063761">
      <w:bodyDiv w:val="1"/>
      <w:marLeft w:val="0"/>
      <w:marRight w:val="0"/>
      <w:marTop w:val="0"/>
      <w:marBottom w:val="0"/>
      <w:divBdr>
        <w:top w:val="none" w:sz="0" w:space="0" w:color="auto"/>
        <w:left w:val="none" w:sz="0" w:space="0" w:color="auto"/>
        <w:bottom w:val="none" w:sz="0" w:space="0" w:color="auto"/>
        <w:right w:val="none" w:sz="0" w:space="0" w:color="auto"/>
      </w:divBdr>
    </w:div>
    <w:div w:id="19000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29AA-2B47-406B-A9AF-34EB906A67D1}">
  <ds:schemaRefs>
    <ds:schemaRef ds:uri="http://schemas.microsoft.com/office/2006/metadata/longProperties"/>
  </ds:schemaRefs>
</ds:datastoreItem>
</file>

<file path=customXml/itemProps2.xml><?xml version="1.0" encoding="utf-8"?>
<ds:datastoreItem xmlns:ds="http://schemas.openxmlformats.org/officeDocument/2006/customXml" ds:itemID="{7F94810F-D1A7-4025-8972-4949AEEF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2020-08-17T13:28:00Z</dcterms:created>
  <dcterms:modified xsi:type="dcterms:W3CDTF">2020-08-17T13:28:00Z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