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17A7A" w:rsidR="00470720" w:rsidP="005C1336" w:rsidRDefault="00096B7D" w14:paraId="2E488E05" w14:textId="126E3A81">
      <w:pPr>
        <w:pStyle w:val="Title"/>
        <w:rPr>
          <w:sz w:val="28"/>
          <w:szCs w:val="28"/>
          <w:u w:val="none"/>
        </w:rPr>
      </w:pPr>
      <w:r>
        <w:rPr>
          <w:sz w:val="28"/>
          <w:szCs w:val="28"/>
          <w:u w:val="none"/>
        </w:rPr>
        <w:t xml:space="preserve">  </w:t>
      </w:r>
      <w:r w:rsidRPr="00917A7A" w:rsidR="001424C7">
        <w:rPr>
          <w:sz w:val="28"/>
          <w:szCs w:val="28"/>
          <w:u w:val="none"/>
        </w:rPr>
        <w:t>D</w:t>
      </w:r>
      <w:r w:rsidRPr="00917A7A" w:rsidR="00470720">
        <w:rPr>
          <w:sz w:val="28"/>
          <w:szCs w:val="28"/>
          <w:u w:val="none"/>
        </w:rPr>
        <w:t>epartment of Transportation</w:t>
      </w:r>
    </w:p>
    <w:p w:rsidRPr="00917A7A" w:rsidR="00470720" w:rsidP="00407E96" w:rsidRDefault="00470720" w14:paraId="307D1668" w14:textId="77777777">
      <w:pPr>
        <w:pStyle w:val="Title"/>
        <w:outlineLvl w:val="0"/>
        <w:rPr>
          <w:sz w:val="32"/>
          <w:szCs w:val="32"/>
        </w:rPr>
      </w:pPr>
      <w:r w:rsidRPr="00917A7A">
        <w:rPr>
          <w:sz w:val="28"/>
          <w:szCs w:val="28"/>
          <w:u w:val="none"/>
        </w:rPr>
        <w:t>Office of the Chief Information Officer</w:t>
      </w:r>
    </w:p>
    <w:p w:rsidRPr="00917A7A" w:rsidR="00470720" w:rsidRDefault="00470720" w14:paraId="49D15D49" w14:textId="77777777">
      <w:pPr>
        <w:pStyle w:val="Title"/>
      </w:pPr>
    </w:p>
    <w:p w:rsidRPr="00917A7A" w:rsidR="0004749E" w:rsidP="00407E96" w:rsidRDefault="0004749E" w14:paraId="7FF49A9F" w14:textId="77777777">
      <w:pPr>
        <w:pStyle w:val="Title"/>
        <w:outlineLvl w:val="0"/>
      </w:pPr>
      <w:r w:rsidRPr="00917A7A">
        <w:t>SUPPORTING STATEMENT</w:t>
      </w:r>
    </w:p>
    <w:p w:rsidRPr="00917A7A" w:rsidR="0004749E" w:rsidP="007C37FC" w:rsidRDefault="007C37FC" w14:paraId="65DCD58C" w14:textId="77777777">
      <w:pPr>
        <w:jc w:val="center"/>
        <w:rPr>
          <w:b/>
          <w:bCs/>
          <w:szCs w:val="24"/>
        </w:rPr>
      </w:pPr>
      <w:r w:rsidRPr="00917A7A">
        <w:rPr>
          <w:b/>
          <w:bCs/>
          <w:szCs w:val="24"/>
        </w:rPr>
        <w:t>Training Certification for Entry-Level Commercial Motor Vehicle Operators</w:t>
      </w:r>
    </w:p>
    <w:p w:rsidRPr="00917A7A" w:rsidR="007C37FC" w:rsidRDefault="007C37FC" w14:paraId="63F94B93" w14:textId="77777777">
      <w:pPr>
        <w:rPr>
          <w:b/>
          <w:bCs/>
          <w:szCs w:val="24"/>
        </w:rPr>
      </w:pPr>
    </w:p>
    <w:p w:rsidRPr="00917A7A" w:rsidR="00105F8E" w:rsidRDefault="00105F8E" w14:paraId="6DD53FEF" w14:textId="77777777">
      <w:pPr>
        <w:rPr>
          <w:b/>
          <w:bCs/>
          <w:szCs w:val="24"/>
        </w:rPr>
      </w:pPr>
    </w:p>
    <w:p w:rsidRPr="00917A7A" w:rsidR="0004749E" w:rsidP="00407E96" w:rsidRDefault="0004749E" w14:paraId="2902A57E" w14:textId="77777777">
      <w:pPr>
        <w:pStyle w:val="Subtitle"/>
        <w:outlineLvl w:val="0"/>
      </w:pPr>
      <w:r w:rsidRPr="00917A7A">
        <w:t>INTRODUCTION</w:t>
      </w:r>
    </w:p>
    <w:p w:rsidRPr="00917A7A" w:rsidR="0004749E" w:rsidRDefault="0004749E" w14:paraId="65939B61" w14:textId="77777777">
      <w:pPr>
        <w:rPr>
          <w:b/>
          <w:bCs/>
          <w:szCs w:val="24"/>
        </w:rPr>
      </w:pPr>
    </w:p>
    <w:p w:rsidRPr="00917A7A" w:rsidR="005C1336" w:rsidP="00632C91" w:rsidRDefault="00917982" w14:paraId="6ABCB273" w14:textId="648516F8">
      <w:pPr>
        <w:widowControl/>
      </w:pPr>
      <w:r w:rsidRPr="00917A7A">
        <w:t>This is to request Office of Management and Budget (OMB) approval of a revision of the existing currently approved collection of information with OMB Control Number 2126-0028 titled “Training Certification for Entry-Level Commercial Motor Vehicle Operators.”</w:t>
      </w:r>
      <w:r w:rsidRPr="00917A7A" w:rsidR="00793FDE">
        <w:rPr>
          <w:rStyle w:val="FootnoteReference"/>
        </w:rPr>
        <w:footnoteReference w:id="1"/>
      </w:r>
      <w:r w:rsidRPr="00917A7A">
        <w:t xml:space="preserve"> </w:t>
      </w:r>
    </w:p>
    <w:p w:rsidRPr="00917A7A" w:rsidR="005C1336" w:rsidP="00632C91" w:rsidRDefault="005C1336" w14:paraId="6416DA4A" w14:textId="77777777">
      <w:pPr>
        <w:widowControl/>
      </w:pPr>
    </w:p>
    <w:p w:rsidRPr="00917A7A" w:rsidR="00632C91" w:rsidP="00632C91" w:rsidRDefault="00632C91" w14:paraId="5BC13407" w14:textId="77777777">
      <w:pPr>
        <w:widowControl/>
      </w:pPr>
      <w:r w:rsidRPr="00917A7A">
        <w:t xml:space="preserve">Federal Motor Carrier Safety Administration (FMCSA) entry-level driver training </w:t>
      </w:r>
      <w:r w:rsidRPr="00917A7A" w:rsidR="00CA6031">
        <w:t xml:space="preserve">(ELDT) </w:t>
      </w:r>
      <w:r w:rsidRPr="00917A7A">
        <w:t>regulations in 49 CFR part 380, Special Training Requirements</w:t>
      </w:r>
      <w:r w:rsidRPr="00917A7A" w:rsidR="004972A1">
        <w:t xml:space="preserve"> (Attachment A)</w:t>
      </w:r>
      <w:r w:rsidRPr="00917A7A">
        <w:t xml:space="preserve">, are intended to enhance the safety of commercial motor vehicle (CMV) operations on our Nation’s highways by establishing minimum training standards for entry-level drivers. These </w:t>
      </w:r>
      <w:r w:rsidRPr="00917A7A" w:rsidR="00CA6031">
        <w:t>ELDT</w:t>
      </w:r>
      <w:r w:rsidRPr="00917A7A">
        <w:t xml:space="preserve"> regulations result in certain activities that constitute a collection of information under the Paperwork Reduction Act (PRA), and for which the Agency has in place a currently approved collection of information with </w:t>
      </w:r>
      <w:r w:rsidRPr="00917A7A" w:rsidR="005D109D">
        <w:t>OMB</w:t>
      </w:r>
      <w:r w:rsidRPr="00917A7A">
        <w:t xml:space="preserve"> Control Number 2126-0028 titled “Training Certification for Entry-Level Commercial Motor Vehicle Operators” which was most recently approved on April 19, 2017, and which has an expiration date of April 30, 2020.</w:t>
      </w:r>
    </w:p>
    <w:p w:rsidRPr="00917A7A" w:rsidR="00632C91" w:rsidP="00632C91" w:rsidRDefault="00632C91" w14:paraId="1DF5E702" w14:textId="77777777">
      <w:pPr>
        <w:widowControl/>
      </w:pPr>
    </w:p>
    <w:p w:rsidRPr="00917A7A" w:rsidR="00202CAC" w:rsidP="00DB616C" w:rsidRDefault="00DB616C" w14:paraId="7DABF1DE" w14:textId="2C3CD32E">
      <w:pPr>
        <w:widowControl/>
        <w:rPr>
          <w:bCs/>
          <w:szCs w:val="24"/>
        </w:rPr>
      </w:pPr>
      <w:r w:rsidRPr="00917A7A">
        <w:t xml:space="preserve">The requested revision </w:t>
      </w:r>
      <w:r w:rsidRPr="00917A7A" w:rsidR="005C1336">
        <w:t xml:space="preserve">of the currently approved collection of information is the result of </w:t>
      </w:r>
      <w:r w:rsidRPr="00917A7A" w:rsidR="00632C91">
        <w:rPr>
          <w:bCs/>
          <w:szCs w:val="24"/>
        </w:rPr>
        <w:t xml:space="preserve">a combination of recent actions by FMCSA. These actions include </w:t>
      </w:r>
      <w:r w:rsidRPr="00917A7A">
        <w:rPr>
          <w:bCs/>
          <w:szCs w:val="24"/>
        </w:rPr>
        <w:t xml:space="preserve">the </w:t>
      </w:r>
      <w:r w:rsidRPr="00917A7A">
        <w:t>December 8, 2016, final rule titled “Minimum Training Requirements for Entry-Level Commercial Motor Vehicle Operators</w:t>
      </w:r>
      <w:r w:rsidRPr="00917A7A" w:rsidR="00C674B4">
        <w:t>,</w:t>
      </w:r>
      <w:r w:rsidRPr="00917A7A">
        <w:t>”</w:t>
      </w:r>
      <w:r w:rsidRPr="00917A7A" w:rsidR="0049354C">
        <w:t xml:space="preserve"> often referred to as the </w:t>
      </w:r>
      <w:r w:rsidRPr="00917A7A" w:rsidR="00CA6031">
        <w:t>ELDT</w:t>
      </w:r>
      <w:r w:rsidRPr="00917A7A" w:rsidR="0049354C">
        <w:t xml:space="preserve"> </w:t>
      </w:r>
      <w:r w:rsidRPr="00917A7A" w:rsidR="00C674B4">
        <w:t xml:space="preserve">final </w:t>
      </w:r>
      <w:r w:rsidRPr="00917A7A" w:rsidR="0049354C">
        <w:t>rule</w:t>
      </w:r>
      <w:r w:rsidRPr="00917A7A">
        <w:t xml:space="preserve"> (81 FR 88732) (Attachment </w:t>
      </w:r>
      <w:r w:rsidRPr="00917A7A" w:rsidR="00B32097">
        <w:t>B</w:t>
      </w:r>
      <w:r w:rsidRPr="00917A7A">
        <w:t>), the March 6, 2019, final rule titled “Commercial Driver’s License Upgrade from Class B to Class A” (84 FR 8029) (</w:t>
      </w:r>
      <w:r w:rsidRPr="00917A7A" w:rsidR="00B11D8B">
        <w:t xml:space="preserve">Attachment </w:t>
      </w:r>
      <w:r w:rsidRPr="00917A7A" w:rsidR="00B32097">
        <w:t>C</w:t>
      </w:r>
      <w:r w:rsidRPr="00917A7A">
        <w:t>), and</w:t>
      </w:r>
      <w:r w:rsidRPr="00917A7A" w:rsidR="00646309">
        <w:t xml:space="preserve"> the </w:t>
      </w:r>
      <w:r w:rsidR="009402C9">
        <w:rPr>
          <w:bCs/>
          <w:szCs w:val="24"/>
        </w:rPr>
        <w:t>February 4, 2020</w:t>
      </w:r>
      <w:r w:rsidRPr="00917A7A" w:rsidR="00553C5E">
        <w:t xml:space="preserve">, </w:t>
      </w:r>
      <w:r w:rsidRPr="00917A7A" w:rsidR="00646309">
        <w:t>interim final rule</w:t>
      </w:r>
      <w:r w:rsidRPr="00917A7A" w:rsidR="00FC56DA">
        <w:t xml:space="preserve"> (IFR)</w:t>
      </w:r>
      <w:r w:rsidRPr="00917A7A" w:rsidR="00646309">
        <w:t xml:space="preserve"> </w:t>
      </w:r>
      <w:r w:rsidRPr="00917A7A">
        <w:rPr>
          <w:bCs/>
          <w:szCs w:val="24"/>
        </w:rPr>
        <w:t>ti</w:t>
      </w:r>
      <w:r w:rsidRPr="00917A7A" w:rsidR="000D6D39">
        <w:rPr>
          <w:bCs/>
          <w:szCs w:val="24"/>
        </w:rPr>
        <w:t>t</w:t>
      </w:r>
      <w:r w:rsidRPr="00917A7A">
        <w:rPr>
          <w:bCs/>
          <w:szCs w:val="24"/>
        </w:rPr>
        <w:t xml:space="preserve">led “Extension of Compliance Date for Entry-Level Driver Training” </w:t>
      </w:r>
      <w:r w:rsidRPr="00A45437" w:rsidR="000D6D39">
        <w:rPr>
          <w:bCs/>
          <w:szCs w:val="24"/>
        </w:rPr>
        <w:t>(</w:t>
      </w:r>
      <w:r w:rsidRPr="00A45437" w:rsidR="009402C9">
        <w:rPr>
          <w:bCs/>
          <w:szCs w:val="24"/>
        </w:rPr>
        <w:t xml:space="preserve">85 </w:t>
      </w:r>
      <w:r w:rsidRPr="00A45437" w:rsidR="000D6D39">
        <w:rPr>
          <w:bCs/>
          <w:szCs w:val="24"/>
        </w:rPr>
        <w:t xml:space="preserve">FR </w:t>
      </w:r>
      <w:r w:rsidRPr="00A45437" w:rsidR="009402C9">
        <w:rPr>
          <w:bCs/>
          <w:szCs w:val="24"/>
        </w:rPr>
        <w:t>6088</w:t>
      </w:r>
      <w:r w:rsidRPr="00A45437" w:rsidR="000D6D39">
        <w:rPr>
          <w:bCs/>
          <w:szCs w:val="24"/>
        </w:rPr>
        <w:t>)</w:t>
      </w:r>
      <w:r w:rsidRPr="00917A7A" w:rsidR="00016437">
        <w:rPr>
          <w:bCs/>
          <w:szCs w:val="24"/>
        </w:rPr>
        <w:t xml:space="preserve"> (Attachment D)</w:t>
      </w:r>
      <w:r w:rsidRPr="00917A7A">
        <w:rPr>
          <w:bCs/>
          <w:szCs w:val="24"/>
        </w:rPr>
        <w:t xml:space="preserve">. </w:t>
      </w:r>
      <w:r w:rsidRPr="00917A7A" w:rsidR="00202CAC">
        <w:rPr>
          <w:bCs/>
          <w:szCs w:val="24"/>
        </w:rPr>
        <w:t>Additional details regarding the nature and timing of th</w:t>
      </w:r>
      <w:r w:rsidRPr="00917A7A" w:rsidR="004D39F3">
        <w:rPr>
          <w:bCs/>
          <w:szCs w:val="24"/>
        </w:rPr>
        <w:t xml:space="preserve">ese actions and the resulting </w:t>
      </w:r>
      <w:r w:rsidRPr="00917A7A" w:rsidR="00202CAC">
        <w:rPr>
          <w:bCs/>
          <w:szCs w:val="24"/>
        </w:rPr>
        <w:t xml:space="preserve">changes to the information </w:t>
      </w:r>
      <w:r w:rsidRPr="00917A7A">
        <w:rPr>
          <w:bCs/>
          <w:szCs w:val="24"/>
        </w:rPr>
        <w:t xml:space="preserve">collection </w:t>
      </w:r>
      <w:r w:rsidRPr="00917A7A" w:rsidR="00B70741">
        <w:rPr>
          <w:bCs/>
          <w:szCs w:val="24"/>
        </w:rPr>
        <w:t xml:space="preserve">request </w:t>
      </w:r>
      <w:r w:rsidRPr="00917A7A" w:rsidR="00C33F07">
        <w:rPr>
          <w:bCs/>
          <w:szCs w:val="24"/>
        </w:rPr>
        <w:t xml:space="preserve">(ICR) </w:t>
      </w:r>
      <w:r w:rsidRPr="00917A7A" w:rsidR="00202CAC">
        <w:rPr>
          <w:bCs/>
          <w:szCs w:val="24"/>
        </w:rPr>
        <w:t>are provided below</w:t>
      </w:r>
      <w:r w:rsidRPr="00917A7A" w:rsidR="004D39F3">
        <w:rPr>
          <w:bCs/>
          <w:szCs w:val="24"/>
        </w:rPr>
        <w:t>.</w:t>
      </w:r>
    </w:p>
    <w:p w:rsidRPr="00917A7A" w:rsidR="00A46681" w:rsidRDefault="00A46681" w14:paraId="7C287C3F" w14:textId="77777777">
      <w:pPr>
        <w:rPr>
          <w:b/>
          <w:bCs/>
          <w:szCs w:val="24"/>
        </w:rPr>
      </w:pPr>
    </w:p>
    <w:p w:rsidRPr="00917A7A" w:rsidR="0004749E" w:rsidP="00F77AAC" w:rsidRDefault="0004749E" w14:paraId="44BC6D0C" w14:textId="77777777">
      <w:pPr>
        <w:tabs>
          <w:tab w:val="left" w:pos="-1440"/>
          <w:tab w:val="left" w:pos="-720"/>
        </w:tabs>
        <w:outlineLvl w:val="0"/>
        <w:rPr>
          <w:b/>
          <w:bCs/>
          <w:szCs w:val="24"/>
        </w:rPr>
      </w:pPr>
      <w:r w:rsidRPr="00917A7A">
        <w:rPr>
          <w:b/>
          <w:bCs/>
          <w:u w:val="single"/>
        </w:rPr>
        <w:t>Part A. Justification</w:t>
      </w:r>
    </w:p>
    <w:p w:rsidRPr="00917A7A" w:rsidR="00DE21CE" w:rsidP="00F77AAC" w:rsidRDefault="00DE21CE" w14:paraId="44F16E22" w14:textId="77777777">
      <w:pPr>
        <w:tabs>
          <w:tab w:val="left" w:pos="-1440"/>
          <w:tab w:val="left" w:pos="-720"/>
        </w:tabs>
        <w:rPr>
          <w:b/>
          <w:bCs/>
          <w:szCs w:val="24"/>
        </w:rPr>
      </w:pPr>
    </w:p>
    <w:p w:rsidRPr="00917A7A" w:rsidR="00CA3651" w:rsidP="00CA3651" w:rsidRDefault="007C65BC" w14:paraId="020289E3" w14:textId="63B16F34">
      <w:pPr>
        <w:tabs>
          <w:tab w:val="left" w:pos="-1440"/>
          <w:tab w:val="left" w:pos="-720"/>
          <w:tab w:val="left" w:pos="0"/>
        </w:tabs>
        <w:ind w:left="360" w:hanging="360"/>
        <w:rPr>
          <w:szCs w:val="24"/>
          <w:highlight w:val="lightGray"/>
        </w:rPr>
      </w:pPr>
      <w:r w:rsidRPr="00917A7A">
        <w:rPr>
          <w:b/>
          <w:bCs/>
          <w:szCs w:val="24"/>
        </w:rPr>
        <w:t>1.</w:t>
      </w:r>
      <w:r w:rsidRPr="00917A7A">
        <w:rPr>
          <w:b/>
          <w:bCs/>
          <w:szCs w:val="24"/>
        </w:rPr>
        <w:tab/>
      </w:r>
      <w:r w:rsidRPr="00917A7A" w:rsidR="00C14920">
        <w:rPr>
          <w:b/>
          <w:bCs/>
          <w:szCs w:val="24"/>
        </w:rPr>
        <w:t>CIRCUMSTANCES THAT MAKE THE COLLECTION OF INFORMATION NECESSARY</w:t>
      </w:r>
    </w:p>
    <w:p w:rsidRPr="00917A7A" w:rsidR="00DE21CE" w:rsidP="00CA3651" w:rsidRDefault="00DE21CE" w14:paraId="01AB7378" w14:textId="477B4246">
      <w:pPr>
        <w:tabs>
          <w:tab w:val="left" w:pos="-1440"/>
          <w:tab w:val="left" w:pos="-720"/>
          <w:tab w:val="left" w:pos="0"/>
        </w:tabs>
        <w:ind w:left="360" w:hanging="360"/>
        <w:rPr>
          <w:szCs w:val="24"/>
          <w:highlight w:val="lightGray"/>
        </w:rPr>
      </w:pPr>
    </w:p>
    <w:p w:rsidRPr="00917A7A" w:rsidR="00DE21CE" w:rsidP="00677BF7" w:rsidRDefault="009C29F8" w14:paraId="261545D8" w14:textId="722DAC24">
      <w:pPr>
        <w:tabs>
          <w:tab w:val="left" w:pos="-1440"/>
          <w:tab w:val="left" w:pos="-720"/>
          <w:tab w:val="left" w:pos="0"/>
        </w:tabs>
        <w:ind w:left="360" w:hanging="360"/>
        <w:rPr>
          <w:szCs w:val="24"/>
        </w:rPr>
      </w:pPr>
      <w:r w:rsidRPr="00917A7A">
        <w:rPr>
          <w:szCs w:val="24"/>
        </w:rPr>
        <w:tab/>
        <w:t xml:space="preserve">Section 4007(a)(2) of the Intermodal Surface Transportation Efficiency Act of 1991 (ISTEA) (Pub. L. 102-240, December 18, 1991) (Attachment </w:t>
      </w:r>
      <w:r w:rsidRPr="00917A7A" w:rsidR="00587D7F">
        <w:rPr>
          <w:szCs w:val="24"/>
        </w:rPr>
        <w:t>E</w:t>
      </w:r>
      <w:r w:rsidRPr="00917A7A">
        <w:rPr>
          <w:szCs w:val="24"/>
        </w:rPr>
        <w:t xml:space="preserve">) directed FHWA </w:t>
      </w:r>
      <w:r w:rsidRPr="00917A7A" w:rsidR="00472BF4">
        <w:rPr>
          <w:szCs w:val="24"/>
        </w:rPr>
        <w:t xml:space="preserve">(predecessor Agency to FMCSA) </w:t>
      </w:r>
      <w:r w:rsidRPr="00917A7A">
        <w:rPr>
          <w:szCs w:val="24"/>
        </w:rPr>
        <w:t>to “</w:t>
      </w:r>
      <w:r w:rsidRPr="00917A7A" w:rsidR="00677BF7">
        <w:rPr>
          <w:szCs w:val="24"/>
        </w:rPr>
        <w:t>…commence a rulemaking proceeding on the need to require training of all entry level drivers of commercial motor vehicles</w:t>
      </w:r>
      <w:r w:rsidRPr="00917A7A">
        <w:rPr>
          <w:szCs w:val="24"/>
        </w:rPr>
        <w:t xml:space="preserve">.” </w:t>
      </w:r>
      <w:r w:rsidRPr="00917A7A" w:rsidR="00472BF4">
        <w:t>FMCSA subsequently published the final rule titled</w:t>
      </w:r>
      <w:r w:rsidRPr="00917A7A" w:rsidR="00472BF4">
        <w:rPr>
          <w:szCs w:val="24"/>
        </w:rPr>
        <w:t xml:space="preserve"> “Minimum Training Requirements for Entry-Level Commercial Motor Vehicle Operators” (69 FR 29384) (Attachment </w:t>
      </w:r>
      <w:r w:rsidRPr="00917A7A" w:rsidR="00587D7F">
        <w:rPr>
          <w:szCs w:val="24"/>
        </w:rPr>
        <w:t>F</w:t>
      </w:r>
      <w:r w:rsidRPr="00917A7A" w:rsidR="00472BF4">
        <w:rPr>
          <w:szCs w:val="24"/>
        </w:rPr>
        <w:t xml:space="preserve">) on May 21, 2004, </w:t>
      </w:r>
      <w:r w:rsidRPr="00917A7A" w:rsidR="00472BF4">
        <w:t>with a</w:t>
      </w:r>
      <w:r w:rsidRPr="00917A7A" w:rsidR="00677BF7">
        <w:t>n effective</w:t>
      </w:r>
      <w:r w:rsidRPr="00917A7A" w:rsidR="00472BF4">
        <w:t xml:space="preserve"> date of July </w:t>
      </w:r>
      <w:r w:rsidRPr="00917A7A" w:rsidR="00472BF4">
        <w:lastRenderedPageBreak/>
        <w:t xml:space="preserve">20, 2004, implementing </w:t>
      </w:r>
      <w:r w:rsidRPr="00917A7A" w:rsidR="00472BF4">
        <w:rPr>
          <w:szCs w:val="24"/>
        </w:rPr>
        <w:t>Section 4007(a)(2) of</w:t>
      </w:r>
      <w:r w:rsidRPr="00917A7A" w:rsidR="00472BF4">
        <w:t xml:space="preserve"> ISTEA.</w:t>
      </w:r>
      <w:r w:rsidRPr="00917A7A" w:rsidR="00677BF7">
        <w:rPr>
          <w:szCs w:val="24"/>
        </w:rPr>
        <w:t xml:space="preserve"> </w:t>
      </w:r>
      <w:r w:rsidRPr="00917A7A">
        <w:rPr>
          <w:szCs w:val="24"/>
        </w:rPr>
        <w:t>The rule mandate</w:t>
      </w:r>
      <w:r w:rsidRPr="00917A7A" w:rsidR="00DD1FDA">
        <w:rPr>
          <w:szCs w:val="24"/>
        </w:rPr>
        <w:t>d</w:t>
      </w:r>
      <w:r w:rsidRPr="00917A7A">
        <w:rPr>
          <w:szCs w:val="24"/>
        </w:rPr>
        <w:t xml:space="preserve"> training for interstate CMV drivers on four topics: driver qualifications, hours-of-service of drivers, driver wellness</w:t>
      </w:r>
      <w:r w:rsidRPr="00917A7A" w:rsidR="00472BF4">
        <w:rPr>
          <w:szCs w:val="24"/>
        </w:rPr>
        <w:t>,</w:t>
      </w:r>
      <w:r w:rsidRPr="00917A7A">
        <w:rPr>
          <w:szCs w:val="24"/>
        </w:rPr>
        <w:t xml:space="preserve"> and whistle-blower protection.</w:t>
      </w:r>
      <w:r w:rsidRPr="00917A7A" w:rsidR="00472BF4">
        <w:rPr>
          <w:szCs w:val="24"/>
        </w:rPr>
        <w:t xml:space="preserve"> </w:t>
      </w:r>
      <w:r w:rsidRPr="00917A7A" w:rsidR="00DE21CE">
        <w:t>Under Subpart E of the existing ELDT requirements of 49 CFR part 380</w:t>
      </w:r>
      <w:r w:rsidRPr="00917A7A" w:rsidR="007278ED">
        <w:t xml:space="preserve"> (Attachment A)</w:t>
      </w:r>
      <w:r w:rsidRPr="00917A7A" w:rsidR="00DE21CE">
        <w:t xml:space="preserve">, </w:t>
      </w:r>
      <w:r w:rsidRPr="00917A7A" w:rsidR="00DE21CE">
        <w:rPr>
          <w:szCs w:val="24"/>
        </w:rPr>
        <w:t>employers are prohibited from allowing an entry-level driver</w:t>
      </w:r>
      <w:r w:rsidRPr="00917A7A" w:rsidR="00DE21CE">
        <w:rPr>
          <w:rStyle w:val="FootnoteReference"/>
          <w:szCs w:val="24"/>
        </w:rPr>
        <w:footnoteReference w:id="2"/>
      </w:r>
      <w:r w:rsidRPr="00917A7A" w:rsidR="00DE21CE">
        <w:rPr>
          <w:szCs w:val="24"/>
        </w:rPr>
        <w:t xml:space="preserve"> to operate a CMV without ensuring that the driver has received </w:t>
      </w:r>
      <w:r w:rsidRPr="00917A7A" w:rsidR="006E51C3">
        <w:rPr>
          <w:szCs w:val="24"/>
        </w:rPr>
        <w:t xml:space="preserve">this </w:t>
      </w:r>
      <w:r w:rsidRPr="00917A7A" w:rsidR="00DE21CE">
        <w:rPr>
          <w:szCs w:val="24"/>
        </w:rPr>
        <w:t xml:space="preserve">entry-level </w:t>
      </w:r>
      <w:r w:rsidRPr="00917A7A" w:rsidR="004E283A">
        <w:rPr>
          <w:szCs w:val="24"/>
        </w:rPr>
        <w:t xml:space="preserve">driver </w:t>
      </w:r>
      <w:r w:rsidRPr="00917A7A" w:rsidR="00DE21CE">
        <w:rPr>
          <w:szCs w:val="24"/>
        </w:rPr>
        <w:t xml:space="preserve">training </w:t>
      </w:r>
      <w:r w:rsidRPr="00917A7A" w:rsidR="006E51C3">
        <w:rPr>
          <w:szCs w:val="24"/>
        </w:rPr>
        <w:t xml:space="preserve">as </w:t>
      </w:r>
      <w:r w:rsidRPr="00917A7A" w:rsidR="004E283A">
        <w:rPr>
          <w:szCs w:val="24"/>
        </w:rPr>
        <w:t>specified under 49 CFR 380.503</w:t>
      </w:r>
      <w:r w:rsidRPr="00917A7A" w:rsidR="00DE21CE">
        <w:rPr>
          <w:szCs w:val="24"/>
        </w:rPr>
        <w:t xml:space="preserve">. </w:t>
      </w:r>
      <w:r w:rsidRPr="00917A7A" w:rsidR="007278ED">
        <w:rPr>
          <w:szCs w:val="24"/>
        </w:rPr>
        <w:t>These entry-level interstate CDL d</w:t>
      </w:r>
      <w:r w:rsidRPr="00917A7A" w:rsidR="00DE21CE">
        <w:rPr>
          <w:szCs w:val="24"/>
        </w:rPr>
        <w:t>rivers receive a certificate when they successfully complete the mandatory training, and must present a copy of it to their employer in order to be qualified to drive a CMV in inte</w:t>
      </w:r>
      <w:r w:rsidRPr="00917A7A" w:rsidR="004E283A">
        <w:rPr>
          <w:szCs w:val="24"/>
        </w:rPr>
        <w:t xml:space="preserve">rstate commerce. </w:t>
      </w:r>
      <w:r w:rsidRPr="00917A7A" w:rsidR="00DE21CE">
        <w:rPr>
          <w:szCs w:val="24"/>
        </w:rPr>
        <w:t xml:space="preserve">The employer keeps a copy of the training certificate in </w:t>
      </w:r>
      <w:r w:rsidRPr="00917A7A" w:rsidR="004E283A">
        <w:rPr>
          <w:szCs w:val="24"/>
        </w:rPr>
        <w:t xml:space="preserve">the driver qualification file. </w:t>
      </w:r>
      <w:r w:rsidRPr="00917A7A" w:rsidR="00DE21CE">
        <w:rPr>
          <w:szCs w:val="24"/>
        </w:rPr>
        <w:t>During a compliance review, the certificate serves as proof that the CDL driver completed the required training.</w:t>
      </w:r>
      <w:r w:rsidRPr="00917A7A" w:rsidR="004E283A">
        <w:rPr>
          <w:szCs w:val="24"/>
        </w:rPr>
        <w:t xml:space="preserve"> </w:t>
      </w:r>
      <w:r w:rsidRPr="00917A7A" w:rsidR="007278ED">
        <w:rPr>
          <w:szCs w:val="24"/>
        </w:rPr>
        <w:t xml:space="preserve">The </w:t>
      </w:r>
      <w:r w:rsidRPr="00917A7A" w:rsidR="00DE21CE">
        <w:rPr>
          <w:szCs w:val="24"/>
        </w:rPr>
        <w:t>currently approved collection of information with OMB Control Number 2126-0028 titled “Training Certification for Entry-Level Commercial Motor Vehicle Operators” which was most recently approved on April 19, 2017, and which has an expiration date of April 30, 2020</w:t>
      </w:r>
      <w:r w:rsidRPr="00917A7A" w:rsidR="007278ED">
        <w:rPr>
          <w:szCs w:val="24"/>
        </w:rPr>
        <w:t xml:space="preserve">, reflects these </w:t>
      </w:r>
      <w:r w:rsidRPr="00917A7A" w:rsidR="00E831BB">
        <w:t xml:space="preserve">existing ELDT requirements </w:t>
      </w:r>
      <w:r w:rsidRPr="00917A7A" w:rsidR="007278ED">
        <w:rPr>
          <w:szCs w:val="24"/>
        </w:rPr>
        <w:t xml:space="preserve">under Subpart E of </w:t>
      </w:r>
      <w:r w:rsidRPr="00917A7A" w:rsidR="007278ED">
        <w:t>49 CFR part 380</w:t>
      </w:r>
      <w:r w:rsidRPr="00917A7A" w:rsidR="007278ED">
        <w:rPr>
          <w:szCs w:val="24"/>
        </w:rPr>
        <w:t>.</w:t>
      </w:r>
    </w:p>
    <w:p w:rsidRPr="00917A7A" w:rsidR="00A46681" w:rsidP="00CA3651" w:rsidRDefault="00A46681" w14:paraId="335B0FFE" w14:textId="77777777">
      <w:pPr>
        <w:tabs>
          <w:tab w:val="left" w:pos="-1440"/>
          <w:tab w:val="left" w:pos="-720"/>
          <w:tab w:val="left" w:pos="0"/>
        </w:tabs>
        <w:ind w:left="360" w:hanging="360"/>
        <w:rPr>
          <w:szCs w:val="24"/>
          <w:highlight w:val="lightGray"/>
        </w:rPr>
      </w:pPr>
    </w:p>
    <w:p w:rsidRPr="00917A7A" w:rsidR="001F71C8" w:rsidP="001F71C8" w:rsidRDefault="005C1336" w14:paraId="1B8A06DF" w14:textId="69D89F33">
      <w:pPr>
        <w:ind w:left="360"/>
      </w:pPr>
      <w:r w:rsidRPr="00917A7A">
        <w:t xml:space="preserve">On July 6, 2012, President Obama signed legislation titled </w:t>
      </w:r>
      <w:r w:rsidRPr="00917A7A" w:rsidR="00CA3651">
        <w:t xml:space="preserve">the </w:t>
      </w:r>
      <w:r w:rsidRPr="00917A7A">
        <w:t>“Moving Ahead for Progres</w:t>
      </w:r>
      <w:r w:rsidRPr="00917A7A" w:rsidR="000077BC">
        <w:t>s in the 21st Century Act” (MAP-</w:t>
      </w:r>
      <w:r w:rsidRPr="00917A7A">
        <w:t>21)</w:t>
      </w:r>
      <w:r w:rsidRPr="00917A7A" w:rsidR="00CA3651">
        <w:t xml:space="preserve"> </w:t>
      </w:r>
      <w:r w:rsidRPr="00917A7A">
        <w:t>(Pub. L. 112–141, 126 Stat. 405, 791)</w:t>
      </w:r>
      <w:r w:rsidRPr="00917A7A" w:rsidR="00CA3651">
        <w:t xml:space="preserve"> </w:t>
      </w:r>
      <w:r w:rsidRPr="00917A7A">
        <w:t>(</w:t>
      </w:r>
      <w:r w:rsidRPr="00917A7A" w:rsidR="00B11D8B">
        <w:t xml:space="preserve">Attachment </w:t>
      </w:r>
      <w:r w:rsidRPr="00917A7A" w:rsidR="007650D7">
        <w:t>G</w:t>
      </w:r>
      <w:r w:rsidRPr="00917A7A">
        <w:t>)</w:t>
      </w:r>
      <w:r w:rsidRPr="00917A7A" w:rsidR="00CA3651">
        <w:t xml:space="preserve">. </w:t>
      </w:r>
      <w:r w:rsidRPr="00917A7A">
        <w:t>Section 32304 of MAP-21 direct</w:t>
      </w:r>
      <w:r w:rsidRPr="00917A7A" w:rsidR="00CA3651">
        <w:t>ed</w:t>
      </w:r>
      <w:r w:rsidRPr="00917A7A">
        <w:t xml:space="preserve"> FMCSA to </w:t>
      </w:r>
      <w:r w:rsidRPr="00917A7A" w:rsidR="00CA3651">
        <w:t xml:space="preserve">develop and establish minimum driver training standards for </w:t>
      </w:r>
      <w:r w:rsidRPr="00917A7A" w:rsidR="00B75AF6">
        <w:t xml:space="preserve">applicants for </w:t>
      </w:r>
      <w:r w:rsidRPr="00917A7A" w:rsidR="00CA3651">
        <w:t>a CDL and/or certain CDL endorsements.</w:t>
      </w:r>
      <w:r w:rsidRPr="00917A7A" w:rsidR="00B75AF6">
        <w:t xml:space="preserve"> FMCSA subsequently published the final rule titled “Minimum Training Requirements for Entry-Level Commercial Motor Vehicle Operators” (81 FR 88732) </w:t>
      </w:r>
      <w:r w:rsidRPr="00917A7A" w:rsidR="00C674B4">
        <w:t xml:space="preserve">(ELDT final rule) </w:t>
      </w:r>
      <w:r w:rsidRPr="00917A7A" w:rsidR="00B75AF6">
        <w:t>(</w:t>
      </w:r>
      <w:r w:rsidRPr="00917A7A" w:rsidR="00B11D8B">
        <w:t xml:space="preserve">Attachment </w:t>
      </w:r>
      <w:r w:rsidRPr="00917A7A" w:rsidR="00B32097">
        <w:t>B</w:t>
      </w:r>
      <w:r w:rsidRPr="00917A7A" w:rsidR="00B75AF6">
        <w:t xml:space="preserve">) on December 8, 2016, </w:t>
      </w:r>
      <w:r w:rsidRPr="00917A7A" w:rsidR="007E3849">
        <w:t xml:space="preserve">with a compliance date of February 7, 2020, </w:t>
      </w:r>
      <w:r w:rsidRPr="00917A7A" w:rsidR="00B75AF6">
        <w:t>implementing section 32304 of M</w:t>
      </w:r>
      <w:r w:rsidRPr="00917A7A" w:rsidR="00220F59">
        <w:t>AP-21.</w:t>
      </w:r>
      <w:r w:rsidRPr="00917A7A" w:rsidR="001F71C8">
        <w:t xml:space="preserve"> The currently approved collection of information does not reflect any burden impacts resulting from the December 2016 final rule, primarily because the ELDT final rule’s original compliance date of February 7, 2020 fell so close to the expiration date of the currently approved collection. In 2016, FMCSA submitted a request to OMB to revise the approved collection of information in effect at that time, in order to reflect the burden impacts resulting from the December 2016 final rule. However, the February 7, 2020, compliance date of the December 2016 final rule fell beyond the three-year period of 2017 through 2019 covered by the request, and therefore in practice no burden impacts from the December 2016 final rule could be reflected in that revision. OMB</w:t>
      </w:r>
      <w:r w:rsidRPr="00917A7A" w:rsidR="001F71C8">
        <w:rPr>
          <w:bCs/>
          <w:szCs w:val="24"/>
        </w:rPr>
        <w:t xml:space="preserve"> </w:t>
      </w:r>
      <w:r w:rsidRPr="00917A7A" w:rsidR="001F71C8">
        <w:t>acknowledged this in a Notice of Action (NOA) dated January 6, 2017, and advised FMCSA to instead renew and extended the approved collection of information in effect at that time.</w:t>
      </w:r>
      <w:r w:rsidRPr="00917A7A" w:rsidR="001F71C8">
        <w:rPr>
          <w:rStyle w:val="FootnoteReference"/>
        </w:rPr>
        <w:footnoteReference w:id="3"/>
      </w:r>
      <w:r w:rsidRPr="00917A7A" w:rsidR="001F71C8">
        <w:t xml:space="preserve"> That renewal was approved by OMB on April 19, 2017, and is the currently approved collection of information that will expire on April 30, 2020. Previous projected estimates of the burden impacts from the December 2016 final rule were, however, published in the March 7, 2016, Notice of Proposed Rulemaking (NPRM) (81 FR 11944) (Attachment </w:t>
      </w:r>
      <w:r w:rsidRPr="00917A7A" w:rsidR="00B233B8">
        <w:t>H</w:t>
      </w:r>
      <w:r w:rsidRPr="00917A7A" w:rsidR="001F71C8">
        <w:t>) that preceded the final rule, providing the public the opportunity for review and comment. No comments concerning the projected burden impacts were received at that time. The same projected burden impacts were again published in the ELDT final rule in December of 2016. Those estimates are updated later in this Supporting Statement.</w:t>
      </w:r>
    </w:p>
    <w:p w:rsidRPr="00917A7A" w:rsidR="001F71C8" w:rsidP="00553C5E" w:rsidRDefault="001F71C8" w14:paraId="5DC6FD98" w14:textId="77777777">
      <w:pPr>
        <w:ind w:left="360"/>
      </w:pPr>
    </w:p>
    <w:p w:rsidRPr="00917A7A" w:rsidR="00553C5E" w:rsidP="00553C5E" w:rsidRDefault="00F60D5E" w14:paraId="64AC1EC0" w14:textId="6EF83A51">
      <w:pPr>
        <w:ind w:left="360"/>
      </w:pPr>
      <w:r w:rsidRPr="00917A7A">
        <w:t>T</w:t>
      </w:r>
      <w:r w:rsidRPr="00917A7A" w:rsidR="005548D1">
        <w:t xml:space="preserve">he Agency has also since published a separate final rule on March 6, 2019, titled “Commercial Driver’s License Upgrade from Class B to Class A” (84 FR 8029) (Attachment C), that amended the ELDT regulations that were published on December 8, 2016, by adopting a new Class A CDL theory instruction upgrade curriculum to reduce the training time and costs incurred by Class B CDL holders upgrading to a Class A CDL. </w:t>
      </w:r>
      <w:r w:rsidRPr="00917A7A" w:rsidR="00DE048A">
        <w:t>However, t</w:t>
      </w:r>
      <w:r w:rsidRPr="00917A7A" w:rsidR="005548D1">
        <w:t xml:space="preserve">his March 6, 2019, final rule does not substantively affect the burden associated with the ELDT regulations. It only adds a new category of training curricula to several existing categories that will appear in the </w:t>
      </w:r>
      <w:r w:rsidRPr="00917A7A" w:rsidR="00F36D3D">
        <w:t>new Training Provider Registry (TPR)</w:t>
      </w:r>
      <w:r w:rsidRPr="00917A7A" w:rsidR="005548D1">
        <w:t xml:space="preserve"> and be used by training providers to indicate which categories of training curricula they provide to driver-trainees, and which categories of training curricula individual driver-trainees have completed.</w:t>
      </w:r>
      <w:r w:rsidRPr="00917A7A">
        <w:t xml:space="preserve"> </w:t>
      </w:r>
    </w:p>
    <w:p w:rsidRPr="00917A7A" w:rsidR="00553C5E" w:rsidP="00553C5E" w:rsidRDefault="00553C5E" w14:paraId="688FB7F5" w14:textId="77777777">
      <w:pPr>
        <w:ind w:left="360"/>
      </w:pPr>
    </w:p>
    <w:p w:rsidRPr="00917A7A" w:rsidR="009229EB" w:rsidP="00DE048A" w:rsidRDefault="00F60D5E" w14:paraId="2779BF10" w14:textId="763B9A96">
      <w:pPr>
        <w:ind w:left="360"/>
      </w:pPr>
      <w:r w:rsidRPr="00917A7A">
        <w:t>Finally, the Agency has also now published</w:t>
      </w:r>
      <w:r w:rsidRPr="00917A7A" w:rsidR="00553C5E">
        <w:t xml:space="preserve"> the </w:t>
      </w:r>
      <w:r w:rsidRPr="009402C9" w:rsidR="009402C9">
        <w:rPr>
          <w:bCs/>
          <w:szCs w:val="24"/>
        </w:rPr>
        <w:t>February 4, 2020</w:t>
      </w:r>
      <w:r w:rsidRPr="00917A7A" w:rsidR="00553C5E">
        <w:t xml:space="preserve">, interim final rule </w:t>
      </w:r>
      <w:r w:rsidRPr="00917A7A" w:rsidR="00553C5E">
        <w:rPr>
          <w:bCs/>
          <w:szCs w:val="24"/>
        </w:rPr>
        <w:t xml:space="preserve">titled “Extension of Compliance Date for Entry-Level Driver Training” </w:t>
      </w:r>
      <w:r w:rsidRPr="009402C9" w:rsidR="00553C5E">
        <w:rPr>
          <w:bCs/>
          <w:szCs w:val="24"/>
        </w:rPr>
        <w:t>(</w:t>
      </w:r>
      <w:r w:rsidRPr="009402C9" w:rsidR="009402C9">
        <w:rPr>
          <w:bCs/>
          <w:szCs w:val="24"/>
        </w:rPr>
        <w:t>85 FR 6088</w:t>
      </w:r>
      <w:r w:rsidRPr="009402C9" w:rsidR="00553C5E">
        <w:rPr>
          <w:bCs/>
          <w:szCs w:val="24"/>
        </w:rPr>
        <w:t>)</w:t>
      </w:r>
      <w:r w:rsidRPr="00917A7A" w:rsidR="00553C5E">
        <w:rPr>
          <w:bCs/>
          <w:szCs w:val="24"/>
        </w:rPr>
        <w:t xml:space="preserve"> (Attachment D) </w:t>
      </w:r>
      <w:r w:rsidRPr="00917A7A" w:rsidR="00553C5E">
        <w:t>that further amend</w:t>
      </w:r>
      <w:r w:rsidRPr="00917A7A" w:rsidR="009229EB">
        <w:t>s</w:t>
      </w:r>
      <w:r w:rsidRPr="00917A7A" w:rsidR="00553C5E">
        <w:t xml:space="preserve"> </w:t>
      </w:r>
      <w:r w:rsidRPr="00917A7A" w:rsidR="009229EB">
        <w:t xml:space="preserve">the ELDT regulations that were published on December 8, 2016, </w:t>
      </w:r>
      <w:r w:rsidRPr="00917A7A" w:rsidR="00553C5E">
        <w:t xml:space="preserve">by extending the compliance date </w:t>
      </w:r>
      <w:r w:rsidRPr="00917A7A" w:rsidR="009229EB">
        <w:t xml:space="preserve">for the rule </w:t>
      </w:r>
      <w:r w:rsidRPr="00917A7A" w:rsidR="00553C5E">
        <w:t>from February 7, 2020, to February 7, 2022.</w:t>
      </w:r>
      <w:r w:rsidRPr="00917A7A" w:rsidR="009229EB">
        <w:t xml:space="preserve"> This compliance date extension will </w:t>
      </w:r>
      <w:r w:rsidRPr="00917A7A" w:rsidR="00553C5E">
        <w:t xml:space="preserve">provide FMCSA additional time to complete development of the </w:t>
      </w:r>
      <w:r w:rsidRPr="00917A7A" w:rsidR="00F36D3D">
        <w:t>TPR</w:t>
      </w:r>
      <w:r w:rsidRPr="00917A7A" w:rsidR="00553C5E">
        <w:t xml:space="preserve">, </w:t>
      </w:r>
      <w:r w:rsidRPr="00917A7A" w:rsidR="009229EB">
        <w:t xml:space="preserve">and </w:t>
      </w:r>
      <w:r w:rsidRPr="00917A7A" w:rsidR="00553C5E">
        <w:t>provides SDLAs with time to modify their information technology (IT) systems and procedures, as necessary, to accommodate their receipt of driver-specific ELDT data from the TPR.</w:t>
      </w:r>
      <w:r w:rsidRPr="00917A7A" w:rsidR="002831FF">
        <w:t xml:space="preserve"> </w:t>
      </w:r>
      <w:r w:rsidRPr="00917A7A" w:rsidR="00015ECD">
        <w:t xml:space="preserve">In the July 18, 2019, </w:t>
      </w:r>
      <w:r w:rsidRPr="00917A7A" w:rsidR="002831FF">
        <w:rPr>
          <w:bCs/>
          <w:szCs w:val="24"/>
        </w:rPr>
        <w:t>proposed rule titled “Partial Extension of Compliance Date for Entry-Level Driver Training” (84 FR 34324)</w:t>
      </w:r>
      <w:r w:rsidRPr="00917A7A" w:rsidR="007650D7">
        <w:rPr>
          <w:bCs/>
          <w:szCs w:val="24"/>
        </w:rPr>
        <w:t xml:space="preserve"> (Attachment </w:t>
      </w:r>
      <w:r w:rsidRPr="00917A7A" w:rsidR="00B233B8">
        <w:rPr>
          <w:bCs/>
          <w:szCs w:val="24"/>
        </w:rPr>
        <w:t>I</w:t>
      </w:r>
      <w:r w:rsidRPr="00917A7A" w:rsidR="00DE048A">
        <w:rPr>
          <w:bCs/>
          <w:szCs w:val="24"/>
        </w:rPr>
        <w:t>)</w:t>
      </w:r>
      <w:r w:rsidRPr="00917A7A" w:rsidR="00015ECD">
        <w:rPr>
          <w:bCs/>
          <w:szCs w:val="24"/>
        </w:rPr>
        <w:t xml:space="preserve">, FMCSA </w:t>
      </w:r>
      <w:r w:rsidRPr="00917A7A" w:rsidR="00DE048A">
        <w:rPr>
          <w:bCs/>
          <w:szCs w:val="24"/>
        </w:rPr>
        <w:t xml:space="preserve">had </w:t>
      </w:r>
      <w:r w:rsidRPr="00917A7A" w:rsidR="002831FF">
        <w:rPr>
          <w:bCs/>
          <w:szCs w:val="24"/>
        </w:rPr>
        <w:t xml:space="preserve">proposed </w:t>
      </w:r>
      <w:r w:rsidRPr="00917A7A" w:rsidR="00DE048A">
        <w:t xml:space="preserve">extending the compliance date from February 7, 2020, to February 7, 2022, only for </w:t>
      </w:r>
      <w:r w:rsidRPr="00917A7A" w:rsidR="002831FF">
        <w:rPr>
          <w:bCs/>
          <w:szCs w:val="24"/>
        </w:rPr>
        <w:t xml:space="preserve">the requirement for training providers to </w:t>
      </w:r>
      <w:r w:rsidRPr="00917A7A" w:rsidR="002831FF">
        <w:t>submit training certification information to the TPR for each individual driver-trainee that completes training.</w:t>
      </w:r>
      <w:r w:rsidRPr="00917A7A" w:rsidR="00DE048A">
        <w:t xml:space="preserve"> The </w:t>
      </w:r>
      <w:r w:rsidRPr="00917A7A" w:rsidR="00395D35">
        <w:t xml:space="preserve">compliance date for the </w:t>
      </w:r>
      <w:r w:rsidRPr="00917A7A" w:rsidR="00395D35">
        <w:rPr>
          <w:szCs w:val="24"/>
        </w:rPr>
        <w:t xml:space="preserve">“Training Provider Registration” information collection activities was proposed to have remained February 7, 2020. Under the </w:t>
      </w:r>
      <w:r w:rsidRPr="009402C9" w:rsidR="009402C9">
        <w:rPr>
          <w:bCs/>
          <w:szCs w:val="24"/>
        </w:rPr>
        <w:t>February 4, 2020</w:t>
      </w:r>
      <w:r w:rsidRPr="00917A7A" w:rsidR="00395D35">
        <w:t>, interim final rule, FMCSA is now delaying the entire ELDT final rule, as opposed to a partial delay as originally proposed, due to delays in implementation of the TPR that were not foreseen when the proposed rule was published.</w:t>
      </w:r>
    </w:p>
    <w:p w:rsidRPr="00917A7A" w:rsidR="00015ECD" w:rsidP="00B75AF6" w:rsidRDefault="00015ECD" w14:paraId="7A69BF75" w14:textId="77777777">
      <w:pPr>
        <w:ind w:left="360"/>
      </w:pPr>
    </w:p>
    <w:p w:rsidRPr="00917A7A" w:rsidR="00CA3651" w:rsidP="00B75AF6" w:rsidRDefault="00B75AF6" w14:paraId="36707706" w14:textId="67735C9D">
      <w:pPr>
        <w:ind w:left="360"/>
      </w:pPr>
      <w:r w:rsidRPr="00917A7A">
        <w:t xml:space="preserve">These FMCSA minimum training requirements for </w:t>
      </w:r>
      <w:r w:rsidRPr="00917A7A" w:rsidR="005D109D">
        <w:t>ELDT</w:t>
      </w:r>
      <w:r w:rsidRPr="00917A7A" w:rsidR="00BC27AB">
        <w:t xml:space="preserve"> </w:t>
      </w:r>
      <w:r w:rsidRPr="00917A7A" w:rsidR="00CA3651">
        <w:t xml:space="preserve">are intended to enhance the safety of </w:t>
      </w:r>
      <w:r w:rsidRPr="00917A7A" w:rsidR="00B502B1">
        <w:t>CMV</w:t>
      </w:r>
      <w:r w:rsidRPr="00917A7A" w:rsidR="00CA3651">
        <w:t xml:space="preserve"> operations on our Nation’s highways</w:t>
      </w:r>
      <w:r w:rsidRPr="00917A7A">
        <w:t xml:space="preserve">. Therefore, this </w:t>
      </w:r>
      <w:r w:rsidRPr="00917A7A" w:rsidR="00C33F07">
        <w:t>ICR</w:t>
      </w:r>
      <w:r w:rsidRPr="00917A7A" w:rsidR="00B70741">
        <w:t xml:space="preserve"> </w:t>
      </w:r>
      <w:r w:rsidRPr="00917A7A" w:rsidR="00CA3651">
        <w:t>supports t</w:t>
      </w:r>
      <w:r w:rsidRPr="00917A7A">
        <w:t>he DOT Strategic Goal of Safety.</w:t>
      </w:r>
    </w:p>
    <w:p w:rsidRPr="00917A7A" w:rsidR="005C1336" w:rsidP="005C1336" w:rsidRDefault="005C1336" w14:paraId="1392E572" w14:textId="50A2B901">
      <w:pPr>
        <w:ind w:left="360"/>
        <w:rPr>
          <w:bCs/>
          <w:szCs w:val="24"/>
        </w:rPr>
      </w:pPr>
    </w:p>
    <w:p w:rsidRPr="00917A7A" w:rsidR="00D43D26" w:rsidP="00D43D26" w:rsidRDefault="00D43D26" w14:paraId="589E09C0" w14:textId="77777777">
      <w:pPr>
        <w:widowControl/>
        <w:ind w:left="360"/>
      </w:pPr>
      <w:r w:rsidRPr="00917A7A">
        <w:t>The Agency hereby requests OMB approval of this revision of the existing currently approved collection of information with OMB Control Number 2126-0028 titled “Training Certification for Entry-Level Commercial Motor Vehicle Operators,” for a full three-year period.</w:t>
      </w:r>
    </w:p>
    <w:p w:rsidRPr="00917A7A" w:rsidR="0055628D" w:rsidP="0055628D" w:rsidRDefault="0055628D" w14:paraId="50E9AAE7" w14:textId="77777777">
      <w:pPr>
        <w:widowControl/>
      </w:pPr>
    </w:p>
    <w:p w:rsidRPr="00917A7A" w:rsidR="007C65BC" w:rsidP="007C65BC" w:rsidRDefault="007C65BC" w14:paraId="2F4E4F90" w14:textId="77777777">
      <w:pPr>
        <w:tabs>
          <w:tab w:val="left" w:pos="360"/>
        </w:tabs>
        <w:rPr>
          <w:szCs w:val="24"/>
        </w:rPr>
      </w:pPr>
      <w:r w:rsidRPr="00917A7A">
        <w:rPr>
          <w:b/>
          <w:bCs/>
          <w:szCs w:val="24"/>
        </w:rPr>
        <w:t>2.</w:t>
      </w:r>
      <w:r w:rsidRPr="00917A7A">
        <w:rPr>
          <w:b/>
          <w:bCs/>
          <w:szCs w:val="24"/>
        </w:rPr>
        <w:tab/>
      </w:r>
      <w:r w:rsidRPr="00917A7A" w:rsidR="00C14920">
        <w:rPr>
          <w:b/>
          <w:bCs/>
          <w:szCs w:val="24"/>
        </w:rPr>
        <w:t>HOW, BY WHOM, AND FOR WHAT PURPOSE IS THE INFORMATION USED</w:t>
      </w:r>
      <w:r w:rsidRPr="00917A7A" w:rsidR="009D4F72">
        <w:rPr>
          <w:b/>
          <w:bCs/>
          <w:szCs w:val="24"/>
        </w:rPr>
        <w:t xml:space="preserve"> </w:t>
      </w:r>
      <w:r w:rsidRPr="00917A7A" w:rsidR="005612EB">
        <w:rPr>
          <w:b/>
          <w:bCs/>
          <w:szCs w:val="24"/>
        </w:rPr>
        <w:br/>
      </w:r>
    </w:p>
    <w:p w:rsidRPr="00917A7A" w:rsidR="00E63EF0" w:rsidP="00E63EF0" w:rsidRDefault="00F84663" w14:paraId="70660E30" w14:textId="4129233E">
      <w:pPr>
        <w:tabs>
          <w:tab w:val="left" w:pos="360"/>
        </w:tabs>
        <w:ind w:left="360"/>
      </w:pPr>
      <w:r w:rsidRPr="00917A7A">
        <w:t>FMCSA published the final rule titled “Minimum Training Requirements for Entry-Level Commercial Motor Vehicle Operators” (81 FR 88732) (</w:t>
      </w:r>
      <w:r w:rsidRPr="00917A7A" w:rsidR="00B11D8B">
        <w:t xml:space="preserve">Attachment </w:t>
      </w:r>
      <w:r w:rsidRPr="00917A7A" w:rsidR="00B32097">
        <w:t>B</w:t>
      </w:r>
      <w:r w:rsidRPr="00917A7A">
        <w:t>) on December 8, 2016, with a compliance date of February 7, 2020, implementing section 32304 of MAP-21 which directed FMCSA to develop and establish minimum driver training standards for applicants for a CDL and/or certain CDL endorsements.</w:t>
      </w:r>
      <w:r w:rsidRPr="00917A7A" w:rsidR="00766697">
        <w:t xml:space="preserve"> </w:t>
      </w:r>
      <w:r w:rsidRPr="00917A7A" w:rsidR="00B20F2F">
        <w:t xml:space="preserve">The </w:t>
      </w:r>
      <w:r w:rsidRPr="009402C9" w:rsidR="009402C9">
        <w:rPr>
          <w:bCs/>
          <w:szCs w:val="24"/>
        </w:rPr>
        <w:t>February 4, 2020</w:t>
      </w:r>
      <w:r w:rsidRPr="00917A7A" w:rsidR="00B20F2F">
        <w:t xml:space="preserve">, interim final rule </w:t>
      </w:r>
      <w:r w:rsidRPr="00917A7A" w:rsidR="00B20F2F">
        <w:rPr>
          <w:bCs/>
          <w:szCs w:val="24"/>
        </w:rPr>
        <w:t xml:space="preserve">titled “Extension of Compliance Date for Entry-Level Driver Training” </w:t>
      </w:r>
      <w:r w:rsidRPr="009402C9" w:rsidR="009402C9">
        <w:rPr>
          <w:bCs/>
          <w:szCs w:val="24"/>
        </w:rPr>
        <w:t>(85 FR 6088)</w:t>
      </w:r>
      <w:r w:rsidRPr="00A45437" w:rsidDel="009402C9" w:rsidR="009402C9">
        <w:rPr>
          <w:bCs/>
          <w:szCs w:val="24"/>
        </w:rPr>
        <w:t xml:space="preserve"> </w:t>
      </w:r>
      <w:r w:rsidRPr="00917A7A" w:rsidR="00B20F2F">
        <w:rPr>
          <w:bCs/>
          <w:szCs w:val="24"/>
        </w:rPr>
        <w:t xml:space="preserve">(Attachment </w:t>
      </w:r>
      <w:r w:rsidRPr="00917A7A" w:rsidR="00B20F2F">
        <w:rPr>
          <w:bCs/>
          <w:szCs w:val="24"/>
        </w:rPr>
        <w:lastRenderedPageBreak/>
        <w:t xml:space="preserve">D) </w:t>
      </w:r>
      <w:r w:rsidRPr="00917A7A" w:rsidR="00B20F2F">
        <w:t xml:space="preserve">amends </w:t>
      </w:r>
      <w:r w:rsidRPr="00917A7A" w:rsidR="00DF0A62">
        <w:t xml:space="preserve">the </w:t>
      </w:r>
      <w:r w:rsidRPr="00917A7A" w:rsidR="005D4438">
        <w:t xml:space="preserve">December 8, 2016, final ELDT rule </w:t>
      </w:r>
      <w:r w:rsidRPr="00917A7A" w:rsidR="00B20F2F">
        <w:t>by extending the compliance date for the rule from February 7, 2020, to February 7, 2022.</w:t>
      </w:r>
      <w:r w:rsidRPr="00917A7A" w:rsidR="00E63EF0">
        <w:t xml:space="preserve"> </w:t>
      </w:r>
      <w:r w:rsidRPr="00917A7A" w:rsidR="00D71D15">
        <w:t xml:space="preserve">The three-year period covered by this ICR is 2020 through 2022. </w:t>
      </w:r>
      <w:r w:rsidRPr="00917A7A" w:rsidR="009D7866">
        <w:t xml:space="preserve">Therefore, the existing ELDT requirements under Subpart E of part 380, and their associated burden, will </w:t>
      </w:r>
      <w:r w:rsidRPr="00917A7A" w:rsidR="007A7CE8">
        <w:t xml:space="preserve">be </w:t>
      </w:r>
      <w:r w:rsidRPr="00917A7A" w:rsidR="009D7866">
        <w:t>in force for the first two years, 2020 and 2021, of the three-year period covered by this I</w:t>
      </w:r>
      <w:r w:rsidRPr="00917A7A" w:rsidR="00F25893">
        <w:t>CR. Then, as of February 7, 2022</w:t>
      </w:r>
      <w:r w:rsidRPr="00917A7A" w:rsidR="009D7866">
        <w:t xml:space="preserve">, </w:t>
      </w:r>
      <w:r w:rsidRPr="00917A7A" w:rsidR="007A7CE8">
        <w:t>the</w:t>
      </w:r>
      <w:r w:rsidRPr="00917A7A" w:rsidR="007B34C4">
        <w:t>se</w:t>
      </w:r>
      <w:r w:rsidRPr="00917A7A" w:rsidR="007A7CE8">
        <w:t xml:space="preserve"> existing ELDT requirements are eliminated, and new minimum training standards for entry-level drivers (in a new Subpart F and five new Appendices to part 380), and new requirements for training providers (in a new Subpart G), </w:t>
      </w:r>
      <w:r w:rsidRPr="00917A7A" w:rsidR="00DF0A62">
        <w:t xml:space="preserve">and the associated burden, </w:t>
      </w:r>
      <w:r w:rsidRPr="00917A7A" w:rsidR="007A7CE8">
        <w:t>will be in force</w:t>
      </w:r>
      <w:r w:rsidRPr="00917A7A" w:rsidR="00AF73A0">
        <w:t xml:space="preserve"> for the last year, 2022, of the three-year period covered by this ICR</w:t>
      </w:r>
      <w:r w:rsidRPr="00917A7A" w:rsidR="007A7CE8">
        <w:t>.</w:t>
      </w:r>
      <w:r w:rsidRPr="00917A7A" w:rsidR="00E63EF0">
        <w:t xml:space="preserve"> These new requirements impose an information collection burden on training providers, but do not impose an information collection burden on entry-level drivers. FMCSA has carefully considered how to gather the information that it requires to implement section 32304 of MAP-21 without unduly burdening training providers.</w:t>
      </w:r>
    </w:p>
    <w:p w:rsidRPr="00917A7A" w:rsidR="00C31F0C" w:rsidP="00B16469" w:rsidRDefault="00C31F0C" w14:paraId="31AD70C3" w14:textId="77777777">
      <w:pPr>
        <w:ind w:left="360"/>
      </w:pPr>
    </w:p>
    <w:p w:rsidRPr="00917A7A" w:rsidR="00C31F0C" w:rsidP="00C31F0C" w:rsidRDefault="00981FCD" w14:paraId="568C6EAF" w14:textId="2C74A2C9">
      <w:pPr>
        <w:ind w:left="360"/>
      </w:pPr>
      <w:r w:rsidRPr="00917A7A">
        <w:t>During the first two years, 2020 and 2021, of the three-year period covered by this ICR,</w:t>
      </w:r>
      <w:r w:rsidRPr="00917A7A" w:rsidR="00C31F0C">
        <w:t xml:space="preserve"> </w:t>
      </w:r>
      <w:r w:rsidRPr="00917A7A" w:rsidR="00C31F0C">
        <w:rPr>
          <w:szCs w:val="24"/>
        </w:rPr>
        <w:t xml:space="preserve">employers are prohibited from allowing an entry-level driver to operate a CMV without ensuring that the driver has received entry-level driver training specified under 49 CFR 380.503. </w:t>
      </w:r>
      <w:r w:rsidRPr="00917A7A" w:rsidR="0070648B">
        <w:rPr>
          <w:szCs w:val="24"/>
        </w:rPr>
        <w:t xml:space="preserve">Under IC-1, </w:t>
      </w:r>
      <w:r w:rsidR="007811BF">
        <w:rPr>
          <w:szCs w:val="24"/>
        </w:rPr>
        <w:t>“</w:t>
      </w:r>
      <w:r w:rsidRPr="007811BF" w:rsidR="007811BF">
        <w:rPr>
          <w:szCs w:val="24"/>
        </w:rPr>
        <w:t>Training Certification for Entry-Level Drivers under Subpart E</w:t>
      </w:r>
      <w:r w:rsidR="00060A6A">
        <w:rPr>
          <w:szCs w:val="24"/>
        </w:rPr>
        <w:t>,</w:t>
      </w:r>
      <w:r w:rsidR="007811BF">
        <w:rPr>
          <w:szCs w:val="24"/>
        </w:rPr>
        <w:t xml:space="preserve">” </w:t>
      </w:r>
      <w:r w:rsidRPr="00917A7A" w:rsidR="0070648B">
        <w:rPr>
          <w:szCs w:val="24"/>
        </w:rPr>
        <w:t>t</w:t>
      </w:r>
      <w:r w:rsidRPr="00917A7A" w:rsidR="00C31F0C">
        <w:rPr>
          <w:szCs w:val="24"/>
        </w:rPr>
        <w:t>hese entry-level interstate CDL drivers receive a certificate whe</w:t>
      </w:r>
      <w:r w:rsidRPr="00917A7A" w:rsidR="004149F4">
        <w:rPr>
          <w:szCs w:val="24"/>
        </w:rPr>
        <w:t>n they successfully complete this</w:t>
      </w:r>
      <w:r w:rsidRPr="00917A7A" w:rsidR="00C31F0C">
        <w:rPr>
          <w:szCs w:val="24"/>
        </w:rPr>
        <w:t xml:space="preserve"> mandatory training, and must present a copy of it to their employer in order to be qualified to drive a CMV in interstate commerce. The employer keeps a copy of the training certificate in the driver qualification file. During a compliance review, the certificate </w:t>
      </w:r>
      <w:r w:rsidRPr="00917A7A" w:rsidR="003227E6">
        <w:rPr>
          <w:szCs w:val="24"/>
        </w:rPr>
        <w:t>must be made available to authorized representatives of FMCSA, and serves as proof that the CDL driver completed the required training</w:t>
      </w:r>
      <w:r w:rsidRPr="00917A7A" w:rsidR="00C31F0C">
        <w:rPr>
          <w:szCs w:val="24"/>
        </w:rPr>
        <w:t>.</w:t>
      </w:r>
    </w:p>
    <w:p w:rsidRPr="00917A7A" w:rsidR="00C31F0C" w:rsidP="00B16469" w:rsidRDefault="00C31F0C" w14:paraId="0DCDF817" w14:textId="77777777">
      <w:pPr>
        <w:tabs>
          <w:tab w:val="left" w:pos="360"/>
        </w:tabs>
        <w:ind w:left="360"/>
      </w:pPr>
    </w:p>
    <w:p w:rsidRPr="00917A7A" w:rsidR="005674DB" w:rsidP="00981FCD" w:rsidRDefault="00981FCD" w14:paraId="52791765" w14:textId="5EBE3CE7">
      <w:pPr>
        <w:ind w:left="360"/>
      </w:pPr>
      <w:r w:rsidRPr="00917A7A">
        <w:t>During the third year, 2022, of the three-year period covered by this ICR, under IC-2</w:t>
      </w:r>
      <w:r w:rsidRPr="00917A7A" w:rsidR="00F0224E">
        <w:t>,</w:t>
      </w:r>
      <w:r w:rsidRPr="00917A7A">
        <w:t xml:space="preserve"> </w:t>
      </w:r>
      <w:r w:rsidRPr="00917A7A" w:rsidR="005674DB">
        <w:t>“Training Provider Registration” i</w:t>
      </w:r>
      <w:r w:rsidRPr="00917A7A" w:rsidR="001D1030">
        <w:t>nformation will be</w:t>
      </w:r>
      <w:r w:rsidRPr="00917A7A" w:rsidR="005674DB">
        <w:t xml:space="preserve"> collected </w:t>
      </w:r>
      <w:r w:rsidRPr="00917A7A" w:rsidR="008F3230">
        <w:t xml:space="preserve">by FMCSA </w:t>
      </w:r>
      <w:r w:rsidRPr="00917A7A" w:rsidR="005674DB">
        <w:t xml:space="preserve">from </w:t>
      </w:r>
      <w:r w:rsidRPr="00917A7A" w:rsidR="00EE4739">
        <w:t xml:space="preserve">each training provider for each training location </w:t>
      </w:r>
      <w:r w:rsidRPr="00917A7A" w:rsidR="008F3230">
        <w:t xml:space="preserve">by means of </w:t>
      </w:r>
      <w:r w:rsidRPr="00917A7A" w:rsidR="00ED484C">
        <w:t xml:space="preserve">the online </w:t>
      </w:r>
      <w:r w:rsidRPr="00917A7A" w:rsidR="008472E1">
        <w:t>TPR</w:t>
      </w:r>
      <w:r w:rsidRPr="00917A7A" w:rsidR="008F3230">
        <w:t xml:space="preserve">. </w:t>
      </w:r>
      <w:r w:rsidRPr="00917A7A" w:rsidR="004C35C4">
        <w:t>The use of an electronic</w:t>
      </w:r>
      <w:r w:rsidRPr="00917A7A" w:rsidR="00067577">
        <w:t>,</w:t>
      </w:r>
      <w:r w:rsidRPr="00917A7A" w:rsidR="004C35C4">
        <w:t xml:space="preserve"> online</w:t>
      </w:r>
      <w:r w:rsidRPr="00917A7A" w:rsidR="00067577">
        <w:t>,</w:t>
      </w:r>
      <w:r w:rsidRPr="00917A7A" w:rsidR="004C35C4">
        <w:t xml:space="preserve"> web-based information system for this </w:t>
      </w:r>
      <w:r w:rsidRPr="00917A7A" w:rsidR="00464625">
        <w:t xml:space="preserve">collection of </w:t>
      </w:r>
      <w:r w:rsidRPr="00917A7A" w:rsidR="004C35C4">
        <w:t xml:space="preserve">information is expected to reduce burden on respondents. </w:t>
      </w:r>
      <w:r w:rsidRPr="00917A7A" w:rsidR="008F3230">
        <w:t xml:space="preserve">Although the TPR will be an online web-based system, the information and specific data fields required to be submitted by training providers in order to be listed on the TPR are presented with this Supporting Statement in the attached “Training Provider Registration” information collection </w:t>
      </w:r>
      <w:r w:rsidRPr="00917A7A" w:rsidR="00B162A8">
        <w:t>which lists the data elements that will be submitted to the TPR by each training provider, for each training location, and each curricula, in order to register on the TPR</w:t>
      </w:r>
      <w:r w:rsidRPr="00917A7A" w:rsidR="008F3230">
        <w:t xml:space="preserve">. </w:t>
      </w:r>
      <w:r w:rsidRPr="00917A7A" w:rsidR="004C35C4">
        <w:t xml:space="preserve">This information </w:t>
      </w:r>
      <w:r w:rsidRPr="00917A7A" w:rsidR="003D477F">
        <w:t>will be</w:t>
      </w:r>
      <w:r w:rsidRPr="00917A7A" w:rsidR="004C35C4">
        <w:t xml:space="preserve"> collected when a training provider is first registering in the TPR, on a biennial basis thereafter, or otherwise when key information changes (training provider name, address, phone number, type(s) of training offered, training provider status, and, if applicable, any change in State licensure, certification, or accreditation status). </w:t>
      </w:r>
      <w:r w:rsidRPr="00917A7A" w:rsidR="008F3230">
        <w:t xml:space="preserve">The “Training Provider Registration” information </w:t>
      </w:r>
      <w:r w:rsidRPr="00917A7A" w:rsidR="003D477F">
        <w:t xml:space="preserve">will be </w:t>
      </w:r>
      <w:r w:rsidRPr="00917A7A" w:rsidR="008F3230">
        <w:t xml:space="preserve">used by FMCSA </w:t>
      </w:r>
      <w:r w:rsidRPr="00917A7A" w:rsidR="005674DB">
        <w:t xml:space="preserve">to ensure that </w:t>
      </w:r>
      <w:r w:rsidRPr="00917A7A" w:rsidR="008F3230">
        <w:t xml:space="preserve">training providers </w:t>
      </w:r>
      <w:r w:rsidRPr="00917A7A" w:rsidR="005674DB">
        <w:t xml:space="preserve">meet the new training provider eligibility requirements </w:t>
      </w:r>
      <w:r w:rsidRPr="00917A7A" w:rsidR="008F3230">
        <w:t>established by the December 2016 final rule</w:t>
      </w:r>
      <w:r w:rsidRPr="00917A7A" w:rsidR="002139E0">
        <w:t>,</w:t>
      </w:r>
      <w:r w:rsidRPr="00917A7A" w:rsidR="008F3230">
        <w:t xml:space="preserve"> </w:t>
      </w:r>
      <w:r w:rsidRPr="00917A7A" w:rsidR="005674DB">
        <w:t xml:space="preserve">and can therefore be listed on the TPR. </w:t>
      </w:r>
      <w:r w:rsidRPr="00917A7A" w:rsidR="00FA1D73">
        <w:t>Furthermore, from the “Training Provider Registration” information submitted by training providers, c</w:t>
      </w:r>
      <w:r w:rsidRPr="00917A7A" w:rsidR="009364EE">
        <w:t xml:space="preserve">ertain </w:t>
      </w:r>
      <w:r w:rsidRPr="00917A7A" w:rsidR="00FA1D73">
        <w:t xml:space="preserve">basic identifying </w:t>
      </w:r>
      <w:r w:rsidRPr="00917A7A" w:rsidR="009364EE">
        <w:t xml:space="preserve">information </w:t>
      </w:r>
      <w:r w:rsidRPr="00917A7A" w:rsidR="00FA1D73">
        <w:t xml:space="preserve">(e.g., company name, location, contact information, etc.) </w:t>
      </w:r>
      <w:r w:rsidRPr="00917A7A" w:rsidR="009364EE">
        <w:t xml:space="preserve">and </w:t>
      </w:r>
      <w:r w:rsidRPr="00917A7A" w:rsidR="00FA1D73">
        <w:t>descriptive attributes regarding the training offered (e.g., which types of CDL and/or endor</w:t>
      </w:r>
      <w:r w:rsidRPr="00917A7A" w:rsidR="007233D8">
        <w:t>sement</w:t>
      </w:r>
      <w:r w:rsidRPr="00917A7A" w:rsidR="00FA1D73">
        <w:t xml:space="preserve"> training </w:t>
      </w:r>
      <w:r w:rsidRPr="00917A7A" w:rsidR="00CB2FBF">
        <w:t>are</w:t>
      </w:r>
      <w:r w:rsidRPr="00917A7A" w:rsidR="007233D8">
        <w:t xml:space="preserve"> </w:t>
      </w:r>
      <w:r w:rsidRPr="00917A7A" w:rsidR="00FA1D73">
        <w:t xml:space="preserve">offered, etc.) </w:t>
      </w:r>
      <w:r w:rsidRPr="00917A7A" w:rsidR="00ED484C">
        <w:t xml:space="preserve">by each training provider and at each training location </w:t>
      </w:r>
      <w:r w:rsidRPr="00917A7A" w:rsidR="00FA1D73">
        <w:t xml:space="preserve">will be </w:t>
      </w:r>
      <w:r w:rsidRPr="00917A7A" w:rsidR="00FA1D73">
        <w:lastRenderedPageBreak/>
        <w:t xml:space="preserve">displayed and made available </w:t>
      </w:r>
      <w:r w:rsidRPr="00917A7A" w:rsidR="00ED484C">
        <w:t xml:space="preserve">to the public </w:t>
      </w:r>
      <w:r w:rsidRPr="00917A7A" w:rsidR="00FA1D73">
        <w:t xml:space="preserve">on </w:t>
      </w:r>
      <w:r w:rsidRPr="00917A7A" w:rsidR="009364EE">
        <w:t>the TPR</w:t>
      </w:r>
      <w:r w:rsidRPr="00917A7A" w:rsidR="00FA1D73">
        <w:t xml:space="preserve"> web</w:t>
      </w:r>
      <w:r w:rsidRPr="00917A7A" w:rsidR="007233D8">
        <w:t>si</w:t>
      </w:r>
      <w:r w:rsidRPr="00917A7A" w:rsidR="00FA1D73">
        <w:t xml:space="preserve">te (unless the training provider chooses to not have this information displayed). This information </w:t>
      </w:r>
      <w:r w:rsidRPr="00917A7A" w:rsidR="007D3FFD">
        <w:t xml:space="preserve">will be </w:t>
      </w:r>
      <w:r w:rsidRPr="00917A7A" w:rsidR="004C35C4">
        <w:t xml:space="preserve">used by entry-level drivers to </w:t>
      </w:r>
      <w:r w:rsidRPr="00917A7A" w:rsidR="005674DB">
        <w:t>identi</w:t>
      </w:r>
      <w:r w:rsidRPr="00917A7A" w:rsidR="007D3FFD">
        <w:t xml:space="preserve">fy training providers </w:t>
      </w:r>
      <w:r w:rsidRPr="00917A7A" w:rsidR="009364EE">
        <w:t>from which the</w:t>
      </w:r>
      <w:r w:rsidRPr="00917A7A" w:rsidR="007233D8">
        <w:t>y can obtain the training</w:t>
      </w:r>
      <w:r w:rsidRPr="00917A7A" w:rsidR="0081787C">
        <w:t xml:space="preserve"> that they require for the Class A or Class B CDL and/or endorsement that they seek to acquire</w:t>
      </w:r>
      <w:r w:rsidRPr="00917A7A" w:rsidR="007233D8">
        <w:t>.</w:t>
      </w:r>
    </w:p>
    <w:p w:rsidRPr="00917A7A" w:rsidR="00FA01BD" w:rsidP="005674DB" w:rsidRDefault="00FA01BD" w14:paraId="0A835489" w14:textId="67B40AEE">
      <w:pPr>
        <w:ind w:left="360"/>
      </w:pPr>
    </w:p>
    <w:p w:rsidRPr="00917A7A" w:rsidR="00E615CC" w:rsidP="00CA6BF8" w:rsidRDefault="00981FCD" w14:paraId="6B4ED340" w14:textId="5467EEA1">
      <w:pPr>
        <w:ind w:left="360"/>
      </w:pPr>
      <w:r w:rsidRPr="00917A7A">
        <w:t>Also during the third year, 2022, of the three-year period covered by this ICR, under IC-3</w:t>
      </w:r>
      <w:r w:rsidRPr="00917A7A" w:rsidR="00F0224E">
        <w:t>,</w:t>
      </w:r>
      <w:r w:rsidRPr="00917A7A">
        <w:t xml:space="preserve"> </w:t>
      </w:r>
      <w:r w:rsidRPr="00917A7A" w:rsidR="001D1030">
        <w:t xml:space="preserve">“Driver Training Certification” information will be collected by FMCSA from training providers by means of the new </w:t>
      </w:r>
      <w:r w:rsidRPr="00917A7A" w:rsidR="008472E1">
        <w:t>TPR</w:t>
      </w:r>
      <w:r w:rsidRPr="00917A7A" w:rsidR="001D1030">
        <w:t xml:space="preserve">. </w:t>
      </w:r>
      <w:r w:rsidRPr="00917A7A" w:rsidR="00576690">
        <w:t xml:space="preserve">The use of an electronic, online, web-based information system for this collection of information is expected to reduce burden on respondents. </w:t>
      </w:r>
      <w:r w:rsidRPr="00917A7A" w:rsidR="00CA6BF8">
        <w:t>Although the TPR will be an online web-based system, the information and specific data fields required to be submitted by training providers</w:t>
      </w:r>
      <w:r w:rsidRPr="00917A7A" w:rsidR="00B16B28">
        <w:t xml:space="preserve"> for each driver-trainee that completes training are presented with this Supporting Statement in the attached “Driver Training Certifi</w:t>
      </w:r>
      <w:r w:rsidR="00D324F8">
        <w:t>cation” information collection</w:t>
      </w:r>
      <w:r w:rsidRPr="00917A7A" w:rsidR="00CA6BF8">
        <w:t xml:space="preserve"> which lists the data elements that will be submitted to the TPR by each training provider for each driver-trainee that completes training. </w:t>
      </w:r>
      <w:r w:rsidRPr="00917A7A" w:rsidR="003D477F">
        <w:t>A</w:t>
      </w:r>
      <w:r w:rsidRPr="00917A7A" w:rsidR="005674DB">
        <w:t xml:space="preserve">fter an individual driver-trainee completes training administered by a training provider listed on the TPR, that training provider must submit </w:t>
      </w:r>
      <w:r w:rsidRPr="00917A7A" w:rsidR="003D477F">
        <w:t xml:space="preserve">the </w:t>
      </w:r>
      <w:r w:rsidRPr="00917A7A" w:rsidR="005674DB">
        <w:t>training certification information regarding the driver-trainee to the TPR. This “</w:t>
      </w:r>
      <w:r w:rsidRPr="00917A7A" w:rsidR="00DA61F0">
        <w:t xml:space="preserve">Driver Training Certification” </w:t>
      </w:r>
      <w:r w:rsidRPr="00917A7A" w:rsidR="00B062D4">
        <w:t xml:space="preserve">information </w:t>
      </w:r>
      <w:r w:rsidRPr="00917A7A" w:rsidR="00DA61F0">
        <w:t xml:space="preserve">will be used by </w:t>
      </w:r>
      <w:r w:rsidRPr="00917A7A" w:rsidR="005D109D">
        <w:t>SDLAs</w:t>
      </w:r>
      <w:r w:rsidRPr="00917A7A" w:rsidR="00457135">
        <w:t xml:space="preserve"> to verify that the required driver training has been completed by the driver-trainee prior to the SDLA administering </w:t>
      </w:r>
      <w:r w:rsidRPr="00917A7A" w:rsidR="005674DB">
        <w:t>CDL skills tests to applicants for the Class A and B CDL, and/or the P or S endorsements, or knowledge test for the H endorsement</w:t>
      </w:r>
      <w:r w:rsidRPr="00917A7A" w:rsidR="00457135">
        <w:t>.</w:t>
      </w:r>
      <w:r w:rsidRPr="00917A7A" w:rsidR="003D477F">
        <w:t xml:space="preserve"> </w:t>
      </w:r>
      <w:r w:rsidRPr="00917A7A" w:rsidR="00C41C9B">
        <w:t>T</w:t>
      </w:r>
      <w:r w:rsidRPr="00917A7A" w:rsidR="002D2206">
        <w:t xml:space="preserve">he </w:t>
      </w:r>
      <w:r w:rsidRPr="00917A7A" w:rsidR="00D1027D">
        <w:t>information collected</w:t>
      </w:r>
      <w:r w:rsidRPr="00917A7A" w:rsidR="00DE51EA">
        <w:t xml:space="preserve"> from training providers will also </w:t>
      </w:r>
      <w:r w:rsidRPr="00917A7A" w:rsidR="00EF52BE">
        <w:t>be used by the Agency to improve its understanding of the number of training providers and the types of training they provide, and the number of entry-level drivers and the types of training, CDLs, and endorsements that they obtain.</w:t>
      </w:r>
      <w:r w:rsidRPr="00917A7A" w:rsidR="00CA57B3">
        <w:t xml:space="preserve"> </w:t>
      </w:r>
      <w:r w:rsidRPr="00917A7A" w:rsidR="00E615CC">
        <w:t xml:space="preserve">Retrospective review </w:t>
      </w:r>
      <w:r w:rsidRPr="00917A7A" w:rsidR="00C41C9B">
        <w:t xml:space="preserve">of </w:t>
      </w:r>
      <w:r w:rsidRPr="00917A7A" w:rsidR="00E615CC">
        <w:t xml:space="preserve">the data and of the safety performance of drivers that complete </w:t>
      </w:r>
      <w:r w:rsidRPr="00917A7A" w:rsidR="00CA6031">
        <w:t>ELDT</w:t>
      </w:r>
      <w:r w:rsidRPr="00917A7A" w:rsidR="00E615CC">
        <w:t xml:space="preserve"> </w:t>
      </w:r>
      <w:r w:rsidRPr="00917A7A" w:rsidR="00C41C9B">
        <w:t xml:space="preserve">will allow FMCSA to </w:t>
      </w:r>
      <w:r w:rsidRPr="00917A7A" w:rsidR="00D1027D">
        <w:t xml:space="preserve">better </w:t>
      </w:r>
      <w:r w:rsidRPr="00917A7A" w:rsidR="00C41C9B">
        <w:t xml:space="preserve">assess the </w:t>
      </w:r>
      <w:r w:rsidRPr="00917A7A" w:rsidR="00CA57B3">
        <w:t xml:space="preserve">impact of </w:t>
      </w:r>
      <w:r w:rsidRPr="00917A7A" w:rsidR="00CA6031">
        <w:t>ELDT</w:t>
      </w:r>
      <w:r w:rsidRPr="00917A7A" w:rsidR="00CA57B3">
        <w:t xml:space="preserve"> on motor carrier safety, and to monitor the effectiveness of individual training providers and identify those that </w:t>
      </w:r>
      <w:r w:rsidRPr="00917A7A" w:rsidR="00E615CC">
        <w:t>may not be conducting training in compliance with the regulations and that may therefore be candidates for an on-site review by FMCSA.</w:t>
      </w:r>
    </w:p>
    <w:p w:rsidRPr="00917A7A" w:rsidR="00A257E7" w:rsidP="0031384A" w:rsidRDefault="00A257E7" w14:paraId="6DB76A2D" w14:textId="77777777"/>
    <w:p w:rsidRPr="00917A7A" w:rsidR="007C65BC" w:rsidP="007C65BC" w:rsidRDefault="007C65BC" w14:paraId="284BA939" w14:textId="77777777">
      <w:pPr>
        <w:tabs>
          <w:tab w:val="left" w:pos="360"/>
        </w:tabs>
        <w:rPr>
          <w:szCs w:val="24"/>
        </w:rPr>
      </w:pPr>
      <w:r w:rsidRPr="00917A7A">
        <w:rPr>
          <w:b/>
          <w:bCs/>
          <w:szCs w:val="24"/>
        </w:rPr>
        <w:t>3.</w:t>
      </w:r>
      <w:r w:rsidRPr="00917A7A">
        <w:rPr>
          <w:b/>
          <w:bCs/>
          <w:szCs w:val="24"/>
        </w:rPr>
        <w:tab/>
      </w:r>
      <w:r w:rsidRPr="00917A7A" w:rsidR="00C14920">
        <w:rPr>
          <w:b/>
          <w:bCs/>
          <w:szCs w:val="24"/>
        </w:rPr>
        <w:t>EXTENT OF AUTOMATED INFORMATION COLLECTION</w:t>
      </w:r>
      <w:r w:rsidRPr="00917A7A" w:rsidR="009D4F72">
        <w:rPr>
          <w:b/>
          <w:bCs/>
        </w:rPr>
        <w:t xml:space="preserve"> </w:t>
      </w:r>
    </w:p>
    <w:p w:rsidRPr="00917A7A" w:rsidR="00945692" w:rsidP="007C65BC" w:rsidRDefault="00945692" w14:paraId="79A7B5D6" w14:textId="0B59EA30">
      <w:pPr>
        <w:ind w:left="360"/>
        <w:rPr>
          <w:szCs w:val="24"/>
        </w:rPr>
      </w:pPr>
    </w:p>
    <w:p w:rsidRPr="00917A7A" w:rsidR="00A257E7" w:rsidP="00A257E7" w:rsidRDefault="003B10FC" w14:paraId="458C51AA" w14:textId="2B97CE58">
      <w:pPr>
        <w:ind w:left="360"/>
      </w:pPr>
      <w:r w:rsidRPr="00917A7A">
        <w:t>As noted earlier</w:t>
      </w:r>
      <w:r w:rsidRPr="00917A7A" w:rsidR="00A257E7">
        <w:t>,</w:t>
      </w:r>
      <w:r w:rsidRPr="00917A7A">
        <w:t xml:space="preserve"> </w:t>
      </w:r>
      <w:r w:rsidRPr="00917A7A" w:rsidR="00A257E7">
        <w:t xml:space="preserve">until February 7, 2022, the existing ELDT requirements </w:t>
      </w:r>
      <w:r w:rsidRPr="00917A7A" w:rsidR="00A257E7">
        <w:rPr>
          <w:szCs w:val="24"/>
        </w:rPr>
        <w:t xml:space="preserve">under Subpart E of </w:t>
      </w:r>
      <w:r w:rsidRPr="00917A7A" w:rsidR="00A257E7">
        <w:t xml:space="preserve">49 CFR part 380 remain in force, and employers are prohibited from allowing an entry-level driver to operate a CMV without ensuring that the driver has received entry-level driver training specified under 49 CFR 380.503. These entry-level interstate CDL drivers receive a certificate when they successfully complete the mandatory training, and must present a copy of it to their employer in order to be qualified to drive a CMV in interstate commerce. The employer keeps a copy of the training certificate in the driver qualification file. Training providers may automate </w:t>
      </w:r>
      <w:r w:rsidRPr="00917A7A" w:rsidR="00E2763F">
        <w:t>completion of the certificate of training, however the extent to which this currently occurs is unknown.</w:t>
      </w:r>
    </w:p>
    <w:p w:rsidRPr="00917A7A" w:rsidR="00A257E7" w:rsidP="003B10FC" w:rsidRDefault="00A257E7" w14:paraId="4D911FF2" w14:textId="77777777">
      <w:pPr>
        <w:ind w:left="360"/>
      </w:pPr>
    </w:p>
    <w:p w:rsidRPr="00917A7A" w:rsidR="00E5694D" w:rsidP="00D016A5" w:rsidRDefault="00A257E7" w14:paraId="31F7D38C" w14:textId="3703F768">
      <w:pPr>
        <w:ind w:left="360"/>
      </w:pPr>
      <w:r w:rsidRPr="00917A7A">
        <w:t xml:space="preserve">As of February 7, 2022, </w:t>
      </w:r>
      <w:r w:rsidRPr="00917A7A" w:rsidR="00E2763F">
        <w:t xml:space="preserve">the existing ELDT requirements </w:t>
      </w:r>
      <w:r w:rsidRPr="00917A7A" w:rsidR="00E2763F">
        <w:rPr>
          <w:szCs w:val="24"/>
        </w:rPr>
        <w:t xml:space="preserve">under Subpart E of </w:t>
      </w:r>
      <w:r w:rsidRPr="00917A7A" w:rsidR="00E2763F">
        <w:t>49 CFR part 380 are eliminated, and new minimum training standards for entry-level drivers (in a new Subpart F and five new Appendices to part 380), and new requirements for training providers (in a new Subpart G),</w:t>
      </w:r>
      <w:r w:rsidRPr="00917A7A" w:rsidR="00D016A5">
        <w:t xml:space="preserve"> will be in force. </w:t>
      </w:r>
      <w:r w:rsidRPr="00917A7A" w:rsidR="00E2763F">
        <w:t>T</w:t>
      </w:r>
      <w:r w:rsidRPr="00917A7A" w:rsidR="00E5694D">
        <w:t xml:space="preserve">raining providers must </w:t>
      </w:r>
      <w:r w:rsidRPr="00917A7A" w:rsidR="00E2763F">
        <w:t xml:space="preserve">then </w:t>
      </w:r>
      <w:r w:rsidRPr="00917A7A" w:rsidR="00E5694D">
        <w:t xml:space="preserve">be listed on a new </w:t>
      </w:r>
      <w:r w:rsidRPr="00917A7A" w:rsidR="008472E1">
        <w:t>TPR</w:t>
      </w:r>
      <w:r w:rsidRPr="00917A7A" w:rsidR="00E5694D">
        <w:t xml:space="preserve"> that is currently being developed by FMCSA. The TPR will be an online web-based information </w:t>
      </w:r>
      <w:r w:rsidRPr="00917A7A" w:rsidR="00E5694D">
        <w:lastRenderedPageBreak/>
        <w:t xml:space="preserve">system that training providers must use to submit information to FMCSA to ensure that they meet the new training provider eligibility requirements and can therefore be listed on the TPR. In addition, after an individual driver-trainee completes training administered by a training provider listed on the TPR, that training provider must submit training certification information regarding the driver-trainee to the TPR. </w:t>
      </w:r>
      <w:r w:rsidRPr="00917A7A" w:rsidR="003B10FC">
        <w:t>The Agency will not have hardcopy “Training Provider Registration” forms, or hardcopy “Driver Training Certification” forms, available</w:t>
      </w:r>
      <w:r w:rsidRPr="00917A7A" w:rsidR="00945604">
        <w:t xml:space="preserve"> and will not accept any such hardcopy documents as part of this </w:t>
      </w:r>
      <w:r w:rsidRPr="00917A7A" w:rsidR="00464625">
        <w:t xml:space="preserve">collection of </w:t>
      </w:r>
      <w:r w:rsidRPr="00917A7A" w:rsidR="00945604">
        <w:t>information</w:t>
      </w:r>
      <w:r w:rsidRPr="00917A7A" w:rsidR="00084F91">
        <w:t xml:space="preserve">. </w:t>
      </w:r>
      <w:r w:rsidRPr="00917A7A" w:rsidR="003B10FC">
        <w:t>Therefore, t</w:t>
      </w:r>
      <w:r w:rsidRPr="00917A7A" w:rsidR="00E5694D">
        <w:t>he perc</w:t>
      </w:r>
      <w:r w:rsidRPr="00917A7A" w:rsidR="003B10FC">
        <w:t xml:space="preserve">entage of respondents reporting </w:t>
      </w:r>
      <w:r w:rsidRPr="00917A7A" w:rsidR="00E5694D">
        <w:t xml:space="preserve">electronically </w:t>
      </w:r>
      <w:r w:rsidRPr="00917A7A" w:rsidR="003B10FC">
        <w:t xml:space="preserve">will be </w:t>
      </w:r>
      <w:r w:rsidRPr="00917A7A" w:rsidR="00E5694D">
        <w:t>100 percent.</w:t>
      </w:r>
    </w:p>
    <w:p w:rsidRPr="00917A7A" w:rsidR="00E5694D" w:rsidP="000578F8" w:rsidRDefault="00E5694D" w14:paraId="0B7B5EA1" w14:textId="77777777">
      <w:pPr>
        <w:ind w:left="360"/>
      </w:pPr>
    </w:p>
    <w:p w:rsidRPr="00917A7A" w:rsidR="00E5694D" w:rsidP="00E5694D" w:rsidRDefault="00E5694D" w14:paraId="16EA05E1" w14:textId="77777777">
      <w:pPr>
        <w:ind w:left="360"/>
      </w:pPr>
      <w:r w:rsidRPr="00917A7A">
        <w:t xml:space="preserve">The use of an electronic online web-based information system for this </w:t>
      </w:r>
      <w:r w:rsidRPr="00917A7A" w:rsidR="00464625">
        <w:t xml:space="preserve">collection of </w:t>
      </w:r>
      <w:r w:rsidRPr="00917A7A">
        <w:t xml:space="preserve">information is expected to reduce burden on respondents. Potential burden savings for respondents as compared to </w:t>
      </w:r>
      <w:r w:rsidRPr="00917A7A" w:rsidR="00464625">
        <w:t>collecting information</w:t>
      </w:r>
      <w:r w:rsidRPr="00917A7A">
        <w:t xml:space="preserve"> using hardcopy paper methods are expected to include </w:t>
      </w:r>
      <w:r w:rsidRPr="00917A7A" w:rsidR="007F503C">
        <w:t>reductions in burden time</w:t>
      </w:r>
      <w:r w:rsidRPr="00917A7A">
        <w:t>, office and storage space, materials, and office equipment. For example, specific types of savings could include purchasing less paper and toner/ink, printing fewer documents, requiring fewer file cabinets or document boxes for storage of paper documents, using less space for storage of paper documents, expending less labor time in activities such as handling and filing of paperwork, expending less labor time in identifying and retrieving documents, and transmitting fewer paper documents by mail or courier services.</w:t>
      </w:r>
    </w:p>
    <w:p w:rsidRPr="00917A7A" w:rsidR="00E5694D" w:rsidP="00E5694D" w:rsidRDefault="00E5694D" w14:paraId="2AF055D7" w14:textId="77777777">
      <w:pPr>
        <w:ind w:left="360"/>
      </w:pPr>
    </w:p>
    <w:p w:rsidRPr="00917A7A" w:rsidR="00E5694D" w:rsidP="00E5694D" w:rsidRDefault="00E5694D" w14:paraId="6119EF6C" w14:textId="70BA5B97">
      <w:pPr>
        <w:ind w:left="360"/>
        <w:rPr>
          <w:iCs/>
        </w:rPr>
      </w:pPr>
      <w:r w:rsidRPr="00917A7A">
        <w:rPr>
          <w:iCs/>
        </w:rPr>
        <w:t xml:space="preserve">The use of </w:t>
      </w:r>
      <w:r w:rsidRPr="00917A7A">
        <w:t xml:space="preserve">an electronic online web-based information system for this collection </w:t>
      </w:r>
      <w:r w:rsidRPr="00917A7A" w:rsidR="00464625">
        <w:t xml:space="preserve">of information </w:t>
      </w:r>
      <w:r w:rsidRPr="00917A7A">
        <w:t xml:space="preserve">is consistent with the </w:t>
      </w:r>
      <w:r w:rsidRPr="00917A7A">
        <w:rPr>
          <w:iCs/>
        </w:rPr>
        <w:t>Government Paperwork Elimination Act (GPEA)</w:t>
      </w:r>
      <w:r w:rsidRPr="00917A7A" w:rsidR="00D01140">
        <w:rPr>
          <w:iCs/>
        </w:rPr>
        <w:t xml:space="preserve"> (Pub. L. 105-277, Title XVII)</w:t>
      </w:r>
      <w:r w:rsidRPr="00917A7A" w:rsidR="00494C26">
        <w:rPr>
          <w:iCs/>
        </w:rPr>
        <w:t xml:space="preserve"> (Attachment </w:t>
      </w:r>
      <w:r w:rsidR="00E76C16">
        <w:rPr>
          <w:iCs/>
        </w:rPr>
        <w:t>J</w:t>
      </w:r>
      <w:r w:rsidRPr="00917A7A" w:rsidR="00494C26">
        <w:rPr>
          <w:iCs/>
        </w:rPr>
        <w:t>)</w:t>
      </w:r>
      <w:r w:rsidRPr="00917A7A">
        <w:rPr>
          <w:iCs/>
        </w:rPr>
        <w:t xml:space="preserve">, which requires Federal agencies to allow the option of electronic filing and recordkeeping when practicable. </w:t>
      </w:r>
    </w:p>
    <w:p w:rsidRPr="00917A7A" w:rsidR="00A613EE" w:rsidRDefault="00A613EE" w14:paraId="3B02E5AA" w14:textId="77777777"/>
    <w:p w:rsidRPr="00917A7A" w:rsidR="007C65BC" w:rsidP="007C65BC" w:rsidRDefault="007C65BC" w14:paraId="79318604" w14:textId="77777777">
      <w:pPr>
        <w:pStyle w:val="NormalWeb"/>
        <w:tabs>
          <w:tab w:val="left" w:pos="360"/>
        </w:tabs>
        <w:spacing w:before="0" w:beforeAutospacing="0" w:after="0" w:afterAutospacing="0"/>
        <w:rPr>
          <w:rFonts w:ascii="Times New Roman" w:hAnsi="Times New Roman" w:cs="Times New Roman"/>
          <w:bCs/>
          <w:szCs w:val="20"/>
        </w:rPr>
      </w:pPr>
      <w:r w:rsidRPr="00917A7A">
        <w:rPr>
          <w:rFonts w:ascii="Times New Roman" w:hAnsi="Times New Roman" w:cs="Times New Roman"/>
          <w:b/>
          <w:bCs/>
          <w:szCs w:val="20"/>
        </w:rPr>
        <w:t>4.</w:t>
      </w:r>
      <w:r w:rsidRPr="00917A7A">
        <w:rPr>
          <w:rFonts w:ascii="Times New Roman" w:hAnsi="Times New Roman" w:cs="Times New Roman"/>
          <w:b/>
          <w:bCs/>
          <w:szCs w:val="20"/>
        </w:rPr>
        <w:tab/>
      </w:r>
      <w:r w:rsidRPr="00917A7A" w:rsidR="00C14920">
        <w:rPr>
          <w:rFonts w:ascii="Times New Roman" w:hAnsi="Times New Roman" w:cs="Times New Roman"/>
          <w:b/>
          <w:bCs/>
          <w:szCs w:val="20"/>
        </w:rPr>
        <w:t>EFFORTS TO IDENTIFY DUPLICATION</w:t>
      </w:r>
      <w:r w:rsidRPr="00917A7A" w:rsidR="00A613EE">
        <w:rPr>
          <w:rFonts w:ascii="Times New Roman" w:hAnsi="Times New Roman" w:cs="Times New Roman"/>
          <w:b/>
          <w:bCs/>
          <w:szCs w:val="20"/>
        </w:rPr>
        <w:br/>
      </w:r>
    </w:p>
    <w:p w:rsidRPr="00917A7A" w:rsidR="001F56BF" w:rsidP="001F56BF" w:rsidRDefault="001F56BF" w14:paraId="7BEF50CB" w14:textId="77777777">
      <w:pPr>
        <w:pStyle w:val="1AutoList39"/>
        <w:tabs>
          <w:tab w:val="left" w:pos="0"/>
        </w:tabs>
        <w:ind w:left="360"/>
      </w:pPr>
      <w:r w:rsidRPr="00917A7A">
        <w:t>FMCSA knows of no duplicative regulations or any similar information already available that could be used or modified for the purposes described in Section 2 above.</w:t>
      </w:r>
    </w:p>
    <w:p w:rsidRPr="00917A7A" w:rsidR="008D1212" w:rsidP="00263084" w:rsidRDefault="008D1212" w14:paraId="26FB7A01" w14:textId="77777777">
      <w:pPr>
        <w:pStyle w:val="1AutoList39"/>
        <w:tabs>
          <w:tab w:val="left" w:pos="0"/>
        </w:tabs>
      </w:pPr>
    </w:p>
    <w:p w:rsidRPr="00917A7A" w:rsidR="007C65BC" w:rsidP="00E24554" w:rsidRDefault="00E24554" w14:paraId="18842E64" w14:textId="77777777">
      <w:pPr>
        <w:tabs>
          <w:tab w:val="left" w:pos="360"/>
        </w:tabs>
        <w:rPr>
          <w:rFonts w:ascii="Calibri" w:hAnsi="Calibri"/>
          <w:sz w:val="20"/>
        </w:rPr>
      </w:pPr>
      <w:r w:rsidRPr="00917A7A">
        <w:rPr>
          <w:b/>
          <w:bCs/>
          <w:szCs w:val="24"/>
        </w:rPr>
        <w:t>5.</w:t>
      </w:r>
      <w:r w:rsidRPr="00917A7A">
        <w:rPr>
          <w:b/>
          <w:bCs/>
          <w:szCs w:val="24"/>
        </w:rPr>
        <w:tab/>
      </w:r>
      <w:r w:rsidRPr="00917A7A" w:rsidR="00C14920">
        <w:rPr>
          <w:b/>
          <w:bCs/>
          <w:szCs w:val="24"/>
        </w:rPr>
        <w:t>EFFORTS TO MINIMIZE THE BURDEN ON SMALL BUSINESSES</w:t>
      </w:r>
      <w:r w:rsidRPr="00917A7A" w:rsidR="00A613EE">
        <w:rPr>
          <w:b/>
          <w:bCs/>
          <w:szCs w:val="24"/>
        </w:rPr>
        <w:br/>
      </w:r>
    </w:p>
    <w:p w:rsidRPr="00917A7A" w:rsidR="00F110A5" w:rsidP="002D115C" w:rsidRDefault="001B002B" w14:paraId="0BE8F3F4" w14:textId="30EB82D1">
      <w:pPr>
        <w:ind w:left="360"/>
      </w:pPr>
      <w:r w:rsidRPr="00917A7A">
        <w:t xml:space="preserve">Under the existing ELDT requirements </w:t>
      </w:r>
      <w:r w:rsidRPr="00917A7A">
        <w:rPr>
          <w:szCs w:val="24"/>
        </w:rPr>
        <w:t xml:space="preserve">of Subpart E of </w:t>
      </w:r>
      <w:r w:rsidRPr="00917A7A">
        <w:t>49 CFR part 380 that will remain in force until February 7, 2022, t</w:t>
      </w:r>
      <w:r w:rsidRPr="00917A7A" w:rsidR="00924BC6">
        <w:t>he motor carrier industry includes a substantial number of small business operators who are required to ensure that their interstate CDL drivers have received the appropriate training</w:t>
      </w:r>
      <w:r w:rsidRPr="00917A7A">
        <w:t xml:space="preserve"> required by 49 CFR 380.503. </w:t>
      </w:r>
      <w:r w:rsidRPr="00917A7A" w:rsidR="00924BC6">
        <w:t>All employers, regardless of size, must verify the eligibility of a driver before allowing him or her to operate a CMV, and must maintain a copy of the driver’s training certificate in the driver qualification file so that a safety investigator can verify that the requirements of the rule have been satisfied.</w:t>
      </w:r>
    </w:p>
    <w:p w:rsidRPr="00917A7A" w:rsidR="00F110A5" w:rsidP="00AD57B2" w:rsidRDefault="00F110A5" w14:paraId="4161C5AC" w14:textId="3121F2D0">
      <w:pPr>
        <w:ind w:left="360"/>
      </w:pPr>
    </w:p>
    <w:p w:rsidRPr="00917A7A" w:rsidR="00AD57B2" w:rsidP="00716610" w:rsidRDefault="002D115C" w14:paraId="21F46462" w14:textId="464FC23C">
      <w:pPr>
        <w:ind w:left="360"/>
      </w:pPr>
      <w:r w:rsidRPr="00917A7A">
        <w:t xml:space="preserve">As of February 7, 2022, the existing ELDT requirements </w:t>
      </w:r>
      <w:r w:rsidRPr="00917A7A">
        <w:rPr>
          <w:szCs w:val="24"/>
        </w:rPr>
        <w:t xml:space="preserve">under Subpart E of </w:t>
      </w:r>
      <w:r w:rsidRPr="00917A7A">
        <w:t>49 CFR part 380 are eliminated, and new minimum training standards for entry-level drivers (in a new Subpart F and five new Appendices to part 380), and new requirements for training providers (in a new Subpart G), will be in force.</w:t>
      </w:r>
      <w:r w:rsidRPr="00917A7A" w:rsidR="00716610">
        <w:t xml:space="preserve"> </w:t>
      </w:r>
      <w:r w:rsidRPr="00917A7A" w:rsidR="00AD57B2">
        <w:t xml:space="preserve">This collection of information will </w:t>
      </w:r>
      <w:r w:rsidRPr="00917A7A">
        <w:t xml:space="preserve">then </w:t>
      </w:r>
      <w:r w:rsidRPr="00917A7A" w:rsidR="00AD57B2">
        <w:t xml:space="preserve">impact certain training providers that are small </w:t>
      </w:r>
      <w:r w:rsidRPr="00917A7A" w:rsidR="00AF4775">
        <w:t>entitie</w:t>
      </w:r>
      <w:r w:rsidRPr="00917A7A" w:rsidR="00AD57B2">
        <w:t>s.</w:t>
      </w:r>
      <w:r w:rsidRPr="00917A7A" w:rsidR="00AD57B2">
        <w:rPr>
          <w:szCs w:val="24"/>
        </w:rPr>
        <w:t xml:space="preserve"> A comprehensive analysis of the effects of the December 2016 final rule on small entities was performed as part of the regulatory evaluation </w:t>
      </w:r>
      <w:r w:rsidRPr="00917A7A" w:rsidR="00AD57B2">
        <w:rPr>
          <w:szCs w:val="24"/>
        </w:rPr>
        <w:lastRenderedPageBreak/>
        <w:t>for that rule.</w:t>
      </w:r>
      <w:r w:rsidRPr="00917A7A" w:rsidR="00AD57B2">
        <w:rPr>
          <w:rStyle w:val="FootnoteReference"/>
          <w:szCs w:val="24"/>
        </w:rPr>
        <w:footnoteReference w:id="4"/>
      </w:r>
      <w:r w:rsidRPr="00917A7A" w:rsidR="00AD57B2">
        <w:rPr>
          <w:szCs w:val="24"/>
        </w:rPr>
        <w:t xml:space="preserve"> T</w:t>
      </w:r>
      <w:r w:rsidRPr="00917A7A" w:rsidR="00AD57B2">
        <w:t xml:space="preserve">he use of an electronic online web-based information system for this collection </w:t>
      </w:r>
      <w:r w:rsidRPr="00917A7A" w:rsidR="00464625">
        <w:t xml:space="preserve">of information </w:t>
      </w:r>
      <w:r w:rsidRPr="00917A7A" w:rsidR="00AD57B2">
        <w:t xml:space="preserve">is expected to reduce burden on respondents including those that are small entities. Potential burden savings for respondents as compared to </w:t>
      </w:r>
      <w:r w:rsidRPr="00917A7A" w:rsidR="00464625">
        <w:t>collecting information</w:t>
      </w:r>
      <w:r w:rsidRPr="00917A7A" w:rsidR="00AD57B2">
        <w:t xml:space="preserve"> using hardcopy paper methods are expected to include reductions in burden time, office and storage space, materials, and office equipment. For example, specific types of savings could include purchasing less paper and toner/ink, printing fewer documents, requiring fewer file cabinets or document boxes for storage of paper documents, using less space for storage of paper documents, expending less labor time in activities such as handling and filing of paperwork, expending less labor time in identifying and retrieving documents, and transmitting fewer paper documents by mail or courier services.</w:t>
      </w:r>
    </w:p>
    <w:p w:rsidRPr="00917A7A" w:rsidR="00851BBF" w:rsidP="007B620F" w:rsidRDefault="00851BBF" w14:paraId="24CC6E99" w14:textId="77777777">
      <w:pPr>
        <w:ind w:left="360"/>
      </w:pPr>
    </w:p>
    <w:p w:rsidRPr="00917A7A" w:rsidR="001A3AB0" w:rsidP="001A3AB0" w:rsidRDefault="00E24554" w14:paraId="3959B5B2" w14:textId="4387F430">
      <w:pPr>
        <w:tabs>
          <w:tab w:val="left" w:pos="360"/>
        </w:tabs>
      </w:pPr>
      <w:r w:rsidRPr="00917A7A">
        <w:rPr>
          <w:b/>
          <w:bCs/>
          <w:szCs w:val="24"/>
        </w:rPr>
        <w:t>6.</w:t>
      </w:r>
      <w:r w:rsidRPr="00917A7A">
        <w:rPr>
          <w:b/>
          <w:bCs/>
          <w:szCs w:val="24"/>
        </w:rPr>
        <w:tab/>
      </w:r>
      <w:r w:rsidRPr="00917A7A" w:rsidR="00C14920">
        <w:rPr>
          <w:b/>
          <w:bCs/>
          <w:szCs w:val="24"/>
        </w:rPr>
        <w:t>IMPACT OF LESS FREQUENT COLLECTION OF INFORMATION</w:t>
      </w:r>
      <w:r w:rsidRPr="00917A7A" w:rsidR="00A613EE">
        <w:rPr>
          <w:b/>
          <w:szCs w:val="24"/>
        </w:rPr>
        <w:br/>
      </w:r>
    </w:p>
    <w:p w:rsidRPr="00917A7A" w:rsidR="00DD2489" w:rsidP="00971622" w:rsidRDefault="00851BBF" w14:paraId="4235CA68" w14:textId="4F90D893">
      <w:pPr>
        <w:tabs>
          <w:tab w:val="left" w:pos="360"/>
        </w:tabs>
        <w:ind w:left="360"/>
        <w:rPr>
          <w:szCs w:val="24"/>
        </w:rPr>
      </w:pPr>
      <w:r w:rsidRPr="00917A7A">
        <w:t xml:space="preserve">Under the existing ELDT requirements </w:t>
      </w:r>
      <w:r w:rsidRPr="00917A7A">
        <w:rPr>
          <w:szCs w:val="24"/>
        </w:rPr>
        <w:t xml:space="preserve">of Subpart E of </w:t>
      </w:r>
      <w:r w:rsidRPr="00917A7A">
        <w:t>49 CFR part 380 that will remain in force until February 7, 2022,</w:t>
      </w:r>
      <w:r w:rsidRPr="00917A7A" w:rsidR="002A5030">
        <w:t xml:space="preserve"> an entry-level interstate</w:t>
      </w:r>
      <w:r w:rsidRPr="00917A7A">
        <w:t xml:space="preserve"> CDL driver </w:t>
      </w:r>
      <w:r w:rsidRPr="00917A7A" w:rsidR="00DD2489">
        <w:t xml:space="preserve">must only complete the </w:t>
      </w:r>
      <w:r w:rsidRPr="00917A7A" w:rsidR="002A5030">
        <w:t xml:space="preserve">training </w:t>
      </w:r>
      <w:r w:rsidRPr="00917A7A" w:rsidR="002A5030">
        <w:rPr>
          <w:szCs w:val="24"/>
        </w:rPr>
        <w:t xml:space="preserve">specified under 49 CFR 380.503 </w:t>
      </w:r>
      <w:r w:rsidRPr="00917A7A" w:rsidR="002A5030">
        <w:t>once</w:t>
      </w:r>
      <w:r w:rsidRPr="00917A7A" w:rsidR="00DD2489">
        <w:t>, when first becoming an interstate CDL driver</w:t>
      </w:r>
      <w:r w:rsidRPr="00917A7A" w:rsidR="002A5030">
        <w:t xml:space="preserve">. </w:t>
      </w:r>
      <w:r w:rsidRPr="00917A7A" w:rsidR="00971622">
        <w:t xml:space="preserve">These drivers </w:t>
      </w:r>
      <w:r w:rsidRPr="00917A7A" w:rsidR="00971622">
        <w:rPr>
          <w:szCs w:val="24"/>
        </w:rPr>
        <w:t xml:space="preserve">receive a training certificate as proof of having successfully completed the training, and must present a copy of it to their employer in order to be qualified to drive a CMV in interstate commerce. </w:t>
      </w:r>
      <w:r w:rsidRPr="00917A7A" w:rsidR="002A5030">
        <w:rPr>
          <w:szCs w:val="24"/>
        </w:rPr>
        <w:t>The employer keeps a copy of the training certificate in the driver qualification file. During a compliance review, the certificate serves as proof that the CDL driver completed the required training.</w:t>
      </w:r>
      <w:r w:rsidRPr="00917A7A" w:rsidR="00971622">
        <w:rPr>
          <w:szCs w:val="24"/>
        </w:rPr>
        <w:t xml:space="preserve"> </w:t>
      </w:r>
      <w:r w:rsidRPr="00917A7A" w:rsidR="00971622">
        <w:t>The Agency sees no practical manner of eliminating or making these requirements less frequent, as the current training is only required once during the career of each driver</w:t>
      </w:r>
      <w:r w:rsidRPr="00917A7A" w:rsidR="00144D87">
        <w:t>, and the certificate is required as proof that the training has been completed.</w:t>
      </w:r>
    </w:p>
    <w:p w:rsidRPr="00917A7A" w:rsidR="00DD2489" w:rsidP="00851BBF" w:rsidRDefault="00DD2489" w14:paraId="5DFC7C51" w14:textId="77777777">
      <w:pPr>
        <w:tabs>
          <w:tab w:val="left" w:pos="360"/>
        </w:tabs>
        <w:ind w:left="360"/>
      </w:pPr>
    </w:p>
    <w:p w:rsidRPr="00917A7A" w:rsidR="007D2B58" w:rsidP="00591F9F" w:rsidRDefault="00851BBF" w14:paraId="419C34C5" w14:textId="2D87380F">
      <w:pPr>
        <w:tabs>
          <w:tab w:val="left" w:pos="360"/>
        </w:tabs>
        <w:ind w:left="360"/>
      </w:pPr>
      <w:r w:rsidRPr="00917A7A">
        <w:t>Under the new minimum training standards for entry-level drivers and new requirements for training providers that will be in force as of February 7, 2022,</w:t>
      </w:r>
      <w:r w:rsidRPr="00917A7A" w:rsidR="00591F9F">
        <w:t xml:space="preserve"> </w:t>
      </w:r>
      <w:r w:rsidRPr="00917A7A" w:rsidR="001A3AB0">
        <w:t>“Training Provider Registration” i</w:t>
      </w:r>
      <w:r w:rsidRPr="00917A7A" w:rsidR="00CF2CD8">
        <w:t xml:space="preserve">nformation is collected </w:t>
      </w:r>
      <w:r w:rsidRPr="00917A7A" w:rsidR="001A3AB0">
        <w:t>from training providers to ensure that they meet the new training provider eligibility requirements and can therefore be listed on the TPR. This information is collected when a training provider is first registering in the TPR, on a biennial basis thereafter, or otherwise when key information changes (training provider name, address, phone number, type(s) of training offered, training provider status, and, if applicable, any change in State licensure, certification, or accreditation status).</w:t>
      </w:r>
      <w:r w:rsidRPr="00917A7A" w:rsidR="00C475CE">
        <w:t xml:space="preserve"> </w:t>
      </w:r>
      <w:r w:rsidRPr="00917A7A" w:rsidR="001A3AB0">
        <w:t>If th</w:t>
      </w:r>
      <w:r w:rsidRPr="00917A7A" w:rsidR="00B335F1">
        <w:t xml:space="preserve">is </w:t>
      </w:r>
      <w:r w:rsidRPr="00917A7A" w:rsidR="001A3AB0">
        <w:t xml:space="preserve">collection </w:t>
      </w:r>
      <w:r w:rsidRPr="00917A7A" w:rsidR="00B335F1">
        <w:t xml:space="preserve">of information </w:t>
      </w:r>
      <w:r w:rsidRPr="00917A7A" w:rsidR="001A3AB0">
        <w:t xml:space="preserve">were not conducted, </w:t>
      </w:r>
      <w:r w:rsidRPr="00917A7A" w:rsidR="00C475CE">
        <w:t>FMCSA would be unable to determine the eligibility of training providers to be able to provide training</w:t>
      </w:r>
      <w:r w:rsidRPr="00917A7A" w:rsidR="007D2B58">
        <w:t xml:space="preserve"> that is compliant with its regulations</w:t>
      </w:r>
      <w:r w:rsidRPr="00917A7A" w:rsidR="00C475CE">
        <w:t xml:space="preserve">, and driver-trainees would be unable to identify eligible training providers. </w:t>
      </w:r>
      <w:r w:rsidRPr="00917A7A" w:rsidR="007D2B58">
        <w:t>If this collection of information were conducted less frequently than biennially or when key information changes, there would be a greater likelihood of incorrect information being provided to driver-trainees regarding eligible training providers, resulting in inconvenience and delay to driver trainees. The Agency sees no practical manner of eliminating or making these requirements less frequent.</w:t>
      </w:r>
    </w:p>
    <w:p w:rsidRPr="00917A7A" w:rsidR="007D2B58" w:rsidP="0033704F" w:rsidRDefault="007D2B58" w14:paraId="20A151DE" w14:textId="77777777">
      <w:pPr>
        <w:ind w:left="360"/>
      </w:pPr>
    </w:p>
    <w:p w:rsidRPr="00917A7A" w:rsidR="00C230E4" w:rsidP="00E739D1" w:rsidRDefault="00C230E4" w14:paraId="67CE857E" w14:textId="56072575">
      <w:pPr>
        <w:ind w:left="360"/>
      </w:pPr>
      <w:r w:rsidRPr="00917A7A">
        <w:lastRenderedPageBreak/>
        <w:t xml:space="preserve">After an individual driver-trainee completes training administered by a training provider listed on the TPR, that training provider must submit training certification information regarding the driver-trainee to the TPR. This </w:t>
      </w:r>
      <w:r w:rsidRPr="00917A7A" w:rsidR="001A3AB0">
        <w:t xml:space="preserve">“Driver Training Certification” information is collected from training providers </w:t>
      </w:r>
      <w:r w:rsidRPr="00917A7A">
        <w:t xml:space="preserve">so that </w:t>
      </w:r>
      <w:r w:rsidRPr="00917A7A" w:rsidR="001A3AB0">
        <w:t xml:space="preserve">FMCSA </w:t>
      </w:r>
      <w:r w:rsidRPr="00917A7A">
        <w:t xml:space="preserve">can make that information available to </w:t>
      </w:r>
      <w:r w:rsidRPr="00917A7A" w:rsidR="005D109D">
        <w:t>SDLAs</w:t>
      </w:r>
      <w:r w:rsidRPr="00917A7A" w:rsidR="001A3AB0">
        <w:t xml:space="preserve">, who may only administer CDL skills tests to applicants for the Class A and B CDL, and/or the P or S endorsements, or knowledge test for the H endorsement, after verifying </w:t>
      </w:r>
      <w:r w:rsidRPr="00917A7A">
        <w:t xml:space="preserve">that </w:t>
      </w:r>
      <w:r w:rsidRPr="00917A7A" w:rsidR="001A3AB0">
        <w:t xml:space="preserve">the </w:t>
      </w:r>
      <w:r w:rsidRPr="00917A7A">
        <w:t xml:space="preserve">required driver training </w:t>
      </w:r>
      <w:r w:rsidRPr="00917A7A" w:rsidR="001A3AB0">
        <w:t>certification information is present in the driver’s record.</w:t>
      </w:r>
      <w:r w:rsidRPr="00917A7A" w:rsidR="00C475CE">
        <w:t xml:space="preserve"> </w:t>
      </w:r>
      <w:r w:rsidRPr="00917A7A" w:rsidR="00B335F1">
        <w:t>If this</w:t>
      </w:r>
      <w:r w:rsidRPr="00917A7A">
        <w:t xml:space="preserve"> collection </w:t>
      </w:r>
      <w:r w:rsidRPr="00917A7A" w:rsidR="00B335F1">
        <w:t xml:space="preserve">of information </w:t>
      </w:r>
      <w:r w:rsidRPr="00917A7A">
        <w:t>were not conducted</w:t>
      </w:r>
      <w:r w:rsidRPr="00917A7A" w:rsidR="00E739D1">
        <w:t xml:space="preserve"> or were conducted less frequently</w:t>
      </w:r>
      <w:r w:rsidRPr="00917A7A">
        <w:t xml:space="preserve">, </w:t>
      </w:r>
      <w:r w:rsidRPr="00917A7A" w:rsidR="00C475CE">
        <w:t xml:space="preserve">SDLAs would be unable to verify that the required driver training </w:t>
      </w:r>
      <w:r w:rsidRPr="00917A7A" w:rsidR="007D2B58">
        <w:t xml:space="preserve">has been completed by a driver-trainee </w:t>
      </w:r>
      <w:r w:rsidRPr="00917A7A" w:rsidR="00C475CE">
        <w:t xml:space="preserve">prior to administering the necessary skills test and/or knowledge test. </w:t>
      </w:r>
      <w:r w:rsidRPr="00917A7A">
        <w:t xml:space="preserve">The Agency sees no practical manner of </w:t>
      </w:r>
      <w:r w:rsidRPr="00917A7A" w:rsidR="00FD7842">
        <w:t xml:space="preserve">eliminating or </w:t>
      </w:r>
      <w:r w:rsidRPr="00917A7A">
        <w:t xml:space="preserve">making these requirements less frequent. </w:t>
      </w:r>
    </w:p>
    <w:p w:rsidRPr="00917A7A" w:rsidR="002A5030" w:rsidP="0033704F" w:rsidRDefault="002A5030" w14:paraId="76C6D1D8" w14:textId="77777777">
      <w:pPr>
        <w:ind w:left="360"/>
      </w:pPr>
    </w:p>
    <w:p w:rsidRPr="00917A7A" w:rsidR="00104B5C" w:rsidP="00104B5C" w:rsidRDefault="00104B5C" w14:paraId="613D43C3" w14:textId="77777777">
      <w:pPr>
        <w:tabs>
          <w:tab w:val="left" w:pos="360"/>
        </w:tabs>
        <w:rPr>
          <w:szCs w:val="24"/>
        </w:rPr>
      </w:pPr>
      <w:r w:rsidRPr="00917A7A">
        <w:rPr>
          <w:b/>
          <w:bCs/>
          <w:szCs w:val="24"/>
        </w:rPr>
        <w:t>7.</w:t>
      </w:r>
      <w:r w:rsidRPr="00917A7A">
        <w:rPr>
          <w:b/>
          <w:bCs/>
          <w:szCs w:val="24"/>
        </w:rPr>
        <w:tab/>
      </w:r>
      <w:r w:rsidRPr="00917A7A" w:rsidR="00F358A1">
        <w:rPr>
          <w:b/>
          <w:bCs/>
          <w:szCs w:val="24"/>
        </w:rPr>
        <w:t>SPECIAL CIRCUMSTANCES</w:t>
      </w:r>
      <w:r w:rsidRPr="00917A7A" w:rsidR="00470720">
        <w:rPr>
          <w:b/>
          <w:bCs/>
        </w:rPr>
        <w:t xml:space="preserve">  </w:t>
      </w:r>
      <w:r w:rsidRPr="00917A7A" w:rsidR="00A613EE">
        <w:rPr>
          <w:b/>
          <w:bCs/>
        </w:rPr>
        <w:br/>
      </w:r>
    </w:p>
    <w:p w:rsidRPr="00917A7A" w:rsidR="0033704F" w:rsidP="0033704F" w:rsidRDefault="0033704F" w14:paraId="065D8CE6" w14:textId="77777777">
      <w:pPr>
        <w:ind w:left="360"/>
      </w:pPr>
      <w:r w:rsidRPr="00917A7A">
        <w:t>There are no special circumstances associated with this collection</w:t>
      </w:r>
      <w:r w:rsidRPr="00917A7A" w:rsidR="00464625">
        <w:t xml:space="preserve"> of information</w:t>
      </w:r>
      <w:r w:rsidRPr="00917A7A">
        <w:t>.</w:t>
      </w:r>
    </w:p>
    <w:p w:rsidRPr="00917A7A" w:rsidR="003D1ADF" w:rsidP="0033704F" w:rsidRDefault="003D1ADF" w14:paraId="341CEFA6" w14:textId="77777777">
      <w:pPr>
        <w:rPr>
          <w:szCs w:val="24"/>
        </w:rPr>
      </w:pPr>
    </w:p>
    <w:p w:rsidRPr="00917A7A" w:rsidR="00104B5C" w:rsidP="00104B5C" w:rsidRDefault="00104B5C" w14:paraId="004A651B" w14:textId="77777777">
      <w:pPr>
        <w:tabs>
          <w:tab w:val="left" w:pos="360"/>
        </w:tabs>
        <w:rPr>
          <w:szCs w:val="24"/>
        </w:rPr>
      </w:pPr>
      <w:r w:rsidRPr="00917A7A">
        <w:rPr>
          <w:b/>
          <w:bCs/>
          <w:szCs w:val="24"/>
        </w:rPr>
        <w:t>8.</w:t>
      </w:r>
      <w:r w:rsidRPr="00917A7A">
        <w:rPr>
          <w:b/>
          <w:bCs/>
          <w:szCs w:val="24"/>
        </w:rPr>
        <w:tab/>
      </w:r>
      <w:r w:rsidRPr="00917A7A" w:rsidR="00F358A1">
        <w:rPr>
          <w:b/>
          <w:bCs/>
          <w:szCs w:val="24"/>
        </w:rPr>
        <w:t>COMPLIANCE WITH 5 CFR 1320.8</w:t>
      </w:r>
      <w:r w:rsidRPr="00917A7A" w:rsidR="00470720">
        <w:rPr>
          <w:b/>
          <w:bCs/>
        </w:rPr>
        <w:t xml:space="preserve">  </w:t>
      </w:r>
      <w:r w:rsidRPr="00917A7A" w:rsidR="00A613EE">
        <w:rPr>
          <w:b/>
          <w:bCs/>
        </w:rPr>
        <w:br/>
      </w:r>
    </w:p>
    <w:p w:rsidRPr="00917A7A" w:rsidR="008B0C5D" w:rsidP="008B0C5D" w:rsidRDefault="0071454F" w14:paraId="77A835C9" w14:textId="35CFFF8F">
      <w:pPr>
        <w:ind w:left="360"/>
        <w:outlineLvl w:val="0"/>
      </w:pPr>
      <w:r w:rsidRPr="00917A7A">
        <w:t xml:space="preserve">FMCSA published a notice in the Federal Register with a 60-day comment period to announce this proposed information collection on July 3, 2019 (84 FR 31982), and to inform the public of its intention to seek OMB review and approval to revise the existing currently approved collection of information. </w:t>
      </w:r>
      <w:r w:rsidRPr="00917A7A" w:rsidR="0060755C">
        <w:t xml:space="preserve">FMCSA received one comment </w:t>
      </w:r>
      <w:r w:rsidRPr="00917A7A">
        <w:t xml:space="preserve">to that </w:t>
      </w:r>
      <w:r w:rsidRPr="00917A7A" w:rsidR="0060755C">
        <w:t>notice</w:t>
      </w:r>
      <w:r w:rsidRPr="00917A7A" w:rsidR="006702C2">
        <w:t xml:space="preserve">, </w:t>
      </w:r>
      <w:r w:rsidRPr="00917A7A" w:rsidR="00F97605">
        <w:t>from</w:t>
      </w:r>
      <w:r w:rsidRPr="00917A7A" w:rsidR="006702C2">
        <w:t xml:space="preserve"> </w:t>
      </w:r>
      <w:r w:rsidRPr="00917A7A" w:rsidR="0060755C">
        <w:t>the Commercial Vehicle Training Association (CVTA).</w:t>
      </w:r>
      <w:r w:rsidRPr="00917A7A" w:rsidR="006702C2">
        <w:rPr>
          <w:rStyle w:val="FootnoteReference"/>
        </w:rPr>
        <w:footnoteReference w:id="5"/>
      </w:r>
      <w:r w:rsidRPr="00917A7A" w:rsidR="00900321">
        <w:t xml:space="preserve"> </w:t>
      </w:r>
    </w:p>
    <w:p w:rsidRPr="00917A7A" w:rsidR="008B0C5D" w:rsidP="008B0C5D" w:rsidRDefault="008B0C5D" w14:paraId="0641632D" w14:textId="77777777">
      <w:pPr>
        <w:ind w:left="360"/>
        <w:outlineLvl w:val="0"/>
      </w:pPr>
    </w:p>
    <w:p w:rsidRPr="00917A7A" w:rsidR="00A9212E" w:rsidP="00CB0CA0" w:rsidRDefault="00900321" w14:paraId="614D5AEE" w14:textId="77777777">
      <w:pPr>
        <w:ind w:left="360"/>
        <w:outlineLvl w:val="0"/>
      </w:pPr>
      <w:r w:rsidRPr="00917A7A">
        <w:t>In their comment, CVTA agreed that the ICR is necessary for the implementation of the ELDT rule, and that the estimated burdens as presented in the 60-day notice</w:t>
      </w:r>
      <w:r w:rsidRPr="00917A7A" w:rsidR="000B3547">
        <w:t xml:space="preserve"> were</w:t>
      </w:r>
      <w:r w:rsidRPr="00917A7A">
        <w:t xml:space="preserve"> accurate. </w:t>
      </w:r>
    </w:p>
    <w:p w:rsidRPr="00917A7A" w:rsidR="008B0C5D" w:rsidP="00A9212E" w:rsidRDefault="00900321" w14:paraId="63314E7F" w14:textId="267499ED">
      <w:pPr>
        <w:ind w:left="360"/>
        <w:outlineLvl w:val="0"/>
        <w:rPr>
          <w:szCs w:val="24"/>
        </w:rPr>
      </w:pPr>
      <w:r w:rsidRPr="00917A7A">
        <w:t xml:space="preserve">CVTA </w:t>
      </w:r>
      <w:r w:rsidRPr="00917A7A" w:rsidR="000B3547">
        <w:t xml:space="preserve">did, however, seek </w:t>
      </w:r>
      <w:r w:rsidRPr="00917A7A" w:rsidR="003D1ADF">
        <w:t xml:space="preserve">clarification as to why there was a separate IC-1 and IC-2 presented in the 60-day notice (representing the “Training Provider Registration” function and the </w:t>
      </w:r>
      <w:r w:rsidRPr="00917A7A" w:rsidR="003D1ADF">
        <w:rPr>
          <w:szCs w:val="24"/>
        </w:rPr>
        <w:t>“Driver Training Certification Information” function, respectively, in the 60-day notice)</w:t>
      </w:r>
      <w:r w:rsidRPr="00917A7A" w:rsidR="00A9212E">
        <w:rPr>
          <w:szCs w:val="24"/>
        </w:rPr>
        <w:t xml:space="preserve">. </w:t>
      </w:r>
      <w:r w:rsidRPr="00917A7A" w:rsidR="003D1ADF">
        <w:rPr>
          <w:szCs w:val="24"/>
        </w:rPr>
        <w:t xml:space="preserve">The </w:t>
      </w:r>
      <w:r w:rsidRPr="00917A7A" w:rsidR="00A9212E">
        <w:rPr>
          <w:szCs w:val="24"/>
        </w:rPr>
        <w:t xml:space="preserve">Agency presented </w:t>
      </w:r>
      <w:r w:rsidRPr="00917A7A" w:rsidR="008B0C5D">
        <w:rPr>
          <w:szCs w:val="24"/>
        </w:rPr>
        <w:t xml:space="preserve">two ICs </w:t>
      </w:r>
      <w:r w:rsidRPr="00917A7A" w:rsidR="00A9212E">
        <w:rPr>
          <w:szCs w:val="24"/>
        </w:rPr>
        <w:t xml:space="preserve">in order </w:t>
      </w:r>
      <w:r w:rsidRPr="00917A7A" w:rsidR="003D1ADF">
        <w:rPr>
          <w:szCs w:val="24"/>
        </w:rPr>
        <w:t xml:space="preserve">to improve the clarity and transparency of the analysis. </w:t>
      </w:r>
      <w:r w:rsidRPr="00917A7A" w:rsidR="002F454E">
        <w:rPr>
          <w:szCs w:val="24"/>
        </w:rPr>
        <w:t>Guidance from the Office of Information and Regulatory Affairs (OIRA) at OMB regarding the preparation of ICRs and Supporting Statements recommends that each form or collection instrument have a separate IC within a given ICR, in order to provide a more meaningful and easily understood estimate of the burden associated with each form or collection. OIRA also recommends that agencies present separate ICs within an ICR if the Agency believes that doing so would be informative.</w:t>
      </w:r>
      <w:r w:rsidRPr="00917A7A" w:rsidR="002F454E">
        <w:rPr>
          <w:rStyle w:val="FootnoteReference"/>
          <w:szCs w:val="24"/>
        </w:rPr>
        <w:footnoteReference w:id="6"/>
      </w:r>
      <w:r w:rsidRPr="00917A7A" w:rsidR="002F454E">
        <w:rPr>
          <w:szCs w:val="24"/>
        </w:rPr>
        <w:t xml:space="preserve"> </w:t>
      </w:r>
      <w:r w:rsidRPr="00917A7A" w:rsidR="003D1ADF">
        <w:rPr>
          <w:szCs w:val="24"/>
        </w:rPr>
        <w:t xml:space="preserve">Although training providers were the respondent in each case, the nature of the information for each activity was substantively different, with the “Training Provider Registration” IC focused on information pertaining to training providers, and the “Driver Training Certification Information” IC focused on </w:t>
      </w:r>
      <w:r w:rsidRPr="00917A7A" w:rsidR="003D1ADF">
        <w:rPr>
          <w:szCs w:val="24"/>
        </w:rPr>
        <w:lastRenderedPageBreak/>
        <w:t xml:space="preserve">information pertaining to individual entry-level drivers. </w:t>
      </w:r>
      <w:r w:rsidRPr="00917A7A" w:rsidR="00CB0CA0">
        <w:rPr>
          <w:szCs w:val="24"/>
        </w:rPr>
        <w:t xml:space="preserve">The number of responses and frequency of response were also very different for each IC. </w:t>
      </w:r>
      <w:r w:rsidRPr="00917A7A" w:rsidR="002F454E">
        <w:rPr>
          <w:szCs w:val="24"/>
        </w:rPr>
        <w:t>Furthermore</w:t>
      </w:r>
      <w:r w:rsidRPr="00917A7A" w:rsidR="00CB0CA0">
        <w:rPr>
          <w:szCs w:val="24"/>
        </w:rPr>
        <w:t xml:space="preserve">, </w:t>
      </w:r>
      <w:r w:rsidRPr="00917A7A" w:rsidR="003D1ADF">
        <w:rPr>
          <w:szCs w:val="24"/>
        </w:rPr>
        <w:t xml:space="preserve">in the </w:t>
      </w:r>
      <w:r w:rsidRPr="00917A7A" w:rsidR="003D1ADF">
        <w:t xml:space="preserve">July 18, 2019, </w:t>
      </w:r>
      <w:r w:rsidRPr="00917A7A" w:rsidR="003D1ADF">
        <w:rPr>
          <w:bCs/>
          <w:szCs w:val="24"/>
        </w:rPr>
        <w:t>proposed rule</w:t>
      </w:r>
      <w:r w:rsidRPr="00917A7A" w:rsidR="008B0C5D">
        <w:rPr>
          <w:bCs/>
          <w:szCs w:val="24"/>
        </w:rPr>
        <w:t>,</w:t>
      </w:r>
      <w:r w:rsidRPr="00917A7A" w:rsidR="003D1ADF">
        <w:rPr>
          <w:bCs/>
          <w:szCs w:val="24"/>
        </w:rPr>
        <w:t xml:space="preserve"> FMCSA had proposed </w:t>
      </w:r>
      <w:r w:rsidRPr="00917A7A" w:rsidR="003D1ADF">
        <w:t xml:space="preserve">extending the compliance date from February 7, 2020, to February 7, 2022, but only for </w:t>
      </w:r>
      <w:r w:rsidRPr="00917A7A" w:rsidR="003D1ADF">
        <w:rPr>
          <w:bCs/>
          <w:szCs w:val="24"/>
        </w:rPr>
        <w:t xml:space="preserve">the requirement for training providers to </w:t>
      </w:r>
      <w:r w:rsidRPr="00917A7A" w:rsidR="003D1ADF">
        <w:t xml:space="preserve">submit training certification information to the TPR for each individual driver-trainee that completes training. The compliance date for the </w:t>
      </w:r>
      <w:r w:rsidRPr="00917A7A" w:rsidR="003D1ADF">
        <w:rPr>
          <w:szCs w:val="24"/>
        </w:rPr>
        <w:t>“Training Provider Registration” information collection activities was proposed to have remained February 7, 2020.</w:t>
      </w:r>
      <w:r w:rsidRPr="00917A7A" w:rsidR="000B3547">
        <w:rPr>
          <w:szCs w:val="24"/>
        </w:rPr>
        <w:t xml:space="preserve"> </w:t>
      </w:r>
      <w:r w:rsidRPr="00917A7A" w:rsidR="00CB0CA0">
        <w:rPr>
          <w:szCs w:val="24"/>
        </w:rPr>
        <w:t xml:space="preserve">Therefore, the timing of the impacts from each IC </w:t>
      </w:r>
      <w:r w:rsidRPr="00917A7A" w:rsidR="002F454E">
        <w:rPr>
          <w:szCs w:val="24"/>
        </w:rPr>
        <w:t xml:space="preserve">were </w:t>
      </w:r>
      <w:r w:rsidRPr="00917A7A" w:rsidR="00693380">
        <w:rPr>
          <w:szCs w:val="24"/>
        </w:rPr>
        <w:t xml:space="preserve">also very </w:t>
      </w:r>
      <w:r w:rsidRPr="00917A7A" w:rsidR="002F454E">
        <w:rPr>
          <w:szCs w:val="24"/>
        </w:rPr>
        <w:t xml:space="preserve">different </w:t>
      </w:r>
      <w:r w:rsidRPr="00917A7A" w:rsidR="00CB0CA0">
        <w:rPr>
          <w:szCs w:val="24"/>
        </w:rPr>
        <w:t xml:space="preserve">over </w:t>
      </w:r>
      <w:r w:rsidRPr="00917A7A" w:rsidR="00CB0CA0">
        <w:t xml:space="preserve">the three-year period </w:t>
      </w:r>
      <w:r w:rsidRPr="00917A7A" w:rsidR="00693380">
        <w:t xml:space="preserve">of 2020 to 2022 that is </w:t>
      </w:r>
      <w:r w:rsidRPr="00917A7A" w:rsidR="00CB0CA0">
        <w:t>covered by this ICR</w:t>
      </w:r>
      <w:r w:rsidRPr="00917A7A" w:rsidR="00693380">
        <w:t>.</w:t>
      </w:r>
    </w:p>
    <w:p w:rsidRPr="00917A7A" w:rsidR="008B0C5D" w:rsidP="00F67966" w:rsidRDefault="008B0C5D" w14:paraId="506C2286" w14:textId="77777777">
      <w:pPr>
        <w:ind w:left="360"/>
        <w:outlineLvl w:val="0"/>
      </w:pPr>
    </w:p>
    <w:p w:rsidRPr="00917A7A" w:rsidR="00900321" w:rsidP="002643A2" w:rsidRDefault="00900321" w14:paraId="1F3BB7EA" w14:textId="3504B545">
      <w:pPr>
        <w:ind w:left="360"/>
        <w:outlineLvl w:val="0"/>
      </w:pPr>
      <w:r w:rsidRPr="00917A7A">
        <w:t xml:space="preserve">Finally, CVTA </w:t>
      </w:r>
      <w:r w:rsidRPr="00917A7A" w:rsidR="00FE7BC8">
        <w:t xml:space="preserve">suggested that training providers be </w:t>
      </w:r>
      <w:r w:rsidRPr="00917A7A" w:rsidR="003470AB">
        <w:t>allowed to upload trainee information</w:t>
      </w:r>
      <w:r w:rsidRPr="00917A7A" w:rsidR="008912F9">
        <w:t xml:space="preserve"> to the TPR</w:t>
      </w:r>
      <w:r w:rsidRPr="00917A7A" w:rsidR="003470AB">
        <w:t xml:space="preserve"> that a training provider may already have stored electronically</w:t>
      </w:r>
      <w:r w:rsidRPr="00917A7A" w:rsidR="008912F9">
        <w:t>,</w:t>
      </w:r>
      <w:r w:rsidRPr="00917A7A" w:rsidR="003470AB">
        <w:t xml:space="preserve"> so that </w:t>
      </w:r>
      <w:r w:rsidRPr="00917A7A" w:rsidR="008912F9">
        <w:t xml:space="preserve">the TPR could </w:t>
      </w:r>
      <w:r w:rsidRPr="00917A7A" w:rsidR="003470AB">
        <w:t>pre</w:t>
      </w:r>
      <w:r w:rsidRPr="00917A7A" w:rsidR="008912F9">
        <w:t>-</w:t>
      </w:r>
      <w:r w:rsidRPr="00917A7A" w:rsidR="003470AB">
        <w:t xml:space="preserve">populate individual driver-specific information requested in the TPR for the </w:t>
      </w:r>
      <w:r w:rsidRPr="00917A7A" w:rsidR="003470AB">
        <w:rPr>
          <w:szCs w:val="24"/>
        </w:rPr>
        <w:t xml:space="preserve">“Driver Training Certification Information” function and information collection. </w:t>
      </w:r>
      <w:r w:rsidRPr="00917A7A" w:rsidR="00D518BC">
        <w:rPr>
          <w:szCs w:val="24"/>
        </w:rPr>
        <w:t xml:space="preserve">The </w:t>
      </w:r>
      <w:r w:rsidRPr="00917A7A" w:rsidR="002643A2">
        <w:rPr>
          <w:szCs w:val="24"/>
        </w:rPr>
        <w:t xml:space="preserve">variation among different IT systems, </w:t>
      </w:r>
      <w:r w:rsidRPr="00917A7A" w:rsidR="00D518BC">
        <w:rPr>
          <w:szCs w:val="24"/>
        </w:rPr>
        <w:t xml:space="preserve">software </w:t>
      </w:r>
      <w:r w:rsidRPr="00917A7A" w:rsidR="002643A2">
        <w:rPr>
          <w:szCs w:val="24"/>
        </w:rPr>
        <w:t xml:space="preserve">applications, and data structures used by training providers to collect and maintain trainee information during their enrollment, intake, or onboarding of trainees, would likely prevent making such a feature </w:t>
      </w:r>
      <w:r w:rsidRPr="00917A7A" w:rsidR="00294A9A">
        <w:rPr>
          <w:szCs w:val="24"/>
        </w:rPr>
        <w:t xml:space="preserve">technically </w:t>
      </w:r>
      <w:r w:rsidRPr="00917A7A" w:rsidR="00835B0D">
        <w:rPr>
          <w:szCs w:val="24"/>
        </w:rPr>
        <w:t>feasible</w:t>
      </w:r>
      <w:r w:rsidRPr="00917A7A" w:rsidR="00D518BC">
        <w:rPr>
          <w:szCs w:val="24"/>
        </w:rPr>
        <w:t>.</w:t>
      </w:r>
    </w:p>
    <w:p w:rsidRPr="00917A7A" w:rsidR="000B2D28" w:rsidP="00F67966" w:rsidRDefault="000B2D28" w14:paraId="1293EA0E" w14:textId="77777777">
      <w:pPr>
        <w:ind w:left="360"/>
        <w:outlineLvl w:val="0"/>
        <w:rPr>
          <w:bCs/>
          <w:szCs w:val="24"/>
        </w:rPr>
      </w:pPr>
    </w:p>
    <w:p w:rsidRPr="00917A7A" w:rsidR="00F67966" w:rsidP="00F67966" w:rsidRDefault="00752191" w14:paraId="49757781" w14:textId="339EA8BD">
      <w:pPr>
        <w:tabs>
          <w:tab w:val="left" w:pos="360"/>
        </w:tabs>
        <w:ind w:left="360"/>
      </w:pPr>
      <w:r w:rsidRPr="00917A7A">
        <w:t xml:space="preserve">On </w:t>
      </w:r>
      <w:r w:rsidR="00594A01">
        <w:rPr>
          <w:bCs/>
          <w:szCs w:val="24"/>
        </w:rPr>
        <w:t>April 7, 2020</w:t>
      </w:r>
      <w:r w:rsidRPr="00917A7A">
        <w:t xml:space="preserve">, FMCSA published a second notice in the Federal Register </w:t>
      </w:r>
      <w:bookmarkStart w:name="_GoBack" w:id="0"/>
      <w:bookmarkEnd w:id="0"/>
      <w:r w:rsidRPr="00594A01">
        <w:t>(</w:t>
      </w:r>
      <w:r w:rsidRPr="00594A01" w:rsidR="00594A01">
        <w:t>85</w:t>
      </w:r>
      <w:r w:rsidRPr="00594A01">
        <w:t xml:space="preserve"> FR </w:t>
      </w:r>
      <w:r w:rsidRPr="00594A01" w:rsidR="00594A01">
        <w:t>19570</w:t>
      </w:r>
      <w:r w:rsidRPr="00594A01">
        <w:t>)</w:t>
      </w:r>
      <w:r w:rsidRPr="00917A7A">
        <w:t xml:space="preserve"> (</w:t>
      </w:r>
      <w:r w:rsidRPr="00917A7A" w:rsidR="004972A1">
        <w:t xml:space="preserve">Attachment </w:t>
      </w:r>
      <w:r w:rsidR="00E76C16">
        <w:t>L</w:t>
      </w:r>
      <w:r w:rsidRPr="00917A7A">
        <w:t xml:space="preserve">) with a 30-day comment period that announced that </w:t>
      </w:r>
      <w:r w:rsidRPr="00917A7A" w:rsidR="00F67966">
        <w:t>this request for</w:t>
      </w:r>
      <w:r w:rsidRPr="00917A7A" w:rsidR="0095195C">
        <w:t xml:space="preserve"> review and approval to revise </w:t>
      </w:r>
      <w:r w:rsidRPr="00917A7A" w:rsidR="00F67966">
        <w:t>this ICR was being submitted to OMB.</w:t>
      </w:r>
    </w:p>
    <w:p w:rsidRPr="00917A7A" w:rsidR="005632BA" w:rsidP="00F67966" w:rsidRDefault="005632BA" w14:paraId="3A766A01" w14:textId="77777777">
      <w:pPr>
        <w:tabs>
          <w:tab w:val="left" w:pos="360"/>
        </w:tabs>
        <w:ind w:left="360"/>
      </w:pPr>
    </w:p>
    <w:p w:rsidRPr="00917A7A" w:rsidR="00D1270E" w:rsidP="008B593B" w:rsidRDefault="005632BA" w14:paraId="1DE6B01E" w14:textId="571463C8">
      <w:pPr>
        <w:ind w:left="360"/>
        <w:outlineLvl w:val="0"/>
      </w:pPr>
      <w:r w:rsidRPr="00917A7A">
        <w:t xml:space="preserve">In addition, the December 8, 2016, final rule reflected the recommendations of FMCSA’s Entry-Level Driver Training Advisory Committee (ELDTAC), comprised of 25 industry stakeholders and FMCSA, that was convened through a negotiated rulemaking process in 2015 and that held a series of meetings between February and May 2015 leading to the development of the proposed rule in March 2016. As part of the ELDTAC negotiated rulemaking process, extensive consultations occurred with representatives of the affected industry from whom information is to be obtained. These consultations included discussions regarding the development of the </w:t>
      </w:r>
      <w:r w:rsidRPr="00917A7A" w:rsidR="008472E1">
        <w:t>TPR</w:t>
      </w:r>
      <w:r w:rsidRPr="00917A7A">
        <w:t xml:space="preserve"> and the information and specific data fields required to be submitted by training providers to the TPR.</w:t>
      </w:r>
      <w:r w:rsidRPr="00917A7A" w:rsidR="008B593B">
        <w:t xml:space="preserve"> </w:t>
      </w:r>
      <w:r w:rsidRPr="00917A7A" w:rsidR="00694E8D">
        <w:t xml:space="preserve">Furthermore, </w:t>
      </w:r>
      <w:r w:rsidRPr="00917A7A" w:rsidR="00E65B51">
        <w:t xml:space="preserve">projected estimates of the burden impacts from the December 8, 2016, final rule titled “Minimum Training Requirements for Entry-Level Commercial Motor Vehicle Operators” (81 FR 88732) (Attachment </w:t>
      </w:r>
      <w:r w:rsidRPr="00917A7A" w:rsidR="00B32097">
        <w:t>B</w:t>
      </w:r>
      <w:r w:rsidRPr="00917A7A" w:rsidR="00E65B51">
        <w:t xml:space="preserve">) were </w:t>
      </w:r>
      <w:r w:rsidRPr="00917A7A" w:rsidR="00B540EF">
        <w:t>previously</w:t>
      </w:r>
      <w:r w:rsidRPr="00917A7A" w:rsidR="00E65B51">
        <w:t xml:space="preserve"> published in the March 7, 2016, </w:t>
      </w:r>
      <w:r w:rsidRPr="00917A7A" w:rsidR="008472E1">
        <w:t>NPRM</w:t>
      </w:r>
      <w:r w:rsidRPr="00917A7A" w:rsidR="00E65B51">
        <w:t xml:space="preserve"> (81 FR 11944) </w:t>
      </w:r>
      <w:r w:rsidRPr="00917A7A" w:rsidR="004972A1">
        <w:t xml:space="preserve">(Attachment </w:t>
      </w:r>
      <w:r w:rsidRPr="00917A7A" w:rsidR="00B233B8">
        <w:t>H</w:t>
      </w:r>
      <w:r w:rsidRPr="00917A7A" w:rsidR="00150E7C">
        <w:t xml:space="preserve">) </w:t>
      </w:r>
      <w:r w:rsidRPr="00917A7A" w:rsidR="00E65B51">
        <w:t xml:space="preserve">that preceded the </w:t>
      </w:r>
      <w:r w:rsidRPr="00917A7A" w:rsidR="003379C8">
        <w:t xml:space="preserve">December 2016 </w:t>
      </w:r>
      <w:r w:rsidRPr="00917A7A" w:rsidR="00E65B51">
        <w:t>final rule, providing the public the opportunity for review and comment. No comments concerning the projected burden impacts were received at that time, and the same projected burden impacts were again published in the December 2016 final rule.</w:t>
      </w:r>
      <w:r w:rsidRPr="00917A7A" w:rsidR="003379C8">
        <w:t xml:space="preserve"> Those estimates are revised later in this Supporting Statement to reflect certain adjustments and refinements, and then further revised to reflect the </w:t>
      </w:r>
      <w:r w:rsidRPr="00917A7A" w:rsidR="00D1270E">
        <w:t>extension of the compliance date for the rule by two years from February 7, 2020, to February 7, 2022.</w:t>
      </w:r>
    </w:p>
    <w:p w:rsidRPr="00917A7A" w:rsidR="00D1270E" w:rsidP="008B593B" w:rsidRDefault="00D1270E" w14:paraId="298FB758" w14:textId="77777777">
      <w:pPr>
        <w:ind w:left="360"/>
        <w:outlineLvl w:val="0"/>
      </w:pPr>
    </w:p>
    <w:p w:rsidRPr="00917A7A" w:rsidR="00104B5C" w:rsidP="00104B5C" w:rsidRDefault="00104B5C" w14:paraId="199F2D01" w14:textId="77777777">
      <w:pPr>
        <w:tabs>
          <w:tab w:val="left" w:pos="360"/>
        </w:tabs>
        <w:rPr>
          <w:szCs w:val="24"/>
        </w:rPr>
      </w:pPr>
      <w:r w:rsidRPr="00917A7A">
        <w:rPr>
          <w:b/>
          <w:bCs/>
          <w:szCs w:val="24"/>
        </w:rPr>
        <w:t>9.</w:t>
      </w:r>
      <w:r w:rsidRPr="00917A7A">
        <w:rPr>
          <w:b/>
          <w:bCs/>
          <w:szCs w:val="24"/>
        </w:rPr>
        <w:tab/>
      </w:r>
      <w:r w:rsidRPr="00917A7A" w:rsidR="00F358A1">
        <w:rPr>
          <w:b/>
          <w:bCs/>
          <w:szCs w:val="24"/>
        </w:rPr>
        <w:t>PAYMENTS OR GIFTS TO RESPONDENTS</w:t>
      </w:r>
      <w:r w:rsidRPr="00917A7A" w:rsidR="00A613EE">
        <w:rPr>
          <w:b/>
          <w:bCs/>
        </w:rPr>
        <w:br/>
      </w:r>
    </w:p>
    <w:p w:rsidRPr="00917A7A" w:rsidR="00D241AD" w:rsidP="00D241AD" w:rsidRDefault="00D241AD" w14:paraId="0A8E4400" w14:textId="77777777">
      <w:pPr>
        <w:widowControl/>
        <w:ind w:left="360"/>
      </w:pPr>
      <w:r w:rsidRPr="00917A7A">
        <w:t>Respondents are not provided with any payment or gift for this collection</w:t>
      </w:r>
      <w:r w:rsidRPr="00917A7A" w:rsidR="00464625">
        <w:t xml:space="preserve"> of information</w:t>
      </w:r>
      <w:r w:rsidRPr="00917A7A">
        <w:t>.</w:t>
      </w:r>
    </w:p>
    <w:p w:rsidRPr="00917A7A" w:rsidR="00720A9F" w:rsidP="008E4E78" w:rsidRDefault="00720A9F" w14:paraId="0ED3762A" w14:textId="77777777"/>
    <w:p w:rsidRPr="00917A7A" w:rsidR="00104B5C" w:rsidP="00FB566D" w:rsidRDefault="00104B5C" w14:paraId="6168EBA4" w14:textId="1F226820">
      <w:pPr>
        <w:keepNext/>
        <w:keepLines/>
        <w:tabs>
          <w:tab w:val="left" w:pos="360"/>
        </w:tabs>
        <w:rPr>
          <w:szCs w:val="24"/>
        </w:rPr>
      </w:pPr>
      <w:r w:rsidRPr="00917A7A">
        <w:rPr>
          <w:b/>
          <w:bCs/>
          <w:szCs w:val="24"/>
        </w:rPr>
        <w:lastRenderedPageBreak/>
        <w:t>10.</w:t>
      </w:r>
      <w:r w:rsidRPr="00917A7A">
        <w:rPr>
          <w:b/>
          <w:bCs/>
          <w:szCs w:val="24"/>
        </w:rPr>
        <w:tab/>
      </w:r>
      <w:r w:rsidRPr="00917A7A" w:rsidR="00F358A1">
        <w:rPr>
          <w:b/>
          <w:bCs/>
          <w:szCs w:val="24"/>
        </w:rPr>
        <w:t>ASSURANCE OF CONFIDENTIALITY</w:t>
      </w:r>
      <w:r w:rsidRPr="00917A7A" w:rsidR="00A613EE">
        <w:br/>
      </w:r>
    </w:p>
    <w:p w:rsidRPr="00917A7A" w:rsidR="005E69DF" w:rsidP="00FB566D" w:rsidRDefault="005E69DF" w14:paraId="2967AFFB" w14:textId="09ECB2A9">
      <w:pPr>
        <w:keepNext/>
        <w:keepLines/>
        <w:tabs>
          <w:tab w:val="left" w:pos="360"/>
        </w:tabs>
        <w:ind w:left="360"/>
        <w:rPr>
          <w:szCs w:val="24"/>
        </w:rPr>
      </w:pPr>
      <w:r w:rsidRPr="00917A7A">
        <w:t xml:space="preserve">Under the existing ELDT requirements </w:t>
      </w:r>
      <w:r w:rsidRPr="00917A7A">
        <w:rPr>
          <w:szCs w:val="24"/>
        </w:rPr>
        <w:t xml:space="preserve">of Subpart E of </w:t>
      </w:r>
      <w:r w:rsidRPr="00917A7A">
        <w:t xml:space="preserve">49 CFR part 380 that will remain in force until February 7, 2022, the driver retains the original of the training certificate and provides a copy to motor </w:t>
      </w:r>
      <w:r w:rsidRPr="00917A7A" w:rsidR="00665E8F">
        <w:t xml:space="preserve">carriers employing him or her. </w:t>
      </w:r>
      <w:r w:rsidRPr="00917A7A">
        <w:t>Motor carriers maintain the copy in the driver qualification file</w:t>
      </w:r>
      <w:r w:rsidRPr="00917A7A" w:rsidR="001424C7">
        <w:t>.</w:t>
      </w:r>
      <w:r w:rsidRPr="00917A7A">
        <w:t xml:space="preserve"> FMCSA investigators may review this documentat</w:t>
      </w:r>
      <w:r w:rsidRPr="00917A7A" w:rsidR="00665E8F">
        <w:t xml:space="preserve">ion during compliance reviews. </w:t>
      </w:r>
      <w:r w:rsidRPr="00917A7A">
        <w:t xml:space="preserve">FMCSA investigators protect the information that they review during compliance reviews in accordance with the requirements of the </w:t>
      </w:r>
      <w:r w:rsidRPr="00917A7A">
        <w:rPr>
          <w:bCs/>
          <w:szCs w:val="24"/>
        </w:rPr>
        <w:t>Privacy Act of 1974, 5 U.S.C. § 552a, Pub. L. 93-579, 88 Stat. 1896 (</w:t>
      </w:r>
      <w:r w:rsidRPr="00917A7A" w:rsidR="007650D7">
        <w:rPr>
          <w:bCs/>
          <w:szCs w:val="24"/>
        </w:rPr>
        <w:t xml:space="preserve">December 31, 1974) (Attachment </w:t>
      </w:r>
      <w:r w:rsidR="00E76C16">
        <w:rPr>
          <w:bCs/>
          <w:szCs w:val="24"/>
        </w:rPr>
        <w:t>M</w:t>
      </w:r>
      <w:r w:rsidRPr="00917A7A">
        <w:rPr>
          <w:bCs/>
          <w:szCs w:val="24"/>
        </w:rPr>
        <w:t>).</w:t>
      </w:r>
    </w:p>
    <w:p w:rsidRPr="00917A7A" w:rsidR="005E69DF" w:rsidP="00104B5C" w:rsidRDefault="005E69DF" w14:paraId="5ADC1AF2" w14:textId="7D675813">
      <w:pPr>
        <w:tabs>
          <w:tab w:val="left" w:pos="360"/>
        </w:tabs>
        <w:rPr>
          <w:szCs w:val="24"/>
        </w:rPr>
      </w:pPr>
    </w:p>
    <w:p w:rsidRPr="00917A7A" w:rsidR="00B32D87" w:rsidP="005E69DF" w:rsidRDefault="005E69DF" w14:paraId="1124F03C" w14:textId="33042E77">
      <w:pPr>
        <w:tabs>
          <w:tab w:val="left" w:pos="360"/>
        </w:tabs>
        <w:ind w:left="360"/>
        <w:rPr>
          <w:szCs w:val="24"/>
        </w:rPr>
      </w:pPr>
      <w:r w:rsidRPr="00917A7A">
        <w:t xml:space="preserve">As of February 7, 2022, the existing ELDT requirements </w:t>
      </w:r>
      <w:r w:rsidRPr="00917A7A">
        <w:rPr>
          <w:szCs w:val="24"/>
        </w:rPr>
        <w:t xml:space="preserve">under Subpart E of </w:t>
      </w:r>
      <w:r w:rsidRPr="00917A7A">
        <w:t xml:space="preserve">49 CFR part 380 are eliminated, and new minimum training standards for entry-level drivers (in a new Subpart F and five new Appendices to part 380), and new requirements for training providers (in a new Subpart G), will be in force. </w:t>
      </w:r>
      <w:r w:rsidRPr="00917A7A" w:rsidR="00B32D87">
        <w:t>As described earlier, under this ICR</w:t>
      </w:r>
      <w:r w:rsidRPr="00917A7A" w:rsidR="00937516">
        <w:t>,</w:t>
      </w:r>
      <w:r w:rsidRPr="00917A7A" w:rsidR="00FF7E7E">
        <w:t xml:space="preserve"> “Training Provider Registration” information will be collected by FMCSA from each training provider for each training location by means of the online </w:t>
      </w:r>
      <w:r w:rsidRPr="00917A7A" w:rsidR="008472E1">
        <w:t>TPR</w:t>
      </w:r>
      <w:r w:rsidRPr="00917A7A" w:rsidR="00FF7E7E">
        <w:t xml:space="preserve">. </w:t>
      </w:r>
      <w:r w:rsidRPr="00917A7A" w:rsidR="00B32D87">
        <w:rPr>
          <w:bCs/>
          <w:szCs w:val="24"/>
        </w:rPr>
        <w:t>Contact information for the training providers and information of sole proprietor training providers is considered personally identifiable information, however because this information is provided in the context of the individual’s business relationship with the TPR and is not retrieved by unique identifier associated with the individual, that information is considered “business information” and is not protected under the Privacy Act</w:t>
      </w:r>
      <w:r w:rsidRPr="00917A7A" w:rsidR="00636789">
        <w:rPr>
          <w:bCs/>
          <w:szCs w:val="24"/>
        </w:rPr>
        <w:t xml:space="preserve"> of 1974, 5 U.S.C. § 552a, Pub. L. 93-579, 88 Stat. 1896 (December 31, 1974) (Attachment </w:t>
      </w:r>
      <w:r w:rsidR="00E76C16">
        <w:rPr>
          <w:bCs/>
          <w:szCs w:val="24"/>
        </w:rPr>
        <w:t>M</w:t>
      </w:r>
      <w:r w:rsidRPr="00917A7A" w:rsidR="00636789">
        <w:rPr>
          <w:bCs/>
          <w:szCs w:val="24"/>
        </w:rPr>
        <w:t>)</w:t>
      </w:r>
      <w:r w:rsidRPr="00917A7A" w:rsidR="00B32D87">
        <w:rPr>
          <w:bCs/>
          <w:szCs w:val="24"/>
        </w:rPr>
        <w:t>. The Department will apply the Fair Information Practice Principles (FIPPs) to this data to ensure that it is used appropriately.</w:t>
      </w:r>
    </w:p>
    <w:p w:rsidRPr="00917A7A" w:rsidR="00FF7E7E" w:rsidP="00FF7E7E" w:rsidRDefault="00FF7E7E" w14:paraId="5120F8B9" w14:textId="77777777">
      <w:pPr>
        <w:ind w:left="360"/>
      </w:pPr>
    </w:p>
    <w:p w:rsidRPr="00917A7A" w:rsidR="007031D0" w:rsidP="00971BD5" w:rsidRDefault="00FF7E7E" w14:paraId="78F2C39F" w14:textId="4FF88E50">
      <w:pPr>
        <w:ind w:left="360"/>
        <w:rPr>
          <w:bCs/>
          <w:szCs w:val="24"/>
        </w:rPr>
      </w:pPr>
      <w:r w:rsidRPr="00917A7A">
        <w:t xml:space="preserve">Also under this ICR, “Driver Training Certification” information will be collected by FMCSA from training providers by means of the </w:t>
      </w:r>
      <w:r w:rsidRPr="00917A7A" w:rsidR="00493826">
        <w:t>TPR</w:t>
      </w:r>
      <w:r w:rsidRPr="00917A7A">
        <w:t xml:space="preserve">. After an individual driver-trainee completes training administered by a training provider listed on the TPR, that training provider must submit the training certification information regarding the driver-trainee to the TPR. </w:t>
      </w:r>
      <w:r w:rsidRPr="00917A7A" w:rsidR="00493826">
        <w:t xml:space="preserve">Because this individual driver training certification information will be retrieved from the TPR by a unique identifier, the TPR is </w:t>
      </w:r>
      <w:r w:rsidRPr="00917A7A" w:rsidR="00A92AE3">
        <w:rPr>
          <w:bCs/>
          <w:szCs w:val="24"/>
        </w:rPr>
        <w:t>considered a S</w:t>
      </w:r>
      <w:r w:rsidRPr="00917A7A" w:rsidR="004F7AC2">
        <w:rPr>
          <w:bCs/>
          <w:szCs w:val="24"/>
        </w:rPr>
        <w:t xml:space="preserve">ystem of Records under the Privacy Act. </w:t>
      </w:r>
      <w:r w:rsidRPr="00917A7A" w:rsidR="00493826">
        <w:rPr>
          <w:bCs/>
          <w:szCs w:val="24"/>
        </w:rPr>
        <w:t xml:space="preserve">Therefore, in conjunction with the December 2016 final rule, </w:t>
      </w:r>
      <w:r w:rsidRPr="00917A7A" w:rsidR="00B32D87">
        <w:rPr>
          <w:bCs/>
          <w:szCs w:val="24"/>
        </w:rPr>
        <w:t>FMCSA developed a Privacy Impact Assessment (PIA)</w:t>
      </w:r>
      <w:r w:rsidRPr="00917A7A" w:rsidR="00493826">
        <w:rPr>
          <w:bCs/>
          <w:szCs w:val="24"/>
        </w:rPr>
        <w:t xml:space="preserve"> that</w:t>
      </w:r>
      <w:r w:rsidRPr="00917A7A" w:rsidR="00B32D87">
        <w:rPr>
          <w:bCs/>
          <w:szCs w:val="24"/>
        </w:rPr>
        <w:t xml:space="preserve"> is available both in the public docket for the December 2016 final rule</w:t>
      </w:r>
      <w:r w:rsidRPr="00917A7A" w:rsidR="00B32D87">
        <w:rPr>
          <w:rStyle w:val="FootnoteReference"/>
          <w:bCs/>
          <w:szCs w:val="24"/>
        </w:rPr>
        <w:footnoteReference w:id="7"/>
      </w:r>
      <w:r w:rsidRPr="00917A7A" w:rsidR="00B32D87">
        <w:rPr>
          <w:bCs/>
          <w:szCs w:val="24"/>
        </w:rPr>
        <w:t>, and on the Department’s privacy website.</w:t>
      </w:r>
      <w:r w:rsidRPr="00917A7A" w:rsidR="00B32D87">
        <w:rPr>
          <w:rStyle w:val="FootnoteReference"/>
          <w:bCs/>
          <w:szCs w:val="24"/>
        </w:rPr>
        <w:footnoteReference w:id="8"/>
      </w:r>
      <w:r w:rsidRPr="00917A7A" w:rsidR="00493826">
        <w:rPr>
          <w:bCs/>
          <w:szCs w:val="24"/>
        </w:rPr>
        <w:t xml:space="preserve"> </w:t>
      </w:r>
      <w:r w:rsidRPr="00917A7A" w:rsidR="00F23BB6">
        <w:t xml:space="preserve">As noted earlier, the </w:t>
      </w:r>
      <w:r w:rsidRPr="00A45437" w:rsidR="00A45437">
        <w:rPr>
          <w:bCs/>
          <w:szCs w:val="24"/>
        </w:rPr>
        <w:t>February 4, 2020</w:t>
      </w:r>
      <w:r w:rsidRPr="00917A7A" w:rsidR="00F23BB6">
        <w:t xml:space="preserve">, interim final rule </w:t>
      </w:r>
      <w:r w:rsidRPr="00917A7A" w:rsidR="00F23BB6">
        <w:rPr>
          <w:bCs/>
          <w:szCs w:val="24"/>
        </w:rPr>
        <w:t xml:space="preserve">titled “Extension of Compliance Date for Entry-Level Driver Training” </w:t>
      </w:r>
      <w:r w:rsidRPr="009402C9" w:rsidR="009402C9">
        <w:rPr>
          <w:bCs/>
          <w:szCs w:val="24"/>
        </w:rPr>
        <w:t>(85 FR 6088)</w:t>
      </w:r>
      <w:r w:rsidRPr="009402C9" w:rsidDel="009402C9" w:rsidR="009402C9">
        <w:rPr>
          <w:bCs/>
          <w:szCs w:val="24"/>
        </w:rPr>
        <w:t xml:space="preserve"> </w:t>
      </w:r>
      <w:r w:rsidRPr="00917A7A" w:rsidR="00F23BB6">
        <w:rPr>
          <w:bCs/>
          <w:szCs w:val="24"/>
        </w:rPr>
        <w:t>(Attachment D)</w:t>
      </w:r>
      <w:r w:rsidRPr="00917A7A" w:rsidR="00F23BB6">
        <w:t xml:space="preserve"> extends the compliance date for the ELDT rule from February 7, 2020, to February 7, 2022.</w:t>
      </w:r>
      <w:r w:rsidRPr="00917A7A" w:rsidR="00971BD5">
        <w:rPr>
          <w:bCs/>
          <w:szCs w:val="24"/>
        </w:rPr>
        <w:t xml:space="preserve"> </w:t>
      </w:r>
      <w:r w:rsidRPr="00917A7A" w:rsidR="0045027D">
        <w:rPr>
          <w:bCs/>
          <w:szCs w:val="24"/>
        </w:rPr>
        <w:t xml:space="preserve">As required by the Privacy Act, FMCSA and the Department will publish, with request for comment, a system of records notice (SORN) that will describe FMCSA’s maintenance and electronic transmission of </w:t>
      </w:r>
      <w:r w:rsidRPr="00917A7A" w:rsidR="009067F5">
        <w:rPr>
          <w:bCs/>
          <w:szCs w:val="24"/>
        </w:rPr>
        <w:t xml:space="preserve">the driver training certification </w:t>
      </w:r>
      <w:r w:rsidRPr="00917A7A" w:rsidR="0045027D">
        <w:rPr>
          <w:bCs/>
          <w:szCs w:val="24"/>
        </w:rPr>
        <w:t xml:space="preserve">information </w:t>
      </w:r>
      <w:r w:rsidRPr="00917A7A" w:rsidR="009067F5">
        <w:rPr>
          <w:bCs/>
          <w:szCs w:val="24"/>
        </w:rPr>
        <w:t xml:space="preserve">that is </w:t>
      </w:r>
      <w:r w:rsidRPr="00917A7A" w:rsidR="0045027D">
        <w:rPr>
          <w:bCs/>
          <w:szCs w:val="24"/>
        </w:rPr>
        <w:t xml:space="preserve">covered by the Privacy Act. This SORN will be </w:t>
      </w:r>
      <w:r w:rsidRPr="00917A7A" w:rsidR="0045027D">
        <w:rPr>
          <w:bCs/>
          <w:szCs w:val="24"/>
        </w:rPr>
        <w:lastRenderedPageBreak/>
        <w:t>developed to reflect the new storage and electronic transmission of information</w:t>
      </w:r>
      <w:r w:rsidRPr="00917A7A" w:rsidR="005440A8">
        <w:rPr>
          <w:bCs/>
          <w:szCs w:val="24"/>
        </w:rPr>
        <w:t>,</w:t>
      </w:r>
      <w:r w:rsidRPr="00917A7A" w:rsidR="0045027D">
        <w:rPr>
          <w:bCs/>
          <w:szCs w:val="24"/>
        </w:rPr>
        <w:t xml:space="preserve"> and </w:t>
      </w:r>
      <w:r w:rsidRPr="00917A7A" w:rsidR="006A597A">
        <w:rPr>
          <w:bCs/>
          <w:szCs w:val="24"/>
        </w:rPr>
        <w:t>wil</w:t>
      </w:r>
      <w:r w:rsidRPr="00917A7A" w:rsidR="005440A8">
        <w:rPr>
          <w:bCs/>
          <w:szCs w:val="24"/>
        </w:rPr>
        <w:t>l</w:t>
      </w:r>
      <w:r w:rsidRPr="00917A7A" w:rsidR="006A597A">
        <w:rPr>
          <w:bCs/>
          <w:szCs w:val="24"/>
        </w:rPr>
        <w:t xml:space="preserve"> be </w:t>
      </w:r>
      <w:r w:rsidRPr="00917A7A" w:rsidR="0045027D">
        <w:rPr>
          <w:bCs/>
          <w:szCs w:val="24"/>
        </w:rPr>
        <w:t xml:space="preserve">published in the Federal Register </w:t>
      </w:r>
      <w:r w:rsidRPr="00917A7A" w:rsidR="005440A8">
        <w:rPr>
          <w:bCs/>
          <w:szCs w:val="24"/>
        </w:rPr>
        <w:t xml:space="preserve">prior to the February 7, 2022, extended compliance date, and </w:t>
      </w:r>
      <w:r w:rsidRPr="00917A7A" w:rsidR="0045027D">
        <w:rPr>
          <w:bCs/>
          <w:szCs w:val="24"/>
        </w:rPr>
        <w:t>not less than 30 days before the Agency is authorized to collect or use</w:t>
      </w:r>
      <w:r w:rsidRPr="00917A7A" w:rsidR="00D43B5B">
        <w:rPr>
          <w:bCs/>
          <w:szCs w:val="24"/>
        </w:rPr>
        <w:t xml:space="preserve"> personally identifiable information</w:t>
      </w:r>
      <w:r w:rsidRPr="00917A7A" w:rsidR="0045027D">
        <w:rPr>
          <w:bCs/>
          <w:szCs w:val="24"/>
        </w:rPr>
        <w:t xml:space="preserve"> </w:t>
      </w:r>
      <w:r w:rsidRPr="00917A7A" w:rsidR="00D43B5B">
        <w:rPr>
          <w:bCs/>
          <w:szCs w:val="24"/>
        </w:rPr>
        <w:t>(</w:t>
      </w:r>
      <w:r w:rsidRPr="00917A7A" w:rsidR="0045027D">
        <w:rPr>
          <w:bCs/>
          <w:szCs w:val="24"/>
        </w:rPr>
        <w:t>PII</w:t>
      </w:r>
      <w:r w:rsidRPr="00917A7A" w:rsidR="00D43B5B">
        <w:rPr>
          <w:bCs/>
          <w:szCs w:val="24"/>
        </w:rPr>
        <w:t>)</w:t>
      </w:r>
      <w:r w:rsidRPr="00917A7A" w:rsidR="0045027D">
        <w:rPr>
          <w:bCs/>
          <w:szCs w:val="24"/>
        </w:rPr>
        <w:t xml:space="preserve"> retrieved by unique identifier.</w:t>
      </w:r>
    </w:p>
    <w:p w:rsidRPr="00917A7A" w:rsidR="00147049" w:rsidP="00470720" w:rsidRDefault="00147049" w14:paraId="1447929E" w14:textId="77777777">
      <w:pPr>
        <w:rPr>
          <w:bCs/>
          <w:szCs w:val="24"/>
        </w:rPr>
      </w:pPr>
    </w:p>
    <w:p w:rsidRPr="00917A7A" w:rsidR="00147049" w:rsidP="00147049" w:rsidRDefault="00147049" w14:paraId="18D06196" w14:textId="77777777">
      <w:pPr>
        <w:tabs>
          <w:tab w:val="left" w:pos="360"/>
        </w:tabs>
        <w:rPr>
          <w:szCs w:val="24"/>
        </w:rPr>
      </w:pPr>
      <w:r w:rsidRPr="00917A7A">
        <w:rPr>
          <w:b/>
          <w:bCs/>
          <w:szCs w:val="24"/>
        </w:rPr>
        <w:t>11.</w:t>
      </w:r>
      <w:r w:rsidRPr="00917A7A">
        <w:rPr>
          <w:b/>
          <w:bCs/>
          <w:szCs w:val="24"/>
        </w:rPr>
        <w:tab/>
      </w:r>
      <w:r w:rsidRPr="00917A7A" w:rsidR="00F358A1">
        <w:rPr>
          <w:b/>
          <w:bCs/>
          <w:szCs w:val="24"/>
        </w:rPr>
        <w:t>JUSTIFICATION FOR COLLECTION OF SENSITIVE INFORMATION</w:t>
      </w:r>
      <w:r w:rsidRPr="00917A7A" w:rsidR="00470720">
        <w:t xml:space="preserve"> </w:t>
      </w:r>
      <w:r w:rsidRPr="00917A7A" w:rsidR="00A613EE">
        <w:br/>
      </w:r>
    </w:p>
    <w:p w:rsidRPr="00917A7A" w:rsidR="00147049" w:rsidP="00C51F97" w:rsidRDefault="00C51F97" w14:paraId="0D3C7516" w14:textId="77777777">
      <w:pPr>
        <w:widowControl/>
        <w:ind w:left="360"/>
        <w:rPr>
          <w:szCs w:val="24"/>
        </w:rPr>
      </w:pPr>
      <w:r w:rsidRPr="00917A7A">
        <w:t xml:space="preserve">The information requested and collected is not of a sensitive nature (e.g., </w:t>
      </w:r>
      <w:r w:rsidRPr="00917A7A" w:rsidR="00F358A1">
        <w:rPr>
          <w:szCs w:val="24"/>
        </w:rPr>
        <w:t>sexual behavior and attitudes, religious beliefs, and other matters that are commonly considered private</w:t>
      </w:r>
      <w:r w:rsidRPr="00917A7A">
        <w:rPr>
          <w:szCs w:val="24"/>
        </w:rPr>
        <w:t>)</w:t>
      </w:r>
      <w:r w:rsidRPr="00917A7A" w:rsidR="00F358A1">
        <w:rPr>
          <w:szCs w:val="24"/>
        </w:rPr>
        <w:t>.</w:t>
      </w:r>
    </w:p>
    <w:p w:rsidRPr="00917A7A" w:rsidR="00C07DC9" w:rsidP="00C07DC9" w:rsidRDefault="008F2CDB" w14:paraId="63648C4E" w14:textId="45C604E1">
      <w:pPr>
        <w:tabs>
          <w:tab w:val="left" w:pos="360"/>
        </w:tabs>
        <w:rPr>
          <w:szCs w:val="24"/>
        </w:rPr>
      </w:pPr>
      <w:r w:rsidRPr="00917A7A">
        <w:rPr>
          <w:szCs w:val="24"/>
        </w:rPr>
        <w:br/>
      </w:r>
      <w:r w:rsidRPr="00917A7A" w:rsidR="00C07DC9">
        <w:rPr>
          <w:b/>
          <w:bCs/>
          <w:szCs w:val="24"/>
        </w:rPr>
        <w:t>12.</w:t>
      </w:r>
      <w:r w:rsidRPr="00917A7A" w:rsidR="00C07DC9">
        <w:rPr>
          <w:b/>
          <w:bCs/>
          <w:szCs w:val="24"/>
        </w:rPr>
        <w:tab/>
      </w:r>
      <w:r w:rsidRPr="00917A7A" w:rsidR="009E0597">
        <w:rPr>
          <w:b/>
          <w:bCs/>
          <w:szCs w:val="24"/>
        </w:rPr>
        <w:t>ESTIMATE OF BURDEN HOURS FOR INFORMATION REQUESTED</w:t>
      </w:r>
      <w:r w:rsidRPr="00917A7A" w:rsidR="00A613EE">
        <w:br/>
      </w:r>
    </w:p>
    <w:p w:rsidRPr="00917A7A" w:rsidR="00F02EC3" w:rsidP="00A50966" w:rsidRDefault="00F25893" w14:paraId="7C6CCDF6" w14:textId="354CFF74">
      <w:pPr>
        <w:ind w:left="360"/>
      </w:pPr>
      <w:r w:rsidRPr="00917A7A">
        <w:t xml:space="preserve">The three-year period covered by this ICR is 2020 through 2022. </w:t>
      </w:r>
      <w:r w:rsidRPr="00917A7A">
        <w:rPr>
          <w:bCs/>
          <w:szCs w:val="24"/>
        </w:rPr>
        <w:t xml:space="preserve">The </w:t>
      </w:r>
      <w:r w:rsidRPr="00917A7A">
        <w:t xml:space="preserve">December 8, 2016, </w:t>
      </w:r>
      <w:r w:rsidRPr="00917A7A">
        <w:rPr>
          <w:bCs/>
          <w:szCs w:val="24"/>
        </w:rPr>
        <w:t>ELDT</w:t>
      </w:r>
      <w:r w:rsidRPr="00917A7A">
        <w:t xml:space="preserve"> final rule, as amended by the </w:t>
      </w:r>
      <w:r w:rsidR="00A45437">
        <w:rPr>
          <w:bCs/>
          <w:szCs w:val="24"/>
        </w:rPr>
        <w:t>February 4, 2020</w:t>
      </w:r>
      <w:r w:rsidRPr="00917A7A">
        <w:t>, interim final rule, eliminates the existing ELDT requirements under Subpart E of part 380 and the associated burden</w:t>
      </w:r>
      <w:r w:rsidRPr="00917A7A" w:rsidR="00FA0BCE">
        <w:t xml:space="preserve"> as of February 7, 2022. Therefore, the existing ELDT requirements under Subpart E of part 380, and the associated burden, will continue to be in force for the first two years, 2020 and 2021, of the three-year period covered by this ICR. A</w:t>
      </w:r>
      <w:r w:rsidRPr="00917A7A">
        <w:t>t the same time</w:t>
      </w:r>
      <w:r w:rsidRPr="00917A7A" w:rsidR="00FA0BCE">
        <w:t xml:space="preserve">, </w:t>
      </w:r>
      <w:r w:rsidRPr="00917A7A">
        <w:t>new minimum training standards for entry-level drivers (in a new Subpart F and five new Appendices to part 380), and new requirements for training providers (in a new Subpart G)</w:t>
      </w:r>
      <w:r w:rsidRPr="00917A7A" w:rsidR="00FA0BCE">
        <w:t xml:space="preserve"> are established </w:t>
      </w:r>
      <w:r w:rsidRPr="00917A7A">
        <w:t xml:space="preserve">that result in new sources and types of burden. </w:t>
      </w:r>
      <w:r w:rsidRPr="00917A7A" w:rsidR="00FA0BCE">
        <w:t>Therefore</w:t>
      </w:r>
      <w:r w:rsidRPr="00917A7A">
        <w:t xml:space="preserve">, </w:t>
      </w:r>
      <w:r w:rsidRPr="00917A7A" w:rsidR="00A50966">
        <w:t>the</w:t>
      </w:r>
      <w:r w:rsidRPr="00917A7A" w:rsidR="00FA0BCE">
        <w:t>se</w:t>
      </w:r>
      <w:r w:rsidRPr="00917A7A" w:rsidR="00A50966">
        <w:t xml:space="preserve"> </w:t>
      </w:r>
      <w:r w:rsidRPr="00917A7A" w:rsidR="00F02EC3">
        <w:t xml:space="preserve">new minimum training standards </w:t>
      </w:r>
      <w:r w:rsidRPr="00917A7A" w:rsidR="00A50966">
        <w:t>and requirements</w:t>
      </w:r>
      <w:r w:rsidRPr="00917A7A" w:rsidR="00F02EC3">
        <w:t>, and the associated burden, will be in force for the last year, 2022, of the three-year period covered by this ICR.</w:t>
      </w:r>
    </w:p>
    <w:p w:rsidRPr="00917A7A" w:rsidR="00B0336C" w:rsidP="00B60A04" w:rsidRDefault="00B0336C" w14:paraId="478756FA" w14:textId="77777777">
      <w:pPr>
        <w:tabs>
          <w:tab w:val="left" w:pos="360"/>
        </w:tabs>
        <w:ind w:left="360" w:hanging="360"/>
        <w:rPr>
          <w:szCs w:val="24"/>
        </w:rPr>
      </w:pPr>
    </w:p>
    <w:p w:rsidRPr="00917A7A" w:rsidR="00172C3B" w:rsidP="00D323C7" w:rsidRDefault="00F02EC3" w14:paraId="5EEA8CDF" w14:textId="3927113A">
      <w:pPr>
        <w:tabs>
          <w:tab w:val="left" w:pos="360"/>
        </w:tabs>
        <w:ind w:left="360" w:hanging="360"/>
        <w:rPr>
          <w:szCs w:val="24"/>
        </w:rPr>
      </w:pPr>
      <w:r w:rsidRPr="00917A7A">
        <w:rPr>
          <w:szCs w:val="24"/>
        </w:rPr>
        <w:tab/>
      </w:r>
      <w:r w:rsidRPr="00917A7A" w:rsidR="005117C3">
        <w:rPr>
          <w:szCs w:val="24"/>
        </w:rPr>
        <w:t>For the purpose</w:t>
      </w:r>
      <w:r w:rsidRPr="00917A7A" w:rsidR="002B0589">
        <w:rPr>
          <w:szCs w:val="24"/>
        </w:rPr>
        <w:t xml:space="preserve"> of </w:t>
      </w:r>
      <w:r w:rsidRPr="00917A7A" w:rsidR="00B60A04">
        <w:rPr>
          <w:szCs w:val="24"/>
        </w:rPr>
        <w:t xml:space="preserve">developing and </w:t>
      </w:r>
      <w:r w:rsidRPr="00917A7A" w:rsidR="002B0589">
        <w:rPr>
          <w:szCs w:val="24"/>
        </w:rPr>
        <w:t xml:space="preserve">reporting </w:t>
      </w:r>
      <w:r w:rsidRPr="00917A7A" w:rsidR="00B60A04">
        <w:rPr>
          <w:szCs w:val="24"/>
        </w:rPr>
        <w:t xml:space="preserve">the revised </w:t>
      </w:r>
      <w:r w:rsidRPr="00917A7A" w:rsidR="002B0589">
        <w:rPr>
          <w:szCs w:val="24"/>
        </w:rPr>
        <w:t>burden estimates</w:t>
      </w:r>
      <w:r w:rsidRPr="00917A7A" w:rsidR="00B60A04">
        <w:rPr>
          <w:szCs w:val="24"/>
        </w:rPr>
        <w:t xml:space="preserve"> for this ICR, </w:t>
      </w:r>
      <w:r w:rsidRPr="00917A7A" w:rsidR="00A030B5">
        <w:rPr>
          <w:szCs w:val="24"/>
        </w:rPr>
        <w:t>the</w:t>
      </w:r>
      <w:r w:rsidRPr="00917A7A" w:rsidR="00C12C8A">
        <w:rPr>
          <w:szCs w:val="24"/>
        </w:rPr>
        <w:t xml:space="preserve"> </w:t>
      </w:r>
      <w:r w:rsidRPr="00917A7A" w:rsidR="00585BF6">
        <w:rPr>
          <w:szCs w:val="24"/>
        </w:rPr>
        <w:t xml:space="preserve">existing </w:t>
      </w:r>
      <w:r w:rsidRPr="00917A7A" w:rsidR="00CE0CA4">
        <w:rPr>
          <w:szCs w:val="24"/>
        </w:rPr>
        <w:t xml:space="preserve">entry-level driver training requirements </w:t>
      </w:r>
      <w:r w:rsidRPr="00917A7A" w:rsidR="00585BF6">
        <w:rPr>
          <w:szCs w:val="24"/>
        </w:rPr>
        <w:t xml:space="preserve">and information collection activities </w:t>
      </w:r>
      <w:r w:rsidRPr="00917A7A" w:rsidR="00C12C8A">
        <w:rPr>
          <w:szCs w:val="24"/>
        </w:rPr>
        <w:t xml:space="preserve">under Subpart E </w:t>
      </w:r>
      <w:r w:rsidRPr="00917A7A" w:rsidR="00585BF6">
        <w:rPr>
          <w:szCs w:val="24"/>
        </w:rPr>
        <w:t xml:space="preserve">that will </w:t>
      </w:r>
      <w:r w:rsidRPr="00917A7A" w:rsidR="00C12C8A">
        <w:rPr>
          <w:szCs w:val="24"/>
        </w:rPr>
        <w:t xml:space="preserve">continue to be in force </w:t>
      </w:r>
      <w:r w:rsidRPr="00917A7A" w:rsidR="00585BF6">
        <w:t>for the first two years, 2020 and 2021, of the three-year period covered by this ICR</w:t>
      </w:r>
      <w:r w:rsidRPr="00917A7A" w:rsidR="00585BF6">
        <w:rPr>
          <w:szCs w:val="24"/>
        </w:rPr>
        <w:t xml:space="preserve"> are treated as a separate information collection (IC)</w:t>
      </w:r>
      <w:r w:rsidRPr="00917A7A" w:rsidR="00CE0CA4">
        <w:rPr>
          <w:szCs w:val="24"/>
        </w:rPr>
        <w:t xml:space="preserve">, </w:t>
      </w:r>
      <w:r w:rsidRPr="00917A7A" w:rsidR="00C12C8A">
        <w:rPr>
          <w:szCs w:val="24"/>
        </w:rPr>
        <w:t>IC-1. T</w:t>
      </w:r>
      <w:r w:rsidRPr="00917A7A" w:rsidR="00CE0CA4">
        <w:rPr>
          <w:szCs w:val="24"/>
        </w:rPr>
        <w:t xml:space="preserve">he </w:t>
      </w:r>
      <w:r w:rsidRPr="00917A7A" w:rsidR="00B60A04">
        <w:rPr>
          <w:szCs w:val="24"/>
        </w:rPr>
        <w:t xml:space="preserve">“Training Provider Registration” information collection </w:t>
      </w:r>
      <w:r w:rsidRPr="00917A7A" w:rsidR="001171DA">
        <w:rPr>
          <w:szCs w:val="24"/>
        </w:rPr>
        <w:t>activities</w:t>
      </w:r>
      <w:r w:rsidRPr="00917A7A" w:rsidR="00CE0CA4">
        <w:rPr>
          <w:szCs w:val="24"/>
        </w:rPr>
        <w:t xml:space="preserve"> under the new requirements</w:t>
      </w:r>
      <w:r w:rsidRPr="00917A7A" w:rsidR="00585BF6">
        <w:rPr>
          <w:szCs w:val="24"/>
        </w:rPr>
        <w:t xml:space="preserve"> that go into effect as of February 7, 2022,</w:t>
      </w:r>
      <w:r w:rsidRPr="00917A7A" w:rsidR="00CE0CA4">
        <w:rPr>
          <w:szCs w:val="24"/>
        </w:rPr>
        <w:t xml:space="preserve"> and </w:t>
      </w:r>
      <w:r w:rsidRPr="00917A7A" w:rsidR="00B60A04">
        <w:rPr>
          <w:szCs w:val="24"/>
        </w:rPr>
        <w:t xml:space="preserve">the “Driver Training Certification Information” information collection activities </w:t>
      </w:r>
      <w:r w:rsidRPr="00917A7A" w:rsidR="00CE0CA4">
        <w:rPr>
          <w:szCs w:val="24"/>
        </w:rPr>
        <w:t xml:space="preserve">under the new requirements, </w:t>
      </w:r>
      <w:r w:rsidRPr="00917A7A" w:rsidR="00B60A04">
        <w:rPr>
          <w:szCs w:val="24"/>
        </w:rPr>
        <w:t>are</w:t>
      </w:r>
      <w:r w:rsidRPr="00917A7A" w:rsidR="00C12C8A">
        <w:rPr>
          <w:szCs w:val="24"/>
        </w:rPr>
        <w:t xml:space="preserve"> also treated as separate </w:t>
      </w:r>
      <w:r w:rsidRPr="00917A7A" w:rsidR="00B60A04">
        <w:rPr>
          <w:szCs w:val="24"/>
        </w:rPr>
        <w:t>i</w:t>
      </w:r>
      <w:r w:rsidRPr="00917A7A" w:rsidR="008E2ADB">
        <w:rPr>
          <w:szCs w:val="24"/>
        </w:rPr>
        <w:t>nformation collection</w:t>
      </w:r>
      <w:r w:rsidRPr="00917A7A" w:rsidR="00CE0CA4">
        <w:rPr>
          <w:szCs w:val="24"/>
        </w:rPr>
        <w:t>s</w:t>
      </w:r>
      <w:r w:rsidRPr="00917A7A" w:rsidR="00C12C8A">
        <w:rPr>
          <w:szCs w:val="24"/>
        </w:rPr>
        <w:t>, IC-2</w:t>
      </w:r>
      <w:r w:rsidRPr="00917A7A" w:rsidR="00CE0CA4">
        <w:rPr>
          <w:szCs w:val="24"/>
        </w:rPr>
        <w:t xml:space="preserve"> and </w:t>
      </w:r>
      <w:r w:rsidRPr="00917A7A" w:rsidR="00B60A04">
        <w:rPr>
          <w:szCs w:val="24"/>
        </w:rPr>
        <w:t>IC-</w:t>
      </w:r>
      <w:r w:rsidRPr="00917A7A" w:rsidR="008E2ADB">
        <w:rPr>
          <w:szCs w:val="24"/>
        </w:rPr>
        <w:t>3</w:t>
      </w:r>
      <w:r w:rsidRPr="00917A7A" w:rsidR="00D323C7">
        <w:rPr>
          <w:szCs w:val="24"/>
        </w:rPr>
        <w:t xml:space="preserve">, respectively. </w:t>
      </w:r>
      <w:r w:rsidRPr="00917A7A" w:rsidR="009E0720">
        <w:rPr>
          <w:szCs w:val="24"/>
        </w:rPr>
        <w:t xml:space="preserve">These three information collection activities are </w:t>
      </w:r>
      <w:r w:rsidRPr="00917A7A" w:rsidR="00D323C7">
        <w:rPr>
          <w:szCs w:val="24"/>
        </w:rPr>
        <w:t xml:space="preserve">presented as </w:t>
      </w:r>
      <w:r w:rsidRPr="00917A7A" w:rsidR="009E0720">
        <w:rPr>
          <w:szCs w:val="24"/>
        </w:rPr>
        <w:t xml:space="preserve">separate ICs in order </w:t>
      </w:r>
      <w:r w:rsidRPr="00917A7A" w:rsidR="00172C3B">
        <w:rPr>
          <w:szCs w:val="24"/>
        </w:rPr>
        <w:t xml:space="preserve">to improve the clarity and transparency of the analysis. </w:t>
      </w:r>
      <w:r w:rsidRPr="00917A7A" w:rsidR="009E0720">
        <w:rPr>
          <w:szCs w:val="24"/>
        </w:rPr>
        <w:t>As noted earlier in Section 8, g</w:t>
      </w:r>
      <w:r w:rsidRPr="00917A7A" w:rsidR="00172C3B">
        <w:rPr>
          <w:szCs w:val="24"/>
        </w:rPr>
        <w:t>uidance from OIRA regarding the preparation of ICRs and Supporting Statements recommends that each form or collection instrument have a separate IC within a given ICR, in order to provide a more meaningful and easily understood estimate of the burden associated with each form or collection. OIRA also recommends that agencies present separate ICs within an ICR if the Agency believes that doing so would be informative.</w:t>
      </w:r>
      <w:r w:rsidRPr="00917A7A" w:rsidR="00172C3B">
        <w:rPr>
          <w:rStyle w:val="FootnoteReference"/>
          <w:szCs w:val="24"/>
        </w:rPr>
        <w:footnoteReference w:id="9"/>
      </w:r>
      <w:r w:rsidRPr="00917A7A" w:rsidR="00172C3B">
        <w:rPr>
          <w:szCs w:val="24"/>
        </w:rPr>
        <w:t xml:space="preserve"> </w:t>
      </w:r>
      <w:r w:rsidRPr="00917A7A" w:rsidR="00D323C7">
        <w:rPr>
          <w:szCs w:val="24"/>
        </w:rPr>
        <w:t xml:space="preserve">There are many qualitative and quantitative differences that dictate that these three activities </w:t>
      </w:r>
      <w:r w:rsidRPr="00917A7A" w:rsidR="002E4A35">
        <w:rPr>
          <w:szCs w:val="24"/>
        </w:rPr>
        <w:t xml:space="preserve">are best </w:t>
      </w:r>
      <w:r w:rsidRPr="00917A7A" w:rsidR="00D323C7">
        <w:rPr>
          <w:szCs w:val="24"/>
        </w:rPr>
        <w:t xml:space="preserve">addressed </w:t>
      </w:r>
      <w:r w:rsidRPr="00917A7A" w:rsidR="002E4A35">
        <w:rPr>
          <w:szCs w:val="24"/>
        </w:rPr>
        <w:t xml:space="preserve">as three separate ICs. For example, </w:t>
      </w:r>
      <w:r w:rsidRPr="00917A7A" w:rsidR="00D323C7">
        <w:rPr>
          <w:szCs w:val="24"/>
        </w:rPr>
        <w:t xml:space="preserve">the existing requirements under Subpart E apply only to entry-level CDL drivers operating interstate, whereas the new requirements apply to both interstate </w:t>
      </w:r>
      <w:r w:rsidRPr="00917A7A" w:rsidR="00D323C7">
        <w:rPr>
          <w:szCs w:val="24"/>
        </w:rPr>
        <w:lastRenderedPageBreak/>
        <w:t>and intrastate entry-level CDL drivers. Furthermore, the respondents for the existing requirements are the entry-level CDL drivers, whereas for the new requirements the respondents are the training providers. Also, a</w:t>
      </w:r>
      <w:r w:rsidRPr="00917A7A" w:rsidR="00172C3B">
        <w:rPr>
          <w:szCs w:val="24"/>
        </w:rPr>
        <w:t xml:space="preserve">lthough training providers </w:t>
      </w:r>
      <w:r w:rsidRPr="00917A7A" w:rsidR="00D323C7">
        <w:rPr>
          <w:szCs w:val="24"/>
        </w:rPr>
        <w:t xml:space="preserve">are </w:t>
      </w:r>
      <w:r w:rsidRPr="00917A7A" w:rsidR="00172C3B">
        <w:rPr>
          <w:szCs w:val="24"/>
        </w:rPr>
        <w:t>the respondent</w:t>
      </w:r>
      <w:r w:rsidRPr="00917A7A" w:rsidR="00D323C7">
        <w:rPr>
          <w:szCs w:val="24"/>
        </w:rPr>
        <w:t>s</w:t>
      </w:r>
      <w:r w:rsidRPr="00917A7A" w:rsidR="00172C3B">
        <w:rPr>
          <w:szCs w:val="24"/>
        </w:rPr>
        <w:t xml:space="preserve"> </w:t>
      </w:r>
      <w:r w:rsidRPr="00917A7A" w:rsidR="00D323C7">
        <w:rPr>
          <w:szCs w:val="24"/>
        </w:rPr>
        <w:t xml:space="preserve">for both IC-2 and IC-3, </w:t>
      </w:r>
      <w:r w:rsidRPr="00917A7A" w:rsidR="00172C3B">
        <w:rPr>
          <w:szCs w:val="24"/>
        </w:rPr>
        <w:t xml:space="preserve">the nature of the information for each activity </w:t>
      </w:r>
      <w:r w:rsidRPr="00917A7A" w:rsidR="00D323C7">
        <w:rPr>
          <w:szCs w:val="24"/>
        </w:rPr>
        <w:t xml:space="preserve">is </w:t>
      </w:r>
      <w:r w:rsidRPr="00917A7A" w:rsidR="00172C3B">
        <w:rPr>
          <w:szCs w:val="24"/>
        </w:rPr>
        <w:t xml:space="preserve">substantively different, with the “Training Provider Registration” IC focused on information pertaining to training providers, and the “Driver Training Certification Information” IC focused on information pertaining to individual entry-level drivers. The number of responses and frequency of response </w:t>
      </w:r>
      <w:r w:rsidRPr="00917A7A" w:rsidR="00D323C7">
        <w:rPr>
          <w:szCs w:val="24"/>
        </w:rPr>
        <w:t xml:space="preserve">are </w:t>
      </w:r>
      <w:r w:rsidRPr="00917A7A" w:rsidR="00172C3B">
        <w:rPr>
          <w:szCs w:val="24"/>
        </w:rPr>
        <w:t xml:space="preserve">also very different for </w:t>
      </w:r>
      <w:r w:rsidRPr="00917A7A" w:rsidR="00D323C7">
        <w:rPr>
          <w:szCs w:val="24"/>
        </w:rPr>
        <w:t xml:space="preserve">these </w:t>
      </w:r>
      <w:r w:rsidRPr="00917A7A" w:rsidR="00172C3B">
        <w:rPr>
          <w:szCs w:val="24"/>
        </w:rPr>
        <w:t>IC</w:t>
      </w:r>
      <w:r w:rsidRPr="00917A7A" w:rsidR="00D323C7">
        <w:rPr>
          <w:szCs w:val="24"/>
        </w:rPr>
        <w:t>s</w:t>
      </w:r>
      <w:r w:rsidRPr="00917A7A" w:rsidR="00172C3B">
        <w:rPr>
          <w:szCs w:val="24"/>
        </w:rPr>
        <w:t>.</w:t>
      </w:r>
    </w:p>
    <w:p w:rsidRPr="00917A7A" w:rsidR="00F02EC3" w:rsidP="00B60A04" w:rsidRDefault="00F02EC3" w14:paraId="68E2162B" w14:textId="77777777">
      <w:pPr>
        <w:tabs>
          <w:tab w:val="left" w:pos="360"/>
        </w:tabs>
        <w:ind w:left="360" w:hanging="360"/>
        <w:rPr>
          <w:szCs w:val="24"/>
        </w:rPr>
      </w:pPr>
    </w:p>
    <w:p w:rsidRPr="00917A7A" w:rsidR="00B173D6" w:rsidP="007811BF" w:rsidRDefault="00B173D6" w14:paraId="3E9100AE" w14:textId="5483AD8B">
      <w:pPr>
        <w:keepNext/>
        <w:keepLines/>
        <w:widowControl/>
        <w:ind w:left="360" w:right="-360"/>
      </w:pPr>
      <w:r w:rsidRPr="00917A7A">
        <w:rPr>
          <w:b/>
          <w:u w:val="single"/>
        </w:rPr>
        <w:t xml:space="preserve">IC-1:  </w:t>
      </w:r>
      <w:r w:rsidRPr="007811BF" w:rsidR="007811BF">
        <w:rPr>
          <w:b/>
          <w:u w:val="single"/>
        </w:rPr>
        <w:t>Training Certification for Entry-Level Drivers</w:t>
      </w:r>
      <w:r w:rsidRPr="00917A7A">
        <w:rPr>
          <w:b/>
          <w:u w:val="single"/>
        </w:rPr>
        <w:t xml:space="preserve"> (under 49 CFR Part 380 Subpart E)</w:t>
      </w:r>
    </w:p>
    <w:p w:rsidRPr="00917A7A" w:rsidR="0009201D" w:rsidP="00F4084A" w:rsidRDefault="0009201D" w14:paraId="1AEB91C6" w14:textId="7A1747BE">
      <w:pPr>
        <w:tabs>
          <w:tab w:val="left" w:pos="360"/>
        </w:tabs>
        <w:ind w:left="360"/>
        <w:rPr>
          <w:szCs w:val="24"/>
        </w:rPr>
      </w:pPr>
    </w:p>
    <w:p w:rsidRPr="00917A7A" w:rsidR="00F02EC3" w:rsidP="00F02EC3" w:rsidRDefault="00F02EC3" w14:paraId="2F7F5693" w14:textId="77777777">
      <w:pPr>
        <w:ind w:left="360"/>
      </w:pPr>
      <w:r w:rsidRPr="00917A7A">
        <w:t xml:space="preserve">During the first two years, 2020 and 2021, of the three-year period covered by this ICR, </w:t>
      </w:r>
      <w:r w:rsidRPr="00917A7A">
        <w:rPr>
          <w:szCs w:val="24"/>
        </w:rPr>
        <w:t>employers are prohibited from allowing an entry-level driver to operate a CMV without ensuring that the driver has received entry-level driver training specified under 49 CFR 380.503. Under IC-1, these entry-level interstate CDL drivers receive a certificate when they successfully complete this mandatory training, and must present a copy of it to their employer in order to be qualified to drive a CMV in interstate commerce. The employer keeps a copy of the training certificate in the driver qualification file. During a compliance review, the certificate must be made available to authorized representatives of FMCSA, and serves as proof that the CDL driver completed the required training.</w:t>
      </w:r>
    </w:p>
    <w:p w:rsidRPr="00917A7A" w:rsidR="0009201D" w:rsidP="00F4084A" w:rsidRDefault="0009201D" w14:paraId="41CFF1C8" w14:textId="249A1545">
      <w:pPr>
        <w:tabs>
          <w:tab w:val="left" w:pos="360"/>
        </w:tabs>
        <w:ind w:left="360"/>
        <w:rPr>
          <w:szCs w:val="24"/>
        </w:rPr>
      </w:pPr>
    </w:p>
    <w:p w:rsidRPr="00917A7A" w:rsidR="0084431D" w:rsidP="001C182A" w:rsidRDefault="00692382" w14:paraId="475DF12F" w14:textId="32622A36">
      <w:pPr>
        <w:tabs>
          <w:tab w:val="left" w:pos="360"/>
        </w:tabs>
        <w:ind w:left="360"/>
        <w:rPr>
          <w:szCs w:val="24"/>
        </w:rPr>
      </w:pPr>
      <w:r w:rsidRPr="00917A7A">
        <w:rPr>
          <w:szCs w:val="24"/>
        </w:rPr>
        <w:t>Table 1 presents</w:t>
      </w:r>
      <w:r w:rsidRPr="00917A7A" w:rsidR="0084431D">
        <w:t xml:space="preserve"> the number of entry-level CDL drivers operating interstate that are estimated to be subject to the existing ELDT requirements under Subpart E of part 380 during the first two years, 2020 and 2021, of the three-year period covered by this ICR.</w:t>
      </w:r>
      <w:r w:rsidRPr="00917A7A" w:rsidR="001C182A">
        <w:t xml:space="preserve"> </w:t>
      </w:r>
      <w:r w:rsidRPr="00917A7A" w:rsidR="0084431D">
        <w:t>The estimates presented in Table 1 are consistent with those developed and used previously in the regulatory evaluation for the December 8, 2016, final rule</w:t>
      </w:r>
      <w:r w:rsidRPr="00917A7A" w:rsidR="0084431D">
        <w:rPr>
          <w:rStyle w:val="FootnoteReference"/>
          <w:szCs w:val="24"/>
        </w:rPr>
        <w:footnoteReference w:id="10"/>
      </w:r>
      <w:r w:rsidRPr="00917A7A" w:rsidR="0084431D">
        <w:t>, and also used in part for the regulatory evaluations of the March 6, 2019, final rule, and the</w:t>
      </w:r>
      <w:r w:rsidRPr="00917A7A" w:rsidR="0084431D">
        <w:rPr>
          <w:bCs/>
          <w:szCs w:val="24"/>
        </w:rPr>
        <w:t xml:space="preserve"> </w:t>
      </w:r>
      <w:r w:rsidRPr="00A45437" w:rsidR="00A45437">
        <w:rPr>
          <w:bCs/>
          <w:szCs w:val="24"/>
        </w:rPr>
        <w:t>February 4, 2020</w:t>
      </w:r>
      <w:r w:rsidRPr="00917A7A" w:rsidR="0084431D">
        <w:t>, interim final rule.</w:t>
      </w:r>
    </w:p>
    <w:p w:rsidRPr="00917A7A" w:rsidR="00692382" w:rsidP="00F4084A" w:rsidRDefault="00692382" w14:paraId="2140AA5B" w14:textId="77777777">
      <w:pPr>
        <w:tabs>
          <w:tab w:val="left" w:pos="360"/>
        </w:tabs>
        <w:ind w:left="360"/>
        <w:rPr>
          <w:szCs w:val="24"/>
        </w:rPr>
      </w:pPr>
    </w:p>
    <w:p w:rsidRPr="00917A7A" w:rsidR="00285B6C" w:rsidP="003D0291" w:rsidRDefault="00F00C6C" w14:paraId="4DE43E32" w14:textId="67F59A1F">
      <w:pPr>
        <w:pStyle w:val="Caption"/>
        <w:keepNext/>
        <w:keepLines/>
        <w:widowControl/>
        <w:spacing w:after="0"/>
        <w:ind w:left="360"/>
        <w:rPr>
          <w:b/>
          <w:i w:val="0"/>
          <w:color w:val="auto"/>
          <w:sz w:val="24"/>
          <w:szCs w:val="24"/>
        </w:rPr>
      </w:pPr>
      <w:r w:rsidRPr="00917A7A">
        <w:rPr>
          <w:b/>
          <w:i w:val="0"/>
          <w:color w:val="auto"/>
          <w:sz w:val="24"/>
          <w:szCs w:val="24"/>
        </w:rPr>
        <w:lastRenderedPageBreak/>
        <w:t>Table 1</w:t>
      </w:r>
      <w:r w:rsidRPr="00917A7A" w:rsidR="00285B6C">
        <w:rPr>
          <w:b/>
          <w:i w:val="0"/>
          <w:color w:val="auto"/>
          <w:sz w:val="24"/>
          <w:szCs w:val="24"/>
        </w:rPr>
        <w:t>. Estimated Number of Entry-Level Drivers</w:t>
      </w:r>
      <w:r w:rsidRPr="00917A7A">
        <w:rPr>
          <w:b/>
          <w:i w:val="0"/>
          <w:color w:val="auto"/>
          <w:sz w:val="24"/>
          <w:szCs w:val="24"/>
        </w:rPr>
        <w:t xml:space="preserve"> Operating Interstate</w:t>
      </w:r>
    </w:p>
    <w:p w:rsidRPr="00917A7A" w:rsidR="00172C3B" w:rsidP="003D0291" w:rsidRDefault="00172C3B" w14:paraId="542677C5" w14:textId="3A7E654B">
      <w:pPr>
        <w:keepNext/>
        <w:keepLines/>
        <w:ind w:firstLine="360"/>
        <w:rPr>
          <w:b/>
        </w:rPr>
      </w:pPr>
      <w:r w:rsidRPr="00A85765">
        <w:rPr>
          <w:b/>
        </w:rPr>
        <w:t>(</w:t>
      </w:r>
      <w:r w:rsidRPr="00A85765" w:rsidR="00A85765">
        <w:rPr>
          <w:b/>
          <w:szCs w:val="24"/>
        </w:rPr>
        <w:t>Subject to</w:t>
      </w:r>
      <w:r w:rsidRPr="00917A7A">
        <w:rPr>
          <w:b/>
        </w:rPr>
        <w:t xml:space="preserve"> Subpart E)</w:t>
      </w:r>
    </w:p>
    <w:tbl>
      <w:tblPr>
        <w:tblW w:w="4090"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30"/>
        <w:gridCol w:w="1170"/>
        <w:gridCol w:w="1170"/>
        <w:gridCol w:w="1080"/>
      </w:tblGrid>
      <w:tr w:rsidRPr="00917A7A" w:rsidR="00917A7A" w:rsidTr="00392B28" w14:paraId="1057CD1F" w14:textId="77777777">
        <w:trPr>
          <w:trHeight w:val="600"/>
        </w:trPr>
        <w:tc>
          <w:tcPr>
            <w:tcW w:w="4230" w:type="dxa"/>
            <w:tcBorders>
              <w:top w:val="single" w:color="auto" w:sz="18" w:space="0"/>
              <w:bottom w:val="single" w:color="auto" w:sz="18" w:space="0"/>
              <w:right w:val="single" w:color="auto" w:sz="18" w:space="0"/>
            </w:tcBorders>
            <w:shd w:val="clear" w:color="000000" w:fill="E0E0E0"/>
            <w:vAlign w:val="bottom"/>
            <w:hideMark/>
          </w:tcPr>
          <w:p w:rsidRPr="00917A7A" w:rsidR="00285B6C" w:rsidP="003D0291" w:rsidRDefault="00285B6C" w14:paraId="4832F5AE" w14:textId="77777777">
            <w:pPr>
              <w:keepNext/>
              <w:keepLines/>
              <w:widowControl/>
              <w:autoSpaceDE/>
              <w:autoSpaceDN/>
              <w:adjustRightInd/>
              <w:rPr>
                <w:b/>
                <w:bCs/>
              </w:rPr>
            </w:pPr>
            <w:r w:rsidRPr="00917A7A">
              <w:rPr>
                <w:b/>
                <w:bCs/>
              </w:rPr>
              <w:t> </w:t>
            </w:r>
          </w:p>
        </w:tc>
        <w:tc>
          <w:tcPr>
            <w:tcW w:w="1170" w:type="dxa"/>
            <w:tcBorders>
              <w:top w:val="single" w:color="auto" w:sz="18" w:space="0"/>
              <w:left w:val="single" w:color="auto" w:sz="18" w:space="0"/>
              <w:bottom w:val="single" w:color="auto" w:sz="18" w:space="0"/>
            </w:tcBorders>
            <w:shd w:val="clear" w:color="000000" w:fill="E0E0E0"/>
            <w:vAlign w:val="bottom"/>
            <w:hideMark/>
          </w:tcPr>
          <w:p w:rsidRPr="00917A7A" w:rsidR="00285B6C" w:rsidP="003D0291" w:rsidRDefault="00285B6C" w14:paraId="6607F52B" w14:textId="77777777">
            <w:pPr>
              <w:keepNext/>
              <w:keepLines/>
              <w:widowControl/>
              <w:autoSpaceDE/>
              <w:autoSpaceDN/>
              <w:adjustRightInd/>
              <w:jc w:val="center"/>
              <w:rPr>
                <w:b/>
                <w:bCs/>
                <w:sz w:val="22"/>
                <w:szCs w:val="22"/>
              </w:rPr>
            </w:pPr>
            <w:r w:rsidRPr="00917A7A">
              <w:rPr>
                <w:b/>
                <w:bCs/>
                <w:sz w:val="22"/>
                <w:szCs w:val="22"/>
              </w:rPr>
              <w:t>2020</w:t>
            </w:r>
          </w:p>
        </w:tc>
        <w:tc>
          <w:tcPr>
            <w:tcW w:w="1170" w:type="dxa"/>
            <w:tcBorders>
              <w:top w:val="single" w:color="auto" w:sz="18" w:space="0"/>
              <w:bottom w:val="single" w:color="auto" w:sz="18" w:space="0"/>
            </w:tcBorders>
            <w:shd w:val="clear" w:color="000000" w:fill="E0E0E0"/>
            <w:vAlign w:val="bottom"/>
          </w:tcPr>
          <w:p w:rsidRPr="00917A7A" w:rsidR="00285B6C" w:rsidP="003D0291" w:rsidRDefault="00285B6C" w14:paraId="5A554E1B" w14:textId="77777777">
            <w:pPr>
              <w:keepNext/>
              <w:keepLines/>
              <w:widowControl/>
              <w:autoSpaceDE/>
              <w:autoSpaceDN/>
              <w:adjustRightInd/>
              <w:jc w:val="center"/>
              <w:rPr>
                <w:b/>
                <w:bCs/>
                <w:sz w:val="22"/>
                <w:szCs w:val="22"/>
              </w:rPr>
            </w:pPr>
            <w:r w:rsidRPr="00917A7A">
              <w:rPr>
                <w:b/>
                <w:bCs/>
                <w:sz w:val="22"/>
                <w:szCs w:val="22"/>
              </w:rPr>
              <w:t>2021</w:t>
            </w:r>
          </w:p>
        </w:tc>
        <w:tc>
          <w:tcPr>
            <w:tcW w:w="1080" w:type="dxa"/>
            <w:tcBorders>
              <w:top w:val="single" w:color="auto" w:sz="18" w:space="0"/>
              <w:bottom w:val="single" w:color="auto" w:sz="18" w:space="0"/>
              <w:right w:val="single" w:color="auto" w:sz="2" w:space="0"/>
            </w:tcBorders>
            <w:shd w:val="clear" w:color="000000" w:fill="E0E0E0"/>
            <w:vAlign w:val="bottom"/>
          </w:tcPr>
          <w:p w:rsidRPr="00917A7A" w:rsidR="00285B6C" w:rsidP="003D0291" w:rsidRDefault="00285B6C" w14:paraId="15A259B2" w14:textId="77777777">
            <w:pPr>
              <w:keepNext/>
              <w:keepLines/>
              <w:widowControl/>
              <w:autoSpaceDE/>
              <w:autoSpaceDN/>
              <w:adjustRightInd/>
              <w:jc w:val="center"/>
              <w:rPr>
                <w:b/>
                <w:bCs/>
                <w:sz w:val="22"/>
                <w:szCs w:val="22"/>
              </w:rPr>
            </w:pPr>
            <w:r w:rsidRPr="00917A7A">
              <w:rPr>
                <w:b/>
                <w:bCs/>
                <w:sz w:val="22"/>
                <w:szCs w:val="22"/>
              </w:rPr>
              <w:t>2022</w:t>
            </w:r>
          </w:p>
        </w:tc>
      </w:tr>
      <w:tr w:rsidRPr="00917A7A" w:rsidR="00917A7A" w:rsidTr="00392B28" w14:paraId="29E0B965" w14:textId="77777777">
        <w:trPr>
          <w:trHeight w:val="513"/>
        </w:trPr>
        <w:tc>
          <w:tcPr>
            <w:tcW w:w="4230" w:type="dxa"/>
            <w:tcBorders>
              <w:top w:val="single" w:color="auto" w:sz="18" w:space="0"/>
              <w:bottom w:val="single" w:color="auto" w:sz="2" w:space="0"/>
              <w:right w:val="single" w:color="auto" w:sz="18" w:space="0"/>
            </w:tcBorders>
            <w:shd w:val="clear" w:color="auto" w:fill="auto"/>
            <w:noWrap/>
            <w:vAlign w:val="center"/>
            <w:hideMark/>
          </w:tcPr>
          <w:p w:rsidRPr="00917A7A" w:rsidR="00285B6C" w:rsidP="003D0291" w:rsidRDefault="001C182A" w14:paraId="1364CE5E" w14:textId="5E890F14">
            <w:pPr>
              <w:keepNext/>
              <w:keepLines/>
              <w:widowControl/>
              <w:autoSpaceDE/>
              <w:autoSpaceDN/>
              <w:adjustRightInd/>
              <w:rPr>
                <w:iCs/>
                <w:sz w:val="22"/>
                <w:szCs w:val="22"/>
              </w:rPr>
            </w:pPr>
            <w:r w:rsidRPr="00917A7A">
              <w:rPr>
                <w:sz w:val="22"/>
                <w:szCs w:val="22"/>
              </w:rPr>
              <w:t xml:space="preserve">Total </w:t>
            </w:r>
            <w:r w:rsidRPr="00917A7A" w:rsidR="00285B6C">
              <w:rPr>
                <w:sz w:val="22"/>
                <w:szCs w:val="22"/>
              </w:rPr>
              <w:t>Number of Entry-Level Drivers (operating intrastate-only or interstate)</w:t>
            </w:r>
          </w:p>
        </w:tc>
        <w:tc>
          <w:tcPr>
            <w:tcW w:w="1170" w:type="dxa"/>
            <w:tcBorders>
              <w:top w:val="single" w:color="auto" w:sz="18" w:space="0"/>
              <w:left w:val="single" w:color="auto" w:sz="18" w:space="0"/>
              <w:bottom w:val="single" w:color="auto" w:sz="2" w:space="0"/>
            </w:tcBorders>
            <w:shd w:val="clear" w:color="auto" w:fill="auto"/>
            <w:noWrap/>
            <w:vAlign w:val="center"/>
          </w:tcPr>
          <w:p w:rsidRPr="00917A7A" w:rsidR="00285B6C" w:rsidP="003D0291" w:rsidRDefault="00285B6C" w14:paraId="1D4DB727" w14:textId="10DF4840">
            <w:pPr>
              <w:keepNext/>
              <w:keepLines/>
              <w:widowControl/>
              <w:autoSpaceDE/>
              <w:autoSpaceDN/>
              <w:adjustRightInd/>
              <w:jc w:val="right"/>
              <w:rPr>
                <w:iCs/>
                <w:sz w:val="22"/>
                <w:szCs w:val="22"/>
              </w:rPr>
            </w:pPr>
            <w:r w:rsidRPr="00917A7A">
              <w:rPr>
                <w:iCs/>
                <w:sz w:val="22"/>
                <w:szCs w:val="22"/>
              </w:rPr>
              <w:t>4</w:t>
            </w:r>
            <w:r w:rsidRPr="00917A7A" w:rsidR="001D1F40">
              <w:rPr>
                <w:iCs/>
                <w:sz w:val="22"/>
                <w:szCs w:val="22"/>
              </w:rPr>
              <w:t>70,344</w:t>
            </w:r>
          </w:p>
        </w:tc>
        <w:tc>
          <w:tcPr>
            <w:tcW w:w="1170" w:type="dxa"/>
            <w:tcBorders>
              <w:top w:val="single" w:color="auto" w:sz="18" w:space="0"/>
              <w:bottom w:val="single" w:color="auto" w:sz="2" w:space="0"/>
            </w:tcBorders>
            <w:vAlign w:val="center"/>
          </w:tcPr>
          <w:p w:rsidRPr="00917A7A" w:rsidR="00285B6C" w:rsidP="003D0291" w:rsidRDefault="001D1F40" w14:paraId="49782630" w14:textId="047D1737">
            <w:pPr>
              <w:keepNext/>
              <w:keepLines/>
              <w:widowControl/>
              <w:autoSpaceDE/>
              <w:autoSpaceDN/>
              <w:adjustRightInd/>
              <w:jc w:val="right"/>
              <w:rPr>
                <w:sz w:val="22"/>
                <w:szCs w:val="22"/>
              </w:rPr>
            </w:pPr>
            <w:r w:rsidRPr="00917A7A">
              <w:rPr>
                <w:sz w:val="22"/>
                <w:szCs w:val="22"/>
              </w:rPr>
              <w:t>472,951</w:t>
            </w:r>
          </w:p>
        </w:tc>
        <w:tc>
          <w:tcPr>
            <w:tcW w:w="1080" w:type="dxa"/>
            <w:tcBorders>
              <w:top w:val="single" w:color="auto" w:sz="18" w:space="0"/>
              <w:bottom w:val="single" w:color="auto" w:sz="2" w:space="0"/>
              <w:right w:val="single" w:color="auto" w:sz="2" w:space="0"/>
            </w:tcBorders>
            <w:vAlign w:val="center"/>
          </w:tcPr>
          <w:p w:rsidRPr="00917A7A" w:rsidR="00285B6C" w:rsidP="00D17C7F" w:rsidRDefault="00D17C7F" w14:paraId="215DE32B" w14:textId="11AAD456">
            <w:pPr>
              <w:keepNext/>
              <w:keepLines/>
              <w:widowControl/>
              <w:autoSpaceDE/>
              <w:autoSpaceDN/>
              <w:adjustRightInd/>
              <w:jc w:val="right"/>
              <w:rPr>
                <w:sz w:val="22"/>
                <w:szCs w:val="22"/>
              </w:rPr>
            </w:pPr>
            <w:r w:rsidRPr="00917A7A">
              <w:rPr>
                <w:sz w:val="22"/>
                <w:szCs w:val="22"/>
              </w:rPr>
              <w:t>0</w:t>
            </w:r>
          </w:p>
        </w:tc>
      </w:tr>
      <w:tr w:rsidRPr="00917A7A" w:rsidR="00917A7A" w:rsidTr="00392B28" w14:paraId="10C4A71F" w14:textId="77777777">
        <w:trPr>
          <w:trHeight w:val="513"/>
        </w:trPr>
        <w:tc>
          <w:tcPr>
            <w:tcW w:w="4230" w:type="dxa"/>
            <w:tcBorders>
              <w:top w:val="single" w:color="auto" w:sz="2" w:space="0"/>
              <w:bottom w:val="single" w:color="auto" w:sz="2" w:space="0"/>
              <w:right w:val="single" w:color="auto" w:sz="18" w:space="0"/>
            </w:tcBorders>
            <w:shd w:val="clear" w:color="auto" w:fill="auto"/>
            <w:noWrap/>
            <w:vAlign w:val="center"/>
          </w:tcPr>
          <w:p w:rsidRPr="00917A7A" w:rsidR="00285B6C" w:rsidP="003D0291" w:rsidRDefault="001C182A" w14:paraId="125249BD" w14:textId="2D2A3284">
            <w:pPr>
              <w:keepNext/>
              <w:keepLines/>
              <w:widowControl/>
              <w:autoSpaceDE/>
              <w:autoSpaceDN/>
              <w:adjustRightInd/>
              <w:rPr>
                <w:sz w:val="22"/>
                <w:szCs w:val="22"/>
              </w:rPr>
            </w:pPr>
            <w:r w:rsidRPr="00917A7A">
              <w:rPr>
                <w:sz w:val="22"/>
                <w:szCs w:val="22"/>
              </w:rPr>
              <w:t>Subset of Entry-Level Drivers that Operate I</w:t>
            </w:r>
            <w:r w:rsidRPr="00917A7A" w:rsidR="00285B6C">
              <w:rPr>
                <w:sz w:val="22"/>
                <w:szCs w:val="22"/>
              </w:rPr>
              <w:t>n</w:t>
            </w:r>
            <w:r w:rsidRPr="00917A7A">
              <w:rPr>
                <w:sz w:val="22"/>
                <w:szCs w:val="22"/>
              </w:rPr>
              <w:t>terstate</w:t>
            </w:r>
            <w:r w:rsidRPr="00917A7A" w:rsidR="00392B28">
              <w:rPr>
                <w:sz w:val="22"/>
                <w:szCs w:val="22"/>
              </w:rPr>
              <w:t xml:space="preserve"> (75% of the above total)</w:t>
            </w:r>
          </w:p>
        </w:tc>
        <w:tc>
          <w:tcPr>
            <w:tcW w:w="1170" w:type="dxa"/>
            <w:tcBorders>
              <w:top w:val="single" w:color="auto" w:sz="2" w:space="0"/>
              <w:left w:val="single" w:color="auto" w:sz="18" w:space="0"/>
              <w:bottom w:val="single" w:color="auto" w:sz="2" w:space="0"/>
            </w:tcBorders>
            <w:shd w:val="clear" w:color="auto" w:fill="auto"/>
            <w:noWrap/>
            <w:vAlign w:val="center"/>
          </w:tcPr>
          <w:p w:rsidRPr="00917A7A" w:rsidR="00285B6C" w:rsidP="003D0291" w:rsidRDefault="001D1F40" w14:paraId="79E38F8E" w14:textId="409043B0">
            <w:pPr>
              <w:keepNext/>
              <w:keepLines/>
              <w:widowControl/>
              <w:autoSpaceDE/>
              <w:autoSpaceDN/>
              <w:adjustRightInd/>
              <w:jc w:val="right"/>
              <w:rPr>
                <w:iCs/>
                <w:sz w:val="22"/>
                <w:szCs w:val="22"/>
              </w:rPr>
            </w:pPr>
            <w:r w:rsidRPr="00917A7A">
              <w:rPr>
                <w:iCs/>
                <w:sz w:val="22"/>
                <w:szCs w:val="22"/>
              </w:rPr>
              <w:t>352,758</w:t>
            </w:r>
          </w:p>
        </w:tc>
        <w:tc>
          <w:tcPr>
            <w:tcW w:w="1170" w:type="dxa"/>
            <w:tcBorders>
              <w:top w:val="single" w:color="auto" w:sz="2" w:space="0"/>
              <w:bottom w:val="single" w:color="auto" w:sz="2" w:space="0"/>
            </w:tcBorders>
            <w:vAlign w:val="center"/>
          </w:tcPr>
          <w:p w:rsidRPr="00917A7A" w:rsidR="00285B6C" w:rsidP="003D0291" w:rsidRDefault="001D1F40" w14:paraId="2A0727C2" w14:textId="65CA697C">
            <w:pPr>
              <w:keepNext/>
              <w:keepLines/>
              <w:widowControl/>
              <w:autoSpaceDE/>
              <w:autoSpaceDN/>
              <w:adjustRightInd/>
              <w:jc w:val="right"/>
              <w:rPr>
                <w:sz w:val="22"/>
                <w:szCs w:val="22"/>
              </w:rPr>
            </w:pPr>
            <w:r w:rsidRPr="00917A7A">
              <w:rPr>
                <w:sz w:val="22"/>
                <w:szCs w:val="22"/>
              </w:rPr>
              <w:t>354,713</w:t>
            </w:r>
          </w:p>
        </w:tc>
        <w:tc>
          <w:tcPr>
            <w:tcW w:w="1080" w:type="dxa"/>
            <w:tcBorders>
              <w:top w:val="single" w:color="auto" w:sz="2" w:space="0"/>
              <w:bottom w:val="single" w:color="auto" w:sz="2" w:space="0"/>
              <w:right w:val="single" w:color="auto" w:sz="2" w:space="0"/>
            </w:tcBorders>
            <w:vAlign w:val="center"/>
          </w:tcPr>
          <w:p w:rsidRPr="00917A7A" w:rsidR="00285B6C" w:rsidP="00D17C7F" w:rsidRDefault="00D17C7F" w14:paraId="6F8D09FA" w14:textId="67983CF5">
            <w:pPr>
              <w:keepNext/>
              <w:keepLines/>
              <w:widowControl/>
              <w:autoSpaceDE/>
              <w:autoSpaceDN/>
              <w:adjustRightInd/>
              <w:jc w:val="right"/>
              <w:rPr>
                <w:sz w:val="22"/>
                <w:szCs w:val="22"/>
              </w:rPr>
            </w:pPr>
            <w:r w:rsidRPr="00917A7A">
              <w:rPr>
                <w:sz w:val="22"/>
                <w:szCs w:val="22"/>
              </w:rPr>
              <w:t>0</w:t>
            </w:r>
          </w:p>
        </w:tc>
      </w:tr>
    </w:tbl>
    <w:p w:rsidRPr="00917A7A" w:rsidR="009D1941" w:rsidP="003D0291" w:rsidRDefault="00285B6C" w14:paraId="0BADD894" w14:textId="77777777">
      <w:pPr>
        <w:keepNext/>
        <w:keepLines/>
        <w:tabs>
          <w:tab w:val="left" w:pos="360"/>
        </w:tabs>
        <w:ind w:left="360"/>
        <w:rPr>
          <w:sz w:val="18"/>
          <w:szCs w:val="18"/>
        </w:rPr>
      </w:pPr>
      <w:r w:rsidRPr="00917A7A">
        <w:rPr>
          <w:b/>
          <w:sz w:val="18"/>
          <w:szCs w:val="18"/>
        </w:rPr>
        <w:t>Source</w:t>
      </w:r>
      <w:r w:rsidRPr="00917A7A">
        <w:rPr>
          <w:sz w:val="18"/>
          <w:szCs w:val="18"/>
        </w:rPr>
        <w:t>:</w:t>
      </w:r>
      <w:r w:rsidRPr="00917A7A" w:rsidR="009D1941">
        <w:rPr>
          <w:sz w:val="18"/>
          <w:szCs w:val="18"/>
        </w:rPr>
        <w:t xml:space="preserve"> The total number of entry-level drivers operating either interstate or intrastate</w:t>
      </w:r>
      <w:r w:rsidRPr="00917A7A">
        <w:rPr>
          <w:sz w:val="18"/>
          <w:szCs w:val="18"/>
        </w:rPr>
        <w:t xml:space="preserve"> </w:t>
      </w:r>
      <w:r w:rsidRPr="00917A7A" w:rsidR="009D1941">
        <w:rPr>
          <w:sz w:val="18"/>
          <w:szCs w:val="18"/>
        </w:rPr>
        <w:t xml:space="preserve">is adapted </w:t>
      </w:r>
    </w:p>
    <w:p w:rsidRPr="00917A7A" w:rsidR="009D1941" w:rsidP="003D0291" w:rsidRDefault="009D1941" w14:paraId="574B0B3E" w14:textId="77777777">
      <w:pPr>
        <w:keepNext/>
        <w:keepLines/>
        <w:tabs>
          <w:tab w:val="left" w:pos="360"/>
        </w:tabs>
        <w:ind w:left="360"/>
        <w:rPr>
          <w:i/>
          <w:sz w:val="18"/>
          <w:szCs w:val="18"/>
        </w:rPr>
      </w:pPr>
      <w:r w:rsidRPr="00917A7A">
        <w:rPr>
          <w:sz w:val="18"/>
          <w:szCs w:val="18"/>
        </w:rPr>
        <w:t>from</w:t>
      </w:r>
      <w:r w:rsidRPr="00917A7A" w:rsidR="00285B6C">
        <w:rPr>
          <w:sz w:val="18"/>
          <w:szCs w:val="18"/>
        </w:rPr>
        <w:t xml:space="preserve"> </w:t>
      </w:r>
      <w:r w:rsidRPr="00917A7A" w:rsidR="00285B6C">
        <w:rPr>
          <w:i/>
          <w:sz w:val="18"/>
          <w:szCs w:val="18"/>
        </w:rPr>
        <w:t xml:space="preserve">Regulatory Evaluation of Minimum Training Requirements for Entry-Level Commercial Motor </w:t>
      </w:r>
    </w:p>
    <w:p w:rsidRPr="00917A7A" w:rsidR="009D1941" w:rsidP="003D0291" w:rsidRDefault="00285B6C" w14:paraId="521ADD91" w14:textId="77777777">
      <w:pPr>
        <w:keepNext/>
        <w:keepLines/>
        <w:tabs>
          <w:tab w:val="left" w:pos="360"/>
        </w:tabs>
        <w:ind w:left="360"/>
        <w:rPr>
          <w:sz w:val="18"/>
          <w:szCs w:val="18"/>
        </w:rPr>
      </w:pPr>
      <w:r w:rsidRPr="00917A7A">
        <w:rPr>
          <w:i/>
          <w:sz w:val="18"/>
          <w:szCs w:val="18"/>
        </w:rPr>
        <w:t>Vehicle Operators Final Rule</w:t>
      </w:r>
      <w:r w:rsidRPr="00917A7A">
        <w:rPr>
          <w:sz w:val="18"/>
          <w:szCs w:val="18"/>
        </w:rPr>
        <w:t xml:space="preserve">. Section 2.4.1 (Number of Entry-Level CDL Drivers Annually), </w:t>
      </w:r>
    </w:p>
    <w:p w:rsidRPr="00917A7A" w:rsidR="00E91762" w:rsidP="003D0291" w:rsidRDefault="00285B6C" w14:paraId="1C33B23A" w14:textId="77777777">
      <w:pPr>
        <w:keepNext/>
        <w:keepLines/>
        <w:tabs>
          <w:tab w:val="left" w:pos="360"/>
        </w:tabs>
        <w:ind w:left="360"/>
        <w:rPr>
          <w:sz w:val="18"/>
          <w:szCs w:val="18"/>
        </w:rPr>
      </w:pPr>
      <w:r w:rsidRPr="00917A7A">
        <w:rPr>
          <w:sz w:val="18"/>
          <w:szCs w:val="18"/>
        </w:rPr>
        <w:t>pp. 16-30. Table 11, pg. 18. Docket ID FMCSA-2007-27748-1291.</w:t>
      </w:r>
      <w:r w:rsidRPr="00917A7A" w:rsidR="009D1941">
        <w:rPr>
          <w:sz w:val="18"/>
          <w:szCs w:val="18"/>
        </w:rPr>
        <w:t xml:space="preserve"> </w:t>
      </w:r>
      <w:r w:rsidRPr="00917A7A" w:rsidR="003D0291">
        <w:rPr>
          <w:sz w:val="18"/>
          <w:szCs w:val="18"/>
        </w:rPr>
        <w:t xml:space="preserve">The values shown above in </w:t>
      </w:r>
    </w:p>
    <w:p w:rsidRPr="00917A7A" w:rsidR="009D1941" w:rsidP="00E91762" w:rsidRDefault="003D0291" w14:paraId="47444120" w14:textId="358BE84B">
      <w:pPr>
        <w:keepNext/>
        <w:keepLines/>
        <w:tabs>
          <w:tab w:val="left" w:pos="360"/>
        </w:tabs>
        <w:ind w:left="360"/>
        <w:rPr>
          <w:sz w:val="18"/>
          <w:szCs w:val="18"/>
        </w:rPr>
      </w:pPr>
      <w:r w:rsidRPr="00917A7A">
        <w:rPr>
          <w:sz w:val="18"/>
          <w:szCs w:val="18"/>
        </w:rPr>
        <w:t xml:space="preserve">Table 1 include Class A, B, </w:t>
      </w:r>
      <w:r w:rsidRPr="00917A7A" w:rsidR="00097D59">
        <w:rPr>
          <w:sz w:val="18"/>
          <w:szCs w:val="18"/>
        </w:rPr>
        <w:t xml:space="preserve">and C entry-level CDL drivers. </w:t>
      </w:r>
      <w:r w:rsidRPr="00917A7A" w:rsidR="009D1941">
        <w:rPr>
          <w:sz w:val="18"/>
          <w:szCs w:val="18"/>
        </w:rPr>
        <w:t xml:space="preserve">The number of </w:t>
      </w:r>
      <w:r w:rsidRPr="00917A7A">
        <w:rPr>
          <w:sz w:val="18"/>
          <w:szCs w:val="18"/>
        </w:rPr>
        <w:t xml:space="preserve">those </w:t>
      </w:r>
      <w:r w:rsidRPr="00917A7A" w:rsidR="009D1941">
        <w:rPr>
          <w:sz w:val="18"/>
          <w:szCs w:val="18"/>
        </w:rPr>
        <w:t>entry-level</w:t>
      </w:r>
      <w:r w:rsidRPr="00917A7A">
        <w:rPr>
          <w:sz w:val="18"/>
          <w:szCs w:val="18"/>
        </w:rPr>
        <w:t xml:space="preserve"> drivers</w:t>
      </w:r>
    </w:p>
    <w:p w:rsidRPr="00917A7A" w:rsidR="009D1941" w:rsidP="003D0291" w:rsidRDefault="009D1941" w14:paraId="449B3DFC" w14:textId="7E5D0E08">
      <w:pPr>
        <w:keepNext/>
        <w:keepLines/>
        <w:tabs>
          <w:tab w:val="left" w:pos="360"/>
        </w:tabs>
        <w:ind w:left="360"/>
        <w:rPr>
          <w:sz w:val="18"/>
          <w:szCs w:val="18"/>
        </w:rPr>
      </w:pPr>
      <w:r w:rsidRPr="00917A7A">
        <w:rPr>
          <w:sz w:val="18"/>
          <w:szCs w:val="18"/>
        </w:rPr>
        <w:t>operating interstate is based on an estimated percentage of 75% of all entry-level drivers</w:t>
      </w:r>
      <w:r w:rsidRPr="00917A7A" w:rsidR="00E91762">
        <w:rPr>
          <w:sz w:val="18"/>
          <w:szCs w:val="18"/>
        </w:rPr>
        <w:t xml:space="preserve">, </w:t>
      </w:r>
      <w:r w:rsidRPr="00917A7A">
        <w:rPr>
          <w:sz w:val="18"/>
          <w:szCs w:val="18"/>
        </w:rPr>
        <w:t xml:space="preserve"> </w:t>
      </w:r>
    </w:p>
    <w:p w:rsidRPr="00917A7A" w:rsidR="009D1941" w:rsidP="003D0291" w:rsidRDefault="009D1941" w14:paraId="62F31FFB" w14:textId="2DA0AC18">
      <w:pPr>
        <w:keepNext/>
        <w:keepLines/>
        <w:tabs>
          <w:tab w:val="left" w:pos="360"/>
        </w:tabs>
        <w:ind w:left="360"/>
        <w:rPr>
          <w:sz w:val="18"/>
          <w:szCs w:val="18"/>
        </w:rPr>
      </w:pPr>
      <w:r w:rsidRPr="00917A7A">
        <w:rPr>
          <w:sz w:val="18"/>
          <w:szCs w:val="18"/>
        </w:rPr>
        <w:t xml:space="preserve">which was </w:t>
      </w:r>
      <w:r w:rsidRPr="00917A7A" w:rsidR="00E91762">
        <w:rPr>
          <w:sz w:val="18"/>
          <w:szCs w:val="18"/>
        </w:rPr>
        <w:t xml:space="preserve">the estimated percentage </w:t>
      </w:r>
      <w:r w:rsidRPr="00917A7A">
        <w:rPr>
          <w:sz w:val="18"/>
          <w:szCs w:val="18"/>
        </w:rPr>
        <w:t>used in the currently approved ICR.</w:t>
      </w:r>
    </w:p>
    <w:p w:rsidRPr="00917A7A" w:rsidR="00285B6C" w:rsidP="00285B6C" w:rsidRDefault="00285B6C" w14:paraId="36CABF76" w14:textId="29DD659A">
      <w:pPr>
        <w:ind w:left="360"/>
      </w:pPr>
    </w:p>
    <w:p w:rsidRPr="00917A7A" w:rsidR="00F00C6C" w:rsidP="00285B6C" w:rsidRDefault="00D24597" w14:paraId="2D8F97F8" w14:textId="000B8138">
      <w:pPr>
        <w:ind w:left="360"/>
      </w:pPr>
      <w:r w:rsidRPr="00917A7A">
        <w:rPr>
          <w:szCs w:val="24"/>
        </w:rPr>
        <w:t xml:space="preserve">The estimated population of entry-level drivers that operate interstate </w:t>
      </w:r>
      <w:r w:rsidRPr="00917A7A" w:rsidR="00880613">
        <w:rPr>
          <w:szCs w:val="24"/>
        </w:rPr>
        <w:t xml:space="preserve">that is </w:t>
      </w:r>
      <w:r w:rsidRPr="00917A7A">
        <w:rPr>
          <w:szCs w:val="24"/>
        </w:rPr>
        <w:t>presented in Table 1 form</w:t>
      </w:r>
      <w:r w:rsidRPr="00917A7A" w:rsidR="00CF2070">
        <w:rPr>
          <w:szCs w:val="24"/>
        </w:rPr>
        <w:t>s</w:t>
      </w:r>
      <w:r w:rsidRPr="00917A7A">
        <w:rPr>
          <w:szCs w:val="24"/>
        </w:rPr>
        <w:t xml:space="preserve"> the basis for estimating the number of respondents, the number of responses, and the hour burden each year for IC-1.</w:t>
      </w:r>
      <w:r w:rsidRPr="00917A7A" w:rsidR="00677D42">
        <w:rPr>
          <w:szCs w:val="24"/>
        </w:rPr>
        <w:t xml:space="preserve"> Table 2 presents the estimated number of responses </w:t>
      </w:r>
      <w:r w:rsidRPr="00917A7A" w:rsidR="00880613">
        <w:rPr>
          <w:szCs w:val="24"/>
        </w:rPr>
        <w:t xml:space="preserve">and respondents </w:t>
      </w:r>
      <w:r w:rsidRPr="00917A7A" w:rsidR="00677D42">
        <w:rPr>
          <w:szCs w:val="24"/>
        </w:rPr>
        <w:t>for IC-1.</w:t>
      </w:r>
      <w:r w:rsidRPr="00917A7A" w:rsidR="00DE25AF">
        <w:rPr>
          <w:szCs w:val="24"/>
        </w:rPr>
        <w:t xml:space="preserve"> There is only one response per respondent annually, and therefore the number of respondents is equal to the number of responses.</w:t>
      </w:r>
    </w:p>
    <w:p w:rsidRPr="00917A7A" w:rsidR="00285B6C" w:rsidP="00285B6C" w:rsidRDefault="00285B6C" w14:paraId="318E5CD8" w14:textId="77777777">
      <w:pPr>
        <w:ind w:left="360"/>
        <w:rPr>
          <w:szCs w:val="24"/>
        </w:rPr>
      </w:pPr>
    </w:p>
    <w:p w:rsidRPr="00917A7A" w:rsidR="00285B6C" w:rsidP="00285B6C" w:rsidRDefault="00AE7EC2" w14:paraId="3D8C897C" w14:textId="7FD0AD29">
      <w:pPr>
        <w:pStyle w:val="Caption"/>
        <w:keepNext/>
        <w:keepLines/>
        <w:widowControl/>
        <w:spacing w:after="0"/>
        <w:ind w:left="360"/>
        <w:rPr>
          <w:b/>
          <w:color w:val="auto"/>
          <w:sz w:val="24"/>
          <w:szCs w:val="24"/>
        </w:rPr>
      </w:pPr>
      <w:r w:rsidRPr="00917A7A">
        <w:rPr>
          <w:b/>
          <w:i w:val="0"/>
          <w:color w:val="auto"/>
          <w:sz w:val="24"/>
          <w:szCs w:val="24"/>
        </w:rPr>
        <w:t>Table 2</w:t>
      </w:r>
      <w:r w:rsidRPr="00917A7A" w:rsidR="00285B6C">
        <w:rPr>
          <w:b/>
          <w:i w:val="0"/>
          <w:color w:val="auto"/>
          <w:sz w:val="24"/>
          <w:szCs w:val="24"/>
        </w:rPr>
        <w:t xml:space="preserve">. </w:t>
      </w:r>
      <w:r w:rsidRPr="00917A7A">
        <w:rPr>
          <w:b/>
          <w:i w:val="0"/>
          <w:color w:val="auto"/>
          <w:sz w:val="24"/>
          <w:szCs w:val="24"/>
        </w:rPr>
        <w:t>Estimated Number of Responses for IC-1 (</w:t>
      </w:r>
      <w:r w:rsidRPr="007811BF" w:rsidR="007811BF">
        <w:rPr>
          <w:b/>
          <w:i w:val="0"/>
          <w:color w:val="auto"/>
          <w:sz w:val="24"/>
          <w:szCs w:val="24"/>
        </w:rPr>
        <w:t xml:space="preserve">Training Certification for Entry-Level Drivers </w:t>
      </w:r>
      <w:r w:rsidR="00A85765">
        <w:rPr>
          <w:b/>
          <w:i w:val="0"/>
          <w:color w:val="auto"/>
          <w:sz w:val="24"/>
          <w:szCs w:val="24"/>
        </w:rPr>
        <w:t>Subject to</w:t>
      </w:r>
      <w:r w:rsidRPr="00917A7A">
        <w:rPr>
          <w:b/>
          <w:i w:val="0"/>
          <w:color w:val="auto"/>
          <w:sz w:val="24"/>
          <w:szCs w:val="24"/>
        </w:rPr>
        <w:t xml:space="preserve"> Subpart E)</w:t>
      </w:r>
    </w:p>
    <w:tbl>
      <w:tblPr>
        <w:tblW w:w="4618"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83"/>
        <w:gridCol w:w="1320"/>
        <w:gridCol w:w="1320"/>
        <w:gridCol w:w="1320"/>
        <w:gridCol w:w="1495"/>
      </w:tblGrid>
      <w:tr w:rsidRPr="00917A7A" w:rsidR="00285B6C" w:rsidTr="00285B6C" w14:paraId="1208A04F" w14:textId="77777777">
        <w:trPr>
          <w:trHeight w:val="600"/>
        </w:trPr>
        <w:tc>
          <w:tcPr>
            <w:tcW w:w="3183" w:type="dxa"/>
            <w:tcBorders>
              <w:top w:val="single" w:color="auto" w:sz="18" w:space="0"/>
              <w:bottom w:val="single" w:color="auto" w:sz="18" w:space="0"/>
              <w:right w:val="single" w:color="auto" w:sz="18" w:space="0"/>
            </w:tcBorders>
            <w:shd w:val="clear" w:color="000000" w:fill="E0E0E0"/>
            <w:vAlign w:val="bottom"/>
            <w:hideMark/>
          </w:tcPr>
          <w:p w:rsidRPr="00917A7A" w:rsidR="00285B6C" w:rsidP="00285B6C" w:rsidRDefault="00285B6C" w14:paraId="53832AAB" w14:textId="77777777">
            <w:pPr>
              <w:keepNext/>
              <w:keepLines/>
              <w:widowControl/>
              <w:autoSpaceDE/>
              <w:autoSpaceDN/>
              <w:adjustRightInd/>
              <w:jc w:val="center"/>
              <w:rPr>
                <w:b/>
                <w:bCs/>
                <w:sz w:val="22"/>
                <w:szCs w:val="22"/>
              </w:rPr>
            </w:pPr>
            <w:r w:rsidRPr="00917A7A">
              <w:rPr>
                <w:b/>
                <w:bCs/>
                <w:sz w:val="22"/>
                <w:szCs w:val="22"/>
              </w:rPr>
              <w:t>Type of Activity</w:t>
            </w:r>
          </w:p>
        </w:tc>
        <w:tc>
          <w:tcPr>
            <w:tcW w:w="1320" w:type="dxa"/>
            <w:tcBorders>
              <w:top w:val="single" w:color="auto" w:sz="18" w:space="0"/>
              <w:left w:val="single" w:color="auto" w:sz="18" w:space="0"/>
              <w:bottom w:val="single" w:color="auto" w:sz="18" w:space="0"/>
            </w:tcBorders>
            <w:shd w:val="clear" w:color="000000" w:fill="E0E0E0"/>
            <w:vAlign w:val="bottom"/>
            <w:hideMark/>
          </w:tcPr>
          <w:p w:rsidRPr="00917A7A" w:rsidR="00285B6C" w:rsidP="00285B6C" w:rsidRDefault="00285B6C" w14:paraId="6A08CD0B" w14:textId="77777777">
            <w:pPr>
              <w:keepNext/>
              <w:keepLines/>
              <w:widowControl/>
              <w:autoSpaceDE/>
              <w:autoSpaceDN/>
              <w:adjustRightInd/>
              <w:jc w:val="center"/>
              <w:rPr>
                <w:b/>
                <w:bCs/>
                <w:sz w:val="22"/>
                <w:szCs w:val="22"/>
              </w:rPr>
            </w:pPr>
            <w:r w:rsidRPr="00917A7A">
              <w:rPr>
                <w:b/>
                <w:bCs/>
                <w:sz w:val="22"/>
                <w:szCs w:val="22"/>
              </w:rPr>
              <w:t>2020</w:t>
            </w:r>
          </w:p>
        </w:tc>
        <w:tc>
          <w:tcPr>
            <w:tcW w:w="1320" w:type="dxa"/>
            <w:tcBorders>
              <w:top w:val="single" w:color="auto" w:sz="18" w:space="0"/>
              <w:bottom w:val="single" w:color="auto" w:sz="18" w:space="0"/>
            </w:tcBorders>
            <w:shd w:val="clear" w:color="000000" w:fill="E0E0E0"/>
            <w:vAlign w:val="bottom"/>
          </w:tcPr>
          <w:p w:rsidRPr="00917A7A" w:rsidR="00285B6C" w:rsidP="00285B6C" w:rsidRDefault="00285B6C" w14:paraId="6EAF008D" w14:textId="77777777">
            <w:pPr>
              <w:keepNext/>
              <w:keepLines/>
              <w:widowControl/>
              <w:autoSpaceDE/>
              <w:autoSpaceDN/>
              <w:adjustRightInd/>
              <w:jc w:val="center"/>
              <w:rPr>
                <w:b/>
                <w:bCs/>
                <w:sz w:val="22"/>
                <w:szCs w:val="22"/>
              </w:rPr>
            </w:pPr>
            <w:r w:rsidRPr="00917A7A">
              <w:rPr>
                <w:b/>
                <w:bCs/>
                <w:sz w:val="22"/>
                <w:szCs w:val="22"/>
              </w:rPr>
              <w:t>2021</w:t>
            </w:r>
          </w:p>
        </w:tc>
        <w:tc>
          <w:tcPr>
            <w:tcW w:w="1320" w:type="dxa"/>
            <w:tcBorders>
              <w:top w:val="single" w:color="auto" w:sz="18" w:space="0"/>
              <w:bottom w:val="single" w:color="auto" w:sz="18" w:space="0"/>
              <w:right w:val="single" w:color="auto" w:sz="18" w:space="0"/>
            </w:tcBorders>
            <w:shd w:val="clear" w:color="000000" w:fill="E0E0E0"/>
            <w:vAlign w:val="bottom"/>
          </w:tcPr>
          <w:p w:rsidRPr="00917A7A" w:rsidR="00285B6C" w:rsidP="00285B6C" w:rsidRDefault="00285B6C" w14:paraId="4AB50E18" w14:textId="77777777">
            <w:pPr>
              <w:keepNext/>
              <w:keepLines/>
              <w:widowControl/>
              <w:autoSpaceDE/>
              <w:autoSpaceDN/>
              <w:adjustRightInd/>
              <w:jc w:val="center"/>
              <w:rPr>
                <w:b/>
                <w:bCs/>
                <w:sz w:val="22"/>
                <w:szCs w:val="22"/>
              </w:rPr>
            </w:pPr>
            <w:r w:rsidRPr="00917A7A">
              <w:rPr>
                <w:b/>
                <w:bCs/>
                <w:sz w:val="22"/>
                <w:szCs w:val="22"/>
              </w:rPr>
              <w:t>2022</w:t>
            </w:r>
          </w:p>
        </w:tc>
        <w:tc>
          <w:tcPr>
            <w:tcW w:w="1495" w:type="dxa"/>
            <w:tcBorders>
              <w:top w:val="single" w:color="auto" w:sz="18" w:space="0"/>
              <w:bottom w:val="single" w:color="auto" w:sz="18" w:space="0"/>
              <w:right w:val="single" w:color="auto" w:sz="2" w:space="0"/>
            </w:tcBorders>
            <w:shd w:val="clear" w:color="000000" w:fill="E0E0E0"/>
            <w:vAlign w:val="bottom"/>
          </w:tcPr>
          <w:p w:rsidRPr="00917A7A" w:rsidR="00285B6C" w:rsidP="00285B6C" w:rsidRDefault="00285B6C" w14:paraId="1EEA85B6" w14:textId="77777777">
            <w:pPr>
              <w:pStyle w:val="FMCSATableHead"/>
              <w:keepNext/>
              <w:spacing w:before="0" w:after="0"/>
              <w:rPr>
                <w:sz w:val="22"/>
                <w:szCs w:val="22"/>
              </w:rPr>
            </w:pPr>
            <w:r w:rsidRPr="00917A7A">
              <w:rPr>
                <w:sz w:val="22"/>
                <w:szCs w:val="22"/>
              </w:rPr>
              <w:t>3-Year Average</w:t>
            </w:r>
          </w:p>
          <w:p w:rsidRPr="00917A7A" w:rsidR="00285B6C" w:rsidP="00285B6C" w:rsidRDefault="00285B6C" w14:paraId="26186C8A" w14:textId="77777777">
            <w:pPr>
              <w:keepNext/>
              <w:keepLines/>
              <w:widowControl/>
              <w:autoSpaceDE/>
              <w:autoSpaceDN/>
              <w:adjustRightInd/>
              <w:jc w:val="center"/>
              <w:rPr>
                <w:b/>
                <w:bCs/>
                <w:sz w:val="22"/>
                <w:szCs w:val="22"/>
              </w:rPr>
            </w:pPr>
            <w:r w:rsidRPr="00917A7A">
              <w:rPr>
                <w:b/>
                <w:sz w:val="22"/>
                <w:szCs w:val="22"/>
              </w:rPr>
              <w:t>(2020-2022)</w:t>
            </w:r>
          </w:p>
        </w:tc>
      </w:tr>
      <w:tr w:rsidRPr="00917A7A" w:rsidR="00285B6C" w:rsidTr="00285B6C" w14:paraId="7523B176" w14:textId="77777777">
        <w:trPr>
          <w:trHeight w:val="504"/>
        </w:trPr>
        <w:tc>
          <w:tcPr>
            <w:tcW w:w="3183" w:type="dxa"/>
            <w:tcBorders>
              <w:top w:val="single" w:color="auto" w:sz="18" w:space="0"/>
              <w:bottom w:val="single" w:color="auto" w:sz="2" w:space="0"/>
              <w:right w:val="single" w:color="auto" w:sz="18" w:space="0"/>
            </w:tcBorders>
            <w:shd w:val="clear" w:color="auto" w:fill="auto"/>
            <w:noWrap/>
            <w:vAlign w:val="center"/>
          </w:tcPr>
          <w:p w:rsidRPr="00917A7A" w:rsidR="00D07157" w:rsidP="00D07157" w:rsidRDefault="00D07157" w14:paraId="6FFAB6AF" w14:textId="241E874B">
            <w:pPr>
              <w:keepNext/>
              <w:keepLines/>
              <w:widowControl/>
              <w:autoSpaceDE/>
              <w:autoSpaceDN/>
              <w:adjustRightInd/>
              <w:rPr>
                <w:iCs/>
                <w:sz w:val="22"/>
                <w:szCs w:val="22"/>
              </w:rPr>
            </w:pPr>
            <w:r w:rsidRPr="00917A7A">
              <w:rPr>
                <w:iCs/>
                <w:sz w:val="22"/>
                <w:szCs w:val="22"/>
              </w:rPr>
              <w:t>Entry-level interstate CDL driver training certificate</w:t>
            </w:r>
            <w:r w:rsidRPr="00917A7A" w:rsidR="00010830">
              <w:rPr>
                <w:iCs/>
                <w:sz w:val="22"/>
                <w:szCs w:val="22"/>
              </w:rPr>
              <w:t>s</w:t>
            </w:r>
            <w:r w:rsidRPr="00917A7A">
              <w:rPr>
                <w:iCs/>
                <w:sz w:val="22"/>
                <w:szCs w:val="22"/>
              </w:rPr>
              <w:t xml:space="preserve"> created, presented to employer, and retained in the driver qualification file</w:t>
            </w:r>
          </w:p>
        </w:tc>
        <w:tc>
          <w:tcPr>
            <w:tcW w:w="1320" w:type="dxa"/>
            <w:tcBorders>
              <w:top w:val="single" w:color="auto" w:sz="18" w:space="0"/>
              <w:left w:val="single" w:color="auto" w:sz="18" w:space="0"/>
              <w:bottom w:val="single" w:color="auto" w:sz="2" w:space="0"/>
            </w:tcBorders>
            <w:shd w:val="clear" w:color="auto" w:fill="auto"/>
            <w:noWrap/>
            <w:vAlign w:val="center"/>
          </w:tcPr>
          <w:p w:rsidRPr="00917A7A" w:rsidR="00285B6C" w:rsidP="00285B6C" w:rsidRDefault="00D07157" w14:paraId="003F5C6D" w14:textId="308C0BFE">
            <w:pPr>
              <w:keepNext/>
              <w:keepLines/>
              <w:widowControl/>
              <w:autoSpaceDE/>
              <w:autoSpaceDN/>
              <w:adjustRightInd/>
              <w:jc w:val="right"/>
              <w:rPr>
                <w:iCs/>
                <w:sz w:val="22"/>
                <w:szCs w:val="22"/>
              </w:rPr>
            </w:pPr>
            <w:r w:rsidRPr="00917A7A">
              <w:rPr>
                <w:iCs/>
                <w:sz w:val="22"/>
                <w:szCs w:val="22"/>
              </w:rPr>
              <w:t>352,758</w:t>
            </w:r>
          </w:p>
        </w:tc>
        <w:tc>
          <w:tcPr>
            <w:tcW w:w="1320" w:type="dxa"/>
            <w:tcBorders>
              <w:top w:val="single" w:color="auto" w:sz="18" w:space="0"/>
              <w:bottom w:val="single" w:color="auto" w:sz="2" w:space="0"/>
            </w:tcBorders>
            <w:vAlign w:val="center"/>
          </w:tcPr>
          <w:p w:rsidRPr="00917A7A" w:rsidR="00285B6C" w:rsidP="00285B6C" w:rsidRDefault="00D07157" w14:paraId="19C97706" w14:textId="3B2CE0EE">
            <w:pPr>
              <w:keepNext/>
              <w:keepLines/>
              <w:widowControl/>
              <w:autoSpaceDE/>
              <w:autoSpaceDN/>
              <w:adjustRightInd/>
              <w:jc w:val="right"/>
              <w:rPr>
                <w:sz w:val="22"/>
                <w:szCs w:val="22"/>
              </w:rPr>
            </w:pPr>
            <w:r w:rsidRPr="00917A7A">
              <w:rPr>
                <w:sz w:val="22"/>
                <w:szCs w:val="22"/>
              </w:rPr>
              <w:t>354,713</w:t>
            </w:r>
          </w:p>
        </w:tc>
        <w:tc>
          <w:tcPr>
            <w:tcW w:w="1320" w:type="dxa"/>
            <w:tcBorders>
              <w:top w:val="single" w:color="auto" w:sz="18" w:space="0"/>
              <w:bottom w:val="single" w:color="auto" w:sz="2" w:space="0"/>
              <w:right w:val="single" w:color="auto" w:sz="18" w:space="0"/>
            </w:tcBorders>
            <w:vAlign w:val="center"/>
          </w:tcPr>
          <w:p w:rsidRPr="00917A7A" w:rsidR="00285B6C" w:rsidP="00010830" w:rsidRDefault="00010830" w14:paraId="60E7E836" w14:textId="2F656BCB">
            <w:pPr>
              <w:keepNext/>
              <w:keepLines/>
              <w:widowControl/>
              <w:autoSpaceDE/>
              <w:autoSpaceDN/>
              <w:adjustRightInd/>
              <w:jc w:val="right"/>
              <w:rPr>
                <w:sz w:val="22"/>
                <w:szCs w:val="22"/>
              </w:rPr>
            </w:pPr>
            <w:r w:rsidRPr="00917A7A">
              <w:rPr>
                <w:sz w:val="22"/>
                <w:szCs w:val="22"/>
              </w:rPr>
              <w:t>0</w:t>
            </w:r>
          </w:p>
        </w:tc>
        <w:tc>
          <w:tcPr>
            <w:tcW w:w="1495" w:type="dxa"/>
            <w:tcBorders>
              <w:top w:val="single" w:color="auto" w:sz="18" w:space="0"/>
              <w:bottom w:val="single" w:color="auto" w:sz="2" w:space="0"/>
              <w:right w:val="single" w:color="auto" w:sz="2" w:space="0"/>
            </w:tcBorders>
            <w:vAlign w:val="center"/>
          </w:tcPr>
          <w:p w:rsidRPr="00917A7A" w:rsidR="00285B6C" w:rsidP="00285B6C" w:rsidRDefault="00010830" w14:paraId="3BC44F51" w14:textId="55A00986">
            <w:pPr>
              <w:keepNext/>
              <w:keepLines/>
              <w:widowControl/>
              <w:autoSpaceDE/>
              <w:autoSpaceDN/>
              <w:adjustRightInd/>
              <w:jc w:val="right"/>
              <w:rPr>
                <w:iCs/>
                <w:sz w:val="22"/>
                <w:szCs w:val="22"/>
              </w:rPr>
            </w:pPr>
            <w:r w:rsidRPr="00917A7A">
              <w:rPr>
                <w:iCs/>
                <w:sz w:val="22"/>
                <w:szCs w:val="22"/>
              </w:rPr>
              <w:t>235,824</w:t>
            </w:r>
            <w:r w:rsidR="00845BF5">
              <w:rPr>
                <w:rStyle w:val="FootnoteReference"/>
                <w:iCs/>
                <w:sz w:val="22"/>
                <w:szCs w:val="22"/>
              </w:rPr>
              <w:footnoteReference w:id="11"/>
            </w:r>
          </w:p>
        </w:tc>
      </w:tr>
      <w:tr w:rsidRPr="00917A7A" w:rsidR="00285B6C" w:rsidTr="00285B6C" w14:paraId="20B48060" w14:textId="77777777">
        <w:trPr>
          <w:trHeight w:val="625"/>
        </w:trPr>
        <w:tc>
          <w:tcPr>
            <w:tcW w:w="3183"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noWrap/>
            <w:vAlign w:val="center"/>
          </w:tcPr>
          <w:p w:rsidRPr="00917A7A" w:rsidR="00285B6C" w:rsidDel="006804BD" w:rsidP="00285B6C" w:rsidRDefault="00285B6C" w14:paraId="755BF04E" w14:textId="77777777">
            <w:pPr>
              <w:keepNext/>
              <w:keepLines/>
              <w:widowControl/>
              <w:autoSpaceDE/>
              <w:autoSpaceDN/>
              <w:adjustRightInd/>
              <w:rPr>
                <w:b/>
                <w:sz w:val="22"/>
                <w:szCs w:val="22"/>
              </w:rPr>
            </w:pPr>
            <w:r w:rsidRPr="00917A7A">
              <w:rPr>
                <w:b/>
                <w:sz w:val="22"/>
                <w:szCs w:val="22"/>
              </w:rPr>
              <w:t>TOTAL NUMBER OF RESPONSES</w:t>
            </w:r>
          </w:p>
        </w:tc>
        <w:tc>
          <w:tcPr>
            <w:tcW w:w="1320" w:type="dxa"/>
            <w:tcBorders>
              <w:top w:val="single" w:color="auto" w:sz="18" w:space="0"/>
              <w:left w:val="single" w:color="auto" w:sz="18" w:space="0"/>
              <w:bottom w:val="single" w:color="auto" w:sz="18" w:space="0"/>
              <w:right w:val="single" w:color="auto" w:sz="2" w:space="0"/>
            </w:tcBorders>
            <w:shd w:val="clear" w:color="auto" w:fill="D9D9D9" w:themeFill="background1" w:themeFillShade="D9"/>
            <w:noWrap/>
            <w:vAlign w:val="center"/>
          </w:tcPr>
          <w:p w:rsidRPr="00917A7A" w:rsidR="00285B6C" w:rsidP="00285B6C" w:rsidRDefault="00D07157" w14:paraId="631EC4AA" w14:textId="350C89A2">
            <w:pPr>
              <w:keepNext/>
              <w:keepLines/>
              <w:widowControl/>
              <w:autoSpaceDE/>
              <w:autoSpaceDN/>
              <w:adjustRightInd/>
              <w:jc w:val="right"/>
              <w:rPr>
                <w:b/>
                <w:sz w:val="22"/>
                <w:szCs w:val="22"/>
              </w:rPr>
            </w:pPr>
            <w:r w:rsidRPr="00917A7A">
              <w:rPr>
                <w:b/>
                <w:sz w:val="22"/>
                <w:szCs w:val="22"/>
              </w:rPr>
              <w:t>352,758</w:t>
            </w:r>
          </w:p>
        </w:tc>
        <w:tc>
          <w:tcPr>
            <w:tcW w:w="1320"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285B6C" w:rsidP="00285B6C" w:rsidRDefault="00D07157" w14:paraId="2E6B8FFD" w14:textId="306C1550">
            <w:pPr>
              <w:keepNext/>
              <w:keepLines/>
              <w:widowControl/>
              <w:autoSpaceDE/>
              <w:autoSpaceDN/>
              <w:adjustRightInd/>
              <w:jc w:val="right"/>
              <w:rPr>
                <w:b/>
                <w:sz w:val="22"/>
                <w:szCs w:val="22"/>
              </w:rPr>
            </w:pPr>
            <w:r w:rsidRPr="00917A7A">
              <w:rPr>
                <w:b/>
                <w:sz w:val="22"/>
                <w:szCs w:val="22"/>
              </w:rPr>
              <w:t>354,713</w:t>
            </w:r>
          </w:p>
        </w:tc>
        <w:tc>
          <w:tcPr>
            <w:tcW w:w="1320"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vAlign w:val="center"/>
          </w:tcPr>
          <w:p w:rsidRPr="00917A7A" w:rsidR="00285B6C" w:rsidP="00010830" w:rsidRDefault="00010830" w14:paraId="6F7FBBC4" w14:textId="61FD3442">
            <w:pPr>
              <w:keepNext/>
              <w:keepLines/>
              <w:widowControl/>
              <w:autoSpaceDE/>
              <w:autoSpaceDN/>
              <w:adjustRightInd/>
              <w:jc w:val="right"/>
              <w:rPr>
                <w:b/>
                <w:sz w:val="22"/>
                <w:szCs w:val="22"/>
              </w:rPr>
            </w:pPr>
            <w:r w:rsidRPr="00917A7A">
              <w:rPr>
                <w:b/>
                <w:sz w:val="22"/>
                <w:szCs w:val="22"/>
              </w:rPr>
              <w:t>0</w:t>
            </w:r>
          </w:p>
        </w:tc>
        <w:tc>
          <w:tcPr>
            <w:tcW w:w="1495"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285B6C" w:rsidP="00285B6C" w:rsidRDefault="00010830" w14:paraId="12534CC3" w14:textId="03CFDC70">
            <w:pPr>
              <w:keepNext/>
              <w:keepLines/>
              <w:widowControl/>
              <w:autoSpaceDE/>
              <w:autoSpaceDN/>
              <w:adjustRightInd/>
              <w:jc w:val="right"/>
              <w:rPr>
                <w:b/>
                <w:sz w:val="22"/>
                <w:szCs w:val="22"/>
              </w:rPr>
            </w:pPr>
            <w:r w:rsidRPr="00917A7A">
              <w:rPr>
                <w:b/>
                <w:iCs/>
                <w:sz w:val="22"/>
                <w:szCs w:val="22"/>
              </w:rPr>
              <w:t>235,824</w:t>
            </w:r>
          </w:p>
        </w:tc>
      </w:tr>
      <w:tr w:rsidRPr="00917A7A" w:rsidR="00285B6C" w:rsidTr="00285B6C" w14:paraId="50406B91" w14:textId="77777777">
        <w:trPr>
          <w:trHeight w:val="625"/>
        </w:trPr>
        <w:tc>
          <w:tcPr>
            <w:tcW w:w="3183"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noWrap/>
            <w:vAlign w:val="center"/>
          </w:tcPr>
          <w:p w:rsidRPr="00917A7A" w:rsidR="00285B6C" w:rsidP="00285B6C" w:rsidRDefault="00285B6C" w14:paraId="47ADAACE" w14:textId="77777777">
            <w:pPr>
              <w:keepNext/>
              <w:keepLines/>
              <w:widowControl/>
              <w:autoSpaceDE/>
              <w:autoSpaceDN/>
              <w:adjustRightInd/>
              <w:rPr>
                <w:b/>
                <w:sz w:val="22"/>
                <w:szCs w:val="22"/>
              </w:rPr>
            </w:pPr>
            <w:r w:rsidRPr="00917A7A">
              <w:rPr>
                <w:b/>
                <w:sz w:val="22"/>
                <w:szCs w:val="22"/>
              </w:rPr>
              <w:t>NUMBER OF RESPONDENTS</w:t>
            </w:r>
          </w:p>
        </w:tc>
        <w:tc>
          <w:tcPr>
            <w:tcW w:w="1320" w:type="dxa"/>
            <w:tcBorders>
              <w:top w:val="single" w:color="auto" w:sz="18" w:space="0"/>
              <w:left w:val="single" w:color="auto" w:sz="18" w:space="0"/>
              <w:bottom w:val="single" w:color="auto" w:sz="18" w:space="0"/>
              <w:right w:val="single" w:color="auto" w:sz="2" w:space="0"/>
            </w:tcBorders>
            <w:shd w:val="clear" w:color="auto" w:fill="D9D9D9" w:themeFill="background1" w:themeFillShade="D9"/>
            <w:noWrap/>
            <w:vAlign w:val="center"/>
          </w:tcPr>
          <w:p w:rsidRPr="00917A7A" w:rsidR="00285B6C" w:rsidP="00285B6C" w:rsidRDefault="00D07157" w14:paraId="6C7E890F" w14:textId="12A1254E">
            <w:pPr>
              <w:keepNext/>
              <w:keepLines/>
              <w:widowControl/>
              <w:autoSpaceDE/>
              <w:autoSpaceDN/>
              <w:adjustRightInd/>
              <w:jc w:val="right"/>
              <w:rPr>
                <w:b/>
                <w:sz w:val="22"/>
                <w:szCs w:val="22"/>
              </w:rPr>
            </w:pPr>
            <w:r w:rsidRPr="00917A7A">
              <w:rPr>
                <w:b/>
                <w:sz w:val="22"/>
                <w:szCs w:val="22"/>
              </w:rPr>
              <w:t>352,758</w:t>
            </w:r>
          </w:p>
        </w:tc>
        <w:tc>
          <w:tcPr>
            <w:tcW w:w="1320"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285B6C" w:rsidP="00285B6C" w:rsidRDefault="00D07157" w14:paraId="4D5CF7B0" w14:textId="6140CEA2">
            <w:pPr>
              <w:keepNext/>
              <w:keepLines/>
              <w:widowControl/>
              <w:autoSpaceDE/>
              <w:autoSpaceDN/>
              <w:adjustRightInd/>
              <w:jc w:val="right"/>
              <w:rPr>
                <w:b/>
                <w:sz w:val="22"/>
                <w:szCs w:val="22"/>
              </w:rPr>
            </w:pPr>
            <w:r w:rsidRPr="00917A7A">
              <w:rPr>
                <w:b/>
                <w:sz w:val="22"/>
                <w:szCs w:val="22"/>
              </w:rPr>
              <w:t>354,713</w:t>
            </w:r>
          </w:p>
        </w:tc>
        <w:tc>
          <w:tcPr>
            <w:tcW w:w="1320"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vAlign w:val="center"/>
          </w:tcPr>
          <w:p w:rsidRPr="00917A7A" w:rsidR="00285B6C" w:rsidP="00010830" w:rsidRDefault="00010830" w14:paraId="029702DE" w14:textId="6799A00D">
            <w:pPr>
              <w:keepNext/>
              <w:keepLines/>
              <w:widowControl/>
              <w:autoSpaceDE/>
              <w:autoSpaceDN/>
              <w:adjustRightInd/>
              <w:jc w:val="right"/>
              <w:rPr>
                <w:b/>
                <w:sz w:val="22"/>
                <w:szCs w:val="22"/>
              </w:rPr>
            </w:pPr>
            <w:r w:rsidRPr="00917A7A">
              <w:rPr>
                <w:b/>
                <w:sz w:val="22"/>
                <w:szCs w:val="22"/>
              </w:rPr>
              <w:t>0</w:t>
            </w:r>
          </w:p>
        </w:tc>
        <w:tc>
          <w:tcPr>
            <w:tcW w:w="1495"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285B6C" w:rsidP="00285B6C" w:rsidRDefault="00010830" w14:paraId="7655AFA6" w14:textId="0671A38B">
            <w:pPr>
              <w:keepNext/>
              <w:keepLines/>
              <w:widowControl/>
              <w:autoSpaceDE/>
              <w:autoSpaceDN/>
              <w:adjustRightInd/>
              <w:jc w:val="right"/>
              <w:rPr>
                <w:b/>
                <w:sz w:val="22"/>
                <w:szCs w:val="22"/>
              </w:rPr>
            </w:pPr>
            <w:r w:rsidRPr="00917A7A">
              <w:rPr>
                <w:b/>
                <w:iCs/>
                <w:sz w:val="22"/>
                <w:szCs w:val="22"/>
              </w:rPr>
              <w:t>235,824</w:t>
            </w:r>
          </w:p>
        </w:tc>
      </w:tr>
    </w:tbl>
    <w:p w:rsidRPr="00917A7A" w:rsidR="00285B6C" w:rsidP="00285B6C" w:rsidRDefault="00285B6C" w14:paraId="526B789C" w14:textId="77777777">
      <w:pPr>
        <w:tabs>
          <w:tab w:val="left" w:pos="360"/>
        </w:tabs>
        <w:ind w:left="360"/>
        <w:rPr>
          <w:szCs w:val="24"/>
        </w:rPr>
      </w:pPr>
    </w:p>
    <w:p w:rsidRPr="00917A7A" w:rsidR="00285B6C" w:rsidP="00D52CF0" w:rsidRDefault="00252D2B" w14:paraId="7FFED7D4" w14:textId="312DB679">
      <w:pPr>
        <w:ind w:left="360"/>
      </w:pPr>
      <w:r w:rsidRPr="00917A7A">
        <w:t xml:space="preserve">For each entry-level driver subject to the existing ELDT requirements under Subpart E of part 380, </w:t>
      </w:r>
      <w:r w:rsidRPr="00917A7A" w:rsidR="00D52CF0">
        <w:t>the creation of training certificates, their presentation to the employer, and their being retained in the driver qualification file, is estimated to required 10 minutes</w:t>
      </w:r>
      <w:r w:rsidRPr="00917A7A" w:rsidR="0011623D">
        <w:t xml:space="preserve"> </w:t>
      </w:r>
      <w:r w:rsidRPr="00917A7A" w:rsidR="0011623D">
        <w:rPr>
          <w:szCs w:val="24"/>
        </w:rPr>
        <w:t>(0.167 hours).</w:t>
      </w:r>
      <w:r w:rsidRPr="00917A7A">
        <w:t xml:space="preserve"> </w:t>
      </w:r>
      <w:r w:rsidRPr="00917A7A" w:rsidR="00285B6C">
        <w:t xml:space="preserve">This estimate is consistent with that developed and used previously </w:t>
      </w:r>
      <w:r w:rsidRPr="00917A7A" w:rsidR="0011623D">
        <w:t xml:space="preserve">in the existing currently approved collection of information with OMB Control Number 2126-0028 titled “Training Certification for Entry-Level Commercial Motor Vehicle Operators.” </w:t>
      </w:r>
      <w:r w:rsidRPr="00917A7A" w:rsidR="00285B6C">
        <w:rPr>
          <w:szCs w:val="24"/>
        </w:rPr>
        <w:t xml:space="preserve">Table </w:t>
      </w:r>
      <w:r w:rsidRPr="00917A7A" w:rsidR="004D6FA7">
        <w:rPr>
          <w:szCs w:val="24"/>
        </w:rPr>
        <w:t>3</w:t>
      </w:r>
      <w:r w:rsidRPr="00917A7A" w:rsidR="00285B6C">
        <w:rPr>
          <w:szCs w:val="24"/>
        </w:rPr>
        <w:t xml:space="preserve"> </w:t>
      </w:r>
      <w:r w:rsidRPr="00917A7A" w:rsidR="004D6FA7">
        <w:rPr>
          <w:szCs w:val="24"/>
        </w:rPr>
        <w:t>presents the resulting estimate</w:t>
      </w:r>
      <w:r w:rsidRPr="00917A7A" w:rsidR="00285B6C">
        <w:rPr>
          <w:szCs w:val="24"/>
        </w:rPr>
        <w:t xml:space="preserve"> of</w:t>
      </w:r>
      <w:r w:rsidRPr="00917A7A" w:rsidR="004D6FA7">
        <w:rPr>
          <w:szCs w:val="24"/>
        </w:rPr>
        <w:t xml:space="preserve"> annualized hour burden for IC-1</w:t>
      </w:r>
      <w:r w:rsidRPr="00917A7A" w:rsidR="00285B6C">
        <w:rPr>
          <w:szCs w:val="24"/>
        </w:rPr>
        <w:t xml:space="preserve">, based on the number of responses presented in Table </w:t>
      </w:r>
      <w:r w:rsidRPr="00917A7A" w:rsidR="004D6FA7">
        <w:rPr>
          <w:szCs w:val="24"/>
        </w:rPr>
        <w:t>2</w:t>
      </w:r>
      <w:r w:rsidRPr="00917A7A" w:rsidR="00285B6C">
        <w:rPr>
          <w:szCs w:val="24"/>
        </w:rPr>
        <w:t xml:space="preserve">, and the estimated hour burden per response of </w:t>
      </w:r>
      <w:r w:rsidRPr="00917A7A" w:rsidR="004D6FA7">
        <w:rPr>
          <w:szCs w:val="24"/>
        </w:rPr>
        <w:t>10</w:t>
      </w:r>
      <w:r w:rsidRPr="00917A7A" w:rsidR="00285B6C">
        <w:rPr>
          <w:szCs w:val="24"/>
        </w:rPr>
        <w:t xml:space="preserve"> minutes </w:t>
      </w:r>
      <w:r w:rsidRPr="00917A7A" w:rsidR="00285B6C">
        <w:rPr>
          <w:szCs w:val="24"/>
        </w:rPr>
        <w:lastRenderedPageBreak/>
        <w:t>(0.</w:t>
      </w:r>
      <w:r w:rsidRPr="00917A7A" w:rsidR="004D6FA7">
        <w:rPr>
          <w:szCs w:val="24"/>
        </w:rPr>
        <w:t>167</w:t>
      </w:r>
      <w:r w:rsidRPr="00917A7A" w:rsidR="00285B6C">
        <w:rPr>
          <w:szCs w:val="24"/>
        </w:rPr>
        <w:t xml:space="preserve"> hours).</w:t>
      </w:r>
    </w:p>
    <w:p w:rsidRPr="00917A7A" w:rsidR="00285B6C" w:rsidP="00285B6C" w:rsidRDefault="00285B6C" w14:paraId="6EAAD414" w14:textId="77777777">
      <w:pPr>
        <w:tabs>
          <w:tab w:val="left" w:pos="360"/>
        </w:tabs>
        <w:ind w:left="360"/>
        <w:rPr>
          <w:szCs w:val="24"/>
        </w:rPr>
      </w:pPr>
    </w:p>
    <w:p w:rsidRPr="00917A7A" w:rsidR="00285B6C" w:rsidP="00285B6C" w:rsidRDefault="00AE7EC2" w14:paraId="2A96EB0B" w14:textId="5EFD1CF7">
      <w:pPr>
        <w:pStyle w:val="Caption"/>
        <w:keepNext/>
        <w:keepLines/>
        <w:widowControl/>
        <w:spacing w:after="0"/>
        <w:ind w:left="360"/>
        <w:rPr>
          <w:b/>
          <w:color w:val="auto"/>
          <w:sz w:val="24"/>
          <w:szCs w:val="24"/>
        </w:rPr>
      </w:pPr>
      <w:r w:rsidRPr="00917A7A">
        <w:rPr>
          <w:b/>
          <w:i w:val="0"/>
          <w:color w:val="auto"/>
          <w:sz w:val="24"/>
          <w:szCs w:val="24"/>
        </w:rPr>
        <w:t>Table 3</w:t>
      </w:r>
      <w:r w:rsidRPr="00917A7A" w:rsidR="00285B6C">
        <w:rPr>
          <w:b/>
          <w:i w:val="0"/>
          <w:color w:val="auto"/>
          <w:sz w:val="24"/>
          <w:szCs w:val="24"/>
        </w:rPr>
        <w:t xml:space="preserve">. </w:t>
      </w:r>
      <w:r w:rsidRPr="00917A7A">
        <w:rPr>
          <w:b/>
          <w:i w:val="0"/>
          <w:color w:val="auto"/>
          <w:sz w:val="24"/>
          <w:szCs w:val="24"/>
        </w:rPr>
        <w:t>Estimated Annualized Hour Burden for IC-1 (</w:t>
      </w:r>
      <w:r w:rsidRPr="007811BF" w:rsidR="007811BF">
        <w:rPr>
          <w:b/>
          <w:i w:val="0"/>
          <w:color w:val="auto"/>
          <w:sz w:val="24"/>
          <w:szCs w:val="24"/>
        </w:rPr>
        <w:t xml:space="preserve">Training Certification for Entry-Level Drivers </w:t>
      </w:r>
      <w:r w:rsidRPr="00917A7A" w:rsidR="007811BF">
        <w:rPr>
          <w:b/>
          <w:i w:val="0"/>
          <w:color w:val="auto"/>
          <w:sz w:val="24"/>
          <w:szCs w:val="24"/>
        </w:rPr>
        <w:t>under Subpart E</w:t>
      </w:r>
      <w:r w:rsidRPr="00917A7A">
        <w:rPr>
          <w:b/>
          <w:i w:val="0"/>
          <w:color w:val="auto"/>
          <w:sz w:val="24"/>
          <w:szCs w:val="24"/>
        </w:rPr>
        <w:t>)</w:t>
      </w:r>
    </w:p>
    <w:tbl>
      <w:tblPr>
        <w:tblW w:w="4606"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60"/>
        <w:gridCol w:w="1320"/>
        <w:gridCol w:w="1320"/>
        <w:gridCol w:w="1320"/>
        <w:gridCol w:w="1495"/>
      </w:tblGrid>
      <w:tr w:rsidRPr="00917A7A" w:rsidR="00285B6C" w:rsidTr="00285B6C" w14:paraId="4B840979" w14:textId="77777777">
        <w:trPr>
          <w:trHeight w:val="600"/>
        </w:trPr>
        <w:tc>
          <w:tcPr>
            <w:tcW w:w="3160" w:type="dxa"/>
            <w:tcBorders>
              <w:top w:val="single" w:color="auto" w:sz="18" w:space="0"/>
              <w:bottom w:val="single" w:color="auto" w:sz="18" w:space="0"/>
              <w:right w:val="single" w:color="auto" w:sz="18" w:space="0"/>
            </w:tcBorders>
            <w:shd w:val="clear" w:color="000000" w:fill="E0E0E0"/>
            <w:vAlign w:val="bottom"/>
            <w:hideMark/>
          </w:tcPr>
          <w:p w:rsidRPr="00917A7A" w:rsidR="00285B6C" w:rsidP="00285B6C" w:rsidRDefault="00285B6C" w14:paraId="7AC3CE7F" w14:textId="77777777">
            <w:pPr>
              <w:keepNext/>
              <w:keepLines/>
              <w:widowControl/>
              <w:autoSpaceDE/>
              <w:autoSpaceDN/>
              <w:adjustRightInd/>
              <w:jc w:val="center"/>
              <w:rPr>
                <w:b/>
                <w:bCs/>
                <w:sz w:val="22"/>
                <w:szCs w:val="22"/>
              </w:rPr>
            </w:pPr>
            <w:r w:rsidRPr="00917A7A">
              <w:rPr>
                <w:b/>
                <w:bCs/>
                <w:sz w:val="22"/>
                <w:szCs w:val="22"/>
              </w:rPr>
              <w:t>Type of Activity</w:t>
            </w:r>
          </w:p>
        </w:tc>
        <w:tc>
          <w:tcPr>
            <w:tcW w:w="1320" w:type="dxa"/>
            <w:tcBorders>
              <w:top w:val="single" w:color="auto" w:sz="18" w:space="0"/>
              <w:left w:val="single" w:color="auto" w:sz="18" w:space="0"/>
              <w:bottom w:val="single" w:color="auto" w:sz="18" w:space="0"/>
            </w:tcBorders>
            <w:shd w:val="clear" w:color="000000" w:fill="E0E0E0"/>
            <w:vAlign w:val="bottom"/>
            <w:hideMark/>
          </w:tcPr>
          <w:p w:rsidRPr="00917A7A" w:rsidR="00285B6C" w:rsidP="00285B6C" w:rsidRDefault="00285B6C" w14:paraId="44D5E59B" w14:textId="77777777">
            <w:pPr>
              <w:keepNext/>
              <w:keepLines/>
              <w:widowControl/>
              <w:autoSpaceDE/>
              <w:autoSpaceDN/>
              <w:adjustRightInd/>
              <w:jc w:val="center"/>
              <w:rPr>
                <w:b/>
                <w:bCs/>
                <w:sz w:val="22"/>
                <w:szCs w:val="22"/>
              </w:rPr>
            </w:pPr>
            <w:r w:rsidRPr="00917A7A">
              <w:rPr>
                <w:b/>
                <w:bCs/>
                <w:sz w:val="22"/>
                <w:szCs w:val="22"/>
              </w:rPr>
              <w:t>2020</w:t>
            </w:r>
          </w:p>
        </w:tc>
        <w:tc>
          <w:tcPr>
            <w:tcW w:w="1320" w:type="dxa"/>
            <w:tcBorders>
              <w:top w:val="single" w:color="auto" w:sz="18" w:space="0"/>
              <w:bottom w:val="single" w:color="auto" w:sz="18" w:space="0"/>
            </w:tcBorders>
            <w:shd w:val="clear" w:color="000000" w:fill="E0E0E0"/>
            <w:vAlign w:val="bottom"/>
          </w:tcPr>
          <w:p w:rsidRPr="00917A7A" w:rsidR="00285B6C" w:rsidP="00285B6C" w:rsidRDefault="00285B6C" w14:paraId="5CD654BB" w14:textId="77777777">
            <w:pPr>
              <w:keepNext/>
              <w:keepLines/>
              <w:widowControl/>
              <w:autoSpaceDE/>
              <w:autoSpaceDN/>
              <w:adjustRightInd/>
              <w:jc w:val="center"/>
              <w:rPr>
                <w:b/>
                <w:bCs/>
                <w:sz w:val="22"/>
                <w:szCs w:val="22"/>
              </w:rPr>
            </w:pPr>
            <w:r w:rsidRPr="00917A7A">
              <w:rPr>
                <w:b/>
                <w:bCs/>
                <w:sz w:val="22"/>
                <w:szCs w:val="22"/>
              </w:rPr>
              <w:t>2021</w:t>
            </w:r>
          </w:p>
        </w:tc>
        <w:tc>
          <w:tcPr>
            <w:tcW w:w="1320" w:type="dxa"/>
            <w:tcBorders>
              <w:top w:val="single" w:color="auto" w:sz="18" w:space="0"/>
              <w:bottom w:val="single" w:color="auto" w:sz="18" w:space="0"/>
              <w:right w:val="single" w:color="auto" w:sz="18" w:space="0"/>
            </w:tcBorders>
            <w:shd w:val="clear" w:color="000000" w:fill="E0E0E0"/>
            <w:vAlign w:val="bottom"/>
          </w:tcPr>
          <w:p w:rsidRPr="00917A7A" w:rsidR="00285B6C" w:rsidP="00285B6C" w:rsidRDefault="00285B6C" w14:paraId="257D7994" w14:textId="77777777">
            <w:pPr>
              <w:keepNext/>
              <w:keepLines/>
              <w:widowControl/>
              <w:autoSpaceDE/>
              <w:autoSpaceDN/>
              <w:adjustRightInd/>
              <w:jc w:val="center"/>
              <w:rPr>
                <w:b/>
                <w:bCs/>
                <w:sz w:val="22"/>
                <w:szCs w:val="22"/>
              </w:rPr>
            </w:pPr>
            <w:r w:rsidRPr="00917A7A">
              <w:rPr>
                <w:b/>
                <w:bCs/>
                <w:sz w:val="22"/>
                <w:szCs w:val="22"/>
              </w:rPr>
              <w:t>2022</w:t>
            </w:r>
          </w:p>
        </w:tc>
        <w:tc>
          <w:tcPr>
            <w:tcW w:w="1495" w:type="dxa"/>
            <w:tcBorders>
              <w:top w:val="single" w:color="auto" w:sz="18" w:space="0"/>
              <w:bottom w:val="single" w:color="auto" w:sz="18" w:space="0"/>
              <w:right w:val="single" w:color="auto" w:sz="2" w:space="0"/>
            </w:tcBorders>
            <w:shd w:val="clear" w:color="000000" w:fill="E0E0E0"/>
            <w:vAlign w:val="bottom"/>
          </w:tcPr>
          <w:p w:rsidRPr="00917A7A" w:rsidR="00285B6C" w:rsidP="00285B6C" w:rsidRDefault="00285B6C" w14:paraId="59ADEEF7" w14:textId="77777777">
            <w:pPr>
              <w:pStyle w:val="FMCSATableHead"/>
              <w:keepNext/>
              <w:spacing w:before="0" w:after="0"/>
              <w:rPr>
                <w:sz w:val="22"/>
                <w:szCs w:val="22"/>
              </w:rPr>
            </w:pPr>
            <w:r w:rsidRPr="00917A7A">
              <w:rPr>
                <w:sz w:val="22"/>
                <w:szCs w:val="22"/>
              </w:rPr>
              <w:t>3-Year Average</w:t>
            </w:r>
          </w:p>
          <w:p w:rsidRPr="00917A7A" w:rsidR="00285B6C" w:rsidP="00285B6C" w:rsidRDefault="00285B6C" w14:paraId="00B56F86" w14:textId="77777777">
            <w:pPr>
              <w:keepNext/>
              <w:keepLines/>
              <w:widowControl/>
              <w:autoSpaceDE/>
              <w:autoSpaceDN/>
              <w:adjustRightInd/>
              <w:jc w:val="center"/>
              <w:rPr>
                <w:b/>
                <w:bCs/>
                <w:sz w:val="22"/>
                <w:szCs w:val="22"/>
              </w:rPr>
            </w:pPr>
            <w:r w:rsidRPr="00917A7A">
              <w:rPr>
                <w:b/>
                <w:sz w:val="22"/>
                <w:szCs w:val="22"/>
              </w:rPr>
              <w:t>(2020-2022)</w:t>
            </w:r>
          </w:p>
        </w:tc>
      </w:tr>
      <w:tr w:rsidRPr="00917A7A" w:rsidR="00917A7A" w:rsidTr="00285B6C" w14:paraId="5C91C23B" w14:textId="77777777">
        <w:trPr>
          <w:trHeight w:val="504"/>
        </w:trPr>
        <w:tc>
          <w:tcPr>
            <w:tcW w:w="3160" w:type="dxa"/>
            <w:tcBorders>
              <w:top w:val="single" w:color="auto" w:sz="18" w:space="0"/>
              <w:bottom w:val="single" w:color="auto" w:sz="2" w:space="0"/>
              <w:right w:val="single" w:color="auto" w:sz="18" w:space="0"/>
            </w:tcBorders>
            <w:shd w:val="clear" w:color="auto" w:fill="auto"/>
            <w:noWrap/>
            <w:vAlign w:val="center"/>
          </w:tcPr>
          <w:p w:rsidRPr="00917A7A" w:rsidR="00285B6C" w:rsidP="00285B6C" w:rsidRDefault="00010830" w14:paraId="236C3DBA" w14:textId="4AFE2263">
            <w:pPr>
              <w:keepNext/>
              <w:keepLines/>
              <w:widowControl/>
              <w:autoSpaceDE/>
              <w:autoSpaceDN/>
              <w:adjustRightInd/>
              <w:rPr>
                <w:iCs/>
                <w:sz w:val="22"/>
                <w:szCs w:val="22"/>
              </w:rPr>
            </w:pPr>
            <w:r w:rsidRPr="00917A7A">
              <w:rPr>
                <w:iCs/>
                <w:sz w:val="22"/>
                <w:szCs w:val="22"/>
              </w:rPr>
              <w:t>Hour burden for entry-level interstate CDL driver training certificates created, presented to employer, and retained in the driver qualification file</w:t>
            </w:r>
          </w:p>
        </w:tc>
        <w:tc>
          <w:tcPr>
            <w:tcW w:w="1320" w:type="dxa"/>
            <w:tcBorders>
              <w:top w:val="single" w:color="auto" w:sz="18" w:space="0"/>
              <w:left w:val="single" w:color="auto" w:sz="18" w:space="0"/>
              <w:bottom w:val="single" w:color="auto" w:sz="2" w:space="0"/>
            </w:tcBorders>
            <w:shd w:val="clear" w:color="auto" w:fill="auto"/>
            <w:noWrap/>
            <w:vAlign w:val="center"/>
          </w:tcPr>
          <w:p w:rsidRPr="00917A7A" w:rsidR="00285B6C" w:rsidP="00285B6C" w:rsidRDefault="006B6E5B" w14:paraId="0A88D48D" w14:textId="4F78E159">
            <w:pPr>
              <w:keepNext/>
              <w:keepLines/>
              <w:widowControl/>
              <w:autoSpaceDE/>
              <w:autoSpaceDN/>
              <w:adjustRightInd/>
              <w:jc w:val="right"/>
              <w:rPr>
                <w:iCs/>
                <w:sz w:val="22"/>
                <w:szCs w:val="22"/>
              </w:rPr>
            </w:pPr>
            <w:r w:rsidRPr="00917A7A">
              <w:rPr>
                <w:iCs/>
                <w:sz w:val="22"/>
                <w:szCs w:val="22"/>
              </w:rPr>
              <w:t>58,793</w:t>
            </w:r>
          </w:p>
        </w:tc>
        <w:tc>
          <w:tcPr>
            <w:tcW w:w="1320" w:type="dxa"/>
            <w:tcBorders>
              <w:top w:val="single" w:color="auto" w:sz="18" w:space="0"/>
              <w:bottom w:val="single" w:color="auto" w:sz="2" w:space="0"/>
            </w:tcBorders>
            <w:vAlign w:val="center"/>
          </w:tcPr>
          <w:p w:rsidRPr="00917A7A" w:rsidR="00285B6C" w:rsidP="00285B6C" w:rsidRDefault="006B6E5B" w14:paraId="3E4EDFBE" w14:textId="1305BC4A">
            <w:pPr>
              <w:keepNext/>
              <w:keepLines/>
              <w:widowControl/>
              <w:autoSpaceDE/>
              <w:autoSpaceDN/>
              <w:adjustRightInd/>
              <w:jc w:val="right"/>
              <w:rPr>
                <w:sz w:val="22"/>
                <w:szCs w:val="22"/>
              </w:rPr>
            </w:pPr>
            <w:r w:rsidRPr="00917A7A">
              <w:rPr>
                <w:sz w:val="22"/>
                <w:szCs w:val="22"/>
              </w:rPr>
              <w:t>59,119</w:t>
            </w:r>
          </w:p>
        </w:tc>
        <w:tc>
          <w:tcPr>
            <w:tcW w:w="1320" w:type="dxa"/>
            <w:tcBorders>
              <w:top w:val="single" w:color="auto" w:sz="18" w:space="0"/>
              <w:bottom w:val="single" w:color="auto" w:sz="2" w:space="0"/>
              <w:right w:val="single" w:color="auto" w:sz="18" w:space="0"/>
            </w:tcBorders>
            <w:vAlign w:val="center"/>
          </w:tcPr>
          <w:p w:rsidRPr="00917A7A" w:rsidR="00285B6C" w:rsidP="00285B6C" w:rsidRDefault="00010830" w14:paraId="72EA508A" w14:textId="2C65360E">
            <w:pPr>
              <w:keepNext/>
              <w:keepLines/>
              <w:widowControl/>
              <w:autoSpaceDE/>
              <w:autoSpaceDN/>
              <w:adjustRightInd/>
              <w:jc w:val="right"/>
              <w:rPr>
                <w:sz w:val="22"/>
                <w:szCs w:val="22"/>
              </w:rPr>
            </w:pPr>
            <w:r w:rsidRPr="00917A7A">
              <w:rPr>
                <w:sz w:val="22"/>
                <w:szCs w:val="22"/>
              </w:rPr>
              <w:t>0</w:t>
            </w:r>
          </w:p>
        </w:tc>
        <w:tc>
          <w:tcPr>
            <w:tcW w:w="1495" w:type="dxa"/>
            <w:tcBorders>
              <w:top w:val="single" w:color="auto" w:sz="18" w:space="0"/>
              <w:bottom w:val="single" w:color="auto" w:sz="2" w:space="0"/>
              <w:right w:val="single" w:color="auto" w:sz="2" w:space="0"/>
            </w:tcBorders>
            <w:vAlign w:val="center"/>
          </w:tcPr>
          <w:p w:rsidRPr="00917A7A" w:rsidR="00285B6C" w:rsidP="00285B6C" w:rsidRDefault="006B6E5B" w14:paraId="2220BA24" w14:textId="7B00A800">
            <w:pPr>
              <w:keepNext/>
              <w:keepLines/>
              <w:widowControl/>
              <w:autoSpaceDE/>
              <w:autoSpaceDN/>
              <w:adjustRightInd/>
              <w:jc w:val="right"/>
              <w:rPr>
                <w:iCs/>
                <w:sz w:val="22"/>
                <w:szCs w:val="22"/>
              </w:rPr>
            </w:pPr>
            <w:r w:rsidRPr="00917A7A">
              <w:rPr>
                <w:iCs/>
                <w:sz w:val="22"/>
                <w:szCs w:val="22"/>
              </w:rPr>
              <w:t>39,304</w:t>
            </w:r>
          </w:p>
        </w:tc>
      </w:tr>
    </w:tbl>
    <w:p w:rsidRPr="00917A7A" w:rsidR="00C67A6A" w:rsidP="00285B6C" w:rsidRDefault="00C67A6A" w14:paraId="226ECB5A" w14:textId="0258537D">
      <w:pPr>
        <w:widowControl/>
        <w:tabs>
          <w:tab w:val="left" w:pos="360"/>
        </w:tabs>
        <w:ind w:left="360"/>
      </w:pPr>
    </w:p>
    <w:p w:rsidRPr="00917A7A" w:rsidR="00C67A6A" w:rsidP="00C67A6A" w:rsidRDefault="00C67A6A" w14:paraId="4BF4FF04" w14:textId="77777777">
      <w:pPr>
        <w:widowControl/>
        <w:tabs>
          <w:tab w:val="left" w:pos="360"/>
        </w:tabs>
        <w:ind w:left="360"/>
      </w:pPr>
      <w:r w:rsidRPr="00917A7A">
        <w:t>“Cost to respondents” (sometimes referred to as “burden hour cost”), as reported here in Section 12, represents the burden hours monetized at an appropriate hourly wage rate.</w:t>
      </w:r>
      <w:r w:rsidRPr="00917A7A">
        <w:rPr>
          <w:rStyle w:val="FootnoteReference"/>
        </w:rPr>
        <w:footnoteReference w:id="12"/>
      </w:r>
      <w:r w:rsidRPr="00917A7A">
        <w:t xml:space="preserve"> Note that “cost to respondents” is separate and distinct from “cost burden”, which is reported later in Section 13 and represents capital or start-up costs, operation or maintenance costs (such as those for supplies and equipment), or purchases of services resulting from the collection of information.</w:t>
      </w:r>
    </w:p>
    <w:p w:rsidRPr="00917A7A" w:rsidR="007533B3" w:rsidP="00C67A6A" w:rsidRDefault="007533B3" w14:paraId="2E7D4636" w14:textId="77777777">
      <w:pPr>
        <w:widowControl/>
        <w:tabs>
          <w:tab w:val="left" w:pos="360"/>
        </w:tabs>
        <w:ind w:left="360"/>
        <w:rPr>
          <w:bCs/>
          <w:szCs w:val="24"/>
        </w:rPr>
      </w:pPr>
    </w:p>
    <w:p w:rsidRPr="00917A7A" w:rsidR="00C67A6A" w:rsidP="007533B3" w:rsidRDefault="00C67A6A" w14:paraId="3CEA40A7" w14:textId="787CC396">
      <w:pPr>
        <w:widowControl/>
        <w:tabs>
          <w:tab w:val="left" w:pos="360"/>
        </w:tabs>
        <w:ind w:left="360"/>
        <w:rPr>
          <w:bCs/>
          <w:szCs w:val="24"/>
        </w:rPr>
      </w:pPr>
      <w:r w:rsidRPr="00917A7A">
        <w:rPr>
          <w:bCs/>
          <w:szCs w:val="24"/>
        </w:rPr>
        <w:t xml:space="preserve">We assume that the occupation most representative of respondents for </w:t>
      </w:r>
      <w:r w:rsidRPr="00917A7A" w:rsidR="009966FF">
        <w:rPr>
          <w:bCs/>
          <w:szCs w:val="24"/>
        </w:rPr>
        <w:t>IC-1</w:t>
      </w:r>
      <w:r w:rsidRPr="00917A7A">
        <w:rPr>
          <w:bCs/>
          <w:szCs w:val="24"/>
        </w:rPr>
        <w:t xml:space="preserve"> corresponds to the “</w:t>
      </w:r>
      <w:r w:rsidRPr="00917A7A" w:rsidR="007533B3">
        <w:rPr>
          <w:bCs/>
          <w:szCs w:val="24"/>
        </w:rPr>
        <w:t xml:space="preserve">Heavy and Tractor-Trailer Truck Drivers” </w:t>
      </w:r>
      <w:r w:rsidRPr="00917A7A">
        <w:rPr>
          <w:bCs/>
          <w:szCs w:val="24"/>
        </w:rPr>
        <w:t xml:space="preserve">SOC Code </w:t>
      </w:r>
      <w:r w:rsidRPr="00917A7A" w:rsidR="007533B3">
        <w:rPr>
          <w:bCs/>
          <w:szCs w:val="24"/>
        </w:rPr>
        <w:t>53</w:t>
      </w:r>
      <w:r w:rsidRPr="00917A7A">
        <w:rPr>
          <w:bCs/>
          <w:szCs w:val="24"/>
        </w:rPr>
        <w:t>-</w:t>
      </w:r>
      <w:r w:rsidRPr="00917A7A" w:rsidR="007533B3">
        <w:rPr>
          <w:bCs/>
          <w:szCs w:val="24"/>
        </w:rPr>
        <w:t>3032</w:t>
      </w:r>
      <w:r w:rsidRPr="00917A7A">
        <w:rPr>
          <w:bCs/>
          <w:szCs w:val="24"/>
        </w:rPr>
        <w:t xml:space="preserve">. </w:t>
      </w:r>
      <w:r w:rsidRPr="00917A7A" w:rsidR="007533B3">
        <w:rPr>
          <w:bCs/>
          <w:szCs w:val="24"/>
        </w:rPr>
        <w:t>T</w:t>
      </w:r>
      <w:r w:rsidRPr="00917A7A">
        <w:rPr>
          <w:bCs/>
          <w:szCs w:val="24"/>
        </w:rPr>
        <w:t xml:space="preserve">he median hourly wage of </w:t>
      </w:r>
      <w:r w:rsidRPr="00917A7A" w:rsidR="00D50318">
        <w:rPr>
          <w:bCs/>
          <w:szCs w:val="24"/>
        </w:rPr>
        <w:t>Heavy and Tractor-Trailer Truck Drivers</w:t>
      </w:r>
      <w:r w:rsidRPr="00917A7A">
        <w:rPr>
          <w:bCs/>
          <w:szCs w:val="24"/>
        </w:rPr>
        <w:t xml:space="preserve"> (SOC Code </w:t>
      </w:r>
      <w:r w:rsidRPr="00917A7A" w:rsidR="007533B3">
        <w:rPr>
          <w:bCs/>
          <w:szCs w:val="24"/>
        </w:rPr>
        <w:t>53-3032</w:t>
      </w:r>
      <w:r w:rsidRPr="00917A7A">
        <w:rPr>
          <w:bCs/>
          <w:szCs w:val="24"/>
        </w:rPr>
        <w:t>) across all industry sectors as of May 2018 of $</w:t>
      </w:r>
      <w:r w:rsidRPr="00917A7A" w:rsidR="007533B3">
        <w:rPr>
          <w:bCs/>
          <w:szCs w:val="24"/>
        </w:rPr>
        <w:t>21</w:t>
      </w:r>
      <w:r w:rsidRPr="00917A7A">
        <w:rPr>
          <w:bCs/>
          <w:szCs w:val="24"/>
        </w:rPr>
        <w:t>.</w:t>
      </w:r>
      <w:r w:rsidRPr="00917A7A" w:rsidR="007533B3">
        <w:rPr>
          <w:bCs/>
          <w:szCs w:val="24"/>
        </w:rPr>
        <w:t>00</w:t>
      </w:r>
      <w:r w:rsidRPr="00917A7A">
        <w:rPr>
          <w:bCs/>
          <w:szCs w:val="24"/>
        </w:rPr>
        <w:t xml:space="preserve"> is used here as the appropriate </w:t>
      </w:r>
      <w:r w:rsidRPr="00917A7A" w:rsidR="007533B3">
        <w:rPr>
          <w:bCs/>
          <w:szCs w:val="24"/>
        </w:rPr>
        <w:t xml:space="preserve">base </w:t>
      </w:r>
      <w:r w:rsidRPr="00917A7A">
        <w:rPr>
          <w:bCs/>
          <w:szCs w:val="24"/>
        </w:rPr>
        <w:t>wage rate for calculating the cost to respondents.</w:t>
      </w:r>
      <w:r w:rsidRPr="00917A7A">
        <w:rPr>
          <w:bCs/>
          <w:szCs w:val="24"/>
          <w:vertAlign w:val="superscript"/>
        </w:rPr>
        <w:footnoteReference w:id="13"/>
      </w:r>
      <w:r w:rsidRPr="00917A7A" w:rsidR="007533B3">
        <w:rPr>
          <w:bCs/>
          <w:szCs w:val="24"/>
        </w:rPr>
        <w:t xml:space="preserve"> </w:t>
      </w:r>
      <w:r w:rsidRPr="00917A7A">
        <w:rPr>
          <w:bCs/>
          <w:szCs w:val="24"/>
        </w:rPr>
        <w:t>To arrive at a loaded wage, we first estimated a fringe benefits rate of 56.9 percent by dividing the total benefit costs ($14.69 per hour) by the wages and salaries ($25.80 per hour) for the transportation and warehousing industry.</w:t>
      </w:r>
      <w:r w:rsidRPr="00917A7A">
        <w:rPr>
          <w:rStyle w:val="FootnoteReference"/>
          <w:bCs/>
          <w:szCs w:val="24"/>
        </w:rPr>
        <w:footnoteReference w:id="14"/>
      </w:r>
      <w:r w:rsidRPr="00917A7A">
        <w:rPr>
          <w:bCs/>
          <w:szCs w:val="24"/>
        </w:rPr>
        <w:t xml:space="preserve"> We then estimated an overhead rate of 27.4 percent by dividing management and overhead costs ($0.107 per mile) by labor costs ($0.39 per mile) for the trucking industry.</w:t>
      </w:r>
      <w:r w:rsidRPr="00917A7A">
        <w:rPr>
          <w:rStyle w:val="FootnoteReference"/>
          <w:bCs/>
          <w:szCs w:val="24"/>
        </w:rPr>
        <w:footnoteReference w:id="15"/>
      </w:r>
      <w:r w:rsidRPr="00917A7A">
        <w:rPr>
          <w:bCs/>
          <w:szCs w:val="24"/>
        </w:rPr>
        <w:t xml:space="preserve"> Using these estimated fringe benefits and overhead rates, we calculated a fully loaded wage rate factor of 2.0 by multiplying the fringe benefits rate (1+0.569) by the overhead rate (1+0.274). Finally, multiplying the median hourly base wage of $</w:t>
      </w:r>
      <w:r w:rsidRPr="00917A7A" w:rsidR="00D50318">
        <w:rPr>
          <w:bCs/>
          <w:szCs w:val="24"/>
        </w:rPr>
        <w:t>21.00</w:t>
      </w:r>
      <w:r w:rsidRPr="00917A7A">
        <w:rPr>
          <w:bCs/>
          <w:szCs w:val="24"/>
        </w:rPr>
        <w:t xml:space="preserve"> by this fully loaded wage rate factor results in a fully loaded hourly wage of $</w:t>
      </w:r>
      <w:r w:rsidRPr="00917A7A" w:rsidR="00D50318">
        <w:rPr>
          <w:bCs/>
          <w:szCs w:val="24"/>
        </w:rPr>
        <w:t>42</w:t>
      </w:r>
      <w:r w:rsidRPr="00917A7A">
        <w:rPr>
          <w:bCs/>
          <w:szCs w:val="24"/>
        </w:rPr>
        <w:t>.</w:t>
      </w:r>
      <w:r w:rsidRPr="00917A7A" w:rsidR="00D50318">
        <w:rPr>
          <w:bCs/>
          <w:szCs w:val="24"/>
        </w:rPr>
        <w:t>00</w:t>
      </w:r>
      <w:r w:rsidRPr="00917A7A">
        <w:rPr>
          <w:bCs/>
          <w:szCs w:val="24"/>
        </w:rPr>
        <w:t>. The resulting average ann</w:t>
      </w:r>
      <w:r w:rsidRPr="00917A7A" w:rsidR="00D50318">
        <w:rPr>
          <w:bCs/>
          <w:szCs w:val="24"/>
        </w:rPr>
        <w:t>ual cost to respondents for IC-1</w:t>
      </w:r>
      <w:r w:rsidRPr="00917A7A">
        <w:rPr>
          <w:bCs/>
          <w:szCs w:val="24"/>
        </w:rPr>
        <w:t xml:space="preserve"> is $1,</w:t>
      </w:r>
      <w:r w:rsidRPr="00917A7A" w:rsidR="00D50318">
        <w:rPr>
          <w:bCs/>
          <w:szCs w:val="24"/>
        </w:rPr>
        <w:t>650</w:t>
      </w:r>
      <w:r w:rsidRPr="00917A7A">
        <w:rPr>
          <w:bCs/>
          <w:szCs w:val="24"/>
        </w:rPr>
        <w:t>,</w:t>
      </w:r>
      <w:r w:rsidRPr="00917A7A" w:rsidR="00D50318">
        <w:rPr>
          <w:bCs/>
          <w:szCs w:val="24"/>
        </w:rPr>
        <w:t>728</w:t>
      </w:r>
      <w:r w:rsidRPr="00917A7A">
        <w:rPr>
          <w:bCs/>
          <w:szCs w:val="24"/>
        </w:rPr>
        <w:t xml:space="preserve"> (</w:t>
      </w:r>
      <w:r w:rsidRPr="00917A7A" w:rsidR="00D50318">
        <w:rPr>
          <w:bCs/>
          <w:szCs w:val="24"/>
        </w:rPr>
        <w:t>39</w:t>
      </w:r>
      <w:r w:rsidRPr="00917A7A">
        <w:rPr>
          <w:bCs/>
          <w:szCs w:val="24"/>
        </w:rPr>
        <w:t>,</w:t>
      </w:r>
      <w:r w:rsidRPr="00917A7A" w:rsidR="00D50318">
        <w:rPr>
          <w:bCs/>
          <w:szCs w:val="24"/>
        </w:rPr>
        <w:t>304</w:t>
      </w:r>
      <w:r w:rsidRPr="00917A7A">
        <w:rPr>
          <w:bCs/>
          <w:szCs w:val="24"/>
        </w:rPr>
        <w:t xml:space="preserve"> average annual burden hours × $</w:t>
      </w:r>
      <w:r w:rsidRPr="00917A7A" w:rsidR="00D50318">
        <w:rPr>
          <w:bCs/>
          <w:szCs w:val="24"/>
        </w:rPr>
        <w:t>42</w:t>
      </w:r>
      <w:r w:rsidRPr="00917A7A">
        <w:rPr>
          <w:bCs/>
          <w:szCs w:val="24"/>
        </w:rPr>
        <w:t>.</w:t>
      </w:r>
      <w:r w:rsidRPr="00917A7A" w:rsidR="00D50318">
        <w:rPr>
          <w:bCs/>
          <w:szCs w:val="24"/>
        </w:rPr>
        <w:t>00</w:t>
      </w:r>
      <w:r w:rsidRPr="00917A7A">
        <w:rPr>
          <w:bCs/>
          <w:szCs w:val="24"/>
        </w:rPr>
        <w:t xml:space="preserve"> fully loaded </w:t>
      </w:r>
      <w:r w:rsidRPr="00917A7A" w:rsidR="00C62F5D">
        <w:rPr>
          <w:bCs/>
          <w:szCs w:val="24"/>
        </w:rPr>
        <w:t xml:space="preserve">hourly </w:t>
      </w:r>
      <w:r w:rsidRPr="00917A7A">
        <w:rPr>
          <w:bCs/>
          <w:szCs w:val="24"/>
        </w:rPr>
        <w:t>wage rate).</w:t>
      </w:r>
    </w:p>
    <w:p w:rsidRPr="00917A7A" w:rsidR="00D52CF0" w:rsidP="00285B6C" w:rsidRDefault="00D52CF0" w14:paraId="5336AC2C" w14:textId="77777777">
      <w:pPr>
        <w:tabs>
          <w:tab w:val="left" w:pos="360"/>
        </w:tabs>
        <w:ind w:left="360"/>
        <w:rPr>
          <w:szCs w:val="24"/>
        </w:rPr>
      </w:pPr>
    </w:p>
    <w:p w:rsidRPr="00917A7A" w:rsidR="00285B6C" w:rsidP="00285B6C" w:rsidRDefault="004D6FA7" w14:paraId="6629873A" w14:textId="1DC409B8">
      <w:pPr>
        <w:tabs>
          <w:tab w:val="left" w:pos="360"/>
        </w:tabs>
        <w:ind w:left="360"/>
        <w:rPr>
          <w:szCs w:val="24"/>
        </w:rPr>
      </w:pPr>
      <w:r w:rsidRPr="00917A7A">
        <w:rPr>
          <w:szCs w:val="24"/>
        </w:rPr>
        <w:lastRenderedPageBreak/>
        <w:t>Table 4</w:t>
      </w:r>
      <w:r w:rsidRPr="00917A7A" w:rsidR="00285B6C">
        <w:rPr>
          <w:szCs w:val="24"/>
        </w:rPr>
        <w:t xml:space="preserve"> presents a summary of the</w:t>
      </w:r>
      <w:r w:rsidRPr="00917A7A">
        <w:rPr>
          <w:szCs w:val="24"/>
        </w:rPr>
        <w:t xml:space="preserve"> burden estimates for IC-1</w:t>
      </w:r>
      <w:r w:rsidRPr="00917A7A" w:rsidR="00285B6C">
        <w:rPr>
          <w:szCs w:val="24"/>
        </w:rPr>
        <w:t>.</w:t>
      </w:r>
    </w:p>
    <w:p w:rsidRPr="00917A7A" w:rsidR="00285B6C" w:rsidP="00285B6C" w:rsidRDefault="00285B6C" w14:paraId="6235B8E6" w14:textId="77777777">
      <w:pPr>
        <w:rPr>
          <w:b/>
        </w:rPr>
      </w:pPr>
    </w:p>
    <w:p w:rsidR="007811BF" w:rsidP="007811BF" w:rsidRDefault="00AE7EC2" w14:paraId="03CD8F39" w14:textId="77777777">
      <w:pPr>
        <w:pStyle w:val="Caption"/>
        <w:keepNext/>
        <w:keepLines/>
        <w:widowControl/>
        <w:spacing w:after="0"/>
        <w:ind w:left="360"/>
        <w:rPr>
          <w:b/>
          <w:i w:val="0"/>
          <w:color w:val="auto"/>
          <w:sz w:val="24"/>
          <w:szCs w:val="24"/>
        </w:rPr>
      </w:pPr>
      <w:r w:rsidRPr="00917A7A">
        <w:rPr>
          <w:b/>
          <w:i w:val="0"/>
          <w:color w:val="auto"/>
          <w:sz w:val="24"/>
          <w:szCs w:val="24"/>
        </w:rPr>
        <w:t>Table 4</w:t>
      </w:r>
      <w:r w:rsidRPr="00917A7A" w:rsidR="00285B6C">
        <w:rPr>
          <w:b/>
          <w:i w:val="0"/>
          <w:color w:val="auto"/>
          <w:sz w:val="24"/>
          <w:szCs w:val="24"/>
        </w:rPr>
        <w:t xml:space="preserve">. </w:t>
      </w:r>
      <w:r w:rsidRPr="00917A7A">
        <w:rPr>
          <w:b/>
          <w:i w:val="0"/>
          <w:color w:val="auto"/>
          <w:sz w:val="24"/>
          <w:szCs w:val="24"/>
        </w:rPr>
        <w:t>Summary for IC-1 (</w:t>
      </w:r>
      <w:r w:rsidRPr="007811BF" w:rsidR="007811BF">
        <w:rPr>
          <w:b/>
          <w:i w:val="0"/>
          <w:color w:val="auto"/>
          <w:sz w:val="24"/>
          <w:szCs w:val="24"/>
        </w:rPr>
        <w:t xml:space="preserve">Training Certification for Entry-Level </w:t>
      </w:r>
    </w:p>
    <w:p w:rsidRPr="00917A7A" w:rsidR="00285B6C" w:rsidP="007811BF" w:rsidRDefault="007811BF" w14:paraId="420340EC" w14:textId="06BC6078">
      <w:pPr>
        <w:pStyle w:val="Caption"/>
        <w:keepNext/>
        <w:keepLines/>
        <w:widowControl/>
        <w:spacing w:after="0"/>
        <w:ind w:left="360"/>
        <w:rPr>
          <w:b/>
          <w:color w:val="auto"/>
          <w:sz w:val="24"/>
          <w:szCs w:val="24"/>
        </w:rPr>
      </w:pPr>
      <w:r w:rsidRPr="007811BF">
        <w:rPr>
          <w:b/>
          <w:i w:val="0"/>
          <w:color w:val="auto"/>
          <w:sz w:val="24"/>
          <w:szCs w:val="24"/>
        </w:rPr>
        <w:t xml:space="preserve">Drivers </w:t>
      </w:r>
      <w:r w:rsidRPr="00917A7A">
        <w:rPr>
          <w:b/>
          <w:i w:val="0"/>
          <w:color w:val="auto"/>
          <w:sz w:val="24"/>
          <w:szCs w:val="24"/>
        </w:rPr>
        <w:t>under Subpart E</w:t>
      </w:r>
      <w:r w:rsidRPr="00917A7A" w:rsidR="00AE7EC2">
        <w:rPr>
          <w:b/>
          <w:i w:val="0"/>
          <w:color w:val="auto"/>
          <w:sz w:val="24"/>
          <w:szCs w:val="24"/>
        </w:rPr>
        <w:t>)</w:t>
      </w:r>
    </w:p>
    <w:tbl>
      <w:tblPr>
        <w:tblW w:w="3679"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94"/>
        <w:gridCol w:w="1586"/>
      </w:tblGrid>
      <w:tr w:rsidRPr="00917A7A" w:rsidR="00917A7A" w:rsidTr="00285B6C" w14:paraId="7E6D523D" w14:textId="77777777">
        <w:trPr>
          <w:trHeight w:val="600"/>
        </w:trPr>
        <w:tc>
          <w:tcPr>
            <w:tcW w:w="5293" w:type="dxa"/>
            <w:tcBorders>
              <w:top w:val="single" w:color="auto" w:sz="18" w:space="0"/>
              <w:bottom w:val="single" w:color="auto" w:sz="18" w:space="0"/>
              <w:right w:val="single" w:color="auto" w:sz="18" w:space="0"/>
            </w:tcBorders>
            <w:shd w:val="clear" w:color="000000" w:fill="E0E0E0"/>
            <w:vAlign w:val="bottom"/>
            <w:hideMark/>
          </w:tcPr>
          <w:p w:rsidRPr="00917A7A" w:rsidR="00285B6C" w:rsidP="00285B6C" w:rsidRDefault="00285B6C" w14:paraId="11DE70C2" w14:textId="77777777">
            <w:pPr>
              <w:keepNext/>
              <w:keepLines/>
              <w:widowControl/>
              <w:autoSpaceDE/>
              <w:autoSpaceDN/>
              <w:adjustRightInd/>
              <w:jc w:val="center"/>
              <w:rPr>
                <w:b/>
                <w:bCs/>
                <w:sz w:val="22"/>
                <w:szCs w:val="22"/>
              </w:rPr>
            </w:pPr>
            <w:r w:rsidRPr="00917A7A">
              <w:rPr>
                <w:b/>
                <w:bCs/>
                <w:sz w:val="22"/>
                <w:szCs w:val="22"/>
              </w:rPr>
              <w:t>Summary Item</w:t>
            </w:r>
          </w:p>
        </w:tc>
        <w:tc>
          <w:tcPr>
            <w:tcW w:w="1586" w:type="dxa"/>
            <w:tcBorders>
              <w:top w:val="single" w:color="auto" w:sz="18" w:space="0"/>
              <w:left w:val="single" w:color="auto" w:sz="18" w:space="0"/>
              <w:bottom w:val="single" w:color="auto" w:sz="18" w:space="0"/>
            </w:tcBorders>
            <w:shd w:val="clear" w:color="000000" w:fill="E0E0E0"/>
            <w:vAlign w:val="bottom"/>
            <w:hideMark/>
          </w:tcPr>
          <w:p w:rsidRPr="00917A7A" w:rsidR="00285B6C" w:rsidP="00285B6C" w:rsidRDefault="00285B6C" w14:paraId="1D987FD8" w14:textId="77777777">
            <w:pPr>
              <w:keepNext/>
              <w:keepLines/>
              <w:widowControl/>
              <w:autoSpaceDE/>
              <w:autoSpaceDN/>
              <w:adjustRightInd/>
              <w:jc w:val="center"/>
              <w:rPr>
                <w:b/>
                <w:bCs/>
                <w:sz w:val="22"/>
                <w:szCs w:val="22"/>
              </w:rPr>
            </w:pPr>
            <w:r w:rsidRPr="00917A7A">
              <w:rPr>
                <w:b/>
                <w:bCs/>
                <w:sz w:val="22"/>
                <w:szCs w:val="22"/>
              </w:rPr>
              <w:t>Value</w:t>
            </w:r>
          </w:p>
        </w:tc>
      </w:tr>
      <w:tr w:rsidRPr="00917A7A" w:rsidR="00917A7A" w:rsidTr="00285B6C" w14:paraId="24B3B37B" w14:textId="77777777">
        <w:trPr>
          <w:trHeight w:val="324"/>
        </w:trPr>
        <w:tc>
          <w:tcPr>
            <w:tcW w:w="5293" w:type="dxa"/>
            <w:tcBorders>
              <w:top w:val="single" w:color="auto" w:sz="18" w:space="0"/>
              <w:bottom w:val="single" w:color="auto" w:sz="2" w:space="0"/>
              <w:right w:val="single" w:color="auto" w:sz="18" w:space="0"/>
            </w:tcBorders>
            <w:shd w:val="clear" w:color="auto" w:fill="auto"/>
            <w:noWrap/>
            <w:vAlign w:val="center"/>
          </w:tcPr>
          <w:p w:rsidRPr="00917A7A" w:rsidR="00285B6C" w:rsidP="00285B6C" w:rsidRDefault="00285B6C" w14:paraId="42F8E705" w14:textId="77777777">
            <w:pPr>
              <w:keepNext/>
              <w:keepLines/>
              <w:widowControl/>
              <w:autoSpaceDE/>
              <w:autoSpaceDN/>
              <w:adjustRightInd/>
              <w:rPr>
                <w:iCs/>
                <w:sz w:val="22"/>
                <w:szCs w:val="22"/>
              </w:rPr>
            </w:pPr>
            <w:r w:rsidRPr="00917A7A">
              <w:rPr>
                <w:iCs/>
                <w:sz w:val="22"/>
                <w:szCs w:val="22"/>
              </w:rPr>
              <w:t>Average Annual Number of Respondents</w:t>
            </w:r>
          </w:p>
        </w:tc>
        <w:tc>
          <w:tcPr>
            <w:tcW w:w="1586" w:type="dxa"/>
            <w:tcBorders>
              <w:top w:val="single" w:color="auto" w:sz="18" w:space="0"/>
              <w:left w:val="single" w:color="auto" w:sz="18" w:space="0"/>
              <w:bottom w:val="single" w:color="auto" w:sz="2" w:space="0"/>
            </w:tcBorders>
            <w:shd w:val="clear" w:color="auto" w:fill="auto"/>
            <w:noWrap/>
            <w:vAlign w:val="center"/>
          </w:tcPr>
          <w:p w:rsidRPr="00917A7A" w:rsidR="00285B6C" w:rsidP="00285B6C" w:rsidRDefault="002E6C9D" w14:paraId="61C38434" w14:textId="1E88454D">
            <w:pPr>
              <w:keepNext/>
              <w:keepLines/>
              <w:widowControl/>
              <w:autoSpaceDE/>
              <w:autoSpaceDN/>
              <w:adjustRightInd/>
              <w:jc w:val="right"/>
              <w:rPr>
                <w:iCs/>
                <w:sz w:val="22"/>
                <w:szCs w:val="22"/>
              </w:rPr>
            </w:pPr>
            <w:r w:rsidRPr="00917A7A">
              <w:rPr>
                <w:iCs/>
                <w:sz w:val="22"/>
                <w:szCs w:val="22"/>
              </w:rPr>
              <w:t>235,824</w:t>
            </w:r>
          </w:p>
        </w:tc>
      </w:tr>
      <w:tr w:rsidRPr="00917A7A" w:rsidR="00917A7A" w:rsidTr="00285B6C" w14:paraId="1C8E27A5"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285B6C" w:rsidDel="006804BD" w:rsidP="00285B6C" w:rsidRDefault="00285B6C" w14:paraId="1CF94170" w14:textId="77777777">
            <w:pPr>
              <w:keepNext/>
              <w:keepLines/>
              <w:widowControl/>
              <w:autoSpaceDE/>
              <w:autoSpaceDN/>
              <w:adjustRightInd/>
              <w:rPr>
                <w:sz w:val="22"/>
                <w:szCs w:val="22"/>
              </w:rPr>
            </w:pPr>
            <w:r w:rsidRPr="00917A7A">
              <w:rPr>
                <w:sz w:val="22"/>
                <w:szCs w:val="22"/>
              </w:rPr>
              <w:t>Average Annual Responses</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285B6C" w:rsidP="00285B6C" w:rsidRDefault="002E6C9D" w14:paraId="215031AB" w14:textId="42B1BFFE">
            <w:pPr>
              <w:keepNext/>
              <w:keepLines/>
              <w:widowControl/>
              <w:autoSpaceDE/>
              <w:autoSpaceDN/>
              <w:adjustRightInd/>
              <w:jc w:val="right"/>
              <w:rPr>
                <w:sz w:val="22"/>
                <w:szCs w:val="22"/>
              </w:rPr>
            </w:pPr>
            <w:r w:rsidRPr="00917A7A">
              <w:rPr>
                <w:iCs/>
                <w:sz w:val="22"/>
                <w:szCs w:val="22"/>
              </w:rPr>
              <w:t>235,824</w:t>
            </w:r>
          </w:p>
        </w:tc>
      </w:tr>
      <w:tr w:rsidRPr="00917A7A" w:rsidR="00917A7A" w:rsidTr="00285B6C" w14:paraId="2E8BD9A6"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285B6C" w:rsidDel="006804BD" w:rsidP="00285B6C" w:rsidRDefault="00285B6C" w14:paraId="1493931A" w14:textId="77777777">
            <w:pPr>
              <w:keepNext/>
              <w:keepLines/>
              <w:widowControl/>
              <w:autoSpaceDE/>
              <w:autoSpaceDN/>
              <w:adjustRightInd/>
              <w:rPr>
                <w:sz w:val="22"/>
                <w:szCs w:val="22"/>
              </w:rPr>
            </w:pPr>
            <w:r w:rsidRPr="00917A7A">
              <w:rPr>
                <w:sz w:val="22"/>
                <w:szCs w:val="22"/>
              </w:rPr>
              <w:t>Average Annual Number of Responses per Respondent</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285B6C" w:rsidP="00285B6C" w:rsidRDefault="002E6C9D" w14:paraId="7C7EFBB9" w14:textId="61FD778D">
            <w:pPr>
              <w:keepNext/>
              <w:keepLines/>
              <w:widowControl/>
              <w:autoSpaceDE/>
              <w:autoSpaceDN/>
              <w:adjustRightInd/>
              <w:jc w:val="right"/>
              <w:rPr>
                <w:sz w:val="22"/>
                <w:szCs w:val="22"/>
              </w:rPr>
            </w:pPr>
            <w:r w:rsidRPr="00917A7A">
              <w:rPr>
                <w:sz w:val="22"/>
                <w:szCs w:val="22"/>
              </w:rPr>
              <w:t>1.00</w:t>
            </w:r>
          </w:p>
        </w:tc>
      </w:tr>
      <w:tr w:rsidRPr="00917A7A" w:rsidR="00917A7A" w:rsidTr="00285B6C" w14:paraId="59D8E97C"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285B6C" w:rsidDel="006804BD" w:rsidP="00285B6C" w:rsidRDefault="00285B6C" w14:paraId="46298F72" w14:textId="77777777">
            <w:pPr>
              <w:keepNext/>
              <w:keepLines/>
              <w:widowControl/>
              <w:autoSpaceDE/>
              <w:autoSpaceDN/>
              <w:adjustRightInd/>
              <w:rPr>
                <w:sz w:val="22"/>
                <w:szCs w:val="22"/>
              </w:rPr>
            </w:pPr>
            <w:r w:rsidRPr="00917A7A">
              <w:rPr>
                <w:sz w:val="22"/>
                <w:szCs w:val="22"/>
              </w:rPr>
              <w:t>Average Annual Burden Hours</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285B6C" w:rsidP="00285B6C" w:rsidRDefault="002E6C9D" w14:paraId="4370CF99" w14:textId="7DABBF07">
            <w:pPr>
              <w:keepNext/>
              <w:keepLines/>
              <w:widowControl/>
              <w:autoSpaceDE/>
              <w:autoSpaceDN/>
              <w:adjustRightInd/>
              <w:jc w:val="right"/>
              <w:rPr>
                <w:sz w:val="22"/>
                <w:szCs w:val="22"/>
              </w:rPr>
            </w:pPr>
            <w:r w:rsidRPr="00917A7A">
              <w:rPr>
                <w:sz w:val="22"/>
                <w:szCs w:val="22"/>
              </w:rPr>
              <w:t>39,304</w:t>
            </w:r>
          </w:p>
        </w:tc>
      </w:tr>
      <w:tr w:rsidRPr="00917A7A" w:rsidR="00917A7A" w:rsidTr="00285B6C" w14:paraId="28B3B1F6"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285B6C" w:rsidDel="006804BD" w:rsidP="00285B6C" w:rsidRDefault="00285B6C" w14:paraId="71823022" w14:textId="77777777">
            <w:pPr>
              <w:keepNext/>
              <w:keepLines/>
              <w:widowControl/>
              <w:autoSpaceDE/>
              <w:autoSpaceDN/>
              <w:adjustRightInd/>
              <w:rPr>
                <w:sz w:val="22"/>
                <w:szCs w:val="22"/>
              </w:rPr>
            </w:pPr>
            <w:r w:rsidRPr="00917A7A">
              <w:rPr>
                <w:sz w:val="22"/>
                <w:szCs w:val="22"/>
              </w:rPr>
              <w:t>Average Hours per Response</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285B6C" w:rsidP="00285B6C" w:rsidRDefault="002E6C9D" w14:paraId="2A7D6C62" w14:textId="36F0DC82">
            <w:pPr>
              <w:keepNext/>
              <w:keepLines/>
              <w:widowControl/>
              <w:autoSpaceDE/>
              <w:autoSpaceDN/>
              <w:adjustRightInd/>
              <w:jc w:val="right"/>
              <w:rPr>
                <w:sz w:val="22"/>
                <w:szCs w:val="22"/>
              </w:rPr>
            </w:pPr>
            <w:r w:rsidRPr="00917A7A">
              <w:rPr>
                <w:sz w:val="22"/>
                <w:szCs w:val="22"/>
              </w:rPr>
              <w:t>0.167</w:t>
            </w:r>
          </w:p>
        </w:tc>
      </w:tr>
      <w:tr w:rsidRPr="00917A7A" w:rsidR="00285B6C" w:rsidTr="00285B6C" w14:paraId="72CE3B03"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285B6C" w:rsidP="00285B6C" w:rsidRDefault="00285B6C" w14:paraId="10BEF35A" w14:textId="77777777">
            <w:pPr>
              <w:keepNext/>
              <w:keepLines/>
              <w:widowControl/>
              <w:autoSpaceDE/>
              <w:autoSpaceDN/>
              <w:adjustRightInd/>
              <w:rPr>
                <w:sz w:val="22"/>
                <w:szCs w:val="22"/>
              </w:rPr>
            </w:pPr>
            <w:r w:rsidRPr="00917A7A">
              <w:rPr>
                <w:sz w:val="22"/>
                <w:szCs w:val="22"/>
              </w:rPr>
              <w:t>Average Annual Cost to Respondents</w:t>
            </w:r>
          </w:p>
          <w:p w:rsidRPr="00917A7A" w:rsidR="00285B6C" w:rsidDel="006804BD" w:rsidP="00285B6C" w:rsidRDefault="00285B6C" w14:paraId="088A7407" w14:textId="77777777">
            <w:pPr>
              <w:keepNext/>
              <w:keepLines/>
              <w:widowControl/>
              <w:autoSpaceDE/>
              <w:autoSpaceDN/>
              <w:adjustRightInd/>
              <w:rPr>
                <w:sz w:val="18"/>
                <w:szCs w:val="18"/>
              </w:rPr>
            </w:pPr>
            <w:r w:rsidRPr="00917A7A">
              <w:rPr>
                <w:sz w:val="18"/>
                <w:szCs w:val="18"/>
              </w:rPr>
              <w:t>(burden hours monetized at loaded hourly wage rate)</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285B6C" w:rsidP="00285B6C" w:rsidRDefault="002E6C9D" w14:paraId="4291EA17" w14:textId="4B1DA720">
            <w:pPr>
              <w:keepNext/>
              <w:keepLines/>
              <w:widowControl/>
              <w:autoSpaceDE/>
              <w:autoSpaceDN/>
              <w:adjustRightInd/>
              <w:jc w:val="right"/>
              <w:rPr>
                <w:sz w:val="22"/>
                <w:szCs w:val="22"/>
              </w:rPr>
            </w:pPr>
            <w:r w:rsidRPr="00917A7A">
              <w:rPr>
                <w:sz w:val="22"/>
                <w:szCs w:val="22"/>
              </w:rPr>
              <w:t>$1,650,728</w:t>
            </w:r>
          </w:p>
        </w:tc>
      </w:tr>
    </w:tbl>
    <w:p w:rsidRPr="00917A7A" w:rsidR="00285B6C" w:rsidP="00F4084A" w:rsidRDefault="00285B6C" w14:paraId="1CA13EBC" w14:textId="77777777">
      <w:pPr>
        <w:tabs>
          <w:tab w:val="left" w:pos="360"/>
        </w:tabs>
        <w:ind w:left="360"/>
        <w:rPr>
          <w:szCs w:val="24"/>
        </w:rPr>
      </w:pPr>
    </w:p>
    <w:p w:rsidRPr="00917A7A" w:rsidR="00B52E13" w:rsidP="00D9563F" w:rsidRDefault="00B173D6" w14:paraId="575664F7" w14:textId="25B13EA1">
      <w:pPr>
        <w:keepNext/>
        <w:keepLines/>
        <w:widowControl/>
        <w:ind w:left="360"/>
      </w:pPr>
      <w:r w:rsidRPr="00917A7A">
        <w:rPr>
          <w:b/>
          <w:u w:val="single"/>
        </w:rPr>
        <w:t>IC-2</w:t>
      </w:r>
      <w:r w:rsidRPr="00917A7A" w:rsidR="00B52E13">
        <w:rPr>
          <w:b/>
          <w:u w:val="single"/>
        </w:rPr>
        <w:t>:  Training Provider Registration</w:t>
      </w:r>
      <w:r w:rsidRPr="00917A7A" w:rsidR="00C75014">
        <w:rPr>
          <w:b/>
          <w:u w:val="single"/>
        </w:rPr>
        <w:t xml:space="preserve"> (under 49 CFR Part 380 Subpart G)</w:t>
      </w:r>
    </w:p>
    <w:p w:rsidRPr="00917A7A" w:rsidR="00B52E13" w:rsidP="00D9563F" w:rsidRDefault="00B52E13" w14:paraId="286C4F51" w14:textId="3BB9B08D">
      <w:pPr>
        <w:keepNext/>
        <w:keepLines/>
        <w:tabs>
          <w:tab w:val="left" w:pos="360"/>
        </w:tabs>
        <w:ind w:left="360"/>
        <w:rPr>
          <w:szCs w:val="24"/>
        </w:rPr>
      </w:pPr>
    </w:p>
    <w:p w:rsidRPr="00917A7A" w:rsidR="00CB0AEA" w:rsidP="00B162A8" w:rsidRDefault="00F02EC3" w14:paraId="19721E48" w14:textId="0F1EB3F4">
      <w:pPr>
        <w:ind w:left="360"/>
      </w:pPr>
      <w:r w:rsidRPr="00917A7A">
        <w:t xml:space="preserve">During the third year, 2022, of the three-year period covered by this ICR, under IC-2, “Training Provider Registration” information will be collected by FMCSA from each training provider for each training location by means of the online TPR. </w:t>
      </w:r>
      <w:r w:rsidRPr="00917A7A" w:rsidR="00B162A8">
        <w:t xml:space="preserve">The TPR will be an online web-based information system that training providers must use to submit information to FMCSA to ensure that they meet the new training provider eligibility requirements and can therefore be listed on the TPR. </w:t>
      </w:r>
      <w:r w:rsidRPr="00917A7A">
        <w:t xml:space="preserve">The use of an electronic, online, web-based information system for this collection of information is expected to reduce burden on respondents. </w:t>
      </w:r>
      <w:r w:rsidRPr="00917A7A" w:rsidR="00B162A8">
        <w:t>Although the TPR will be an online web-based system, the information and specific data fields required to be submitted by training providers in order to be listed on the TPR are presented with this Supporting Statement in the attached “Training Provider Registration” inf</w:t>
      </w:r>
      <w:r w:rsidR="0016696E">
        <w:t xml:space="preserve">ormation collection </w:t>
      </w:r>
      <w:r w:rsidRPr="00917A7A" w:rsidR="00B162A8">
        <w:t xml:space="preserve">which lists the data elements that will be submitted to the TPR by each training provider, for each training location, and each curricula, in order to register on the TPR. </w:t>
      </w:r>
    </w:p>
    <w:p w:rsidRPr="00917A7A" w:rsidR="00CB0AEA" w:rsidP="00B162A8" w:rsidRDefault="00CB0AEA" w14:paraId="10AB778C" w14:textId="77777777">
      <w:pPr>
        <w:ind w:left="360"/>
      </w:pPr>
    </w:p>
    <w:p w:rsidRPr="00917A7A" w:rsidR="00F02EC3" w:rsidP="00B162A8" w:rsidRDefault="00F02EC3" w14:paraId="2D91F371" w14:textId="7FFFBABA">
      <w:pPr>
        <w:ind w:left="360"/>
      </w:pPr>
      <w:r w:rsidRPr="00917A7A">
        <w:t>This information will be collected when a training provider is first registering in the TPR, on a biennial basis thereafter, or otherwise when key information changes (training provider name, address, phone number, type(s) of training offered, training provider status, and, if applicable, any change in State licensure, certification, or accreditation status). The “Training Provider Registration” information will be used by FMCSA to ensure that training providers meet the new training provider eligibility requirements established by the December 2016 final rule, and can therefore be listed on the TPR. Furthermore, from the “Training Provider Registration” information submitted by training providers, certain basic identifying information (e.g., company name, location, contact information, etc.) and descriptive attributes regarding the training offered (e.g., which types of CDL and/or endorsement training are offered, etc.) by each training provider and at each training location will be displayed and made available to the public on the TPR website (unless the training provider chooses to not have this information displayed). This information will be used by entry-level drivers to identify training providers from which they can obtain the training that they require for the Class A or Class B CDL and/or endorsement that they seek to acquire.</w:t>
      </w:r>
    </w:p>
    <w:p w:rsidRPr="00917A7A" w:rsidR="00F02EC3" w:rsidP="00D9563F" w:rsidRDefault="00F02EC3" w14:paraId="5DB6DFAC" w14:textId="449359C5">
      <w:pPr>
        <w:keepNext/>
        <w:keepLines/>
        <w:tabs>
          <w:tab w:val="left" w:pos="360"/>
        </w:tabs>
        <w:ind w:left="360"/>
        <w:rPr>
          <w:szCs w:val="24"/>
        </w:rPr>
      </w:pPr>
    </w:p>
    <w:p w:rsidRPr="00917A7A" w:rsidR="00BE6030" w:rsidP="008C3A7A" w:rsidRDefault="008909AF" w14:paraId="77B2A3F2" w14:textId="236AFF21">
      <w:pPr>
        <w:ind w:left="360"/>
      </w:pPr>
      <w:r w:rsidRPr="00917A7A">
        <w:t xml:space="preserve">Some training provider organizations provide training at </w:t>
      </w:r>
      <w:r w:rsidRPr="00917A7A" w:rsidR="00CD5462">
        <w:t>only one location</w:t>
      </w:r>
      <w:r w:rsidRPr="00917A7A">
        <w:t>, while others may provide training at more than one location.</w:t>
      </w:r>
      <w:r w:rsidRPr="00917A7A" w:rsidR="00E53464">
        <w:t xml:space="preserve"> </w:t>
      </w:r>
      <w:r w:rsidRPr="00917A7A" w:rsidR="001955D2">
        <w:t xml:space="preserve">Training providers must register each </w:t>
      </w:r>
      <w:r w:rsidRPr="00917A7A" w:rsidR="00E53464">
        <w:t xml:space="preserve">training location </w:t>
      </w:r>
      <w:r w:rsidRPr="00917A7A" w:rsidR="001955D2">
        <w:t xml:space="preserve">in the TPR, and each training location </w:t>
      </w:r>
      <w:r w:rsidRPr="00917A7A" w:rsidR="00E53464">
        <w:t>will be assigned a u</w:t>
      </w:r>
      <w:r w:rsidRPr="00917A7A" w:rsidR="001955D2">
        <w:t>nique TPR identification number by FMCSA.</w:t>
      </w:r>
      <w:r w:rsidRPr="00917A7A" w:rsidR="008C3A7A">
        <w:t xml:space="preserve"> </w:t>
      </w:r>
      <w:r w:rsidRPr="00917A7A" w:rsidR="00080686">
        <w:t>Under this ICR, “Training Provider Registration” information will be collected by FMCSA from each training provider</w:t>
      </w:r>
      <w:r w:rsidRPr="00917A7A" w:rsidR="00E53464">
        <w:t>,</w:t>
      </w:r>
      <w:r w:rsidRPr="00917A7A" w:rsidR="00080686">
        <w:t xml:space="preserve"> for each </w:t>
      </w:r>
      <w:r w:rsidRPr="00917A7A">
        <w:t xml:space="preserve">separate </w:t>
      </w:r>
      <w:r w:rsidRPr="00917A7A" w:rsidR="00080686">
        <w:t>training location</w:t>
      </w:r>
      <w:r w:rsidRPr="00917A7A">
        <w:t xml:space="preserve"> at which they provide training,</w:t>
      </w:r>
      <w:r w:rsidRPr="00917A7A" w:rsidR="00080686">
        <w:t xml:space="preserve"> by means of the online </w:t>
      </w:r>
      <w:r w:rsidRPr="00917A7A" w:rsidR="008472E1">
        <w:t>TPR</w:t>
      </w:r>
      <w:r w:rsidRPr="00917A7A" w:rsidR="001D05F9">
        <w:t>.</w:t>
      </w:r>
    </w:p>
    <w:p w:rsidRPr="00917A7A" w:rsidR="00400696" w:rsidP="00145EF4" w:rsidRDefault="00400696" w14:paraId="64C6F8C5" w14:textId="77777777">
      <w:pPr>
        <w:tabs>
          <w:tab w:val="left" w:pos="360"/>
        </w:tabs>
        <w:ind w:left="360"/>
        <w:rPr>
          <w:szCs w:val="24"/>
        </w:rPr>
      </w:pPr>
    </w:p>
    <w:p w:rsidRPr="00917A7A" w:rsidR="008E17F2" w:rsidP="00EB3FE4" w:rsidRDefault="00F4292F" w14:paraId="206B76DB" w14:textId="7951D3BB">
      <w:pPr>
        <w:tabs>
          <w:tab w:val="left" w:pos="360"/>
        </w:tabs>
        <w:ind w:left="360"/>
      </w:pPr>
      <w:r w:rsidRPr="00917A7A">
        <w:t>Table 5</w:t>
      </w:r>
      <w:r w:rsidRPr="00917A7A" w:rsidR="00F77A82">
        <w:t xml:space="preserve"> presents the estimated total population of training providers that are anticipated to meet the new training provider eligibility requirements and be listed on the TPR </w:t>
      </w:r>
      <w:r w:rsidRPr="00917A7A" w:rsidR="001D05F9">
        <w:t>for</w:t>
      </w:r>
      <w:r w:rsidRPr="00917A7A" w:rsidR="00F77A82">
        <w:t xml:space="preserve"> the</w:t>
      </w:r>
      <w:r w:rsidRPr="00917A7A" w:rsidR="00400696">
        <w:t xml:space="preserve"> third year, 2022, of the three-year period covered by this ICR. T</w:t>
      </w:r>
      <w:r w:rsidRPr="00917A7A" w:rsidR="00F77A82">
        <w:t xml:space="preserve">raining providers must submit information for each individual location at which they </w:t>
      </w:r>
      <w:r w:rsidRPr="00917A7A" w:rsidR="00FF41DA">
        <w:t xml:space="preserve">provide training. Because some training provider organizations provide training at more than just one location, both the </w:t>
      </w:r>
      <w:r w:rsidRPr="00917A7A" w:rsidR="00F77A82">
        <w:t xml:space="preserve">number of training provider </w:t>
      </w:r>
      <w:r w:rsidRPr="00917A7A" w:rsidR="00FF41DA">
        <w:t>organizations</w:t>
      </w:r>
      <w:r w:rsidRPr="00917A7A" w:rsidR="009D02BA">
        <w:t xml:space="preserve"> (as potential respondents)</w:t>
      </w:r>
      <w:r w:rsidRPr="00917A7A" w:rsidR="00FF41DA">
        <w:t>, and the number of training provider locations</w:t>
      </w:r>
      <w:r w:rsidRPr="00917A7A" w:rsidR="009D02BA">
        <w:t xml:space="preserve"> (as potential responses)</w:t>
      </w:r>
      <w:r w:rsidRPr="00917A7A" w:rsidR="00FF41DA">
        <w:t>, are pres</w:t>
      </w:r>
      <w:r w:rsidRPr="00917A7A" w:rsidR="009D02BA">
        <w:t>ented.</w:t>
      </w:r>
    </w:p>
    <w:p w:rsidRPr="00917A7A" w:rsidR="008E17F2" w:rsidP="00EB3FE4" w:rsidRDefault="008E17F2" w14:paraId="55BB7F0E" w14:textId="77777777">
      <w:pPr>
        <w:tabs>
          <w:tab w:val="left" w:pos="360"/>
        </w:tabs>
        <w:ind w:left="360"/>
      </w:pPr>
    </w:p>
    <w:p w:rsidRPr="00917A7A" w:rsidR="007743A2" w:rsidP="00400696" w:rsidRDefault="00FF41DA" w14:paraId="15063194" w14:textId="428527C6">
      <w:pPr>
        <w:tabs>
          <w:tab w:val="left" w:pos="360"/>
        </w:tabs>
        <w:ind w:left="360"/>
      </w:pPr>
      <w:r w:rsidRPr="00917A7A">
        <w:t>The</w:t>
      </w:r>
      <w:r w:rsidRPr="00917A7A" w:rsidR="008E17F2">
        <w:t xml:space="preserve"> </w:t>
      </w:r>
      <w:r w:rsidRPr="00917A7A">
        <w:t xml:space="preserve">estimates </w:t>
      </w:r>
      <w:r w:rsidRPr="00917A7A" w:rsidR="00F4292F">
        <w:t>presented in Table 5</w:t>
      </w:r>
      <w:r w:rsidRPr="00917A7A" w:rsidR="008E17F2">
        <w:t xml:space="preserve"> </w:t>
      </w:r>
      <w:r w:rsidRPr="00917A7A">
        <w:t xml:space="preserve">are consistent with those developed and used previously in the </w:t>
      </w:r>
      <w:r w:rsidRPr="00917A7A" w:rsidR="00EB3FE4">
        <w:t xml:space="preserve">regulatory evaluation for the </w:t>
      </w:r>
      <w:r w:rsidRPr="00917A7A">
        <w:t>December 8, 2016, final rule</w:t>
      </w:r>
      <w:r w:rsidRPr="00917A7A" w:rsidR="00EB3FE4">
        <w:t>.</w:t>
      </w:r>
      <w:r w:rsidRPr="00917A7A" w:rsidR="00EB3FE4">
        <w:rPr>
          <w:rStyle w:val="FootnoteReference"/>
          <w:szCs w:val="24"/>
        </w:rPr>
        <w:footnoteReference w:id="16"/>
      </w:r>
      <w:r w:rsidRPr="00917A7A" w:rsidR="00EB3FE4">
        <w:t xml:space="preserve"> These estimates also in part form the basis for the analyses performed in the regulatory evaluation for </w:t>
      </w:r>
      <w:r w:rsidRPr="00917A7A">
        <w:t xml:space="preserve">the March 6, 2019, final rule titled “Commercial Driver’s License Upgrade from Class B to Class A” (84 FR 8029) (Attachment </w:t>
      </w:r>
      <w:r w:rsidRPr="00917A7A" w:rsidR="00B32097">
        <w:t>C</w:t>
      </w:r>
      <w:r w:rsidRPr="00917A7A" w:rsidR="00C82A9E">
        <w:t xml:space="preserve">), and </w:t>
      </w:r>
      <w:r w:rsidRPr="00917A7A" w:rsidR="00400696">
        <w:t xml:space="preserve">the </w:t>
      </w:r>
      <w:r w:rsidRPr="00A45437" w:rsidR="00A45437">
        <w:rPr>
          <w:bCs/>
          <w:szCs w:val="24"/>
        </w:rPr>
        <w:t>February 4, 2020</w:t>
      </w:r>
      <w:r w:rsidRPr="00917A7A" w:rsidR="00400696">
        <w:t xml:space="preserve">, interim final rule (IFR) </w:t>
      </w:r>
      <w:r w:rsidRPr="00917A7A" w:rsidR="00400696">
        <w:rPr>
          <w:bCs/>
          <w:szCs w:val="24"/>
        </w:rPr>
        <w:t xml:space="preserve">titled “Extension of Compliance Date for Entry-Level Driver Training” </w:t>
      </w:r>
      <w:r w:rsidRPr="009402C9" w:rsidR="009402C9">
        <w:rPr>
          <w:bCs/>
          <w:szCs w:val="24"/>
        </w:rPr>
        <w:t>(85 FR 6088)</w:t>
      </w:r>
      <w:r w:rsidRPr="009402C9" w:rsidDel="009402C9" w:rsidR="009402C9">
        <w:rPr>
          <w:bCs/>
          <w:szCs w:val="24"/>
        </w:rPr>
        <w:t xml:space="preserve"> </w:t>
      </w:r>
      <w:r w:rsidRPr="00917A7A" w:rsidR="00400696">
        <w:rPr>
          <w:bCs/>
          <w:szCs w:val="24"/>
        </w:rPr>
        <w:t>(Attachment D).</w:t>
      </w:r>
      <w:r w:rsidRPr="00917A7A" w:rsidR="00400696">
        <w:t xml:space="preserve"> </w:t>
      </w:r>
      <w:r w:rsidRPr="00917A7A" w:rsidR="00400696">
        <w:rPr>
          <w:bCs/>
          <w:szCs w:val="24"/>
        </w:rPr>
        <w:t xml:space="preserve">These </w:t>
      </w:r>
      <w:r w:rsidRPr="00917A7A">
        <w:rPr>
          <w:bCs/>
          <w:szCs w:val="24"/>
        </w:rPr>
        <w:t>estimates have previously been subject to review and comment as part of the December 2016 and March 2019 final rules</w:t>
      </w:r>
      <w:r w:rsidRPr="00917A7A" w:rsidR="00EB3FE4">
        <w:rPr>
          <w:bCs/>
          <w:szCs w:val="24"/>
        </w:rPr>
        <w:t xml:space="preserve"> and their related NPRMs</w:t>
      </w:r>
      <w:r w:rsidRPr="00917A7A" w:rsidR="00D22A0A">
        <w:rPr>
          <w:bCs/>
          <w:szCs w:val="24"/>
        </w:rPr>
        <w:t>. For the three</w:t>
      </w:r>
      <w:r w:rsidRPr="00917A7A" w:rsidR="00EE315A">
        <w:rPr>
          <w:bCs/>
          <w:szCs w:val="24"/>
        </w:rPr>
        <w:t>-</w:t>
      </w:r>
      <w:r w:rsidRPr="00917A7A" w:rsidR="00D22A0A">
        <w:rPr>
          <w:bCs/>
          <w:szCs w:val="24"/>
        </w:rPr>
        <w:t>year period, it is assumed that the number of training providers and training locations will remain relatively stable, as presented in the table</w:t>
      </w:r>
      <w:r w:rsidRPr="00917A7A" w:rsidR="009D02BA">
        <w:rPr>
          <w:bCs/>
          <w:szCs w:val="24"/>
        </w:rPr>
        <w:t>, as there is currently no information that would suggest otherwise</w:t>
      </w:r>
      <w:r w:rsidRPr="00917A7A" w:rsidR="00D22A0A">
        <w:rPr>
          <w:bCs/>
          <w:szCs w:val="24"/>
        </w:rPr>
        <w:t xml:space="preserve">. </w:t>
      </w:r>
      <w:r w:rsidRPr="00917A7A" w:rsidR="00F87E9B">
        <w:rPr>
          <w:bCs/>
          <w:szCs w:val="24"/>
        </w:rPr>
        <w:t xml:space="preserve">It is anticipated that in the future, after the TPR has been in operation, the Agency will be able to use information from actual training provider registrations performed on the TPR to </w:t>
      </w:r>
      <w:r w:rsidRPr="00917A7A" w:rsidR="007743A2">
        <w:rPr>
          <w:bCs/>
          <w:szCs w:val="24"/>
        </w:rPr>
        <w:t>refine these estimates of the po</w:t>
      </w:r>
      <w:r w:rsidRPr="00917A7A" w:rsidR="00EB3FE4">
        <w:rPr>
          <w:bCs/>
          <w:szCs w:val="24"/>
        </w:rPr>
        <w:t>pulation of training providers i</w:t>
      </w:r>
      <w:r w:rsidRPr="00917A7A" w:rsidR="007743A2">
        <w:rPr>
          <w:bCs/>
          <w:szCs w:val="24"/>
        </w:rPr>
        <w:t>n conjunction with future renewals or revisions of this ICR.</w:t>
      </w:r>
    </w:p>
    <w:p w:rsidRPr="00917A7A" w:rsidR="0004754B" w:rsidP="00145EF4" w:rsidRDefault="0004754B" w14:paraId="29A8A70D" w14:textId="77777777">
      <w:pPr>
        <w:tabs>
          <w:tab w:val="left" w:pos="360"/>
        </w:tabs>
        <w:ind w:left="360"/>
        <w:rPr>
          <w:szCs w:val="24"/>
        </w:rPr>
      </w:pPr>
    </w:p>
    <w:p w:rsidRPr="00917A7A" w:rsidR="00974889" w:rsidP="00974889" w:rsidRDefault="00974889" w14:paraId="461D5E9C" w14:textId="57A2DEBA">
      <w:pPr>
        <w:pStyle w:val="Caption"/>
        <w:keepNext/>
        <w:keepLines/>
        <w:widowControl/>
        <w:spacing w:after="0"/>
        <w:ind w:left="360"/>
        <w:rPr>
          <w:b/>
          <w:i w:val="0"/>
          <w:color w:val="auto"/>
          <w:sz w:val="24"/>
          <w:szCs w:val="24"/>
        </w:rPr>
      </w:pPr>
      <w:bookmarkStart w:name="_Ref500750865" w:id="1"/>
      <w:r w:rsidRPr="00917A7A">
        <w:rPr>
          <w:b/>
          <w:i w:val="0"/>
          <w:color w:val="auto"/>
          <w:sz w:val="24"/>
          <w:szCs w:val="24"/>
        </w:rPr>
        <w:t xml:space="preserve">Table </w:t>
      </w:r>
      <w:bookmarkEnd w:id="1"/>
      <w:r w:rsidRPr="00917A7A" w:rsidR="00227758">
        <w:rPr>
          <w:b/>
          <w:i w:val="0"/>
          <w:color w:val="auto"/>
          <w:sz w:val="24"/>
          <w:szCs w:val="24"/>
        </w:rPr>
        <w:t>5</w:t>
      </w:r>
      <w:r w:rsidRPr="00917A7A">
        <w:rPr>
          <w:b/>
          <w:i w:val="0"/>
          <w:color w:val="auto"/>
          <w:sz w:val="24"/>
          <w:szCs w:val="24"/>
        </w:rPr>
        <w:t xml:space="preserve">. </w:t>
      </w:r>
      <w:r w:rsidRPr="00917A7A" w:rsidR="00770FAE">
        <w:rPr>
          <w:b/>
          <w:i w:val="0"/>
          <w:color w:val="auto"/>
          <w:sz w:val="24"/>
          <w:szCs w:val="24"/>
        </w:rPr>
        <w:t>Estimated Number of Providers of Entry-Level CDL and</w:t>
      </w:r>
    </w:p>
    <w:p w:rsidRPr="00917A7A" w:rsidR="00770FAE" w:rsidP="00770FAE" w:rsidRDefault="00770FAE" w14:paraId="6FC36C0C" w14:textId="77777777">
      <w:pPr>
        <w:ind w:left="360"/>
        <w:rPr>
          <w:b/>
          <w:szCs w:val="24"/>
        </w:rPr>
      </w:pPr>
      <w:r w:rsidRPr="00917A7A">
        <w:rPr>
          <w:b/>
          <w:szCs w:val="24"/>
        </w:rPr>
        <w:t>Endorsement Training</w:t>
      </w:r>
    </w:p>
    <w:tbl>
      <w:tblPr>
        <w:tblW w:w="3725"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44"/>
        <w:gridCol w:w="1232"/>
        <w:gridCol w:w="1145"/>
        <w:gridCol w:w="1146"/>
      </w:tblGrid>
      <w:tr w:rsidRPr="00917A7A" w:rsidR="00F6360F" w:rsidTr="00985C3E" w14:paraId="39AAC1E0" w14:textId="77777777">
        <w:trPr>
          <w:trHeight w:val="600"/>
        </w:trPr>
        <w:tc>
          <w:tcPr>
            <w:tcW w:w="3445" w:type="dxa"/>
            <w:tcBorders>
              <w:top w:val="single" w:color="auto" w:sz="18" w:space="0"/>
              <w:bottom w:val="single" w:color="auto" w:sz="18" w:space="0"/>
              <w:right w:val="single" w:color="auto" w:sz="18" w:space="0"/>
            </w:tcBorders>
            <w:shd w:val="clear" w:color="000000" w:fill="E0E0E0"/>
            <w:vAlign w:val="bottom"/>
            <w:hideMark/>
          </w:tcPr>
          <w:p w:rsidRPr="00917A7A" w:rsidR="00770FAE" w:rsidP="009D02BA" w:rsidRDefault="00770FAE" w14:paraId="3714FF59" w14:textId="77777777">
            <w:pPr>
              <w:keepNext/>
              <w:keepLines/>
              <w:widowControl/>
              <w:autoSpaceDE/>
              <w:autoSpaceDN/>
              <w:adjustRightInd/>
              <w:rPr>
                <w:b/>
                <w:bCs/>
              </w:rPr>
            </w:pPr>
            <w:r w:rsidRPr="00917A7A">
              <w:rPr>
                <w:b/>
                <w:bCs/>
              </w:rPr>
              <w:t> </w:t>
            </w:r>
          </w:p>
        </w:tc>
        <w:tc>
          <w:tcPr>
            <w:tcW w:w="1232" w:type="dxa"/>
            <w:tcBorders>
              <w:top w:val="single" w:color="auto" w:sz="18" w:space="0"/>
              <w:left w:val="single" w:color="auto" w:sz="18" w:space="0"/>
              <w:bottom w:val="single" w:color="auto" w:sz="18" w:space="0"/>
            </w:tcBorders>
            <w:shd w:val="clear" w:color="000000" w:fill="E0E0E0"/>
            <w:vAlign w:val="bottom"/>
            <w:hideMark/>
          </w:tcPr>
          <w:p w:rsidRPr="00917A7A" w:rsidR="00770FAE" w:rsidP="009D02BA" w:rsidRDefault="00770FAE" w14:paraId="3B94BDE4" w14:textId="77777777">
            <w:pPr>
              <w:keepNext/>
              <w:keepLines/>
              <w:widowControl/>
              <w:autoSpaceDE/>
              <w:autoSpaceDN/>
              <w:adjustRightInd/>
              <w:jc w:val="center"/>
              <w:rPr>
                <w:b/>
                <w:bCs/>
                <w:sz w:val="22"/>
                <w:szCs w:val="22"/>
              </w:rPr>
            </w:pPr>
            <w:r w:rsidRPr="00917A7A">
              <w:rPr>
                <w:b/>
                <w:bCs/>
                <w:sz w:val="22"/>
                <w:szCs w:val="22"/>
              </w:rPr>
              <w:t>2020</w:t>
            </w:r>
          </w:p>
        </w:tc>
        <w:tc>
          <w:tcPr>
            <w:tcW w:w="1145" w:type="dxa"/>
            <w:tcBorders>
              <w:top w:val="single" w:color="auto" w:sz="18" w:space="0"/>
              <w:bottom w:val="single" w:color="auto" w:sz="18" w:space="0"/>
            </w:tcBorders>
            <w:shd w:val="clear" w:color="000000" w:fill="E0E0E0"/>
            <w:vAlign w:val="bottom"/>
          </w:tcPr>
          <w:p w:rsidRPr="00917A7A" w:rsidR="00770FAE" w:rsidP="009D02BA" w:rsidRDefault="00770FAE" w14:paraId="5445B562" w14:textId="77777777">
            <w:pPr>
              <w:keepNext/>
              <w:keepLines/>
              <w:widowControl/>
              <w:autoSpaceDE/>
              <w:autoSpaceDN/>
              <w:adjustRightInd/>
              <w:jc w:val="center"/>
              <w:rPr>
                <w:b/>
                <w:bCs/>
                <w:sz w:val="22"/>
                <w:szCs w:val="22"/>
              </w:rPr>
            </w:pPr>
            <w:r w:rsidRPr="00917A7A">
              <w:rPr>
                <w:b/>
                <w:bCs/>
                <w:sz w:val="22"/>
                <w:szCs w:val="22"/>
              </w:rPr>
              <w:t>2021</w:t>
            </w:r>
          </w:p>
        </w:tc>
        <w:tc>
          <w:tcPr>
            <w:tcW w:w="1146" w:type="dxa"/>
            <w:tcBorders>
              <w:top w:val="single" w:color="auto" w:sz="18" w:space="0"/>
              <w:bottom w:val="single" w:color="auto" w:sz="18" w:space="0"/>
              <w:right w:val="single" w:color="auto" w:sz="2" w:space="0"/>
            </w:tcBorders>
            <w:shd w:val="clear" w:color="000000" w:fill="E0E0E0"/>
            <w:vAlign w:val="bottom"/>
          </w:tcPr>
          <w:p w:rsidRPr="00917A7A" w:rsidR="00770FAE" w:rsidP="009D02BA" w:rsidRDefault="00770FAE" w14:paraId="114C5D7A" w14:textId="77777777">
            <w:pPr>
              <w:keepNext/>
              <w:keepLines/>
              <w:widowControl/>
              <w:autoSpaceDE/>
              <w:autoSpaceDN/>
              <w:adjustRightInd/>
              <w:jc w:val="center"/>
              <w:rPr>
                <w:b/>
                <w:bCs/>
                <w:sz w:val="22"/>
                <w:szCs w:val="22"/>
              </w:rPr>
            </w:pPr>
            <w:r w:rsidRPr="00917A7A">
              <w:rPr>
                <w:b/>
                <w:bCs/>
                <w:sz w:val="22"/>
                <w:szCs w:val="22"/>
              </w:rPr>
              <w:t>2022</w:t>
            </w:r>
          </w:p>
        </w:tc>
      </w:tr>
      <w:tr w:rsidRPr="00917A7A" w:rsidR="00F6360F" w:rsidTr="00985C3E" w14:paraId="300DC484" w14:textId="77777777">
        <w:trPr>
          <w:trHeight w:val="513"/>
        </w:trPr>
        <w:tc>
          <w:tcPr>
            <w:tcW w:w="3445" w:type="dxa"/>
            <w:tcBorders>
              <w:top w:val="single" w:color="auto" w:sz="18" w:space="0"/>
              <w:bottom w:val="single" w:color="auto" w:sz="2" w:space="0"/>
              <w:right w:val="single" w:color="auto" w:sz="18" w:space="0"/>
            </w:tcBorders>
            <w:shd w:val="clear" w:color="auto" w:fill="auto"/>
            <w:noWrap/>
            <w:vAlign w:val="center"/>
            <w:hideMark/>
          </w:tcPr>
          <w:p w:rsidRPr="00917A7A" w:rsidR="00770FAE" w:rsidP="009D02BA" w:rsidRDefault="00770FAE" w14:paraId="66DC7CD3" w14:textId="77777777">
            <w:pPr>
              <w:keepNext/>
              <w:keepLines/>
              <w:widowControl/>
              <w:autoSpaceDE/>
              <w:autoSpaceDN/>
              <w:adjustRightInd/>
              <w:rPr>
                <w:iCs/>
                <w:sz w:val="22"/>
                <w:szCs w:val="22"/>
              </w:rPr>
            </w:pPr>
            <w:r w:rsidRPr="00917A7A">
              <w:rPr>
                <w:sz w:val="22"/>
                <w:szCs w:val="22"/>
              </w:rPr>
              <w:t>Number of Training Provider Organizations</w:t>
            </w:r>
          </w:p>
        </w:tc>
        <w:tc>
          <w:tcPr>
            <w:tcW w:w="1232" w:type="dxa"/>
            <w:tcBorders>
              <w:top w:val="single" w:color="auto" w:sz="18" w:space="0"/>
              <w:left w:val="single" w:color="auto" w:sz="18" w:space="0"/>
              <w:bottom w:val="single" w:color="auto" w:sz="2" w:space="0"/>
            </w:tcBorders>
            <w:shd w:val="clear" w:color="auto" w:fill="auto"/>
            <w:noWrap/>
            <w:vAlign w:val="center"/>
          </w:tcPr>
          <w:p w:rsidRPr="00917A7A" w:rsidR="00770FAE" w:rsidP="009D02BA" w:rsidRDefault="00E838A3" w14:paraId="33AD8B50" w14:textId="28CB4A49">
            <w:pPr>
              <w:keepNext/>
              <w:keepLines/>
              <w:widowControl/>
              <w:autoSpaceDE/>
              <w:autoSpaceDN/>
              <w:adjustRightInd/>
              <w:jc w:val="right"/>
              <w:rPr>
                <w:iCs/>
                <w:sz w:val="22"/>
                <w:szCs w:val="22"/>
              </w:rPr>
            </w:pPr>
            <w:r w:rsidRPr="00917A7A">
              <w:rPr>
                <w:iCs/>
                <w:sz w:val="22"/>
                <w:szCs w:val="22"/>
              </w:rPr>
              <w:t>0</w:t>
            </w:r>
          </w:p>
        </w:tc>
        <w:tc>
          <w:tcPr>
            <w:tcW w:w="1145" w:type="dxa"/>
            <w:tcBorders>
              <w:top w:val="single" w:color="auto" w:sz="18" w:space="0"/>
              <w:bottom w:val="single" w:color="auto" w:sz="2" w:space="0"/>
            </w:tcBorders>
            <w:vAlign w:val="center"/>
          </w:tcPr>
          <w:p w:rsidRPr="00917A7A" w:rsidR="00770FAE" w:rsidP="009D02BA" w:rsidRDefault="00E838A3" w14:paraId="23C63BAE" w14:textId="753C7839">
            <w:pPr>
              <w:keepNext/>
              <w:keepLines/>
              <w:widowControl/>
              <w:autoSpaceDE/>
              <w:autoSpaceDN/>
              <w:adjustRightInd/>
              <w:jc w:val="right"/>
              <w:rPr>
                <w:sz w:val="22"/>
                <w:szCs w:val="22"/>
              </w:rPr>
            </w:pPr>
            <w:r w:rsidRPr="00917A7A">
              <w:rPr>
                <w:iCs/>
                <w:sz w:val="22"/>
                <w:szCs w:val="22"/>
              </w:rPr>
              <w:t>0</w:t>
            </w:r>
          </w:p>
        </w:tc>
        <w:tc>
          <w:tcPr>
            <w:tcW w:w="1146" w:type="dxa"/>
            <w:tcBorders>
              <w:top w:val="single" w:color="auto" w:sz="18" w:space="0"/>
              <w:bottom w:val="single" w:color="auto" w:sz="2" w:space="0"/>
              <w:right w:val="single" w:color="auto" w:sz="2" w:space="0"/>
            </w:tcBorders>
            <w:vAlign w:val="center"/>
          </w:tcPr>
          <w:p w:rsidRPr="00917A7A" w:rsidR="00770FAE" w:rsidP="009D02BA" w:rsidRDefault="004463D4" w14:paraId="06EC3DDC" w14:textId="77777777">
            <w:pPr>
              <w:keepNext/>
              <w:keepLines/>
              <w:widowControl/>
              <w:autoSpaceDE/>
              <w:autoSpaceDN/>
              <w:adjustRightInd/>
              <w:jc w:val="right"/>
              <w:rPr>
                <w:sz w:val="22"/>
                <w:szCs w:val="22"/>
              </w:rPr>
            </w:pPr>
            <w:r w:rsidRPr="00917A7A">
              <w:rPr>
                <w:iCs/>
                <w:sz w:val="22"/>
                <w:szCs w:val="22"/>
              </w:rPr>
              <w:t>20,510</w:t>
            </w:r>
          </w:p>
        </w:tc>
      </w:tr>
      <w:tr w:rsidRPr="00917A7A" w:rsidR="00F6360F" w:rsidTr="00985C3E" w14:paraId="50C91745" w14:textId="77777777">
        <w:trPr>
          <w:trHeight w:val="535"/>
        </w:trPr>
        <w:tc>
          <w:tcPr>
            <w:tcW w:w="3445" w:type="dxa"/>
            <w:tcBorders>
              <w:top w:val="single" w:color="auto" w:sz="2" w:space="0"/>
              <w:left w:val="single" w:color="auto" w:sz="2" w:space="0"/>
              <w:bottom w:val="single" w:color="auto" w:sz="18" w:space="0"/>
              <w:right w:val="single" w:color="auto" w:sz="18" w:space="0"/>
            </w:tcBorders>
            <w:shd w:val="clear" w:color="auto" w:fill="auto"/>
            <w:noWrap/>
            <w:vAlign w:val="center"/>
          </w:tcPr>
          <w:p w:rsidRPr="00917A7A" w:rsidR="00770FAE" w:rsidDel="006804BD" w:rsidP="009D02BA" w:rsidRDefault="00770FAE" w14:paraId="1B38BA25" w14:textId="77777777">
            <w:pPr>
              <w:keepNext/>
              <w:keepLines/>
              <w:widowControl/>
              <w:autoSpaceDE/>
              <w:autoSpaceDN/>
              <w:adjustRightInd/>
              <w:rPr>
                <w:sz w:val="22"/>
                <w:szCs w:val="22"/>
              </w:rPr>
            </w:pPr>
            <w:r w:rsidRPr="00917A7A">
              <w:rPr>
                <w:sz w:val="22"/>
                <w:szCs w:val="22"/>
              </w:rPr>
              <w:t>Number of Training Locations</w:t>
            </w:r>
          </w:p>
        </w:tc>
        <w:tc>
          <w:tcPr>
            <w:tcW w:w="1232" w:type="dxa"/>
            <w:tcBorders>
              <w:top w:val="single" w:color="auto" w:sz="2" w:space="0"/>
              <w:left w:val="single" w:color="auto" w:sz="18" w:space="0"/>
              <w:bottom w:val="single" w:color="auto" w:sz="18" w:space="0"/>
              <w:right w:val="single" w:color="auto" w:sz="2" w:space="0"/>
            </w:tcBorders>
            <w:shd w:val="clear" w:color="auto" w:fill="auto"/>
            <w:noWrap/>
            <w:vAlign w:val="center"/>
          </w:tcPr>
          <w:p w:rsidRPr="00917A7A" w:rsidR="00770FAE" w:rsidP="009D02BA" w:rsidRDefault="00E838A3" w14:paraId="6A49EE23" w14:textId="7497F64B">
            <w:pPr>
              <w:keepNext/>
              <w:keepLines/>
              <w:widowControl/>
              <w:autoSpaceDE/>
              <w:autoSpaceDN/>
              <w:adjustRightInd/>
              <w:jc w:val="right"/>
              <w:rPr>
                <w:sz w:val="22"/>
                <w:szCs w:val="22"/>
              </w:rPr>
            </w:pPr>
            <w:r w:rsidRPr="00917A7A">
              <w:rPr>
                <w:sz w:val="22"/>
                <w:szCs w:val="22"/>
              </w:rPr>
              <w:t>0</w:t>
            </w:r>
          </w:p>
        </w:tc>
        <w:tc>
          <w:tcPr>
            <w:tcW w:w="1145" w:type="dxa"/>
            <w:tcBorders>
              <w:top w:val="single" w:color="auto" w:sz="2" w:space="0"/>
              <w:left w:val="single" w:color="auto" w:sz="2" w:space="0"/>
              <w:bottom w:val="single" w:color="auto" w:sz="18" w:space="0"/>
              <w:right w:val="single" w:color="auto" w:sz="2" w:space="0"/>
            </w:tcBorders>
            <w:vAlign w:val="center"/>
          </w:tcPr>
          <w:p w:rsidRPr="00917A7A" w:rsidR="00770FAE" w:rsidP="009D02BA" w:rsidRDefault="00E838A3" w14:paraId="3141A69B" w14:textId="71AEC101">
            <w:pPr>
              <w:keepNext/>
              <w:keepLines/>
              <w:widowControl/>
              <w:autoSpaceDE/>
              <w:autoSpaceDN/>
              <w:adjustRightInd/>
              <w:jc w:val="right"/>
              <w:rPr>
                <w:sz w:val="22"/>
                <w:szCs w:val="22"/>
              </w:rPr>
            </w:pPr>
            <w:r w:rsidRPr="00917A7A">
              <w:rPr>
                <w:sz w:val="22"/>
                <w:szCs w:val="22"/>
              </w:rPr>
              <w:t>0</w:t>
            </w:r>
          </w:p>
        </w:tc>
        <w:tc>
          <w:tcPr>
            <w:tcW w:w="1146" w:type="dxa"/>
            <w:tcBorders>
              <w:top w:val="single" w:color="auto" w:sz="2" w:space="0"/>
              <w:left w:val="single" w:color="auto" w:sz="2" w:space="0"/>
              <w:bottom w:val="single" w:color="auto" w:sz="18" w:space="0"/>
              <w:right w:val="single" w:color="auto" w:sz="2" w:space="0"/>
            </w:tcBorders>
            <w:vAlign w:val="center"/>
          </w:tcPr>
          <w:p w:rsidRPr="00917A7A" w:rsidR="00770FAE" w:rsidP="009D02BA" w:rsidRDefault="00EE2EA8" w14:paraId="3EA165BF" w14:textId="77777777">
            <w:pPr>
              <w:keepNext/>
              <w:keepLines/>
              <w:widowControl/>
              <w:autoSpaceDE/>
              <w:autoSpaceDN/>
              <w:adjustRightInd/>
              <w:jc w:val="right"/>
              <w:rPr>
                <w:sz w:val="22"/>
                <w:szCs w:val="22"/>
              </w:rPr>
            </w:pPr>
            <w:r w:rsidRPr="00917A7A">
              <w:rPr>
                <w:sz w:val="22"/>
                <w:szCs w:val="22"/>
              </w:rPr>
              <w:t>22,260</w:t>
            </w:r>
          </w:p>
        </w:tc>
      </w:tr>
    </w:tbl>
    <w:p w:rsidRPr="00917A7A" w:rsidR="009D5120" w:rsidP="00145EF4" w:rsidRDefault="009D5120" w14:paraId="4D8E8576" w14:textId="77777777">
      <w:pPr>
        <w:tabs>
          <w:tab w:val="left" w:pos="360"/>
        </w:tabs>
        <w:ind w:left="360"/>
        <w:rPr>
          <w:i/>
          <w:sz w:val="18"/>
          <w:szCs w:val="18"/>
        </w:rPr>
      </w:pPr>
      <w:r w:rsidRPr="00917A7A">
        <w:rPr>
          <w:b/>
          <w:sz w:val="18"/>
          <w:szCs w:val="18"/>
        </w:rPr>
        <w:t>Source</w:t>
      </w:r>
      <w:r w:rsidRPr="00917A7A">
        <w:rPr>
          <w:sz w:val="18"/>
          <w:szCs w:val="18"/>
        </w:rPr>
        <w:t xml:space="preserve">:  </w:t>
      </w:r>
      <w:r w:rsidRPr="00917A7A">
        <w:rPr>
          <w:i/>
          <w:sz w:val="18"/>
          <w:szCs w:val="18"/>
        </w:rPr>
        <w:t xml:space="preserve">Regulatory Evaluation of Minimum Training Requirements for Entry-Level Commercial </w:t>
      </w:r>
    </w:p>
    <w:p w:rsidRPr="00917A7A" w:rsidR="009D5120" w:rsidP="00145EF4" w:rsidRDefault="009D5120" w14:paraId="6FA2E013" w14:textId="77777777">
      <w:pPr>
        <w:tabs>
          <w:tab w:val="left" w:pos="360"/>
        </w:tabs>
        <w:ind w:left="360"/>
        <w:rPr>
          <w:sz w:val="18"/>
          <w:szCs w:val="18"/>
        </w:rPr>
      </w:pPr>
      <w:r w:rsidRPr="00917A7A">
        <w:rPr>
          <w:i/>
          <w:sz w:val="18"/>
          <w:szCs w:val="18"/>
        </w:rPr>
        <w:t>Motor Vehicle Operators Final Rule</w:t>
      </w:r>
      <w:r w:rsidRPr="00917A7A">
        <w:rPr>
          <w:sz w:val="18"/>
          <w:szCs w:val="18"/>
        </w:rPr>
        <w:t xml:space="preserve">. Section 2.4.5 (Training Providers), pp. 45-51. Table 15, pg. 52. </w:t>
      </w:r>
    </w:p>
    <w:p w:rsidRPr="00917A7A" w:rsidR="008B1364" w:rsidP="009D5120" w:rsidRDefault="009D5120" w14:paraId="567B1B6F" w14:textId="77777777">
      <w:pPr>
        <w:tabs>
          <w:tab w:val="left" w:pos="360"/>
        </w:tabs>
        <w:ind w:left="360"/>
        <w:rPr>
          <w:sz w:val="18"/>
          <w:szCs w:val="18"/>
        </w:rPr>
      </w:pPr>
      <w:r w:rsidRPr="00917A7A">
        <w:rPr>
          <w:sz w:val="18"/>
          <w:szCs w:val="18"/>
        </w:rPr>
        <w:t>Docket ID FMCSA-2007-27748-1291.</w:t>
      </w:r>
    </w:p>
    <w:p w:rsidRPr="00917A7A" w:rsidR="006A759B" w:rsidP="00D44D2D" w:rsidRDefault="006A759B" w14:paraId="4BD845C5" w14:textId="77777777">
      <w:pPr>
        <w:tabs>
          <w:tab w:val="left" w:pos="360"/>
        </w:tabs>
        <w:ind w:left="360"/>
        <w:rPr>
          <w:szCs w:val="24"/>
        </w:rPr>
      </w:pPr>
    </w:p>
    <w:p w:rsidRPr="00917A7A" w:rsidR="004932B6" w:rsidP="008F120E" w:rsidRDefault="00946826" w14:paraId="42F9653E" w14:textId="6BE582E6">
      <w:pPr>
        <w:tabs>
          <w:tab w:val="left" w:pos="360"/>
        </w:tabs>
        <w:ind w:left="360"/>
        <w:rPr>
          <w:szCs w:val="24"/>
        </w:rPr>
      </w:pPr>
      <w:r w:rsidRPr="00917A7A">
        <w:rPr>
          <w:szCs w:val="24"/>
        </w:rPr>
        <w:lastRenderedPageBreak/>
        <w:t>The estimate</w:t>
      </w:r>
      <w:r w:rsidRPr="00917A7A" w:rsidR="009D02BA">
        <w:rPr>
          <w:szCs w:val="24"/>
        </w:rPr>
        <w:t>d population of</w:t>
      </w:r>
      <w:r w:rsidRPr="00917A7A" w:rsidR="00727E7B">
        <w:rPr>
          <w:szCs w:val="24"/>
        </w:rPr>
        <w:t xml:space="preserve"> training provider organizations</w:t>
      </w:r>
      <w:r w:rsidRPr="00917A7A" w:rsidR="009D02BA">
        <w:rPr>
          <w:szCs w:val="24"/>
        </w:rPr>
        <w:t xml:space="preserve"> and training provider locations presented </w:t>
      </w:r>
      <w:r w:rsidRPr="00917A7A" w:rsidR="00D24597">
        <w:rPr>
          <w:szCs w:val="24"/>
        </w:rPr>
        <w:t xml:space="preserve">in </w:t>
      </w:r>
      <w:r w:rsidRPr="00917A7A" w:rsidR="00F4292F">
        <w:rPr>
          <w:szCs w:val="24"/>
        </w:rPr>
        <w:t>Table 5</w:t>
      </w:r>
      <w:r w:rsidRPr="00917A7A">
        <w:rPr>
          <w:szCs w:val="24"/>
        </w:rPr>
        <w:t xml:space="preserve"> form the basis for estimating the number of </w:t>
      </w:r>
      <w:r w:rsidRPr="00917A7A" w:rsidR="00D44D2D">
        <w:rPr>
          <w:szCs w:val="24"/>
        </w:rPr>
        <w:t xml:space="preserve">respondents, the number of responses, and the hour burden each year. </w:t>
      </w:r>
      <w:r w:rsidRPr="00917A7A" w:rsidR="004932B6">
        <w:t>Training provider registration information will be collected when a training provider is first registering in the TPR, on a biennial basis thereafter, or otherwise when key information changes (training provider name, address, phone number, type(s) of training offered, training provider status, and, if applicable, any change in State licensure, certification, or accreditation status).</w:t>
      </w:r>
      <w:r w:rsidRPr="00917A7A" w:rsidR="008F120E">
        <w:rPr>
          <w:szCs w:val="24"/>
        </w:rPr>
        <w:t xml:space="preserve"> </w:t>
      </w:r>
      <w:r w:rsidRPr="00917A7A" w:rsidR="00D51230">
        <w:rPr>
          <w:szCs w:val="24"/>
        </w:rPr>
        <w:t xml:space="preserve">Therefore, in any given year, training providers may be impacted by </w:t>
      </w:r>
      <w:r w:rsidRPr="00917A7A" w:rsidR="009D02BA">
        <w:rPr>
          <w:szCs w:val="24"/>
        </w:rPr>
        <w:t xml:space="preserve">one or more </w:t>
      </w:r>
      <w:r w:rsidRPr="00917A7A" w:rsidR="00383A69">
        <w:rPr>
          <w:szCs w:val="24"/>
        </w:rPr>
        <w:t xml:space="preserve">of three different types of </w:t>
      </w:r>
      <w:r w:rsidRPr="00917A7A" w:rsidR="00D51230">
        <w:rPr>
          <w:szCs w:val="24"/>
        </w:rPr>
        <w:t xml:space="preserve">information </w:t>
      </w:r>
      <w:r w:rsidRPr="00917A7A" w:rsidR="00B173D6">
        <w:rPr>
          <w:szCs w:val="24"/>
        </w:rPr>
        <w:t>collection activities under IC-2</w:t>
      </w:r>
      <w:r w:rsidRPr="00917A7A" w:rsidR="00D51230">
        <w:rPr>
          <w:szCs w:val="24"/>
        </w:rPr>
        <w:t xml:space="preserve">, </w:t>
      </w:r>
      <w:r w:rsidRPr="00917A7A" w:rsidR="00D51230">
        <w:t>for each separate training location at which they provide trainin</w:t>
      </w:r>
      <w:r w:rsidRPr="00917A7A" w:rsidR="00383A69">
        <w:rPr>
          <w:szCs w:val="24"/>
        </w:rPr>
        <w:t>g. These three activities, and their estimated hour burden per response, are:</w:t>
      </w:r>
    </w:p>
    <w:p w:rsidRPr="00917A7A" w:rsidR="00D51230" w:rsidP="00145EF4" w:rsidRDefault="00D51230" w14:paraId="74ADCAB8" w14:textId="77777777">
      <w:pPr>
        <w:tabs>
          <w:tab w:val="left" w:pos="360"/>
        </w:tabs>
        <w:ind w:left="360"/>
        <w:rPr>
          <w:szCs w:val="24"/>
        </w:rPr>
      </w:pPr>
    </w:p>
    <w:p w:rsidRPr="00917A7A" w:rsidR="00E94F1B" w:rsidP="00E94F1B" w:rsidRDefault="00E94F1B" w14:paraId="4A46F4D2" w14:textId="77777777">
      <w:pPr>
        <w:numPr>
          <w:ilvl w:val="0"/>
          <w:numId w:val="35"/>
        </w:numPr>
        <w:tabs>
          <w:tab w:val="left" w:pos="360"/>
        </w:tabs>
        <w:rPr>
          <w:szCs w:val="24"/>
        </w:rPr>
      </w:pPr>
      <w:r w:rsidRPr="00917A7A">
        <w:rPr>
          <w:szCs w:val="24"/>
        </w:rPr>
        <w:t>New first-time registration</w:t>
      </w:r>
      <w:r w:rsidRPr="00917A7A" w:rsidR="009D02BA">
        <w:rPr>
          <w:szCs w:val="24"/>
        </w:rPr>
        <w:t xml:space="preserve"> </w:t>
      </w:r>
      <w:r w:rsidRPr="00917A7A" w:rsidR="00E66C39">
        <w:rPr>
          <w:szCs w:val="24"/>
        </w:rPr>
        <w:t xml:space="preserve">on </w:t>
      </w:r>
      <w:r w:rsidRPr="00917A7A" w:rsidR="009D02BA">
        <w:rPr>
          <w:szCs w:val="24"/>
        </w:rPr>
        <w:t>the TPR</w:t>
      </w:r>
      <w:r w:rsidRPr="00917A7A">
        <w:rPr>
          <w:szCs w:val="24"/>
        </w:rPr>
        <w:t>:  2 hours</w:t>
      </w:r>
    </w:p>
    <w:p w:rsidRPr="00917A7A" w:rsidR="00E94F1B" w:rsidP="00E94F1B" w:rsidRDefault="00E94F1B" w14:paraId="1F2AFF6C" w14:textId="77777777">
      <w:pPr>
        <w:numPr>
          <w:ilvl w:val="0"/>
          <w:numId w:val="35"/>
        </w:numPr>
        <w:tabs>
          <w:tab w:val="left" w:pos="360"/>
        </w:tabs>
        <w:rPr>
          <w:szCs w:val="24"/>
        </w:rPr>
      </w:pPr>
      <w:r w:rsidRPr="00917A7A">
        <w:rPr>
          <w:szCs w:val="24"/>
        </w:rPr>
        <w:t>Biennial update of existing registration</w:t>
      </w:r>
      <w:r w:rsidRPr="00917A7A" w:rsidR="009D02BA">
        <w:rPr>
          <w:szCs w:val="24"/>
        </w:rPr>
        <w:t xml:space="preserve"> </w:t>
      </w:r>
      <w:r w:rsidRPr="00917A7A" w:rsidR="00E66C39">
        <w:rPr>
          <w:szCs w:val="24"/>
        </w:rPr>
        <w:t>on</w:t>
      </w:r>
      <w:r w:rsidRPr="00917A7A" w:rsidR="009D02BA">
        <w:rPr>
          <w:szCs w:val="24"/>
        </w:rPr>
        <w:t xml:space="preserve"> the TPR</w:t>
      </w:r>
      <w:r w:rsidRPr="00917A7A">
        <w:rPr>
          <w:szCs w:val="24"/>
        </w:rPr>
        <w:t xml:space="preserve">:  </w:t>
      </w:r>
      <w:r w:rsidRPr="00917A7A" w:rsidR="00383A69">
        <w:rPr>
          <w:szCs w:val="24"/>
        </w:rPr>
        <w:t>0.75 hour (</w:t>
      </w:r>
      <w:r w:rsidRPr="00917A7A">
        <w:rPr>
          <w:szCs w:val="24"/>
        </w:rPr>
        <w:t>45 minutes</w:t>
      </w:r>
      <w:r w:rsidRPr="00917A7A" w:rsidR="00383A69">
        <w:rPr>
          <w:szCs w:val="24"/>
        </w:rPr>
        <w:t>)</w:t>
      </w:r>
    </w:p>
    <w:p w:rsidRPr="00917A7A" w:rsidR="00E94F1B" w:rsidP="00E94F1B" w:rsidRDefault="00E94F1B" w14:paraId="4F9591A0" w14:textId="77777777">
      <w:pPr>
        <w:numPr>
          <w:ilvl w:val="0"/>
          <w:numId w:val="35"/>
        </w:numPr>
        <w:tabs>
          <w:tab w:val="left" w:pos="360"/>
        </w:tabs>
        <w:rPr>
          <w:szCs w:val="24"/>
        </w:rPr>
      </w:pPr>
      <w:r w:rsidRPr="00917A7A">
        <w:rPr>
          <w:szCs w:val="24"/>
        </w:rPr>
        <w:t xml:space="preserve">Update of existing registration due to change(s) to key information:  </w:t>
      </w:r>
      <w:r w:rsidRPr="00917A7A" w:rsidR="00383A69">
        <w:rPr>
          <w:szCs w:val="24"/>
        </w:rPr>
        <w:t>0.25 hour (</w:t>
      </w:r>
      <w:r w:rsidRPr="00917A7A" w:rsidR="00241776">
        <w:rPr>
          <w:szCs w:val="24"/>
        </w:rPr>
        <w:t>15</w:t>
      </w:r>
      <w:r w:rsidRPr="00917A7A">
        <w:rPr>
          <w:szCs w:val="24"/>
        </w:rPr>
        <w:t xml:space="preserve"> minutes</w:t>
      </w:r>
      <w:r w:rsidRPr="00917A7A" w:rsidR="00383A69">
        <w:rPr>
          <w:szCs w:val="24"/>
        </w:rPr>
        <w:t>)</w:t>
      </w:r>
    </w:p>
    <w:p w:rsidRPr="00917A7A" w:rsidR="00E66C39" w:rsidP="00145EF4" w:rsidRDefault="00E66C39" w14:paraId="3800743A" w14:textId="77777777">
      <w:pPr>
        <w:tabs>
          <w:tab w:val="left" w:pos="360"/>
        </w:tabs>
        <w:ind w:left="360"/>
        <w:rPr>
          <w:szCs w:val="24"/>
        </w:rPr>
      </w:pPr>
    </w:p>
    <w:p w:rsidRPr="00917A7A" w:rsidR="00E66C39" w:rsidP="00F32090" w:rsidRDefault="00E66C39" w14:paraId="0477AB64" w14:textId="7B62B82C">
      <w:pPr>
        <w:tabs>
          <w:tab w:val="left" w:pos="360"/>
        </w:tabs>
        <w:ind w:left="360"/>
        <w:rPr>
          <w:szCs w:val="24"/>
        </w:rPr>
      </w:pPr>
      <w:r w:rsidRPr="00917A7A">
        <w:rPr>
          <w:szCs w:val="24"/>
        </w:rPr>
        <w:t xml:space="preserve">The estimates of the hour burden per response for new first-time registration on the TPR (2 hours), and for biennial update of an </w:t>
      </w:r>
      <w:r w:rsidRPr="00917A7A" w:rsidR="00565E1E">
        <w:rPr>
          <w:szCs w:val="24"/>
        </w:rPr>
        <w:t>existing registration o</w:t>
      </w:r>
      <w:r w:rsidRPr="00917A7A">
        <w:rPr>
          <w:szCs w:val="24"/>
        </w:rPr>
        <w:t>n the TPR</w:t>
      </w:r>
      <w:r w:rsidRPr="00917A7A" w:rsidR="00F32090">
        <w:rPr>
          <w:szCs w:val="24"/>
        </w:rPr>
        <w:t xml:space="preserve"> (45 minutes)</w:t>
      </w:r>
      <w:r w:rsidRPr="00917A7A" w:rsidR="00500F5F">
        <w:rPr>
          <w:szCs w:val="24"/>
        </w:rPr>
        <w:t>,</w:t>
      </w:r>
      <w:r w:rsidRPr="00917A7A" w:rsidR="00F32090">
        <w:rPr>
          <w:szCs w:val="24"/>
        </w:rPr>
        <w:t xml:space="preserve"> </w:t>
      </w:r>
      <w:r w:rsidRPr="00917A7A">
        <w:t>are consistent with those developed and used previously in the regulatory evaluation for the December 8, 2016, final rule</w:t>
      </w:r>
      <w:r w:rsidRPr="00917A7A">
        <w:rPr>
          <w:rStyle w:val="FootnoteReference"/>
          <w:szCs w:val="24"/>
        </w:rPr>
        <w:footnoteReference w:id="17"/>
      </w:r>
      <w:r w:rsidRPr="00917A7A">
        <w:t xml:space="preserve">, </w:t>
      </w:r>
      <w:r w:rsidRPr="00917A7A" w:rsidR="00500F5F">
        <w:t xml:space="preserve">and the </w:t>
      </w:r>
      <w:r w:rsidRPr="00A45437" w:rsidR="00A45437">
        <w:rPr>
          <w:bCs/>
          <w:szCs w:val="24"/>
        </w:rPr>
        <w:t>February 4, 2020</w:t>
      </w:r>
      <w:r w:rsidRPr="00917A7A" w:rsidR="00500F5F">
        <w:t xml:space="preserve">, interim final rule (IFR) </w:t>
      </w:r>
      <w:r w:rsidRPr="00917A7A" w:rsidR="00500F5F">
        <w:rPr>
          <w:bCs/>
          <w:szCs w:val="24"/>
        </w:rPr>
        <w:t xml:space="preserve">titled “Extension of Compliance Date for Entry-Level Driver Training” </w:t>
      </w:r>
      <w:r w:rsidRPr="009402C9" w:rsidR="009402C9">
        <w:rPr>
          <w:bCs/>
          <w:szCs w:val="24"/>
        </w:rPr>
        <w:t>(85 FR 6088)</w:t>
      </w:r>
      <w:r w:rsidRPr="009402C9" w:rsidDel="009402C9" w:rsidR="009402C9">
        <w:rPr>
          <w:bCs/>
          <w:szCs w:val="24"/>
        </w:rPr>
        <w:t xml:space="preserve"> </w:t>
      </w:r>
      <w:r w:rsidRPr="00917A7A" w:rsidR="00500F5F">
        <w:rPr>
          <w:bCs/>
          <w:szCs w:val="24"/>
        </w:rPr>
        <w:t>(Attachment D).</w:t>
      </w:r>
      <w:r w:rsidRPr="00917A7A" w:rsidR="00500F5F">
        <w:t xml:space="preserve"> </w:t>
      </w:r>
      <w:r w:rsidRPr="00917A7A">
        <w:rPr>
          <w:bCs/>
          <w:szCs w:val="24"/>
        </w:rPr>
        <w:t>These estimates have previously been subject to review and comment as part of the December 2016 and March 2019 final rules and their related NPRMs.</w:t>
      </w:r>
      <w:r w:rsidRPr="00917A7A" w:rsidR="00AF7C3D">
        <w:rPr>
          <w:bCs/>
          <w:szCs w:val="24"/>
        </w:rPr>
        <w:t xml:space="preserve"> No separate activity for “</w:t>
      </w:r>
      <w:r w:rsidRPr="00917A7A" w:rsidR="00AF7C3D">
        <w:rPr>
          <w:szCs w:val="24"/>
        </w:rPr>
        <w:t xml:space="preserve">update of existing registration due to change(s) to key information” was estimated </w:t>
      </w:r>
      <w:r w:rsidRPr="00917A7A" w:rsidR="00AF7C3D">
        <w:t>in the regulatory evaluation for the December 8, 2016, final rule</w:t>
      </w:r>
      <w:r w:rsidRPr="00917A7A" w:rsidR="00EE459C">
        <w:t>,</w:t>
      </w:r>
      <w:r w:rsidRPr="00917A7A" w:rsidR="00AF7C3D">
        <w:rPr>
          <w:szCs w:val="24"/>
        </w:rPr>
        <w:t xml:space="preserve"> and therefore an estimate of 15 minutes is used here.</w:t>
      </w:r>
    </w:p>
    <w:p w:rsidRPr="00917A7A" w:rsidR="00E66C39" w:rsidP="00145EF4" w:rsidRDefault="00E66C39" w14:paraId="7DF6D864" w14:textId="77777777">
      <w:pPr>
        <w:tabs>
          <w:tab w:val="left" w:pos="360"/>
        </w:tabs>
        <w:ind w:left="360"/>
        <w:rPr>
          <w:szCs w:val="24"/>
        </w:rPr>
      </w:pPr>
    </w:p>
    <w:p w:rsidRPr="00917A7A" w:rsidR="009D02BA" w:rsidP="00126876" w:rsidRDefault="00F4292F" w14:paraId="01D875F5" w14:textId="2AB20407">
      <w:pPr>
        <w:tabs>
          <w:tab w:val="left" w:pos="360"/>
        </w:tabs>
        <w:ind w:left="360"/>
        <w:rPr>
          <w:szCs w:val="24"/>
        </w:rPr>
      </w:pPr>
      <w:r w:rsidRPr="00917A7A">
        <w:rPr>
          <w:szCs w:val="24"/>
        </w:rPr>
        <w:t>Table 6</w:t>
      </w:r>
      <w:r w:rsidRPr="00917A7A" w:rsidR="00126876">
        <w:rPr>
          <w:szCs w:val="24"/>
        </w:rPr>
        <w:t xml:space="preserve"> presents the estimated </w:t>
      </w:r>
      <w:r w:rsidRPr="00917A7A" w:rsidR="00C75ED1">
        <w:rPr>
          <w:szCs w:val="24"/>
        </w:rPr>
        <w:t xml:space="preserve">number of responses, by type, </w:t>
      </w:r>
      <w:r w:rsidRPr="00917A7A" w:rsidR="00B173D6">
        <w:rPr>
          <w:szCs w:val="24"/>
        </w:rPr>
        <w:t>for IC-2</w:t>
      </w:r>
      <w:r w:rsidRPr="00917A7A" w:rsidR="00126876">
        <w:rPr>
          <w:szCs w:val="24"/>
        </w:rPr>
        <w:t xml:space="preserve">. </w:t>
      </w:r>
      <w:r w:rsidRPr="00917A7A" w:rsidR="00962525">
        <w:rPr>
          <w:szCs w:val="24"/>
        </w:rPr>
        <w:t xml:space="preserve">It is assumed that </w:t>
      </w:r>
      <w:r w:rsidRPr="00917A7A" w:rsidR="003A0F6C">
        <w:rPr>
          <w:szCs w:val="24"/>
        </w:rPr>
        <w:t>the entire population of 20,510 training providers will submit a new first-time registration to the TPR in 202</w:t>
      </w:r>
      <w:r w:rsidRPr="00917A7A" w:rsidR="005E5157">
        <w:rPr>
          <w:szCs w:val="24"/>
        </w:rPr>
        <w:t>2</w:t>
      </w:r>
      <w:r w:rsidRPr="00917A7A" w:rsidR="003A0F6C">
        <w:rPr>
          <w:szCs w:val="24"/>
        </w:rPr>
        <w:t xml:space="preserve"> for the entire </w:t>
      </w:r>
      <w:r w:rsidRPr="00917A7A" w:rsidR="00C75ED1">
        <w:rPr>
          <w:szCs w:val="24"/>
        </w:rPr>
        <w:t>population</w:t>
      </w:r>
      <w:r w:rsidRPr="00917A7A" w:rsidR="003A0F6C">
        <w:rPr>
          <w:szCs w:val="24"/>
        </w:rPr>
        <w:t xml:space="preserve"> of </w:t>
      </w:r>
      <w:r w:rsidRPr="00917A7A" w:rsidR="00963B6C">
        <w:rPr>
          <w:szCs w:val="24"/>
        </w:rPr>
        <w:t>22,</w:t>
      </w:r>
      <w:r w:rsidRPr="00917A7A" w:rsidR="003A0F6C">
        <w:rPr>
          <w:szCs w:val="24"/>
        </w:rPr>
        <w:t>260 training locations.</w:t>
      </w:r>
    </w:p>
    <w:p w:rsidRPr="00917A7A" w:rsidR="009D02BA" w:rsidP="00126876" w:rsidRDefault="009D02BA" w14:paraId="6831F4C5" w14:textId="77777777">
      <w:pPr>
        <w:tabs>
          <w:tab w:val="left" w:pos="360"/>
        </w:tabs>
        <w:ind w:left="360"/>
        <w:rPr>
          <w:szCs w:val="24"/>
        </w:rPr>
      </w:pPr>
    </w:p>
    <w:p w:rsidRPr="00917A7A" w:rsidR="007F207F" w:rsidP="00126876" w:rsidRDefault="009D02BA" w14:paraId="5F880F52" w14:textId="4B008030">
      <w:pPr>
        <w:tabs>
          <w:tab w:val="left" w:pos="360"/>
        </w:tabs>
        <w:ind w:left="360"/>
        <w:rPr>
          <w:szCs w:val="24"/>
        </w:rPr>
      </w:pPr>
      <w:r w:rsidRPr="00917A7A">
        <w:rPr>
          <w:szCs w:val="24"/>
        </w:rPr>
        <w:t>Next, regarding biennial updates of existing training provider registrations in the TPR, f</w:t>
      </w:r>
      <w:r w:rsidRPr="00917A7A" w:rsidR="00F91D47">
        <w:rPr>
          <w:szCs w:val="24"/>
        </w:rPr>
        <w:t xml:space="preserve">or </w:t>
      </w:r>
      <w:r w:rsidRPr="00917A7A" w:rsidR="006F3360">
        <w:rPr>
          <w:szCs w:val="24"/>
        </w:rPr>
        <w:t xml:space="preserve">2022 </w:t>
      </w:r>
      <w:r w:rsidRPr="00917A7A" w:rsidR="00F91D47">
        <w:rPr>
          <w:szCs w:val="24"/>
        </w:rPr>
        <w:t>it is assumed that there are no biennial updates of existing registrations, because no training providers would have yet been registered for two years during that time span (having only beg</w:t>
      </w:r>
      <w:r w:rsidRPr="00917A7A" w:rsidR="00A97936">
        <w:rPr>
          <w:szCs w:val="24"/>
        </w:rPr>
        <w:t>un new registrations in 20</w:t>
      </w:r>
      <w:r w:rsidRPr="00917A7A" w:rsidR="006F3360">
        <w:rPr>
          <w:szCs w:val="24"/>
        </w:rPr>
        <w:t>22</w:t>
      </w:r>
      <w:r w:rsidRPr="00917A7A" w:rsidR="00A97936">
        <w:rPr>
          <w:szCs w:val="24"/>
        </w:rPr>
        <w:t>).</w:t>
      </w:r>
    </w:p>
    <w:p w:rsidRPr="00917A7A" w:rsidR="004C79E0" w:rsidP="00126876" w:rsidRDefault="004C79E0" w14:paraId="01C0A0E6" w14:textId="77777777">
      <w:pPr>
        <w:tabs>
          <w:tab w:val="left" w:pos="360"/>
        </w:tabs>
        <w:ind w:left="360"/>
        <w:rPr>
          <w:szCs w:val="24"/>
        </w:rPr>
      </w:pPr>
    </w:p>
    <w:p w:rsidRPr="00917A7A" w:rsidR="001A3674" w:rsidP="00126876" w:rsidRDefault="00031F06" w14:paraId="55E93E71" w14:textId="6CAA6051">
      <w:pPr>
        <w:tabs>
          <w:tab w:val="left" w:pos="360"/>
        </w:tabs>
        <w:ind w:left="360"/>
        <w:rPr>
          <w:szCs w:val="24"/>
        </w:rPr>
      </w:pPr>
      <w:r w:rsidRPr="00917A7A">
        <w:rPr>
          <w:szCs w:val="24"/>
        </w:rPr>
        <w:t>Finally, the number of updates of existing registrations du</w:t>
      </w:r>
      <w:r w:rsidRPr="00917A7A" w:rsidR="007F207F">
        <w:rPr>
          <w:szCs w:val="24"/>
        </w:rPr>
        <w:t xml:space="preserve">e to changes in key information, as defined earlier (company name, address, phone number, types of training offered, etc.), </w:t>
      </w:r>
      <w:r w:rsidRPr="00917A7A">
        <w:rPr>
          <w:szCs w:val="24"/>
        </w:rPr>
        <w:t xml:space="preserve">is </w:t>
      </w:r>
      <w:r w:rsidRPr="00917A7A" w:rsidR="007F207F">
        <w:rPr>
          <w:szCs w:val="24"/>
        </w:rPr>
        <w:t xml:space="preserve">conservatively </w:t>
      </w:r>
      <w:r w:rsidRPr="00917A7A">
        <w:rPr>
          <w:szCs w:val="24"/>
        </w:rPr>
        <w:t xml:space="preserve">estimated to be 10 percent </w:t>
      </w:r>
      <w:r w:rsidRPr="00917A7A" w:rsidR="004259F9">
        <w:rPr>
          <w:szCs w:val="24"/>
        </w:rPr>
        <w:t>of the total population of training locations for each year</w:t>
      </w:r>
      <w:r w:rsidRPr="00917A7A" w:rsidR="00690E47">
        <w:rPr>
          <w:szCs w:val="24"/>
        </w:rPr>
        <w:t>. Therefore, for 2022, t</w:t>
      </w:r>
      <w:r w:rsidRPr="00917A7A" w:rsidR="004259F9">
        <w:rPr>
          <w:szCs w:val="24"/>
        </w:rPr>
        <w:t xml:space="preserve">his yields </w:t>
      </w:r>
      <w:r w:rsidRPr="00917A7A" w:rsidR="00690E47">
        <w:rPr>
          <w:szCs w:val="24"/>
        </w:rPr>
        <w:t>an estimate</w:t>
      </w:r>
      <w:r w:rsidRPr="00917A7A" w:rsidR="004259F9">
        <w:rPr>
          <w:szCs w:val="24"/>
        </w:rPr>
        <w:t xml:space="preserve"> of 2,226 updates of existing registrations due to changes in key information.</w:t>
      </w:r>
    </w:p>
    <w:p w:rsidRPr="00917A7A" w:rsidR="004C79E0" w:rsidP="00126876" w:rsidRDefault="004C79E0" w14:paraId="700D594E" w14:textId="77777777">
      <w:pPr>
        <w:tabs>
          <w:tab w:val="left" w:pos="360"/>
        </w:tabs>
        <w:ind w:left="360"/>
        <w:rPr>
          <w:szCs w:val="24"/>
        </w:rPr>
      </w:pPr>
    </w:p>
    <w:p w:rsidRPr="00917A7A" w:rsidR="00C14DF2" w:rsidP="00C14DF2" w:rsidRDefault="009B0E34" w14:paraId="4B27F787" w14:textId="6E9F7E66">
      <w:pPr>
        <w:pStyle w:val="Caption"/>
        <w:keepNext/>
        <w:keepLines/>
        <w:widowControl/>
        <w:spacing w:after="0"/>
        <w:ind w:left="360"/>
        <w:rPr>
          <w:b/>
          <w:color w:val="auto"/>
          <w:sz w:val="24"/>
          <w:szCs w:val="24"/>
        </w:rPr>
      </w:pPr>
      <w:r w:rsidRPr="00917A7A">
        <w:rPr>
          <w:b/>
          <w:i w:val="0"/>
          <w:color w:val="auto"/>
          <w:sz w:val="24"/>
          <w:szCs w:val="24"/>
        </w:rPr>
        <w:lastRenderedPageBreak/>
        <w:t>T</w:t>
      </w:r>
      <w:r w:rsidRPr="00917A7A" w:rsidR="00227758">
        <w:rPr>
          <w:b/>
          <w:i w:val="0"/>
          <w:color w:val="auto"/>
          <w:sz w:val="24"/>
          <w:szCs w:val="24"/>
        </w:rPr>
        <w:t>able 6</w:t>
      </w:r>
      <w:r w:rsidRPr="00917A7A" w:rsidR="00C14DF2">
        <w:rPr>
          <w:b/>
          <w:i w:val="0"/>
          <w:color w:val="auto"/>
          <w:sz w:val="24"/>
          <w:szCs w:val="24"/>
        </w:rPr>
        <w:t>. Estimated Number of Responses</w:t>
      </w:r>
      <w:r w:rsidRPr="00917A7A" w:rsidR="00675613">
        <w:rPr>
          <w:b/>
          <w:i w:val="0"/>
          <w:color w:val="auto"/>
          <w:sz w:val="24"/>
          <w:szCs w:val="24"/>
        </w:rPr>
        <w:t xml:space="preserve"> </w:t>
      </w:r>
      <w:r w:rsidRPr="00917A7A" w:rsidR="00B173D6">
        <w:rPr>
          <w:b/>
          <w:i w:val="0"/>
          <w:color w:val="auto"/>
          <w:sz w:val="24"/>
          <w:szCs w:val="24"/>
        </w:rPr>
        <w:t>for IC-2</w:t>
      </w:r>
      <w:r w:rsidRPr="00917A7A" w:rsidR="00C14DF2">
        <w:rPr>
          <w:b/>
          <w:i w:val="0"/>
          <w:color w:val="auto"/>
          <w:sz w:val="24"/>
          <w:szCs w:val="24"/>
        </w:rPr>
        <w:t xml:space="preserve"> (Training Provider Registration)</w:t>
      </w:r>
    </w:p>
    <w:tbl>
      <w:tblPr>
        <w:tblW w:w="4618"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83"/>
        <w:gridCol w:w="1320"/>
        <w:gridCol w:w="1320"/>
        <w:gridCol w:w="1320"/>
        <w:gridCol w:w="1495"/>
      </w:tblGrid>
      <w:tr w:rsidRPr="00917A7A" w:rsidR="00F6360F" w:rsidTr="00985C3E" w14:paraId="687AE71B" w14:textId="77777777">
        <w:trPr>
          <w:trHeight w:val="600"/>
        </w:trPr>
        <w:tc>
          <w:tcPr>
            <w:tcW w:w="3183" w:type="dxa"/>
            <w:tcBorders>
              <w:top w:val="single" w:color="auto" w:sz="18" w:space="0"/>
              <w:bottom w:val="single" w:color="auto" w:sz="18" w:space="0"/>
              <w:right w:val="single" w:color="auto" w:sz="18" w:space="0"/>
            </w:tcBorders>
            <w:shd w:val="clear" w:color="000000" w:fill="E0E0E0"/>
            <w:vAlign w:val="bottom"/>
            <w:hideMark/>
          </w:tcPr>
          <w:p w:rsidRPr="00917A7A" w:rsidR="00C14DF2" w:rsidP="009D02BA" w:rsidRDefault="00C14DF2" w14:paraId="574FC8FD" w14:textId="77777777">
            <w:pPr>
              <w:keepNext/>
              <w:keepLines/>
              <w:widowControl/>
              <w:autoSpaceDE/>
              <w:autoSpaceDN/>
              <w:adjustRightInd/>
              <w:jc w:val="center"/>
              <w:rPr>
                <w:b/>
                <w:bCs/>
                <w:sz w:val="22"/>
                <w:szCs w:val="22"/>
              </w:rPr>
            </w:pPr>
            <w:r w:rsidRPr="00917A7A">
              <w:rPr>
                <w:b/>
                <w:bCs/>
                <w:sz w:val="22"/>
                <w:szCs w:val="22"/>
              </w:rPr>
              <w:t>Type of</w:t>
            </w:r>
            <w:r w:rsidRPr="00917A7A" w:rsidR="004236F6">
              <w:rPr>
                <w:b/>
                <w:bCs/>
                <w:sz w:val="22"/>
                <w:szCs w:val="22"/>
              </w:rPr>
              <w:t xml:space="preserve"> Activity</w:t>
            </w:r>
          </w:p>
        </w:tc>
        <w:tc>
          <w:tcPr>
            <w:tcW w:w="1320" w:type="dxa"/>
            <w:tcBorders>
              <w:top w:val="single" w:color="auto" w:sz="18" w:space="0"/>
              <w:left w:val="single" w:color="auto" w:sz="18" w:space="0"/>
              <w:bottom w:val="single" w:color="auto" w:sz="18" w:space="0"/>
            </w:tcBorders>
            <w:shd w:val="clear" w:color="000000" w:fill="E0E0E0"/>
            <w:vAlign w:val="bottom"/>
            <w:hideMark/>
          </w:tcPr>
          <w:p w:rsidRPr="00917A7A" w:rsidR="00C14DF2" w:rsidP="009D02BA" w:rsidRDefault="00C14DF2" w14:paraId="2ADE6EAC" w14:textId="77777777">
            <w:pPr>
              <w:keepNext/>
              <w:keepLines/>
              <w:widowControl/>
              <w:autoSpaceDE/>
              <w:autoSpaceDN/>
              <w:adjustRightInd/>
              <w:jc w:val="center"/>
              <w:rPr>
                <w:b/>
                <w:bCs/>
                <w:sz w:val="22"/>
                <w:szCs w:val="22"/>
              </w:rPr>
            </w:pPr>
            <w:r w:rsidRPr="00917A7A">
              <w:rPr>
                <w:b/>
                <w:bCs/>
                <w:sz w:val="22"/>
                <w:szCs w:val="22"/>
              </w:rPr>
              <w:t>2020</w:t>
            </w:r>
          </w:p>
        </w:tc>
        <w:tc>
          <w:tcPr>
            <w:tcW w:w="1320" w:type="dxa"/>
            <w:tcBorders>
              <w:top w:val="single" w:color="auto" w:sz="18" w:space="0"/>
              <w:bottom w:val="single" w:color="auto" w:sz="18" w:space="0"/>
            </w:tcBorders>
            <w:shd w:val="clear" w:color="000000" w:fill="E0E0E0"/>
            <w:vAlign w:val="bottom"/>
          </w:tcPr>
          <w:p w:rsidRPr="00917A7A" w:rsidR="00C14DF2" w:rsidP="009D02BA" w:rsidRDefault="00C14DF2" w14:paraId="32489161" w14:textId="77777777">
            <w:pPr>
              <w:keepNext/>
              <w:keepLines/>
              <w:widowControl/>
              <w:autoSpaceDE/>
              <w:autoSpaceDN/>
              <w:adjustRightInd/>
              <w:jc w:val="center"/>
              <w:rPr>
                <w:b/>
                <w:bCs/>
                <w:sz w:val="22"/>
                <w:szCs w:val="22"/>
              </w:rPr>
            </w:pPr>
            <w:r w:rsidRPr="00917A7A">
              <w:rPr>
                <w:b/>
                <w:bCs/>
                <w:sz w:val="22"/>
                <w:szCs w:val="22"/>
              </w:rPr>
              <w:t>2021</w:t>
            </w:r>
          </w:p>
        </w:tc>
        <w:tc>
          <w:tcPr>
            <w:tcW w:w="1320" w:type="dxa"/>
            <w:tcBorders>
              <w:top w:val="single" w:color="auto" w:sz="18" w:space="0"/>
              <w:bottom w:val="single" w:color="auto" w:sz="18" w:space="0"/>
              <w:right w:val="single" w:color="auto" w:sz="18" w:space="0"/>
            </w:tcBorders>
            <w:shd w:val="clear" w:color="000000" w:fill="E0E0E0"/>
            <w:vAlign w:val="bottom"/>
          </w:tcPr>
          <w:p w:rsidRPr="00917A7A" w:rsidR="00C14DF2" w:rsidP="009D02BA" w:rsidRDefault="00C14DF2" w14:paraId="24FE085D" w14:textId="77777777">
            <w:pPr>
              <w:keepNext/>
              <w:keepLines/>
              <w:widowControl/>
              <w:autoSpaceDE/>
              <w:autoSpaceDN/>
              <w:adjustRightInd/>
              <w:jc w:val="center"/>
              <w:rPr>
                <w:b/>
                <w:bCs/>
                <w:sz w:val="22"/>
                <w:szCs w:val="22"/>
              </w:rPr>
            </w:pPr>
            <w:r w:rsidRPr="00917A7A">
              <w:rPr>
                <w:b/>
                <w:bCs/>
                <w:sz w:val="22"/>
                <w:szCs w:val="22"/>
              </w:rPr>
              <w:t>2022</w:t>
            </w:r>
          </w:p>
        </w:tc>
        <w:tc>
          <w:tcPr>
            <w:tcW w:w="1495" w:type="dxa"/>
            <w:tcBorders>
              <w:top w:val="single" w:color="auto" w:sz="18" w:space="0"/>
              <w:bottom w:val="single" w:color="auto" w:sz="18" w:space="0"/>
              <w:right w:val="single" w:color="auto" w:sz="2" w:space="0"/>
            </w:tcBorders>
            <w:shd w:val="clear" w:color="000000" w:fill="E0E0E0"/>
            <w:vAlign w:val="bottom"/>
          </w:tcPr>
          <w:p w:rsidRPr="00917A7A" w:rsidR="00C14DF2" w:rsidP="009D02BA" w:rsidRDefault="00C14DF2" w14:paraId="40938E42" w14:textId="77777777">
            <w:pPr>
              <w:pStyle w:val="FMCSATableHead"/>
              <w:keepNext/>
              <w:spacing w:before="0" w:after="0"/>
              <w:rPr>
                <w:sz w:val="22"/>
                <w:szCs w:val="22"/>
              </w:rPr>
            </w:pPr>
            <w:r w:rsidRPr="00917A7A">
              <w:rPr>
                <w:sz w:val="22"/>
                <w:szCs w:val="22"/>
              </w:rPr>
              <w:t>3-Year Average</w:t>
            </w:r>
          </w:p>
          <w:p w:rsidRPr="00917A7A" w:rsidR="00C14DF2" w:rsidP="009D02BA" w:rsidRDefault="00C14DF2" w14:paraId="77C555D6" w14:textId="77777777">
            <w:pPr>
              <w:keepNext/>
              <w:keepLines/>
              <w:widowControl/>
              <w:autoSpaceDE/>
              <w:autoSpaceDN/>
              <w:adjustRightInd/>
              <w:jc w:val="center"/>
              <w:rPr>
                <w:b/>
                <w:bCs/>
                <w:sz w:val="22"/>
                <w:szCs w:val="22"/>
              </w:rPr>
            </w:pPr>
            <w:r w:rsidRPr="00917A7A">
              <w:rPr>
                <w:b/>
                <w:sz w:val="22"/>
                <w:szCs w:val="22"/>
              </w:rPr>
              <w:t>(2020-2022)</w:t>
            </w:r>
          </w:p>
        </w:tc>
      </w:tr>
      <w:tr w:rsidRPr="00917A7A" w:rsidR="00917A7A" w:rsidTr="00985C3E" w14:paraId="268B0C62" w14:textId="77777777">
        <w:trPr>
          <w:trHeight w:val="504"/>
        </w:trPr>
        <w:tc>
          <w:tcPr>
            <w:tcW w:w="3183" w:type="dxa"/>
            <w:tcBorders>
              <w:top w:val="single" w:color="auto" w:sz="18" w:space="0"/>
              <w:bottom w:val="single" w:color="auto" w:sz="2" w:space="0"/>
              <w:right w:val="single" w:color="auto" w:sz="18" w:space="0"/>
            </w:tcBorders>
            <w:shd w:val="clear" w:color="auto" w:fill="auto"/>
            <w:noWrap/>
            <w:vAlign w:val="center"/>
          </w:tcPr>
          <w:p w:rsidRPr="00917A7A" w:rsidR="00C14DF2" w:rsidP="009D02BA" w:rsidRDefault="00C14DF2" w14:paraId="4E00D418" w14:textId="77777777">
            <w:pPr>
              <w:keepNext/>
              <w:keepLines/>
              <w:widowControl/>
              <w:autoSpaceDE/>
              <w:autoSpaceDN/>
              <w:adjustRightInd/>
              <w:rPr>
                <w:iCs/>
                <w:sz w:val="22"/>
                <w:szCs w:val="22"/>
              </w:rPr>
            </w:pPr>
            <w:r w:rsidRPr="00917A7A">
              <w:rPr>
                <w:iCs/>
                <w:sz w:val="22"/>
                <w:szCs w:val="22"/>
              </w:rPr>
              <w:t>Number of New First-Time Registrations</w:t>
            </w:r>
          </w:p>
        </w:tc>
        <w:tc>
          <w:tcPr>
            <w:tcW w:w="1320" w:type="dxa"/>
            <w:tcBorders>
              <w:top w:val="single" w:color="auto" w:sz="18" w:space="0"/>
              <w:left w:val="single" w:color="auto" w:sz="18" w:space="0"/>
              <w:bottom w:val="single" w:color="auto" w:sz="2" w:space="0"/>
            </w:tcBorders>
            <w:shd w:val="clear" w:color="auto" w:fill="auto"/>
            <w:noWrap/>
            <w:vAlign w:val="center"/>
          </w:tcPr>
          <w:p w:rsidRPr="00917A7A" w:rsidR="00C14DF2" w:rsidP="009D02BA" w:rsidRDefault="00E838A3" w14:paraId="10D57C08" w14:textId="51545F5C">
            <w:pPr>
              <w:keepNext/>
              <w:keepLines/>
              <w:widowControl/>
              <w:autoSpaceDE/>
              <w:autoSpaceDN/>
              <w:adjustRightInd/>
              <w:jc w:val="right"/>
              <w:rPr>
                <w:iCs/>
                <w:sz w:val="22"/>
                <w:szCs w:val="22"/>
              </w:rPr>
            </w:pPr>
            <w:r w:rsidRPr="00917A7A">
              <w:rPr>
                <w:iCs/>
                <w:sz w:val="22"/>
                <w:szCs w:val="22"/>
              </w:rPr>
              <w:t>0</w:t>
            </w:r>
          </w:p>
        </w:tc>
        <w:tc>
          <w:tcPr>
            <w:tcW w:w="1320" w:type="dxa"/>
            <w:tcBorders>
              <w:top w:val="single" w:color="auto" w:sz="18" w:space="0"/>
              <w:bottom w:val="single" w:color="auto" w:sz="2" w:space="0"/>
            </w:tcBorders>
            <w:vAlign w:val="center"/>
          </w:tcPr>
          <w:p w:rsidRPr="00917A7A" w:rsidR="00C14DF2" w:rsidP="009D02BA" w:rsidRDefault="00E838A3" w14:paraId="6903F42E" w14:textId="4E8022F4">
            <w:pPr>
              <w:keepNext/>
              <w:keepLines/>
              <w:widowControl/>
              <w:autoSpaceDE/>
              <w:autoSpaceDN/>
              <w:adjustRightInd/>
              <w:jc w:val="right"/>
              <w:rPr>
                <w:sz w:val="22"/>
                <w:szCs w:val="22"/>
              </w:rPr>
            </w:pPr>
            <w:r w:rsidRPr="00917A7A">
              <w:rPr>
                <w:sz w:val="22"/>
                <w:szCs w:val="22"/>
              </w:rPr>
              <w:t>0</w:t>
            </w:r>
          </w:p>
        </w:tc>
        <w:tc>
          <w:tcPr>
            <w:tcW w:w="1320" w:type="dxa"/>
            <w:tcBorders>
              <w:top w:val="single" w:color="auto" w:sz="18" w:space="0"/>
              <w:bottom w:val="single" w:color="auto" w:sz="2" w:space="0"/>
              <w:right w:val="single" w:color="auto" w:sz="18" w:space="0"/>
            </w:tcBorders>
            <w:vAlign w:val="center"/>
          </w:tcPr>
          <w:p w:rsidRPr="00917A7A" w:rsidR="00C14DF2" w:rsidP="009D02BA" w:rsidRDefault="00786B2E" w14:paraId="57BB682B" w14:textId="4E74ED6F">
            <w:pPr>
              <w:keepNext/>
              <w:keepLines/>
              <w:widowControl/>
              <w:autoSpaceDE/>
              <w:autoSpaceDN/>
              <w:adjustRightInd/>
              <w:jc w:val="right"/>
              <w:rPr>
                <w:sz w:val="22"/>
                <w:szCs w:val="22"/>
              </w:rPr>
            </w:pPr>
            <w:r w:rsidRPr="00917A7A">
              <w:rPr>
                <w:sz w:val="22"/>
                <w:szCs w:val="22"/>
              </w:rPr>
              <w:t>22,260</w:t>
            </w:r>
          </w:p>
        </w:tc>
        <w:tc>
          <w:tcPr>
            <w:tcW w:w="1495" w:type="dxa"/>
            <w:tcBorders>
              <w:top w:val="single" w:color="auto" w:sz="18" w:space="0"/>
              <w:bottom w:val="single" w:color="auto" w:sz="2" w:space="0"/>
              <w:right w:val="single" w:color="auto" w:sz="2" w:space="0"/>
            </w:tcBorders>
            <w:vAlign w:val="center"/>
          </w:tcPr>
          <w:p w:rsidRPr="00917A7A" w:rsidR="00C14DF2" w:rsidP="009D02BA" w:rsidRDefault="008E7BAE" w14:paraId="4B982332" w14:textId="286157C5">
            <w:pPr>
              <w:keepNext/>
              <w:keepLines/>
              <w:widowControl/>
              <w:autoSpaceDE/>
              <w:autoSpaceDN/>
              <w:adjustRightInd/>
              <w:jc w:val="right"/>
              <w:rPr>
                <w:iCs/>
                <w:sz w:val="22"/>
                <w:szCs w:val="22"/>
              </w:rPr>
            </w:pPr>
            <w:r w:rsidRPr="00917A7A">
              <w:rPr>
                <w:iCs/>
                <w:sz w:val="22"/>
                <w:szCs w:val="22"/>
              </w:rPr>
              <w:t>7,</w:t>
            </w:r>
            <w:r w:rsidRPr="00917A7A" w:rsidR="00786B2E">
              <w:rPr>
                <w:iCs/>
                <w:sz w:val="22"/>
                <w:szCs w:val="22"/>
              </w:rPr>
              <w:t>420</w:t>
            </w:r>
          </w:p>
        </w:tc>
      </w:tr>
      <w:tr w:rsidRPr="00917A7A" w:rsidR="00917A7A" w:rsidTr="00985C3E" w14:paraId="2F4709F0" w14:textId="77777777">
        <w:trPr>
          <w:trHeight w:val="535"/>
        </w:trPr>
        <w:tc>
          <w:tcPr>
            <w:tcW w:w="318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C14DF2" w:rsidDel="006804BD" w:rsidP="009D02BA" w:rsidRDefault="00C14DF2" w14:paraId="3F66CF90" w14:textId="77777777">
            <w:pPr>
              <w:keepNext/>
              <w:keepLines/>
              <w:widowControl/>
              <w:autoSpaceDE/>
              <w:autoSpaceDN/>
              <w:adjustRightInd/>
              <w:rPr>
                <w:sz w:val="22"/>
                <w:szCs w:val="22"/>
              </w:rPr>
            </w:pPr>
            <w:r w:rsidRPr="00917A7A">
              <w:rPr>
                <w:sz w:val="22"/>
                <w:szCs w:val="22"/>
              </w:rPr>
              <w:t>Number of Biennial Updates of Existing Registrations</w:t>
            </w:r>
          </w:p>
        </w:tc>
        <w:tc>
          <w:tcPr>
            <w:tcW w:w="1320"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C14DF2" w:rsidP="009D02BA" w:rsidRDefault="00C14DF2" w14:paraId="6635977C" w14:textId="77777777">
            <w:pPr>
              <w:keepNext/>
              <w:keepLines/>
              <w:widowControl/>
              <w:autoSpaceDE/>
              <w:autoSpaceDN/>
              <w:adjustRightInd/>
              <w:jc w:val="right"/>
              <w:rPr>
                <w:sz w:val="22"/>
                <w:szCs w:val="22"/>
              </w:rPr>
            </w:pPr>
            <w:r w:rsidRPr="00917A7A">
              <w:rPr>
                <w:sz w:val="22"/>
                <w:szCs w:val="22"/>
              </w:rPr>
              <w:t>0</w:t>
            </w:r>
          </w:p>
        </w:tc>
        <w:tc>
          <w:tcPr>
            <w:tcW w:w="1320" w:type="dxa"/>
            <w:tcBorders>
              <w:top w:val="single" w:color="auto" w:sz="2" w:space="0"/>
              <w:left w:val="single" w:color="auto" w:sz="2" w:space="0"/>
              <w:bottom w:val="single" w:color="auto" w:sz="2" w:space="0"/>
              <w:right w:val="single" w:color="auto" w:sz="2" w:space="0"/>
            </w:tcBorders>
            <w:vAlign w:val="center"/>
          </w:tcPr>
          <w:p w:rsidRPr="00917A7A" w:rsidR="00C14DF2" w:rsidP="009D02BA" w:rsidRDefault="00C14DF2" w14:paraId="31015786" w14:textId="77777777">
            <w:pPr>
              <w:keepNext/>
              <w:keepLines/>
              <w:widowControl/>
              <w:autoSpaceDE/>
              <w:autoSpaceDN/>
              <w:adjustRightInd/>
              <w:jc w:val="right"/>
              <w:rPr>
                <w:sz w:val="22"/>
                <w:szCs w:val="22"/>
              </w:rPr>
            </w:pPr>
            <w:r w:rsidRPr="00917A7A">
              <w:rPr>
                <w:sz w:val="22"/>
                <w:szCs w:val="22"/>
              </w:rPr>
              <w:t>0</w:t>
            </w:r>
          </w:p>
        </w:tc>
        <w:tc>
          <w:tcPr>
            <w:tcW w:w="1320" w:type="dxa"/>
            <w:tcBorders>
              <w:top w:val="single" w:color="auto" w:sz="2" w:space="0"/>
              <w:left w:val="single" w:color="auto" w:sz="2" w:space="0"/>
              <w:bottom w:val="single" w:color="auto" w:sz="2" w:space="0"/>
              <w:right w:val="single" w:color="auto" w:sz="18" w:space="0"/>
            </w:tcBorders>
            <w:vAlign w:val="center"/>
          </w:tcPr>
          <w:p w:rsidRPr="00917A7A" w:rsidR="00C14DF2" w:rsidP="009D02BA" w:rsidRDefault="005E5157" w14:paraId="1B87839A" w14:textId="61D695E7">
            <w:pPr>
              <w:keepNext/>
              <w:keepLines/>
              <w:widowControl/>
              <w:autoSpaceDE/>
              <w:autoSpaceDN/>
              <w:adjustRightInd/>
              <w:jc w:val="right"/>
              <w:rPr>
                <w:sz w:val="22"/>
                <w:szCs w:val="22"/>
              </w:rPr>
            </w:pPr>
            <w:r w:rsidRPr="00917A7A">
              <w:rPr>
                <w:sz w:val="22"/>
                <w:szCs w:val="22"/>
              </w:rPr>
              <w:t>0</w:t>
            </w:r>
          </w:p>
        </w:tc>
        <w:tc>
          <w:tcPr>
            <w:tcW w:w="1495" w:type="dxa"/>
            <w:tcBorders>
              <w:top w:val="single" w:color="auto" w:sz="2" w:space="0"/>
              <w:left w:val="single" w:color="auto" w:sz="2" w:space="0"/>
              <w:bottom w:val="single" w:color="auto" w:sz="2" w:space="0"/>
              <w:right w:val="single" w:color="auto" w:sz="2" w:space="0"/>
            </w:tcBorders>
            <w:vAlign w:val="center"/>
          </w:tcPr>
          <w:p w:rsidRPr="00917A7A" w:rsidR="00C14DF2" w:rsidP="009D02BA" w:rsidRDefault="005E5157" w14:paraId="38D06F35" w14:textId="475A4DE9">
            <w:pPr>
              <w:keepNext/>
              <w:keepLines/>
              <w:widowControl/>
              <w:autoSpaceDE/>
              <w:autoSpaceDN/>
              <w:adjustRightInd/>
              <w:jc w:val="right"/>
              <w:rPr>
                <w:sz w:val="22"/>
                <w:szCs w:val="22"/>
              </w:rPr>
            </w:pPr>
            <w:r w:rsidRPr="00917A7A">
              <w:rPr>
                <w:sz w:val="22"/>
                <w:szCs w:val="22"/>
              </w:rPr>
              <w:t>0</w:t>
            </w:r>
          </w:p>
        </w:tc>
      </w:tr>
      <w:tr w:rsidRPr="00917A7A" w:rsidR="00917A7A" w:rsidTr="00985C3E" w14:paraId="03550757" w14:textId="77777777">
        <w:trPr>
          <w:trHeight w:val="625"/>
        </w:trPr>
        <w:tc>
          <w:tcPr>
            <w:tcW w:w="3183" w:type="dxa"/>
            <w:tcBorders>
              <w:top w:val="single" w:color="auto" w:sz="2" w:space="0"/>
              <w:left w:val="single" w:color="auto" w:sz="2" w:space="0"/>
              <w:bottom w:val="single" w:color="auto" w:sz="18" w:space="0"/>
              <w:right w:val="single" w:color="auto" w:sz="18" w:space="0"/>
            </w:tcBorders>
            <w:shd w:val="clear" w:color="auto" w:fill="auto"/>
            <w:noWrap/>
            <w:vAlign w:val="center"/>
          </w:tcPr>
          <w:p w:rsidRPr="00917A7A" w:rsidR="00C14DF2" w:rsidDel="006804BD" w:rsidP="009D02BA" w:rsidRDefault="00C14DF2" w14:paraId="5355132E" w14:textId="77777777">
            <w:pPr>
              <w:keepNext/>
              <w:keepLines/>
              <w:widowControl/>
              <w:autoSpaceDE/>
              <w:autoSpaceDN/>
              <w:adjustRightInd/>
              <w:rPr>
                <w:sz w:val="22"/>
                <w:szCs w:val="22"/>
              </w:rPr>
            </w:pPr>
            <w:r w:rsidRPr="00917A7A">
              <w:rPr>
                <w:sz w:val="22"/>
                <w:szCs w:val="22"/>
              </w:rPr>
              <w:t>Number of Updates of Existing Registrations Due to Changes in Key Information</w:t>
            </w:r>
          </w:p>
        </w:tc>
        <w:tc>
          <w:tcPr>
            <w:tcW w:w="1320" w:type="dxa"/>
            <w:tcBorders>
              <w:top w:val="single" w:color="auto" w:sz="2" w:space="0"/>
              <w:left w:val="single" w:color="auto" w:sz="18" w:space="0"/>
              <w:bottom w:val="single" w:color="auto" w:sz="18" w:space="0"/>
              <w:right w:val="single" w:color="auto" w:sz="2" w:space="0"/>
            </w:tcBorders>
            <w:shd w:val="clear" w:color="auto" w:fill="auto"/>
            <w:noWrap/>
            <w:vAlign w:val="center"/>
          </w:tcPr>
          <w:p w:rsidRPr="00917A7A" w:rsidR="00C14DF2" w:rsidP="009D02BA" w:rsidRDefault="00E838A3" w14:paraId="01CDA122" w14:textId="55B77C09">
            <w:pPr>
              <w:keepNext/>
              <w:keepLines/>
              <w:widowControl/>
              <w:autoSpaceDE/>
              <w:autoSpaceDN/>
              <w:adjustRightInd/>
              <w:jc w:val="right"/>
              <w:rPr>
                <w:sz w:val="22"/>
                <w:szCs w:val="22"/>
              </w:rPr>
            </w:pPr>
            <w:r w:rsidRPr="00917A7A">
              <w:rPr>
                <w:sz w:val="22"/>
                <w:szCs w:val="22"/>
              </w:rPr>
              <w:t>0</w:t>
            </w:r>
          </w:p>
        </w:tc>
        <w:tc>
          <w:tcPr>
            <w:tcW w:w="1320" w:type="dxa"/>
            <w:tcBorders>
              <w:top w:val="single" w:color="auto" w:sz="2" w:space="0"/>
              <w:left w:val="single" w:color="auto" w:sz="2" w:space="0"/>
              <w:bottom w:val="single" w:color="auto" w:sz="18" w:space="0"/>
              <w:right w:val="single" w:color="auto" w:sz="2" w:space="0"/>
            </w:tcBorders>
            <w:vAlign w:val="center"/>
          </w:tcPr>
          <w:p w:rsidRPr="00917A7A" w:rsidR="00C14DF2" w:rsidP="009D02BA" w:rsidRDefault="00E838A3" w14:paraId="48AB4B86" w14:textId="12288231">
            <w:pPr>
              <w:keepNext/>
              <w:keepLines/>
              <w:widowControl/>
              <w:autoSpaceDE/>
              <w:autoSpaceDN/>
              <w:adjustRightInd/>
              <w:jc w:val="right"/>
              <w:rPr>
                <w:sz w:val="22"/>
                <w:szCs w:val="22"/>
              </w:rPr>
            </w:pPr>
            <w:r w:rsidRPr="00917A7A">
              <w:rPr>
                <w:sz w:val="22"/>
                <w:szCs w:val="22"/>
              </w:rPr>
              <w:t>0</w:t>
            </w:r>
          </w:p>
        </w:tc>
        <w:tc>
          <w:tcPr>
            <w:tcW w:w="1320" w:type="dxa"/>
            <w:tcBorders>
              <w:top w:val="single" w:color="auto" w:sz="2" w:space="0"/>
              <w:left w:val="single" w:color="auto" w:sz="2" w:space="0"/>
              <w:bottom w:val="single" w:color="auto" w:sz="18" w:space="0"/>
              <w:right w:val="single" w:color="auto" w:sz="18" w:space="0"/>
            </w:tcBorders>
            <w:vAlign w:val="center"/>
          </w:tcPr>
          <w:p w:rsidRPr="00917A7A" w:rsidR="00C14DF2" w:rsidP="009D02BA" w:rsidRDefault="00C14DF2" w14:paraId="6E7D3A08" w14:textId="6D27061F">
            <w:pPr>
              <w:keepNext/>
              <w:keepLines/>
              <w:widowControl/>
              <w:autoSpaceDE/>
              <w:autoSpaceDN/>
              <w:adjustRightInd/>
              <w:jc w:val="right"/>
              <w:rPr>
                <w:sz w:val="22"/>
                <w:szCs w:val="22"/>
              </w:rPr>
            </w:pPr>
            <w:r w:rsidRPr="00917A7A">
              <w:rPr>
                <w:sz w:val="22"/>
                <w:szCs w:val="22"/>
              </w:rPr>
              <w:t>2,</w:t>
            </w:r>
            <w:r w:rsidRPr="00917A7A" w:rsidR="00786B2E">
              <w:rPr>
                <w:sz w:val="22"/>
                <w:szCs w:val="22"/>
              </w:rPr>
              <w:t>226</w:t>
            </w:r>
          </w:p>
        </w:tc>
        <w:tc>
          <w:tcPr>
            <w:tcW w:w="1495" w:type="dxa"/>
            <w:tcBorders>
              <w:top w:val="single" w:color="auto" w:sz="2" w:space="0"/>
              <w:left w:val="single" w:color="auto" w:sz="2" w:space="0"/>
              <w:bottom w:val="single" w:color="auto" w:sz="18" w:space="0"/>
              <w:right w:val="single" w:color="auto" w:sz="2" w:space="0"/>
            </w:tcBorders>
            <w:vAlign w:val="center"/>
          </w:tcPr>
          <w:p w:rsidRPr="00917A7A" w:rsidR="00C14DF2" w:rsidP="009D02BA" w:rsidRDefault="00786B2E" w14:paraId="55283A65" w14:textId="4D1EB991">
            <w:pPr>
              <w:keepNext/>
              <w:keepLines/>
              <w:widowControl/>
              <w:autoSpaceDE/>
              <w:autoSpaceDN/>
              <w:adjustRightInd/>
              <w:jc w:val="right"/>
              <w:rPr>
                <w:sz w:val="22"/>
                <w:szCs w:val="22"/>
              </w:rPr>
            </w:pPr>
            <w:r w:rsidRPr="00917A7A">
              <w:rPr>
                <w:sz w:val="22"/>
                <w:szCs w:val="22"/>
              </w:rPr>
              <w:t>742</w:t>
            </w:r>
          </w:p>
        </w:tc>
      </w:tr>
      <w:tr w:rsidRPr="00917A7A" w:rsidR="00917A7A" w:rsidTr="00985C3E" w14:paraId="5459D2C3" w14:textId="77777777">
        <w:trPr>
          <w:trHeight w:val="625"/>
        </w:trPr>
        <w:tc>
          <w:tcPr>
            <w:tcW w:w="3183"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noWrap/>
            <w:vAlign w:val="center"/>
          </w:tcPr>
          <w:p w:rsidRPr="00917A7A" w:rsidR="00C14DF2" w:rsidDel="006804BD" w:rsidP="009D02BA" w:rsidRDefault="00C14DF2" w14:paraId="7007557E" w14:textId="77777777">
            <w:pPr>
              <w:keepNext/>
              <w:keepLines/>
              <w:widowControl/>
              <w:autoSpaceDE/>
              <w:autoSpaceDN/>
              <w:adjustRightInd/>
              <w:rPr>
                <w:b/>
                <w:sz w:val="22"/>
                <w:szCs w:val="22"/>
              </w:rPr>
            </w:pPr>
            <w:r w:rsidRPr="00917A7A">
              <w:rPr>
                <w:b/>
                <w:sz w:val="22"/>
                <w:szCs w:val="22"/>
              </w:rPr>
              <w:t>TOTAL NUMBER OF RESPONSES</w:t>
            </w:r>
          </w:p>
        </w:tc>
        <w:tc>
          <w:tcPr>
            <w:tcW w:w="1320" w:type="dxa"/>
            <w:tcBorders>
              <w:top w:val="single" w:color="auto" w:sz="18" w:space="0"/>
              <w:left w:val="single" w:color="auto" w:sz="18" w:space="0"/>
              <w:bottom w:val="single" w:color="auto" w:sz="18" w:space="0"/>
              <w:right w:val="single" w:color="auto" w:sz="2" w:space="0"/>
            </w:tcBorders>
            <w:shd w:val="clear" w:color="auto" w:fill="D9D9D9" w:themeFill="background1" w:themeFillShade="D9"/>
            <w:noWrap/>
            <w:vAlign w:val="center"/>
          </w:tcPr>
          <w:p w:rsidRPr="00917A7A" w:rsidR="00C14DF2" w:rsidP="009D02BA" w:rsidRDefault="00E838A3" w14:paraId="6467A827" w14:textId="3A47E755">
            <w:pPr>
              <w:keepNext/>
              <w:keepLines/>
              <w:widowControl/>
              <w:autoSpaceDE/>
              <w:autoSpaceDN/>
              <w:adjustRightInd/>
              <w:jc w:val="right"/>
              <w:rPr>
                <w:b/>
                <w:sz w:val="22"/>
                <w:szCs w:val="22"/>
              </w:rPr>
            </w:pPr>
            <w:r w:rsidRPr="00917A7A">
              <w:rPr>
                <w:b/>
                <w:sz w:val="22"/>
                <w:szCs w:val="22"/>
              </w:rPr>
              <w:t>0</w:t>
            </w:r>
          </w:p>
        </w:tc>
        <w:tc>
          <w:tcPr>
            <w:tcW w:w="1320"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C14DF2" w:rsidP="009D02BA" w:rsidRDefault="00E838A3" w14:paraId="77AAC7CA" w14:textId="524DBF46">
            <w:pPr>
              <w:keepNext/>
              <w:keepLines/>
              <w:widowControl/>
              <w:autoSpaceDE/>
              <w:autoSpaceDN/>
              <w:adjustRightInd/>
              <w:jc w:val="right"/>
              <w:rPr>
                <w:b/>
                <w:sz w:val="22"/>
                <w:szCs w:val="22"/>
              </w:rPr>
            </w:pPr>
            <w:r w:rsidRPr="00917A7A">
              <w:rPr>
                <w:b/>
                <w:sz w:val="22"/>
                <w:szCs w:val="22"/>
              </w:rPr>
              <w:t>0</w:t>
            </w:r>
          </w:p>
        </w:tc>
        <w:tc>
          <w:tcPr>
            <w:tcW w:w="1320"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vAlign w:val="center"/>
          </w:tcPr>
          <w:p w:rsidRPr="00917A7A" w:rsidR="00C14DF2" w:rsidP="009D02BA" w:rsidRDefault="00C14DF2" w14:paraId="6DBF989A" w14:textId="77777777">
            <w:pPr>
              <w:keepNext/>
              <w:keepLines/>
              <w:widowControl/>
              <w:autoSpaceDE/>
              <w:autoSpaceDN/>
              <w:adjustRightInd/>
              <w:jc w:val="right"/>
              <w:rPr>
                <w:b/>
                <w:sz w:val="22"/>
                <w:szCs w:val="22"/>
              </w:rPr>
            </w:pPr>
            <w:r w:rsidRPr="00917A7A">
              <w:rPr>
                <w:b/>
                <w:sz w:val="22"/>
                <w:szCs w:val="22"/>
              </w:rPr>
              <w:t>24,486</w:t>
            </w:r>
          </w:p>
        </w:tc>
        <w:tc>
          <w:tcPr>
            <w:tcW w:w="1495"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C14DF2" w:rsidP="009D02BA" w:rsidRDefault="00786B2E" w14:paraId="6A4E2E79" w14:textId="0134321A">
            <w:pPr>
              <w:keepNext/>
              <w:keepLines/>
              <w:widowControl/>
              <w:autoSpaceDE/>
              <w:autoSpaceDN/>
              <w:adjustRightInd/>
              <w:jc w:val="right"/>
              <w:rPr>
                <w:b/>
                <w:sz w:val="22"/>
                <w:szCs w:val="22"/>
              </w:rPr>
            </w:pPr>
            <w:r w:rsidRPr="00917A7A">
              <w:rPr>
                <w:b/>
                <w:sz w:val="22"/>
                <w:szCs w:val="22"/>
              </w:rPr>
              <w:t>8</w:t>
            </w:r>
            <w:r w:rsidRPr="00917A7A" w:rsidR="00C14DF2">
              <w:rPr>
                <w:b/>
                <w:sz w:val="22"/>
                <w:szCs w:val="22"/>
              </w:rPr>
              <w:t>,</w:t>
            </w:r>
            <w:r w:rsidRPr="00917A7A">
              <w:rPr>
                <w:b/>
                <w:sz w:val="22"/>
                <w:szCs w:val="22"/>
              </w:rPr>
              <w:t>162</w:t>
            </w:r>
          </w:p>
        </w:tc>
      </w:tr>
      <w:tr w:rsidRPr="00917A7A" w:rsidR="00F6360F" w:rsidTr="00985C3E" w14:paraId="43B16921" w14:textId="77777777">
        <w:trPr>
          <w:trHeight w:val="625"/>
        </w:trPr>
        <w:tc>
          <w:tcPr>
            <w:tcW w:w="3183"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noWrap/>
            <w:vAlign w:val="center"/>
          </w:tcPr>
          <w:p w:rsidRPr="00917A7A" w:rsidR="005259CD" w:rsidP="009D02BA" w:rsidRDefault="005259CD" w14:paraId="14F777E1" w14:textId="77777777">
            <w:pPr>
              <w:keepNext/>
              <w:keepLines/>
              <w:widowControl/>
              <w:autoSpaceDE/>
              <w:autoSpaceDN/>
              <w:adjustRightInd/>
              <w:rPr>
                <w:b/>
                <w:sz w:val="22"/>
                <w:szCs w:val="22"/>
              </w:rPr>
            </w:pPr>
            <w:r w:rsidRPr="00917A7A">
              <w:rPr>
                <w:b/>
                <w:sz w:val="22"/>
                <w:szCs w:val="22"/>
              </w:rPr>
              <w:t>NUMBER OF RESPONDENTS</w:t>
            </w:r>
          </w:p>
        </w:tc>
        <w:tc>
          <w:tcPr>
            <w:tcW w:w="1320" w:type="dxa"/>
            <w:tcBorders>
              <w:top w:val="single" w:color="auto" w:sz="18" w:space="0"/>
              <w:left w:val="single" w:color="auto" w:sz="18" w:space="0"/>
              <w:bottom w:val="single" w:color="auto" w:sz="18" w:space="0"/>
              <w:right w:val="single" w:color="auto" w:sz="2" w:space="0"/>
            </w:tcBorders>
            <w:shd w:val="clear" w:color="auto" w:fill="D9D9D9" w:themeFill="background1" w:themeFillShade="D9"/>
            <w:noWrap/>
            <w:vAlign w:val="center"/>
          </w:tcPr>
          <w:p w:rsidRPr="00917A7A" w:rsidR="005259CD" w:rsidP="009D02BA" w:rsidRDefault="00E838A3" w14:paraId="74BEC1EF" w14:textId="14A767B2">
            <w:pPr>
              <w:keepNext/>
              <w:keepLines/>
              <w:widowControl/>
              <w:autoSpaceDE/>
              <w:autoSpaceDN/>
              <w:adjustRightInd/>
              <w:jc w:val="right"/>
              <w:rPr>
                <w:b/>
                <w:sz w:val="22"/>
                <w:szCs w:val="22"/>
              </w:rPr>
            </w:pPr>
            <w:r w:rsidRPr="00917A7A">
              <w:rPr>
                <w:b/>
                <w:sz w:val="22"/>
                <w:szCs w:val="22"/>
              </w:rPr>
              <w:t>0</w:t>
            </w:r>
          </w:p>
        </w:tc>
        <w:tc>
          <w:tcPr>
            <w:tcW w:w="1320"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5259CD" w:rsidP="009D02BA" w:rsidRDefault="00E838A3" w14:paraId="5522EDCD" w14:textId="6BB21C0C">
            <w:pPr>
              <w:keepNext/>
              <w:keepLines/>
              <w:widowControl/>
              <w:autoSpaceDE/>
              <w:autoSpaceDN/>
              <w:adjustRightInd/>
              <w:jc w:val="right"/>
              <w:rPr>
                <w:b/>
                <w:sz w:val="22"/>
                <w:szCs w:val="22"/>
              </w:rPr>
            </w:pPr>
            <w:r w:rsidRPr="00917A7A">
              <w:rPr>
                <w:b/>
                <w:sz w:val="22"/>
                <w:szCs w:val="22"/>
              </w:rPr>
              <w:t>0</w:t>
            </w:r>
          </w:p>
        </w:tc>
        <w:tc>
          <w:tcPr>
            <w:tcW w:w="1320"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vAlign w:val="center"/>
          </w:tcPr>
          <w:p w:rsidRPr="00917A7A" w:rsidR="005259CD" w:rsidP="009D02BA" w:rsidRDefault="005259CD" w14:paraId="3809B49B" w14:textId="4554A807">
            <w:pPr>
              <w:keepNext/>
              <w:keepLines/>
              <w:widowControl/>
              <w:autoSpaceDE/>
              <w:autoSpaceDN/>
              <w:adjustRightInd/>
              <w:jc w:val="right"/>
              <w:rPr>
                <w:b/>
                <w:sz w:val="22"/>
                <w:szCs w:val="22"/>
              </w:rPr>
            </w:pPr>
            <w:r w:rsidRPr="00917A7A">
              <w:rPr>
                <w:b/>
                <w:sz w:val="22"/>
                <w:szCs w:val="22"/>
              </w:rPr>
              <w:t>2</w:t>
            </w:r>
            <w:r w:rsidRPr="00917A7A" w:rsidR="00786B2E">
              <w:rPr>
                <w:b/>
                <w:sz w:val="22"/>
                <w:szCs w:val="22"/>
              </w:rPr>
              <w:t>0</w:t>
            </w:r>
            <w:r w:rsidRPr="00917A7A">
              <w:rPr>
                <w:b/>
                <w:sz w:val="22"/>
                <w:szCs w:val="22"/>
              </w:rPr>
              <w:t>,5</w:t>
            </w:r>
            <w:r w:rsidRPr="00917A7A" w:rsidR="00786B2E">
              <w:rPr>
                <w:b/>
                <w:sz w:val="22"/>
                <w:szCs w:val="22"/>
              </w:rPr>
              <w:t>10</w:t>
            </w:r>
          </w:p>
        </w:tc>
        <w:tc>
          <w:tcPr>
            <w:tcW w:w="1495"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5259CD" w:rsidP="009D02BA" w:rsidRDefault="00786B2E" w14:paraId="67625DB2" w14:textId="382F7718">
            <w:pPr>
              <w:keepNext/>
              <w:keepLines/>
              <w:widowControl/>
              <w:autoSpaceDE/>
              <w:autoSpaceDN/>
              <w:adjustRightInd/>
              <w:jc w:val="right"/>
              <w:rPr>
                <w:b/>
                <w:sz w:val="22"/>
                <w:szCs w:val="22"/>
              </w:rPr>
            </w:pPr>
            <w:r w:rsidRPr="00917A7A">
              <w:rPr>
                <w:b/>
                <w:sz w:val="22"/>
                <w:szCs w:val="22"/>
              </w:rPr>
              <w:t>6,837</w:t>
            </w:r>
            <w:r w:rsidR="00AE5C79">
              <w:rPr>
                <w:rStyle w:val="FootnoteReference"/>
                <w:b/>
                <w:sz w:val="22"/>
                <w:szCs w:val="22"/>
              </w:rPr>
              <w:footnoteReference w:id="18"/>
            </w:r>
          </w:p>
        </w:tc>
      </w:tr>
    </w:tbl>
    <w:p w:rsidRPr="00917A7A" w:rsidR="005259CD" w:rsidP="00383A69" w:rsidRDefault="005259CD" w14:paraId="081AED4F" w14:textId="77777777">
      <w:pPr>
        <w:tabs>
          <w:tab w:val="left" w:pos="360"/>
        </w:tabs>
        <w:ind w:left="360"/>
        <w:rPr>
          <w:szCs w:val="24"/>
        </w:rPr>
      </w:pPr>
    </w:p>
    <w:p w:rsidRPr="00917A7A" w:rsidR="001C2381" w:rsidP="00383A69" w:rsidRDefault="001C2381" w14:paraId="0C0EACC5" w14:textId="5235677B">
      <w:pPr>
        <w:tabs>
          <w:tab w:val="left" w:pos="360"/>
        </w:tabs>
        <w:ind w:left="360"/>
        <w:rPr>
          <w:szCs w:val="24"/>
        </w:rPr>
      </w:pPr>
      <w:r w:rsidRPr="00917A7A">
        <w:rPr>
          <w:szCs w:val="24"/>
        </w:rPr>
        <w:t xml:space="preserve">Next, </w:t>
      </w:r>
      <w:r w:rsidRPr="00917A7A" w:rsidR="00F4292F">
        <w:rPr>
          <w:szCs w:val="24"/>
        </w:rPr>
        <w:t>Table 7</w:t>
      </w:r>
      <w:r w:rsidRPr="00917A7A" w:rsidR="00C33AE9">
        <w:rPr>
          <w:szCs w:val="24"/>
        </w:rPr>
        <w:t xml:space="preserve"> presents the </w:t>
      </w:r>
      <w:r w:rsidRPr="00917A7A">
        <w:rPr>
          <w:szCs w:val="24"/>
        </w:rPr>
        <w:t>resulting estimates of</w:t>
      </w:r>
      <w:r w:rsidRPr="00917A7A" w:rsidR="00B173D6">
        <w:rPr>
          <w:szCs w:val="24"/>
        </w:rPr>
        <w:t xml:space="preserve"> annualized hour burden for IC-2</w:t>
      </w:r>
      <w:r w:rsidRPr="00917A7A" w:rsidR="00C33AE9">
        <w:rPr>
          <w:szCs w:val="24"/>
        </w:rPr>
        <w:t>, based on the number of respon</w:t>
      </w:r>
      <w:r w:rsidRPr="00917A7A" w:rsidR="00F4292F">
        <w:rPr>
          <w:szCs w:val="24"/>
        </w:rPr>
        <w:t>ses by type presented in Table 6</w:t>
      </w:r>
      <w:r w:rsidRPr="00917A7A" w:rsidR="00C33AE9">
        <w:rPr>
          <w:szCs w:val="24"/>
        </w:rPr>
        <w:t xml:space="preserve">, and the estimated hour burden per </w:t>
      </w:r>
      <w:r w:rsidRPr="00917A7A">
        <w:rPr>
          <w:szCs w:val="24"/>
        </w:rPr>
        <w:t xml:space="preserve">each type of </w:t>
      </w:r>
      <w:r w:rsidRPr="00917A7A" w:rsidR="00C33AE9">
        <w:rPr>
          <w:szCs w:val="24"/>
        </w:rPr>
        <w:t xml:space="preserve">response, for each </w:t>
      </w:r>
      <w:r w:rsidRPr="00917A7A">
        <w:rPr>
          <w:szCs w:val="24"/>
        </w:rPr>
        <w:t>of the three types of responses</w:t>
      </w:r>
      <w:r w:rsidRPr="00917A7A" w:rsidR="00383A69">
        <w:rPr>
          <w:szCs w:val="24"/>
        </w:rPr>
        <w:t xml:space="preserve">, </w:t>
      </w:r>
      <w:r w:rsidRPr="00917A7A" w:rsidR="00F1654E">
        <w:rPr>
          <w:szCs w:val="24"/>
        </w:rPr>
        <w:t>presented earlier.</w:t>
      </w:r>
    </w:p>
    <w:p w:rsidRPr="00917A7A" w:rsidR="008A3402" w:rsidP="00145EF4" w:rsidRDefault="008A3402" w14:paraId="2A06B678" w14:textId="77777777">
      <w:pPr>
        <w:tabs>
          <w:tab w:val="left" w:pos="360"/>
        </w:tabs>
        <w:ind w:left="360"/>
        <w:rPr>
          <w:szCs w:val="24"/>
        </w:rPr>
      </w:pPr>
    </w:p>
    <w:p w:rsidRPr="00917A7A" w:rsidR="00962525" w:rsidP="00962525" w:rsidRDefault="00B267DD" w14:paraId="5E92D636" w14:textId="30449C24">
      <w:pPr>
        <w:pStyle w:val="Caption"/>
        <w:keepNext/>
        <w:keepLines/>
        <w:widowControl/>
        <w:spacing w:after="0"/>
        <w:ind w:left="360"/>
        <w:rPr>
          <w:b/>
          <w:color w:val="auto"/>
          <w:sz w:val="24"/>
          <w:szCs w:val="24"/>
        </w:rPr>
      </w:pPr>
      <w:r w:rsidRPr="00917A7A">
        <w:rPr>
          <w:b/>
          <w:i w:val="0"/>
          <w:color w:val="auto"/>
          <w:sz w:val="24"/>
          <w:szCs w:val="24"/>
        </w:rPr>
        <w:t xml:space="preserve">Table </w:t>
      </w:r>
      <w:r w:rsidRPr="00917A7A" w:rsidR="00227758">
        <w:rPr>
          <w:b/>
          <w:i w:val="0"/>
          <w:color w:val="auto"/>
          <w:sz w:val="24"/>
          <w:szCs w:val="24"/>
        </w:rPr>
        <w:t>7</w:t>
      </w:r>
      <w:r w:rsidRPr="00917A7A">
        <w:rPr>
          <w:b/>
          <w:i w:val="0"/>
          <w:color w:val="auto"/>
          <w:sz w:val="24"/>
          <w:szCs w:val="24"/>
        </w:rPr>
        <w:t xml:space="preserve">. Estimated </w:t>
      </w:r>
      <w:r w:rsidRPr="00917A7A" w:rsidR="00962525">
        <w:rPr>
          <w:b/>
          <w:i w:val="0"/>
          <w:color w:val="auto"/>
          <w:sz w:val="24"/>
          <w:szCs w:val="24"/>
        </w:rPr>
        <w:t xml:space="preserve">Annualized </w:t>
      </w:r>
      <w:r w:rsidRPr="00917A7A" w:rsidR="006955DC">
        <w:rPr>
          <w:b/>
          <w:i w:val="0"/>
          <w:color w:val="auto"/>
          <w:sz w:val="24"/>
          <w:szCs w:val="24"/>
        </w:rPr>
        <w:t xml:space="preserve">Hour </w:t>
      </w:r>
      <w:r w:rsidRPr="00917A7A" w:rsidR="00B173D6">
        <w:rPr>
          <w:b/>
          <w:i w:val="0"/>
          <w:color w:val="auto"/>
          <w:sz w:val="24"/>
          <w:szCs w:val="24"/>
        </w:rPr>
        <w:t>Burden for IC-2</w:t>
      </w:r>
      <w:r w:rsidRPr="00917A7A" w:rsidR="00962525">
        <w:rPr>
          <w:b/>
          <w:i w:val="0"/>
          <w:color w:val="auto"/>
          <w:sz w:val="24"/>
          <w:szCs w:val="24"/>
        </w:rPr>
        <w:t xml:space="preserve"> (Training Provider Registration)</w:t>
      </w:r>
    </w:p>
    <w:tbl>
      <w:tblPr>
        <w:tblW w:w="4618"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83"/>
        <w:gridCol w:w="1320"/>
        <w:gridCol w:w="1320"/>
        <w:gridCol w:w="1320"/>
        <w:gridCol w:w="1495"/>
      </w:tblGrid>
      <w:tr w:rsidRPr="00917A7A" w:rsidR="00917A7A" w:rsidTr="00985C3E" w14:paraId="19BBF681" w14:textId="77777777">
        <w:trPr>
          <w:trHeight w:val="600"/>
        </w:trPr>
        <w:tc>
          <w:tcPr>
            <w:tcW w:w="3183" w:type="dxa"/>
            <w:tcBorders>
              <w:top w:val="single" w:color="auto" w:sz="18" w:space="0"/>
              <w:bottom w:val="single" w:color="auto" w:sz="18" w:space="0"/>
              <w:right w:val="single" w:color="auto" w:sz="18" w:space="0"/>
            </w:tcBorders>
            <w:shd w:val="clear" w:color="000000" w:fill="E0E0E0"/>
            <w:vAlign w:val="bottom"/>
            <w:hideMark/>
          </w:tcPr>
          <w:p w:rsidRPr="00917A7A" w:rsidR="00B267DD" w:rsidP="00C33AE9" w:rsidRDefault="00C33AE9" w14:paraId="4230AD6F" w14:textId="77777777">
            <w:pPr>
              <w:keepNext/>
              <w:keepLines/>
              <w:widowControl/>
              <w:autoSpaceDE/>
              <w:autoSpaceDN/>
              <w:adjustRightInd/>
              <w:jc w:val="center"/>
              <w:rPr>
                <w:b/>
                <w:bCs/>
                <w:sz w:val="22"/>
                <w:szCs w:val="22"/>
              </w:rPr>
            </w:pPr>
            <w:r w:rsidRPr="00917A7A">
              <w:rPr>
                <w:b/>
                <w:bCs/>
                <w:sz w:val="22"/>
                <w:szCs w:val="22"/>
              </w:rPr>
              <w:t xml:space="preserve">Type of </w:t>
            </w:r>
            <w:r w:rsidRPr="00917A7A" w:rsidR="004236F6">
              <w:rPr>
                <w:b/>
                <w:bCs/>
                <w:sz w:val="22"/>
                <w:szCs w:val="22"/>
              </w:rPr>
              <w:t>Activity</w:t>
            </w:r>
          </w:p>
        </w:tc>
        <w:tc>
          <w:tcPr>
            <w:tcW w:w="1320" w:type="dxa"/>
            <w:tcBorders>
              <w:top w:val="single" w:color="auto" w:sz="18" w:space="0"/>
              <w:left w:val="single" w:color="auto" w:sz="18" w:space="0"/>
              <w:bottom w:val="single" w:color="auto" w:sz="18" w:space="0"/>
            </w:tcBorders>
            <w:shd w:val="clear" w:color="000000" w:fill="E0E0E0"/>
            <w:vAlign w:val="bottom"/>
            <w:hideMark/>
          </w:tcPr>
          <w:p w:rsidRPr="00917A7A" w:rsidR="00B267DD" w:rsidP="009D02BA" w:rsidRDefault="00B267DD" w14:paraId="607A50AA" w14:textId="77777777">
            <w:pPr>
              <w:keepNext/>
              <w:keepLines/>
              <w:widowControl/>
              <w:autoSpaceDE/>
              <w:autoSpaceDN/>
              <w:adjustRightInd/>
              <w:jc w:val="center"/>
              <w:rPr>
                <w:b/>
                <w:bCs/>
                <w:sz w:val="22"/>
                <w:szCs w:val="22"/>
              </w:rPr>
            </w:pPr>
            <w:r w:rsidRPr="00917A7A">
              <w:rPr>
                <w:b/>
                <w:bCs/>
                <w:sz w:val="22"/>
                <w:szCs w:val="22"/>
              </w:rPr>
              <w:t>2020</w:t>
            </w:r>
          </w:p>
        </w:tc>
        <w:tc>
          <w:tcPr>
            <w:tcW w:w="1320" w:type="dxa"/>
            <w:tcBorders>
              <w:top w:val="single" w:color="auto" w:sz="18" w:space="0"/>
              <w:bottom w:val="single" w:color="auto" w:sz="18" w:space="0"/>
            </w:tcBorders>
            <w:shd w:val="clear" w:color="000000" w:fill="E0E0E0"/>
            <w:vAlign w:val="bottom"/>
          </w:tcPr>
          <w:p w:rsidRPr="00917A7A" w:rsidR="00B267DD" w:rsidP="009D02BA" w:rsidRDefault="00B267DD" w14:paraId="4F7585B0" w14:textId="77777777">
            <w:pPr>
              <w:keepNext/>
              <w:keepLines/>
              <w:widowControl/>
              <w:autoSpaceDE/>
              <w:autoSpaceDN/>
              <w:adjustRightInd/>
              <w:jc w:val="center"/>
              <w:rPr>
                <w:b/>
                <w:bCs/>
                <w:sz w:val="22"/>
                <w:szCs w:val="22"/>
              </w:rPr>
            </w:pPr>
            <w:r w:rsidRPr="00917A7A">
              <w:rPr>
                <w:b/>
                <w:bCs/>
                <w:sz w:val="22"/>
                <w:szCs w:val="22"/>
              </w:rPr>
              <w:t>2021</w:t>
            </w:r>
          </w:p>
        </w:tc>
        <w:tc>
          <w:tcPr>
            <w:tcW w:w="1320" w:type="dxa"/>
            <w:tcBorders>
              <w:top w:val="single" w:color="auto" w:sz="18" w:space="0"/>
              <w:bottom w:val="single" w:color="auto" w:sz="18" w:space="0"/>
              <w:right w:val="single" w:color="auto" w:sz="18" w:space="0"/>
            </w:tcBorders>
            <w:shd w:val="clear" w:color="000000" w:fill="E0E0E0"/>
            <w:vAlign w:val="bottom"/>
          </w:tcPr>
          <w:p w:rsidRPr="00917A7A" w:rsidR="00B267DD" w:rsidP="009D02BA" w:rsidRDefault="00B267DD" w14:paraId="6A969B69" w14:textId="77777777">
            <w:pPr>
              <w:keepNext/>
              <w:keepLines/>
              <w:widowControl/>
              <w:autoSpaceDE/>
              <w:autoSpaceDN/>
              <w:adjustRightInd/>
              <w:jc w:val="center"/>
              <w:rPr>
                <w:b/>
                <w:bCs/>
                <w:sz w:val="22"/>
                <w:szCs w:val="22"/>
              </w:rPr>
            </w:pPr>
            <w:r w:rsidRPr="00917A7A">
              <w:rPr>
                <w:b/>
                <w:bCs/>
                <w:sz w:val="22"/>
                <w:szCs w:val="22"/>
              </w:rPr>
              <w:t>2022</w:t>
            </w:r>
          </w:p>
        </w:tc>
        <w:tc>
          <w:tcPr>
            <w:tcW w:w="1495" w:type="dxa"/>
            <w:tcBorders>
              <w:top w:val="single" w:color="auto" w:sz="18" w:space="0"/>
              <w:bottom w:val="single" w:color="auto" w:sz="18" w:space="0"/>
              <w:right w:val="single" w:color="auto" w:sz="2" w:space="0"/>
            </w:tcBorders>
            <w:shd w:val="clear" w:color="000000" w:fill="E0E0E0"/>
            <w:vAlign w:val="bottom"/>
          </w:tcPr>
          <w:p w:rsidRPr="00917A7A" w:rsidR="00B267DD" w:rsidP="00B267DD" w:rsidRDefault="00B267DD" w14:paraId="2ED4E941" w14:textId="77777777">
            <w:pPr>
              <w:pStyle w:val="FMCSATableHead"/>
              <w:keepNext/>
              <w:spacing w:before="0" w:after="0"/>
              <w:rPr>
                <w:sz w:val="22"/>
                <w:szCs w:val="22"/>
              </w:rPr>
            </w:pPr>
            <w:r w:rsidRPr="00917A7A">
              <w:rPr>
                <w:sz w:val="22"/>
                <w:szCs w:val="22"/>
              </w:rPr>
              <w:t>3-Year Average</w:t>
            </w:r>
          </w:p>
          <w:p w:rsidRPr="00917A7A" w:rsidR="00B267DD" w:rsidP="00B267DD" w:rsidRDefault="00B267DD" w14:paraId="390541D9" w14:textId="77777777">
            <w:pPr>
              <w:keepNext/>
              <w:keepLines/>
              <w:widowControl/>
              <w:autoSpaceDE/>
              <w:autoSpaceDN/>
              <w:adjustRightInd/>
              <w:jc w:val="center"/>
              <w:rPr>
                <w:b/>
                <w:bCs/>
                <w:sz w:val="22"/>
                <w:szCs w:val="22"/>
              </w:rPr>
            </w:pPr>
            <w:r w:rsidRPr="00917A7A">
              <w:rPr>
                <w:b/>
                <w:sz w:val="22"/>
                <w:szCs w:val="22"/>
              </w:rPr>
              <w:t>(2020-2022)</w:t>
            </w:r>
          </w:p>
        </w:tc>
      </w:tr>
      <w:tr w:rsidRPr="00917A7A" w:rsidR="00917A7A" w:rsidTr="00985C3E" w14:paraId="0F6E9163" w14:textId="77777777">
        <w:trPr>
          <w:trHeight w:val="504"/>
        </w:trPr>
        <w:tc>
          <w:tcPr>
            <w:tcW w:w="3183" w:type="dxa"/>
            <w:tcBorders>
              <w:top w:val="single" w:color="auto" w:sz="18" w:space="0"/>
              <w:bottom w:val="single" w:color="auto" w:sz="2" w:space="0"/>
              <w:right w:val="single" w:color="auto" w:sz="18" w:space="0"/>
            </w:tcBorders>
            <w:shd w:val="clear" w:color="auto" w:fill="auto"/>
            <w:noWrap/>
            <w:vAlign w:val="center"/>
          </w:tcPr>
          <w:p w:rsidRPr="00917A7A" w:rsidR="00B267DD" w:rsidP="009D02BA" w:rsidRDefault="00E119D0" w14:paraId="5AEC7014" w14:textId="77777777">
            <w:pPr>
              <w:keepNext/>
              <w:keepLines/>
              <w:widowControl/>
              <w:autoSpaceDE/>
              <w:autoSpaceDN/>
              <w:adjustRightInd/>
              <w:rPr>
                <w:iCs/>
                <w:sz w:val="22"/>
                <w:szCs w:val="22"/>
              </w:rPr>
            </w:pPr>
            <w:r w:rsidRPr="00917A7A">
              <w:rPr>
                <w:iCs/>
                <w:sz w:val="22"/>
                <w:szCs w:val="22"/>
              </w:rPr>
              <w:t>Hour Burden for New First-Time Registration</w:t>
            </w:r>
            <w:r w:rsidRPr="00917A7A" w:rsidR="00E62581">
              <w:rPr>
                <w:iCs/>
                <w:sz w:val="22"/>
                <w:szCs w:val="22"/>
              </w:rPr>
              <w:t>s</w:t>
            </w:r>
          </w:p>
        </w:tc>
        <w:tc>
          <w:tcPr>
            <w:tcW w:w="1320" w:type="dxa"/>
            <w:tcBorders>
              <w:top w:val="single" w:color="auto" w:sz="18" w:space="0"/>
              <w:left w:val="single" w:color="auto" w:sz="18" w:space="0"/>
              <w:bottom w:val="single" w:color="auto" w:sz="2" w:space="0"/>
            </w:tcBorders>
            <w:shd w:val="clear" w:color="auto" w:fill="auto"/>
            <w:noWrap/>
            <w:vAlign w:val="center"/>
          </w:tcPr>
          <w:p w:rsidRPr="00917A7A" w:rsidR="00B267DD" w:rsidP="009D02BA" w:rsidRDefault="006A4C69" w14:paraId="3B949877" w14:textId="6F2EF7A0">
            <w:pPr>
              <w:keepNext/>
              <w:keepLines/>
              <w:widowControl/>
              <w:autoSpaceDE/>
              <w:autoSpaceDN/>
              <w:adjustRightInd/>
              <w:jc w:val="right"/>
              <w:rPr>
                <w:iCs/>
                <w:sz w:val="22"/>
                <w:szCs w:val="22"/>
              </w:rPr>
            </w:pPr>
            <w:r w:rsidRPr="00917A7A">
              <w:rPr>
                <w:iCs/>
                <w:sz w:val="22"/>
                <w:szCs w:val="22"/>
              </w:rPr>
              <w:t>0</w:t>
            </w:r>
          </w:p>
        </w:tc>
        <w:tc>
          <w:tcPr>
            <w:tcW w:w="1320" w:type="dxa"/>
            <w:tcBorders>
              <w:top w:val="single" w:color="auto" w:sz="18" w:space="0"/>
              <w:bottom w:val="single" w:color="auto" w:sz="2" w:space="0"/>
            </w:tcBorders>
            <w:vAlign w:val="center"/>
          </w:tcPr>
          <w:p w:rsidRPr="00917A7A" w:rsidR="00B267DD" w:rsidP="009D02BA" w:rsidRDefault="006A4C69" w14:paraId="4EA9E7F8" w14:textId="41F2F07D">
            <w:pPr>
              <w:keepNext/>
              <w:keepLines/>
              <w:widowControl/>
              <w:autoSpaceDE/>
              <w:autoSpaceDN/>
              <w:adjustRightInd/>
              <w:jc w:val="right"/>
              <w:rPr>
                <w:sz w:val="22"/>
                <w:szCs w:val="22"/>
              </w:rPr>
            </w:pPr>
            <w:r w:rsidRPr="00917A7A">
              <w:rPr>
                <w:sz w:val="22"/>
                <w:szCs w:val="22"/>
              </w:rPr>
              <w:t>0</w:t>
            </w:r>
          </w:p>
        </w:tc>
        <w:tc>
          <w:tcPr>
            <w:tcW w:w="1320" w:type="dxa"/>
            <w:tcBorders>
              <w:top w:val="single" w:color="auto" w:sz="18" w:space="0"/>
              <w:bottom w:val="single" w:color="auto" w:sz="2" w:space="0"/>
              <w:right w:val="single" w:color="auto" w:sz="18" w:space="0"/>
            </w:tcBorders>
            <w:vAlign w:val="center"/>
          </w:tcPr>
          <w:p w:rsidRPr="00917A7A" w:rsidR="00B267DD" w:rsidP="009D02BA" w:rsidRDefault="00DE5247" w14:paraId="6734EDA8" w14:textId="2964F09A">
            <w:pPr>
              <w:keepNext/>
              <w:keepLines/>
              <w:widowControl/>
              <w:autoSpaceDE/>
              <w:autoSpaceDN/>
              <w:adjustRightInd/>
              <w:jc w:val="right"/>
              <w:rPr>
                <w:sz w:val="22"/>
                <w:szCs w:val="22"/>
              </w:rPr>
            </w:pPr>
            <w:r w:rsidRPr="00917A7A">
              <w:rPr>
                <w:sz w:val="22"/>
                <w:szCs w:val="22"/>
              </w:rPr>
              <w:t>44,520</w:t>
            </w:r>
          </w:p>
        </w:tc>
        <w:tc>
          <w:tcPr>
            <w:tcW w:w="1495" w:type="dxa"/>
            <w:tcBorders>
              <w:top w:val="single" w:color="auto" w:sz="18" w:space="0"/>
              <w:bottom w:val="single" w:color="auto" w:sz="2" w:space="0"/>
              <w:right w:val="single" w:color="auto" w:sz="2" w:space="0"/>
            </w:tcBorders>
            <w:vAlign w:val="center"/>
          </w:tcPr>
          <w:p w:rsidRPr="00917A7A" w:rsidR="00B267DD" w:rsidP="009D02BA" w:rsidRDefault="00DE5247" w14:paraId="748E3AB1" w14:textId="24773CD4">
            <w:pPr>
              <w:keepNext/>
              <w:keepLines/>
              <w:widowControl/>
              <w:autoSpaceDE/>
              <w:autoSpaceDN/>
              <w:adjustRightInd/>
              <w:jc w:val="right"/>
              <w:rPr>
                <w:iCs/>
                <w:sz w:val="22"/>
                <w:szCs w:val="22"/>
              </w:rPr>
            </w:pPr>
            <w:r w:rsidRPr="00917A7A">
              <w:rPr>
                <w:iCs/>
                <w:sz w:val="22"/>
                <w:szCs w:val="22"/>
              </w:rPr>
              <w:t>14,840</w:t>
            </w:r>
          </w:p>
        </w:tc>
      </w:tr>
      <w:tr w:rsidRPr="00917A7A" w:rsidR="00917A7A" w:rsidTr="00985C3E" w14:paraId="5220D80F" w14:textId="77777777">
        <w:trPr>
          <w:trHeight w:val="535"/>
        </w:trPr>
        <w:tc>
          <w:tcPr>
            <w:tcW w:w="318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B267DD" w:rsidDel="006804BD" w:rsidP="009D02BA" w:rsidRDefault="00E119D0" w14:paraId="1FCC4AD3" w14:textId="77777777">
            <w:pPr>
              <w:keepNext/>
              <w:keepLines/>
              <w:widowControl/>
              <w:autoSpaceDE/>
              <w:autoSpaceDN/>
              <w:adjustRightInd/>
              <w:rPr>
                <w:sz w:val="22"/>
                <w:szCs w:val="22"/>
              </w:rPr>
            </w:pPr>
            <w:r w:rsidRPr="00917A7A">
              <w:rPr>
                <w:sz w:val="22"/>
                <w:szCs w:val="22"/>
              </w:rPr>
              <w:t>Hour Burden for Biennial Update</w:t>
            </w:r>
            <w:r w:rsidRPr="00917A7A" w:rsidR="00E62581">
              <w:rPr>
                <w:sz w:val="22"/>
                <w:szCs w:val="22"/>
              </w:rPr>
              <w:t>s</w:t>
            </w:r>
            <w:r w:rsidRPr="00917A7A">
              <w:rPr>
                <w:sz w:val="22"/>
                <w:szCs w:val="22"/>
              </w:rPr>
              <w:t xml:space="preserve"> of Existing Registration</w:t>
            </w:r>
          </w:p>
        </w:tc>
        <w:tc>
          <w:tcPr>
            <w:tcW w:w="1320"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B267DD" w:rsidP="009D02BA" w:rsidRDefault="00E119D0" w14:paraId="7B5F3B8B" w14:textId="77777777">
            <w:pPr>
              <w:keepNext/>
              <w:keepLines/>
              <w:widowControl/>
              <w:autoSpaceDE/>
              <w:autoSpaceDN/>
              <w:adjustRightInd/>
              <w:jc w:val="right"/>
              <w:rPr>
                <w:sz w:val="22"/>
                <w:szCs w:val="22"/>
              </w:rPr>
            </w:pPr>
            <w:r w:rsidRPr="00917A7A">
              <w:rPr>
                <w:sz w:val="22"/>
                <w:szCs w:val="22"/>
              </w:rPr>
              <w:t>0</w:t>
            </w:r>
          </w:p>
        </w:tc>
        <w:tc>
          <w:tcPr>
            <w:tcW w:w="1320" w:type="dxa"/>
            <w:tcBorders>
              <w:top w:val="single" w:color="auto" w:sz="2" w:space="0"/>
              <w:left w:val="single" w:color="auto" w:sz="2" w:space="0"/>
              <w:bottom w:val="single" w:color="auto" w:sz="2" w:space="0"/>
              <w:right w:val="single" w:color="auto" w:sz="2" w:space="0"/>
            </w:tcBorders>
            <w:vAlign w:val="center"/>
          </w:tcPr>
          <w:p w:rsidRPr="00917A7A" w:rsidR="00B267DD" w:rsidP="009D02BA" w:rsidRDefault="00E119D0" w14:paraId="0F7C3ADC" w14:textId="77777777">
            <w:pPr>
              <w:keepNext/>
              <w:keepLines/>
              <w:widowControl/>
              <w:autoSpaceDE/>
              <w:autoSpaceDN/>
              <w:adjustRightInd/>
              <w:jc w:val="right"/>
              <w:rPr>
                <w:sz w:val="22"/>
                <w:szCs w:val="22"/>
              </w:rPr>
            </w:pPr>
            <w:r w:rsidRPr="00917A7A">
              <w:rPr>
                <w:sz w:val="22"/>
                <w:szCs w:val="22"/>
              </w:rPr>
              <w:t>0</w:t>
            </w:r>
          </w:p>
        </w:tc>
        <w:tc>
          <w:tcPr>
            <w:tcW w:w="1320" w:type="dxa"/>
            <w:tcBorders>
              <w:top w:val="single" w:color="auto" w:sz="2" w:space="0"/>
              <w:left w:val="single" w:color="auto" w:sz="2" w:space="0"/>
              <w:bottom w:val="single" w:color="auto" w:sz="2" w:space="0"/>
              <w:right w:val="single" w:color="auto" w:sz="18" w:space="0"/>
            </w:tcBorders>
            <w:vAlign w:val="center"/>
          </w:tcPr>
          <w:p w:rsidRPr="00917A7A" w:rsidR="00B267DD" w:rsidP="009D02BA" w:rsidRDefault="00DE5247" w14:paraId="2BEACB09" w14:textId="618E1B96">
            <w:pPr>
              <w:keepNext/>
              <w:keepLines/>
              <w:widowControl/>
              <w:autoSpaceDE/>
              <w:autoSpaceDN/>
              <w:adjustRightInd/>
              <w:jc w:val="right"/>
              <w:rPr>
                <w:sz w:val="22"/>
                <w:szCs w:val="22"/>
              </w:rPr>
            </w:pPr>
            <w:r w:rsidRPr="00917A7A">
              <w:rPr>
                <w:sz w:val="22"/>
                <w:szCs w:val="22"/>
              </w:rPr>
              <w:t>0</w:t>
            </w:r>
          </w:p>
        </w:tc>
        <w:tc>
          <w:tcPr>
            <w:tcW w:w="1495" w:type="dxa"/>
            <w:tcBorders>
              <w:top w:val="single" w:color="auto" w:sz="2" w:space="0"/>
              <w:left w:val="single" w:color="auto" w:sz="2" w:space="0"/>
              <w:bottom w:val="single" w:color="auto" w:sz="2" w:space="0"/>
              <w:right w:val="single" w:color="auto" w:sz="2" w:space="0"/>
            </w:tcBorders>
            <w:vAlign w:val="center"/>
          </w:tcPr>
          <w:p w:rsidRPr="00917A7A" w:rsidR="00B267DD" w:rsidP="009D02BA" w:rsidRDefault="00DE5247" w14:paraId="697BEC30" w14:textId="019B874A">
            <w:pPr>
              <w:keepNext/>
              <w:keepLines/>
              <w:widowControl/>
              <w:autoSpaceDE/>
              <w:autoSpaceDN/>
              <w:adjustRightInd/>
              <w:jc w:val="right"/>
              <w:rPr>
                <w:sz w:val="22"/>
                <w:szCs w:val="22"/>
              </w:rPr>
            </w:pPr>
            <w:r w:rsidRPr="00917A7A">
              <w:rPr>
                <w:sz w:val="22"/>
                <w:szCs w:val="22"/>
              </w:rPr>
              <w:t>0</w:t>
            </w:r>
          </w:p>
        </w:tc>
      </w:tr>
      <w:tr w:rsidRPr="00917A7A" w:rsidR="00917A7A" w:rsidTr="00985C3E" w14:paraId="20FB67C8" w14:textId="77777777">
        <w:trPr>
          <w:trHeight w:val="625"/>
        </w:trPr>
        <w:tc>
          <w:tcPr>
            <w:tcW w:w="3183" w:type="dxa"/>
            <w:tcBorders>
              <w:top w:val="single" w:color="auto" w:sz="2" w:space="0"/>
              <w:left w:val="single" w:color="auto" w:sz="2" w:space="0"/>
              <w:bottom w:val="single" w:color="auto" w:sz="18" w:space="0"/>
              <w:right w:val="single" w:color="auto" w:sz="18" w:space="0"/>
            </w:tcBorders>
            <w:shd w:val="clear" w:color="auto" w:fill="auto"/>
            <w:noWrap/>
            <w:vAlign w:val="center"/>
          </w:tcPr>
          <w:p w:rsidRPr="00917A7A" w:rsidR="00962525" w:rsidDel="006804BD" w:rsidP="009D02BA" w:rsidRDefault="00E119D0" w14:paraId="510DA37F" w14:textId="77777777">
            <w:pPr>
              <w:keepNext/>
              <w:keepLines/>
              <w:widowControl/>
              <w:autoSpaceDE/>
              <w:autoSpaceDN/>
              <w:adjustRightInd/>
              <w:rPr>
                <w:sz w:val="22"/>
                <w:szCs w:val="22"/>
              </w:rPr>
            </w:pPr>
            <w:r w:rsidRPr="00917A7A">
              <w:rPr>
                <w:sz w:val="22"/>
                <w:szCs w:val="22"/>
              </w:rPr>
              <w:t>Hour Burden for Update</w:t>
            </w:r>
            <w:r w:rsidRPr="00917A7A" w:rsidR="00E62581">
              <w:rPr>
                <w:sz w:val="22"/>
                <w:szCs w:val="22"/>
              </w:rPr>
              <w:t>s</w:t>
            </w:r>
            <w:r w:rsidRPr="00917A7A">
              <w:rPr>
                <w:sz w:val="22"/>
                <w:szCs w:val="22"/>
              </w:rPr>
              <w:t xml:space="preserve"> of Existing Registration Due to Change in Key Information</w:t>
            </w:r>
          </w:p>
        </w:tc>
        <w:tc>
          <w:tcPr>
            <w:tcW w:w="1320" w:type="dxa"/>
            <w:tcBorders>
              <w:top w:val="single" w:color="auto" w:sz="2" w:space="0"/>
              <w:left w:val="single" w:color="auto" w:sz="18" w:space="0"/>
              <w:bottom w:val="single" w:color="auto" w:sz="18" w:space="0"/>
              <w:right w:val="single" w:color="auto" w:sz="2" w:space="0"/>
            </w:tcBorders>
            <w:shd w:val="clear" w:color="auto" w:fill="auto"/>
            <w:noWrap/>
            <w:vAlign w:val="center"/>
          </w:tcPr>
          <w:p w:rsidRPr="00917A7A" w:rsidR="00962525" w:rsidP="009D02BA" w:rsidRDefault="006A4C69" w14:paraId="13461622" w14:textId="69FDA3D9">
            <w:pPr>
              <w:keepNext/>
              <w:keepLines/>
              <w:widowControl/>
              <w:autoSpaceDE/>
              <w:autoSpaceDN/>
              <w:adjustRightInd/>
              <w:jc w:val="right"/>
              <w:rPr>
                <w:sz w:val="22"/>
                <w:szCs w:val="22"/>
              </w:rPr>
            </w:pPr>
            <w:r w:rsidRPr="00917A7A">
              <w:rPr>
                <w:sz w:val="22"/>
                <w:szCs w:val="22"/>
              </w:rPr>
              <w:t>0</w:t>
            </w:r>
          </w:p>
        </w:tc>
        <w:tc>
          <w:tcPr>
            <w:tcW w:w="1320" w:type="dxa"/>
            <w:tcBorders>
              <w:top w:val="single" w:color="auto" w:sz="2" w:space="0"/>
              <w:left w:val="single" w:color="auto" w:sz="2" w:space="0"/>
              <w:bottom w:val="single" w:color="auto" w:sz="18" w:space="0"/>
              <w:right w:val="single" w:color="auto" w:sz="2" w:space="0"/>
            </w:tcBorders>
            <w:vAlign w:val="center"/>
          </w:tcPr>
          <w:p w:rsidRPr="00917A7A" w:rsidR="00962525" w:rsidP="009D02BA" w:rsidRDefault="006A4C69" w14:paraId="02CBC569" w14:textId="10B5017E">
            <w:pPr>
              <w:keepNext/>
              <w:keepLines/>
              <w:widowControl/>
              <w:autoSpaceDE/>
              <w:autoSpaceDN/>
              <w:adjustRightInd/>
              <w:jc w:val="right"/>
              <w:rPr>
                <w:sz w:val="22"/>
                <w:szCs w:val="22"/>
              </w:rPr>
            </w:pPr>
            <w:r w:rsidRPr="00917A7A">
              <w:rPr>
                <w:sz w:val="22"/>
                <w:szCs w:val="22"/>
              </w:rPr>
              <w:t>0</w:t>
            </w:r>
          </w:p>
        </w:tc>
        <w:tc>
          <w:tcPr>
            <w:tcW w:w="1320" w:type="dxa"/>
            <w:tcBorders>
              <w:top w:val="single" w:color="auto" w:sz="2" w:space="0"/>
              <w:left w:val="single" w:color="auto" w:sz="2" w:space="0"/>
              <w:bottom w:val="single" w:color="auto" w:sz="18" w:space="0"/>
              <w:right w:val="single" w:color="auto" w:sz="18" w:space="0"/>
            </w:tcBorders>
            <w:vAlign w:val="center"/>
          </w:tcPr>
          <w:p w:rsidRPr="00917A7A" w:rsidR="00962525" w:rsidP="009D02BA" w:rsidRDefault="00DE5247" w14:paraId="5E610351" w14:textId="7962A0B8">
            <w:pPr>
              <w:keepNext/>
              <w:keepLines/>
              <w:widowControl/>
              <w:autoSpaceDE/>
              <w:autoSpaceDN/>
              <w:adjustRightInd/>
              <w:jc w:val="right"/>
              <w:rPr>
                <w:sz w:val="22"/>
                <w:szCs w:val="22"/>
              </w:rPr>
            </w:pPr>
            <w:r w:rsidRPr="00917A7A">
              <w:rPr>
                <w:sz w:val="22"/>
                <w:szCs w:val="22"/>
              </w:rPr>
              <w:t>557</w:t>
            </w:r>
          </w:p>
        </w:tc>
        <w:tc>
          <w:tcPr>
            <w:tcW w:w="1495" w:type="dxa"/>
            <w:tcBorders>
              <w:top w:val="single" w:color="auto" w:sz="2" w:space="0"/>
              <w:left w:val="single" w:color="auto" w:sz="2" w:space="0"/>
              <w:bottom w:val="single" w:color="auto" w:sz="18" w:space="0"/>
              <w:right w:val="single" w:color="auto" w:sz="2" w:space="0"/>
            </w:tcBorders>
            <w:vAlign w:val="center"/>
          </w:tcPr>
          <w:p w:rsidRPr="00917A7A" w:rsidR="00962525" w:rsidP="009D02BA" w:rsidRDefault="00DE5247" w14:paraId="4AC920C8" w14:textId="670417FC">
            <w:pPr>
              <w:keepNext/>
              <w:keepLines/>
              <w:widowControl/>
              <w:autoSpaceDE/>
              <w:autoSpaceDN/>
              <w:adjustRightInd/>
              <w:jc w:val="right"/>
              <w:rPr>
                <w:sz w:val="22"/>
                <w:szCs w:val="22"/>
              </w:rPr>
            </w:pPr>
            <w:r w:rsidRPr="00917A7A">
              <w:rPr>
                <w:sz w:val="22"/>
                <w:szCs w:val="22"/>
              </w:rPr>
              <w:t>186</w:t>
            </w:r>
          </w:p>
        </w:tc>
      </w:tr>
      <w:tr w:rsidRPr="00917A7A" w:rsidR="00F6360F" w:rsidTr="00985C3E" w14:paraId="20CC10A3" w14:textId="77777777">
        <w:trPr>
          <w:trHeight w:val="625"/>
        </w:trPr>
        <w:tc>
          <w:tcPr>
            <w:tcW w:w="3183"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noWrap/>
            <w:vAlign w:val="center"/>
          </w:tcPr>
          <w:p w:rsidRPr="00917A7A" w:rsidR="00962525" w:rsidDel="006804BD" w:rsidP="009D02BA" w:rsidRDefault="00E119D0" w14:paraId="67C9364D" w14:textId="77777777">
            <w:pPr>
              <w:keepNext/>
              <w:keepLines/>
              <w:widowControl/>
              <w:autoSpaceDE/>
              <w:autoSpaceDN/>
              <w:adjustRightInd/>
              <w:rPr>
                <w:b/>
                <w:sz w:val="22"/>
                <w:szCs w:val="22"/>
              </w:rPr>
            </w:pPr>
            <w:r w:rsidRPr="00917A7A">
              <w:rPr>
                <w:b/>
                <w:sz w:val="22"/>
                <w:szCs w:val="22"/>
              </w:rPr>
              <w:t>HOUR BURDEN FOR ALL RESPONSE TYPES</w:t>
            </w:r>
          </w:p>
        </w:tc>
        <w:tc>
          <w:tcPr>
            <w:tcW w:w="1320" w:type="dxa"/>
            <w:tcBorders>
              <w:top w:val="single" w:color="auto" w:sz="18" w:space="0"/>
              <w:left w:val="single" w:color="auto" w:sz="18" w:space="0"/>
              <w:bottom w:val="single" w:color="auto" w:sz="18" w:space="0"/>
              <w:right w:val="single" w:color="auto" w:sz="2" w:space="0"/>
            </w:tcBorders>
            <w:shd w:val="clear" w:color="auto" w:fill="D9D9D9" w:themeFill="background1" w:themeFillShade="D9"/>
            <w:noWrap/>
            <w:vAlign w:val="center"/>
          </w:tcPr>
          <w:p w:rsidRPr="00917A7A" w:rsidR="00962525" w:rsidP="009D02BA" w:rsidRDefault="006A4C69" w14:paraId="2D350F3A" w14:textId="31A9DF0C">
            <w:pPr>
              <w:keepNext/>
              <w:keepLines/>
              <w:widowControl/>
              <w:autoSpaceDE/>
              <w:autoSpaceDN/>
              <w:adjustRightInd/>
              <w:jc w:val="right"/>
              <w:rPr>
                <w:b/>
                <w:sz w:val="22"/>
                <w:szCs w:val="22"/>
              </w:rPr>
            </w:pPr>
            <w:r w:rsidRPr="00917A7A">
              <w:rPr>
                <w:b/>
                <w:sz w:val="22"/>
                <w:szCs w:val="22"/>
              </w:rPr>
              <w:t>0</w:t>
            </w:r>
          </w:p>
        </w:tc>
        <w:tc>
          <w:tcPr>
            <w:tcW w:w="1320"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962525" w:rsidP="009D02BA" w:rsidRDefault="006A4C69" w14:paraId="6795E315" w14:textId="51200BAE">
            <w:pPr>
              <w:keepNext/>
              <w:keepLines/>
              <w:widowControl/>
              <w:autoSpaceDE/>
              <w:autoSpaceDN/>
              <w:adjustRightInd/>
              <w:jc w:val="right"/>
              <w:rPr>
                <w:b/>
                <w:sz w:val="22"/>
                <w:szCs w:val="22"/>
              </w:rPr>
            </w:pPr>
            <w:r w:rsidRPr="00917A7A">
              <w:rPr>
                <w:b/>
                <w:sz w:val="22"/>
                <w:szCs w:val="22"/>
              </w:rPr>
              <w:t>0</w:t>
            </w:r>
          </w:p>
        </w:tc>
        <w:tc>
          <w:tcPr>
            <w:tcW w:w="1320"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vAlign w:val="center"/>
          </w:tcPr>
          <w:p w:rsidRPr="00917A7A" w:rsidR="00962525" w:rsidP="009D02BA" w:rsidRDefault="00DE5247" w14:paraId="7C35939D" w14:textId="6F39B375">
            <w:pPr>
              <w:keepNext/>
              <w:keepLines/>
              <w:widowControl/>
              <w:autoSpaceDE/>
              <w:autoSpaceDN/>
              <w:adjustRightInd/>
              <w:jc w:val="right"/>
              <w:rPr>
                <w:b/>
                <w:sz w:val="22"/>
                <w:szCs w:val="22"/>
              </w:rPr>
            </w:pPr>
            <w:r w:rsidRPr="00917A7A">
              <w:rPr>
                <w:b/>
                <w:sz w:val="22"/>
                <w:szCs w:val="22"/>
              </w:rPr>
              <w:t>45,077</w:t>
            </w:r>
          </w:p>
        </w:tc>
        <w:tc>
          <w:tcPr>
            <w:tcW w:w="1495"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962525" w:rsidP="009D02BA" w:rsidRDefault="00DE5247" w14:paraId="2E6CD8F6" w14:textId="55EE67E0">
            <w:pPr>
              <w:keepNext/>
              <w:keepLines/>
              <w:widowControl/>
              <w:autoSpaceDE/>
              <w:autoSpaceDN/>
              <w:adjustRightInd/>
              <w:jc w:val="right"/>
              <w:rPr>
                <w:b/>
                <w:sz w:val="22"/>
                <w:szCs w:val="22"/>
              </w:rPr>
            </w:pPr>
            <w:r w:rsidRPr="00917A7A">
              <w:rPr>
                <w:b/>
                <w:sz w:val="22"/>
                <w:szCs w:val="22"/>
              </w:rPr>
              <w:t>15,026</w:t>
            </w:r>
          </w:p>
        </w:tc>
      </w:tr>
    </w:tbl>
    <w:p w:rsidRPr="00917A7A" w:rsidR="008442BB" w:rsidP="00145EF4" w:rsidRDefault="008442BB" w14:paraId="4FA70AB1" w14:textId="77777777">
      <w:pPr>
        <w:tabs>
          <w:tab w:val="left" w:pos="360"/>
        </w:tabs>
        <w:ind w:left="360"/>
        <w:rPr>
          <w:szCs w:val="24"/>
        </w:rPr>
      </w:pPr>
    </w:p>
    <w:p w:rsidRPr="00917A7A" w:rsidR="00962525" w:rsidP="002E50B0" w:rsidRDefault="00EF3432" w14:paraId="5651FB18" w14:textId="77777777">
      <w:pPr>
        <w:ind w:left="360"/>
      </w:pPr>
      <w:r w:rsidRPr="00917A7A">
        <w:t xml:space="preserve">Under </w:t>
      </w:r>
      <w:r w:rsidRPr="00917A7A" w:rsidR="002E50B0">
        <w:t xml:space="preserve">49 </w:t>
      </w:r>
      <w:r w:rsidRPr="00917A7A" w:rsidR="00962525">
        <w:t>CFR 380.725</w:t>
      </w:r>
      <w:r w:rsidRPr="00917A7A">
        <w:t>, training providers must retain the following documentation and records:</w:t>
      </w:r>
    </w:p>
    <w:p w:rsidRPr="00917A7A" w:rsidR="00EF3432" w:rsidP="002E50B0" w:rsidRDefault="00EF3432" w14:paraId="221ABCE9" w14:textId="77777777">
      <w:pPr>
        <w:ind w:left="360"/>
      </w:pPr>
    </w:p>
    <w:p w:rsidRPr="00917A7A" w:rsidR="00EF3432" w:rsidP="00EF3432" w:rsidRDefault="00EF3432" w14:paraId="76CDED6A" w14:textId="77777777">
      <w:pPr>
        <w:numPr>
          <w:ilvl w:val="0"/>
          <w:numId w:val="36"/>
        </w:numPr>
      </w:pPr>
      <w:r w:rsidRPr="00917A7A">
        <w:t>Self-certifications from driver-trainees taking behind-the-wheel (BTW) training that the driver-trainees will comply with other U.S. DOT regulations related to alcohol and controlled substances testing, age, medical certification, licensing, and driver records (in 49 CFR parts 40, 382, 383, and 391).</w:t>
      </w:r>
    </w:p>
    <w:p w:rsidRPr="00917A7A" w:rsidR="00EF3432" w:rsidP="00EF3432" w:rsidRDefault="00EF3432" w14:paraId="5519F33E" w14:textId="77777777">
      <w:pPr>
        <w:numPr>
          <w:ilvl w:val="0"/>
          <w:numId w:val="36"/>
        </w:numPr>
      </w:pPr>
      <w:r w:rsidRPr="00917A7A">
        <w:lastRenderedPageBreak/>
        <w:t>A copy of the driver-trainee’s commercial learner’s permit</w:t>
      </w:r>
      <w:r w:rsidRPr="00917A7A" w:rsidR="00125DC6">
        <w:t xml:space="preserve"> (CLP)</w:t>
      </w:r>
      <w:r w:rsidRPr="00917A7A">
        <w:t xml:space="preserve"> or commercial driver’s license</w:t>
      </w:r>
      <w:r w:rsidRPr="00917A7A" w:rsidR="001B66EB">
        <w:t xml:space="preserve"> (CDL)</w:t>
      </w:r>
      <w:r w:rsidRPr="00917A7A">
        <w:t>, as applicable.</w:t>
      </w:r>
    </w:p>
    <w:p w:rsidRPr="00917A7A" w:rsidR="00EF3432" w:rsidP="00EF3432" w:rsidRDefault="00EF3432" w14:paraId="5F95758D" w14:textId="77777777">
      <w:pPr>
        <w:numPr>
          <w:ilvl w:val="0"/>
          <w:numId w:val="36"/>
        </w:numPr>
      </w:pPr>
      <w:r w:rsidRPr="00917A7A">
        <w:t>Instruc</w:t>
      </w:r>
      <w:r w:rsidRPr="00917A7A" w:rsidR="007E3940">
        <w:t>tor qualification documentation (copies of instructor CDL and endorsements, etc.).</w:t>
      </w:r>
    </w:p>
    <w:p w:rsidRPr="00917A7A" w:rsidR="00EF3432" w:rsidP="00EF3432" w:rsidRDefault="00EF3432" w14:paraId="03CB8EDF" w14:textId="77777777">
      <w:pPr>
        <w:numPr>
          <w:ilvl w:val="0"/>
          <w:numId w:val="36"/>
        </w:numPr>
      </w:pPr>
      <w:r w:rsidRPr="00917A7A">
        <w:t>A copy of the current Training Provider Registration information that was submitted to the TPR.</w:t>
      </w:r>
    </w:p>
    <w:p w:rsidRPr="00917A7A" w:rsidR="00EF3432" w:rsidP="00EF3432" w:rsidRDefault="00EF3432" w14:paraId="3334C306" w14:textId="77777777">
      <w:pPr>
        <w:numPr>
          <w:ilvl w:val="0"/>
          <w:numId w:val="36"/>
        </w:numPr>
      </w:pPr>
      <w:r w:rsidRPr="00917A7A">
        <w:t>Lesson plans for theory and BTW training curricula.</w:t>
      </w:r>
    </w:p>
    <w:p w:rsidRPr="00917A7A" w:rsidR="00962525" w:rsidP="00962525" w:rsidRDefault="00962525" w14:paraId="0A2A97FF" w14:textId="77777777">
      <w:pPr>
        <w:ind w:left="360"/>
      </w:pPr>
    </w:p>
    <w:p w:rsidRPr="00917A7A" w:rsidR="00962525" w:rsidP="00EF3432" w:rsidRDefault="00EF3432" w14:paraId="1F15CACF" w14:textId="7FFFEB7D">
      <w:pPr>
        <w:ind w:left="360"/>
      </w:pPr>
      <w:r w:rsidRPr="00917A7A">
        <w:t xml:space="preserve">These records must be retained by training providers for 3 years from the date each record is generated or received. </w:t>
      </w:r>
      <w:r w:rsidRPr="00917A7A" w:rsidR="00962525">
        <w:t>FMCSA does not include a component for recordkeeping tasks in the Agency’s IC estimate because the training providers routinely keep records of their student</w:t>
      </w:r>
      <w:r w:rsidRPr="00917A7A" w:rsidR="005360A3">
        <w:t xml:space="preserve">s </w:t>
      </w:r>
      <w:r w:rsidRPr="00917A7A" w:rsidR="0039524E">
        <w:t>and employees (instructors)</w:t>
      </w:r>
      <w:r w:rsidRPr="00917A7A" w:rsidR="002E45BF">
        <w:t xml:space="preserve"> today</w:t>
      </w:r>
      <w:r w:rsidRPr="00917A7A" w:rsidR="007E3940">
        <w:t xml:space="preserve">, such as copies of </w:t>
      </w:r>
      <w:r w:rsidRPr="00917A7A" w:rsidR="001B66EB">
        <w:t>CLP</w:t>
      </w:r>
      <w:r w:rsidRPr="00917A7A" w:rsidR="007E3940">
        <w:t>s for driver-trainees, copies of instruct</w:t>
      </w:r>
      <w:r w:rsidRPr="00917A7A" w:rsidR="00961586">
        <w:t>or</w:t>
      </w:r>
      <w:r w:rsidRPr="00917A7A" w:rsidR="007E3940">
        <w:t xml:space="preserve"> CDLs and endorsements, etc.</w:t>
      </w:r>
      <w:r w:rsidRPr="00917A7A" w:rsidR="005360A3">
        <w:t xml:space="preserve"> </w:t>
      </w:r>
      <w:r w:rsidRPr="00917A7A" w:rsidR="00962525">
        <w:t>FMCSA concludes that the</w:t>
      </w:r>
      <w:r w:rsidRPr="00917A7A" w:rsidR="00BF3DFC">
        <w:t>se</w:t>
      </w:r>
      <w:r w:rsidRPr="00917A7A" w:rsidR="00962525">
        <w:t xml:space="preserve"> recordkeeping tasks are “</w:t>
      </w:r>
      <w:r w:rsidRPr="00917A7A" w:rsidR="00464625">
        <w:t>customary and</w:t>
      </w:r>
      <w:r w:rsidRPr="00917A7A">
        <w:t xml:space="preserve"> usual business practices</w:t>
      </w:r>
      <w:r w:rsidRPr="00917A7A" w:rsidR="00962525">
        <w:t>,” i.e.</w:t>
      </w:r>
      <w:r w:rsidRPr="00917A7A" w:rsidR="0039524E">
        <w:t>,</w:t>
      </w:r>
      <w:r w:rsidRPr="00917A7A" w:rsidR="00962525">
        <w:t xml:space="preserve"> that they would be undertaken in the normal course of the providers’ businesses in the absence of the </w:t>
      </w:r>
      <w:r w:rsidRPr="00917A7A" w:rsidR="005360A3">
        <w:t xml:space="preserve">Agency’s training regulations. </w:t>
      </w:r>
      <w:r w:rsidRPr="00917A7A" w:rsidR="00464625">
        <w:t xml:space="preserve">The </w:t>
      </w:r>
      <w:r w:rsidRPr="00917A7A" w:rsidR="00BF3DFC">
        <w:t xml:space="preserve">time, effort, and financial resources necessary to comply with a collection of information that would be incurred by persons in the normal course of their activities (e.g., in compiling and maintaining business records) is excluded from burden is those activities are </w:t>
      </w:r>
      <w:r w:rsidRPr="00917A7A" w:rsidR="00962525">
        <w:t xml:space="preserve">usual and customary </w:t>
      </w:r>
      <w:r w:rsidRPr="00917A7A" w:rsidR="00BF3DFC">
        <w:t>(5 CFR 1320.3(b)(2))</w:t>
      </w:r>
      <w:r w:rsidRPr="00917A7A" w:rsidR="00962525">
        <w:t>.</w:t>
      </w:r>
    </w:p>
    <w:p w:rsidRPr="00917A7A" w:rsidR="0059735C" w:rsidP="00F0156C" w:rsidRDefault="0059735C" w14:paraId="22123161" w14:textId="77777777">
      <w:pPr>
        <w:rPr>
          <w:b/>
        </w:rPr>
      </w:pPr>
    </w:p>
    <w:p w:rsidRPr="00917A7A" w:rsidR="00F0156C" w:rsidP="00F0156C" w:rsidRDefault="00A750C4" w14:paraId="2EFD2956" w14:textId="45FA6CDF">
      <w:pPr>
        <w:widowControl/>
        <w:tabs>
          <w:tab w:val="left" w:pos="360"/>
        </w:tabs>
        <w:ind w:left="360"/>
      </w:pPr>
      <w:r w:rsidRPr="00917A7A">
        <w:t>As noted previously, “c</w:t>
      </w:r>
      <w:r w:rsidRPr="00917A7A" w:rsidR="00F0156C">
        <w:t>ost to respondents” (sometimes referred to as “burden hour cost”)</w:t>
      </w:r>
      <w:r w:rsidRPr="00917A7A">
        <w:t xml:space="preserve"> </w:t>
      </w:r>
      <w:r w:rsidRPr="00917A7A" w:rsidR="00F0156C">
        <w:t>is separate and distinct from “cost burden”, which is reported later in Section 13 and represents capital or start-up costs, operation or maintenance costs (such as those for supplies and equipment), or purchases of services resulting from the collection of information.</w:t>
      </w:r>
    </w:p>
    <w:p w:rsidRPr="00917A7A" w:rsidR="00F0156C" w:rsidP="00F0156C" w:rsidRDefault="00F0156C" w14:paraId="41278C94" w14:textId="77777777">
      <w:pPr>
        <w:widowControl/>
        <w:tabs>
          <w:tab w:val="left" w:pos="360"/>
        </w:tabs>
        <w:ind w:left="360"/>
        <w:rPr>
          <w:bCs/>
          <w:szCs w:val="24"/>
        </w:rPr>
      </w:pPr>
    </w:p>
    <w:p w:rsidRPr="00917A7A" w:rsidR="00F0156C" w:rsidP="00F0156C" w:rsidRDefault="00F0156C" w14:paraId="2548D66B" w14:textId="692C4FBA">
      <w:pPr>
        <w:widowControl/>
        <w:tabs>
          <w:tab w:val="left" w:pos="360"/>
        </w:tabs>
        <w:ind w:left="360"/>
        <w:rPr>
          <w:bCs/>
          <w:szCs w:val="24"/>
        </w:rPr>
      </w:pPr>
      <w:r w:rsidRPr="00917A7A">
        <w:rPr>
          <w:bCs/>
          <w:szCs w:val="24"/>
        </w:rPr>
        <w:t xml:space="preserve">The Standard Occupational Classification (SOC) system used </w:t>
      </w:r>
      <w:r w:rsidRPr="00917A7A" w:rsidR="008472E1">
        <w:rPr>
          <w:bCs/>
          <w:szCs w:val="24"/>
        </w:rPr>
        <w:t>by the DOL</w:t>
      </w:r>
      <w:r w:rsidRPr="00917A7A">
        <w:rPr>
          <w:bCs/>
          <w:szCs w:val="24"/>
        </w:rPr>
        <w:t xml:space="preserve">, </w:t>
      </w:r>
      <w:r w:rsidRPr="00917A7A" w:rsidR="008472E1">
        <w:rPr>
          <w:bCs/>
          <w:szCs w:val="24"/>
        </w:rPr>
        <w:t>BLS</w:t>
      </w:r>
      <w:r w:rsidRPr="00917A7A">
        <w:rPr>
          <w:bCs/>
          <w:szCs w:val="24"/>
        </w:rPr>
        <w:t xml:space="preserve">, in producing occupational employment and wage estimates for their Occupational Employment Statistics (OES) program does not include an SOC code specific to the occupation of entry-level driver trainer or </w:t>
      </w:r>
      <w:r w:rsidRPr="00917A7A" w:rsidR="00B502B1">
        <w:rPr>
          <w:bCs/>
          <w:szCs w:val="24"/>
        </w:rPr>
        <w:t>CMV</w:t>
      </w:r>
      <w:r w:rsidRPr="00917A7A">
        <w:rPr>
          <w:bCs/>
          <w:szCs w:val="24"/>
        </w:rPr>
        <w:t xml:space="preserve"> operator trainer. We therefore assume that the occupation most representative of respondents for </w:t>
      </w:r>
      <w:r w:rsidRPr="00917A7A" w:rsidR="009966FF">
        <w:rPr>
          <w:bCs/>
          <w:szCs w:val="24"/>
        </w:rPr>
        <w:t xml:space="preserve">IC-2 </w:t>
      </w:r>
      <w:r w:rsidRPr="00917A7A">
        <w:rPr>
          <w:bCs/>
          <w:szCs w:val="24"/>
        </w:rPr>
        <w:t xml:space="preserve">corresponds to the “Vocational Education Teachers, Postsecondary” </w:t>
      </w:r>
      <w:r w:rsidRPr="00917A7A" w:rsidR="008472E1">
        <w:rPr>
          <w:bCs/>
          <w:szCs w:val="24"/>
        </w:rPr>
        <w:t>SOC</w:t>
      </w:r>
      <w:r w:rsidRPr="00917A7A">
        <w:rPr>
          <w:bCs/>
          <w:szCs w:val="24"/>
        </w:rPr>
        <w:t xml:space="preserve"> Code 25-1194. According to BLS, this SOC code includes industrial, commercial, and government training instructors, and adult education teachers and instructors who prepare persons to operate industrial machinery and equipment and transportation and communications equipment.</w:t>
      </w:r>
      <w:r w:rsidRPr="00917A7A">
        <w:rPr>
          <w:rStyle w:val="FootnoteReference"/>
          <w:bCs/>
          <w:szCs w:val="24"/>
        </w:rPr>
        <w:footnoteReference w:id="19"/>
      </w:r>
      <w:r w:rsidRPr="00917A7A">
        <w:rPr>
          <w:bCs/>
          <w:szCs w:val="24"/>
        </w:rPr>
        <w:t xml:space="preserve"> Teaching may take place in public or private schools whose primary business is education (for example, a private for-hire CDL training school or a community college offering a CDL training programs), or in a school associated with an organization whose primary business is other than education (for example, a motor carrier that has its own in-house </w:t>
      </w:r>
      <w:r w:rsidRPr="00917A7A" w:rsidR="00CA6031">
        <w:t>ELDT</w:t>
      </w:r>
      <w:r w:rsidRPr="00917A7A">
        <w:rPr>
          <w:bCs/>
          <w:szCs w:val="24"/>
        </w:rPr>
        <w:t xml:space="preserve"> program). Given that there are several types of </w:t>
      </w:r>
      <w:r w:rsidRPr="00917A7A" w:rsidR="00CA6031">
        <w:t>ELDT</w:t>
      </w:r>
      <w:r w:rsidRPr="00917A7A">
        <w:rPr>
          <w:bCs/>
          <w:szCs w:val="24"/>
        </w:rPr>
        <w:t xml:space="preserve"> providers across multiple industries, including but not limited to CDL training schools, educational institutions such as community colleges, motor carriers, owner-operators, transit agencies, school districts with directly operated school bus service, State/local governments, utility companies and rural electric cooperatives, etc., the median hourly wage of Vocational Education Teachers, Postsecondary (SOC Code 25-1194) across </w:t>
      </w:r>
      <w:r w:rsidRPr="00917A7A">
        <w:rPr>
          <w:bCs/>
          <w:szCs w:val="24"/>
        </w:rPr>
        <w:lastRenderedPageBreak/>
        <w:t>all industry sectors as of May 2018 of $25.54 is used here as the appropriate wage rate category for calculating the cost to respondents.</w:t>
      </w:r>
      <w:r w:rsidRPr="00917A7A">
        <w:rPr>
          <w:bCs/>
          <w:szCs w:val="24"/>
          <w:vertAlign w:val="superscript"/>
        </w:rPr>
        <w:footnoteReference w:id="20"/>
      </w:r>
      <w:r w:rsidRPr="00917A7A">
        <w:rPr>
          <w:bCs/>
          <w:szCs w:val="24"/>
        </w:rPr>
        <w:t xml:space="preserve"> </w:t>
      </w:r>
    </w:p>
    <w:p w:rsidRPr="00917A7A" w:rsidR="00F0156C" w:rsidP="00F0156C" w:rsidRDefault="00F0156C" w14:paraId="765699BD" w14:textId="77777777">
      <w:pPr>
        <w:widowControl/>
        <w:tabs>
          <w:tab w:val="left" w:pos="360"/>
        </w:tabs>
        <w:ind w:left="360"/>
        <w:rPr>
          <w:bCs/>
          <w:szCs w:val="24"/>
        </w:rPr>
      </w:pPr>
    </w:p>
    <w:p w:rsidRPr="00917A7A" w:rsidR="00F0156C" w:rsidP="00F0156C" w:rsidRDefault="00F0156C" w14:paraId="7354E3D0" w14:textId="02A7EE3B">
      <w:pPr>
        <w:widowControl/>
        <w:tabs>
          <w:tab w:val="left" w:pos="360"/>
        </w:tabs>
        <w:ind w:left="360"/>
        <w:rPr>
          <w:bCs/>
          <w:szCs w:val="24"/>
        </w:rPr>
      </w:pPr>
      <w:r w:rsidRPr="00917A7A">
        <w:rPr>
          <w:bCs/>
          <w:szCs w:val="24"/>
        </w:rPr>
        <w:t>To arrive at a loaded wage, we first estimated a fringe benefits rate of 56.9 percent by dividing the total benefit costs ($14.69 per hour) by the wages and salaries ($25.80 per hour) for the transportation and warehousing industry.</w:t>
      </w:r>
      <w:r w:rsidRPr="00917A7A">
        <w:rPr>
          <w:rStyle w:val="FootnoteReference"/>
          <w:bCs/>
          <w:szCs w:val="24"/>
        </w:rPr>
        <w:footnoteReference w:id="21"/>
      </w:r>
      <w:r w:rsidRPr="00917A7A">
        <w:rPr>
          <w:bCs/>
          <w:szCs w:val="24"/>
        </w:rPr>
        <w:t xml:space="preserve"> We then estimated an overhead rate of 27.4 percent by dividing management and overhead costs ($0.107 per mile) by labor costs ($0.39 per mile) for the trucking industry.</w:t>
      </w:r>
      <w:r w:rsidRPr="00917A7A">
        <w:rPr>
          <w:rStyle w:val="FootnoteReference"/>
          <w:bCs/>
          <w:szCs w:val="24"/>
        </w:rPr>
        <w:footnoteReference w:id="22"/>
      </w:r>
      <w:r w:rsidRPr="00917A7A">
        <w:rPr>
          <w:bCs/>
          <w:szCs w:val="24"/>
        </w:rPr>
        <w:t xml:space="preserve"> Using these estimated fringe benefits and overhead rates, we calculated a fully loaded wage rate factor of 2.0 by multiplying the fringe benefits rate (1+0.569) by the overhead rate (1+0.274). Finally, multiplying the median hourly base wage of $25.54 by this fully loaded wage rate factor results in a fully loaded hourly wage of $51.08.</w:t>
      </w:r>
      <w:r w:rsidRPr="00917A7A" w:rsidR="001C2381">
        <w:rPr>
          <w:bCs/>
          <w:szCs w:val="24"/>
        </w:rPr>
        <w:t xml:space="preserve"> The resulting average ann</w:t>
      </w:r>
      <w:r w:rsidRPr="00917A7A" w:rsidR="00B173D6">
        <w:rPr>
          <w:bCs/>
          <w:szCs w:val="24"/>
        </w:rPr>
        <w:t>ual cost to respondents for IC-2</w:t>
      </w:r>
      <w:r w:rsidRPr="00917A7A" w:rsidR="001C2381">
        <w:rPr>
          <w:bCs/>
          <w:szCs w:val="24"/>
        </w:rPr>
        <w:t xml:space="preserve"> is $</w:t>
      </w:r>
      <w:r w:rsidRPr="00917A7A" w:rsidR="00584307">
        <w:rPr>
          <w:bCs/>
          <w:szCs w:val="24"/>
        </w:rPr>
        <w:t>767</w:t>
      </w:r>
      <w:r w:rsidRPr="00917A7A" w:rsidR="001C2381">
        <w:rPr>
          <w:bCs/>
          <w:szCs w:val="24"/>
        </w:rPr>
        <w:t>,</w:t>
      </w:r>
      <w:r w:rsidRPr="00917A7A" w:rsidR="00584307">
        <w:rPr>
          <w:bCs/>
          <w:szCs w:val="24"/>
        </w:rPr>
        <w:t>485</w:t>
      </w:r>
      <w:r w:rsidRPr="00917A7A" w:rsidR="001C2381">
        <w:rPr>
          <w:bCs/>
          <w:szCs w:val="24"/>
        </w:rPr>
        <w:t xml:space="preserve"> (</w:t>
      </w:r>
      <w:r w:rsidRPr="00917A7A" w:rsidR="00584307">
        <w:rPr>
          <w:bCs/>
          <w:szCs w:val="24"/>
        </w:rPr>
        <w:t>15,026</w:t>
      </w:r>
      <w:r w:rsidRPr="00917A7A" w:rsidR="001C2381">
        <w:rPr>
          <w:bCs/>
          <w:szCs w:val="24"/>
        </w:rPr>
        <w:t xml:space="preserve"> average annual burden hours </w:t>
      </w:r>
      <w:r w:rsidRPr="00917A7A" w:rsidR="008A63C3">
        <w:rPr>
          <w:bCs/>
          <w:szCs w:val="24"/>
        </w:rPr>
        <w:t>× $51.08 fully loaded wage rate).</w:t>
      </w:r>
    </w:p>
    <w:p w:rsidRPr="00917A7A" w:rsidR="00145EF4" w:rsidP="00145EF4" w:rsidRDefault="00145EF4" w14:paraId="1AB4A205" w14:textId="77777777">
      <w:pPr>
        <w:tabs>
          <w:tab w:val="left" w:pos="360"/>
        </w:tabs>
        <w:ind w:left="360"/>
        <w:rPr>
          <w:szCs w:val="24"/>
        </w:rPr>
      </w:pPr>
    </w:p>
    <w:p w:rsidRPr="00917A7A" w:rsidR="009E4B73" w:rsidP="00145EF4" w:rsidRDefault="00227758" w14:paraId="1EB84C3F" w14:textId="02900D59">
      <w:pPr>
        <w:tabs>
          <w:tab w:val="left" w:pos="360"/>
        </w:tabs>
        <w:ind w:left="360"/>
        <w:rPr>
          <w:szCs w:val="24"/>
        </w:rPr>
      </w:pPr>
      <w:r w:rsidRPr="00917A7A">
        <w:rPr>
          <w:szCs w:val="24"/>
        </w:rPr>
        <w:t>Table 8</w:t>
      </w:r>
      <w:r w:rsidRPr="00917A7A" w:rsidR="00E90C5D">
        <w:rPr>
          <w:szCs w:val="24"/>
        </w:rPr>
        <w:t xml:space="preserve"> presents </w:t>
      </w:r>
      <w:r w:rsidRPr="00917A7A" w:rsidR="00020C9B">
        <w:rPr>
          <w:szCs w:val="24"/>
        </w:rPr>
        <w:t xml:space="preserve">a summary </w:t>
      </w:r>
      <w:r w:rsidRPr="00917A7A" w:rsidR="00B173D6">
        <w:rPr>
          <w:szCs w:val="24"/>
        </w:rPr>
        <w:t>of the burden estimates for IC-2</w:t>
      </w:r>
      <w:r w:rsidRPr="00917A7A" w:rsidR="00020C9B">
        <w:rPr>
          <w:szCs w:val="24"/>
        </w:rPr>
        <w:t>.</w:t>
      </w:r>
    </w:p>
    <w:p w:rsidRPr="00917A7A" w:rsidR="00F02EC3" w:rsidP="00145EF4" w:rsidRDefault="00F02EC3" w14:paraId="6B5CB698" w14:textId="77777777">
      <w:pPr>
        <w:tabs>
          <w:tab w:val="left" w:pos="360"/>
        </w:tabs>
        <w:ind w:left="360"/>
        <w:rPr>
          <w:szCs w:val="24"/>
        </w:rPr>
      </w:pPr>
    </w:p>
    <w:p w:rsidRPr="00917A7A" w:rsidR="009E4B73" w:rsidP="008243C8" w:rsidRDefault="00227758" w14:paraId="1FB4D14B" w14:textId="7F094C62">
      <w:pPr>
        <w:pStyle w:val="Caption"/>
        <w:keepNext/>
        <w:keepLines/>
        <w:spacing w:after="0"/>
        <w:ind w:left="360"/>
        <w:rPr>
          <w:b/>
          <w:color w:val="auto"/>
          <w:sz w:val="24"/>
          <w:szCs w:val="24"/>
        </w:rPr>
      </w:pPr>
      <w:r w:rsidRPr="00917A7A">
        <w:rPr>
          <w:b/>
          <w:i w:val="0"/>
          <w:color w:val="auto"/>
          <w:sz w:val="24"/>
          <w:szCs w:val="24"/>
        </w:rPr>
        <w:t>Table 8</w:t>
      </w:r>
      <w:r w:rsidRPr="00917A7A" w:rsidR="00B173D6">
        <w:rPr>
          <w:b/>
          <w:i w:val="0"/>
          <w:color w:val="auto"/>
          <w:sz w:val="24"/>
          <w:szCs w:val="24"/>
        </w:rPr>
        <w:t>. Summary for IC-2</w:t>
      </w:r>
      <w:r w:rsidRPr="00917A7A" w:rsidR="009E4B73">
        <w:rPr>
          <w:b/>
          <w:i w:val="0"/>
          <w:color w:val="auto"/>
          <w:sz w:val="24"/>
          <w:szCs w:val="24"/>
        </w:rPr>
        <w:t xml:space="preserve"> (Training Provider Registration)</w:t>
      </w:r>
    </w:p>
    <w:tbl>
      <w:tblPr>
        <w:tblW w:w="3679"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94"/>
        <w:gridCol w:w="1586"/>
      </w:tblGrid>
      <w:tr w:rsidRPr="00917A7A" w:rsidR="00F6360F" w:rsidTr="00985C3E" w14:paraId="4520EED3" w14:textId="77777777">
        <w:trPr>
          <w:trHeight w:val="600"/>
        </w:trPr>
        <w:tc>
          <w:tcPr>
            <w:tcW w:w="5293" w:type="dxa"/>
            <w:tcBorders>
              <w:top w:val="single" w:color="auto" w:sz="18" w:space="0"/>
              <w:bottom w:val="single" w:color="auto" w:sz="18" w:space="0"/>
              <w:right w:val="single" w:color="auto" w:sz="18" w:space="0"/>
            </w:tcBorders>
            <w:shd w:val="clear" w:color="000000" w:fill="E0E0E0"/>
            <w:vAlign w:val="bottom"/>
            <w:hideMark/>
          </w:tcPr>
          <w:p w:rsidRPr="00917A7A" w:rsidR="009E4B73" w:rsidP="008243C8" w:rsidRDefault="009E4B73" w14:paraId="76CDF339" w14:textId="77777777">
            <w:pPr>
              <w:keepNext/>
              <w:keepLines/>
              <w:autoSpaceDE/>
              <w:autoSpaceDN/>
              <w:adjustRightInd/>
              <w:jc w:val="center"/>
              <w:rPr>
                <w:b/>
                <w:bCs/>
                <w:sz w:val="22"/>
                <w:szCs w:val="22"/>
              </w:rPr>
            </w:pPr>
            <w:r w:rsidRPr="00917A7A">
              <w:rPr>
                <w:b/>
                <w:bCs/>
                <w:sz w:val="22"/>
                <w:szCs w:val="22"/>
              </w:rPr>
              <w:t>Summary Item</w:t>
            </w:r>
          </w:p>
        </w:tc>
        <w:tc>
          <w:tcPr>
            <w:tcW w:w="1586" w:type="dxa"/>
            <w:tcBorders>
              <w:top w:val="single" w:color="auto" w:sz="18" w:space="0"/>
              <w:left w:val="single" w:color="auto" w:sz="18" w:space="0"/>
              <w:bottom w:val="single" w:color="auto" w:sz="18" w:space="0"/>
            </w:tcBorders>
            <w:shd w:val="clear" w:color="000000" w:fill="E0E0E0"/>
            <w:vAlign w:val="bottom"/>
            <w:hideMark/>
          </w:tcPr>
          <w:p w:rsidRPr="00917A7A" w:rsidR="009E4B73" w:rsidP="008243C8" w:rsidRDefault="009E4B73" w14:paraId="55F8CEC3" w14:textId="77777777">
            <w:pPr>
              <w:keepNext/>
              <w:keepLines/>
              <w:autoSpaceDE/>
              <w:autoSpaceDN/>
              <w:adjustRightInd/>
              <w:jc w:val="center"/>
              <w:rPr>
                <w:b/>
                <w:bCs/>
                <w:sz w:val="22"/>
                <w:szCs w:val="22"/>
              </w:rPr>
            </w:pPr>
            <w:r w:rsidRPr="00917A7A">
              <w:rPr>
                <w:b/>
                <w:bCs/>
                <w:sz w:val="22"/>
                <w:szCs w:val="22"/>
              </w:rPr>
              <w:t>Value</w:t>
            </w:r>
          </w:p>
        </w:tc>
      </w:tr>
      <w:tr w:rsidRPr="00917A7A" w:rsidR="00917A7A" w:rsidTr="00985C3E" w14:paraId="637567A0" w14:textId="77777777">
        <w:trPr>
          <w:trHeight w:val="324"/>
        </w:trPr>
        <w:tc>
          <w:tcPr>
            <w:tcW w:w="5293" w:type="dxa"/>
            <w:tcBorders>
              <w:top w:val="single" w:color="auto" w:sz="18" w:space="0"/>
              <w:bottom w:val="single" w:color="auto" w:sz="2" w:space="0"/>
              <w:right w:val="single" w:color="auto" w:sz="18" w:space="0"/>
            </w:tcBorders>
            <w:shd w:val="clear" w:color="auto" w:fill="auto"/>
            <w:noWrap/>
            <w:vAlign w:val="center"/>
          </w:tcPr>
          <w:p w:rsidRPr="00917A7A" w:rsidR="009E4B73" w:rsidP="008243C8" w:rsidRDefault="00B32694" w14:paraId="1B76E248" w14:textId="77777777">
            <w:pPr>
              <w:keepNext/>
              <w:keepLines/>
              <w:autoSpaceDE/>
              <w:autoSpaceDN/>
              <w:adjustRightInd/>
              <w:rPr>
                <w:iCs/>
                <w:sz w:val="22"/>
                <w:szCs w:val="22"/>
              </w:rPr>
            </w:pPr>
            <w:r w:rsidRPr="00917A7A">
              <w:rPr>
                <w:iCs/>
                <w:sz w:val="22"/>
                <w:szCs w:val="22"/>
              </w:rPr>
              <w:t>Average Annual Number of Respondents</w:t>
            </w:r>
          </w:p>
        </w:tc>
        <w:tc>
          <w:tcPr>
            <w:tcW w:w="1586" w:type="dxa"/>
            <w:tcBorders>
              <w:top w:val="single" w:color="auto" w:sz="18" w:space="0"/>
              <w:left w:val="single" w:color="auto" w:sz="18" w:space="0"/>
              <w:bottom w:val="single" w:color="auto" w:sz="2" w:space="0"/>
            </w:tcBorders>
            <w:shd w:val="clear" w:color="auto" w:fill="auto"/>
            <w:noWrap/>
            <w:vAlign w:val="center"/>
          </w:tcPr>
          <w:p w:rsidRPr="00917A7A" w:rsidR="009E4B73" w:rsidP="008243C8" w:rsidRDefault="00584307" w14:paraId="3AD39E87" w14:textId="27AF6DBD">
            <w:pPr>
              <w:keepNext/>
              <w:keepLines/>
              <w:autoSpaceDE/>
              <w:autoSpaceDN/>
              <w:adjustRightInd/>
              <w:jc w:val="right"/>
              <w:rPr>
                <w:iCs/>
                <w:sz w:val="22"/>
                <w:szCs w:val="22"/>
              </w:rPr>
            </w:pPr>
            <w:r w:rsidRPr="00917A7A">
              <w:rPr>
                <w:iCs/>
                <w:sz w:val="22"/>
                <w:szCs w:val="22"/>
              </w:rPr>
              <w:t>6,837</w:t>
            </w:r>
          </w:p>
        </w:tc>
      </w:tr>
      <w:tr w:rsidRPr="00917A7A" w:rsidR="00917A7A" w:rsidTr="00985C3E" w14:paraId="2022ADE8"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9E4B73" w:rsidDel="006804BD" w:rsidP="008243C8" w:rsidRDefault="00B32694" w14:paraId="2A154303" w14:textId="77777777">
            <w:pPr>
              <w:keepNext/>
              <w:keepLines/>
              <w:autoSpaceDE/>
              <w:autoSpaceDN/>
              <w:adjustRightInd/>
              <w:rPr>
                <w:sz w:val="22"/>
                <w:szCs w:val="22"/>
              </w:rPr>
            </w:pPr>
            <w:r w:rsidRPr="00917A7A">
              <w:rPr>
                <w:sz w:val="22"/>
                <w:szCs w:val="22"/>
              </w:rPr>
              <w:t>Average Annual Responses</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9E4B73" w:rsidP="008243C8" w:rsidRDefault="00584307" w14:paraId="0CB8946C" w14:textId="0F2A066C">
            <w:pPr>
              <w:keepNext/>
              <w:keepLines/>
              <w:autoSpaceDE/>
              <w:autoSpaceDN/>
              <w:adjustRightInd/>
              <w:jc w:val="right"/>
              <w:rPr>
                <w:sz w:val="22"/>
                <w:szCs w:val="22"/>
              </w:rPr>
            </w:pPr>
            <w:r w:rsidRPr="00917A7A">
              <w:rPr>
                <w:sz w:val="22"/>
                <w:szCs w:val="22"/>
              </w:rPr>
              <w:t>8,162</w:t>
            </w:r>
          </w:p>
        </w:tc>
      </w:tr>
      <w:tr w:rsidRPr="00917A7A" w:rsidR="00917A7A" w:rsidTr="00985C3E" w14:paraId="35B8C0B2"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9E4B73" w:rsidDel="006804BD" w:rsidP="008243C8" w:rsidRDefault="001E3A2A" w14:paraId="6D76595F" w14:textId="77777777">
            <w:pPr>
              <w:keepNext/>
              <w:keepLines/>
              <w:autoSpaceDE/>
              <w:autoSpaceDN/>
              <w:adjustRightInd/>
              <w:rPr>
                <w:sz w:val="22"/>
                <w:szCs w:val="22"/>
              </w:rPr>
            </w:pPr>
            <w:r w:rsidRPr="00917A7A">
              <w:rPr>
                <w:sz w:val="22"/>
                <w:szCs w:val="22"/>
              </w:rPr>
              <w:t>Average Annual N</w:t>
            </w:r>
            <w:r w:rsidRPr="00917A7A" w:rsidR="00B32694">
              <w:rPr>
                <w:sz w:val="22"/>
                <w:szCs w:val="22"/>
              </w:rPr>
              <w:t>umber of Responses per Respondent</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9E4B73" w:rsidP="008243C8" w:rsidRDefault="00B32694" w14:paraId="704F8546" w14:textId="1FCB98B2">
            <w:pPr>
              <w:keepNext/>
              <w:keepLines/>
              <w:autoSpaceDE/>
              <w:autoSpaceDN/>
              <w:adjustRightInd/>
              <w:jc w:val="right"/>
              <w:rPr>
                <w:sz w:val="22"/>
                <w:szCs w:val="22"/>
              </w:rPr>
            </w:pPr>
            <w:r w:rsidRPr="00917A7A">
              <w:rPr>
                <w:sz w:val="22"/>
                <w:szCs w:val="22"/>
              </w:rPr>
              <w:t>1.1</w:t>
            </w:r>
            <w:r w:rsidRPr="00917A7A" w:rsidR="00584307">
              <w:rPr>
                <w:sz w:val="22"/>
                <w:szCs w:val="22"/>
              </w:rPr>
              <w:t>9</w:t>
            </w:r>
          </w:p>
        </w:tc>
      </w:tr>
      <w:tr w:rsidRPr="00917A7A" w:rsidR="00917A7A" w:rsidTr="00985C3E" w14:paraId="3491F8F1"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9E4B73" w:rsidDel="006804BD" w:rsidP="008243C8" w:rsidRDefault="00B32694" w14:paraId="0BC546A8" w14:textId="77777777">
            <w:pPr>
              <w:keepNext/>
              <w:keepLines/>
              <w:autoSpaceDE/>
              <w:autoSpaceDN/>
              <w:adjustRightInd/>
              <w:rPr>
                <w:sz w:val="22"/>
                <w:szCs w:val="22"/>
              </w:rPr>
            </w:pPr>
            <w:r w:rsidRPr="00917A7A">
              <w:rPr>
                <w:sz w:val="22"/>
                <w:szCs w:val="22"/>
              </w:rPr>
              <w:t>Average Annual Burden Hours</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9E4B73" w:rsidP="008243C8" w:rsidRDefault="00584307" w14:paraId="2A345447" w14:textId="1619117B">
            <w:pPr>
              <w:keepNext/>
              <w:keepLines/>
              <w:autoSpaceDE/>
              <w:autoSpaceDN/>
              <w:adjustRightInd/>
              <w:jc w:val="right"/>
              <w:rPr>
                <w:sz w:val="22"/>
                <w:szCs w:val="22"/>
              </w:rPr>
            </w:pPr>
            <w:r w:rsidRPr="00917A7A">
              <w:rPr>
                <w:sz w:val="22"/>
                <w:szCs w:val="22"/>
              </w:rPr>
              <w:t>15,026</w:t>
            </w:r>
          </w:p>
        </w:tc>
      </w:tr>
      <w:tr w:rsidRPr="00917A7A" w:rsidR="00917A7A" w:rsidTr="00985C3E" w14:paraId="603F7C3E"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9E4B73" w:rsidDel="006804BD" w:rsidP="008243C8" w:rsidRDefault="00B32694" w14:paraId="5F080486" w14:textId="77777777">
            <w:pPr>
              <w:keepNext/>
              <w:keepLines/>
              <w:autoSpaceDE/>
              <w:autoSpaceDN/>
              <w:adjustRightInd/>
              <w:rPr>
                <w:sz w:val="22"/>
                <w:szCs w:val="22"/>
              </w:rPr>
            </w:pPr>
            <w:r w:rsidRPr="00917A7A">
              <w:rPr>
                <w:sz w:val="22"/>
                <w:szCs w:val="22"/>
              </w:rPr>
              <w:t>Average Hours per Response</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9E4B73" w:rsidP="008243C8" w:rsidRDefault="00B32694" w14:paraId="51A273C0" w14:textId="7EB841E3">
            <w:pPr>
              <w:keepNext/>
              <w:keepLines/>
              <w:autoSpaceDE/>
              <w:autoSpaceDN/>
              <w:adjustRightInd/>
              <w:jc w:val="right"/>
              <w:rPr>
                <w:sz w:val="22"/>
                <w:szCs w:val="22"/>
              </w:rPr>
            </w:pPr>
            <w:r w:rsidRPr="00917A7A">
              <w:rPr>
                <w:sz w:val="22"/>
                <w:szCs w:val="22"/>
              </w:rPr>
              <w:t>1.</w:t>
            </w:r>
            <w:r w:rsidRPr="00917A7A" w:rsidR="00584307">
              <w:rPr>
                <w:sz w:val="22"/>
                <w:szCs w:val="22"/>
              </w:rPr>
              <w:t>84</w:t>
            </w:r>
          </w:p>
        </w:tc>
      </w:tr>
      <w:tr w:rsidRPr="00917A7A" w:rsidR="00917A7A" w:rsidTr="00985C3E" w14:paraId="7856B25A"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9E4B73" w:rsidP="008243C8" w:rsidRDefault="00B32694" w14:paraId="7E8E3B26" w14:textId="77777777">
            <w:pPr>
              <w:keepNext/>
              <w:keepLines/>
              <w:autoSpaceDE/>
              <w:autoSpaceDN/>
              <w:adjustRightInd/>
              <w:rPr>
                <w:sz w:val="22"/>
                <w:szCs w:val="22"/>
              </w:rPr>
            </w:pPr>
            <w:r w:rsidRPr="00917A7A">
              <w:rPr>
                <w:sz w:val="22"/>
                <w:szCs w:val="22"/>
              </w:rPr>
              <w:t>Average Annual Cost to Respondents</w:t>
            </w:r>
          </w:p>
          <w:p w:rsidRPr="00917A7A" w:rsidR="00B32694" w:rsidDel="006804BD" w:rsidP="008243C8" w:rsidRDefault="00B32694" w14:paraId="31801ED6" w14:textId="77777777">
            <w:pPr>
              <w:keepNext/>
              <w:keepLines/>
              <w:autoSpaceDE/>
              <w:autoSpaceDN/>
              <w:adjustRightInd/>
              <w:rPr>
                <w:sz w:val="18"/>
                <w:szCs w:val="18"/>
              </w:rPr>
            </w:pPr>
            <w:r w:rsidRPr="00917A7A">
              <w:rPr>
                <w:sz w:val="18"/>
                <w:szCs w:val="18"/>
              </w:rPr>
              <w:t>(burden hours monetized at loaded hourly wage rate)</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9E4B73" w:rsidP="008243C8" w:rsidRDefault="00B32694" w14:paraId="1B2BBF4D" w14:textId="699EF7B1">
            <w:pPr>
              <w:keepNext/>
              <w:keepLines/>
              <w:autoSpaceDE/>
              <w:autoSpaceDN/>
              <w:adjustRightInd/>
              <w:jc w:val="right"/>
              <w:rPr>
                <w:sz w:val="22"/>
                <w:szCs w:val="22"/>
              </w:rPr>
            </w:pPr>
            <w:r w:rsidRPr="00917A7A">
              <w:rPr>
                <w:sz w:val="22"/>
                <w:szCs w:val="22"/>
              </w:rPr>
              <w:t>$</w:t>
            </w:r>
            <w:r w:rsidRPr="00917A7A" w:rsidR="00584307">
              <w:rPr>
                <w:sz w:val="22"/>
                <w:szCs w:val="22"/>
              </w:rPr>
              <w:t>767</w:t>
            </w:r>
            <w:r w:rsidRPr="00917A7A">
              <w:rPr>
                <w:sz w:val="22"/>
                <w:szCs w:val="22"/>
              </w:rPr>
              <w:t>,</w:t>
            </w:r>
            <w:r w:rsidRPr="00917A7A" w:rsidR="00584307">
              <w:rPr>
                <w:sz w:val="22"/>
                <w:szCs w:val="22"/>
              </w:rPr>
              <w:t>485</w:t>
            </w:r>
          </w:p>
        </w:tc>
      </w:tr>
    </w:tbl>
    <w:p w:rsidRPr="00917A7A" w:rsidR="00F02EC3" w:rsidP="00F02EC3" w:rsidRDefault="00F02EC3" w14:paraId="297FF927" w14:textId="77777777">
      <w:pPr>
        <w:ind w:left="360"/>
        <w:rPr>
          <w:b/>
          <w:u w:val="single"/>
        </w:rPr>
      </w:pPr>
    </w:p>
    <w:p w:rsidRPr="00917A7A" w:rsidR="00B52E13" w:rsidP="00F02EC3" w:rsidRDefault="00B52E13" w14:paraId="2ED74A1D" w14:textId="19C97C87">
      <w:pPr>
        <w:ind w:left="360"/>
        <w:rPr>
          <w:b/>
          <w:u w:val="single"/>
        </w:rPr>
      </w:pPr>
      <w:r w:rsidRPr="00917A7A">
        <w:rPr>
          <w:b/>
          <w:u w:val="single"/>
        </w:rPr>
        <w:t>IC-</w:t>
      </w:r>
      <w:r w:rsidRPr="00917A7A" w:rsidR="0009201D">
        <w:rPr>
          <w:b/>
          <w:u w:val="single"/>
        </w:rPr>
        <w:t>3</w:t>
      </w:r>
      <w:r w:rsidRPr="00917A7A">
        <w:rPr>
          <w:b/>
          <w:u w:val="single"/>
        </w:rPr>
        <w:t>:  Driver Training Certification</w:t>
      </w:r>
      <w:r w:rsidRPr="00917A7A" w:rsidR="00693CFC">
        <w:rPr>
          <w:b/>
          <w:u w:val="single"/>
        </w:rPr>
        <w:t xml:space="preserve"> Information</w:t>
      </w:r>
      <w:r w:rsidRPr="00917A7A" w:rsidR="00C75014">
        <w:rPr>
          <w:b/>
          <w:u w:val="single"/>
        </w:rPr>
        <w:t xml:space="preserve"> (under 49 CFR Part 380 Subpart G)</w:t>
      </w:r>
    </w:p>
    <w:p w:rsidRPr="00917A7A" w:rsidR="00B52E13" w:rsidP="00B173D6" w:rsidRDefault="00B52E13" w14:paraId="1442F62E" w14:textId="03B794DA">
      <w:pPr>
        <w:keepNext/>
        <w:keepLines/>
        <w:tabs>
          <w:tab w:val="left" w:pos="360"/>
        </w:tabs>
        <w:ind w:left="360"/>
        <w:rPr>
          <w:szCs w:val="24"/>
        </w:rPr>
      </w:pPr>
    </w:p>
    <w:p w:rsidRPr="00917A7A" w:rsidR="00F02EC3" w:rsidP="00F02EC3" w:rsidRDefault="00662965" w14:paraId="1B563014" w14:textId="6AD159FB">
      <w:pPr>
        <w:ind w:left="360"/>
      </w:pPr>
      <w:r w:rsidRPr="00917A7A">
        <w:t>D</w:t>
      </w:r>
      <w:r w:rsidRPr="00917A7A" w:rsidR="00F02EC3">
        <w:t xml:space="preserve">uring the third year, 2022, of the three-year period covered by this ICR, under IC-3, “Driver Training Certification” information will be collected by FMCSA from training providers by means of the new TPR. The use of an electronic, online, web-based information system for this collection of information is expected to reduce burden on respondents. </w:t>
      </w:r>
      <w:r w:rsidRPr="00917A7A" w:rsidR="00CA6BF8">
        <w:t>Although the TPR will be an online web-based system, the information and specific data fields required to be submitted by training providers for each driver-trainee that completes training are presented with this Supporting Statement in the attached “Driver Training Certification” inf</w:t>
      </w:r>
      <w:r w:rsidR="00D324F8">
        <w:t xml:space="preserve">ormation collection </w:t>
      </w:r>
      <w:r w:rsidRPr="00917A7A" w:rsidR="00CA6BF8">
        <w:t xml:space="preserve">which lists the data elements that will be submitted to </w:t>
      </w:r>
      <w:r w:rsidRPr="00917A7A" w:rsidR="00CA6BF8">
        <w:lastRenderedPageBreak/>
        <w:t xml:space="preserve">the TPR by each training provider for each driver-trainee that completes training. </w:t>
      </w:r>
      <w:r w:rsidRPr="00917A7A" w:rsidR="00F02EC3">
        <w:t>After an individual driver-trainee completes training administered by a training provider listed on the TPR, that training provider must submit the training certification information regarding the driver-trainee to the TPR. This “Driver Training Certification” information will be used by SDLAs to verify that the required driver training has been completed by the driver-trainee prior to the SDLA administering CDL skills tests to applicants for the Class A and B CDL, and/or the P or S endorsements, or knowledge test for the H endorsement. The information collected from training providers will also be used by the Agency to improve its understanding of the number of training providers and the types of training they provide, and the number of entry-level drivers and the types of training, CDLs, and endorsements that they obtain. Retrospective review of the data and of the safety performance of drivers that complete ELDT will allow FMCSA to better assess the impact of ELDT on motor carrier safety, and to monitor the effectiveness of individual training providers and identify those that may not be conducting training in compliance with the regulations and that may therefore be candidates for an on-site review by FMCSA.</w:t>
      </w:r>
    </w:p>
    <w:p w:rsidRPr="00917A7A" w:rsidR="004369E1" w:rsidP="00DA7B30" w:rsidRDefault="004369E1" w14:paraId="01B888EB" w14:textId="77777777">
      <w:pPr>
        <w:tabs>
          <w:tab w:val="left" w:pos="360"/>
        </w:tabs>
        <w:ind w:left="360" w:hanging="360"/>
      </w:pPr>
    </w:p>
    <w:p w:rsidRPr="00917A7A" w:rsidR="004220C7" w:rsidP="004369E1" w:rsidRDefault="00F4292F" w14:paraId="3D655FC3" w14:textId="1C1868B6">
      <w:pPr>
        <w:tabs>
          <w:tab w:val="left" w:pos="360"/>
        </w:tabs>
        <w:ind w:left="360"/>
      </w:pPr>
      <w:r w:rsidRPr="00917A7A">
        <w:t>Table 9</w:t>
      </w:r>
      <w:r w:rsidRPr="00917A7A" w:rsidR="004220C7">
        <w:t xml:space="preserve"> presents the number of entry-level CDL drivers that are estimated to </w:t>
      </w:r>
      <w:r w:rsidRPr="00917A7A" w:rsidR="004369E1">
        <w:t>be subject to the new ELDT requirements during the third year, 2022, of the three-year period</w:t>
      </w:r>
      <w:r w:rsidRPr="00917A7A" w:rsidR="004C4D05">
        <w:t xml:space="preserve"> covered by this ICR, under IC-3</w:t>
      </w:r>
      <w:r w:rsidRPr="00917A7A" w:rsidR="004369E1">
        <w:t xml:space="preserve">. </w:t>
      </w:r>
      <w:r w:rsidRPr="00917A7A" w:rsidR="004220C7">
        <w:t>Th</w:t>
      </w:r>
      <w:r w:rsidRPr="00917A7A">
        <w:t>e estimates presented in Table 9</w:t>
      </w:r>
      <w:r w:rsidRPr="00917A7A" w:rsidR="004220C7">
        <w:t xml:space="preserve"> are consistent with those developed and used previously in the regulatory evaluation for the December 8, 2016, final rule</w:t>
      </w:r>
      <w:r w:rsidRPr="00917A7A" w:rsidR="004220C7">
        <w:rPr>
          <w:rStyle w:val="FootnoteReference"/>
          <w:szCs w:val="24"/>
        </w:rPr>
        <w:footnoteReference w:id="23"/>
      </w:r>
      <w:r w:rsidRPr="00917A7A" w:rsidR="00D567D2">
        <w:t xml:space="preserve">, and </w:t>
      </w:r>
      <w:r w:rsidRPr="00917A7A" w:rsidR="004369E1">
        <w:t xml:space="preserve">the </w:t>
      </w:r>
      <w:r w:rsidRPr="00A45437" w:rsidR="00A45437">
        <w:rPr>
          <w:bCs/>
          <w:szCs w:val="24"/>
        </w:rPr>
        <w:t>February 4, 2020</w:t>
      </w:r>
      <w:r w:rsidRPr="00917A7A" w:rsidR="004369E1">
        <w:t xml:space="preserve">, interim final rule (IFR) </w:t>
      </w:r>
      <w:r w:rsidRPr="00917A7A" w:rsidR="004369E1">
        <w:rPr>
          <w:bCs/>
          <w:szCs w:val="24"/>
        </w:rPr>
        <w:t xml:space="preserve">titled “Extension of Compliance Date for Entry-Level Driver Training” </w:t>
      </w:r>
      <w:r w:rsidRPr="009402C9" w:rsidR="009402C9">
        <w:rPr>
          <w:bCs/>
          <w:szCs w:val="24"/>
        </w:rPr>
        <w:t>(85 FR 6088)</w:t>
      </w:r>
      <w:r w:rsidRPr="009402C9" w:rsidDel="009402C9" w:rsidR="009402C9">
        <w:rPr>
          <w:bCs/>
          <w:szCs w:val="24"/>
        </w:rPr>
        <w:t xml:space="preserve"> </w:t>
      </w:r>
      <w:r w:rsidRPr="00917A7A" w:rsidR="004369E1">
        <w:rPr>
          <w:bCs/>
          <w:szCs w:val="24"/>
        </w:rPr>
        <w:t>(Attachment D).</w:t>
      </w:r>
      <w:r w:rsidRPr="00917A7A" w:rsidR="004369E1">
        <w:t xml:space="preserve"> </w:t>
      </w:r>
      <w:r w:rsidRPr="00917A7A" w:rsidR="004220C7">
        <w:rPr>
          <w:bCs/>
          <w:szCs w:val="24"/>
        </w:rPr>
        <w:t xml:space="preserve">These estimates have previously been subject to review and comment as part of the December 2016 and March 2019 final rules and their related NPRMs. It is anticipated that in the future, the Agency will be able to use information from actual </w:t>
      </w:r>
      <w:r w:rsidRPr="00917A7A" w:rsidR="008C054C">
        <w:rPr>
          <w:bCs/>
          <w:szCs w:val="24"/>
        </w:rPr>
        <w:t xml:space="preserve">submissions of driver training certification information to </w:t>
      </w:r>
      <w:r w:rsidRPr="00917A7A" w:rsidR="004220C7">
        <w:rPr>
          <w:bCs/>
          <w:szCs w:val="24"/>
        </w:rPr>
        <w:t xml:space="preserve">the TPR to refine these estimates of the </w:t>
      </w:r>
      <w:r w:rsidRPr="00917A7A" w:rsidR="00521F97">
        <w:rPr>
          <w:bCs/>
          <w:szCs w:val="24"/>
        </w:rPr>
        <w:t xml:space="preserve">annual number of </w:t>
      </w:r>
      <w:r w:rsidRPr="00917A7A" w:rsidR="00D567D2">
        <w:rPr>
          <w:bCs/>
          <w:szCs w:val="24"/>
        </w:rPr>
        <w:t xml:space="preserve">new entry-level drivers </w:t>
      </w:r>
      <w:r w:rsidRPr="00917A7A" w:rsidR="004220C7">
        <w:rPr>
          <w:bCs/>
          <w:szCs w:val="24"/>
        </w:rPr>
        <w:t>in conjunction with future renewals or revisions of this ICR.</w:t>
      </w:r>
    </w:p>
    <w:p w:rsidRPr="00917A7A" w:rsidR="004369E1" w:rsidP="000F3F38" w:rsidRDefault="004369E1" w14:paraId="77F30FFB" w14:textId="77777777">
      <w:pPr>
        <w:tabs>
          <w:tab w:val="left" w:pos="360"/>
        </w:tabs>
        <w:ind w:left="360"/>
        <w:rPr>
          <w:szCs w:val="24"/>
        </w:rPr>
      </w:pPr>
    </w:p>
    <w:p w:rsidRPr="00917A7A" w:rsidR="000F3F38" w:rsidP="00662965" w:rsidRDefault="00227758" w14:paraId="22B0FE96" w14:textId="5274300A">
      <w:pPr>
        <w:pStyle w:val="Caption"/>
        <w:keepNext/>
        <w:keepLines/>
        <w:widowControl/>
        <w:spacing w:after="0"/>
        <w:ind w:left="360"/>
        <w:rPr>
          <w:b/>
          <w:color w:val="auto"/>
          <w:szCs w:val="24"/>
        </w:rPr>
      </w:pPr>
      <w:r w:rsidRPr="00917A7A">
        <w:rPr>
          <w:b/>
          <w:i w:val="0"/>
          <w:color w:val="auto"/>
          <w:sz w:val="24"/>
          <w:szCs w:val="24"/>
        </w:rPr>
        <w:t>Table 9</w:t>
      </w:r>
      <w:r w:rsidRPr="00917A7A" w:rsidR="000F3F38">
        <w:rPr>
          <w:b/>
          <w:i w:val="0"/>
          <w:color w:val="auto"/>
          <w:sz w:val="24"/>
          <w:szCs w:val="24"/>
        </w:rPr>
        <w:t>. Estimated Number of Entry-Level Drivers</w:t>
      </w:r>
    </w:p>
    <w:tbl>
      <w:tblPr>
        <w:tblW w:w="3725"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444"/>
        <w:gridCol w:w="1232"/>
        <w:gridCol w:w="1145"/>
        <w:gridCol w:w="1146"/>
      </w:tblGrid>
      <w:tr w:rsidRPr="00917A7A" w:rsidR="00F6360F" w:rsidTr="00985C3E" w14:paraId="3ED653E3" w14:textId="77777777">
        <w:trPr>
          <w:trHeight w:val="600"/>
        </w:trPr>
        <w:tc>
          <w:tcPr>
            <w:tcW w:w="3445" w:type="dxa"/>
            <w:tcBorders>
              <w:top w:val="single" w:color="auto" w:sz="18" w:space="0"/>
              <w:bottom w:val="single" w:color="auto" w:sz="18" w:space="0"/>
              <w:right w:val="single" w:color="auto" w:sz="18" w:space="0"/>
            </w:tcBorders>
            <w:shd w:val="clear" w:color="000000" w:fill="E0E0E0"/>
            <w:vAlign w:val="bottom"/>
            <w:hideMark/>
          </w:tcPr>
          <w:p w:rsidRPr="00917A7A" w:rsidR="000F3F38" w:rsidP="00662965" w:rsidRDefault="000F3F38" w14:paraId="7B238772" w14:textId="77777777">
            <w:pPr>
              <w:keepNext/>
              <w:keepLines/>
              <w:widowControl/>
              <w:autoSpaceDE/>
              <w:autoSpaceDN/>
              <w:adjustRightInd/>
              <w:rPr>
                <w:b/>
                <w:bCs/>
              </w:rPr>
            </w:pPr>
            <w:r w:rsidRPr="00917A7A">
              <w:rPr>
                <w:b/>
                <w:bCs/>
              </w:rPr>
              <w:t> </w:t>
            </w:r>
          </w:p>
        </w:tc>
        <w:tc>
          <w:tcPr>
            <w:tcW w:w="1232" w:type="dxa"/>
            <w:tcBorders>
              <w:top w:val="single" w:color="auto" w:sz="18" w:space="0"/>
              <w:left w:val="single" w:color="auto" w:sz="18" w:space="0"/>
              <w:bottom w:val="single" w:color="auto" w:sz="18" w:space="0"/>
            </w:tcBorders>
            <w:shd w:val="clear" w:color="000000" w:fill="E0E0E0"/>
            <w:vAlign w:val="bottom"/>
            <w:hideMark/>
          </w:tcPr>
          <w:p w:rsidRPr="00917A7A" w:rsidR="000F3F38" w:rsidP="00662965" w:rsidRDefault="000F3F38" w14:paraId="1D102125" w14:textId="77777777">
            <w:pPr>
              <w:keepNext/>
              <w:keepLines/>
              <w:widowControl/>
              <w:autoSpaceDE/>
              <w:autoSpaceDN/>
              <w:adjustRightInd/>
              <w:jc w:val="center"/>
              <w:rPr>
                <w:b/>
                <w:bCs/>
                <w:sz w:val="22"/>
                <w:szCs w:val="22"/>
              </w:rPr>
            </w:pPr>
            <w:r w:rsidRPr="00917A7A">
              <w:rPr>
                <w:b/>
                <w:bCs/>
                <w:sz w:val="22"/>
                <w:szCs w:val="22"/>
              </w:rPr>
              <w:t>2020</w:t>
            </w:r>
          </w:p>
        </w:tc>
        <w:tc>
          <w:tcPr>
            <w:tcW w:w="1145" w:type="dxa"/>
            <w:tcBorders>
              <w:top w:val="single" w:color="auto" w:sz="18" w:space="0"/>
              <w:bottom w:val="single" w:color="auto" w:sz="18" w:space="0"/>
            </w:tcBorders>
            <w:shd w:val="clear" w:color="000000" w:fill="E0E0E0"/>
            <w:vAlign w:val="bottom"/>
          </w:tcPr>
          <w:p w:rsidRPr="00917A7A" w:rsidR="000F3F38" w:rsidP="00662965" w:rsidRDefault="000F3F38" w14:paraId="0ED43E51" w14:textId="77777777">
            <w:pPr>
              <w:keepNext/>
              <w:keepLines/>
              <w:widowControl/>
              <w:autoSpaceDE/>
              <w:autoSpaceDN/>
              <w:adjustRightInd/>
              <w:jc w:val="center"/>
              <w:rPr>
                <w:b/>
                <w:bCs/>
                <w:sz w:val="22"/>
                <w:szCs w:val="22"/>
              </w:rPr>
            </w:pPr>
            <w:r w:rsidRPr="00917A7A">
              <w:rPr>
                <w:b/>
                <w:bCs/>
                <w:sz w:val="22"/>
                <w:szCs w:val="22"/>
              </w:rPr>
              <w:t>2021</w:t>
            </w:r>
          </w:p>
        </w:tc>
        <w:tc>
          <w:tcPr>
            <w:tcW w:w="1146" w:type="dxa"/>
            <w:tcBorders>
              <w:top w:val="single" w:color="auto" w:sz="18" w:space="0"/>
              <w:bottom w:val="single" w:color="auto" w:sz="18" w:space="0"/>
              <w:right w:val="single" w:color="auto" w:sz="2" w:space="0"/>
            </w:tcBorders>
            <w:shd w:val="clear" w:color="000000" w:fill="E0E0E0"/>
            <w:vAlign w:val="bottom"/>
          </w:tcPr>
          <w:p w:rsidRPr="00917A7A" w:rsidR="000F3F38" w:rsidP="00662965" w:rsidRDefault="000F3F38" w14:paraId="7F6773E7" w14:textId="77777777">
            <w:pPr>
              <w:keepNext/>
              <w:keepLines/>
              <w:widowControl/>
              <w:autoSpaceDE/>
              <w:autoSpaceDN/>
              <w:adjustRightInd/>
              <w:jc w:val="center"/>
              <w:rPr>
                <w:b/>
                <w:bCs/>
                <w:sz w:val="22"/>
                <w:szCs w:val="22"/>
              </w:rPr>
            </w:pPr>
            <w:r w:rsidRPr="00917A7A">
              <w:rPr>
                <w:b/>
                <w:bCs/>
                <w:sz w:val="22"/>
                <w:szCs w:val="22"/>
              </w:rPr>
              <w:t>2022</w:t>
            </w:r>
          </w:p>
        </w:tc>
      </w:tr>
      <w:tr w:rsidRPr="00917A7A" w:rsidR="00F6360F" w:rsidTr="00985C3E" w14:paraId="10EFF177" w14:textId="77777777">
        <w:trPr>
          <w:trHeight w:val="513"/>
        </w:trPr>
        <w:tc>
          <w:tcPr>
            <w:tcW w:w="3445" w:type="dxa"/>
            <w:tcBorders>
              <w:top w:val="single" w:color="auto" w:sz="18" w:space="0"/>
              <w:bottom w:val="single" w:color="auto" w:sz="2" w:space="0"/>
              <w:right w:val="single" w:color="auto" w:sz="18" w:space="0"/>
            </w:tcBorders>
            <w:shd w:val="clear" w:color="auto" w:fill="auto"/>
            <w:noWrap/>
            <w:vAlign w:val="center"/>
            <w:hideMark/>
          </w:tcPr>
          <w:p w:rsidRPr="00917A7A" w:rsidR="000F3F38" w:rsidP="00662965" w:rsidRDefault="000F3F38" w14:paraId="3F5D05C1" w14:textId="77777777">
            <w:pPr>
              <w:keepNext/>
              <w:keepLines/>
              <w:widowControl/>
              <w:autoSpaceDE/>
              <w:autoSpaceDN/>
              <w:adjustRightInd/>
              <w:rPr>
                <w:iCs/>
                <w:sz w:val="22"/>
                <w:szCs w:val="22"/>
              </w:rPr>
            </w:pPr>
            <w:r w:rsidRPr="00917A7A">
              <w:rPr>
                <w:sz w:val="22"/>
                <w:szCs w:val="22"/>
              </w:rPr>
              <w:t xml:space="preserve">Number of </w:t>
            </w:r>
            <w:r w:rsidRPr="00917A7A" w:rsidR="00070C2C">
              <w:rPr>
                <w:sz w:val="22"/>
                <w:szCs w:val="22"/>
              </w:rPr>
              <w:t>Entry-</w:t>
            </w:r>
            <w:r w:rsidRPr="00917A7A">
              <w:rPr>
                <w:sz w:val="22"/>
                <w:szCs w:val="22"/>
              </w:rPr>
              <w:t>Level Drivers</w:t>
            </w:r>
          </w:p>
        </w:tc>
        <w:tc>
          <w:tcPr>
            <w:tcW w:w="1232" w:type="dxa"/>
            <w:tcBorders>
              <w:top w:val="single" w:color="auto" w:sz="18" w:space="0"/>
              <w:left w:val="single" w:color="auto" w:sz="18" w:space="0"/>
              <w:bottom w:val="single" w:color="auto" w:sz="2" w:space="0"/>
            </w:tcBorders>
            <w:shd w:val="clear" w:color="auto" w:fill="auto"/>
            <w:noWrap/>
            <w:vAlign w:val="center"/>
          </w:tcPr>
          <w:p w:rsidRPr="00917A7A" w:rsidR="000F3F38" w:rsidP="00662965" w:rsidRDefault="006D0723" w14:paraId="6EB2923B" w14:textId="7CB07F15">
            <w:pPr>
              <w:keepNext/>
              <w:keepLines/>
              <w:widowControl/>
              <w:autoSpaceDE/>
              <w:autoSpaceDN/>
              <w:adjustRightInd/>
              <w:jc w:val="right"/>
              <w:rPr>
                <w:iCs/>
                <w:sz w:val="22"/>
                <w:szCs w:val="22"/>
              </w:rPr>
            </w:pPr>
            <w:r w:rsidRPr="00917A7A">
              <w:rPr>
                <w:iCs/>
                <w:sz w:val="22"/>
                <w:szCs w:val="22"/>
              </w:rPr>
              <w:t>0</w:t>
            </w:r>
          </w:p>
        </w:tc>
        <w:tc>
          <w:tcPr>
            <w:tcW w:w="1145" w:type="dxa"/>
            <w:tcBorders>
              <w:top w:val="single" w:color="auto" w:sz="18" w:space="0"/>
              <w:bottom w:val="single" w:color="auto" w:sz="2" w:space="0"/>
            </w:tcBorders>
            <w:vAlign w:val="center"/>
          </w:tcPr>
          <w:p w:rsidRPr="00917A7A" w:rsidR="000F3F38" w:rsidP="00662965" w:rsidRDefault="006D0723" w14:paraId="53A0C876" w14:textId="6E231C8C">
            <w:pPr>
              <w:keepNext/>
              <w:keepLines/>
              <w:widowControl/>
              <w:autoSpaceDE/>
              <w:autoSpaceDN/>
              <w:adjustRightInd/>
              <w:jc w:val="right"/>
              <w:rPr>
                <w:sz w:val="22"/>
                <w:szCs w:val="22"/>
              </w:rPr>
            </w:pPr>
            <w:r w:rsidRPr="00917A7A">
              <w:rPr>
                <w:sz w:val="22"/>
                <w:szCs w:val="22"/>
              </w:rPr>
              <w:t>0</w:t>
            </w:r>
          </w:p>
        </w:tc>
        <w:tc>
          <w:tcPr>
            <w:tcW w:w="1146" w:type="dxa"/>
            <w:tcBorders>
              <w:top w:val="single" w:color="auto" w:sz="18" w:space="0"/>
              <w:bottom w:val="single" w:color="auto" w:sz="2" w:space="0"/>
              <w:right w:val="single" w:color="auto" w:sz="2" w:space="0"/>
            </w:tcBorders>
            <w:vAlign w:val="center"/>
          </w:tcPr>
          <w:p w:rsidRPr="00917A7A" w:rsidR="000F3F38" w:rsidP="00662965" w:rsidRDefault="000F3F38" w14:paraId="5A37276A" w14:textId="77777777">
            <w:pPr>
              <w:keepNext/>
              <w:keepLines/>
              <w:widowControl/>
              <w:autoSpaceDE/>
              <w:autoSpaceDN/>
              <w:adjustRightInd/>
              <w:jc w:val="right"/>
              <w:rPr>
                <w:sz w:val="22"/>
                <w:szCs w:val="22"/>
              </w:rPr>
            </w:pPr>
            <w:r w:rsidRPr="00917A7A">
              <w:rPr>
                <w:sz w:val="22"/>
                <w:szCs w:val="22"/>
              </w:rPr>
              <w:t>466,062</w:t>
            </w:r>
          </w:p>
        </w:tc>
      </w:tr>
    </w:tbl>
    <w:p w:rsidRPr="00917A7A" w:rsidR="000F3F38" w:rsidP="00662965" w:rsidRDefault="000F3F38" w14:paraId="600F218B" w14:textId="77777777">
      <w:pPr>
        <w:keepNext/>
        <w:keepLines/>
        <w:tabs>
          <w:tab w:val="left" w:pos="360"/>
        </w:tabs>
        <w:ind w:left="360"/>
        <w:rPr>
          <w:i/>
          <w:sz w:val="18"/>
          <w:szCs w:val="18"/>
        </w:rPr>
      </w:pPr>
      <w:r w:rsidRPr="00917A7A">
        <w:rPr>
          <w:b/>
          <w:sz w:val="18"/>
          <w:szCs w:val="18"/>
        </w:rPr>
        <w:t>Source</w:t>
      </w:r>
      <w:r w:rsidRPr="00917A7A">
        <w:rPr>
          <w:sz w:val="18"/>
          <w:szCs w:val="18"/>
        </w:rPr>
        <w:t xml:space="preserve">:  </w:t>
      </w:r>
      <w:r w:rsidRPr="00917A7A">
        <w:rPr>
          <w:i/>
          <w:sz w:val="18"/>
          <w:szCs w:val="18"/>
        </w:rPr>
        <w:t xml:space="preserve">Regulatory Evaluation of Minimum Training Requirements for Entry-Level Commercial </w:t>
      </w:r>
    </w:p>
    <w:p w:rsidRPr="00917A7A" w:rsidR="000F3F38" w:rsidP="00662965" w:rsidRDefault="000F3F38" w14:paraId="3F86BDFE" w14:textId="77777777">
      <w:pPr>
        <w:keepNext/>
        <w:keepLines/>
        <w:tabs>
          <w:tab w:val="left" w:pos="360"/>
        </w:tabs>
        <w:ind w:left="360"/>
        <w:rPr>
          <w:sz w:val="18"/>
          <w:szCs w:val="18"/>
        </w:rPr>
      </w:pPr>
      <w:r w:rsidRPr="00917A7A">
        <w:rPr>
          <w:i/>
          <w:sz w:val="18"/>
          <w:szCs w:val="18"/>
        </w:rPr>
        <w:t>Motor Vehicle Operators Final Rule</w:t>
      </w:r>
      <w:r w:rsidRPr="00917A7A">
        <w:rPr>
          <w:sz w:val="18"/>
          <w:szCs w:val="18"/>
        </w:rPr>
        <w:t xml:space="preserve">. Section 2.4.1 (Number of Entry-Level CDL Drivers Annually), </w:t>
      </w:r>
    </w:p>
    <w:p w:rsidRPr="00917A7A" w:rsidR="006D0723" w:rsidP="00662965" w:rsidRDefault="000F3F38" w14:paraId="755668DB" w14:textId="05140CD2">
      <w:pPr>
        <w:keepNext/>
        <w:keepLines/>
        <w:tabs>
          <w:tab w:val="left" w:pos="360"/>
        </w:tabs>
        <w:ind w:left="360"/>
        <w:rPr>
          <w:sz w:val="18"/>
          <w:szCs w:val="18"/>
        </w:rPr>
      </w:pPr>
      <w:r w:rsidRPr="00917A7A">
        <w:rPr>
          <w:sz w:val="18"/>
          <w:szCs w:val="18"/>
        </w:rPr>
        <w:t>pp. 16-30. Table 11, pg. 18. Docket ID FMCSA-2007-27748-1291.</w:t>
      </w:r>
    </w:p>
    <w:p w:rsidRPr="00917A7A" w:rsidR="000F3F38" w:rsidP="000F3F38" w:rsidRDefault="000F3F38" w14:paraId="2F3393B7" w14:textId="5504DBB2">
      <w:pPr>
        <w:tabs>
          <w:tab w:val="left" w:pos="360"/>
        </w:tabs>
        <w:ind w:left="360"/>
        <w:rPr>
          <w:sz w:val="18"/>
          <w:szCs w:val="18"/>
        </w:rPr>
      </w:pPr>
    </w:p>
    <w:p w:rsidRPr="00917A7A" w:rsidR="0090520D" w:rsidP="0090520D" w:rsidRDefault="0090520D" w14:paraId="3EC5C6C5" w14:textId="499DD156">
      <w:pPr>
        <w:ind w:left="360"/>
      </w:pPr>
      <w:r w:rsidRPr="00917A7A">
        <w:t>For 2022, the</w:t>
      </w:r>
      <w:r w:rsidRPr="00917A7A" w:rsidR="0009201D">
        <w:t xml:space="preserve"> first year in which IC-3</w:t>
      </w:r>
      <w:r w:rsidRPr="00917A7A">
        <w:t xml:space="preserve"> “</w:t>
      </w:r>
      <w:r w:rsidRPr="00917A7A">
        <w:rPr>
          <w:szCs w:val="24"/>
        </w:rPr>
        <w:t xml:space="preserve">Driver Training Certification Information” would occur, </w:t>
      </w:r>
      <w:r w:rsidRPr="00917A7A">
        <w:t xml:space="preserve">after an individual driver-trainee completes training administered by a training provider listed on the TPR, that training provider must submit training certification information regarding the driver-trainee to the TPR. This would occur for all 466,062 entry-level drivers estimated to take </w:t>
      </w:r>
      <w:r w:rsidRPr="00917A7A" w:rsidR="00CA6031">
        <w:t>ELDT</w:t>
      </w:r>
      <w:r w:rsidRPr="00917A7A">
        <w:t xml:space="preserve"> in 2022.</w:t>
      </w:r>
      <w:r w:rsidRPr="00917A7A" w:rsidR="00F4292F">
        <w:t xml:space="preserve"> Table 10</w:t>
      </w:r>
      <w:r w:rsidRPr="00917A7A" w:rsidR="00B151B7">
        <w:t xml:space="preserve"> presents the resulting estimated number of responses and respondents for IC-</w:t>
      </w:r>
      <w:r w:rsidRPr="00917A7A" w:rsidR="0009201D">
        <w:t>3</w:t>
      </w:r>
      <w:r w:rsidRPr="00917A7A" w:rsidR="00B151B7">
        <w:t xml:space="preserve"> </w:t>
      </w:r>
      <w:r w:rsidRPr="00917A7A" w:rsidR="00693380">
        <w:rPr>
          <w:szCs w:val="24"/>
        </w:rPr>
        <w:t xml:space="preserve">over </w:t>
      </w:r>
      <w:r w:rsidRPr="00917A7A" w:rsidR="00693380">
        <w:t xml:space="preserve">the three-year period of 2020 to 2022 that </w:t>
      </w:r>
      <w:r w:rsidRPr="00917A7A" w:rsidR="00693380">
        <w:lastRenderedPageBreak/>
        <w:t>is covered by this ICR</w:t>
      </w:r>
      <w:r w:rsidRPr="00917A7A" w:rsidR="00B151B7">
        <w:t>.</w:t>
      </w:r>
    </w:p>
    <w:p w:rsidRPr="00917A7A" w:rsidR="00006334" w:rsidP="0090520D" w:rsidRDefault="00006334" w14:paraId="446744CA" w14:textId="77777777">
      <w:pPr>
        <w:ind w:left="360"/>
        <w:rPr>
          <w:szCs w:val="24"/>
        </w:rPr>
      </w:pPr>
    </w:p>
    <w:p w:rsidRPr="00917A7A" w:rsidR="004B1295" w:rsidP="004B1295" w:rsidRDefault="004B1295" w14:paraId="48C6CF53" w14:textId="0D664D63">
      <w:pPr>
        <w:pStyle w:val="Caption"/>
        <w:keepNext/>
        <w:keepLines/>
        <w:widowControl/>
        <w:spacing w:after="0"/>
        <w:ind w:left="360"/>
        <w:rPr>
          <w:b/>
          <w:color w:val="auto"/>
          <w:sz w:val="24"/>
          <w:szCs w:val="24"/>
        </w:rPr>
      </w:pPr>
      <w:r w:rsidRPr="00917A7A">
        <w:rPr>
          <w:b/>
          <w:i w:val="0"/>
          <w:color w:val="auto"/>
          <w:sz w:val="24"/>
          <w:szCs w:val="24"/>
        </w:rPr>
        <w:t>T</w:t>
      </w:r>
      <w:r w:rsidRPr="00917A7A" w:rsidR="00227758">
        <w:rPr>
          <w:b/>
          <w:i w:val="0"/>
          <w:color w:val="auto"/>
          <w:sz w:val="24"/>
          <w:szCs w:val="24"/>
        </w:rPr>
        <w:t>able 10</w:t>
      </w:r>
      <w:r w:rsidRPr="00917A7A">
        <w:rPr>
          <w:b/>
          <w:i w:val="0"/>
          <w:color w:val="auto"/>
          <w:sz w:val="24"/>
          <w:szCs w:val="24"/>
        </w:rPr>
        <w:t xml:space="preserve">. Estimated Number of </w:t>
      </w:r>
      <w:r w:rsidRPr="00917A7A" w:rsidR="0009201D">
        <w:rPr>
          <w:b/>
          <w:i w:val="0"/>
          <w:color w:val="auto"/>
          <w:sz w:val="24"/>
          <w:szCs w:val="24"/>
        </w:rPr>
        <w:t>Responses for IC-3</w:t>
      </w:r>
      <w:r w:rsidRPr="00917A7A" w:rsidR="00675613">
        <w:rPr>
          <w:b/>
          <w:i w:val="0"/>
          <w:color w:val="auto"/>
          <w:sz w:val="24"/>
          <w:szCs w:val="24"/>
        </w:rPr>
        <w:t xml:space="preserve"> (Driver </w:t>
      </w:r>
      <w:r w:rsidRPr="00917A7A">
        <w:rPr>
          <w:b/>
          <w:i w:val="0"/>
          <w:color w:val="auto"/>
          <w:sz w:val="24"/>
          <w:szCs w:val="24"/>
        </w:rPr>
        <w:t xml:space="preserve">Training </w:t>
      </w:r>
      <w:r w:rsidRPr="00917A7A" w:rsidR="00675613">
        <w:rPr>
          <w:b/>
          <w:i w:val="0"/>
          <w:color w:val="auto"/>
          <w:sz w:val="24"/>
          <w:szCs w:val="24"/>
        </w:rPr>
        <w:t>Certification Information</w:t>
      </w:r>
      <w:r w:rsidRPr="00917A7A">
        <w:rPr>
          <w:b/>
          <w:i w:val="0"/>
          <w:color w:val="auto"/>
          <w:sz w:val="24"/>
          <w:szCs w:val="24"/>
        </w:rPr>
        <w:t>)</w:t>
      </w:r>
    </w:p>
    <w:tbl>
      <w:tblPr>
        <w:tblW w:w="4618"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83"/>
        <w:gridCol w:w="1320"/>
        <w:gridCol w:w="1320"/>
        <w:gridCol w:w="1320"/>
        <w:gridCol w:w="1495"/>
      </w:tblGrid>
      <w:tr w:rsidRPr="00917A7A" w:rsidR="00F6360F" w:rsidTr="00985C3E" w14:paraId="2BBEF815" w14:textId="77777777">
        <w:trPr>
          <w:trHeight w:val="600"/>
        </w:trPr>
        <w:tc>
          <w:tcPr>
            <w:tcW w:w="3183" w:type="dxa"/>
            <w:tcBorders>
              <w:top w:val="single" w:color="auto" w:sz="18" w:space="0"/>
              <w:bottom w:val="single" w:color="auto" w:sz="18" w:space="0"/>
              <w:right w:val="single" w:color="auto" w:sz="18" w:space="0"/>
            </w:tcBorders>
            <w:shd w:val="clear" w:color="000000" w:fill="E0E0E0"/>
            <w:vAlign w:val="bottom"/>
            <w:hideMark/>
          </w:tcPr>
          <w:p w:rsidRPr="00917A7A" w:rsidR="004B1295" w:rsidP="00464625" w:rsidRDefault="00675613" w14:paraId="0E0C8A1B" w14:textId="77777777">
            <w:pPr>
              <w:keepNext/>
              <w:keepLines/>
              <w:widowControl/>
              <w:autoSpaceDE/>
              <w:autoSpaceDN/>
              <w:adjustRightInd/>
              <w:jc w:val="center"/>
              <w:rPr>
                <w:b/>
                <w:bCs/>
                <w:sz w:val="22"/>
                <w:szCs w:val="22"/>
              </w:rPr>
            </w:pPr>
            <w:r w:rsidRPr="00917A7A">
              <w:rPr>
                <w:b/>
                <w:bCs/>
                <w:sz w:val="22"/>
                <w:szCs w:val="22"/>
              </w:rPr>
              <w:t>Type of Activity</w:t>
            </w:r>
          </w:p>
        </w:tc>
        <w:tc>
          <w:tcPr>
            <w:tcW w:w="1320" w:type="dxa"/>
            <w:tcBorders>
              <w:top w:val="single" w:color="auto" w:sz="18" w:space="0"/>
              <w:left w:val="single" w:color="auto" w:sz="18" w:space="0"/>
              <w:bottom w:val="single" w:color="auto" w:sz="18" w:space="0"/>
            </w:tcBorders>
            <w:shd w:val="clear" w:color="000000" w:fill="E0E0E0"/>
            <w:vAlign w:val="bottom"/>
            <w:hideMark/>
          </w:tcPr>
          <w:p w:rsidRPr="00917A7A" w:rsidR="004B1295" w:rsidP="00464625" w:rsidRDefault="004B1295" w14:paraId="121AF751" w14:textId="77777777">
            <w:pPr>
              <w:keepNext/>
              <w:keepLines/>
              <w:widowControl/>
              <w:autoSpaceDE/>
              <w:autoSpaceDN/>
              <w:adjustRightInd/>
              <w:jc w:val="center"/>
              <w:rPr>
                <w:b/>
                <w:bCs/>
                <w:sz w:val="22"/>
                <w:szCs w:val="22"/>
              </w:rPr>
            </w:pPr>
            <w:r w:rsidRPr="00917A7A">
              <w:rPr>
                <w:b/>
                <w:bCs/>
                <w:sz w:val="22"/>
                <w:szCs w:val="22"/>
              </w:rPr>
              <w:t>2020</w:t>
            </w:r>
          </w:p>
        </w:tc>
        <w:tc>
          <w:tcPr>
            <w:tcW w:w="1320" w:type="dxa"/>
            <w:tcBorders>
              <w:top w:val="single" w:color="auto" w:sz="18" w:space="0"/>
              <w:bottom w:val="single" w:color="auto" w:sz="18" w:space="0"/>
            </w:tcBorders>
            <w:shd w:val="clear" w:color="000000" w:fill="E0E0E0"/>
            <w:vAlign w:val="bottom"/>
          </w:tcPr>
          <w:p w:rsidRPr="00917A7A" w:rsidR="004B1295" w:rsidP="00464625" w:rsidRDefault="004B1295" w14:paraId="2F8E992C" w14:textId="77777777">
            <w:pPr>
              <w:keepNext/>
              <w:keepLines/>
              <w:widowControl/>
              <w:autoSpaceDE/>
              <w:autoSpaceDN/>
              <w:adjustRightInd/>
              <w:jc w:val="center"/>
              <w:rPr>
                <w:b/>
                <w:bCs/>
                <w:sz w:val="22"/>
                <w:szCs w:val="22"/>
              </w:rPr>
            </w:pPr>
            <w:r w:rsidRPr="00917A7A">
              <w:rPr>
                <w:b/>
                <w:bCs/>
                <w:sz w:val="22"/>
                <w:szCs w:val="22"/>
              </w:rPr>
              <w:t>2021</w:t>
            </w:r>
          </w:p>
        </w:tc>
        <w:tc>
          <w:tcPr>
            <w:tcW w:w="1320" w:type="dxa"/>
            <w:tcBorders>
              <w:top w:val="single" w:color="auto" w:sz="18" w:space="0"/>
              <w:bottom w:val="single" w:color="auto" w:sz="18" w:space="0"/>
              <w:right w:val="single" w:color="auto" w:sz="18" w:space="0"/>
            </w:tcBorders>
            <w:shd w:val="clear" w:color="000000" w:fill="E0E0E0"/>
            <w:vAlign w:val="bottom"/>
          </w:tcPr>
          <w:p w:rsidRPr="00917A7A" w:rsidR="004B1295" w:rsidP="00464625" w:rsidRDefault="004B1295" w14:paraId="0C96F00C" w14:textId="77777777">
            <w:pPr>
              <w:keepNext/>
              <w:keepLines/>
              <w:widowControl/>
              <w:autoSpaceDE/>
              <w:autoSpaceDN/>
              <w:adjustRightInd/>
              <w:jc w:val="center"/>
              <w:rPr>
                <w:b/>
                <w:bCs/>
                <w:sz w:val="22"/>
                <w:szCs w:val="22"/>
              </w:rPr>
            </w:pPr>
            <w:r w:rsidRPr="00917A7A">
              <w:rPr>
                <w:b/>
                <w:bCs/>
                <w:sz w:val="22"/>
                <w:szCs w:val="22"/>
              </w:rPr>
              <w:t>2022</w:t>
            </w:r>
          </w:p>
        </w:tc>
        <w:tc>
          <w:tcPr>
            <w:tcW w:w="1495" w:type="dxa"/>
            <w:tcBorders>
              <w:top w:val="single" w:color="auto" w:sz="18" w:space="0"/>
              <w:bottom w:val="single" w:color="auto" w:sz="18" w:space="0"/>
              <w:right w:val="single" w:color="auto" w:sz="2" w:space="0"/>
            </w:tcBorders>
            <w:shd w:val="clear" w:color="000000" w:fill="E0E0E0"/>
            <w:vAlign w:val="bottom"/>
          </w:tcPr>
          <w:p w:rsidRPr="00917A7A" w:rsidR="004B1295" w:rsidP="00464625" w:rsidRDefault="004B1295" w14:paraId="1583C5A4" w14:textId="77777777">
            <w:pPr>
              <w:pStyle w:val="FMCSATableHead"/>
              <w:keepNext/>
              <w:spacing w:before="0" w:after="0"/>
              <w:rPr>
                <w:sz w:val="22"/>
                <w:szCs w:val="22"/>
              </w:rPr>
            </w:pPr>
            <w:r w:rsidRPr="00917A7A">
              <w:rPr>
                <w:sz w:val="22"/>
                <w:szCs w:val="22"/>
              </w:rPr>
              <w:t>3-Year Average</w:t>
            </w:r>
          </w:p>
          <w:p w:rsidRPr="00917A7A" w:rsidR="004B1295" w:rsidP="00464625" w:rsidRDefault="004B1295" w14:paraId="7B41F0C7" w14:textId="77777777">
            <w:pPr>
              <w:keepNext/>
              <w:keepLines/>
              <w:widowControl/>
              <w:autoSpaceDE/>
              <w:autoSpaceDN/>
              <w:adjustRightInd/>
              <w:jc w:val="center"/>
              <w:rPr>
                <w:b/>
                <w:bCs/>
                <w:sz w:val="22"/>
                <w:szCs w:val="22"/>
              </w:rPr>
            </w:pPr>
            <w:r w:rsidRPr="00917A7A">
              <w:rPr>
                <w:b/>
                <w:sz w:val="22"/>
                <w:szCs w:val="22"/>
              </w:rPr>
              <w:t>(2020-2022)</w:t>
            </w:r>
          </w:p>
        </w:tc>
      </w:tr>
      <w:tr w:rsidRPr="00917A7A" w:rsidR="00917A7A" w:rsidTr="00985C3E" w14:paraId="4F38212E" w14:textId="77777777">
        <w:trPr>
          <w:trHeight w:val="504"/>
        </w:trPr>
        <w:tc>
          <w:tcPr>
            <w:tcW w:w="3183" w:type="dxa"/>
            <w:tcBorders>
              <w:top w:val="single" w:color="auto" w:sz="18" w:space="0"/>
              <w:bottom w:val="single" w:color="auto" w:sz="2" w:space="0"/>
              <w:right w:val="single" w:color="auto" w:sz="18" w:space="0"/>
            </w:tcBorders>
            <w:shd w:val="clear" w:color="auto" w:fill="auto"/>
            <w:noWrap/>
            <w:vAlign w:val="center"/>
          </w:tcPr>
          <w:p w:rsidRPr="00917A7A" w:rsidR="004B1295" w:rsidP="00464625" w:rsidRDefault="004B1295" w14:paraId="584005C9" w14:textId="77777777">
            <w:pPr>
              <w:keepNext/>
              <w:keepLines/>
              <w:widowControl/>
              <w:autoSpaceDE/>
              <w:autoSpaceDN/>
              <w:adjustRightInd/>
              <w:rPr>
                <w:iCs/>
                <w:sz w:val="22"/>
                <w:szCs w:val="22"/>
              </w:rPr>
            </w:pPr>
            <w:r w:rsidRPr="00917A7A">
              <w:rPr>
                <w:iCs/>
                <w:sz w:val="22"/>
                <w:szCs w:val="22"/>
              </w:rPr>
              <w:t xml:space="preserve">Number of </w:t>
            </w:r>
            <w:r w:rsidRPr="00917A7A" w:rsidR="00BB5C72">
              <w:rPr>
                <w:iCs/>
                <w:sz w:val="22"/>
                <w:szCs w:val="22"/>
              </w:rPr>
              <w:t>Submissions of Driver Training Certification Information</w:t>
            </w:r>
          </w:p>
        </w:tc>
        <w:tc>
          <w:tcPr>
            <w:tcW w:w="1320" w:type="dxa"/>
            <w:tcBorders>
              <w:top w:val="single" w:color="auto" w:sz="18" w:space="0"/>
              <w:left w:val="single" w:color="auto" w:sz="18" w:space="0"/>
              <w:bottom w:val="single" w:color="auto" w:sz="2" w:space="0"/>
            </w:tcBorders>
            <w:shd w:val="clear" w:color="auto" w:fill="auto"/>
            <w:noWrap/>
            <w:vAlign w:val="center"/>
          </w:tcPr>
          <w:p w:rsidRPr="00917A7A" w:rsidR="004B1295" w:rsidP="00464625" w:rsidRDefault="00BB5C72" w14:paraId="2B2AC6CA" w14:textId="77777777">
            <w:pPr>
              <w:keepNext/>
              <w:keepLines/>
              <w:widowControl/>
              <w:autoSpaceDE/>
              <w:autoSpaceDN/>
              <w:adjustRightInd/>
              <w:jc w:val="right"/>
              <w:rPr>
                <w:iCs/>
                <w:sz w:val="22"/>
                <w:szCs w:val="22"/>
              </w:rPr>
            </w:pPr>
            <w:r w:rsidRPr="00917A7A">
              <w:rPr>
                <w:iCs/>
                <w:sz w:val="22"/>
                <w:szCs w:val="22"/>
              </w:rPr>
              <w:t>0</w:t>
            </w:r>
          </w:p>
        </w:tc>
        <w:tc>
          <w:tcPr>
            <w:tcW w:w="1320" w:type="dxa"/>
            <w:tcBorders>
              <w:top w:val="single" w:color="auto" w:sz="18" w:space="0"/>
              <w:bottom w:val="single" w:color="auto" w:sz="2" w:space="0"/>
            </w:tcBorders>
            <w:vAlign w:val="center"/>
          </w:tcPr>
          <w:p w:rsidRPr="00917A7A" w:rsidR="004B1295" w:rsidP="00464625" w:rsidRDefault="00BB5C72" w14:paraId="2318F3E6" w14:textId="77777777">
            <w:pPr>
              <w:keepNext/>
              <w:keepLines/>
              <w:widowControl/>
              <w:autoSpaceDE/>
              <w:autoSpaceDN/>
              <w:adjustRightInd/>
              <w:jc w:val="right"/>
              <w:rPr>
                <w:sz w:val="22"/>
                <w:szCs w:val="22"/>
              </w:rPr>
            </w:pPr>
            <w:r w:rsidRPr="00917A7A">
              <w:rPr>
                <w:sz w:val="22"/>
                <w:szCs w:val="22"/>
              </w:rPr>
              <w:t>0</w:t>
            </w:r>
          </w:p>
        </w:tc>
        <w:tc>
          <w:tcPr>
            <w:tcW w:w="1320" w:type="dxa"/>
            <w:tcBorders>
              <w:top w:val="single" w:color="auto" w:sz="18" w:space="0"/>
              <w:bottom w:val="single" w:color="auto" w:sz="2" w:space="0"/>
              <w:right w:val="single" w:color="auto" w:sz="18" w:space="0"/>
            </w:tcBorders>
            <w:vAlign w:val="center"/>
          </w:tcPr>
          <w:p w:rsidRPr="00917A7A" w:rsidR="004B1295" w:rsidP="00464625" w:rsidRDefault="00BB5C72" w14:paraId="0F518118" w14:textId="77777777">
            <w:pPr>
              <w:keepNext/>
              <w:keepLines/>
              <w:widowControl/>
              <w:autoSpaceDE/>
              <w:autoSpaceDN/>
              <w:adjustRightInd/>
              <w:jc w:val="right"/>
              <w:rPr>
                <w:sz w:val="22"/>
                <w:szCs w:val="22"/>
              </w:rPr>
            </w:pPr>
            <w:r w:rsidRPr="00917A7A">
              <w:rPr>
                <w:sz w:val="22"/>
                <w:szCs w:val="22"/>
              </w:rPr>
              <w:t>466,062</w:t>
            </w:r>
          </w:p>
        </w:tc>
        <w:tc>
          <w:tcPr>
            <w:tcW w:w="1495" w:type="dxa"/>
            <w:tcBorders>
              <w:top w:val="single" w:color="auto" w:sz="18" w:space="0"/>
              <w:bottom w:val="single" w:color="auto" w:sz="2" w:space="0"/>
              <w:right w:val="single" w:color="auto" w:sz="2" w:space="0"/>
            </w:tcBorders>
            <w:vAlign w:val="center"/>
          </w:tcPr>
          <w:p w:rsidRPr="00917A7A" w:rsidR="004B1295" w:rsidP="00464625" w:rsidRDefault="00BB5C72" w14:paraId="44D23495" w14:textId="77777777">
            <w:pPr>
              <w:keepNext/>
              <w:keepLines/>
              <w:widowControl/>
              <w:autoSpaceDE/>
              <w:autoSpaceDN/>
              <w:adjustRightInd/>
              <w:jc w:val="right"/>
              <w:rPr>
                <w:iCs/>
                <w:sz w:val="22"/>
                <w:szCs w:val="22"/>
              </w:rPr>
            </w:pPr>
            <w:r w:rsidRPr="00917A7A">
              <w:rPr>
                <w:iCs/>
                <w:sz w:val="22"/>
                <w:szCs w:val="22"/>
              </w:rPr>
              <w:t>155,354</w:t>
            </w:r>
          </w:p>
        </w:tc>
      </w:tr>
      <w:tr w:rsidRPr="00917A7A" w:rsidR="00917A7A" w:rsidTr="00985C3E" w14:paraId="0632A8D3" w14:textId="77777777">
        <w:trPr>
          <w:trHeight w:val="625"/>
        </w:trPr>
        <w:tc>
          <w:tcPr>
            <w:tcW w:w="3183"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noWrap/>
            <w:vAlign w:val="center"/>
          </w:tcPr>
          <w:p w:rsidRPr="00917A7A" w:rsidR="004B1295" w:rsidDel="006804BD" w:rsidP="00464625" w:rsidRDefault="004B1295" w14:paraId="375DAE83" w14:textId="77777777">
            <w:pPr>
              <w:keepNext/>
              <w:keepLines/>
              <w:widowControl/>
              <w:autoSpaceDE/>
              <w:autoSpaceDN/>
              <w:adjustRightInd/>
              <w:rPr>
                <w:b/>
                <w:sz w:val="22"/>
                <w:szCs w:val="22"/>
              </w:rPr>
            </w:pPr>
            <w:r w:rsidRPr="00917A7A">
              <w:rPr>
                <w:b/>
                <w:sz w:val="22"/>
                <w:szCs w:val="22"/>
              </w:rPr>
              <w:t>TOTAL NUMBER OF RESPONSES</w:t>
            </w:r>
          </w:p>
        </w:tc>
        <w:tc>
          <w:tcPr>
            <w:tcW w:w="1320" w:type="dxa"/>
            <w:tcBorders>
              <w:top w:val="single" w:color="auto" w:sz="18" w:space="0"/>
              <w:left w:val="single" w:color="auto" w:sz="18" w:space="0"/>
              <w:bottom w:val="single" w:color="auto" w:sz="18" w:space="0"/>
              <w:right w:val="single" w:color="auto" w:sz="2" w:space="0"/>
            </w:tcBorders>
            <w:shd w:val="clear" w:color="auto" w:fill="D9D9D9" w:themeFill="background1" w:themeFillShade="D9"/>
            <w:noWrap/>
            <w:vAlign w:val="center"/>
          </w:tcPr>
          <w:p w:rsidRPr="00917A7A" w:rsidR="004B1295" w:rsidP="00464625" w:rsidRDefault="00BB5C72" w14:paraId="1FFCB866" w14:textId="77777777">
            <w:pPr>
              <w:keepNext/>
              <w:keepLines/>
              <w:widowControl/>
              <w:autoSpaceDE/>
              <w:autoSpaceDN/>
              <w:adjustRightInd/>
              <w:jc w:val="right"/>
              <w:rPr>
                <w:b/>
                <w:sz w:val="22"/>
                <w:szCs w:val="22"/>
              </w:rPr>
            </w:pPr>
            <w:r w:rsidRPr="00917A7A">
              <w:rPr>
                <w:b/>
                <w:sz w:val="22"/>
                <w:szCs w:val="22"/>
              </w:rPr>
              <w:t>0</w:t>
            </w:r>
          </w:p>
        </w:tc>
        <w:tc>
          <w:tcPr>
            <w:tcW w:w="1320"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4B1295" w:rsidP="00464625" w:rsidRDefault="00BB5C72" w14:paraId="3D3AEE9B" w14:textId="77777777">
            <w:pPr>
              <w:keepNext/>
              <w:keepLines/>
              <w:widowControl/>
              <w:autoSpaceDE/>
              <w:autoSpaceDN/>
              <w:adjustRightInd/>
              <w:jc w:val="right"/>
              <w:rPr>
                <w:b/>
                <w:sz w:val="22"/>
                <w:szCs w:val="22"/>
              </w:rPr>
            </w:pPr>
            <w:r w:rsidRPr="00917A7A">
              <w:rPr>
                <w:b/>
                <w:sz w:val="22"/>
                <w:szCs w:val="22"/>
              </w:rPr>
              <w:t>0</w:t>
            </w:r>
          </w:p>
        </w:tc>
        <w:tc>
          <w:tcPr>
            <w:tcW w:w="1320"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vAlign w:val="center"/>
          </w:tcPr>
          <w:p w:rsidRPr="00917A7A" w:rsidR="004B1295" w:rsidP="00464625" w:rsidRDefault="00BB5C72" w14:paraId="18E08A13" w14:textId="77777777">
            <w:pPr>
              <w:keepNext/>
              <w:keepLines/>
              <w:widowControl/>
              <w:autoSpaceDE/>
              <w:autoSpaceDN/>
              <w:adjustRightInd/>
              <w:jc w:val="right"/>
              <w:rPr>
                <w:b/>
                <w:sz w:val="22"/>
                <w:szCs w:val="22"/>
              </w:rPr>
            </w:pPr>
            <w:r w:rsidRPr="00917A7A">
              <w:rPr>
                <w:b/>
                <w:sz w:val="22"/>
                <w:szCs w:val="22"/>
              </w:rPr>
              <w:t>466,062</w:t>
            </w:r>
          </w:p>
        </w:tc>
        <w:tc>
          <w:tcPr>
            <w:tcW w:w="1495"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4B1295" w:rsidP="00464625" w:rsidRDefault="00BB5C72" w14:paraId="791DC59A" w14:textId="77777777">
            <w:pPr>
              <w:keepNext/>
              <w:keepLines/>
              <w:widowControl/>
              <w:autoSpaceDE/>
              <w:autoSpaceDN/>
              <w:adjustRightInd/>
              <w:jc w:val="right"/>
              <w:rPr>
                <w:b/>
                <w:sz w:val="22"/>
                <w:szCs w:val="22"/>
              </w:rPr>
            </w:pPr>
            <w:r w:rsidRPr="00917A7A">
              <w:rPr>
                <w:b/>
                <w:sz w:val="22"/>
                <w:szCs w:val="22"/>
              </w:rPr>
              <w:t>155,354</w:t>
            </w:r>
          </w:p>
        </w:tc>
      </w:tr>
      <w:tr w:rsidRPr="00917A7A" w:rsidR="00F6360F" w:rsidTr="00985C3E" w14:paraId="10AAD087" w14:textId="77777777">
        <w:trPr>
          <w:trHeight w:val="625"/>
        </w:trPr>
        <w:tc>
          <w:tcPr>
            <w:tcW w:w="3183"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noWrap/>
            <w:vAlign w:val="center"/>
          </w:tcPr>
          <w:p w:rsidRPr="00917A7A" w:rsidR="004B1295" w:rsidP="00464625" w:rsidRDefault="004B1295" w14:paraId="60834E23" w14:textId="77777777">
            <w:pPr>
              <w:keepNext/>
              <w:keepLines/>
              <w:widowControl/>
              <w:autoSpaceDE/>
              <w:autoSpaceDN/>
              <w:adjustRightInd/>
              <w:rPr>
                <w:b/>
                <w:sz w:val="22"/>
                <w:szCs w:val="22"/>
              </w:rPr>
            </w:pPr>
            <w:r w:rsidRPr="00917A7A">
              <w:rPr>
                <w:b/>
                <w:sz w:val="22"/>
                <w:szCs w:val="22"/>
              </w:rPr>
              <w:t>NUMBER OF RESPONDENTS</w:t>
            </w:r>
          </w:p>
        </w:tc>
        <w:tc>
          <w:tcPr>
            <w:tcW w:w="1320" w:type="dxa"/>
            <w:tcBorders>
              <w:top w:val="single" w:color="auto" w:sz="18" w:space="0"/>
              <w:left w:val="single" w:color="auto" w:sz="18" w:space="0"/>
              <w:bottom w:val="single" w:color="auto" w:sz="18" w:space="0"/>
              <w:right w:val="single" w:color="auto" w:sz="2" w:space="0"/>
            </w:tcBorders>
            <w:shd w:val="clear" w:color="auto" w:fill="D9D9D9" w:themeFill="background1" w:themeFillShade="D9"/>
            <w:noWrap/>
            <w:vAlign w:val="center"/>
          </w:tcPr>
          <w:p w:rsidRPr="00917A7A" w:rsidR="004B1295" w:rsidP="00464625" w:rsidRDefault="00BB5C72" w14:paraId="28598A5B" w14:textId="77777777">
            <w:pPr>
              <w:keepNext/>
              <w:keepLines/>
              <w:widowControl/>
              <w:autoSpaceDE/>
              <w:autoSpaceDN/>
              <w:adjustRightInd/>
              <w:jc w:val="right"/>
              <w:rPr>
                <w:b/>
                <w:sz w:val="22"/>
                <w:szCs w:val="22"/>
              </w:rPr>
            </w:pPr>
            <w:r w:rsidRPr="00917A7A">
              <w:rPr>
                <w:b/>
                <w:sz w:val="22"/>
                <w:szCs w:val="22"/>
              </w:rPr>
              <w:t>0</w:t>
            </w:r>
          </w:p>
        </w:tc>
        <w:tc>
          <w:tcPr>
            <w:tcW w:w="1320"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4B1295" w:rsidP="00464625" w:rsidRDefault="00BB5C72" w14:paraId="0E1D7F48" w14:textId="77777777">
            <w:pPr>
              <w:keepNext/>
              <w:keepLines/>
              <w:widowControl/>
              <w:autoSpaceDE/>
              <w:autoSpaceDN/>
              <w:adjustRightInd/>
              <w:jc w:val="right"/>
              <w:rPr>
                <w:b/>
                <w:sz w:val="22"/>
                <w:szCs w:val="22"/>
              </w:rPr>
            </w:pPr>
            <w:r w:rsidRPr="00917A7A">
              <w:rPr>
                <w:b/>
                <w:sz w:val="22"/>
                <w:szCs w:val="22"/>
              </w:rPr>
              <w:t>0</w:t>
            </w:r>
          </w:p>
        </w:tc>
        <w:tc>
          <w:tcPr>
            <w:tcW w:w="1320" w:type="dxa"/>
            <w:tcBorders>
              <w:top w:val="single" w:color="auto" w:sz="18" w:space="0"/>
              <w:left w:val="single" w:color="auto" w:sz="2" w:space="0"/>
              <w:bottom w:val="single" w:color="auto" w:sz="18" w:space="0"/>
              <w:right w:val="single" w:color="auto" w:sz="18" w:space="0"/>
            </w:tcBorders>
            <w:shd w:val="clear" w:color="auto" w:fill="D9D9D9" w:themeFill="background1" w:themeFillShade="D9"/>
            <w:vAlign w:val="center"/>
          </w:tcPr>
          <w:p w:rsidRPr="00917A7A" w:rsidR="004B1295" w:rsidP="00464625" w:rsidRDefault="00BB5C72" w14:paraId="1CA8A5CE" w14:textId="77777777">
            <w:pPr>
              <w:keepNext/>
              <w:keepLines/>
              <w:widowControl/>
              <w:autoSpaceDE/>
              <w:autoSpaceDN/>
              <w:adjustRightInd/>
              <w:jc w:val="right"/>
              <w:rPr>
                <w:b/>
                <w:sz w:val="22"/>
                <w:szCs w:val="22"/>
              </w:rPr>
            </w:pPr>
            <w:r w:rsidRPr="00917A7A">
              <w:rPr>
                <w:b/>
                <w:sz w:val="22"/>
                <w:szCs w:val="22"/>
              </w:rPr>
              <w:t>20,510</w:t>
            </w:r>
          </w:p>
        </w:tc>
        <w:tc>
          <w:tcPr>
            <w:tcW w:w="1495" w:type="dxa"/>
            <w:tcBorders>
              <w:top w:val="single" w:color="auto" w:sz="18" w:space="0"/>
              <w:left w:val="single" w:color="auto" w:sz="2" w:space="0"/>
              <w:bottom w:val="single" w:color="auto" w:sz="18" w:space="0"/>
              <w:right w:val="single" w:color="auto" w:sz="2" w:space="0"/>
            </w:tcBorders>
            <w:shd w:val="clear" w:color="auto" w:fill="D9D9D9" w:themeFill="background1" w:themeFillShade="D9"/>
            <w:vAlign w:val="center"/>
          </w:tcPr>
          <w:p w:rsidRPr="00917A7A" w:rsidR="004B1295" w:rsidP="00464625" w:rsidRDefault="00BB5C72" w14:paraId="0CED8F9A" w14:textId="77777777">
            <w:pPr>
              <w:keepNext/>
              <w:keepLines/>
              <w:widowControl/>
              <w:autoSpaceDE/>
              <w:autoSpaceDN/>
              <w:adjustRightInd/>
              <w:jc w:val="right"/>
              <w:rPr>
                <w:b/>
                <w:sz w:val="22"/>
                <w:szCs w:val="22"/>
              </w:rPr>
            </w:pPr>
            <w:r w:rsidRPr="00917A7A">
              <w:rPr>
                <w:b/>
                <w:sz w:val="22"/>
                <w:szCs w:val="22"/>
              </w:rPr>
              <w:t>6,837</w:t>
            </w:r>
          </w:p>
        </w:tc>
      </w:tr>
    </w:tbl>
    <w:p w:rsidRPr="00917A7A" w:rsidR="004B1295" w:rsidP="00020C9B" w:rsidRDefault="004B1295" w14:paraId="040E8CC2" w14:textId="77777777">
      <w:pPr>
        <w:tabs>
          <w:tab w:val="left" w:pos="360"/>
        </w:tabs>
        <w:ind w:left="360"/>
        <w:rPr>
          <w:szCs w:val="24"/>
        </w:rPr>
      </w:pPr>
    </w:p>
    <w:p w:rsidRPr="00917A7A" w:rsidR="004B1295" w:rsidP="00BA4DC3" w:rsidRDefault="00B47786" w14:paraId="3D3AAD6B" w14:textId="465E8C2C">
      <w:pPr>
        <w:ind w:left="360"/>
        <w:rPr>
          <w:bCs/>
          <w:szCs w:val="24"/>
        </w:rPr>
      </w:pPr>
      <w:r w:rsidRPr="00917A7A">
        <w:t>Each submittal of driver training certification information by a training provider for each new entry-level driver is estimated to require 5 minutes. This estimate is consistent with that developed and used previously in the regulatory evaluation for the December 8, 2016, final rule</w:t>
      </w:r>
      <w:r w:rsidRPr="00917A7A">
        <w:rPr>
          <w:rStyle w:val="FootnoteReference"/>
          <w:szCs w:val="24"/>
        </w:rPr>
        <w:footnoteReference w:id="24"/>
      </w:r>
      <w:r w:rsidRPr="00917A7A">
        <w:t xml:space="preserve">, and also used in part for the regulatory evaluations of the March 6, 2019, final rule, and the </w:t>
      </w:r>
      <w:r w:rsidRPr="00917A7A" w:rsidR="00BA4DC3">
        <w:t>interim final rule (IFR)</w:t>
      </w:r>
      <w:r w:rsidRPr="00917A7A" w:rsidR="00BA4DC3">
        <w:rPr>
          <w:bCs/>
          <w:szCs w:val="24"/>
        </w:rPr>
        <w:t xml:space="preserve">. </w:t>
      </w:r>
      <w:r w:rsidRPr="00917A7A">
        <w:rPr>
          <w:bCs/>
          <w:szCs w:val="24"/>
        </w:rPr>
        <w:t xml:space="preserve">This estimate of 5 minutes has previously been subject to review and comment as part of the March 7, 2016, NPRM and December 8, 2016, final </w:t>
      </w:r>
      <w:r w:rsidRPr="00917A7A" w:rsidR="00CA6031">
        <w:rPr>
          <w:bCs/>
          <w:szCs w:val="24"/>
        </w:rPr>
        <w:t xml:space="preserve">rule </w:t>
      </w:r>
      <w:r w:rsidRPr="00917A7A">
        <w:rPr>
          <w:bCs/>
          <w:szCs w:val="24"/>
        </w:rPr>
        <w:t xml:space="preserve">for the new </w:t>
      </w:r>
      <w:r w:rsidRPr="00917A7A" w:rsidR="00CA6031">
        <w:rPr>
          <w:bCs/>
          <w:szCs w:val="24"/>
        </w:rPr>
        <w:t xml:space="preserve">ELDT </w:t>
      </w:r>
      <w:r w:rsidRPr="00917A7A">
        <w:rPr>
          <w:bCs/>
          <w:szCs w:val="24"/>
        </w:rPr>
        <w:t xml:space="preserve">regulations. Again, because </w:t>
      </w:r>
      <w:r w:rsidRPr="00917A7A" w:rsidR="00F12819">
        <w:rPr>
          <w:bCs/>
          <w:szCs w:val="24"/>
        </w:rPr>
        <w:t xml:space="preserve">under the interim final rule </w:t>
      </w:r>
      <w:r w:rsidRPr="00917A7A">
        <w:rPr>
          <w:bCs/>
          <w:szCs w:val="24"/>
        </w:rPr>
        <w:t xml:space="preserve">the requirement for training providers to </w:t>
      </w:r>
      <w:r w:rsidRPr="00917A7A">
        <w:t>submit training certification information to the TPR for each individual driver-trainee that completes training</w:t>
      </w:r>
      <w:r w:rsidRPr="00917A7A">
        <w:rPr>
          <w:bCs/>
          <w:szCs w:val="24"/>
        </w:rPr>
        <w:t xml:space="preserve"> would not begin until February 7, 2022, responses occur only in 2022. </w:t>
      </w:r>
      <w:r w:rsidRPr="00917A7A" w:rsidR="00F4292F">
        <w:rPr>
          <w:szCs w:val="24"/>
        </w:rPr>
        <w:t>Table 11</w:t>
      </w:r>
      <w:r w:rsidRPr="00917A7A" w:rsidR="000678BF">
        <w:rPr>
          <w:szCs w:val="24"/>
        </w:rPr>
        <w:t xml:space="preserve"> presents the resulting estimates of annualized hour burden for IC-</w:t>
      </w:r>
      <w:r w:rsidRPr="00917A7A" w:rsidR="0009201D">
        <w:rPr>
          <w:szCs w:val="24"/>
        </w:rPr>
        <w:t>3</w:t>
      </w:r>
      <w:r w:rsidRPr="00917A7A" w:rsidR="000678BF">
        <w:rPr>
          <w:szCs w:val="24"/>
        </w:rPr>
        <w:t>, based on the number o</w:t>
      </w:r>
      <w:r w:rsidRPr="00917A7A" w:rsidR="00F4292F">
        <w:rPr>
          <w:szCs w:val="24"/>
        </w:rPr>
        <w:t>f responses presented in Table 10</w:t>
      </w:r>
      <w:r w:rsidRPr="00917A7A" w:rsidR="000678BF">
        <w:rPr>
          <w:szCs w:val="24"/>
        </w:rPr>
        <w:t>, and the estimated hour burden per response of 5 minutes (0.</w:t>
      </w:r>
      <w:r w:rsidRPr="00917A7A" w:rsidR="00F12819">
        <w:rPr>
          <w:szCs w:val="24"/>
        </w:rPr>
        <w:t>083</w:t>
      </w:r>
      <w:r w:rsidRPr="00917A7A" w:rsidR="000678BF">
        <w:rPr>
          <w:szCs w:val="24"/>
        </w:rPr>
        <w:t xml:space="preserve"> hours).</w:t>
      </w:r>
    </w:p>
    <w:p w:rsidRPr="00917A7A" w:rsidR="004B1295" w:rsidP="00020C9B" w:rsidRDefault="004B1295" w14:paraId="0F1BAB87" w14:textId="77777777">
      <w:pPr>
        <w:tabs>
          <w:tab w:val="left" w:pos="360"/>
        </w:tabs>
        <w:ind w:left="360"/>
        <w:rPr>
          <w:szCs w:val="24"/>
        </w:rPr>
      </w:pPr>
    </w:p>
    <w:p w:rsidRPr="00917A7A" w:rsidR="004236F6" w:rsidP="004236F6" w:rsidRDefault="004236F6" w14:paraId="339022B9" w14:textId="2B7F426A">
      <w:pPr>
        <w:pStyle w:val="Caption"/>
        <w:keepNext/>
        <w:keepLines/>
        <w:widowControl/>
        <w:spacing w:after="0"/>
        <w:ind w:left="360"/>
        <w:rPr>
          <w:b/>
          <w:color w:val="auto"/>
          <w:sz w:val="24"/>
          <w:szCs w:val="24"/>
        </w:rPr>
      </w:pPr>
      <w:r w:rsidRPr="00917A7A">
        <w:rPr>
          <w:b/>
          <w:i w:val="0"/>
          <w:color w:val="auto"/>
          <w:sz w:val="24"/>
          <w:szCs w:val="24"/>
        </w:rPr>
        <w:t xml:space="preserve">Table </w:t>
      </w:r>
      <w:r w:rsidRPr="00917A7A" w:rsidR="00227758">
        <w:rPr>
          <w:b/>
          <w:i w:val="0"/>
          <w:color w:val="auto"/>
          <w:sz w:val="24"/>
          <w:szCs w:val="24"/>
        </w:rPr>
        <w:t>11</w:t>
      </w:r>
      <w:r w:rsidRPr="00917A7A">
        <w:rPr>
          <w:b/>
          <w:i w:val="0"/>
          <w:color w:val="auto"/>
          <w:sz w:val="24"/>
          <w:szCs w:val="24"/>
        </w:rPr>
        <w:t xml:space="preserve">. Estimated </w:t>
      </w:r>
      <w:r w:rsidRPr="00917A7A" w:rsidR="0020504F">
        <w:rPr>
          <w:b/>
          <w:i w:val="0"/>
          <w:color w:val="auto"/>
          <w:sz w:val="24"/>
          <w:szCs w:val="24"/>
        </w:rPr>
        <w:t xml:space="preserve">Annualized Hour Burden </w:t>
      </w:r>
      <w:r w:rsidRPr="00917A7A">
        <w:rPr>
          <w:b/>
          <w:i w:val="0"/>
          <w:color w:val="auto"/>
          <w:sz w:val="24"/>
          <w:szCs w:val="24"/>
        </w:rPr>
        <w:t>for IC-</w:t>
      </w:r>
      <w:r w:rsidRPr="00917A7A" w:rsidR="0009201D">
        <w:rPr>
          <w:b/>
          <w:i w:val="0"/>
          <w:color w:val="auto"/>
          <w:sz w:val="24"/>
          <w:szCs w:val="24"/>
        </w:rPr>
        <w:t>3</w:t>
      </w:r>
      <w:r w:rsidRPr="00917A7A">
        <w:rPr>
          <w:b/>
          <w:i w:val="0"/>
          <w:color w:val="auto"/>
          <w:sz w:val="24"/>
          <w:szCs w:val="24"/>
        </w:rPr>
        <w:t xml:space="preserve"> (Driver Training Certification Information)</w:t>
      </w:r>
    </w:p>
    <w:tbl>
      <w:tblPr>
        <w:tblW w:w="4606"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60"/>
        <w:gridCol w:w="1320"/>
        <w:gridCol w:w="1320"/>
        <w:gridCol w:w="1320"/>
        <w:gridCol w:w="1495"/>
      </w:tblGrid>
      <w:tr w:rsidRPr="00917A7A" w:rsidR="00917A7A" w:rsidTr="00985C3E" w14:paraId="12C45D6E" w14:textId="77777777">
        <w:trPr>
          <w:trHeight w:val="600"/>
        </w:trPr>
        <w:tc>
          <w:tcPr>
            <w:tcW w:w="3160" w:type="dxa"/>
            <w:tcBorders>
              <w:top w:val="single" w:color="auto" w:sz="18" w:space="0"/>
              <w:bottom w:val="single" w:color="auto" w:sz="18" w:space="0"/>
              <w:right w:val="single" w:color="auto" w:sz="18" w:space="0"/>
            </w:tcBorders>
            <w:shd w:val="clear" w:color="000000" w:fill="E0E0E0"/>
            <w:vAlign w:val="bottom"/>
            <w:hideMark/>
          </w:tcPr>
          <w:p w:rsidRPr="00917A7A" w:rsidR="004236F6" w:rsidP="00464625" w:rsidRDefault="004236F6" w14:paraId="3B90F464" w14:textId="77777777">
            <w:pPr>
              <w:keepNext/>
              <w:keepLines/>
              <w:widowControl/>
              <w:autoSpaceDE/>
              <w:autoSpaceDN/>
              <w:adjustRightInd/>
              <w:jc w:val="center"/>
              <w:rPr>
                <w:b/>
                <w:bCs/>
                <w:sz w:val="22"/>
                <w:szCs w:val="22"/>
              </w:rPr>
            </w:pPr>
            <w:r w:rsidRPr="00917A7A">
              <w:rPr>
                <w:b/>
                <w:bCs/>
                <w:sz w:val="22"/>
                <w:szCs w:val="22"/>
              </w:rPr>
              <w:t>Type of Activity</w:t>
            </w:r>
          </w:p>
        </w:tc>
        <w:tc>
          <w:tcPr>
            <w:tcW w:w="1320" w:type="dxa"/>
            <w:tcBorders>
              <w:top w:val="single" w:color="auto" w:sz="18" w:space="0"/>
              <w:left w:val="single" w:color="auto" w:sz="18" w:space="0"/>
              <w:bottom w:val="single" w:color="auto" w:sz="18" w:space="0"/>
            </w:tcBorders>
            <w:shd w:val="clear" w:color="000000" w:fill="E0E0E0"/>
            <w:vAlign w:val="bottom"/>
            <w:hideMark/>
          </w:tcPr>
          <w:p w:rsidRPr="00917A7A" w:rsidR="004236F6" w:rsidP="00464625" w:rsidRDefault="004236F6" w14:paraId="42FC6A5C" w14:textId="77777777">
            <w:pPr>
              <w:keepNext/>
              <w:keepLines/>
              <w:widowControl/>
              <w:autoSpaceDE/>
              <w:autoSpaceDN/>
              <w:adjustRightInd/>
              <w:jc w:val="center"/>
              <w:rPr>
                <w:b/>
                <w:bCs/>
                <w:sz w:val="22"/>
                <w:szCs w:val="22"/>
              </w:rPr>
            </w:pPr>
            <w:r w:rsidRPr="00917A7A">
              <w:rPr>
                <w:b/>
                <w:bCs/>
                <w:sz w:val="22"/>
                <w:szCs w:val="22"/>
              </w:rPr>
              <w:t>2020</w:t>
            </w:r>
          </w:p>
        </w:tc>
        <w:tc>
          <w:tcPr>
            <w:tcW w:w="1320" w:type="dxa"/>
            <w:tcBorders>
              <w:top w:val="single" w:color="auto" w:sz="18" w:space="0"/>
              <w:bottom w:val="single" w:color="auto" w:sz="18" w:space="0"/>
            </w:tcBorders>
            <w:shd w:val="clear" w:color="000000" w:fill="E0E0E0"/>
            <w:vAlign w:val="bottom"/>
          </w:tcPr>
          <w:p w:rsidRPr="00917A7A" w:rsidR="004236F6" w:rsidP="00464625" w:rsidRDefault="004236F6" w14:paraId="68891094" w14:textId="77777777">
            <w:pPr>
              <w:keepNext/>
              <w:keepLines/>
              <w:widowControl/>
              <w:autoSpaceDE/>
              <w:autoSpaceDN/>
              <w:adjustRightInd/>
              <w:jc w:val="center"/>
              <w:rPr>
                <w:b/>
                <w:bCs/>
                <w:sz w:val="22"/>
                <w:szCs w:val="22"/>
              </w:rPr>
            </w:pPr>
            <w:r w:rsidRPr="00917A7A">
              <w:rPr>
                <w:b/>
                <w:bCs/>
                <w:sz w:val="22"/>
                <w:szCs w:val="22"/>
              </w:rPr>
              <w:t>2021</w:t>
            </w:r>
          </w:p>
        </w:tc>
        <w:tc>
          <w:tcPr>
            <w:tcW w:w="1320" w:type="dxa"/>
            <w:tcBorders>
              <w:top w:val="single" w:color="auto" w:sz="18" w:space="0"/>
              <w:bottom w:val="single" w:color="auto" w:sz="18" w:space="0"/>
              <w:right w:val="single" w:color="auto" w:sz="18" w:space="0"/>
            </w:tcBorders>
            <w:shd w:val="clear" w:color="000000" w:fill="E0E0E0"/>
            <w:vAlign w:val="bottom"/>
          </w:tcPr>
          <w:p w:rsidRPr="00917A7A" w:rsidR="004236F6" w:rsidP="00464625" w:rsidRDefault="004236F6" w14:paraId="6D4DF0B4" w14:textId="77777777">
            <w:pPr>
              <w:keepNext/>
              <w:keepLines/>
              <w:widowControl/>
              <w:autoSpaceDE/>
              <w:autoSpaceDN/>
              <w:adjustRightInd/>
              <w:jc w:val="center"/>
              <w:rPr>
                <w:b/>
                <w:bCs/>
                <w:sz w:val="22"/>
                <w:szCs w:val="22"/>
              </w:rPr>
            </w:pPr>
            <w:r w:rsidRPr="00917A7A">
              <w:rPr>
                <w:b/>
                <w:bCs/>
                <w:sz w:val="22"/>
                <w:szCs w:val="22"/>
              </w:rPr>
              <w:t>2022</w:t>
            </w:r>
          </w:p>
        </w:tc>
        <w:tc>
          <w:tcPr>
            <w:tcW w:w="1495" w:type="dxa"/>
            <w:tcBorders>
              <w:top w:val="single" w:color="auto" w:sz="18" w:space="0"/>
              <w:bottom w:val="single" w:color="auto" w:sz="18" w:space="0"/>
              <w:right w:val="single" w:color="auto" w:sz="2" w:space="0"/>
            </w:tcBorders>
            <w:shd w:val="clear" w:color="000000" w:fill="E0E0E0"/>
            <w:vAlign w:val="bottom"/>
          </w:tcPr>
          <w:p w:rsidRPr="00917A7A" w:rsidR="004236F6" w:rsidP="00464625" w:rsidRDefault="004236F6" w14:paraId="62181BA8" w14:textId="77777777">
            <w:pPr>
              <w:pStyle w:val="FMCSATableHead"/>
              <w:keepNext/>
              <w:spacing w:before="0" w:after="0"/>
              <w:rPr>
                <w:sz w:val="22"/>
                <w:szCs w:val="22"/>
              </w:rPr>
            </w:pPr>
            <w:r w:rsidRPr="00917A7A">
              <w:rPr>
                <w:sz w:val="22"/>
                <w:szCs w:val="22"/>
              </w:rPr>
              <w:t>3-Year Average</w:t>
            </w:r>
          </w:p>
          <w:p w:rsidRPr="00917A7A" w:rsidR="004236F6" w:rsidP="00464625" w:rsidRDefault="004236F6" w14:paraId="51E9D605" w14:textId="77777777">
            <w:pPr>
              <w:keepNext/>
              <w:keepLines/>
              <w:widowControl/>
              <w:autoSpaceDE/>
              <w:autoSpaceDN/>
              <w:adjustRightInd/>
              <w:jc w:val="center"/>
              <w:rPr>
                <w:b/>
                <w:bCs/>
                <w:sz w:val="22"/>
                <w:szCs w:val="22"/>
              </w:rPr>
            </w:pPr>
            <w:r w:rsidRPr="00917A7A">
              <w:rPr>
                <w:b/>
                <w:sz w:val="22"/>
                <w:szCs w:val="22"/>
              </w:rPr>
              <w:t>(2020-2022)</w:t>
            </w:r>
          </w:p>
        </w:tc>
      </w:tr>
      <w:tr w:rsidRPr="00917A7A" w:rsidR="00F6360F" w:rsidTr="00985C3E" w14:paraId="77BDE39E" w14:textId="77777777">
        <w:trPr>
          <w:trHeight w:val="504"/>
        </w:trPr>
        <w:tc>
          <w:tcPr>
            <w:tcW w:w="3160" w:type="dxa"/>
            <w:tcBorders>
              <w:top w:val="single" w:color="auto" w:sz="18" w:space="0"/>
              <w:bottom w:val="single" w:color="auto" w:sz="2" w:space="0"/>
              <w:right w:val="single" w:color="auto" w:sz="18" w:space="0"/>
            </w:tcBorders>
            <w:shd w:val="clear" w:color="auto" w:fill="auto"/>
            <w:noWrap/>
            <w:vAlign w:val="center"/>
          </w:tcPr>
          <w:p w:rsidRPr="00917A7A" w:rsidR="004236F6" w:rsidP="00464625" w:rsidRDefault="0020504F" w14:paraId="1240EFC0" w14:textId="77777777">
            <w:pPr>
              <w:keepNext/>
              <w:keepLines/>
              <w:widowControl/>
              <w:autoSpaceDE/>
              <w:autoSpaceDN/>
              <w:adjustRightInd/>
              <w:rPr>
                <w:iCs/>
                <w:sz w:val="22"/>
                <w:szCs w:val="22"/>
              </w:rPr>
            </w:pPr>
            <w:r w:rsidRPr="00917A7A">
              <w:rPr>
                <w:iCs/>
                <w:sz w:val="22"/>
                <w:szCs w:val="22"/>
              </w:rPr>
              <w:t xml:space="preserve">Hour Burden for </w:t>
            </w:r>
            <w:r w:rsidRPr="00917A7A" w:rsidR="004236F6">
              <w:rPr>
                <w:iCs/>
                <w:sz w:val="22"/>
                <w:szCs w:val="22"/>
              </w:rPr>
              <w:t>Su</w:t>
            </w:r>
            <w:r w:rsidRPr="00917A7A">
              <w:rPr>
                <w:iCs/>
                <w:sz w:val="22"/>
                <w:szCs w:val="22"/>
              </w:rPr>
              <w:t>bmission</w:t>
            </w:r>
            <w:r w:rsidRPr="00917A7A" w:rsidR="004236F6">
              <w:rPr>
                <w:iCs/>
                <w:sz w:val="22"/>
                <w:szCs w:val="22"/>
              </w:rPr>
              <w:t xml:space="preserve"> of Driver Training Certification Information</w:t>
            </w:r>
          </w:p>
        </w:tc>
        <w:tc>
          <w:tcPr>
            <w:tcW w:w="1320" w:type="dxa"/>
            <w:tcBorders>
              <w:top w:val="single" w:color="auto" w:sz="18" w:space="0"/>
              <w:left w:val="single" w:color="auto" w:sz="18" w:space="0"/>
              <w:bottom w:val="single" w:color="auto" w:sz="2" w:space="0"/>
            </w:tcBorders>
            <w:shd w:val="clear" w:color="auto" w:fill="auto"/>
            <w:noWrap/>
            <w:vAlign w:val="center"/>
          </w:tcPr>
          <w:p w:rsidRPr="00917A7A" w:rsidR="004236F6" w:rsidP="00464625" w:rsidRDefault="004236F6" w14:paraId="603A415C" w14:textId="77777777">
            <w:pPr>
              <w:keepNext/>
              <w:keepLines/>
              <w:widowControl/>
              <w:autoSpaceDE/>
              <w:autoSpaceDN/>
              <w:adjustRightInd/>
              <w:jc w:val="right"/>
              <w:rPr>
                <w:iCs/>
                <w:sz w:val="22"/>
                <w:szCs w:val="22"/>
              </w:rPr>
            </w:pPr>
            <w:r w:rsidRPr="00917A7A">
              <w:rPr>
                <w:iCs/>
                <w:sz w:val="22"/>
                <w:szCs w:val="22"/>
              </w:rPr>
              <w:t>0</w:t>
            </w:r>
          </w:p>
        </w:tc>
        <w:tc>
          <w:tcPr>
            <w:tcW w:w="1320" w:type="dxa"/>
            <w:tcBorders>
              <w:top w:val="single" w:color="auto" w:sz="18" w:space="0"/>
              <w:bottom w:val="single" w:color="auto" w:sz="2" w:space="0"/>
            </w:tcBorders>
            <w:vAlign w:val="center"/>
          </w:tcPr>
          <w:p w:rsidRPr="00917A7A" w:rsidR="004236F6" w:rsidP="00464625" w:rsidRDefault="004236F6" w14:paraId="35EA517F" w14:textId="77777777">
            <w:pPr>
              <w:keepNext/>
              <w:keepLines/>
              <w:widowControl/>
              <w:autoSpaceDE/>
              <w:autoSpaceDN/>
              <w:adjustRightInd/>
              <w:jc w:val="right"/>
              <w:rPr>
                <w:sz w:val="22"/>
                <w:szCs w:val="22"/>
              </w:rPr>
            </w:pPr>
            <w:r w:rsidRPr="00917A7A">
              <w:rPr>
                <w:sz w:val="22"/>
                <w:szCs w:val="22"/>
              </w:rPr>
              <w:t>0</w:t>
            </w:r>
          </w:p>
        </w:tc>
        <w:tc>
          <w:tcPr>
            <w:tcW w:w="1320" w:type="dxa"/>
            <w:tcBorders>
              <w:top w:val="single" w:color="auto" w:sz="18" w:space="0"/>
              <w:bottom w:val="single" w:color="auto" w:sz="2" w:space="0"/>
              <w:right w:val="single" w:color="auto" w:sz="18" w:space="0"/>
            </w:tcBorders>
            <w:vAlign w:val="center"/>
          </w:tcPr>
          <w:p w:rsidRPr="00917A7A" w:rsidR="004236F6" w:rsidP="00464625" w:rsidRDefault="0020504F" w14:paraId="79453E43" w14:textId="77777777">
            <w:pPr>
              <w:keepNext/>
              <w:keepLines/>
              <w:widowControl/>
              <w:autoSpaceDE/>
              <w:autoSpaceDN/>
              <w:adjustRightInd/>
              <w:jc w:val="right"/>
              <w:rPr>
                <w:sz w:val="22"/>
                <w:szCs w:val="22"/>
              </w:rPr>
            </w:pPr>
            <w:r w:rsidRPr="00917A7A">
              <w:rPr>
                <w:sz w:val="22"/>
                <w:szCs w:val="22"/>
              </w:rPr>
              <w:t>38,839</w:t>
            </w:r>
          </w:p>
        </w:tc>
        <w:tc>
          <w:tcPr>
            <w:tcW w:w="1495" w:type="dxa"/>
            <w:tcBorders>
              <w:top w:val="single" w:color="auto" w:sz="18" w:space="0"/>
              <w:bottom w:val="single" w:color="auto" w:sz="2" w:space="0"/>
              <w:right w:val="single" w:color="auto" w:sz="2" w:space="0"/>
            </w:tcBorders>
            <w:vAlign w:val="center"/>
          </w:tcPr>
          <w:p w:rsidRPr="00917A7A" w:rsidR="004236F6" w:rsidP="00464625" w:rsidRDefault="0020504F" w14:paraId="70729B54" w14:textId="77777777">
            <w:pPr>
              <w:keepNext/>
              <w:keepLines/>
              <w:widowControl/>
              <w:autoSpaceDE/>
              <w:autoSpaceDN/>
              <w:adjustRightInd/>
              <w:jc w:val="right"/>
              <w:rPr>
                <w:iCs/>
                <w:sz w:val="22"/>
                <w:szCs w:val="22"/>
              </w:rPr>
            </w:pPr>
            <w:r w:rsidRPr="00917A7A">
              <w:rPr>
                <w:iCs/>
                <w:sz w:val="22"/>
                <w:szCs w:val="22"/>
              </w:rPr>
              <w:t>12,946</w:t>
            </w:r>
          </w:p>
        </w:tc>
      </w:tr>
    </w:tbl>
    <w:p w:rsidRPr="00917A7A" w:rsidR="004B1295" w:rsidP="00020C9B" w:rsidRDefault="004B1295" w14:paraId="4AD21936" w14:textId="77777777">
      <w:pPr>
        <w:tabs>
          <w:tab w:val="left" w:pos="360"/>
        </w:tabs>
        <w:ind w:left="360"/>
        <w:rPr>
          <w:szCs w:val="24"/>
        </w:rPr>
      </w:pPr>
    </w:p>
    <w:p w:rsidRPr="00917A7A" w:rsidR="00D71E4C" w:rsidP="006946FE" w:rsidRDefault="00FC3845" w14:paraId="791E0D59" w14:textId="02ECFDA6">
      <w:pPr>
        <w:widowControl/>
        <w:tabs>
          <w:tab w:val="left" w:pos="360"/>
        </w:tabs>
        <w:ind w:left="360"/>
      </w:pPr>
      <w:r w:rsidRPr="00917A7A">
        <w:t xml:space="preserve"> </w:t>
      </w:r>
      <w:r w:rsidRPr="00917A7A" w:rsidR="006946FE">
        <w:t>“C</w:t>
      </w:r>
      <w:r w:rsidRPr="00917A7A">
        <w:t>ost to respondents” (sometimes referred to as “burden hour cost”)</w:t>
      </w:r>
      <w:r w:rsidRPr="00917A7A" w:rsidR="006946FE">
        <w:t xml:space="preserve"> is calculated here for IC-</w:t>
      </w:r>
      <w:r w:rsidRPr="00917A7A" w:rsidR="0009201D">
        <w:t>3</w:t>
      </w:r>
      <w:r w:rsidRPr="00917A7A" w:rsidR="006946FE">
        <w:t xml:space="preserve"> in the same manner</w:t>
      </w:r>
      <w:r w:rsidRPr="00917A7A" w:rsidR="00EF1AB6">
        <w:t xml:space="preserve"> as it was for IC-2</w:t>
      </w:r>
      <w:r w:rsidRPr="00917A7A" w:rsidR="00F54F21">
        <w:t>,</w:t>
      </w:r>
      <w:r w:rsidRPr="00917A7A" w:rsidR="006946FE">
        <w:t xml:space="preserve"> and utiliz</w:t>
      </w:r>
      <w:r w:rsidRPr="00917A7A" w:rsidR="00EF1AB6">
        <w:t>es</w:t>
      </w:r>
      <w:r w:rsidRPr="00917A7A" w:rsidR="006946FE">
        <w:t xml:space="preserve"> the same fully loaded wage rate of $51.08</w:t>
      </w:r>
      <w:r w:rsidRPr="00917A7A" w:rsidR="00EF1AB6">
        <w:t xml:space="preserve"> </w:t>
      </w:r>
      <w:r w:rsidRPr="00917A7A" w:rsidR="00F54F21">
        <w:t xml:space="preserve">as described </w:t>
      </w:r>
      <w:r w:rsidRPr="00917A7A" w:rsidR="00B173D6">
        <w:t>above for IC-2</w:t>
      </w:r>
      <w:r w:rsidRPr="00917A7A" w:rsidR="006946FE">
        <w:t xml:space="preserve">. As noted previously, “cost to respondents” is separate and distinct from “cost burden”, which is reported later in Section 13 and represents capital or start-up costs, operation or maintenance costs (such as those for supplies and equipment), </w:t>
      </w:r>
      <w:r w:rsidRPr="00917A7A" w:rsidR="006946FE">
        <w:lastRenderedPageBreak/>
        <w:t xml:space="preserve">or purchases of services resulting from the collection of information. </w:t>
      </w:r>
      <w:r w:rsidRPr="00917A7A" w:rsidR="00D71E4C">
        <w:rPr>
          <w:bCs/>
          <w:szCs w:val="24"/>
        </w:rPr>
        <w:t>The average annual cost to respondents for IC-</w:t>
      </w:r>
      <w:r w:rsidRPr="00917A7A" w:rsidR="0009201D">
        <w:rPr>
          <w:bCs/>
          <w:szCs w:val="24"/>
        </w:rPr>
        <w:t>3</w:t>
      </w:r>
      <w:r w:rsidRPr="00917A7A" w:rsidR="00D71E4C">
        <w:rPr>
          <w:bCs/>
          <w:szCs w:val="24"/>
        </w:rPr>
        <w:t xml:space="preserve"> is $661,275 (12,946 average annual burden hours × $51.08 fully loaded wage rate).</w:t>
      </w:r>
    </w:p>
    <w:p w:rsidRPr="00917A7A" w:rsidR="00FC3845" w:rsidP="00020C9B" w:rsidRDefault="00FC3845" w14:paraId="10F2FC48" w14:textId="77777777">
      <w:pPr>
        <w:tabs>
          <w:tab w:val="left" w:pos="360"/>
        </w:tabs>
        <w:ind w:left="360"/>
        <w:rPr>
          <w:szCs w:val="24"/>
        </w:rPr>
      </w:pPr>
    </w:p>
    <w:p w:rsidRPr="00917A7A" w:rsidR="00020C9B" w:rsidP="00020C9B" w:rsidRDefault="00020C9B" w14:paraId="54C50DD4" w14:textId="18C6A8E3">
      <w:pPr>
        <w:tabs>
          <w:tab w:val="left" w:pos="360"/>
        </w:tabs>
        <w:ind w:left="360"/>
        <w:rPr>
          <w:szCs w:val="24"/>
        </w:rPr>
      </w:pPr>
      <w:r w:rsidRPr="00917A7A">
        <w:rPr>
          <w:szCs w:val="24"/>
        </w:rPr>
        <w:t xml:space="preserve">Table </w:t>
      </w:r>
      <w:r w:rsidRPr="00917A7A" w:rsidR="00F4292F">
        <w:rPr>
          <w:szCs w:val="24"/>
        </w:rPr>
        <w:t>12</w:t>
      </w:r>
      <w:r w:rsidRPr="00917A7A">
        <w:rPr>
          <w:szCs w:val="24"/>
        </w:rPr>
        <w:t xml:space="preserve"> presents a summary of the burden estimates for IC-</w:t>
      </w:r>
      <w:r w:rsidRPr="00917A7A" w:rsidR="0009201D">
        <w:rPr>
          <w:szCs w:val="24"/>
        </w:rPr>
        <w:t>3</w:t>
      </w:r>
      <w:r w:rsidRPr="00917A7A">
        <w:rPr>
          <w:szCs w:val="24"/>
        </w:rPr>
        <w:t>.</w:t>
      </w:r>
    </w:p>
    <w:p w:rsidRPr="00917A7A" w:rsidR="00C07C00" w:rsidP="00DB1F32" w:rsidRDefault="00C07C00" w14:paraId="26B05648" w14:textId="77777777">
      <w:pPr>
        <w:rPr>
          <w:b/>
        </w:rPr>
      </w:pPr>
    </w:p>
    <w:p w:rsidRPr="00917A7A" w:rsidR="00020C9B" w:rsidP="00020C9B" w:rsidRDefault="00020C9B" w14:paraId="55EAE0F2" w14:textId="11B5D7D0">
      <w:pPr>
        <w:pStyle w:val="Caption"/>
        <w:keepNext/>
        <w:keepLines/>
        <w:widowControl/>
        <w:spacing w:after="0"/>
        <w:ind w:left="360"/>
        <w:rPr>
          <w:b/>
          <w:color w:val="auto"/>
          <w:sz w:val="24"/>
          <w:szCs w:val="24"/>
        </w:rPr>
      </w:pPr>
      <w:r w:rsidRPr="00917A7A">
        <w:rPr>
          <w:b/>
          <w:i w:val="0"/>
          <w:color w:val="auto"/>
          <w:sz w:val="24"/>
          <w:szCs w:val="24"/>
        </w:rPr>
        <w:t xml:space="preserve">Table </w:t>
      </w:r>
      <w:r w:rsidRPr="00917A7A" w:rsidR="00227758">
        <w:rPr>
          <w:b/>
          <w:i w:val="0"/>
          <w:color w:val="auto"/>
          <w:sz w:val="24"/>
          <w:szCs w:val="24"/>
        </w:rPr>
        <w:t>12</w:t>
      </w:r>
      <w:r w:rsidRPr="00917A7A">
        <w:rPr>
          <w:b/>
          <w:i w:val="0"/>
          <w:color w:val="auto"/>
          <w:sz w:val="24"/>
          <w:szCs w:val="24"/>
        </w:rPr>
        <w:t>. Summary for IC-</w:t>
      </w:r>
      <w:r w:rsidRPr="00917A7A" w:rsidR="0009201D">
        <w:rPr>
          <w:b/>
          <w:i w:val="0"/>
          <w:color w:val="auto"/>
          <w:sz w:val="24"/>
          <w:szCs w:val="24"/>
        </w:rPr>
        <w:t>3</w:t>
      </w:r>
      <w:r w:rsidRPr="00917A7A">
        <w:rPr>
          <w:b/>
          <w:i w:val="0"/>
          <w:color w:val="auto"/>
          <w:sz w:val="24"/>
          <w:szCs w:val="24"/>
        </w:rPr>
        <w:t xml:space="preserve"> (Driver Training Certification)</w:t>
      </w:r>
    </w:p>
    <w:tbl>
      <w:tblPr>
        <w:tblW w:w="3679"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94"/>
        <w:gridCol w:w="1586"/>
      </w:tblGrid>
      <w:tr w:rsidRPr="00917A7A" w:rsidR="00F6360F" w:rsidTr="00985C3E" w14:paraId="0F537ABF" w14:textId="77777777">
        <w:trPr>
          <w:trHeight w:val="600"/>
        </w:trPr>
        <w:tc>
          <w:tcPr>
            <w:tcW w:w="5293" w:type="dxa"/>
            <w:tcBorders>
              <w:top w:val="single" w:color="auto" w:sz="18" w:space="0"/>
              <w:bottom w:val="single" w:color="auto" w:sz="18" w:space="0"/>
              <w:right w:val="single" w:color="auto" w:sz="18" w:space="0"/>
            </w:tcBorders>
            <w:shd w:val="clear" w:color="000000" w:fill="E0E0E0"/>
            <w:vAlign w:val="bottom"/>
            <w:hideMark/>
          </w:tcPr>
          <w:p w:rsidRPr="00917A7A" w:rsidR="00020C9B" w:rsidP="00464625" w:rsidRDefault="00020C9B" w14:paraId="2EC4871F" w14:textId="77777777">
            <w:pPr>
              <w:keepNext/>
              <w:keepLines/>
              <w:widowControl/>
              <w:autoSpaceDE/>
              <w:autoSpaceDN/>
              <w:adjustRightInd/>
              <w:jc w:val="center"/>
              <w:rPr>
                <w:b/>
                <w:bCs/>
                <w:sz w:val="22"/>
                <w:szCs w:val="22"/>
              </w:rPr>
            </w:pPr>
            <w:r w:rsidRPr="00917A7A">
              <w:rPr>
                <w:b/>
                <w:bCs/>
                <w:sz w:val="22"/>
                <w:szCs w:val="22"/>
              </w:rPr>
              <w:t>Summary Item</w:t>
            </w:r>
          </w:p>
        </w:tc>
        <w:tc>
          <w:tcPr>
            <w:tcW w:w="1586" w:type="dxa"/>
            <w:tcBorders>
              <w:top w:val="single" w:color="auto" w:sz="18" w:space="0"/>
              <w:left w:val="single" w:color="auto" w:sz="18" w:space="0"/>
              <w:bottom w:val="single" w:color="auto" w:sz="18" w:space="0"/>
            </w:tcBorders>
            <w:shd w:val="clear" w:color="000000" w:fill="E0E0E0"/>
            <w:vAlign w:val="bottom"/>
            <w:hideMark/>
          </w:tcPr>
          <w:p w:rsidRPr="00917A7A" w:rsidR="00020C9B" w:rsidP="00464625" w:rsidRDefault="00020C9B" w14:paraId="4480769F" w14:textId="77777777">
            <w:pPr>
              <w:keepNext/>
              <w:keepLines/>
              <w:widowControl/>
              <w:autoSpaceDE/>
              <w:autoSpaceDN/>
              <w:adjustRightInd/>
              <w:jc w:val="center"/>
              <w:rPr>
                <w:b/>
                <w:bCs/>
                <w:sz w:val="22"/>
                <w:szCs w:val="22"/>
              </w:rPr>
            </w:pPr>
            <w:r w:rsidRPr="00917A7A">
              <w:rPr>
                <w:b/>
                <w:bCs/>
                <w:sz w:val="22"/>
                <w:szCs w:val="22"/>
              </w:rPr>
              <w:t>Value</w:t>
            </w:r>
          </w:p>
        </w:tc>
      </w:tr>
      <w:tr w:rsidRPr="00917A7A" w:rsidR="00917A7A" w:rsidTr="00985C3E" w14:paraId="49BAC7FC" w14:textId="77777777">
        <w:trPr>
          <w:trHeight w:val="324"/>
        </w:trPr>
        <w:tc>
          <w:tcPr>
            <w:tcW w:w="5293" w:type="dxa"/>
            <w:tcBorders>
              <w:top w:val="single" w:color="auto" w:sz="18" w:space="0"/>
              <w:bottom w:val="single" w:color="auto" w:sz="2" w:space="0"/>
              <w:right w:val="single" w:color="auto" w:sz="18" w:space="0"/>
            </w:tcBorders>
            <w:shd w:val="clear" w:color="auto" w:fill="auto"/>
            <w:noWrap/>
            <w:vAlign w:val="center"/>
          </w:tcPr>
          <w:p w:rsidRPr="00917A7A" w:rsidR="00020C9B" w:rsidP="00464625" w:rsidRDefault="00020C9B" w14:paraId="1098A1B8" w14:textId="77777777">
            <w:pPr>
              <w:keepNext/>
              <w:keepLines/>
              <w:widowControl/>
              <w:autoSpaceDE/>
              <w:autoSpaceDN/>
              <w:adjustRightInd/>
              <w:rPr>
                <w:iCs/>
                <w:sz w:val="22"/>
                <w:szCs w:val="22"/>
              </w:rPr>
            </w:pPr>
            <w:r w:rsidRPr="00917A7A">
              <w:rPr>
                <w:iCs/>
                <w:sz w:val="22"/>
                <w:szCs w:val="22"/>
              </w:rPr>
              <w:t>Average Annual Number of Respondents</w:t>
            </w:r>
          </w:p>
        </w:tc>
        <w:tc>
          <w:tcPr>
            <w:tcW w:w="1586" w:type="dxa"/>
            <w:tcBorders>
              <w:top w:val="single" w:color="auto" w:sz="18" w:space="0"/>
              <w:left w:val="single" w:color="auto" w:sz="18" w:space="0"/>
              <w:bottom w:val="single" w:color="auto" w:sz="2" w:space="0"/>
            </w:tcBorders>
            <w:shd w:val="clear" w:color="auto" w:fill="auto"/>
            <w:noWrap/>
            <w:vAlign w:val="center"/>
          </w:tcPr>
          <w:p w:rsidRPr="00917A7A" w:rsidR="00020C9B" w:rsidP="00464625" w:rsidRDefault="001E3A2A" w14:paraId="4A80C963" w14:textId="77777777">
            <w:pPr>
              <w:keepNext/>
              <w:keepLines/>
              <w:widowControl/>
              <w:autoSpaceDE/>
              <w:autoSpaceDN/>
              <w:adjustRightInd/>
              <w:jc w:val="right"/>
              <w:rPr>
                <w:iCs/>
                <w:sz w:val="22"/>
                <w:szCs w:val="22"/>
              </w:rPr>
            </w:pPr>
            <w:r w:rsidRPr="00917A7A">
              <w:rPr>
                <w:iCs/>
                <w:sz w:val="22"/>
                <w:szCs w:val="22"/>
              </w:rPr>
              <w:t>6,837</w:t>
            </w:r>
          </w:p>
        </w:tc>
      </w:tr>
      <w:tr w:rsidRPr="00917A7A" w:rsidR="00917A7A" w:rsidTr="00985C3E" w14:paraId="1E2DE789"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020C9B" w:rsidDel="006804BD" w:rsidP="00464625" w:rsidRDefault="00020C9B" w14:paraId="1D96F367" w14:textId="77777777">
            <w:pPr>
              <w:keepNext/>
              <w:keepLines/>
              <w:widowControl/>
              <w:autoSpaceDE/>
              <w:autoSpaceDN/>
              <w:adjustRightInd/>
              <w:rPr>
                <w:sz w:val="22"/>
                <w:szCs w:val="22"/>
              </w:rPr>
            </w:pPr>
            <w:r w:rsidRPr="00917A7A">
              <w:rPr>
                <w:sz w:val="22"/>
                <w:szCs w:val="22"/>
              </w:rPr>
              <w:t>Average Annual Responses</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020C9B" w:rsidP="00464625" w:rsidRDefault="001E3A2A" w14:paraId="43047CA0" w14:textId="77777777">
            <w:pPr>
              <w:keepNext/>
              <w:keepLines/>
              <w:widowControl/>
              <w:autoSpaceDE/>
              <w:autoSpaceDN/>
              <w:adjustRightInd/>
              <w:jc w:val="right"/>
              <w:rPr>
                <w:sz w:val="22"/>
                <w:szCs w:val="22"/>
              </w:rPr>
            </w:pPr>
            <w:r w:rsidRPr="00917A7A">
              <w:rPr>
                <w:sz w:val="22"/>
                <w:szCs w:val="22"/>
              </w:rPr>
              <w:t>155,354</w:t>
            </w:r>
          </w:p>
        </w:tc>
      </w:tr>
      <w:tr w:rsidRPr="00917A7A" w:rsidR="00917A7A" w:rsidTr="00985C3E" w14:paraId="3DBC37E7"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020C9B" w:rsidDel="006804BD" w:rsidP="00464625" w:rsidRDefault="001E3A2A" w14:paraId="62182B57" w14:textId="77777777">
            <w:pPr>
              <w:keepNext/>
              <w:keepLines/>
              <w:widowControl/>
              <w:autoSpaceDE/>
              <w:autoSpaceDN/>
              <w:adjustRightInd/>
              <w:rPr>
                <w:sz w:val="22"/>
                <w:szCs w:val="22"/>
              </w:rPr>
            </w:pPr>
            <w:r w:rsidRPr="00917A7A">
              <w:rPr>
                <w:sz w:val="22"/>
                <w:szCs w:val="22"/>
              </w:rPr>
              <w:t>Average Annual N</w:t>
            </w:r>
            <w:r w:rsidRPr="00917A7A" w:rsidR="00020C9B">
              <w:rPr>
                <w:sz w:val="22"/>
                <w:szCs w:val="22"/>
              </w:rPr>
              <w:t>umber of Responses per Respondent</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020C9B" w:rsidP="00464625" w:rsidRDefault="001E3A2A" w14:paraId="544387C3" w14:textId="77777777">
            <w:pPr>
              <w:keepNext/>
              <w:keepLines/>
              <w:widowControl/>
              <w:autoSpaceDE/>
              <w:autoSpaceDN/>
              <w:adjustRightInd/>
              <w:jc w:val="right"/>
              <w:rPr>
                <w:sz w:val="22"/>
                <w:szCs w:val="22"/>
              </w:rPr>
            </w:pPr>
            <w:r w:rsidRPr="00917A7A">
              <w:rPr>
                <w:sz w:val="22"/>
                <w:szCs w:val="22"/>
              </w:rPr>
              <w:t>22.7</w:t>
            </w:r>
          </w:p>
        </w:tc>
      </w:tr>
      <w:tr w:rsidRPr="00917A7A" w:rsidR="00917A7A" w:rsidTr="00985C3E" w14:paraId="22C9670B"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020C9B" w:rsidDel="006804BD" w:rsidP="00464625" w:rsidRDefault="00020C9B" w14:paraId="78B9809E" w14:textId="77777777">
            <w:pPr>
              <w:keepNext/>
              <w:keepLines/>
              <w:widowControl/>
              <w:autoSpaceDE/>
              <w:autoSpaceDN/>
              <w:adjustRightInd/>
              <w:rPr>
                <w:sz w:val="22"/>
                <w:szCs w:val="22"/>
              </w:rPr>
            </w:pPr>
            <w:r w:rsidRPr="00917A7A">
              <w:rPr>
                <w:sz w:val="22"/>
                <w:szCs w:val="22"/>
              </w:rPr>
              <w:t>Average Annual Burden Hours</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020C9B" w:rsidP="00464625" w:rsidRDefault="001E3A2A" w14:paraId="7F881638" w14:textId="77777777">
            <w:pPr>
              <w:keepNext/>
              <w:keepLines/>
              <w:widowControl/>
              <w:autoSpaceDE/>
              <w:autoSpaceDN/>
              <w:adjustRightInd/>
              <w:jc w:val="right"/>
              <w:rPr>
                <w:sz w:val="22"/>
                <w:szCs w:val="22"/>
              </w:rPr>
            </w:pPr>
            <w:r w:rsidRPr="00917A7A">
              <w:rPr>
                <w:sz w:val="22"/>
                <w:szCs w:val="22"/>
              </w:rPr>
              <w:t>12,946</w:t>
            </w:r>
          </w:p>
        </w:tc>
      </w:tr>
      <w:tr w:rsidRPr="00917A7A" w:rsidR="00917A7A" w:rsidTr="00985C3E" w14:paraId="56A6BE64"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020C9B" w:rsidDel="006804BD" w:rsidP="00464625" w:rsidRDefault="00020C9B" w14:paraId="2382DED9" w14:textId="77777777">
            <w:pPr>
              <w:keepNext/>
              <w:keepLines/>
              <w:widowControl/>
              <w:autoSpaceDE/>
              <w:autoSpaceDN/>
              <w:adjustRightInd/>
              <w:rPr>
                <w:sz w:val="22"/>
                <w:szCs w:val="22"/>
              </w:rPr>
            </w:pPr>
            <w:r w:rsidRPr="00917A7A">
              <w:rPr>
                <w:sz w:val="22"/>
                <w:szCs w:val="22"/>
              </w:rPr>
              <w:t>Average Hours per Response</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020C9B" w:rsidP="00464625" w:rsidRDefault="001E3A2A" w14:paraId="6EABFA1B" w14:textId="77777777">
            <w:pPr>
              <w:keepNext/>
              <w:keepLines/>
              <w:widowControl/>
              <w:autoSpaceDE/>
              <w:autoSpaceDN/>
              <w:adjustRightInd/>
              <w:jc w:val="right"/>
              <w:rPr>
                <w:sz w:val="22"/>
                <w:szCs w:val="22"/>
              </w:rPr>
            </w:pPr>
            <w:r w:rsidRPr="00917A7A">
              <w:rPr>
                <w:sz w:val="22"/>
                <w:szCs w:val="22"/>
              </w:rPr>
              <w:t>0.083</w:t>
            </w:r>
          </w:p>
        </w:tc>
      </w:tr>
      <w:tr w:rsidRPr="00917A7A" w:rsidR="00917A7A" w:rsidTr="00985C3E" w14:paraId="21EC0EB6"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020C9B" w:rsidP="00464625" w:rsidRDefault="00020C9B" w14:paraId="55E2E169" w14:textId="77777777">
            <w:pPr>
              <w:keepNext/>
              <w:keepLines/>
              <w:widowControl/>
              <w:autoSpaceDE/>
              <w:autoSpaceDN/>
              <w:adjustRightInd/>
              <w:rPr>
                <w:sz w:val="22"/>
                <w:szCs w:val="22"/>
              </w:rPr>
            </w:pPr>
            <w:r w:rsidRPr="00917A7A">
              <w:rPr>
                <w:sz w:val="22"/>
                <w:szCs w:val="22"/>
              </w:rPr>
              <w:t>Average Annual Cost to Respondents</w:t>
            </w:r>
          </w:p>
          <w:p w:rsidRPr="00917A7A" w:rsidR="00020C9B" w:rsidDel="006804BD" w:rsidP="00464625" w:rsidRDefault="00020C9B" w14:paraId="7BEE663D" w14:textId="77777777">
            <w:pPr>
              <w:keepNext/>
              <w:keepLines/>
              <w:widowControl/>
              <w:autoSpaceDE/>
              <w:autoSpaceDN/>
              <w:adjustRightInd/>
              <w:rPr>
                <w:sz w:val="18"/>
                <w:szCs w:val="18"/>
              </w:rPr>
            </w:pPr>
            <w:r w:rsidRPr="00917A7A">
              <w:rPr>
                <w:sz w:val="18"/>
                <w:szCs w:val="18"/>
              </w:rPr>
              <w:t>(burden hours monetized at loaded hourly wage rate)</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020C9B" w:rsidP="00464625" w:rsidRDefault="001E3A2A" w14:paraId="03D51DFC" w14:textId="77777777">
            <w:pPr>
              <w:keepNext/>
              <w:keepLines/>
              <w:widowControl/>
              <w:autoSpaceDE/>
              <w:autoSpaceDN/>
              <w:adjustRightInd/>
              <w:jc w:val="right"/>
              <w:rPr>
                <w:sz w:val="22"/>
                <w:szCs w:val="22"/>
              </w:rPr>
            </w:pPr>
            <w:r w:rsidRPr="00917A7A">
              <w:rPr>
                <w:sz w:val="22"/>
                <w:szCs w:val="22"/>
              </w:rPr>
              <w:t>$661,275</w:t>
            </w:r>
          </w:p>
        </w:tc>
      </w:tr>
    </w:tbl>
    <w:p w:rsidRPr="00917A7A" w:rsidR="00914BCD" w:rsidP="00C40D3D" w:rsidRDefault="00914BCD" w14:paraId="29EC00E7" w14:textId="77777777">
      <w:pPr>
        <w:tabs>
          <w:tab w:val="left" w:pos="360"/>
        </w:tabs>
        <w:ind w:left="360"/>
        <w:rPr>
          <w:szCs w:val="24"/>
        </w:rPr>
      </w:pPr>
    </w:p>
    <w:p w:rsidRPr="00917A7A" w:rsidR="00333755" w:rsidP="00C40D3D" w:rsidRDefault="00227758" w14:paraId="44881228" w14:textId="7938DAD9">
      <w:pPr>
        <w:tabs>
          <w:tab w:val="left" w:pos="360"/>
        </w:tabs>
        <w:ind w:left="360"/>
      </w:pPr>
      <w:r w:rsidRPr="00917A7A">
        <w:rPr>
          <w:szCs w:val="24"/>
        </w:rPr>
        <w:t>Finally, Table 13</w:t>
      </w:r>
      <w:r w:rsidRPr="00917A7A" w:rsidR="00C40D3D">
        <w:rPr>
          <w:szCs w:val="24"/>
        </w:rPr>
        <w:t xml:space="preserve"> presents a summary of the total burden for </w:t>
      </w:r>
      <w:r w:rsidRPr="00917A7A" w:rsidR="00333755">
        <w:t>IC-1</w:t>
      </w:r>
      <w:r w:rsidRPr="00917A7A" w:rsidR="00914BCD">
        <w:t>, IC-2,</w:t>
      </w:r>
      <w:r w:rsidRPr="00917A7A" w:rsidR="00333755">
        <w:t xml:space="preserve"> and IC-</w:t>
      </w:r>
      <w:r w:rsidRPr="00917A7A" w:rsidR="00914BCD">
        <w:t>3</w:t>
      </w:r>
      <w:r w:rsidRPr="00917A7A" w:rsidR="00333755">
        <w:t xml:space="preserve"> combined</w:t>
      </w:r>
      <w:r w:rsidRPr="00917A7A" w:rsidR="000E34D6">
        <w:t>.</w:t>
      </w:r>
    </w:p>
    <w:p w:rsidRPr="00917A7A" w:rsidR="00C40D3D" w:rsidP="00333755" w:rsidRDefault="00C40D3D" w14:paraId="332D5389" w14:textId="77777777">
      <w:pPr>
        <w:ind w:left="360"/>
      </w:pPr>
    </w:p>
    <w:p w:rsidRPr="00917A7A" w:rsidR="00C40D3D" w:rsidP="00C40D3D" w:rsidRDefault="00227758" w14:paraId="6CEA81CA" w14:textId="3173C403">
      <w:pPr>
        <w:pStyle w:val="Caption"/>
        <w:keepNext/>
        <w:keepLines/>
        <w:widowControl/>
        <w:spacing w:after="0"/>
        <w:ind w:left="360"/>
        <w:rPr>
          <w:b/>
          <w:color w:val="auto"/>
          <w:sz w:val="24"/>
          <w:szCs w:val="24"/>
        </w:rPr>
      </w:pPr>
      <w:r w:rsidRPr="00917A7A">
        <w:rPr>
          <w:b/>
          <w:i w:val="0"/>
          <w:color w:val="auto"/>
          <w:sz w:val="24"/>
          <w:szCs w:val="24"/>
        </w:rPr>
        <w:t>Table 13</w:t>
      </w:r>
      <w:r w:rsidRPr="00917A7A" w:rsidR="00C40D3D">
        <w:rPr>
          <w:b/>
          <w:i w:val="0"/>
          <w:color w:val="auto"/>
          <w:sz w:val="24"/>
          <w:szCs w:val="24"/>
        </w:rPr>
        <w:t>. Summary of Total Burden for IC-1</w:t>
      </w:r>
      <w:r w:rsidRPr="00917A7A" w:rsidR="00914BCD">
        <w:rPr>
          <w:b/>
          <w:i w:val="0"/>
          <w:color w:val="auto"/>
          <w:sz w:val="24"/>
          <w:szCs w:val="24"/>
        </w:rPr>
        <w:t>, IC-2,</w:t>
      </w:r>
      <w:r w:rsidRPr="00917A7A" w:rsidR="00C40D3D">
        <w:rPr>
          <w:b/>
          <w:i w:val="0"/>
          <w:color w:val="auto"/>
          <w:sz w:val="24"/>
          <w:szCs w:val="24"/>
        </w:rPr>
        <w:t xml:space="preserve"> and IC-</w:t>
      </w:r>
      <w:r w:rsidRPr="00917A7A" w:rsidR="00914BCD">
        <w:rPr>
          <w:b/>
          <w:i w:val="0"/>
          <w:color w:val="auto"/>
          <w:sz w:val="24"/>
          <w:szCs w:val="24"/>
        </w:rPr>
        <w:t>3</w:t>
      </w:r>
    </w:p>
    <w:tbl>
      <w:tblPr>
        <w:tblW w:w="3679" w:type="pct"/>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294"/>
        <w:gridCol w:w="1586"/>
      </w:tblGrid>
      <w:tr w:rsidRPr="00917A7A" w:rsidR="00C40D3D" w:rsidTr="00985C3E" w14:paraId="6DF22423" w14:textId="77777777">
        <w:trPr>
          <w:trHeight w:val="600"/>
        </w:trPr>
        <w:tc>
          <w:tcPr>
            <w:tcW w:w="5293" w:type="dxa"/>
            <w:tcBorders>
              <w:top w:val="single" w:color="auto" w:sz="18" w:space="0"/>
              <w:bottom w:val="single" w:color="auto" w:sz="18" w:space="0"/>
              <w:right w:val="single" w:color="auto" w:sz="18" w:space="0"/>
            </w:tcBorders>
            <w:shd w:val="clear" w:color="000000" w:fill="E0E0E0"/>
            <w:vAlign w:val="bottom"/>
            <w:hideMark/>
          </w:tcPr>
          <w:p w:rsidRPr="00917A7A" w:rsidR="00C40D3D" w:rsidP="0085687D" w:rsidRDefault="00C40D3D" w14:paraId="7B82061C" w14:textId="77777777">
            <w:pPr>
              <w:keepNext/>
              <w:keepLines/>
              <w:widowControl/>
              <w:autoSpaceDE/>
              <w:autoSpaceDN/>
              <w:adjustRightInd/>
              <w:jc w:val="center"/>
              <w:rPr>
                <w:b/>
                <w:bCs/>
                <w:sz w:val="22"/>
                <w:szCs w:val="22"/>
              </w:rPr>
            </w:pPr>
            <w:r w:rsidRPr="00917A7A">
              <w:rPr>
                <w:b/>
                <w:bCs/>
                <w:sz w:val="22"/>
                <w:szCs w:val="22"/>
              </w:rPr>
              <w:t>Summary Item</w:t>
            </w:r>
          </w:p>
        </w:tc>
        <w:tc>
          <w:tcPr>
            <w:tcW w:w="1586" w:type="dxa"/>
            <w:tcBorders>
              <w:top w:val="single" w:color="auto" w:sz="18" w:space="0"/>
              <w:left w:val="single" w:color="auto" w:sz="18" w:space="0"/>
              <w:bottom w:val="single" w:color="auto" w:sz="18" w:space="0"/>
            </w:tcBorders>
            <w:shd w:val="clear" w:color="000000" w:fill="E0E0E0"/>
            <w:vAlign w:val="bottom"/>
            <w:hideMark/>
          </w:tcPr>
          <w:p w:rsidRPr="00917A7A" w:rsidR="00C40D3D" w:rsidP="0085687D" w:rsidRDefault="00C40D3D" w14:paraId="46315762" w14:textId="77777777">
            <w:pPr>
              <w:keepNext/>
              <w:keepLines/>
              <w:widowControl/>
              <w:autoSpaceDE/>
              <w:autoSpaceDN/>
              <w:adjustRightInd/>
              <w:jc w:val="center"/>
              <w:rPr>
                <w:b/>
                <w:bCs/>
                <w:sz w:val="22"/>
                <w:szCs w:val="22"/>
              </w:rPr>
            </w:pPr>
            <w:r w:rsidRPr="00917A7A">
              <w:rPr>
                <w:b/>
                <w:bCs/>
                <w:sz w:val="22"/>
                <w:szCs w:val="22"/>
              </w:rPr>
              <w:t>Value</w:t>
            </w:r>
          </w:p>
        </w:tc>
      </w:tr>
      <w:tr w:rsidRPr="00917A7A" w:rsidR="00917A7A" w:rsidTr="00985C3E" w14:paraId="7057B8CF"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C40D3D" w:rsidDel="006804BD" w:rsidP="0085687D" w:rsidRDefault="00C40D3D" w14:paraId="7D61553D" w14:textId="77777777">
            <w:pPr>
              <w:keepNext/>
              <w:keepLines/>
              <w:widowControl/>
              <w:autoSpaceDE/>
              <w:autoSpaceDN/>
              <w:adjustRightInd/>
              <w:rPr>
                <w:sz w:val="22"/>
                <w:szCs w:val="22"/>
              </w:rPr>
            </w:pPr>
            <w:r w:rsidRPr="00917A7A">
              <w:rPr>
                <w:sz w:val="22"/>
                <w:szCs w:val="22"/>
              </w:rPr>
              <w:t>Average Annual Responses</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C40D3D" w:rsidP="0085687D" w:rsidRDefault="00FE3B6F" w14:paraId="1A0FEF30" w14:textId="55A08C27">
            <w:pPr>
              <w:keepNext/>
              <w:keepLines/>
              <w:widowControl/>
              <w:autoSpaceDE/>
              <w:autoSpaceDN/>
              <w:adjustRightInd/>
              <w:jc w:val="right"/>
              <w:rPr>
                <w:sz w:val="22"/>
                <w:szCs w:val="22"/>
              </w:rPr>
            </w:pPr>
            <w:r w:rsidRPr="00917A7A">
              <w:rPr>
                <w:sz w:val="22"/>
                <w:szCs w:val="22"/>
              </w:rPr>
              <w:t>399,340</w:t>
            </w:r>
          </w:p>
        </w:tc>
      </w:tr>
      <w:tr w:rsidRPr="00917A7A" w:rsidR="00917A7A" w:rsidTr="00985C3E" w14:paraId="450A256C"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C40D3D" w:rsidDel="006804BD" w:rsidP="0085687D" w:rsidRDefault="00C40D3D" w14:paraId="7059DC20" w14:textId="77777777">
            <w:pPr>
              <w:keepNext/>
              <w:keepLines/>
              <w:widowControl/>
              <w:autoSpaceDE/>
              <w:autoSpaceDN/>
              <w:adjustRightInd/>
              <w:rPr>
                <w:sz w:val="22"/>
                <w:szCs w:val="22"/>
              </w:rPr>
            </w:pPr>
            <w:r w:rsidRPr="00917A7A">
              <w:rPr>
                <w:sz w:val="22"/>
                <w:szCs w:val="22"/>
              </w:rPr>
              <w:t>Average Annual Burden Hours</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C40D3D" w:rsidP="0085687D" w:rsidRDefault="00FE3B6F" w14:paraId="425EAC70" w14:textId="1185BA48">
            <w:pPr>
              <w:keepNext/>
              <w:keepLines/>
              <w:widowControl/>
              <w:autoSpaceDE/>
              <w:autoSpaceDN/>
              <w:adjustRightInd/>
              <w:jc w:val="right"/>
              <w:rPr>
                <w:sz w:val="22"/>
                <w:szCs w:val="22"/>
              </w:rPr>
            </w:pPr>
            <w:r w:rsidRPr="00917A7A">
              <w:rPr>
                <w:sz w:val="22"/>
                <w:szCs w:val="22"/>
              </w:rPr>
              <w:t>67,276</w:t>
            </w:r>
          </w:p>
        </w:tc>
      </w:tr>
      <w:tr w:rsidRPr="00917A7A" w:rsidR="00C40D3D" w:rsidTr="00985C3E" w14:paraId="2E0CF1DD" w14:textId="77777777">
        <w:trPr>
          <w:trHeight w:val="355"/>
        </w:trPr>
        <w:tc>
          <w:tcPr>
            <w:tcW w:w="5293" w:type="dxa"/>
            <w:tcBorders>
              <w:top w:val="single" w:color="auto" w:sz="2" w:space="0"/>
              <w:left w:val="single" w:color="auto" w:sz="2" w:space="0"/>
              <w:bottom w:val="single" w:color="auto" w:sz="2" w:space="0"/>
              <w:right w:val="single" w:color="auto" w:sz="18" w:space="0"/>
            </w:tcBorders>
            <w:shd w:val="clear" w:color="auto" w:fill="auto"/>
            <w:noWrap/>
            <w:vAlign w:val="center"/>
          </w:tcPr>
          <w:p w:rsidRPr="00917A7A" w:rsidR="00C40D3D" w:rsidP="0085687D" w:rsidRDefault="00C40D3D" w14:paraId="314A66D1" w14:textId="77777777">
            <w:pPr>
              <w:keepNext/>
              <w:keepLines/>
              <w:widowControl/>
              <w:autoSpaceDE/>
              <w:autoSpaceDN/>
              <w:adjustRightInd/>
              <w:rPr>
                <w:sz w:val="22"/>
                <w:szCs w:val="22"/>
              </w:rPr>
            </w:pPr>
            <w:r w:rsidRPr="00917A7A">
              <w:rPr>
                <w:sz w:val="22"/>
                <w:szCs w:val="22"/>
              </w:rPr>
              <w:t>Average Annual Cost to Respondents</w:t>
            </w:r>
          </w:p>
          <w:p w:rsidRPr="00917A7A" w:rsidR="00C40D3D" w:rsidDel="006804BD" w:rsidP="0085687D" w:rsidRDefault="00C40D3D" w14:paraId="0E573DD0" w14:textId="77777777">
            <w:pPr>
              <w:keepNext/>
              <w:keepLines/>
              <w:widowControl/>
              <w:autoSpaceDE/>
              <w:autoSpaceDN/>
              <w:adjustRightInd/>
              <w:rPr>
                <w:sz w:val="18"/>
                <w:szCs w:val="18"/>
              </w:rPr>
            </w:pPr>
            <w:r w:rsidRPr="00917A7A">
              <w:rPr>
                <w:sz w:val="18"/>
                <w:szCs w:val="18"/>
              </w:rPr>
              <w:t>(burden hours monetized at loaded hourly wage rate)</w:t>
            </w:r>
          </w:p>
        </w:tc>
        <w:tc>
          <w:tcPr>
            <w:tcW w:w="1586" w:type="dxa"/>
            <w:tcBorders>
              <w:top w:val="single" w:color="auto" w:sz="2" w:space="0"/>
              <w:left w:val="single" w:color="auto" w:sz="18" w:space="0"/>
              <w:bottom w:val="single" w:color="auto" w:sz="2" w:space="0"/>
              <w:right w:val="single" w:color="auto" w:sz="2" w:space="0"/>
            </w:tcBorders>
            <w:shd w:val="clear" w:color="auto" w:fill="auto"/>
            <w:noWrap/>
            <w:vAlign w:val="center"/>
          </w:tcPr>
          <w:p w:rsidRPr="00917A7A" w:rsidR="00C40D3D" w:rsidP="0085687D" w:rsidRDefault="00C40D3D" w14:paraId="43EB1EE4" w14:textId="088CB416">
            <w:pPr>
              <w:keepNext/>
              <w:keepLines/>
              <w:widowControl/>
              <w:autoSpaceDE/>
              <w:autoSpaceDN/>
              <w:adjustRightInd/>
              <w:jc w:val="right"/>
              <w:rPr>
                <w:sz w:val="22"/>
                <w:szCs w:val="22"/>
              </w:rPr>
            </w:pPr>
            <w:r w:rsidRPr="00917A7A">
              <w:rPr>
                <w:sz w:val="22"/>
                <w:szCs w:val="22"/>
              </w:rPr>
              <w:t>$</w:t>
            </w:r>
            <w:r w:rsidRPr="00917A7A" w:rsidR="00FE3B6F">
              <w:rPr>
                <w:sz w:val="22"/>
                <w:szCs w:val="22"/>
              </w:rPr>
              <w:t>3</w:t>
            </w:r>
            <w:r w:rsidRPr="00917A7A" w:rsidR="00946FC0">
              <w:rPr>
                <w:sz w:val="22"/>
                <w:szCs w:val="22"/>
              </w:rPr>
              <w:t>,</w:t>
            </w:r>
            <w:r w:rsidRPr="00917A7A" w:rsidR="00FE3B6F">
              <w:rPr>
                <w:sz w:val="22"/>
                <w:szCs w:val="22"/>
              </w:rPr>
              <w:t>079</w:t>
            </w:r>
            <w:r w:rsidRPr="00917A7A" w:rsidR="00946FC0">
              <w:rPr>
                <w:sz w:val="22"/>
                <w:szCs w:val="22"/>
              </w:rPr>
              <w:t>,</w:t>
            </w:r>
            <w:r w:rsidRPr="00917A7A" w:rsidR="00FE3B6F">
              <w:rPr>
                <w:sz w:val="22"/>
                <w:szCs w:val="22"/>
              </w:rPr>
              <w:t>487</w:t>
            </w:r>
          </w:p>
        </w:tc>
      </w:tr>
    </w:tbl>
    <w:p w:rsidRPr="00917A7A" w:rsidR="00C07C00" w:rsidP="00DB1F32" w:rsidRDefault="00C07C00" w14:paraId="41A76761" w14:textId="77777777">
      <w:pPr>
        <w:rPr>
          <w:b/>
        </w:rPr>
      </w:pPr>
    </w:p>
    <w:p w:rsidRPr="00917A7A" w:rsidR="004368D1" w:rsidP="004368D1" w:rsidRDefault="004368D1" w14:paraId="4E35C1A3" w14:textId="77777777">
      <w:pPr>
        <w:tabs>
          <w:tab w:val="left" w:pos="360"/>
        </w:tabs>
        <w:rPr>
          <w:sz w:val="20"/>
        </w:rPr>
      </w:pPr>
      <w:r w:rsidRPr="00917A7A">
        <w:rPr>
          <w:b/>
          <w:bCs/>
          <w:szCs w:val="24"/>
        </w:rPr>
        <w:t>13.</w:t>
      </w:r>
      <w:r w:rsidRPr="00917A7A">
        <w:rPr>
          <w:b/>
          <w:bCs/>
          <w:szCs w:val="24"/>
        </w:rPr>
        <w:tab/>
      </w:r>
      <w:r w:rsidRPr="00917A7A" w:rsidR="009E0597">
        <w:rPr>
          <w:b/>
          <w:bCs/>
          <w:szCs w:val="24"/>
        </w:rPr>
        <w:t>ESTIMATE OF TOTAL ANNUAL COST</w:t>
      </w:r>
      <w:r w:rsidRPr="00917A7A">
        <w:rPr>
          <w:b/>
          <w:bCs/>
          <w:szCs w:val="24"/>
        </w:rPr>
        <w:t xml:space="preserve"> BURDEN</w:t>
      </w:r>
      <w:r w:rsidRPr="00917A7A" w:rsidR="009E0597">
        <w:rPr>
          <w:b/>
          <w:bCs/>
          <w:szCs w:val="24"/>
        </w:rPr>
        <w:br/>
      </w:r>
    </w:p>
    <w:p w:rsidRPr="00917A7A" w:rsidR="0049423C" w:rsidP="007046F0" w:rsidRDefault="0049423C" w14:paraId="7DFE7A44" w14:textId="232CFD9B">
      <w:pPr>
        <w:tabs>
          <w:tab w:val="left" w:pos="360"/>
        </w:tabs>
        <w:ind w:left="360"/>
      </w:pPr>
      <w:r w:rsidRPr="00917A7A">
        <w:t xml:space="preserve">Under the existing ELDT requirements </w:t>
      </w:r>
      <w:r w:rsidRPr="00917A7A">
        <w:rPr>
          <w:szCs w:val="24"/>
        </w:rPr>
        <w:t xml:space="preserve">of Subpart E of </w:t>
      </w:r>
      <w:r w:rsidRPr="00917A7A">
        <w:t>49 CFR part 380 that will remain in force until February 7, 2022, there is no cost burden to respondents resulting from these existing ELDT requirements beyond the hour burden already reflected in Section 12</w:t>
      </w:r>
      <w:r w:rsidRPr="00917A7A" w:rsidR="007C3B9D">
        <w:t xml:space="preserve"> for IC-1</w:t>
      </w:r>
      <w:r w:rsidRPr="00917A7A">
        <w:t>.</w:t>
      </w:r>
    </w:p>
    <w:p w:rsidRPr="00917A7A" w:rsidR="0049423C" w:rsidP="007046F0" w:rsidRDefault="0049423C" w14:paraId="4C45956D" w14:textId="61E87A1A">
      <w:pPr>
        <w:tabs>
          <w:tab w:val="left" w:pos="360"/>
        </w:tabs>
        <w:ind w:left="360"/>
      </w:pPr>
    </w:p>
    <w:p w:rsidRPr="00917A7A" w:rsidR="007C3B9D" w:rsidP="007C3B9D" w:rsidRDefault="007C3B9D" w14:paraId="6E232552" w14:textId="12DB05E5">
      <w:pPr>
        <w:tabs>
          <w:tab w:val="left" w:pos="360"/>
        </w:tabs>
        <w:ind w:left="360"/>
      </w:pPr>
      <w:r w:rsidRPr="00917A7A">
        <w:t xml:space="preserve">Under the new minimum training standards for entry-level drivers and new requirements for training providers that will be in force as of </w:t>
      </w:r>
      <w:r w:rsidRPr="00917A7A" w:rsidR="0049423C">
        <w:t xml:space="preserve">February 7, 2022, </w:t>
      </w:r>
      <w:r w:rsidRPr="00917A7A" w:rsidR="00DD5C66">
        <w:t xml:space="preserve">FMCSA </w:t>
      </w:r>
      <w:r w:rsidRPr="00917A7A">
        <w:t xml:space="preserve">also </w:t>
      </w:r>
      <w:r w:rsidRPr="00917A7A" w:rsidR="00DD5C66">
        <w:t xml:space="preserve">estimates that there is no cost burden </w:t>
      </w:r>
      <w:r w:rsidRPr="00917A7A" w:rsidR="007046F0">
        <w:t xml:space="preserve">to </w:t>
      </w:r>
      <w:r w:rsidRPr="00917A7A" w:rsidR="00DD5C66">
        <w:t>respondents resulting from the</w:t>
      </w:r>
      <w:r w:rsidRPr="00917A7A">
        <w:t xml:space="preserve">se new requirements </w:t>
      </w:r>
      <w:r w:rsidRPr="00917A7A" w:rsidR="007B5572">
        <w:t>beyond the hour burden already reflected in Section 12</w:t>
      </w:r>
      <w:r w:rsidRPr="00917A7A">
        <w:t xml:space="preserve"> for IC-2 and IC-3</w:t>
      </w:r>
      <w:r w:rsidRPr="00917A7A" w:rsidR="00DD5C66">
        <w:t xml:space="preserve">. With regards to capital </w:t>
      </w:r>
      <w:r w:rsidRPr="00917A7A" w:rsidR="008D5E8E">
        <w:t>or</w:t>
      </w:r>
      <w:r w:rsidRPr="00917A7A" w:rsidR="00DD5C66">
        <w:t xml:space="preserve"> start-up costs, </w:t>
      </w:r>
      <w:r w:rsidRPr="00917A7A" w:rsidR="001F3AF4">
        <w:t xml:space="preserve">FMCSA believes that virtually all </w:t>
      </w:r>
      <w:r w:rsidRPr="00917A7A" w:rsidR="00DD5C66">
        <w:t xml:space="preserve">training providers </w:t>
      </w:r>
      <w:r w:rsidRPr="00917A7A" w:rsidR="001F3AF4">
        <w:t>own or have</w:t>
      </w:r>
      <w:r w:rsidRPr="00917A7A" w:rsidR="00DD5C66">
        <w:t xml:space="preserve"> access to computer technology </w:t>
      </w:r>
      <w:r w:rsidRPr="00917A7A" w:rsidR="001F3AF4">
        <w:t xml:space="preserve">such as </w:t>
      </w:r>
      <w:r w:rsidRPr="00917A7A" w:rsidR="00DD5C66">
        <w:t>a personal computer, tablet device, or smartphone</w:t>
      </w:r>
      <w:r w:rsidRPr="00917A7A" w:rsidR="001F3AF4">
        <w:t xml:space="preserve">, </w:t>
      </w:r>
      <w:r w:rsidRPr="00917A7A" w:rsidR="007046F0">
        <w:t>and that access to these types of devices is nearly ubiquitous among both individuals and businesses in the U.S. and would be available as part of customary and usual business or private practices</w:t>
      </w:r>
      <w:r w:rsidRPr="00917A7A" w:rsidR="002E148F">
        <w:t>,</w:t>
      </w:r>
      <w:r w:rsidRPr="00917A7A" w:rsidR="007046F0">
        <w:t xml:space="preserve"> thus providing sufficient access to the TPR. </w:t>
      </w:r>
      <w:r w:rsidRPr="00917A7A" w:rsidR="001F3AF4">
        <w:t xml:space="preserve">Therefore, </w:t>
      </w:r>
      <w:r w:rsidRPr="00917A7A" w:rsidR="008D5E8E">
        <w:t xml:space="preserve">this collection </w:t>
      </w:r>
      <w:r w:rsidRPr="00917A7A" w:rsidR="00E401DC">
        <w:t xml:space="preserve">of information </w:t>
      </w:r>
      <w:r w:rsidRPr="00917A7A" w:rsidR="008D5E8E">
        <w:t xml:space="preserve">would not impose any new cost burden upon respondents for capital or start-up costs associated with the purchase of computers or software. </w:t>
      </w:r>
      <w:r w:rsidRPr="00917A7A" w:rsidR="007046F0">
        <w:t>There is</w:t>
      </w:r>
      <w:r w:rsidRPr="00917A7A" w:rsidR="008D5E8E">
        <w:t xml:space="preserve"> also no cost burden </w:t>
      </w:r>
      <w:r w:rsidRPr="00917A7A" w:rsidR="007046F0">
        <w:t xml:space="preserve">to </w:t>
      </w:r>
      <w:r w:rsidRPr="00917A7A" w:rsidR="008D5E8E">
        <w:t xml:space="preserve">respondents for operation </w:t>
      </w:r>
      <w:r w:rsidRPr="00917A7A" w:rsidR="008D5E8E">
        <w:lastRenderedPageBreak/>
        <w:t xml:space="preserve">and maintenance or purchase of services related to </w:t>
      </w:r>
      <w:r w:rsidRPr="00917A7A" w:rsidR="00160754">
        <w:t>these new requirements</w:t>
      </w:r>
      <w:r w:rsidRPr="00917A7A" w:rsidR="008D5E8E">
        <w:t>.</w:t>
      </w:r>
      <w:r w:rsidRPr="00917A7A" w:rsidR="002E148F">
        <w:t xml:space="preserve"> </w:t>
      </w:r>
    </w:p>
    <w:p w:rsidRPr="00917A7A" w:rsidR="007C3B9D" w:rsidP="007C3B9D" w:rsidRDefault="007C3B9D" w14:paraId="7314B252" w14:textId="77777777">
      <w:pPr>
        <w:tabs>
          <w:tab w:val="left" w:pos="360"/>
        </w:tabs>
        <w:ind w:left="360"/>
      </w:pPr>
    </w:p>
    <w:p w:rsidRPr="00917A7A" w:rsidR="001F3AF4" w:rsidP="007C3B9D" w:rsidRDefault="002E148F" w14:paraId="7F527C67" w14:textId="6F322DD2">
      <w:pPr>
        <w:tabs>
          <w:tab w:val="left" w:pos="360"/>
        </w:tabs>
        <w:ind w:left="360"/>
      </w:pPr>
      <w:r w:rsidRPr="00917A7A">
        <w:t>Cost burden impacts to the Federal government are addressed separately in Section 14 below.</w:t>
      </w:r>
    </w:p>
    <w:p w:rsidRPr="00917A7A" w:rsidR="00414931" w:rsidRDefault="00414931" w14:paraId="6A79AB0A" w14:textId="77777777">
      <w:pPr>
        <w:pStyle w:val="NormalWeb"/>
        <w:widowControl w:val="0"/>
        <w:autoSpaceDE w:val="0"/>
        <w:autoSpaceDN w:val="0"/>
        <w:adjustRightInd w:val="0"/>
        <w:spacing w:before="0" w:beforeAutospacing="0" w:after="0" w:afterAutospacing="0"/>
        <w:rPr>
          <w:rFonts w:ascii="Times New Roman" w:hAnsi="Times New Roman" w:eastAsia="Times New Roman" w:cs="Times New Roman"/>
          <w:szCs w:val="20"/>
        </w:rPr>
      </w:pPr>
    </w:p>
    <w:p w:rsidRPr="00917A7A" w:rsidR="00CB5516" w:rsidP="00886E8F" w:rsidRDefault="00886E8F" w14:paraId="6A1174F1" w14:textId="77777777">
      <w:pPr>
        <w:tabs>
          <w:tab w:val="left" w:pos="360"/>
        </w:tabs>
        <w:rPr>
          <w:szCs w:val="24"/>
        </w:rPr>
      </w:pPr>
      <w:r w:rsidRPr="00917A7A">
        <w:rPr>
          <w:b/>
          <w:bCs/>
          <w:szCs w:val="24"/>
        </w:rPr>
        <w:t>14.</w:t>
      </w:r>
      <w:r w:rsidRPr="00917A7A">
        <w:rPr>
          <w:b/>
          <w:bCs/>
          <w:szCs w:val="24"/>
        </w:rPr>
        <w:tab/>
      </w:r>
      <w:r w:rsidRPr="00917A7A" w:rsidR="00CB46D4">
        <w:rPr>
          <w:b/>
          <w:bCs/>
          <w:szCs w:val="24"/>
        </w:rPr>
        <w:t>ESTIMATE OF COST TO THE FEDERAL GOVERNMENT</w:t>
      </w:r>
      <w:r w:rsidRPr="00917A7A" w:rsidR="00CB46D4">
        <w:rPr>
          <w:b/>
          <w:szCs w:val="24"/>
        </w:rPr>
        <w:br/>
      </w:r>
    </w:p>
    <w:p w:rsidRPr="00917A7A" w:rsidR="0029486F" w:rsidP="0007327A" w:rsidRDefault="00CB4367" w14:paraId="2DA437AC" w14:textId="66DFE709">
      <w:pPr>
        <w:pStyle w:val="NormalWeb"/>
        <w:widowControl w:val="0"/>
        <w:autoSpaceDE w:val="0"/>
        <w:autoSpaceDN w:val="0"/>
        <w:adjustRightInd w:val="0"/>
        <w:spacing w:before="0" w:beforeAutospacing="0" w:after="0" w:afterAutospacing="0"/>
        <w:ind w:left="360"/>
        <w:outlineLvl w:val="0"/>
        <w:rPr>
          <w:rFonts w:ascii="Times New Roman" w:hAnsi="Times New Roman" w:eastAsia="Times New Roman" w:cs="Times New Roman"/>
          <w:szCs w:val="20"/>
        </w:rPr>
      </w:pPr>
      <w:r w:rsidRPr="00917A7A">
        <w:rPr>
          <w:rFonts w:ascii="Times New Roman" w:hAnsi="Times New Roman" w:eastAsia="Times New Roman" w:cs="Times New Roman"/>
          <w:szCs w:val="20"/>
        </w:rPr>
        <w:t xml:space="preserve">The Federal government will incur costs </w:t>
      </w:r>
      <w:r w:rsidRPr="00917A7A" w:rsidR="00F052D1">
        <w:rPr>
          <w:rFonts w:ascii="Times New Roman" w:hAnsi="Times New Roman" w:eastAsia="Times New Roman" w:cs="Times New Roman"/>
          <w:szCs w:val="20"/>
        </w:rPr>
        <w:t xml:space="preserve">resulting from this ICR </w:t>
      </w:r>
      <w:r w:rsidRPr="00917A7A">
        <w:rPr>
          <w:rFonts w:ascii="Times New Roman" w:hAnsi="Times New Roman" w:eastAsia="Times New Roman" w:cs="Times New Roman"/>
          <w:szCs w:val="20"/>
        </w:rPr>
        <w:t xml:space="preserve">related to the development and maintenance of the </w:t>
      </w:r>
      <w:r w:rsidRPr="00917A7A" w:rsidR="008472E1">
        <w:rPr>
          <w:rFonts w:ascii="Times New Roman" w:hAnsi="Times New Roman" w:eastAsia="Times New Roman" w:cs="Times New Roman"/>
          <w:szCs w:val="20"/>
        </w:rPr>
        <w:t>TPR</w:t>
      </w:r>
      <w:r w:rsidRPr="00917A7A">
        <w:rPr>
          <w:rFonts w:ascii="Times New Roman" w:hAnsi="Times New Roman" w:eastAsia="Times New Roman" w:cs="Times New Roman"/>
          <w:szCs w:val="20"/>
        </w:rPr>
        <w:t xml:space="preserve">. </w:t>
      </w:r>
      <w:r w:rsidRPr="00917A7A" w:rsidR="00451A19">
        <w:rPr>
          <w:rFonts w:ascii="Times New Roman" w:hAnsi="Times New Roman" w:eastAsia="Times New Roman" w:cs="Times New Roman"/>
          <w:szCs w:val="20"/>
        </w:rPr>
        <w:t>The TPR will be an online</w:t>
      </w:r>
      <w:r w:rsidRPr="00917A7A" w:rsidR="00DD67C1">
        <w:rPr>
          <w:rFonts w:ascii="Times New Roman" w:hAnsi="Times New Roman" w:eastAsia="Times New Roman" w:cs="Times New Roman"/>
          <w:szCs w:val="20"/>
        </w:rPr>
        <w:t>,</w:t>
      </w:r>
      <w:r w:rsidRPr="00917A7A" w:rsidR="00451A19">
        <w:rPr>
          <w:rFonts w:ascii="Times New Roman" w:hAnsi="Times New Roman" w:eastAsia="Times New Roman" w:cs="Times New Roman"/>
          <w:szCs w:val="20"/>
        </w:rPr>
        <w:t xml:space="preserve"> web-based information system that training providers must use to submit information to FMCSA to ensure that they meet the new training provider eligibility requirements and can therefore be listed on the TPR. In addition, after an individual driver-trainee completes training administered by a training provider listed on the TPR, that training provider must submit training certification information regarding the driver-trainee to the TPR.</w:t>
      </w:r>
    </w:p>
    <w:p w:rsidRPr="00917A7A" w:rsidR="0029486F" w:rsidP="0007327A" w:rsidRDefault="0029486F" w14:paraId="5B0A36EF" w14:textId="226B0FD2">
      <w:pPr>
        <w:pStyle w:val="NormalWeb"/>
        <w:widowControl w:val="0"/>
        <w:autoSpaceDE w:val="0"/>
        <w:autoSpaceDN w:val="0"/>
        <w:adjustRightInd w:val="0"/>
        <w:spacing w:before="0" w:beforeAutospacing="0" w:after="0" w:afterAutospacing="0"/>
        <w:ind w:left="360"/>
        <w:outlineLvl w:val="0"/>
        <w:rPr>
          <w:rFonts w:ascii="Times New Roman" w:hAnsi="Times New Roman" w:eastAsia="Times New Roman" w:cs="Times New Roman"/>
          <w:szCs w:val="20"/>
        </w:rPr>
      </w:pPr>
    </w:p>
    <w:p w:rsidRPr="00917A7A" w:rsidR="00421807" w:rsidP="00421807" w:rsidRDefault="00421807" w14:paraId="345EC405" w14:textId="20A0D7DC">
      <w:pPr>
        <w:pStyle w:val="NormalWeb"/>
        <w:widowControl w:val="0"/>
        <w:autoSpaceDE w:val="0"/>
        <w:autoSpaceDN w:val="0"/>
        <w:adjustRightInd w:val="0"/>
        <w:spacing w:before="0" w:beforeAutospacing="0" w:after="0" w:afterAutospacing="0"/>
        <w:ind w:left="360"/>
        <w:outlineLvl w:val="0"/>
        <w:rPr>
          <w:rFonts w:ascii="Times New Roman" w:hAnsi="Times New Roman" w:eastAsia="Times New Roman" w:cs="Times New Roman"/>
          <w:szCs w:val="20"/>
        </w:rPr>
      </w:pPr>
      <w:r w:rsidRPr="00917A7A">
        <w:rPr>
          <w:rFonts w:ascii="Times New Roman" w:hAnsi="Times New Roman" w:eastAsia="Times New Roman" w:cs="Times New Roman"/>
          <w:szCs w:val="20"/>
        </w:rPr>
        <w:t xml:space="preserve">Although the new minimum training standards for entry-level drivers (in a new Subpart F and five new Appendices to part 380), and new requirements for training providers (in a new Subpart G), will not be in force until 2022, the last year of the three-year period that is covered by this ICR, development, operations, and maintenance costs will be incurred by the Federal government throughout all three years so that the TPR </w:t>
      </w:r>
      <w:r w:rsidRPr="00917A7A" w:rsidR="00D20D95">
        <w:rPr>
          <w:rFonts w:ascii="Times New Roman" w:hAnsi="Times New Roman" w:eastAsia="Times New Roman" w:cs="Times New Roman"/>
          <w:szCs w:val="20"/>
        </w:rPr>
        <w:t xml:space="preserve">can </w:t>
      </w:r>
      <w:r w:rsidRPr="00917A7A">
        <w:rPr>
          <w:rFonts w:ascii="Times New Roman" w:hAnsi="Times New Roman" w:eastAsia="Times New Roman" w:cs="Times New Roman"/>
          <w:szCs w:val="20"/>
        </w:rPr>
        <w:t>be fully developed and available for use some time prior to the February 7, 2022, compliance date for the new training requirements.</w:t>
      </w:r>
    </w:p>
    <w:p w:rsidRPr="00917A7A" w:rsidR="0029486F" w:rsidP="0007327A" w:rsidRDefault="0029486F" w14:paraId="1D17D2C4" w14:textId="77777777">
      <w:pPr>
        <w:pStyle w:val="NormalWeb"/>
        <w:widowControl w:val="0"/>
        <w:autoSpaceDE w:val="0"/>
        <w:autoSpaceDN w:val="0"/>
        <w:adjustRightInd w:val="0"/>
        <w:spacing w:before="0" w:beforeAutospacing="0" w:after="0" w:afterAutospacing="0"/>
        <w:ind w:left="360"/>
        <w:outlineLvl w:val="0"/>
        <w:rPr>
          <w:rFonts w:ascii="Times New Roman" w:hAnsi="Times New Roman" w:eastAsia="Times New Roman" w:cs="Times New Roman"/>
          <w:szCs w:val="20"/>
        </w:rPr>
      </w:pPr>
    </w:p>
    <w:p w:rsidRPr="00917A7A" w:rsidR="00451A19" w:rsidP="00D76919" w:rsidRDefault="00D76919" w14:paraId="3AC01EC4" w14:textId="52DBEB0A">
      <w:pPr>
        <w:pStyle w:val="NormalWeb"/>
        <w:widowControl w:val="0"/>
        <w:autoSpaceDE w:val="0"/>
        <w:autoSpaceDN w:val="0"/>
        <w:adjustRightInd w:val="0"/>
        <w:spacing w:before="0" w:beforeAutospacing="0" w:after="0" w:afterAutospacing="0"/>
        <w:ind w:left="360"/>
        <w:outlineLvl w:val="0"/>
        <w:rPr>
          <w:rFonts w:ascii="Times New Roman" w:hAnsi="Times New Roman" w:eastAsia="Times New Roman" w:cs="Times New Roman"/>
          <w:szCs w:val="20"/>
        </w:rPr>
      </w:pPr>
      <w:r w:rsidRPr="00917A7A">
        <w:rPr>
          <w:rFonts w:ascii="Times New Roman" w:hAnsi="Times New Roman" w:eastAsia="Times New Roman" w:cs="Times New Roman"/>
          <w:szCs w:val="20"/>
        </w:rPr>
        <w:t>T</w:t>
      </w:r>
      <w:r w:rsidRPr="00917A7A" w:rsidR="00414931">
        <w:rPr>
          <w:rFonts w:ascii="Times New Roman" w:hAnsi="Times New Roman" w:eastAsia="Times New Roman" w:cs="Times New Roman"/>
          <w:szCs w:val="20"/>
        </w:rPr>
        <w:t xml:space="preserve">he </w:t>
      </w:r>
      <w:r w:rsidRPr="00917A7A">
        <w:rPr>
          <w:rFonts w:ascii="Times New Roman" w:hAnsi="Times New Roman" w:eastAsia="Times New Roman" w:cs="Times New Roman"/>
          <w:szCs w:val="20"/>
        </w:rPr>
        <w:t xml:space="preserve">most recently available </w:t>
      </w:r>
      <w:r w:rsidRPr="00917A7A" w:rsidR="00414931">
        <w:rPr>
          <w:rFonts w:ascii="Times New Roman" w:hAnsi="Times New Roman" w:eastAsia="Times New Roman" w:cs="Times New Roman"/>
          <w:szCs w:val="20"/>
        </w:rPr>
        <w:t>cost estimates for the development and maintenance of the TPR</w:t>
      </w:r>
      <w:r w:rsidRPr="00917A7A">
        <w:rPr>
          <w:rFonts w:ascii="Times New Roman" w:hAnsi="Times New Roman" w:eastAsia="Times New Roman" w:cs="Times New Roman"/>
          <w:szCs w:val="20"/>
        </w:rPr>
        <w:t xml:space="preserve"> indicate that these costs will total approximately </w:t>
      </w:r>
      <w:r w:rsidRPr="00917A7A" w:rsidR="00414931">
        <w:rPr>
          <w:rFonts w:ascii="Times New Roman" w:hAnsi="Times New Roman" w:eastAsia="Times New Roman" w:cs="Times New Roman"/>
          <w:szCs w:val="20"/>
        </w:rPr>
        <w:t>$2.5</w:t>
      </w:r>
      <w:r w:rsidRPr="00917A7A" w:rsidR="0007327A">
        <w:rPr>
          <w:rFonts w:ascii="Times New Roman" w:hAnsi="Times New Roman" w:eastAsia="Times New Roman" w:cs="Times New Roman"/>
          <w:szCs w:val="20"/>
        </w:rPr>
        <w:t xml:space="preserve"> million in 2020</w:t>
      </w:r>
      <w:r w:rsidRPr="00917A7A">
        <w:rPr>
          <w:rFonts w:ascii="Times New Roman" w:hAnsi="Times New Roman" w:eastAsia="Times New Roman" w:cs="Times New Roman"/>
          <w:szCs w:val="20"/>
        </w:rPr>
        <w:t>,</w:t>
      </w:r>
      <w:r w:rsidRPr="00917A7A" w:rsidR="0007327A">
        <w:rPr>
          <w:rFonts w:ascii="Times New Roman" w:hAnsi="Times New Roman" w:eastAsia="Times New Roman" w:cs="Times New Roman"/>
          <w:szCs w:val="20"/>
        </w:rPr>
        <w:t xml:space="preserve"> followed by recurring costs of </w:t>
      </w:r>
      <w:r w:rsidRPr="00917A7A">
        <w:rPr>
          <w:rFonts w:ascii="Times New Roman" w:hAnsi="Times New Roman" w:eastAsia="Times New Roman" w:cs="Times New Roman"/>
          <w:szCs w:val="20"/>
        </w:rPr>
        <w:t xml:space="preserve">approximately </w:t>
      </w:r>
      <w:r w:rsidRPr="00917A7A" w:rsidR="0007327A">
        <w:rPr>
          <w:rFonts w:ascii="Times New Roman" w:hAnsi="Times New Roman" w:eastAsia="Times New Roman" w:cs="Times New Roman"/>
          <w:szCs w:val="20"/>
        </w:rPr>
        <w:t>$</w:t>
      </w:r>
      <w:r w:rsidRPr="00917A7A" w:rsidR="00414931">
        <w:rPr>
          <w:rFonts w:ascii="Times New Roman" w:hAnsi="Times New Roman" w:eastAsia="Times New Roman" w:cs="Times New Roman"/>
          <w:szCs w:val="20"/>
        </w:rPr>
        <w:t>250</w:t>
      </w:r>
      <w:r w:rsidRPr="00917A7A" w:rsidR="0007327A">
        <w:rPr>
          <w:rFonts w:ascii="Times New Roman" w:hAnsi="Times New Roman" w:eastAsia="Times New Roman" w:cs="Times New Roman"/>
          <w:szCs w:val="20"/>
        </w:rPr>
        <w:t xml:space="preserve">,000 </w:t>
      </w:r>
      <w:r w:rsidRPr="00917A7A" w:rsidR="00AE235A">
        <w:rPr>
          <w:rFonts w:ascii="Times New Roman" w:hAnsi="Times New Roman" w:eastAsia="Times New Roman" w:cs="Times New Roman"/>
          <w:szCs w:val="20"/>
        </w:rPr>
        <w:t xml:space="preserve">annually </w:t>
      </w:r>
      <w:r w:rsidRPr="00917A7A" w:rsidR="0007327A">
        <w:rPr>
          <w:rFonts w:ascii="Times New Roman" w:hAnsi="Times New Roman" w:eastAsia="Times New Roman" w:cs="Times New Roman"/>
          <w:szCs w:val="20"/>
        </w:rPr>
        <w:t xml:space="preserve">in 2021 and 2022. Recurring costs include software licensing fees, security </w:t>
      </w:r>
      <w:r w:rsidRPr="00917A7A" w:rsidR="00661D1E">
        <w:rPr>
          <w:rFonts w:ascii="Times New Roman" w:hAnsi="Times New Roman" w:eastAsia="Times New Roman" w:cs="Times New Roman"/>
          <w:szCs w:val="20"/>
        </w:rPr>
        <w:t>assessments</w:t>
      </w:r>
      <w:r w:rsidRPr="00917A7A" w:rsidR="0007327A">
        <w:rPr>
          <w:rFonts w:ascii="Times New Roman" w:hAnsi="Times New Roman" w:eastAsia="Times New Roman" w:cs="Times New Roman"/>
          <w:szCs w:val="20"/>
        </w:rPr>
        <w:t xml:space="preserve">, and help desk support. These estimates of development costs and recurring annual costs are based on experience with previous information system development efforts by FMCSA. </w:t>
      </w:r>
      <w:r w:rsidRPr="00917A7A" w:rsidR="00F052D1">
        <w:rPr>
          <w:rFonts w:ascii="Times New Roman" w:hAnsi="Times New Roman" w:eastAsia="Times New Roman" w:cs="Times New Roman"/>
          <w:szCs w:val="20"/>
        </w:rPr>
        <w:t>Based on this analysis, the average annual cost to the Federal government of this ICR is estimated to be $1.</w:t>
      </w:r>
      <w:r w:rsidRPr="00917A7A">
        <w:rPr>
          <w:rFonts w:ascii="Times New Roman" w:hAnsi="Times New Roman" w:eastAsia="Times New Roman" w:cs="Times New Roman"/>
          <w:szCs w:val="20"/>
        </w:rPr>
        <w:t>0</w:t>
      </w:r>
      <w:r w:rsidRPr="00917A7A" w:rsidR="00F052D1">
        <w:rPr>
          <w:rFonts w:ascii="Times New Roman" w:hAnsi="Times New Roman" w:eastAsia="Times New Roman" w:cs="Times New Roman"/>
          <w:szCs w:val="20"/>
        </w:rPr>
        <w:t xml:space="preserve"> million over the three-year period </w:t>
      </w:r>
      <w:r w:rsidRPr="00917A7A" w:rsidR="00AE235A">
        <w:rPr>
          <w:rFonts w:ascii="Times New Roman" w:hAnsi="Times New Roman" w:eastAsia="Times New Roman" w:cs="Times New Roman"/>
          <w:szCs w:val="20"/>
        </w:rPr>
        <w:t xml:space="preserve">of 2020 to 2022 that is </w:t>
      </w:r>
      <w:r w:rsidRPr="00917A7A" w:rsidR="00F052D1">
        <w:rPr>
          <w:rFonts w:ascii="Times New Roman" w:hAnsi="Times New Roman" w:eastAsia="Times New Roman" w:cs="Times New Roman"/>
          <w:szCs w:val="20"/>
        </w:rPr>
        <w:t>covered by this ICR.</w:t>
      </w:r>
    </w:p>
    <w:p w:rsidRPr="00917A7A" w:rsidR="00E85FE4" w:rsidP="001C2B34" w:rsidRDefault="00E85FE4" w14:paraId="77690590" w14:textId="77777777">
      <w:pPr>
        <w:pStyle w:val="NormalWeb"/>
        <w:widowControl w:val="0"/>
        <w:autoSpaceDE w:val="0"/>
        <w:autoSpaceDN w:val="0"/>
        <w:adjustRightInd w:val="0"/>
        <w:spacing w:before="0" w:beforeAutospacing="0" w:after="0" w:afterAutospacing="0"/>
        <w:outlineLvl w:val="0"/>
        <w:rPr>
          <w:rFonts w:ascii="Times New Roman" w:hAnsi="Times New Roman" w:eastAsia="Times New Roman" w:cs="Times New Roman"/>
          <w:szCs w:val="20"/>
        </w:rPr>
      </w:pPr>
    </w:p>
    <w:p w:rsidRPr="00917A7A" w:rsidR="00373407" w:rsidP="00373407" w:rsidRDefault="00886E8F" w14:paraId="130766A4" w14:textId="77777777">
      <w:pPr>
        <w:tabs>
          <w:tab w:val="left" w:pos="360"/>
        </w:tabs>
        <w:rPr>
          <w:bCs/>
          <w:szCs w:val="24"/>
        </w:rPr>
      </w:pPr>
      <w:r w:rsidRPr="00917A7A">
        <w:rPr>
          <w:b/>
          <w:bCs/>
          <w:szCs w:val="24"/>
        </w:rPr>
        <w:t>15.</w:t>
      </w:r>
      <w:r w:rsidRPr="00917A7A">
        <w:rPr>
          <w:b/>
          <w:bCs/>
          <w:szCs w:val="24"/>
        </w:rPr>
        <w:tab/>
      </w:r>
      <w:r w:rsidRPr="00917A7A" w:rsidR="00E24314">
        <w:rPr>
          <w:b/>
          <w:bCs/>
          <w:szCs w:val="24"/>
        </w:rPr>
        <w:t>EXPLANATION OF PROGRAM CHANGES OR ADJUSTMENTS</w:t>
      </w:r>
      <w:r w:rsidRPr="00917A7A" w:rsidR="00E24314">
        <w:rPr>
          <w:bCs/>
          <w:szCs w:val="24"/>
          <w:u w:val="single"/>
        </w:rPr>
        <w:br/>
      </w:r>
    </w:p>
    <w:p w:rsidRPr="00917A7A" w:rsidR="00373407" w:rsidP="00373407" w:rsidRDefault="00227758" w14:paraId="1DF968D6" w14:textId="242D3582">
      <w:pPr>
        <w:pStyle w:val="BodyText"/>
        <w:ind w:left="360"/>
        <w:rPr>
          <w:bCs/>
          <w:color w:val="auto"/>
        </w:rPr>
      </w:pPr>
      <w:r w:rsidRPr="00917A7A">
        <w:rPr>
          <w:bCs/>
          <w:color w:val="auto"/>
        </w:rPr>
        <w:t>Table 14</w:t>
      </w:r>
      <w:r w:rsidRPr="00917A7A" w:rsidR="00373407">
        <w:rPr>
          <w:bCs/>
          <w:color w:val="auto"/>
        </w:rPr>
        <w:t xml:space="preserve"> presents the burden for the currently approved information collection, the new burden estimates from this revision, and the resulting total change in burden from the currently approved information collection to this revision.</w:t>
      </w:r>
      <w:r w:rsidRPr="00917A7A" w:rsidR="00657D75">
        <w:rPr>
          <w:bCs/>
          <w:color w:val="auto"/>
        </w:rPr>
        <w:t xml:space="preserve"> Overall, there is very little change in the total burden.</w:t>
      </w:r>
    </w:p>
    <w:p w:rsidRPr="00917A7A" w:rsidR="001C2EAD" w:rsidP="006A7AC4" w:rsidRDefault="001C2EAD" w14:paraId="0437A99F" w14:textId="77777777">
      <w:pPr>
        <w:ind w:left="360"/>
        <w:rPr>
          <w:bCs/>
          <w:szCs w:val="24"/>
        </w:rPr>
      </w:pPr>
    </w:p>
    <w:p w:rsidRPr="00917A7A" w:rsidR="001C2EAD" w:rsidP="001C2EAD" w:rsidRDefault="001C2EAD" w14:paraId="6672DE00" w14:textId="269D2A20">
      <w:pPr>
        <w:pStyle w:val="BodyText"/>
        <w:keepNext/>
        <w:keepLines/>
        <w:widowControl/>
        <w:ind w:left="360"/>
        <w:rPr>
          <w:color w:val="auto"/>
        </w:rPr>
      </w:pPr>
      <w:r w:rsidRPr="00917A7A">
        <w:rPr>
          <w:b/>
          <w:color w:val="auto"/>
          <w:sz w:val="22"/>
          <w:szCs w:val="22"/>
        </w:rPr>
        <w:lastRenderedPageBreak/>
        <w:t xml:space="preserve">Table </w:t>
      </w:r>
      <w:r w:rsidRPr="00917A7A" w:rsidR="00227758">
        <w:rPr>
          <w:b/>
          <w:color w:val="auto"/>
          <w:sz w:val="22"/>
          <w:szCs w:val="22"/>
        </w:rPr>
        <w:t>14</w:t>
      </w:r>
      <w:r w:rsidRPr="00917A7A">
        <w:rPr>
          <w:b/>
          <w:color w:val="auto"/>
          <w:sz w:val="22"/>
          <w:szCs w:val="22"/>
        </w:rPr>
        <w:t xml:space="preserve">. Total Change in Burden from Currently Approved </w:t>
      </w:r>
      <w:r w:rsidRPr="00917A7A" w:rsidR="00E30E3D">
        <w:rPr>
          <w:b/>
          <w:color w:val="auto"/>
          <w:sz w:val="22"/>
          <w:szCs w:val="22"/>
        </w:rPr>
        <w:t>Collection of Information</w:t>
      </w:r>
    </w:p>
    <w:tbl>
      <w:tblPr>
        <w:tblW w:w="7920" w:type="dxa"/>
        <w:tblInd w:w="357" w:type="dxa"/>
        <w:tblLayout w:type="fixed"/>
        <w:tblLook w:val="04A0" w:firstRow="1" w:lastRow="0" w:firstColumn="1" w:lastColumn="0" w:noHBand="0" w:noVBand="1"/>
      </w:tblPr>
      <w:tblGrid>
        <w:gridCol w:w="3327"/>
        <w:gridCol w:w="1387"/>
        <w:gridCol w:w="1516"/>
        <w:gridCol w:w="1690"/>
      </w:tblGrid>
      <w:tr w:rsidRPr="00917A7A" w:rsidR="00F6360F" w:rsidTr="00985C3E" w14:paraId="6DCDCD40" w14:textId="77777777">
        <w:trPr>
          <w:trHeight w:val="588"/>
        </w:trPr>
        <w:tc>
          <w:tcPr>
            <w:tcW w:w="3327" w:type="dxa"/>
            <w:tcBorders>
              <w:top w:val="single" w:color="auto" w:sz="18" w:space="0"/>
              <w:left w:val="single" w:color="auto" w:sz="2" w:space="0"/>
              <w:bottom w:val="single" w:color="auto" w:sz="18" w:space="0"/>
              <w:right w:val="single" w:color="auto" w:sz="4" w:space="0"/>
            </w:tcBorders>
            <w:shd w:val="clear" w:color="000000" w:fill="E0E0E0"/>
            <w:vAlign w:val="bottom"/>
            <w:hideMark/>
          </w:tcPr>
          <w:p w:rsidRPr="00917A7A" w:rsidR="001C2EAD" w:rsidP="00464625" w:rsidRDefault="001C2EAD" w14:paraId="5FBB8A67" w14:textId="77777777">
            <w:pPr>
              <w:keepNext/>
              <w:keepLines/>
              <w:widowControl/>
              <w:autoSpaceDE/>
              <w:autoSpaceDN/>
              <w:adjustRightInd/>
              <w:jc w:val="center"/>
              <w:rPr>
                <w:b/>
                <w:bCs/>
                <w:sz w:val="22"/>
                <w:szCs w:val="22"/>
              </w:rPr>
            </w:pPr>
            <w:r w:rsidRPr="00917A7A">
              <w:rPr>
                <w:b/>
                <w:bCs/>
                <w:sz w:val="22"/>
                <w:szCs w:val="22"/>
              </w:rPr>
              <w:t>Information Collection Version</w:t>
            </w:r>
          </w:p>
        </w:tc>
        <w:tc>
          <w:tcPr>
            <w:tcW w:w="1387" w:type="dxa"/>
            <w:tcBorders>
              <w:top w:val="single" w:color="auto" w:sz="18" w:space="0"/>
              <w:left w:val="nil"/>
              <w:bottom w:val="single" w:color="auto" w:sz="18" w:space="0"/>
              <w:right w:val="single" w:color="auto" w:sz="4" w:space="0"/>
            </w:tcBorders>
            <w:shd w:val="clear" w:color="000000" w:fill="E0E0E0"/>
            <w:vAlign w:val="bottom"/>
            <w:hideMark/>
          </w:tcPr>
          <w:p w:rsidRPr="00917A7A" w:rsidR="001C2EAD" w:rsidP="00464625" w:rsidRDefault="001C2EAD" w14:paraId="38B97A8B" w14:textId="77777777">
            <w:pPr>
              <w:keepNext/>
              <w:keepLines/>
              <w:widowControl/>
              <w:autoSpaceDE/>
              <w:autoSpaceDN/>
              <w:adjustRightInd/>
              <w:jc w:val="center"/>
              <w:rPr>
                <w:b/>
                <w:bCs/>
                <w:sz w:val="22"/>
                <w:szCs w:val="22"/>
              </w:rPr>
            </w:pPr>
            <w:r w:rsidRPr="00917A7A">
              <w:rPr>
                <w:b/>
                <w:bCs/>
                <w:sz w:val="22"/>
                <w:szCs w:val="22"/>
              </w:rPr>
              <w:t>Annual Number of Responses</w:t>
            </w:r>
          </w:p>
        </w:tc>
        <w:tc>
          <w:tcPr>
            <w:tcW w:w="1516" w:type="dxa"/>
            <w:tcBorders>
              <w:top w:val="single" w:color="auto" w:sz="18" w:space="0"/>
              <w:left w:val="nil"/>
              <w:bottom w:val="single" w:color="auto" w:sz="18" w:space="0"/>
              <w:right w:val="single" w:color="auto" w:sz="4" w:space="0"/>
            </w:tcBorders>
            <w:shd w:val="clear" w:color="000000" w:fill="E0E0E0"/>
            <w:vAlign w:val="bottom"/>
            <w:hideMark/>
          </w:tcPr>
          <w:p w:rsidRPr="00917A7A" w:rsidR="001C2EAD" w:rsidP="00464625" w:rsidRDefault="001C2EAD" w14:paraId="3E9EFA44" w14:textId="77777777">
            <w:pPr>
              <w:keepNext/>
              <w:keepLines/>
              <w:widowControl/>
              <w:autoSpaceDE/>
              <w:autoSpaceDN/>
              <w:adjustRightInd/>
              <w:jc w:val="center"/>
              <w:rPr>
                <w:b/>
                <w:bCs/>
                <w:sz w:val="22"/>
                <w:szCs w:val="22"/>
              </w:rPr>
            </w:pPr>
            <w:r w:rsidRPr="00917A7A">
              <w:rPr>
                <w:b/>
                <w:bCs/>
                <w:sz w:val="22"/>
                <w:szCs w:val="22"/>
              </w:rPr>
              <w:t>Annual Burden Hours</w:t>
            </w:r>
          </w:p>
        </w:tc>
        <w:tc>
          <w:tcPr>
            <w:tcW w:w="1690" w:type="dxa"/>
            <w:tcBorders>
              <w:top w:val="single" w:color="auto" w:sz="18" w:space="0"/>
              <w:left w:val="nil"/>
              <w:bottom w:val="single" w:color="auto" w:sz="18" w:space="0"/>
              <w:right w:val="single" w:color="auto" w:sz="2" w:space="0"/>
            </w:tcBorders>
            <w:shd w:val="clear" w:color="000000" w:fill="E0E0E0"/>
            <w:vAlign w:val="bottom"/>
            <w:hideMark/>
          </w:tcPr>
          <w:p w:rsidRPr="00917A7A" w:rsidR="001C2EAD" w:rsidP="00464625" w:rsidRDefault="001C2EAD" w14:paraId="73F3DF63" w14:textId="77777777">
            <w:pPr>
              <w:keepNext/>
              <w:keepLines/>
              <w:widowControl/>
              <w:autoSpaceDE/>
              <w:autoSpaceDN/>
              <w:adjustRightInd/>
              <w:jc w:val="center"/>
              <w:rPr>
                <w:b/>
                <w:bCs/>
                <w:sz w:val="22"/>
                <w:szCs w:val="22"/>
              </w:rPr>
            </w:pPr>
            <w:r w:rsidRPr="00917A7A">
              <w:rPr>
                <w:b/>
                <w:bCs/>
                <w:sz w:val="22"/>
                <w:szCs w:val="22"/>
              </w:rPr>
              <w:t>Annual Cost Burden</w:t>
            </w:r>
          </w:p>
        </w:tc>
      </w:tr>
      <w:tr w:rsidRPr="00917A7A" w:rsidR="00917A7A" w:rsidTr="00985C3E" w14:paraId="426C57E4" w14:textId="77777777">
        <w:trPr>
          <w:trHeight w:val="300"/>
        </w:trPr>
        <w:tc>
          <w:tcPr>
            <w:tcW w:w="3327" w:type="dxa"/>
            <w:tcBorders>
              <w:top w:val="single" w:color="auto" w:sz="18" w:space="0"/>
              <w:left w:val="single" w:color="auto" w:sz="2" w:space="0"/>
              <w:bottom w:val="single" w:color="auto" w:sz="4" w:space="0"/>
              <w:right w:val="single" w:color="auto" w:sz="4" w:space="0"/>
            </w:tcBorders>
            <w:shd w:val="clear" w:color="000000" w:fill="FFFFFF"/>
            <w:tcMar>
              <w:left w:w="0" w:type="dxa"/>
              <w:right w:w="0" w:type="dxa"/>
            </w:tcMar>
            <w:vAlign w:val="center"/>
            <w:hideMark/>
          </w:tcPr>
          <w:p w:rsidRPr="00917A7A" w:rsidR="001C2EAD" w:rsidP="00464625" w:rsidRDefault="001C2EAD" w14:paraId="0B480CDC" w14:textId="77777777">
            <w:pPr>
              <w:keepNext/>
              <w:keepLines/>
              <w:widowControl/>
              <w:autoSpaceDE/>
              <w:autoSpaceDN/>
              <w:adjustRightInd/>
              <w:ind w:left="247"/>
              <w:rPr>
                <w:sz w:val="22"/>
                <w:szCs w:val="22"/>
              </w:rPr>
            </w:pPr>
            <w:r w:rsidRPr="00917A7A">
              <w:rPr>
                <w:sz w:val="22"/>
                <w:szCs w:val="22"/>
              </w:rPr>
              <w:t>Currently Approved under OMB Control Number 2126-0028</w:t>
            </w:r>
          </w:p>
        </w:tc>
        <w:tc>
          <w:tcPr>
            <w:tcW w:w="1387" w:type="dxa"/>
            <w:tcBorders>
              <w:top w:val="single" w:color="auto" w:sz="18" w:space="0"/>
              <w:left w:val="single" w:color="auto" w:sz="4" w:space="0"/>
              <w:bottom w:val="single" w:color="auto" w:sz="4" w:space="0"/>
              <w:right w:val="single" w:color="auto" w:sz="4" w:space="0"/>
            </w:tcBorders>
            <w:shd w:val="clear" w:color="000000" w:fill="FFFFFF"/>
            <w:tcMar>
              <w:left w:w="0" w:type="dxa"/>
              <w:right w:w="72" w:type="dxa"/>
            </w:tcMar>
            <w:vAlign w:val="center"/>
          </w:tcPr>
          <w:p w:rsidRPr="00917A7A" w:rsidR="001C2EAD" w:rsidP="00464625" w:rsidRDefault="003B011B" w14:paraId="66220A18" w14:textId="77777777">
            <w:pPr>
              <w:keepNext/>
              <w:keepLines/>
              <w:widowControl/>
              <w:autoSpaceDE/>
              <w:autoSpaceDN/>
              <w:adjustRightInd/>
              <w:jc w:val="right"/>
              <w:rPr>
                <w:sz w:val="22"/>
                <w:szCs w:val="22"/>
              </w:rPr>
            </w:pPr>
            <w:r w:rsidRPr="00917A7A">
              <w:rPr>
                <w:sz w:val="22"/>
                <w:szCs w:val="22"/>
              </w:rPr>
              <w:t>397,500</w:t>
            </w:r>
          </w:p>
        </w:tc>
        <w:tc>
          <w:tcPr>
            <w:tcW w:w="1516" w:type="dxa"/>
            <w:tcBorders>
              <w:top w:val="single" w:color="auto" w:sz="18" w:space="0"/>
              <w:left w:val="nil"/>
              <w:bottom w:val="single" w:color="auto" w:sz="4" w:space="0"/>
              <w:right w:val="single" w:color="auto" w:sz="4" w:space="0"/>
            </w:tcBorders>
            <w:shd w:val="clear" w:color="000000" w:fill="FFFFFF"/>
            <w:tcMar>
              <w:left w:w="0" w:type="dxa"/>
              <w:right w:w="72" w:type="dxa"/>
            </w:tcMar>
            <w:vAlign w:val="center"/>
          </w:tcPr>
          <w:p w:rsidRPr="00917A7A" w:rsidR="001C2EAD" w:rsidP="00464625" w:rsidRDefault="003B011B" w14:paraId="42EA2112" w14:textId="77777777">
            <w:pPr>
              <w:keepNext/>
              <w:keepLines/>
              <w:widowControl/>
              <w:autoSpaceDE/>
              <w:autoSpaceDN/>
              <w:adjustRightInd/>
              <w:jc w:val="right"/>
              <w:rPr>
                <w:sz w:val="22"/>
                <w:szCs w:val="22"/>
              </w:rPr>
            </w:pPr>
            <w:r w:rsidRPr="00917A7A">
              <w:rPr>
                <w:sz w:val="22"/>
                <w:szCs w:val="22"/>
              </w:rPr>
              <w:t>66,250</w:t>
            </w:r>
          </w:p>
        </w:tc>
        <w:tc>
          <w:tcPr>
            <w:tcW w:w="1690" w:type="dxa"/>
            <w:tcBorders>
              <w:top w:val="single" w:color="auto" w:sz="18" w:space="0"/>
              <w:left w:val="single" w:color="auto" w:sz="4" w:space="0"/>
              <w:bottom w:val="single" w:color="auto" w:sz="4" w:space="0"/>
              <w:right w:val="single" w:color="auto" w:sz="2" w:space="0"/>
            </w:tcBorders>
            <w:shd w:val="clear" w:color="000000" w:fill="FFFFFF"/>
            <w:tcMar>
              <w:left w:w="0" w:type="dxa"/>
              <w:right w:w="72" w:type="dxa"/>
            </w:tcMar>
            <w:vAlign w:val="center"/>
          </w:tcPr>
          <w:p w:rsidRPr="00917A7A" w:rsidR="001C2EAD" w:rsidP="00464625" w:rsidRDefault="003B011B" w14:paraId="2B038E06" w14:textId="77777777">
            <w:pPr>
              <w:keepNext/>
              <w:keepLines/>
              <w:widowControl/>
              <w:autoSpaceDE/>
              <w:autoSpaceDN/>
              <w:adjustRightInd/>
              <w:jc w:val="right"/>
              <w:rPr>
                <w:sz w:val="22"/>
                <w:szCs w:val="22"/>
              </w:rPr>
            </w:pPr>
            <w:r w:rsidRPr="00917A7A">
              <w:rPr>
                <w:sz w:val="22"/>
                <w:szCs w:val="22"/>
              </w:rPr>
              <w:t>$0</w:t>
            </w:r>
          </w:p>
        </w:tc>
      </w:tr>
      <w:tr w:rsidRPr="00917A7A" w:rsidR="00917A7A" w:rsidTr="00985C3E" w14:paraId="3935CC4C" w14:textId="77777777">
        <w:trPr>
          <w:trHeight w:val="288"/>
        </w:trPr>
        <w:tc>
          <w:tcPr>
            <w:tcW w:w="3327" w:type="dxa"/>
            <w:tcBorders>
              <w:top w:val="nil"/>
              <w:left w:val="single" w:color="auto" w:sz="2" w:space="0"/>
              <w:bottom w:val="single" w:color="auto" w:sz="18" w:space="0"/>
              <w:right w:val="single" w:color="auto" w:sz="4" w:space="0"/>
            </w:tcBorders>
            <w:shd w:val="clear" w:color="000000" w:fill="FFFFFF"/>
            <w:tcMar>
              <w:left w:w="0" w:type="dxa"/>
              <w:right w:w="0" w:type="dxa"/>
            </w:tcMar>
            <w:vAlign w:val="center"/>
            <w:hideMark/>
          </w:tcPr>
          <w:p w:rsidRPr="00917A7A" w:rsidR="001C2EAD" w:rsidP="00464625" w:rsidRDefault="001C2EAD" w14:paraId="5174AC41" w14:textId="77777777">
            <w:pPr>
              <w:keepNext/>
              <w:keepLines/>
              <w:widowControl/>
              <w:autoSpaceDE/>
              <w:autoSpaceDN/>
              <w:adjustRightInd/>
              <w:ind w:left="247"/>
              <w:rPr>
                <w:sz w:val="22"/>
                <w:szCs w:val="22"/>
              </w:rPr>
            </w:pPr>
            <w:r w:rsidRPr="00917A7A">
              <w:rPr>
                <w:sz w:val="22"/>
                <w:szCs w:val="22"/>
              </w:rPr>
              <w:t>Revised Estimates</w:t>
            </w:r>
          </w:p>
        </w:tc>
        <w:tc>
          <w:tcPr>
            <w:tcW w:w="1387" w:type="dxa"/>
            <w:tcBorders>
              <w:top w:val="nil"/>
              <w:left w:val="nil"/>
              <w:bottom w:val="single" w:color="auto" w:sz="18" w:space="0"/>
              <w:right w:val="single" w:color="auto" w:sz="4" w:space="0"/>
            </w:tcBorders>
            <w:shd w:val="clear" w:color="000000" w:fill="FFFFFF"/>
            <w:tcMar>
              <w:left w:w="0" w:type="dxa"/>
              <w:right w:w="72" w:type="dxa"/>
            </w:tcMar>
            <w:vAlign w:val="center"/>
          </w:tcPr>
          <w:p w:rsidRPr="00917A7A" w:rsidR="001C2EAD" w:rsidP="00464625" w:rsidRDefault="008D67BA" w14:paraId="04011F12" w14:textId="0DEEDA56">
            <w:pPr>
              <w:keepNext/>
              <w:keepLines/>
              <w:widowControl/>
              <w:autoSpaceDE/>
              <w:autoSpaceDN/>
              <w:adjustRightInd/>
              <w:jc w:val="right"/>
              <w:rPr>
                <w:sz w:val="22"/>
                <w:szCs w:val="22"/>
              </w:rPr>
            </w:pPr>
            <w:r w:rsidRPr="00917A7A">
              <w:rPr>
                <w:sz w:val="22"/>
                <w:szCs w:val="22"/>
              </w:rPr>
              <w:t>399,340</w:t>
            </w:r>
          </w:p>
        </w:tc>
        <w:tc>
          <w:tcPr>
            <w:tcW w:w="1516" w:type="dxa"/>
            <w:tcBorders>
              <w:top w:val="nil"/>
              <w:left w:val="nil"/>
              <w:bottom w:val="single" w:color="auto" w:sz="18" w:space="0"/>
              <w:right w:val="single" w:color="auto" w:sz="4" w:space="0"/>
            </w:tcBorders>
            <w:shd w:val="clear" w:color="000000" w:fill="FFFFFF"/>
            <w:tcMar>
              <w:left w:w="0" w:type="dxa"/>
              <w:right w:w="72" w:type="dxa"/>
            </w:tcMar>
            <w:vAlign w:val="center"/>
          </w:tcPr>
          <w:p w:rsidRPr="00917A7A" w:rsidR="001C2EAD" w:rsidP="00464625" w:rsidRDefault="008D67BA" w14:paraId="3A11A6C5" w14:textId="57D7BF26">
            <w:pPr>
              <w:keepNext/>
              <w:keepLines/>
              <w:widowControl/>
              <w:autoSpaceDE/>
              <w:autoSpaceDN/>
              <w:adjustRightInd/>
              <w:jc w:val="right"/>
              <w:rPr>
                <w:sz w:val="22"/>
                <w:szCs w:val="22"/>
              </w:rPr>
            </w:pPr>
            <w:r w:rsidRPr="00917A7A">
              <w:rPr>
                <w:sz w:val="22"/>
                <w:szCs w:val="22"/>
              </w:rPr>
              <w:t>67,276</w:t>
            </w:r>
          </w:p>
        </w:tc>
        <w:tc>
          <w:tcPr>
            <w:tcW w:w="1690" w:type="dxa"/>
            <w:tcBorders>
              <w:top w:val="nil"/>
              <w:left w:val="nil"/>
              <w:bottom w:val="single" w:color="auto" w:sz="18" w:space="0"/>
              <w:right w:val="single" w:color="auto" w:sz="2" w:space="0"/>
            </w:tcBorders>
            <w:shd w:val="clear" w:color="000000" w:fill="FFFFFF"/>
            <w:tcMar>
              <w:left w:w="0" w:type="dxa"/>
              <w:right w:w="72" w:type="dxa"/>
            </w:tcMar>
            <w:vAlign w:val="center"/>
          </w:tcPr>
          <w:p w:rsidRPr="00917A7A" w:rsidR="001C2EAD" w:rsidP="00464625" w:rsidRDefault="003B011B" w14:paraId="52379401" w14:textId="77777777">
            <w:pPr>
              <w:keepNext/>
              <w:keepLines/>
              <w:widowControl/>
              <w:autoSpaceDE/>
              <w:autoSpaceDN/>
              <w:adjustRightInd/>
              <w:jc w:val="right"/>
              <w:rPr>
                <w:sz w:val="22"/>
                <w:szCs w:val="22"/>
              </w:rPr>
            </w:pPr>
            <w:r w:rsidRPr="00917A7A">
              <w:rPr>
                <w:sz w:val="22"/>
                <w:szCs w:val="22"/>
              </w:rPr>
              <w:t>$0</w:t>
            </w:r>
          </w:p>
        </w:tc>
      </w:tr>
      <w:tr w:rsidRPr="00917A7A" w:rsidR="00F6360F" w:rsidTr="00985C3E" w14:paraId="6AB5030A" w14:textId="77777777">
        <w:trPr>
          <w:trHeight w:val="528"/>
        </w:trPr>
        <w:tc>
          <w:tcPr>
            <w:tcW w:w="3327" w:type="dxa"/>
            <w:tcBorders>
              <w:top w:val="single" w:color="auto" w:sz="18" w:space="0"/>
              <w:left w:val="single" w:color="auto" w:sz="2" w:space="0"/>
              <w:bottom w:val="single" w:color="auto" w:sz="18" w:space="0"/>
              <w:right w:val="single" w:color="auto" w:sz="4" w:space="0"/>
            </w:tcBorders>
            <w:shd w:val="clear" w:color="000000" w:fill="FFFFFF"/>
            <w:tcMar>
              <w:left w:w="0" w:type="dxa"/>
              <w:right w:w="0" w:type="dxa"/>
            </w:tcMar>
            <w:vAlign w:val="center"/>
            <w:hideMark/>
          </w:tcPr>
          <w:p w:rsidRPr="00917A7A" w:rsidR="001C2EAD" w:rsidP="00464625" w:rsidRDefault="001C2EAD" w14:paraId="5FEB4298" w14:textId="77777777">
            <w:pPr>
              <w:keepNext/>
              <w:keepLines/>
              <w:widowControl/>
              <w:autoSpaceDE/>
              <w:autoSpaceDN/>
              <w:adjustRightInd/>
              <w:rPr>
                <w:b/>
                <w:bCs/>
                <w:sz w:val="22"/>
                <w:szCs w:val="22"/>
              </w:rPr>
            </w:pPr>
            <w:r w:rsidRPr="00917A7A">
              <w:rPr>
                <w:b/>
                <w:bCs/>
                <w:sz w:val="22"/>
                <w:szCs w:val="22"/>
              </w:rPr>
              <w:t>Total Change in Burden from</w:t>
            </w:r>
            <w:r w:rsidRPr="00917A7A" w:rsidR="00E30E3D">
              <w:rPr>
                <w:b/>
                <w:bCs/>
                <w:sz w:val="22"/>
                <w:szCs w:val="22"/>
              </w:rPr>
              <w:t xml:space="preserve"> the</w:t>
            </w:r>
            <w:r w:rsidRPr="00917A7A">
              <w:rPr>
                <w:b/>
                <w:bCs/>
                <w:sz w:val="22"/>
                <w:szCs w:val="22"/>
              </w:rPr>
              <w:t xml:space="preserve"> Currently Approved </w:t>
            </w:r>
            <w:r w:rsidRPr="00917A7A" w:rsidR="00E30E3D">
              <w:rPr>
                <w:b/>
                <w:bCs/>
                <w:sz w:val="22"/>
                <w:szCs w:val="22"/>
              </w:rPr>
              <w:t>Collection of Information</w:t>
            </w:r>
          </w:p>
        </w:tc>
        <w:tc>
          <w:tcPr>
            <w:tcW w:w="1387" w:type="dxa"/>
            <w:tcBorders>
              <w:top w:val="single" w:color="auto" w:sz="18" w:space="0"/>
              <w:left w:val="nil"/>
              <w:bottom w:val="single" w:color="auto" w:sz="18" w:space="0"/>
              <w:right w:val="single" w:color="auto" w:sz="4" w:space="0"/>
            </w:tcBorders>
            <w:shd w:val="clear" w:color="000000" w:fill="FFFFFF"/>
            <w:tcMar>
              <w:left w:w="0" w:type="dxa"/>
              <w:right w:w="72" w:type="dxa"/>
            </w:tcMar>
            <w:vAlign w:val="center"/>
          </w:tcPr>
          <w:p w:rsidRPr="00917A7A" w:rsidR="001C2EAD" w:rsidP="00464625" w:rsidRDefault="003D6C44" w14:paraId="5F66A9E4" w14:textId="77D7A7EB">
            <w:pPr>
              <w:keepNext/>
              <w:keepLines/>
              <w:widowControl/>
              <w:autoSpaceDE/>
              <w:autoSpaceDN/>
              <w:adjustRightInd/>
              <w:jc w:val="right"/>
              <w:rPr>
                <w:b/>
                <w:bCs/>
                <w:sz w:val="22"/>
                <w:szCs w:val="22"/>
              </w:rPr>
            </w:pPr>
            <w:r w:rsidRPr="00917A7A">
              <w:rPr>
                <w:b/>
                <w:bCs/>
                <w:sz w:val="22"/>
                <w:szCs w:val="22"/>
              </w:rPr>
              <w:t>1,840</w:t>
            </w:r>
          </w:p>
        </w:tc>
        <w:tc>
          <w:tcPr>
            <w:tcW w:w="1516" w:type="dxa"/>
            <w:tcBorders>
              <w:top w:val="single" w:color="auto" w:sz="18" w:space="0"/>
              <w:left w:val="nil"/>
              <w:bottom w:val="single" w:color="auto" w:sz="18" w:space="0"/>
              <w:right w:val="single" w:color="auto" w:sz="4" w:space="0"/>
            </w:tcBorders>
            <w:shd w:val="clear" w:color="000000" w:fill="FFFFFF"/>
            <w:tcMar>
              <w:left w:w="0" w:type="dxa"/>
              <w:right w:w="72" w:type="dxa"/>
            </w:tcMar>
            <w:vAlign w:val="center"/>
          </w:tcPr>
          <w:p w:rsidRPr="00917A7A" w:rsidR="001C2EAD" w:rsidP="00464625" w:rsidRDefault="003D6C44" w14:paraId="00908685" w14:textId="3B79B63E">
            <w:pPr>
              <w:keepNext/>
              <w:keepLines/>
              <w:widowControl/>
              <w:autoSpaceDE/>
              <w:autoSpaceDN/>
              <w:adjustRightInd/>
              <w:jc w:val="right"/>
              <w:rPr>
                <w:b/>
                <w:bCs/>
                <w:sz w:val="22"/>
                <w:szCs w:val="22"/>
              </w:rPr>
            </w:pPr>
            <w:r w:rsidRPr="00917A7A">
              <w:rPr>
                <w:b/>
                <w:bCs/>
                <w:sz w:val="22"/>
                <w:szCs w:val="22"/>
              </w:rPr>
              <w:t>1,026</w:t>
            </w:r>
          </w:p>
        </w:tc>
        <w:tc>
          <w:tcPr>
            <w:tcW w:w="1690" w:type="dxa"/>
            <w:tcBorders>
              <w:top w:val="single" w:color="auto" w:sz="18" w:space="0"/>
              <w:left w:val="nil"/>
              <w:bottom w:val="single" w:color="auto" w:sz="18" w:space="0"/>
              <w:right w:val="single" w:color="auto" w:sz="2" w:space="0"/>
            </w:tcBorders>
            <w:shd w:val="clear" w:color="000000" w:fill="FFFFFF"/>
            <w:tcMar>
              <w:left w:w="0" w:type="dxa"/>
              <w:right w:w="72" w:type="dxa"/>
            </w:tcMar>
            <w:vAlign w:val="center"/>
          </w:tcPr>
          <w:p w:rsidRPr="00917A7A" w:rsidR="001C2EAD" w:rsidP="00464625" w:rsidRDefault="003B011B" w14:paraId="43854501" w14:textId="77777777">
            <w:pPr>
              <w:keepNext/>
              <w:keepLines/>
              <w:widowControl/>
              <w:autoSpaceDE/>
              <w:autoSpaceDN/>
              <w:adjustRightInd/>
              <w:jc w:val="right"/>
              <w:rPr>
                <w:b/>
                <w:bCs/>
                <w:sz w:val="22"/>
                <w:szCs w:val="22"/>
              </w:rPr>
            </w:pPr>
            <w:r w:rsidRPr="00917A7A">
              <w:rPr>
                <w:b/>
                <w:bCs/>
                <w:sz w:val="22"/>
                <w:szCs w:val="22"/>
              </w:rPr>
              <w:t>$0</w:t>
            </w:r>
          </w:p>
        </w:tc>
      </w:tr>
    </w:tbl>
    <w:p w:rsidRPr="00917A7A" w:rsidR="001C2EAD" w:rsidP="006A7AC4" w:rsidRDefault="001C2EAD" w14:paraId="3D428D78" w14:textId="77777777">
      <w:pPr>
        <w:ind w:left="360"/>
        <w:rPr>
          <w:bCs/>
          <w:szCs w:val="24"/>
        </w:rPr>
      </w:pPr>
    </w:p>
    <w:p w:rsidRPr="00917A7A" w:rsidR="00373407" w:rsidP="00FC56DA" w:rsidRDefault="00373407" w14:paraId="3D3A1195" w14:textId="1409CA0D">
      <w:pPr>
        <w:widowControl/>
        <w:ind w:left="360"/>
        <w:rPr>
          <w:bCs/>
        </w:rPr>
      </w:pPr>
      <w:r w:rsidRPr="00917A7A">
        <w:rPr>
          <w:bCs/>
        </w:rPr>
        <w:t xml:space="preserve">Next, the Agency differentiates the total change in burden that is presented in Table </w:t>
      </w:r>
      <w:r w:rsidRPr="00917A7A" w:rsidR="00227758">
        <w:rPr>
          <w:bCs/>
        </w:rPr>
        <w:t>14</w:t>
      </w:r>
      <w:r w:rsidRPr="00917A7A">
        <w:rPr>
          <w:bCs/>
        </w:rPr>
        <w:t xml:space="preserve"> into the program change portion, and the adjustment change portion. The program change portion of the total change in burden is that which is the result of deliberate Agency action, in this case </w:t>
      </w:r>
      <w:r w:rsidRPr="00917A7A" w:rsidR="00F15486">
        <w:rPr>
          <w:bCs/>
          <w:szCs w:val="24"/>
        </w:rPr>
        <w:t xml:space="preserve">the </w:t>
      </w:r>
      <w:r w:rsidRPr="00917A7A" w:rsidR="00F15486">
        <w:t>December 8, 2016, ELDT final rule</w:t>
      </w:r>
      <w:r w:rsidRPr="00917A7A" w:rsidR="00FC56DA">
        <w:t xml:space="preserve"> (81 FR 88732) (Attachment B)</w:t>
      </w:r>
      <w:r w:rsidRPr="00917A7A" w:rsidR="00F15486">
        <w:t>, and</w:t>
      </w:r>
      <w:r w:rsidRPr="00917A7A" w:rsidR="00FC56DA">
        <w:t xml:space="preserve"> the </w:t>
      </w:r>
      <w:r w:rsidRPr="00A45437" w:rsidR="00A45437">
        <w:rPr>
          <w:bCs/>
          <w:szCs w:val="24"/>
        </w:rPr>
        <w:t>February 4, 2020</w:t>
      </w:r>
      <w:r w:rsidRPr="00917A7A" w:rsidR="00FC56DA">
        <w:t xml:space="preserve">, interim final rule (IFR) </w:t>
      </w:r>
      <w:r w:rsidRPr="00917A7A" w:rsidR="00FC56DA">
        <w:rPr>
          <w:bCs/>
          <w:szCs w:val="24"/>
        </w:rPr>
        <w:t xml:space="preserve">titled “Extension of Compliance Date for Entry-Level Driver Training” </w:t>
      </w:r>
      <w:r w:rsidRPr="009402C9" w:rsidR="009402C9">
        <w:rPr>
          <w:bCs/>
          <w:szCs w:val="24"/>
        </w:rPr>
        <w:t>(85 FR 6088)</w:t>
      </w:r>
      <w:r w:rsidRPr="009402C9" w:rsidDel="009402C9" w:rsidR="009402C9">
        <w:rPr>
          <w:bCs/>
          <w:szCs w:val="24"/>
        </w:rPr>
        <w:t xml:space="preserve"> </w:t>
      </w:r>
      <w:r w:rsidRPr="00917A7A" w:rsidR="00FC56DA">
        <w:rPr>
          <w:bCs/>
          <w:szCs w:val="24"/>
        </w:rPr>
        <w:t>(Attachment D).</w:t>
      </w:r>
      <w:r w:rsidRPr="00917A7A" w:rsidR="00FC56DA">
        <w:rPr>
          <w:bCs/>
        </w:rPr>
        <w:t xml:space="preserve"> </w:t>
      </w:r>
      <w:r w:rsidRPr="00917A7A">
        <w:rPr>
          <w:bCs/>
        </w:rPr>
        <w:t>The adjustment portion of the total change in burden is the result of factors other than deliberate Agency action, and may include, for example, changes resulting from the availability of new or improved data, the use of enhanced analysis or estimation methodologies, or the correction of arithmetic or other errors made previously when calculating the burden for the currently approved information collection.</w:t>
      </w:r>
    </w:p>
    <w:p w:rsidRPr="00917A7A" w:rsidR="00657D75" w:rsidP="006A7AC4" w:rsidRDefault="00657D75" w14:paraId="1CDFCD6F" w14:textId="77777777">
      <w:pPr>
        <w:ind w:left="360"/>
        <w:rPr>
          <w:bCs/>
          <w:szCs w:val="24"/>
        </w:rPr>
      </w:pPr>
    </w:p>
    <w:p w:rsidRPr="00917A7A" w:rsidR="001C2EAD" w:rsidP="001C2EAD" w:rsidRDefault="001C2EAD" w14:paraId="4C70346F" w14:textId="31B2D530">
      <w:pPr>
        <w:pStyle w:val="BodyText"/>
        <w:keepNext/>
        <w:keepLines/>
        <w:widowControl/>
        <w:ind w:left="360"/>
        <w:rPr>
          <w:color w:val="auto"/>
        </w:rPr>
      </w:pPr>
      <w:r w:rsidRPr="00917A7A">
        <w:rPr>
          <w:b/>
          <w:color w:val="auto"/>
          <w:sz w:val="22"/>
          <w:szCs w:val="22"/>
        </w:rPr>
        <w:t xml:space="preserve">Table </w:t>
      </w:r>
      <w:r w:rsidRPr="00917A7A" w:rsidR="003B011B">
        <w:rPr>
          <w:b/>
          <w:color w:val="auto"/>
          <w:sz w:val="22"/>
          <w:szCs w:val="22"/>
        </w:rPr>
        <w:t>1</w:t>
      </w:r>
      <w:r w:rsidRPr="00917A7A" w:rsidR="00227758">
        <w:rPr>
          <w:b/>
          <w:color w:val="auto"/>
          <w:sz w:val="22"/>
          <w:szCs w:val="22"/>
        </w:rPr>
        <w:t>5</w:t>
      </w:r>
      <w:r w:rsidRPr="00917A7A">
        <w:rPr>
          <w:b/>
          <w:color w:val="auto"/>
          <w:sz w:val="22"/>
          <w:szCs w:val="22"/>
        </w:rPr>
        <w:t>. Changes Due to Agency Discretion and Adjustment in Agency Estimate</w:t>
      </w:r>
    </w:p>
    <w:tbl>
      <w:tblPr>
        <w:tblW w:w="8543" w:type="dxa"/>
        <w:tblInd w:w="357" w:type="dxa"/>
        <w:tblLook w:val="04A0" w:firstRow="1" w:lastRow="0" w:firstColumn="1" w:lastColumn="0" w:noHBand="0" w:noVBand="1"/>
      </w:tblPr>
      <w:tblGrid>
        <w:gridCol w:w="3683"/>
        <w:gridCol w:w="1710"/>
        <w:gridCol w:w="1620"/>
        <w:gridCol w:w="1530"/>
      </w:tblGrid>
      <w:tr w:rsidRPr="00917A7A" w:rsidR="00F6360F" w:rsidTr="00985C3E" w14:paraId="1FDDB399" w14:textId="77777777">
        <w:trPr>
          <w:trHeight w:val="1125"/>
        </w:trPr>
        <w:tc>
          <w:tcPr>
            <w:tcW w:w="3683" w:type="dxa"/>
            <w:tcBorders>
              <w:top w:val="single" w:color="auto" w:sz="18" w:space="0"/>
              <w:left w:val="single" w:color="auto" w:sz="2" w:space="0"/>
              <w:bottom w:val="single" w:color="auto" w:sz="18" w:space="0"/>
              <w:right w:val="single" w:color="auto" w:sz="4" w:space="0"/>
            </w:tcBorders>
            <w:shd w:val="clear" w:color="000000" w:fill="E0E0E0"/>
            <w:vAlign w:val="bottom"/>
            <w:hideMark/>
          </w:tcPr>
          <w:p w:rsidRPr="00917A7A" w:rsidR="001C2EAD" w:rsidP="00464625" w:rsidRDefault="001C2EAD" w14:paraId="0798645D" w14:textId="77777777">
            <w:pPr>
              <w:keepNext/>
              <w:keepLines/>
              <w:widowControl/>
              <w:autoSpaceDE/>
              <w:autoSpaceDN/>
              <w:adjustRightInd/>
              <w:jc w:val="center"/>
              <w:rPr>
                <w:b/>
                <w:bCs/>
                <w:sz w:val="22"/>
                <w:szCs w:val="22"/>
              </w:rPr>
            </w:pPr>
            <w:r w:rsidRPr="00917A7A">
              <w:rPr>
                <w:b/>
                <w:bCs/>
                <w:sz w:val="22"/>
                <w:szCs w:val="22"/>
              </w:rPr>
              <w:t>Component of Total Change</w:t>
            </w:r>
          </w:p>
        </w:tc>
        <w:tc>
          <w:tcPr>
            <w:tcW w:w="1710" w:type="dxa"/>
            <w:tcBorders>
              <w:top w:val="single" w:color="auto" w:sz="18" w:space="0"/>
              <w:left w:val="nil"/>
              <w:bottom w:val="single" w:color="auto" w:sz="18" w:space="0"/>
              <w:right w:val="single" w:color="auto" w:sz="4" w:space="0"/>
            </w:tcBorders>
            <w:shd w:val="clear" w:color="000000" w:fill="E0E0E0"/>
            <w:vAlign w:val="bottom"/>
            <w:hideMark/>
          </w:tcPr>
          <w:p w:rsidRPr="00917A7A" w:rsidR="001C2EAD" w:rsidP="00464625" w:rsidRDefault="001C2EAD" w14:paraId="7C4EF5AF" w14:textId="77777777">
            <w:pPr>
              <w:keepNext/>
              <w:keepLines/>
              <w:widowControl/>
              <w:autoSpaceDE/>
              <w:autoSpaceDN/>
              <w:adjustRightInd/>
              <w:jc w:val="center"/>
              <w:rPr>
                <w:b/>
                <w:bCs/>
                <w:sz w:val="22"/>
                <w:szCs w:val="22"/>
              </w:rPr>
            </w:pPr>
            <w:r w:rsidRPr="00917A7A">
              <w:rPr>
                <w:b/>
                <w:bCs/>
                <w:sz w:val="22"/>
                <w:szCs w:val="22"/>
              </w:rPr>
              <w:t>Change in Annual Number of Responses</w:t>
            </w:r>
          </w:p>
        </w:tc>
        <w:tc>
          <w:tcPr>
            <w:tcW w:w="1620" w:type="dxa"/>
            <w:tcBorders>
              <w:top w:val="single" w:color="auto" w:sz="18" w:space="0"/>
              <w:left w:val="nil"/>
              <w:bottom w:val="single" w:color="auto" w:sz="18" w:space="0"/>
              <w:right w:val="single" w:color="auto" w:sz="4" w:space="0"/>
            </w:tcBorders>
            <w:shd w:val="clear" w:color="000000" w:fill="E0E0E0"/>
            <w:vAlign w:val="bottom"/>
            <w:hideMark/>
          </w:tcPr>
          <w:p w:rsidRPr="00917A7A" w:rsidR="001C2EAD" w:rsidP="00464625" w:rsidRDefault="001C2EAD" w14:paraId="7C3439B9" w14:textId="77777777">
            <w:pPr>
              <w:keepNext/>
              <w:keepLines/>
              <w:widowControl/>
              <w:autoSpaceDE/>
              <w:autoSpaceDN/>
              <w:adjustRightInd/>
              <w:jc w:val="center"/>
              <w:rPr>
                <w:b/>
                <w:bCs/>
                <w:sz w:val="22"/>
                <w:szCs w:val="22"/>
              </w:rPr>
            </w:pPr>
            <w:r w:rsidRPr="00917A7A">
              <w:rPr>
                <w:b/>
                <w:bCs/>
                <w:sz w:val="22"/>
                <w:szCs w:val="22"/>
              </w:rPr>
              <w:t>Change in Annual Burden Hours</w:t>
            </w:r>
          </w:p>
        </w:tc>
        <w:tc>
          <w:tcPr>
            <w:tcW w:w="1530" w:type="dxa"/>
            <w:tcBorders>
              <w:top w:val="single" w:color="auto" w:sz="18" w:space="0"/>
              <w:left w:val="nil"/>
              <w:bottom w:val="single" w:color="auto" w:sz="18" w:space="0"/>
              <w:right w:val="single" w:color="auto" w:sz="2" w:space="0"/>
            </w:tcBorders>
            <w:shd w:val="clear" w:color="000000" w:fill="E0E0E0"/>
            <w:vAlign w:val="bottom"/>
            <w:hideMark/>
          </w:tcPr>
          <w:p w:rsidRPr="00917A7A" w:rsidR="001C2EAD" w:rsidP="00464625" w:rsidRDefault="001C2EAD" w14:paraId="7A9777D9" w14:textId="77777777">
            <w:pPr>
              <w:keepNext/>
              <w:keepLines/>
              <w:widowControl/>
              <w:autoSpaceDE/>
              <w:autoSpaceDN/>
              <w:adjustRightInd/>
              <w:jc w:val="center"/>
              <w:rPr>
                <w:b/>
                <w:bCs/>
                <w:sz w:val="22"/>
                <w:szCs w:val="22"/>
              </w:rPr>
            </w:pPr>
            <w:r w:rsidRPr="00917A7A">
              <w:rPr>
                <w:b/>
                <w:bCs/>
                <w:sz w:val="22"/>
                <w:szCs w:val="22"/>
              </w:rPr>
              <w:t>Change in Annual Cost Burden</w:t>
            </w:r>
          </w:p>
        </w:tc>
      </w:tr>
      <w:tr w:rsidRPr="00917A7A" w:rsidR="00917A7A" w:rsidTr="00985C3E" w14:paraId="1A1CCE3D" w14:textId="77777777">
        <w:trPr>
          <w:trHeight w:val="528"/>
        </w:trPr>
        <w:tc>
          <w:tcPr>
            <w:tcW w:w="3683" w:type="dxa"/>
            <w:tcBorders>
              <w:top w:val="single" w:color="auto" w:sz="18" w:space="0"/>
              <w:left w:val="single" w:color="auto" w:sz="2" w:space="0"/>
              <w:bottom w:val="single" w:color="auto" w:sz="4" w:space="0"/>
              <w:right w:val="single" w:color="auto" w:sz="4" w:space="0"/>
            </w:tcBorders>
            <w:shd w:val="clear" w:color="000000" w:fill="FFFFFF"/>
            <w:vAlign w:val="center"/>
            <w:hideMark/>
          </w:tcPr>
          <w:p w:rsidRPr="00917A7A" w:rsidR="001C2EAD" w:rsidP="00464625" w:rsidRDefault="001C2EAD" w14:paraId="173FC07D" w14:textId="77777777">
            <w:pPr>
              <w:keepNext/>
              <w:keepLines/>
              <w:widowControl/>
              <w:autoSpaceDE/>
              <w:autoSpaceDN/>
              <w:adjustRightInd/>
              <w:rPr>
                <w:b/>
                <w:bCs/>
                <w:sz w:val="22"/>
                <w:szCs w:val="22"/>
              </w:rPr>
            </w:pPr>
            <w:r w:rsidRPr="00917A7A">
              <w:rPr>
                <w:b/>
                <w:bCs/>
                <w:sz w:val="22"/>
                <w:szCs w:val="22"/>
              </w:rPr>
              <w:t xml:space="preserve">Total Change in Burden from </w:t>
            </w:r>
            <w:r w:rsidRPr="00917A7A" w:rsidR="00E30E3D">
              <w:rPr>
                <w:b/>
                <w:bCs/>
                <w:sz w:val="22"/>
                <w:szCs w:val="22"/>
              </w:rPr>
              <w:t xml:space="preserve">the </w:t>
            </w:r>
            <w:r w:rsidRPr="00917A7A">
              <w:rPr>
                <w:b/>
                <w:bCs/>
                <w:sz w:val="22"/>
                <w:szCs w:val="22"/>
              </w:rPr>
              <w:t xml:space="preserve">Currently Approved </w:t>
            </w:r>
            <w:r w:rsidRPr="00917A7A" w:rsidR="00E30E3D">
              <w:rPr>
                <w:b/>
                <w:bCs/>
                <w:sz w:val="22"/>
                <w:szCs w:val="22"/>
              </w:rPr>
              <w:t>Collection of Information</w:t>
            </w:r>
          </w:p>
        </w:tc>
        <w:tc>
          <w:tcPr>
            <w:tcW w:w="1710" w:type="dxa"/>
            <w:tcBorders>
              <w:top w:val="single" w:color="auto" w:sz="18" w:space="0"/>
              <w:left w:val="nil"/>
              <w:bottom w:val="single" w:color="auto" w:sz="4" w:space="0"/>
              <w:right w:val="single" w:color="auto" w:sz="4" w:space="0"/>
            </w:tcBorders>
            <w:shd w:val="clear" w:color="000000" w:fill="FFFFFF"/>
            <w:vAlign w:val="center"/>
          </w:tcPr>
          <w:p w:rsidRPr="00917A7A" w:rsidR="001C2EAD" w:rsidP="00464625" w:rsidRDefault="00465DE5" w14:paraId="03C82EF7" w14:textId="754DBE2F">
            <w:pPr>
              <w:keepNext/>
              <w:keepLines/>
              <w:widowControl/>
              <w:autoSpaceDE/>
              <w:autoSpaceDN/>
              <w:adjustRightInd/>
              <w:jc w:val="right"/>
              <w:rPr>
                <w:b/>
                <w:bCs/>
                <w:sz w:val="22"/>
                <w:szCs w:val="22"/>
              </w:rPr>
            </w:pPr>
            <w:r w:rsidRPr="00917A7A">
              <w:rPr>
                <w:b/>
                <w:bCs/>
                <w:sz w:val="22"/>
                <w:szCs w:val="22"/>
              </w:rPr>
              <w:t>1,840</w:t>
            </w:r>
          </w:p>
        </w:tc>
        <w:tc>
          <w:tcPr>
            <w:tcW w:w="1620" w:type="dxa"/>
            <w:tcBorders>
              <w:top w:val="single" w:color="auto" w:sz="18" w:space="0"/>
              <w:left w:val="nil"/>
              <w:bottom w:val="single" w:color="auto" w:sz="4" w:space="0"/>
              <w:right w:val="single" w:color="auto" w:sz="4" w:space="0"/>
            </w:tcBorders>
            <w:shd w:val="clear" w:color="000000" w:fill="FFFFFF"/>
            <w:vAlign w:val="center"/>
          </w:tcPr>
          <w:p w:rsidRPr="00917A7A" w:rsidR="001C2EAD" w:rsidP="00464625" w:rsidRDefault="00465DE5" w14:paraId="31BE6C02" w14:textId="7A73B9F1">
            <w:pPr>
              <w:keepNext/>
              <w:keepLines/>
              <w:widowControl/>
              <w:autoSpaceDE/>
              <w:autoSpaceDN/>
              <w:adjustRightInd/>
              <w:jc w:val="right"/>
              <w:rPr>
                <w:b/>
                <w:bCs/>
                <w:sz w:val="22"/>
                <w:szCs w:val="22"/>
              </w:rPr>
            </w:pPr>
            <w:r w:rsidRPr="00917A7A">
              <w:rPr>
                <w:b/>
                <w:bCs/>
                <w:sz w:val="22"/>
                <w:szCs w:val="22"/>
              </w:rPr>
              <w:t>1,026</w:t>
            </w:r>
          </w:p>
        </w:tc>
        <w:tc>
          <w:tcPr>
            <w:tcW w:w="1530" w:type="dxa"/>
            <w:tcBorders>
              <w:top w:val="single" w:color="auto" w:sz="18" w:space="0"/>
              <w:left w:val="nil"/>
              <w:bottom w:val="single" w:color="auto" w:sz="4" w:space="0"/>
              <w:right w:val="single" w:color="auto" w:sz="2" w:space="0"/>
            </w:tcBorders>
            <w:shd w:val="clear" w:color="000000" w:fill="FFFFFF"/>
            <w:vAlign w:val="center"/>
          </w:tcPr>
          <w:p w:rsidRPr="00917A7A" w:rsidR="001C2EAD" w:rsidP="00464625" w:rsidRDefault="00333755" w14:paraId="71425DFE" w14:textId="77777777">
            <w:pPr>
              <w:keepNext/>
              <w:keepLines/>
              <w:widowControl/>
              <w:autoSpaceDE/>
              <w:autoSpaceDN/>
              <w:adjustRightInd/>
              <w:jc w:val="right"/>
              <w:rPr>
                <w:b/>
                <w:bCs/>
                <w:sz w:val="22"/>
                <w:szCs w:val="22"/>
              </w:rPr>
            </w:pPr>
            <w:r w:rsidRPr="00917A7A">
              <w:rPr>
                <w:b/>
                <w:bCs/>
                <w:sz w:val="22"/>
                <w:szCs w:val="22"/>
              </w:rPr>
              <w:t>$0</w:t>
            </w:r>
          </w:p>
        </w:tc>
      </w:tr>
      <w:tr w:rsidRPr="00917A7A" w:rsidR="00917A7A" w:rsidTr="00985C3E" w14:paraId="1F68865B" w14:textId="77777777">
        <w:trPr>
          <w:trHeight w:val="288"/>
        </w:trPr>
        <w:tc>
          <w:tcPr>
            <w:tcW w:w="3683" w:type="dxa"/>
            <w:tcBorders>
              <w:top w:val="nil"/>
              <w:left w:val="single" w:color="auto" w:sz="2" w:space="0"/>
              <w:bottom w:val="single" w:color="auto" w:sz="4" w:space="0"/>
              <w:right w:val="single" w:color="auto" w:sz="4" w:space="0"/>
            </w:tcBorders>
            <w:shd w:val="clear" w:color="auto" w:fill="auto"/>
            <w:noWrap/>
            <w:vAlign w:val="center"/>
          </w:tcPr>
          <w:p w:rsidRPr="00917A7A" w:rsidR="001C2EAD" w:rsidP="00464625" w:rsidRDefault="001C2EAD" w14:paraId="5E20C277" w14:textId="77777777">
            <w:pPr>
              <w:keepNext/>
              <w:keepLines/>
              <w:widowControl/>
              <w:autoSpaceDE/>
              <w:autoSpaceDN/>
              <w:adjustRightInd/>
              <w:ind w:left="247"/>
              <w:rPr>
                <w:sz w:val="22"/>
                <w:szCs w:val="22"/>
              </w:rPr>
            </w:pPr>
            <w:r w:rsidRPr="00917A7A">
              <w:rPr>
                <w:sz w:val="22"/>
                <w:szCs w:val="22"/>
              </w:rPr>
              <w:t>Program Change due to Agency Discretion</w:t>
            </w:r>
          </w:p>
        </w:tc>
        <w:tc>
          <w:tcPr>
            <w:tcW w:w="1710" w:type="dxa"/>
            <w:tcBorders>
              <w:top w:val="nil"/>
              <w:left w:val="nil"/>
              <w:bottom w:val="single" w:color="auto" w:sz="4" w:space="0"/>
              <w:right w:val="single" w:color="auto" w:sz="4" w:space="0"/>
            </w:tcBorders>
            <w:shd w:val="clear" w:color="auto" w:fill="auto"/>
            <w:noWrap/>
            <w:vAlign w:val="center"/>
          </w:tcPr>
          <w:p w:rsidRPr="00917A7A" w:rsidR="001C2EAD" w:rsidP="00464625" w:rsidRDefault="00E8092E" w14:paraId="29D133F0" w14:textId="593BFC9E">
            <w:pPr>
              <w:keepNext/>
              <w:keepLines/>
              <w:widowControl/>
              <w:autoSpaceDE/>
              <w:autoSpaceDN/>
              <w:adjustRightInd/>
              <w:jc w:val="right"/>
              <w:rPr>
                <w:sz w:val="22"/>
                <w:szCs w:val="22"/>
              </w:rPr>
            </w:pPr>
            <w:r w:rsidRPr="00917A7A">
              <w:rPr>
                <w:sz w:val="22"/>
                <w:szCs w:val="22"/>
              </w:rPr>
              <w:t>45,604</w:t>
            </w:r>
          </w:p>
        </w:tc>
        <w:tc>
          <w:tcPr>
            <w:tcW w:w="1620" w:type="dxa"/>
            <w:tcBorders>
              <w:top w:val="nil"/>
              <w:left w:val="nil"/>
              <w:bottom w:val="single" w:color="auto" w:sz="4" w:space="0"/>
              <w:right w:val="single" w:color="auto" w:sz="4" w:space="0"/>
            </w:tcBorders>
            <w:shd w:val="clear" w:color="auto" w:fill="auto"/>
            <w:noWrap/>
            <w:vAlign w:val="center"/>
          </w:tcPr>
          <w:p w:rsidRPr="00917A7A" w:rsidR="001C2EAD" w:rsidP="00464625" w:rsidRDefault="00E8092E" w14:paraId="59C23675" w14:textId="16132C66">
            <w:pPr>
              <w:keepNext/>
              <w:keepLines/>
              <w:widowControl/>
              <w:autoSpaceDE/>
              <w:autoSpaceDN/>
              <w:adjustRightInd/>
              <w:jc w:val="right"/>
              <w:rPr>
                <w:sz w:val="22"/>
                <w:szCs w:val="22"/>
              </w:rPr>
            </w:pPr>
            <w:r w:rsidRPr="00917A7A">
              <w:rPr>
                <w:sz w:val="22"/>
                <w:szCs w:val="22"/>
              </w:rPr>
              <w:t>8,320</w:t>
            </w:r>
          </w:p>
        </w:tc>
        <w:tc>
          <w:tcPr>
            <w:tcW w:w="1530" w:type="dxa"/>
            <w:tcBorders>
              <w:top w:val="nil"/>
              <w:left w:val="nil"/>
              <w:bottom w:val="single" w:color="auto" w:sz="4" w:space="0"/>
              <w:right w:val="single" w:color="auto" w:sz="2" w:space="0"/>
            </w:tcBorders>
            <w:shd w:val="clear" w:color="auto" w:fill="auto"/>
            <w:noWrap/>
            <w:vAlign w:val="center"/>
          </w:tcPr>
          <w:p w:rsidRPr="00917A7A" w:rsidR="001C2EAD" w:rsidP="00464625" w:rsidRDefault="00333755" w14:paraId="0AB01028" w14:textId="77777777">
            <w:pPr>
              <w:keepNext/>
              <w:keepLines/>
              <w:widowControl/>
              <w:autoSpaceDE/>
              <w:autoSpaceDN/>
              <w:adjustRightInd/>
              <w:jc w:val="right"/>
              <w:rPr>
                <w:sz w:val="22"/>
                <w:szCs w:val="22"/>
              </w:rPr>
            </w:pPr>
            <w:r w:rsidRPr="00917A7A">
              <w:rPr>
                <w:sz w:val="22"/>
                <w:szCs w:val="22"/>
              </w:rPr>
              <w:t>$0</w:t>
            </w:r>
          </w:p>
        </w:tc>
      </w:tr>
      <w:tr w:rsidRPr="00917A7A" w:rsidR="00917A7A" w:rsidTr="00465DE5" w14:paraId="771CF16D" w14:textId="77777777">
        <w:trPr>
          <w:trHeight w:val="288"/>
        </w:trPr>
        <w:tc>
          <w:tcPr>
            <w:tcW w:w="3683" w:type="dxa"/>
            <w:tcBorders>
              <w:top w:val="single" w:color="auto" w:sz="4" w:space="0"/>
              <w:left w:val="single" w:color="auto" w:sz="2" w:space="0"/>
              <w:bottom w:val="single" w:color="auto" w:sz="18" w:space="0"/>
              <w:right w:val="single" w:color="auto" w:sz="4" w:space="0"/>
            </w:tcBorders>
            <w:shd w:val="clear" w:color="auto" w:fill="auto"/>
            <w:noWrap/>
            <w:vAlign w:val="center"/>
            <w:hideMark/>
          </w:tcPr>
          <w:p w:rsidRPr="00917A7A" w:rsidR="001C2EAD" w:rsidP="00464625" w:rsidRDefault="001C2EAD" w14:paraId="07F710E7" w14:textId="77777777">
            <w:pPr>
              <w:keepNext/>
              <w:keepLines/>
              <w:widowControl/>
              <w:autoSpaceDE/>
              <w:autoSpaceDN/>
              <w:adjustRightInd/>
              <w:ind w:left="247"/>
              <w:rPr>
                <w:sz w:val="22"/>
                <w:szCs w:val="22"/>
              </w:rPr>
            </w:pPr>
            <w:r w:rsidRPr="00917A7A">
              <w:rPr>
                <w:sz w:val="22"/>
                <w:szCs w:val="22"/>
              </w:rPr>
              <w:t>Change due to Adjustment in Agency Estimate</w:t>
            </w:r>
          </w:p>
        </w:tc>
        <w:tc>
          <w:tcPr>
            <w:tcW w:w="1710" w:type="dxa"/>
            <w:tcBorders>
              <w:top w:val="single" w:color="auto" w:sz="4" w:space="0"/>
              <w:left w:val="nil"/>
              <w:bottom w:val="single" w:color="auto" w:sz="18" w:space="0"/>
              <w:right w:val="single" w:color="auto" w:sz="4" w:space="0"/>
            </w:tcBorders>
            <w:shd w:val="clear" w:color="auto" w:fill="auto"/>
            <w:noWrap/>
            <w:vAlign w:val="center"/>
          </w:tcPr>
          <w:p w:rsidRPr="00917A7A" w:rsidR="001C2EAD" w:rsidP="00464625" w:rsidRDefault="00E8092E" w14:paraId="2C50181B" w14:textId="284D33F4">
            <w:pPr>
              <w:keepNext/>
              <w:keepLines/>
              <w:widowControl/>
              <w:autoSpaceDE/>
              <w:autoSpaceDN/>
              <w:adjustRightInd/>
              <w:jc w:val="right"/>
              <w:rPr>
                <w:sz w:val="22"/>
                <w:szCs w:val="22"/>
              </w:rPr>
            </w:pPr>
            <w:r w:rsidRPr="00917A7A">
              <w:rPr>
                <w:sz w:val="22"/>
                <w:szCs w:val="22"/>
              </w:rPr>
              <w:t>-43,764</w:t>
            </w:r>
          </w:p>
        </w:tc>
        <w:tc>
          <w:tcPr>
            <w:tcW w:w="1620" w:type="dxa"/>
            <w:tcBorders>
              <w:top w:val="single" w:color="auto" w:sz="4" w:space="0"/>
              <w:left w:val="nil"/>
              <w:bottom w:val="single" w:color="auto" w:sz="18" w:space="0"/>
              <w:right w:val="single" w:color="auto" w:sz="4" w:space="0"/>
            </w:tcBorders>
            <w:shd w:val="clear" w:color="auto" w:fill="auto"/>
            <w:noWrap/>
            <w:vAlign w:val="center"/>
          </w:tcPr>
          <w:p w:rsidRPr="00917A7A" w:rsidR="001C2EAD" w:rsidP="00464625" w:rsidRDefault="00E8092E" w14:paraId="17B98167" w14:textId="6D747A13">
            <w:pPr>
              <w:keepNext/>
              <w:keepLines/>
              <w:widowControl/>
              <w:autoSpaceDE/>
              <w:autoSpaceDN/>
              <w:adjustRightInd/>
              <w:jc w:val="right"/>
              <w:rPr>
                <w:sz w:val="22"/>
                <w:szCs w:val="22"/>
              </w:rPr>
            </w:pPr>
            <w:r w:rsidRPr="00917A7A">
              <w:rPr>
                <w:sz w:val="22"/>
                <w:szCs w:val="22"/>
              </w:rPr>
              <w:t>-7,294</w:t>
            </w:r>
          </w:p>
        </w:tc>
        <w:tc>
          <w:tcPr>
            <w:tcW w:w="1530" w:type="dxa"/>
            <w:tcBorders>
              <w:top w:val="single" w:color="auto" w:sz="4" w:space="0"/>
              <w:left w:val="nil"/>
              <w:bottom w:val="single" w:color="auto" w:sz="18" w:space="0"/>
              <w:right w:val="single" w:color="auto" w:sz="2" w:space="0"/>
            </w:tcBorders>
            <w:shd w:val="clear" w:color="auto" w:fill="auto"/>
            <w:noWrap/>
            <w:vAlign w:val="center"/>
            <w:hideMark/>
          </w:tcPr>
          <w:p w:rsidRPr="00917A7A" w:rsidR="001C2EAD" w:rsidP="00464625" w:rsidRDefault="00333755" w14:paraId="42A60BBC" w14:textId="77777777">
            <w:pPr>
              <w:keepNext/>
              <w:keepLines/>
              <w:widowControl/>
              <w:autoSpaceDE/>
              <w:autoSpaceDN/>
              <w:adjustRightInd/>
              <w:jc w:val="right"/>
              <w:rPr>
                <w:sz w:val="22"/>
                <w:szCs w:val="22"/>
              </w:rPr>
            </w:pPr>
            <w:r w:rsidRPr="00917A7A">
              <w:rPr>
                <w:sz w:val="22"/>
                <w:szCs w:val="22"/>
              </w:rPr>
              <w:t>$</w:t>
            </w:r>
            <w:r w:rsidRPr="00917A7A" w:rsidR="001C2EAD">
              <w:rPr>
                <w:sz w:val="22"/>
                <w:szCs w:val="22"/>
              </w:rPr>
              <w:t>0</w:t>
            </w:r>
          </w:p>
        </w:tc>
      </w:tr>
    </w:tbl>
    <w:p w:rsidRPr="00917A7A" w:rsidR="00373407" w:rsidP="006A7AC4" w:rsidRDefault="00373407" w14:paraId="2C66E367" w14:textId="77777777">
      <w:pPr>
        <w:ind w:left="360"/>
        <w:rPr>
          <w:bCs/>
          <w:szCs w:val="24"/>
        </w:rPr>
      </w:pPr>
    </w:p>
    <w:p w:rsidRPr="00917A7A" w:rsidR="00657D75" w:rsidP="00373407" w:rsidRDefault="00F4292F" w14:paraId="2BA33F5D" w14:textId="1ED58DBC">
      <w:pPr>
        <w:ind w:left="360"/>
        <w:rPr>
          <w:bCs/>
          <w:szCs w:val="24"/>
        </w:rPr>
      </w:pPr>
      <w:r w:rsidRPr="00917A7A">
        <w:rPr>
          <w:bCs/>
          <w:szCs w:val="24"/>
        </w:rPr>
        <w:t>As presented in Table 15</w:t>
      </w:r>
      <w:r w:rsidRPr="00917A7A" w:rsidR="00373407">
        <w:rPr>
          <w:bCs/>
          <w:szCs w:val="24"/>
        </w:rPr>
        <w:t>,</w:t>
      </w:r>
      <w:r w:rsidRPr="00917A7A" w:rsidR="00657D75">
        <w:rPr>
          <w:bCs/>
          <w:szCs w:val="24"/>
        </w:rPr>
        <w:t xml:space="preserve"> the program change due to Agency discretion reflects the elimination </w:t>
      </w:r>
      <w:r w:rsidRPr="00917A7A" w:rsidR="00FF2751">
        <w:rPr>
          <w:bCs/>
          <w:szCs w:val="24"/>
        </w:rPr>
        <w:t xml:space="preserve">under IC-1 </w:t>
      </w:r>
      <w:r w:rsidRPr="00917A7A" w:rsidR="00657D75">
        <w:rPr>
          <w:bCs/>
          <w:szCs w:val="24"/>
        </w:rPr>
        <w:t xml:space="preserve">of the burden associated with </w:t>
      </w:r>
      <w:r w:rsidRPr="00917A7A" w:rsidR="00657D75">
        <w:t>the existing ELDT requirements under Subpart E of part 380</w:t>
      </w:r>
      <w:r w:rsidRPr="00917A7A" w:rsidR="00FF2751">
        <w:t>, during</w:t>
      </w:r>
      <w:r w:rsidRPr="00917A7A" w:rsidR="00657D75">
        <w:t xml:space="preserve"> the last year, 2022, of the three-year period covered by this ICR. At the same time, </w:t>
      </w:r>
      <w:r w:rsidRPr="00917A7A" w:rsidR="00FF2751">
        <w:t xml:space="preserve">new minimum training standards for entry-level drivers (in a new Subpart F and five new Appendices to part 380), and new requirements for training providers (in a new Subpart G) are established as of 2022 that result in new sources and types of burden. The net result is a modest increase in burden as a result of program change due to Agency discretion. The change due to adjustment in Agency estimate presented in Table 15 reflects the use of improved and more up-to-date estimates of the number of entry-level drivers </w:t>
      </w:r>
      <w:r w:rsidRPr="00917A7A" w:rsidR="000468F7">
        <w:t xml:space="preserve">in the calculation of the burden associated </w:t>
      </w:r>
      <w:r w:rsidRPr="00917A7A" w:rsidR="000468F7">
        <w:rPr>
          <w:bCs/>
          <w:szCs w:val="24"/>
        </w:rPr>
        <w:t xml:space="preserve">with </w:t>
      </w:r>
      <w:r w:rsidRPr="00917A7A" w:rsidR="000468F7">
        <w:t xml:space="preserve">the existing ELDT requirements under Subpart E of part 380 for the years 2020 and 2021. These estimates are somewhat </w:t>
      </w:r>
      <w:r w:rsidRPr="00917A7A" w:rsidR="000468F7">
        <w:lastRenderedPageBreak/>
        <w:t>lower than those used previously, therefore resulting in a modest decrease in burden as a result of change due to adjustment in Agency estimate.</w:t>
      </w:r>
      <w:r w:rsidRPr="00917A7A" w:rsidR="00097D59">
        <w:t xml:space="preserve"> </w:t>
      </w:r>
      <w:r w:rsidRPr="00917A7A" w:rsidR="000468F7">
        <w:t xml:space="preserve">Overall, the program change due to Agency discretion, and the change due to adjustment in Agency estimate, largely offset each other, resulting in very little change in the total burden. </w:t>
      </w:r>
    </w:p>
    <w:p w:rsidRPr="00917A7A" w:rsidR="00500F5F" w:rsidP="006A7AC4" w:rsidRDefault="00500F5F" w14:paraId="1D4E7D41" w14:textId="77777777">
      <w:pPr>
        <w:ind w:left="360"/>
        <w:rPr>
          <w:bCs/>
          <w:szCs w:val="24"/>
        </w:rPr>
      </w:pPr>
    </w:p>
    <w:p w:rsidRPr="00917A7A" w:rsidR="001B772F" w:rsidP="001B772F" w:rsidRDefault="00E85FE4" w14:paraId="28FFBD1F" w14:textId="77777777">
      <w:pPr>
        <w:tabs>
          <w:tab w:val="left" w:pos="360"/>
        </w:tabs>
      </w:pPr>
      <w:r w:rsidRPr="00917A7A">
        <w:rPr>
          <w:b/>
          <w:bCs/>
        </w:rPr>
        <w:t>16.</w:t>
      </w:r>
      <w:r w:rsidRPr="00917A7A">
        <w:rPr>
          <w:b/>
          <w:bCs/>
        </w:rPr>
        <w:tab/>
      </w:r>
      <w:r w:rsidRPr="00917A7A" w:rsidR="00E24314">
        <w:rPr>
          <w:b/>
          <w:bCs/>
        </w:rPr>
        <w:t>PUBLICATION OF RESULTS OF DATA COLLECTION</w:t>
      </w:r>
      <w:r w:rsidRPr="00917A7A" w:rsidR="00E24314">
        <w:rPr>
          <w:b/>
        </w:rPr>
        <w:br/>
      </w:r>
    </w:p>
    <w:p w:rsidRPr="00917A7A" w:rsidR="001B772F" w:rsidP="001B772F" w:rsidRDefault="001B772F" w14:paraId="76071537" w14:textId="77777777">
      <w:pPr>
        <w:ind w:left="360"/>
      </w:pPr>
      <w:r w:rsidRPr="00917A7A">
        <w:t>The results of this ICR will not be published.</w:t>
      </w:r>
    </w:p>
    <w:p w:rsidRPr="00917A7A" w:rsidR="009E2F2D" w:rsidP="001B772F" w:rsidRDefault="009E2F2D" w14:paraId="08C5DFB6" w14:textId="77777777">
      <w:pPr>
        <w:ind w:left="360"/>
      </w:pPr>
    </w:p>
    <w:p w:rsidRPr="00917A7A" w:rsidR="00185064" w:rsidP="00185064" w:rsidRDefault="00185064" w14:paraId="2A23FEF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 w:val="left" w:pos="360"/>
        </w:tabs>
        <w:ind w:left="360" w:hanging="360"/>
        <w:rPr>
          <w:bCs/>
          <w:color w:val="auto"/>
          <w:szCs w:val="20"/>
        </w:rPr>
      </w:pPr>
      <w:r w:rsidRPr="00917A7A">
        <w:rPr>
          <w:b/>
          <w:bCs/>
          <w:color w:val="auto"/>
          <w:szCs w:val="20"/>
        </w:rPr>
        <w:t>17.</w:t>
      </w:r>
      <w:r w:rsidRPr="00917A7A">
        <w:rPr>
          <w:b/>
          <w:bCs/>
          <w:color w:val="auto"/>
          <w:szCs w:val="20"/>
        </w:rPr>
        <w:tab/>
      </w:r>
      <w:r w:rsidRPr="00917A7A" w:rsidR="00E24314">
        <w:rPr>
          <w:b/>
          <w:bCs/>
          <w:color w:val="auto"/>
          <w:szCs w:val="20"/>
        </w:rPr>
        <w:t>APPROVAL FOR NOT DISPLAYING THE EXPIRATION DATE OF OMB APPROVAL</w:t>
      </w:r>
      <w:r w:rsidRPr="00917A7A" w:rsidR="00E24314">
        <w:rPr>
          <w:bCs/>
          <w:color w:val="auto"/>
          <w:szCs w:val="20"/>
          <w:u w:val="single"/>
        </w:rPr>
        <w:br/>
      </w:r>
    </w:p>
    <w:p w:rsidRPr="00917A7A" w:rsidR="002D4BEF" w:rsidP="001B772F" w:rsidRDefault="001B772F" w14:paraId="41FA20C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color w:val="auto"/>
          <w:szCs w:val="20"/>
        </w:rPr>
      </w:pPr>
      <w:r w:rsidRPr="00917A7A">
        <w:rPr>
          <w:color w:val="auto"/>
        </w:rPr>
        <w:t>Not applicable.</w:t>
      </w:r>
      <w:r w:rsidRPr="00917A7A">
        <w:rPr>
          <w:color w:val="auto"/>
          <w:szCs w:val="20"/>
        </w:rPr>
        <w:t xml:space="preserve"> </w:t>
      </w:r>
    </w:p>
    <w:p w:rsidRPr="00917A7A" w:rsidR="00E24314" w:rsidP="009E2F2D" w:rsidRDefault="00E24314" w14:paraId="33C754B8" w14:textId="77777777">
      <w:pPr>
        <w:rPr>
          <w:bCs/>
          <w:szCs w:val="24"/>
          <w:u w:val="single"/>
        </w:rPr>
      </w:pPr>
    </w:p>
    <w:p w:rsidRPr="00917A7A" w:rsidR="00185064" w:rsidP="00185064" w:rsidRDefault="00185064" w14:paraId="0109F110" w14:textId="77777777">
      <w:pPr>
        <w:tabs>
          <w:tab w:val="left" w:pos="360"/>
        </w:tabs>
        <w:rPr>
          <w:szCs w:val="24"/>
        </w:rPr>
      </w:pPr>
      <w:r w:rsidRPr="00917A7A">
        <w:rPr>
          <w:b/>
          <w:bCs/>
          <w:szCs w:val="24"/>
        </w:rPr>
        <w:t>18.</w:t>
      </w:r>
      <w:r w:rsidRPr="00917A7A">
        <w:rPr>
          <w:b/>
          <w:bCs/>
          <w:szCs w:val="24"/>
        </w:rPr>
        <w:tab/>
      </w:r>
      <w:r w:rsidRPr="00917A7A" w:rsidR="00E24314">
        <w:rPr>
          <w:b/>
          <w:bCs/>
          <w:szCs w:val="24"/>
        </w:rPr>
        <w:t>EXCEPTIONS TO CERTIFICATION STATEMENT</w:t>
      </w:r>
      <w:r w:rsidRPr="00917A7A" w:rsidR="00E24314">
        <w:rPr>
          <w:b/>
          <w:bCs/>
        </w:rPr>
        <w:br/>
      </w:r>
    </w:p>
    <w:p w:rsidRPr="00917A7A" w:rsidR="0049288A" w:rsidP="0049288A" w:rsidRDefault="001B772F" w14:paraId="75719A99" w14:textId="77777777">
      <w:pPr>
        <w:ind w:left="360"/>
        <w:rPr>
          <w:szCs w:val="24"/>
        </w:rPr>
      </w:pPr>
      <w:r w:rsidRPr="00917A7A">
        <w:rPr>
          <w:szCs w:val="24"/>
        </w:rPr>
        <w:t>There are no exceptions to the certification statement</w:t>
      </w:r>
      <w:r w:rsidRPr="00917A7A" w:rsidR="0049288A">
        <w:rPr>
          <w:szCs w:val="24"/>
        </w:rPr>
        <w:t>.</w:t>
      </w:r>
    </w:p>
    <w:p w:rsidRPr="00917A7A" w:rsidR="0049288A" w:rsidP="0049288A" w:rsidRDefault="0049288A" w14:paraId="2244CABC" w14:textId="77777777">
      <w:pPr>
        <w:ind w:left="360"/>
        <w:jc w:val="center"/>
        <w:rPr>
          <w:b/>
        </w:rPr>
      </w:pPr>
      <w:r w:rsidRPr="00917A7A">
        <w:rPr>
          <w:szCs w:val="24"/>
        </w:rPr>
        <w:br w:type="page"/>
      </w:r>
      <w:r w:rsidRPr="00917A7A">
        <w:rPr>
          <w:b/>
        </w:rPr>
        <w:lastRenderedPageBreak/>
        <w:t>ATTACHMENTS</w:t>
      </w:r>
    </w:p>
    <w:p w:rsidRPr="00917A7A" w:rsidR="0049288A" w:rsidP="0049288A" w:rsidRDefault="0049288A" w14:paraId="44224392" w14:textId="77777777">
      <w:pPr>
        <w:widowControl/>
        <w:rPr>
          <w:szCs w:val="24"/>
        </w:rPr>
      </w:pPr>
    </w:p>
    <w:p w:rsidRPr="00917A7A" w:rsidR="0085687D" w:rsidP="0049288A" w:rsidRDefault="0085687D" w14:paraId="7187177F" w14:textId="46577013">
      <w:pPr>
        <w:widowControl/>
        <w:numPr>
          <w:ilvl w:val="0"/>
          <w:numId w:val="37"/>
        </w:numPr>
        <w:autoSpaceDE/>
        <w:autoSpaceDN/>
        <w:adjustRightInd/>
      </w:pPr>
      <w:r w:rsidRPr="00917A7A">
        <w:t xml:space="preserve">49 CFR Part 380. </w:t>
      </w:r>
      <w:r w:rsidRPr="00917A7A" w:rsidR="009071D9">
        <w:t>“</w:t>
      </w:r>
      <w:r w:rsidRPr="00917A7A">
        <w:t>Special Training Requirements.</w:t>
      </w:r>
      <w:r w:rsidRPr="00917A7A" w:rsidR="009071D9">
        <w:t>”</w:t>
      </w:r>
    </w:p>
    <w:p w:rsidRPr="00917A7A" w:rsidR="0049288A" w:rsidP="0049288A" w:rsidRDefault="00171B93" w14:paraId="669D4CB5" w14:textId="77777777">
      <w:pPr>
        <w:widowControl/>
        <w:numPr>
          <w:ilvl w:val="0"/>
          <w:numId w:val="37"/>
        </w:numPr>
        <w:autoSpaceDE/>
        <w:autoSpaceDN/>
        <w:adjustRightInd/>
      </w:pPr>
      <w:r w:rsidRPr="00917A7A">
        <w:t xml:space="preserve">U.S. DOT FMCSA. </w:t>
      </w:r>
      <w:r w:rsidRPr="00917A7A" w:rsidR="0049288A">
        <w:t>“Minimum Training Requirements for Entry-Level Commercial Motor Vehicle Operators</w:t>
      </w:r>
      <w:r w:rsidRPr="00917A7A">
        <w:t>.</w:t>
      </w:r>
      <w:r w:rsidRPr="00917A7A" w:rsidR="0049288A">
        <w:t>”</w:t>
      </w:r>
      <w:r w:rsidRPr="00917A7A">
        <w:t xml:space="preserve"> Final Rule. 81 FR 88732. December 8, 2016</w:t>
      </w:r>
      <w:r w:rsidRPr="00917A7A" w:rsidR="0049288A">
        <w:t xml:space="preserve">. </w:t>
      </w:r>
    </w:p>
    <w:p w:rsidRPr="00917A7A" w:rsidR="00171B93" w:rsidP="00171B93" w:rsidRDefault="00171B93" w14:paraId="3B94B969" w14:textId="41558549">
      <w:pPr>
        <w:widowControl/>
        <w:numPr>
          <w:ilvl w:val="0"/>
          <w:numId w:val="37"/>
        </w:numPr>
        <w:autoSpaceDE/>
        <w:autoSpaceDN/>
        <w:adjustRightInd/>
      </w:pPr>
      <w:r w:rsidRPr="00917A7A">
        <w:t xml:space="preserve">U.S. DOT FMCSA. “Commercial Driver’s License Upgrade from Class B to Class A.” Final Rule. 84 FR 8029. March 6, 2019. </w:t>
      </w:r>
    </w:p>
    <w:p w:rsidRPr="00917A7A" w:rsidR="00BE6C9B" w:rsidP="00A45437" w:rsidRDefault="00BE6C9B" w14:paraId="08E7160B" w14:textId="0B624F39">
      <w:pPr>
        <w:widowControl/>
        <w:numPr>
          <w:ilvl w:val="0"/>
          <w:numId w:val="37"/>
        </w:numPr>
        <w:autoSpaceDE/>
        <w:autoSpaceDN/>
        <w:adjustRightInd/>
      </w:pPr>
      <w:r w:rsidRPr="00917A7A">
        <w:t xml:space="preserve">U.S. DOT FMCSA. “Extension of Compliance Date for Entry-Level Driver Training.” Interim Final Rule. </w:t>
      </w:r>
      <w:r w:rsidRPr="009402C9" w:rsidR="009402C9">
        <w:rPr>
          <w:bCs/>
          <w:szCs w:val="24"/>
        </w:rPr>
        <w:t>(85 FR 6088</w:t>
      </w:r>
      <w:r w:rsidR="00A45437">
        <w:rPr>
          <w:bCs/>
          <w:szCs w:val="24"/>
        </w:rPr>
        <w:t>),</w:t>
      </w:r>
      <w:r w:rsidRPr="00A45437" w:rsidR="00A45437">
        <w:t xml:space="preserve"> February 4, 2020</w:t>
      </w:r>
      <w:r w:rsidRPr="00917A7A">
        <w:t>.</w:t>
      </w:r>
    </w:p>
    <w:p w:rsidRPr="00917A7A" w:rsidR="009812B8" w:rsidP="004B0D0C" w:rsidRDefault="004B0D0C" w14:paraId="249A76E4" w14:textId="3BAB93DF">
      <w:pPr>
        <w:widowControl/>
        <w:numPr>
          <w:ilvl w:val="0"/>
          <w:numId w:val="37"/>
        </w:numPr>
        <w:autoSpaceDE/>
        <w:autoSpaceDN/>
        <w:adjustRightInd/>
      </w:pPr>
      <w:r w:rsidRPr="00917A7A">
        <w:t>Section 4007(a)(2) of the Intermodal Surface Transportation Efficiency Act of 1991 (ISTEA). Pub. L. 102-240. December 18, 1991.</w:t>
      </w:r>
    </w:p>
    <w:p w:rsidRPr="00917A7A" w:rsidR="009812B8" w:rsidP="00587D7F" w:rsidRDefault="00587D7F" w14:paraId="18CB84B8" w14:textId="7D4D7260">
      <w:pPr>
        <w:widowControl/>
        <w:numPr>
          <w:ilvl w:val="0"/>
          <w:numId w:val="37"/>
        </w:numPr>
        <w:autoSpaceDE/>
        <w:autoSpaceDN/>
        <w:adjustRightInd/>
      </w:pPr>
      <w:r w:rsidRPr="00917A7A">
        <w:t>U.S. DOT FMCSA. “Minimum Training Requirements for Entry-Level Commercial Motor Vehicle Operators.” Final Rule. 69 FR 29384. May 21, 2004.</w:t>
      </w:r>
    </w:p>
    <w:p w:rsidRPr="00917A7A" w:rsidR="00171B93" w:rsidP="00171B93" w:rsidRDefault="00171B93" w14:paraId="5399BC12" w14:textId="484DB9ED">
      <w:pPr>
        <w:widowControl/>
        <w:numPr>
          <w:ilvl w:val="0"/>
          <w:numId w:val="37"/>
        </w:numPr>
        <w:autoSpaceDE/>
        <w:autoSpaceDN/>
        <w:adjustRightInd/>
      </w:pPr>
      <w:r w:rsidRPr="00917A7A">
        <w:t xml:space="preserve">Moving Ahead for Progress in the 21st Century Act (MAP–21). Pub. L. 112–141, 126 Stat. 405, 791. </w:t>
      </w:r>
      <w:r w:rsidRPr="00917A7A" w:rsidR="009071D9">
        <w:t>July 6, 2012.</w:t>
      </w:r>
    </w:p>
    <w:p w:rsidRPr="00917A7A" w:rsidR="00872707" w:rsidP="00872707" w:rsidRDefault="00872707" w14:paraId="61365D84" w14:textId="77777777">
      <w:pPr>
        <w:widowControl/>
        <w:numPr>
          <w:ilvl w:val="0"/>
          <w:numId w:val="37"/>
        </w:numPr>
        <w:autoSpaceDE/>
        <w:autoSpaceDN/>
        <w:adjustRightInd/>
      </w:pPr>
      <w:r w:rsidRPr="00917A7A">
        <w:t>U.S. DOT FMCSA. “Minimum Training Requirements for Entry-Level Commercial Motor Vehicle Operators.” Notice of Proposed Rulemaking. 81 FR 11944. March 7, 2016.</w:t>
      </w:r>
    </w:p>
    <w:p w:rsidRPr="00917A7A" w:rsidR="005B6759" w:rsidP="005B6759" w:rsidRDefault="005B6759" w14:paraId="68E282D3" w14:textId="6BB35352">
      <w:pPr>
        <w:widowControl/>
        <w:numPr>
          <w:ilvl w:val="0"/>
          <w:numId w:val="37"/>
        </w:numPr>
        <w:autoSpaceDE/>
        <w:autoSpaceDN/>
        <w:adjustRightInd/>
      </w:pPr>
      <w:r w:rsidRPr="00917A7A">
        <w:t>U.S. DOT FMCSA. “Partial Extension of Compliance Date for Entry-Level Driver Training.” Notice of Proposed Rulemaking. 84 FR 34324. July 18, 2019.</w:t>
      </w:r>
    </w:p>
    <w:p w:rsidRPr="00917A7A" w:rsidR="00171B93" w:rsidP="00171B93" w:rsidRDefault="00445C33" w14:paraId="18070001" w14:textId="77777777">
      <w:pPr>
        <w:widowControl/>
        <w:numPr>
          <w:ilvl w:val="0"/>
          <w:numId w:val="37"/>
        </w:numPr>
        <w:autoSpaceDE/>
        <w:autoSpaceDN/>
        <w:adjustRightInd/>
      </w:pPr>
      <w:r w:rsidRPr="00917A7A">
        <w:t>Government Paperwork Elimination Act (GPEA). Pub. L. 105-277, Title XVII. October 21, 1998.</w:t>
      </w:r>
    </w:p>
    <w:p w:rsidRPr="00917A7A" w:rsidR="00445C33" w:rsidP="00171B93" w:rsidRDefault="00445C33" w14:paraId="5F97EDEB" w14:textId="77777777">
      <w:pPr>
        <w:widowControl/>
        <w:numPr>
          <w:ilvl w:val="0"/>
          <w:numId w:val="37"/>
        </w:numPr>
        <w:autoSpaceDE/>
        <w:autoSpaceDN/>
        <w:adjustRightInd/>
      </w:pPr>
      <w:r w:rsidRPr="00917A7A">
        <w:t>60-day Federal Register Notice.</w:t>
      </w:r>
    </w:p>
    <w:p w:rsidRPr="00917A7A" w:rsidR="00445C33" w:rsidP="00171B93" w:rsidRDefault="00445C33" w14:paraId="628F3C1E" w14:textId="77777777">
      <w:pPr>
        <w:widowControl/>
        <w:numPr>
          <w:ilvl w:val="0"/>
          <w:numId w:val="37"/>
        </w:numPr>
        <w:autoSpaceDE/>
        <w:autoSpaceDN/>
        <w:adjustRightInd/>
      </w:pPr>
      <w:r w:rsidRPr="00917A7A">
        <w:t>30-day Federal Register Notice.</w:t>
      </w:r>
    </w:p>
    <w:p w:rsidRPr="00917A7A" w:rsidR="0049288A" w:rsidP="0049288A" w:rsidRDefault="0049288A" w14:paraId="2C022C62" w14:textId="77777777">
      <w:pPr>
        <w:widowControl/>
        <w:numPr>
          <w:ilvl w:val="0"/>
          <w:numId w:val="37"/>
        </w:numPr>
        <w:autoSpaceDE/>
        <w:autoSpaceDN/>
        <w:adjustRightInd/>
      </w:pPr>
      <w:r w:rsidRPr="00917A7A">
        <w:t>Privacy Act of 1974</w:t>
      </w:r>
      <w:r w:rsidRPr="00917A7A" w:rsidR="00171B93">
        <w:t xml:space="preserve">. </w:t>
      </w:r>
      <w:r w:rsidRPr="00917A7A">
        <w:t>5 U.S.C. § 552a, Pub. L. 93-579, 88 Stat. 1897</w:t>
      </w:r>
      <w:r w:rsidRPr="00917A7A" w:rsidR="00171B93">
        <w:t xml:space="preserve">. </w:t>
      </w:r>
      <w:r w:rsidRPr="00917A7A">
        <w:t xml:space="preserve">December </w:t>
      </w:r>
      <w:r w:rsidRPr="00917A7A" w:rsidR="00171B93">
        <w:t>31, 1974</w:t>
      </w:r>
      <w:r w:rsidRPr="00917A7A">
        <w:t>.</w:t>
      </w:r>
    </w:p>
    <w:p w:rsidRPr="00917A7A" w:rsidR="0049288A" w:rsidP="0049288A" w:rsidRDefault="0049288A" w14:paraId="6A6D6B23" w14:textId="77777777">
      <w:pPr>
        <w:pStyle w:val="MC-PREAcronymList"/>
        <w:tabs>
          <w:tab w:val="left" w:pos="1620"/>
        </w:tabs>
        <w:spacing w:after="0"/>
      </w:pPr>
    </w:p>
    <w:p w:rsidRPr="00917A7A" w:rsidR="0049288A" w:rsidP="0049288A" w:rsidRDefault="0049288A" w14:paraId="02B41F1F" w14:textId="77777777">
      <w:pPr>
        <w:pStyle w:val="MC-PREAcronymList"/>
        <w:tabs>
          <w:tab w:val="left" w:pos="1620"/>
        </w:tabs>
        <w:spacing w:after="0"/>
      </w:pPr>
    </w:p>
    <w:p w:rsidRPr="00917A7A" w:rsidR="00171B93" w:rsidP="00171B93" w:rsidRDefault="00171B93" w14:paraId="531A8FF9" w14:textId="77777777">
      <w:pPr>
        <w:widowControl/>
      </w:pPr>
    </w:p>
    <w:p w:rsidRPr="00917A7A" w:rsidR="007C2AE1" w:rsidP="009670AA" w:rsidRDefault="007C2AE1" w14:paraId="3D1227A4" w14:textId="77777777">
      <w:pPr>
        <w:pStyle w:val="NormalWeb"/>
        <w:spacing w:before="0" w:beforeAutospacing="0" w:after="0" w:afterAutospacing="0"/>
      </w:pPr>
    </w:p>
    <w:p w:rsidRPr="00917A7A" w:rsidR="001B772F" w:rsidP="001B772F" w:rsidRDefault="001B772F" w14:paraId="7C87836F" w14:textId="77777777">
      <w:pPr>
        <w:pStyle w:val="Title"/>
        <w:widowControl/>
        <w:outlineLvl w:val="0"/>
      </w:pPr>
      <w:r w:rsidRPr="00917A7A">
        <w:br w:type="page"/>
      </w:r>
      <w:r w:rsidRPr="00917A7A">
        <w:lastRenderedPageBreak/>
        <w:t>ACRONYMS LIST</w:t>
      </w:r>
    </w:p>
    <w:p w:rsidRPr="00917A7A" w:rsidR="001B772F" w:rsidP="001B772F" w:rsidRDefault="001B772F" w14:paraId="75CA36C0" w14:textId="77777777">
      <w:pPr>
        <w:widowControl/>
        <w:rPr>
          <w:szCs w:val="24"/>
        </w:rPr>
      </w:pPr>
    </w:p>
    <w:p w:rsidRPr="00917A7A" w:rsidR="001B772F" w:rsidP="00872707" w:rsidRDefault="001B772F" w14:paraId="69A366A6" w14:textId="77777777">
      <w:pPr>
        <w:pStyle w:val="MC-PREAcronymList"/>
        <w:tabs>
          <w:tab w:val="left" w:pos="1620"/>
        </w:tabs>
        <w:spacing w:after="0" w:line="264" w:lineRule="auto"/>
      </w:pPr>
      <w:bookmarkStart w:name="_Toc356932241" w:id="2"/>
      <w:bookmarkStart w:name="_Toc404688747" w:id="3"/>
      <w:r w:rsidRPr="00917A7A">
        <w:t>BLS</w:t>
      </w:r>
      <w:r w:rsidRPr="00917A7A">
        <w:tab/>
        <w:t>Bureau of Labor Statistics</w:t>
      </w:r>
    </w:p>
    <w:p w:rsidRPr="00917A7A" w:rsidR="0095685C" w:rsidP="00872707" w:rsidRDefault="00B502B1" w14:paraId="3CA5D4BB" w14:textId="77777777">
      <w:pPr>
        <w:pStyle w:val="MC-PREAcronymList"/>
        <w:tabs>
          <w:tab w:val="left" w:pos="1620"/>
        </w:tabs>
        <w:spacing w:after="0" w:line="264" w:lineRule="auto"/>
      </w:pPr>
      <w:r w:rsidRPr="00917A7A">
        <w:t>BTW</w:t>
      </w:r>
      <w:r w:rsidRPr="00917A7A">
        <w:tab/>
        <w:t>Behind-the-</w:t>
      </w:r>
      <w:r w:rsidRPr="00917A7A" w:rsidR="0095685C">
        <w:t>Wheel</w:t>
      </w:r>
    </w:p>
    <w:p w:rsidRPr="00917A7A" w:rsidR="0095685C" w:rsidP="00872707" w:rsidRDefault="0095685C" w14:paraId="40DEEF63" w14:textId="77777777">
      <w:pPr>
        <w:pStyle w:val="MC-PREAcronymList"/>
        <w:tabs>
          <w:tab w:val="left" w:pos="1620"/>
        </w:tabs>
        <w:spacing w:after="0" w:line="264" w:lineRule="auto"/>
      </w:pPr>
      <w:r w:rsidRPr="00917A7A">
        <w:t>CDL</w:t>
      </w:r>
      <w:r w:rsidRPr="00917A7A">
        <w:tab/>
        <w:t>Commercial Driver’s License</w:t>
      </w:r>
    </w:p>
    <w:p w:rsidRPr="00917A7A" w:rsidR="001B772F" w:rsidP="00872707" w:rsidRDefault="001B772F" w14:paraId="4392808E" w14:textId="77777777">
      <w:pPr>
        <w:pStyle w:val="MC-PREAcronymList"/>
        <w:tabs>
          <w:tab w:val="left" w:pos="1620"/>
        </w:tabs>
        <w:spacing w:after="0" w:line="264" w:lineRule="auto"/>
      </w:pPr>
      <w:r w:rsidRPr="00917A7A">
        <w:t>CFR</w:t>
      </w:r>
      <w:r w:rsidRPr="00917A7A">
        <w:tab/>
        <w:t>Code of Federal Regulations</w:t>
      </w:r>
    </w:p>
    <w:p w:rsidRPr="00917A7A" w:rsidR="00943304" w:rsidP="00872707" w:rsidRDefault="00943304" w14:paraId="665AAE63" w14:textId="77777777">
      <w:pPr>
        <w:pStyle w:val="MC-PREAcronymList"/>
        <w:tabs>
          <w:tab w:val="left" w:pos="1620"/>
        </w:tabs>
        <w:spacing w:after="0" w:line="264" w:lineRule="auto"/>
      </w:pPr>
      <w:r w:rsidRPr="00917A7A">
        <w:t>CLP</w:t>
      </w:r>
      <w:r w:rsidRPr="00917A7A">
        <w:tab/>
        <w:t>Commercial Learner’s Permit</w:t>
      </w:r>
    </w:p>
    <w:p w:rsidRPr="00917A7A" w:rsidR="001B772F" w:rsidP="00872707" w:rsidRDefault="001B772F" w14:paraId="3FE0EDE5" w14:textId="77777777">
      <w:pPr>
        <w:pStyle w:val="MC-PREAcronymList"/>
        <w:tabs>
          <w:tab w:val="left" w:pos="1620"/>
        </w:tabs>
        <w:spacing w:after="0" w:line="264" w:lineRule="auto"/>
      </w:pPr>
      <w:r w:rsidRPr="00917A7A">
        <w:t>CMV</w:t>
      </w:r>
      <w:r w:rsidRPr="00917A7A">
        <w:tab/>
        <w:t>Commercial Motor Vehicle</w:t>
      </w:r>
    </w:p>
    <w:p w:rsidRPr="00917A7A" w:rsidR="0060755C" w:rsidP="00872707" w:rsidRDefault="0060755C" w14:paraId="244523F2" w14:textId="0B8C214E">
      <w:pPr>
        <w:pStyle w:val="MC-PREAcronymList"/>
        <w:tabs>
          <w:tab w:val="left" w:pos="1620"/>
        </w:tabs>
        <w:spacing w:after="0" w:line="264" w:lineRule="auto"/>
      </w:pPr>
      <w:r w:rsidRPr="00917A7A">
        <w:t>CVTA</w:t>
      </w:r>
      <w:r w:rsidRPr="00917A7A">
        <w:tab/>
        <w:t>Commercial Vehicle Training Association</w:t>
      </w:r>
    </w:p>
    <w:p w:rsidRPr="00917A7A" w:rsidR="001B772F" w:rsidP="00872707" w:rsidRDefault="001B772F" w14:paraId="3313538B" w14:textId="0FA767C8">
      <w:pPr>
        <w:pStyle w:val="MC-PREAcronymList"/>
        <w:tabs>
          <w:tab w:val="left" w:pos="1620"/>
        </w:tabs>
        <w:spacing w:after="0" w:line="264" w:lineRule="auto"/>
      </w:pPr>
      <w:r w:rsidRPr="00917A7A">
        <w:t>DOL</w:t>
      </w:r>
      <w:r w:rsidRPr="00917A7A">
        <w:tab/>
        <w:t>Department of Labor</w:t>
      </w:r>
    </w:p>
    <w:p w:rsidRPr="00917A7A" w:rsidR="001B772F" w:rsidP="00872707" w:rsidRDefault="001B772F" w14:paraId="0778BDD0" w14:textId="77777777">
      <w:pPr>
        <w:pStyle w:val="MC-PREAcronymList"/>
        <w:tabs>
          <w:tab w:val="left" w:pos="1620"/>
        </w:tabs>
        <w:spacing w:after="0" w:line="264" w:lineRule="auto"/>
      </w:pPr>
      <w:r w:rsidRPr="00917A7A">
        <w:t>DOT</w:t>
      </w:r>
      <w:r w:rsidRPr="00917A7A">
        <w:tab/>
        <w:t>Department of Transportation</w:t>
      </w:r>
    </w:p>
    <w:p w:rsidRPr="00917A7A" w:rsidR="001B772F" w:rsidP="00872707" w:rsidRDefault="001B772F" w14:paraId="3E167E86" w14:textId="77777777">
      <w:pPr>
        <w:pStyle w:val="MC-PREAcronymList"/>
        <w:tabs>
          <w:tab w:val="left" w:pos="1620"/>
        </w:tabs>
        <w:spacing w:after="0" w:line="264" w:lineRule="auto"/>
      </w:pPr>
      <w:r w:rsidRPr="00917A7A">
        <w:t>ECEC</w:t>
      </w:r>
      <w:r w:rsidRPr="00917A7A">
        <w:tab/>
        <w:t>Employer Costs for Employee Compensation</w:t>
      </w:r>
    </w:p>
    <w:p w:rsidRPr="00917A7A" w:rsidR="009C0A86" w:rsidP="00872707" w:rsidRDefault="009C0A86" w14:paraId="0000A9BC" w14:textId="77777777">
      <w:pPr>
        <w:pStyle w:val="MC-PREAcronymList"/>
        <w:tabs>
          <w:tab w:val="left" w:pos="1620"/>
        </w:tabs>
        <w:spacing w:after="0" w:line="264" w:lineRule="auto"/>
      </w:pPr>
      <w:r w:rsidRPr="00917A7A">
        <w:t>ELDT</w:t>
      </w:r>
      <w:r w:rsidRPr="00917A7A">
        <w:tab/>
        <w:t>Entry-Level Driver Training</w:t>
      </w:r>
    </w:p>
    <w:p w:rsidRPr="00917A7A" w:rsidR="009C0A86" w:rsidP="00872707" w:rsidRDefault="009C0A86" w14:paraId="347C369D" w14:textId="77777777">
      <w:pPr>
        <w:pStyle w:val="MC-PREAcronymList"/>
        <w:tabs>
          <w:tab w:val="left" w:pos="1620"/>
        </w:tabs>
        <w:spacing w:after="0" w:line="264" w:lineRule="auto"/>
      </w:pPr>
      <w:r w:rsidRPr="00917A7A">
        <w:t>ELDTAC</w:t>
      </w:r>
      <w:r w:rsidRPr="00917A7A">
        <w:tab/>
        <w:t>Entry-Level Driver Training Advisory Committee</w:t>
      </w:r>
    </w:p>
    <w:p w:rsidRPr="00917A7A" w:rsidR="009C4742" w:rsidP="00872707" w:rsidRDefault="009C4742" w14:paraId="69034A9B" w14:textId="41CF1482">
      <w:pPr>
        <w:pStyle w:val="MC-PREAcronymList"/>
        <w:tabs>
          <w:tab w:val="left" w:pos="1620"/>
        </w:tabs>
        <w:spacing w:after="0" w:line="264" w:lineRule="auto"/>
      </w:pPr>
      <w:r w:rsidRPr="00917A7A">
        <w:t>FHWA</w:t>
      </w:r>
      <w:r w:rsidRPr="00917A7A">
        <w:tab/>
        <w:t>Federal Highway Administration</w:t>
      </w:r>
    </w:p>
    <w:p w:rsidRPr="00917A7A" w:rsidR="004054A4" w:rsidP="00872707" w:rsidRDefault="004054A4" w14:paraId="1C47EA0C" w14:textId="3DF4879C">
      <w:pPr>
        <w:pStyle w:val="MC-PREAcronymList"/>
        <w:tabs>
          <w:tab w:val="left" w:pos="1620"/>
        </w:tabs>
        <w:spacing w:after="0" w:line="264" w:lineRule="auto"/>
      </w:pPr>
      <w:r w:rsidRPr="00917A7A">
        <w:t>FIPPs</w:t>
      </w:r>
      <w:r w:rsidRPr="00917A7A">
        <w:tab/>
        <w:t>Fair Information Practice Principles</w:t>
      </w:r>
    </w:p>
    <w:p w:rsidRPr="00917A7A" w:rsidR="001B772F" w:rsidP="00872707" w:rsidRDefault="001B772F" w14:paraId="0DEA9ACA" w14:textId="77777777">
      <w:pPr>
        <w:pStyle w:val="MC-PREAcronymList"/>
        <w:tabs>
          <w:tab w:val="left" w:pos="1620"/>
        </w:tabs>
        <w:spacing w:after="0" w:line="264" w:lineRule="auto"/>
      </w:pPr>
      <w:r w:rsidRPr="00917A7A">
        <w:t>FMCSA</w:t>
      </w:r>
      <w:r w:rsidRPr="00917A7A">
        <w:tab/>
        <w:t>Federal Motor Carrier Safety Administration</w:t>
      </w:r>
    </w:p>
    <w:p w:rsidRPr="00917A7A" w:rsidR="001B772F" w:rsidP="00872707" w:rsidRDefault="001B772F" w14:paraId="7C40F558" w14:textId="77777777">
      <w:pPr>
        <w:pStyle w:val="MC-PREAcronymList"/>
        <w:tabs>
          <w:tab w:val="left" w:pos="1620"/>
        </w:tabs>
        <w:spacing w:after="0" w:line="264" w:lineRule="auto"/>
      </w:pPr>
      <w:r w:rsidRPr="00917A7A">
        <w:t>FR</w:t>
      </w:r>
      <w:r w:rsidRPr="00917A7A">
        <w:tab/>
        <w:t>Federal Register</w:t>
      </w:r>
    </w:p>
    <w:p w:rsidRPr="00917A7A" w:rsidR="00EA6AD5" w:rsidP="00872707" w:rsidRDefault="00EA6AD5" w14:paraId="6311397C" w14:textId="77777777">
      <w:pPr>
        <w:pStyle w:val="MC-PREAcronymList"/>
        <w:tabs>
          <w:tab w:val="left" w:pos="1620"/>
        </w:tabs>
        <w:spacing w:after="0" w:line="264" w:lineRule="auto"/>
      </w:pPr>
      <w:r w:rsidRPr="00917A7A">
        <w:t>GPEA</w:t>
      </w:r>
      <w:r w:rsidRPr="00917A7A">
        <w:tab/>
        <w:t>Government Paperwork Elimination Act</w:t>
      </w:r>
    </w:p>
    <w:p w:rsidRPr="00917A7A" w:rsidR="001B772F" w:rsidP="00872707" w:rsidRDefault="001B772F" w14:paraId="26D74874" w14:textId="77777777">
      <w:pPr>
        <w:pStyle w:val="MC-PREAcronymList"/>
        <w:tabs>
          <w:tab w:val="left" w:pos="1620"/>
        </w:tabs>
        <w:spacing w:after="0" w:line="264" w:lineRule="auto"/>
      </w:pPr>
      <w:r w:rsidRPr="00917A7A">
        <w:t>GSA</w:t>
      </w:r>
      <w:r w:rsidRPr="00917A7A">
        <w:tab/>
        <w:t>General Services Administration</w:t>
      </w:r>
    </w:p>
    <w:p w:rsidRPr="00917A7A" w:rsidR="001B772F" w:rsidP="00872707" w:rsidRDefault="001B772F" w14:paraId="2C034E07" w14:textId="77777777">
      <w:pPr>
        <w:pStyle w:val="MC-PREAcronymList"/>
        <w:tabs>
          <w:tab w:val="left" w:pos="1620"/>
        </w:tabs>
        <w:spacing w:after="0" w:line="264" w:lineRule="auto"/>
      </w:pPr>
      <w:r w:rsidRPr="00917A7A">
        <w:t>IC</w:t>
      </w:r>
      <w:r w:rsidRPr="00917A7A">
        <w:tab/>
        <w:t>Information Collection</w:t>
      </w:r>
    </w:p>
    <w:p w:rsidRPr="00917A7A" w:rsidR="001B772F" w:rsidP="00872707" w:rsidRDefault="001B772F" w14:paraId="15D52BC0" w14:textId="77777777">
      <w:pPr>
        <w:pStyle w:val="MC-PREAcronymList"/>
        <w:tabs>
          <w:tab w:val="left" w:pos="1620"/>
        </w:tabs>
        <w:spacing w:after="0" w:line="264" w:lineRule="auto"/>
      </w:pPr>
      <w:r w:rsidRPr="00917A7A">
        <w:t>ICR</w:t>
      </w:r>
      <w:r w:rsidRPr="00917A7A">
        <w:tab/>
        <w:t>Information Collection Request</w:t>
      </w:r>
    </w:p>
    <w:p w:rsidRPr="00917A7A" w:rsidR="005E4FAE" w:rsidP="00872707" w:rsidRDefault="005E4FAE" w14:paraId="2890A486" w14:textId="7089247D">
      <w:pPr>
        <w:pStyle w:val="MC-PREAcronymList"/>
        <w:tabs>
          <w:tab w:val="left" w:pos="1620"/>
        </w:tabs>
        <w:spacing w:after="0" w:line="264" w:lineRule="auto"/>
      </w:pPr>
      <w:r w:rsidRPr="00917A7A">
        <w:t>IFR</w:t>
      </w:r>
      <w:r w:rsidRPr="00917A7A">
        <w:tab/>
        <w:t>Interim Final Rule</w:t>
      </w:r>
    </w:p>
    <w:p w:rsidRPr="00917A7A" w:rsidR="009C4742" w:rsidP="00872707" w:rsidRDefault="009C4742" w14:paraId="37F9AAD2" w14:textId="04193E2E">
      <w:pPr>
        <w:pStyle w:val="MC-PREAcronymList"/>
        <w:tabs>
          <w:tab w:val="left" w:pos="1620"/>
        </w:tabs>
        <w:spacing w:after="0" w:line="264" w:lineRule="auto"/>
      </w:pPr>
      <w:r w:rsidRPr="00917A7A">
        <w:t>ISTEA</w:t>
      </w:r>
      <w:r w:rsidRPr="00917A7A">
        <w:tab/>
        <w:t>Intermodal Surface Transportation Efficiency Act of 1991</w:t>
      </w:r>
    </w:p>
    <w:p w:rsidRPr="00917A7A" w:rsidR="0095685C" w:rsidP="00872707" w:rsidRDefault="0095685C" w14:paraId="2DFC29FC" w14:textId="743F35A3">
      <w:pPr>
        <w:pStyle w:val="MC-PREAcronymList"/>
        <w:tabs>
          <w:tab w:val="left" w:pos="1620"/>
        </w:tabs>
        <w:spacing w:after="0" w:line="264" w:lineRule="auto"/>
      </w:pPr>
      <w:r w:rsidRPr="00917A7A">
        <w:t>MAP-21</w:t>
      </w:r>
      <w:r w:rsidRPr="00917A7A">
        <w:tab/>
      </w:r>
      <w:r w:rsidRPr="00917A7A" w:rsidR="00943304">
        <w:t>Moving Ahead for Progress in the 21</w:t>
      </w:r>
      <w:r w:rsidRPr="00917A7A" w:rsidR="00943304">
        <w:rPr>
          <w:vertAlign w:val="superscript"/>
        </w:rPr>
        <w:t>st</w:t>
      </w:r>
      <w:r w:rsidRPr="00917A7A" w:rsidR="00943304">
        <w:t xml:space="preserve"> Century Act</w:t>
      </w:r>
    </w:p>
    <w:p w:rsidRPr="00917A7A" w:rsidR="004D7D64" w:rsidP="00872707" w:rsidRDefault="004D7D64" w14:paraId="3DE37C18" w14:textId="77777777">
      <w:pPr>
        <w:pStyle w:val="MC-PREAcronymList"/>
        <w:tabs>
          <w:tab w:val="left" w:pos="1620"/>
        </w:tabs>
        <w:spacing w:after="0" w:line="264" w:lineRule="auto"/>
      </w:pPr>
      <w:r w:rsidRPr="00917A7A">
        <w:t>NOA</w:t>
      </w:r>
      <w:r w:rsidRPr="00917A7A">
        <w:tab/>
        <w:t>Notice of Action</w:t>
      </w:r>
    </w:p>
    <w:p w:rsidRPr="00917A7A" w:rsidR="001B772F" w:rsidP="00872707" w:rsidRDefault="001B772F" w14:paraId="5B1C6C80" w14:textId="77777777">
      <w:pPr>
        <w:pStyle w:val="MC-PREAcronymList"/>
        <w:tabs>
          <w:tab w:val="left" w:pos="1620"/>
        </w:tabs>
        <w:spacing w:after="0" w:line="264" w:lineRule="auto"/>
      </w:pPr>
      <w:r w:rsidRPr="00917A7A">
        <w:t>NPRM</w:t>
      </w:r>
      <w:r w:rsidRPr="00917A7A">
        <w:tab/>
        <w:t>Notice of Proposed Rulemaking</w:t>
      </w:r>
    </w:p>
    <w:p w:rsidRPr="00917A7A" w:rsidR="001B772F" w:rsidP="00872707" w:rsidRDefault="001B772F" w14:paraId="6C7B44C9" w14:textId="77777777">
      <w:pPr>
        <w:pStyle w:val="MC-PREAcronymList"/>
        <w:tabs>
          <w:tab w:val="left" w:pos="1620"/>
        </w:tabs>
        <w:spacing w:after="0" w:line="264" w:lineRule="auto"/>
      </w:pPr>
      <w:r w:rsidRPr="00917A7A">
        <w:t>OES</w:t>
      </w:r>
      <w:r w:rsidRPr="00917A7A">
        <w:tab/>
        <w:t>Occupational Employment Statistics</w:t>
      </w:r>
    </w:p>
    <w:p w:rsidRPr="00917A7A" w:rsidR="001B772F" w:rsidP="00872707" w:rsidRDefault="001B772F" w14:paraId="500ACE80" w14:textId="77777777">
      <w:pPr>
        <w:pStyle w:val="MC-PREAcronymList"/>
        <w:tabs>
          <w:tab w:val="left" w:pos="1620"/>
        </w:tabs>
        <w:spacing w:after="0" w:line="264" w:lineRule="auto"/>
      </w:pPr>
      <w:r w:rsidRPr="00917A7A">
        <w:t>OIRA</w:t>
      </w:r>
      <w:r w:rsidRPr="00917A7A">
        <w:tab/>
        <w:t>Office of Information and Regulatory Affairs</w:t>
      </w:r>
    </w:p>
    <w:p w:rsidRPr="00917A7A" w:rsidR="001B772F" w:rsidP="00872707" w:rsidRDefault="001B772F" w14:paraId="49A0EB87" w14:textId="77777777">
      <w:pPr>
        <w:pStyle w:val="MC-PREAcronymList"/>
        <w:tabs>
          <w:tab w:val="left" w:pos="1620"/>
        </w:tabs>
        <w:spacing w:after="0" w:line="264" w:lineRule="auto"/>
      </w:pPr>
      <w:r w:rsidRPr="00917A7A">
        <w:t>OMB</w:t>
      </w:r>
      <w:r w:rsidRPr="00917A7A">
        <w:tab/>
        <w:t>Office of Management and Budget</w:t>
      </w:r>
    </w:p>
    <w:p w:rsidRPr="00917A7A" w:rsidR="00FF7E7E" w:rsidP="00872707" w:rsidRDefault="00FF7E7E" w14:paraId="3D786A84" w14:textId="77777777">
      <w:pPr>
        <w:pStyle w:val="MC-PREAcronymList"/>
        <w:tabs>
          <w:tab w:val="left" w:pos="1620"/>
        </w:tabs>
        <w:spacing w:after="0" w:line="264" w:lineRule="auto"/>
      </w:pPr>
      <w:r w:rsidRPr="00917A7A">
        <w:t>PIA</w:t>
      </w:r>
      <w:r w:rsidRPr="00917A7A">
        <w:tab/>
        <w:t>Privacy Impact Assessment</w:t>
      </w:r>
    </w:p>
    <w:p w:rsidRPr="00917A7A" w:rsidR="00FF7E7E" w:rsidP="00872707" w:rsidRDefault="00FF7E7E" w14:paraId="4F9B26F0" w14:textId="77777777">
      <w:pPr>
        <w:pStyle w:val="MC-PREAcronymList"/>
        <w:tabs>
          <w:tab w:val="left" w:pos="1620"/>
        </w:tabs>
        <w:spacing w:after="0" w:line="264" w:lineRule="auto"/>
      </w:pPr>
      <w:r w:rsidRPr="00917A7A">
        <w:t>PII</w:t>
      </w:r>
      <w:r w:rsidRPr="00917A7A">
        <w:tab/>
      </w:r>
      <w:r w:rsidRPr="00917A7A">
        <w:rPr>
          <w:bCs/>
        </w:rPr>
        <w:t>Personally Identifiable Information</w:t>
      </w:r>
    </w:p>
    <w:p w:rsidRPr="00917A7A" w:rsidR="001B772F" w:rsidP="00872707" w:rsidRDefault="001B772F" w14:paraId="0E31AEFD" w14:textId="77777777">
      <w:pPr>
        <w:pStyle w:val="MC-PREAcronymList"/>
        <w:tabs>
          <w:tab w:val="left" w:pos="1620"/>
        </w:tabs>
        <w:spacing w:after="0" w:line="264" w:lineRule="auto"/>
      </w:pPr>
      <w:r w:rsidRPr="00917A7A">
        <w:t>PRA</w:t>
      </w:r>
      <w:r w:rsidRPr="00917A7A">
        <w:tab/>
        <w:t>Paperwork Reduction Act</w:t>
      </w:r>
    </w:p>
    <w:p w:rsidRPr="00917A7A" w:rsidR="00F25229" w:rsidP="00872707" w:rsidRDefault="00F25229" w14:paraId="2312E5AC" w14:textId="77777777">
      <w:pPr>
        <w:pStyle w:val="MC-PREAcronymList"/>
        <w:tabs>
          <w:tab w:val="left" w:pos="1620"/>
        </w:tabs>
        <w:spacing w:after="0" w:line="264" w:lineRule="auto"/>
      </w:pPr>
      <w:r w:rsidRPr="00917A7A">
        <w:t>RIN</w:t>
      </w:r>
      <w:r w:rsidRPr="00917A7A">
        <w:tab/>
        <w:t>Regulation Identifier Number</w:t>
      </w:r>
    </w:p>
    <w:p w:rsidRPr="00917A7A" w:rsidR="001B772F" w:rsidP="00872707" w:rsidRDefault="001B772F" w14:paraId="2701AF15" w14:textId="77777777">
      <w:pPr>
        <w:pStyle w:val="MC-PREAcronymList"/>
        <w:tabs>
          <w:tab w:val="left" w:pos="1620"/>
        </w:tabs>
        <w:spacing w:after="0" w:line="264" w:lineRule="auto"/>
      </w:pPr>
      <w:r w:rsidRPr="00917A7A">
        <w:t>RISC</w:t>
      </w:r>
      <w:r w:rsidRPr="00917A7A">
        <w:tab/>
        <w:t>Regulatory Information Service Center</w:t>
      </w:r>
    </w:p>
    <w:p w:rsidRPr="00917A7A" w:rsidR="001B772F" w:rsidP="00872707" w:rsidRDefault="001B772F" w14:paraId="06A689EE" w14:textId="77777777">
      <w:pPr>
        <w:pStyle w:val="MC-PREAcronymList"/>
        <w:tabs>
          <w:tab w:val="left" w:pos="1620"/>
        </w:tabs>
        <w:spacing w:after="0" w:line="264" w:lineRule="auto"/>
      </w:pPr>
      <w:r w:rsidRPr="00917A7A">
        <w:t>ROCIS</w:t>
      </w:r>
      <w:r w:rsidRPr="00917A7A">
        <w:tab/>
        <w:t>RISC and OIRA Consolidated Information System</w:t>
      </w:r>
    </w:p>
    <w:p w:rsidRPr="00917A7A" w:rsidR="00F25229" w:rsidP="00872707" w:rsidRDefault="00F25229" w14:paraId="3E062602" w14:textId="77777777">
      <w:pPr>
        <w:pStyle w:val="MC-PREAcronymList"/>
        <w:tabs>
          <w:tab w:val="left" w:pos="1620"/>
        </w:tabs>
        <w:spacing w:after="0" w:line="264" w:lineRule="auto"/>
      </w:pPr>
      <w:r w:rsidRPr="00917A7A">
        <w:t>SDLA</w:t>
      </w:r>
      <w:r w:rsidRPr="00917A7A">
        <w:tab/>
        <w:t>State Driver</w:t>
      </w:r>
      <w:r w:rsidRPr="00917A7A" w:rsidR="009B2249">
        <w:t>s</w:t>
      </w:r>
      <w:r w:rsidRPr="00917A7A">
        <w:t xml:space="preserve"> Licensing Agency</w:t>
      </w:r>
    </w:p>
    <w:p w:rsidRPr="00917A7A" w:rsidR="001B772F" w:rsidP="00872707" w:rsidRDefault="001B772F" w14:paraId="0CECFD8F" w14:textId="77777777">
      <w:pPr>
        <w:pStyle w:val="MC-PREAcronymList"/>
        <w:tabs>
          <w:tab w:val="left" w:pos="1620"/>
        </w:tabs>
        <w:spacing w:after="0" w:line="264" w:lineRule="auto"/>
      </w:pPr>
      <w:r w:rsidRPr="00917A7A">
        <w:t>SOC</w:t>
      </w:r>
      <w:r w:rsidRPr="00917A7A">
        <w:tab/>
        <w:t>Standard Occupational Classification</w:t>
      </w:r>
    </w:p>
    <w:p w:rsidRPr="00917A7A" w:rsidR="00EA6AD5" w:rsidP="00872707" w:rsidRDefault="00EA6AD5" w14:paraId="7AC820D3" w14:textId="77777777">
      <w:pPr>
        <w:pStyle w:val="MC-PREAcronymList"/>
        <w:tabs>
          <w:tab w:val="left" w:pos="1620"/>
        </w:tabs>
        <w:spacing w:after="0" w:line="264" w:lineRule="auto"/>
      </w:pPr>
      <w:r w:rsidRPr="00917A7A">
        <w:t>SORN</w:t>
      </w:r>
      <w:r w:rsidRPr="00917A7A">
        <w:tab/>
        <w:t>System of Records Notice</w:t>
      </w:r>
    </w:p>
    <w:p w:rsidRPr="00917A7A" w:rsidR="00F25229" w:rsidP="00872707" w:rsidRDefault="00F25229" w14:paraId="6AA04299" w14:textId="77777777">
      <w:pPr>
        <w:pStyle w:val="MC-PREAcronymList"/>
        <w:tabs>
          <w:tab w:val="left" w:pos="1620"/>
        </w:tabs>
        <w:spacing w:after="0" w:line="264" w:lineRule="auto"/>
      </w:pPr>
      <w:r w:rsidRPr="00917A7A">
        <w:t>TPR</w:t>
      </w:r>
      <w:r w:rsidRPr="00917A7A">
        <w:tab/>
        <w:t>Training Provider Registry</w:t>
      </w:r>
    </w:p>
    <w:p w:rsidRPr="00917A7A" w:rsidR="001B772F" w:rsidP="00872707" w:rsidRDefault="001B772F" w14:paraId="2127E2D7" w14:textId="77777777">
      <w:pPr>
        <w:pStyle w:val="MC-PREAcronymList"/>
        <w:tabs>
          <w:tab w:val="left" w:pos="1620"/>
        </w:tabs>
        <w:spacing w:after="0" w:line="264" w:lineRule="auto"/>
      </w:pPr>
      <w:r w:rsidRPr="00917A7A">
        <w:t>U.S.C.</w:t>
      </w:r>
      <w:r w:rsidRPr="00917A7A">
        <w:tab/>
        <w:t>United States Code</w:t>
      </w:r>
    </w:p>
    <w:bookmarkEnd w:id="2"/>
    <w:bookmarkEnd w:id="3"/>
    <w:p w:rsidRPr="00917A7A" w:rsidR="0049288A" w:rsidP="00872707" w:rsidRDefault="001B772F" w14:paraId="1236243B" w14:textId="77777777">
      <w:pPr>
        <w:pStyle w:val="MC-PREAcronymList"/>
        <w:tabs>
          <w:tab w:val="left" w:pos="1620"/>
        </w:tabs>
        <w:spacing w:after="0" w:line="264" w:lineRule="auto"/>
      </w:pPr>
      <w:r w:rsidRPr="00917A7A">
        <w:t>U</w:t>
      </w:r>
      <w:r w:rsidRPr="00917A7A" w:rsidR="004054A4">
        <w:t>.</w:t>
      </w:r>
      <w:r w:rsidRPr="00917A7A">
        <w:t>S</w:t>
      </w:r>
      <w:r w:rsidRPr="00917A7A" w:rsidR="004054A4">
        <w:t xml:space="preserve">. </w:t>
      </w:r>
      <w:r w:rsidRPr="00917A7A">
        <w:t>DOT</w:t>
      </w:r>
      <w:r w:rsidRPr="00917A7A">
        <w:tab/>
        <w:t>United States Department of Transportation</w:t>
      </w:r>
    </w:p>
    <w:sectPr w:rsidRPr="00917A7A" w:rsidR="0049288A" w:rsidSect="007C2AE1">
      <w:footerReference w:type="default" r:id="rId8"/>
      <w:footnotePr>
        <w:numRestart w:val="eachSect"/>
      </w:footnotePr>
      <w:endnotePr>
        <w:numFmt w:val="decimal"/>
      </w:endnotePr>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43732" w14:textId="77777777" w:rsidR="00096B7D" w:rsidRDefault="00096B7D">
      <w:r>
        <w:separator/>
      </w:r>
    </w:p>
  </w:endnote>
  <w:endnote w:type="continuationSeparator" w:id="0">
    <w:p w14:paraId="645D8CED" w14:textId="77777777" w:rsidR="00096B7D" w:rsidRDefault="0009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73AB8" w14:textId="4810A906" w:rsidR="00096B7D" w:rsidRDefault="00096B7D">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94A01">
      <w:rPr>
        <w:rStyle w:val="PageNumber"/>
        <w:noProof/>
      </w:rPr>
      <w:t>12</w:t>
    </w:r>
    <w:r>
      <w:rPr>
        <w:rStyle w:val="PageNumber"/>
      </w:rPr>
      <w:fldChar w:fldCharType="end"/>
    </w:r>
  </w:p>
  <w:p w14:paraId="37E46F66" w14:textId="77777777" w:rsidR="00096B7D" w:rsidRDefault="00096B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D4A59" w14:textId="77777777" w:rsidR="00096B7D" w:rsidRDefault="00096B7D">
      <w:r>
        <w:separator/>
      </w:r>
    </w:p>
  </w:footnote>
  <w:footnote w:type="continuationSeparator" w:id="0">
    <w:p w14:paraId="4BF71C01" w14:textId="77777777" w:rsidR="00096B7D" w:rsidRDefault="00096B7D">
      <w:r>
        <w:continuationSeparator/>
      </w:r>
    </w:p>
  </w:footnote>
  <w:footnote w:id="1">
    <w:p w14:paraId="60CF21B3" w14:textId="5822A8B1" w:rsidR="00096B7D" w:rsidRDefault="00096B7D">
      <w:pPr>
        <w:pStyle w:val="FootnoteText"/>
      </w:pPr>
      <w:r>
        <w:rPr>
          <w:rStyle w:val="FootnoteReference"/>
        </w:rPr>
        <w:footnoteRef/>
      </w:r>
      <w:r>
        <w:t xml:space="preserve"> The currently approved collection is set to expire on April 30, 2020. If approved, this revision would move that expiration date out to three years after the revision’s approval date, which would eliminate the need to submit a separate renewal package.</w:t>
      </w:r>
    </w:p>
  </w:footnote>
  <w:footnote w:id="2">
    <w:p w14:paraId="5CD6407A" w14:textId="77777777" w:rsidR="00096B7D" w:rsidRDefault="00096B7D" w:rsidP="00DE21CE">
      <w:pPr>
        <w:pStyle w:val="FootnoteText"/>
      </w:pPr>
      <w:r>
        <w:rPr>
          <w:rStyle w:val="FootnoteReference"/>
        </w:rPr>
        <w:footnoteRef/>
      </w:r>
      <w:r>
        <w:t xml:space="preserve"> Under 49 CFR part 380, Subpart E, an “entry-level driver” is defined as “a driver with less than one year of experience operating a CMV with a CDL in interstate commerce.”</w:t>
      </w:r>
    </w:p>
  </w:footnote>
  <w:footnote w:id="3">
    <w:p w14:paraId="19364EE3" w14:textId="77777777" w:rsidR="00096B7D" w:rsidRPr="008442BB" w:rsidRDefault="00096B7D" w:rsidP="001F71C8">
      <w:pPr>
        <w:pStyle w:val="FootnoteText"/>
      </w:pPr>
      <w:r w:rsidRPr="008442BB">
        <w:rPr>
          <w:rStyle w:val="FootnoteReference"/>
        </w:rPr>
        <w:footnoteRef/>
      </w:r>
      <w:r w:rsidRPr="008442BB">
        <w:t xml:space="preserve"> Notice of Office of Management and Budget Action. ICR reference number 201603-2126-001 for OMB Control No. 2126-0028. Available at: https://www.reginfo.gov/public/do/DownloadNOA?requestID=272831 (accessed May 6, 2019).</w:t>
      </w:r>
    </w:p>
  </w:footnote>
  <w:footnote w:id="4">
    <w:p w14:paraId="7E0C854A" w14:textId="1412ECDD" w:rsidR="00096B7D" w:rsidRPr="008442BB" w:rsidRDefault="00096B7D" w:rsidP="00AD57B2">
      <w:pPr>
        <w:pStyle w:val="FootnoteText"/>
      </w:pPr>
      <w:r w:rsidRPr="008442BB">
        <w:rPr>
          <w:rStyle w:val="FootnoteReference"/>
        </w:rPr>
        <w:footnoteRef/>
      </w:r>
      <w:r w:rsidRPr="008442BB">
        <w:t xml:space="preserve"> </w:t>
      </w:r>
      <w:r w:rsidRPr="008442BB">
        <w:rPr>
          <w:i/>
          <w:szCs w:val="18"/>
        </w:rPr>
        <w:t>Regulatory Evaluation of Minimum Training Requirements for Entry-Level Commercial Motor Vehicle Operators Final Rule</w:t>
      </w:r>
      <w:r w:rsidRPr="008442BB">
        <w:rPr>
          <w:szCs w:val="18"/>
        </w:rPr>
        <w:t>. Section 5: Regulatory Flexibility Analysis. Docket ID FMCSA-2007-27748-1291. Available at:  https://www.regulations.gov/contentStreamer?documentId=FMCSA-2007-27748-1291&amp;attachmentNumber=1&amp; conte</w:t>
      </w:r>
      <w:r>
        <w:rPr>
          <w:szCs w:val="18"/>
        </w:rPr>
        <w:t>n</w:t>
      </w:r>
      <w:r w:rsidRPr="008442BB">
        <w:rPr>
          <w:szCs w:val="18"/>
        </w:rPr>
        <w:t>tType=pdf (accessed May 6, 2019).</w:t>
      </w:r>
    </w:p>
  </w:footnote>
  <w:footnote w:id="5">
    <w:p w14:paraId="213DD622" w14:textId="5F31620B" w:rsidR="00096B7D" w:rsidRDefault="00096B7D">
      <w:pPr>
        <w:pStyle w:val="FootnoteText"/>
      </w:pPr>
      <w:r>
        <w:rPr>
          <w:rStyle w:val="FootnoteReference"/>
        </w:rPr>
        <w:footnoteRef/>
      </w:r>
      <w:r>
        <w:t xml:space="preserve"> U.S. Department of Transportation (DOT), FMCSA. </w:t>
      </w:r>
      <w:r w:rsidRPr="006702C2">
        <w:rPr>
          <w:i/>
        </w:rPr>
        <w:t>Commercial Vehicle Training Association – Comments</w:t>
      </w:r>
      <w:r>
        <w:t xml:space="preserve">. Docket ID# </w:t>
      </w:r>
      <w:r w:rsidRPr="006702C2">
        <w:t>FMCSA-2019-0157-0002</w:t>
      </w:r>
      <w:r>
        <w:t xml:space="preserve">. Available at: </w:t>
      </w:r>
      <w:r w:rsidRPr="006702C2">
        <w:t>https://www.regulations.gov/contentStreamer?documentId=FMCSA-2019-0157-0002&amp;attachmentNumber=1&amp;contentType=pdf</w:t>
      </w:r>
      <w:r>
        <w:t xml:space="preserve"> (accessed September 24, 2019).</w:t>
      </w:r>
    </w:p>
  </w:footnote>
  <w:footnote w:id="6">
    <w:p w14:paraId="626281D4" w14:textId="77777777" w:rsidR="00096B7D" w:rsidRDefault="00096B7D" w:rsidP="002F454E">
      <w:pPr>
        <w:pStyle w:val="FootnoteText"/>
      </w:pPr>
      <w:r>
        <w:rPr>
          <w:rStyle w:val="FootnoteReference"/>
        </w:rPr>
        <w:footnoteRef/>
      </w:r>
      <w:r>
        <w:t xml:space="preserve"> U.S. General Services Administration (GSA), Regulatory Information Service Center (RISC). “ROCIS How To Guide for Agency Users of the Information Collection Request (ICR) Module. September 1, 2017. </w:t>
      </w:r>
      <w:r w:rsidRPr="000B3547">
        <w:t>Appendix A: Disaggregating Information Collection Requests (ICRs) into Information Collections (ICs)</w:t>
      </w:r>
      <w:r>
        <w:t xml:space="preserve">. Pages 109-114. Available at: </w:t>
      </w:r>
      <w:r w:rsidRPr="000B3547">
        <w:t>https://www.rocis.gov/rocis/jsp3/common/ROCIS_HOW_TO_Guide_for_AGENCY_Users_of_ICR_Module-090117.pdf</w:t>
      </w:r>
      <w:r>
        <w:t xml:space="preserve"> (accessed September 25, 2019).</w:t>
      </w:r>
    </w:p>
  </w:footnote>
  <w:footnote w:id="7">
    <w:p w14:paraId="4162702D" w14:textId="77777777" w:rsidR="00096B7D" w:rsidRPr="008442BB" w:rsidRDefault="00096B7D" w:rsidP="00B32D87">
      <w:pPr>
        <w:pStyle w:val="FootnoteText"/>
      </w:pPr>
      <w:r w:rsidRPr="008442BB">
        <w:rPr>
          <w:rStyle w:val="FootnoteReference"/>
        </w:rPr>
        <w:footnoteRef/>
      </w:r>
      <w:r w:rsidRPr="008442BB">
        <w:t xml:space="preserve"> U.S. Department of Transportation. </w:t>
      </w:r>
      <w:r w:rsidRPr="008442BB">
        <w:rPr>
          <w:i/>
        </w:rPr>
        <w:t>Privacy Impact Assessment. Federal Motor Carrier Safety Administration (FMCSA) Final Rule, Minimum Training Requirements for Entry-Level Commercial Motor Vehicle Operators</w:t>
      </w:r>
      <w:r w:rsidRPr="008442BB">
        <w:t xml:space="preserve">. </w:t>
      </w:r>
      <w:r w:rsidRPr="008442BB">
        <w:rPr>
          <w:szCs w:val="18"/>
        </w:rPr>
        <w:t xml:space="preserve">Docket ID FMCSA-2007-27748-1408. Available at: https://www.regulations.gov/contentStreamer?documentId=FMCSA-2007-27748-1408&amp;attachmentNumber=1&amp;contentType=pdf </w:t>
      </w:r>
      <w:r w:rsidRPr="008442BB">
        <w:t>(accessed May 6, 2019).</w:t>
      </w:r>
    </w:p>
  </w:footnote>
  <w:footnote w:id="8">
    <w:p w14:paraId="787657C5" w14:textId="77777777" w:rsidR="00096B7D" w:rsidRDefault="00096B7D" w:rsidP="00B32D87">
      <w:pPr>
        <w:pStyle w:val="FootnoteText"/>
      </w:pPr>
      <w:r w:rsidRPr="008442BB">
        <w:rPr>
          <w:rStyle w:val="FootnoteReference"/>
        </w:rPr>
        <w:footnoteRef/>
      </w:r>
      <w:r w:rsidRPr="008442BB">
        <w:t xml:space="preserve"> U.S. Department of Transportation. </w:t>
      </w:r>
      <w:r w:rsidRPr="008442BB">
        <w:rPr>
          <w:i/>
        </w:rPr>
        <w:t>Privacy Impact Assessment. Federal Motor Carrier Safety Administration (FMCSA) Final Rule, Minimum Training Requirements for Entry-Level Commercial Motor Vehicle Operators</w:t>
      </w:r>
      <w:r w:rsidRPr="008442BB">
        <w:t>. Available at:  https://www.transportation.gov/sites/dot.gov/files/docs/Privacy%20-%20FMCSA%20-%20ELDT%20Rule%20-%20PIA%20-%20020117.pdf (accessed May 6, 2019).</w:t>
      </w:r>
    </w:p>
  </w:footnote>
  <w:footnote w:id="9">
    <w:p w14:paraId="32CEBA27" w14:textId="77777777" w:rsidR="00096B7D" w:rsidRDefault="00096B7D" w:rsidP="00172C3B">
      <w:pPr>
        <w:pStyle w:val="FootnoteText"/>
      </w:pPr>
      <w:r>
        <w:rPr>
          <w:rStyle w:val="FootnoteReference"/>
        </w:rPr>
        <w:footnoteRef/>
      </w:r>
      <w:r>
        <w:t xml:space="preserve"> U.S. General Services Administration (GSA), Regulatory Information Service Center (RISC). “ROCIS How To Guide for Agency Users of the Information Collection Request (ICR) Module. September 1, 2017. </w:t>
      </w:r>
      <w:r w:rsidRPr="000B3547">
        <w:t>Appendix A: Disaggregating Information Collection Requests (ICRs) into Information Collections (ICs)</w:t>
      </w:r>
      <w:r>
        <w:t xml:space="preserve">. Pages 109-114. Available at: </w:t>
      </w:r>
      <w:r w:rsidRPr="000B3547">
        <w:t>https://www.rocis.gov/rocis/jsp3/common/ROCIS_HOW_TO_Guide_for_AGENCY_Users_of_ICR_Module-090117.pdf</w:t>
      </w:r>
      <w:r>
        <w:t xml:space="preserve"> (accessed September 25, 2019).</w:t>
      </w:r>
    </w:p>
  </w:footnote>
  <w:footnote w:id="10">
    <w:p w14:paraId="1F9614F9" w14:textId="7A60A860" w:rsidR="00096B7D" w:rsidRPr="008442BB" w:rsidRDefault="00096B7D" w:rsidP="0084431D">
      <w:pPr>
        <w:pStyle w:val="FootnoteText"/>
        <w:rPr>
          <w:szCs w:val="18"/>
        </w:rPr>
      </w:pPr>
      <w:r w:rsidRPr="008442BB">
        <w:rPr>
          <w:rStyle w:val="FootnoteReference"/>
        </w:rPr>
        <w:footnoteRef/>
      </w:r>
      <w:r w:rsidRPr="008442BB">
        <w:t xml:space="preserve"> </w:t>
      </w:r>
      <w:r w:rsidRPr="008442BB">
        <w:rPr>
          <w:i/>
          <w:szCs w:val="18"/>
        </w:rPr>
        <w:t>Regulatory Evaluation of Minimum Training Requirements for Entry-Level Commercial Motor Vehicle Operators Final Rule</w:t>
      </w:r>
      <w:r w:rsidRPr="008442BB">
        <w:rPr>
          <w:szCs w:val="18"/>
        </w:rPr>
        <w:t>. Section 2.4.1 (Number of Entry-Level CDL Drivers Annually), pp. 16-30. Table 11, pg. 18. Docket ID FMCSA-2007-27748-1291. Available at:  https://www.regulations.gov/contentStreamer?documentId=FMCSA-2007-27748-1291&amp;attachmentNumber=1&amp; contentType=pdf (accessed M</w:t>
      </w:r>
      <w:r w:rsidRPr="004D421F">
        <w:rPr>
          <w:szCs w:val="18"/>
        </w:rPr>
        <w:t>ay 6, 2019).</w:t>
      </w:r>
      <w:r>
        <w:rPr>
          <w:szCs w:val="18"/>
        </w:rPr>
        <w:t xml:space="preserve"> Note that</w:t>
      </w:r>
      <w:r w:rsidRPr="004D421F">
        <w:rPr>
          <w:szCs w:val="18"/>
        </w:rPr>
        <w:t xml:space="preserve"> the values shown here in Table 1 include Class A, B, and C entry-level drivers</w:t>
      </w:r>
      <w:r>
        <w:rPr>
          <w:szCs w:val="18"/>
        </w:rPr>
        <w:t>, where</w:t>
      </w:r>
      <w:r w:rsidRPr="004D421F">
        <w:rPr>
          <w:szCs w:val="18"/>
        </w:rPr>
        <w:t xml:space="preserve">as </w:t>
      </w:r>
      <w:r>
        <w:rPr>
          <w:szCs w:val="18"/>
        </w:rPr>
        <w:t>the December 8, 2016, ELDT final rule, as amended, is applicable to only Class A and Class B entry-level drivers.</w:t>
      </w:r>
    </w:p>
  </w:footnote>
  <w:footnote w:id="11">
    <w:p w14:paraId="779A48DF" w14:textId="23AA18B1" w:rsidR="00845BF5" w:rsidRDefault="00845BF5">
      <w:pPr>
        <w:pStyle w:val="FootnoteText"/>
      </w:pPr>
      <w:r>
        <w:rPr>
          <w:rStyle w:val="FootnoteReference"/>
        </w:rPr>
        <w:footnoteRef/>
      </w:r>
      <w:r>
        <w:t xml:space="preserve"> </w:t>
      </w:r>
      <w:r w:rsidRPr="00845BF5">
        <w:t xml:space="preserve">In 2020 and 2021, we estimated 352,758 and 354,713 total new entry-level CDLs, respectively. We then took a 3-year average of 2020-2022, with the number of </w:t>
      </w:r>
      <w:r w:rsidR="00A85765">
        <w:t xml:space="preserve">entry-level </w:t>
      </w:r>
      <w:r w:rsidRPr="00845BF5">
        <w:t>CDLs in 2022 being equal to 0. This average is 235,824</w:t>
      </w:r>
      <w:r>
        <w:t xml:space="preserve">. </w:t>
      </w:r>
    </w:p>
  </w:footnote>
  <w:footnote w:id="12">
    <w:p w14:paraId="01BF0CA8" w14:textId="77777777" w:rsidR="00096B7D" w:rsidRPr="008442BB" w:rsidRDefault="00096B7D" w:rsidP="00C67A6A">
      <w:pPr>
        <w:pStyle w:val="FootnoteText"/>
      </w:pPr>
      <w:r w:rsidRPr="008442BB">
        <w:rPr>
          <w:rStyle w:val="FootnoteReference"/>
        </w:rPr>
        <w:footnoteRef/>
      </w:r>
      <w:r w:rsidRPr="008442BB">
        <w:t xml:space="preserve"> U.S. General Services Administration (GSA), Regulatory Information Service Center (RISC). “ROCIS How To Guide for Agency Users of the Information Collection Request (ICR) Module. September 1, 2017. Page 106. Available at: https://www.rocis.gov/rocis/jsp3/common/ROCIS_HOW_TO_Guide_for_AGENCY_Users_of_ICR_Module-090117.pdf (accessed May 6, 2019).</w:t>
      </w:r>
    </w:p>
  </w:footnote>
  <w:footnote w:id="13">
    <w:p w14:paraId="73FF6FEB" w14:textId="7A51A4C8" w:rsidR="00096B7D" w:rsidRPr="008442BB" w:rsidRDefault="00096B7D" w:rsidP="00C67A6A">
      <w:pPr>
        <w:pStyle w:val="FootnoteText"/>
      </w:pPr>
      <w:r w:rsidRPr="008442BB">
        <w:rPr>
          <w:rStyle w:val="FootnoteReference"/>
        </w:rPr>
        <w:footnoteRef/>
      </w:r>
      <w:r w:rsidRPr="008442BB">
        <w:t xml:space="preserve"> U.S. Department of Labor (DOL), Bureau of Labor Statistics (BLS). “Occupational Employment Statistics (OES). National Occupational Employment and Wage Estimates. </w:t>
      </w:r>
      <w:r>
        <w:t>Heavy and Tractor-Trailer Truck Drivers</w:t>
      </w:r>
      <w:r w:rsidRPr="008442BB">
        <w:t xml:space="preserve"> (SOC Code </w:t>
      </w:r>
      <w:r>
        <w:t>53-3032</w:t>
      </w:r>
      <w:r w:rsidRPr="008442BB">
        <w:t xml:space="preserve">). May 2018.” March 29, 2019. Available at: </w:t>
      </w:r>
      <w:r w:rsidRPr="007533B3">
        <w:t>https://www.bls.gov/oes/current/oes533032.htm</w:t>
      </w:r>
      <w:r w:rsidRPr="008442BB">
        <w:t xml:space="preserve"> (accessed May 6, 2019).</w:t>
      </w:r>
    </w:p>
  </w:footnote>
  <w:footnote w:id="14">
    <w:p w14:paraId="29757F69" w14:textId="77777777" w:rsidR="00096B7D" w:rsidRPr="008442BB" w:rsidRDefault="00096B7D" w:rsidP="00C67A6A">
      <w:pPr>
        <w:pStyle w:val="FootnoteText"/>
      </w:pPr>
      <w:r w:rsidRPr="008442BB">
        <w:rPr>
          <w:rStyle w:val="FootnoteReference"/>
        </w:rPr>
        <w:footnoteRef/>
      </w:r>
      <w:r w:rsidRPr="008442BB">
        <w:rPr>
          <w:vertAlign w:val="superscript"/>
        </w:rPr>
        <w:t xml:space="preserve"> </w:t>
      </w:r>
      <w:r w:rsidRPr="008442BB">
        <w:t>U.S. Department of Labor (DOL), Bureau of Labor Statistics (BLS). “Employer Costs for Employee Compensation (ECEC). June 2018.” Table 10, “Transportation and Warehousing.” September 18, 2018. Available at: https://www.bls.gov/news.release/archives/ecec_09182018.</w:t>
      </w:r>
      <w:r>
        <w:t>pap</w:t>
      </w:r>
      <w:r w:rsidRPr="008442BB">
        <w:t>pdf (accessed May 6, 2019).</w:t>
      </w:r>
    </w:p>
  </w:footnote>
  <w:footnote w:id="15">
    <w:p w14:paraId="1BA5AE7F" w14:textId="77777777" w:rsidR="00096B7D" w:rsidRPr="00A834E9" w:rsidRDefault="00096B7D" w:rsidP="00C67A6A">
      <w:pPr>
        <w:pStyle w:val="FootnoteText"/>
      </w:pPr>
      <w:r w:rsidRPr="008442BB">
        <w:rPr>
          <w:rStyle w:val="FootnoteReference"/>
        </w:rPr>
        <w:footnoteRef/>
      </w:r>
      <w:r w:rsidRPr="008442BB">
        <w:rPr>
          <w:vertAlign w:val="superscript"/>
        </w:rPr>
        <w:t xml:space="preserve"> </w:t>
      </w:r>
      <w:r w:rsidRPr="008442BB">
        <w:t>Mark Berwick and Mohammad Farooq of the Upper Great Plains Transportation Institute, North Dakota State University, August 2003. "Truck Costing Model for Transportation Managers", pages 41, 43, and 45. Available at: https://www.mountain-plains.org/pubs/pdf/MPC03-152.pdf (accessed May 6, 2019).</w:t>
      </w:r>
    </w:p>
  </w:footnote>
  <w:footnote w:id="16">
    <w:p w14:paraId="6F121035" w14:textId="77777777" w:rsidR="00096B7D" w:rsidRPr="008442BB" w:rsidRDefault="00096B7D" w:rsidP="00EB3FE4">
      <w:pPr>
        <w:pStyle w:val="FootnoteText"/>
      </w:pPr>
      <w:r w:rsidRPr="008442BB">
        <w:rPr>
          <w:rStyle w:val="FootnoteReference"/>
        </w:rPr>
        <w:footnoteRef/>
      </w:r>
      <w:r w:rsidRPr="008442BB">
        <w:t xml:space="preserve"> </w:t>
      </w:r>
      <w:r w:rsidRPr="008442BB">
        <w:rPr>
          <w:i/>
          <w:szCs w:val="18"/>
        </w:rPr>
        <w:t>Regulatory Evaluation of Minimum Training Requirements for Entry-Level Commercial Motor Vehicle Operators Final Rule</w:t>
      </w:r>
      <w:r w:rsidRPr="008442BB">
        <w:rPr>
          <w:szCs w:val="18"/>
        </w:rPr>
        <w:t>. Section 2.4.5 (Training Providers), pp. 45-51. Table 15, pg. 52. Docket ID FMCSA-2007-27748-1291. Available at:  https://www.regulations.gov/contentStreamer?documentId=FMCSA-2007-27748-1291&amp;attachmentNumber=1&amp; contentType=pdf (accessed May 6, 2019).</w:t>
      </w:r>
    </w:p>
  </w:footnote>
  <w:footnote w:id="17">
    <w:p w14:paraId="2304B3F9" w14:textId="77777777" w:rsidR="00096B7D" w:rsidRPr="008442BB" w:rsidRDefault="00096B7D" w:rsidP="00E66C39">
      <w:pPr>
        <w:pStyle w:val="FootnoteText"/>
        <w:rPr>
          <w:szCs w:val="18"/>
        </w:rPr>
      </w:pPr>
      <w:r w:rsidRPr="008442BB">
        <w:rPr>
          <w:rStyle w:val="FootnoteReference"/>
        </w:rPr>
        <w:footnoteRef/>
      </w:r>
      <w:r w:rsidRPr="008442BB">
        <w:t xml:space="preserve"> </w:t>
      </w:r>
      <w:r w:rsidRPr="008442BB">
        <w:rPr>
          <w:i/>
          <w:szCs w:val="18"/>
        </w:rPr>
        <w:t>Regulatory Evaluation of Minimum Training Requirements for Entry-Level Commercial Motor Vehicle Operators Final Rule</w:t>
      </w:r>
      <w:r w:rsidRPr="008442BB">
        <w:rPr>
          <w:szCs w:val="18"/>
        </w:rPr>
        <w:t>.</w:t>
      </w:r>
      <w:r w:rsidRPr="004D3A53">
        <w:rPr>
          <w:color w:val="00B050"/>
          <w:szCs w:val="18"/>
        </w:rPr>
        <w:t xml:space="preserve"> </w:t>
      </w:r>
      <w:r w:rsidRPr="008442BB">
        <w:rPr>
          <w:szCs w:val="18"/>
        </w:rPr>
        <w:t>Section 3.3.1 (Training Provider Registry Recordkeeping Costs), pp. 79-80. Docket ID FMCSA-2007-27748-1291. Available at:  https://www.regulations.gov/contentStreamer?documentId=FMCSA-2007-27748-1291&amp;attachmentNumber=1&amp; contentType=pdf (accessed May 6, 2019).</w:t>
      </w:r>
    </w:p>
  </w:footnote>
  <w:footnote w:id="18">
    <w:p w14:paraId="18D7452A" w14:textId="77777777" w:rsidR="00AE5C79" w:rsidRPr="00AE5C79" w:rsidRDefault="00AE5C79" w:rsidP="00AE5C79">
      <w:pPr>
        <w:pStyle w:val="FootnoteText"/>
      </w:pPr>
      <w:r>
        <w:rPr>
          <w:rStyle w:val="FootnoteReference"/>
        </w:rPr>
        <w:footnoteRef/>
      </w:r>
      <w:r>
        <w:t xml:space="preserve"> </w:t>
      </w:r>
      <w:r w:rsidRPr="00AE5C79">
        <w:t>This figure pertains to individual respondents as opposed to responses. For this requirement, the respondent is the training provider. The number of drivers pertains to the number of responses. Accordingly, the estimated total annual burden (12,946) includes the number of entry-level drivers in its calculation.</w:t>
      </w:r>
    </w:p>
    <w:p w14:paraId="0FF8B6DA" w14:textId="2B03AF98" w:rsidR="00AE5C79" w:rsidRDefault="00AE5C79">
      <w:pPr>
        <w:pStyle w:val="FootnoteText"/>
      </w:pPr>
    </w:p>
  </w:footnote>
  <w:footnote w:id="19">
    <w:p w14:paraId="5C613413" w14:textId="77777777" w:rsidR="00096B7D" w:rsidRPr="008442BB" w:rsidRDefault="00096B7D" w:rsidP="00F0156C">
      <w:pPr>
        <w:pStyle w:val="FootnoteText"/>
      </w:pPr>
      <w:r w:rsidRPr="008442BB">
        <w:rPr>
          <w:rStyle w:val="FootnoteReference"/>
        </w:rPr>
        <w:footnoteRef/>
      </w:r>
      <w:r w:rsidRPr="008442BB">
        <w:t xml:space="preserve"> U.S. Department of Labor (DOL), Bureau of Labor Statistics (BLS). “May 2018 Occupation Profiles. Vocational Education Teachers, Postsecondary (SOC Code 25-1194).” Available at: https://www.bls.gov/oes/current/oes251194.htm (accessed May 6, 2019).</w:t>
      </w:r>
    </w:p>
  </w:footnote>
  <w:footnote w:id="20">
    <w:p w14:paraId="1817A667" w14:textId="77777777" w:rsidR="00096B7D" w:rsidRPr="008442BB" w:rsidRDefault="00096B7D" w:rsidP="00F0156C">
      <w:pPr>
        <w:pStyle w:val="FootnoteText"/>
      </w:pPr>
      <w:r w:rsidRPr="008442BB">
        <w:rPr>
          <w:rStyle w:val="FootnoteReference"/>
        </w:rPr>
        <w:footnoteRef/>
      </w:r>
      <w:r w:rsidRPr="008442BB">
        <w:t xml:space="preserve"> U.S. Department of Labor (DOL), Bureau of Labor Statistics (BLS). “Occupational Employment Statistics (OES). National Occupational Employment and Wage Estimates. Vocational Education Teachers, Postsecondary (SOC Code 25-1194). May 2018.” March 29, 2019. Available at: https://www.bls.gov/oes/current/oes251194.htm (accessed May 6, 2019).</w:t>
      </w:r>
    </w:p>
  </w:footnote>
  <w:footnote w:id="21">
    <w:p w14:paraId="5E578DAA" w14:textId="77777777" w:rsidR="00096B7D" w:rsidRPr="008442BB" w:rsidRDefault="00096B7D" w:rsidP="00F0156C">
      <w:pPr>
        <w:pStyle w:val="FootnoteText"/>
      </w:pPr>
      <w:r w:rsidRPr="008442BB">
        <w:rPr>
          <w:rStyle w:val="FootnoteReference"/>
        </w:rPr>
        <w:footnoteRef/>
      </w:r>
      <w:r w:rsidRPr="008442BB">
        <w:rPr>
          <w:vertAlign w:val="superscript"/>
        </w:rPr>
        <w:t xml:space="preserve"> </w:t>
      </w:r>
      <w:r w:rsidRPr="008442BB">
        <w:t>U.S. Department of Labor (DOL), Bureau of Labor Statistics (BLS). “Employer Costs for Employee Compensation (ECEC). June 2018.” Table 10, “Transportation and Warehousing.” September 18, 2018. Available at: https://www.bls.gov/news.release/archives/ecec_09182018.</w:t>
      </w:r>
      <w:r>
        <w:t>pap</w:t>
      </w:r>
      <w:r w:rsidRPr="008442BB">
        <w:t>pdf (accessed May 6, 2019).</w:t>
      </w:r>
    </w:p>
  </w:footnote>
  <w:footnote w:id="22">
    <w:p w14:paraId="5FE2A133" w14:textId="77777777" w:rsidR="00096B7D" w:rsidRPr="00A834E9" w:rsidRDefault="00096B7D" w:rsidP="00F0156C">
      <w:pPr>
        <w:pStyle w:val="FootnoteText"/>
      </w:pPr>
      <w:r w:rsidRPr="008442BB">
        <w:rPr>
          <w:rStyle w:val="FootnoteReference"/>
        </w:rPr>
        <w:footnoteRef/>
      </w:r>
      <w:r w:rsidRPr="008442BB">
        <w:rPr>
          <w:vertAlign w:val="superscript"/>
        </w:rPr>
        <w:t xml:space="preserve"> </w:t>
      </w:r>
      <w:r w:rsidRPr="008442BB">
        <w:t>Mark Berwick and Mohammad Farooq of the Upper Great Plains Transportation Institute, North Dakota State University, August 2003. "Truck Costing Model for Transportation Managers", pages 41, 43, and 45. Available at: https://www.mountain-plains.org/pubs/pdf/MPC03-152.pdf (accessed May 6, 2019).</w:t>
      </w:r>
    </w:p>
  </w:footnote>
  <w:footnote w:id="23">
    <w:p w14:paraId="144F17B1" w14:textId="77777777" w:rsidR="00096B7D" w:rsidRPr="008442BB" w:rsidRDefault="00096B7D" w:rsidP="004220C7">
      <w:pPr>
        <w:pStyle w:val="FootnoteText"/>
        <w:rPr>
          <w:szCs w:val="18"/>
        </w:rPr>
      </w:pPr>
      <w:r w:rsidRPr="008442BB">
        <w:rPr>
          <w:rStyle w:val="FootnoteReference"/>
        </w:rPr>
        <w:footnoteRef/>
      </w:r>
      <w:r w:rsidRPr="008442BB">
        <w:t xml:space="preserve"> </w:t>
      </w:r>
      <w:r w:rsidRPr="008442BB">
        <w:rPr>
          <w:i/>
          <w:szCs w:val="18"/>
        </w:rPr>
        <w:t>Regulatory Evaluation of Minimum Training Requirements for Entry-Level Commercial Motor Vehicle Operators Final Rule</w:t>
      </w:r>
      <w:r w:rsidRPr="008442BB">
        <w:rPr>
          <w:szCs w:val="18"/>
        </w:rPr>
        <w:t>. Section 2.4.1 (Number of Entry-Level CDL Drivers Annually), pp. 16-30. Table 11, pg. 18. Docket ID FMCSA-2007-27748-1291. Available at:  https://www.regulations.gov/contentStreamer?documentId=FMCSA-2007-27748-1291&amp;attachmentNumber=1&amp; contentType=pdf (accessed May 6, 2019).</w:t>
      </w:r>
    </w:p>
  </w:footnote>
  <w:footnote w:id="24">
    <w:p w14:paraId="394CA5F0" w14:textId="77777777" w:rsidR="00096B7D" w:rsidRPr="008442BB" w:rsidRDefault="00096B7D" w:rsidP="00B47786">
      <w:pPr>
        <w:pStyle w:val="FootnoteText"/>
        <w:rPr>
          <w:szCs w:val="18"/>
        </w:rPr>
      </w:pPr>
      <w:r w:rsidRPr="008442BB">
        <w:rPr>
          <w:rStyle w:val="FootnoteReference"/>
        </w:rPr>
        <w:footnoteRef/>
      </w:r>
      <w:r w:rsidRPr="008442BB">
        <w:t xml:space="preserve"> </w:t>
      </w:r>
      <w:r w:rsidRPr="008442BB">
        <w:rPr>
          <w:i/>
          <w:szCs w:val="18"/>
        </w:rPr>
        <w:t>Regulatory Evaluation of Minimum Training Requirements for Entry-Level Commercial Motor Vehicle Operators Final Rule</w:t>
      </w:r>
      <w:r w:rsidRPr="008442BB">
        <w:rPr>
          <w:szCs w:val="18"/>
        </w:rPr>
        <w:t>. Section 3.3.1 (Training Provider Registry Recordkeeping Costs), pg. 80. Docket ID FMCSA-2007-27748-1291. Available at:  https://www.regulations.gov/contentStreamer?documentId=FMCSA-2007-27748-1291&amp;attachmentNumber=1&amp; contentType=pdf (accessed May 6,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B4B2F"/>
    <w:multiLevelType w:val="hybridMultilevel"/>
    <w:tmpl w:val="CCE031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E2A68AB"/>
    <w:multiLevelType w:val="hybridMultilevel"/>
    <w:tmpl w:val="834EA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60BCB"/>
    <w:multiLevelType w:val="hybridMultilevel"/>
    <w:tmpl w:val="26782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2D73D3"/>
    <w:multiLevelType w:val="hybridMultilevel"/>
    <w:tmpl w:val="41782B3C"/>
    <w:lvl w:ilvl="0" w:tplc="D6D64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F512ADA"/>
    <w:multiLevelType w:val="hybridMultilevel"/>
    <w:tmpl w:val="31A4D47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9"/>
  </w:num>
  <w:num w:numId="4">
    <w:abstractNumId w:val="30"/>
  </w:num>
  <w:num w:numId="5">
    <w:abstractNumId w:val="28"/>
  </w:num>
  <w:num w:numId="6">
    <w:abstractNumId w:val="12"/>
  </w:num>
  <w:num w:numId="7">
    <w:abstractNumId w:val="27"/>
  </w:num>
  <w:num w:numId="8">
    <w:abstractNumId w:val="17"/>
  </w:num>
  <w:num w:numId="9">
    <w:abstractNumId w:val="6"/>
  </w:num>
  <w:num w:numId="10">
    <w:abstractNumId w:val="8"/>
  </w:num>
  <w:num w:numId="11">
    <w:abstractNumId w:val="20"/>
  </w:num>
  <w:num w:numId="12">
    <w:abstractNumId w:val="11"/>
  </w:num>
  <w:num w:numId="13">
    <w:abstractNumId w:val="34"/>
  </w:num>
  <w:num w:numId="14">
    <w:abstractNumId w:val="33"/>
  </w:num>
  <w:num w:numId="15">
    <w:abstractNumId w:val="24"/>
  </w:num>
  <w:num w:numId="16">
    <w:abstractNumId w:val="18"/>
  </w:num>
  <w:num w:numId="17">
    <w:abstractNumId w:val="19"/>
  </w:num>
  <w:num w:numId="18">
    <w:abstractNumId w:val="35"/>
  </w:num>
  <w:num w:numId="19">
    <w:abstractNumId w:val="14"/>
  </w:num>
  <w:num w:numId="20">
    <w:abstractNumId w:val="0"/>
  </w:num>
  <w:num w:numId="21">
    <w:abstractNumId w:val="4"/>
  </w:num>
  <w:num w:numId="22">
    <w:abstractNumId w:val="25"/>
  </w:num>
  <w:num w:numId="23">
    <w:abstractNumId w:val="26"/>
  </w:num>
  <w:num w:numId="24">
    <w:abstractNumId w:val="31"/>
  </w:num>
  <w:num w:numId="25">
    <w:abstractNumId w:val="1"/>
  </w:num>
  <w:num w:numId="26">
    <w:abstractNumId w:val="22"/>
  </w:num>
  <w:num w:numId="27">
    <w:abstractNumId w:val="5"/>
  </w:num>
  <w:num w:numId="28">
    <w:abstractNumId w:val="29"/>
  </w:num>
  <w:num w:numId="29">
    <w:abstractNumId w:val="32"/>
  </w:num>
  <w:num w:numId="30">
    <w:abstractNumId w:val="13"/>
  </w:num>
  <w:num w:numId="31">
    <w:abstractNumId w:val="36"/>
  </w:num>
  <w:num w:numId="32">
    <w:abstractNumId w:val="23"/>
  </w:num>
  <w:num w:numId="33">
    <w:abstractNumId w:val="16"/>
  </w:num>
  <w:num w:numId="34">
    <w:abstractNumId w:val="21"/>
  </w:num>
  <w:num w:numId="35">
    <w:abstractNumId w:val="15"/>
  </w:num>
  <w:num w:numId="36">
    <w:abstractNumId w:val="10"/>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F5D"/>
    <w:rsid w:val="0000035B"/>
    <w:rsid w:val="00003747"/>
    <w:rsid w:val="00006334"/>
    <w:rsid w:val="000077B3"/>
    <w:rsid w:val="000077BC"/>
    <w:rsid w:val="00010830"/>
    <w:rsid w:val="00011056"/>
    <w:rsid w:val="00012017"/>
    <w:rsid w:val="00015ECD"/>
    <w:rsid w:val="00016437"/>
    <w:rsid w:val="00016DD3"/>
    <w:rsid w:val="0002036B"/>
    <w:rsid w:val="00020C9B"/>
    <w:rsid w:val="00021C3A"/>
    <w:rsid w:val="0002478B"/>
    <w:rsid w:val="00024AF3"/>
    <w:rsid w:val="000266D1"/>
    <w:rsid w:val="00027F61"/>
    <w:rsid w:val="00030975"/>
    <w:rsid w:val="00030F06"/>
    <w:rsid w:val="000315B2"/>
    <w:rsid w:val="00031F06"/>
    <w:rsid w:val="00034439"/>
    <w:rsid w:val="000346EE"/>
    <w:rsid w:val="00034F28"/>
    <w:rsid w:val="000378E9"/>
    <w:rsid w:val="00041797"/>
    <w:rsid w:val="00043E7C"/>
    <w:rsid w:val="00045CFB"/>
    <w:rsid w:val="00046126"/>
    <w:rsid w:val="00046786"/>
    <w:rsid w:val="000468F7"/>
    <w:rsid w:val="0004749E"/>
    <w:rsid w:val="0004754B"/>
    <w:rsid w:val="00051B7F"/>
    <w:rsid w:val="0005295B"/>
    <w:rsid w:val="00055402"/>
    <w:rsid w:val="00056420"/>
    <w:rsid w:val="000578F8"/>
    <w:rsid w:val="00060104"/>
    <w:rsid w:val="00060A6A"/>
    <w:rsid w:val="0006173C"/>
    <w:rsid w:val="000624E8"/>
    <w:rsid w:val="00062556"/>
    <w:rsid w:val="0006582F"/>
    <w:rsid w:val="000668E8"/>
    <w:rsid w:val="00067577"/>
    <w:rsid w:val="000678BF"/>
    <w:rsid w:val="00070C2C"/>
    <w:rsid w:val="0007327A"/>
    <w:rsid w:val="00074D26"/>
    <w:rsid w:val="000769B7"/>
    <w:rsid w:val="00077397"/>
    <w:rsid w:val="00080686"/>
    <w:rsid w:val="0008270D"/>
    <w:rsid w:val="00084F91"/>
    <w:rsid w:val="00087750"/>
    <w:rsid w:val="00090CE8"/>
    <w:rsid w:val="00090F4B"/>
    <w:rsid w:val="00091731"/>
    <w:rsid w:val="00091746"/>
    <w:rsid w:val="00091794"/>
    <w:rsid w:val="00091CFD"/>
    <w:rsid w:val="0009201D"/>
    <w:rsid w:val="00096223"/>
    <w:rsid w:val="00096B7D"/>
    <w:rsid w:val="00097D59"/>
    <w:rsid w:val="000A52D5"/>
    <w:rsid w:val="000B2D28"/>
    <w:rsid w:val="000B3547"/>
    <w:rsid w:val="000D095F"/>
    <w:rsid w:val="000D1072"/>
    <w:rsid w:val="000D10FB"/>
    <w:rsid w:val="000D1640"/>
    <w:rsid w:val="000D55DD"/>
    <w:rsid w:val="000D6D39"/>
    <w:rsid w:val="000E3469"/>
    <w:rsid w:val="000E34D6"/>
    <w:rsid w:val="000F2FB4"/>
    <w:rsid w:val="000F3F38"/>
    <w:rsid w:val="000F7272"/>
    <w:rsid w:val="00101A4C"/>
    <w:rsid w:val="00103851"/>
    <w:rsid w:val="00104B5C"/>
    <w:rsid w:val="001054E7"/>
    <w:rsid w:val="00105E02"/>
    <w:rsid w:val="00105F8E"/>
    <w:rsid w:val="001116AE"/>
    <w:rsid w:val="00113704"/>
    <w:rsid w:val="0011623D"/>
    <w:rsid w:val="001171DA"/>
    <w:rsid w:val="00120BEF"/>
    <w:rsid w:val="0012271C"/>
    <w:rsid w:val="001238CB"/>
    <w:rsid w:val="00125DC6"/>
    <w:rsid w:val="00126876"/>
    <w:rsid w:val="001276C9"/>
    <w:rsid w:val="0013188C"/>
    <w:rsid w:val="00131CAE"/>
    <w:rsid w:val="00132F9A"/>
    <w:rsid w:val="0013676E"/>
    <w:rsid w:val="00136F8A"/>
    <w:rsid w:val="00140D3B"/>
    <w:rsid w:val="001424C7"/>
    <w:rsid w:val="00144D87"/>
    <w:rsid w:val="00145EF4"/>
    <w:rsid w:val="00147049"/>
    <w:rsid w:val="00150E7C"/>
    <w:rsid w:val="00152C82"/>
    <w:rsid w:val="00155CBF"/>
    <w:rsid w:val="001579F7"/>
    <w:rsid w:val="00160754"/>
    <w:rsid w:val="00165690"/>
    <w:rsid w:val="0016696E"/>
    <w:rsid w:val="00166997"/>
    <w:rsid w:val="00171B93"/>
    <w:rsid w:val="00172C3B"/>
    <w:rsid w:val="00174897"/>
    <w:rsid w:val="00174AF0"/>
    <w:rsid w:val="0017628C"/>
    <w:rsid w:val="00184C7F"/>
    <w:rsid w:val="00185064"/>
    <w:rsid w:val="00186FB3"/>
    <w:rsid w:val="00187993"/>
    <w:rsid w:val="0019051A"/>
    <w:rsid w:val="001955D2"/>
    <w:rsid w:val="001A3674"/>
    <w:rsid w:val="001A3AB0"/>
    <w:rsid w:val="001A404D"/>
    <w:rsid w:val="001A7119"/>
    <w:rsid w:val="001B002B"/>
    <w:rsid w:val="001B0374"/>
    <w:rsid w:val="001B48AB"/>
    <w:rsid w:val="001B66EB"/>
    <w:rsid w:val="001B772F"/>
    <w:rsid w:val="001C182A"/>
    <w:rsid w:val="001C2381"/>
    <w:rsid w:val="001C2B34"/>
    <w:rsid w:val="001C2B37"/>
    <w:rsid w:val="001C2EAD"/>
    <w:rsid w:val="001C37BF"/>
    <w:rsid w:val="001D05F9"/>
    <w:rsid w:val="001D1030"/>
    <w:rsid w:val="001D1F40"/>
    <w:rsid w:val="001D4111"/>
    <w:rsid w:val="001D5FDB"/>
    <w:rsid w:val="001D651F"/>
    <w:rsid w:val="001D7302"/>
    <w:rsid w:val="001E00D7"/>
    <w:rsid w:val="001E3A2A"/>
    <w:rsid w:val="001E3E75"/>
    <w:rsid w:val="001E4F69"/>
    <w:rsid w:val="001E5B1F"/>
    <w:rsid w:val="001F07F6"/>
    <w:rsid w:val="001F3AF4"/>
    <w:rsid w:val="001F56BF"/>
    <w:rsid w:val="001F6F6C"/>
    <w:rsid w:val="001F71C8"/>
    <w:rsid w:val="00202CAC"/>
    <w:rsid w:val="0020504F"/>
    <w:rsid w:val="00207DF3"/>
    <w:rsid w:val="0021075E"/>
    <w:rsid w:val="002139E0"/>
    <w:rsid w:val="0021737F"/>
    <w:rsid w:val="0022097E"/>
    <w:rsid w:val="00220EAE"/>
    <w:rsid w:val="00220F59"/>
    <w:rsid w:val="00221C4A"/>
    <w:rsid w:val="002249EB"/>
    <w:rsid w:val="00226A86"/>
    <w:rsid w:val="00227758"/>
    <w:rsid w:val="00235F8B"/>
    <w:rsid w:val="00236708"/>
    <w:rsid w:val="00237BA1"/>
    <w:rsid w:val="002403D3"/>
    <w:rsid w:val="00241776"/>
    <w:rsid w:val="00243D50"/>
    <w:rsid w:val="00245C29"/>
    <w:rsid w:val="00246DBA"/>
    <w:rsid w:val="0024792E"/>
    <w:rsid w:val="00252D2B"/>
    <w:rsid w:val="00252DED"/>
    <w:rsid w:val="002545FD"/>
    <w:rsid w:val="00261A46"/>
    <w:rsid w:val="00262F68"/>
    <w:rsid w:val="00263084"/>
    <w:rsid w:val="002643A2"/>
    <w:rsid w:val="00266B68"/>
    <w:rsid w:val="00270FE9"/>
    <w:rsid w:val="002749B5"/>
    <w:rsid w:val="00276C1F"/>
    <w:rsid w:val="00280715"/>
    <w:rsid w:val="00280B7E"/>
    <w:rsid w:val="002831FF"/>
    <w:rsid w:val="002843E2"/>
    <w:rsid w:val="00284A3E"/>
    <w:rsid w:val="00285B6C"/>
    <w:rsid w:val="002877FB"/>
    <w:rsid w:val="0029295F"/>
    <w:rsid w:val="00293DDD"/>
    <w:rsid w:val="0029422F"/>
    <w:rsid w:val="0029486F"/>
    <w:rsid w:val="00294A9A"/>
    <w:rsid w:val="00297638"/>
    <w:rsid w:val="00297E93"/>
    <w:rsid w:val="002A09F3"/>
    <w:rsid w:val="002A1EEF"/>
    <w:rsid w:val="002A3355"/>
    <w:rsid w:val="002A5030"/>
    <w:rsid w:val="002A57C7"/>
    <w:rsid w:val="002A7162"/>
    <w:rsid w:val="002B0589"/>
    <w:rsid w:val="002B49CE"/>
    <w:rsid w:val="002C2258"/>
    <w:rsid w:val="002C27C7"/>
    <w:rsid w:val="002C72FA"/>
    <w:rsid w:val="002D115C"/>
    <w:rsid w:val="002D2206"/>
    <w:rsid w:val="002D4BEF"/>
    <w:rsid w:val="002D7313"/>
    <w:rsid w:val="002D7530"/>
    <w:rsid w:val="002E0674"/>
    <w:rsid w:val="002E148F"/>
    <w:rsid w:val="002E342F"/>
    <w:rsid w:val="002E3AF6"/>
    <w:rsid w:val="002E3BA1"/>
    <w:rsid w:val="002E45BF"/>
    <w:rsid w:val="002E4A35"/>
    <w:rsid w:val="002E50B0"/>
    <w:rsid w:val="002E6C9D"/>
    <w:rsid w:val="002F403F"/>
    <w:rsid w:val="002F454E"/>
    <w:rsid w:val="002F55E8"/>
    <w:rsid w:val="002F6582"/>
    <w:rsid w:val="002F67DD"/>
    <w:rsid w:val="0030283B"/>
    <w:rsid w:val="00303C93"/>
    <w:rsid w:val="00306305"/>
    <w:rsid w:val="00311056"/>
    <w:rsid w:val="00311284"/>
    <w:rsid w:val="0031358A"/>
    <w:rsid w:val="0031384A"/>
    <w:rsid w:val="00321061"/>
    <w:rsid w:val="003227E6"/>
    <w:rsid w:val="0032350B"/>
    <w:rsid w:val="00323CDB"/>
    <w:rsid w:val="003269BE"/>
    <w:rsid w:val="003270C7"/>
    <w:rsid w:val="00327216"/>
    <w:rsid w:val="003306FA"/>
    <w:rsid w:val="003314D7"/>
    <w:rsid w:val="00333755"/>
    <w:rsid w:val="00334914"/>
    <w:rsid w:val="0033704F"/>
    <w:rsid w:val="003379C8"/>
    <w:rsid w:val="0034332D"/>
    <w:rsid w:val="00346352"/>
    <w:rsid w:val="003470AB"/>
    <w:rsid w:val="00353C80"/>
    <w:rsid w:val="00361C7F"/>
    <w:rsid w:val="00373407"/>
    <w:rsid w:val="00374E36"/>
    <w:rsid w:val="00380257"/>
    <w:rsid w:val="00383A69"/>
    <w:rsid w:val="00383E94"/>
    <w:rsid w:val="003849BE"/>
    <w:rsid w:val="00384E13"/>
    <w:rsid w:val="003907F0"/>
    <w:rsid w:val="00392B13"/>
    <w:rsid w:val="00392B28"/>
    <w:rsid w:val="00394E60"/>
    <w:rsid w:val="0039524E"/>
    <w:rsid w:val="00395D35"/>
    <w:rsid w:val="00396B6D"/>
    <w:rsid w:val="003A00C5"/>
    <w:rsid w:val="003A0F6C"/>
    <w:rsid w:val="003A3A7F"/>
    <w:rsid w:val="003A7EB8"/>
    <w:rsid w:val="003B011B"/>
    <w:rsid w:val="003B10FC"/>
    <w:rsid w:val="003B2A1A"/>
    <w:rsid w:val="003B3E62"/>
    <w:rsid w:val="003B415F"/>
    <w:rsid w:val="003B6215"/>
    <w:rsid w:val="003B7971"/>
    <w:rsid w:val="003C52E8"/>
    <w:rsid w:val="003D0291"/>
    <w:rsid w:val="003D1ADF"/>
    <w:rsid w:val="003D1F79"/>
    <w:rsid w:val="003D477F"/>
    <w:rsid w:val="003D5118"/>
    <w:rsid w:val="003D550F"/>
    <w:rsid w:val="003D585D"/>
    <w:rsid w:val="003D6C44"/>
    <w:rsid w:val="003E10B5"/>
    <w:rsid w:val="00400696"/>
    <w:rsid w:val="00400AF1"/>
    <w:rsid w:val="00401E8F"/>
    <w:rsid w:val="004054A4"/>
    <w:rsid w:val="00407E96"/>
    <w:rsid w:val="00411B0D"/>
    <w:rsid w:val="00414931"/>
    <w:rsid w:val="004149F4"/>
    <w:rsid w:val="00421807"/>
    <w:rsid w:val="004220C7"/>
    <w:rsid w:val="004236F6"/>
    <w:rsid w:val="004259F9"/>
    <w:rsid w:val="00425FDB"/>
    <w:rsid w:val="00427F10"/>
    <w:rsid w:val="00430A60"/>
    <w:rsid w:val="00432AF7"/>
    <w:rsid w:val="004368D1"/>
    <w:rsid w:val="004369E1"/>
    <w:rsid w:val="0043735E"/>
    <w:rsid w:val="00444D8A"/>
    <w:rsid w:val="00445C33"/>
    <w:rsid w:val="004463D4"/>
    <w:rsid w:val="0045027D"/>
    <w:rsid w:val="004510BE"/>
    <w:rsid w:val="00451A19"/>
    <w:rsid w:val="00452DB0"/>
    <w:rsid w:val="004538BB"/>
    <w:rsid w:val="00453C0B"/>
    <w:rsid w:val="004562B5"/>
    <w:rsid w:val="0045673C"/>
    <w:rsid w:val="00457135"/>
    <w:rsid w:val="00464625"/>
    <w:rsid w:val="00465DE5"/>
    <w:rsid w:val="00470720"/>
    <w:rsid w:val="00472BF4"/>
    <w:rsid w:val="00473634"/>
    <w:rsid w:val="004745E8"/>
    <w:rsid w:val="00480D9C"/>
    <w:rsid w:val="00481ACF"/>
    <w:rsid w:val="004857B8"/>
    <w:rsid w:val="0049240B"/>
    <w:rsid w:val="0049255F"/>
    <w:rsid w:val="0049288A"/>
    <w:rsid w:val="004932B6"/>
    <w:rsid w:val="0049354C"/>
    <w:rsid w:val="00493826"/>
    <w:rsid w:val="0049423C"/>
    <w:rsid w:val="00494C26"/>
    <w:rsid w:val="004972A1"/>
    <w:rsid w:val="004A5092"/>
    <w:rsid w:val="004A58DC"/>
    <w:rsid w:val="004A6F8E"/>
    <w:rsid w:val="004B0003"/>
    <w:rsid w:val="004B0535"/>
    <w:rsid w:val="004B07D8"/>
    <w:rsid w:val="004B0D0C"/>
    <w:rsid w:val="004B1295"/>
    <w:rsid w:val="004B1631"/>
    <w:rsid w:val="004B3ADB"/>
    <w:rsid w:val="004C07C0"/>
    <w:rsid w:val="004C35C4"/>
    <w:rsid w:val="004C4BD0"/>
    <w:rsid w:val="004C4D05"/>
    <w:rsid w:val="004C51CB"/>
    <w:rsid w:val="004C5571"/>
    <w:rsid w:val="004C60F6"/>
    <w:rsid w:val="004C737E"/>
    <w:rsid w:val="004C79E0"/>
    <w:rsid w:val="004D1DB2"/>
    <w:rsid w:val="004D3937"/>
    <w:rsid w:val="004D39F3"/>
    <w:rsid w:val="004D3A53"/>
    <w:rsid w:val="004D421F"/>
    <w:rsid w:val="004D4C39"/>
    <w:rsid w:val="004D6FA7"/>
    <w:rsid w:val="004D7D64"/>
    <w:rsid w:val="004E283A"/>
    <w:rsid w:val="004E571D"/>
    <w:rsid w:val="004E73B7"/>
    <w:rsid w:val="004F0F9C"/>
    <w:rsid w:val="004F11FB"/>
    <w:rsid w:val="004F268C"/>
    <w:rsid w:val="004F7AC2"/>
    <w:rsid w:val="004F7FE0"/>
    <w:rsid w:val="00500F5F"/>
    <w:rsid w:val="0050796E"/>
    <w:rsid w:val="00507ED1"/>
    <w:rsid w:val="00507F68"/>
    <w:rsid w:val="005114C1"/>
    <w:rsid w:val="005117C3"/>
    <w:rsid w:val="00515433"/>
    <w:rsid w:val="00515DC4"/>
    <w:rsid w:val="00516F2F"/>
    <w:rsid w:val="00520607"/>
    <w:rsid w:val="00521F97"/>
    <w:rsid w:val="0052202A"/>
    <w:rsid w:val="00522E24"/>
    <w:rsid w:val="005235AD"/>
    <w:rsid w:val="00524B1D"/>
    <w:rsid w:val="00524D4C"/>
    <w:rsid w:val="005259CD"/>
    <w:rsid w:val="00535107"/>
    <w:rsid w:val="005358F7"/>
    <w:rsid w:val="005360A3"/>
    <w:rsid w:val="00537537"/>
    <w:rsid w:val="0054111F"/>
    <w:rsid w:val="00541425"/>
    <w:rsid w:val="005421D0"/>
    <w:rsid w:val="005440A8"/>
    <w:rsid w:val="0054720C"/>
    <w:rsid w:val="00553C5E"/>
    <w:rsid w:val="005541CA"/>
    <w:rsid w:val="005548D1"/>
    <w:rsid w:val="00555D2A"/>
    <w:rsid w:val="0055628D"/>
    <w:rsid w:val="00557018"/>
    <w:rsid w:val="00557D50"/>
    <w:rsid w:val="005612EB"/>
    <w:rsid w:val="005632BA"/>
    <w:rsid w:val="00563CA3"/>
    <w:rsid w:val="00565D4D"/>
    <w:rsid w:val="00565E1E"/>
    <w:rsid w:val="00565F7D"/>
    <w:rsid w:val="005674DB"/>
    <w:rsid w:val="00572912"/>
    <w:rsid w:val="00575915"/>
    <w:rsid w:val="00576690"/>
    <w:rsid w:val="0058156E"/>
    <w:rsid w:val="00584307"/>
    <w:rsid w:val="00585BF6"/>
    <w:rsid w:val="00586976"/>
    <w:rsid w:val="0058721C"/>
    <w:rsid w:val="00587D7F"/>
    <w:rsid w:val="00591F9F"/>
    <w:rsid w:val="00594A01"/>
    <w:rsid w:val="0059735C"/>
    <w:rsid w:val="005A2E12"/>
    <w:rsid w:val="005A367E"/>
    <w:rsid w:val="005A48F1"/>
    <w:rsid w:val="005A4D54"/>
    <w:rsid w:val="005A5A30"/>
    <w:rsid w:val="005A7CDF"/>
    <w:rsid w:val="005B2085"/>
    <w:rsid w:val="005B288A"/>
    <w:rsid w:val="005B50CD"/>
    <w:rsid w:val="005B6759"/>
    <w:rsid w:val="005C1336"/>
    <w:rsid w:val="005C2B17"/>
    <w:rsid w:val="005D109D"/>
    <w:rsid w:val="005D1B24"/>
    <w:rsid w:val="005D4438"/>
    <w:rsid w:val="005D581F"/>
    <w:rsid w:val="005D6204"/>
    <w:rsid w:val="005D7459"/>
    <w:rsid w:val="005E0B09"/>
    <w:rsid w:val="005E4467"/>
    <w:rsid w:val="005E4DDC"/>
    <w:rsid w:val="005E4FAE"/>
    <w:rsid w:val="005E50B1"/>
    <w:rsid w:val="005E5157"/>
    <w:rsid w:val="005E69DF"/>
    <w:rsid w:val="005E6D95"/>
    <w:rsid w:val="005F2DB2"/>
    <w:rsid w:val="005F557E"/>
    <w:rsid w:val="00600FC4"/>
    <w:rsid w:val="00605D49"/>
    <w:rsid w:val="00606E62"/>
    <w:rsid w:val="00607376"/>
    <w:rsid w:val="0060755C"/>
    <w:rsid w:val="00610AE1"/>
    <w:rsid w:val="00612677"/>
    <w:rsid w:val="00613141"/>
    <w:rsid w:val="006146B9"/>
    <w:rsid w:val="00615D51"/>
    <w:rsid w:val="00624690"/>
    <w:rsid w:val="00626004"/>
    <w:rsid w:val="00631961"/>
    <w:rsid w:val="00632C91"/>
    <w:rsid w:val="00634636"/>
    <w:rsid w:val="00636789"/>
    <w:rsid w:val="0064095F"/>
    <w:rsid w:val="00646309"/>
    <w:rsid w:val="006507DF"/>
    <w:rsid w:val="00651FEA"/>
    <w:rsid w:val="00656E8B"/>
    <w:rsid w:val="00657D75"/>
    <w:rsid w:val="00661D1E"/>
    <w:rsid w:val="00662965"/>
    <w:rsid w:val="00665E8F"/>
    <w:rsid w:val="006702C2"/>
    <w:rsid w:val="006704F2"/>
    <w:rsid w:val="00673737"/>
    <w:rsid w:val="00675613"/>
    <w:rsid w:val="006767A6"/>
    <w:rsid w:val="006772FE"/>
    <w:rsid w:val="00677BF7"/>
    <w:rsid w:val="00677D42"/>
    <w:rsid w:val="00682FB0"/>
    <w:rsid w:val="00683818"/>
    <w:rsid w:val="00686EE0"/>
    <w:rsid w:val="00690E47"/>
    <w:rsid w:val="00691819"/>
    <w:rsid w:val="00692140"/>
    <w:rsid w:val="00692382"/>
    <w:rsid w:val="00693380"/>
    <w:rsid w:val="00693CFC"/>
    <w:rsid w:val="006946FE"/>
    <w:rsid w:val="00694E8D"/>
    <w:rsid w:val="006955DC"/>
    <w:rsid w:val="006961A7"/>
    <w:rsid w:val="006A206C"/>
    <w:rsid w:val="006A45F8"/>
    <w:rsid w:val="006A4AB2"/>
    <w:rsid w:val="006A4C69"/>
    <w:rsid w:val="006A597A"/>
    <w:rsid w:val="006A759B"/>
    <w:rsid w:val="006A7AC4"/>
    <w:rsid w:val="006B0B50"/>
    <w:rsid w:val="006B3B4B"/>
    <w:rsid w:val="006B5B2B"/>
    <w:rsid w:val="006B5C1D"/>
    <w:rsid w:val="006B5EB3"/>
    <w:rsid w:val="006B6E5B"/>
    <w:rsid w:val="006B73DF"/>
    <w:rsid w:val="006C0912"/>
    <w:rsid w:val="006C1951"/>
    <w:rsid w:val="006C348E"/>
    <w:rsid w:val="006C4D03"/>
    <w:rsid w:val="006C714E"/>
    <w:rsid w:val="006C75BF"/>
    <w:rsid w:val="006D0723"/>
    <w:rsid w:val="006D1205"/>
    <w:rsid w:val="006D5EC4"/>
    <w:rsid w:val="006E0380"/>
    <w:rsid w:val="006E0EA4"/>
    <w:rsid w:val="006E379C"/>
    <w:rsid w:val="006E37FF"/>
    <w:rsid w:val="006E50BB"/>
    <w:rsid w:val="006E51C3"/>
    <w:rsid w:val="006F191C"/>
    <w:rsid w:val="006F3360"/>
    <w:rsid w:val="006F3950"/>
    <w:rsid w:val="006F4C45"/>
    <w:rsid w:val="00701B09"/>
    <w:rsid w:val="007031D0"/>
    <w:rsid w:val="007036CA"/>
    <w:rsid w:val="007045CC"/>
    <w:rsid w:val="007046F0"/>
    <w:rsid w:val="00704CEC"/>
    <w:rsid w:val="007056CE"/>
    <w:rsid w:val="0070648B"/>
    <w:rsid w:val="00707428"/>
    <w:rsid w:val="00712033"/>
    <w:rsid w:val="0071454F"/>
    <w:rsid w:val="007153B4"/>
    <w:rsid w:val="00716610"/>
    <w:rsid w:val="00720A9F"/>
    <w:rsid w:val="007233D8"/>
    <w:rsid w:val="007247A8"/>
    <w:rsid w:val="00726588"/>
    <w:rsid w:val="007278ED"/>
    <w:rsid w:val="00727E7B"/>
    <w:rsid w:val="0073234B"/>
    <w:rsid w:val="00732E80"/>
    <w:rsid w:val="0073366E"/>
    <w:rsid w:val="00744983"/>
    <w:rsid w:val="00752191"/>
    <w:rsid w:val="007532C3"/>
    <w:rsid w:val="007533B3"/>
    <w:rsid w:val="007540F8"/>
    <w:rsid w:val="00754FAD"/>
    <w:rsid w:val="00756ECD"/>
    <w:rsid w:val="007650D7"/>
    <w:rsid w:val="00766697"/>
    <w:rsid w:val="00770FAE"/>
    <w:rsid w:val="007720B3"/>
    <w:rsid w:val="00773EAB"/>
    <w:rsid w:val="007743A2"/>
    <w:rsid w:val="0077669E"/>
    <w:rsid w:val="00776E3C"/>
    <w:rsid w:val="007811BF"/>
    <w:rsid w:val="007821E7"/>
    <w:rsid w:val="00782519"/>
    <w:rsid w:val="00786B2E"/>
    <w:rsid w:val="00787E92"/>
    <w:rsid w:val="007901E9"/>
    <w:rsid w:val="00793FDE"/>
    <w:rsid w:val="00795B01"/>
    <w:rsid w:val="007A410B"/>
    <w:rsid w:val="007A6DA2"/>
    <w:rsid w:val="007A7CE8"/>
    <w:rsid w:val="007A7F06"/>
    <w:rsid w:val="007B290B"/>
    <w:rsid w:val="007B34C4"/>
    <w:rsid w:val="007B5572"/>
    <w:rsid w:val="007B620F"/>
    <w:rsid w:val="007B772B"/>
    <w:rsid w:val="007C25FA"/>
    <w:rsid w:val="007C2AE1"/>
    <w:rsid w:val="007C37FC"/>
    <w:rsid w:val="007C3B9D"/>
    <w:rsid w:val="007C65BC"/>
    <w:rsid w:val="007C76FE"/>
    <w:rsid w:val="007D2B58"/>
    <w:rsid w:val="007D333D"/>
    <w:rsid w:val="007D3FFD"/>
    <w:rsid w:val="007D568D"/>
    <w:rsid w:val="007D6072"/>
    <w:rsid w:val="007D7176"/>
    <w:rsid w:val="007D7F86"/>
    <w:rsid w:val="007E17DE"/>
    <w:rsid w:val="007E3849"/>
    <w:rsid w:val="007E3940"/>
    <w:rsid w:val="007E3D9E"/>
    <w:rsid w:val="007E4F81"/>
    <w:rsid w:val="007E631C"/>
    <w:rsid w:val="007E6494"/>
    <w:rsid w:val="007F207F"/>
    <w:rsid w:val="007F503C"/>
    <w:rsid w:val="007F57EB"/>
    <w:rsid w:val="007F612C"/>
    <w:rsid w:val="008060DD"/>
    <w:rsid w:val="008108A6"/>
    <w:rsid w:val="00810CB5"/>
    <w:rsid w:val="008159CF"/>
    <w:rsid w:val="0081739B"/>
    <w:rsid w:val="0081787C"/>
    <w:rsid w:val="00821168"/>
    <w:rsid w:val="008223F9"/>
    <w:rsid w:val="008243C8"/>
    <w:rsid w:val="008245EF"/>
    <w:rsid w:val="00830F5D"/>
    <w:rsid w:val="0083413F"/>
    <w:rsid w:val="008341C6"/>
    <w:rsid w:val="00834ACC"/>
    <w:rsid w:val="00835B0D"/>
    <w:rsid w:val="008436B8"/>
    <w:rsid w:val="008442BB"/>
    <w:rsid w:val="0084431D"/>
    <w:rsid w:val="00844E89"/>
    <w:rsid w:val="008458ED"/>
    <w:rsid w:val="00845BF5"/>
    <w:rsid w:val="008472E1"/>
    <w:rsid w:val="00851BBF"/>
    <w:rsid w:val="00851BED"/>
    <w:rsid w:val="008543D4"/>
    <w:rsid w:val="00855857"/>
    <w:rsid w:val="0085687D"/>
    <w:rsid w:val="00856A5B"/>
    <w:rsid w:val="00865425"/>
    <w:rsid w:val="008661C7"/>
    <w:rsid w:val="00866A41"/>
    <w:rsid w:val="008701F2"/>
    <w:rsid w:val="00872707"/>
    <w:rsid w:val="00872ACA"/>
    <w:rsid w:val="00872E0E"/>
    <w:rsid w:val="00873AC4"/>
    <w:rsid w:val="008745B8"/>
    <w:rsid w:val="00880613"/>
    <w:rsid w:val="0088086F"/>
    <w:rsid w:val="00880F2C"/>
    <w:rsid w:val="00886E8F"/>
    <w:rsid w:val="008909AF"/>
    <w:rsid w:val="008912F9"/>
    <w:rsid w:val="0089256B"/>
    <w:rsid w:val="00892C40"/>
    <w:rsid w:val="00897A6D"/>
    <w:rsid w:val="008A27B4"/>
    <w:rsid w:val="008A3402"/>
    <w:rsid w:val="008A5028"/>
    <w:rsid w:val="008A63C3"/>
    <w:rsid w:val="008B0C5D"/>
    <w:rsid w:val="008B1364"/>
    <w:rsid w:val="008B5870"/>
    <w:rsid w:val="008B593B"/>
    <w:rsid w:val="008C002E"/>
    <w:rsid w:val="008C054C"/>
    <w:rsid w:val="008C0FA1"/>
    <w:rsid w:val="008C16A7"/>
    <w:rsid w:val="008C3A7A"/>
    <w:rsid w:val="008D1212"/>
    <w:rsid w:val="008D16EA"/>
    <w:rsid w:val="008D1708"/>
    <w:rsid w:val="008D2216"/>
    <w:rsid w:val="008D2450"/>
    <w:rsid w:val="008D34A3"/>
    <w:rsid w:val="008D37EA"/>
    <w:rsid w:val="008D4792"/>
    <w:rsid w:val="008D5619"/>
    <w:rsid w:val="008D5E8E"/>
    <w:rsid w:val="008D67BA"/>
    <w:rsid w:val="008D6830"/>
    <w:rsid w:val="008D7B9A"/>
    <w:rsid w:val="008E17F2"/>
    <w:rsid w:val="008E2ADB"/>
    <w:rsid w:val="008E4E78"/>
    <w:rsid w:val="008E7BAE"/>
    <w:rsid w:val="008F120E"/>
    <w:rsid w:val="008F227F"/>
    <w:rsid w:val="008F2CDB"/>
    <w:rsid w:val="008F3230"/>
    <w:rsid w:val="008F69E6"/>
    <w:rsid w:val="008F6FFE"/>
    <w:rsid w:val="00900321"/>
    <w:rsid w:val="00902DFA"/>
    <w:rsid w:val="0090520D"/>
    <w:rsid w:val="009054A9"/>
    <w:rsid w:val="009067F5"/>
    <w:rsid w:val="009071D9"/>
    <w:rsid w:val="0091203D"/>
    <w:rsid w:val="009128BB"/>
    <w:rsid w:val="00914BCD"/>
    <w:rsid w:val="0091655D"/>
    <w:rsid w:val="00916AF8"/>
    <w:rsid w:val="00917982"/>
    <w:rsid w:val="00917A7A"/>
    <w:rsid w:val="009229EB"/>
    <w:rsid w:val="0092300C"/>
    <w:rsid w:val="009238F9"/>
    <w:rsid w:val="00924BC6"/>
    <w:rsid w:val="0092632D"/>
    <w:rsid w:val="00926785"/>
    <w:rsid w:val="00927A22"/>
    <w:rsid w:val="00933472"/>
    <w:rsid w:val="00933E97"/>
    <w:rsid w:val="009364EE"/>
    <w:rsid w:val="00937516"/>
    <w:rsid w:val="009402C9"/>
    <w:rsid w:val="00940EDE"/>
    <w:rsid w:val="00943304"/>
    <w:rsid w:val="00945604"/>
    <w:rsid w:val="00945692"/>
    <w:rsid w:val="00946826"/>
    <w:rsid w:val="00946FC0"/>
    <w:rsid w:val="00950B28"/>
    <w:rsid w:val="0095195C"/>
    <w:rsid w:val="00953CFD"/>
    <w:rsid w:val="0095457A"/>
    <w:rsid w:val="009547A3"/>
    <w:rsid w:val="0095553A"/>
    <w:rsid w:val="009562E5"/>
    <w:rsid w:val="0095685C"/>
    <w:rsid w:val="00961586"/>
    <w:rsid w:val="00962525"/>
    <w:rsid w:val="00963B6C"/>
    <w:rsid w:val="00964ED2"/>
    <w:rsid w:val="00965D4C"/>
    <w:rsid w:val="009670AA"/>
    <w:rsid w:val="00967829"/>
    <w:rsid w:val="00971622"/>
    <w:rsid w:val="00971BD5"/>
    <w:rsid w:val="009720F8"/>
    <w:rsid w:val="00974889"/>
    <w:rsid w:val="00975FC9"/>
    <w:rsid w:val="00976C92"/>
    <w:rsid w:val="00977870"/>
    <w:rsid w:val="009812B8"/>
    <w:rsid w:val="00981FCD"/>
    <w:rsid w:val="00984E53"/>
    <w:rsid w:val="00985C3E"/>
    <w:rsid w:val="0099377A"/>
    <w:rsid w:val="009966FF"/>
    <w:rsid w:val="0099681C"/>
    <w:rsid w:val="009A0DC0"/>
    <w:rsid w:val="009A7866"/>
    <w:rsid w:val="009B0E34"/>
    <w:rsid w:val="009B2249"/>
    <w:rsid w:val="009B2F6B"/>
    <w:rsid w:val="009B43EC"/>
    <w:rsid w:val="009C0A86"/>
    <w:rsid w:val="009C29F8"/>
    <w:rsid w:val="009C33E6"/>
    <w:rsid w:val="009C3484"/>
    <w:rsid w:val="009C3856"/>
    <w:rsid w:val="009C4742"/>
    <w:rsid w:val="009D02BA"/>
    <w:rsid w:val="009D1941"/>
    <w:rsid w:val="009D2996"/>
    <w:rsid w:val="009D4F42"/>
    <w:rsid w:val="009D4F72"/>
    <w:rsid w:val="009D5120"/>
    <w:rsid w:val="009D7866"/>
    <w:rsid w:val="009E0597"/>
    <w:rsid w:val="009E0720"/>
    <w:rsid w:val="009E0E2C"/>
    <w:rsid w:val="009E2F2D"/>
    <w:rsid w:val="009E43F8"/>
    <w:rsid w:val="009E4B73"/>
    <w:rsid w:val="009F2324"/>
    <w:rsid w:val="009F2CB2"/>
    <w:rsid w:val="00A005C5"/>
    <w:rsid w:val="00A016AB"/>
    <w:rsid w:val="00A030B5"/>
    <w:rsid w:val="00A06846"/>
    <w:rsid w:val="00A07853"/>
    <w:rsid w:val="00A17F26"/>
    <w:rsid w:val="00A21A2B"/>
    <w:rsid w:val="00A257E7"/>
    <w:rsid w:val="00A26291"/>
    <w:rsid w:val="00A27571"/>
    <w:rsid w:val="00A302E1"/>
    <w:rsid w:val="00A33AF9"/>
    <w:rsid w:val="00A367E6"/>
    <w:rsid w:val="00A42CB3"/>
    <w:rsid w:val="00A45437"/>
    <w:rsid w:val="00A45DF9"/>
    <w:rsid w:val="00A46681"/>
    <w:rsid w:val="00A46FB9"/>
    <w:rsid w:val="00A47427"/>
    <w:rsid w:val="00A50966"/>
    <w:rsid w:val="00A602F8"/>
    <w:rsid w:val="00A613EE"/>
    <w:rsid w:val="00A61865"/>
    <w:rsid w:val="00A701F1"/>
    <w:rsid w:val="00A72E59"/>
    <w:rsid w:val="00A750C4"/>
    <w:rsid w:val="00A81D8C"/>
    <w:rsid w:val="00A8458D"/>
    <w:rsid w:val="00A845C5"/>
    <w:rsid w:val="00A85765"/>
    <w:rsid w:val="00A86367"/>
    <w:rsid w:val="00A9212E"/>
    <w:rsid w:val="00A92AE3"/>
    <w:rsid w:val="00A965DF"/>
    <w:rsid w:val="00A97640"/>
    <w:rsid w:val="00A97936"/>
    <w:rsid w:val="00AA535D"/>
    <w:rsid w:val="00AA5FE2"/>
    <w:rsid w:val="00AB3BCA"/>
    <w:rsid w:val="00AB3CDD"/>
    <w:rsid w:val="00AC10B1"/>
    <w:rsid w:val="00AC3217"/>
    <w:rsid w:val="00AC6A29"/>
    <w:rsid w:val="00AC7C2B"/>
    <w:rsid w:val="00AC7F26"/>
    <w:rsid w:val="00AD208E"/>
    <w:rsid w:val="00AD4169"/>
    <w:rsid w:val="00AD550C"/>
    <w:rsid w:val="00AD57B2"/>
    <w:rsid w:val="00AE132F"/>
    <w:rsid w:val="00AE1642"/>
    <w:rsid w:val="00AE18CF"/>
    <w:rsid w:val="00AE235A"/>
    <w:rsid w:val="00AE4E34"/>
    <w:rsid w:val="00AE5C79"/>
    <w:rsid w:val="00AE7EC2"/>
    <w:rsid w:val="00AF06B5"/>
    <w:rsid w:val="00AF3DBC"/>
    <w:rsid w:val="00AF4775"/>
    <w:rsid w:val="00AF636E"/>
    <w:rsid w:val="00AF73A0"/>
    <w:rsid w:val="00AF7C3D"/>
    <w:rsid w:val="00B003EB"/>
    <w:rsid w:val="00B00C44"/>
    <w:rsid w:val="00B01092"/>
    <w:rsid w:val="00B02EC3"/>
    <w:rsid w:val="00B0336C"/>
    <w:rsid w:val="00B034EF"/>
    <w:rsid w:val="00B05323"/>
    <w:rsid w:val="00B062D4"/>
    <w:rsid w:val="00B11D8B"/>
    <w:rsid w:val="00B148D8"/>
    <w:rsid w:val="00B14F56"/>
    <w:rsid w:val="00B151B7"/>
    <w:rsid w:val="00B15512"/>
    <w:rsid w:val="00B162A8"/>
    <w:rsid w:val="00B16469"/>
    <w:rsid w:val="00B16B1B"/>
    <w:rsid w:val="00B16B28"/>
    <w:rsid w:val="00B173D6"/>
    <w:rsid w:val="00B2051C"/>
    <w:rsid w:val="00B20F2F"/>
    <w:rsid w:val="00B217D0"/>
    <w:rsid w:val="00B22478"/>
    <w:rsid w:val="00B231C1"/>
    <w:rsid w:val="00B233B8"/>
    <w:rsid w:val="00B267DD"/>
    <w:rsid w:val="00B306C1"/>
    <w:rsid w:val="00B31F1D"/>
    <w:rsid w:val="00B32097"/>
    <w:rsid w:val="00B32694"/>
    <w:rsid w:val="00B32D87"/>
    <w:rsid w:val="00B335F1"/>
    <w:rsid w:val="00B34286"/>
    <w:rsid w:val="00B36D0C"/>
    <w:rsid w:val="00B36DFE"/>
    <w:rsid w:val="00B40972"/>
    <w:rsid w:val="00B44260"/>
    <w:rsid w:val="00B44DBE"/>
    <w:rsid w:val="00B47172"/>
    <w:rsid w:val="00B47786"/>
    <w:rsid w:val="00B502B1"/>
    <w:rsid w:val="00B52E13"/>
    <w:rsid w:val="00B53370"/>
    <w:rsid w:val="00B540EF"/>
    <w:rsid w:val="00B557A7"/>
    <w:rsid w:val="00B566BD"/>
    <w:rsid w:val="00B5702F"/>
    <w:rsid w:val="00B60A04"/>
    <w:rsid w:val="00B635DE"/>
    <w:rsid w:val="00B64ED5"/>
    <w:rsid w:val="00B6692F"/>
    <w:rsid w:val="00B701F2"/>
    <w:rsid w:val="00B70741"/>
    <w:rsid w:val="00B71ED4"/>
    <w:rsid w:val="00B731F5"/>
    <w:rsid w:val="00B74E9C"/>
    <w:rsid w:val="00B75AF6"/>
    <w:rsid w:val="00B76BB3"/>
    <w:rsid w:val="00B76E73"/>
    <w:rsid w:val="00B774A0"/>
    <w:rsid w:val="00B8451C"/>
    <w:rsid w:val="00B85E69"/>
    <w:rsid w:val="00B87EBE"/>
    <w:rsid w:val="00B9162C"/>
    <w:rsid w:val="00B97360"/>
    <w:rsid w:val="00BA09BD"/>
    <w:rsid w:val="00BA38B0"/>
    <w:rsid w:val="00BA4DC3"/>
    <w:rsid w:val="00BA590F"/>
    <w:rsid w:val="00BB2ED3"/>
    <w:rsid w:val="00BB33B2"/>
    <w:rsid w:val="00BB5395"/>
    <w:rsid w:val="00BB5C72"/>
    <w:rsid w:val="00BC27AB"/>
    <w:rsid w:val="00BC70C3"/>
    <w:rsid w:val="00BD2B6D"/>
    <w:rsid w:val="00BD3F66"/>
    <w:rsid w:val="00BD7229"/>
    <w:rsid w:val="00BD7D81"/>
    <w:rsid w:val="00BE48A4"/>
    <w:rsid w:val="00BE5EBC"/>
    <w:rsid w:val="00BE6030"/>
    <w:rsid w:val="00BE6C9B"/>
    <w:rsid w:val="00BE6F02"/>
    <w:rsid w:val="00BE78DB"/>
    <w:rsid w:val="00BF37B4"/>
    <w:rsid w:val="00BF3AF7"/>
    <w:rsid w:val="00BF3DFC"/>
    <w:rsid w:val="00BF5DDB"/>
    <w:rsid w:val="00C01AC1"/>
    <w:rsid w:val="00C0364F"/>
    <w:rsid w:val="00C07C00"/>
    <w:rsid w:val="00C07DC9"/>
    <w:rsid w:val="00C10898"/>
    <w:rsid w:val="00C112C7"/>
    <w:rsid w:val="00C12C8A"/>
    <w:rsid w:val="00C14920"/>
    <w:rsid w:val="00C14DF2"/>
    <w:rsid w:val="00C14F1F"/>
    <w:rsid w:val="00C15763"/>
    <w:rsid w:val="00C1605B"/>
    <w:rsid w:val="00C230E4"/>
    <w:rsid w:val="00C234EF"/>
    <w:rsid w:val="00C30AE8"/>
    <w:rsid w:val="00C31F0C"/>
    <w:rsid w:val="00C33AE9"/>
    <w:rsid w:val="00C33F07"/>
    <w:rsid w:val="00C40D3D"/>
    <w:rsid w:val="00C41C9B"/>
    <w:rsid w:val="00C475CE"/>
    <w:rsid w:val="00C51F51"/>
    <w:rsid w:val="00C51F97"/>
    <w:rsid w:val="00C619F5"/>
    <w:rsid w:val="00C62F5D"/>
    <w:rsid w:val="00C63CF5"/>
    <w:rsid w:val="00C674B4"/>
    <w:rsid w:val="00C67A6A"/>
    <w:rsid w:val="00C74F00"/>
    <w:rsid w:val="00C75014"/>
    <w:rsid w:val="00C75ED1"/>
    <w:rsid w:val="00C8134C"/>
    <w:rsid w:val="00C81BE3"/>
    <w:rsid w:val="00C82A9E"/>
    <w:rsid w:val="00C84BC5"/>
    <w:rsid w:val="00C84CDB"/>
    <w:rsid w:val="00C94FED"/>
    <w:rsid w:val="00CA1915"/>
    <w:rsid w:val="00CA25E4"/>
    <w:rsid w:val="00CA29EE"/>
    <w:rsid w:val="00CA3042"/>
    <w:rsid w:val="00CA3651"/>
    <w:rsid w:val="00CA41BD"/>
    <w:rsid w:val="00CA57B3"/>
    <w:rsid w:val="00CA5C05"/>
    <w:rsid w:val="00CA6031"/>
    <w:rsid w:val="00CA6BF8"/>
    <w:rsid w:val="00CB0AEA"/>
    <w:rsid w:val="00CB0CA0"/>
    <w:rsid w:val="00CB1EB0"/>
    <w:rsid w:val="00CB2FBF"/>
    <w:rsid w:val="00CB4367"/>
    <w:rsid w:val="00CB46D4"/>
    <w:rsid w:val="00CB5516"/>
    <w:rsid w:val="00CB7512"/>
    <w:rsid w:val="00CC40F3"/>
    <w:rsid w:val="00CD4CC4"/>
    <w:rsid w:val="00CD5462"/>
    <w:rsid w:val="00CD5FC9"/>
    <w:rsid w:val="00CD7543"/>
    <w:rsid w:val="00CE0CA4"/>
    <w:rsid w:val="00CE1C0D"/>
    <w:rsid w:val="00CF2070"/>
    <w:rsid w:val="00CF213B"/>
    <w:rsid w:val="00CF2CD8"/>
    <w:rsid w:val="00D01140"/>
    <w:rsid w:val="00D016A5"/>
    <w:rsid w:val="00D04F51"/>
    <w:rsid w:val="00D07157"/>
    <w:rsid w:val="00D1027D"/>
    <w:rsid w:val="00D1270E"/>
    <w:rsid w:val="00D14592"/>
    <w:rsid w:val="00D14F90"/>
    <w:rsid w:val="00D1594B"/>
    <w:rsid w:val="00D15BE9"/>
    <w:rsid w:val="00D17961"/>
    <w:rsid w:val="00D17C7F"/>
    <w:rsid w:val="00D20D95"/>
    <w:rsid w:val="00D21CB9"/>
    <w:rsid w:val="00D22A0A"/>
    <w:rsid w:val="00D241AD"/>
    <w:rsid w:val="00D24597"/>
    <w:rsid w:val="00D25CD3"/>
    <w:rsid w:val="00D27C52"/>
    <w:rsid w:val="00D323C7"/>
    <w:rsid w:val="00D324F8"/>
    <w:rsid w:val="00D418A1"/>
    <w:rsid w:val="00D423FE"/>
    <w:rsid w:val="00D43B5B"/>
    <w:rsid w:val="00D43D26"/>
    <w:rsid w:val="00D44D2D"/>
    <w:rsid w:val="00D4795E"/>
    <w:rsid w:val="00D50318"/>
    <w:rsid w:val="00D51230"/>
    <w:rsid w:val="00D518BC"/>
    <w:rsid w:val="00D52811"/>
    <w:rsid w:val="00D52CF0"/>
    <w:rsid w:val="00D565C5"/>
    <w:rsid w:val="00D567D2"/>
    <w:rsid w:val="00D569DC"/>
    <w:rsid w:val="00D6053C"/>
    <w:rsid w:val="00D7005E"/>
    <w:rsid w:val="00D706E5"/>
    <w:rsid w:val="00D71D15"/>
    <w:rsid w:val="00D71E4C"/>
    <w:rsid w:val="00D736EC"/>
    <w:rsid w:val="00D745EE"/>
    <w:rsid w:val="00D76919"/>
    <w:rsid w:val="00D805EF"/>
    <w:rsid w:val="00D83AFC"/>
    <w:rsid w:val="00D85B87"/>
    <w:rsid w:val="00D86636"/>
    <w:rsid w:val="00D94B33"/>
    <w:rsid w:val="00D9563F"/>
    <w:rsid w:val="00D961BC"/>
    <w:rsid w:val="00D97BDA"/>
    <w:rsid w:val="00DA56FB"/>
    <w:rsid w:val="00DA61F0"/>
    <w:rsid w:val="00DA6A6E"/>
    <w:rsid w:val="00DA7884"/>
    <w:rsid w:val="00DA7B30"/>
    <w:rsid w:val="00DB0570"/>
    <w:rsid w:val="00DB1F32"/>
    <w:rsid w:val="00DB269A"/>
    <w:rsid w:val="00DB616C"/>
    <w:rsid w:val="00DC03DC"/>
    <w:rsid w:val="00DC44D4"/>
    <w:rsid w:val="00DD07BB"/>
    <w:rsid w:val="00DD1FDA"/>
    <w:rsid w:val="00DD2489"/>
    <w:rsid w:val="00DD25EB"/>
    <w:rsid w:val="00DD5C66"/>
    <w:rsid w:val="00DD67C1"/>
    <w:rsid w:val="00DE048A"/>
    <w:rsid w:val="00DE21CE"/>
    <w:rsid w:val="00DE25AF"/>
    <w:rsid w:val="00DE51EA"/>
    <w:rsid w:val="00DE5247"/>
    <w:rsid w:val="00DE686A"/>
    <w:rsid w:val="00DF0A62"/>
    <w:rsid w:val="00DF21C4"/>
    <w:rsid w:val="00DF2971"/>
    <w:rsid w:val="00DF66E9"/>
    <w:rsid w:val="00E00CAC"/>
    <w:rsid w:val="00E01439"/>
    <w:rsid w:val="00E01F5F"/>
    <w:rsid w:val="00E119D0"/>
    <w:rsid w:val="00E11F9B"/>
    <w:rsid w:val="00E140DC"/>
    <w:rsid w:val="00E204D5"/>
    <w:rsid w:val="00E24314"/>
    <w:rsid w:val="00E2447F"/>
    <w:rsid w:val="00E24554"/>
    <w:rsid w:val="00E24840"/>
    <w:rsid w:val="00E260AB"/>
    <w:rsid w:val="00E2763F"/>
    <w:rsid w:val="00E27D4B"/>
    <w:rsid w:val="00E30E3D"/>
    <w:rsid w:val="00E31EAE"/>
    <w:rsid w:val="00E401DC"/>
    <w:rsid w:val="00E43036"/>
    <w:rsid w:val="00E47B29"/>
    <w:rsid w:val="00E50831"/>
    <w:rsid w:val="00E51C63"/>
    <w:rsid w:val="00E53464"/>
    <w:rsid w:val="00E5694D"/>
    <w:rsid w:val="00E615CC"/>
    <w:rsid w:val="00E62581"/>
    <w:rsid w:val="00E63532"/>
    <w:rsid w:val="00E63EF0"/>
    <w:rsid w:val="00E6422B"/>
    <w:rsid w:val="00E65712"/>
    <w:rsid w:val="00E65B51"/>
    <w:rsid w:val="00E66C39"/>
    <w:rsid w:val="00E674CF"/>
    <w:rsid w:val="00E739D1"/>
    <w:rsid w:val="00E73C11"/>
    <w:rsid w:val="00E74FB2"/>
    <w:rsid w:val="00E76523"/>
    <w:rsid w:val="00E76C16"/>
    <w:rsid w:val="00E80394"/>
    <w:rsid w:val="00E8092E"/>
    <w:rsid w:val="00E831BB"/>
    <w:rsid w:val="00E838A3"/>
    <w:rsid w:val="00E85FE4"/>
    <w:rsid w:val="00E90C5D"/>
    <w:rsid w:val="00E9148B"/>
    <w:rsid w:val="00E91762"/>
    <w:rsid w:val="00E939B3"/>
    <w:rsid w:val="00E94F1B"/>
    <w:rsid w:val="00E95E13"/>
    <w:rsid w:val="00EA08F9"/>
    <w:rsid w:val="00EA1B02"/>
    <w:rsid w:val="00EA2A7F"/>
    <w:rsid w:val="00EA3853"/>
    <w:rsid w:val="00EA6AD5"/>
    <w:rsid w:val="00EB1090"/>
    <w:rsid w:val="00EB12C4"/>
    <w:rsid w:val="00EB3FE4"/>
    <w:rsid w:val="00EB6018"/>
    <w:rsid w:val="00EC6272"/>
    <w:rsid w:val="00ED4492"/>
    <w:rsid w:val="00ED484C"/>
    <w:rsid w:val="00EE2EA8"/>
    <w:rsid w:val="00EE315A"/>
    <w:rsid w:val="00EE459C"/>
    <w:rsid w:val="00EE4739"/>
    <w:rsid w:val="00EE4FFE"/>
    <w:rsid w:val="00EE53C7"/>
    <w:rsid w:val="00EF06DD"/>
    <w:rsid w:val="00EF1AB6"/>
    <w:rsid w:val="00EF2DBC"/>
    <w:rsid w:val="00EF3293"/>
    <w:rsid w:val="00EF3432"/>
    <w:rsid w:val="00EF52BE"/>
    <w:rsid w:val="00EF52E4"/>
    <w:rsid w:val="00F00C6C"/>
    <w:rsid w:val="00F0156C"/>
    <w:rsid w:val="00F0196C"/>
    <w:rsid w:val="00F0224E"/>
    <w:rsid w:val="00F02691"/>
    <w:rsid w:val="00F02EC3"/>
    <w:rsid w:val="00F052D1"/>
    <w:rsid w:val="00F053B6"/>
    <w:rsid w:val="00F066EB"/>
    <w:rsid w:val="00F10F3E"/>
    <w:rsid w:val="00F110A5"/>
    <w:rsid w:val="00F12819"/>
    <w:rsid w:val="00F12F4F"/>
    <w:rsid w:val="00F135C9"/>
    <w:rsid w:val="00F13D50"/>
    <w:rsid w:val="00F15486"/>
    <w:rsid w:val="00F16482"/>
    <w:rsid w:val="00F1654E"/>
    <w:rsid w:val="00F23BB6"/>
    <w:rsid w:val="00F25229"/>
    <w:rsid w:val="00F25893"/>
    <w:rsid w:val="00F30DC9"/>
    <w:rsid w:val="00F32090"/>
    <w:rsid w:val="00F32836"/>
    <w:rsid w:val="00F358A1"/>
    <w:rsid w:val="00F36D3D"/>
    <w:rsid w:val="00F36DD6"/>
    <w:rsid w:val="00F4084A"/>
    <w:rsid w:val="00F4292F"/>
    <w:rsid w:val="00F42E7F"/>
    <w:rsid w:val="00F43837"/>
    <w:rsid w:val="00F447D3"/>
    <w:rsid w:val="00F4719B"/>
    <w:rsid w:val="00F5018D"/>
    <w:rsid w:val="00F528EE"/>
    <w:rsid w:val="00F5318F"/>
    <w:rsid w:val="00F53FB7"/>
    <w:rsid w:val="00F54F21"/>
    <w:rsid w:val="00F54F6E"/>
    <w:rsid w:val="00F60D5E"/>
    <w:rsid w:val="00F62E4B"/>
    <w:rsid w:val="00F635FD"/>
    <w:rsid w:val="00F6360F"/>
    <w:rsid w:val="00F67966"/>
    <w:rsid w:val="00F709E3"/>
    <w:rsid w:val="00F70F27"/>
    <w:rsid w:val="00F77A82"/>
    <w:rsid w:val="00F77AAC"/>
    <w:rsid w:val="00F80FD4"/>
    <w:rsid w:val="00F81480"/>
    <w:rsid w:val="00F84663"/>
    <w:rsid w:val="00F86A4A"/>
    <w:rsid w:val="00F87E9B"/>
    <w:rsid w:val="00F917F0"/>
    <w:rsid w:val="00F91D47"/>
    <w:rsid w:val="00F92057"/>
    <w:rsid w:val="00F92133"/>
    <w:rsid w:val="00F92FFC"/>
    <w:rsid w:val="00F96036"/>
    <w:rsid w:val="00F96E4F"/>
    <w:rsid w:val="00F97605"/>
    <w:rsid w:val="00FA01BD"/>
    <w:rsid w:val="00FA0BCE"/>
    <w:rsid w:val="00FA153C"/>
    <w:rsid w:val="00FA1D73"/>
    <w:rsid w:val="00FA3FA2"/>
    <w:rsid w:val="00FB0367"/>
    <w:rsid w:val="00FB3B23"/>
    <w:rsid w:val="00FB5580"/>
    <w:rsid w:val="00FB566D"/>
    <w:rsid w:val="00FB584B"/>
    <w:rsid w:val="00FC0939"/>
    <w:rsid w:val="00FC2D2E"/>
    <w:rsid w:val="00FC3845"/>
    <w:rsid w:val="00FC4A5D"/>
    <w:rsid w:val="00FC56DA"/>
    <w:rsid w:val="00FC7BBF"/>
    <w:rsid w:val="00FD2ABA"/>
    <w:rsid w:val="00FD3445"/>
    <w:rsid w:val="00FD7842"/>
    <w:rsid w:val="00FE0220"/>
    <w:rsid w:val="00FE0873"/>
    <w:rsid w:val="00FE16BE"/>
    <w:rsid w:val="00FE3B6F"/>
    <w:rsid w:val="00FE5895"/>
    <w:rsid w:val="00FE5C46"/>
    <w:rsid w:val="00FE60BC"/>
    <w:rsid w:val="00FE7177"/>
    <w:rsid w:val="00FE7574"/>
    <w:rsid w:val="00FE7843"/>
    <w:rsid w:val="00FE7BC8"/>
    <w:rsid w:val="00FE7FAC"/>
    <w:rsid w:val="00FF1158"/>
    <w:rsid w:val="00FF193D"/>
    <w:rsid w:val="00FF2751"/>
    <w:rsid w:val="00FF3DBD"/>
    <w:rsid w:val="00FF41DA"/>
    <w:rsid w:val="00FF4E79"/>
    <w:rsid w:val="00FF7380"/>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67DAA"/>
  <w15:chartTrackingRefBased/>
  <w15:docId w15:val="{5420CD50-CDFA-4F05-A130-2C6D3E3B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B772F"/>
    <w:pPr>
      <w:widowControl w:val="0"/>
      <w:autoSpaceDE w:val="0"/>
      <w:autoSpaceDN w:val="0"/>
      <w:adjustRightInd w:val="0"/>
    </w:pPr>
    <w:rPr>
      <w:sz w:val="24"/>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Cs w:val="24"/>
      <w:u w:val="single"/>
    </w:rPr>
  </w:style>
  <w:style w:type="paragraph" w:styleId="Subtitle">
    <w:name w:val="Subtitle"/>
    <w:basedOn w:val="Normal"/>
    <w:qFormat/>
    <w:rPr>
      <w:b/>
      <w:bCs/>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C07C00"/>
    <w:rPr>
      <w:sz w:val="18"/>
    </w:rPr>
  </w:style>
  <w:style w:type="character" w:customStyle="1" w:styleId="FootnoteTextChar">
    <w:name w:val="Footnote Text Char"/>
    <w:link w:val="FootnoteText"/>
    <w:uiPriority w:val="99"/>
    <w:rsid w:val="00C07C00"/>
    <w:rPr>
      <w:sz w:val="18"/>
    </w:rPr>
  </w:style>
  <w:style w:type="character" w:styleId="FootnoteReference">
    <w:name w:val="footnote reference"/>
    <w:uiPriority w:val="99"/>
    <w:rsid w:val="007B620F"/>
    <w:rPr>
      <w:vertAlign w:val="superscript"/>
    </w:rPr>
  </w:style>
  <w:style w:type="character" w:customStyle="1" w:styleId="FooterChar">
    <w:name w:val="Footer Char"/>
    <w:link w:val="Footer"/>
    <w:uiPriority w:val="99"/>
    <w:rsid w:val="007C2AE1"/>
    <w:rPr>
      <w:rFonts w:ascii="Letter Gothic 12cpi" w:hAnsi="Letter Gothic 12cpi"/>
    </w:rPr>
  </w:style>
  <w:style w:type="paragraph" w:customStyle="1" w:styleId="MC-PREAcronymList">
    <w:name w:val="MC-PRE Acronym List"/>
    <w:basedOn w:val="Normal"/>
    <w:rsid w:val="001B772F"/>
    <w:pPr>
      <w:widowControl/>
      <w:autoSpaceDE/>
      <w:autoSpaceDN/>
      <w:adjustRightInd/>
      <w:spacing w:after="60"/>
    </w:pPr>
    <w:rPr>
      <w:rFonts w:eastAsia="Calibri"/>
      <w:szCs w:val="24"/>
    </w:rPr>
  </w:style>
  <w:style w:type="paragraph" w:customStyle="1" w:styleId="1AutoList39">
    <w:name w:val="1AutoList39"/>
    <w:rsid w:val="001F56BF"/>
    <w:pPr>
      <w:widowControl w:val="0"/>
      <w:autoSpaceDE w:val="0"/>
      <w:autoSpaceDN w:val="0"/>
      <w:adjustRightInd w:val="0"/>
    </w:pPr>
    <w:rPr>
      <w:sz w:val="24"/>
      <w:szCs w:val="24"/>
    </w:rPr>
  </w:style>
  <w:style w:type="paragraph" w:styleId="Caption">
    <w:name w:val="caption"/>
    <w:basedOn w:val="Normal"/>
    <w:next w:val="Normal"/>
    <w:unhideWhenUsed/>
    <w:qFormat/>
    <w:rsid w:val="00974889"/>
    <w:pPr>
      <w:spacing w:after="200"/>
    </w:pPr>
    <w:rPr>
      <w:i/>
      <w:iCs/>
      <w:color w:val="44546A"/>
      <w:sz w:val="18"/>
      <w:szCs w:val="18"/>
    </w:rPr>
  </w:style>
  <w:style w:type="paragraph" w:customStyle="1" w:styleId="FMCSATableHead">
    <w:name w:val="FMCSA Table Head"/>
    <w:uiPriority w:val="99"/>
    <w:rsid w:val="00B267DD"/>
    <w:pPr>
      <w:keepLines/>
      <w:widowControl w:val="0"/>
      <w:spacing w:before="60" w:after="60"/>
      <w:jc w:val="center"/>
    </w:pPr>
    <w:rPr>
      <w:b/>
      <w:szCs w:val="24"/>
    </w:rPr>
  </w:style>
  <w:style w:type="character" w:styleId="CommentReference">
    <w:name w:val="annotation reference"/>
    <w:basedOn w:val="DefaultParagraphFont"/>
    <w:rsid w:val="00DD67C1"/>
    <w:rPr>
      <w:sz w:val="16"/>
      <w:szCs w:val="16"/>
    </w:rPr>
  </w:style>
  <w:style w:type="paragraph" w:styleId="CommentText">
    <w:name w:val="annotation text"/>
    <w:basedOn w:val="Normal"/>
    <w:link w:val="CommentTextChar"/>
    <w:rsid w:val="00DD67C1"/>
    <w:rPr>
      <w:sz w:val="20"/>
    </w:rPr>
  </w:style>
  <w:style w:type="character" w:customStyle="1" w:styleId="CommentTextChar">
    <w:name w:val="Comment Text Char"/>
    <w:basedOn w:val="DefaultParagraphFont"/>
    <w:link w:val="CommentText"/>
    <w:rsid w:val="00DD67C1"/>
  </w:style>
  <w:style w:type="paragraph" w:styleId="CommentSubject">
    <w:name w:val="annotation subject"/>
    <w:basedOn w:val="CommentText"/>
    <w:next w:val="CommentText"/>
    <w:link w:val="CommentSubjectChar"/>
    <w:rsid w:val="00DD67C1"/>
    <w:rPr>
      <w:b/>
      <w:bCs/>
    </w:rPr>
  </w:style>
  <w:style w:type="character" w:customStyle="1" w:styleId="CommentSubjectChar">
    <w:name w:val="Comment Subject Char"/>
    <w:basedOn w:val="CommentTextChar"/>
    <w:link w:val="CommentSubject"/>
    <w:rsid w:val="00DD6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EF4F0-C5A5-4D16-8BDF-B575C6AC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11409</Words>
  <Characters>63385</Characters>
  <Application>Microsoft Office Word</Application>
  <DocSecurity>0</DocSecurity>
  <Lines>528</Lines>
  <Paragraphs>149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74645</CharactersWithSpaces>
  <SharedDoc>false</SharedDoc>
  <HLinks>
    <vt:vector size="18" baseType="variant">
      <vt:variant>
        <vt:i4>5636175</vt:i4>
      </vt:variant>
      <vt:variant>
        <vt:i4>3</vt:i4>
      </vt:variant>
      <vt:variant>
        <vt:i4>0</vt:i4>
      </vt:variant>
      <vt:variant>
        <vt:i4>5</vt:i4>
      </vt:variant>
      <vt:variant>
        <vt:lpwstr>https://www.opm.gov/policy-data-oversight/pay-leave/salaries-wages/salary-tables/pdf/2018/GS.pdf</vt:lpwstr>
      </vt:variant>
      <vt:variant>
        <vt:lpwstr/>
      </vt:variant>
      <vt:variant>
        <vt:i4>6684764</vt:i4>
      </vt:variant>
      <vt:variant>
        <vt:i4>0</vt:i4>
      </vt:variant>
      <vt:variant>
        <vt:i4>0</vt:i4>
      </vt:variant>
      <vt:variant>
        <vt:i4>5</vt:i4>
      </vt:variant>
      <vt:variant>
        <vt:lpwstr>http://www.whitehouse.gov/omb/egov/documents/FEA_CRM_v20_Final_June_2006.pdf</vt:lpwstr>
      </vt:variant>
      <vt:variant>
        <vt:lpwstr/>
      </vt:variant>
      <vt:variant>
        <vt:i4>3735613</vt:i4>
      </vt:variant>
      <vt:variant>
        <vt:i4>0</vt:i4>
      </vt:variant>
      <vt:variant>
        <vt:i4>0</vt:i4>
      </vt:variant>
      <vt:variant>
        <vt:i4>5</vt:i4>
      </vt:variant>
      <vt:variant>
        <vt:lpwstr>https://www.gpo.gov/fdsys/pkg/FR-2016-01-21/pdf/2015-33153.pdf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robert.armstrong@dot.gov</dc:creator>
  <cp:keywords/>
  <cp:lastModifiedBy>Oliver, Roxane (FMCSA)</cp:lastModifiedBy>
  <cp:revision>2</cp:revision>
  <cp:lastPrinted>2020-02-11T19:20:00Z</cp:lastPrinted>
  <dcterms:created xsi:type="dcterms:W3CDTF">2020-04-07T12:11:00Z</dcterms:created>
  <dcterms:modified xsi:type="dcterms:W3CDTF">2020-04-07T12:11:00Z</dcterms:modified>
</cp:coreProperties>
</file>