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3F6B" w:rsidR="003D2F08" w:rsidP="00B71800" w:rsidRDefault="003D2F08" w14:paraId="1DD5BF5B" w14:textId="77777777">
      <w:pPr>
        <w:pBdr>
          <w:bottom w:val="single" w:color="auto" w:sz="12" w:space="1"/>
        </w:pBdr>
        <w:rPr>
          <w:b/>
          <w:vertAlign w:val="subscript"/>
          <w:lang w:bidi="en-US"/>
        </w:rPr>
      </w:pPr>
    </w:p>
    <w:p w:rsidRPr="003679F9" w:rsidR="003679F9" w:rsidP="003679F9" w:rsidRDefault="003679F9" w14:paraId="2D103B87" w14:textId="77777777">
      <w:pPr>
        <w:pStyle w:val="NoSpacing"/>
      </w:pPr>
    </w:p>
    <w:p w:rsidRPr="007919E5" w:rsidR="002B34A0" w:rsidP="002B34A0" w:rsidRDefault="000530F2" w14:paraId="7D030151" w14:textId="47ABC51E">
      <w:pPr>
        <w:jc w:val="center"/>
        <w:rPr>
          <w:b/>
          <w:lang w:bidi="en-US"/>
        </w:rPr>
      </w:pPr>
      <w:r w:rsidRPr="007919E5">
        <w:rPr>
          <w:b/>
          <w:lang w:bidi="en-US"/>
        </w:rPr>
        <w:t xml:space="preserve">Supporting Statement for an Information Collection Request </w:t>
      </w:r>
      <w:r w:rsidRPr="007919E5" w:rsidR="002B34A0">
        <w:rPr>
          <w:b/>
          <w:lang w:bidi="en-US"/>
        </w:rPr>
        <w:t>(ICR)</w:t>
      </w:r>
      <w:r w:rsidR="0062641A">
        <w:rPr>
          <w:b/>
          <w:lang w:bidi="en-US"/>
        </w:rPr>
        <w:t xml:space="preserve"> Adden</w:t>
      </w:r>
      <w:r w:rsidR="00DB27F1">
        <w:rPr>
          <w:b/>
          <w:lang w:bidi="en-US"/>
        </w:rPr>
        <w:t>dum</w:t>
      </w:r>
    </w:p>
    <w:p w:rsidRPr="007919E5" w:rsidR="002B34A0" w:rsidP="002B34A0" w:rsidRDefault="000530F2" w14:paraId="77567B9B" w14:textId="77777777">
      <w:pPr>
        <w:jc w:val="center"/>
        <w:rPr>
          <w:b/>
          <w:lang w:bidi="en-US"/>
        </w:rPr>
      </w:pPr>
      <w:r w:rsidRPr="007919E5">
        <w:rPr>
          <w:b/>
          <w:lang w:bidi="en-US"/>
        </w:rPr>
        <w:t xml:space="preserve">Under the Paperwork Reduction Act </w:t>
      </w:r>
      <w:r w:rsidRPr="007919E5" w:rsidR="002B34A0">
        <w:rPr>
          <w:b/>
          <w:lang w:bidi="en-US"/>
        </w:rPr>
        <w:t>(PRA)</w:t>
      </w:r>
    </w:p>
    <w:p w:rsidRPr="007919E5" w:rsidR="002B34A0" w:rsidP="002B34A0" w:rsidRDefault="002B34A0" w14:paraId="4BD0DAD3" w14:textId="77777777">
      <w:pPr>
        <w:rPr>
          <w:rFonts w:cs="Arial"/>
          <w:sz w:val="20"/>
          <w:szCs w:val="20"/>
          <w:lang w:bidi="en-US"/>
        </w:rPr>
      </w:pPr>
      <w:r w:rsidRPr="007919E5">
        <w:rPr>
          <w:lang w:bidi="en-US"/>
        </w:rPr>
        <w:tab/>
      </w:r>
    </w:p>
    <w:sdt>
      <w:sdtPr>
        <w:rPr>
          <w:rFonts w:cs="Arial" w:eastAsiaTheme="minorHAnsi"/>
          <w:b w:val="0"/>
          <w:bCs w:val="0"/>
          <w:sz w:val="20"/>
          <w:szCs w:val="20"/>
          <w:lang w:bidi="ar-SA"/>
        </w:rPr>
        <w:id w:val="8549042"/>
        <w:docPartObj>
          <w:docPartGallery w:val="Table of Contents"/>
          <w:docPartUnique/>
        </w:docPartObj>
      </w:sdtPr>
      <w:sdtContent>
        <w:p w:rsidRPr="007919E5" w:rsidR="000530F2" w:rsidP="000530F2" w:rsidRDefault="000530F2" w14:paraId="2667B1B0" w14:textId="77777777">
          <w:pPr>
            <w:pStyle w:val="TOCHeading"/>
            <w:spacing w:after="120"/>
            <w:rPr>
              <w:rFonts w:cs="Arial"/>
              <w:sz w:val="20"/>
              <w:szCs w:val="20"/>
            </w:rPr>
          </w:pPr>
          <w:r w:rsidRPr="007919E5">
            <w:rPr>
              <w:rFonts w:cs="Arial"/>
              <w:sz w:val="20"/>
              <w:szCs w:val="20"/>
              <w:u w:val="single"/>
            </w:rPr>
            <w:t>Table of Contents</w:t>
          </w:r>
        </w:p>
        <w:p w:rsidR="00DA3DFB" w:rsidRDefault="00942996" w14:paraId="12A405D0" w14:textId="0CDD65DD">
          <w:pPr>
            <w:pStyle w:val="TOC1"/>
            <w:rPr>
              <w:rFonts w:asciiTheme="minorHAnsi" w:hAnsiTheme="minorHAnsi" w:eastAsiaTheme="minorEastAsia"/>
              <w:sz w:val="22"/>
            </w:rPr>
          </w:pPr>
          <w:r>
            <w:rPr>
              <w:rFonts w:cs="Arial"/>
              <w:sz w:val="20"/>
              <w:szCs w:val="20"/>
            </w:rPr>
            <w:fldChar w:fldCharType="begin"/>
          </w:r>
          <w:r>
            <w:rPr>
              <w:rFonts w:cs="Arial"/>
              <w:sz w:val="20"/>
              <w:szCs w:val="20"/>
            </w:rPr>
            <w:instrText xml:space="preserve"> TOC \o "1-6" \h \z \u \t "Heading 7,1" </w:instrText>
          </w:r>
          <w:r>
            <w:rPr>
              <w:rFonts w:cs="Arial"/>
              <w:sz w:val="20"/>
              <w:szCs w:val="20"/>
            </w:rPr>
            <w:fldChar w:fldCharType="separate"/>
          </w:r>
          <w:hyperlink w:history="1" w:anchor="_Toc34984645">
            <w:r w:rsidRPr="001A1AD6" w:rsidR="00DA3DFB">
              <w:rPr>
                <w:rStyle w:val="Hyperlink"/>
                <w:lang w:bidi="en-US"/>
              </w:rPr>
              <w:t>1.</w:t>
            </w:r>
            <w:r w:rsidR="00DA3DFB">
              <w:rPr>
                <w:rFonts w:asciiTheme="minorHAnsi" w:hAnsiTheme="minorHAnsi" w:eastAsiaTheme="minorEastAsia"/>
                <w:sz w:val="22"/>
              </w:rPr>
              <w:tab/>
            </w:r>
            <w:r w:rsidRPr="001A1AD6" w:rsidR="00DA3DFB">
              <w:rPr>
                <w:rStyle w:val="Hyperlink"/>
                <w:lang w:bidi="en-US"/>
              </w:rPr>
              <w:t>EXECUTIVE SUMMARY</w:t>
            </w:r>
            <w:r w:rsidR="00DA3DFB">
              <w:rPr>
                <w:webHidden/>
              </w:rPr>
              <w:tab/>
            </w:r>
            <w:r w:rsidR="00DA3DFB">
              <w:rPr>
                <w:webHidden/>
              </w:rPr>
              <w:fldChar w:fldCharType="begin"/>
            </w:r>
            <w:r w:rsidR="00DA3DFB">
              <w:rPr>
                <w:webHidden/>
              </w:rPr>
              <w:instrText xml:space="preserve"> PAGEREF _Toc34984645 \h </w:instrText>
            </w:r>
            <w:r w:rsidR="00DA3DFB">
              <w:rPr>
                <w:webHidden/>
              </w:rPr>
            </w:r>
            <w:r w:rsidR="00DA3DFB">
              <w:rPr>
                <w:webHidden/>
              </w:rPr>
              <w:fldChar w:fldCharType="separate"/>
            </w:r>
            <w:r w:rsidR="00DA3DFB">
              <w:rPr>
                <w:webHidden/>
              </w:rPr>
              <w:t>4</w:t>
            </w:r>
            <w:r w:rsidR="00DA3DFB">
              <w:rPr>
                <w:webHidden/>
              </w:rPr>
              <w:fldChar w:fldCharType="end"/>
            </w:r>
          </w:hyperlink>
        </w:p>
        <w:p w:rsidR="00DA3DFB" w:rsidRDefault="00387594" w14:paraId="397FC265" w14:textId="3575F7CD">
          <w:pPr>
            <w:pStyle w:val="TOC2"/>
            <w:tabs>
              <w:tab w:val="left" w:pos="1440"/>
              <w:tab w:val="right" w:leader="dot" w:pos="10070"/>
            </w:tabs>
            <w:rPr>
              <w:rFonts w:asciiTheme="minorHAnsi" w:hAnsiTheme="minorHAnsi" w:eastAsiaTheme="minorEastAsia"/>
              <w:noProof/>
              <w:sz w:val="22"/>
            </w:rPr>
          </w:pPr>
          <w:hyperlink w:history="1" w:anchor="_Toc34984646">
            <w:r w:rsidRPr="001A1AD6" w:rsidR="00DA3DFB">
              <w:rPr>
                <w:rStyle w:val="Hyperlink"/>
                <w:noProof/>
                <w:lang w:bidi="en-US"/>
              </w:rPr>
              <w:t>1(a).</w:t>
            </w:r>
            <w:r w:rsidR="00DA3DFB">
              <w:rPr>
                <w:rFonts w:asciiTheme="minorHAnsi" w:hAnsiTheme="minorHAnsi" w:eastAsiaTheme="minorEastAsia"/>
                <w:noProof/>
                <w:sz w:val="22"/>
              </w:rPr>
              <w:tab/>
            </w:r>
            <w:r w:rsidRPr="001A1AD6" w:rsidR="00DA3DFB">
              <w:rPr>
                <w:rStyle w:val="Hyperlink"/>
                <w:noProof/>
                <w:lang w:bidi="en-US"/>
              </w:rPr>
              <w:t>Identification of the Information Collection – Title and Numbers</w:t>
            </w:r>
            <w:r w:rsidR="00DA3DFB">
              <w:rPr>
                <w:noProof/>
                <w:webHidden/>
              </w:rPr>
              <w:tab/>
            </w:r>
            <w:r w:rsidR="00DA3DFB">
              <w:rPr>
                <w:noProof/>
                <w:webHidden/>
              </w:rPr>
              <w:fldChar w:fldCharType="begin"/>
            </w:r>
            <w:r w:rsidR="00DA3DFB">
              <w:rPr>
                <w:noProof/>
                <w:webHidden/>
              </w:rPr>
              <w:instrText xml:space="preserve"> PAGEREF _Toc34984646 \h </w:instrText>
            </w:r>
            <w:r w:rsidR="00DA3DFB">
              <w:rPr>
                <w:noProof/>
                <w:webHidden/>
              </w:rPr>
            </w:r>
            <w:r w:rsidR="00DA3DFB">
              <w:rPr>
                <w:noProof/>
                <w:webHidden/>
              </w:rPr>
              <w:fldChar w:fldCharType="separate"/>
            </w:r>
            <w:r w:rsidR="00DA3DFB">
              <w:rPr>
                <w:noProof/>
                <w:webHidden/>
              </w:rPr>
              <w:t>4</w:t>
            </w:r>
            <w:r w:rsidR="00DA3DFB">
              <w:rPr>
                <w:noProof/>
                <w:webHidden/>
              </w:rPr>
              <w:fldChar w:fldCharType="end"/>
            </w:r>
          </w:hyperlink>
        </w:p>
        <w:p w:rsidR="00DA3DFB" w:rsidRDefault="00387594" w14:paraId="7551819E" w14:textId="01C2327D">
          <w:pPr>
            <w:pStyle w:val="TOC2"/>
            <w:tabs>
              <w:tab w:val="left" w:pos="1440"/>
              <w:tab w:val="right" w:leader="dot" w:pos="10070"/>
            </w:tabs>
            <w:rPr>
              <w:rFonts w:asciiTheme="minorHAnsi" w:hAnsiTheme="minorHAnsi" w:eastAsiaTheme="minorEastAsia"/>
              <w:noProof/>
              <w:sz w:val="22"/>
            </w:rPr>
          </w:pPr>
          <w:hyperlink w:history="1" w:anchor="_Toc34984647">
            <w:r w:rsidRPr="001A1AD6" w:rsidR="00DA3DFB">
              <w:rPr>
                <w:rStyle w:val="Hyperlink"/>
                <w:noProof/>
              </w:rPr>
              <w:t>1(b).</w:t>
            </w:r>
            <w:r w:rsidR="00DA3DFB">
              <w:rPr>
                <w:rFonts w:asciiTheme="minorHAnsi" w:hAnsiTheme="minorHAnsi" w:eastAsiaTheme="minorEastAsia"/>
                <w:noProof/>
                <w:sz w:val="22"/>
              </w:rPr>
              <w:tab/>
            </w:r>
            <w:r w:rsidRPr="001A1AD6" w:rsidR="00DA3DFB">
              <w:rPr>
                <w:rStyle w:val="Hyperlink"/>
                <w:noProof/>
              </w:rPr>
              <w:t>Docket Information</w:t>
            </w:r>
            <w:r w:rsidR="00DA3DFB">
              <w:rPr>
                <w:noProof/>
                <w:webHidden/>
              </w:rPr>
              <w:tab/>
            </w:r>
            <w:r w:rsidR="00DA3DFB">
              <w:rPr>
                <w:noProof/>
                <w:webHidden/>
              </w:rPr>
              <w:fldChar w:fldCharType="begin"/>
            </w:r>
            <w:r w:rsidR="00DA3DFB">
              <w:rPr>
                <w:noProof/>
                <w:webHidden/>
              </w:rPr>
              <w:instrText xml:space="preserve"> PAGEREF _Toc34984647 \h </w:instrText>
            </w:r>
            <w:r w:rsidR="00DA3DFB">
              <w:rPr>
                <w:noProof/>
                <w:webHidden/>
              </w:rPr>
            </w:r>
            <w:r w:rsidR="00DA3DFB">
              <w:rPr>
                <w:noProof/>
                <w:webHidden/>
              </w:rPr>
              <w:fldChar w:fldCharType="separate"/>
            </w:r>
            <w:r w:rsidR="00DA3DFB">
              <w:rPr>
                <w:noProof/>
                <w:webHidden/>
              </w:rPr>
              <w:t>4</w:t>
            </w:r>
            <w:r w:rsidR="00DA3DFB">
              <w:rPr>
                <w:noProof/>
                <w:webHidden/>
              </w:rPr>
              <w:fldChar w:fldCharType="end"/>
            </w:r>
          </w:hyperlink>
        </w:p>
        <w:p w:rsidR="00DA3DFB" w:rsidRDefault="00387594" w14:paraId="52E67DF0" w14:textId="51D5D26D">
          <w:pPr>
            <w:pStyle w:val="TOC2"/>
            <w:tabs>
              <w:tab w:val="left" w:pos="1440"/>
              <w:tab w:val="right" w:leader="dot" w:pos="10070"/>
            </w:tabs>
            <w:rPr>
              <w:rFonts w:asciiTheme="minorHAnsi" w:hAnsiTheme="minorHAnsi" w:eastAsiaTheme="minorEastAsia"/>
              <w:noProof/>
              <w:sz w:val="22"/>
            </w:rPr>
          </w:pPr>
          <w:hyperlink w:history="1" w:anchor="_Toc34984648">
            <w:r w:rsidRPr="001A1AD6" w:rsidR="00DA3DFB">
              <w:rPr>
                <w:rStyle w:val="Hyperlink"/>
                <w:noProof/>
              </w:rPr>
              <w:t>1(c).</w:t>
            </w:r>
            <w:r w:rsidR="00DA3DFB">
              <w:rPr>
                <w:rFonts w:asciiTheme="minorHAnsi" w:hAnsiTheme="minorHAnsi" w:eastAsiaTheme="minorEastAsia"/>
                <w:noProof/>
                <w:sz w:val="22"/>
              </w:rPr>
              <w:tab/>
            </w:r>
            <w:r w:rsidRPr="001A1AD6" w:rsidR="00DA3DFB">
              <w:rPr>
                <w:rStyle w:val="Hyperlink"/>
                <w:noProof/>
              </w:rPr>
              <w:t>ICR Status</w:t>
            </w:r>
            <w:r w:rsidR="00DA3DFB">
              <w:rPr>
                <w:noProof/>
                <w:webHidden/>
              </w:rPr>
              <w:tab/>
            </w:r>
            <w:r w:rsidR="00DA3DFB">
              <w:rPr>
                <w:noProof/>
                <w:webHidden/>
              </w:rPr>
              <w:fldChar w:fldCharType="begin"/>
            </w:r>
            <w:r w:rsidR="00DA3DFB">
              <w:rPr>
                <w:noProof/>
                <w:webHidden/>
              </w:rPr>
              <w:instrText xml:space="preserve"> PAGEREF _Toc34984648 \h </w:instrText>
            </w:r>
            <w:r w:rsidR="00DA3DFB">
              <w:rPr>
                <w:noProof/>
                <w:webHidden/>
              </w:rPr>
            </w:r>
            <w:r w:rsidR="00DA3DFB">
              <w:rPr>
                <w:noProof/>
                <w:webHidden/>
              </w:rPr>
              <w:fldChar w:fldCharType="separate"/>
            </w:r>
            <w:r w:rsidR="00DA3DFB">
              <w:rPr>
                <w:noProof/>
                <w:webHidden/>
              </w:rPr>
              <w:t>4</w:t>
            </w:r>
            <w:r w:rsidR="00DA3DFB">
              <w:rPr>
                <w:noProof/>
                <w:webHidden/>
              </w:rPr>
              <w:fldChar w:fldCharType="end"/>
            </w:r>
          </w:hyperlink>
        </w:p>
        <w:p w:rsidR="00DA3DFB" w:rsidRDefault="00387594" w14:paraId="6F7A3D9F" w14:textId="17C95B3F">
          <w:pPr>
            <w:pStyle w:val="TOC2"/>
            <w:tabs>
              <w:tab w:val="left" w:pos="1440"/>
              <w:tab w:val="right" w:leader="dot" w:pos="10070"/>
            </w:tabs>
            <w:rPr>
              <w:rFonts w:asciiTheme="minorHAnsi" w:hAnsiTheme="minorHAnsi" w:eastAsiaTheme="minorEastAsia"/>
              <w:noProof/>
              <w:sz w:val="22"/>
            </w:rPr>
          </w:pPr>
          <w:hyperlink w:history="1" w:anchor="_Toc34984649">
            <w:r w:rsidRPr="001A1AD6" w:rsidR="00DA3DFB">
              <w:rPr>
                <w:rStyle w:val="Hyperlink"/>
                <w:noProof/>
              </w:rPr>
              <w:t>1(d).</w:t>
            </w:r>
            <w:r w:rsidR="00DA3DFB">
              <w:rPr>
                <w:rFonts w:asciiTheme="minorHAnsi" w:hAnsiTheme="minorHAnsi" w:eastAsiaTheme="minorEastAsia"/>
                <w:noProof/>
                <w:sz w:val="22"/>
              </w:rPr>
              <w:tab/>
            </w:r>
            <w:r w:rsidRPr="001A1AD6" w:rsidR="00DA3DFB">
              <w:rPr>
                <w:rStyle w:val="Hyperlink"/>
                <w:noProof/>
              </w:rPr>
              <w:t>Abstract</w:t>
            </w:r>
            <w:r w:rsidR="00DA3DFB">
              <w:rPr>
                <w:noProof/>
                <w:webHidden/>
              </w:rPr>
              <w:tab/>
            </w:r>
            <w:r w:rsidR="00DA3DFB">
              <w:rPr>
                <w:noProof/>
                <w:webHidden/>
              </w:rPr>
              <w:fldChar w:fldCharType="begin"/>
            </w:r>
            <w:r w:rsidR="00DA3DFB">
              <w:rPr>
                <w:noProof/>
                <w:webHidden/>
              </w:rPr>
              <w:instrText xml:space="preserve"> PAGEREF _Toc34984649 \h </w:instrText>
            </w:r>
            <w:r w:rsidR="00DA3DFB">
              <w:rPr>
                <w:noProof/>
                <w:webHidden/>
              </w:rPr>
            </w:r>
            <w:r w:rsidR="00DA3DFB">
              <w:rPr>
                <w:noProof/>
                <w:webHidden/>
              </w:rPr>
              <w:fldChar w:fldCharType="separate"/>
            </w:r>
            <w:r w:rsidR="00DA3DFB">
              <w:rPr>
                <w:noProof/>
                <w:webHidden/>
              </w:rPr>
              <w:t>4</w:t>
            </w:r>
            <w:r w:rsidR="00DA3DFB">
              <w:rPr>
                <w:noProof/>
                <w:webHidden/>
              </w:rPr>
              <w:fldChar w:fldCharType="end"/>
            </w:r>
          </w:hyperlink>
        </w:p>
        <w:p w:rsidR="00DA3DFB" w:rsidRDefault="00387594" w14:paraId="3F9AEA02" w14:textId="2189A26F">
          <w:pPr>
            <w:pStyle w:val="TOC1"/>
            <w:rPr>
              <w:rFonts w:asciiTheme="minorHAnsi" w:hAnsiTheme="minorHAnsi" w:eastAsiaTheme="minorEastAsia"/>
              <w:sz w:val="22"/>
            </w:rPr>
          </w:pPr>
          <w:hyperlink w:history="1" w:anchor="_Toc34984650">
            <w:r w:rsidRPr="001A1AD6" w:rsidR="00DA3DFB">
              <w:rPr>
                <w:rStyle w:val="Hyperlink"/>
              </w:rPr>
              <w:t>2.</w:t>
            </w:r>
            <w:r w:rsidR="00DA3DFB">
              <w:rPr>
                <w:rFonts w:asciiTheme="minorHAnsi" w:hAnsiTheme="minorHAnsi" w:eastAsiaTheme="minorEastAsia"/>
                <w:sz w:val="22"/>
              </w:rPr>
              <w:tab/>
            </w:r>
            <w:r w:rsidRPr="001A1AD6" w:rsidR="00DA3DFB">
              <w:rPr>
                <w:rStyle w:val="Hyperlink"/>
              </w:rPr>
              <w:t>NECESSITY OF THE INFORMATION COLLECTION</w:t>
            </w:r>
            <w:r w:rsidR="00DA3DFB">
              <w:rPr>
                <w:webHidden/>
              </w:rPr>
              <w:tab/>
            </w:r>
            <w:r w:rsidR="00DA3DFB">
              <w:rPr>
                <w:webHidden/>
              </w:rPr>
              <w:fldChar w:fldCharType="begin"/>
            </w:r>
            <w:r w:rsidR="00DA3DFB">
              <w:rPr>
                <w:webHidden/>
              </w:rPr>
              <w:instrText xml:space="preserve"> PAGEREF _Toc34984650 \h </w:instrText>
            </w:r>
            <w:r w:rsidR="00DA3DFB">
              <w:rPr>
                <w:webHidden/>
              </w:rPr>
            </w:r>
            <w:r w:rsidR="00DA3DFB">
              <w:rPr>
                <w:webHidden/>
              </w:rPr>
              <w:fldChar w:fldCharType="separate"/>
            </w:r>
            <w:r w:rsidR="00DA3DFB">
              <w:rPr>
                <w:webHidden/>
              </w:rPr>
              <w:t>6</w:t>
            </w:r>
            <w:r w:rsidR="00DA3DFB">
              <w:rPr>
                <w:webHidden/>
              </w:rPr>
              <w:fldChar w:fldCharType="end"/>
            </w:r>
          </w:hyperlink>
        </w:p>
        <w:p w:rsidR="00DA3DFB" w:rsidRDefault="00387594" w14:paraId="35102246" w14:textId="22D48C7F">
          <w:pPr>
            <w:pStyle w:val="TOC2"/>
            <w:tabs>
              <w:tab w:val="left" w:pos="1440"/>
              <w:tab w:val="right" w:leader="dot" w:pos="10070"/>
            </w:tabs>
            <w:rPr>
              <w:rFonts w:asciiTheme="minorHAnsi" w:hAnsiTheme="minorHAnsi" w:eastAsiaTheme="minorEastAsia"/>
              <w:noProof/>
              <w:sz w:val="22"/>
            </w:rPr>
          </w:pPr>
          <w:hyperlink w:history="1" w:anchor="_Toc34984651">
            <w:r w:rsidRPr="001A1AD6" w:rsidR="00DA3DFB">
              <w:rPr>
                <w:rStyle w:val="Hyperlink"/>
                <w:noProof/>
              </w:rPr>
              <w:t>2(a).</w:t>
            </w:r>
            <w:r w:rsidR="00DA3DFB">
              <w:rPr>
                <w:rFonts w:asciiTheme="minorHAnsi" w:hAnsiTheme="minorHAnsi" w:eastAsiaTheme="minorEastAsia"/>
                <w:noProof/>
                <w:sz w:val="22"/>
              </w:rPr>
              <w:tab/>
            </w:r>
            <w:r w:rsidRPr="001A1AD6" w:rsidR="00DA3DFB">
              <w:rPr>
                <w:rStyle w:val="Hyperlink"/>
                <w:noProof/>
              </w:rPr>
              <w:t>Related Legal and/or Administrative Requirements</w:t>
            </w:r>
            <w:r w:rsidR="00DA3DFB">
              <w:rPr>
                <w:noProof/>
                <w:webHidden/>
              </w:rPr>
              <w:tab/>
            </w:r>
            <w:r w:rsidR="00DA3DFB">
              <w:rPr>
                <w:noProof/>
                <w:webHidden/>
              </w:rPr>
              <w:fldChar w:fldCharType="begin"/>
            </w:r>
            <w:r w:rsidR="00DA3DFB">
              <w:rPr>
                <w:noProof/>
                <w:webHidden/>
              </w:rPr>
              <w:instrText xml:space="preserve"> PAGEREF _Toc34984651 \h </w:instrText>
            </w:r>
            <w:r w:rsidR="00DA3DFB">
              <w:rPr>
                <w:noProof/>
                <w:webHidden/>
              </w:rPr>
            </w:r>
            <w:r w:rsidR="00DA3DFB">
              <w:rPr>
                <w:noProof/>
                <w:webHidden/>
              </w:rPr>
              <w:fldChar w:fldCharType="separate"/>
            </w:r>
            <w:r w:rsidR="00DA3DFB">
              <w:rPr>
                <w:noProof/>
                <w:webHidden/>
              </w:rPr>
              <w:t>6</w:t>
            </w:r>
            <w:r w:rsidR="00DA3DFB">
              <w:rPr>
                <w:noProof/>
                <w:webHidden/>
              </w:rPr>
              <w:fldChar w:fldCharType="end"/>
            </w:r>
          </w:hyperlink>
        </w:p>
        <w:p w:rsidR="00DA3DFB" w:rsidRDefault="00387594" w14:paraId="46FF9F36" w14:textId="2C95B349">
          <w:pPr>
            <w:pStyle w:val="TOC2"/>
            <w:tabs>
              <w:tab w:val="left" w:pos="1440"/>
              <w:tab w:val="right" w:leader="dot" w:pos="10070"/>
            </w:tabs>
            <w:rPr>
              <w:rFonts w:asciiTheme="minorHAnsi" w:hAnsiTheme="minorHAnsi" w:eastAsiaTheme="minorEastAsia"/>
              <w:noProof/>
              <w:sz w:val="22"/>
            </w:rPr>
          </w:pPr>
          <w:hyperlink w:history="1" w:anchor="_Toc34984652">
            <w:r w:rsidRPr="001A1AD6" w:rsidR="00DA3DFB">
              <w:rPr>
                <w:rStyle w:val="Hyperlink"/>
                <w:noProof/>
              </w:rPr>
              <w:t>2(b).</w:t>
            </w:r>
            <w:r w:rsidR="00DA3DFB">
              <w:rPr>
                <w:rFonts w:asciiTheme="minorHAnsi" w:hAnsiTheme="minorHAnsi" w:eastAsiaTheme="minorEastAsia"/>
                <w:noProof/>
                <w:sz w:val="22"/>
              </w:rPr>
              <w:tab/>
            </w:r>
            <w:r w:rsidRPr="001A1AD6" w:rsidR="00DA3DFB">
              <w:rPr>
                <w:rStyle w:val="Hyperlink"/>
                <w:noProof/>
              </w:rPr>
              <w:t>Necessity of the Information Collection</w:t>
            </w:r>
            <w:r w:rsidR="00DA3DFB">
              <w:rPr>
                <w:noProof/>
                <w:webHidden/>
              </w:rPr>
              <w:tab/>
            </w:r>
            <w:r w:rsidR="00DA3DFB">
              <w:rPr>
                <w:noProof/>
                <w:webHidden/>
              </w:rPr>
              <w:fldChar w:fldCharType="begin"/>
            </w:r>
            <w:r w:rsidR="00DA3DFB">
              <w:rPr>
                <w:noProof/>
                <w:webHidden/>
              </w:rPr>
              <w:instrText xml:space="preserve"> PAGEREF _Toc34984652 \h </w:instrText>
            </w:r>
            <w:r w:rsidR="00DA3DFB">
              <w:rPr>
                <w:noProof/>
                <w:webHidden/>
              </w:rPr>
            </w:r>
            <w:r w:rsidR="00DA3DFB">
              <w:rPr>
                <w:noProof/>
                <w:webHidden/>
              </w:rPr>
              <w:fldChar w:fldCharType="separate"/>
            </w:r>
            <w:r w:rsidR="00DA3DFB">
              <w:rPr>
                <w:noProof/>
                <w:webHidden/>
              </w:rPr>
              <w:t>6</w:t>
            </w:r>
            <w:r w:rsidR="00DA3DFB">
              <w:rPr>
                <w:noProof/>
                <w:webHidden/>
              </w:rPr>
              <w:fldChar w:fldCharType="end"/>
            </w:r>
          </w:hyperlink>
        </w:p>
        <w:p w:rsidR="00DA3DFB" w:rsidRDefault="00387594" w14:paraId="578BB4E8" w14:textId="35CE2CE1">
          <w:pPr>
            <w:pStyle w:val="TOC2"/>
            <w:tabs>
              <w:tab w:val="left" w:pos="1440"/>
              <w:tab w:val="right" w:leader="dot" w:pos="10070"/>
            </w:tabs>
            <w:rPr>
              <w:rFonts w:asciiTheme="minorHAnsi" w:hAnsiTheme="minorHAnsi" w:eastAsiaTheme="minorEastAsia"/>
              <w:noProof/>
              <w:sz w:val="22"/>
            </w:rPr>
          </w:pPr>
          <w:hyperlink w:history="1" w:anchor="_Toc34984653">
            <w:r w:rsidRPr="001A1AD6" w:rsidR="00DA3DFB">
              <w:rPr>
                <w:rStyle w:val="Hyperlink"/>
                <w:noProof/>
              </w:rPr>
              <w:t>2(c).</w:t>
            </w:r>
            <w:r w:rsidR="00DA3DFB">
              <w:rPr>
                <w:rFonts w:asciiTheme="minorHAnsi" w:hAnsiTheme="minorHAnsi" w:eastAsiaTheme="minorEastAsia"/>
                <w:noProof/>
                <w:sz w:val="22"/>
              </w:rPr>
              <w:tab/>
            </w:r>
            <w:r w:rsidRPr="001A1AD6" w:rsidR="00DA3DFB">
              <w:rPr>
                <w:rStyle w:val="Hyperlink"/>
                <w:noProof/>
              </w:rPr>
              <w:t>Uses, Users, and Purpose of the Information Collection</w:t>
            </w:r>
            <w:r w:rsidR="00DA3DFB">
              <w:rPr>
                <w:noProof/>
                <w:webHidden/>
              </w:rPr>
              <w:tab/>
            </w:r>
            <w:r w:rsidR="00DA3DFB">
              <w:rPr>
                <w:noProof/>
                <w:webHidden/>
              </w:rPr>
              <w:fldChar w:fldCharType="begin"/>
            </w:r>
            <w:r w:rsidR="00DA3DFB">
              <w:rPr>
                <w:noProof/>
                <w:webHidden/>
              </w:rPr>
              <w:instrText xml:space="preserve"> PAGEREF _Toc34984653 \h </w:instrText>
            </w:r>
            <w:r w:rsidR="00DA3DFB">
              <w:rPr>
                <w:noProof/>
                <w:webHidden/>
              </w:rPr>
            </w:r>
            <w:r w:rsidR="00DA3DFB">
              <w:rPr>
                <w:noProof/>
                <w:webHidden/>
              </w:rPr>
              <w:fldChar w:fldCharType="separate"/>
            </w:r>
            <w:r w:rsidR="00DA3DFB">
              <w:rPr>
                <w:noProof/>
                <w:webHidden/>
              </w:rPr>
              <w:t>7</w:t>
            </w:r>
            <w:r w:rsidR="00DA3DFB">
              <w:rPr>
                <w:noProof/>
                <w:webHidden/>
              </w:rPr>
              <w:fldChar w:fldCharType="end"/>
            </w:r>
          </w:hyperlink>
        </w:p>
        <w:p w:rsidR="00DA3DFB" w:rsidRDefault="00387594" w14:paraId="25A7FD67" w14:textId="32AC5320">
          <w:pPr>
            <w:pStyle w:val="TOC3"/>
            <w:tabs>
              <w:tab w:val="right" w:leader="dot" w:pos="10070"/>
            </w:tabs>
            <w:rPr>
              <w:rFonts w:asciiTheme="minorHAnsi" w:hAnsiTheme="minorHAnsi" w:eastAsiaTheme="minorEastAsia"/>
              <w:i w:val="0"/>
              <w:noProof/>
              <w:sz w:val="22"/>
            </w:rPr>
          </w:pPr>
          <w:hyperlink w:history="1" w:anchor="_Toc34984654">
            <w:r w:rsidRPr="001A1AD6" w:rsidR="00DA3DFB">
              <w:rPr>
                <w:rStyle w:val="Hyperlink"/>
                <w:noProof/>
              </w:rPr>
              <w:t>e-CDRweb Reporting Tool</w:t>
            </w:r>
            <w:r w:rsidR="00DA3DFB">
              <w:rPr>
                <w:noProof/>
                <w:webHidden/>
              </w:rPr>
              <w:tab/>
            </w:r>
            <w:r w:rsidR="00DA3DFB">
              <w:rPr>
                <w:noProof/>
                <w:webHidden/>
              </w:rPr>
              <w:fldChar w:fldCharType="begin"/>
            </w:r>
            <w:r w:rsidR="00DA3DFB">
              <w:rPr>
                <w:noProof/>
                <w:webHidden/>
              </w:rPr>
              <w:instrText xml:space="preserve"> PAGEREF _Toc34984654 \h </w:instrText>
            </w:r>
            <w:r w:rsidR="00DA3DFB">
              <w:rPr>
                <w:noProof/>
                <w:webHidden/>
              </w:rPr>
            </w:r>
            <w:r w:rsidR="00DA3DFB">
              <w:rPr>
                <w:noProof/>
                <w:webHidden/>
              </w:rPr>
              <w:fldChar w:fldCharType="separate"/>
            </w:r>
            <w:r w:rsidR="00DA3DFB">
              <w:rPr>
                <w:noProof/>
                <w:webHidden/>
              </w:rPr>
              <w:t>7</w:t>
            </w:r>
            <w:r w:rsidR="00DA3DFB">
              <w:rPr>
                <w:noProof/>
                <w:webHidden/>
              </w:rPr>
              <w:fldChar w:fldCharType="end"/>
            </w:r>
          </w:hyperlink>
        </w:p>
        <w:p w:rsidR="00DA3DFB" w:rsidRDefault="00387594" w14:paraId="38B11915" w14:textId="12A38557">
          <w:pPr>
            <w:pStyle w:val="TOC3"/>
            <w:tabs>
              <w:tab w:val="right" w:leader="dot" w:pos="10070"/>
            </w:tabs>
            <w:rPr>
              <w:rFonts w:asciiTheme="minorHAnsi" w:hAnsiTheme="minorHAnsi" w:eastAsiaTheme="minorEastAsia"/>
              <w:i w:val="0"/>
              <w:noProof/>
              <w:sz w:val="22"/>
            </w:rPr>
          </w:pPr>
          <w:hyperlink w:history="1" w:anchor="_Toc34984655">
            <w:r w:rsidRPr="001A1AD6" w:rsidR="00DA3DFB">
              <w:rPr>
                <w:rStyle w:val="Hyperlink"/>
                <w:noProof/>
              </w:rPr>
              <w:t>Data Elements for CDR Submissions</w:t>
            </w:r>
            <w:r w:rsidR="00DA3DFB">
              <w:rPr>
                <w:noProof/>
                <w:webHidden/>
              </w:rPr>
              <w:tab/>
            </w:r>
            <w:r w:rsidR="00DA3DFB">
              <w:rPr>
                <w:noProof/>
                <w:webHidden/>
              </w:rPr>
              <w:fldChar w:fldCharType="begin"/>
            </w:r>
            <w:r w:rsidR="00DA3DFB">
              <w:rPr>
                <w:noProof/>
                <w:webHidden/>
              </w:rPr>
              <w:instrText xml:space="preserve"> PAGEREF _Toc34984655 \h </w:instrText>
            </w:r>
            <w:r w:rsidR="00DA3DFB">
              <w:rPr>
                <w:noProof/>
                <w:webHidden/>
              </w:rPr>
            </w:r>
            <w:r w:rsidR="00DA3DFB">
              <w:rPr>
                <w:noProof/>
                <w:webHidden/>
              </w:rPr>
              <w:fldChar w:fldCharType="separate"/>
            </w:r>
            <w:r w:rsidR="00DA3DFB">
              <w:rPr>
                <w:noProof/>
                <w:webHidden/>
              </w:rPr>
              <w:t>8</w:t>
            </w:r>
            <w:r w:rsidR="00DA3DFB">
              <w:rPr>
                <w:noProof/>
                <w:webHidden/>
              </w:rPr>
              <w:fldChar w:fldCharType="end"/>
            </w:r>
          </w:hyperlink>
        </w:p>
        <w:p w:rsidR="00DA3DFB" w:rsidRDefault="00387594" w14:paraId="7D1C0B19" w14:textId="029ADFC7">
          <w:pPr>
            <w:pStyle w:val="TOC1"/>
            <w:rPr>
              <w:rFonts w:asciiTheme="minorHAnsi" w:hAnsiTheme="minorHAnsi" w:eastAsiaTheme="minorEastAsia"/>
              <w:sz w:val="22"/>
            </w:rPr>
          </w:pPr>
          <w:hyperlink w:history="1" w:anchor="_Toc34984656">
            <w:r w:rsidRPr="001A1AD6" w:rsidR="00DA3DFB">
              <w:rPr>
                <w:rStyle w:val="Hyperlink"/>
              </w:rPr>
              <w:t>3.</w:t>
            </w:r>
            <w:r w:rsidR="00DA3DFB">
              <w:rPr>
                <w:rFonts w:asciiTheme="minorHAnsi" w:hAnsiTheme="minorHAnsi" w:eastAsiaTheme="minorEastAsia"/>
                <w:sz w:val="22"/>
              </w:rPr>
              <w:tab/>
            </w:r>
            <w:r w:rsidRPr="001A1AD6" w:rsidR="00DA3DFB">
              <w:rPr>
                <w:rStyle w:val="Hyperlink"/>
              </w:rPr>
              <w:t>NON-DUPLICATION, CONSULTATIONS, AND OTHER COLLECTION CRITERIA</w:t>
            </w:r>
            <w:r w:rsidR="00DA3DFB">
              <w:rPr>
                <w:webHidden/>
              </w:rPr>
              <w:tab/>
            </w:r>
            <w:r w:rsidR="00DA3DFB">
              <w:rPr>
                <w:webHidden/>
              </w:rPr>
              <w:fldChar w:fldCharType="begin"/>
            </w:r>
            <w:r w:rsidR="00DA3DFB">
              <w:rPr>
                <w:webHidden/>
              </w:rPr>
              <w:instrText xml:space="preserve"> PAGEREF _Toc34984656 \h </w:instrText>
            </w:r>
            <w:r w:rsidR="00DA3DFB">
              <w:rPr>
                <w:webHidden/>
              </w:rPr>
            </w:r>
            <w:r w:rsidR="00DA3DFB">
              <w:rPr>
                <w:webHidden/>
              </w:rPr>
              <w:fldChar w:fldCharType="separate"/>
            </w:r>
            <w:r w:rsidR="00DA3DFB">
              <w:rPr>
                <w:webHidden/>
              </w:rPr>
              <w:t>9</w:t>
            </w:r>
            <w:r w:rsidR="00DA3DFB">
              <w:rPr>
                <w:webHidden/>
              </w:rPr>
              <w:fldChar w:fldCharType="end"/>
            </w:r>
          </w:hyperlink>
        </w:p>
        <w:p w:rsidR="00DA3DFB" w:rsidRDefault="00387594" w14:paraId="37E2C16F" w14:textId="57F98666">
          <w:pPr>
            <w:pStyle w:val="TOC2"/>
            <w:tabs>
              <w:tab w:val="left" w:pos="1440"/>
              <w:tab w:val="right" w:leader="dot" w:pos="10070"/>
            </w:tabs>
            <w:rPr>
              <w:rFonts w:asciiTheme="minorHAnsi" w:hAnsiTheme="minorHAnsi" w:eastAsiaTheme="minorEastAsia"/>
              <w:noProof/>
              <w:sz w:val="22"/>
            </w:rPr>
          </w:pPr>
          <w:hyperlink w:history="1" w:anchor="_Toc34984657">
            <w:r w:rsidRPr="001A1AD6" w:rsidR="00DA3DFB">
              <w:rPr>
                <w:rStyle w:val="Hyperlink"/>
                <w:noProof/>
              </w:rPr>
              <w:t>3(a).</w:t>
            </w:r>
            <w:r w:rsidR="00DA3DFB">
              <w:rPr>
                <w:rFonts w:asciiTheme="minorHAnsi" w:hAnsiTheme="minorHAnsi" w:eastAsiaTheme="minorEastAsia"/>
                <w:noProof/>
                <w:sz w:val="22"/>
              </w:rPr>
              <w:tab/>
            </w:r>
            <w:r w:rsidRPr="001A1AD6" w:rsidR="00DA3DFB">
              <w:rPr>
                <w:rStyle w:val="Hyperlink"/>
                <w:noProof/>
              </w:rPr>
              <w:t>Non-Duplication</w:t>
            </w:r>
            <w:r w:rsidR="00DA3DFB">
              <w:rPr>
                <w:noProof/>
                <w:webHidden/>
              </w:rPr>
              <w:tab/>
            </w:r>
            <w:r w:rsidR="00DA3DFB">
              <w:rPr>
                <w:noProof/>
                <w:webHidden/>
              </w:rPr>
              <w:fldChar w:fldCharType="begin"/>
            </w:r>
            <w:r w:rsidR="00DA3DFB">
              <w:rPr>
                <w:noProof/>
                <w:webHidden/>
              </w:rPr>
              <w:instrText xml:space="preserve"> PAGEREF _Toc34984657 \h </w:instrText>
            </w:r>
            <w:r w:rsidR="00DA3DFB">
              <w:rPr>
                <w:noProof/>
                <w:webHidden/>
              </w:rPr>
            </w:r>
            <w:r w:rsidR="00DA3DFB">
              <w:rPr>
                <w:noProof/>
                <w:webHidden/>
              </w:rPr>
              <w:fldChar w:fldCharType="separate"/>
            </w:r>
            <w:r w:rsidR="00DA3DFB">
              <w:rPr>
                <w:noProof/>
                <w:webHidden/>
              </w:rPr>
              <w:t>9</w:t>
            </w:r>
            <w:r w:rsidR="00DA3DFB">
              <w:rPr>
                <w:noProof/>
                <w:webHidden/>
              </w:rPr>
              <w:fldChar w:fldCharType="end"/>
            </w:r>
          </w:hyperlink>
        </w:p>
        <w:p w:rsidR="00DA3DFB" w:rsidRDefault="00387594" w14:paraId="112382D6" w14:textId="284401A2">
          <w:pPr>
            <w:pStyle w:val="TOC2"/>
            <w:tabs>
              <w:tab w:val="left" w:pos="1440"/>
              <w:tab w:val="right" w:leader="dot" w:pos="10070"/>
            </w:tabs>
            <w:rPr>
              <w:rFonts w:asciiTheme="minorHAnsi" w:hAnsiTheme="minorHAnsi" w:eastAsiaTheme="minorEastAsia"/>
              <w:noProof/>
              <w:sz w:val="22"/>
            </w:rPr>
          </w:pPr>
          <w:hyperlink w:history="1" w:anchor="_Toc34984658">
            <w:r w:rsidRPr="001A1AD6" w:rsidR="00DA3DFB">
              <w:rPr>
                <w:rStyle w:val="Hyperlink"/>
                <w:noProof/>
              </w:rPr>
              <w:t>3(b).</w:t>
            </w:r>
            <w:r w:rsidR="00DA3DFB">
              <w:rPr>
                <w:rFonts w:asciiTheme="minorHAnsi" w:hAnsiTheme="minorHAnsi" w:eastAsiaTheme="minorEastAsia"/>
                <w:noProof/>
                <w:sz w:val="22"/>
              </w:rPr>
              <w:tab/>
            </w:r>
            <w:r w:rsidRPr="001A1AD6" w:rsidR="00DA3DFB">
              <w:rPr>
                <w:rStyle w:val="Hyperlink"/>
                <w:noProof/>
              </w:rPr>
              <w:t>Consultations and Public Comments</w:t>
            </w:r>
            <w:r w:rsidR="00DA3DFB">
              <w:rPr>
                <w:noProof/>
                <w:webHidden/>
              </w:rPr>
              <w:tab/>
            </w:r>
            <w:r w:rsidR="00DA3DFB">
              <w:rPr>
                <w:noProof/>
                <w:webHidden/>
              </w:rPr>
              <w:fldChar w:fldCharType="begin"/>
            </w:r>
            <w:r w:rsidR="00DA3DFB">
              <w:rPr>
                <w:noProof/>
                <w:webHidden/>
              </w:rPr>
              <w:instrText xml:space="preserve"> PAGEREF _Toc34984658 \h </w:instrText>
            </w:r>
            <w:r w:rsidR="00DA3DFB">
              <w:rPr>
                <w:noProof/>
                <w:webHidden/>
              </w:rPr>
            </w:r>
            <w:r w:rsidR="00DA3DFB">
              <w:rPr>
                <w:noProof/>
                <w:webHidden/>
              </w:rPr>
              <w:fldChar w:fldCharType="separate"/>
            </w:r>
            <w:r w:rsidR="00DA3DFB">
              <w:rPr>
                <w:noProof/>
                <w:webHidden/>
              </w:rPr>
              <w:t>10</w:t>
            </w:r>
            <w:r w:rsidR="00DA3DFB">
              <w:rPr>
                <w:noProof/>
                <w:webHidden/>
              </w:rPr>
              <w:fldChar w:fldCharType="end"/>
            </w:r>
          </w:hyperlink>
        </w:p>
        <w:p w:rsidR="00DA3DFB" w:rsidRDefault="00387594" w14:paraId="1A5F1879" w14:textId="6AC16743">
          <w:pPr>
            <w:pStyle w:val="TOC2"/>
            <w:tabs>
              <w:tab w:val="left" w:pos="1440"/>
              <w:tab w:val="right" w:leader="dot" w:pos="10070"/>
            </w:tabs>
            <w:rPr>
              <w:rFonts w:asciiTheme="minorHAnsi" w:hAnsiTheme="minorHAnsi" w:eastAsiaTheme="minorEastAsia"/>
              <w:noProof/>
              <w:sz w:val="22"/>
            </w:rPr>
          </w:pPr>
          <w:hyperlink w:history="1" w:anchor="_Toc34984659">
            <w:r w:rsidRPr="001A1AD6" w:rsidR="00DA3DFB">
              <w:rPr>
                <w:rStyle w:val="Hyperlink"/>
                <w:noProof/>
              </w:rPr>
              <w:t>3(c).</w:t>
            </w:r>
            <w:r w:rsidR="00DA3DFB">
              <w:rPr>
                <w:rFonts w:asciiTheme="minorHAnsi" w:hAnsiTheme="minorHAnsi" w:eastAsiaTheme="minorEastAsia"/>
                <w:noProof/>
                <w:sz w:val="22"/>
              </w:rPr>
              <w:tab/>
            </w:r>
            <w:r w:rsidRPr="001A1AD6" w:rsidR="00DA3DFB">
              <w:rPr>
                <w:rStyle w:val="Hyperlink"/>
                <w:noProof/>
              </w:rPr>
              <w:t>Effects of Less Frequent Collection</w:t>
            </w:r>
            <w:r w:rsidR="00DA3DFB">
              <w:rPr>
                <w:noProof/>
                <w:webHidden/>
              </w:rPr>
              <w:tab/>
            </w:r>
            <w:r w:rsidR="00DA3DFB">
              <w:rPr>
                <w:noProof/>
                <w:webHidden/>
              </w:rPr>
              <w:fldChar w:fldCharType="begin"/>
            </w:r>
            <w:r w:rsidR="00DA3DFB">
              <w:rPr>
                <w:noProof/>
                <w:webHidden/>
              </w:rPr>
              <w:instrText xml:space="preserve"> PAGEREF _Toc34984659 \h </w:instrText>
            </w:r>
            <w:r w:rsidR="00DA3DFB">
              <w:rPr>
                <w:noProof/>
                <w:webHidden/>
              </w:rPr>
            </w:r>
            <w:r w:rsidR="00DA3DFB">
              <w:rPr>
                <w:noProof/>
                <w:webHidden/>
              </w:rPr>
              <w:fldChar w:fldCharType="separate"/>
            </w:r>
            <w:r w:rsidR="00DA3DFB">
              <w:rPr>
                <w:noProof/>
                <w:webHidden/>
              </w:rPr>
              <w:t>10</w:t>
            </w:r>
            <w:r w:rsidR="00DA3DFB">
              <w:rPr>
                <w:noProof/>
                <w:webHidden/>
              </w:rPr>
              <w:fldChar w:fldCharType="end"/>
            </w:r>
          </w:hyperlink>
        </w:p>
        <w:p w:rsidR="00DA3DFB" w:rsidRDefault="00387594" w14:paraId="4D3A8D6F" w14:textId="0D9F2080">
          <w:pPr>
            <w:pStyle w:val="TOC2"/>
            <w:tabs>
              <w:tab w:val="left" w:pos="1440"/>
              <w:tab w:val="right" w:leader="dot" w:pos="10070"/>
            </w:tabs>
            <w:rPr>
              <w:rFonts w:asciiTheme="minorHAnsi" w:hAnsiTheme="minorHAnsi" w:eastAsiaTheme="minorEastAsia"/>
              <w:noProof/>
              <w:sz w:val="22"/>
            </w:rPr>
          </w:pPr>
          <w:hyperlink w:history="1" w:anchor="_Toc34984660">
            <w:r w:rsidRPr="001A1AD6" w:rsidR="00DA3DFB">
              <w:rPr>
                <w:rStyle w:val="Hyperlink"/>
                <w:noProof/>
              </w:rPr>
              <w:t>3(d).</w:t>
            </w:r>
            <w:r w:rsidR="00DA3DFB">
              <w:rPr>
                <w:rFonts w:asciiTheme="minorHAnsi" w:hAnsiTheme="minorHAnsi" w:eastAsiaTheme="minorEastAsia"/>
                <w:noProof/>
                <w:sz w:val="22"/>
              </w:rPr>
              <w:tab/>
            </w:r>
            <w:r w:rsidRPr="001A1AD6" w:rsidR="00DA3DFB">
              <w:rPr>
                <w:rStyle w:val="Hyperlink"/>
                <w:noProof/>
              </w:rPr>
              <w:t>Small Entity Flexibility</w:t>
            </w:r>
            <w:r w:rsidR="00DA3DFB">
              <w:rPr>
                <w:noProof/>
                <w:webHidden/>
              </w:rPr>
              <w:tab/>
            </w:r>
            <w:r w:rsidR="00DA3DFB">
              <w:rPr>
                <w:noProof/>
                <w:webHidden/>
              </w:rPr>
              <w:fldChar w:fldCharType="begin"/>
            </w:r>
            <w:r w:rsidR="00DA3DFB">
              <w:rPr>
                <w:noProof/>
                <w:webHidden/>
              </w:rPr>
              <w:instrText xml:space="preserve"> PAGEREF _Toc34984660 \h </w:instrText>
            </w:r>
            <w:r w:rsidR="00DA3DFB">
              <w:rPr>
                <w:noProof/>
                <w:webHidden/>
              </w:rPr>
            </w:r>
            <w:r w:rsidR="00DA3DFB">
              <w:rPr>
                <w:noProof/>
                <w:webHidden/>
              </w:rPr>
              <w:fldChar w:fldCharType="separate"/>
            </w:r>
            <w:r w:rsidR="00DA3DFB">
              <w:rPr>
                <w:noProof/>
                <w:webHidden/>
              </w:rPr>
              <w:t>11</w:t>
            </w:r>
            <w:r w:rsidR="00DA3DFB">
              <w:rPr>
                <w:noProof/>
                <w:webHidden/>
              </w:rPr>
              <w:fldChar w:fldCharType="end"/>
            </w:r>
          </w:hyperlink>
        </w:p>
        <w:p w:rsidR="00DA3DFB" w:rsidRDefault="00387594" w14:paraId="5A50ACFF" w14:textId="4B8FB806">
          <w:pPr>
            <w:pStyle w:val="TOC2"/>
            <w:tabs>
              <w:tab w:val="left" w:pos="1440"/>
              <w:tab w:val="right" w:leader="dot" w:pos="10070"/>
            </w:tabs>
            <w:rPr>
              <w:rFonts w:asciiTheme="minorHAnsi" w:hAnsiTheme="minorHAnsi" w:eastAsiaTheme="minorEastAsia"/>
              <w:noProof/>
              <w:sz w:val="22"/>
            </w:rPr>
          </w:pPr>
          <w:hyperlink w:history="1" w:anchor="_Toc34984661">
            <w:r w:rsidRPr="001A1AD6" w:rsidR="00DA3DFB">
              <w:rPr>
                <w:rStyle w:val="Hyperlink"/>
                <w:noProof/>
              </w:rPr>
              <w:t>3(e).</w:t>
            </w:r>
            <w:r w:rsidR="00DA3DFB">
              <w:rPr>
                <w:rFonts w:asciiTheme="minorHAnsi" w:hAnsiTheme="minorHAnsi" w:eastAsiaTheme="minorEastAsia"/>
                <w:noProof/>
                <w:sz w:val="22"/>
              </w:rPr>
              <w:tab/>
            </w:r>
            <w:r w:rsidRPr="001A1AD6" w:rsidR="00DA3DFB">
              <w:rPr>
                <w:rStyle w:val="Hyperlink"/>
                <w:noProof/>
              </w:rPr>
              <w:t>General PRA Related Guidelines</w:t>
            </w:r>
            <w:r w:rsidR="00DA3DFB">
              <w:rPr>
                <w:noProof/>
                <w:webHidden/>
              </w:rPr>
              <w:tab/>
            </w:r>
            <w:r w:rsidR="00DA3DFB">
              <w:rPr>
                <w:noProof/>
                <w:webHidden/>
              </w:rPr>
              <w:fldChar w:fldCharType="begin"/>
            </w:r>
            <w:r w:rsidR="00DA3DFB">
              <w:rPr>
                <w:noProof/>
                <w:webHidden/>
              </w:rPr>
              <w:instrText xml:space="preserve"> PAGEREF _Toc34984661 \h </w:instrText>
            </w:r>
            <w:r w:rsidR="00DA3DFB">
              <w:rPr>
                <w:noProof/>
                <w:webHidden/>
              </w:rPr>
            </w:r>
            <w:r w:rsidR="00DA3DFB">
              <w:rPr>
                <w:noProof/>
                <w:webHidden/>
              </w:rPr>
              <w:fldChar w:fldCharType="separate"/>
            </w:r>
            <w:r w:rsidR="00DA3DFB">
              <w:rPr>
                <w:noProof/>
                <w:webHidden/>
              </w:rPr>
              <w:t>11</w:t>
            </w:r>
            <w:r w:rsidR="00DA3DFB">
              <w:rPr>
                <w:noProof/>
                <w:webHidden/>
              </w:rPr>
              <w:fldChar w:fldCharType="end"/>
            </w:r>
          </w:hyperlink>
        </w:p>
        <w:p w:rsidR="00DA3DFB" w:rsidRDefault="00387594" w14:paraId="64098C06" w14:textId="26A6D6BB">
          <w:pPr>
            <w:pStyle w:val="TOC2"/>
            <w:tabs>
              <w:tab w:val="left" w:pos="1440"/>
              <w:tab w:val="right" w:leader="dot" w:pos="10070"/>
            </w:tabs>
            <w:rPr>
              <w:rFonts w:asciiTheme="minorHAnsi" w:hAnsiTheme="minorHAnsi" w:eastAsiaTheme="minorEastAsia"/>
              <w:noProof/>
              <w:sz w:val="22"/>
            </w:rPr>
          </w:pPr>
          <w:hyperlink w:history="1" w:anchor="_Toc34984662">
            <w:r w:rsidRPr="001A1AD6" w:rsidR="00DA3DFB">
              <w:rPr>
                <w:rStyle w:val="Hyperlink"/>
                <w:noProof/>
              </w:rPr>
              <w:t>3(f).</w:t>
            </w:r>
            <w:r w:rsidR="00DA3DFB">
              <w:rPr>
                <w:rFonts w:asciiTheme="minorHAnsi" w:hAnsiTheme="minorHAnsi" w:eastAsiaTheme="minorEastAsia"/>
                <w:noProof/>
                <w:sz w:val="22"/>
              </w:rPr>
              <w:tab/>
            </w:r>
            <w:r w:rsidRPr="001A1AD6" w:rsidR="00DA3DFB">
              <w:rPr>
                <w:rStyle w:val="Hyperlink"/>
                <w:noProof/>
              </w:rPr>
              <w:t>Confidentiality</w:t>
            </w:r>
            <w:r w:rsidR="00DA3DFB">
              <w:rPr>
                <w:noProof/>
                <w:webHidden/>
              </w:rPr>
              <w:tab/>
            </w:r>
            <w:r w:rsidR="00DA3DFB">
              <w:rPr>
                <w:noProof/>
                <w:webHidden/>
              </w:rPr>
              <w:fldChar w:fldCharType="begin"/>
            </w:r>
            <w:r w:rsidR="00DA3DFB">
              <w:rPr>
                <w:noProof/>
                <w:webHidden/>
              </w:rPr>
              <w:instrText xml:space="preserve"> PAGEREF _Toc34984662 \h </w:instrText>
            </w:r>
            <w:r w:rsidR="00DA3DFB">
              <w:rPr>
                <w:noProof/>
                <w:webHidden/>
              </w:rPr>
            </w:r>
            <w:r w:rsidR="00DA3DFB">
              <w:rPr>
                <w:noProof/>
                <w:webHidden/>
              </w:rPr>
              <w:fldChar w:fldCharType="separate"/>
            </w:r>
            <w:r w:rsidR="00DA3DFB">
              <w:rPr>
                <w:noProof/>
                <w:webHidden/>
              </w:rPr>
              <w:t>11</w:t>
            </w:r>
            <w:r w:rsidR="00DA3DFB">
              <w:rPr>
                <w:noProof/>
                <w:webHidden/>
              </w:rPr>
              <w:fldChar w:fldCharType="end"/>
            </w:r>
          </w:hyperlink>
        </w:p>
        <w:p w:rsidR="00DA3DFB" w:rsidRDefault="00387594" w14:paraId="5D4DB6C4" w14:textId="05B98E06">
          <w:pPr>
            <w:pStyle w:val="TOC2"/>
            <w:tabs>
              <w:tab w:val="left" w:pos="1440"/>
              <w:tab w:val="right" w:leader="dot" w:pos="10070"/>
            </w:tabs>
            <w:rPr>
              <w:rFonts w:asciiTheme="minorHAnsi" w:hAnsiTheme="minorHAnsi" w:eastAsiaTheme="minorEastAsia"/>
              <w:noProof/>
              <w:sz w:val="22"/>
            </w:rPr>
          </w:pPr>
          <w:hyperlink w:history="1" w:anchor="_Toc34984663">
            <w:r w:rsidRPr="001A1AD6" w:rsidR="00DA3DFB">
              <w:rPr>
                <w:rStyle w:val="Hyperlink"/>
                <w:noProof/>
              </w:rPr>
              <w:t>3(g).</w:t>
            </w:r>
            <w:r w:rsidR="00DA3DFB">
              <w:rPr>
                <w:rFonts w:asciiTheme="minorHAnsi" w:hAnsiTheme="minorHAnsi" w:eastAsiaTheme="minorEastAsia"/>
                <w:noProof/>
                <w:sz w:val="22"/>
              </w:rPr>
              <w:tab/>
            </w:r>
            <w:r w:rsidRPr="001A1AD6" w:rsidR="00DA3DFB">
              <w:rPr>
                <w:rStyle w:val="Hyperlink"/>
                <w:noProof/>
              </w:rPr>
              <w:t>Sensitive Questions</w:t>
            </w:r>
            <w:r w:rsidR="00DA3DFB">
              <w:rPr>
                <w:noProof/>
                <w:webHidden/>
              </w:rPr>
              <w:tab/>
            </w:r>
            <w:r w:rsidR="00DA3DFB">
              <w:rPr>
                <w:noProof/>
                <w:webHidden/>
              </w:rPr>
              <w:fldChar w:fldCharType="begin"/>
            </w:r>
            <w:r w:rsidR="00DA3DFB">
              <w:rPr>
                <w:noProof/>
                <w:webHidden/>
              </w:rPr>
              <w:instrText xml:space="preserve"> PAGEREF _Toc34984663 \h </w:instrText>
            </w:r>
            <w:r w:rsidR="00DA3DFB">
              <w:rPr>
                <w:noProof/>
                <w:webHidden/>
              </w:rPr>
            </w:r>
            <w:r w:rsidR="00DA3DFB">
              <w:rPr>
                <w:noProof/>
                <w:webHidden/>
              </w:rPr>
              <w:fldChar w:fldCharType="separate"/>
            </w:r>
            <w:r w:rsidR="00DA3DFB">
              <w:rPr>
                <w:noProof/>
                <w:webHidden/>
              </w:rPr>
              <w:t>12</w:t>
            </w:r>
            <w:r w:rsidR="00DA3DFB">
              <w:rPr>
                <w:noProof/>
                <w:webHidden/>
              </w:rPr>
              <w:fldChar w:fldCharType="end"/>
            </w:r>
          </w:hyperlink>
        </w:p>
        <w:p w:rsidR="00DA3DFB" w:rsidRDefault="00387594" w14:paraId="09696F53" w14:textId="5019B5C6">
          <w:pPr>
            <w:pStyle w:val="TOC1"/>
            <w:rPr>
              <w:rFonts w:asciiTheme="minorHAnsi" w:hAnsiTheme="minorHAnsi" w:eastAsiaTheme="minorEastAsia"/>
              <w:sz w:val="22"/>
            </w:rPr>
          </w:pPr>
          <w:hyperlink w:history="1" w:anchor="_Toc34984664">
            <w:r w:rsidRPr="001A1AD6" w:rsidR="00DA3DFB">
              <w:rPr>
                <w:rStyle w:val="Hyperlink"/>
              </w:rPr>
              <w:t>4.</w:t>
            </w:r>
            <w:r w:rsidR="00DA3DFB">
              <w:rPr>
                <w:rFonts w:asciiTheme="minorHAnsi" w:hAnsiTheme="minorHAnsi" w:eastAsiaTheme="minorEastAsia"/>
                <w:sz w:val="22"/>
              </w:rPr>
              <w:tab/>
            </w:r>
            <w:r w:rsidRPr="001A1AD6" w:rsidR="00DA3DFB">
              <w:rPr>
                <w:rStyle w:val="Hyperlink"/>
              </w:rPr>
              <w:t>AGENCY ACTIVITIES, COLLECTION METHODOLOGY, AND INFORMATION MANAGEMENT</w:t>
            </w:r>
            <w:r w:rsidR="00DA3DFB">
              <w:rPr>
                <w:webHidden/>
              </w:rPr>
              <w:tab/>
            </w:r>
            <w:r w:rsidR="00DA3DFB">
              <w:rPr>
                <w:webHidden/>
              </w:rPr>
              <w:fldChar w:fldCharType="begin"/>
            </w:r>
            <w:r w:rsidR="00DA3DFB">
              <w:rPr>
                <w:webHidden/>
              </w:rPr>
              <w:instrText xml:space="preserve"> PAGEREF _Toc34984664 \h </w:instrText>
            </w:r>
            <w:r w:rsidR="00DA3DFB">
              <w:rPr>
                <w:webHidden/>
              </w:rPr>
            </w:r>
            <w:r w:rsidR="00DA3DFB">
              <w:rPr>
                <w:webHidden/>
              </w:rPr>
              <w:fldChar w:fldCharType="separate"/>
            </w:r>
            <w:r w:rsidR="00DA3DFB">
              <w:rPr>
                <w:webHidden/>
              </w:rPr>
              <w:t>12</w:t>
            </w:r>
            <w:r w:rsidR="00DA3DFB">
              <w:rPr>
                <w:webHidden/>
              </w:rPr>
              <w:fldChar w:fldCharType="end"/>
            </w:r>
          </w:hyperlink>
        </w:p>
        <w:p w:rsidR="00DA3DFB" w:rsidRDefault="00387594" w14:paraId="2CE068C5" w14:textId="0C97EF57">
          <w:pPr>
            <w:pStyle w:val="TOC2"/>
            <w:tabs>
              <w:tab w:val="left" w:pos="1440"/>
              <w:tab w:val="right" w:leader="dot" w:pos="10070"/>
            </w:tabs>
            <w:rPr>
              <w:rFonts w:asciiTheme="minorHAnsi" w:hAnsiTheme="minorHAnsi" w:eastAsiaTheme="minorEastAsia"/>
              <w:noProof/>
              <w:sz w:val="22"/>
            </w:rPr>
          </w:pPr>
          <w:hyperlink w:history="1" w:anchor="_Toc34984665">
            <w:r w:rsidRPr="001A1AD6" w:rsidR="00DA3DFB">
              <w:rPr>
                <w:rStyle w:val="Hyperlink"/>
                <w:noProof/>
              </w:rPr>
              <w:t>4(a).</w:t>
            </w:r>
            <w:r w:rsidR="00DA3DFB">
              <w:rPr>
                <w:rFonts w:asciiTheme="minorHAnsi" w:hAnsiTheme="minorHAnsi" w:eastAsiaTheme="minorEastAsia"/>
                <w:noProof/>
                <w:sz w:val="22"/>
              </w:rPr>
              <w:tab/>
            </w:r>
            <w:r w:rsidRPr="001A1AD6" w:rsidR="00DA3DFB">
              <w:rPr>
                <w:rStyle w:val="Hyperlink"/>
                <w:noProof/>
              </w:rPr>
              <w:t xml:space="preserve"> Agency Activities</w:t>
            </w:r>
            <w:r w:rsidR="00DA3DFB">
              <w:rPr>
                <w:noProof/>
                <w:webHidden/>
              </w:rPr>
              <w:tab/>
            </w:r>
            <w:r w:rsidR="00DA3DFB">
              <w:rPr>
                <w:noProof/>
                <w:webHidden/>
              </w:rPr>
              <w:fldChar w:fldCharType="begin"/>
            </w:r>
            <w:r w:rsidR="00DA3DFB">
              <w:rPr>
                <w:noProof/>
                <w:webHidden/>
              </w:rPr>
              <w:instrText xml:space="preserve"> PAGEREF _Toc34984665 \h </w:instrText>
            </w:r>
            <w:r w:rsidR="00DA3DFB">
              <w:rPr>
                <w:noProof/>
                <w:webHidden/>
              </w:rPr>
            </w:r>
            <w:r w:rsidR="00DA3DFB">
              <w:rPr>
                <w:noProof/>
                <w:webHidden/>
              </w:rPr>
              <w:fldChar w:fldCharType="separate"/>
            </w:r>
            <w:r w:rsidR="00DA3DFB">
              <w:rPr>
                <w:noProof/>
                <w:webHidden/>
              </w:rPr>
              <w:t>12</w:t>
            </w:r>
            <w:r w:rsidR="00DA3DFB">
              <w:rPr>
                <w:noProof/>
                <w:webHidden/>
              </w:rPr>
              <w:fldChar w:fldCharType="end"/>
            </w:r>
          </w:hyperlink>
        </w:p>
        <w:p w:rsidR="00DA3DFB" w:rsidRDefault="00387594" w14:paraId="38200816" w14:textId="0D5AC84D">
          <w:pPr>
            <w:pStyle w:val="TOC2"/>
            <w:tabs>
              <w:tab w:val="right" w:leader="dot" w:pos="10070"/>
            </w:tabs>
            <w:rPr>
              <w:rFonts w:asciiTheme="minorHAnsi" w:hAnsiTheme="minorHAnsi" w:eastAsiaTheme="minorEastAsia"/>
              <w:noProof/>
              <w:sz w:val="22"/>
            </w:rPr>
          </w:pPr>
          <w:hyperlink w:history="1" w:anchor="_Toc34984666">
            <w:r w:rsidRPr="001A1AD6" w:rsidR="00DA3DFB">
              <w:rPr>
                <w:rStyle w:val="Hyperlink"/>
                <w:noProof/>
              </w:rPr>
              <w:t>4(b). Estimated Agency Costs</w:t>
            </w:r>
            <w:r w:rsidR="00DA3DFB">
              <w:rPr>
                <w:noProof/>
                <w:webHidden/>
              </w:rPr>
              <w:tab/>
            </w:r>
            <w:r w:rsidR="00DA3DFB">
              <w:rPr>
                <w:noProof/>
                <w:webHidden/>
              </w:rPr>
              <w:fldChar w:fldCharType="begin"/>
            </w:r>
            <w:r w:rsidR="00DA3DFB">
              <w:rPr>
                <w:noProof/>
                <w:webHidden/>
              </w:rPr>
              <w:instrText xml:space="preserve"> PAGEREF _Toc34984666 \h </w:instrText>
            </w:r>
            <w:r w:rsidR="00DA3DFB">
              <w:rPr>
                <w:noProof/>
                <w:webHidden/>
              </w:rPr>
            </w:r>
            <w:r w:rsidR="00DA3DFB">
              <w:rPr>
                <w:noProof/>
                <w:webHidden/>
              </w:rPr>
              <w:fldChar w:fldCharType="separate"/>
            </w:r>
            <w:r w:rsidR="00DA3DFB">
              <w:rPr>
                <w:noProof/>
                <w:webHidden/>
              </w:rPr>
              <w:t>12</w:t>
            </w:r>
            <w:r w:rsidR="00DA3DFB">
              <w:rPr>
                <w:noProof/>
                <w:webHidden/>
              </w:rPr>
              <w:fldChar w:fldCharType="end"/>
            </w:r>
          </w:hyperlink>
        </w:p>
        <w:p w:rsidR="00DA3DFB" w:rsidRDefault="00387594" w14:paraId="3FE30883" w14:textId="43DE68A8">
          <w:pPr>
            <w:pStyle w:val="TOC2"/>
            <w:tabs>
              <w:tab w:val="right" w:leader="dot" w:pos="10070"/>
            </w:tabs>
            <w:rPr>
              <w:rFonts w:asciiTheme="minorHAnsi" w:hAnsiTheme="minorHAnsi" w:eastAsiaTheme="minorEastAsia"/>
              <w:noProof/>
              <w:sz w:val="22"/>
            </w:rPr>
          </w:pPr>
          <w:hyperlink w:history="1" w:anchor="_Toc34984667">
            <w:r w:rsidRPr="001A1AD6" w:rsidR="00DA3DFB">
              <w:rPr>
                <w:rStyle w:val="Hyperlink"/>
                <w:noProof/>
              </w:rPr>
              <w:t>4(b)(i). Collection Schedule</w:t>
            </w:r>
            <w:r w:rsidR="00DA3DFB">
              <w:rPr>
                <w:noProof/>
                <w:webHidden/>
              </w:rPr>
              <w:tab/>
            </w:r>
            <w:r w:rsidR="00DA3DFB">
              <w:rPr>
                <w:noProof/>
                <w:webHidden/>
              </w:rPr>
              <w:fldChar w:fldCharType="begin"/>
            </w:r>
            <w:r w:rsidR="00DA3DFB">
              <w:rPr>
                <w:noProof/>
                <w:webHidden/>
              </w:rPr>
              <w:instrText xml:space="preserve"> PAGEREF _Toc34984667 \h </w:instrText>
            </w:r>
            <w:r w:rsidR="00DA3DFB">
              <w:rPr>
                <w:noProof/>
                <w:webHidden/>
              </w:rPr>
            </w:r>
            <w:r w:rsidR="00DA3DFB">
              <w:rPr>
                <w:noProof/>
                <w:webHidden/>
              </w:rPr>
              <w:fldChar w:fldCharType="separate"/>
            </w:r>
            <w:r w:rsidR="00DA3DFB">
              <w:rPr>
                <w:noProof/>
                <w:webHidden/>
              </w:rPr>
              <w:t>13</w:t>
            </w:r>
            <w:r w:rsidR="00DA3DFB">
              <w:rPr>
                <w:noProof/>
                <w:webHidden/>
              </w:rPr>
              <w:fldChar w:fldCharType="end"/>
            </w:r>
          </w:hyperlink>
        </w:p>
        <w:p w:rsidR="00DA3DFB" w:rsidRDefault="00387594" w14:paraId="03CA5F3D" w14:textId="2EFB9682">
          <w:pPr>
            <w:pStyle w:val="TOC3"/>
            <w:tabs>
              <w:tab w:val="right" w:leader="dot" w:pos="10070"/>
            </w:tabs>
            <w:rPr>
              <w:rFonts w:asciiTheme="minorHAnsi" w:hAnsiTheme="minorHAnsi" w:eastAsiaTheme="minorEastAsia"/>
              <w:i w:val="0"/>
              <w:noProof/>
              <w:sz w:val="22"/>
            </w:rPr>
          </w:pPr>
          <w:hyperlink w:history="1" w:anchor="_Toc34984668">
            <w:r w:rsidRPr="001A1AD6" w:rsidR="00DA3DFB">
              <w:rPr>
                <w:rStyle w:val="Hyperlink"/>
                <w:noProof/>
              </w:rPr>
              <w:t>Use of Technology to Facilitate Collection Activities</w:t>
            </w:r>
            <w:r w:rsidR="00DA3DFB">
              <w:rPr>
                <w:noProof/>
                <w:webHidden/>
              </w:rPr>
              <w:tab/>
            </w:r>
            <w:r w:rsidR="00DA3DFB">
              <w:rPr>
                <w:noProof/>
                <w:webHidden/>
              </w:rPr>
              <w:fldChar w:fldCharType="begin"/>
            </w:r>
            <w:r w:rsidR="00DA3DFB">
              <w:rPr>
                <w:noProof/>
                <w:webHidden/>
              </w:rPr>
              <w:instrText xml:space="preserve"> PAGEREF _Toc34984668 \h </w:instrText>
            </w:r>
            <w:r w:rsidR="00DA3DFB">
              <w:rPr>
                <w:noProof/>
                <w:webHidden/>
              </w:rPr>
            </w:r>
            <w:r w:rsidR="00DA3DFB">
              <w:rPr>
                <w:noProof/>
                <w:webHidden/>
              </w:rPr>
              <w:fldChar w:fldCharType="separate"/>
            </w:r>
            <w:r w:rsidR="00DA3DFB">
              <w:rPr>
                <w:noProof/>
                <w:webHidden/>
              </w:rPr>
              <w:t>13</w:t>
            </w:r>
            <w:r w:rsidR="00DA3DFB">
              <w:rPr>
                <w:noProof/>
                <w:webHidden/>
              </w:rPr>
              <w:fldChar w:fldCharType="end"/>
            </w:r>
          </w:hyperlink>
        </w:p>
        <w:p w:rsidR="00DA3DFB" w:rsidRDefault="00387594" w14:paraId="05B44BE1" w14:textId="4191858C">
          <w:pPr>
            <w:pStyle w:val="TOC1"/>
            <w:rPr>
              <w:rFonts w:asciiTheme="minorHAnsi" w:hAnsiTheme="minorHAnsi" w:eastAsiaTheme="minorEastAsia"/>
              <w:sz w:val="22"/>
            </w:rPr>
          </w:pPr>
          <w:hyperlink w:history="1" w:anchor="_Toc34984669">
            <w:r w:rsidRPr="001A1AD6" w:rsidR="00DA3DFB">
              <w:rPr>
                <w:rStyle w:val="Hyperlink"/>
              </w:rPr>
              <w:t>5.</w:t>
            </w:r>
            <w:r w:rsidR="00DA3DFB">
              <w:rPr>
                <w:rFonts w:asciiTheme="minorHAnsi" w:hAnsiTheme="minorHAnsi" w:eastAsiaTheme="minorEastAsia"/>
                <w:sz w:val="22"/>
              </w:rPr>
              <w:tab/>
            </w:r>
            <w:r w:rsidRPr="001A1AD6" w:rsidR="00DA3DFB">
              <w:rPr>
                <w:rStyle w:val="Hyperlink"/>
              </w:rPr>
              <w:t>THE RESPONDENTS AND INFORMATION COLLECTION (IC) ACTIVITIES</w:t>
            </w:r>
            <w:r w:rsidR="00DA3DFB">
              <w:rPr>
                <w:webHidden/>
              </w:rPr>
              <w:tab/>
            </w:r>
            <w:r w:rsidR="00DA3DFB">
              <w:rPr>
                <w:webHidden/>
              </w:rPr>
              <w:fldChar w:fldCharType="begin"/>
            </w:r>
            <w:r w:rsidR="00DA3DFB">
              <w:rPr>
                <w:webHidden/>
              </w:rPr>
              <w:instrText xml:space="preserve"> PAGEREF _Toc34984669 \h </w:instrText>
            </w:r>
            <w:r w:rsidR="00DA3DFB">
              <w:rPr>
                <w:webHidden/>
              </w:rPr>
            </w:r>
            <w:r w:rsidR="00DA3DFB">
              <w:rPr>
                <w:webHidden/>
              </w:rPr>
              <w:fldChar w:fldCharType="separate"/>
            </w:r>
            <w:r w:rsidR="00DA3DFB">
              <w:rPr>
                <w:webHidden/>
              </w:rPr>
              <w:t>14</w:t>
            </w:r>
            <w:r w:rsidR="00DA3DFB">
              <w:rPr>
                <w:webHidden/>
              </w:rPr>
              <w:fldChar w:fldCharType="end"/>
            </w:r>
          </w:hyperlink>
        </w:p>
        <w:p w:rsidR="00DA3DFB" w:rsidRDefault="00387594" w14:paraId="70CFAA5C" w14:textId="0FD9800C">
          <w:pPr>
            <w:pStyle w:val="TOC2"/>
            <w:tabs>
              <w:tab w:val="left" w:pos="1440"/>
              <w:tab w:val="right" w:leader="dot" w:pos="10070"/>
            </w:tabs>
            <w:rPr>
              <w:rFonts w:asciiTheme="minorHAnsi" w:hAnsiTheme="minorHAnsi" w:eastAsiaTheme="minorEastAsia"/>
              <w:noProof/>
              <w:sz w:val="22"/>
            </w:rPr>
          </w:pPr>
          <w:hyperlink w:history="1" w:anchor="_Toc34984670">
            <w:r w:rsidRPr="001A1AD6" w:rsidR="00DA3DFB">
              <w:rPr>
                <w:rStyle w:val="Hyperlink"/>
                <w:noProof/>
              </w:rPr>
              <w:t>5(a).</w:t>
            </w:r>
            <w:r w:rsidR="00DA3DFB">
              <w:rPr>
                <w:rFonts w:asciiTheme="minorHAnsi" w:hAnsiTheme="minorHAnsi" w:eastAsiaTheme="minorEastAsia"/>
                <w:noProof/>
                <w:sz w:val="22"/>
              </w:rPr>
              <w:tab/>
            </w:r>
            <w:r w:rsidRPr="001A1AD6" w:rsidR="00DA3DFB">
              <w:rPr>
                <w:rStyle w:val="Hyperlink"/>
                <w:noProof/>
              </w:rPr>
              <w:t>Methodology for Estimating Respondent Burden and Costs</w:t>
            </w:r>
            <w:r w:rsidR="00DA3DFB">
              <w:rPr>
                <w:noProof/>
                <w:webHidden/>
              </w:rPr>
              <w:tab/>
            </w:r>
            <w:r w:rsidR="00DA3DFB">
              <w:rPr>
                <w:noProof/>
                <w:webHidden/>
              </w:rPr>
              <w:fldChar w:fldCharType="begin"/>
            </w:r>
            <w:r w:rsidR="00DA3DFB">
              <w:rPr>
                <w:noProof/>
                <w:webHidden/>
              </w:rPr>
              <w:instrText xml:space="preserve"> PAGEREF _Toc34984670 \h </w:instrText>
            </w:r>
            <w:r w:rsidR="00DA3DFB">
              <w:rPr>
                <w:noProof/>
                <w:webHidden/>
              </w:rPr>
            </w:r>
            <w:r w:rsidR="00DA3DFB">
              <w:rPr>
                <w:noProof/>
                <w:webHidden/>
              </w:rPr>
              <w:fldChar w:fldCharType="separate"/>
            </w:r>
            <w:r w:rsidR="00DA3DFB">
              <w:rPr>
                <w:noProof/>
                <w:webHidden/>
              </w:rPr>
              <w:t>14</w:t>
            </w:r>
            <w:r w:rsidR="00DA3DFB">
              <w:rPr>
                <w:noProof/>
                <w:webHidden/>
              </w:rPr>
              <w:fldChar w:fldCharType="end"/>
            </w:r>
          </w:hyperlink>
        </w:p>
        <w:p w:rsidR="00DA3DFB" w:rsidRDefault="00387594" w14:paraId="69C79164" w14:textId="7DC639B3">
          <w:pPr>
            <w:pStyle w:val="TOC2"/>
            <w:tabs>
              <w:tab w:val="left" w:pos="1440"/>
              <w:tab w:val="right" w:leader="dot" w:pos="10070"/>
            </w:tabs>
            <w:rPr>
              <w:rFonts w:asciiTheme="minorHAnsi" w:hAnsiTheme="minorHAnsi" w:eastAsiaTheme="minorEastAsia"/>
              <w:noProof/>
              <w:sz w:val="22"/>
            </w:rPr>
          </w:pPr>
          <w:hyperlink w:history="1" w:anchor="_Toc34984671">
            <w:r w:rsidRPr="001A1AD6" w:rsidR="00DA3DFB">
              <w:rPr>
                <w:rStyle w:val="Hyperlink"/>
                <w:noProof/>
              </w:rPr>
              <w:t xml:space="preserve">5(a)(i) </w:t>
            </w:r>
            <w:r w:rsidR="00DA3DFB">
              <w:rPr>
                <w:rFonts w:asciiTheme="minorHAnsi" w:hAnsiTheme="minorHAnsi" w:eastAsiaTheme="minorEastAsia"/>
                <w:noProof/>
                <w:sz w:val="22"/>
              </w:rPr>
              <w:tab/>
            </w:r>
            <w:r w:rsidRPr="001A1AD6" w:rsidR="00DA3DFB">
              <w:rPr>
                <w:rStyle w:val="Hyperlink"/>
                <w:noProof/>
              </w:rPr>
              <w:t>Respondent Activities</w:t>
            </w:r>
            <w:r w:rsidR="00DA3DFB">
              <w:rPr>
                <w:noProof/>
                <w:webHidden/>
              </w:rPr>
              <w:tab/>
            </w:r>
            <w:r w:rsidR="00DA3DFB">
              <w:rPr>
                <w:noProof/>
                <w:webHidden/>
              </w:rPr>
              <w:fldChar w:fldCharType="begin"/>
            </w:r>
            <w:r w:rsidR="00DA3DFB">
              <w:rPr>
                <w:noProof/>
                <w:webHidden/>
              </w:rPr>
              <w:instrText xml:space="preserve"> PAGEREF _Toc34984671 \h </w:instrText>
            </w:r>
            <w:r w:rsidR="00DA3DFB">
              <w:rPr>
                <w:noProof/>
                <w:webHidden/>
              </w:rPr>
            </w:r>
            <w:r w:rsidR="00DA3DFB">
              <w:rPr>
                <w:noProof/>
                <w:webHidden/>
              </w:rPr>
              <w:fldChar w:fldCharType="separate"/>
            </w:r>
            <w:r w:rsidR="00DA3DFB">
              <w:rPr>
                <w:noProof/>
                <w:webHidden/>
              </w:rPr>
              <w:t>15</w:t>
            </w:r>
            <w:r w:rsidR="00DA3DFB">
              <w:rPr>
                <w:noProof/>
                <w:webHidden/>
              </w:rPr>
              <w:fldChar w:fldCharType="end"/>
            </w:r>
          </w:hyperlink>
        </w:p>
        <w:p w:rsidR="00DA3DFB" w:rsidRDefault="00387594" w14:paraId="2821A0D7" w14:textId="02CA4191">
          <w:pPr>
            <w:pStyle w:val="TOC2"/>
            <w:tabs>
              <w:tab w:val="left" w:pos="1440"/>
              <w:tab w:val="right" w:leader="dot" w:pos="10070"/>
            </w:tabs>
            <w:rPr>
              <w:rFonts w:asciiTheme="minorHAnsi" w:hAnsiTheme="minorHAnsi" w:eastAsiaTheme="minorEastAsia"/>
              <w:noProof/>
              <w:sz w:val="22"/>
            </w:rPr>
          </w:pPr>
          <w:hyperlink w:history="1" w:anchor="_Toc34984672">
            <w:r w:rsidRPr="001A1AD6" w:rsidR="00DA3DFB">
              <w:rPr>
                <w:rStyle w:val="Hyperlink"/>
                <w:noProof/>
                <w:lang w:bidi="en-US"/>
              </w:rPr>
              <w:t>5(b).</w:t>
            </w:r>
            <w:r w:rsidR="00DA3DFB">
              <w:rPr>
                <w:rFonts w:asciiTheme="minorHAnsi" w:hAnsiTheme="minorHAnsi" w:eastAsiaTheme="minorEastAsia"/>
                <w:noProof/>
                <w:sz w:val="22"/>
              </w:rPr>
              <w:tab/>
            </w:r>
            <w:r w:rsidRPr="001A1AD6" w:rsidR="00DA3DFB">
              <w:rPr>
                <w:rStyle w:val="Hyperlink"/>
                <w:noProof/>
                <w:lang w:bidi="en-US"/>
              </w:rPr>
              <w:t>Estimating Respondent Burden and Costs</w:t>
            </w:r>
            <w:r w:rsidR="00DA3DFB">
              <w:rPr>
                <w:noProof/>
                <w:webHidden/>
              </w:rPr>
              <w:tab/>
            </w:r>
            <w:r w:rsidR="00DA3DFB">
              <w:rPr>
                <w:noProof/>
                <w:webHidden/>
              </w:rPr>
              <w:fldChar w:fldCharType="begin"/>
            </w:r>
            <w:r w:rsidR="00DA3DFB">
              <w:rPr>
                <w:noProof/>
                <w:webHidden/>
              </w:rPr>
              <w:instrText xml:space="preserve"> PAGEREF _Toc34984672 \h </w:instrText>
            </w:r>
            <w:r w:rsidR="00DA3DFB">
              <w:rPr>
                <w:noProof/>
                <w:webHidden/>
              </w:rPr>
            </w:r>
            <w:r w:rsidR="00DA3DFB">
              <w:rPr>
                <w:noProof/>
                <w:webHidden/>
              </w:rPr>
              <w:fldChar w:fldCharType="separate"/>
            </w:r>
            <w:r w:rsidR="00DA3DFB">
              <w:rPr>
                <w:noProof/>
                <w:webHidden/>
              </w:rPr>
              <w:t>17</w:t>
            </w:r>
            <w:r w:rsidR="00DA3DFB">
              <w:rPr>
                <w:noProof/>
                <w:webHidden/>
              </w:rPr>
              <w:fldChar w:fldCharType="end"/>
            </w:r>
          </w:hyperlink>
        </w:p>
        <w:p w:rsidR="00DA3DFB" w:rsidRDefault="00387594" w14:paraId="2D242715" w14:textId="0204DD28">
          <w:pPr>
            <w:pStyle w:val="TOC2"/>
            <w:tabs>
              <w:tab w:val="left" w:pos="1440"/>
              <w:tab w:val="right" w:leader="dot" w:pos="10070"/>
            </w:tabs>
            <w:rPr>
              <w:rFonts w:asciiTheme="minorHAnsi" w:hAnsiTheme="minorHAnsi" w:eastAsiaTheme="minorEastAsia"/>
              <w:noProof/>
              <w:sz w:val="22"/>
            </w:rPr>
          </w:pPr>
          <w:hyperlink w:history="1" w:anchor="_Toc34984673">
            <w:r w:rsidRPr="001A1AD6" w:rsidR="00DA3DFB">
              <w:rPr>
                <w:rStyle w:val="Hyperlink"/>
                <w:noProof/>
              </w:rPr>
              <w:t xml:space="preserve">5(b)(i) </w:t>
            </w:r>
            <w:r w:rsidR="00DA3DFB">
              <w:rPr>
                <w:rFonts w:asciiTheme="minorHAnsi" w:hAnsiTheme="minorHAnsi" w:eastAsiaTheme="minorEastAsia"/>
                <w:noProof/>
                <w:sz w:val="22"/>
              </w:rPr>
              <w:tab/>
            </w:r>
            <w:r w:rsidRPr="001A1AD6" w:rsidR="00DA3DFB">
              <w:rPr>
                <w:rStyle w:val="Hyperlink"/>
                <w:noProof/>
              </w:rPr>
              <w:t>IC#1 CDR Reporting</w:t>
            </w:r>
            <w:r w:rsidR="00DA3DFB">
              <w:rPr>
                <w:noProof/>
                <w:webHidden/>
              </w:rPr>
              <w:tab/>
            </w:r>
            <w:r w:rsidR="00DA3DFB">
              <w:rPr>
                <w:noProof/>
                <w:webHidden/>
              </w:rPr>
              <w:fldChar w:fldCharType="begin"/>
            </w:r>
            <w:r w:rsidR="00DA3DFB">
              <w:rPr>
                <w:noProof/>
                <w:webHidden/>
              </w:rPr>
              <w:instrText xml:space="preserve"> PAGEREF _Toc34984673 \h </w:instrText>
            </w:r>
            <w:r w:rsidR="00DA3DFB">
              <w:rPr>
                <w:noProof/>
                <w:webHidden/>
              </w:rPr>
            </w:r>
            <w:r w:rsidR="00DA3DFB">
              <w:rPr>
                <w:noProof/>
                <w:webHidden/>
              </w:rPr>
              <w:fldChar w:fldCharType="separate"/>
            </w:r>
            <w:r w:rsidR="00DA3DFB">
              <w:rPr>
                <w:noProof/>
                <w:webHidden/>
              </w:rPr>
              <w:t>17</w:t>
            </w:r>
            <w:r w:rsidR="00DA3DFB">
              <w:rPr>
                <w:noProof/>
                <w:webHidden/>
              </w:rPr>
              <w:fldChar w:fldCharType="end"/>
            </w:r>
          </w:hyperlink>
        </w:p>
        <w:p w:rsidR="00DA3DFB" w:rsidRDefault="00387594" w14:paraId="5EFC1556" w14:textId="0BCF3167">
          <w:pPr>
            <w:pStyle w:val="TOC2"/>
            <w:tabs>
              <w:tab w:val="left" w:pos="1440"/>
              <w:tab w:val="right" w:leader="dot" w:pos="10070"/>
            </w:tabs>
            <w:rPr>
              <w:rFonts w:asciiTheme="minorHAnsi" w:hAnsiTheme="minorHAnsi" w:eastAsiaTheme="minorEastAsia"/>
              <w:noProof/>
              <w:sz w:val="22"/>
            </w:rPr>
          </w:pPr>
          <w:hyperlink w:history="1" w:anchor="_Toc34984674">
            <w:r w:rsidRPr="001A1AD6" w:rsidR="00DA3DFB">
              <w:rPr>
                <w:rStyle w:val="Hyperlink"/>
                <w:noProof/>
              </w:rPr>
              <w:t xml:space="preserve">5.(c). </w:t>
            </w:r>
            <w:r w:rsidR="00DA3DFB">
              <w:rPr>
                <w:rFonts w:asciiTheme="minorHAnsi" w:hAnsiTheme="minorHAnsi" w:eastAsiaTheme="minorEastAsia"/>
                <w:noProof/>
                <w:sz w:val="22"/>
              </w:rPr>
              <w:tab/>
            </w:r>
            <w:r w:rsidRPr="001A1AD6" w:rsidR="00DA3DFB">
              <w:rPr>
                <w:rStyle w:val="Hyperlink"/>
                <w:noProof/>
              </w:rPr>
              <w:t>Respondent Universe, Total, and Bottom Line Burden Hours and Costs</w:t>
            </w:r>
            <w:r w:rsidR="00DA3DFB">
              <w:rPr>
                <w:noProof/>
                <w:webHidden/>
              </w:rPr>
              <w:tab/>
            </w:r>
            <w:r w:rsidR="00DA3DFB">
              <w:rPr>
                <w:noProof/>
                <w:webHidden/>
              </w:rPr>
              <w:fldChar w:fldCharType="begin"/>
            </w:r>
            <w:r w:rsidR="00DA3DFB">
              <w:rPr>
                <w:noProof/>
                <w:webHidden/>
              </w:rPr>
              <w:instrText xml:space="preserve"> PAGEREF _Toc34984674 \h </w:instrText>
            </w:r>
            <w:r w:rsidR="00DA3DFB">
              <w:rPr>
                <w:noProof/>
                <w:webHidden/>
              </w:rPr>
            </w:r>
            <w:r w:rsidR="00DA3DFB">
              <w:rPr>
                <w:noProof/>
                <w:webHidden/>
              </w:rPr>
              <w:fldChar w:fldCharType="separate"/>
            </w:r>
            <w:r w:rsidR="00DA3DFB">
              <w:rPr>
                <w:noProof/>
                <w:webHidden/>
              </w:rPr>
              <w:t>21</w:t>
            </w:r>
            <w:r w:rsidR="00DA3DFB">
              <w:rPr>
                <w:noProof/>
                <w:webHidden/>
              </w:rPr>
              <w:fldChar w:fldCharType="end"/>
            </w:r>
          </w:hyperlink>
        </w:p>
        <w:p w:rsidR="00DA3DFB" w:rsidRDefault="00387594" w14:paraId="07CB73BD" w14:textId="2D9212AE">
          <w:pPr>
            <w:pStyle w:val="TOC2"/>
            <w:tabs>
              <w:tab w:val="left" w:pos="1440"/>
              <w:tab w:val="right" w:leader="dot" w:pos="10070"/>
            </w:tabs>
            <w:rPr>
              <w:rFonts w:asciiTheme="minorHAnsi" w:hAnsiTheme="minorHAnsi" w:eastAsiaTheme="minorEastAsia"/>
              <w:noProof/>
              <w:sz w:val="22"/>
            </w:rPr>
          </w:pPr>
          <w:hyperlink w:history="1" w:anchor="_Toc34984675">
            <w:r w:rsidRPr="001A1AD6" w:rsidR="00DA3DFB">
              <w:rPr>
                <w:rStyle w:val="Hyperlink"/>
                <w:noProof/>
              </w:rPr>
              <w:t>5(c)(i).</w:t>
            </w:r>
            <w:r w:rsidR="00DA3DFB">
              <w:rPr>
                <w:rFonts w:asciiTheme="minorHAnsi" w:hAnsiTheme="minorHAnsi" w:eastAsiaTheme="minorEastAsia"/>
                <w:noProof/>
                <w:sz w:val="22"/>
              </w:rPr>
              <w:tab/>
            </w:r>
            <w:r w:rsidRPr="001A1AD6" w:rsidR="00DA3DFB">
              <w:rPr>
                <w:rStyle w:val="Hyperlink"/>
                <w:noProof/>
              </w:rPr>
              <w:t>IC#1 CDR Reporting</w:t>
            </w:r>
            <w:r w:rsidR="00DA3DFB">
              <w:rPr>
                <w:noProof/>
                <w:webHidden/>
              </w:rPr>
              <w:tab/>
            </w:r>
            <w:r w:rsidR="00DA3DFB">
              <w:rPr>
                <w:noProof/>
                <w:webHidden/>
              </w:rPr>
              <w:fldChar w:fldCharType="begin"/>
            </w:r>
            <w:r w:rsidR="00DA3DFB">
              <w:rPr>
                <w:noProof/>
                <w:webHidden/>
              </w:rPr>
              <w:instrText xml:space="preserve"> PAGEREF _Toc34984675 \h </w:instrText>
            </w:r>
            <w:r w:rsidR="00DA3DFB">
              <w:rPr>
                <w:noProof/>
                <w:webHidden/>
              </w:rPr>
            </w:r>
            <w:r w:rsidR="00DA3DFB">
              <w:rPr>
                <w:noProof/>
                <w:webHidden/>
              </w:rPr>
              <w:fldChar w:fldCharType="separate"/>
            </w:r>
            <w:r w:rsidR="00DA3DFB">
              <w:rPr>
                <w:noProof/>
                <w:webHidden/>
              </w:rPr>
              <w:t>21</w:t>
            </w:r>
            <w:r w:rsidR="00DA3DFB">
              <w:rPr>
                <w:noProof/>
                <w:webHidden/>
              </w:rPr>
              <w:fldChar w:fldCharType="end"/>
            </w:r>
          </w:hyperlink>
        </w:p>
        <w:p w:rsidR="00DA3DFB" w:rsidRDefault="00387594" w14:paraId="2323D7ED" w14:textId="52A738F2">
          <w:pPr>
            <w:pStyle w:val="TOC1"/>
            <w:rPr>
              <w:rFonts w:asciiTheme="minorHAnsi" w:hAnsiTheme="minorHAnsi" w:eastAsiaTheme="minorEastAsia"/>
              <w:sz w:val="22"/>
            </w:rPr>
          </w:pPr>
          <w:hyperlink w:history="1" w:anchor="_Toc34984676">
            <w:r w:rsidRPr="001A1AD6" w:rsidR="00DA3DFB">
              <w:rPr>
                <w:rStyle w:val="Hyperlink"/>
              </w:rPr>
              <w:t>6.</w:t>
            </w:r>
            <w:r w:rsidR="00DA3DFB">
              <w:rPr>
                <w:rFonts w:asciiTheme="minorHAnsi" w:hAnsiTheme="minorHAnsi" w:eastAsiaTheme="minorEastAsia"/>
                <w:sz w:val="22"/>
              </w:rPr>
              <w:tab/>
            </w:r>
            <w:r w:rsidRPr="001A1AD6" w:rsidR="00DA3DFB">
              <w:rPr>
                <w:rStyle w:val="Hyperlink"/>
              </w:rPr>
              <w:t>PRA BURDEN STATEMENT</w:t>
            </w:r>
            <w:r w:rsidR="00DA3DFB">
              <w:rPr>
                <w:webHidden/>
              </w:rPr>
              <w:tab/>
            </w:r>
            <w:r w:rsidR="00DA3DFB">
              <w:rPr>
                <w:webHidden/>
              </w:rPr>
              <w:fldChar w:fldCharType="begin"/>
            </w:r>
            <w:r w:rsidR="00DA3DFB">
              <w:rPr>
                <w:webHidden/>
              </w:rPr>
              <w:instrText xml:space="preserve"> PAGEREF _Toc34984676 \h </w:instrText>
            </w:r>
            <w:r w:rsidR="00DA3DFB">
              <w:rPr>
                <w:webHidden/>
              </w:rPr>
            </w:r>
            <w:r w:rsidR="00DA3DFB">
              <w:rPr>
                <w:webHidden/>
              </w:rPr>
              <w:fldChar w:fldCharType="separate"/>
            </w:r>
            <w:r w:rsidR="00DA3DFB">
              <w:rPr>
                <w:webHidden/>
              </w:rPr>
              <w:t>23</w:t>
            </w:r>
            <w:r w:rsidR="00DA3DFB">
              <w:rPr>
                <w:webHidden/>
              </w:rPr>
              <w:fldChar w:fldCharType="end"/>
            </w:r>
          </w:hyperlink>
        </w:p>
        <w:p w:rsidR="00DA3DFB" w:rsidRDefault="00387594" w14:paraId="311F76C4" w14:textId="0B3349C4">
          <w:pPr>
            <w:pStyle w:val="TOC1"/>
            <w:rPr>
              <w:rFonts w:asciiTheme="minorHAnsi" w:hAnsiTheme="minorHAnsi" w:eastAsiaTheme="minorEastAsia"/>
              <w:sz w:val="22"/>
            </w:rPr>
          </w:pPr>
          <w:hyperlink w:history="1" w:anchor="_Toc34984677">
            <w:r w:rsidRPr="001A1AD6" w:rsidR="00DA3DFB">
              <w:rPr>
                <w:rStyle w:val="Hyperlink"/>
                <w:lang w:bidi="en-US"/>
              </w:rPr>
              <w:t>7.</w:t>
            </w:r>
            <w:r w:rsidR="00DA3DFB">
              <w:rPr>
                <w:rFonts w:asciiTheme="minorHAnsi" w:hAnsiTheme="minorHAnsi" w:eastAsiaTheme="minorEastAsia"/>
                <w:sz w:val="22"/>
              </w:rPr>
              <w:tab/>
            </w:r>
            <w:r w:rsidRPr="001A1AD6" w:rsidR="00DA3DFB">
              <w:rPr>
                <w:rStyle w:val="Hyperlink"/>
                <w:lang w:bidi="en-US"/>
              </w:rPr>
              <w:t>References</w:t>
            </w:r>
            <w:r w:rsidR="00DA3DFB">
              <w:rPr>
                <w:webHidden/>
              </w:rPr>
              <w:tab/>
            </w:r>
            <w:r w:rsidR="00DA3DFB">
              <w:rPr>
                <w:webHidden/>
              </w:rPr>
              <w:fldChar w:fldCharType="begin"/>
            </w:r>
            <w:r w:rsidR="00DA3DFB">
              <w:rPr>
                <w:webHidden/>
              </w:rPr>
              <w:instrText xml:space="preserve"> PAGEREF _Toc34984677 \h </w:instrText>
            </w:r>
            <w:r w:rsidR="00DA3DFB">
              <w:rPr>
                <w:webHidden/>
              </w:rPr>
            </w:r>
            <w:r w:rsidR="00DA3DFB">
              <w:rPr>
                <w:webHidden/>
              </w:rPr>
              <w:fldChar w:fldCharType="separate"/>
            </w:r>
            <w:r w:rsidR="00DA3DFB">
              <w:rPr>
                <w:webHidden/>
              </w:rPr>
              <w:t>25</w:t>
            </w:r>
            <w:r w:rsidR="00DA3DFB">
              <w:rPr>
                <w:webHidden/>
              </w:rPr>
              <w:fldChar w:fldCharType="end"/>
            </w:r>
          </w:hyperlink>
        </w:p>
        <w:p w:rsidR="00DA3DFB" w:rsidRDefault="00387594" w14:paraId="1F1C049D" w14:textId="239BF63D">
          <w:pPr>
            <w:pStyle w:val="TOC1"/>
            <w:rPr>
              <w:rFonts w:asciiTheme="minorHAnsi" w:hAnsiTheme="minorHAnsi" w:eastAsiaTheme="minorEastAsia"/>
              <w:sz w:val="22"/>
            </w:rPr>
          </w:pPr>
          <w:hyperlink w:history="1" w:anchor="_Toc34984678">
            <w:r w:rsidRPr="001A1AD6" w:rsidR="00DA3DFB">
              <w:rPr>
                <w:rStyle w:val="Hyperlink"/>
              </w:rPr>
              <w:t>Appendix A. Detailed Derivation of Agency Burden and Cost</w:t>
            </w:r>
            <w:r w:rsidR="00DA3DFB">
              <w:rPr>
                <w:webHidden/>
              </w:rPr>
              <w:tab/>
            </w:r>
            <w:r w:rsidR="00DA3DFB">
              <w:rPr>
                <w:webHidden/>
              </w:rPr>
              <w:fldChar w:fldCharType="begin"/>
            </w:r>
            <w:r w:rsidR="00DA3DFB">
              <w:rPr>
                <w:webHidden/>
              </w:rPr>
              <w:instrText xml:space="preserve"> PAGEREF _Toc34984678 \h </w:instrText>
            </w:r>
            <w:r w:rsidR="00DA3DFB">
              <w:rPr>
                <w:webHidden/>
              </w:rPr>
            </w:r>
            <w:r w:rsidR="00DA3DFB">
              <w:rPr>
                <w:webHidden/>
              </w:rPr>
              <w:fldChar w:fldCharType="separate"/>
            </w:r>
            <w:r w:rsidR="00DA3DFB">
              <w:rPr>
                <w:webHidden/>
              </w:rPr>
              <w:t>27</w:t>
            </w:r>
            <w:r w:rsidR="00DA3DFB">
              <w:rPr>
                <w:webHidden/>
              </w:rPr>
              <w:fldChar w:fldCharType="end"/>
            </w:r>
          </w:hyperlink>
        </w:p>
        <w:p w:rsidR="00DA3DFB" w:rsidRDefault="00387594" w14:paraId="10E9B27C" w14:textId="0C00AE45">
          <w:pPr>
            <w:pStyle w:val="TOC1"/>
            <w:rPr>
              <w:rFonts w:asciiTheme="minorHAnsi" w:hAnsiTheme="minorHAnsi" w:eastAsiaTheme="minorEastAsia"/>
              <w:sz w:val="22"/>
            </w:rPr>
          </w:pPr>
          <w:hyperlink w:history="1" w:anchor="_Toc34984679">
            <w:r w:rsidRPr="001A1AD6" w:rsidR="00DA3DFB">
              <w:rPr>
                <w:rStyle w:val="Hyperlink"/>
              </w:rPr>
              <w:t>Appendix B. Estimating Respondent Cost</w:t>
            </w:r>
            <w:r w:rsidR="00DA3DFB">
              <w:rPr>
                <w:webHidden/>
              </w:rPr>
              <w:tab/>
            </w:r>
            <w:r w:rsidR="00DA3DFB">
              <w:rPr>
                <w:webHidden/>
              </w:rPr>
              <w:fldChar w:fldCharType="begin"/>
            </w:r>
            <w:r w:rsidR="00DA3DFB">
              <w:rPr>
                <w:webHidden/>
              </w:rPr>
              <w:instrText xml:space="preserve"> PAGEREF _Toc34984679 \h </w:instrText>
            </w:r>
            <w:r w:rsidR="00DA3DFB">
              <w:rPr>
                <w:webHidden/>
              </w:rPr>
            </w:r>
            <w:r w:rsidR="00DA3DFB">
              <w:rPr>
                <w:webHidden/>
              </w:rPr>
              <w:fldChar w:fldCharType="separate"/>
            </w:r>
            <w:r w:rsidR="00DA3DFB">
              <w:rPr>
                <w:webHidden/>
              </w:rPr>
              <w:t>30</w:t>
            </w:r>
            <w:r w:rsidR="00DA3DFB">
              <w:rPr>
                <w:webHidden/>
              </w:rPr>
              <w:fldChar w:fldCharType="end"/>
            </w:r>
          </w:hyperlink>
        </w:p>
        <w:p w:rsidR="00DA3DFB" w:rsidRDefault="00387594" w14:paraId="70710268" w14:textId="0B5BC88A">
          <w:pPr>
            <w:pStyle w:val="TOC1"/>
            <w:rPr>
              <w:rFonts w:asciiTheme="minorHAnsi" w:hAnsiTheme="minorHAnsi" w:eastAsiaTheme="minorEastAsia"/>
              <w:sz w:val="22"/>
            </w:rPr>
          </w:pPr>
          <w:hyperlink w:history="1" w:anchor="_Toc34984680">
            <w:r w:rsidRPr="001A1AD6" w:rsidR="00DA3DFB">
              <w:rPr>
                <w:rStyle w:val="Hyperlink"/>
              </w:rPr>
              <w:t>Appendix C. Explanation of Sequential vs Parallel Calculation</w:t>
            </w:r>
            <w:r w:rsidR="00DA3DFB">
              <w:rPr>
                <w:webHidden/>
              </w:rPr>
              <w:tab/>
            </w:r>
            <w:r w:rsidR="00DA3DFB">
              <w:rPr>
                <w:webHidden/>
              </w:rPr>
              <w:fldChar w:fldCharType="begin"/>
            </w:r>
            <w:r w:rsidR="00DA3DFB">
              <w:rPr>
                <w:webHidden/>
              </w:rPr>
              <w:instrText xml:space="preserve"> PAGEREF _Toc34984680 \h </w:instrText>
            </w:r>
            <w:r w:rsidR="00DA3DFB">
              <w:rPr>
                <w:webHidden/>
              </w:rPr>
            </w:r>
            <w:r w:rsidR="00DA3DFB">
              <w:rPr>
                <w:webHidden/>
              </w:rPr>
              <w:fldChar w:fldCharType="separate"/>
            </w:r>
            <w:r w:rsidR="00DA3DFB">
              <w:rPr>
                <w:webHidden/>
              </w:rPr>
              <w:t>31</w:t>
            </w:r>
            <w:r w:rsidR="00DA3DFB">
              <w:rPr>
                <w:webHidden/>
              </w:rPr>
              <w:fldChar w:fldCharType="end"/>
            </w:r>
          </w:hyperlink>
        </w:p>
        <w:p w:rsidR="00DA3DFB" w:rsidRDefault="00387594" w14:paraId="3A7634EF" w14:textId="41D6FFFD">
          <w:pPr>
            <w:pStyle w:val="TOC1"/>
            <w:rPr>
              <w:rFonts w:asciiTheme="minorHAnsi" w:hAnsiTheme="minorHAnsi" w:eastAsiaTheme="minorEastAsia"/>
              <w:sz w:val="22"/>
            </w:rPr>
          </w:pPr>
          <w:hyperlink w:history="1" w:anchor="_Toc34984681">
            <w:r w:rsidRPr="001A1AD6" w:rsidR="00DA3DFB">
              <w:rPr>
                <w:rStyle w:val="Hyperlink"/>
              </w:rPr>
              <w:t>Attachment A. e-CDRweb reporting tool</w:t>
            </w:r>
            <w:r w:rsidR="00DA3DFB">
              <w:rPr>
                <w:webHidden/>
              </w:rPr>
              <w:tab/>
            </w:r>
            <w:r w:rsidR="00DA3DFB">
              <w:rPr>
                <w:webHidden/>
              </w:rPr>
              <w:fldChar w:fldCharType="begin"/>
            </w:r>
            <w:r w:rsidR="00DA3DFB">
              <w:rPr>
                <w:webHidden/>
              </w:rPr>
              <w:instrText xml:space="preserve"> PAGEREF _Toc34984681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63D9970E" w14:textId="43E9E045">
          <w:pPr>
            <w:pStyle w:val="TOC1"/>
            <w:rPr>
              <w:rFonts w:asciiTheme="minorHAnsi" w:hAnsiTheme="minorHAnsi" w:eastAsiaTheme="minorEastAsia"/>
              <w:sz w:val="22"/>
            </w:rPr>
          </w:pPr>
          <w:hyperlink w:history="1" w:anchor="_Toc34984682">
            <w:r w:rsidRPr="001A1AD6" w:rsidR="00DA3DFB">
              <w:rPr>
                <w:rStyle w:val="Hyperlink"/>
              </w:rPr>
              <w:t>A.1 Mock ups of e-CDRweb screen shots illustrating the changed reporting requirements</w:t>
            </w:r>
            <w:r w:rsidR="00DA3DFB">
              <w:rPr>
                <w:webHidden/>
              </w:rPr>
              <w:tab/>
            </w:r>
            <w:r w:rsidR="00DA3DFB">
              <w:rPr>
                <w:webHidden/>
              </w:rPr>
              <w:fldChar w:fldCharType="begin"/>
            </w:r>
            <w:r w:rsidR="00DA3DFB">
              <w:rPr>
                <w:webHidden/>
              </w:rPr>
              <w:instrText xml:space="preserve"> PAGEREF _Toc34984682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2D84D2F2" w14:textId="7E65F018">
          <w:pPr>
            <w:pStyle w:val="TOC1"/>
            <w:rPr>
              <w:rFonts w:asciiTheme="minorHAnsi" w:hAnsiTheme="minorHAnsi" w:eastAsiaTheme="minorEastAsia"/>
              <w:sz w:val="22"/>
            </w:rPr>
          </w:pPr>
          <w:hyperlink w:history="1" w:anchor="_Toc34984683">
            <w:r w:rsidRPr="001A1AD6" w:rsidR="00DA3DFB">
              <w:rPr>
                <w:rStyle w:val="Hyperlink"/>
              </w:rPr>
              <w:t>A.2 Example Print-out from e-CDRweb: Primary Form, Manufacturer Submission</w:t>
            </w:r>
            <w:r w:rsidR="00DA3DFB">
              <w:rPr>
                <w:webHidden/>
              </w:rPr>
              <w:tab/>
            </w:r>
            <w:r w:rsidR="00DA3DFB">
              <w:rPr>
                <w:webHidden/>
              </w:rPr>
              <w:fldChar w:fldCharType="begin"/>
            </w:r>
            <w:r w:rsidR="00DA3DFB">
              <w:rPr>
                <w:webHidden/>
              </w:rPr>
              <w:instrText xml:space="preserve"> PAGEREF _Toc34984683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5B9D661A" w14:textId="39A95B41">
          <w:pPr>
            <w:pStyle w:val="TOC1"/>
            <w:rPr>
              <w:rFonts w:asciiTheme="minorHAnsi" w:hAnsiTheme="minorHAnsi" w:eastAsiaTheme="minorEastAsia"/>
              <w:sz w:val="22"/>
            </w:rPr>
          </w:pPr>
          <w:hyperlink w:history="1" w:anchor="_Toc34984684">
            <w:r w:rsidRPr="001A1AD6" w:rsidR="00DA3DFB">
              <w:rPr>
                <w:rStyle w:val="Hyperlink"/>
              </w:rPr>
              <w:t>A.3 Example Print-out from e-CDRweb: Primary Form, Importer Submission</w:t>
            </w:r>
            <w:r w:rsidR="00DA3DFB">
              <w:rPr>
                <w:webHidden/>
              </w:rPr>
              <w:tab/>
            </w:r>
            <w:r w:rsidR="00DA3DFB">
              <w:rPr>
                <w:webHidden/>
              </w:rPr>
              <w:fldChar w:fldCharType="begin"/>
            </w:r>
            <w:r w:rsidR="00DA3DFB">
              <w:rPr>
                <w:webHidden/>
              </w:rPr>
              <w:instrText xml:space="preserve"> PAGEREF _Toc34984684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4062EBA1" w14:textId="30FC8234">
          <w:pPr>
            <w:pStyle w:val="TOC1"/>
            <w:rPr>
              <w:rFonts w:asciiTheme="minorHAnsi" w:hAnsiTheme="minorHAnsi" w:eastAsiaTheme="minorEastAsia"/>
              <w:sz w:val="22"/>
            </w:rPr>
          </w:pPr>
          <w:hyperlink w:history="1" w:anchor="_Toc34984685">
            <w:r w:rsidRPr="001A1AD6" w:rsidR="00DA3DFB">
              <w:rPr>
                <w:rStyle w:val="Hyperlink"/>
              </w:rPr>
              <w:t>A.4 Example Print-out from e-CDRweb: Primary Form, Co-Manufacturer – Contracting Company Submission</w:t>
            </w:r>
            <w:r w:rsidR="00DA3DFB">
              <w:rPr>
                <w:webHidden/>
              </w:rPr>
              <w:tab/>
            </w:r>
            <w:r w:rsidR="00DA3DFB">
              <w:rPr>
                <w:webHidden/>
              </w:rPr>
              <w:fldChar w:fldCharType="begin"/>
            </w:r>
            <w:r w:rsidR="00DA3DFB">
              <w:rPr>
                <w:webHidden/>
              </w:rPr>
              <w:instrText xml:space="preserve"> PAGEREF _Toc34984685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2DF666D1" w14:textId="037AF3F3">
          <w:pPr>
            <w:pStyle w:val="TOC1"/>
            <w:rPr>
              <w:rFonts w:asciiTheme="minorHAnsi" w:hAnsiTheme="minorHAnsi" w:eastAsiaTheme="minorEastAsia"/>
              <w:sz w:val="22"/>
            </w:rPr>
          </w:pPr>
          <w:hyperlink w:history="1" w:anchor="_Toc34984686">
            <w:r w:rsidRPr="001A1AD6" w:rsidR="00DA3DFB">
              <w:rPr>
                <w:rStyle w:val="Hyperlink"/>
              </w:rPr>
              <w:t>A.5 Example Print-out from e-CDRweb: Primary Form, Co-Manufacturer – Producing Company Submission</w:t>
            </w:r>
            <w:r w:rsidR="00DA3DFB">
              <w:rPr>
                <w:webHidden/>
              </w:rPr>
              <w:tab/>
            </w:r>
            <w:r w:rsidR="00DA3DFB">
              <w:rPr>
                <w:webHidden/>
              </w:rPr>
              <w:fldChar w:fldCharType="begin"/>
            </w:r>
            <w:r w:rsidR="00DA3DFB">
              <w:rPr>
                <w:webHidden/>
              </w:rPr>
              <w:instrText xml:space="preserve"> PAGEREF _Toc34984686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60D325E8" w14:textId="2CB65869">
          <w:pPr>
            <w:pStyle w:val="TOC1"/>
            <w:rPr>
              <w:rFonts w:asciiTheme="minorHAnsi" w:hAnsiTheme="minorHAnsi" w:eastAsiaTheme="minorEastAsia"/>
              <w:sz w:val="22"/>
            </w:rPr>
          </w:pPr>
          <w:hyperlink w:history="1" w:anchor="_Toc34984687">
            <w:r w:rsidRPr="001A1AD6" w:rsidR="00DA3DFB">
              <w:rPr>
                <w:rStyle w:val="Hyperlink"/>
              </w:rPr>
              <w:t>A.6 Example Print-out from e-CDRweb: Secondary Form, Secondary or Tertiary Submission</w:t>
            </w:r>
            <w:r w:rsidR="00DA3DFB">
              <w:rPr>
                <w:webHidden/>
              </w:rPr>
              <w:tab/>
            </w:r>
            <w:r w:rsidR="00DA3DFB">
              <w:rPr>
                <w:webHidden/>
              </w:rPr>
              <w:fldChar w:fldCharType="begin"/>
            </w:r>
            <w:r w:rsidR="00DA3DFB">
              <w:rPr>
                <w:webHidden/>
              </w:rPr>
              <w:instrText xml:space="preserve"> PAGEREF _Toc34984687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1F622826" w14:textId="6ED95067">
          <w:pPr>
            <w:pStyle w:val="TOC1"/>
            <w:rPr>
              <w:rFonts w:asciiTheme="minorHAnsi" w:hAnsiTheme="minorHAnsi" w:eastAsiaTheme="minorEastAsia"/>
              <w:sz w:val="22"/>
            </w:rPr>
          </w:pPr>
          <w:hyperlink w:history="1" w:anchor="_Toc34984688">
            <w:r w:rsidRPr="001A1AD6" w:rsidR="00DA3DFB">
              <w:rPr>
                <w:rStyle w:val="Hyperlink"/>
              </w:rPr>
              <w:t>A.7 Example Print-out from e-CDRweb: Secondary Form, Secondary Notification to a Tertiary</w:t>
            </w:r>
            <w:r w:rsidR="00DA3DFB">
              <w:rPr>
                <w:webHidden/>
              </w:rPr>
              <w:tab/>
            </w:r>
            <w:r w:rsidR="00DA3DFB">
              <w:rPr>
                <w:webHidden/>
              </w:rPr>
              <w:fldChar w:fldCharType="begin"/>
            </w:r>
            <w:r w:rsidR="00DA3DFB">
              <w:rPr>
                <w:webHidden/>
              </w:rPr>
              <w:instrText xml:space="preserve"> PAGEREF _Toc34984688 \h </w:instrText>
            </w:r>
            <w:r w:rsidR="00DA3DFB">
              <w:rPr>
                <w:webHidden/>
              </w:rPr>
            </w:r>
            <w:r w:rsidR="00DA3DFB">
              <w:rPr>
                <w:webHidden/>
              </w:rPr>
              <w:fldChar w:fldCharType="separate"/>
            </w:r>
            <w:r w:rsidR="00DA3DFB">
              <w:rPr>
                <w:webHidden/>
              </w:rPr>
              <w:t>33</w:t>
            </w:r>
            <w:r w:rsidR="00DA3DFB">
              <w:rPr>
                <w:webHidden/>
              </w:rPr>
              <w:fldChar w:fldCharType="end"/>
            </w:r>
          </w:hyperlink>
        </w:p>
        <w:p w:rsidR="00DA3DFB" w:rsidRDefault="00387594" w14:paraId="13AAFEBE" w14:textId="0CC60698">
          <w:pPr>
            <w:pStyle w:val="TOC1"/>
            <w:rPr>
              <w:rFonts w:asciiTheme="minorHAnsi" w:hAnsiTheme="minorHAnsi" w:eastAsiaTheme="minorEastAsia"/>
              <w:sz w:val="22"/>
            </w:rPr>
          </w:pPr>
          <w:hyperlink w:history="1" w:anchor="_Toc34984689">
            <w:r w:rsidRPr="001A1AD6" w:rsidR="00DA3DFB">
              <w:rPr>
                <w:rStyle w:val="Hyperlink"/>
              </w:rPr>
              <w:t>Attachment B. Instructions for Reporting</w:t>
            </w:r>
            <w:r w:rsidR="00DA3DFB">
              <w:rPr>
                <w:webHidden/>
              </w:rPr>
              <w:tab/>
            </w:r>
            <w:r w:rsidR="00DA3DFB">
              <w:rPr>
                <w:webHidden/>
              </w:rPr>
              <w:fldChar w:fldCharType="begin"/>
            </w:r>
            <w:r w:rsidR="00DA3DFB">
              <w:rPr>
                <w:webHidden/>
              </w:rPr>
              <w:instrText xml:space="preserve"> PAGEREF _Toc34984689 \h </w:instrText>
            </w:r>
            <w:r w:rsidR="00DA3DFB">
              <w:rPr>
                <w:webHidden/>
              </w:rPr>
            </w:r>
            <w:r w:rsidR="00DA3DFB">
              <w:rPr>
                <w:webHidden/>
              </w:rPr>
              <w:fldChar w:fldCharType="separate"/>
            </w:r>
            <w:r w:rsidR="00DA3DFB">
              <w:rPr>
                <w:webHidden/>
              </w:rPr>
              <w:t>33</w:t>
            </w:r>
            <w:r w:rsidR="00DA3DFB">
              <w:rPr>
                <w:webHidden/>
              </w:rPr>
              <w:fldChar w:fldCharType="end"/>
            </w:r>
          </w:hyperlink>
        </w:p>
        <w:p w:rsidRPr="007919E5" w:rsidR="0011790C" w:rsidP="00707599" w:rsidRDefault="00942996" w14:paraId="6A65C00D" w14:textId="2DE614FF">
          <w:pPr>
            <w:rPr>
              <w:rFonts w:cs="Arial"/>
              <w:sz w:val="20"/>
              <w:szCs w:val="20"/>
            </w:rPr>
          </w:pPr>
          <w:r>
            <w:rPr>
              <w:rFonts w:cs="Arial"/>
              <w:b/>
              <w:sz w:val="20"/>
              <w:szCs w:val="20"/>
            </w:rPr>
            <w:fldChar w:fldCharType="end"/>
          </w:r>
        </w:p>
      </w:sdtContent>
    </w:sdt>
    <w:p w:rsidR="00D15DBB" w:rsidP="00707599" w:rsidRDefault="00D15DBB" w14:paraId="4CDDFEF1" w14:textId="77777777"/>
    <w:p w:rsidRPr="00D15DBB" w:rsidR="00D15DBB" w:rsidP="00707599" w:rsidRDefault="00D15DBB" w14:paraId="7FA74AEA" w14:textId="33076753">
      <w:pPr>
        <w:rPr>
          <w:b/>
        </w:rPr>
      </w:pPr>
      <w:r w:rsidRPr="00D15DBB">
        <w:rPr>
          <w:b/>
        </w:rPr>
        <w:t>Tables</w:t>
      </w:r>
    </w:p>
    <w:p w:rsidRPr="00D15DBB" w:rsidR="00D15DBB" w:rsidP="00D15DBB" w:rsidRDefault="00D15DBB" w14:paraId="03C8378A" w14:textId="77777777">
      <w:pPr>
        <w:pStyle w:val="NoSpacing"/>
      </w:pPr>
    </w:p>
    <w:p w:rsidR="005938D0" w:rsidRDefault="00D15DBB" w14:paraId="203C2734" w14:textId="5DF3BF6C">
      <w:pPr>
        <w:pStyle w:val="TableofFigures"/>
        <w:tabs>
          <w:tab w:val="right" w:leader="dot" w:pos="10070"/>
        </w:tabs>
        <w:rPr>
          <w:rFonts w:asciiTheme="minorHAnsi" w:hAnsiTheme="minorHAnsi" w:eastAsiaTheme="minorEastAsia"/>
          <w:noProof/>
          <w:sz w:val="22"/>
        </w:rPr>
      </w:pPr>
      <w:r>
        <w:fldChar w:fldCharType="begin"/>
      </w:r>
      <w:r>
        <w:instrText xml:space="preserve"> TOC \h \z \c "Table" </w:instrText>
      </w:r>
      <w:r>
        <w:fldChar w:fldCharType="separate"/>
      </w:r>
      <w:hyperlink w:history="1" w:anchor="_Toc34230795">
        <w:r w:rsidRPr="004A5546" w:rsidR="005938D0">
          <w:rPr>
            <w:rStyle w:val="Hyperlink"/>
            <w:noProof/>
            <w:lang w:bidi="en-US"/>
          </w:rPr>
          <w:t xml:space="preserve">Table 1. 2016 – 2020 CDR Form U Crosswalk </w:t>
        </w:r>
        <w:r w:rsidR="005938D0">
          <w:rPr>
            <w:noProof/>
            <w:webHidden/>
          </w:rPr>
          <w:tab/>
        </w:r>
        <w:r w:rsidR="005938D0">
          <w:rPr>
            <w:noProof/>
            <w:webHidden/>
          </w:rPr>
          <w:fldChar w:fldCharType="begin"/>
        </w:r>
        <w:r w:rsidR="005938D0">
          <w:rPr>
            <w:noProof/>
            <w:webHidden/>
          </w:rPr>
          <w:instrText xml:space="preserve"> PAGEREF _Toc34230795 \h </w:instrText>
        </w:r>
        <w:r w:rsidR="005938D0">
          <w:rPr>
            <w:noProof/>
            <w:webHidden/>
          </w:rPr>
        </w:r>
        <w:r w:rsidR="005938D0">
          <w:rPr>
            <w:noProof/>
            <w:webHidden/>
          </w:rPr>
          <w:fldChar w:fldCharType="separate"/>
        </w:r>
        <w:r w:rsidR="005938D0">
          <w:rPr>
            <w:noProof/>
            <w:webHidden/>
          </w:rPr>
          <w:t>7</w:t>
        </w:r>
        <w:r w:rsidR="005938D0">
          <w:rPr>
            <w:noProof/>
            <w:webHidden/>
          </w:rPr>
          <w:fldChar w:fldCharType="end"/>
        </w:r>
      </w:hyperlink>
    </w:p>
    <w:p w:rsidR="005938D0" w:rsidRDefault="00387594" w14:paraId="3EB8BB80" w14:textId="30F7C281">
      <w:pPr>
        <w:pStyle w:val="TableofFigures"/>
        <w:tabs>
          <w:tab w:val="right" w:leader="dot" w:pos="10070"/>
        </w:tabs>
        <w:rPr>
          <w:rFonts w:asciiTheme="minorHAnsi" w:hAnsiTheme="minorHAnsi" w:eastAsiaTheme="minorEastAsia"/>
          <w:noProof/>
          <w:sz w:val="22"/>
        </w:rPr>
      </w:pPr>
      <w:hyperlink w:history="1" w:anchor="_Toc34230796">
        <w:r w:rsidRPr="004A5546" w:rsidR="005938D0">
          <w:rPr>
            <w:rStyle w:val="Hyperlink"/>
            <w:noProof/>
            <w:lang w:bidi="en-US"/>
          </w:rPr>
          <w:t>Table 2. Incremental Activity-Level Unit Burden per Four-Year Reporting Cycle, Experienced Reporters</w:t>
        </w:r>
        <w:r w:rsidR="005938D0">
          <w:rPr>
            <w:noProof/>
            <w:webHidden/>
          </w:rPr>
          <w:tab/>
        </w:r>
        <w:r w:rsidR="005938D0">
          <w:rPr>
            <w:noProof/>
            <w:webHidden/>
          </w:rPr>
          <w:fldChar w:fldCharType="begin"/>
        </w:r>
        <w:r w:rsidR="005938D0">
          <w:rPr>
            <w:noProof/>
            <w:webHidden/>
          </w:rPr>
          <w:instrText xml:space="preserve"> PAGEREF _Toc34230796 \h </w:instrText>
        </w:r>
        <w:r w:rsidR="005938D0">
          <w:rPr>
            <w:noProof/>
            <w:webHidden/>
          </w:rPr>
        </w:r>
        <w:r w:rsidR="005938D0">
          <w:rPr>
            <w:noProof/>
            <w:webHidden/>
          </w:rPr>
          <w:fldChar w:fldCharType="separate"/>
        </w:r>
        <w:r w:rsidR="005938D0">
          <w:rPr>
            <w:noProof/>
            <w:webHidden/>
          </w:rPr>
          <w:t>17</w:t>
        </w:r>
        <w:r w:rsidR="005938D0">
          <w:rPr>
            <w:noProof/>
            <w:webHidden/>
          </w:rPr>
          <w:fldChar w:fldCharType="end"/>
        </w:r>
      </w:hyperlink>
    </w:p>
    <w:p w:rsidR="005938D0" w:rsidRDefault="00387594" w14:paraId="4FFDED86" w14:textId="092AE21A">
      <w:pPr>
        <w:pStyle w:val="TableofFigures"/>
        <w:tabs>
          <w:tab w:val="right" w:leader="dot" w:pos="10070"/>
        </w:tabs>
        <w:rPr>
          <w:rFonts w:asciiTheme="minorHAnsi" w:hAnsiTheme="minorHAnsi" w:eastAsiaTheme="minorEastAsia"/>
          <w:noProof/>
          <w:sz w:val="22"/>
        </w:rPr>
      </w:pPr>
      <w:hyperlink w:history="1" w:anchor="_Toc34230797">
        <w:r w:rsidRPr="004A5546" w:rsidR="005938D0">
          <w:rPr>
            <w:rStyle w:val="Hyperlink"/>
            <w:noProof/>
            <w:lang w:bidi="en-US"/>
          </w:rPr>
          <w:t>Table 3: Reportable Data Elements and CBI Substantiation Incremental Burden, Experienced and New Reporters, Four-Year Cycle, Industry and Government</w:t>
        </w:r>
        <w:r w:rsidR="005938D0">
          <w:rPr>
            <w:noProof/>
            <w:webHidden/>
          </w:rPr>
          <w:tab/>
        </w:r>
        <w:r w:rsidR="005938D0">
          <w:rPr>
            <w:noProof/>
            <w:webHidden/>
          </w:rPr>
          <w:fldChar w:fldCharType="begin"/>
        </w:r>
        <w:r w:rsidR="005938D0">
          <w:rPr>
            <w:noProof/>
            <w:webHidden/>
          </w:rPr>
          <w:instrText xml:space="preserve"> PAGEREF _Toc34230797 \h </w:instrText>
        </w:r>
        <w:r w:rsidR="005938D0">
          <w:rPr>
            <w:noProof/>
            <w:webHidden/>
          </w:rPr>
        </w:r>
        <w:r w:rsidR="005938D0">
          <w:rPr>
            <w:noProof/>
            <w:webHidden/>
          </w:rPr>
          <w:fldChar w:fldCharType="separate"/>
        </w:r>
        <w:r w:rsidR="005938D0">
          <w:rPr>
            <w:noProof/>
            <w:webHidden/>
          </w:rPr>
          <w:t>18</w:t>
        </w:r>
        <w:r w:rsidR="005938D0">
          <w:rPr>
            <w:noProof/>
            <w:webHidden/>
          </w:rPr>
          <w:fldChar w:fldCharType="end"/>
        </w:r>
      </w:hyperlink>
    </w:p>
    <w:p w:rsidR="005938D0" w:rsidRDefault="00387594" w14:paraId="5B8E0738" w14:textId="35E1CA9C">
      <w:pPr>
        <w:pStyle w:val="TableofFigures"/>
        <w:tabs>
          <w:tab w:val="right" w:leader="dot" w:pos="10070"/>
        </w:tabs>
        <w:rPr>
          <w:rFonts w:asciiTheme="minorHAnsi" w:hAnsiTheme="minorHAnsi" w:eastAsiaTheme="minorEastAsia"/>
          <w:noProof/>
          <w:sz w:val="22"/>
        </w:rPr>
      </w:pPr>
      <w:hyperlink w:history="1" w:anchor="_Toc34230798">
        <w:r w:rsidRPr="004A5546" w:rsidR="005938D0">
          <w:rPr>
            <w:rStyle w:val="Hyperlink"/>
            <w:noProof/>
            <w:lang w:bidi="en-US"/>
          </w:rPr>
          <w:t>Table 4: Byproduct Exemptions Incremental Burden, Experienced and New Reporters, Four-Year Cycle, Industry and Government</w:t>
        </w:r>
        <w:r w:rsidR="005938D0">
          <w:rPr>
            <w:noProof/>
            <w:webHidden/>
          </w:rPr>
          <w:tab/>
        </w:r>
        <w:r w:rsidR="005938D0">
          <w:rPr>
            <w:noProof/>
            <w:webHidden/>
          </w:rPr>
          <w:fldChar w:fldCharType="begin"/>
        </w:r>
        <w:r w:rsidR="005938D0">
          <w:rPr>
            <w:noProof/>
            <w:webHidden/>
          </w:rPr>
          <w:instrText xml:space="preserve"> PAGEREF _Toc34230798 \h </w:instrText>
        </w:r>
        <w:r w:rsidR="005938D0">
          <w:rPr>
            <w:noProof/>
            <w:webHidden/>
          </w:rPr>
        </w:r>
        <w:r w:rsidR="005938D0">
          <w:rPr>
            <w:noProof/>
            <w:webHidden/>
          </w:rPr>
          <w:fldChar w:fldCharType="separate"/>
        </w:r>
        <w:r w:rsidR="005938D0">
          <w:rPr>
            <w:noProof/>
            <w:webHidden/>
          </w:rPr>
          <w:t>20</w:t>
        </w:r>
        <w:r w:rsidR="005938D0">
          <w:rPr>
            <w:noProof/>
            <w:webHidden/>
          </w:rPr>
          <w:fldChar w:fldCharType="end"/>
        </w:r>
      </w:hyperlink>
    </w:p>
    <w:p w:rsidR="005938D0" w:rsidRDefault="00387594" w14:paraId="72B7CB81" w14:textId="4322E692">
      <w:pPr>
        <w:pStyle w:val="TableofFigures"/>
        <w:tabs>
          <w:tab w:val="right" w:leader="dot" w:pos="10070"/>
        </w:tabs>
        <w:rPr>
          <w:rFonts w:asciiTheme="minorHAnsi" w:hAnsiTheme="minorHAnsi" w:eastAsiaTheme="minorEastAsia"/>
          <w:noProof/>
          <w:sz w:val="22"/>
        </w:rPr>
      </w:pPr>
      <w:hyperlink w:history="1" w:anchor="_Toc34230799">
        <w:r w:rsidRPr="004A5546" w:rsidR="005938D0">
          <w:rPr>
            <w:rStyle w:val="Hyperlink"/>
            <w:noProof/>
            <w:lang w:bidi="en-US"/>
          </w:rPr>
          <w:t>Table 5: Incremental Unit Burden and Cost per Site, Four-Year Cycle, Experienced and New Reporters, Industry and Government</w:t>
        </w:r>
        <w:r w:rsidR="005938D0">
          <w:rPr>
            <w:noProof/>
            <w:webHidden/>
          </w:rPr>
          <w:tab/>
        </w:r>
        <w:r w:rsidR="005938D0">
          <w:rPr>
            <w:noProof/>
            <w:webHidden/>
          </w:rPr>
          <w:fldChar w:fldCharType="begin"/>
        </w:r>
        <w:r w:rsidR="005938D0">
          <w:rPr>
            <w:noProof/>
            <w:webHidden/>
          </w:rPr>
          <w:instrText xml:space="preserve"> PAGEREF _Toc34230799 \h </w:instrText>
        </w:r>
        <w:r w:rsidR="005938D0">
          <w:rPr>
            <w:noProof/>
            <w:webHidden/>
          </w:rPr>
        </w:r>
        <w:r w:rsidR="005938D0">
          <w:rPr>
            <w:noProof/>
            <w:webHidden/>
          </w:rPr>
          <w:fldChar w:fldCharType="separate"/>
        </w:r>
        <w:r w:rsidR="005938D0">
          <w:rPr>
            <w:noProof/>
            <w:webHidden/>
          </w:rPr>
          <w:t>20</w:t>
        </w:r>
        <w:r w:rsidR="005938D0">
          <w:rPr>
            <w:noProof/>
            <w:webHidden/>
          </w:rPr>
          <w:fldChar w:fldCharType="end"/>
        </w:r>
      </w:hyperlink>
    </w:p>
    <w:p w:rsidR="005938D0" w:rsidRDefault="00387594" w14:paraId="1006FDBD" w14:textId="3D964D69">
      <w:pPr>
        <w:pStyle w:val="TableofFigures"/>
        <w:tabs>
          <w:tab w:val="right" w:leader="dot" w:pos="10070"/>
        </w:tabs>
        <w:rPr>
          <w:rFonts w:asciiTheme="minorHAnsi" w:hAnsiTheme="minorHAnsi" w:eastAsiaTheme="minorEastAsia"/>
          <w:noProof/>
          <w:sz w:val="22"/>
        </w:rPr>
      </w:pPr>
      <w:hyperlink w:history="1" w:anchor="_Toc34230800">
        <w:r w:rsidRPr="004A5546" w:rsidR="005938D0">
          <w:rPr>
            <w:rStyle w:val="Hyperlink"/>
            <w:noProof/>
            <w:lang w:bidi="en-US"/>
          </w:rPr>
          <w:t>Table 6: Change in Sites and Chemical Reports</w:t>
        </w:r>
        <w:r w:rsidR="005938D0">
          <w:rPr>
            <w:noProof/>
            <w:webHidden/>
          </w:rPr>
          <w:tab/>
        </w:r>
        <w:r w:rsidR="005938D0">
          <w:rPr>
            <w:noProof/>
            <w:webHidden/>
          </w:rPr>
          <w:fldChar w:fldCharType="begin"/>
        </w:r>
        <w:r w:rsidR="005938D0">
          <w:rPr>
            <w:noProof/>
            <w:webHidden/>
          </w:rPr>
          <w:instrText xml:space="preserve"> PAGEREF _Toc34230800 \h </w:instrText>
        </w:r>
        <w:r w:rsidR="005938D0">
          <w:rPr>
            <w:noProof/>
            <w:webHidden/>
          </w:rPr>
        </w:r>
        <w:r w:rsidR="005938D0">
          <w:rPr>
            <w:noProof/>
            <w:webHidden/>
          </w:rPr>
          <w:fldChar w:fldCharType="separate"/>
        </w:r>
        <w:r w:rsidR="005938D0">
          <w:rPr>
            <w:noProof/>
            <w:webHidden/>
          </w:rPr>
          <w:t>21</w:t>
        </w:r>
        <w:r w:rsidR="005938D0">
          <w:rPr>
            <w:noProof/>
            <w:webHidden/>
          </w:rPr>
          <w:fldChar w:fldCharType="end"/>
        </w:r>
      </w:hyperlink>
    </w:p>
    <w:p w:rsidR="005938D0" w:rsidRDefault="00387594" w14:paraId="77410875" w14:textId="62BC9C58">
      <w:pPr>
        <w:pStyle w:val="TableofFigures"/>
        <w:tabs>
          <w:tab w:val="right" w:leader="dot" w:pos="10070"/>
        </w:tabs>
        <w:rPr>
          <w:rFonts w:asciiTheme="minorHAnsi" w:hAnsiTheme="minorHAnsi" w:eastAsiaTheme="minorEastAsia"/>
          <w:noProof/>
          <w:sz w:val="22"/>
        </w:rPr>
      </w:pPr>
      <w:hyperlink w:history="1" w:anchor="_Toc34230801">
        <w:r w:rsidRPr="004A5546" w:rsidR="005938D0">
          <w:rPr>
            <w:rStyle w:val="Hyperlink"/>
            <w:noProof/>
            <w:lang w:bidi="en-US"/>
          </w:rPr>
          <w:t>Table 7: CDR Revisions Incremental Reporting Burden and Cost for Four Year-Reporting Cycle, New and Experienced Reporters</w:t>
        </w:r>
        <w:r w:rsidR="005938D0">
          <w:rPr>
            <w:noProof/>
            <w:webHidden/>
          </w:rPr>
          <w:tab/>
        </w:r>
        <w:r w:rsidR="005938D0">
          <w:rPr>
            <w:noProof/>
            <w:webHidden/>
          </w:rPr>
          <w:fldChar w:fldCharType="begin"/>
        </w:r>
        <w:r w:rsidR="005938D0">
          <w:rPr>
            <w:noProof/>
            <w:webHidden/>
          </w:rPr>
          <w:instrText xml:space="preserve"> PAGEREF _Toc34230801 \h </w:instrText>
        </w:r>
        <w:r w:rsidR="005938D0">
          <w:rPr>
            <w:noProof/>
            <w:webHidden/>
          </w:rPr>
        </w:r>
        <w:r w:rsidR="005938D0">
          <w:rPr>
            <w:noProof/>
            <w:webHidden/>
          </w:rPr>
          <w:fldChar w:fldCharType="separate"/>
        </w:r>
        <w:r w:rsidR="005938D0">
          <w:rPr>
            <w:noProof/>
            <w:webHidden/>
          </w:rPr>
          <w:t>21</w:t>
        </w:r>
        <w:r w:rsidR="005938D0">
          <w:rPr>
            <w:noProof/>
            <w:webHidden/>
          </w:rPr>
          <w:fldChar w:fldCharType="end"/>
        </w:r>
      </w:hyperlink>
    </w:p>
    <w:p w:rsidR="005938D0" w:rsidRDefault="00387594" w14:paraId="14EE77AD" w14:textId="6E529999">
      <w:pPr>
        <w:pStyle w:val="TableofFigures"/>
        <w:tabs>
          <w:tab w:val="right" w:leader="dot" w:pos="10070"/>
        </w:tabs>
        <w:rPr>
          <w:rFonts w:asciiTheme="minorHAnsi" w:hAnsiTheme="minorHAnsi" w:eastAsiaTheme="minorEastAsia"/>
          <w:noProof/>
          <w:sz w:val="22"/>
        </w:rPr>
      </w:pPr>
      <w:hyperlink w:history="1" w:anchor="_Toc34230802">
        <w:r w:rsidRPr="004A5546" w:rsidR="005938D0">
          <w:rPr>
            <w:rStyle w:val="Hyperlink"/>
            <w:noProof/>
            <w:lang w:bidi="en-US"/>
          </w:rPr>
          <w:t>Table 8: Annual Average and Overall Incremental Burden and Cost for the ICR Renewal Period</w:t>
        </w:r>
        <w:r w:rsidR="005938D0">
          <w:rPr>
            <w:noProof/>
            <w:webHidden/>
          </w:rPr>
          <w:tab/>
        </w:r>
        <w:r w:rsidR="005938D0">
          <w:rPr>
            <w:noProof/>
            <w:webHidden/>
          </w:rPr>
          <w:fldChar w:fldCharType="begin"/>
        </w:r>
        <w:r w:rsidR="005938D0">
          <w:rPr>
            <w:noProof/>
            <w:webHidden/>
          </w:rPr>
          <w:instrText xml:space="preserve"> PAGEREF _Toc34230802 \h </w:instrText>
        </w:r>
        <w:r w:rsidR="005938D0">
          <w:rPr>
            <w:noProof/>
            <w:webHidden/>
          </w:rPr>
        </w:r>
        <w:r w:rsidR="005938D0">
          <w:rPr>
            <w:noProof/>
            <w:webHidden/>
          </w:rPr>
          <w:fldChar w:fldCharType="separate"/>
        </w:r>
        <w:r w:rsidR="005938D0">
          <w:rPr>
            <w:noProof/>
            <w:webHidden/>
          </w:rPr>
          <w:t>22</w:t>
        </w:r>
        <w:r w:rsidR="005938D0">
          <w:rPr>
            <w:noProof/>
            <w:webHidden/>
          </w:rPr>
          <w:fldChar w:fldCharType="end"/>
        </w:r>
      </w:hyperlink>
    </w:p>
    <w:p w:rsidR="005938D0" w:rsidRDefault="00387594" w14:paraId="1B71F567" w14:textId="5B7315C7">
      <w:pPr>
        <w:pStyle w:val="TableofFigures"/>
        <w:tabs>
          <w:tab w:val="right" w:leader="dot" w:pos="10070"/>
        </w:tabs>
        <w:rPr>
          <w:rFonts w:asciiTheme="minorHAnsi" w:hAnsiTheme="minorHAnsi" w:eastAsiaTheme="minorEastAsia"/>
          <w:noProof/>
          <w:sz w:val="22"/>
        </w:rPr>
      </w:pPr>
      <w:hyperlink w:history="1" w:anchor="_Toc34230803">
        <w:r w:rsidRPr="004A5546" w:rsidR="005938D0">
          <w:rPr>
            <w:rStyle w:val="Hyperlink"/>
            <w:noProof/>
            <w:lang w:bidi="en-US"/>
          </w:rPr>
          <w:t>Table 9: Reasons for Change in Burden (Annual)</w:t>
        </w:r>
        <w:r w:rsidR="005938D0">
          <w:rPr>
            <w:noProof/>
            <w:webHidden/>
          </w:rPr>
          <w:tab/>
        </w:r>
        <w:r w:rsidR="005938D0">
          <w:rPr>
            <w:noProof/>
            <w:webHidden/>
          </w:rPr>
          <w:fldChar w:fldCharType="begin"/>
        </w:r>
        <w:r w:rsidR="005938D0">
          <w:rPr>
            <w:noProof/>
            <w:webHidden/>
          </w:rPr>
          <w:instrText xml:space="preserve"> PAGEREF _Toc34230803 \h </w:instrText>
        </w:r>
        <w:r w:rsidR="005938D0">
          <w:rPr>
            <w:noProof/>
            <w:webHidden/>
          </w:rPr>
        </w:r>
        <w:r w:rsidR="005938D0">
          <w:rPr>
            <w:noProof/>
            <w:webHidden/>
          </w:rPr>
          <w:fldChar w:fldCharType="separate"/>
        </w:r>
        <w:r w:rsidR="005938D0">
          <w:rPr>
            <w:noProof/>
            <w:webHidden/>
          </w:rPr>
          <w:t>23</w:t>
        </w:r>
        <w:r w:rsidR="005938D0">
          <w:rPr>
            <w:noProof/>
            <w:webHidden/>
          </w:rPr>
          <w:fldChar w:fldCharType="end"/>
        </w:r>
      </w:hyperlink>
    </w:p>
    <w:p w:rsidRPr="00D15DBB" w:rsidR="00D15DBB" w:rsidP="00D15DBB" w:rsidRDefault="00D15DBB" w14:paraId="08F12D75" w14:textId="26EEA321">
      <w:pPr>
        <w:pStyle w:val="NoSpacing"/>
        <w:ind w:left="450" w:hanging="450"/>
      </w:pPr>
      <w:r>
        <w:fldChar w:fldCharType="end"/>
      </w:r>
    </w:p>
    <w:p w:rsidR="00C6198C" w:rsidP="00C6198C" w:rsidRDefault="00D15DBB" w14:paraId="278B7471" w14:textId="29CB4EA2">
      <w:pPr>
        <w:pStyle w:val="TableofFigures"/>
        <w:tabs>
          <w:tab w:val="right" w:leader="dot" w:pos="10070"/>
        </w:tabs>
        <w:ind w:left="360" w:hanging="360"/>
        <w:rPr>
          <w:rFonts w:asciiTheme="minorHAnsi" w:hAnsiTheme="minorHAnsi" w:eastAsiaTheme="minorEastAsia"/>
          <w:noProof/>
          <w:sz w:val="22"/>
        </w:rPr>
      </w:pPr>
      <w:r>
        <w:fldChar w:fldCharType="begin"/>
      </w:r>
      <w:r>
        <w:instrText xml:space="preserve"> TOC \h \z \c "Table_Apx" </w:instrText>
      </w:r>
      <w:r>
        <w:fldChar w:fldCharType="separate"/>
      </w:r>
      <w:hyperlink w:history="1" w:anchor="_Toc24464126">
        <w:r w:rsidRPr="00133CD9" w:rsidR="00C6198C">
          <w:rPr>
            <w:rStyle w:val="Hyperlink"/>
            <w:noProof/>
            <w:lang w:bidi="en-US"/>
          </w:rPr>
          <w:t>Table A</w:t>
        </w:r>
        <w:r w:rsidRPr="00133CD9" w:rsidR="00C6198C">
          <w:rPr>
            <w:rStyle w:val="Hyperlink"/>
            <w:noProof/>
            <w:lang w:bidi="en-US"/>
          </w:rPr>
          <w:noBreakHyphen/>
          <w:t>1: Agency Wage Rate (2018$)</w:t>
        </w:r>
        <w:r w:rsidR="00C6198C">
          <w:rPr>
            <w:noProof/>
            <w:webHidden/>
          </w:rPr>
          <w:tab/>
        </w:r>
        <w:r w:rsidR="00C6198C">
          <w:rPr>
            <w:noProof/>
            <w:webHidden/>
          </w:rPr>
          <w:fldChar w:fldCharType="begin"/>
        </w:r>
        <w:r w:rsidR="00C6198C">
          <w:rPr>
            <w:noProof/>
            <w:webHidden/>
          </w:rPr>
          <w:instrText xml:space="preserve"> PAGEREF _Toc24464126 \h </w:instrText>
        </w:r>
        <w:r w:rsidR="00C6198C">
          <w:rPr>
            <w:noProof/>
            <w:webHidden/>
          </w:rPr>
        </w:r>
        <w:r w:rsidR="00C6198C">
          <w:rPr>
            <w:noProof/>
            <w:webHidden/>
          </w:rPr>
          <w:fldChar w:fldCharType="separate"/>
        </w:r>
        <w:r w:rsidR="00EC4095">
          <w:rPr>
            <w:noProof/>
            <w:webHidden/>
          </w:rPr>
          <w:t>25</w:t>
        </w:r>
        <w:r w:rsidR="00C6198C">
          <w:rPr>
            <w:noProof/>
            <w:webHidden/>
          </w:rPr>
          <w:fldChar w:fldCharType="end"/>
        </w:r>
      </w:hyperlink>
    </w:p>
    <w:p w:rsidR="00C6198C" w:rsidP="00C6198C" w:rsidRDefault="00387594" w14:paraId="2BFECA0D" w14:textId="77945951">
      <w:pPr>
        <w:pStyle w:val="TableofFigures"/>
        <w:tabs>
          <w:tab w:val="right" w:leader="dot" w:pos="10070"/>
        </w:tabs>
        <w:ind w:left="360" w:hanging="360"/>
        <w:rPr>
          <w:rFonts w:asciiTheme="minorHAnsi" w:hAnsiTheme="minorHAnsi" w:eastAsiaTheme="minorEastAsia"/>
          <w:noProof/>
          <w:sz w:val="22"/>
        </w:rPr>
      </w:pPr>
      <w:hyperlink w:history="1" w:anchor="_Toc24464127">
        <w:r w:rsidRPr="00133CD9" w:rsidR="00C6198C">
          <w:rPr>
            <w:rStyle w:val="Hyperlink"/>
            <w:noProof/>
            <w:lang w:bidi="en-US"/>
          </w:rPr>
          <w:t>Table A</w:t>
        </w:r>
        <w:r w:rsidRPr="00133CD9" w:rsidR="00C6198C">
          <w:rPr>
            <w:rStyle w:val="Hyperlink"/>
            <w:noProof/>
            <w:lang w:bidi="en-US"/>
          </w:rPr>
          <w:noBreakHyphen/>
          <w:t xml:space="preserve">2: EPA Staff Burden and Cost of Processing Reports per Four-Year </w:t>
        </w:r>
        <w:r w:rsidR="00C6198C">
          <w:rPr>
            <w:rStyle w:val="Hyperlink"/>
            <w:noProof/>
            <w:lang w:bidi="en-US"/>
          </w:rPr>
          <w:br/>
        </w:r>
        <w:r w:rsidRPr="00133CD9" w:rsidR="00C6198C">
          <w:rPr>
            <w:rStyle w:val="Hyperlink"/>
            <w:noProof/>
            <w:lang w:bidi="en-US"/>
          </w:rPr>
          <w:t>Reporting Cycle:</w:t>
        </w:r>
        <w:r w:rsidR="00C6198C">
          <w:rPr>
            <w:noProof/>
            <w:webHidden/>
          </w:rPr>
          <w:tab/>
        </w:r>
        <w:r w:rsidR="00C6198C">
          <w:rPr>
            <w:noProof/>
            <w:webHidden/>
          </w:rPr>
          <w:fldChar w:fldCharType="begin"/>
        </w:r>
        <w:r w:rsidR="00C6198C">
          <w:rPr>
            <w:noProof/>
            <w:webHidden/>
          </w:rPr>
          <w:instrText xml:space="preserve"> PAGEREF _Toc24464127 \h </w:instrText>
        </w:r>
        <w:r w:rsidR="00C6198C">
          <w:rPr>
            <w:noProof/>
            <w:webHidden/>
          </w:rPr>
        </w:r>
        <w:r w:rsidR="00C6198C">
          <w:rPr>
            <w:noProof/>
            <w:webHidden/>
          </w:rPr>
          <w:fldChar w:fldCharType="separate"/>
        </w:r>
        <w:r w:rsidR="00EC4095">
          <w:rPr>
            <w:noProof/>
            <w:webHidden/>
          </w:rPr>
          <w:t>26</w:t>
        </w:r>
        <w:r w:rsidR="00C6198C">
          <w:rPr>
            <w:noProof/>
            <w:webHidden/>
          </w:rPr>
          <w:fldChar w:fldCharType="end"/>
        </w:r>
      </w:hyperlink>
    </w:p>
    <w:p w:rsidR="00C6198C" w:rsidP="00C6198C" w:rsidRDefault="00387594" w14:paraId="689A14A2" w14:textId="792D777C">
      <w:pPr>
        <w:pStyle w:val="TableofFigures"/>
        <w:tabs>
          <w:tab w:val="right" w:leader="dot" w:pos="10070"/>
        </w:tabs>
        <w:ind w:left="360" w:hanging="360"/>
        <w:rPr>
          <w:rFonts w:asciiTheme="minorHAnsi" w:hAnsiTheme="minorHAnsi" w:eastAsiaTheme="minorEastAsia"/>
          <w:noProof/>
          <w:sz w:val="22"/>
        </w:rPr>
      </w:pPr>
      <w:hyperlink w:history="1" w:anchor="_Toc24464128">
        <w:r w:rsidRPr="00133CD9" w:rsidR="00C6198C">
          <w:rPr>
            <w:rStyle w:val="Hyperlink"/>
            <w:noProof/>
            <w:lang w:bidi="en-US"/>
          </w:rPr>
          <w:t>Table A</w:t>
        </w:r>
        <w:r w:rsidRPr="00133CD9" w:rsidR="00C6198C">
          <w:rPr>
            <w:rStyle w:val="Hyperlink"/>
            <w:noProof/>
            <w:lang w:bidi="en-US"/>
          </w:rPr>
          <w:noBreakHyphen/>
          <w:t>3: Unit Cost of Contractor Activities for Four-Year Reporting Cycle</w:t>
        </w:r>
        <w:r w:rsidR="00C6198C">
          <w:rPr>
            <w:noProof/>
            <w:webHidden/>
          </w:rPr>
          <w:tab/>
        </w:r>
        <w:r w:rsidR="00C6198C">
          <w:rPr>
            <w:noProof/>
            <w:webHidden/>
          </w:rPr>
          <w:fldChar w:fldCharType="begin"/>
        </w:r>
        <w:r w:rsidR="00C6198C">
          <w:rPr>
            <w:noProof/>
            <w:webHidden/>
          </w:rPr>
          <w:instrText xml:space="preserve"> PAGEREF _Toc24464128 \h </w:instrText>
        </w:r>
        <w:r w:rsidR="00C6198C">
          <w:rPr>
            <w:noProof/>
            <w:webHidden/>
          </w:rPr>
        </w:r>
        <w:r w:rsidR="00C6198C">
          <w:rPr>
            <w:noProof/>
            <w:webHidden/>
          </w:rPr>
          <w:fldChar w:fldCharType="separate"/>
        </w:r>
        <w:r w:rsidR="00EC4095">
          <w:rPr>
            <w:noProof/>
            <w:webHidden/>
          </w:rPr>
          <w:t>26</w:t>
        </w:r>
        <w:r w:rsidR="00C6198C">
          <w:rPr>
            <w:noProof/>
            <w:webHidden/>
          </w:rPr>
          <w:fldChar w:fldCharType="end"/>
        </w:r>
      </w:hyperlink>
    </w:p>
    <w:p w:rsidR="00C6198C" w:rsidP="00C6198C" w:rsidRDefault="00387594" w14:paraId="7A1688BA" w14:textId="604DBFB0">
      <w:pPr>
        <w:pStyle w:val="TableofFigures"/>
        <w:tabs>
          <w:tab w:val="right" w:leader="dot" w:pos="10070"/>
        </w:tabs>
        <w:ind w:left="360" w:hanging="360"/>
        <w:rPr>
          <w:rFonts w:asciiTheme="minorHAnsi" w:hAnsiTheme="minorHAnsi" w:eastAsiaTheme="minorEastAsia"/>
          <w:noProof/>
          <w:sz w:val="22"/>
        </w:rPr>
      </w:pPr>
      <w:hyperlink w:history="1" w:anchor="_Toc24464129">
        <w:r w:rsidRPr="00133CD9" w:rsidR="00C6198C">
          <w:rPr>
            <w:rStyle w:val="Hyperlink"/>
            <w:noProof/>
            <w:lang w:bidi="en-US"/>
          </w:rPr>
          <w:t>Table A</w:t>
        </w:r>
        <w:r w:rsidRPr="00133CD9" w:rsidR="00C6198C">
          <w:rPr>
            <w:rStyle w:val="Hyperlink"/>
            <w:noProof/>
            <w:lang w:bidi="en-US"/>
          </w:rPr>
          <w:noBreakHyphen/>
          <w:t>4: Incremental Agency Burden and Cost of CDR Revisions, Four-Year Cycle</w:t>
        </w:r>
        <w:r w:rsidR="00C6198C">
          <w:rPr>
            <w:noProof/>
            <w:webHidden/>
          </w:rPr>
          <w:tab/>
        </w:r>
        <w:r w:rsidR="00C6198C">
          <w:rPr>
            <w:noProof/>
            <w:webHidden/>
          </w:rPr>
          <w:fldChar w:fldCharType="begin"/>
        </w:r>
        <w:r w:rsidR="00C6198C">
          <w:rPr>
            <w:noProof/>
            <w:webHidden/>
          </w:rPr>
          <w:instrText xml:space="preserve"> PAGEREF _Toc24464129 \h </w:instrText>
        </w:r>
        <w:r w:rsidR="00C6198C">
          <w:rPr>
            <w:noProof/>
            <w:webHidden/>
          </w:rPr>
        </w:r>
        <w:r w:rsidR="00C6198C">
          <w:rPr>
            <w:noProof/>
            <w:webHidden/>
          </w:rPr>
          <w:fldChar w:fldCharType="separate"/>
        </w:r>
        <w:r w:rsidR="00EC4095">
          <w:rPr>
            <w:noProof/>
            <w:webHidden/>
          </w:rPr>
          <w:t>27</w:t>
        </w:r>
        <w:r w:rsidR="00C6198C">
          <w:rPr>
            <w:noProof/>
            <w:webHidden/>
          </w:rPr>
          <w:fldChar w:fldCharType="end"/>
        </w:r>
      </w:hyperlink>
    </w:p>
    <w:p w:rsidR="00C6198C" w:rsidP="00C6198C" w:rsidRDefault="00387594" w14:paraId="4D884DC4" w14:textId="21BFB5A8">
      <w:pPr>
        <w:pStyle w:val="TableofFigures"/>
        <w:tabs>
          <w:tab w:val="right" w:leader="dot" w:pos="10070"/>
        </w:tabs>
        <w:ind w:left="360" w:hanging="360"/>
        <w:rPr>
          <w:rFonts w:asciiTheme="minorHAnsi" w:hAnsiTheme="minorHAnsi" w:eastAsiaTheme="minorEastAsia"/>
          <w:noProof/>
          <w:sz w:val="22"/>
        </w:rPr>
      </w:pPr>
      <w:hyperlink w:history="1" w:anchor="_Toc24464130">
        <w:r w:rsidRPr="00133CD9" w:rsidR="00C6198C">
          <w:rPr>
            <w:rStyle w:val="Hyperlink"/>
            <w:noProof/>
            <w:lang w:bidi="en-US"/>
          </w:rPr>
          <w:t>Table B</w:t>
        </w:r>
        <w:r w:rsidRPr="00133CD9" w:rsidR="00C6198C">
          <w:rPr>
            <w:rStyle w:val="Hyperlink"/>
            <w:noProof/>
            <w:lang w:bidi="en-US"/>
          </w:rPr>
          <w:noBreakHyphen/>
          <w:t>1: Reporter Wage Rates (2018$)</w:t>
        </w:r>
        <w:r w:rsidR="00C6198C">
          <w:rPr>
            <w:noProof/>
            <w:webHidden/>
          </w:rPr>
          <w:tab/>
        </w:r>
        <w:r w:rsidR="00C6198C">
          <w:rPr>
            <w:noProof/>
            <w:webHidden/>
          </w:rPr>
          <w:fldChar w:fldCharType="begin"/>
        </w:r>
        <w:r w:rsidR="00C6198C">
          <w:rPr>
            <w:noProof/>
            <w:webHidden/>
          </w:rPr>
          <w:instrText xml:space="preserve"> PAGEREF _Toc24464130 \h </w:instrText>
        </w:r>
        <w:r w:rsidR="00C6198C">
          <w:rPr>
            <w:noProof/>
            <w:webHidden/>
          </w:rPr>
        </w:r>
        <w:r w:rsidR="00C6198C">
          <w:rPr>
            <w:noProof/>
            <w:webHidden/>
          </w:rPr>
          <w:fldChar w:fldCharType="separate"/>
        </w:r>
        <w:r w:rsidR="00EC4095">
          <w:rPr>
            <w:noProof/>
            <w:webHidden/>
          </w:rPr>
          <w:t>28</w:t>
        </w:r>
        <w:r w:rsidR="00C6198C">
          <w:rPr>
            <w:noProof/>
            <w:webHidden/>
          </w:rPr>
          <w:fldChar w:fldCharType="end"/>
        </w:r>
      </w:hyperlink>
    </w:p>
    <w:p w:rsidR="00C6198C" w:rsidP="00C6198C" w:rsidRDefault="00387594" w14:paraId="011C3E56" w14:textId="52A8A507">
      <w:pPr>
        <w:pStyle w:val="TableofFigures"/>
        <w:tabs>
          <w:tab w:val="right" w:leader="dot" w:pos="10070"/>
        </w:tabs>
        <w:ind w:left="360" w:hanging="360"/>
        <w:rPr>
          <w:rFonts w:asciiTheme="minorHAnsi" w:hAnsiTheme="minorHAnsi" w:eastAsiaTheme="minorEastAsia"/>
          <w:noProof/>
          <w:sz w:val="22"/>
        </w:rPr>
      </w:pPr>
      <w:hyperlink w:history="1" w:anchor="_Toc24464131">
        <w:r w:rsidRPr="00133CD9" w:rsidR="00C6198C">
          <w:rPr>
            <w:rStyle w:val="Hyperlink"/>
            <w:noProof/>
            <w:lang w:bidi="en-US"/>
          </w:rPr>
          <w:t>Table C</w:t>
        </w:r>
        <w:r w:rsidRPr="00133CD9" w:rsidR="00C6198C">
          <w:rPr>
            <w:rStyle w:val="Hyperlink"/>
            <w:noProof/>
            <w:lang w:bidi="en-US"/>
          </w:rPr>
          <w:noBreakHyphen/>
          <w:t xml:space="preserve">1: </w:t>
        </w:r>
        <w:r w:rsidRPr="00133CD9" w:rsidR="00C6198C">
          <w:rPr>
            <w:rStyle w:val="Hyperlink"/>
            <w:rFonts w:eastAsia="Times New Roman" w:cs="Times New Roman"/>
            <w:noProof/>
            <w:lang w:bidi="en-US"/>
          </w:rPr>
          <w:t>Final Rule Changes to Number of Sites and Chemical Reports</w:t>
        </w:r>
        <w:r w:rsidR="00C6198C">
          <w:rPr>
            <w:noProof/>
            <w:webHidden/>
          </w:rPr>
          <w:tab/>
        </w:r>
        <w:r w:rsidR="00C6198C">
          <w:rPr>
            <w:noProof/>
            <w:webHidden/>
          </w:rPr>
          <w:fldChar w:fldCharType="begin"/>
        </w:r>
        <w:r w:rsidR="00C6198C">
          <w:rPr>
            <w:noProof/>
            <w:webHidden/>
          </w:rPr>
          <w:instrText xml:space="preserve"> PAGEREF _Toc24464131 \h </w:instrText>
        </w:r>
        <w:r w:rsidR="00C6198C">
          <w:rPr>
            <w:noProof/>
            <w:webHidden/>
          </w:rPr>
        </w:r>
        <w:r w:rsidR="00C6198C">
          <w:rPr>
            <w:noProof/>
            <w:webHidden/>
          </w:rPr>
          <w:fldChar w:fldCharType="separate"/>
        </w:r>
        <w:r w:rsidR="00EC4095">
          <w:rPr>
            <w:noProof/>
            <w:webHidden/>
          </w:rPr>
          <w:t>29</w:t>
        </w:r>
        <w:r w:rsidR="00C6198C">
          <w:rPr>
            <w:noProof/>
            <w:webHidden/>
          </w:rPr>
          <w:fldChar w:fldCharType="end"/>
        </w:r>
      </w:hyperlink>
    </w:p>
    <w:p w:rsidR="00C6198C" w:rsidP="00C6198C" w:rsidRDefault="00387594" w14:paraId="33900C76" w14:textId="2ACFE3D2">
      <w:pPr>
        <w:pStyle w:val="TableofFigures"/>
        <w:tabs>
          <w:tab w:val="right" w:leader="dot" w:pos="10070"/>
        </w:tabs>
        <w:ind w:left="360" w:hanging="360"/>
        <w:rPr>
          <w:rFonts w:asciiTheme="minorHAnsi" w:hAnsiTheme="minorHAnsi" w:eastAsiaTheme="minorEastAsia"/>
          <w:noProof/>
          <w:sz w:val="22"/>
        </w:rPr>
      </w:pPr>
      <w:hyperlink w:history="1" w:anchor="_Toc24464132">
        <w:r w:rsidRPr="00133CD9" w:rsidR="00C6198C">
          <w:rPr>
            <w:rStyle w:val="Hyperlink"/>
            <w:noProof/>
            <w:lang w:bidi="en-US"/>
          </w:rPr>
          <w:t>Table C</w:t>
        </w:r>
        <w:r w:rsidRPr="00133CD9" w:rsidR="00C6198C">
          <w:rPr>
            <w:rStyle w:val="Hyperlink"/>
            <w:noProof/>
            <w:lang w:bidi="en-US"/>
          </w:rPr>
          <w:noBreakHyphen/>
          <w:t>2</w:t>
        </w:r>
        <w:r w:rsidRPr="00133CD9" w:rsidR="00C6198C">
          <w:rPr>
            <w:rStyle w:val="Hyperlink"/>
            <w:rFonts w:eastAsia="Times New Roman" w:cs="Times New Roman"/>
            <w:noProof/>
            <w:lang w:bidi="en-US"/>
          </w:rPr>
          <w:t>: CDR Revisions Reporting Burden and Cost for Four-Year Reporting Cycle, Calculation in Sequence</w:t>
        </w:r>
        <w:r w:rsidR="00C6198C">
          <w:rPr>
            <w:noProof/>
            <w:webHidden/>
          </w:rPr>
          <w:tab/>
        </w:r>
        <w:r w:rsidR="00C6198C">
          <w:rPr>
            <w:noProof/>
            <w:webHidden/>
          </w:rPr>
          <w:fldChar w:fldCharType="begin"/>
        </w:r>
        <w:r w:rsidR="00C6198C">
          <w:rPr>
            <w:noProof/>
            <w:webHidden/>
          </w:rPr>
          <w:instrText xml:space="preserve"> PAGEREF _Toc24464132 \h </w:instrText>
        </w:r>
        <w:r w:rsidR="00C6198C">
          <w:rPr>
            <w:noProof/>
            <w:webHidden/>
          </w:rPr>
        </w:r>
        <w:r w:rsidR="00C6198C">
          <w:rPr>
            <w:noProof/>
            <w:webHidden/>
          </w:rPr>
          <w:fldChar w:fldCharType="separate"/>
        </w:r>
        <w:r w:rsidR="00EC4095">
          <w:rPr>
            <w:noProof/>
            <w:webHidden/>
          </w:rPr>
          <w:t>30</w:t>
        </w:r>
        <w:r w:rsidR="00C6198C">
          <w:rPr>
            <w:noProof/>
            <w:webHidden/>
          </w:rPr>
          <w:fldChar w:fldCharType="end"/>
        </w:r>
      </w:hyperlink>
    </w:p>
    <w:p w:rsidR="00D15DBB" w:rsidP="00D15DBB" w:rsidRDefault="00D15DBB" w14:paraId="0D5A4F68" w14:textId="29A7DB0E">
      <w:pPr>
        <w:ind w:left="450" w:hanging="450"/>
      </w:pPr>
      <w:r>
        <w:fldChar w:fldCharType="end"/>
      </w:r>
    </w:p>
    <w:p w:rsidRPr="007919E5" w:rsidR="000530F2" w:rsidP="00707599" w:rsidRDefault="00707599" w14:paraId="5C859687" w14:textId="5CA4FA62">
      <w:pPr>
        <w:rPr>
          <w:rFonts w:cs="Arial"/>
          <w:sz w:val="20"/>
          <w:szCs w:val="20"/>
        </w:rPr>
      </w:pPr>
      <w:r w:rsidRPr="007919E5">
        <w:t>_____________</w:t>
      </w:r>
      <w:r w:rsidRPr="007919E5" w:rsidR="0098584B">
        <w:t>____________________________________________________________</w:t>
      </w:r>
    </w:p>
    <w:p w:rsidRPr="007919E5" w:rsidR="008E2771" w:rsidRDefault="008E2771" w14:paraId="0BEC90CA" w14:textId="77777777">
      <w:pPr>
        <w:spacing w:after="200" w:line="276" w:lineRule="auto"/>
      </w:pPr>
      <w:r w:rsidRPr="007919E5">
        <w:br w:type="page"/>
      </w:r>
    </w:p>
    <w:p w:rsidR="002B34A0" w:rsidP="002C395B" w:rsidRDefault="005B4F77" w14:paraId="0D7B3D66" w14:textId="63BA67CF">
      <w:pPr>
        <w:pStyle w:val="Heading1"/>
        <w:numPr>
          <w:ilvl w:val="0"/>
          <w:numId w:val="3"/>
        </w:numPr>
        <w:rPr>
          <w:lang w:bidi="en-US"/>
        </w:rPr>
      </w:pPr>
      <w:bookmarkStart w:name="_Toc34984645" w:id="0"/>
      <w:r w:rsidRPr="00025CEE">
        <w:rPr>
          <w:lang w:bidi="en-US"/>
        </w:rPr>
        <w:lastRenderedPageBreak/>
        <w:t>EXECUTIVE SUMMARY</w:t>
      </w:r>
      <w:bookmarkEnd w:id="0"/>
    </w:p>
    <w:p w:rsidRPr="0062641A" w:rsidR="0062641A" w:rsidP="0062641A" w:rsidRDefault="0062641A" w14:paraId="012D5236" w14:textId="77777777">
      <w:pPr>
        <w:rPr>
          <w:lang w:bidi="en-US"/>
        </w:rPr>
      </w:pPr>
    </w:p>
    <w:p w:rsidRPr="00025CEE" w:rsidR="002B34A0" w:rsidP="002C395B" w:rsidRDefault="005B4F77" w14:paraId="4BEF2561" w14:textId="77777777">
      <w:pPr>
        <w:pStyle w:val="Heading2"/>
        <w:numPr>
          <w:ilvl w:val="1"/>
          <w:numId w:val="3"/>
        </w:numPr>
        <w:tabs>
          <w:tab w:val="left" w:pos="1080"/>
        </w:tabs>
        <w:rPr>
          <w:lang w:bidi="en-US"/>
        </w:rPr>
      </w:pPr>
      <w:bookmarkStart w:name="_Toc34984646" w:id="1"/>
      <w:r w:rsidRPr="00025CEE">
        <w:rPr>
          <w:lang w:bidi="en-US"/>
        </w:rPr>
        <w:t xml:space="preserve">Identification of the </w:t>
      </w:r>
      <w:r w:rsidRPr="00025CEE" w:rsidR="002B34A0">
        <w:rPr>
          <w:lang w:bidi="en-US"/>
        </w:rPr>
        <w:t>Information Collection – Title and Numbers</w:t>
      </w:r>
      <w:bookmarkEnd w:id="1"/>
      <w:r w:rsidRPr="00025CEE" w:rsidR="002B34A0">
        <w:rPr>
          <w:lang w:bidi="en-US"/>
        </w:rPr>
        <w:t xml:space="preserve"> </w:t>
      </w:r>
    </w:p>
    <w:p w:rsidR="00DC1437" w:rsidP="00DC1437" w:rsidRDefault="00025CEE" w14:paraId="2254E408" w14:textId="2214CEA7">
      <w:pPr>
        <w:ind w:left="720"/>
        <w:rPr>
          <w:rFonts w:eastAsia="Times New Roman" w:cs="Times New Roman"/>
        </w:rPr>
      </w:pPr>
      <w:r w:rsidRPr="00025CEE">
        <w:rPr>
          <w:b/>
          <w:lang w:bidi="en-US"/>
        </w:rPr>
        <w:t xml:space="preserve">Title: </w:t>
      </w:r>
      <w:r w:rsidRPr="003679F9" w:rsidR="003679F9">
        <w:rPr>
          <w:rFonts w:eastAsia="Times New Roman" w:cs="Times New Roman"/>
        </w:rPr>
        <w:t>Partial Update of the TSCA Section 8(b) Inventory Data Base, Production and Site Reports (Chemical Data Reporting)</w:t>
      </w:r>
      <w:r w:rsidR="000D767F">
        <w:rPr>
          <w:rFonts w:eastAsia="Times New Roman" w:cs="Times New Roman"/>
        </w:rPr>
        <w:t>; Final Rule Addendum</w:t>
      </w:r>
    </w:p>
    <w:p w:rsidRPr="00025CEE" w:rsidR="002B34A0" w:rsidP="00DC1437" w:rsidRDefault="002B34A0" w14:paraId="3079E457" w14:textId="5CA7898E">
      <w:pPr>
        <w:ind w:left="720"/>
        <w:rPr>
          <w:lang w:bidi="en-US"/>
        </w:rPr>
      </w:pPr>
      <w:r w:rsidRPr="00025CEE">
        <w:rPr>
          <w:lang w:bidi="en-US"/>
        </w:rPr>
        <w:tab/>
      </w:r>
    </w:p>
    <w:p w:rsidR="002A0BEE" w:rsidP="00DC1437" w:rsidRDefault="007E3DA7" w14:paraId="4F3998E0" w14:textId="31C4B51C">
      <w:pPr>
        <w:ind w:left="990" w:hanging="270"/>
        <w:rPr>
          <w:rFonts w:eastAsia="Times New Roman" w:cs="Times New Roman"/>
          <w:bCs/>
        </w:rPr>
      </w:pPr>
      <w:r w:rsidRPr="003679F9">
        <w:rPr>
          <w:b/>
          <w:lang w:bidi="en-US"/>
        </w:rPr>
        <w:t xml:space="preserve">ICR </w:t>
      </w:r>
      <w:r w:rsidRPr="003679F9" w:rsidR="00C54579">
        <w:rPr>
          <w:b/>
          <w:lang w:bidi="en-US"/>
        </w:rPr>
        <w:t>Number</w:t>
      </w:r>
      <w:r w:rsidRPr="003679F9">
        <w:rPr>
          <w:b/>
          <w:lang w:bidi="en-US"/>
        </w:rPr>
        <w:t>s</w:t>
      </w:r>
      <w:r w:rsidRPr="003679F9" w:rsidR="00C54579">
        <w:rPr>
          <w:b/>
          <w:lang w:bidi="en-US"/>
        </w:rPr>
        <w:t>:</w:t>
      </w:r>
      <w:r w:rsidRPr="003679F9" w:rsidR="00C54579">
        <w:rPr>
          <w:lang w:bidi="en-US"/>
        </w:rPr>
        <w:t xml:space="preserve"> </w:t>
      </w:r>
      <w:r w:rsidRPr="003679F9" w:rsidR="003679F9">
        <w:rPr>
          <w:rFonts w:eastAsia="Times New Roman" w:cs="Times New Roman"/>
          <w:bCs/>
        </w:rPr>
        <w:t>EPA ICR No.: 1884.</w:t>
      </w:r>
      <w:r w:rsidRPr="003679F9" w:rsidR="00B650A0">
        <w:rPr>
          <w:rFonts w:eastAsia="Times New Roman" w:cs="Times New Roman"/>
          <w:bCs/>
        </w:rPr>
        <w:t>1</w:t>
      </w:r>
      <w:r w:rsidR="0037775A">
        <w:rPr>
          <w:rFonts w:eastAsia="Times New Roman" w:cs="Times New Roman"/>
          <w:bCs/>
        </w:rPr>
        <w:t>2</w:t>
      </w:r>
      <w:r w:rsidRPr="003679F9" w:rsidR="003679F9">
        <w:rPr>
          <w:rFonts w:eastAsia="Times New Roman" w:cs="Times New Roman"/>
        </w:rPr>
        <w:tab/>
      </w:r>
      <w:r w:rsidRPr="003679F9" w:rsidR="003679F9">
        <w:rPr>
          <w:rFonts w:eastAsia="Times New Roman" w:cs="Times New Roman"/>
          <w:bCs/>
        </w:rPr>
        <w:t>OMB Control No.: 2070-0162</w:t>
      </w:r>
    </w:p>
    <w:p w:rsidRPr="00DC1437" w:rsidR="00DC1437" w:rsidP="00DC1437" w:rsidRDefault="00DC1437" w14:paraId="44830D1E" w14:textId="77777777">
      <w:pPr>
        <w:pStyle w:val="NoSpacing"/>
      </w:pPr>
    </w:p>
    <w:p w:rsidR="00735A14" w:rsidP="00DC1437" w:rsidRDefault="004124F7" w14:paraId="6FAA96D9" w14:textId="59D82FF5">
      <w:pPr>
        <w:pStyle w:val="NoSpacing"/>
        <w:ind w:left="720"/>
      </w:pPr>
      <w:r w:rsidRPr="00025CEE">
        <w:rPr>
          <w:b/>
          <w:lang w:bidi="en-US"/>
        </w:rPr>
        <w:t xml:space="preserve">EPA </w:t>
      </w:r>
      <w:r w:rsidRPr="00025CEE" w:rsidR="007E3DA7">
        <w:rPr>
          <w:b/>
          <w:lang w:bidi="en-US"/>
        </w:rPr>
        <w:t>Form N</w:t>
      </w:r>
      <w:r w:rsidRPr="00025CEE" w:rsidR="00A84026">
        <w:rPr>
          <w:b/>
          <w:lang w:bidi="en-US"/>
        </w:rPr>
        <w:t>umber</w:t>
      </w:r>
      <w:r w:rsidRPr="00025CEE" w:rsidR="007E3DA7">
        <w:rPr>
          <w:b/>
          <w:lang w:bidi="en-US"/>
        </w:rPr>
        <w:t>s:</w:t>
      </w:r>
      <w:r w:rsidRPr="00025CEE" w:rsidR="007E3DA7">
        <w:rPr>
          <w:lang w:bidi="en-US"/>
        </w:rPr>
        <w:t xml:space="preserve"> </w:t>
      </w:r>
      <w:r w:rsidRPr="00025CEE" w:rsidR="008E6C60">
        <w:t xml:space="preserve"> </w:t>
      </w:r>
      <w:bookmarkStart w:name="_Hlk35597003" w:id="2"/>
      <w:r w:rsidR="003C459C">
        <w:t>EPA Form U</w:t>
      </w:r>
      <w:r w:rsidR="00387594">
        <w:t>;</w:t>
      </w:r>
      <w:r w:rsidRPr="00025CEE" w:rsidR="00025CEE">
        <w:t xml:space="preserve"> EPA</w:t>
      </w:r>
      <w:r w:rsidR="003C459C">
        <w:t xml:space="preserve"> 7740-8</w:t>
      </w:r>
      <w:bookmarkEnd w:id="2"/>
    </w:p>
    <w:p w:rsidRPr="00025CEE" w:rsidR="00DC1437" w:rsidP="00DC1437" w:rsidRDefault="00DC1437" w14:paraId="43E45BBC" w14:textId="77777777">
      <w:pPr>
        <w:pStyle w:val="NoSpacing"/>
        <w:ind w:left="720"/>
        <w:rPr>
          <w:lang w:bidi="en-US"/>
        </w:rPr>
      </w:pPr>
    </w:p>
    <w:p w:rsidRPr="00025CEE" w:rsidR="005B4F77" w:rsidP="00DC1437" w:rsidRDefault="005B4F77" w14:paraId="7E69FBFD" w14:textId="3179B3B7">
      <w:pPr>
        <w:pStyle w:val="NoSpacing"/>
        <w:rPr>
          <w:rFonts w:cs="Arial"/>
          <w:bCs/>
        </w:rPr>
      </w:pPr>
      <w:r w:rsidRPr="00025CEE">
        <w:rPr>
          <w:lang w:bidi="en-US"/>
        </w:rPr>
        <w:tab/>
      </w:r>
      <w:r w:rsidRPr="00025CEE">
        <w:rPr>
          <w:b/>
          <w:lang w:bidi="en-US"/>
        </w:rPr>
        <w:t>Docket ID Number:</w:t>
      </w:r>
      <w:r w:rsidRPr="00025CEE">
        <w:rPr>
          <w:lang w:bidi="en-US"/>
        </w:rPr>
        <w:t xml:space="preserve"> </w:t>
      </w:r>
      <w:r w:rsidRPr="00425737" w:rsidR="0037775A">
        <w:t>EPA-HQ-OPPT-</w:t>
      </w:r>
      <w:r w:rsidRPr="00873EE3" w:rsidR="0037775A">
        <w:t>2018-0321</w:t>
      </w:r>
    </w:p>
    <w:p w:rsidRPr="00025CEE" w:rsidR="005B4F77" w:rsidP="005B4F77" w:rsidRDefault="005B4F77" w14:paraId="42F50E2C" w14:textId="77777777">
      <w:pPr>
        <w:pStyle w:val="NoSpacing"/>
        <w:rPr>
          <w:lang w:bidi="en-US"/>
        </w:rPr>
      </w:pPr>
    </w:p>
    <w:p w:rsidRPr="00025CEE" w:rsidR="0098584B" w:rsidP="0098584B" w:rsidRDefault="005B4F77" w14:paraId="4E2D922A" w14:textId="77777777">
      <w:pPr>
        <w:pStyle w:val="Heading2"/>
        <w:numPr>
          <w:ilvl w:val="1"/>
          <w:numId w:val="3"/>
        </w:numPr>
        <w:tabs>
          <w:tab w:val="left" w:pos="1080"/>
        </w:tabs>
      </w:pPr>
      <w:bookmarkStart w:name="_Toc34984647" w:id="3"/>
      <w:r w:rsidRPr="00025CEE">
        <w:t>Docket Information</w:t>
      </w:r>
      <w:bookmarkEnd w:id="3"/>
    </w:p>
    <w:p w:rsidRPr="00025CEE" w:rsidR="00003EFE" w:rsidP="00003EFE" w:rsidRDefault="006B6D03" w14:paraId="454D297A" w14:textId="34DDCCFA">
      <w:r w:rsidRPr="00025CEE">
        <w:t>Th</w:t>
      </w:r>
      <w:r w:rsidR="000D767F">
        <w:t>is</w:t>
      </w:r>
      <w:r w:rsidRPr="00025CEE">
        <w:t xml:space="preserve"> </w:t>
      </w:r>
      <w:r w:rsidR="000D767F">
        <w:t xml:space="preserve">final rule </w:t>
      </w:r>
      <w:r w:rsidR="000D767F">
        <w:t>Information Collection Request (</w:t>
      </w:r>
      <w:r w:rsidRPr="00025CEE" w:rsidR="000D767F">
        <w:t>ICR</w:t>
      </w:r>
      <w:r w:rsidR="000D767F">
        <w:t>)</w:t>
      </w:r>
      <w:r w:rsidR="000D767F">
        <w:t xml:space="preserve">, which </w:t>
      </w:r>
      <w:r w:rsidRPr="00025CEE">
        <w:t>explains the</w:t>
      </w:r>
      <w:r w:rsidR="006C4E70">
        <w:t xml:space="preserve"> </w:t>
      </w:r>
      <w:r w:rsidR="0064527F">
        <w:t>revised</w:t>
      </w:r>
      <w:r w:rsidRPr="00025CEE">
        <w:t xml:space="preserve"> information collection activities and related burden and cost estimates</w:t>
      </w:r>
      <w:r w:rsidR="000D767F">
        <w:t xml:space="preserve"> associated with the final rule </w:t>
      </w:r>
      <w:r w:rsidR="000D767F">
        <w:t xml:space="preserve">(RIN 2070-AK33) that amends the information collection activities of the </w:t>
      </w:r>
      <w:r w:rsidRPr="009533EA" w:rsidR="000D767F">
        <w:t xml:space="preserve">CDR </w:t>
      </w:r>
      <w:r w:rsidR="000D767F">
        <w:t>program</w:t>
      </w:r>
      <w:r w:rsidR="000D767F">
        <w:t>,</w:t>
      </w:r>
      <w:r w:rsidR="0064527F">
        <w:t xml:space="preserve"> is available in the rulemaking docket</w:t>
      </w:r>
      <w:r w:rsidR="00296D51">
        <w:t xml:space="preserve"> (</w:t>
      </w:r>
      <w:bookmarkStart w:name="_Hlk35597908" w:id="4"/>
      <w:r w:rsidRPr="00425737" w:rsidR="00296D51">
        <w:t>EPA-HQ-OPPT-</w:t>
      </w:r>
      <w:r w:rsidRPr="00873EE3" w:rsidR="00296D51">
        <w:t>2018-0321</w:t>
      </w:r>
      <w:bookmarkEnd w:id="4"/>
      <w:r w:rsidR="00296D51">
        <w:t>)</w:t>
      </w:r>
      <w:r w:rsidRPr="00025CEE">
        <w:t xml:space="preserve">. </w:t>
      </w:r>
      <w:r w:rsidRPr="00025CEE" w:rsidR="000D767F">
        <w:t>Th</w:t>
      </w:r>
      <w:r w:rsidR="000D767F">
        <w:t xml:space="preserve">e currently approved ICR, to </w:t>
      </w:r>
      <w:r w:rsidR="000D767F">
        <w:t>which</w:t>
      </w:r>
      <w:r w:rsidRPr="00025CEE" w:rsidR="000D767F">
        <w:t xml:space="preserve"> </w:t>
      </w:r>
      <w:r w:rsidR="000D767F">
        <w:t>this ICR is an addendum</w:t>
      </w:r>
      <w:r w:rsidRPr="00025CEE" w:rsidR="000D767F">
        <w:t xml:space="preserve">, </w:t>
      </w:r>
      <w:r w:rsidR="000D767F">
        <w:t>is</w:t>
      </w:r>
      <w:r w:rsidRPr="00025CEE" w:rsidR="000D767F">
        <w:t xml:space="preserve"> available in the docket </w:t>
      </w:r>
      <w:r w:rsidR="000D767F">
        <w:t>EPA-HQ-OPPT-2013-0721</w:t>
      </w:r>
      <w:r w:rsidRPr="00025CEE" w:rsidR="000D767F">
        <w:t xml:space="preserve">. </w:t>
      </w:r>
      <w:r w:rsidRPr="00025CEE" w:rsidR="00003EFE">
        <w:t>The docket</w:t>
      </w:r>
      <w:r w:rsidR="000D767F">
        <w:t>s</w:t>
      </w:r>
      <w:r w:rsidRPr="00025CEE" w:rsidR="00003EFE">
        <w:t xml:space="preserve">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w:history="1" r:id="rId12">
        <w:r w:rsidRPr="00025CEE" w:rsidR="005B4F77">
          <w:rPr>
            <w:rStyle w:val="Hyperlink"/>
            <w:color w:val="auto"/>
          </w:rPr>
          <w:t>http://www.epa.gov/dockets</w:t>
        </w:r>
      </w:hyperlink>
      <w:r w:rsidRPr="00025CEE" w:rsidR="00003EFE">
        <w:t>.</w:t>
      </w:r>
    </w:p>
    <w:p w:rsidRPr="00025CEE" w:rsidR="005B4F77" w:rsidP="005B4F77" w:rsidRDefault="005B4F77" w14:paraId="3C3D0D74" w14:textId="77777777">
      <w:pPr>
        <w:pStyle w:val="NoSpacing"/>
        <w:rPr>
          <w:color w:val="FF33CC"/>
          <w:lang w:bidi="en-US"/>
        </w:rPr>
      </w:pPr>
    </w:p>
    <w:p w:rsidRPr="00614C2F" w:rsidR="005B4F77" w:rsidP="005B4F77" w:rsidRDefault="005B4F77" w14:paraId="0D39F6B5" w14:textId="77777777">
      <w:pPr>
        <w:pStyle w:val="Heading2"/>
        <w:numPr>
          <w:ilvl w:val="1"/>
          <w:numId w:val="3"/>
        </w:numPr>
        <w:tabs>
          <w:tab w:val="left" w:pos="1080"/>
        </w:tabs>
      </w:pPr>
      <w:bookmarkStart w:name="_Toc34984648" w:id="5"/>
      <w:r w:rsidRPr="00614C2F">
        <w:t>ICR Status</w:t>
      </w:r>
      <w:bookmarkEnd w:id="5"/>
      <w:r w:rsidRPr="00614C2F">
        <w:t xml:space="preserve"> </w:t>
      </w:r>
    </w:p>
    <w:p w:rsidRPr="00614C2F" w:rsidR="008B4785" w:rsidP="00584412" w:rsidRDefault="00003EFE" w14:paraId="18CBB870" w14:textId="146CA0AD">
      <w:r w:rsidRPr="00614C2F">
        <w:t xml:space="preserve">Under </w:t>
      </w:r>
      <w:r w:rsidRPr="00614C2F" w:rsidR="003C30C1">
        <w:t>the Paperwork Reduction Act (</w:t>
      </w:r>
      <w:r w:rsidRPr="00614C2F">
        <w:t>PRA</w:t>
      </w:r>
      <w:r w:rsidRPr="00614C2F" w:rsidR="003C30C1">
        <w:t>)</w:t>
      </w:r>
      <w:r w:rsidRPr="00614C2F">
        <w:t>, 44 U.S.C. 3501 et seq., an agency may not conduct or sponsor, and a person is not required to respond to, a collection of information, unless it displays a currently valid control number</w:t>
      </w:r>
      <w:r w:rsidRPr="00614C2F" w:rsidR="003C30C1">
        <w:t xml:space="preserve"> issued by the Office of Management and Budget (OMB)</w:t>
      </w:r>
      <w:r w:rsidRPr="00614C2F">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614C2F" w:rsidR="00012C7C" w:rsidP="00012C7C" w:rsidRDefault="00012C7C" w14:paraId="7B89A619" w14:textId="77777777">
      <w:pPr>
        <w:pStyle w:val="NoSpacing"/>
      </w:pPr>
    </w:p>
    <w:p w:rsidRPr="00614C2F" w:rsidR="00E650C2" w:rsidP="00584412" w:rsidRDefault="00C87678" w14:paraId="0F8E7DE9" w14:textId="1D1CBB2A">
      <w:pPr>
        <w:pStyle w:val="NoSpacing"/>
        <w:rPr>
          <w:szCs w:val="24"/>
        </w:rPr>
      </w:pPr>
      <w:r w:rsidRPr="00614C2F">
        <w:t xml:space="preserve">This </w:t>
      </w:r>
      <w:r w:rsidRPr="00614C2F" w:rsidR="00614C2F">
        <w:t>is a</w:t>
      </w:r>
      <w:r w:rsidR="00860228">
        <w:t xml:space="preserve">n addendum to </w:t>
      </w:r>
      <w:r w:rsidRPr="00614C2F" w:rsidR="00614C2F">
        <w:t xml:space="preserve">an existing ICR for EPA ICR No. </w:t>
      </w:r>
      <w:r w:rsidRPr="00966B70" w:rsidR="00860228">
        <w:t>1884.</w:t>
      </w:r>
      <w:r w:rsidR="00860228">
        <w:t>1</w:t>
      </w:r>
      <w:r w:rsidRPr="00966B70" w:rsidR="00860228">
        <w:t>0</w:t>
      </w:r>
      <w:r w:rsidRPr="00614C2F" w:rsidR="00614C2F">
        <w:t xml:space="preserve">; OMB Control No. </w:t>
      </w:r>
      <w:r w:rsidRPr="006C0719" w:rsidR="00860228">
        <w:rPr>
          <w:rFonts w:eastAsia="Times New Roman" w:cs="Times New Roman"/>
        </w:rPr>
        <w:t>2070-0162</w:t>
      </w:r>
      <w:r w:rsidRPr="00614C2F" w:rsidR="00614C2F">
        <w:t>; entitled “</w:t>
      </w:r>
      <w:r w:rsidRPr="006B5FC6" w:rsidR="00860228">
        <w:rPr>
          <w:i/>
        </w:rPr>
        <w:t xml:space="preserve">[Information Collection Request for] </w:t>
      </w:r>
      <w:bookmarkStart w:name="_Hlk527459088" w:id="6"/>
      <w:r w:rsidRPr="00FC1700" w:rsidR="00860228">
        <w:rPr>
          <w:rFonts w:eastAsia="Times New Roman" w:cs="Times New Roman"/>
        </w:rPr>
        <w:t>Chemical Data Reporting under the Toxic Substances Control Act (TSCA section 8(a))</w:t>
      </w:r>
      <w:bookmarkEnd w:id="6"/>
      <w:r w:rsidR="00860228">
        <w:rPr>
          <w:rFonts w:eastAsia="Times New Roman" w:cs="Times New Roman"/>
        </w:rPr>
        <w:t xml:space="preserve"> </w:t>
      </w:r>
      <w:r w:rsidR="00860228">
        <w:rPr>
          <w:rFonts w:eastAsia="Times New Roman" w:cs="Times New Roman"/>
          <w:i/>
        </w:rPr>
        <w:t>Supporting Statement for a Request for OMB Review under the Paperwork Reduction Act”</w:t>
      </w:r>
      <w:r w:rsidRPr="00614C2F" w:rsidR="00614C2F">
        <w:t xml:space="preserve">; approved through </w:t>
      </w:r>
      <w:r w:rsidR="0026385E">
        <w:t>April 30</w:t>
      </w:r>
      <w:r w:rsidRPr="00BE4EF3" w:rsidR="00614C2F">
        <w:t xml:space="preserve">, </w:t>
      </w:r>
      <w:r w:rsidRPr="00BE4EF3" w:rsidR="00BE4EF3">
        <w:t>2022</w:t>
      </w:r>
      <w:r w:rsidRPr="00BE4EF3" w:rsidR="00614C2F">
        <w:t>.</w:t>
      </w:r>
      <w:r w:rsidRPr="00614C2F">
        <w:t xml:space="preserve"> </w:t>
      </w:r>
      <w:r w:rsidRPr="00614C2F" w:rsidR="00E650C2">
        <w:rPr>
          <w:szCs w:val="24"/>
        </w:rPr>
        <w:fldChar w:fldCharType="begin"/>
      </w:r>
      <w:r w:rsidRPr="00614C2F" w:rsidR="00E650C2">
        <w:rPr>
          <w:szCs w:val="24"/>
        </w:rPr>
        <w:instrText xml:space="preserve"> SEQ CHAPTER \h \r 1</w:instrText>
      </w:r>
      <w:r w:rsidRPr="00614C2F" w:rsidR="00E650C2">
        <w:rPr>
          <w:szCs w:val="24"/>
        </w:rPr>
        <w:fldChar w:fldCharType="end"/>
      </w:r>
    </w:p>
    <w:p w:rsidRPr="00614C2F" w:rsidR="005B4F77" w:rsidP="005B4F77" w:rsidRDefault="005B4F77" w14:paraId="68810A31" w14:textId="77777777">
      <w:pPr>
        <w:pStyle w:val="NoSpacing"/>
        <w:rPr>
          <w:lang w:bidi="en-US"/>
        </w:rPr>
      </w:pPr>
    </w:p>
    <w:p w:rsidRPr="00C87480" w:rsidR="005B4F77" w:rsidP="005B4F77" w:rsidRDefault="005B4F77" w14:paraId="3970DCA2" w14:textId="77777777">
      <w:pPr>
        <w:pStyle w:val="Heading2"/>
        <w:numPr>
          <w:ilvl w:val="1"/>
          <w:numId w:val="3"/>
        </w:numPr>
        <w:tabs>
          <w:tab w:val="left" w:pos="1080"/>
        </w:tabs>
      </w:pPr>
      <w:bookmarkStart w:name="_Toc34984649" w:id="7"/>
      <w:r w:rsidRPr="00C87480">
        <w:t>Abstract</w:t>
      </w:r>
      <w:bookmarkEnd w:id="7"/>
    </w:p>
    <w:p w:rsidR="00752A62" w:rsidP="00A83055" w:rsidRDefault="00752A62" w14:paraId="5DF0FBB1" w14:textId="221608D3">
      <w:pPr>
        <w:pStyle w:val="BodyText"/>
      </w:pPr>
      <w:r w:rsidRPr="009533EA">
        <w:t>Th</w:t>
      </w:r>
      <w:r>
        <w:t xml:space="preserve">is ICR </w:t>
      </w:r>
      <w:r w:rsidR="00767282">
        <w:t>addendum</w:t>
      </w:r>
      <w:r w:rsidR="00840364">
        <w:t xml:space="preserve"> </w:t>
      </w:r>
      <w:r w:rsidRPr="009533EA">
        <w:t xml:space="preserve">addresses the paperwork requirements </w:t>
      </w:r>
      <w:r>
        <w:t xml:space="preserve">in a final rule (RIN 2070-AK33) that amends the information collection activities of the </w:t>
      </w:r>
      <w:r w:rsidRPr="009533EA">
        <w:t xml:space="preserve">CDR </w:t>
      </w:r>
      <w:r>
        <w:t xml:space="preserve">program </w:t>
      </w:r>
      <w:r w:rsidRPr="009533EA">
        <w:t>(40 CFR Part 71</w:t>
      </w:r>
      <w:r>
        <w:t>1</w:t>
      </w:r>
      <w:r w:rsidRPr="009533EA">
        <w:t xml:space="preserve">). </w:t>
      </w:r>
      <w:r>
        <w:t>An</w:t>
      </w:r>
      <w:r w:rsidRPr="00C3255F">
        <w:t xml:space="preserve"> economic analys</w:t>
      </w:r>
      <w:r>
        <w:t>is</w:t>
      </w:r>
      <w:r w:rsidRPr="00C3255F">
        <w:t xml:space="preserve"> (EA) provide</w:t>
      </w:r>
      <w:r>
        <w:t>s</w:t>
      </w:r>
      <w:r w:rsidRPr="00C3255F">
        <w:t xml:space="preserve"> estimations of the </w:t>
      </w:r>
      <w:r>
        <w:t xml:space="preserve">burden and </w:t>
      </w:r>
      <w:r w:rsidRPr="002D46A7">
        <w:t xml:space="preserve">costs associated with the </w:t>
      </w:r>
      <w:r>
        <w:t>final</w:t>
      </w:r>
      <w:r w:rsidRPr="002D46A7">
        <w:t xml:space="preserve"> </w:t>
      </w:r>
      <w:r>
        <w:t>changes to CDR reporting requirements</w:t>
      </w:r>
      <w:r w:rsidRPr="002D46A7">
        <w:t>.</w:t>
      </w:r>
      <w:r>
        <w:t xml:space="preserve"> </w:t>
      </w:r>
    </w:p>
    <w:p w:rsidR="001430EB" w:rsidP="00A83055" w:rsidRDefault="001430EB" w14:paraId="1EC6DF47" w14:textId="4B03EF8B">
      <w:pPr>
        <w:pStyle w:val="BodyText"/>
      </w:pPr>
      <w:r w:rsidRPr="00437C1A">
        <w:t xml:space="preserve">The TSCA Inventory is a listing of chemical substances manufactured, imported, and processed for commercial purposes in the United States. </w:t>
      </w:r>
      <w:r w:rsidRPr="009533EA">
        <w:t xml:space="preserve">The CDR data collection provides chemical manufacture, processing, and use information that helps EPA identify what chemicals </w:t>
      </w:r>
      <w:r w:rsidRPr="009533EA">
        <w:lastRenderedPageBreak/>
        <w:t>the public may be exposed to as consumers or in commercial and industrial settings</w:t>
      </w:r>
      <w:r>
        <w:t>. The data also help EPA</w:t>
      </w:r>
      <w:r w:rsidRPr="009533EA">
        <w:t xml:space="preserve"> assess routes of potential exposure to those chemicals</w:t>
      </w:r>
      <w:r>
        <w:t>.</w:t>
      </w:r>
    </w:p>
    <w:p w:rsidR="00752A62" w:rsidP="00A83055" w:rsidRDefault="00752A62" w14:paraId="00F4A120" w14:textId="79B7018E">
      <w:pPr>
        <w:pStyle w:val="BodyText"/>
      </w:pPr>
      <w:r>
        <w:t>EPA</w:t>
      </w:r>
      <w:r w:rsidRPr="009533EA">
        <w:t xml:space="preserve"> has used the CDR rule to collect basic manufacturing information for selected chemical substances on the TSCA Inventory eight times beginning in 1986. More recent collections, beginning in 2006, included additional information relating to the manufacture, processing, and use of those chemical substances. The CDR data collection is on a four-year reporting cycle and contains </w:t>
      </w:r>
      <w:r>
        <w:t xml:space="preserve">detailed manufacturing and processing </w:t>
      </w:r>
      <w:r w:rsidRPr="009533EA">
        <w:t>information drawn from the principal reporting year</w:t>
      </w:r>
      <w:r>
        <w:t>; the rule</w:t>
      </w:r>
      <w:r w:rsidRPr="009533EA">
        <w:t xml:space="preserve"> also contains </w:t>
      </w:r>
      <w:r>
        <w:t>basic</w:t>
      </w:r>
      <w:r w:rsidRPr="009533EA">
        <w:t xml:space="preserve"> information</w:t>
      </w:r>
      <w:r>
        <w:t xml:space="preserve"> on production volume</w:t>
      </w:r>
      <w:r w:rsidRPr="009533EA">
        <w:t>, by year, f</w:t>
      </w:r>
      <w:r>
        <w:t>or</w:t>
      </w:r>
      <w:r w:rsidRPr="009533EA">
        <w:t xml:space="preserve"> the three years prior to the principal reporting year. </w:t>
      </w:r>
      <w:r>
        <w:t xml:space="preserve">For example, for the 2020 reporting cycle, the principal reporting year </w:t>
      </w:r>
      <w:r w:rsidR="00A31915">
        <w:t>is</w:t>
      </w:r>
      <w:r>
        <w:t xml:space="preserve"> 2019; the three years prior </w:t>
      </w:r>
      <w:r w:rsidR="00A31915">
        <w:t>are</w:t>
      </w:r>
      <w:r>
        <w:t xml:space="preserve"> 2016, 2017 and 2018.</w:t>
      </w:r>
      <w:r w:rsidRPr="009533EA">
        <w:t xml:space="preserve">      </w:t>
      </w:r>
    </w:p>
    <w:p w:rsidR="00752A62" w:rsidP="00A83055" w:rsidRDefault="00752A62" w14:paraId="43D60AB6" w14:textId="54573D7D">
      <w:pPr>
        <w:pStyle w:val="BodyText"/>
      </w:pPr>
      <w:r>
        <w:t>As finalized, the 2020 and future CDR submissions include the following new or revised data elements: a foreign parent company if one exists; NAICS code(s) for the manufacturing site; whether the chemical is recycled</w:t>
      </w:r>
      <w:r w:rsidR="00BE740A">
        <w:t>;</w:t>
      </w:r>
      <w:r>
        <w:t xml:space="preserve"> the percent of the chemical’s production volume that is a byproduct; and industrial, consumer, and commercial function and use codes based on the </w:t>
      </w:r>
      <w:r w:rsidRPr="000A7A51">
        <w:t>Organisation for Economic Co-operation and Development</w:t>
      </w:r>
      <w:r>
        <w:t xml:space="preserve"> (OECD) codes, which</w:t>
      </w:r>
      <w:r w:rsidR="008540E0">
        <w:t xml:space="preserve"> </w:t>
      </w:r>
      <w:r w:rsidR="00840364">
        <w:t>are being</w:t>
      </w:r>
      <w:r w:rsidR="008540E0">
        <w:t xml:space="preserve"> phased in to </w:t>
      </w:r>
      <w:r>
        <w:t xml:space="preserve">replace the current codes. Future CDR submitters in a co-manufacturing situation may report using an improved process. Additionally, changes </w:t>
      </w:r>
      <w:r w:rsidR="00DE183A">
        <w:t>are</w:t>
      </w:r>
      <w:r>
        <w:t xml:space="preserve"> finalized</w:t>
      </w:r>
      <w:r w:rsidRPr="003C7CA4">
        <w:t xml:space="preserve"> </w:t>
      </w:r>
      <w:r>
        <w:t xml:space="preserve">to support </w:t>
      </w:r>
      <w:r w:rsidRPr="003C7CA4">
        <w:t>alignment</w:t>
      </w:r>
      <w:r>
        <w:t xml:space="preserve"> of CDR reporting </w:t>
      </w:r>
      <w:r w:rsidRPr="003C7CA4">
        <w:t>with the amended TSCA requirements for claiming confidentiality.</w:t>
      </w:r>
      <w:r>
        <w:t xml:space="preserve"> EPA also finalized two exemptions for certain byproduct chemicals: (1) for specific site-limited recycled byproducts and (2) for byproducts generated by specific non-integral processes.</w:t>
      </w:r>
      <w:r w:rsidRPr="006573DC">
        <w:t xml:space="preserve"> </w:t>
      </w:r>
    </w:p>
    <w:p w:rsidRPr="00C87480" w:rsidR="008E63B5" w:rsidP="005A7AEA" w:rsidRDefault="008E63B5" w14:paraId="08086F86" w14:textId="77777777">
      <w:pPr>
        <w:rPr>
          <w:rFonts w:cs="Arial"/>
          <w:lang w:bidi="en-US"/>
        </w:rPr>
      </w:pPr>
    </w:p>
    <w:p w:rsidRPr="00C87480" w:rsidR="00F40219" w:rsidP="00686836" w:rsidRDefault="00F40219" w14:paraId="46AB1623" w14:textId="71098587">
      <w:pPr>
        <w:pStyle w:val="BodyText"/>
      </w:pPr>
      <w:r w:rsidRPr="00C87480">
        <w:rPr>
          <w:i/>
        </w:rPr>
        <w:t xml:space="preserve">Legal </w:t>
      </w:r>
      <w:r w:rsidRPr="00C87480" w:rsidR="002406C5">
        <w:rPr>
          <w:i/>
        </w:rPr>
        <w:t>a</w:t>
      </w:r>
      <w:r w:rsidRPr="00C87480">
        <w:rPr>
          <w:i/>
        </w:rPr>
        <w:t>uthority:</w:t>
      </w:r>
      <w:r w:rsidRPr="00C87480">
        <w:t xml:space="preserve"> </w:t>
      </w:r>
      <w:r w:rsidRPr="009533EA" w:rsidR="00686836">
        <w:t xml:space="preserve">Under TSCA section 8(a) (15 USC 2607), the Environmental Protection Agency (EPA) is authorized to collect certain information on chemical substances manufactured (including imported) or processed in the United States. </w:t>
      </w:r>
      <w:r w:rsidRPr="00437C1A" w:rsidR="00686836">
        <w:t>In addition, under TSCA section 8(b), the Agency is required to compile and keep current, via periodic inquiry, the Inventory of Chemical Substances in Commerce (TSCA Inventory)</w:t>
      </w:r>
      <w:r w:rsidRPr="009533EA" w:rsidR="00686836">
        <w:t xml:space="preserve">. </w:t>
      </w:r>
      <w:r w:rsidRPr="00C87480" w:rsidR="00E65DB2">
        <w:rPr>
          <w:rStyle w:val="Hyperlink"/>
          <w:color w:val="auto"/>
          <w:u w:val="none"/>
        </w:rPr>
        <w:t>More details are provided in Unit 2(a) of this Supporting Statement.</w:t>
      </w:r>
    </w:p>
    <w:p w:rsidRPr="00025CEE" w:rsidR="005A7AEA" w:rsidP="005A7AEA" w:rsidRDefault="005A7AEA" w14:paraId="2C7D07DF" w14:textId="77777777">
      <w:pPr>
        <w:pStyle w:val="NoSpacing"/>
        <w:rPr>
          <w:color w:val="FF33CC"/>
        </w:rPr>
      </w:pPr>
    </w:p>
    <w:p w:rsidRPr="00DE183A" w:rsidR="005A7AEA" w:rsidP="005A7AEA" w:rsidRDefault="005A7AEA" w14:paraId="53A3B09B" w14:textId="0C4517DC">
      <w:pPr>
        <w:rPr>
          <w:rFonts w:eastAsia="Times New Roman" w:cs="Arial"/>
          <w:szCs w:val="24"/>
        </w:rPr>
      </w:pPr>
      <w:r w:rsidRPr="00E41A4C">
        <w:rPr>
          <w:rFonts w:eastAsia="Times New Roman" w:cs="Arial"/>
          <w:i/>
          <w:iCs/>
          <w:szCs w:val="24"/>
        </w:rPr>
        <w:t>Respondents/</w:t>
      </w:r>
      <w:r w:rsidRPr="00E41A4C" w:rsidR="002406C5">
        <w:rPr>
          <w:rFonts w:eastAsia="Times New Roman" w:cs="Arial"/>
          <w:i/>
          <w:iCs/>
          <w:szCs w:val="24"/>
        </w:rPr>
        <w:t>a</w:t>
      </w:r>
      <w:r w:rsidRPr="00E41A4C">
        <w:rPr>
          <w:rFonts w:eastAsia="Times New Roman" w:cs="Arial"/>
          <w:i/>
          <w:iCs/>
          <w:szCs w:val="24"/>
        </w:rPr>
        <w:t xml:space="preserve">ffected </w:t>
      </w:r>
      <w:r w:rsidRPr="00E41A4C" w:rsidR="002406C5">
        <w:rPr>
          <w:rFonts w:eastAsia="Times New Roman" w:cs="Arial"/>
          <w:i/>
          <w:iCs/>
          <w:szCs w:val="24"/>
        </w:rPr>
        <w:t>e</w:t>
      </w:r>
      <w:r w:rsidRPr="00E41A4C">
        <w:rPr>
          <w:rFonts w:eastAsia="Times New Roman" w:cs="Arial"/>
          <w:i/>
          <w:iCs/>
          <w:szCs w:val="24"/>
        </w:rPr>
        <w:t>ntities</w:t>
      </w:r>
      <w:r w:rsidRPr="001430EB">
        <w:rPr>
          <w:rFonts w:eastAsiaTheme="minorEastAsia"/>
          <w:lang w:bidi="en-US"/>
        </w:rPr>
        <w:t xml:space="preserve">: </w:t>
      </w:r>
      <w:r w:rsidRPr="001430EB" w:rsidR="001430EB">
        <w:rPr>
          <w:rFonts w:eastAsiaTheme="minorEastAsia"/>
          <w:lang w:bidi="en-US"/>
        </w:rPr>
        <w:t xml:space="preserve">Entities potentially affected by this ICR include companies manufacturing (including importing) chemical substances listed on the TSCA Inventory and regulated under the TSCA section 8(a) CDR </w:t>
      </w:r>
      <w:r w:rsidRPr="00DE183A" w:rsidR="001430EB">
        <w:rPr>
          <w:rFonts w:cs="Arial" w:eastAsiaTheme="minorEastAsia"/>
          <w:szCs w:val="24"/>
          <w:lang w:bidi="en-US"/>
        </w:rPr>
        <w:t>Regulation</w:t>
      </w:r>
      <w:r w:rsidRPr="00DE183A" w:rsidR="00DE183A">
        <w:rPr>
          <w:rFonts w:cs="Arial"/>
          <w:szCs w:val="24"/>
        </w:rPr>
        <w:t>.</w:t>
      </w:r>
    </w:p>
    <w:p w:rsidRPr="00025CEE" w:rsidR="005A7AEA" w:rsidP="005A7AEA" w:rsidRDefault="005A7AEA" w14:paraId="49BB05CC" w14:textId="77777777">
      <w:pPr>
        <w:rPr>
          <w:rFonts w:eastAsia="Times New Roman" w:cs="Arial"/>
          <w:color w:val="FF33CC"/>
          <w:szCs w:val="24"/>
        </w:rPr>
      </w:pPr>
    </w:p>
    <w:p w:rsidRPr="001430EB" w:rsidR="00853B7A" w:rsidP="00853B7A" w:rsidRDefault="00853B7A" w14:paraId="71DDD236" w14:textId="5589E9E8">
      <w:pPr>
        <w:rPr>
          <w:rFonts w:eastAsiaTheme="minorEastAsia"/>
          <w:lang w:bidi="en-US"/>
        </w:rPr>
      </w:pPr>
      <w:r w:rsidRPr="00E41A4C">
        <w:rPr>
          <w:rFonts w:eastAsia="Times New Roman" w:cs="Arial"/>
          <w:i/>
          <w:szCs w:val="24"/>
        </w:rPr>
        <w:t>Respondent’s obligation to respond</w:t>
      </w:r>
      <w:r w:rsidRPr="00E41A4C">
        <w:rPr>
          <w:rFonts w:eastAsia="Times New Roman" w:cs="Arial"/>
          <w:szCs w:val="24"/>
        </w:rPr>
        <w:t xml:space="preserve">: </w:t>
      </w:r>
      <w:r w:rsidRPr="001430EB" w:rsidR="001430EB">
        <w:rPr>
          <w:rFonts w:eastAsiaTheme="minorEastAsia"/>
          <w:lang w:bidi="en-US"/>
        </w:rPr>
        <w:t>Respondents are obligated to report to EPA</w:t>
      </w:r>
      <w:r w:rsidRPr="001430EB">
        <w:rPr>
          <w:rFonts w:eastAsiaTheme="minorEastAsia"/>
          <w:lang w:bidi="en-US"/>
        </w:rPr>
        <w:t>.</w:t>
      </w:r>
    </w:p>
    <w:p w:rsidRPr="00E41A4C" w:rsidR="00853B7A" w:rsidP="00853B7A" w:rsidRDefault="00853B7A" w14:paraId="65D667A9" w14:textId="77777777">
      <w:pPr>
        <w:rPr>
          <w:rFonts w:eastAsia="Times New Roman" w:cs="Arial"/>
          <w:bCs/>
          <w:szCs w:val="24"/>
        </w:rPr>
      </w:pPr>
    </w:p>
    <w:p w:rsidRPr="001964BE" w:rsidR="00853B7A" w:rsidP="00853B7A" w:rsidRDefault="00853B7A" w14:paraId="6D53BCF2" w14:textId="37E591F4">
      <w:r w:rsidRPr="001964BE">
        <w:rPr>
          <w:rFonts w:eastAsia="Times New Roman" w:cs="Arial"/>
          <w:bCs/>
          <w:i/>
          <w:szCs w:val="24"/>
        </w:rPr>
        <w:t>Confidentiality of responses:</w:t>
      </w:r>
      <w:r w:rsidRPr="001964BE">
        <w:rPr>
          <w:rFonts w:eastAsia="Times New Roman" w:cs="Arial"/>
          <w:bCs/>
          <w:szCs w:val="24"/>
        </w:rPr>
        <w:t xml:space="preserve"> </w:t>
      </w:r>
      <w:r w:rsidRPr="001430EB" w:rsidR="001430EB">
        <w:rPr>
          <w:bCs/>
        </w:rPr>
        <w:t>Confidentiality claims limit access to the CDR data, especially by the public. EPA recognizes that some information submitted to the Agency is legitimately confidential.  Because of this, EPA’s review of confidential data is an inherently governmental function that EPA must perform to protect human health and the environment</w:t>
      </w:r>
      <w:r w:rsidRPr="001964BE">
        <w:t>.</w:t>
      </w:r>
    </w:p>
    <w:p w:rsidRPr="001964BE" w:rsidR="00853B7A" w:rsidP="00853B7A" w:rsidRDefault="00853B7A" w14:paraId="37660E69" w14:textId="00D64350">
      <w:pPr>
        <w:rPr>
          <w:rFonts w:eastAsia="Times New Roman" w:cs="Arial"/>
          <w:szCs w:val="24"/>
        </w:rPr>
      </w:pPr>
      <w:r w:rsidRPr="001964BE">
        <w:rPr>
          <w:rFonts w:eastAsia="Times New Roman" w:cs="Arial"/>
          <w:i/>
          <w:iCs/>
          <w:szCs w:val="24"/>
        </w:rPr>
        <w:t>Estimated total number of potential respondents</w:t>
      </w:r>
      <w:r w:rsidRPr="001964BE">
        <w:rPr>
          <w:rFonts w:eastAsia="Times New Roman" w:cs="Arial"/>
          <w:szCs w:val="24"/>
        </w:rPr>
        <w:t xml:space="preserve">: </w:t>
      </w:r>
      <w:r w:rsidR="004F60BD">
        <w:rPr>
          <w:rFonts w:eastAsia="Times New Roman" w:cs="Arial"/>
          <w:szCs w:val="24"/>
        </w:rPr>
        <w:t>5,660.</w:t>
      </w:r>
    </w:p>
    <w:p w:rsidRPr="001964BE" w:rsidR="00853B7A" w:rsidP="00853B7A" w:rsidRDefault="00853B7A" w14:paraId="61439820" w14:textId="77777777">
      <w:pPr>
        <w:rPr>
          <w:rFonts w:eastAsia="Times New Roman" w:cs="Arial"/>
          <w:i/>
          <w:iCs/>
          <w:szCs w:val="24"/>
        </w:rPr>
      </w:pPr>
    </w:p>
    <w:p w:rsidRPr="00DE183A" w:rsidR="00853B7A" w:rsidP="00853B7A" w:rsidRDefault="00853B7A" w14:paraId="792FF67D" w14:textId="037B79BD">
      <w:pPr>
        <w:rPr>
          <w:rFonts w:eastAsia="Times New Roman" w:cs="Arial"/>
          <w:szCs w:val="24"/>
        </w:rPr>
      </w:pPr>
      <w:r w:rsidRPr="001964BE">
        <w:rPr>
          <w:rFonts w:eastAsia="Times New Roman" w:cs="Arial"/>
          <w:i/>
          <w:iCs/>
          <w:szCs w:val="24"/>
        </w:rPr>
        <w:t>Frequency of response</w:t>
      </w:r>
      <w:r w:rsidRPr="001964BE">
        <w:rPr>
          <w:rFonts w:eastAsia="Times New Roman" w:cs="Arial"/>
          <w:szCs w:val="24"/>
        </w:rPr>
        <w:t xml:space="preserve">: </w:t>
      </w:r>
      <w:r w:rsidRPr="00DE183A" w:rsidR="004F60BD">
        <w:rPr>
          <w:bCs/>
        </w:rPr>
        <w:t>The collection occur</w:t>
      </w:r>
      <w:r w:rsidR="00DE183A">
        <w:rPr>
          <w:bCs/>
        </w:rPr>
        <w:t>s</w:t>
      </w:r>
      <w:r w:rsidRPr="00DE183A" w:rsidR="004F60BD">
        <w:rPr>
          <w:bCs/>
        </w:rPr>
        <w:t xml:space="preserve"> every four years. The next CDR collection will occur in 2020</w:t>
      </w:r>
      <w:r w:rsidRPr="00DE183A">
        <w:rPr>
          <w:rFonts w:eastAsia="Times New Roman" w:cs="Arial"/>
          <w:szCs w:val="24"/>
        </w:rPr>
        <w:t>.</w:t>
      </w:r>
    </w:p>
    <w:p w:rsidRPr="001964BE" w:rsidR="00853B7A" w:rsidP="00853B7A" w:rsidRDefault="00853B7A" w14:paraId="401004B5" w14:textId="77777777">
      <w:pPr>
        <w:pStyle w:val="NoSpacing"/>
      </w:pPr>
    </w:p>
    <w:p w:rsidRPr="00275937" w:rsidR="00853B7A" w:rsidP="00853B7A" w:rsidRDefault="00853B7A" w14:paraId="419171CA" w14:textId="6EC40DE5">
      <w:pPr>
        <w:pStyle w:val="NoSpacing"/>
        <w:rPr>
          <w:rFonts w:eastAsia="Times New Roman" w:cs="Arial"/>
          <w:szCs w:val="24"/>
        </w:rPr>
      </w:pPr>
      <w:r w:rsidRPr="001964BE">
        <w:rPr>
          <w:rFonts w:eastAsia="Times New Roman" w:cs="Arial"/>
          <w:i/>
          <w:iCs/>
          <w:szCs w:val="24"/>
        </w:rPr>
        <w:t>Estimated total annual burden</w:t>
      </w:r>
      <w:r w:rsidRPr="001964BE">
        <w:rPr>
          <w:rFonts w:eastAsia="Times New Roman" w:cs="Arial"/>
          <w:szCs w:val="24"/>
        </w:rPr>
        <w:t xml:space="preserve">: </w:t>
      </w:r>
      <w:r w:rsidRPr="001E3095" w:rsidR="004F60BD">
        <w:rPr>
          <w:rFonts w:eastAsia="Times New Roman" w:cs="Arial"/>
          <w:szCs w:val="24"/>
        </w:rPr>
        <w:t>26,469 hours</w:t>
      </w:r>
      <w:r w:rsidRPr="00275937">
        <w:rPr>
          <w:rFonts w:eastAsia="Times New Roman" w:cs="Arial"/>
          <w:szCs w:val="24"/>
        </w:rPr>
        <w:t>. Burden is defined at 5 CFR 1320.3(b).</w:t>
      </w:r>
    </w:p>
    <w:p w:rsidRPr="00275937" w:rsidR="00853B7A" w:rsidP="00853B7A" w:rsidRDefault="00853B7A" w14:paraId="03C72AA7" w14:textId="77777777">
      <w:pPr>
        <w:rPr>
          <w:rFonts w:eastAsia="Times New Roman" w:cs="Arial"/>
          <w:i/>
          <w:iCs/>
          <w:szCs w:val="24"/>
        </w:rPr>
      </w:pPr>
    </w:p>
    <w:p w:rsidRPr="001964BE" w:rsidR="00853B7A" w:rsidP="00853B7A" w:rsidRDefault="00853B7A" w14:paraId="0ABBFB19" w14:textId="2107689C">
      <w:pPr>
        <w:rPr>
          <w:rFonts w:eastAsia="Times New Roman" w:cs="Arial"/>
          <w:szCs w:val="24"/>
        </w:rPr>
      </w:pPr>
      <w:r w:rsidRPr="00275937">
        <w:rPr>
          <w:rFonts w:eastAsia="Times New Roman" w:cs="Arial"/>
          <w:i/>
          <w:iCs/>
          <w:szCs w:val="24"/>
        </w:rPr>
        <w:t xml:space="preserve">Estimated total </w:t>
      </w:r>
      <w:r w:rsidRPr="001964BE">
        <w:rPr>
          <w:rFonts w:eastAsia="Times New Roman" w:cs="Arial"/>
          <w:i/>
          <w:iCs/>
          <w:szCs w:val="24"/>
        </w:rPr>
        <w:t>annual costs</w:t>
      </w:r>
      <w:r w:rsidRPr="001964BE">
        <w:rPr>
          <w:rFonts w:eastAsia="Times New Roman" w:cs="Arial"/>
          <w:szCs w:val="24"/>
        </w:rPr>
        <w:t xml:space="preserve">: </w:t>
      </w:r>
      <w:r w:rsidRPr="001E3095" w:rsidR="001E3095">
        <w:rPr>
          <w:bCs/>
        </w:rPr>
        <w:t>$2,053,700</w:t>
      </w:r>
      <w:r w:rsidRPr="001E3095">
        <w:rPr>
          <w:bCs/>
        </w:rPr>
        <w:t>,</w:t>
      </w:r>
      <w:r w:rsidRPr="001964BE">
        <w:rPr>
          <w:rFonts w:eastAsia="Times New Roman" w:cs="Arial"/>
          <w:bCs/>
          <w:szCs w:val="24"/>
        </w:rPr>
        <w:t xml:space="preserve"> includes no annualized </w:t>
      </w:r>
      <w:r w:rsidRPr="001964BE">
        <w:rPr>
          <w:rFonts w:eastAsia="Times New Roman" w:cs="Arial"/>
          <w:szCs w:val="24"/>
        </w:rPr>
        <w:t>capital investment or operational</w:t>
      </w:r>
      <w:r w:rsidR="001E3095">
        <w:rPr>
          <w:rFonts w:eastAsia="Times New Roman" w:cs="Arial"/>
          <w:szCs w:val="24"/>
        </w:rPr>
        <w:t xml:space="preserve"> and </w:t>
      </w:r>
      <w:r w:rsidRPr="001964BE" w:rsidR="001E3095">
        <w:rPr>
          <w:rFonts w:eastAsia="Times New Roman" w:cs="Arial"/>
          <w:szCs w:val="24"/>
        </w:rPr>
        <w:t xml:space="preserve">maintenance </w:t>
      </w:r>
      <w:r w:rsidRPr="001964BE">
        <w:rPr>
          <w:rFonts w:eastAsia="Times New Roman" w:cs="Arial"/>
          <w:szCs w:val="24"/>
        </w:rPr>
        <w:t>costs.</w:t>
      </w:r>
    </w:p>
    <w:p w:rsidRPr="001964BE" w:rsidR="00853B7A" w:rsidP="00853B7A" w:rsidRDefault="00853B7A" w14:paraId="689CAAEC" w14:textId="77777777">
      <w:pPr>
        <w:pStyle w:val="NoSpacing"/>
      </w:pPr>
    </w:p>
    <w:p w:rsidRPr="001964BE" w:rsidR="00853B7A" w:rsidP="00853B7A" w:rsidRDefault="00853B7A" w14:paraId="5D560C74" w14:textId="6A3C3C08">
      <w:pPr>
        <w:rPr>
          <w:rFonts w:cs="Arial"/>
          <w:lang w:bidi="en-US"/>
        </w:rPr>
      </w:pPr>
      <w:r w:rsidRPr="001964BE">
        <w:rPr>
          <w:rFonts w:eastAsia="Times New Roman" w:cs="Arial"/>
          <w:i/>
          <w:szCs w:val="24"/>
        </w:rPr>
        <w:t>Changes in the estimates</w:t>
      </w:r>
      <w:r w:rsidRPr="001964BE">
        <w:rPr>
          <w:rFonts w:eastAsia="Times New Roman" w:cs="Arial"/>
          <w:szCs w:val="24"/>
        </w:rPr>
        <w:t xml:space="preserve">: </w:t>
      </w:r>
      <w:r w:rsidR="008506F8">
        <w:rPr>
          <w:rFonts w:eastAsia="Times New Roman" w:cs="Arial"/>
          <w:szCs w:val="24"/>
        </w:rPr>
        <w:t xml:space="preserve">There is an overall annual increase of </w:t>
      </w:r>
      <w:r w:rsidR="008506F8">
        <w:t>26,469</w:t>
      </w:r>
      <w:r w:rsidRPr="000E5DBC" w:rsidR="008506F8">
        <w:t xml:space="preserve"> hours </w:t>
      </w:r>
      <w:r w:rsidR="008506F8">
        <w:t xml:space="preserve">in the total respondent burden that is currently approved by OMB for this ICR. This increase reflects changes and revisions to the reportable data elements as well as two byproduct reporting exemptions. </w:t>
      </w:r>
      <w:r w:rsidRPr="001964BE">
        <w:rPr>
          <w:bCs/>
        </w:rPr>
        <w:t>Further details about these changes are included in this ICR supporting statement.</w:t>
      </w:r>
      <w:r w:rsidRPr="001964BE">
        <w:t xml:space="preserve"> </w:t>
      </w:r>
    </w:p>
    <w:p w:rsidRPr="00025CEE" w:rsidR="008B4785" w:rsidP="00D4779C" w:rsidRDefault="00E65DB2" w14:paraId="19589705" w14:textId="4E646F81">
      <w:pPr>
        <w:rPr>
          <w:rFonts w:cs="Arial"/>
          <w:color w:val="FF33CC"/>
          <w:lang w:bidi="en-US"/>
        </w:rPr>
      </w:pPr>
      <w:r w:rsidRPr="00025CEE">
        <w:rPr>
          <w:rFonts w:eastAsia="Times New Roman" w:cs="Arial"/>
          <w:color w:val="FF33CC"/>
          <w:szCs w:val="24"/>
        </w:rPr>
        <w:t xml:space="preserve"> </w:t>
      </w:r>
    </w:p>
    <w:p w:rsidRPr="00025CEE" w:rsidR="00E62F2E" w:rsidP="00AF4CFB" w:rsidRDefault="00E62F2E" w14:paraId="76A65D93" w14:textId="77777777">
      <w:pPr>
        <w:pStyle w:val="NoSpacing"/>
        <w:rPr>
          <w:color w:val="FF33CC"/>
          <w:lang w:bidi="en-US"/>
        </w:rPr>
      </w:pPr>
    </w:p>
    <w:p w:rsidRPr="00B14BF0" w:rsidR="002B34A0" w:rsidP="005B4F77" w:rsidRDefault="00512823" w14:paraId="6760CA89" w14:textId="77777777">
      <w:pPr>
        <w:pStyle w:val="Heading1"/>
        <w:numPr>
          <w:ilvl w:val="0"/>
          <w:numId w:val="3"/>
        </w:numPr>
      </w:pPr>
      <w:bookmarkStart w:name="_Toc34984650" w:id="8"/>
      <w:r w:rsidRPr="00B14BF0">
        <w:t>NECESSITY OF THE INFORMATION COLLECTION</w:t>
      </w:r>
      <w:bookmarkEnd w:id="8"/>
    </w:p>
    <w:p w:rsidRPr="00B14BF0" w:rsidR="00F40219" w:rsidP="005B4F77" w:rsidRDefault="00F40219" w14:paraId="0746C69C" w14:textId="77777777">
      <w:pPr>
        <w:pStyle w:val="Heading2"/>
        <w:numPr>
          <w:ilvl w:val="1"/>
          <w:numId w:val="3"/>
        </w:numPr>
        <w:tabs>
          <w:tab w:val="left" w:pos="1080"/>
        </w:tabs>
      </w:pPr>
      <w:bookmarkStart w:name="_Toc34984651" w:id="9"/>
      <w:r w:rsidRPr="00B14BF0">
        <w:t>Related Legal and/or Administrative Requirements</w:t>
      </w:r>
      <w:bookmarkEnd w:id="9"/>
    </w:p>
    <w:p w:rsidRPr="009533EA" w:rsidR="00C26EDA" w:rsidP="00623DFF" w:rsidRDefault="007C27AD" w14:paraId="2D3DAF78" w14:textId="3C681C5A">
      <w:pPr>
        <w:pStyle w:val="BodyText"/>
      </w:pPr>
      <w:r w:rsidRPr="009533EA">
        <w:t>TSCA section 8(a) (15 USC 2607)</w:t>
      </w:r>
      <w:r>
        <w:t xml:space="preserve"> authorizes </w:t>
      </w:r>
      <w:r w:rsidRPr="009533EA">
        <w:t xml:space="preserve">EPA to collect certain information on chemical substances manufactured (including imported) or processed in the United States. </w:t>
      </w:r>
      <w:r w:rsidRPr="00437C1A">
        <w:t>In addition, under TSCA section 8(b), the Agency is required to compile and keep current, via periodic inquiry, the Inventory of Chemical Substances in Commerce (TSCA Inventory)</w:t>
      </w:r>
      <w:r w:rsidRPr="009533EA">
        <w:t>.</w:t>
      </w:r>
      <w:r>
        <w:t xml:space="preserve"> In addition, c</w:t>
      </w:r>
      <w:r w:rsidRPr="00D72479">
        <w:t xml:space="preserve">hanges to </w:t>
      </w:r>
      <w:r>
        <w:t xml:space="preserve">the </w:t>
      </w:r>
      <w:r w:rsidRPr="00D72479">
        <w:t>CDR were put in place following enactment of the Frank R. Lautenberg Chemical Safety for the 21st Century Act, which amended TSCA on June 22, 2016.</w:t>
      </w:r>
      <w:r>
        <w:t xml:space="preserve"> Claims of confidentiality are covered under TSCA section 14 (See </w:t>
      </w:r>
      <w:hyperlink w:history="1" r:id="rId13">
        <w:r w:rsidRPr="009533EA">
          <w:rPr>
            <w:color w:val="0000FF"/>
            <w:u w:val="single"/>
          </w:rPr>
          <w:t>82 FR 6522</w:t>
        </w:r>
      </w:hyperlink>
      <w:r w:rsidRPr="009533EA">
        <w:t>, January 19, 2017</w:t>
      </w:r>
      <w:r>
        <w:t>).</w:t>
      </w:r>
      <w:r w:rsidRPr="009533EA" w:rsidR="00C26EDA">
        <w:t xml:space="preserve"> </w:t>
      </w:r>
    </w:p>
    <w:p w:rsidRPr="00F42B5F" w:rsidR="00F40219" w:rsidP="00F40219" w:rsidRDefault="00F40219" w14:paraId="5D1A06A5" w14:textId="6874DC0A"/>
    <w:p w:rsidRPr="00F42B5F" w:rsidR="005B4F77" w:rsidP="005B4F77" w:rsidRDefault="005B4F77" w14:paraId="4A7DC334" w14:textId="77777777">
      <w:pPr>
        <w:pStyle w:val="Heading2"/>
        <w:numPr>
          <w:ilvl w:val="1"/>
          <w:numId w:val="3"/>
        </w:numPr>
        <w:tabs>
          <w:tab w:val="left" w:pos="1080"/>
        </w:tabs>
      </w:pPr>
      <w:bookmarkStart w:name="_Toc34984652" w:id="10"/>
      <w:r w:rsidRPr="00F42B5F">
        <w:t>Necessity of the Information Collection</w:t>
      </w:r>
      <w:bookmarkEnd w:id="10"/>
    </w:p>
    <w:p w:rsidRPr="009533EA" w:rsidR="00F34609" w:rsidP="00F34609" w:rsidRDefault="00F34609" w14:paraId="5F755853" w14:textId="0114835D">
      <w:pPr>
        <w:pStyle w:val="BodyText"/>
      </w:pPr>
      <w:r w:rsidRPr="009533EA">
        <w:t xml:space="preserve">Under </w:t>
      </w:r>
      <w:r>
        <w:t>amended TSCA</w:t>
      </w:r>
      <w:r w:rsidRPr="009533EA">
        <w:t xml:space="preserve">, EPA is charged with protecting human health and the environment from potential chemical risks. Through the CDR regulation, EPA collects basic exposure-related manufacturing, processing, and use information used by the Agency and others in a wide range of activities. </w:t>
      </w:r>
    </w:p>
    <w:p w:rsidRPr="009533EA" w:rsidR="00F34609" w:rsidP="00F34609" w:rsidRDefault="00F34609" w14:paraId="33CA5F11" w14:textId="77777777">
      <w:pPr>
        <w:pStyle w:val="BodyText"/>
      </w:pPr>
      <w:r>
        <w:t>Some of the finalized revisions to t</w:t>
      </w:r>
      <w:r w:rsidRPr="009533EA">
        <w:t xml:space="preserve">he </w:t>
      </w:r>
      <w:r>
        <w:t xml:space="preserve">CDR will improve the </w:t>
      </w:r>
      <w:r w:rsidRPr="009533EA">
        <w:t>exposure-related data</w:t>
      </w:r>
      <w:r>
        <w:t xml:space="preserve"> collected</w:t>
      </w:r>
      <w:r w:rsidRPr="009533EA">
        <w:t xml:space="preserve"> on manufacturing, processing, and use</w:t>
      </w:r>
      <w:r>
        <w:t xml:space="preserve"> of chemicals in commerce, enabling </w:t>
      </w:r>
      <w:r w:rsidRPr="009533EA">
        <w:t xml:space="preserve">EPA to conduct a more effective and efficient screening-level review of chemical substances to identify candidates for further evaluation or action. This </w:t>
      </w:r>
      <w:r>
        <w:t xml:space="preserve">improvement </w:t>
      </w:r>
      <w:r w:rsidRPr="009533EA">
        <w:t xml:space="preserve">is particularly important </w:t>
      </w:r>
      <w:proofErr w:type="gramStart"/>
      <w:r w:rsidRPr="009533EA">
        <w:t>in light of</w:t>
      </w:r>
      <w:proofErr w:type="gramEnd"/>
      <w:r w:rsidRPr="009533EA">
        <w:t xml:space="preserve"> EPA’s requirement under </w:t>
      </w:r>
      <w:r>
        <w:t>amended TSCA</w:t>
      </w:r>
      <w:r w:rsidRPr="009533EA">
        <w:t xml:space="preserve"> to identify chemicals in commerce as high priority or low priority for risk</w:t>
      </w:r>
      <w:r>
        <w:t xml:space="preserve"> evaluation (TSCA section 6(b))</w:t>
      </w:r>
      <w:r w:rsidRPr="009533EA">
        <w:t xml:space="preserve">. </w:t>
      </w:r>
      <w:r>
        <w:t xml:space="preserve">Other revisions, such as changes to byproducts reporting and an improved mechanism for co-manufacturing reporting, will reduce burden for reporters while continuing to allow EPA to access needed information. </w:t>
      </w:r>
    </w:p>
    <w:p w:rsidRPr="00200EAC" w:rsidR="008648B5" w:rsidP="008648B5" w:rsidRDefault="00F34609" w14:paraId="4337A05A" w14:textId="2D890ABF">
      <w:r w:rsidRPr="009533EA">
        <w:t xml:space="preserve">Additionally, under TSCA </w:t>
      </w:r>
      <w:r>
        <w:t>section 14</w:t>
      </w:r>
      <w:r w:rsidRPr="009533EA">
        <w:t xml:space="preserve">, claims of </w:t>
      </w:r>
      <w:r>
        <w:t>confidentiality</w:t>
      </w:r>
      <w:r w:rsidRPr="009533EA">
        <w:t xml:space="preserve"> (other than for </w:t>
      </w:r>
      <w:r>
        <w:t xml:space="preserve">selected data elements such as </w:t>
      </w:r>
      <w:r w:rsidRPr="009533EA">
        <w:t xml:space="preserve">production volume) must be substantiated at the time </w:t>
      </w:r>
      <w:r>
        <w:t xml:space="preserve">information is submitted </w:t>
      </w:r>
      <w:r w:rsidRPr="009533EA">
        <w:t>to EPA, including as part of CDR (</w:t>
      </w:r>
      <w:r>
        <w:t xml:space="preserve">See </w:t>
      </w:r>
      <w:hyperlink w:history="1" r:id="rId14">
        <w:r w:rsidRPr="009533EA">
          <w:rPr>
            <w:color w:val="0000FF"/>
            <w:u w:val="single"/>
          </w:rPr>
          <w:t>82 FR 6522</w:t>
        </w:r>
      </w:hyperlink>
      <w:r w:rsidRPr="009533EA">
        <w:t xml:space="preserve">, January 19, 2017). </w:t>
      </w:r>
      <w:r>
        <w:t>To ensure that</w:t>
      </w:r>
      <w:r w:rsidRPr="009533EA">
        <w:t xml:space="preserve"> EPA can use CDR data most effectively, including sharing it with the public, TSCA </w:t>
      </w:r>
      <w:r>
        <w:t>requires</w:t>
      </w:r>
      <w:r w:rsidRPr="009533EA">
        <w:t xml:space="preserve"> substantiation </w:t>
      </w:r>
      <w:r>
        <w:t xml:space="preserve">to enable </w:t>
      </w:r>
      <w:r w:rsidRPr="009533EA">
        <w:t xml:space="preserve">EPA </w:t>
      </w:r>
      <w:r>
        <w:t xml:space="preserve">to </w:t>
      </w:r>
      <w:r w:rsidRPr="009533EA">
        <w:t xml:space="preserve">review the legitimacy of </w:t>
      </w:r>
      <w:r>
        <w:t>confidentiality</w:t>
      </w:r>
      <w:r w:rsidRPr="009533EA">
        <w:t xml:space="preserve"> claims.</w:t>
      </w:r>
      <w:r w:rsidRPr="00B571F3">
        <w:t xml:space="preserve"> EPA </w:t>
      </w:r>
      <w:r>
        <w:t>is finalizing new and updated questions for reporters to answer in order to substantiate confidentiality claims at the time the information is submitted to the Agency. EPA is also finalizing which data elements do not require upfront</w:t>
      </w:r>
      <w:r w:rsidRPr="00B571F3">
        <w:t xml:space="preserve"> substantiation </w:t>
      </w:r>
      <w:r>
        <w:t xml:space="preserve">and which data elements are ineligible for confidentiality claims. </w:t>
      </w:r>
    </w:p>
    <w:p w:rsidRPr="00200EAC" w:rsidR="00F42B5F" w:rsidP="00F42B5F" w:rsidRDefault="00F42B5F" w14:paraId="7475D62C" w14:textId="77777777">
      <w:pPr>
        <w:pStyle w:val="NoSpacing"/>
      </w:pPr>
    </w:p>
    <w:p w:rsidRPr="00200EAC" w:rsidR="008648B5" w:rsidP="008648B5" w:rsidRDefault="008648B5" w14:paraId="480F715D" w14:textId="77777777">
      <w:pPr>
        <w:pStyle w:val="Heading2"/>
        <w:numPr>
          <w:ilvl w:val="1"/>
          <w:numId w:val="3"/>
        </w:numPr>
        <w:tabs>
          <w:tab w:val="left" w:pos="1080"/>
        </w:tabs>
      </w:pPr>
      <w:bookmarkStart w:name="_Toc34984653" w:id="11"/>
      <w:r w:rsidRPr="00200EAC">
        <w:t>Uses, Users, and Purpose of the Information Collection</w:t>
      </w:r>
      <w:bookmarkEnd w:id="11"/>
    </w:p>
    <w:p w:rsidR="00212595" w:rsidP="00693608" w:rsidRDefault="004B7F5C" w14:paraId="251296C4" w14:textId="1B7C63D5">
      <w:pPr>
        <w:pStyle w:val="BodyText"/>
        <w:rPr>
          <w:rFonts w:cs="Times New Roman"/>
          <w:szCs w:val="24"/>
        </w:rPr>
      </w:pPr>
      <w:r w:rsidRPr="003F119A">
        <w:rPr>
          <w:rFonts w:cs="Times New Roman"/>
          <w:szCs w:val="24"/>
        </w:rPr>
        <w:t>EPA’s OPPT, other EPA Offices and/or other Federal agencies will generally be the primary groups for which information will be collected. However, to the extent that reported information is not considered to be</w:t>
      </w:r>
      <w:r>
        <w:rPr>
          <w:rFonts w:cs="Times New Roman"/>
          <w:szCs w:val="24"/>
        </w:rPr>
        <w:t xml:space="preserve"> CBI</w:t>
      </w:r>
      <w:r w:rsidRPr="003F119A">
        <w:rPr>
          <w:rFonts w:cs="Times New Roman"/>
          <w:szCs w:val="24"/>
        </w:rPr>
        <w:t xml:space="preserve">, environmental groups, environmental justice advocates, state and </w:t>
      </w:r>
      <w:r w:rsidRPr="003F119A">
        <w:rPr>
          <w:rFonts w:cs="Times New Roman"/>
          <w:szCs w:val="24"/>
        </w:rPr>
        <w:lastRenderedPageBreak/>
        <w:t>local government entities and other members of the public may access this information for their own use</w:t>
      </w:r>
      <w:r w:rsidR="00212595">
        <w:rPr>
          <w:rFonts w:cs="Times New Roman"/>
          <w:szCs w:val="24"/>
        </w:rPr>
        <w:t>.</w:t>
      </w:r>
    </w:p>
    <w:p w:rsidR="00693608" w:rsidP="00693608" w:rsidRDefault="00693608" w14:paraId="54DE25F3" w14:textId="6AA3B2E3">
      <w:pPr>
        <w:pStyle w:val="BodyText"/>
      </w:pPr>
      <w:r w:rsidRPr="009533EA">
        <w:t xml:space="preserve">The </w:t>
      </w:r>
      <w:r>
        <w:t xml:space="preserve">revisions associated with </w:t>
      </w:r>
      <w:r w:rsidRPr="009533EA">
        <w:t>reporting methods, including the reporting tool and electronic registration, help to ensure that the information reported to EPA is accurate and in compliance with the CDR requirements.</w:t>
      </w:r>
      <w:r>
        <w:t xml:space="preserve"> In addition, the revised data elements have practical utility for users of the data within EPA and for the public.</w:t>
      </w:r>
    </w:p>
    <w:p w:rsidRPr="009533EA" w:rsidR="00693608" w:rsidP="00E96905" w:rsidRDefault="00693608" w14:paraId="6962B15E" w14:textId="77777777">
      <w:pPr>
        <w:pStyle w:val="Heading3"/>
      </w:pPr>
      <w:r w:rsidRPr="009533EA">
        <w:rPr>
          <w:szCs w:val="18"/>
        </w:rPr>
        <w:tab/>
      </w:r>
      <w:bookmarkStart w:name="_Toc34984654" w:id="12"/>
      <w:r w:rsidRPr="0B02F8A5">
        <w:t>e-CDRweb Reporting Tool</w:t>
      </w:r>
      <w:bookmarkEnd w:id="12"/>
    </w:p>
    <w:p w:rsidR="00693608" w:rsidP="00693608" w:rsidRDefault="00693608" w14:paraId="21AD38E6" w14:textId="2B5D752C">
      <w:pPr>
        <w:pStyle w:val="BodyText"/>
      </w:pPr>
      <w:r w:rsidRPr="009533EA">
        <w:t xml:space="preserve">For the 2020 submission period, EPA will continue to require electronic reporting for all CDR submissions, including joint submissions and amendments. </w:t>
      </w:r>
      <w:r w:rsidRPr="0B02F8A5">
        <w:t xml:space="preserve">Persons submitting information under the CDR rule are required to use e-CDRweb, the Agency-provided, web-based tool to complete Form U (the CDR reporting form). EPA will make updates to this required reporting tool to address the </w:t>
      </w:r>
      <w:r>
        <w:t>final</w:t>
      </w:r>
      <w:r w:rsidRPr="0B02F8A5">
        <w:t xml:space="preserve"> changes</w:t>
      </w:r>
      <w:r w:rsidRPr="009533EA">
        <w:t>.</w:t>
      </w:r>
      <w:r>
        <w:t xml:space="preserve"> </w:t>
      </w:r>
      <w:r w:rsidRPr="0094026E" w:rsidR="006F15A6">
        <w:t>Mockups</w:t>
      </w:r>
      <w:r w:rsidRPr="0094026E">
        <w:t xml:space="preserve"> of e-CDRweb </w:t>
      </w:r>
      <w:r w:rsidR="0014310F">
        <w:t xml:space="preserve">reporting tool </w:t>
      </w:r>
      <w:r w:rsidRPr="0094026E">
        <w:t>screen shots illustrating the changed reporting requirements</w:t>
      </w:r>
      <w:r w:rsidR="00E87E30">
        <w:t xml:space="preserve"> and draft printouts from the reporting</w:t>
      </w:r>
      <w:r w:rsidR="0014310F">
        <w:t xml:space="preserve"> tool</w:t>
      </w:r>
      <w:r w:rsidRPr="0094026E">
        <w:t xml:space="preserve"> are included as Attachment A and the Instructions are included as Attachment B.</w:t>
      </w:r>
      <w:r w:rsidR="007410D7">
        <w:t xml:space="preserve"> </w:t>
      </w:r>
      <w:r w:rsidR="00E35205">
        <w:t xml:space="preserve">As a result of changes to the e-CDRweb reporting tool, </w:t>
      </w:r>
      <w:r w:rsidR="00865320">
        <w:t xml:space="preserve">section designations on the printed version of the Form U have </w:t>
      </w:r>
      <w:r w:rsidR="00C40FBC">
        <w:t>change</w:t>
      </w:r>
      <w:r w:rsidR="00E538B1">
        <w:t>d</w:t>
      </w:r>
      <w:r w:rsidR="00C40FBC">
        <w:t>.  Attachment A includes</w:t>
      </w:r>
      <w:r w:rsidR="006F15A6">
        <w:t xml:space="preserve"> a </w:t>
      </w:r>
      <w:r w:rsidR="00360002">
        <w:t xml:space="preserve">crosswalk table between the section designations for the 2016 CDR Form U </w:t>
      </w:r>
      <w:r w:rsidR="009D3063">
        <w:t>and the 2020 CDR Form U</w:t>
      </w:r>
      <w:r w:rsidR="00801DB9">
        <w:t xml:space="preserve"> reporting tool printouts</w:t>
      </w:r>
      <w:r w:rsidR="009D3063">
        <w:t xml:space="preserve">. </w:t>
      </w:r>
      <w:r w:rsidR="00801DB9">
        <w:t>Within this document, r</w:t>
      </w:r>
      <w:r w:rsidR="00053964">
        <w:t xml:space="preserve">eferences to a </w:t>
      </w:r>
      <w:r w:rsidR="00801DB9">
        <w:t xml:space="preserve">Form U </w:t>
      </w:r>
      <w:r w:rsidR="00053964">
        <w:t>section designation</w:t>
      </w:r>
      <w:r w:rsidR="009D3063">
        <w:t xml:space="preserve"> </w:t>
      </w:r>
      <w:r w:rsidR="00D51E50">
        <w:t>are to</w:t>
      </w:r>
      <w:r w:rsidR="009D3063">
        <w:t xml:space="preserve"> the 2016 CDR Form U designations</w:t>
      </w:r>
      <w:r w:rsidR="00D51E50">
        <w:t xml:space="preserve">, with a footnote identifying the </w:t>
      </w:r>
      <w:r w:rsidR="00DD6865">
        <w:t xml:space="preserve">related 2020 </w:t>
      </w:r>
      <w:r w:rsidR="00574F8C">
        <w:t>CDR Form U designation.</w:t>
      </w:r>
      <w:r w:rsidR="009D3063">
        <w:t xml:space="preserve"> </w:t>
      </w:r>
      <w:r w:rsidR="00C40FBC">
        <w:t xml:space="preserve"> </w:t>
      </w:r>
      <w:r w:rsidRPr="009533EA">
        <w:rPr>
          <w:i/>
          <w:szCs w:val="18"/>
        </w:rPr>
        <w:tab/>
      </w:r>
      <w:r w:rsidRPr="009533EA">
        <w:t xml:space="preserve"> </w:t>
      </w:r>
    </w:p>
    <w:p w:rsidR="001D745F" w:rsidP="00693608" w:rsidRDefault="001D745F" w14:paraId="5EE6F317" w14:textId="525CF4A5">
      <w:pPr>
        <w:pStyle w:val="BodyText"/>
      </w:pPr>
      <w:bookmarkStart w:name="_Toc34230795" w:id="13"/>
      <w:r w:rsidRPr="007375F8">
        <w:rPr>
          <w:szCs w:val="24"/>
        </w:rPr>
        <w:t xml:space="preserve">Table </w:t>
      </w:r>
      <w:r w:rsidRPr="007375F8">
        <w:rPr>
          <w:b/>
          <w:szCs w:val="24"/>
        </w:rPr>
        <w:fldChar w:fldCharType="begin"/>
      </w:r>
      <w:r w:rsidRPr="007375F8">
        <w:rPr>
          <w:szCs w:val="24"/>
        </w:rPr>
        <w:instrText xml:space="preserve"> SEQ Table \* ARABIC </w:instrText>
      </w:r>
      <w:r w:rsidRPr="007375F8">
        <w:rPr>
          <w:b/>
          <w:szCs w:val="24"/>
        </w:rPr>
        <w:fldChar w:fldCharType="separate"/>
      </w:r>
      <w:r>
        <w:rPr>
          <w:noProof/>
          <w:szCs w:val="24"/>
        </w:rPr>
        <w:t>1</w:t>
      </w:r>
      <w:r w:rsidRPr="007375F8">
        <w:rPr>
          <w:b/>
          <w:szCs w:val="24"/>
        </w:rPr>
        <w:fldChar w:fldCharType="end"/>
      </w:r>
      <w:r w:rsidRPr="007375F8">
        <w:rPr>
          <w:szCs w:val="24"/>
        </w:rPr>
        <w:t xml:space="preserve">. </w:t>
      </w:r>
      <w:r w:rsidR="00382CD1">
        <w:rPr>
          <w:szCs w:val="24"/>
        </w:rPr>
        <w:t>2016</w:t>
      </w:r>
      <w:r w:rsidR="00BE589D">
        <w:rPr>
          <w:szCs w:val="24"/>
        </w:rPr>
        <w:t xml:space="preserve"> – </w:t>
      </w:r>
      <w:r w:rsidR="00382CD1">
        <w:rPr>
          <w:szCs w:val="24"/>
        </w:rPr>
        <w:t xml:space="preserve">2020 CDR Form U Crosswalk </w:t>
      </w:r>
      <w:bookmarkEnd w:id="13"/>
    </w:p>
    <w:tbl>
      <w:tblPr>
        <w:tblStyle w:val="TableGrid2"/>
        <w:tblW w:w="0" w:type="auto"/>
        <w:tblCellMar>
          <w:left w:w="72" w:type="dxa"/>
          <w:right w:w="72" w:type="dxa"/>
        </w:tblCellMar>
        <w:tblLook w:val="04A0" w:firstRow="1" w:lastRow="0" w:firstColumn="1" w:lastColumn="0" w:noHBand="0" w:noVBand="1"/>
      </w:tblPr>
      <w:tblGrid>
        <w:gridCol w:w="3893"/>
        <w:gridCol w:w="3243"/>
        <w:gridCol w:w="2934"/>
      </w:tblGrid>
      <w:tr w:rsidRPr="00382CD1" w:rsidR="00382CD1" w:rsidTr="00976777" w14:paraId="557EDC15" w14:textId="77777777">
        <w:trPr>
          <w:trHeight w:val="20"/>
        </w:trPr>
        <w:tc>
          <w:tcPr>
            <w:tcW w:w="0" w:type="auto"/>
            <w:shd w:val="clear" w:color="auto" w:fill="BFBFBF" w:themeFill="background1" w:themeFillShade="BF"/>
            <w:vAlign w:val="center"/>
          </w:tcPr>
          <w:p w:rsidRPr="00382CD1" w:rsidR="00382CD1" w:rsidP="00382CD1" w:rsidRDefault="00382CD1" w14:paraId="4038E2E9" w14:textId="77777777">
            <w:pPr>
              <w:spacing w:before="60" w:after="40"/>
              <w:jc w:val="center"/>
              <w:rPr>
                <w:rFonts w:ascii="Arial Narrow" w:hAnsi="Arial Narrow" w:eastAsiaTheme="minorHAnsi"/>
                <w:b/>
                <w:sz w:val="18"/>
                <w:szCs w:val="18"/>
                <w:lang w:bidi="ar-SA"/>
              </w:rPr>
            </w:pPr>
            <w:r w:rsidRPr="00382CD1">
              <w:rPr>
                <w:rFonts w:ascii="Arial Narrow" w:hAnsi="Arial Narrow"/>
                <w:b/>
                <w:sz w:val="18"/>
                <w:szCs w:val="18"/>
              </w:rPr>
              <w:t>Section</w:t>
            </w:r>
          </w:p>
        </w:tc>
        <w:tc>
          <w:tcPr>
            <w:tcW w:w="0" w:type="auto"/>
            <w:shd w:val="clear" w:color="auto" w:fill="BFBFBF" w:themeFill="background1" w:themeFillShade="BF"/>
            <w:vAlign w:val="center"/>
          </w:tcPr>
          <w:p w:rsidRPr="00382CD1" w:rsidR="00382CD1" w:rsidP="00382CD1" w:rsidRDefault="00382CD1" w14:paraId="6165CA07" w14:textId="77777777">
            <w:pPr>
              <w:spacing w:before="60" w:after="40"/>
              <w:jc w:val="center"/>
              <w:rPr>
                <w:rFonts w:ascii="Arial Narrow" w:hAnsi="Arial Narrow" w:eastAsiaTheme="minorHAnsi"/>
                <w:b/>
                <w:sz w:val="18"/>
                <w:szCs w:val="18"/>
                <w:lang w:bidi="ar-SA"/>
              </w:rPr>
            </w:pPr>
            <w:r w:rsidRPr="00382CD1">
              <w:rPr>
                <w:rFonts w:ascii="Arial Narrow" w:hAnsi="Arial Narrow"/>
                <w:b/>
                <w:sz w:val="18"/>
                <w:szCs w:val="18"/>
              </w:rPr>
              <w:t>2016 Form U reporting tool printout</w:t>
            </w:r>
          </w:p>
        </w:tc>
        <w:tc>
          <w:tcPr>
            <w:tcW w:w="0" w:type="auto"/>
            <w:shd w:val="clear" w:color="auto" w:fill="BFBFBF" w:themeFill="background1" w:themeFillShade="BF"/>
            <w:vAlign w:val="center"/>
          </w:tcPr>
          <w:p w:rsidRPr="00382CD1" w:rsidR="00382CD1" w:rsidP="00382CD1" w:rsidRDefault="00382CD1" w14:paraId="19045007" w14:textId="77777777">
            <w:pPr>
              <w:spacing w:before="60" w:after="40"/>
              <w:jc w:val="center"/>
              <w:rPr>
                <w:rFonts w:ascii="Arial Narrow" w:hAnsi="Arial Narrow" w:eastAsiaTheme="minorHAnsi"/>
                <w:b/>
                <w:sz w:val="18"/>
                <w:szCs w:val="18"/>
                <w:lang w:bidi="ar-SA"/>
              </w:rPr>
            </w:pPr>
            <w:r w:rsidRPr="00382CD1">
              <w:rPr>
                <w:rFonts w:ascii="Arial Narrow" w:hAnsi="Arial Narrow"/>
                <w:b/>
                <w:sz w:val="18"/>
                <w:szCs w:val="18"/>
              </w:rPr>
              <w:t>2020 Form U reporting tool printout</w:t>
            </w:r>
          </w:p>
        </w:tc>
      </w:tr>
      <w:tr w:rsidRPr="00382CD1" w:rsidR="00382CD1" w:rsidTr="00976777" w14:paraId="3CFD2A32" w14:textId="77777777">
        <w:trPr>
          <w:trHeight w:val="20"/>
        </w:trPr>
        <w:tc>
          <w:tcPr>
            <w:tcW w:w="0" w:type="auto"/>
            <w:gridSpan w:val="3"/>
            <w:vAlign w:val="center"/>
          </w:tcPr>
          <w:p w:rsidRPr="00382CD1" w:rsidR="00382CD1" w:rsidP="00382CD1" w:rsidRDefault="00382CD1" w14:paraId="7ECDECAA" w14:textId="77777777">
            <w:pPr>
              <w:rPr>
                <w:rFonts w:ascii="Arial Narrow" w:hAnsi="Arial Narrow"/>
                <w:sz w:val="18"/>
                <w:szCs w:val="18"/>
              </w:rPr>
            </w:pPr>
            <w:r w:rsidRPr="00382CD1">
              <w:rPr>
                <w:rFonts w:ascii="Arial Narrow" w:hAnsi="Arial Narrow"/>
                <w:sz w:val="18"/>
                <w:szCs w:val="18"/>
              </w:rPr>
              <w:t>PRIMARY FORM</w:t>
            </w:r>
          </w:p>
        </w:tc>
      </w:tr>
      <w:tr w:rsidRPr="00382CD1" w:rsidR="00382CD1" w:rsidTr="00976777" w14:paraId="0B77E203" w14:textId="77777777">
        <w:trPr>
          <w:trHeight w:val="20"/>
        </w:trPr>
        <w:tc>
          <w:tcPr>
            <w:tcW w:w="0" w:type="auto"/>
            <w:vAlign w:val="center"/>
          </w:tcPr>
          <w:p w:rsidRPr="00382CD1" w:rsidR="00382CD1" w:rsidP="00382CD1" w:rsidRDefault="00382CD1" w14:paraId="5748A47E" w14:textId="77777777">
            <w:pPr>
              <w:rPr>
                <w:rFonts w:ascii="Arial Narrow" w:hAnsi="Arial Narrow" w:eastAsiaTheme="minorHAnsi"/>
                <w:sz w:val="18"/>
                <w:szCs w:val="18"/>
                <w:lang w:bidi="ar-SA"/>
              </w:rPr>
            </w:pPr>
            <w:r w:rsidRPr="00382CD1">
              <w:rPr>
                <w:rFonts w:ascii="Arial Narrow" w:hAnsi="Arial Narrow"/>
                <w:sz w:val="18"/>
                <w:szCs w:val="18"/>
              </w:rPr>
              <w:t>Parent Company Information</w:t>
            </w:r>
          </w:p>
        </w:tc>
        <w:tc>
          <w:tcPr>
            <w:tcW w:w="0" w:type="auto"/>
            <w:vAlign w:val="center"/>
          </w:tcPr>
          <w:p w:rsidRPr="00382CD1" w:rsidR="00382CD1" w:rsidP="00382CD1" w:rsidRDefault="00382CD1" w14:paraId="18DB57EF" w14:textId="77777777">
            <w:pPr>
              <w:rPr>
                <w:rFonts w:ascii="Arial Narrow" w:hAnsi="Arial Narrow" w:eastAsiaTheme="minorHAnsi"/>
                <w:sz w:val="18"/>
                <w:szCs w:val="18"/>
                <w:lang w:bidi="ar-SA"/>
              </w:rPr>
            </w:pPr>
            <w:r w:rsidRPr="00382CD1">
              <w:rPr>
                <w:rFonts w:ascii="Arial Narrow" w:hAnsi="Arial Narrow"/>
                <w:sz w:val="18"/>
                <w:szCs w:val="18"/>
              </w:rPr>
              <w:t>Part I, Section A</w:t>
            </w:r>
          </w:p>
        </w:tc>
        <w:tc>
          <w:tcPr>
            <w:tcW w:w="0" w:type="auto"/>
            <w:vAlign w:val="center"/>
          </w:tcPr>
          <w:p w:rsidRPr="00382CD1" w:rsidR="00382CD1" w:rsidP="00382CD1" w:rsidRDefault="00382CD1" w14:paraId="31C91D5A" w14:textId="77777777">
            <w:pPr>
              <w:rPr>
                <w:rFonts w:ascii="Arial Narrow" w:hAnsi="Arial Narrow" w:eastAsiaTheme="minorHAnsi"/>
                <w:sz w:val="18"/>
                <w:szCs w:val="18"/>
                <w:lang w:bidi="ar-SA"/>
              </w:rPr>
            </w:pPr>
            <w:r w:rsidRPr="00382CD1">
              <w:rPr>
                <w:rFonts w:ascii="Arial Narrow" w:hAnsi="Arial Narrow"/>
                <w:sz w:val="18"/>
                <w:szCs w:val="18"/>
              </w:rPr>
              <w:t>Part I, Section A</w:t>
            </w:r>
          </w:p>
        </w:tc>
      </w:tr>
      <w:tr w:rsidRPr="00382CD1" w:rsidR="00382CD1" w:rsidTr="00976777" w14:paraId="207DAFBA" w14:textId="77777777">
        <w:trPr>
          <w:trHeight w:val="20"/>
        </w:trPr>
        <w:tc>
          <w:tcPr>
            <w:tcW w:w="0" w:type="auto"/>
            <w:vAlign w:val="center"/>
          </w:tcPr>
          <w:p w:rsidRPr="00382CD1" w:rsidR="00382CD1" w:rsidP="00382CD1" w:rsidRDefault="00382CD1" w14:paraId="1126382D" w14:textId="77777777">
            <w:pPr>
              <w:rPr>
                <w:rFonts w:ascii="Arial Narrow" w:hAnsi="Arial Narrow" w:eastAsiaTheme="minorHAnsi"/>
                <w:sz w:val="18"/>
                <w:szCs w:val="18"/>
                <w:lang w:bidi="ar-SA"/>
              </w:rPr>
            </w:pPr>
            <w:r w:rsidRPr="00382CD1">
              <w:rPr>
                <w:rFonts w:ascii="Arial Narrow" w:hAnsi="Arial Narrow"/>
                <w:sz w:val="18"/>
                <w:szCs w:val="18"/>
              </w:rPr>
              <w:t>Site Information</w:t>
            </w:r>
          </w:p>
        </w:tc>
        <w:tc>
          <w:tcPr>
            <w:tcW w:w="0" w:type="auto"/>
            <w:vAlign w:val="center"/>
          </w:tcPr>
          <w:p w:rsidRPr="00382CD1" w:rsidR="00382CD1" w:rsidP="00382CD1" w:rsidRDefault="00382CD1" w14:paraId="0245DAD6" w14:textId="77777777">
            <w:pPr>
              <w:rPr>
                <w:rFonts w:ascii="Arial Narrow" w:hAnsi="Arial Narrow" w:eastAsiaTheme="minorHAnsi"/>
                <w:sz w:val="18"/>
                <w:szCs w:val="18"/>
                <w:lang w:bidi="ar-SA"/>
              </w:rPr>
            </w:pPr>
            <w:r w:rsidRPr="00382CD1">
              <w:rPr>
                <w:rFonts w:ascii="Arial Narrow" w:hAnsi="Arial Narrow"/>
                <w:sz w:val="18"/>
                <w:szCs w:val="18"/>
              </w:rPr>
              <w:t>Part I Section B</w:t>
            </w:r>
          </w:p>
        </w:tc>
        <w:tc>
          <w:tcPr>
            <w:tcW w:w="0" w:type="auto"/>
            <w:vAlign w:val="center"/>
          </w:tcPr>
          <w:p w:rsidRPr="00382CD1" w:rsidR="00382CD1" w:rsidP="00382CD1" w:rsidRDefault="00382CD1" w14:paraId="4CE8F7F7" w14:textId="77777777">
            <w:pPr>
              <w:rPr>
                <w:rFonts w:ascii="Arial Narrow" w:hAnsi="Arial Narrow" w:eastAsiaTheme="minorHAnsi"/>
                <w:sz w:val="18"/>
                <w:szCs w:val="18"/>
                <w:lang w:bidi="ar-SA"/>
              </w:rPr>
            </w:pPr>
            <w:r w:rsidRPr="00382CD1">
              <w:rPr>
                <w:rFonts w:ascii="Arial Narrow" w:hAnsi="Arial Narrow"/>
                <w:sz w:val="18"/>
                <w:szCs w:val="18"/>
              </w:rPr>
              <w:t>Part I Section B</w:t>
            </w:r>
          </w:p>
        </w:tc>
      </w:tr>
      <w:tr w:rsidRPr="00382CD1" w:rsidR="00382CD1" w:rsidTr="00976777" w14:paraId="2F28BF2A" w14:textId="77777777">
        <w:trPr>
          <w:trHeight w:val="20"/>
        </w:trPr>
        <w:tc>
          <w:tcPr>
            <w:tcW w:w="0" w:type="auto"/>
            <w:vAlign w:val="center"/>
          </w:tcPr>
          <w:p w:rsidRPr="00382CD1" w:rsidR="00382CD1" w:rsidP="00382CD1" w:rsidRDefault="00382CD1" w14:paraId="10CB39C1" w14:textId="77777777">
            <w:pPr>
              <w:rPr>
                <w:rFonts w:ascii="Arial Narrow" w:hAnsi="Arial Narrow" w:eastAsiaTheme="minorHAnsi"/>
                <w:sz w:val="18"/>
                <w:szCs w:val="18"/>
                <w:lang w:bidi="ar-SA"/>
              </w:rPr>
            </w:pPr>
            <w:r w:rsidRPr="00382CD1">
              <w:rPr>
                <w:rFonts w:ascii="Arial Narrow" w:hAnsi="Arial Narrow"/>
                <w:sz w:val="18"/>
                <w:szCs w:val="18"/>
              </w:rPr>
              <w:t>Technical Contact information</w:t>
            </w:r>
          </w:p>
        </w:tc>
        <w:tc>
          <w:tcPr>
            <w:tcW w:w="0" w:type="auto"/>
            <w:vAlign w:val="center"/>
          </w:tcPr>
          <w:p w:rsidRPr="00382CD1" w:rsidR="00382CD1" w:rsidP="00382CD1" w:rsidRDefault="00382CD1" w14:paraId="5F736A04" w14:textId="77777777">
            <w:pPr>
              <w:rPr>
                <w:rFonts w:ascii="Arial Narrow" w:hAnsi="Arial Narrow" w:eastAsiaTheme="minorHAnsi"/>
                <w:sz w:val="18"/>
                <w:szCs w:val="18"/>
                <w:lang w:bidi="ar-SA"/>
              </w:rPr>
            </w:pPr>
            <w:r w:rsidRPr="00382CD1">
              <w:rPr>
                <w:rFonts w:ascii="Arial Narrow" w:hAnsi="Arial Narrow"/>
                <w:sz w:val="18"/>
                <w:szCs w:val="18"/>
              </w:rPr>
              <w:t>Part I, Section C</w:t>
            </w:r>
          </w:p>
        </w:tc>
        <w:tc>
          <w:tcPr>
            <w:tcW w:w="0" w:type="auto"/>
            <w:vAlign w:val="center"/>
          </w:tcPr>
          <w:p w:rsidRPr="00382CD1" w:rsidR="00382CD1" w:rsidP="00382CD1" w:rsidRDefault="00382CD1" w14:paraId="69B7118A" w14:textId="77777777">
            <w:pPr>
              <w:rPr>
                <w:rFonts w:ascii="Arial Narrow" w:hAnsi="Arial Narrow" w:eastAsiaTheme="minorHAnsi"/>
                <w:sz w:val="18"/>
                <w:szCs w:val="18"/>
                <w:lang w:bidi="ar-SA"/>
              </w:rPr>
            </w:pPr>
            <w:r w:rsidRPr="00382CD1">
              <w:rPr>
                <w:rFonts w:ascii="Arial Narrow" w:hAnsi="Arial Narrow"/>
                <w:sz w:val="18"/>
                <w:szCs w:val="18"/>
              </w:rPr>
              <w:t>Part II, Section B</w:t>
            </w:r>
          </w:p>
        </w:tc>
      </w:tr>
      <w:tr w:rsidRPr="00382CD1" w:rsidR="00382CD1" w:rsidTr="00976777" w14:paraId="7A72A72A" w14:textId="77777777">
        <w:trPr>
          <w:trHeight w:val="20"/>
        </w:trPr>
        <w:tc>
          <w:tcPr>
            <w:tcW w:w="0" w:type="auto"/>
            <w:vAlign w:val="center"/>
          </w:tcPr>
          <w:p w:rsidRPr="00382CD1" w:rsidR="00382CD1" w:rsidP="00382CD1" w:rsidRDefault="00382CD1" w14:paraId="493A748A" w14:textId="77777777">
            <w:pPr>
              <w:rPr>
                <w:rFonts w:ascii="Arial Narrow" w:hAnsi="Arial Narrow" w:eastAsiaTheme="minorHAnsi"/>
                <w:sz w:val="18"/>
                <w:szCs w:val="18"/>
                <w:lang w:bidi="ar-SA"/>
              </w:rPr>
            </w:pPr>
            <w:r w:rsidRPr="00382CD1">
              <w:rPr>
                <w:rFonts w:ascii="Arial Narrow" w:hAnsi="Arial Narrow"/>
                <w:sz w:val="18"/>
                <w:szCs w:val="18"/>
              </w:rPr>
              <w:t>Chemical Identification</w:t>
            </w:r>
          </w:p>
        </w:tc>
        <w:tc>
          <w:tcPr>
            <w:tcW w:w="0" w:type="auto"/>
            <w:vAlign w:val="center"/>
          </w:tcPr>
          <w:p w:rsidRPr="00382CD1" w:rsidR="00382CD1" w:rsidP="00382CD1" w:rsidRDefault="00382CD1" w14:paraId="6295BA82" w14:textId="77777777">
            <w:pPr>
              <w:rPr>
                <w:rFonts w:ascii="Arial Narrow" w:hAnsi="Arial Narrow" w:eastAsiaTheme="minorHAnsi"/>
                <w:sz w:val="18"/>
                <w:szCs w:val="18"/>
                <w:lang w:bidi="ar-SA"/>
              </w:rPr>
            </w:pPr>
            <w:r w:rsidRPr="00382CD1">
              <w:rPr>
                <w:rFonts w:ascii="Arial Narrow" w:hAnsi="Arial Narrow"/>
                <w:sz w:val="18"/>
                <w:szCs w:val="18"/>
              </w:rPr>
              <w:t>Part II, Section A</w:t>
            </w:r>
          </w:p>
        </w:tc>
        <w:tc>
          <w:tcPr>
            <w:tcW w:w="0" w:type="auto"/>
            <w:vAlign w:val="center"/>
          </w:tcPr>
          <w:p w:rsidRPr="00382CD1" w:rsidR="00382CD1" w:rsidP="00382CD1" w:rsidRDefault="00382CD1" w14:paraId="2520E80B" w14:textId="77777777">
            <w:pPr>
              <w:rPr>
                <w:rFonts w:ascii="Arial Narrow" w:hAnsi="Arial Narrow" w:eastAsiaTheme="minorHAnsi"/>
                <w:sz w:val="18"/>
                <w:szCs w:val="18"/>
                <w:lang w:bidi="ar-SA"/>
              </w:rPr>
            </w:pPr>
            <w:r w:rsidRPr="00382CD1">
              <w:rPr>
                <w:rFonts w:ascii="Arial Narrow" w:hAnsi="Arial Narrow"/>
                <w:sz w:val="18"/>
                <w:szCs w:val="18"/>
              </w:rPr>
              <w:t>Part II, Section A</w:t>
            </w:r>
          </w:p>
        </w:tc>
      </w:tr>
      <w:tr w:rsidRPr="00382CD1" w:rsidR="00382CD1" w:rsidTr="00976777" w14:paraId="3C1F9F4D" w14:textId="77777777">
        <w:trPr>
          <w:trHeight w:val="20"/>
        </w:trPr>
        <w:tc>
          <w:tcPr>
            <w:tcW w:w="0" w:type="auto"/>
            <w:vAlign w:val="center"/>
          </w:tcPr>
          <w:p w:rsidRPr="00382CD1" w:rsidR="00382CD1" w:rsidP="00382CD1" w:rsidRDefault="00382CD1" w14:paraId="1B83E6CD" w14:textId="77777777">
            <w:pPr>
              <w:rPr>
                <w:rFonts w:ascii="Arial Narrow" w:hAnsi="Arial Narrow" w:eastAsiaTheme="minorHAnsi"/>
                <w:sz w:val="18"/>
                <w:szCs w:val="18"/>
                <w:lang w:bidi="ar-SA"/>
              </w:rPr>
            </w:pPr>
            <w:r w:rsidRPr="00382CD1">
              <w:rPr>
                <w:rFonts w:ascii="Arial Narrow" w:hAnsi="Arial Narrow"/>
                <w:sz w:val="18"/>
                <w:szCs w:val="18"/>
              </w:rPr>
              <w:t>Manufacturing Information</w:t>
            </w:r>
          </w:p>
        </w:tc>
        <w:tc>
          <w:tcPr>
            <w:tcW w:w="0" w:type="auto"/>
            <w:vAlign w:val="center"/>
          </w:tcPr>
          <w:p w:rsidRPr="00382CD1" w:rsidR="00382CD1" w:rsidP="00382CD1" w:rsidRDefault="00382CD1" w14:paraId="2E3A19B8" w14:textId="77777777">
            <w:pPr>
              <w:rPr>
                <w:rFonts w:ascii="Arial Narrow" w:hAnsi="Arial Narrow" w:eastAsiaTheme="minorHAnsi"/>
                <w:sz w:val="18"/>
                <w:szCs w:val="18"/>
                <w:lang w:bidi="ar-SA"/>
              </w:rPr>
            </w:pPr>
            <w:r w:rsidRPr="00382CD1">
              <w:rPr>
                <w:rFonts w:ascii="Arial Narrow" w:hAnsi="Arial Narrow"/>
                <w:sz w:val="18"/>
                <w:szCs w:val="18"/>
              </w:rPr>
              <w:t>Part II, Section B</w:t>
            </w:r>
          </w:p>
        </w:tc>
        <w:tc>
          <w:tcPr>
            <w:tcW w:w="0" w:type="auto"/>
            <w:vAlign w:val="center"/>
          </w:tcPr>
          <w:p w:rsidRPr="00382CD1" w:rsidR="00382CD1" w:rsidP="00382CD1" w:rsidRDefault="00382CD1" w14:paraId="05F97A1E" w14:textId="77777777">
            <w:pPr>
              <w:rPr>
                <w:rFonts w:ascii="Arial Narrow" w:hAnsi="Arial Narrow" w:eastAsiaTheme="minorHAnsi"/>
                <w:sz w:val="18"/>
                <w:szCs w:val="18"/>
                <w:lang w:bidi="ar-SA"/>
              </w:rPr>
            </w:pPr>
            <w:r w:rsidRPr="00382CD1">
              <w:rPr>
                <w:rFonts w:ascii="Arial Narrow" w:hAnsi="Arial Narrow"/>
                <w:sz w:val="18"/>
                <w:szCs w:val="18"/>
              </w:rPr>
              <w:t>Part II, Section C</w:t>
            </w:r>
          </w:p>
          <w:p w:rsidRPr="00382CD1" w:rsidR="00382CD1" w:rsidP="00382CD1" w:rsidRDefault="00382CD1" w14:paraId="4ECE954F" w14:textId="77777777">
            <w:pPr>
              <w:rPr>
                <w:rFonts w:ascii="Arial Narrow" w:hAnsi="Arial Narrow" w:eastAsiaTheme="minorHAnsi"/>
                <w:sz w:val="18"/>
                <w:szCs w:val="18"/>
                <w:lang w:bidi="ar-SA"/>
              </w:rPr>
            </w:pPr>
            <w:r w:rsidRPr="00382CD1">
              <w:rPr>
                <w:rFonts w:ascii="Arial Narrow" w:hAnsi="Arial Narrow"/>
                <w:sz w:val="18"/>
                <w:szCs w:val="18"/>
              </w:rPr>
              <w:t>Section C.1 Manufacturing Company</w:t>
            </w:r>
          </w:p>
          <w:p w:rsidRPr="00382CD1" w:rsidR="00382CD1" w:rsidP="00382CD1" w:rsidRDefault="00382CD1" w14:paraId="6642CB51" w14:textId="77777777">
            <w:pPr>
              <w:rPr>
                <w:rFonts w:ascii="Arial Narrow" w:hAnsi="Arial Narrow" w:eastAsiaTheme="minorHAnsi"/>
                <w:sz w:val="18"/>
                <w:szCs w:val="18"/>
                <w:lang w:bidi="ar-SA"/>
              </w:rPr>
            </w:pPr>
            <w:r w:rsidRPr="00382CD1">
              <w:rPr>
                <w:rFonts w:ascii="Arial Narrow" w:hAnsi="Arial Narrow"/>
                <w:sz w:val="18"/>
                <w:szCs w:val="18"/>
              </w:rPr>
              <w:t>Section C.2 Contracting Company</w:t>
            </w:r>
          </w:p>
          <w:p w:rsidRPr="00382CD1" w:rsidR="00382CD1" w:rsidP="00382CD1" w:rsidRDefault="00382CD1" w14:paraId="2B7ED78A" w14:textId="77777777">
            <w:pPr>
              <w:rPr>
                <w:rFonts w:ascii="Arial Narrow" w:hAnsi="Arial Narrow" w:eastAsiaTheme="minorHAnsi"/>
                <w:sz w:val="18"/>
                <w:szCs w:val="18"/>
                <w:lang w:bidi="ar-SA"/>
              </w:rPr>
            </w:pPr>
            <w:r w:rsidRPr="00382CD1">
              <w:rPr>
                <w:rFonts w:ascii="Arial Narrow" w:hAnsi="Arial Narrow"/>
                <w:sz w:val="18"/>
                <w:szCs w:val="18"/>
              </w:rPr>
              <w:t>Section C.3 Producing Company</w:t>
            </w:r>
          </w:p>
        </w:tc>
      </w:tr>
      <w:tr w:rsidRPr="00382CD1" w:rsidR="00382CD1" w:rsidTr="00976777" w14:paraId="47B87AFE" w14:textId="77777777">
        <w:trPr>
          <w:trHeight w:val="20"/>
        </w:trPr>
        <w:tc>
          <w:tcPr>
            <w:tcW w:w="0" w:type="auto"/>
            <w:vAlign w:val="center"/>
          </w:tcPr>
          <w:p w:rsidRPr="00382CD1" w:rsidR="00382CD1" w:rsidP="00382CD1" w:rsidRDefault="00382CD1" w14:paraId="242F2278" w14:textId="77777777">
            <w:pPr>
              <w:rPr>
                <w:rFonts w:ascii="Arial Narrow" w:hAnsi="Arial Narrow" w:eastAsiaTheme="minorHAnsi"/>
                <w:sz w:val="18"/>
                <w:szCs w:val="18"/>
                <w:lang w:bidi="ar-SA"/>
              </w:rPr>
            </w:pPr>
            <w:r w:rsidRPr="00382CD1">
              <w:rPr>
                <w:rFonts w:ascii="Arial Narrow" w:hAnsi="Arial Narrow"/>
                <w:sz w:val="18"/>
                <w:szCs w:val="18"/>
              </w:rPr>
              <w:t>Process and Use Information</w:t>
            </w:r>
          </w:p>
        </w:tc>
        <w:tc>
          <w:tcPr>
            <w:tcW w:w="0" w:type="auto"/>
            <w:vAlign w:val="center"/>
          </w:tcPr>
          <w:p w:rsidRPr="00382CD1" w:rsidR="00382CD1" w:rsidP="00382CD1" w:rsidRDefault="00382CD1" w14:paraId="3F4A12BC" w14:textId="77777777">
            <w:pPr>
              <w:rPr>
                <w:rFonts w:ascii="Arial Narrow" w:hAnsi="Arial Narrow" w:eastAsiaTheme="minorHAnsi"/>
                <w:sz w:val="18"/>
                <w:szCs w:val="18"/>
                <w:lang w:bidi="ar-SA"/>
              </w:rPr>
            </w:pPr>
            <w:r w:rsidRPr="00382CD1">
              <w:rPr>
                <w:rFonts w:ascii="Arial Narrow" w:hAnsi="Arial Narrow"/>
                <w:sz w:val="18"/>
                <w:szCs w:val="18"/>
              </w:rPr>
              <w:t>Part III, Processing and Use</w:t>
            </w:r>
          </w:p>
        </w:tc>
        <w:tc>
          <w:tcPr>
            <w:tcW w:w="0" w:type="auto"/>
            <w:vAlign w:val="center"/>
          </w:tcPr>
          <w:p w:rsidRPr="00382CD1" w:rsidR="00382CD1" w:rsidP="00382CD1" w:rsidRDefault="00382CD1" w14:paraId="17BD9888" w14:textId="77777777">
            <w:pPr>
              <w:rPr>
                <w:rFonts w:ascii="Arial Narrow" w:hAnsi="Arial Narrow" w:eastAsiaTheme="minorHAnsi"/>
                <w:sz w:val="18"/>
                <w:szCs w:val="18"/>
                <w:lang w:bidi="ar-SA"/>
              </w:rPr>
            </w:pPr>
            <w:r w:rsidRPr="00382CD1">
              <w:rPr>
                <w:rFonts w:ascii="Arial Narrow" w:hAnsi="Arial Narrow"/>
                <w:sz w:val="18"/>
                <w:szCs w:val="18"/>
              </w:rPr>
              <w:t>Part II, Section D</w:t>
            </w:r>
          </w:p>
          <w:p w:rsidRPr="00382CD1" w:rsidR="00382CD1" w:rsidP="00382CD1" w:rsidRDefault="00382CD1" w14:paraId="5F9151E7" w14:textId="77777777">
            <w:pPr>
              <w:rPr>
                <w:rFonts w:ascii="Arial Narrow" w:hAnsi="Arial Narrow" w:eastAsiaTheme="minorHAnsi"/>
                <w:sz w:val="18"/>
                <w:szCs w:val="18"/>
                <w:lang w:bidi="ar-SA"/>
              </w:rPr>
            </w:pPr>
            <w:r w:rsidRPr="00382CD1">
              <w:rPr>
                <w:rFonts w:ascii="Arial Narrow" w:hAnsi="Arial Narrow"/>
                <w:sz w:val="18"/>
                <w:szCs w:val="18"/>
              </w:rPr>
              <w:t>Section D.1 Industrial Processing and Use</w:t>
            </w:r>
          </w:p>
          <w:p w:rsidRPr="00382CD1" w:rsidR="00382CD1" w:rsidP="00382CD1" w:rsidRDefault="00382CD1" w14:paraId="64FFE31B" w14:textId="77777777">
            <w:pPr>
              <w:rPr>
                <w:rFonts w:ascii="Arial Narrow" w:hAnsi="Arial Narrow" w:eastAsiaTheme="minorHAnsi"/>
                <w:sz w:val="18"/>
                <w:szCs w:val="18"/>
                <w:lang w:bidi="ar-SA"/>
              </w:rPr>
            </w:pPr>
            <w:r w:rsidRPr="00382CD1">
              <w:rPr>
                <w:rFonts w:ascii="Arial Narrow" w:hAnsi="Arial Narrow"/>
                <w:sz w:val="18"/>
                <w:szCs w:val="18"/>
              </w:rPr>
              <w:t>Section D.2 Consumer and Commercial Use</w:t>
            </w:r>
          </w:p>
        </w:tc>
      </w:tr>
      <w:tr w:rsidRPr="00382CD1" w:rsidR="00382CD1" w:rsidTr="00976777" w14:paraId="4F5374AA" w14:textId="77777777">
        <w:trPr>
          <w:trHeight w:val="20"/>
        </w:trPr>
        <w:tc>
          <w:tcPr>
            <w:tcW w:w="0" w:type="auto"/>
            <w:vAlign w:val="center"/>
          </w:tcPr>
          <w:p w:rsidRPr="00382CD1" w:rsidR="00382CD1" w:rsidP="00382CD1" w:rsidRDefault="00382CD1" w14:paraId="0B53499A" w14:textId="77777777">
            <w:pPr>
              <w:rPr>
                <w:rFonts w:ascii="Arial Narrow" w:hAnsi="Arial Narrow" w:eastAsiaTheme="minorHAnsi"/>
                <w:sz w:val="18"/>
                <w:szCs w:val="18"/>
                <w:lang w:bidi="ar-SA"/>
              </w:rPr>
            </w:pPr>
            <w:r w:rsidRPr="00382CD1">
              <w:rPr>
                <w:rFonts w:ascii="Arial Narrow" w:hAnsi="Arial Narrow"/>
                <w:sz w:val="18"/>
                <w:szCs w:val="18"/>
              </w:rPr>
              <w:t>Confidential Business Information Substantiation</w:t>
            </w:r>
          </w:p>
        </w:tc>
        <w:tc>
          <w:tcPr>
            <w:tcW w:w="0" w:type="auto"/>
            <w:vAlign w:val="center"/>
          </w:tcPr>
          <w:p w:rsidRPr="00382CD1" w:rsidR="00382CD1" w:rsidP="00382CD1" w:rsidRDefault="00382CD1" w14:paraId="153B5EEE" w14:textId="77777777">
            <w:pPr>
              <w:rPr>
                <w:rFonts w:ascii="Arial Narrow" w:hAnsi="Arial Narrow" w:eastAsiaTheme="minorHAnsi"/>
                <w:sz w:val="18"/>
                <w:szCs w:val="18"/>
                <w:lang w:bidi="ar-SA"/>
              </w:rPr>
            </w:pPr>
            <w:r w:rsidRPr="00382CD1">
              <w:rPr>
                <w:rFonts w:ascii="Arial Narrow" w:hAnsi="Arial Narrow"/>
                <w:sz w:val="18"/>
                <w:szCs w:val="18"/>
              </w:rPr>
              <w:t>Parts II, and III, All Sections</w:t>
            </w:r>
          </w:p>
        </w:tc>
        <w:tc>
          <w:tcPr>
            <w:tcW w:w="0" w:type="auto"/>
            <w:vAlign w:val="center"/>
          </w:tcPr>
          <w:p w:rsidRPr="00382CD1" w:rsidR="00382CD1" w:rsidP="00382CD1" w:rsidRDefault="00382CD1" w14:paraId="21B59CF7" w14:textId="77777777">
            <w:pPr>
              <w:rPr>
                <w:rFonts w:ascii="Arial Narrow" w:hAnsi="Arial Narrow" w:eastAsiaTheme="minorHAnsi"/>
                <w:sz w:val="18"/>
                <w:szCs w:val="18"/>
                <w:lang w:bidi="ar-SA"/>
              </w:rPr>
            </w:pPr>
            <w:r w:rsidRPr="00382CD1">
              <w:rPr>
                <w:rFonts w:ascii="Arial Narrow" w:hAnsi="Arial Narrow"/>
                <w:sz w:val="18"/>
                <w:szCs w:val="18"/>
              </w:rPr>
              <w:t>Part III</w:t>
            </w:r>
          </w:p>
        </w:tc>
      </w:tr>
      <w:tr w:rsidRPr="00382CD1" w:rsidR="00382CD1" w:rsidTr="00976777" w14:paraId="1A2CF304" w14:textId="77777777">
        <w:trPr>
          <w:trHeight w:val="20"/>
        </w:trPr>
        <w:tc>
          <w:tcPr>
            <w:tcW w:w="0" w:type="auto"/>
            <w:gridSpan w:val="3"/>
            <w:vAlign w:val="center"/>
          </w:tcPr>
          <w:p w:rsidRPr="00382CD1" w:rsidR="00382CD1" w:rsidP="00382CD1" w:rsidRDefault="00382CD1" w14:paraId="4FAF7BCB" w14:textId="77777777">
            <w:pPr>
              <w:rPr>
                <w:rFonts w:ascii="Arial Narrow" w:hAnsi="Arial Narrow"/>
                <w:sz w:val="18"/>
                <w:szCs w:val="18"/>
              </w:rPr>
            </w:pPr>
            <w:r w:rsidRPr="00382CD1">
              <w:rPr>
                <w:rFonts w:ascii="Arial Narrow" w:hAnsi="Arial Narrow"/>
                <w:sz w:val="18"/>
                <w:szCs w:val="18"/>
              </w:rPr>
              <w:t>SECONDARY FORM</w:t>
            </w:r>
          </w:p>
        </w:tc>
      </w:tr>
      <w:tr w:rsidRPr="00382CD1" w:rsidR="00382CD1" w:rsidTr="00976777" w14:paraId="77FEAC7B" w14:textId="77777777">
        <w:trPr>
          <w:trHeight w:val="20"/>
        </w:trPr>
        <w:tc>
          <w:tcPr>
            <w:tcW w:w="0" w:type="auto"/>
            <w:vAlign w:val="center"/>
          </w:tcPr>
          <w:p w:rsidRPr="00382CD1" w:rsidR="00382CD1" w:rsidP="00382CD1" w:rsidRDefault="00382CD1" w14:paraId="497392E1" w14:textId="77777777">
            <w:pPr>
              <w:rPr>
                <w:rFonts w:ascii="Arial Narrow" w:hAnsi="Arial Narrow" w:eastAsiaTheme="minorHAnsi"/>
                <w:sz w:val="18"/>
                <w:szCs w:val="18"/>
                <w:lang w:bidi="ar-SA"/>
              </w:rPr>
            </w:pPr>
            <w:r w:rsidRPr="00382CD1">
              <w:rPr>
                <w:rFonts w:ascii="Arial Narrow" w:hAnsi="Arial Narrow"/>
                <w:sz w:val="18"/>
                <w:szCs w:val="18"/>
              </w:rPr>
              <w:t>Joint Submission</w:t>
            </w:r>
          </w:p>
        </w:tc>
        <w:tc>
          <w:tcPr>
            <w:tcW w:w="0" w:type="auto"/>
            <w:vAlign w:val="center"/>
          </w:tcPr>
          <w:p w:rsidRPr="00382CD1" w:rsidR="00382CD1" w:rsidP="00382CD1" w:rsidRDefault="00382CD1" w14:paraId="71D6A4F1" w14:textId="77777777">
            <w:pPr>
              <w:rPr>
                <w:rFonts w:ascii="Arial Narrow" w:hAnsi="Arial Narrow" w:eastAsiaTheme="minorHAnsi"/>
                <w:sz w:val="18"/>
                <w:szCs w:val="18"/>
                <w:lang w:bidi="ar-SA"/>
              </w:rPr>
            </w:pPr>
            <w:r w:rsidRPr="00382CD1">
              <w:rPr>
                <w:rFonts w:ascii="Arial Narrow" w:hAnsi="Arial Narrow"/>
                <w:sz w:val="18"/>
                <w:szCs w:val="18"/>
              </w:rPr>
              <w:t>Part IV, Joint Submission, Secondary Submission</w:t>
            </w:r>
          </w:p>
        </w:tc>
        <w:tc>
          <w:tcPr>
            <w:tcW w:w="0" w:type="auto"/>
            <w:vAlign w:val="center"/>
          </w:tcPr>
          <w:p w:rsidRPr="00382CD1" w:rsidR="00382CD1" w:rsidP="00382CD1" w:rsidRDefault="00382CD1" w14:paraId="52829E45" w14:textId="77777777">
            <w:pPr>
              <w:rPr>
                <w:rFonts w:ascii="Arial Narrow" w:hAnsi="Arial Narrow" w:eastAsiaTheme="minorHAnsi"/>
                <w:sz w:val="18"/>
                <w:szCs w:val="18"/>
                <w:lang w:bidi="ar-SA"/>
              </w:rPr>
            </w:pPr>
            <w:r w:rsidRPr="00382CD1">
              <w:rPr>
                <w:rFonts w:ascii="Arial Narrow" w:hAnsi="Arial Narrow"/>
                <w:sz w:val="18"/>
                <w:szCs w:val="18"/>
              </w:rPr>
              <w:t>Secondary Form</w:t>
            </w:r>
          </w:p>
        </w:tc>
      </w:tr>
      <w:tr w:rsidRPr="00382CD1" w:rsidR="00382CD1" w:rsidTr="00976777" w14:paraId="6864068A" w14:textId="77777777">
        <w:trPr>
          <w:trHeight w:val="20"/>
        </w:trPr>
        <w:tc>
          <w:tcPr>
            <w:tcW w:w="0" w:type="auto"/>
            <w:vAlign w:val="center"/>
          </w:tcPr>
          <w:p w:rsidRPr="00382CD1" w:rsidR="00382CD1" w:rsidP="00382CD1" w:rsidRDefault="00382CD1" w14:paraId="002BEEB6" w14:textId="77777777">
            <w:pPr>
              <w:rPr>
                <w:rFonts w:ascii="Arial Narrow" w:hAnsi="Arial Narrow" w:eastAsiaTheme="minorHAnsi"/>
                <w:sz w:val="18"/>
                <w:szCs w:val="18"/>
                <w:lang w:bidi="ar-SA"/>
              </w:rPr>
            </w:pPr>
            <w:r w:rsidRPr="00382CD1">
              <w:rPr>
                <w:rFonts w:ascii="Arial Narrow" w:hAnsi="Arial Narrow"/>
                <w:sz w:val="18"/>
                <w:szCs w:val="18"/>
              </w:rPr>
              <w:t>Secondary Company Information</w:t>
            </w:r>
          </w:p>
        </w:tc>
        <w:tc>
          <w:tcPr>
            <w:tcW w:w="0" w:type="auto"/>
            <w:vAlign w:val="center"/>
          </w:tcPr>
          <w:p w:rsidRPr="00382CD1" w:rsidR="00382CD1" w:rsidP="00382CD1" w:rsidRDefault="00382CD1" w14:paraId="307171B1" w14:textId="77777777">
            <w:pPr>
              <w:rPr>
                <w:rFonts w:ascii="Arial Narrow" w:hAnsi="Arial Narrow" w:eastAsiaTheme="minorHAnsi"/>
                <w:sz w:val="18"/>
                <w:szCs w:val="18"/>
                <w:lang w:bidi="ar-SA"/>
              </w:rPr>
            </w:pPr>
            <w:r w:rsidRPr="00382CD1">
              <w:rPr>
                <w:rFonts w:ascii="Arial Narrow" w:hAnsi="Arial Narrow"/>
                <w:sz w:val="18"/>
                <w:szCs w:val="18"/>
              </w:rPr>
              <w:t>Part IV, Section A</w:t>
            </w:r>
          </w:p>
        </w:tc>
        <w:tc>
          <w:tcPr>
            <w:tcW w:w="0" w:type="auto"/>
            <w:vAlign w:val="center"/>
          </w:tcPr>
          <w:p w:rsidRPr="00382CD1" w:rsidR="00382CD1" w:rsidP="00382CD1" w:rsidRDefault="00382CD1" w14:paraId="0B236846" w14:textId="77777777">
            <w:pPr>
              <w:rPr>
                <w:rFonts w:ascii="Arial Narrow" w:hAnsi="Arial Narrow" w:eastAsiaTheme="minorHAnsi"/>
                <w:sz w:val="18"/>
                <w:szCs w:val="18"/>
                <w:lang w:bidi="ar-SA"/>
              </w:rPr>
            </w:pPr>
            <w:r w:rsidRPr="00382CD1">
              <w:rPr>
                <w:rFonts w:ascii="Arial Narrow" w:hAnsi="Arial Narrow"/>
                <w:sz w:val="18"/>
                <w:szCs w:val="18"/>
              </w:rPr>
              <w:t>Secondary Form, Part I</w:t>
            </w:r>
          </w:p>
        </w:tc>
      </w:tr>
      <w:tr w:rsidRPr="00382CD1" w:rsidR="00382CD1" w:rsidTr="00976777" w14:paraId="1A70F944" w14:textId="77777777">
        <w:trPr>
          <w:trHeight w:val="20"/>
        </w:trPr>
        <w:tc>
          <w:tcPr>
            <w:tcW w:w="0" w:type="auto"/>
            <w:vAlign w:val="center"/>
          </w:tcPr>
          <w:p w:rsidRPr="00382CD1" w:rsidR="00382CD1" w:rsidP="00382CD1" w:rsidRDefault="00382CD1" w14:paraId="605BD66A" w14:textId="77777777">
            <w:pPr>
              <w:rPr>
                <w:rFonts w:ascii="Arial Narrow" w:hAnsi="Arial Narrow" w:eastAsiaTheme="minorHAnsi"/>
                <w:sz w:val="18"/>
                <w:szCs w:val="18"/>
                <w:lang w:bidi="ar-SA"/>
              </w:rPr>
            </w:pPr>
            <w:r w:rsidRPr="00382CD1">
              <w:rPr>
                <w:rFonts w:ascii="Arial Narrow" w:hAnsi="Arial Narrow"/>
                <w:sz w:val="18"/>
                <w:szCs w:val="18"/>
              </w:rPr>
              <w:t>Secondary Technical Contact Information</w:t>
            </w:r>
          </w:p>
        </w:tc>
        <w:tc>
          <w:tcPr>
            <w:tcW w:w="0" w:type="auto"/>
            <w:vAlign w:val="center"/>
          </w:tcPr>
          <w:p w:rsidRPr="00382CD1" w:rsidR="00382CD1" w:rsidP="00382CD1" w:rsidRDefault="00382CD1" w14:paraId="3E3D8B22" w14:textId="77777777">
            <w:pPr>
              <w:rPr>
                <w:rFonts w:ascii="Arial Narrow" w:hAnsi="Arial Narrow" w:eastAsiaTheme="minorHAnsi"/>
                <w:sz w:val="18"/>
                <w:szCs w:val="18"/>
                <w:lang w:bidi="ar-SA"/>
              </w:rPr>
            </w:pPr>
            <w:r w:rsidRPr="00382CD1">
              <w:rPr>
                <w:rFonts w:ascii="Arial Narrow" w:hAnsi="Arial Narrow"/>
                <w:sz w:val="18"/>
                <w:szCs w:val="18"/>
              </w:rPr>
              <w:t>Part IV, Section B</w:t>
            </w:r>
          </w:p>
        </w:tc>
        <w:tc>
          <w:tcPr>
            <w:tcW w:w="0" w:type="auto"/>
            <w:vAlign w:val="center"/>
          </w:tcPr>
          <w:p w:rsidRPr="00382CD1" w:rsidR="00382CD1" w:rsidP="00382CD1" w:rsidRDefault="00382CD1" w14:paraId="5A0F5D09" w14:textId="77777777">
            <w:pPr>
              <w:rPr>
                <w:rFonts w:ascii="Arial Narrow" w:hAnsi="Arial Narrow" w:eastAsiaTheme="minorHAnsi"/>
                <w:sz w:val="18"/>
                <w:szCs w:val="18"/>
                <w:lang w:bidi="ar-SA"/>
              </w:rPr>
            </w:pPr>
            <w:r w:rsidRPr="00382CD1">
              <w:rPr>
                <w:rFonts w:ascii="Arial Narrow" w:hAnsi="Arial Narrow"/>
                <w:sz w:val="18"/>
                <w:szCs w:val="18"/>
              </w:rPr>
              <w:t>Secondary Form, Part II</w:t>
            </w:r>
          </w:p>
        </w:tc>
      </w:tr>
      <w:tr w:rsidRPr="00382CD1" w:rsidR="00382CD1" w:rsidTr="00976777" w14:paraId="61A44D68" w14:textId="77777777">
        <w:trPr>
          <w:trHeight w:val="20"/>
        </w:trPr>
        <w:tc>
          <w:tcPr>
            <w:tcW w:w="0" w:type="auto"/>
            <w:vAlign w:val="center"/>
          </w:tcPr>
          <w:p w:rsidRPr="00382CD1" w:rsidR="00382CD1" w:rsidP="00382CD1" w:rsidRDefault="00382CD1" w14:paraId="7B1754C1" w14:textId="77777777">
            <w:pPr>
              <w:rPr>
                <w:rFonts w:ascii="Arial Narrow" w:hAnsi="Arial Narrow" w:eastAsiaTheme="minorHAnsi"/>
                <w:sz w:val="18"/>
                <w:szCs w:val="18"/>
                <w:lang w:bidi="ar-SA"/>
              </w:rPr>
            </w:pPr>
            <w:r w:rsidRPr="00382CD1">
              <w:rPr>
                <w:rFonts w:ascii="Arial Narrow" w:hAnsi="Arial Narrow"/>
                <w:sz w:val="18"/>
                <w:szCs w:val="18"/>
              </w:rPr>
              <w:t>Trade Product Identification Information</w:t>
            </w:r>
          </w:p>
        </w:tc>
        <w:tc>
          <w:tcPr>
            <w:tcW w:w="0" w:type="auto"/>
            <w:vAlign w:val="center"/>
          </w:tcPr>
          <w:p w:rsidRPr="00382CD1" w:rsidR="00382CD1" w:rsidP="00382CD1" w:rsidRDefault="00382CD1" w14:paraId="491B7303" w14:textId="77777777">
            <w:pPr>
              <w:rPr>
                <w:rFonts w:ascii="Arial Narrow" w:hAnsi="Arial Narrow" w:eastAsiaTheme="minorHAnsi"/>
                <w:sz w:val="18"/>
                <w:szCs w:val="18"/>
                <w:lang w:bidi="ar-SA"/>
              </w:rPr>
            </w:pPr>
            <w:r w:rsidRPr="00382CD1">
              <w:rPr>
                <w:rFonts w:ascii="Arial Narrow" w:hAnsi="Arial Narrow"/>
                <w:sz w:val="18"/>
                <w:szCs w:val="18"/>
              </w:rPr>
              <w:t>Part IV, Section D</w:t>
            </w:r>
          </w:p>
        </w:tc>
        <w:tc>
          <w:tcPr>
            <w:tcW w:w="0" w:type="auto"/>
            <w:vAlign w:val="center"/>
          </w:tcPr>
          <w:p w:rsidRPr="00382CD1" w:rsidR="00382CD1" w:rsidP="00382CD1" w:rsidRDefault="00382CD1" w14:paraId="3D182084" w14:textId="77777777">
            <w:pPr>
              <w:rPr>
                <w:rFonts w:ascii="Arial Narrow" w:hAnsi="Arial Narrow" w:eastAsiaTheme="minorHAnsi"/>
                <w:sz w:val="18"/>
                <w:szCs w:val="18"/>
                <w:lang w:bidi="ar-SA"/>
              </w:rPr>
            </w:pPr>
            <w:r w:rsidRPr="00382CD1">
              <w:rPr>
                <w:rFonts w:ascii="Arial Narrow" w:hAnsi="Arial Narrow"/>
                <w:sz w:val="18"/>
                <w:szCs w:val="18"/>
              </w:rPr>
              <w:t>Secondary Form, Part II</w:t>
            </w:r>
          </w:p>
        </w:tc>
      </w:tr>
      <w:tr w:rsidRPr="00382CD1" w:rsidR="00382CD1" w:rsidTr="00976777" w14:paraId="182918A0" w14:textId="77777777">
        <w:trPr>
          <w:trHeight w:val="20"/>
        </w:trPr>
        <w:tc>
          <w:tcPr>
            <w:tcW w:w="0" w:type="auto"/>
            <w:vAlign w:val="center"/>
          </w:tcPr>
          <w:p w:rsidRPr="00382CD1" w:rsidR="00382CD1" w:rsidP="00382CD1" w:rsidRDefault="00382CD1" w14:paraId="773A665F" w14:textId="77777777">
            <w:pPr>
              <w:rPr>
                <w:rFonts w:ascii="Arial Narrow" w:hAnsi="Arial Narrow" w:eastAsiaTheme="minorHAnsi"/>
                <w:sz w:val="18"/>
                <w:szCs w:val="18"/>
                <w:lang w:bidi="ar-SA"/>
              </w:rPr>
            </w:pPr>
            <w:r w:rsidRPr="00382CD1">
              <w:rPr>
                <w:rFonts w:ascii="Arial Narrow" w:hAnsi="Arial Narrow"/>
                <w:sz w:val="18"/>
                <w:szCs w:val="18"/>
              </w:rPr>
              <w:t>Secondary Confidential Business Information Substantiation</w:t>
            </w:r>
          </w:p>
        </w:tc>
        <w:tc>
          <w:tcPr>
            <w:tcW w:w="0" w:type="auto"/>
            <w:vAlign w:val="center"/>
          </w:tcPr>
          <w:p w:rsidRPr="00382CD1" w:rsidR="00382CD1" w:rsidP="00382CD1" w:rsidRDefault="00382CD1" w14:paraId="16763151" w14:textId="77777777">
            <w:pPr>
              <w:rPr>
                <w:rFonts w:ascii="Arial Narrow" w:hAnsi="Arial Narrow" w:eastAsiaTheme="minorHAnsi"/>
                <w:sz w:val="18"/>
                <w:szCs w:val="18"/>
                <w:lang w:bidi="ar-SA"/>
              </w:rPr>
            </w:pPr>
            <w:r w:rsidRPr="00382CD1">
              <w:rPr>
                <w:rFonts w:ascii="Arial Narrow" w:hAnsi="Arial Narrow"/>
                <w:sz w:val="18"/>
                <w:szCs w:val="18"/>
              </w:rPr>
              <w:t>Not Applicable</w:t>
            </w:r>
          </w:p>
        </w:tc>
        <w:tc>
          <w:tcPr>
            <w:tcW w:w="0" w:type="auto"/>
            <w:vAlign w:val="center"/>
          </w:tcPr>
          <w:p w:rsidRPr="00382CD1" w:rsidR="00382CD1" w:rsidP="00382CD1" w:rsidRDefault="00382CD1" w14:paraId="4F4EABFE" w14:textId="77777777">
            <w:pPr>
              <w:rPr>
                <w:rFonts w:ascii="Arial Narrow" w:hAnsi="Arial Narrow" w:eastAsiaTheme="minorHAnsi"/>
                <w:sz w:val="18"/>
                <w:szCs w:val="18"/>
                <w:lang w:bidi="ar-SA"/>
              </w:rPr>
            </w:pPr>
            <w:r w:rsidRPr="00382CD1">
              <w:rPr>
                <w:rFonts w:ascii="Arial Narrow" w:hAnsi="Arial Narrow"/>
                <w:sz w:val="18"/>
                <w:szCs w:val="18"/>
              </w:rPr>
              <w:t>Secondary Form, Part III</w:t>
            </w:r>
          </w:p>
        </w:tc>
      </w:tr>
    </w:tbl>
    <w:p w:rsidRPr="00CE78D4" w:rsidR="00693608" w:rsidP="00E96905" w:rsidRDefault="00E96905" w14:paraId="0D6C8B0D" w14:textId="3B7739D6">
      <w:pPr>
        <w:pStyle w:val="Heading3"/>
      </w:pPr>
      <w:r>
        <w:tab/>
      </w:r>
      <w:bookmarkStart w:name="_Toc34984655" w:id="14"/>
      <w:r w:rsidRPr="00CE78D4" w:rsidR="00693608">
        <w:t>Data Elements for CDR Submissions</w:t>
      </w:r>
      <w:bookmarkEnd w:id="14"/>
    </w:p>
    <w:p w:rsidR="00693608" w:rsidP="00693608" w:rsidRDefault="00693608" w14:paraId="7F2A9874" w14:textId="77777777">
      <w:pPr>
        <w:pStyle w:val="BodyText"/>
      </w:pPr>
      <w:r w:rsidRPr="009533EA">
        <w:t>The CDR information collection is the only mechanism through which EPA</w:t>
      </w:r>
      <w:r>
        <w:t xml:space="preserve"> routinely</w:t>
      </w:r>
      <w:r w:rsidRPr="009533EA">
        <w:t xml:space="preserve"> collects basic information on commercial chemical substances listed on the TSCA Inventory, including production volume and other manufacturing (including importing), processing, and use exposure-related data. </w:t>
      </w:r>
      <w:r>
        <w:t xml:space="preserve">With the final changes, EPA will collect information on new or revised data elements. </w:t>
      </w:r>
      <w:r w:rsidRPr="009533EA">
        <w:t xml:space="preserve">EPA will use the information </w:t>
      </w:r>
      <w:r>
        <w:t>for these new or revised data elements</w:t>
      </w:r>
      <w:r w:rsidRPr="009533EA">
        <w:t xml:space="preserve"> in the following ways:</w:t>
      </w:r>
    </w:p>
    <w:p w:rsidR="00693608" w:rsidP="00693608" w:rsidRDefault="00693608" w14:paraId="20279074" w14:textId="79852675">
      <w:pPr>
        <w:numPr>
          <w:ilvl w:val="0"/>
          <w:numId w:val="23"/>
        </w:numPr>
        <w:tabs>
          <w:tab w:val="left" w:pos="1080"/>
          <w:tab w:val="left" w:pos="1260"/>
        </w:tabs>
        <w:ind w:left="360"/>
        <w:rPr>
          <w:rFonts w:eastAsia="Times New Roman" w:cs="Times New Roman"/>
        </w:rPr>
      </w:pPr>
      <w:r w:rsidRPr="0B02F8A5">
        <w:rPr>
          <w:rFonts w:eastAsia="Times New Roman" w:cs="Times New Roman"/>
          <w:i/>
          <w:iCs/>
        </w:rPr>
        <w:lastRenderedPageBreak/>
        <w:t>Parent company information</w:t>
      </w:r>
      <w:r w:rsidRPr="0B02F8A5">
        <w:rPr>
          <w:rFonts w:eastAsia="Times New Roman" w:cs="Times New Roman"/>
        </w:rPr>
        <w:t xml:space="preserve">: (revised) Information about the U.S. parent company (and foreign parent company, when applicable) associated with the reporting site </w:t>
      </w:r>
      <w:r w:rsidR="00C61E87">
        <w:rPr>
          <w:rFonts w:eastAsia="Times New Roman" w:cs="Times New Roman"/>
        </w:rPr>
        <w:t>is</w:t>
      </w:r>
      <w:r w:rsidRPr="0B02F8A5">
        <w:rPr>
          <w:rFonts w:eastAsia="Times New Roman" w:cs="Times New Roman"/>
        </w:rPr>
        <w:t xml:space="preserve"> used </w:t>
      </w:r>
      <w:r w:rsidR="00171625">
        <w:rPr>
          <w:rFonts w:eastAsia="Times New Roman" w:cs="Times New Roman"/>
        </w:rPr>
        <w:t xml:space="preserve">to </w:t>
      </w:r>
      <w:r w:rsidRPr="0B02F8A5">
        <w:rPr>
          <w:rFonts w:eastAsia="Times New Roman" w:cs="Times New Roman"/>
        </w:rPr>
        <w:t xml:space="preserve">protect information claimed as confidential when there are multiple sites for the same parent company and </w:t>
      </w:r>
      <w:r w:rsidR="00C61E87">
        <w:rPr>
          <w:rFonts w:eastAsia="Times New Roman" w:cs="Times New Roman"/>
        </w:rPr>
        <w:t>to</w:t>
      </w:r>
      <w:r w:rsidRPr="0B02F8A5">
        <w:rPr>
          <w:rFonts w:eastAsia="Times New Roman" w:cs="Times New Roman"/>
        </w:rPr>
        <w:t xml:space="preserve"> compar</w:t>
      </w:r>
      <w:r w:rsidR="00C61E87">
        <w:rPr>
          <w:rFonts w:eastAsia="Times New Roman" w:cs="Times New Roman"/>
        </w:rPr>
        <w:t>e</w:t>
      </w:r>
      <w:r w:rsidRPr="0B02F8A5">
        <w:rPr>
          <w:rFonts w:eastAsia="Times New Roman" w:cs="Times New Roman"/>
        </w:rPr>
        <w:t xml:space="preserve"> data from various sources, such as is done for EPA’s Toxics Release Inventory (TRI). </w:t>
      </w:r>
      <w:r w:rsidRPr="00DE15D1">
        <w:rPr>
          <w:rFonts w:eastAsia="Times New Roman" w:cs="Times New Roman"/>
        </w:rPr>
        <w:t>The revised parent company definition w</w:t>
      </w:r>
      <w:r w:rsidR="00C61E87">
        <w:rPr>
          <w:rFonts w:eastAsia="Times New Roman" w:cs="Times New Roman"/>
        </w:rPr>
        <w:t xml:space="preserve">ill </w:t>
      </w:r>
      <w:r w:rsidRPr="00DE15D1">
        <w:rPr>
          <w:rFonts w:eastAsia="Times New Roman" w:cs="Times New Roman"/>
        </w:rPr>
        <w:t>reduce uncertainty for submitters regarding how to report parent company information</w:t>
      </w:r>
      <w:r>
        <w:rPr>
          <w:rFonts w:eastAsia="Times New Roman" w:cs="Times New Roman"/>
        </w:rPr>
        <w:t>.</w:t>
      </w:r>
      <w:r w:rsidRPr="0B02F8A5">
        <w:rPr>
          <w:rFonts w:eastAsia="Times New Roman" w:cs="Times New Roman"/>
        </w:rPr>
        <w:t xml:space="preserve"> The addition of the foreign parent company increase</w:t>
      </w:r>
      <w:r>
        <w:rPr>
          <w:rFonts w:eastAsia="Times New Roman" w:cs="Times New Roman"/>
        </w:rPr>
        <w:t>s</w:t>
      </w:r>
      <w:r w:rsidRPr="0B02F8A5">
        <w:rPr>
          <w:rFonts w:eastAsia="Times New Roman" w:cs="Times New Roman"/>
        </w:rPr>
        <w:t xml:space="preserve"> EPA’s ability to use and release the CDR data while protecting confidentiality claims. Consistent use of parent company names makes for more meaningful comparisons of data</w:t>
      </w:r>
      <w:r>
        <w:rPr>
          <w:rFonts w:eastAsia="Times New Roman" w:cs="Times New Roman"/>
        </w:rPr>
        <w:t xml:space="preserve"> </w:t>
      </w:r>
      <w:r w:rsidRPr="00DE15D1">
        <w:rPr>
          <w:rFonts w:eastAsia="Times New Roman" w:cs="Times New Roman"/>
        </w:rPr>
        <w:t>and w</w:t>
      </w:r>
      <w:r w:rsidR="00C61E87">
        <w:rPr>
          <w:rFonts w:eastAsia="Times New Roman" w:cs="Times New Roman"/>
        </w:rPr>
        <w:t>ill</w:t>
      </w:r>
      <w:r w:rsidRPr="00DE15D1">
        <w:rPr>
          <w:rFonts w:eastAsia="Times New Roman" w:cs="Times New Roman"/>
        </w:rPr>
        <w:t xml:space="preserve"> reduce after-reporting quality control efforts for both EPA and submitters</w:t>
      </w:r>
      <w:r w:rsidRPr="0B02F8A5">
        <w:rPr>
          <w:rFonts w:eastAsia="Times New Roman" w:cs="Times New Roman"/>
        </w:rPr>
        <w:t>.</w:t>
      </w:r>
    </w:p>
    <w:p w:rsidR="00693608" w:rsidP="00693608" w:rsidRDefault="00693608" w14:paraId="28DD84CA" w14:textId="77777777">
      <w:pPr>
        <w:pStyle w:val="ListParagraph"/>
        <w:ind w:left="360"/>
        <w:rPr>
          <w:rFonts w:eastAsia="Times New Roman" w:cs="Times New Roman"/>
          <w:i/>
          <w:szCs w:val="18"/>
        </w:rPr>
      </w:pPr>
    </w:p>
    <w:p w:rsidRPr="00B24AE5" w:rsidR="00693608" w:rsidP="00693608" w:rsidRDefault="00693608" w14:paraId="553BFA45" w14:textId="77777777">
      <w:pPr>
        <w:numPr>
          <w:ilvl w:val="0"/>
          <w:numId w:val="23"/>
        </w:numPr>
        <w:tabs>
          <w:tab w:val="left" w:pos="1080"/>
          <w:tab w:val="left" w:pos="1260"/>
        </w:tabs>
        <w:ind w:left="360"/>
        <w:rPr>
          <w:rFonts w:eastAsia="Times New Roman" w:cs="Times New Roman"/>
        </w:rPr>
      </w:pPr>
      <w:r w:rsidRPr="00B24AE5">
        <w:rPr>
          <w:rFonts w:eastAsia="Times New Roman" w:cs="Times New Roman"/>
          <w:i/>
          <w:szCs w:val="18"/>
        </w:rPr>
        <w:t>NAICS codes</w:t>
      </w:r>
      <w:r w:rsidRPr="00B24AE5">
        <w:rPr>
          <w:rFonts w:eastAsia="Times New Roman" w:cs="Times New Roman"/>
          <w:szCs w:val="18"/>
        </w:rPr>
        <w:t xml:space="preserve">: (new) The </w:t>
      </w:r>
      <w:r>
        <w:rPr>
          <w:rFonts w:eastAsia="Times New Roman" w:cs="Times New Roman"/>
          <w:szCs w:val="18"/>
        </w:rPr>
        <w:t xml:space="preserve">reporting </w:t>
      </w:r>
      <w:r w:rsidRPr="00B24AE5">
        <w:rPr>
          <w:rFonts w:eastAsia="Times New Roman" w:cs="Times New Roman"/>
          <w:szCs w:val="18"/>
        </w:rPr>
        <w:t>site’s NAICS code(s) help EPA to more accurately understand the chemical industry, including identifying sector-specific trends.</w:t>
      </w:r>
    </w:p>
    <w:p w:rsidR="00693608" w:rsidP="00693608" w:rsidRDefault="00693608" w14:paraId="78FD0E71" w14:textId="77777777">
      <w:pPr>
        <w:pStyle w:val="ListParagraph"/>
        <w:ind w:left="360"/>
        <w:rPr>
          <w:rFonts w:eastAsia="Times New Roman" w:cs="Times New Roman"/>
          <w:i/>
        </w:rPr>
      </w:pPr>
    </w:p>
    <w:p w:rsidRPr="00B24AE5" w:rsidR="00693608" w:rsidP="00693608" w:rsidRDefault="00693608" w14:paraId="1F1FFC0A" w14:textId="3ECCB518">
      <w:pPr>
        <w:numPr>
          <w:ilvl w:val="0"/>
          <w:numId w:val="23"/>
        </w:numPr>
        <w:tabs>
          <w:tab w:val="left" w:pos="1080"/>
          <w:tab w:val="left" w:pos="1260"/>
        </w:tabs>
        <w:ind w:left="360"/>
        <w:rPr>
          <w:rFonts w:eastAsia="Times New Roman" w:cs="Times New Roman"/>
        </w:rPr>
      </w:pPr>
      <w:r w:rsidRPr="00B24AE5">
        <w:rPr>
          <w:rFonts w:eastAsia="Times New Roman" w:cs="Times New Roman"/>
          <w:i/>
        </w:rPr>
        <w:t xml:space="preserve">Percent production volume that is a </w:t>
      </w:r>
      <w:r w:rsidRPr="00B24AE5">
        <w:rPr>
          <w:i/>
        </w:rPr>
        <w:t>b</w:t>
      </w:r>
      <w:r w:rsidRPr="00C91AA1">
        <w:rPr>
          <w:i/>
        </w:rPr>
        <w:t>yproduct</w:t>
      </w:r>
      <w:r>
        <w:t>: (new) EPA added</w:t>
      </w:r>
      <w:r w:rsidRPr="0082605E">
        <w:t xml:space="preserve"> </w:t>
      </w:r>
      <w:r>
        <w:t>a</w:t>
      </w:r>
      <w:r w:rsidRPr="0082605E">
        <w:t xml:space="preserve"> </w:t>
      </w:r>
      <w:r w:rsidR="0007493C">
        <w:t xml:space="preserve">voluntary </w:t>
      </w:r>
      <w:r w:rsidRPr="0082605E">
        <w:t>data element about byproducts to identify important submitter subpopulations and their representation in CDR with respect to production volume</w:t>
      </w:r>
      <w:r>
        <w:t xml:space="preserve"> </w:t>
      </w:r>
      <w:r w:rsidRPr="000703AB">
        <w:t xml:space="preserve">within four ranges: 0 percent, greater than 0 but </w:t>
      </w:r>
      <w:r>
        <w:t xml:space="preserve">less than </w:t>
      </w:r>
      <w:r w:rsidRPr="000703AB">
        <w:t>50 percent, greater than</w:t>
      </w:r>
      <w:r>
        <w:t xml:space="preserve"> or equal to</w:t>
      </w:r>
      <w:r w:rsidRPr="000703AB">
        <w:t xml:space="preserve"> 50 percent but less than 100 percent, or 100 percent</w:t>
      </w:r>
      <w:r w:rsidRPr="0082605E">
        <w:t xml:space="preserve">. </w:t>
      </w:r>
      <w:r>
        <w:t>With this</w:t>
      </w:r>
      <w:r w:rsidRPr="0082605E">
        <w:t xml:space="preserve"> change</w:t>
      </w:r>
      <w:r>
        <w:t>,</w:t>
      </w:r>
      <w:r w:rsidRPr="0082605E">
        <w:t xml:space="preserve"> EPA</w:t>
      </w:r>
      <w:r>
        <w:t xml:space="preserve"> will be able</w:t>
      </w:r>
      <w:r w:rsidRPr="0082605E">
        <w:t xml:space="preserve"> to </w:t>
      </w:r>
      <w:r>
        <w:t xml:space="preserve">better understand the reporting impacts on this subpopulation, including to </w:t>
      </w:r>
      <w:r w:rsidRPr="0082605E">
        <w:t>identify those manufacturers who only report to CDR due to their byproduct production. EPA will consequently be better able to understand and connect manufacturing and downstream activities for the purposes of substance life cycle assessments and risk evaluation.</w:t>
      </w:r>
      <w:r>
        <w:t xml:space="preserve">  </w:t>
      </w:r>
    </w:p>
    <w:p w:rsidR="00693608" w:rsidP="00693608" w:rsidRDefault="00693608" w14:paraId="2914D032" w14:textId="77777777">
      <w:pPr>
        <w:pStyle w:val="ListParagraph"/>
        <w:ind w:left="360"/>
        <w:rPr>
          <w:rFonts w:eastAsia="Times New Roman" w:cs="Times New Roman"/>
        </w:rPr>
      </w:pPr>
    </w:p>
    <w:p w:rsidR="00693608" w:rsidP="00693608" w:rsidRDefault="00693608" w14:paraId="1E83C95C" w14:textId="77777777">
      <w:pPr>
        <w:numPr>
          <w:ilvl w:val="0"/>
          <w:numId w:val="23"/>
        </w:numPr>
        <w:tabs>
          <w:tab w:val="left" w:pos="1080"/>
          <w:tab w:val="left" w:pos="1260"/>
        </w:tabs>
        <w:ind w:left="360"/>
        <w:rPr>
          <w:rFonts w:eastAsia="Times New Roman" w:cs="Times New Roman"/>
        </w:rPr>
      </w:pPr>
      <w:r>
        <w:rPr>
          <w:i/>
        </w:rPr>
        <w:t>Whether a manufactured (including imported) chemical substance is being</w:t>
      </w:r>
      <w:r w:rsidRPr="00B24AE5">
        <w:rPr>
          <w:i/>
        </w:rPr>
        <w:t xml:space="preserve"> recycled: </w:t>
      </w:r>
      <w:r w:rsidRPr="00C91AA1">
        <w:t xml:space="preserve">(revised) </w:t>
      </w:r>
      <w:r w:rsidRPr="00DE15D1">
        <w:t>This data element provides information relevant to the exposure profile of a chemical substance and indicates efficiencies within the chemical manufacturing industry. EPA is modif</w:t>
      </w:r>
      <w:r>
        <w:t>ying</w:t>
      </w:r>
      <w:r w:rsidRPr="00DE15D1">
        <w:t xml:space="preserve"> this data element to focus on recycling and to reduce potential confusion related to the removed terms “remanufactured, reprocessed, and reused,” which may be interpreted and applied too broadly to obtain the information of interest for this collection.  </w:t>
      </w:r>
    </w:p>
    <w:p w:rsidR="00693608" w:rsidP="00693608" w:rsidRDefault="00693608" w14:paraId="40D094EE" w14:textId="77777777">
      <w:pPr>
        <w:pStyle w:val="ListParagraph"/>
        <w:rPr>
          <w:i/>
          <w:iCs/>
        </w:rPr>
      </w:pPr>
    </w:p>
    <w:p w:rsidRPr="000C5CEB" w:rsidR="00693608" w:rsidP="00693608" w:rsidRDefault="00693608" w14:paraId="1CEE4561" w14:textId="77777777">
      <w:pPr>
        <w:numPr>
          <w:ilvl w:val="0"/>
          <w:numId w:val="23"/>
        </w:numPr>
        <w:tabs>
          <w:tab w:val="left" w:pos="1080"/>
          <w:tab w:val="left" w:pos="1260"/>
        </w:tabs>
        <w:ind w:left="360"/>
        <w:rPr>
          <w:rFonts w:eastAsia="Times New Roman" w:cs="Times New Roman"/>
        </w:rPr>
      </w:pPr>
      <w:r w:rsidRPr="000C5CEB">
        <w:rPr>
          <w:i/>
          <w:iCs/>
        </w:rPr>
        <w:t xml:space="preserve">Function of a chemical for consumer and commercial use: </w:t>
      </w:r>
      <w:r>
        <w:t>(new) The</w:t>
      </w:r>
      <w:r w:rsidRPr="005F6753">
        <w:t xml:space="preserve"> function of a chemical combined with the type of product that the chemical is used in provides </w:t>
      </w:r>
      <w:r>
        <w:t xml:space="preserve">EPA with </w:t>
      </w:r>
      <w:r w:rsidRPr="005F6753">
        <w:t>information about an exposure scenario with unique characteristics. Information about exposure scenarios is necessary for implementation of TSCA for prioritization and for further consideration for the development of exposure scenarios and risk evaluations.</w:t>
      </w:r>
    </w:p>
    <w:p w:rsidR="00693608" w:rsidP="00693608" w:rsidRDefault="00693608" w14:paraId="7BE868AF" w14:textId="77777777">
      <w:pPr>
        <w:pStyle w:val="ListParagraph"/>
        <w:ind w:left="360"/>
        <w:rPr>
          <w:rFonts w:eastAsia="Times New Roman" w:cs="Times New Roman"/>
          <w:i/>
        </w:rPr>
      </w:pPr>
    </w:p>
    <w:p w:rsidR="00693608" w:rsidP="00693608" w:rsidRDefault="00693608" w14:paraId="1E050899" w14:textId="5030CC93">
      <w:pPr>
        <w:numPr>
          <w:ilvl w:val="0"/>
          <w:numId w:val="23"/>
        </w:numPr>
        <w:tabs>
          <w:tab w:val="left" w:pos="1080"/>
          <w:tab w:val="left" w:pos="1260"/>
        </w:tabs>
        <w:ind w:left="360"/>
        <w:rPr>
          <w:rFonts w:eastAsia="Times New Roman" w:cs="Times New Roman"/>
        </w:rPr>
      </w:pPr>
      <w:r w:rsidRPr="00B24AE5">
        <w:rPr>
          <w:rFonts w:eastAsia="Times New Roman" w:cs="Times New Roman"/>
          <w:i/>
        </w:rPr>
        <w:t>Function and use codes</w:t>
      </w:r>
      <w:r w:rsidRPr="00C91AA1">
        <w:rPr>
          <w:rFonts w:eastAsia="Times New Roman" w:cs="Times New Roman"/>
          <w:i/>
        </w:rPr>
        <w:t>:</w:t>
      </w:r>
      <w:r w:rsidRPr="00C91AA1">
        <w:rPr>
          <w:rFonts w:eastAsia="Times New Roman" w:cs="Times New Roman"/>
        </w:rPr>
        <w:t xml:space="preserve"> </w:t>
      </w:r>
      <w:r w:rsidRPr="00B24AE5">
        <w:rPr>
          <w:rFonts w:eastAsia="Times New Roman" w:cs="Times New Roman"/>
        </w:rPr>
        <w:t>(revised) Harmonizing CDR use codes with the OECD codes will expand the utilization of applicable use and exposure-related information from international sources to support EPA risk assessment activities for new and existing chemicals. Additionally, this harmonization provid</w:t>
      </w:r>
      <w:r>
        <w:rPr>
          <w:rFonts w:eastAsia="Times New Roman" w:cs="Times New Roman"/>
        </w:rPr>
        <w:t>es</w:t>
      </w:r>
      <w:r w:rsidRPr="00B24AE5">
        <w:rPr>
          <w:rFonts w:eastAsia="Times New Roman" w:cs="Times New Roman"/>
        </w:rPr>
        <w:t xml:space="preserve"> industry with international uniformity in use and exposure information reporting, enabling industry to better streamline their different country-specific reporting requirements. </w:t>
      </w:r>
      <w:r w:rsidR="0007493C">
        <w:t xml:space="preserve">The use of these codes will be phased in such that only </w:t>
      </w:r>
      <w:r w:rsidR="00B21E6D">
        <w:t>reports of</w:t>
      </w:r>
      <w:r w:rsidR="0007493C">
        <w:t xml:space="preserve"> the 20 High Priority Chemical Substances</w:t>
      </w:r>
      <w:r w:rsidRPr="002210E9" w:rsidR="0007493C">
        <w:rPr>
          <w:rStyle w:val="FootnoteReference"/>
          <w:vertAlign w:val="superscript"/>
        </w:rPr>
        <w:footnoteReference w:id="2"/>
      </w:r>
      <w:r w:rsidR="0007493C">
        <w:t xml:space="preserve"> will be required to use the </w:t>
      </w:r>
      <w:r w:rsidR="0007493C">
        <w:lastRenderedPageBreak/>
        <w:t>OECD</w:t>
      </w:r>
      <w:r w:rsidR="00B21E6D">
        <w:t>-based</w:t>
      </w:r>
      <w:r w:rsidR="0007493C">
        <w:t xml:space="preserve"> codes in the 2020 reporting cycle. </w:t>
      </w:r>
      <w:r w:rsidR="00B21E6D">
        <w:t>Reports of</w:t>
      </w:r>
      <w:r w:rsidR="0007493C">
        <w:t xml:space="preserve"> all other chemicals will be required to use the OECD</w:t>
      </w:r>
      <w:r w:rsidR="00B21E6D">
        <w:t>-based</w:t>
      </w:r>
      <w:r w:rsidR="0007493C">
        <w:t xml:space="preserve"> codes starting in the 2024 reporting cycle but may voluntarily use them in the 2020 reporting cycle if they so choose</w:t>
      </w:r>
      <w:r w:rsidR="004032C0">
        <w:t>.</w:t>
      </w:r>
    </w:p>
    <w:p w:rsidRPr="00103584" w:rsidR="00693608" w:rsidP="00693608" w:rsidRDefault="00693608" w14:paraId="42279559" w14:textId="77777777">
      <w:pPr>
        <w:autoSpaceDE w:val="0"/>
        <w:autoSpaceDN w:val="0"/>
        <w:adjustRightInd w:val="0"/>
        <w:rPr>
          <w:rFonts w:eastAsia="Times New Roman" w:cs="Times New Roman"/>
        </w:rPr>
      </w:pPr>
    </w:p>
    <w:p w:rsidRPr="00C91AA1" w:rsidR="00693608" w:rsidP="00693608" w:rsidRDefault="00693608" w14:paraId="039940EA" w14:textId="77777777">
      <w:pPr>
        <w:pStyle w:val="ListParagraph"/>
        <w:numPr>
          <w:ilvl w:val="0"/>
          <w:numId w:val="23"/>
        </w:numPr>
        <w:ind w:left="360"/>
        <w:contextualSpacing w:val="0"/>
        <w:rPr>
          <w:rFonts w:eastAsia="Times New Roman" w:cs="Times New Roman"/>
          <w:i/>
        </w:rPr>
      </w:pPr>
      <w:r w:rsidRPr="009533EA">
        <w:rPr>
          <w:rFonts w:eastAsia="Times New Roman" w:cs="Times New Roman"/>
          <w:i/>
        </w:rPr>
        <w:t>C</w:t>
      </w:r>
      <w:r>
        <w:rPr>
          <w:rFonts w:eastAsia="Times New Roman" w:cs="Times New Roman"/>
          <w:i/>
        </w:rPr>
        <w:t>onfidential claim</w:t>
      </w:r>
      <w:r w:rsidRPr="009533EA">
        <w:rPr>
          <w:rFonts w:eastAsia="Times New Roman" w:cs="Times New Roman"/>
          <w:i/>
        </w:rPr>
        <w:t xml:space="preserve"> </w:t>
      </w:r>
      <w:r>
        <w:rPr>
          <w:rFonts w:eastAsia="Times New Roman" w:cs="Times New Roman"/>
          <w:i/>
        </w:rPr>
        <w:t>s</w:t>
      </w:r>
      <w:r w:rsidRPr="009533EA">
        <w:rPr>
          <w:rFonts w:eastAsia="Times New Roman" w:cs="Times New Roman"/>
          <w:i/>
        </w:rPr>
        <w:t xml:space="preserve">ubstantiation: </w:t>
      </w:r>
      <w:r>
        <w:rPr>
          <w:rFonts w:eastAsia="Times New Roman" w:cs="Times New Roman"/>
        </w:rPr>
        <w:t xml:space="preserve">(revised) Changes to the substantiation requirements are finalized primarily to align with new statutory requirements. These changes will help EPA to improve transparency and public availability of the data while protecting CDR submitters’ confidential information. </w:t>
      </w:r>
    </w:p>
    <w:p w:rsidRPr="00200EAC" w:rsidR="00AB22ED" w:rsidP="00200EAC" w:rsidRDefault="00AB22ED" w14:paraId="075EF88A" w14:textId="6884FE14"/>
    <w:p w:rsidRPr="00200EAC" w:rsidR="00512823" w:rsidP="00512823" w:rsidRDefault="00512823" w14:paraId="5CE614BC" w14:textId="77777777"/>
    <w:p w:rsidRPr="00200EAC" w:rsidR="00E33A13" w:rsidP="002210E9" w:rsidRDefault="00512823" w14:paraId="01B654DB" w14:textId="77777777">
      <w:pPr>
        <w:pStyle w:val="Heading1"/>
        <w:numPr>
          <w:ilvl w:val="0"/>
          <w:numId w:val="3"/>
        </w:numPr>
      </w:pPr>
      <w:bookmarkStart w:name="_Toc34984656" w:id="15"/>
      <w:r w:rsidRPr="00200EAC">
        <w:t>NON-DUPLICATION, CONSULTATIONS, AND OTHER COLLECTION CRITERIA</w:t>
      </w:r>
      <w:bookmarkEnd w:id="15"/>
    </w:p>
    <w:p w:rsidRPr="00200EAC" w:rsidR="00512823" w:rsidP="00E33A13" w:rsidRDefault="00512823" w14:paraId="4AE1FFE5" w14:textId="77777777">
      <w:pPr>
        <w:pStyle w:val="Heading2"/>
        <w:numPr>
          <w:ilvl w:val="1"/>
          <w:numId w:val="3"/>
        </w:numPr>
        <w:tabs>
          <w:tab w:val="left" w:pos="1080"/>
        </w:tabs>
      </w:pPr>
      <w:bookmarkStart w:name="_Toc34984657" w:id="16"/>
      <w:r w:rsidRPr="00200EAC">
        <w:t>Non-Duplication</w:t>
      </w:r>
      <w:bookmarkEnd w:id="16"/>
    </w:p>
    <w:p w:rsidR="00E33A13" w:rsidP="00E33A13" w:rsidRDefault="003F2C31" w14:paraId="5F21EA48" w14:textId="5D2F3C49">
      <w:r w:rsidRPr="009533EA">
        <w:t>The data included in this information collection</w:t>
      </w:r>
      <w:r>
        <w:t xml:space="preserve"> addendum</w:t>
      </w:r>
      <w:r w:rsidRPr="009533EA">
        <w:t xml:space="preserve"> (i.e., produ</w:t>
      </w:r>
      <w:r>
        <w:t>c</w:t>
      </w:r>
      <w:r w:rsidRPr="009533EA">
        <w:t>tion</w:t>
      </w:r>
      <w:r>
        <w:t xml:space="preserve"> </w:t>
      </w:r>
      <w:r w:rsidRPr="009533EA">
        <w:t xml:space="preserve">volume, chemical manufacture, exposure, and processing and use data) are not collected comprehensively or systematically at the national level by any other </w:t>
      </w:r>
      <w:r>
        <w:t>entities</w:t>
      </w:r>
      <w:r w:rsidRPr="009533EA">
        <w:t>.</w:t>
      </w:r>
    </w:p>
    <w:p w:rsidRPr="00200EAC" w:rsidR="00200EAC" w:rsidP="00200EAC" w:rsidRDefault="00200EAC" w14:paraId="77ABA4D3" w14:textId="77777777">
      <w:pPr>
        <w:pStyle w:val="NoSpacing"/>
      </w:pPr>
    </w:p>
    <w:p w:rsidRPr="00B14BF0" w:rsidR="00512823" w:rsidP="00E33A13" w:rsidRDefault="00512823" w14:paraId="3325B056" w14:textId="3A45023B">
      <w:pPr>
        <w:pStyle w:val="Heading2"/>
        <w:numPr>
          <w:ilvl w:val="1"/>
          <w:numId w:val="3"/>
        </w:numPr>
        <w:tabs>
          <w:tab w:val="left" w:pos="1080"/>
        </w:tabs>
      </w:pPr>
      <w:bookmarkStart w:name="_Toc34984658" w:id="17"/>
      <w:bookmarkStart w:name="_Hlk33170725" w:id="18"/>
      <w:r w:rsidRPr="00B14BF0">
        <w:t>Consultations and Public Comments</w:t>
      </w:r>
      <w:bookmarkEnd w:id="17"/>
    </w:p>
    <w:p w:rsidRPr="00395811" w:rsidR="00395811" w:rsidP="00395811" w:rsidRDefault="00395811" w14:paraId="4EB7A0FE" w14:textId="77777777">
      <w:pPr>
        <w:pStyle w:val="BodyTextNoIndent"/>
        <w:ind w:firstLine="0"/>
        <w:rPr>
          <w:rFonts w:ascii="Arial" w:hAnsi="Arial" w:eastAsiaTheme="minorHAnsi" w:cstheme="minorBidi"/>
          <w:szCs w:val="22"/>
        </w:rPr>
      </w:pPr>
      <w:r w:rsidRPr="00395811">
        <w:rPr>
          <w:rFonts w:ascii="Arial" w:hAnsi="Arial" w:eastAsiaTheme="minorHAnsi" w:cstheme="minorBidi"/>
          <w:szCs w:val="22"/>
        </w:rPr>
        <w:t xml:space="preserve">During the public comment period for the proposed rule from April 24, 2019 to June 24, 2019, EPA received 9 comments on the reporting and recordkeeping burden associated with reporting to CDR. </w:t>
      </w:r>
    </w:p>
    <w:p w:rsidRPr="00395811" w:rsidR="00395811" w:rsidP="00395811" w:rsidRDefault="00395811" w14:paraId="75A80DEE" w14:textId="4C4634B5">
      <w:pPr>
        <w:pStyle w:val="BodyTextNoIndent"/>
        <w:ind w:firstLine="0"/>
        <w:rPr>
          <w:rFonts w:ascii="Arial" w:hAnsi="Arial" w:eastAsiaTheme="minorHAnsi" w:cstheme="minorBidi"/>
          <w:szCs w:val="22"/>
        </w:rPr>
      </w:pPr>
      <w:r w:rsidRPr="00395811">
        <w:rPr>
          <w:rFonts w:ascii="Arial" w:hAnsi="Arial" w:eastAsiaTheme="minorHAnsi" w:cstheme="minorBidi"/>
          <w:szCs w:val="22"/>
        </w:rPr>
        <w:t xml:space="preserve">Commenters noted that replacing the current CDR codes with a higher number of OECD-harmonized codes will increase burden for reporters; one commenter noted that EPA was “replacing the broad and limited CDR function and use codes … [with] an expanded and more detailed coding system…” Commenters identified the need to update company systems designed to capture information using the old codes, noting that for the 2020 CDR, companies will have only a few months to update their internal tools in order to capture and submit information under these new requirements and suggesting that using the new codes will “likely double or triple the amount of pre-work needed to accurately classify substances.” In response, EPA recognizes that any time the reporting requirements change, there may be a need for a submitter to adjust its internal systems used to collect such information. This burden is captured in the higher reporting burden estimated for new reporters. Reporting burden associated </w:t>
      </w:r>
      <w:r w:rsidRPr="007E5F6B">
        <w:rPr>
          <w:rFonts w:ascii="Arial" w:hAnsi="Arial" w:eastAsiaTheme="minorHAnsi" w:cstheme="minorBidi"/>
          <w:szCs w:val="22"/>
        </w:rPr>
        <w:t>with new and changed form completion activities are applied to reporters (new and experienced)</w:t>
      </w:r>
      <w:r w:rsidRPr="002210E9" w:rsidR="007E5F6B">
        <w:rPr>
          <w:rFonts w:ascii="Arial" w:hAnsi="Arial" w:cs="Arial"/>
        </w:rPr>
        <w:t xml:space="preserve"> in the first or second cycle as applicable and described in the Economic Analysis</w:t>
      </w:r>
      <w:r w:rsidRPr="007E5F6B">
        <w:rPr>
          <w:rFonts w:ascii="Arial" w:hAnsi="Arial" w:eastAsiaTheme="minorHAnsi" w:cstheme="minorBidi"/>
          <w:szCs w:val="22"/>
        </w:rPr>
        <w:t xml:space="preserve">. The same unit burdens are also applied to new reporters only in </w:t>
      </w:r>
      <w:r w:rsidRPr="007E5F6B" w:rsidR="00347668">
        <w:rPr>
          <w:rFonts w:ascii="Arial" w:hAnsi="Arial" w:eastAsiaTheme="minorHAnsi" w:cstheme="minorBidi"/>
          <w:szCs w:val="22"/>
        </w:rPr>
        <w:t xml:space="preserve">subsequent </w:t>
      </w:r>
      <w:r w:rsidRPr="007E5F6B">
        <w:rPr>
          <w:rFonts w:ascii="Arial" w:hAnsi="Arial" w:eastAsiaTheme="minorHAnsi" w:cstheme="minorBidi"/>
          <w:szCs w:val="22"/>
        </w:rPr>
        <w:t>cycles.</w:t>
      </w:r>
    </w:p>
    <w:bookmarkEnd w:id="18"/>
    <w:p w:rsidR="00395811" w:rsidP="00395811" w:rsidRDefault="00395811" w14:paraId="4B2B659C" w14:textId="77777777">
      <w:pPr>
        <w:pStyle w:val="BodyTextNoIndent"/>
        <w:ind w:firstLine="0"/>
      </w:pPr>
      <w:r w:rsidRPr="00395811">
        <w:rPr>
          <w:rFonts w:ascii="Arial" w:hAnsi="Arial" w:eastAsiaTheme="minorHAnsi" w:cstheme="minorBidi"/>
          <w:szCs w:val="22"/>
        </w:rPr>
        <w:t>With regards to the exemptions to the reporting of inorganic byproducts, one commenter suggested that, instead of listing substances, the exemption should be self-executing, where the site documents in its own records that it meets the exemption conditions. However, EPA disagrees that it is appropriate for this exemption to be self-executing. EPA believes this is a nuanced exemption with requirements that may not be correctly applied</w:t>
      </w:r>
      <w:r w:rsidRPr="00517E47">
        <w:t>.</w:t>
      </w:r>
    </w:p>
    <w:p w:rsidRPr="008828B9" w:rsidR="004E0D4A" w:rsidP="004E0D4A" w:rsidRDefault="00395811" w14:paraId="05C68571" w14:textId="10FC5DC5">
      <w:pPr>
        <w:pStyle w:val="ListParagraph"/>
        <w:numPr>
          <w:ilvl w:val="12"/>
          <w:numId w:val="3"/>
        </w:numPr>
        <w:ind w:left="0"/>
        <w:rPr>
          <w:szCs w:val="24"/>
        </w:rPr>
      </w:pPr>
      <w:r w:rsidRPr="00C72352">
        <w:lastRenderedPageBreak/>
        <w:t xml:space="preserve">For a more detailed discussion of the response to comments associated with paperwork burden please see </w:t>
      </w:r>
      <w:r w:rsidR="001C6DC9">
        <w:t xml:space="preserve">the Response to </w:t>
      </w:r>
      <w:r w:rsidR="00BC1275">
        <w:t xml:space="preserve">Public </w:t>
      </w:r>
      <w:r w:rsidR="001C6DC9">
        <w:t>Comments</w:t>
      </w:r>
      <w:r w:rsidR="00BC1275">
        <w:t xml:space="preserve"> on the Final TSCA Chem</w:t>
      </w:r>
      <w:r w:rsidR="0039079A">
        <w:t>ic</w:t>
      </w:r>
      <w:r w:rsidR="00BC1275">
        <w:t>al Data R</w:t>
      </w:r>
      <w:r w:rsidR="0039079A">
        <w:t>e</w:t>
      </w:r>
      <w:r w:rsidR="00BC1275">
        <w:t>por</w:t>
      </w:r>
      <w:r w:rsidR="0039079A">
        <w:t>ti</w:t>
      </w:r>
      <w:r w:rsidR="00BC1275">
        <w:t>ng (CDR) Revisions Rule</w:t>
      </w:r>
      <w:r w:rsidR="00B56F7F">
        <w:t>, located in</w:t>
      </w:r>
      <w:r w:rsidR="00DC650E">
        <w:t xml:space="preserve"> docket </w:t>
      </w:r>
      <w:r w:rsidRPr="00425737" w:rsidR="00DC650E">
        <w:t>EPA-HQ-OPPT-</w:t>
      </w:r>
      <w:r w:rsidRPr="00873EE3" w:rsidR="00DC650E">
        <w:t>2018-0321</w:t>
      </w:r>
      <w:r w:rsidR="008828B9">
        <w:t>.</w:t>
      </w:r>
    </w:p>
    <w:p w:rsidRPr="004E0D4A" w:rsidR="008828B9" w:rsidP="005D6E03" w:rsidRDefault="008828B9" w14:paraId="0944D5F1" w14:textId="77777777">
      <w:pPr>
        <w:pStyle w:val="ListParagraph"/>
        <w:numPr>
          <w:ilvl w:val="12"/>
          <w:numId w:val="3"/>
        </w:numPr>
        <w:spacing w:after="120"/>
        <w:ind w:left="0"/>
        <w:rPr>
          <w:szCs w:val="24"/>
        </w:rPr>
      </w:pPr>
    </w:p>
    <w:p w:rsidR="00051C71" w:rsidP="00051C71" w:rsidRDefault="00512823" w14:paraId="5ED081E6" w14:textId="21D5D221">
      <w:pPr>
        <w:pStyle w:val="Heading2"/>
        <w:numPr>
          <w:ilvl w:val="1"/>
          <w:numId w:val="3"/>
        </w:numPr>
        <w:tabs>
          <w:tab w:val="left" w:pos="1080"/>
        </w:tabs>
        <w:rPr>
          <w:szCs w:val="24"/>
        </w:rPr>
      </w:pPr>
      <w:bookmarkStart w:name="_Toc34984659" w:id="19"/>
      <w:r w:rsidRPr="00200EAC">
        <w:rPr>
          <w:szCs w:val="24"/>
        </w:rPr>
        <w:t>Effects of Less Frequent Collection</w:t>
      </w:r>
      <w:bookmarkEnd w:id="19"/>
    </w:p>
    <w:p w:rsidR="004E0D4A" w:rsidP="005D6E03" w:rsidRDefault="004E0D4A" w14:paraId="22EB01F0" w14:textId="371731A2">
      <w:r>
        <w:t xml:space="preserve">If data were collected less frequently, there would be a significant loss of data to the agency and general public, as there are no alternative data sets as comprehensive as CDR for the chemical manufacturing industry. Requiring this data collection every four years will help to increase the agency’s ability to understand the chemical industry and monitor the production levels of chemical substances manufactured (including imported) in the United States. </w:t>
      </w:r>
      <w:r w:rsidR="005F2DD6">
        <w:t>A</w:t>
      </w:r>
      <w:r>
        <w:t>s chemical industry product lines and manufacturing in the United States change substantially from one submission period to the next, more current information enhances the agency’s ability to make more accurate chemical substance risk assessment and management decisions in a timely and effective manner.</w:t>
      </w:r>
    </w:p>
    <w:p w:rsidRPr="004E0D4A" w:rsidR="004E0D4A" w:rsidP="005D6E03" w:rsidRDefault="004E0D4A" w14:paraId="78066E28" w14:textId="77777777">
      <w:pPr>
        <w:pStyle w:val="NoSpacing"/>
      </w:pPr>
    </w:p>
    <w:p w:rsidRPr="00200EAC" w:rsidR="00DB7F57" w:rsidP="00DB7F57" w:rsidRDefault="00DB7F57" w14:paraId="257E0757" w14:textId="77777777">
      <w:pPr>
        <w:pStyle w:val="Heading2"/>
        <w:numPr>
          <w:ilvl w:val="1"/>
          <w:numId w:val="3"/>
        </w:numPr>
        <w:tabs>
          <w:tab w:val="left" w:pos="1080"/>
        </w:tabs>
      </w:pPr>
      <w:bookmarkStart w:name="_Toc31017658" w:id="20"/>
      <w:bookmarkStart w:name="_Toc31018148" w:id="21"/>
      <w:bookmarkStart w:name="_Toc34984660" w:id="22"/>
      <w:bookmarkEnd w:id="20"/>
      <w:bookmarkEnd w:id="21"/>
      <w:r w:rsidRPr="00200EAC">
        <w:t>Small Entity Flexibility</w:t>
      </w:r>
      <w:bookmarkEnd w:id="22"/>
    </w:p>
    <w:p w:rsidRPr="00520016" w:rsidR="00322E24" w:rsidP="00322E24" w:rsidRDefault="00322E24" w14:paraId="7FCA860C" w14:textId="77777777">
      <w:pPr>
        <w:pStyle w:val="BodyText"/>
      </w:pPr>
      <w:r w:rsidRPr="00520016">
        <w:t xml:space="preserve">The CDR regulation provides flexibility to small entities, which includes small businesses, governmental jurisdictions, and not-for-profit organizations. While there is some reporting to CDR by small government jurisdictions, there is a very low likelihood of requiring reporting by small governmental jurisdictions or small not-for-profit organizations. Instead, affected small entities are generally small businesses. Small manufacturers (including importers), in accordance with TSCA section 8(a) and 40 CFR Sections 711.9, are generally exempt and therefore are generally not subject to any of the reporting or recordkeeping requirements. A manufacturer (including importer) is considered a small business if (1) the firm’s total annual sales when combined with those of its parent company (if any) are less than $40 million for the principal reporting year and (2) its total production and/or importation of the chemical substances for the principal reporting year, does not exceed 100,000 pounds (45,000 kilograms) at an individual site owned and controlled by the firm. If the firm’s total annual sales when combined with those of its parent company (if any) are less than $4 million for the principal reporting year, the firm is considered small regardless of the production volume.  The </w:t>
      </w:r>
      <w:r w:rsidRPr="00520016">
        <w:rPr>
          <w:i/>
        </w:rPr>
        <w:t>Economic Analysis for the Final Inventory Update Reporting Modifications Rule</w:t>
      </w:r>
      <w:r w:rsidRPr="00520016">
        <w:t xml:space="preserve"> determined that the impact on these companies is, on average, significantly less than one percent of revenues (EPA, 2011). </w:t>
      </w:r>
    </w:p>
    <w:p w:rsidR="00322E24" w:rsidP="002210E9" w:rsidRDefault="00322E24" w14:paraId="17857E50" w14:textId="7838BDAD">
      <w:pPr>
        <w:pStyle w:val="BodyText"/>
        <w:spacing w:after="0"/>
      </w:pPr>
      <w:r w:rsidRPr="00520016">
        <w:t>EPA is currently proposing a revision to the small manufacturer definition under the TSCA Section 8(a) Small Manufacturer Definition Update Rule. See the ICR Addendum accompanying that rule for details.</w:t>
      </w:r>
      <w:r>
        <w:t xml:space="preserve"> </w:t>
      </w:r>
    </w:p>
    <w:p w:rsidRPr="00C91AA1" w:rsidR="004E0D4A" w:rsidP="00322E24" w:rsidRDefault="004E0D4A" w14:paraId="33D19FA4" w14:textId="77777777">
      <w:pPr>
        <w:pStyle w:val="BodyText"/>
      </w:pPr>
    </w:p>
    <w:p w:rsidRPr="00200EAC" w:rsidR="00512823" w:rsidP="00DB7F57" w:rsidRDefault="00512823" w14:paraId="057BE20E" w14:textId="77777777">
      <w:pPr>
        <w:pStyle w:val="Heading2"/>
        <w:numPr>
          <w:ilvl w:val="1"/>
          <w:numId w:val="3"/>
        </w:numPr>
        <w:tabs>
          <w:tab w:val="left" w:pos="1080"/>
        </w:tabs>
      </w:pPr>
      <w:bookmarkStart w:name="_Toc34984661" w:id="23"/>
      <w:r w:rsidRPr="00200EAC">
        <w:t xml:space="preserve">General </w:t>
      </w:r>
      <w:r w:rsidRPr="00200EAC" w:rsidR="00E33A13">
        <w:t xml:space="preserve">PRA Related </w:t>
      </w:r>
      <w:r w:rsidRPr="00200EAC">
        <w:t>Guidelines</w:t>
      </w:r>
      <w:bookmarkEnd w:id="23"/>
    </w:p>
    <w:p w:rsidRPr="009533EA" w:rsidR="008C67DD" w:rsidP="008C67DD" w:rsidRDefault="008C67DD" w14:paraId="1211ECE5" w14:textId="77777777">
      <w:pPr>
        <w:pStyle w:val="BodyText"/>
      </w:pPr>
      <w:r w:rsidRPr="009533EA">
        <w:t>This collection does not exceed any of the Paperwork Reduction Act (PRA) guidelines at 5 CFR 1320.6, with the exceptions listed below.</w:t>
      </w:r>
    </w:p>
    <w:p w:rsidRPr="00F3427A" w:rsidR="00512823" w:rsidP="008C67DD" w:rsidRDefault="008C67DD" w14:paraId="7C9BD46D" w14:textId="54B9D6B2">
      <w:pPr>
        <w:pStyle w:val="ListParagraph"/>
        <w:numPr>
          <w:ilvl w:val="12"/>
          <w:numId w:val="3"/>
        </w:numPr>
        <w:ind w:left="0"/>
      </w:pPr>
      <w:r w:rsidRPr="009533EA">
        <w:t xml:space="preserve">The record retention period of this collection is five years, as specified in 40 CFR 711.25, exceeding the PRA maximum of three years. </w:t>
      </w:r>
      <w:r>
        <w:t>EPA is not finalizing changes to the record retention period</w:t>
      </w:r>
      <w:r w:rsidRPr="00F3427A" w:rsidR="00200EAC">
        <w:t>.</w:t>
      </w:r>
    </w:p>
    <w:p w:rsidRPr="00F3427A" w:rsidR="00E33A13" w:rsidP="00E33A13" w:rsidRDefault="00E33A13" w14:paraId="3BE56B58" w14:textId="005EAA60"/>
    <w:p w:rsidRPr="00F3427A" w:rsidR="00512823" w:rsidP="00DB7F57" w:rsidRDefault="00512823" w14:paraId="6B53EE6D" w14:textId="77777777">
      <w:pPr>
        <w:pStyle w:val="Heading2"/>
        <w:numPr>
          <w:ilvl w:val="1"/>
          <w:numId w:val="3"/>
        </w:numPr>
        <w:tabs>
          <w:tab w:val="left" w:pos="1080"/>
        </w:tabs>
      </w:pPr>
      <w:bookmarkStart w:name="_Toc34984662" w:id="24"/>
      <w:r w:rsidRPr="00F3427A">
        <w:lastRenderedPageBreak/>
        <w:t>Confidentiality</w:t>
      </w:r>
      <w:bookmarkEnd w:id="24"/>
    </w:p>
    <w:p w:rsidR="008C67DD" w:rsidP="008C67DD" w:rsidRDefault="008C67DD" w14:paraId="627A7C71" w14:textId="6DF21B18">
      <w:pPr>
        <w:pStyle w:val="BodyText"/>
      </w:pPr>
      <w:r>
        <w:t xml:space="preserve">Confidentiality </w:t>
      </w:r>
      <w:r w:rsidRPr="009533EA">
        <w:t>claims limit access to the CDR data, especially by the public. EPA recognizes that some information submitted to the Agency is legitimately confidential</w:t>
      </w:r>
      <w:r>
        <w:t xml:space="preserve">.  </w:t>
      </w:r>
      <w:r w:rsidR="00CB29D5">
        <w:t>Therefore</w:t>
      </w:r>
      <w:r w:rsidRPr="009533EA">
        <w:t xml:space="preserve">, EPA’s review of </w:t>
      </w:r>
      <w:r>
        <w:t>confidential</w:t>
      </w:r>
      <w:r w:rsidRPr="009533EA">
        <w:t xml:space="preserve"> data is an inherently governmental function that EPA must perform to protect human health and the environment.</w:t>
      </w:r>
      <w:r>
        <w:t xml:space="preserve"> As finalized, EPA is c</w:t>
      </w:r>
      <w:r w:rsidRPr="00146FEB">
        <w:t>hanging requirements for making confidentiality claims, including to identify when upfront substantiation is required, update the substantiation questions, and identify data elements that cannot be claimed as confidential</w:t>
      </w:r>
      <w:r>
        <w:t>.</w:t>
      </w:r>
    </w:p>
    <w:p w:rsidR="008C67DD" w:rsidP="008C67DD" w:rsidRDefault="008C67DD" w14:paraId="1004F556" w14:textId="77777777">
      <w:pPr>
        <w:pStyle w:val="BodyText"/>
      </w:pPr>
      <w:r w:rsidRPr="009533EA">
        <w:t xml:space="preserve">Submitters may claim </w:t>
      </w:r>
      <w:r>
        <w:t xml:space="preserve">most </w:t>
      </w:r>
      <w:r w:rsidRPr="009533EA">
        <w:t xml:space="preserve">information reported to EPA under this rule as confidential if such information </w:t>
      </w:r>
      <w:r>
        <w:t xml:space="preserve">would </w:t>
      </w:r>
      <w:r w:rsidRPr="009533EA">
        <w:t>reveal the submitter’s trade secrets or proprietary information as defined by TSCA section 14 and existing regulations</w:t>
      </w:r>
      <w:r>
        <w:t xml:space="preserve"> promulgated by EPA under TSCA</w:t>
      </w:r>
      <w:r w:rsidRPr="009533EA">
        <w:t xml:space="preserve">. </w:t>
      </w:r>
    </w:p>
    <w:p w:rsidRPr="00F3427A" w:rsidR="00E33A13" w:rsidP="008C67DD" w:rsidRDefault="008C67DD" w14:paraId="4B462B42" w14:textId="2944A881">
      <w:pPr>
        <w:pStyle w:val="ListParagraph"/>
        <w:ind w:left="0"/>
      </w:pPr>
      <w:r w:rsidRPr="009533EA">
        <w:t xml:space="preserve">EPA has long-established procedures for </w:t>
      </w:r>
      <w:r>
        <w:t xml:space="preserve">properly </w:t>
      </w:r>
      <w:r w:rsidRPr="009533EA">
        <w:t>handling, storing, processing, and disposing of TSCA confidential information. Transfers of this information to other</w:t>
      </w:r>
      <w:r>
        <w:t>s</w:t>
      </w:r>
      <w:r w:rsidRPr="009533EA">
        <w:t xml:space="preserve"> </w:t>
      </w:r>
      <w:r w:rsidRPr="006879DC">
        <w:t xml:space="preserve">as allowed under TSCA section 14(d) </w:t>
      </w:r>
      <w:r w:rsidRPr="009533EA">
        <w:t xml:space="preserve">can be made only if the other </w:t>
      </w:r>
      <w:r>
        <w:t xml:space="preserve">entity </w:t>
      </w:r>
      <w:r w:rsidRPr="009533EA">
        <w:t xml:space="preserve">agrees to adhere to all TSCA confidentiality provisions. EPA will maintain standard </w:t>
      </w:r>
      <w:r>
        <w:t xml:space="preserve">confidentiality </w:t>
      </w:r>
      <w:r w:rsidRPr="009533EA">
        <w:t>procedures to protect any confidential, trade secret, or proprietary information from disclosure in accordance with EPA’s confidentiality regulation, 40 CFR Part 2, Subpart B</w:t>
      </w:r>
      <w:r w:rsidRPr="00F3427A" w:rsidR="00F3427A">
        <w:t>.</w:t>
      </w:r>
    </w:p>
    <w:p w:rsidRPr="00F3427A" w:rsidR="00F3427A" w:rsidP="00F3427A" w:rsidRDefault="00F3427A" w14:paraId="4E8CB2D9" w14:textId="77777777">
      <w:pPr>
        <w:pStyle w:val="NoSpacing"/>
      </w:pPr>
    </w:p>
    <w:p w:rsidRPr="00F3427A" w:rsidR="00512823" w:rsidP="00DB7F57" w:rsidRDefault="00512823" w14:paraId="5DF66AD3" w14:textId="77777777">
      <w:pPr>
        <w:pStyle w:val="Heading2"/>
        <w:numPr>
          <w:ilvl w:val="1"/>
          <w:numId w:val="3"/>
        </w:numPr>
        <w:tabs>
          <w:tab w:val="left" w:pos="1080"/>
        </w:tabs>
      </w:pPr>
      <w:bookmarkStart w:name="_Toc34984663" w:id="25"/>
      <w:r w:rsidRPr="00F3427A">
        <w:t>Sensitive Questions</w:t>
      </w:r>
      <w:bookmarkEnd w:id="25"/>
    </w:p>
    <w:p w:rsidRPr="00F3427A" w:rsidR="008648B5" w:rsidP="00E33A13" w:rsidRDefault="009913C5" w14:paraId="516D176A" w14:textId="2E136328">
      <w:pPr>
        <w:numPr>
          <w:ilvl w:val="12"/>
          <w:numId w:val="0"/>
        </w:numPr>
      </w:pPr>
      <w:r w:rsidRPr="00DA1088">
        <w:t>No information of a sensitive or private nature is requested in conjunction with this information collection activity, and this information collection activity complies with the provisions of the Privacy Act of 1974 and OMB Circular A</w:t>
      </w:r>
      <w:r>
        <w:t>-</w:t>
      </w:r>
      <w:r w:rsidRPr="00DA1088">
        <w:t>108</w:t>
      </w:r>
      <w:r w:rsidRPr="00F3427A" w:rsidR="00512823">
        <w:t>.</w:t>
      </w:r>
    </w:p>
    <w:p w:rsidRPr="00F3427A" w:rsidR="00F3427A" w:rsidP="00F3427A" w:rsidRDefault="00F3427A" w14:paraId="12443C69" w14:textId="77777777">
      <w:pPr>
        <w:pStyle w:val="NoSpacing"/>
      </w:pPr>
    </w:p>
    <w:p w:rsidRPr="00F3427A" w:rsidR="008648B5" w:rsidP="008648B5" w:rsidRDefault="008648B5" w14:paraId="61281386" w14:textId="77777777">
      <w:pPr>
        <w:pStyle w:val="NoSpacing"/>
      </w:pPr>
    </w:p>
    <w:p w:rsidRPr="00F3427A" w:rsidR="00DB7F57" w:rsidP="00DB7F57" w:rsidRDefault="00DB7F57" w14:paraId="5981E999" w14:textId="77777777">
      <w:pPr>
        <w:pStyle w:val="Heading1"/>
        <w:numPr>
          <w:ilvl w:val="0"/>
          <w:numId w:val="3"/>
        </w:numPr>
        <w:rPr>
          <w:sz w:val="24"/>
          <w:szCs w:val="24"/>
        </w:rPr>
      </w:pPr>
      <w:bookmarkStart w:name="_Toc34984664" w:id="26"/>
      <w:r w:rsidRPr="00F3427A">
        <w:t>AGENCY ACTIVITIES, COLLECTION METHODOLOGY, AND INFORMATION MANAGEMENT</w:t>
      </w:r>
      <w:bookmarkEnd w:id="26"/>
    </w:p>
    <w:p w:rsidRPr="00F3427A" w:rsidR="00DB7F57" w:rsidP="00713CD7" w:rsidRDefault="00713CD7" w14:paraId="67EB7E54" w14:textId="7F6BBD56">
      <w:pPr>
        <w:pStyle w:val="Heading2"/>
      </w:pPr>
      <w:bookmarkStart w:name="_Toc34984665" w:id="27"/>
      <w:r w:rsidRPr="00390954">
        <w:t>4(a).</w:t>
      </w:r>
      <w:r>
        <w:tab/>
        <w:t xml:space="preserve"> </w:t>
      </w:r>
      <w:r w:rsidRPr="00F3427A" w:rsidR="00DB7F57">
        <w:t>Agency Activities</w:t>
      </w:r>
      <w:bookmarkEnd w:id="27"/>
    </w:p>
    <w:p w:rsidRPr="009533EA" w:rsidR="005911FB" w:rsidP="005911FB" w:rsidRDefault="005911FB" w14:paraId="3DF3DB33" w14:textId="77777777">
      <w:pPr>
        <w:pStyle w:val="BodyText"/>
      </w:pPr>
      <w:r w:rsidRPr="009533EA">
        <w:t>The Agency develops and maintains the electronic tool used to collect and verify data</w:t>
      </w:r>
      <w:r>
        <w:t xml:space="preserve"> and routinely conducts o</w:t>
      </w:r>
      <w:r w:rsidRPr="009533EA">
        <w:t xml:space="preserve">ther </w:t>
      </w:r>
      <w:r>
        <w:t xml:space="preserve">activities </w:t>
      </w:r>
      <w:r w:rsidRPr="009533EA">
        <w:t>related to the processing, analysis and storage of the information collected under this rule</w:t>
      </w:r>
      <w:r>
        <w:t>. In this ICR Addendum, only the Agency activities related to the changes created by the final rule are considered</w:t>
      </w:r>
      <w:r w:rsidRPr="009533EA">
        <w:t xml:space="preserve"> includ</w:t>
      </w:r>
      <w:r>
        <w:t>i</w:t>
      </w:r>
      <w:r w:rsidRPr="009533EA">
        <w:t>ng:</w:t>
      </w:r>
    </w:p>
    <w:p w:rsidRPr="00561314" w:rsidR="005911FB" w:rsidP="005911FB" w:rsidRDefault="005911FB" w14:paraId="4F2CF5C3" w14:textId="77777777">
      <w:pPr>
        <w:pStyle w:val="CommentText"/>
        <w:numPr>
          <w:ilvl w:val="0"/>
          <w:numId w:val="25"/>
        </w:numPr>
        <w:rPr>
          <w:sz w:val="24"/>
          <w:szCs w:val="24"/>
        </w:rPr>
      </w:pPr>
      <w:r w:rsidRPr="009E0FDC">
        <w:rPr>
          <w:sz w:val="24"/>
          <w:szCs w:val="24"/>
        </w:rPr>
        <w:t>Submission receipt and tracking</w:t>
      </w:r>
    </w:p>
    <w:p w:rsidRPr="00561314" w:rsidR="005911FB" w:rsidP="005911FB" w:rsidRDefault="005911FB" w14:paraId="0ADD2990" w14:textId="77777777">
      <w:pPr>
        <w:pStyle w:val="CommentText"/>
        <w:numPr>
          <w:ilvl w:val="0"/>
          <w:numId w:val="25"/>
        </w:numPr>
        <w:rPr>
          <w:sz w:val="24"/>
          <w:szCs w:val="24"/>
        </w:rPr>
      </w:pPr>
      <w:r w:rsidRPr="009E0FDC">
        <w:rPr>
          <w:sz w:val="24"/>
          <w:szCs w:val="24"/>
        </w:rPr>
        <w:t>Data Review</w:t>
      </w:r>
    </w:p>
    <w:p w:rsidRPr="009533EA" w:rsidR="005911FB" w:rsidP="005911FB" w:rsidRDefault="005911FB" w14:paraId="6190261E" w14:textId="5C50AA4B">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561314">
        <w:t>Quality Control</w:t>
      </w:r>
      <w:r w:rsidRPr="005911FB">
        <w:rPr>
          <w:rStyle w:val="FootnoteReference"/>
          <w:vertAlign w:val="superscript"/>
        </w:rPr>
        <w:footnoteReference w:id="3"/>
      </w:r>
    </w:p>
    <w:p w:rsidRPr="00F3427A" w:rsidR="00F3427A" w:rsidP="00F3427A" w:rsidRDefault="00F3427A" w14:paraId="026BC3B4" w14:textId="77777777">
      <w:pPr>
        <w:pStyle w:val="NoSpacing"/>
      </w:pPr>
    </w:p>
    <w:p w:rsidRPr="003B118F" w:rsidR="00660CEA" w:rsidP="002210E9" w:rsidRDefault="00390954" w14:paraId="2EF54445" w14:textId="7E24A70D">
      <w:pPr>
        <w:pStyle w:val="Heading2"/>
      </w:pPr>
      <w:bookmarkStart w:name="_Toc34984666" w:id="28"/>
      <w:r w:rsidRPr="00390954">
        <w:t xml:space="preserve">4(b). </w:t>
      </w:r>
      <w:r w:rsidRPr="003B118F" w:rsidR="00660CEA">
        <w:t>Estimated Agency Costs</w:t>
      </w:r>
      <w:bookmarkEnd w:id="28"/>
    </w:p>
    <w:p w:rsidR="00693369" w:rsidP="00693369" w:rsidRDefault="00693369" w14:paraId="00E6F48C" w14:textId="11FEEC24">
      <w:r w:rsidRPr="00A44CCA">
        <w:t xml:space="preserve">The Agency engages in several activities related to CDR </w:t>
      </w:r>
      <w:r>
        <w:t>reporting,</w:t>
      </w:r>
      <w:r w:rsidRPr="00A44CCA">
        <w:t xml:space="preserve"> including: </w:t>
      </w:r>
      <w:r>
        <w:t>d</w:t>
      </w:r>
      <w:r w:rsidRPr="00A44CCA">
        <w:t xml:space="preserve">ocument receipt and tracking; quality control of data, including protection of CBI; </w:t>
      </w:r>
      <w:r>
        <w:t>b</w:t>
      </w:r>
      <w:r w:rsidRPr="00A44CCA">
        <w:t xml:space="preserve">ackup systems operation; </w:t>
      </w:r>
      <w:r>
        <w:t>d</w:t>
      </w:r>
      <w:r w:rsidRPr="00A44CCA">
        <w:t xml:space="preserve">ata processing; </w:t>
      </w:r>
      <w:r>
        <w:t>s</w:t>
      </w:r>
      <w:r w:rsidRPr="00A44CCA">
        <w:t xml:space="preserve">ystems development; </w:t>
      </w:r>
      <w:r>
        <w:t>c</w:t>
      </w:r>
      <w:r w:rsidRPr="00A44CCA">
        <w:t xml:space="preserve">ontract oversight and management; </w:t>
      </w:r>
      <w:r>
        <w:t>p</w:t>
      </w:r>
      <w:r w:rsidRPr="00A44CCA">
        <w:t xml:space="preserve">ublication of </w:t>
      </w:r>
      <w:r w:rsidRPr="00A44CCA">
        <w:lastRenderedPageBreak/>
        <w:t xml:space="preserve">materials and creating </w:t>
      </w:r>
      <w:r>
        <w:t>PDF</w:t>
      </w:r>
      <w:r w:rsidRPr="00A44CCA">
        <w:t xml:space="preserve">s of forms; and </w:t>
      </w:r>
      <w:r>
        <w:t>o</w:t>
      </w:r>
      <w:r w:rsidRPr="00A44CCA">
        <w:t>peration of the TSCA Hotline to handle CDR-related calls.</w:t>
      </w:r>
      <w:r w:rsidRPr="00FE308E" w:rsidR="00FE308E">
        <w:t xml:space="preserve"> </w:t>
      </w:r>
      <w:r w:rsidR="00FE308E">
        <w:t>For the CDR Revisions, EPA</w:t>
      </w:r>
      <w:r w:rsidRPr="00A44CCA" w:rsidR="00FE308E">
        <w:t xml:space="preserve"> estimate</w:t>
      </w:r>
      <w:r w:rsidR="00FE308E">
        <w:t>s</w:t>
      </w:r>
      <w:r w:rsidRPr="00A44CCA" w:rsidR="00FE308E">
        <w:t xml:space="preserve"> </w:t>
      </w:r>
      <w:r w:rsidR="00FE308E">
        <w:t xml:space="preserve">over the four-year reporting cycle </w:t>
      </w:r>
      <w:r w:rsidRPr="00A44CCA" w:rsidR="00FE308E">
        <w:t xml:space="preserve">incremental </w:t>
      </w:r>
      <w:r w:rsidR="00FE308E">
        <w:t xml:space="preserve">Agency </w:t>
      </w:r>
      <w:r w:rsidRPr="00A44CCA" w:rsidR="00FE308E">
        <w:t>burden</w:t>
      </w:r>
      <w:r w:rsidR="00FE308E">
        <w:t xml:space="preserve"> reduction </w:t>
      </w:r>
      <w:r w:rsidRPr="00A44CCA" w:rsidR="00FE308E">
        <w:t>and cost</w:t>
      </w:r>
      <w:r w:rsidR="00FE308E">
        <w:t xml:space="preserve"> savings </w:t>
      </w:r>
      <w:r w:rsidRPr="00A44CCA" w:rsidR="00FE308E">
        <w:t>a</w:t>
      </w:r>
      <w:r w:rsidR="00FE308E">
        <w:t xml:space="preserve">t </w:t>
      </w:r>
      <w:r w:rsidRPr="00A44CCA" w:rsidR="00FE308E">
        <w:t>1</w:t>
      </w:r>
      <w:r w:rsidR="00FE308E">
        <w:t>0</w:t>
      </w:r>
      <w:r w:rsidRPr="00A44CCA" w:rsidR="00FE308E">
        <w:t xml:space="preserve"> hours and $</w:t>
      </w:r>
      <w:r w:rsidR="00FE308E">
        <w:t xml:space="preserve">1,317 due to a reduction in the number of sites and chemical reports </w:t>
      </w:r>
      <w:r w:rsidR="00480FFC">
        <w:t>resulting from</w:t>
      </w:r>
      <w:r w:rsidR="00FE308E">
        <w:t xml:space="preserve"> the byproduct exemptions</w:t>
      </w:r>
      <w:r w:rsidRPr="00A44CCA" w:rsidR="00FE308E">
        <w:t xml:space="preserve">. </w:t>
      </w:r>
      <w:r w:rsidR="00FE308E">
        <w:t>Note that modifications and additions to reportable data elements do not affect Agency burden and cost estimates, as these estimates are based on counts of full and partial Form Us submitted.</w:t>
      </w:r>
      <w:r w:rsidR="00C82F00">
        <w:t xml:space="preserve"> See Appendix A for a detailed de</w:t>
      </w:r>
      <w:r w:rsidR="00BD15C9">
        <w:t>rivation</w:t>
      </w:r>
      <w:r w:rsidR="00C82F00">
        <w:t xml:space="preserve"> of </w:t>
      </w:r>
      <w:r w:rsidR="00BD15C9">
        <w:t>Agency costs.</w:t>
      </w:r>
    </w:p>
    <w:p w:rsidRPr="00F3427A" w:rsidR="00FF6973" w:rsidP="002210E9" w:rsidRDefault="00FF6973" w14:paraId="4A5E55C4" w14:textId="77777777">
      <w:pPr>
        <w:pStyle w:val="Heading2"/>
      </w:pPr>
    </w:p>
    <w:p w:rsidRPr="00F3427A" w:rsidR="00DB7F57" w:rsidP="002210E9" w:rsidRDefault="003B118F" w14:paraId="200D2F67" w14:textId="791DD076">
      <w:pPr>
        <w:pStyle w:val="Heading2"/>
      </w:pPr>
      <w:bookmarkStart w:name="_Toc34984667" w:id="29"/>
      <w:r>
        <w:t>4(b)(</w:t>
      </w:r>
      <w:proofErr w:type="spellStart"/>
      <w:r>
        <w:t>i</w:t>
      </w:r>
      <w:proofErr w:type="spellEnd"/>
      <w:r>
        <w:t xml:space="preserve">). </w:t>
      </w:r>
      <w:r w:rsidRPr="00F3427A" w:rsidR="00DB7F57">
        <w:t>Collection Schedule</w:t>
      </w:r>
      <w:bookmarkEnd w:id="29"/>
    </w:p>
    <w:p w:rsidR="00385470" w:rsidP="00385470" w:rsidRDefault="00385470" w14:paraId="4803A375" w14:textId="77777777">
      <w:pPr>
        <w:pStyle w:val="BodyText"/>
      </w:pPr>
      <w:r>
        <w:t xml:space="preserve">EPA is not making any changes to the collection schedule. </w:t>
      </w:r>
      <w:r w:rsidRPr="009533EA">
        <w:t>The submission period/schedule follows the requirements of 40 CFR 711.20.</w:t>
      </w:r>
      <w:r>
        <w:t xml:space="preserve"> </w:t>
      </w:r>
      <w:r w:rsidRPr="009533EA">
        <w:t xml:space="preserve">The submission period for the </w:t>
      </w:r>
      <w:r>
        <w:t xml:space="preserve">next </w:t>
      </w:r>
      <w:r w:rsidRPr="009533EA">
        <w:t>collection</w:t>
      </w:r>
      <w:r>
        <w:t xml:space="preserve"> in 2020</w:t>
      </w:r>
      <w:r w:rsidRPr="009533EA">
        <w:t xml:space="preserve"> will be from June 1, 2020 to September 30, 2020.</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25"/>
        <w:gridCol w:w="2651"/>
      </w:tblGrid>
      <w:tr w:rsidRPr="009533EA" w:rsidR="00385470" w:rsidTr="00616749" w14:paraId="430B95FD" w14:textId="77777777">
        <w:trPr>
          <w:tblHeader/>
        </w:trPr>
        <w:tc>
          <w:tcPr>
            <w:tcW w:w="6925" w:type="dxa"/>
            <w:shd w:val="clear" w:color="auto" w:fill="BFBFBF" w:themeFill="background1" w:themeFillShade="BF"/>
          </w:tcPr>
          <w:p w:rsidRPr="0079117B" w:rsidR="00385470" w:rsidP="00192DF6" w:rsidRDefault="00385470" w14:paraId="4EA2A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b/>
                <w:sz w:val="18"/>
                <w:szCs w:val="18"/>
              </w:rPr>
            </w:pPr>
            <w:r w:rsidRPr="0079117B">
              <w:rPr>
                <w:rFonts w:ascii="Arial Narrow" w:hAnsi="Arial Narrow" w:eastAsia="Times New Roman" w:cs="Times New Roman"/>
                <w:b/>
                <w:sz w:val="18"/>
                <w:szCs w:val="18"/>
              </w:rPr>
              <w:t>Activity</w:t>
            </w:r>
          </w:p>
        </w:tc>
        <w:tc>
          <w:tcPr>
            <w:tcW w:w="2651" w:type="dxa"/>
            <w:shd w:val="clear" w:color="auto" w:fill="BFBFBF" w:themeFill="background1" w:themeFillShade="BF"/>
          </w:tcPr>
          <w:p w:rsidRPr="0079117B" w:rsidR="00385470" w:rsidP="00192DF6" w:rsidRDefault="00385470" w14:paraId="506B6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b/>
                <w:sz w:val="18"/>
                <w:szCs w:val="18"/>
              </w:rPr>
            </w:pPr>
            <w:r w:rsidRPr="0079117B">
              <w:rPr>
                <w:rFonts w:ascii="Arial Narrow" w:hAnsi="Arial Narrow" w:eastAsia="Times New Roman" w:cs="Times New Roman"/>
                <w:b/>
                <w:sz w:val="18"/>
                <w:szCs w:val="18"/>
              </w:rPr>
              <w:t>Timeline</w:t>
            </w:r>
          </w:p>
        </w:tc>
      </w:tr>
      <w:tr w:rsidRPr="009533EA" w:rsidR="00385470" w:rsidTr="00616749" w14:paraId="630A59A7" w14:textId="77777777">
        <w:tc>
          <w:tcPr>
            <w:tcW w:w="6925" w:type="dxa"/>
          </w:tcPr>
          <w:p w:rsidRPr="0079117B" w:rsidR="00385470" w:rsidP="00192DF6" w:rsidRDefault="00385470" w14:paraId="2E85E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Public outreach efforts: articles in industry press, meetings with regulated community, and information on the CDR website</w:t>
            </w:r>
          </w:p>
        </w:tc>
        <w:tc>
          <w:tcPr>
            <w:tcW w:w="2651" w:type="dxa"/>
          </w:tcPr>
          <w:p w:rsidRPr="0079117B" w:rsidR="00385470" w:rsidP="00192DF6" w:rsidRDefault="00385470" w14:paraId="61D92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B02F8A5">
              <w:rPr>
                <w:rFonts w:ascii="Arial Narrow" w:hAnsi="Arial Narrow" w:eastAsia="Times New Roman" w:cs="Times New Roman"/>
                <w:sz w:val="18"/>
                <w:szCs w:val="18"/>
              </w:rPr>
              <w:t>2018-2020</w:t>
            </w:r>
          </w:p>
        </w:tc>
      </w:tr>
      <w:tr w:rsidRPr="009533EA" w:rsidR="00385470" w:rsidTr="00616749" w14:paraId="14FE6F13" w14:textId="77777777">
        <w:tc>
          <w:tcPr>
            <w:tcW w:w="6925" w:type="dxa"/>
          </w:tcPr>
          <w:p w:rsidRPr="0079117B" w:rsidR="00385470" w:rsidP="00192DF6" w:rsidRDefault="00385470" w14:paraId="1F1E5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Email to 2020 CDR e-mailing list and other stakeholders with instructions for obtaining the reporting form and initiating reporting</w:t>
            </w:r>
          </w:p>
        </w:tc>
        <w:tc>
          <w:tcPr>
            <w:tcW w:w="2651" w:type="dxa"/>
          </w:tcPr>
          <w:p w:rsidRPr="0079117B" w:rsidR="00385470" w:rsidP="00192DF6" w:rsidRDefault="00385470" w14:paraId="69FC7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Early 2020</w:t>
            </w:r>
          </w:p>
        </w:tc>
      </w:tr>
      <w:tr w:rsidRPr="009533EA" w:rsidR="00385470" w:rsidTr="00616749" w14:paraId="2689C9B0" w14:textId="77777777">
        <w:tc>
          <w:tcPr>
            <w:tcW w:w="6925" w:type="dxa"/>
          </w:tcPr>
          <w:p w:rsidRPr="0079117B" w:rsidR="00385470" w:rsidP="00192DF6" w:rsidRDefault="00385470" w14:paraId="7FF7E1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Open period for submitting 2020 CDR Forms</w:t>
            </w:r>
          </w:p>
        </w:tc>
        <w:tc>
          <w:tcPr>
            <w:tcW w:w="2651" w:type="dxa"/>
          </w:tcPr>
          <w:p w:rsidRPr="0079117B" w:rsidR="00385470" w:rsidP="00192DF6" w:rsidRDefault="00385470" w14:paraId="639D59C5" w14:textId="353AC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June 1, 2020 to September 30, 2020</w:t>
            </w:r>
          </w:p>
        </w:tc>
      </w:tr>
    </w:tbl>
    <w:p w:rsidRPr="00853B7A" w:rsidR="00DB7F57" w:rsidP="00385470" w:rsidRDefault="00DB7F57" w14:paraId="46A24961" w14:textId="59C55C66">
      <w:pPr>
        <w:keepNext/>
      </w:pPr>
    </w:p>
    <w:p w:rsidRPr="00853B7A" w:rsidR="00660CEA" w:rsidP="00E96905" w:rsidRDefault="00E96905" w14:paraId="42B72569" w14:textId="67F28BD3">
      <w:pPr>
        <w:pStyle w:val="Heading3"/>
      </w:pPr>
      <w:r>
        <w:tab/>
      </w:r>
      <w:bookmarkStart w:name="_Toc34984668" w:id="30"/>
      <w:r w:rsidRPr="00853B7A" w:rsidR="00660CEA">
        <w:t>Use of Technology to Facilitate Collection Activities</w:t>
      </w:r>
      <w:bookmarkEnd w:id="30"/>
    </w:p>
    <w:p w:rsidRPr="009533EA" w:rsidR="005A75BB" w:rsidP="005A75BB" w:rsidRDefault="005A75BB" w14:paraId="05200D88" w14:textId="77777777">
      <w:pPr>
        <w:pStyle w:val="BodyText"/>
      </w:pPr>
      <w:r>
        <w:t>Submitters are required to submit information associated with this data collection electronically via the Internet using e-CDRweb and CDX.</w:t>
      </w:r>
    </w:p>
    <w:p w:rsidRPr="009533EA" w:rsidR="005A75BB" w:rsidP="005A75BB" w:rsidRDefault="005A75BB" w14:paraId="39B3CF88" w14:textId="26982859">
      <w:pPr>
        <w:pStyle w:val="BodyText"/>
      </w:pPr>
      <w:r>
        <w:t xml:space="preserve">EPA notifies potential submitters of the need to report in three ways: (1) makes available guidance describing CDR reporting requirements at chemical industry conferences and meetings, and through web and listserv announcements, (2) sends email notices to previous CDR submitters, and (3) publishes articles in the trade press. The requirement to report is based on the CDR regulations; potential submitters that do not receive a notification as listed above or who do not read published articles are still required to report. Reporting materials, including a non-submission version of the Form U and a variety of instructions documents (Instruction Manual, Q&amp;As, Case Studies, Fact Sheets), are available on EPA’s CDR website. Submitters </w:t>
      </w:r>
      <w:r w:rsidR="000A59EC">
        <w:t xml:space="preserve">can </w:t>
      </w:r>
      <w:r>
        <w:t>also obtain these materials from the TSCA Hotline. Submitters obtain the e-CDRweb reporting tool (which enables the completion of the Form U for submission) as part of the CDX electronic web-based registration process. The e-CDRweb reporting tool enables the user to complete Form U for submission to EPA.</w:t>
      </w:r>
    </w:p>
    <w:p w:rsidRPr="009533EA" w:rsidR="005A75BB" w:rsidP="005A75BB" w:rsidRDefault="005A75BB" w14:paraId="422D65EE" w14:textId="094ACD17">
      <w:pPr>
        <w:pStyle w:val="BodyText"/>
      </w:pPr>
      <w:r>
        <w:t>EPA receive</w:t>
      </w:r>
      <w:r w:rsidR="00753000">
        <w:t>s</w:t>
      </w:r>
      <w:r>
        <w:t xml:space="preserve"> all CDR submissions electronically. The CDX registration process, required for all submitters, provide</w:t>
      </w:r>
      <w:r w:rsidR="00753000">
        <w:t>s</w:t>
      </w:r>
      <w:r>
        <w:t xml:space="preserve"> a user ID, which the submitter use</w:t>
      </w:r>
      <w:r w:rsidR="00753000">
        <w:t>s</w:t>
      </w:r>
      <w:r>
        <w:t xml:space="preserve"> to access e-CDRweb. </w:t>
      </w:r>
    </w:p>
    <w:p w:rsidRPr="009533EA" w:rsidR="005A75BB" w:rsidP="005A75BB" w:rsidRDefault="005A75BB" w14:paraId="62AC26E9" w14:textId="77777777">
      <w:pPr>
        <w:pStyle w:val="BodyText"/>
      </w:pPr>
      <w:r>
        <w:t xml:space="preserve">Information quality control and validation begins with the e-CDRweb reporting tool, which is programmed to help the submitter provide the information required, in the correct format, as required by the CDR rule. </w:t>
      </w:r>
    </w:p>
    <w:p w:rsidRPr="001B1831" w:rsidR="001E7129" w:rsidP="005A75BB" w:rsidRDefault="005A75BB" w14:paraId="0722FE12" w14:textId="1F17F9FF">
      <w:pPr>
        <w:tabs>
          <w:tab w:val="left" w:pos="720"/>
          <w:tab w:val="left" w:pos="1080"/>
        </w:tabs>
      </w:pPr>
      <w:r>
        <w:t xml:space="preserve">To aid persons subject to this information collection, the Agency’s TSCA and CDX Hotlines are available to answer questions regarding the CDR requirements or submission process. When Hotline staff is unable to answer questions, the submitter is referred to OPPT’s Information Management Division (IMD) or Chemical Control Division (CCD), as appropriate. Submitters can also email their questions to the e-CDRweb mail site at </w:t>
      </w:r>
      <w:hyperlink r:id="rId15">
        <w:r w:rsidRPr="005A75BB">
          <w:rPr>
            <w:color w:val="0000FF"/>
            <w:u w:val="single"/>
          </w:rPr>
          <w:t>eCDRweb@epa.gov</w:t>
        </w:r>
      </w:hyperlink>
      <w:r>
        <w:t xml:space="preserve">. Other </w:t>
      </w:r>
      <w:r>
        <w:lastRenderedPageBreak/>
        <w:t>Divisions within OPPT or the Office of Environmental Information (OEI) may respond as necessary</w:t>
      </w:r>
      <w:r w:rsidRPr="001B1831" w:rsidR="00853B7A">
        <w:t>.</w:t>
      </w:r>
      <w:r w:rsidRPr="001B1831" w:rsidR="0076331C">
        <w:t xml:space="preserve"> </w:t>
      </w:r>
    </w:p>
    <w:p w:rsidRPr="00E41A4C" w:rsidR="00DB7F57" w:rsidP="00DB7F57" w:rsidRDefault="00DB7F57" w14:paraId="2BC5DBBF" w14:textId="77777777">
      <w:pPr>
        <w:pStyle w:val="NoSpacing"/>
      </w:pPr>
    </w:p>
    <w:p w:rsidRPr="00E41A4C" w:rsidR="006D7B41" w:rsidP="00983F5B" w:rsidRDefault="00E33A13" w14:paraId="608BF664" w14:textId="01F9367C">
      <w:pPr>
        <w:pStyle w:val="Heading1"/>
        <w:numPr>
          <w:ilvl w:val="0"/>
          <w:numId w:val="3"/>
        </w:numPr>
        <w:ind w:left="0" w:firstLine="0"/>
      </w:pPr>
      <w:bookmarkStart w:name="_Toc34984669" w:id="31"/>
      <w:r w:rsidRPr="00E41A4C">
        <w:t>T</w:t>
      </w:r>
      <w:r w:rsidR="00753000">
        <w:t>HE</w:t>
      </w:r>
      <w:r w:rsidRPr="00E41A4C">
        <w:t xml:space="preserve"> RESPONDENTS AND </w:t>
      </w:r>
      <w:r w:rsidRPr="00E41A4C" w:rsidR="006D7B41">
        <w:t>INFORMATION COLLECTION (IC) ACTIVITIES</w:t>
      </w:r>
      <w:bookmarkEnd w:id="31"/>
    </w:p>
    <w:p w:rsidR="004A492D" w:rsidP="004A492D" w:rsidRDefault="00E33A13" w14:paraId="74784985" w14:textId="497758A4">
      <w:r w:rsidRPr="00E41A4C">
        <w:t xml:space="preserve">For each </w:t>
      </w:r>
      <w:r w:rsidRPr="00E41A4C" w:rsidR="00512823">
        <w:t>respondent category</w:t>
      </w:r>
      <w:r w:rsidRPr="00E41A4C">
        <w:t xml:space="preserve">, this section of the ICR describes the respondents, the </w:t>
      </w:r>
      <w:r w:rsidRPr="004A19D1">
        <w:t>information collection activities and related estimates o</w:t>
      </w:r>
      <w:r w:rsidR="00F471D2">
        <w:t>f</w:t>
      </w:r>
      <w:r w:rsidRPr="004A19D1">
        <w:t xml:space="preserve"> burden and costs associated with those activities.</w:t>
      </w:r>
      <w:r w:rsidRPr="004A19D1" w:rsidR="004A492D">
        <w:t xml:space="preserve"> </w:t>
      </w:r>
    </w:p>
    <w:p w:rsidR="00FC7E4D" w:rsidP="00FC7E4D" w:rsidRDefault="00FC7E4D" w14:paraId="35275514" w14:textId="40F7B0D0">
      <w:pPr>
        <w:pStyle w:val="NoSpacing"/>
      </w:pPr>
    </w:p>
    <w:p w:rsidRPr="00574902" w:rsidR="004909CD" w:rsidP="004909CD" w:rsidRDefault="004909CD" w14:paraId="17E91F76" w14:textId="77FA288A">
      <w:pPr>
        <w:pStyle w:val="BodyText"/>
      </w:pPr>
      <w:r w:rsidRPr="00574902">
        <w:t>For the 2020 reporting cycle (as previously in the 2016 reporting cycle), manufacturers (including importers), must submit a Form U for each site at which 25,000 pounds or more (or 2,500 pounds or more, if applicable</w:t>
      </w:r>
      <w:r w:rsidRPr="005F405B">
        <w:rPr>
          <w:rStyle w:val="FootnoteReference"/>
          <w:vertAlign w:val="superscript"/>
        </w:rPr>
        <w:footnoteReference w:id="4"/>
      </w:r>
      <w:r w:rsidRPr="00574902">
        <w:t xml:space="preserve">) was manufactured (including imported) for a chemical substance in </w:t>
      </w:r>
      <w:r w:rsidRPr="00574902">
        <w:rPr>
          <w:i/>
          <w:iCs/>
        </w:rPr>
        <w:t xml:space="preserve">any </w:t>
      </w:r>
      <w:r w:rsidRPr="00574902">
        <w:t>calendar year in the principal reporting year and the previous three years. Estimates are presented according to the full reporting cycle first (</w:t>
      </w:r>
      <w:r w:rsidRPr="00574902">
        <w:fldChar w:fldCharType="begin"/>
      </w:r>
      <w:r w:rsidRPr="00574902">
        <w:instrText xml:space="preserve"> REF _Ref526344275 \h </w:instrText>
      </w:r>
      <w:r w:rsidRPr="009A1924">
        <w:instrText xml:space="preserve"> \* MERGEFORMAT </w:instrText>
      </w:r>
      <w:r w:rsidRPr="00574902">
        <w:fldChar w:fldCharType="separate"/>
      </w:r>
      <w:r w:rsidRPr="007F61B9" w:rsidR="007F61B9">
        <w:t>Table</w:t>
      </w:r>
      <w:r w:rsidRPr="002210E9" w:rsidR="007F61B9">
        <w:rPr>
          <w:noProof/>
        </w:rPr>
        <w:t xml:space="preserve"> </w:t>
      </w:r>
      <w:r w:rsidRPr="002210E9" w:rsidR="007F61B9">
        <w:t>2</w:t>
      </w:r>
      <w:r w:rsidRPr="00574902">
        <w:fldChar w:fldCharType="end"/>
      </w:r>
      <w:r w:rsidRPr="00574902">
        <w:t xml:space="preserve"> through </w:t>
      </w:r>
      <w:r w:rsidR="008D6158">
        <w:t xml:space="preserve">Table </w:t>
      </w:r>
      <w:r w:rsidR="00B62B2A">
        <w:t>7</w:t>
      </w:r>
      <w:r w:rsidRPr="00574902">
        <w:t>) and then converted to a basis used for the ICR period (</w:t>
      </w:r>
      <w:r w:rsidRPr="00574902">
        <w:fldChar w:fldCharType="begin"/>
      </w:r>
      <w:r w:rsidRPr="00574902">
        <w:instrText xml:space="preserve"> REF _Ref526352582 \h </w:instrText>
      </w:r>
      <w:r w:rsidRPr="009A1924">
        <w:instrText xml:space="preserve"> \* MERGEFORMAT </w:instrText>
      </w:r>
      <w:r w:rsidRPr="00574902">
        <w:fldChar w:fldCharType="separate"/>
      </w:r>
      <w:r w:rsidRPr="007F61B9" w:rsidR="007F61B9">
        <w:t xml:space="preserve">Table </w:t>
      </w:r>
      <w:r w:rsidRPr="007F61B9" w:rsidR="007F61B9">
        <w:rPr>
          <w:noProof/>
        </w:rPr>
        <w:t>8</w:t>
      </w:r>
      <w:r w:rsidRPr="00574902">
        <w:fldChar w:fldCharType="end"/>
      </w:r>
      <w:r w:rsidRPr="00574902">
        <w:t>).</w:t>
      </w:r>
      <w:r w:rsidRPr="005F405B">
        <w:rPr>
          <w:rStyle w:val="FootnoteReference"/>
          <w:vertAlign w:val="superscript"/>
        </w:rPr>
        <w:footnoteReference w:id="5"/>
      </w:r>
      <w:r w:rsidRPr="00574902">
        <w:t xml:space="preserve"> Burden estimates are derived consistent with estimates described in the ICR renewal </w:t>
      </w:r>
      <w:bookmarkStart w:name="_Hlk527374851" w:id="32"/>
      <w:r w:rsidRPr="00574902">
        <w:t>(EPA, 2018b) and the Economic Analys</w:t>
      </w:r>
      <w:r>
        <w:t>i</w:t>
      </w:r>
      <w:r w:rsidRPr="00574902">
        <w:t>s for the</w:t>
      </w:r>
      <w:r>
        <w:t xml:space="preserve"> CDR Revisions</w:t>
      </w:r>
      <w:r w:rsidRPr="00574902">
        <w:t xml:space="preserve"> </w:t>
      </w:r>
      <w:r>
        <w:t>R</w:t>
      </w:r>
      <w:r w:rsidRPr="00574902">
        <w:t xml:space="preserve">ule (EPA, </w:t>
      </w:r>
      <w:r>
        <w:t>2019</w:t>
      </w:r>
      <w:r w:rsidRPr="00574902">
        <w:t>)</w:t>
      </w:r>
      <w:bookmarkEnd w:id="32"/>
      <w:r w:rsidRPr="00574902">
        <w:t>.</w:t>
      </w:r>
      <w:r w:rsidRPr="005F405B">
        <w:rPr>
          <w:rStyle w:val="FootnoteReference"/>
          <w:vertAlign w:val="superscript"/>
        </w:rPr>
        <w:footnoteReference w:id="6"/>
      </w:r>
    </w:p>
    <w:p w:rsidRPr="00574902" w:rsidR="004909CD" w:rsidP="004909CD" w:rsidRDefault="004909CD" w14:paraId="6568B9B9" w14:textId="77777777">
      <w:pPr>
        <w:pStyle w:val="BodyText"/>
      </w:pPr>
      <w:r w:rsidRPr="00574902">
        <w:t>The CDR Revisions Rule includes three types of changes: (1) changes to content in the CDR Reporting Form U which affect all reporters who will file a Form U in the 2020 CDR and future CDRs, (2) changes that involve removal of reporting requirements for a portion of chemicals at a site, and (3) changes that involve removal of reporting requirements for an entire site.  See section 4.1.2 of EPA (</w:t>
      </w:r>
      <w:r>
        <w:t>2019</w:t>
      </w:r>
      <w:r w:rsidRPr="00574902">
        <w:t>) for more details.</w:t>
      </w:r>
    </w:p>
    <w:p w:rsidRPr="004A19D1" w:rsidR="00F44411" w:rsidP="00F44411" w:rsidRDefault="00F44411" w14:paraId="45A9626F" w14:textId="77777777">
      <w:pPr>
        <w:pStyle w:val="NoSpacing"/>
        <w:rPr>
          <w:lang w:bidi="en-US"/>
        </w:rPr>
      </w:pPr>
    </w:p>
    <w:p w:rsidR="00660CEA" w:rsidP="00660CEA" w:rsidRDefault="00660CEA" w14:paraId="0E32248E" w14:textId="119C0288">
      <w:pPr>
        <w:pStyle w:val="Heading2"/>
        <w:numPr>
          <w:ilvl w:val="1"/>
          <w:numId w:val="3"/>
        </w:numPr>
        <w:tabs>
          <w:tab w:val="left" w:pos="1080"/>
        </w:tabs>
      </w:pPr>
      <w:bookmarkStart w:name="_Toc34984670" w:id="33"/>
      <w:r w:rsidRPr="004A19D1">
        <w:t>Methodology for Estimating Respondent Burden and Costs</w:t>
      </w:r>
      <w:bookmarkEnd w:id="33"/>
    </w:p>
    <w:p w:rsidRPr="009533EA" w:rsidR="00983F5B" w:rsidP="00983F5B" w:rsidRDefault="00983F5B" w14:paraId="5BEE07D9" w14:textId="77777777">
      <w:pPr>
        <w:pStyle w:val="BodyText"/>
      </w:pPr>
      <w:r w:rsidRPr="009533EA">
        <w:t>The regulated community consists of companies manufacturing (including importing) chemical substances listed on the TSCA Inventory and regulated under TSCA section 8</w:t>
      </w:r>
      <w:r>
        <w:t>(a)</w:t>
      </w:r>
      <w:r w:rsidRPr="009533EA">
        <w:t>. In general, the industry segments that compose the regulated community for the rule are those that produce or import chemical substances.</w:t>
      </w:r>
      <w:r>
        <w:t xml:space="preserve"> </w:t>
      </w:r>
      <w:r w:rsidRPr="008D4E8A">
        <w:t xml:space="preserve">Most respondents expected </w:t>
      </w:r>
      <w:r>
        <w:t>to be subject to</w:t>
      </w:r>
      <w:r w:rsidRPr="008D4E8A">
        <w:t xml:space="preserve"> this ICR have previously reported </w:t>
      </w:r>
      <w:r>
        <w:t xml:space="preserve">CDR </w:t>
      </w:r>
      <w:r w:rsidRPr="008D4E8A">
        <w:t>information</w:t>
      </w:r>
      <w:r>
        <w:t xml:space="preserve">. </w:t>
      </w:r>
      <w:r w:rsidRPr="009533EA">
        <w:t xml:space="preserve">The Agency’s previous experience with CDR collections has shown that </w:t>
      </w:r>
      <w:proofErr w:type="gramStart"/>
      <w:r w:rsidRPr="009533EA">
        <w:t>the majority of</w:t>
      </w:r>
      <w:proofErr w:type="gramEnd"/>
      <w:r w:rsidRPr="009533EA">
        <w:t xml:space="preserve"> the respondents affected by this collection activity are from the following NAICS code categories:</w:t>
      </w:r>
    </w:p>
    <w:p w:rsidRPr="00983F5B" w:rsidR="00983F5B" w:rsidP="00983F5B" w:rsidRDefault="00983F5B" w14:paraId="55B002FF" w14:textId="3F3E1C1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eastAsia="Times New Roman" w:cs="Times New Roman"/>
        </w:rPr>
      </w:pPr>
      <w:r w:rsidRPr="00983F5B">
        <w:rPr>
          <w:rFonts w:eastAsia="Times New Roman" w:cs="Times New Roman"/>
        </w:rPr>
        <w:t>325 - Chemical Manufacturing</w:t>
      </w:r>
    </w:p>
    <w:p w:rsidRPr="00983F5B" w:rsidR="00983F5B" w:rsidP="00983F5B" w:rsidRDefault="00983F5B" w14:paraId="5C6FD171" w14:textId="4CC7CED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eastAsia="Times New Roman" w:cs="Times New Roman"/>
        </w:rPr>
      </w:pPr>
      <w:r w:rsidRPr="00983F5B">
        <w:rPr>
          <w:rFonts w:eastAsia="Times New Roman" w:cs="Times New Roman"/>
        </w:rPr>
        <w:t>324 - Petroleum and Coal Product Manufacturing</w:t>
      </w:r>
    </w:p>
    <w:p w:rsidRPr="00983F5B" w:rsidR="00983F5B" w:rsidP="00983F5B" w:rsidRDefault="00983F5B" w14:paraId="48C2C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p>
    <w:p w:rsidR="00983F5B" w:rsidP="00983F5B" w:rsidRDefault="00983F5B" w14:paraId="74B1107E" w14:textId="77777777">
      <w:pPr>
        <w:spacing w:after="240"/>
      </w:pPr>
      <w:r w:rsidRPr="00983F5B">
        <w:rPr>
          <w:rFonts w:eastAsia="Times New Roman" w:cs="Times New Roman"/>
        </w:rPr>
        <w:t xml:space="preserve">In addition to the anticipated respondents from the NAICS listed above, the regulated community consists of manufacturers of byproducts that are required to report under certain TSCA section 8(a) rules, including CDR. Byproduct manufacturers may be listed under a different primary activity for a site, such as NAICS codes 22, 322, 327310, 331, and 3344 (namely utilities, paper manufacturing, cement manufacturing, primary metal manufacturing, and semiconductor and other electronic component manufacturing, respectively). </w:t>
      </w:r>
      <w:r w:rsidRPr="009533EA">
        <w:t>The subsectors identified above represent the designation of sites that likely would be subject to CDR reporting. However, this list does not include all potentially affected entities. Other types of entit</w:t>
      </w:r>
      <w:r>
        <w:t>ies</w:t>
      </w:r>
      <w:r w:rsidRPr="009533EA">
        <w:t xml:space="preserve"> not listed in this unit could also be subject to reporti</w:t>
      </w:r>
      <w:r>
        <w:t xml:space="preserve">ng.  </w:t>
      </w:r>
    </w:p>
    <w:p w:rsidR="00983F5B" w:rsidP="00983F5B" w:rsidRDefault="00983F5B" w14:paraId="47D2A2D7" w14:textId="652BF045">
      <w:pPr>
        <w:spacing w:after="240"/>
      </w:pPr>
      <w:r w:rsidRPr="002471B2">
        <w:t>Generally, TSCA section 8</w:t>
      </w:r>
      <w:r>
        <w:t>(a)</w:t>
      </w:r>
      <w:r w:rsidRPr="002471B2">
        <w:t xml:space="preserve"> excludes small manufacturers (including importers) from reporting. EPA defines small manufacturers (including importers) for purposes of CDR and certain other reporting in 40 CFR 704.3. In </w:t>
      </w:r>
      <w:r>
        <w:t>November</w:t>
      </w:r>
      <w:r w:rsidRPr="002471B2">
        <w:t xml:space="preserve"> 2017 EPA published a determination that the small manufacturer definition needs to be updated</w:t>
      </w:r>
      <w:r w:rsidRPr="00B81B86">
        <w:rPr>
          <w:lang w:eastAsia="ja-JP"/>
        </w:rPr>
        <w:t xml:space="preserve"> </w:t>
      </w:r>
      <w:r w:rsidRPr="0092530C">
        <w:rPr>
          <w:lang w:eastAsia="ja-JP"/>
        </w:rPr>
        <w:t>(82 FR 56824</w:t>
      </w:r>
      <w:r>
        <w:rPr>
          <w:lang w:eastAsia="ja-JP"/>
        </w:rPr>
        <w:t xml:space="preserve"> November 30, 2017</w:t>
      </w:r>
      <w:r w:rsidRPr="0092530C">
        <w:rPr>
          <w:lang w:eastAsia="ja-JP"/>
        </w:rPr>
        <w:t xml:space="preserve">). </w:t>
      </w:r>
      <w:r w:rsidRPr="002471B2">
        <w:t xml:space="preserve"> </w:t>
      </w:r>
      <w:r w:rsidRPr="00480751">
        <w:t xml:space="preserve">The </w:t>
      </w:r>
      <w:r>
        <w:t xml:space="preserve">proposed </w:t>
      </w:r>
      <w:r w:rsidR="00F471D2">
        <w:t xml:space="preserve">CDR </w:t>
      </w:r>
      <w:r>
        <w:t xml:space="preserve">rule included two portions (1) </w:t>
      </w:r>
      <w:r w:rsidRPr="00480751">
        <w:t>CDR Revisions</w:t>
      </w:r>
      <w:r>
        <w:t xml:space="preserve"> and (2) 8(a) S</w:t>
      </w:r>
      <w:r w:rsidR="00F471D2">
        <w:t xml:space="preserve">mall </w:t>
      </w:r>
      <w:r>
        <w:t>M</w:t>
      </w:r>
      <w:r w:rsidR="00F471D2">
        <w:t xml:space="preserve">anufacturer </w:t>
      </w:r>
      <w:r>
        <w:t>D</w:t>
      </w:r>
      <w:r w:rsidR="00F471D2">
        <w:t>efinition</w:t>
      </w:r>
      <w:r>
        <w:t xml:space="preserve"> Update, but EPA will finalize the</w:t>
      </w:r>
      <w:r w:rsidRPr="002471B2">
        <w:t xml:space="preserve"> definition for small </w:t>
      </w:r>
      <w:r w:rsidR="00F471D2">
        <w:t xml:space="preserve">manufacturers and </w:t>
      </w:r>
      <w:r w:rsidRPr="002471B2">
        <w:t>government entities</w:t>
      </w:r>
      <w:r>
        <w:t xml:space="preserve"> as a separate action</w:t>
      </w:r>
      <w:r w:rsidRPr="002471B2">
        <w:t xml:space="preserve">. </w:t>
      </w:r>
    </w:p>
    <w:p w:rsidR="00983F5B" w:rsidP="00983F5B" w:rsidRDefault="00983F5B" w14:paraId="2919D986" w14:textId="00AFC0E9">
      <w:r w:rsidRPr="003C1D11">
        <w:t xml:space="preserve">EPA is </w:t>
      </w:r>
      <w:r>
        <w:t>finalizing</w:t>
      </w:r>
      <w:r w:rsidRPr="003C1D11">
        <w:t xml:space="preserve"> </w:t>
      </w:r>
      <w:r>
        <w:t xml:space="preserve">two burden reducing exemptions for byproducts. New reporting exemptions are being finalized, including </w:t>
      </w:r>
      <w:r w:rsidRPr="003C1D11">
        <w:t>(1) exempt</w:t>
      </w:r>
      <w:r>
        <w:t xml:space="preserve">ions for </w:t>
      </w:r>
      <w:r w:rsidRPr="003C1D11">
        <w:t>specific</w:t>
      </w:r>
      <w:r>
        <w:t xml:space="preserve"> site-limited recycled</w:t>
      </w:r>
      <w:r w:rsidRPr="003C1D11">
        <w:t xml:space="preserve"> byproducts</w:t>
      </w:r>
      <w:r>
        <w:t xml:space="preserve">, and </w:t>
      </w:r>
      <w:r w:rsidRPr="003C1D11">
        <w:t>(</w:t>
      </w:r>
      <w:r>
        <w:t>2</w:t>
      </w:r>
      <w:r w:rsidRPr="003C1D11">
        <w:t>) exempt</w:t>
      </w:r>
      <w:r>
        <w:t>ions for</w:t>
      </w:r>
      <w:r w:rsidRPr="003C1D11">
        <w:t xml:space="preserve"> byproducts </w:t>
      </w:r>
      <w:r>
        <w:t>generated by specific non-integral processes. Because of these exemptions, some sites may not report under CDR while others would report fewer chemical substances. T</w:t>
      </w:r>
      <w:r w:rsidRPr="008C4CBE">
        <w:t>h</w:t>
      </w:r>
      <w:r>
        <w:t>ese</w:t>
      </w:r>
      <w:r w:rsidRPr="008C4CBE">
        <w:t xml:space="preserve"> exemption</w:t>
      </w:r>
      <w:r>
        <w:t>s were designed to</w:t>
      </w:r>
      <w:r w:rsidRPr="008C4CBE">
        <w:t xml:space="preserve"> reduce</w:t>
      </w:r>
      <w:r>
        <w:t xml:space="preserve"> submitter</w:t>
      </w:r>
      <w:r w:rsidRPr="008C4CBE">
        <w:t xml:space="preserve"> burden while still </w:t>
      </w:r>
      <w:r>
        <w:t>providing</w:t>
      </w:r>
      <w:r w:rsidRPr="008C4CBE">
        <w:t xml:space="preserve"> EPA </w:t>
      </w:r>
      <w:r>
        <w:t xml:space="preserve">with information needed to understand </w:t>
      </w:r>
      <w:r w:rsidRPr="008C4CBE">
        <w:t>the byproduct universe</w:t>
      </w:r>
      <w:r>
        <w:t>.</w:t>
      </w:r>
    </w:p>
    <w:p w:rsidRPr="002210E9" w:rsidR="002210E9" w:rsidP="002210E9" w:rsidRDefault="002210E9" w14:paraId="7188520E" w14:textId="77777777">
      <w:pPr>
        <w:pStyle w:val="NoSpacing"/>
      </w:pPr>
    </w:p>
    <w:p w:rsidR="00EB5256" w:rsidP="00E96905" w:rsidRDefault="00DF7905" w14:paraId="79E9452C" w14:textId="006D9140">
      <w:pPr>
        <w:pStyle w:val="Heading2"/>
      </w:pPr>
      <w:bookmarkStart w:name="_Toc23286852" w:id="34"/>
      <w:bookmarkStart w:name="_Toc34984671" w:id="35"/>
      <w:r>
        <w:t>5(a)(</w:t>
      </w:r>
      <w:proofErr w:type="spellStart"/>
      <w:r>
        <w:t>i</w:t>
      </w:r>
      <w:proofErr w:type="spellEnd"/>
      <w:r>
        <w:t>)</w:t>
      </w:r>
      <w:r w:rsidR="007941B9">
        <w:t xml:space="preserve"> </w:t>
      </w:r>
      <w:r w:rsidR="007941B9">
        <w:tab/>
      </w:r>
      <w:r w:rsidRPr="00EB5256" w:rsidR="00EB5256">
        <w:t>Respondent Activities</w:t>
      </w:r>
      <w:bookmarkEnd w:id="34"/>
      <w:bookmarkEnd w:id="35"/>
    </w:p>
    <w:p w:rsidRPr="00574902" w:rsidR="00EB5256" w:rsidP="00EB5256" w:rsidRDefault="00EB5256" w14:paraId="7AA1A143" w14:textId="5715526D">
      <w:pPr>
        <w:pStyle w:val="BodyText"/>
      </w:pPr>
      <w:r w:rsidRPr="00574902">
        <w:t>For the analysis in this section, the respondent is defined as a manufacturing site</w:t>
      </w:r>
      <w:r w:rsidR="003468EA">
        <w:t>, which could include</w:t>
      </w:r>
      <w:r w:rsidRPr="00574902">
        <w:t xml:space="preserve"> a government site. There is one response per respondent, as one Form U per site accommodates multiple chemical reports in the same submission. Incremental activities associated with preparing and submitting a Form U in response to the rule include rule familiarization, compliance determination, and form completion. The rule does not change any recordkeeping requirements, and therefore no associated burden and cost estimates for this activity are included in this analysis. Last, for </w:t>
      </w:r>
      <w:r>
        <w:t>reporters</w:t>
      </w:r>
      <w:r w:rsidRPr="00574902">
        <w:t xml:space="preserve"> not already registered in CDX, individuals must complete CDX registration, including e-signature. The rule does not change any requirements for CDX activities, and therefore no associated burden/cost estimates for this activity are included in this analysis. General descriptions of changes to activities are as follows (see previous section for detailed data element information):</w:t>
      </w:r>
    </w:p>
    <w:p w:rsidRPr="00574902" w:rsidR="00EB5256" w:rsidP="00EB5256" w:rsidRDefault="00EB5256" w14:paraId="25B49242" w14:textId="213BC96F">
      <w:pPr>
        <w:pStyle w:val="ListBullet"/>
        <w:numPr>
          <w:ilvl w:val="0"/>
          <w:numId w:val="28"/>
        </w:numPr>
        <w:spacing w:after="120"/>
        <w:ind w:left="720"/>
        <w:contextualSpacing w:val="0"/>
      </w:pPr>
      <w:r w:rsidRPr="00574902">
        <w:rPr>
          <w:b/>
        </w:rPr>
        <w:t xml:space="preserve">Rule Familiarization increase due to increased regulatory complexity: </w:t>
      </w:r>
      <w:r w:rsidRPr="00574902">
        <w:t>The</w:t>
      </w:r>
      <w:r>
        <w:t xml:space="preserve"> final</w:t>
      </w:r>
      <w:r w:rsidRPr="00574902">
        <w:t xml:space="preserve"> rule includes modifications and additions to reportable data elements, changes to CBI substantiation requirements, and byproduct reporting exemptions. For several of these changes, reporters must familiarize themselves with the new requirements. This activity entails reading the rule, understanding the reporting and administrative requirements, and determining what tasks are required in order to meet reporting requirements. In </w:t>
      </w:r>
      <w:r w:rsidR="00B136F3">
        <w:t>subsequent</w:t>
      </w:r>
      <w:r w:rsidRPr="00574902" w:rsidR="00B136F3">
        <w:t xml:space="preserve"> </w:t>
      </w:r>
      <w:r w:rsidRPr="00574902">
        <w:t xml:space="preserve">cycles, only new reporters will incur incremental increases to rule familiarization. </w:t>
      </w:r>
    </w:p>
    <w:p w:rsidRPr="00574902" w:rsidR="00EB5256" w:rsidP="00EB5256" w:rsidRDefault="00EB5256" w14:paraId="1B5BBED4" w14:textId="0FDE4F1F">
      <w:pPr>
        <w:pStyle w:val="ListBullet"/>
        <w:tabs>
          <w:tab w:val="clear" w:pos="360"/>
          <w:tab w:val="num" w:pos="288"/>
        </w:tabs>
        <w:spacing w:after="120"/>
        <w:ind w:left="720"/>
        <w:contextualSpacing w:val="0"/>
      </w:pPr>
      <w:r w:rsidRPr="00574902">
        <w:rPr>
          <w:b/>
        </w:rPr>
        <w:t>Compliance Determination increase due to increased regulatory complexity:</w:t>
      </w:r>
      <w:r w:rsidRPr="00574902">
        <w:t xml:space="preserve"> The </w:t>
      </w:r>
      <w:r>
        <w:t xml:space="preserve">final </w:t>
      </w:r>
      <w:r w:rsidRPr="00574902">
        <w:t xml:space="preserve">rule adds additional requirements related to compliance determination for </w:t>
      </w:r>
      <w:r w:rsidRPr="00574902">
        <w:lastRenderedPageBreak/>
        <w:t xml:space="preserve">reporters. Specifically, for CBI substantiation, reporters will need to determine which questions they must answer. For byproduct manufacturing, reporters must determine </w:t>
      </w:r>
      <w:proofErr w:type="gramStart"/>
      <w:r w:rsidRPr="00574902">
        <w:t>whether or not</w:t>
      </w:r>
      <w:proofErr w:type="gramEnd"/>
      <w:r w:rsidRPr="00574902">
        <w:t xml:space="preserve"> they will be able to take advantage of the exemptions. Note that, by convention, new reporters and experienced reporters are assumed to incur the same levels of compliance determination</w:t>
      </w:r>
      <w:r w:rsidR="00700612">
        <w:t xml:space="preserve"> burden</w:t>
      </w:r>
      <w:r w:rsidRPr="00574902">
        <w:t>.</w:t>
      </w:r>
      <w:r w:rsidR="00700612">
        <w:t xml:space="preserve"> See section 4.1.4 of EPA (2019) for more </w:t>
      </w:r>
      <w:r w:rsidR="00DE1A49">
        <w:t>detail</w:t>
      </w:r>
      <w:r w:rsidR="00700612">
        <w:t>.</w:t>
      </w:r>
    </w:p>
    <w:p w:rsidRPr="00A47D48" w:rsidR="00A770CF" w:rsidP="002210E9" w:rsidRDefault="00EB5256" w14:paraId="0F599A08" w14:textId="749797F3">
      <w:pPr>
        <w:pStyle w:val="ListBullet"/>
        <w:tabs>
          <w:tab w:val="clear" w:pos="360"/>
          <w:tab w:val="num" w:pos="720"/>
        </w:tabs>
        <w:ind w:left="720"/>
      </w:pPr>
      <w:r w:rsidRPr="00574902">
        <w:rPr>
          <w:b/>
        </w:rPr>
        <w:t xml:space="preserve">Form Completion: </w:t>
      </w:r>
      <w:r w:rsidRPr="00574902">
        <w:t xml:space="preserve">The </w:t>
      </w:r>
      <w:r>
        <w:t xml:space="preserve">final </w:t>
      </w:r>
      <w:r w:rsidRPr="00574902">
        <w:t>rule modifies the reportable data elements on Form U and changes CBI substantiation requirements for data elements claimed as confidential.</w:t>
      </w:r>
      <w:r w:rsidR="00347668">
        <w:t xml:space="preserve"> </w:t>
      </w:r>
      <w:r w:rsidR="00732749">
        <w:t>Note that d</w:t>
      </w:r>
      <w:r w:rsidRPr="00A47D48" w:rsidR="00347668">
        <w:t>ue to the phasing in of the requirement to use OECD codes for three Part III</w:t>
      </w:r>
      <w:r w:rsidRPr="002210E9" w:rsidR="009543E1">
        <w:rPr>
          <w:rStyle w:val="FootnoteReference"/>
          <w:vertAlign w:val="superscript"/>
        </w:rPr>
        <w:footnoteReference w:id="7"/>
      </w:r>
      <w:r w:rsidRPr="00A47D48" w:rsidR="00347668">
        <w:t xml:space="preserve"> data elements, a second reporting cycle exists for changes to reportable data elements only.</w:t>
      </w:r>
      <w:r w:rsidRPr="002210E9" w:rsidR="00347668">
        <w:rPr>
          <w:rStyle w:val="FootnoteReference"/>
          <w:vertAlign w:val="superscript"/>
        </w:rPr>
        <w:footnoteReference w:id="8"/>
      </w:r>
      <w:r w:rsidRPr="00A47D48" w:rsidR="00347668">
        <w:t xml:space="preserve"> Specifically, in the first cycle</w:t>
      </w:r>
      <w:r w:rsidR="004E6BFE">
        <w:t xml:space="preserve"> (in 2020)</w:t>
      </w:r>
      <w:r w:rsidRPr="00A47D48" w:rsidR="00347668">
        <w:t>, only sites reporting on the 20 High Priority Chemical Substances will be required to start using the OECD codes. Therefore, there is a second reporting cycle where the remaining sites are then required to start using the OECD codes for three Part III</w:t>
      </w:r>
      <w:r w:rsidR="00AB52F0">
        <w:t xml:space="preserve"> </w:t>
      </w:r>
      <w:r w:rsidRPr="00A47D48" w:rsidR="00347668">
        <w:t>data elements. In this second cycle, new reporter burden for these three data elements is only incurred by the sites reporting on chemicals other than the 20 High Priority Chemical Substances.</w:t>
      </w:r>
      <w:r w:rsidR="00D06383">
        <w:t xml:space="preserve"> See Table 1. </w:t>
      </w:r>
    </w:p>
    <w:p w:rsidR="002210E9" w:rsidP="00EB5256" w:rsidRDefault="002210E9" w14:paraId="6CCB6DAC" w14:textId="77777777">
      <w:pPr>
        <w:pStyle w:val="BodyText"/>
      </w:pPr>
    </w:p>
    <w:p w:rsidRPr="00574902" w:rsidR="00EB5256" w:rsidP="00EB5256" w:rsidRDefault="00EB5256" w14:paraId="0C571A18" w14:textId="011A6619">
      <w:pPr>
        <w:pStyle w:val="BodyText"/>
      </w:pPr>
      <w:r w:rsidRPr="00574902">
        <w:t xml:space="preserve">Certain provisions in the </w:t>
      </w:r>
      <w:r>
        <w:t xml:space="preserve">final </w:t>
      </w:r>
      <w:r w:rsidRPr="00574902">
        <w:t xml:space="preserve">rule do not alter the activities required of reporters. Rather, they affect whether, and for which chemicals, these sites are required to report. </w:t>
      </w:r>
      <w:r w:rsidR="00DE1A49">
        <w:t>Specifically, t</w:t>
      </w:r>
      <w:r w:rsidRPr="00574902">
        <w:t>he byproduct exemptions will result in decreases in sites and chemical reports.</w:t>
      </w:r>
    </w:p>
    <w:p w:rsidRPr="00574902" w:rsidR="00EB5256" w:rsidP="00EB5256" w:rsidRDefault="00EB5256" w14:paraId="0490D25B" w14:textId="77777777">
      <w:pPr>
        <w:pStyle w:val="BodyText"/>
      </w:pPr>
      <w:r w:rsidRPr="00574902">
        <w:t>Certain changes are not estimated in this analysis including:</w:t>
      </w:r>
    </w:p>
    <w:p w:rsidRPr="00574902" w:rsidR="00EB5256" w:rsidP="00EB5256" w:rsidRDefault="00EB5256" w14:paraId="42E2930C" w14:textId="77777777">
      <w:pPr>
        <w:pStyle w:val="ListBullet"/>
        <w:numPr>
          <w:ilvl w:val="0"/>
          <w:numId w:val="27"/>
        </w:numPr>
        <w:tabs>
          <w:tab w:val="left" w:pos="360"/>
        </w:tabs>
        <w:spacing w:before="100" w:beforeAutospacing="1" w:after="120"/>
        <w:contextualSpacing w:val="0"/>
      </w:pPr>
      <w:r w:rsidRPr="00574902">
        <w:rPr>
          <w:b/>
        </w:rPr>
        <w:t>Changes to co-manufacturing and joint submission reporting:</w:t>
      </w:r>
      <w:r w:rsidRPr="00574902">
        <w:t xml:space="preserve"> EPA assumes that the effort for a multi-reporter submission can be approximated as </w:t>
      </w:r>
      <w:proofErr w:type="gramStart"/>
      <w:r w:rsidRPr="00574902">
        <w:t>similar to</w:t>
      </w:r>
      <w:proofErr w:type="gramEnd"/>
      <w:r w:rsidRPr="00574902">
        <w:t xml:space="preserve"> the effort for an equivalent single-reporter submission. Therefore, burden and cost estimates for changes to implement a new reporting mechanism for co-manufactured chemicals and changes to joint reporting in the rule are not developed in this analysis.</w:t>
      </w:r>
    </w:p>
    <w:p w:rsidRPr="00EB5256" w:rsidR="00EB5256" w:rsidP="00DF7905" w:rsidRDefault="00EB5256" w14:paraId="24A21F90" w14:textId="66A888DC">
      <w:pPr>
        <w:pStyle w:val="NoSpacing"/>
        <w:numPr>
          <w:ilvl w:val="0"/>
          <w:numId w:val="27"/>
        </w:numPr>
      </w:pPr>
      <w:r w:rsidRPr="00574902">
        <w:rPr>
          <w:b/>
          <w:bCs/>
        </w:rPr>
        <w:t>Recycled data element:</w:t>
      </w:r>
      <w:r w:rsidRPr="00574902">
        <w:t xml:space="preserve"> Currently, CDR submitters identify whether their reportable chemical substance is </w:t>
      </w:r>
      <w:r w:rsidRPr="00574902">
        <w:rPr>
          <w:i/>
          <w:iCs/>
        </w:rPr>
        <w:t>recycled, remanufactured, reprocessed, reused, or otherwise used for a commercial purpose instead of being disposed of as a waste or included in a waste stream</w:t>
      </w:r>
      <w:r w:rsidRPr="00574902">
        <w:t xml:space="preserve">. EPA is </w:t>
      </w:r>
      <w:r>
        <w:t>modifying</w:t>
      </w:r>
      <w:r w:rsidRPr="00574902">
        <w:t xml:space="preserve"> this data element by removing the terms “remanufactured, reprocessed, reused.” EPA does not anticipate a change in burden associated with this change. Therefore, burden and cost estimates for this change are not developed in this analysis.</w:t>
      </w:r>
    </w:p>
    <w:p w:rsidRPr="004A19D1" w:rsidR="00B80F41" w:rsidP="00C622B8" w:rsidRDefault="00B80F41" w14:paraId="5327F388" w14:textId="1BCD64CE">
      <w:pPr>
        <w:pStyle w:val="NoSpacing"/>
      </w:pPr>
    </w:p>
    <w:p w:rsidR="00853B7A" w:rsidP="00853B7A" w:rsidRDefault="00FC7E4D" w14:paraId="552A8C30" w14:textId="590054D2">
      <w:pPr>
        <w:pStyle w:val="Heading2"/>
        <w:numPr>
          <w:ilvl w:val="1"/>
          <w:numId w:val="3"/>
        </w:numPr>
        <w:tabs>
          <w:tab w:val="left" w:pos="1080"/>
        </w:tabs>
        <w:rPr>
          <w:lang w:bidi="en-US"/>
        </w:rPr>
      </w:pPr>
      <w:bookmarkStart w:name="_Toc34984672" w:id="36"/>
      <w:r>
        <w:rPr>
          <w:lang w:bidi="en-US"/>
        </w:rPr>
        <w:t>Estimating Respondent Burden and Costs</w:t>
      </w:r>
      <w:bookmarkEnd w:id="36"/>
    </w:p>
    <w:p w:rsidR="004909CD" w:rsidP="004909CD" w:rsidRDefault="004909CD" w14:paraId="7CC2F093" w14:textId="3A705E20">
      <w:r>
        <w:t xml:space="preserve">This section presents the relevant unit burdens </w:t>
      </w:r>
      <w:r w:rsidR="00DE1A49">
        <w:t xml:space="preserve">and costs </w:t>
      </w:r>
      <w:r>
        <w:t xml:space="preserve">of the information collection activities to respondents in terms of the time required by </w:t>
      </w:r>
      <w:r w:rsidR="009F3077">
        <w:t>reporters</w:t>
      </w:r>
      <w:r>
        <w:t xml:space="preserve"> to perform the activities as outlined in the introductory section of this document.</w:t>
      </w:r>
    </w:p>
    <w:p w:rsidR="004909CD" w:rsidP="004909CD" w:rsidRDefault="004909CD" w14:paraId="5C7B4363" w14:textId="7FD50C1F">
      <w:pPr>
        <w:pStyle w:val="NoSpacing"/>
      </w:pPr>
    </w:p>
    <w:p w:rsidRPr="004909CD" w:rsidR="004909CD" w:rsidP="00E96905" w:rsidRDefault="004909CD" w14:paraId="0B054C1E" w14:textId="5579E545">
      <w:pPr>
        <w:pStyle w:val="Heading2"/>
      </w:pPr>
      <w:bookmarkStart w:name="_Toc34984673" w:id="37"/>
      <w:r w:rsidRPr="004909CD">
        <w:lastRenderedPageBreak/>
        <w:t>5(b)(</w:t>
      </w:r>
      <w:proofErr w:type="spellStart"/>
      <w:r w:rsidRPr="004909CD">
        <w:t>i</w:t>
      </w:r>
      <w:proofErr w:type="spellEnd"/>
      <w:r w:rsidRPr="004909CD">
        <w:t>)</w:t>
      </w:r>
      <w:r>
        <w:t xml:space="preserve"> </w:t>
      </w:r>
      <w:r w:rsidR="007941B9">
        <w:tab/>
      </w:r>
      <w:r>
        <w:t>IC#1 CDR Reporting</w:t>
      </w:r>
      <w:bookmarkEnd w:id="37"/>
    </w:p>
    <w:p w:rsidR="006C3F6B" w:rsidP="006C3F6B" w:rsidRDefault="006C3F6B" w14:paraId="180A1C77" w14:textId="3949ABF0">
      <w:pPr>
        <w:pStyle w:val="BodyText"/>
      </w:pPr>
      <w:r>
        <w:t>I</w:t>
      </w:r>
      <w:r w:rsidRPr="00574902">
        <w:t>ncremental experienced reporter unit burden for respondent activities associated with the rule</w:t>
      </w:r>
      <w:r>
        <w:t xml:space="preserve"> is presented in </w:t>
      </w:r>
      <w:r w:rsidRPr="00574902">
        <w:fldChar w:fldCharType="begin"/>
      </w:r>
      <w:r w:rsidRPr="00574902">
        <w:instrText xml:space="preserve"> REF _Ref526344275 \h  \* MERGEFORMAT </w:instrText>
      </w:r>
      <w:r w:rsidRPr="00574902">
        <w:fldChar w:fldCharType="separate"/>
      </w:r>
      <w:r w:rsidRPr="00EC4095" w:rsidDel="00F574F4">
        <w:t xml:space="preserve">Table </w:t>
      </w:r>
      <w:r>
        <w:rPr>
          <w:noProof/>
        </w:rPr>
        <w:t>2</w:t>
      </w:r>
      <w:r w:rsidRPr="00574902">
        <w:fldChar w:fldCharType="end"/>
      </w:r>
      <w:r w:rsidRPr="00574902">
        <w:t xml:space="preserve">. Unit burdens in this table reflect changes in activities that are applied universally to all reporters. The activity-level unit burden estimates for changes in </w:t>
      </w:r>
      <w:r w:rsidRPr="00574902">
        <w:fldChar w:fldCharType="begin"/>
      </w:r>
      <w:r w:rsidRPr="00574902">
        <w:instrText xml:space="preserve"> REF _Ref526344275 \h  \* MERGEFORMAT </w:instrText>
      </w:r>
      <w:r w:rsidRPr="00574902">
        <w:fldChar w:fldCharType="separate"/>
      </w:r>
      <w:r w:rsidRPr="00EC4095" w:rsidDel="00F574F4">
        <w:t xml:space="preserve">Table </w:t>
      </w:r>
      <w:r>
        <w:rPr>
          <w:noProof/>
        </w:rPr>
        <w:t>2</w:t>
      </w:r>
      <w:r w:rsidRPr="00574902">
        <w:fldChar w:fldCharType="end"/>
      </w:r>
      <w:r w:rsidRPr="00574902">
        <w:t xml:space="preserve"> are based on estimates </w:t>
      </w:r>
      <w:r>
        <w:t>for</w:t>
      </w:r>
      <w:r w:rsidRPr="00574902">
        <w:t xml:space="preserve"> similar activities and best professional judgment (for more detail, see EPA (</w:t>
      </w:r>
      <w:r>
        <w:t>2019</w:t>
      </w:r>
      <w:r w:rsidRPr="00574902">
        <w:t xml:space="preserve">)). </w:t>
      </w:r>
    </w:p>
    <w:p w:rsidR="006C3F6B" w:rsidP="006C3F6B" w:rsidRDefault="006C3F6B" w14:paraId="56F2B18F" w14:textId="77777777">
      <w:pPr>
        <w:spacing w:after="200" w:line="276" w:lineRule="auto"/>
        <w:rPr>
          <w:rFonts w:eastAsiaTheme="minorEastAsia"/>
          <w:lang w:bidi="en-US"/>
        </w:rPr>
      </w:pPr>
      <w:r>
        <w:br w:type="page"/>
      </w:r>
    </w:p>
    <w:tbl>
      <w:tblPr>
        <w:tblW w:w="5000" w:type="pct"/>
        <w:jc w:val="center"/>
        <w:tblLayout w:type="fixed"/>
        <w:tblCellMar>
          <w:left w:w="58" w:type="dxa"/>
          <w:right w:w="58" w:type="dxa"/>
        </w:tblCellMar>
        <w:tblLook w:val="04A0" w:firstRow="1" w:lastRow="0" w:firstColumn="1" w:lastColumn="0" w:noHBand="0" w:noVBand="1"/>
      </w:tblPr>
      <w:tblGrid>
        <w:gridCol w:w="2830"/>
        <w:gridCol w:w="1103"/>
        <w:gridCol w:w="997"/>
        <w:gridCol w:w="847"/>
        <w:gridCol w:w="879"/>
        <w:gridCol w:w="1013"/>
        <w:gridCol w:w="1184"/>
        <w:gridCol w:w="1227"/>
      </w:tblGrid>
      <w:tr w:rsidRPr="00843804" w:rsidR="006C3F6B" w:rsidTr="00976777" w14:paraId="0E4BB095" w14:textId="77777777">
        <w:trPr>
          <w:tblHeader/>
          <w:jc w:val="center"/>
        </w:trPr>
        <w:tc>
          <w:tcPr>
            <w:tcW w:w="10080" w:type="dxa"/>
            <w:gridSpan w:val="8"/>
            <w:tcBorders>
              <w:bottom w:val="single" w:color="auto" w:sz="4" w:space="0"/>
            </w:tcBorders>
            <w:shd w:val="clear" w:color="auto" w:fill="auto"/>
            <w:noWrap/>
            <w:tcMar>
              <w:left w:w="0" w:type="dxa"/>
              <w:right w:w="0" w:type="dxa"/>
            </w:tcMar>
            <w:vAlign w:val="bottom"/>
          </w:tcPr>
          <w:p w:rsidRPr="00E765A1" w:rsidR="006C3F6B" w:rsidP="00976777" w:rsidRDefault="006C3F6B" w14:paraId="37929ADC" w14:textId="77777777">
            <w:pPr>
              <w:pStyle w:val="Caption"/>
              <w:rPr>
                <w:rFonts w:ascii="Arial Narrow" w:hAnsi="Arial Narrow"/>
                <w:sz w:val="18"/>
              </w:rPr>
            </w:pPr>
            <w:bookmarkStart w:name="_Ref5710357" w:id="38"/>
            <w:bookmarkStart w:name="_Ref5263722" w:id="39"/>
            <w:bookmarkStart w:name="_Toc5212625" w:id="40"/>
            <w:bookmarkStart w:name="_Toc24536111" w:id="41"/>
            <w:bookmarkStart w:name="_Toc33039385" w:id="42"/>
            <w:bookmarkStart w:name="_Toc33188406" w:id="43"/>
            <w:r>
              <w:lastRenderedPageBreak/>
              <w:t xml:space="preserve">Table </w:t>
            </w:r>
            <w:bookmarkEnd w:id="38"/>
            <w:bookmarkEnd w:id="39"/>
            <w:r>
              <w:t xml:space="preserve">2: </w:t>
            </w:r>
            <w:r w:rsidRPr="007B4322">
              <w:t xml:space="preserve">Incremental </w:t>
            </w:r>
            <w:r>
              <w:t xml:space="preserve">Activity-Level Experienced Reporter </w:t>
            </w:r>
            <w:r w:rsidRPr="007B4322">
              <w:t>Unit Burden per Four-Year Reporting Cycle</w:t>
            </w:r>
            <w:bookmarkEnd w:id="40"/>
            <w:bookmarkEnd w:id="41"/>
            <w:r>
              <w:t xml:space="preserve"> </w:t>
            </w:r>
            <w:bookmarkEnd w:id="42"/>
            <w:bookmarkEnd w:id="43"/>
          </w:p>
        </w:tc>
      </w:tr>
      <w:tr w:rsidRPr="00843804" w:rsidR="006C3F6B" w:rsidTr="00976777" w14:paraId="52532EB2" w14:textId="77777777">
        <w:trPr>
          <w:tblHeader/>
          <w:jc w:val="center"/>
        </w:trPr>
        <w:tc>
          <w:tcPr>
            <w:tcW w:w="283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F45073" w:rsidR="006C3F6B" w:rsidP="00976777" w:rsidRDefault="006C3F6B" w14:paraId="08C2029F" w14:textId="77777777">
            <w:pPr>
              <w:pStyle w:val="TableTitle"/>
              <w:rPr>
                <w:rFonts w:ascii="Arial Narrow" w:hAnsi="Arial Narrow"/>
                <w:sz w:val="18"/>
              </w:rPr>
            </w:pPr>
            <w:bookmarkStart w:name="_Toc521331626" w:id="44"/>
            <w:r w:rsidRPr="00F45073">
              <w:rPr>
                <w:rFonts w:ascii="Arial Narrow" w:hAnsi="Arial Narrow"/>
                <w:sz w:val="18"/>
              </w:rPr>
              <w:t>Activity</w:t>
            </w:r>
            <w:bookmarkEnd w:id="44"/>
          </w:p>
        </w:tc>
        <w:tc>
          <w:tcPr>
            <w:tcW w:w="1103"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15EB53F9" w14:textId="77777777">
            <w:pPr>
              <w:jc w:val="center"/>
              <w:rPr>
                <w:rFonts w:ascii="Arial Narrow" w:hAnsi="Arial Narrow"/>
                <w:b/>
                <w:sz w:val="18"/>
                <w:szCs w:val="18"/>
              </w:rPr>
            </w:pPr>
            <w:r w:rsidRPr="009F03C9">
              <w:rPr>
                <w:rFonts w:ascii="Arial Narrow" w:hAnsi="Arial Narrow"/>
                <w:b/>
                <w:sz w:val="18"/>
                <w:szCs w:val="18"/>
              </w:rPr>
              <w:t>Unit of Analysis</w:t>
            </w:r>
          </w:p>
        </w:tc>
        <w:tc>
          <w:tcPr>
            <w:tcW w:w="997"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00013281" w14:textId="77777777">
            <w:pPr>
              <w:jc w:val="center"/>
              <w:rPr>
                <w:rFonts w:ascii="Arial Narrow" w:hAnsi="Arial Narrow"/>
                <w:b/>
                <w:sz w:val="18"/>
                <w:szCs w:val="18"/>
              </w:rPr>
            </w:pPr>
            <w:r w:rsidRPr="00E533BC">
              <w:rPr>
                <w:rFonts w:ascii="Arial Narrow" w:hAnsi="Arial Narrow"/>
                <w:b/>
                <w:sz w:val="18"/>
                <w:szCs w:val="18"/>
              </w:rPr>
              <w:t>Managerial Burden (hours)</w:t>
            </w:r>
          </w:p>
        </w:tc>
        <w:tc>
          <w:tcPr>
            <w:tcW w:w="847"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48FB376F" w14:textId="77777777">
            <w:pPr>
              <w:jc w:val="center"/>
              <w:rPr>
                <w:rFonts w:ascii="Arial Narrow" w:hAnsi="Arial Narrow"/>
                <w:b/>
                <w:sz w:val="18"/>
                <w:szCs w:val="18"/>
              </w:rPr>
            </w:pPr>
            <w:r w:rsidRPr="00E533BC">
              <w:rPr>
                <w:rFonts w:ascii="Arial Narrow" w:hAnsi="Arial Narrow"/>
                <w:b/>
                <w:sz w:val="18"/>
                <w:szCs w:val="18"/>
              </w:rPr>
              <w:t>Technical Burden (hours)</w:t>
            </w:r>
          </w:p>
        </w:tc>
        <w:tc>
          <w:tcPr>
            <w:tcW w:w="879"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688A7C7B" w14:textId="77777777">
            <w:pPr>
              <w:jc w:val="center"/>
              <w:rPr>
                <w:rFonts w:ascii="Arial Narrow" w:hAnsi="Arial Narrow"/>
                <w:b/>
                <w:sz w:val="18"/>
                <w:szCs w:val="18"/>
              </w:rPr>
            </w:pPr>
            <w:r w:rsidRPr="00E533BC">
              <w:rPr>
                <w:rFonts w:ascii="Arial Narrow" w:hAnsi="Arial Narrow"/>
                <w:b/>
                <w:sz w:val="18"/>
                <w:szCs w:val="18"/>
              </w:rPr>
              <w:t>Clerical Burden (hours)</w:t>
            </w:r>
          </w:p>
        </w:tc>
        <w:tc>
          <w:tcPr>
            <w:tcW w:w="1013"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23D67C9C" w14:textId="77777777">
            <w:pPr>
              <w:jc w:val="center"/>
              <w:rPr>
                <w:rFonts w:ascii="Arial Narrow" w:hAnsi="Arial Narrow"/>
                <w:b/>
                <w:sz w:val="18"/>
                <w:szCs w:val="18"/>
              </w:rPr>
            </w:pPr>
            <w:r w:rsidRPr="00E533BC">
              <w:rPr>
                <w:rFonts w:ascii="Arial Narrow" w:hAnsi="Arial Narrow"/>
                <w:b/>
                <w:sz w:val="18"/>
                <w:szCs w:val="18"/>
              </w:rPr>
              <w:t>Activity-Level Unit Burden (hours)</w:t>
            </w:r>
          </w:p>
        </w:tc>
        <w:tc>
          <w:tcPr>
            <w:tcW w:w="1184"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76774529" w14:textId="77777777">
            <w:pPr>
              <w:jc w:val="center"/>
              <w:rPr>
                <w:rFonts w:ascii="Arial Narrow" w:hAnsi="Arial Narrow"/>
                <w:b/>
                <w:sz w:val="18"/>
                <w:szCs w:val="18"/>
              </w:rPr>
            </w:pPr>
            <w:r w:rsidRPr="00E533BC">
              <w:rPr>
                <w:rFonts w:ascii="Arial Narrow" w:hAnsi="Arial Narrow"/>
                <w:b/>
                <w:sz w:val="18"/>
                <w:szCs w:val="18"/>
              </w:rPr>
              <w:t>Proportion of Sites/Chemical Reports</w:t>
            </w:r>
            <w:r>
              <w:rPr>
                <w:rFonts w:ascii="Arial Narrow" w:hAnsi="Arial Narrow"/>
                <w:b/>
                <w:sz w:val="18"/>
                <w:szCs w:val="18"/>
              </w:rPr>
              <w:t xml:space="preserve"> Affected</w:t>
            </w:r>
          </w:p>
        </w:tc>
        <w:tc>
          <w:tcPr>
            <w:tcW w:w="1227"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E533BC" w:rsidR="006C3F6B" w:rsidP="00976777" w:rsidRDefault="006C3F6B" w14:paraId="58A52397" w14:textId="77777777">
            <w:pPr>
              <w:jc w:val="center"/>
              <w:rPr>
                <w:rFonts w:ascii="Arial Narrow" w:hAnsi="Arial Narrow"/>
                <w:b/>
                <w:sz w:val="18"/>
                <w:szCs w:val="18"/>
              </w:rPr>
            </w:pPr>
            <w:r w:rsidRPr="00E533BC">
              <w:rPr>
                <w:rFonts w:ascii="Arial Narrow" w:hAnsi="Arial Narrow"/>
                <w:b/>
                <w:sz w:val="18"/>
                <w:szCs w:val="18"/>
              </w:rPr>
              <w:t>Adjusted Unit Burden per Site/Chemical Report</w:t>
            </w:r>
            <w:r>
              <w:rPr>
                <w:rFonts w:ascii="Arial Narrow" w:hAnsi="Arial Narrow"/>
                <w:b/>
                <w:sz w:val="18"/>
                <w:szCs w:val="18"/>
              </w:rPr>
              <w:t xml:space="preserve"> (hours)</w:t>
            </w:r>
          </w:p>
        </w:tc>
      </w:tr>
      <w:tr w:rsidRPr="00843804" w:rsidR="006C3F6B" w:rsidTr="00976777" w14:paraId="37A47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8"/>
            <w:tcBorders>
              <w:top w:val="nil"/>
              <w:left w:val="single" w:color="auto" w:sz="4" w:space="0"/>
              <w:bottom w:val="single" w:color="auto" w:sz="4" w:space="0"/>
              <w:right w:val="single" w:color="auto" w:sz="4" w:space="0"/>
            </w:tcBorders>
            <w:shd w:val="clear" w:color="auto" w:fill="auto"/>
            <w:noWrap/>
            <w:vAlign w:val="center"/>
            <w:hideMark/>
          </w:tcPr>
          <w:p w:rsidRPr="003635BC" w:rsidR="006C3F6B" w:rsidP="00976777" w:rsidRDefault="006C3F6B" w14:paraId="5C335082" w14:textId="77777777">
            <w:pPr>
              <w:rPr>
                <w:rFonts w:ascii="Arial Narrow" w:hAnsi="Arial Narrow"/>
                <w:sz w:val="18"/>
                <w:szCs w:val="18"/>
              </w:rPr>
            </w:pPr>
            <w:r w:rsidRPr="00F45073">
              <w:rPr>
                <w:rFonts w:ascii="Arial Narrow" w:hAnsi="Arial Narrow"/>
                <w:b/>
                <w:sz w:val="18"/>
                <w:szCs w:val="18"/>
              </w:rPr>
              <w:t>Reportable</w:t>
            </w:r>
            <w:r w:rsidRPr="003635BC">
              <w:rPr>
                <w:rFonts w:ascii="Arial Narrow" w:hAnsi="Arial Narrow"/>
                <w:b/>
                <w:sz w:val="18"/>
                <w:szCs w:val="18"/>
              </w:rPr>
              <w:t xml:space="preserve"> Data Elements</w:t>
            </w:r>
          </w:p>
        </w:tc>
      </w:tr>
      <w:tr w:rsidRPr="00843804" w:rsidR="006C3F6B" w:rsidTr="00976777" w14:paraId="56412320"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F45073" w:rsidR="006C3F6B" w:rsidP="00976777" w:rsidRDefault="006C3F6B" w14:paraId="3A69BBF7" w14:textId="77777777">
            <w:pPr>
              <w:rPr>
                <w:rFonts w:ascii="Arial Narrow" w:hAnsi="Arial Narrow"/>
                <w:sz w:val="18"/>
                <w:szCs w:val="18"/>
              </w:rPr>
            </w:pPr>
            <w:r>
              <w:rPr>
                <w:rFonts w:ascii="Arial Narrow" w:hAnsi="Arial Narrow"/>
                <w:sz w:val="18"/>
                <w:szCs w:val="18"/>
              </w:rPr>
              <w:t xml:space="preserve">1. </w:t>
            </w:r>
            <w:r w:rsidRPr="00F45073">
              <w:rPr>
                <w:rFonts w:ascii="Arial Narrow" w:hAnsi="Arial Narrow"/>
                <w:sz w:val="18"/>
                <w:szCs w:val="18"/>
              </w:rPr>
              <w:t>Rule Familiarization</w:t>
            </w:r>
            <w:r w:rsidRPr="003635BC">
              <w:rPr>
                <w:rFonts w:ascii="Arial Narrow" w:hAnsi="Arial Narrow"/>
                <w:sz w:val="18"/>
                <w:szCs w:val="18"/>
              </w:rPr>
              <w:t xml:space="preserve"> increase due to increased regulatory complexity</w:t>
            </w:r>
            <w:r w:rsidRPr="00912B62">
              <w:rPr>
                <w:rFonts w:ascii="Arial Narrow" w:hAnsi="Arial Narrow"/>
                <w:sz w:val="18"/>
                <w:szCs w:val="18"/>
                <w:vertAlign w:val="superscript"/>
              </w:rPr>
              <w:t>1</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055CD843" w14:textId="77777777">
            <w:pPr>
              <w:rPr>
                <w:rFonts w:ascii="Arial Narrow" w:hAnsi="Arial Narrow"/>
                <w:sz w:val="18"/>
                <w:szCs w:val="18"/>
              </w:rPr>
            </w:pPr>
            <w:r w:rsidRPr="009F03C9">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5E13A89" w14:textId="77777777">
            <w:pPr>
              <w:jc w:val="center"/>
              <w:rPr>
                <w:rFonts w:ascii="Arial Narrow" w:hAnsi="Arial Narrow"/>
                <w:sz w:val="18"/>
                <w:szCs w:val="18"/>
              </w:rPr>
            </w:pPr>
            <w:r w:rsidRPr="00E533BC">
              <w:rPr>
                <w:rFonts w:ascii="Arial Narrow" w:hAnsi="Arial Narrow"/>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C8F7C73"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7A62A15"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CA94D74" w14:textId="77777777">
            <w:pPr>
              <w:jc w:val="center"/>
              <w:rPr>
                <w:rFonts w:ascii="Arial Narrow" w:hAnsi="Arial Narrow"/>
                <w:sz w:val="18"/>
                <w:szCs w:val="18"/>
              </w:rPr>
            </w:pPr>
            <w:r w:rsidRPr="00E533BC">
              <w:rPr>
                <w:rFonts w:ascii="Arial Narrow" w:hAnsi="Arial Narrow"/>
                <w:sz w:val="18"/>
                <w:szCs w:val="18"/>
              </w:rPr>
              <w:t>0.000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60D5593"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898BAC0" w14:textId="77777777">
            <w:pPr>
              <w:jc w:val="center"/>
              <w:rPr>
                <w:rFonts w:ascii="Arial Narrow" w:hAnsi="Arial Narrow"/>
                <w:sz w:val="18"/>
                <w:szCs w:val="18"/>
              </w:rPr>
            </w:pPr>
            <w:r w:rsidRPr="00E533BC">
              <w:rPr>
                <w:rFonts w:ascii="Arial Narrow" w:hAnsi="Arial Narrow"/>
                <w:sz w:val="18"/>
                <w:szCs w:val="18"/>
              </w:rPr>
              <w:t>0.000</w:t>
            </w:r>
          </w:p>
        </w:tc>
      </w:tr>
      <w:tr w:rsidRPr="00843804" w:rsidR="006C3F6B" w:rsidTr="00976777" w14:paraId="665AE2B3"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F45073" w:rsidR="006C3F6B" w:rsidP="00976777" w:rsidRDefault="006C3F6B" w14:paraId="1BED787D" w14:textId="77777777">
            <w:pPr>
              <w:rPr>
                <w:rFonts w:ascii="Arial Narrow" w:hAnsi="Arial Narrow"/>
                <w:sz w:val="18"/>
                <w:szCs w:val="18"/>
              </w:rPr>
            </w:pPr>
            <w:r>
              <w:rPr>
                <w:rFonts w:ascii="Arial Narrow" w:hAnsi="Arial Narrow"/>
                <w:sz w:val="18"/>
                <w:szCs w:val="18"/>
              </w:rPr>
              <w:t xml:space="preserve">2. </w:t>
            </w:r>
            <w:r w:rsidRPr="00F45073">
              <w:rPr>
                <w:rFonts w:ascii="Arial Narrow" w:hAnsi="Arial Narrow"/>
                <w:sz w:val="18"/>
                <w:szCs w:val="18"/>
              </w:rPr>
              <w:t xml:space="preserve">Compliance Determination increase </w:t>
            </w:r>
            <w:r w:rsidRPr="003635BC">
              <w:rPr>
                <w:rFonts w:ascii="Arial Narrow" w:hAnsi="Arial Narrow"/>
                <w:sz w:val="18"/>
                <w:szCs w:val="18"/>
              </w:rPr>
              <w:t>due to increased regulatory complexity</w:t>
            </w:r>
            <w:r w:rsidRPr="00912B62">
              <w:rPr>
                <w:rFonts w:ascii="Arial Narrow" w:hAnsi="Arial Narrow"/>
                <w:sz w:val="18"/>
                <w:szCs w:val="18"/>
                <w:vertAlign w:val="superscript"/>
              </w:rPr>
              <w:t>2</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0034228A" w14:textId="77777777">
            <w:pPr>
              <w:rPr>
                <w:rFonts w:ascii="Arial Narrow" w:hAnsi="Arial Narrow"/>
                <w:sz w:val="18"/>
                <w:szCs w:val="18"/>
              </w:rPr>
            </w:pPr>
            <w:r w:rsidRPr="009F03C9">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B1DB46A" w14:textId="77777777">
            <w:pPr>
              <w:jc w:val="center"/>
              <w:rPr>
                <w:rFonts w:ascii="Arial Narrow" w:hAnsi="Arial Narrow"/>
                <w:sz w:val="18"/>
                <w:szCs w:val="18"/>
              </w:rPr>
            </w:pPr>
            <w:r w:rsidRPr="00E533BC">
              <w:rPr>
                <w:rFonts w:ascii="Arial Narrow" w:hAnsi="Arial Narrow"/>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D9F2DC2"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EAB5F3E"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F71996D" w14:textId="77777777">
            <w:pPr>
              <w:jc w:val="center"/>
              <w:rPr>
                <w:rFonts w:ascii="Arial Narrow" w:hAnsi="Arial Narrow"/>
                <w:sz w:val="18"/>
                <w:szCs w:val="18"/>
              </w:rPr>
            </w:pPr>
            <w:r w:rsidRPr="00E533BC">
              <w:rPr>
                <w:rFonts w:ascii="Arial Narrow" w:hAnsi="Arial Narrow"/>
                <w:sz w:val="18"/>
                <w:szCs w:val="18"/>
              </w:rPr>
              <w:t>0.000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417C483"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EDAAE3B" w14:textId="77777777">
            <w:pPr>
              <w:jc w:val="center"/>
              <w:rPr>
                <w:rFonts w:ascii="Arial Narrow" w:hAnsi="Arial Narrow"/>
                <w:sz w:val="18"/>
                <w:szCs w:val="18"/>
              </w:rPr>
            </w:pPr>
            <w:r w:rsidRPr="00E533BC">
              <w:rPr>
                <w:rFonts w:ascii="Arial Narrow" w:hAnsi="Arial Narrow"/>
                <w:sz w:val="18"/>
                <w:szCs w:val="18"/>
              </w:rPr>
              <w:t>0.000</w:t>
            </w:r>
          </w:p>
        </w:tc>
      </w:tr>
      <w:tr w:rsidRPr="00843804" w:rsidR="006C3F6B" w:rsidTr="00976777" w14:paraId="5FFC3321" w14:textId="77777777">
        <w:trPr>
          <w:jc w:val="center"/>
        </w:trPr>
        <w:tc>
          <w:tcPr>
            <w:tcW w:w="2830" w:type="dxa"/>
            <w:tcBorders>
              <w:top w:val="single" w:color="auto" w:sz="4" w:space="0"/>
              <w:left w:val="single" w:color="auto" w:sz="4" w:space="0"/>
              <w:bottom w:val="single" w:color="auto" w:sz="4" w:space="0"/>
            </w:tcBorders>
            <w:shd w:val="clear" w:color="auto" w:fill="auto"/>
            <w:noWrap/>
            <w:vAlign w:val="center"/>
          </w:tcPr>
          <w:p w:rsidRPr="0089179E" w:rsidR="006C3F6B" w:rsidP="00976777" w:rsidRDefault="006C3F6B" w14:paraId="47B7E1FE" w14:textId="77777777">
            <w:pPr>
              <w:rPr>
                <w:rFonts w:ascii="Arial Narrow" w:hAnsi="Arial Narrow"/>
                <w:i/>
                <w:sz w:val="18"/>
                <w:szCs w:val="18"/>
              </w:rPr>
            </w:pPr>
            <w:r>
              <w:rPr>
                <w:rFonts w:ascii="Arial Narrow" w:hAnsi="Arial Narrow"/>
                <w:sz w:val="18"/>
                <w:szCs w:val="18"/>
              </w:rPr>
              <w:t xml:space="preserve">  </w:t>
            </w:r>
            <w:r w:rsidRPr="0089179E">
              <w:rPr>
                <w:rFonts w:ascii="Arial Narrow" w:hAnsi="Arial Narrow"/>
                <w:i/>
                <w:sz w:val="18"/>
                <w:szCs w:val="18"/>
              </w:rPr>
              <w:t>Form Completion</w:t>
            </w:r>
          </w:p>
        </w:tc>
        <w:tc>
          <w:tcPr>
            <w:tcW w:w="1103" w:type="dxa"/>
            <w:tcBorders>
              <w:top w:val="single" w:color="auto" w:sz="4" w:space="0"/>
              <w:bottom w:val="single" w:color="auto" w:sz="4" w:space="0"/>
            </w:tcBorders>
            <w:shd w:val="clear" w:color="auto" w:fill="auto"/>
            <w:noWrap/>
            <w:vAlign w:val="center"/>
          </w:tcPr>
          <w:p w:rsidRPr="00E533BC" w:rsidR="006C3F6B" w:rsidP="00976777" w:rsidRDefault="006C3F6B" w14:paraId="74659580" w14:textId="77777777">
            <w:pPr>
              <w:rPr>
                <w:rFonts w:ascii="Arial Narrow" w:hAnsi="Arial Narrow"/>
                <w:sz w:val="18"/>
                <w:szCs w:val="18"/>
              </w:rPr>
            </w:pPr>
          </w:p>
        </w:tc>
        <w:tc>
          <w:tcPr>
            <w:tcW w:w="997" w:type="dxa"/>
            <w:tcBorders>
              <w:top w:val="single" w:color="auto" w:sz="4" w:space="0"/>
              <w:bottom w:val="single" w:color="auto" w:sz="4" w:space="0"/>
            </w:tcBorders>
            <w:shd w:val="clear" w:color="auto" w:fill="auto"/>
            <w:noWrap/>
            <w:vAlign w:val="center"/>
          </w:tcPr>
          <w:p w:rsidRPr="00E533BC" w:rsidR="006C3F6B" w:rsidP="00976777" w:rsidRDefault="006C3F6B" w14:paraId="78255398" w14:textId="77777777">
            <w:pPr>
              <w:jc w:val="center"/>
              <w:rPr>
                <w:rFonts w:ascii="Arial Narrow" w:hAnsi="Arial Narrow"/>
                <w:sz w:val="18"/>
                <w:szCs w:val="18"/>
              </w:rPr>
            </w:pPr>
          </w:p>
        </w:tc>
        <w:tc>
          <w:tcPr>
            <w:tcW w:w="847" w:type="dxa"/>
            <w:tcBorders>
              <w:top w:val="single" w:color="auto" w:sz="4" w:space="0"/>
              <w:bottom w:val="single" w:color="auto" w:sz="4" w:space="0"/>
            </w:tcBorders>
            <w:shd w:val="clear" w:color="auto" w:fill="auto"/>
            <w:noWrap/>
            <w:vAlign w:val="center"/>
          </w:tcPr>
          <w:p w:rsidRPr="00E533BC" w:rsidR="006C3F6B" w:rsidP="00976777" w:rsidRDefault="006C3F6B" w14:paraId="4B04F769" w14:textId="77777777">
            <w:pPr>
              <w:jc w:val="center"/>
              <w:rPr>
                <w:rFonts w:ascii="Arial Narrow" w:hAnsi="Arial Narrow"/>
                <w:sz w:val="18"/>
                <w:szCs w:val="18"/>
              </w:rPr>
            </w:pPr>
          </w:p>
        </w:tc>
        <w:tc>
          <w:tcPr>
            <w:tcW w:w="879" w:type="dxa"/>
            <w:tcBorders>
              <w:top w:val="single" w:color="auto" w:sz="4" w:space="0"/>
              <w:bottom w:val="single" w:color="auto" w:sz="4" w:space="0"/>
            </w:tcBorders>
            <w:shd w:val="clear" w:color="auto" w:fill="auto"/>
            <w:noWrap/>
            <w:vAlign w:val="center"/>
          </w:tcPr>
          <w:p w:rsidRPr="00E533BC" w:rsidR="006C3F6B" w:rsidP="00976777" w:rsidRDefault="006C3F6B" w14:paraId="18946777" w14:textId="77777777">
            <w:pPr>
              <w:jc w:val="center"/>
              <w:rPr>
                <w:rFonts w:ascii="Arial Narrow" w:hAnsi="Arial Narrow"/>
                <w:sz w:val="18"/>
                <w:szCs w:val="18"/>
              </w:rPr>
            </w:pPr>
          </w:p>
        </w:tc>
        <w:tc>
          <w:tcPr>
            <w:tcW w:w="1013" w:type="dxa"/>
            <w:tcBorders>
              <w:top w:val="single" w:color="auto" w:sz="4" w:space="0"/>
              <w:bottom w:val="single" w:color="auto" w:sz="4" w:space="0"/>
            </w:tcBorders>
            <w:shd w:val="clear" w:color="auto" w:fill="auto"/>
            <w:noWrap/>
            <w:vAlign w:val="center"/>
          </w:tcPr>
          <w:p w:rsidRPr="00E533BC" w:rsidR="006C3F6B" w:rsidP="00976777" w:rsidRDefault="006C3F6B" w14:paraId="1051FE6D" w14:textId="77777777">
            <w:pPr>
              <w:jc w:val="center"/>
              <w:rPr>
                <w:rFonts w:ascii="Arial Narrow" w:hAnsi="Arial Narrow"/>
                <w:sz w:val="18"/>
                <w:szCs w:val="18"/>
              </w:rPr>
            </w:pPr>
          </w:p>
        </w:tc>
        <w:tc>
          <w:tcPr>
            <w:tcW w:w="1184" w:type="dxa"/>
            <w:tcBorders>
              <w:top w:val="single" w:color="auto" w:sz="4" w:space="0"/>
              <w:bottom w:val="single" w:color="auto" w:sz="4" w:space="0"/>
            </w:tcBorders>
            <w:shd w:val="clear" w:color="auto" w:fill="auto"/>
            <w:noWrap/>
            <w:vAlign w:val="center"/>
          </w:tcPr>
          <w:p w:rsidRPr="00E533BC" w:rsidR="006C3F6B" w:rsidP="00976777" w:rsidRDefault="006C3F6B" w14:paraId="349A45EF" w14:textId="77777777">
            <w:pPr>
              <w:jc w:val="center"/>
              <w:rPr>
                <w:rFonts w:ascii="Arial Narrow" w:hAnsi="Arial Narrow"/>
                <w:sz w:val="18"/>
                <w:szCs w:val="18"/>
              </w:rPr>
            </w:pPr>
          </w:p>
        </w:tc>
        <w:tc>
          <w:tcPr>
            <w:tcW w:w="1227" w:type="dxa"/>
            <w:tcBorders>
              <w:top w:val="single" w:color="auto" w:sz="4" w:space="0"/>
              <w:bottom w:val="single" w:color="auto" w:sz="4" w:space="0"/>
              <w:right w:val="single" w:color="auto" w:sz="4" w:space="0"/>
            </w:tcBorders>
            <w:shd w:val="clear" w:color="auto" w:fill="auto"/>
            <w:noWrap/>
            <w:vAlign w:val="center"/>
          </w:tcPr>
          <w:p w:rsidRPr="00E533BC" w:rsidR="006C3F6B" w:rsidP="00976777" w:rsidRDefault="006C3F6B" w14:paraId="1D79AD5B" w14:textId="77777777">
            <w:pPr>
              <w:jc w:val="center"/>
              <w:rPr>
                <w:rFonts w:ascii="Arial Narrow" w:hAnsi="Arial Narrow"/>
                <w:sz w:val="18"/>
                <w:szCs w:val="18"/>
              </w:rPr>
            </w:pPr>
          </w:p>
        </w:tc>
      </w:tr>
      <w:tr w:rsidRPr="00843804" w:rsidR="006C3F6B" w:rsidTr="00976777" w14:paraId="3AF510C2" w14:textId="77777777">
        <w:trPr>
          <w:jc w:val="center"/>
        </w:trPr>
        <w:tc>
          <w:tcPr>
            <w:tcW w:w="2830" w:type="dxa"/>
            <w:tcBorders>
              <w:top w:val="nil"/>
              <w:left w:val="single" w:color="auto" w:sz="4" w:space="0"/>
              <w:bottom w:val="single" w:color="auto" w:sz="4" w:space="0"/>
              <w:right w:val="single" w:color="auto" w:sz="4" w:space="0"/>
            </w:tcBorders>
            <w:shd w:val="clear" w:color="auto" w:fill="auto"/>
            <w:noWrap/>
            <w:vAlign w:val="center"/>
            <w:hideMark/>
          </w:tcPr>
          <w:p w:rsidRPr="00E533BC" w:rsidR="006C3F6B" w:rsidP="00976777" w:rsidRDefault="006C3F6B" w14:paraId="6942663B" w14:textId="77777777">
            <w:pPr>
              <w:rPr>
                <w:rFonts w:ascii="Arial Narrow" w:hAnsi="Arial Narrow"/>
                <w:sz w:val="18"/>
                <w:szCs w:val="18"/>
              </w:rPr>
            </w:pPr>
            <w:r>
              <w:rPr>
                <w:rFonts w:ascii="Arial Narrow" w:hAnsi="Arial Narrow"/>
                <w:sz w:val="18"/>
                <w:szCs w:val="18"/>
              </w:rPr>
              <w:t xml:space="preserve">3. </w:t>
            </w:r>
            <w:r w:rsidRPr="00F45073">
              <w:rPr>
                <w:rFonts w:ascii="Arial Narrow" w:hAnsi="Arial Narrow"/>
                <w:sz w:val="18"/>
                <w:szCs w:val="18"/>
              </w:rPr>
              <w:t>Site</w:t>
            </w:r>
            <w:r w:rsidRPr="003635BC">
              <w:rPr>
                <w:rFonts w:ascii="Arial Narrow" w:hAnsi="Arial Narrow"/>
                <w:sz w:val="18"/>
                <w:szCs w:val="18"/>
              </w:rPr>
              <w:t>’s Foreign</w:t>
            </w:r>
            <w:r w:rsidRPr="009F03C9">
              <w:rPr>
                <w:rFonts w:ascii="Arial Narrow" w:hAnsi="Arial Narrow"/>
                <w:sz w:val="18"/>
                <w:szCs w:val="18"/>
              </w:rPr>
              <w:t xml:space="preserve"> Parent Company (</w:t>
            </w:r>
            <w:r>
              <w:rPr>
                <w:rFonts w:ascii="Arial Narrow" w:hAnsi="Arial Narrow"/>
                <w:sz w:val="18"/>
                <w:szCs w:val="18"/>
              </w:rPr>
              <w:t>i</w:t>
            </w:r>
            <w:r w:rsidRPr="009F03C9">
              <w:rPr>
                <w:rFonts w:ascii="Arial Narrow" w:hAnsi="Arial Narrow"/>
                <w:sz w:val="18"/>
                <w:szCs w:val="18"/>
              </w:rPr>
              <w:t>f applicable)</w:t>
            </w:r>
            <w:r w:rsidRPr="009F03C9">
              <w:rPr>
                <w:rFonts w:ascii="Arial Narrow" w:hAnsi="Arial Narrow"/>
                <w:sz w:val="18"/>
                <w:szCs w:val="18"/>
                <w:vertAlign w:val="superscript"/>
              </w:rPr>
              <w:t>3</w:t>
            </w:r>
          </w:p>
        </w:tc>
        <w:tc>
          <w:tcPr>
            <w:tcW w:w="110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358DF31" w14:textId="77777777">
            <w:pPr>
              <w:rPr>
                <w:rFonts w:ascii="Arial Narrow" w:hAnsi="Arial Narrow"/>
                <w:sz w:val="18"/>
                <w:szCs w:val="18"/>
              </w:rPr>
            </w:pPr>
            <w:r w:rsidRPr="00E533BC">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3773B02" w14:textId="77777777">
            <w:pPr>
              <w:jc w:val="center"/>
              <w:rPr>
                <w:rFonts w:ascii="Arial Narrow" w:hAnsi="Arial Narrow"/>
                <w:sz w:val="18"/>
                <w:szCs w:val="18"/>
              </w:rPr>
            </w:pPr>
            <w:r w:rsidRPr="00E533BC">
              <w:rPr>
                <w:rFonts w:ascii="Arial Narrow" w:hAnsi="Arial Narrow"/>
                <w:sz w:val="18"/>
                <w:szCs w:val="18"/>
              </w:rPr>
              <w:t>0.002</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01F9E42"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8071E6C"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426E3E8" w14:textId="77777777">
            <w:pPr>
              <w:jc w:val="center"/>
              <w:rPr>
                <w:rFonts w:ascii="Arial Narrow" w:hAnsi="Arial Narrow"/>
                <w:sz w:val="18"/>
                <w:szCs w:val="18"/>
              </w:rPr>
            </w:pPr>
            <w:r w:rsidRPr="00E533BC">
              <w:rPr>
                <w:rFonts w:ascii="Arial Narrow" w:hAnsi="Arial Narrow"/>
                <w:sz w:val="18"/>
                <w:szCs w:val="18"/>
              </w:rPr>
              <w:t>0.002</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30230D8"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618A815" w14:textId="77777777">
            <w:pPr>
              <w:jc w:val="center"/>
              <w:rPr>
                <w:rFonts w:ascii="Arial Narrow" w:hAnsi="Arial Narrow"/>
                <w:sz w:val="18"/>
                <w:szCs w:val="18"/>
              </w:rPr>
            </w:pPr>
            <w:r w:rsidRPr="00E533BC">
              <w:rPr>
                <w:rFonts w:ascii="Arial Narrow" w:hAnsi="Arial Narrow"/>
                <w:sz w:val="18"/>
                <w:szCs w:val="18"/>
              </w:rPr>
              <w:t>0.002</w:t>
            </w:r>
          </w:p>
        </w:tc>
      </w:tr>
      <w:tr w:rsidRPr="00843804" w:rsidR="006C3F6B" w:rsidTr="00976777" w14:paraId="7F2321C5"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3635BC" w:rsidR="006C3F6B" w:rsidP="00976777" w:rsidRDefault="006C3F6B" w14:paraId="6690C83A" w14:textId="77777777">
            <w:pPr>
              <w:rPr>
                <w:rFonts w:ascii="Arial Narrow" w:hAnsi="Arial Narrow"/>
                <w:sz w:val="18"/>
                <w:szCs w:val="18"/>
              </w:rPr>
            </w:pPr>
            <w:r>
              <w:rPr>
                <w:rFonts w:ascii="Arial Narrow" w:hAnsi="Arial Narrow"/>
                <w:sz w:val="18"/>
                <w:szCs w:val="18"/>
              </w:rPr>
              <w:t xml:space="preserve">4. </w:t>
            </w:r>
            <w:r w:rsidRPr="00F45073">
              <w:rPr>
                <w:rFonts w:ascii="Arial Narrow" w:hAnsi="Arial Narrow"/>
                <w:sz w:val="18"/>
                <w:szCs w:val="18"/>
              </w:rPr>
              <w:t>Site NAICS</w:t>
            </w:r>
            <w:r w:rsidRPr="009F03C9">
              <w:rPr>
                <w:rFonts w:ascii="Arial Narrow" w:hAnsi="Arial Narrow"/>
                <w:sz w:val="18"/>
                <w:szCs w:val="18"/>
                <w:vertAlign w:val="superscript"/>
              </w:rPr>
              <w:t>3</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5B5E4C89" w14:textId="77777777">
            <w:pPr>
              <w:rPr>
                <w:rFonts w:ascii="Arial Narrow" w:hAnsi="Arial Narrow"/>
                <w:sz w:val="18"/>
                <w:szCs w:val="18"/>
              </w:rPr>
            </w:pPr>
            <w:r w:rsidRPr="009F03C9">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BAAFA16" w14:textId="77777777">
            <w:pPr>
              <w:jc w:val="center"/>
              <w:rPr>
                <w:rFonts w:ascii="Arial Narrow" w:hAnsi="Arial Narrow"/>
                <w:sz w:val="18"/>
                <w:szCs w:val="18"/>
              </w:rPr>
            </w:pPr>
            <w:r w:rsidRPr="00E533BC">
              <w:rPr>
                <w:rFonts w:ascii="Arial Narrow" w:hAnsi="Arial Narrow"/>
                <w:sz w:val="18"/>
                <w:szCs w:val="18"/>
              </w:rPr>
              <w:t>0.002</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949016B"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0C86780"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3375645" w14:textId="77777777">
            <w:pPr>
              <w:jc w:val="center"/>
              <w:rPr>
                <w:rFonts w:ascii="Arial Narrow" w:hAnsi="Arial Narrow"/>
                <w:sz w:val="18"/>
                <w:szCs w:val="18"/>
              </w:rPr>
            </w:pPr>
            <w:r w:rsidRPr="00E533BC">
              <w:rPr>
                <w:rFonts w:ascii="Arial Narrow" w:hAnsi="Arial Narrow"/>
                <w:sz w:val="18"/>
                <w:szCs w:val="18"/>
              </w:rPr>
              <w:t>0.002</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CF55476"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AB5E51C" w14:textId="77777777">
            <w:pPr>
              <w:jc w:val="center"/>
              <w:rPr>
                <w:rFonts w:ascii="Arial Narrow" w:hAnsi="Arial Narrow"/>
                <w:sz w:val="18"/>
                <w:szCs w:val="18"/>
              </w:rPr>
            </w:pPr>
            <w:r w:rsidRPr="00E533BC">
              <w:rPr>
                <w:rFonts w:ascii="Arial Narrow" w:hAnsi="Arial Narrow"/>
                <w:sz w:val="18"/>
                <w:szCs w:val="18"/>
              </w:rPr>
              <w:t>0.002</w:t>
            </w:r>
          </w:p>
        </w:tc>
      </w:tr>
      <w:tr w:rsidRPr="00843804" w:rsidR="006C3F6B" w:rsidTr="00976777" w14:paraId="138ECFFE"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3635BC" w:rsidR="006C3F6B" w:rsidP="00976777" w:rsidRDefault="006C3F6B" w14:paraId="01D38CC7" w14:textId="77777777">
            <w:pPr>
              <w:rPr>
                <w:rFonts w:ascii="Arial Narrow" w:hAnsi="Arial Narrow"/>
                <w:sz w:val="18"/>
                <w:szCs w:val="18"/>
              </w:rPr>
            </w:pPr>
            <w:r>
              <w:rPr>
                <w:rFonts w:ascii="Arial Narrow" w:hAnsi="Arial Narrow"/>
                <w:sz w:val="18"/>
                <w:szCs w:val="18"/>
              </w:rPr>
              <w:t xml:space="preserve">5. </w:t>
            </w:r>
            <w:r w:rsidRPr="00F45073">
              <w:rPr>
                <w:rFonts w:ascii="Arial Narrow" w:hAnsi="Arial Narrow"/>
                <w:sz w:val="18"/>
                <w:szCs w:val="18"/>
              </w:rPr>
              <w:t xml:space="preserve">% PV </w:t>
            </w:r>
            <w:r>
              <w:rPr>
                <w:rFonts w:ascii="Arial Narrow" w:hAnsi="Arial Narrow"/>
                <w:sz w:val="18"/>
                <w:szCs w:val="18"/>
              </w:rPr>
              <w:t>that is</w:t>
            </w:r>
            <w:r w:rsidRPr="00F45073">
              <w:rPr>
                <w:rFonts w:ascii="Arial Narrow" w:hAnsi="Arial Narrow"/>
                <w:sz w:val="18"/>
                <w:szCs w:val="18"/>
              </w:rPr>
              <w:t xml:space="preserve"> byproduct</w:t>
            </w:r>
            <w:r w:rsidRPr="00912B62">
              <w:rPr>
                <w:rFonts w:ascii="Arial Narrow" w:hAnsi="Arial Narrow" w:cs="Calibri"/>
                <w:color w:val="000000"/>
                <w:sz w:val="18"/>
                <w:szCs w:val="18"/>
                <w:vertAlign w:val="superscript"/>
              </w:rPr>
              <w:t>4</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2BCC5016" w14:textId="77777777">
            <w:pPr>
              <w:rPr>
                <w:rFonts w:ascii="Arial Narrow" w:hAnsi="Arial Narrow"/>
                <w:sz w:val="18"/>
                <w:szCs w:val="18"/>
              </w:rPr>
            </w:pPr>
            <w:r w:rsidRPr="009F03C9">
              <w:rPr>
                <w:rFonts w:ascii="Arial Narrow" w:hAnsi="Arial Narrow" w:cs="Calibri"/>
                <w:color w:val="000000"/>
                <w:sz w:val="18"/>
                <w:szCs w:val="18"/>
              </w:rPr>
              <w:t xml:space="preserve">Chemical </w:t>
            </w:r>
          </w:p>
        </w:tc>
        <w:tc>
          <w:tcPr>
            <w:tcW w:w="997"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582932C3" w14:textId="77777777">
            <w:pPr>
              <w:jc w:val="center"/>
              <w:rPr>
                <w:rFonts w:ascii="Arial Narrow" w:hAnsi="Arial Narrow"/>
                <w:sz w:val="18"/>
                <w:szCs w:val="18"/>
              </w:rPr>
            </w:pPr>
            <w:r>
              <w:rPr>
                <w:rFonts w:ascii="Arial Narrow" w:hAnsi="Arial Narrow" w:cs="Calibri"/>
                <w:color w:val="000000"/>
                <w:sz w:val="18"/>
                <w:szCs w:val="18"/>
              </w:rPr>
              <w:t>0.200</w:t>
            </w:r>
          </w:p>
        </w:tc>
        <w:tc>
          <w:tcPr>
            <w:tcW w:w="847"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3F8D3A5B" w14:textId="77777777">
            <w:pPr>
              <w:jc w:val="center"/>
              <w:rPr>
                <w:rFonts w:ascii="Arial Narrow" w:hAnsi="Arial Narrow"/>
                <w:sz w:val="18"/>
                <w:szCs w:val="18"/>
              </w:rPr>
            </w:pPr>
            <w:r>
              <w:rPr>
                <w:rFonts w:ascii="Arial Narrow" w:hAnsi="Arial Narrow" w:cs="Calibri"/>
                <w:color w:val="000000"/>
                <w:sz w:val="18"/>
                <w:szCs w:val="18"/>
              </w:rPr>
              <w:t>0.410</w:t>
            </w:r>
          </w:p>
        </w:tc>
        <w:tc>
          <w:tcPr>
            <w:tcW w:w="879"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280494E5" w14:textId="77777777">
            <w:pPr>
              <w:jc w:val="center"/>
              <w:rPr>
                <w:rFonts w:ascii="Arial Narrow" w:hAnsi="Arial Narrow"/>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52D0D4E1" w14:textId="77777777">
            <w:pPr>
              <w:jc w:val="center"/>
              <w:rPr>
                <w:rFonts w:ascii="Arial Narrow" w:hAnsi="Arial Narrow"/>
                <w:sz w:val="18"/>
                <w:szCs w:val="18"/>
              </w:rPr>
            </w:pPr>
            <w:r>
              <w:rPr>
                <w:rFonts w:ascii="Arial Narrow" w:hAnsi="Arial Narrow" w:cs="Calibri"/>
                <w:color w:val="000000"/>
                <w:sz w:val="18"/>
                <w:szCs w:val="18"/>
              </w:rPr>
              <w:t>0.610</w:t>
            </w:r>
          </w:p>
        </w:tc>
        <w:tc>
          <w:tcPr>
            <w:tcW w:w="1184"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3083A4B7" w14:textId="77777777">
            <w:pPr>
              <w:jc w:val="center"/>
              <w:rPr>
                <w:rFonts w:ascii="Arial Narrow" w:hAnsi="Arial Narrow"/>
                <w:sz w:val="18"/>
                <w:szCs w:val="18"/>
              </w:rPr>
            </w:pPr>
            <w:r>
              <w:rPr>
                <w:rFonts w:ascii="Arial Narrow" w:hAnsi="Arial Narrow" w:cs="Calibri"/>
                <w:color w:val="000000"/>
                <w:sz w:val="18"/>
                <w:szCs w:val="18"/>
              </w:rPr>
              <w:t>1.000</w:t>
            </w:r>
          </w:p>
        </w:tc>
        <w:tc>
          <w:tcPr>
            <w:tcW w:w="1227" w:type="dxa"/>
            <w:tcBorders>
              <w:top w:val="nil"/>
              <w:left w:val="nil"/>
              <w:bottom w:val="single" w:color="auto" w:sz="4" w:space="0"/>
              <w:right w:val="single" w:color="auto" w:sz="4" w:space="0"/>
            </w:tcBorders>
            <w:shd w:val="clear" w:color="auto" w:fill="auto"/>
            <w:noWrap/>
            <w:vAlign w:val="bottom"/>
            <w:hideMark/>
          </w:tcPr>
          <w:p w:rsidRPr="00E533BC" w:rsidR="006C3F6B" w:rsidP="00976777" w:rsidRDefault="006C3F6B" w14:paraId="4552C650" w14:textId="77777777">
            <w:pPr>
              <w:jc w:val="center"/>
              <w:rPr>
                <w:rFonts w:ascii="Arial Narrow" w:hAnsi="Arial Narrow"/>
                <w:sz w:val="18"/>
                <w:szCs w:val="18"/>
              </w:rPr>
            </w:pPr>
            <w:r>
              <w:rPr>
                <w:rFonts w:ascii="Arial Narrow" w:hAnsi="Arial Narrow" w:cs="Calibri"/>
                <w:color w:val="000000"/>
                <w:sz w:val="18"/>
                <w:szCs w:val="18"/>
              </w:rPr>
              <w:t>0.610</w:t>
            </w:r>
          </w:p>
        </w:tc>
      </w:tr>
      <w:tr w:rsidRPr="00843804" w:rsidR="006C3F6B" w:rsidTr="00976777" w14:paraId="4CFCD7D4"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006C3F6B" w:rsidP="00976777" w:rsidRDefault="006C3F6B" w14:paraId="68CE1073" w14:textId="77777777">
            <w:pPr>
              <w:rPr>
                <w:rFonts w:ascii="Arial Narrow" w:hAnsi="Arial Narrow"/>
                <w:sz w:val="18"/>
                <w:szCs w:val="18"/>
              </w:rPr>
            </w:pPr>
            <w:r>
              <w:rPr>
                <w:rFonts w:ascii="Arial Narrow" w:hAnsi="Arial Narrow" w:cs="Calibri"/>
                <w:color w:val="000000"/>
                <w:sz w:val="18"/>
                <w:szCs w:val="18"/>
              </w:rPr>
              <w:t>6. Sector</w:t>
            </w:r>
            <w:r w:rsidRPr="005F6753">
              <w:rPr>
                <w:rFonts w:ascii="Arial Narrow" w:hAnsi="Arial Narrow" w:cs="Calibri"/>
                <w:color w:val="000000"/>
                <w:sz w:val="18"/>
                <w:szCs w:val="18"/>
                <w:vertAlign w:val="superscript"/>
              </w:rPr>
              <w:t>5</w:t>
            </w:r>
          </w:p>
        </w:tc>
        <w:tc>
          <w:tcPr>
            <w:tcW w:w="1103" w:type="dxa"/>
            <w:tcBorders>
              <w:top w:val="nil"/>
              <w:left w:val="nil"/>
              <w:bottom w:val="single" w:color="auto" w:sz="4" w:space="0"/>
              <w:right w:val="single" w:color="auto" w:sz="4" w:space="0"/>
            </w:tcBorders>
            <w:shd w:val="clear" w:color="auto" w:fill="auto"/>
            <w:vAlign w:val="center"/>
          </w:tcPr>
          <w:p w:rsidRPr="009F03C9" w:rsidR="006C3F6B" w:rsidP="00976777" w:rsidRDefault="006C3F6B" w14:paraId="4459E910"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484EEA1F" w14:textId="77777777">
            <w:pPr>
              <w:jc w:val="center"/>
              <w:rPr>
                <w:rFonts w:ascii="Arial Narrow" w:hAnsi="Arial Narrow"/>
                <w:sz w:val="18"/>
                <w:szCs w:val="18"/>
              </w:rPr>
            </w:pPr>
            <w:r>
              <w:rPr>
                <w:rFonts w:ascii="Arial Narrow" w:hAnsi="Arial Narrow" w:cs="Calibri"/>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167882E7" w14:textId="77777777">
            <w:pPr>
              <w:jc w:val="center"/>
              <w:rPr>
                <w:rFonts w:ascii="Arial Narrow" w:hAnsi="Arial Narrow"/>
                <w:sz w:val="18"/>
                <w:szCs w:val="18"/>
              </w:rPr>
            </w:pPr>
            <w:r>
              <w:rPr>
                <w:rFonts w:ascii="Arial Narrow" w:hAnsi="Arial Narrow" w:cs="Calibri"/>
                <w:color w:val="000000"/>
                <w:sz w:val="18"/>
                <w:szCs w:val="18"/>
              </w:rPr>
              <w:t>-0.075</w:t>
            </w:r>
          </w:p>
        </w:tc>
        <w:tc>
          <w:tcPr>
            <w:tcW w:w="879"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28429104" w14:textId="77777777">
            <w:pPr>
              <w:jc w:val="center"/>
              <w:rPr>
                <w:rFonts w:ascii="Arial Narrow" w:hAnsi="Arial Narrow"/>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1CC209AB" w14:textId="77777777">
            <w:pPr>
              <w:jc w:val="center"/>
              <w:rPr>
                <w:rFonts w:ascii="Arial Narrow" w:hAnsi="Arial Narrow"/>
                <w:sz w:val="18"/>
                <w:szCs w:val="18"/>
              </w:rPr>
            </w:pPr>
            <w:r>
              <w:rPr>
                <w:rFonts w:ascii="Arial Narrow" w:hAnsi="Arial Narrow" w:cs="Calibri"/>
                <w:color w:val="000000"/>
                <w:sz w:val="18"/>
                <w:szCs w:val="18"/>
              </w:rPr>
              <w:t>-0.075</w:t>
            </w:r>
          </w:p>
        </w:tc>
        <w:tc>
          <w:tcPr>
            <w:tcW w:w="1184"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5AF995F9" w14:textId="77777777">
            <w:pPr>
              <w:jc w:val="center"/>
              <w:rPr>
                <w:rFonts w:ascii="Arial Narrow" w:hAnsi="Arial Narrow"/>
                <w:sz w:val="18"/>
                <w:szCs w:val="18"/>
              </w:rPr>
            </w:pPr>
            <w:r>
              <w:rPr>
                <w:rFonts w:ascii="Arial Narrow" w:hAnsi="Arial Narrow" w:cs="Calibri"/>
                <w:color w:val="000000"/>
                <w:sz w:val="18"/>
                <w:szCs w:val="18"/>
              </w:rPr>
              <w:t>0.7808</w:t>
            </w:r>
          </w:p>
        </w:tc>
        <w:tc>
          <w:tcPr>
            <w:tcW w:w="122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33FB5BC8" w14:textId="77777777">
            <w:pPr>
              <w:jc w:val="center"/>
              <w:rPr>
                <w:rFonts w:ascii="Arial Narrow" w:hAnsi="Arial Narrow"/>
                <w:sz w:val="18"/>
                <w:szCs w:val="18"/>
              </w:rPr>
            </w:pPr>
            <w:r>
              <w:rPr>
                <w:rFonts w:ascii="Arial Narrow" w:hAnsi="Arial Narrow" w:cs="Calibri"/>
                <w:color w:val="000000"/>
                <w:sz w:val="18"/>
                <w:szCs w:val="18"/>
              </w:rPr>
              <w:t>-0.059</w:t>
            </w:r>
          </w:p>
        </w:tc>
      </w:tr>
      <w:tr w:rsidRPr="00843804" w:rsidR="006C3F6B" w:rsidTr="00976777" w14:paraId="7071AE4D"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Pr="008B3A0C" w:rsidR="006C3F6B" w:rsidP="00976777" w:rsidRDefault="006C3F6B" w14:paraId="1AF0C77F" w14:textId="77777777">
            <w:pPr>
              <w:rPr>
                <w:rFonts w:ascii="Arial Narrow" w:hAnsi="Arial Narrow" w:cs="Calibri"/>
                <w:color w:val="000000"/>
                <w:sz w:val="18"/>
                <w:szCs w:val="18"/>
                <w:vertAlign w:val="superscript"/>
              </w:rPr>
            </w:pPr>
            <w:r>
              <w:rPr>
                <w:rFonts w:ascii="Arial Narrow" w:hAnsi="Arial Narrow" w:cs="Calibri"/>
                <w:color w:val="000000"/>
                <w:sz w:val="18"/>
                <w:szCs w:val="18"/>
              </w:rPr>
              <w:t xml:space="preserve">7.1. First Cycle </w:t>
            </w:r>
            <w:proofErr w:type="spellStart"/>
            <w:r>
              <w:rPr>
                <w:rFonts w:ascii="Arial Narrow" w:hAnsi="Arial Narrow" w:cs="Calibri"/>
                <w:color w:val="000000"/>
                <w:sz w:val="18"/>
                <w:szCs w:val="18"/>
              </w:rPr>
              <w:t>IIIA.c</w:t>
            </w:r>
            <w:proofErr w:type="spellEnd"/>
            <w:r>
              <w:rPr>
                <w:rFonts w:ascii="Arial Narrow" w:hAnsi="Arial Narrow" w:cs="Calibri"/>
                <w:color w:val="000000"/>
                <w:sz w:val="18"/>
                <w:szCs w:val="18"/>
              </w:rPr>
              <w:t xml:space="preserve"> Function Category (Industrial) - without OECD codes</w:t>
            </w:r>
            <w:r>
              <w:rPr>
                <w:rFonts w:ascii="Arial Narrow" w:hAnsi="Arial Narrow" w:cs="Calibri"/>
                <w:color w:val="000000"/>
                <w:sz w:val="18"/>
                <w:szCs w:val="18"/>
                <w:vertAlign w:val="superscript"/>
              </w:rPr>
              <w:t>5,6,7</w:t>
            </w:r>
          </w:p>
        </w:tc>
        <w:tc>
          <w:tcPr>
            <w:tcW w:w="1103" w:type="dxa"/>
            <w:tcBorders>
              <w:top w:val="nil"/>
              <w:left w:val="nil"/>
              <w:bottom w:val="single" w:color="auto" w:sz="4" w:space="0"/>
              <w:right w:val="single" w:color="auto" w:sz="4" w:space="0"/>
            </w:tcBorders>
            <w:shd w:val="clear" w:color="auto" w:fill="auto"/>
            <w:vAlign w:val="center"/>
          </w:tcPr>
          <w:p w:rsidR="006C3F6B" w:rsidP="00976777" w:rsidRDefault="006C3F6B" w14:paraId="222200B2"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006C3F6B" w:rsidP="00976777" w:rsidRDefault="006C3F6B" w14:paraId="0D8170ED"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center"/>
          </w:tcPr>
          <w:p w:rsidR="006C3F6B" w:rsidP="00976777" w:rsidRDefault="006C3F6B" w14:paraId="39D5F9C8" w14:textId="77777777">
            <w:pPr>
              <w:jc w:val="center"/>
              <w:rPr>
                <w:rFonts w:ascii="Arial Narrow" w:hAnsi="Arial Narrow" w:cs="Calibri"/>
                <w:color w:val="000000"/>
                <w:sz w:val="18"/>
                <w:szCs w:val="18"/>
              </w:rPr>
            </w:pPr>
            <w:r>
              <w:rPr>
                <w:rFonts w:ascii="Arial Narrow" w:hAnsi="Arial Narrow" w:cs="Calibri"/>
                <w:color w:val="000000"/>
                <w:sz w:val="18"/>
                <w:szCs w:val="18"/>
              </w:rPr>
              <w:t>-0.353</w:t>
            </w:r>
          </w:p>
        </w:tc>
        <w:tc>
          <w:tcPr>
            <w:tcW w:w="879" w:type="dxa"/>
            <w:tcBorders>
              <w:top w:val="nil"/>
              <w:left w:val="nil"/>
              <w:bottom w:val="single" w:color="auto" w:sz="4" w:space="0"/>
              <w:right w:val="single" w:color="auto" w:sz="4" w:space="0"/>
            </w:tcBorders>
            <w:shd w:val="clear" w:color="auto" w:fill="auto"/>
            <w:noWrap/>
            <w:vAlign w:val="center"/>
          </w:tcPr>
          <w:p w:rsidR="006C3F6B" w:rsidP="00976777" w:rsidRDefault="006C3F6B" w14:paraId="60DC44A5"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006C3F6B" w:rsidP="00976777" w:rsidRDefault="006C3F6B" w14:paraId="7D4269B8" w14:textId="77777777">
            <w:pPr>
              <w:jc w:val="center"/>
              <w:rPr>
                <w:rFonts w:ascii="Arial Narrow" w:hAnsi="Arial Narrow" w:cs="Calibri"/>
                <w:color w:val="000000"/>
                <w:sz w:val="18"/>
                <w:szCs w:val="18"/>
              </w:rPr>
            </w:pPr>
            <w:r>
              <w:rPr>
                <w:rFonts w:ascii="Arial Narrow" w:hAnsi="Arial Narrow" w:cs="Calibri"/>
                <w:color w:val="000000"/>
                <w:sz w:val="18"/>
                <w:szCs w:val="18"/>
              </w:rPr>
              <w:t>-0.353</w:t>
            </w:r>
          </w:p>
        </w:tc>
        <w:tc>
          <w:tcPr>
            <w:tcW w:w="1184" w:type="dxa"/>
            <w:tcBorders>
              <w:top w:val="nil"/>
              <w:left w:val="nil"/>
              <w:bottom w:val="single" w:color="auto" w:sz="4" w:space="0"/>
              <w:right w:val="single" w:color="auto" w:sz="4" w:space="0"/>
            </w:tcBorders>
            <w:shd w:val="clear" w:color="auto" w:fill="auto"/>
            <w:noWrap/>
            <w:vAlign w:val="center"/>
          </w:tcPr>
          <w:p w:rsidR="006C3F6B" w:rsidP="00976777" w:rsidRDefault="006C3F6B" w14:paraId="77DEBABE" w14:textId="77777777">
            <w:pPr>
              <w:jc w:val="center"/>
              <w:rPr>
                <w:rFonts w:ascii="Arial Narrow" w:hAnsi="Arial Narrow" w:cs="Calibri"/>
                <w:color w:val="000000"/>
                <w:sz w:val="18"/>
                <w:szCs w:val="18"/>
              </w:rPr>
            </w:pPr>
            <w:r>
              <w:rPr>
                <w:rFonts w:ascii="Arial Narrow" w:hAnsi="Arial Narrow" w:cs="Calibri"/>
                <w:color w:val="000000"/>
                <w:sz w:val="18"/>
                <w:szCs w:val="18"/>
              </w:rPr>
              <w:t>0.7027</w:t>
            </w:r>
          </w:p>
        </w:tc>
        <w:tc>
          <w:tcPr>
            <w:tcW w:w="1227" w:type="dxa"/>
            <w:tcBorders>
              <w:top w:val="nil"/>
              <w:left w:val="nil"/>
              <w:bottom w:val="single" w:color="auto" w:sz="4" w:space="0"/>
              <w:right w:val="single" w:color="auto" w:sz="4" w:space="0"/>
            </w:tcBorders>
            <w:shd w:val="clear" w:color="auto" w:fill="auto"/>
            <w:noWrap/>
            <w:vAlign w:val="center"/>
          </w:tcPr>
          <w:p w:rsidR="006C3F6B" w:rsidP="00976777" w:rsidRDefault="006C3F6B" w14:paraId="36AEF174" w14:textId="77777777">
            <w:pPr>
              <w:jc w:val="center"/>
              <w:rPr>
                <w:rFonts w:ascii="Arial Narrow" w:hAnsi="Arial Narrow" w:cs="Calibri"/>
                <w:color w:val="000000"/>
                <w:sz w:val="18"/>
                <w:szCs w:val="18"/>
              </w:rPr>
            </w:pPr>
            <w:r>
              <w:rPr>
                <w:rFonts w:ascii="Arial Narrow" w:hAnsi="Arial Narrow" w:cs="Calibri"/>
                <w:color w:val="000000"/>
                <w:sz w:val="18"/>
                <w:szCs w:val="18"/>
              </w:rPr>
              <w:t>-0.248</w:t>
            </w:r>
          </w:p>
        </w:tc>
      </w:tr>
      <w:tr w:rsidRPr="00843804" w:rsidR="006C3F6B" w:rsidTr="00976777" w14:paraId="1F883F94"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Pr="008B3A0C" w:rsidR="006C3F6B" w:rsidP="00976777" w:rsidRDefault="006C3F6B" w14:paraId="5438C4E5" w14:textId="77777777">
            <w:pPr>
              <w:rPr>
                <w:rFonts w:ascii="Arial Narrow" w:hAnsi="Arial Narrow" w:cs="Calibri"/>
                <w:color w:val="000000"/>
                <w:sz w:val="18"/>
                <w:szCs w:val="18"/>
                <w:vertAlign w:val="superscript"/>
              </w:rPr>
            </w:pPr>
            <w:r>
              <w:rPr>
                <w:rFonts w:ascii="Arial Narrow" w:hAnsi="Arial Narrow" w:cs="Calibri"/>
                <w:color w:val="000000"/>
                <w:sz w:val="18"/>
                <w:szCs w:val="18"/>
              </w:rPr>
              <w:t xml:space="preserve">7.2. First Cycle </w:t>
            </w:r>
            <w:proofErr w:type="spellStart"/>
            <w:r>
              <w:rPr>
                <w:rFonts w:ascii="Arial Narrow" w:hAnsi="Arial Narrow" w:cs="Calibri"/>
                <w:color w:val="000000"/>
                <w:sz w:val="18"/>
                <w:szCs w:val="18"/>
              </w:rPr>
              <w:t>IIIA.c</w:t>
            </w:r>
            <w:proofErr w:type="spellEnd"/>
            <w:r>
              <w:rPr>
                <w:rFonts w:ascii="Arial Narrow" w:hAnsi="Arial Narrow" w:cs="Calibri"/>
                <w:color w:val="000000"/>
                <w:sz w:val="18"/>
                <w:szCs w:val="18"/>
              </w:rPr>
              <w:t xml:space="preserve"> Function Category (Industrial) - with OECD codes and no intelligent sorting</w:t>
            </w:r>
            <w:r>
              <w:rPr>
                <w:rFonts w:ascii="Arial Narrow" w:hAnsi="Arial Narrow" w:cs="Calibri"/>
                <w:color w:val="000000"/>
                <w:sz w:val="18"/>
                <w:szCs w:val="18"/>
                <w:vertAlign w:val="superscript"/>
              </w:rPr>
              <w:t>5,6,7</w:t>
            </w:r>
          </w:p>
        </w:tc>
        <w:tc>
          <w:tcPr>
            <w:tcW w:w="1103" w:type="dxa"/>
            <w:tcBorders>
              <w:top w:val="nil"/>
              <w:left w:val="nil"/>
              <w:bottom w:val="single" w:color="auto" w:sz="4" w:space="0"/>
              <w:right w:val="single" w:color="auto" w:sz="4" w:space="0"/>
            </w:tcBorders>
            <w:shd w:val="clear" w:color="auto" w:fill="auto"/>
            <w:vAlign w:val="center"/>
          </w:tcPr>
          <w:p w:rsidR="006C3F6B" w:rsidP="00976777" w:rsidRDefault="006C3F6B" w14:paraId="20E66806"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006C3F6B" w:rsidP="00976777" w:rsidRDefault="006C3F6B" w14:paraId="4231780F"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center"/>
          </w:tcPr>
          <w:p w:rsidR="006C3F6B" w:rsidP="00976777" w:rsidRDefault="006C3F6B" w14:paraId="7ED7B508" w14:textId="77777777">
            <w:pPr>
              <w:jc w:val="center"/>
              <w:rPr>
                <w:rFonts w:ascii="Arial Narrow" w:hAnsi="Arial Narrow" w:cs="Calibri"/>
                <w:color w:val="000000"/>
                <w:sz w:val="18"/>
                <w:szCs w:val="18"/>
              </w:rPr>
            </w:pPr>
            <w:r>
              <w:rPr>
                <w:rFonts w:ascii="Arial Narrow" w:hAnsi="Arial Narrow" w:cs="Calibri"/>
                <w:color w:val="000000"/>
                <w:sz w:val="18"/>
                <w:szCs w:val="18"/>
              </w:rPr>
              <w:t>0.153</w:t>
            </w:r>
          </w:p>
        </w:tc>
        <w:tc>
          <w:tcPr>
            <w:tcW w:w="879" w:type="dxa"/>
            <w:tcBorders>
              <w:top w:val="nil"/>
              <w:left w:val="nil"/>
              <w:bottom w:val="single" w:color="auto" w:sz="4" w:space="0"/>
              <w:right w:val="single" w:color="auto" w:sz="4" w:space="0"/>
            </w:tcBorders>
            <w:shd w:val="clear" w:color="auto" w:fill="auto"/>
            <w:noWrap/>
            <w:vAlign w:val="center"/>
          </w:tcPr>
          <w:p w:rsidR="006C3F6B" w:rsidP="00976777" w:rsidRDefault="006C3F6B" w14:paraId="3448EF17"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006C3F6B" w:rsidP="00976777" w:rsidRDefault="006C3F6B" w14:paraId="6D091082" w14:textId="77777777">
            <w:pPr>
              <w:jc w:val="center"/>
              <w:rPr>
                <w:rFonts w:ascii="Arial Narrow" w:hAnsi="Arial Narrow" w:cs="Calibri"/>
                <w:color w:val="000000"/>
                <w:sz w:val="18"/>
                <w:szCs w:val="18"/>
              </w:rPr>
            </w:pPr>
            <w:r>
              <w:rPr>
                <w:rFonts w:ascii="Arial Narrow" w:hAnsi="Arial Narrow" w:cs="Calibri"/>
                <w:color w:val="000000"/>
                <w:sz w:val="18"/>
                <w:szCs w:val="18"/>
              </w:rPr>
              <w:t>0.153</w:t>
            </w:r>
          </w:p>
        </w:tc>
        <w:tc>
          <w:tcPr>
            <w:tcW w:w="1184" w:type="dxa"/>
            <w:tcBorders>
              <w:top w:val="nil"/>
              <w:left w:val="nil"/>
              <w:bottom w:val="single" w:color="auto" w:sz="4" w:space="0"/>
              <w:right w:val="single" w:color="auto" w:sz="4" w:space="0"/>
            </w:tcBorders>
            <w:shd w:val="clear" w:color="auto" w:fill="auto"/>
            <w:noWrap/>
            <w:vAlign w:val="center"/>
          </w:tcPr>
          <w:p w:rsidR="006C3F6B" w:rsidP="00976777" w:rsidRDefault="006C3F6B" w14:paraId="0FCB2C30" w14:textId="77777777">
            <w:pPr>
              <w:jc w:val="center"/>
              <w:rPr>
                <w:rFonts w:ascii="Arial Narrow" w:hAnsi="Arial Narrow" w:cs="Calibri"/>
                <w:color w:val="000000"/>
                <w:sz w:val="18"/>
                <w:szCs w:val="18"/>
              </w:rPr>
            </w:pPr>
            <w:r>
              <w:rPr>
                <w:rFonts w:ascii="Arial Narrow" w:hAnsi="Arial Narrow" w:cs="Calibri"/>
                <w:color w:val="000000"/>
                <w:sz w:val="18"/>
                <w:szCs w:val="18"/>
              </w:rPr>
              <w:t>0.0781</w:t>
            </w:r>
          </w:p>
        </w:tc>
        <w:tc>
          <w:tcPr>
            <w:tcW w:w="1227" w:type="dxa"/>
            <w:tcBorders>
              <w:top w:val="nil"/>
              <w:left w:val="nil"/>
              <w:bottom w:val="single" w:color="auto" w:sz="4" w:space="0"/>
              <w:right w:val="single" w:color="auto" w:sz="4" w:space="0"/>
            </w:tcBorders>
            <w:shd w:val="clear" w:color="auto" w:fill="auto"/>
            <w:noWrap/>
            <w:vAlign w:val="center"/>
          </w:tcPr>
          <w:p w:rsidR="006C3F6B" w:rsidP="00976777" w:rsidRDefault="006C3F6B" w14:paraId="006AE2B7" w14:textId="77777777">
            <w:pPr>
              <w:jc w:val="center"/>
              <w:rPr>
                <w:rFonts w:ascii="Arial Narrow" w:hAnsi="Arial Narrow" w:cs="Calibri"/>
                <w:color w:val="000000"/>
                <w:sz w:val="18"/>
                <w:szCs w:val="18"/>
              </w:rPr>
            </w:pPr>
            <w:r>
              <w:rPr>
                <w:rFonts w:ascii="Arial Narrow" w:hAnsi="Arial Narrow" w:cs="Calibri"/>
                <w:color w:val="000000"/>
                <w:sz w:val="18"/>
                <w:szCs w:val="18"/>
              </w:rPr>
              <w:t>0.012</w:t>
            </w:r>
          </w:p>
        </w:tc>
      </w:tr>
      <w:tr w:rsidRPr="00843804" w:rsidR="006C3F6B" w:rsidTr="00976777" w14:paraId="2FF5065E"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006C3F6B" w:rsidP="00976777" w:rsidRDefault="006C3F6B" w14:paraId="48FBD3FA" w14:textId="77777777">
            <w:pPr>
              <w:rPr>
                <w:rFonts w:ascii="Arial Narrow" w:hAnsi="Arial Narrow"/>
                <w:sz w:val="18"/>
                <w:szCs w:val="18"/>
              </w:rPr>
            </w:pPr>
            <w:r>
              <w:rPr>
                <w:rFonts w:ascii="Arial Narrow" w:hAnsi="Arial Narrow" w:cs="Calibri"/>
                <w:color w:val="000000"/>
                <w:sz w:val="18"/>
                <w:szCs w:val="18"/>
              </w:rPr>
              <w:t xml:space="preserve">7.3. Second and Future Cycle </w:t>
            </w:r>
            <w:proofErr w:type="spellStart"/>
            <w:r>
              <w:rPr>
                <w:rFonts w:ascii="Arial Narrow" w:hAnsi="Arial Narrow" w:cs="Calibri"/>
                <w:color w:val="000000"/>
                <w:sz w:val="18"/>
                <w:szCs w:val="18"/>
              </w:rPr>
              <w:t>IIIA.c</w:t>
            </w:r>
            <w:proofErr w:type="spellEnd"/>
            <w:r>
              <w:rPr>
                <w:rFonts w:ascii="Arial Narrow" w:hAnsi="Arial Narrow" w:cs="Calibri"/>
                <w:color w:val="000000"/>
                <w:sz w:val="18"/>
                <w:szCs w:val="18"/>
              </w:rPr>
              <w:t xml:space="preserve"> Function Category (Industrial)</w:t>
            </w:r>
            <w:r>
              <w:rPr>
                <w:rFonts w:ascii="Arial Narrow" w:hAnsi="Arial Narrow" w:cs="Calibri"/>
                <w:color w:val="000000"/>
                <w:sz w:val="18"/>
                <w:szCs w:val="18"/>
                <w:vertAlign w:val="superscript"/>
              </w:rPr>
              <w:t>5,6,7</w:t>
            </w:r>
          </w:p>
        </w:tc>
        <w:tc>
          <w:tcPr>
            <w:tcW w:w="1103" w:type="dxa"/>
            <w:tcBorders>
              <w:top w:val="nil"/>
              <w:left w:val="nil"/>
              <w:bottom w:val="single" w:color="auto" w:sz="4" w:space="0"/>
              <w:right w:val="single" w:color="auto" w:sz="4" w:space="0"/>
            </w:tcBorders>
            <w:shd w:val="clear" w:color="auto" w:fill="auto"/>
            <w:vAlign w:val="center"/>
          </w:tcPr>
          <w:p w:rsidRPr="009F03C9" w:rsidR="006C3F6B" w:rsidP="00976777" w:rsidRDefault="006C3F6B" w14:paraId="0000008B"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1B2180B5" w14:textId="77777777">
            <w:pPr>
              <w:jc w:val="center"/>
              <w:rPr>
                <w:rFonts w:ascii="Arial Narrow" w:hAnsi="Arial Narrow"/>
                <w:sz w:val="18"/>
                <w:szCs w:val="18"/>
              </w:rPr>
            </w:pPr>
            <w:r>
              <w:rPr>
                <w:rFonts w:ascii="Arial Narrow" w:hAnsi="Arial Narrow" w:cs="Calibri"/>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6F5359AC" w14:textId="77777777">
            <w:pPr>
              <w:jc w:val="center"/>
              <w:rPr>
                <w:rFonts w:ascii="Arial Narrow" w:hAnsi="Arial Narrow"/>
                <w:sz w:val="18"/>
                <w:szCs w:val="18"/>
              </w:rPr>
            </w:pPr>
            <w:r>
              <w:rPr>
                <w:rFonts w:ascii="Arial Narrow" w:hAnsi="Arial Narrow" w:cs="Calibri"/>
                <w:color w:val="000000"/>
                <w:sz w:val="18"/>
                <w:szCs w:val="18"/>
              </w:rPr>
              <w:t>-0.319</w:t>
            </w:r>
          </w:p>
        </w:tc>
        <w:tc>
          <w:tcPr>
            <w:tcW w:w="879"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6BA412C5" w14:textId="77777777">
            <w:pPr>
              <w:jc w:val="center"/>
              <w:rPr>
                <w:rFonts w:ascii="Arial Narrow" w:hAnsi="Arial Narrow"/>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1070F001" w14:textId="77777777">
            <w:pPr>
              <w:jc w:val="center"/>
              <w:rPr>
                <w:rFonts w:ascii="Arial Narrow" w:hAnsi="Arial Narrow"/>
                <w:sz w:val="18"/>
                <w:szCs w:val="18"/>
              </w:rPr>
            </w:pPr>
            <w:r>
              <w:rPr>
                <w:rFonts w:ascii="Arial Narrow" w:hAnsi="Arial Narrow" w:cs="Calibri"/>
                <w:color w:val="000000"/>
                <w:sz w:val="18"/>
                <w:szCs w:val="18"/>
              </w:rPr>
              <w:t>-0.319</w:t>
            </w:r>
          </w:p>
        </w:tc>
        <w:tc>
          <w:tcPr>
            <w:tcW w:w="1184"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57B40125" w14:textId="77777777">
            <w:pPr>
              <w:jc w:val="center"/>
              <w:rPr>
                <w:rFonts w:ascii="Arial Narrow" w:hAnsi="Arial Narrow"/>
                <w:sz w:val="18"/>
                <w:szCs w:val="18"/>
              </w:rPr>
            </w:pPr>
            <w:r>
              <w:rPr>
                <w:rFonts w:ascii="Arial Narrow" w:hAnsi="Arial Narrow" w:cs="Calibri"/>
                <w:color w:val="000000"/>
                <w:sz w:val="18"/>
                <w:szCs w:val="18"/>
              </w:rPr>
              <w:t>0.7808</w:t>
            </w:r>
          </w:p>
        </w:tc>
        <w:tc>
          <w:tcPr>
            <w:tcW w:w="122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2F9CDDC8" w14:textId="77777777">
            <w:pPr>
              <w:jc w:val="center"/>
              <w:rPr>
                <w:rFonts w:ascii="Arial Narrow" w:hAnsi="Arial Narrow"/>
                <w:sz w:val="18"/>
                <w:szCs w:val="18"/>
              </w:rPr>
            </w:pPr>
            <w:r>
              <w:rPr>
                <w:rFonts w:ascii="Arial Narrow" w:hAnsi="Arial Narrow" w:cs="Calibri"/>
                <w:color w:val="000000"/>
                <w:sz w:val="18"/>
                <w:szCs w:val="18"/>
              </w:rPr>
              <w:t>-0.249</w:t>
            </w:r>
          </w:p>
        </w:tc>
      </w:tr>
      <w:tr w:rsidRPr="00843804" w:rsidR="006C3F6B" w:rsidTr="00976777" w14:paraId="34C8DB54"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006C3F6B" w:rsidP="00976777" w:rsidRDefault="006C3F6B" w14:paraId="66020D47" w14:textId="77777777">
            <w:pPr>
              <w:rPr>
                <w:rFonts w:ascii="Arial Narrow" w:hAnsi="Arial Narrow"/>
                <w:sz w:val="18"/>
                <w:szCs w:val="18"/>
              </w:rPr>
            </w:pPr>
            <w:r>
              <w:rPr>
                <w:rFonts w:ascii="Arial Narrow" w:hAnsi="Arial Narrow" w:cs="Calibri"/>
                <w:color w:val="000000"/>
                <w:sz w:val="18"/>
                <w:szCs w:val="18"/>
              </w:rPr>
              <w:t>8. Product Category</w:t>
            </w:r>
            <w:r w:rsidRPr="002D1E28">
              <w:rPr>
                <w:rFonts w:ascii="Arial Narrow" w:hAnsi="Arial Narrow" w:cs="Calibri"/>
                <w:color w:val="000000"/>
                <w:sz w:val="18"/>
                <w:szCs w:val="18"/>
                <w:vertAlign w:val="superscript"/>
              </w:rPr>
              <w:t>5</w:t>
            </w:r>
          </w:p>
        </w:tc>
        <w:tc>
          <w:tcPr>
            <w:tcW w:w="1103" w:type="dxa"/>
            <w:tcBorders>
              <w:top w:val="nil"/>
              <w:left w:val="nil"/>
              <w:bottom w:val="single" w:color="auto" w:sz="4" w:space="0"/>
              <w:right w:val="single" w:color="auto" w:sz="4" w:space="0"/>
            </w:tcBorders>
            <w:shd w:val="clear" w:color="auto" w:fill="auto"/>
            <w:vAlign w:val="center"/>
          </w:tcPr>
          <w:p w:rsidRPr="009F03C9" w:rsidR="006C3F6B" w:rsidP="00976777" w:rsidRDefault="006C3F6B" w14:paraId="77C4416B"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3F0EA3E7" w14:textId="77777777">
            <w:pPr>
              <w:jc w:val="center"/>
              <w:rPr>
                <w:rFonts w:ascii="Arial Narrow" w:hAnsi="Arial Narrow"/>
                <w:sz w:val="18"/>
                <w:szCs w:val="18"/>
              </w:rPr>
            </w:pPr>
            <w:r>
              <w:rPr>
                <w:rFonts w:ascii="Arial Narrow" w:hAnsi="Arial Narrow" w:cs="Calibri"/>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2FB29C7A" w14:textId="77777777">
            <w:pPr>
              <w:jc w:val="center"/>
              <w:rPr>
                <w:rFonts w:ascii="Arial Narrow" w:hAnsi="Arial Narrow"/>
                <w:sz w:val="18"/>
                <w:szCs w:val="18"/>
              </w:rPr>
            </w:pPr>
            <w:r>
              <w:rPr>
                <w:rFonts w:ascii="Arial Narrow" w:hAnsi="Arial Narrow" w:cs="Calibri"/>
                <w:color w:val="000000"/>
                <w:sz w:val="18"/>
                <w:szCs w:val="18"/>
              </w:rPr>
              <w:t>-0.067</w:t>
            </w:r>
          </w:p>
        </w:tc>
        <w:tc>
          <w:tcPr>
            <w:tcW w:w="879"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7229B9B4" w14:textId="77777777">
            <w:pPr>
              <w:jc w:val="center"/>
              <w:rPr>
                <w:rFonts w:ascii="Arial Narrow" w:hAnsi="Arial Narrow"/>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45C60FDF" w14:textId="77777777">
            <w:pPr>
              <w:jc w:val="center"/>
              <w:rPr>
                <w:rFonts w:ascii="Arial Narrow" w:hAnsi="Arial Narrow"/>
                <w:sz w:val="18"/>
                <w:szCs w:val="18"/>
              </w:rPr>
            </w:pPr>
            <w:r>
              <w:rPr>
                <w:rFonts w:ascii="Arial Narrow" w:hAnsi="Arial Narrow" w:cs="Calibri"/>
                <w:color w:val="000000"/>
                <w:sz w:val="18"/>
                <w:szCs w:val="18"/>
              </w:rPr>
              <w:t>-0.067</w:t>
            </w:r>
          </w:p>
        </w:tc>
        <w:tc>
          <w:tcPr>
            <w:tcW w:w="1184"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5A5BC3FD" w14:textId="77777777">
            <w:pPr>
              <w:jc w:val="center"/>
              <w:rPr>
                <w:rFonts w:ascii="Arial Narrow" w:hAnsi="Arial Narrow"/>
                <w:sz w:val="18"/>
                <w:szCs w:val="18"/>
              </w:rPr>
            </w:pPr>
            <w:r>
              <w:rPr>
                <w:rFonts w:ascii="Arial Narrow" w:hAnsi="Arial Narrow" w:cs="Calibri"/>
                <w:color w:val="000000"/>
                <w:sz w:val="18"/>
                <w:szCs w:val="18"/>
              </w:rPr>
              <w:t>0.7808</w:t>
            </w:r>
          </w:p>
        </w:tc>
        <w:tc>
          <w:tcPr>
            <w:tcW w:w="1227" w:type="dxa"/>
            <w:tcBorders>
              <w:top w:val="nil"/>
              <w:left w:val="nil"/>
              <w:bottom w:val="single" w:color="auto" w:sz="4" w:space="0"/>
              <w:right w:val="single" w:color="auto" w:sz="4" w:space="0"/>
            </w:tcBorders>
            <w:shd w:val="clear" w:color="auto" w:fill="auto"/>
            <w:noWrap/>
            <w:vAlign w:val="bottom"/>
          </w:tcPr>
          <w:p w:rsidRPr="00E533BC" w:rsidR="006C3F6B" w:rsidP="00976777" w:rsidRDefault="006C3F6B" w14:paraId="0D7AA2EB" w14:textId="77777777">
            <w:pPr>
              <w:jc w:val="center"/>
              <w:rPr>
                <w:rFonts w:ascii="Arial Narrow" w:hAnsi="Arial Narrow"/>
                <w:sz w:val="18"/>
                <w:szCs w:val="18"/>
              </w:rPr>
            </w:pPr>
            <w:r>
              <w:rPr>
                <w:rFonts w:ascii="Arial Narrow" w:hAnsi="Arial Narrow" w:cs="Calibri"/>
                <w:color w:val="000000"/>
                <w:sz w:val="18"/>
                <w:szCs w:val="18"/>
              </w:rPr>
              <w:t>-0.052</w:t>
            </w:r>
          </w:p>
        </w:tc>
      </w:tr>
      <w:tr w:rsidRPr="00843804" w:rsidR="006C3F6B" w:rsidTr="00976777" w14:paraId="10EA1031"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Pr="008B3A0C" w:rsidR="006C3F6B" w:rsidP="00976777" w:rsidRDefault="006C3F6B" w14:paraId="1892E3B5" w14:textId="77777777">
            <w:pPr>
              <w:rPr>
                <w:rFonts w:ascii="Arial Narrow" w:hAnsi="Arial Narrow" w:cs="Calibri"/>
                <w:color w:val="000000"/>
                <w:sz w:val="18"/>
                <w:szCs w:val="18"/>
                <w:vertAlign w:val="superscript"/>
              </w:rPr>
            </w:pPr>
            <w:r>
              <w:rPr>
                <w:rFonts w:ascii="Arial Narrow" w:hAnsi="Arial Narrow" w:cs="Calibri"/>
                <w:color w:val="000000"/>
                <w:sz w:val="18"/>
                <w:szCs w:val="18"/>
              </w:rPr>
              <w:t xml:space="preserve">9.1. First Cycle </w:t>
            </w:r>
            <w:proofErr w:type="spellStart"/>
            <w:r>
              <w:rPr>
                <w:rFonts w:ascii="Arial Narrow" w:hAnsi="Arial Narrow" w:cs="Calibri"/>
                <w:color w:val="000000"/>
                <w:sz w:val="18"/>
                <w:szCs w:val="18"/>
              </w:rPr>
              <w:t>IIIB.g</w:t>
            </w:r>
            <w:proofErr w:type="spellEnd"/>
            <w:r>
              <w:rPr>
                <w:rFonts w:ascii="Arial Narrow" w:hAnsi="Arial Narrow" w:cs="Calibri"/>
                <w:color w:val="000000"/>
                <w:sz w:val="18"/>
                <w:szCs w:val="18"/>
              </w:rPr>
              <w:t xml:space="preserve"> Function Category (Consumer and Commercial) - without OECD codes</w:t>
            </w:r>
            <w:r>
              <w:rPr>
                <w:rFonts w:ascii="Arial Narrow" w:hAnsi="Arial Narrow" w:cs="Calibri"/>
                <w:color w:val="000000"/>
                <w:sz w:val="18"/>
                <w:szCs w:val="18"/>
                <w:vertAlign w:val="superscript"/>
              </w:rPr>
              <w:t>5</w:t>
            </w:r>
          </w:p>
        </w:tc>
        <w:tc>
          <w:tcPr>
            <w:tcW w:w="1103" w:type="dxa"/>
            <w:tcBorders>
              <w:top w:val="nil"/>
              <w:left w:val="nil"/>
              <w:bottom w:val="single" w:color="auto" w:sz="4" w:space="0"/>
              <w:right w:val="single" w:color="auto" w:sz="4" w:space="0"/>
            </w:tcBorders>
            <w:shd w:val="clear" w:color="auto" w:fill="auto"/>
            <w:vAlign w:val="center"/>
          </w:tcPr>
          <w:p w:rsidR="006C3F6B" w:rsidP="00976777" w:rsidRDefault="006C3F6B" w14:paraId="56366773"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006C3F6B" w:rsidP="00976777" w:rsidRDefault="006C3F6B" w14:paraId="002B98AC" w14:textId="77777777">
            <w:pPr>
              <w:jc w:val="center"/>
              <w:rPr>
                <w:rFonts w:ascii="Arial Narrow" w:hAnsi="Arial Narrow" w:cs="Calibri"/>
                <w:color w:val="000000"/>
                <w:sz w:val="18"/>
                <w:szCs w:val="18"/>
              </w:rPr>
            </w:pPr>
            <w:r>
              <w:rPr>
                <w:rFonts w:ascii="Arial Narrow" w:hAnsi="Arial Narrow" w:cs="Calibri"/>
                <w:color w:val="000000"/>
                <w:sz w:val="18"/>
                <w:szCs w:val="18"/>
              </w:rPr>
              <w:t>1.650</w:t>
            </w:r>
          </w:p>
        </w:tc>
        <w:tc>
          <w:tcPr>
            <w:tcW w:w="847" w:type="dxa"/>
            <w:tcBorders>
              <w:top w:val="nil"/>
              <w:left w:val="nil"/>
              <w:bottom w:val="single" w:color="auto" w:sz="4" w:space="0"/>
              <w:right w:val="single" w:color="auto" w:sz="4" w:space="0"/>
            </w:tcBorders>
            <w:shd w:val="clear" w:color="auto" w:fill="auto"/>
            <w:noWrap/>
            <w:vAlign w:val="center"/>
          </w:tcPr>
          <w:p w:rsidR="006C3F6B" w:rsidP="00976777" w:rsidRDefault="006C3F6B" w14:paraId="238CB58F" w14:textId="77777777">
            <w:pPr>
              <w:jc w:val="center"/>
              <w:rPr>
                <w:rFonts w:ascii="Arial Narrow" w:hAnsi="Arial Narrow" w:cs="Calibri"/>
                <w:color w:val="000000"/>
                <w:sz w:val="18"/>
                <w:szCs w:val="18"/>
              </w:rPr>
            </w:pPr>
            <w:r>
              <w:rPr>
                <w:rFonts w:ascii="Arial Narrow" w:hAnsi="Arial Narrow" w:cs="Calibri"/>
                <w:color w:val="000000"/>
                <w:sz w:val="18"/>
                <w:szCs w:val="18"/>
              </w:rPr>
              <w:t>3.177</w:t>
            </w:r>
          </w:p>
        </w:tc>
        <w:tc>
          <w:tcPr>
            <w:tcW w:w="879" w:type="dxa"/>
            <w:tcBorders>
              <w:top w:val="nil"/>
              <w:left w:val="nil"/>
              <w:bottom w:val="single" w:color="auto" w:sz="4" w:space="0"/>
              <w:right w:val="single" w:color="auto" w:sz="4" w:space="0"/>
            </w:tcBorders>
            <w:shd w:val="clear" w:color="auto" w:fill="auto"/>
            <w:noWrap/>
            <w:vAlign w:val="center"/>
          </w:tcPr>
          <w:p w:rsidR="006C3F6B" w:rsidP="00976777" w:rsidRDefault="006C3F6B" w14:paraId="681DF5D5"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006C3F6B" w:rsidP="00976777" w:rsidRDefault="006C3F6B" w14:paraId="606CCE29" w14:textId="77777777">
            <w:pPr>
              <w:jc w:val="center"/>
              <w:rPr>
                <w:rFonts w:ascii="Arial Narrow" w:hAnsi="Arial Narrow" w:cs="Calibri"/>
                <w:color w:val="000000"/>
                <w:sz w:val="18"/>
                <w:szCs w:val="18"/>
              </w:rPr>
            </w:pPr>
            <w:r>
              <w:rPr>
                <w:rFonts w:ascii="Arial Narrow" w:hAnsi="Arial Narrow" w:cs="Calibri"/>
                <w:color w:val="000000"/>
                <w:sz w:val="18"/>
                <w:szCs w:val="18"/>
              </w:rPr>
              <w:t>4.827</w:t>
            </w:r>
          </w:p>
        </w:tc>
        <w:tc>
          <w:tcPr>
            <w:tcW w:w="1184" w:type="dxa"/>
            <w:tcBorders>
              <w:top w:val="nil"/>
              <w:left w:val="nil"/>
              <w:bottom w:val="single" w:color="auto" w:sz="4" w:space="0"/>
              <w:right w:val="single" w:color="auto" w:sz="4" w:space="0"/>
            </w:tcBorders>
            <w:shd w:val="clear" w:color="auto" w:fill="auto"/>
            <w:noWrap/>
            <w:vAlign w:val="center"/>
          </w:tcPr>
          <w:p w:rsidR="006C3F6B" w:rsidP="00976777" w:rsidRDefault="006C3F6B" w14:paraId="492DD64F" w14:textId="77777777">
            <w:pPr>
              <w:jc w:val="center"/>
              <w:rPr>
                <w:rFonts w:ascii="Arial Narrow" w:hAnsi="Arial Narrow" w:cs="Calibri"/>
                <w:color w:val="000000"/>
                <w:sz w:val="18"/>
                <w:szCs w:val="18"/>
              </w:rPr>
            </w:pPr>
            <w:r>
              <w:rPr>
                <w:rFonts w:ascii="Arial Narrow" w:hAnsi="Arial Narrow" w:cs="Calibri"/>
                <w:color w:val="000000"/>
                <w:sz w:val="18"/>
                <w:szCs w:val="18"/>
              </w:rPr>
              <w:t>0.7027</w:t>
            </w:r>
          </w:p>
        </w:tc>
        <w:tc>
          <w:tcPr>
            <w:tcW w:w="1227" w:type="dxa"/>
            <w:tcBorders>
              <w:top w:val="nil"/>
              <w:left w:val="nil"/>
              <w:bottom w:val="single" w:color="auto" w:sz="4" w:space="0"/>
              <w:right w:val="single" w:color="auto" w:sz="4" w:space="0"/>
            </w:tcBorders>
            <w:shd w:val="clear" w:color="auto" w:fill="auto"/>
            <w:noWrap/>
            <w:vAlign w:val="center"/>
          </w:tcPr>
          <w:p w:rsidR="006C3F6B" w:rsidP="00976777" w:rsidRDefault="006C3F6B" w14:paraId="7E835F40" w14:textId="77777777">
            <w:pPr>
              <w:jc w:val="center"/>
              <w:rPr>
                <w:rFonts w:ascii="Arial Narrow" w:hAnsi="Arial Narrow" w:cs="Calibri"/>
                <w:color w:val="000000"/>
                <w:sz w:val="18"/>
                <w:szCs w:val="18"/>
              </w:rPr>
            </w:pPr>
            <w:r>
              <w:rPr>
                <w:rFonts w:ascii="Arial Narrow" w:hAnsi="Arial Narrow" w:cs="Calibri"/>
                <w:color w:val="000000"/>
                <w:sz w:val="18"/>
                <w:szCs w:val="18"/>
              </w:rPr>
              <w:t>3.392</w:t>
            </w:r>
          </w:p>
        </w:tc>
      </w:tr>
      <w:tr w:rsidRPr="00843804" w:rsidR="006C3F6B" w:rsidTr="00976777" w14:paraId="2D6E5C3E"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Pr="008B3A0C" w:rsidR="006C3F6B" w:rsidP="00976777" w:rsidRDefault="006C3F6B" w14:paraId="7E7BD7AD" w14:textId="77777777">
            <w:pPr>
              <w:rPr>
                <w:rFonts w:ascii="Arial Narrow" w:hAnsi="Arial Narrow" w:cs="Calibri"/>
                <w:color w:val="000000"/>
                <w:sz w:val="18"/>
                <w:szCs w:val="18"/>
                <w:vertAlign w:val="superscript"/>
              </w:rPr>
            </w:pPr>
            <w:r>
              <w:rPr>
                <w:rFonts w:ascii="Arial Narrow" w:hAnsi="Arial Narrow" w:cs="Calibri"/>
                <w:color w:val="000000"/>
                <w:sz w:val="18"/>
                <w:szCs w:val="18"/>
              </w:rPr>
              <w:t xml:space="preserve">9.2. First Cycle </w:t>
            </w:r>
            <w:proofErr w:type="spellStart"/>
            <w:r>
              <w:rPr>
                <w:rFonts w:ascii="Arial Narrow" w:hAnsi="Arial Narrow" w:cs="Calibri"/>
                <w:color w:val="000000"/>
                <w:sz w:val="18"/>
                <w:szCs w:val="18"/>
              </w:rPr>
              <w:t>IIIB.g</w:t>
            </w:r>
            <w:proofErr w:type="spellEnd"/>
            <w:r>
              <w:rPr>
                <w:rFonts w:ascii="Arial Narrow" w:hAnsi="Arial Narrow" w:cs="Calibri"/>
                <w:color w:val="000000"/>
                <w:sz w:val="18"/>
                <w:szCs w:val="18"/>
              </w:rPr>
              <w:t xml:space="preserve"> Function Category (Consumer and Commercial) - with OECD codes</w:t>
            </w:r>
            <w:r>
              <w:rPr>
                <w:rFonts w:ascii="Arial Narrow" w:hAnsi="Arial Narrow" w:cs="Calibri"/>
                <w:color w:val="000000"/>
                <w:sz w:val="18"/>
                <w:szCs w:val="18"/>
                <w:vertAlign w:val="superscript"/>
              </w:rPr>
              <w:t>5</w:t>
            </w:r>
          </w:p>
        </w:tc>
        <w:tc>
          <w:tcPr>
            <w:tcW w:w="1103" w:type="dxa"/>
            <w:tcBorders>
              <w:top w:val="nil"/>
              <w:left w:val="nil"/>
              <w:bottom w:val="single" w:color="auto" w:sz="4" w:space="0"/>
              <w:right w:val="single" w:color="auto" w:sz="4" w:space="0"/>
            </w:tcBorders>
            <w:shd w:val="clear" w:color="auto" w:fill="auto"/>
            <w:vAlign w:val="center"/>
          </w:tcPr>
          <w:p w:rsidR="006C3F6B" w:rsidP="00976777" w:rsidRDefault="006C3F6B" w14:paraId="700E0AAB"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006C3F6B" w:rsidP="00976777" w:rsidRDefault="006C3F6B" w14:paraId="65BC4804" w14:textId="77777777">
            <w:pPr>
              <w:jc w:val="center"/>
              <w:rPr>
                <w:rFonts w:ascii="Arial Narrow" w:hAnsi="Arial Narrow" w:cs="Calibri"/>
                <w:color w:val="000000"/>
                <w:sz w:val="18"/>
                <w:szCs w:val="18"/>
              </w:rPr>
            </w:pPr>
            <w:r>
              <w:rPr>
                <w:rFonts w:ascii="Arial Narrow" w:hAnsi="Arial Narrow" w:cs="Calibri"/>
                <w:color w:val="000000"/>
                <w:sz w:val="18"/>
                <w:szCs w:val="18"/>
              </w:rPr>
              <w:t>1.650</w:t>
            </w:r>
          </w:p>
        </w:tc>
        <w:tc>
          <w:tcPr>
            <w:tcW w:w="847" w:type="dxa"/>
            <w:tcBorders>
              <w:top w:val="nil"/>
              <w:left w:val="nil"/>
              <w:bottom w:val="single" w:color="auto" w:sz="4" w:space="0"/>
              <w:right w:val="single" w:color="auto" w:sz="4" w:space="0"/>
            </w:tcBorders>
            <w:shd w:val="clear" w:color="auto" w:fill="auto"/>
            <w:noWrap/>
            <w:vAlign w:val="center"/>
          </w:tcPr>
          <w:p w:rsidR="006C3F6B" w:rsidP="00976777" w:rsidRDefault="006C3F6B" w14:paraId="0323B213" w14:textId="77777777">
            <w:pPr>
              <w:jc w:val="center"/>
              <w:rPr>
                <w:rFonts w:ascii="Arial Narrow" w:hAnsi="Arial Narrow" w:cs="Calibri"/>
                <w:color w:val="000000"/>
                <w:sz w:val="18"/>
                <w:szCs w:val="18"/>
              </w:rPr>
            </w:pPr>
            <w:r>
              <w:rPr>
                <w:rFonts w:ascii="Arial Narrow" w:hAnsi="Arial Narrow" w:cs="Calibri"/>
                <w:color w:val="000000"/>
                <w:sz w:val="18"/>
                <w:szCs w:val="18"/>
              </w:rPr>
              <w:t>3.477</w:t>
            </w:r>
          </w:p>
        </w:tc>
        <w:tc>
          <w:tcPr>
            <w:tcW w:w="879" w:type="dxa"/>
            <w:tcBorders>
              <w:top w:val="nil"/>
              <w:left w:val="nil"/>
              <w:bottom w:val="single" w:color="auto" w:sz="4" w:space="0"/>
              <w:right w:val="single" w:color="auto" w:sz="4" w:space="0"/>
            </w:tcBorders>
            <w:shd w:val="clear" w:color="auto" w:fill="auto"/>
            <w:noWrap/>
            <w:vAlign w:val="center"/>
          </w:tcPr>
          <w:p w:rsidR="006C3F6B" w:rsidP="00976777" w:rsidRDefault="006C3F6B" w14:paraId="0B73369B" w14:textId="77777777">
            <w:pPr>
              <w:jc w:val="center"/>
              <w:rPr>
                <w:rFonts w:ascii="Arial Narrow" w:hAnsi="Arial Narrow" w:cs="Calibri"/>
                <w:color w:val="000000"/>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006C3F6B" w:rsidP="00976777" w:rsidRDefault="006C3F6B" w14:paraId="5E029886" w14:textId="77777777">
            <w:pPr>
              <w:jc w:val="center"/>
              <w:rPr>
                <w:rFonts w:ascii="Arial Narrow" w:hAnsi="Arial Narrow" w:cs="Calibri"/>
                <w:color w:val="000000"/>
                <w:sz w:val="18"/>
                <w:szCs w:val="18"/>
              </w:rPr>
            </w:pPr>
            <w:r>
              <w:rPr>
                <w:rFonts w:ascii="Arial Narrow" w:hAnsi="Arial Narrow" w:cs="Calibri"/>
                <w:color w:val="000000"/>
                <w:sz w:val="18"/>
                <w:szCs w:val="18"/>
              </w:rPr>
              <w:t>5.127</w:t>
            </w:r>
          </w:p>
        </w:tc>
        <w:tc>
          <w:tcPr>
            <w:tcW w:w="1184" w:type="dxa"/>
            <w:tcBorders>
              <w:top w:val="nil"/>
              <w:left w:val="nil"/>
              <w:bottom w:val="single" w:color="auto" w:sz="4" w:space="0"/>
              <w:right w:val="single" w:color="auto" w:sz="4" w:space="0"/>
            </w:tcBorders>
            <w:shd w:val="clear" w:color="auto" w:fill="auto"/>
            <w:noWrap/>
            <w:vAlign w:val="center"/>
          </w:tcPr>
          <w:p w:rsidR="006C3F6B" w:rsidP="00976777" w:rsidRDefault="006C3F6B" w14:paraId="24A230B4" w14:textId="77777777">
            <w:pPr>
              <w:jc w:val="center"/>
              <w:rPr>
                <w:rFonts w:ascii="Arial Narrow" w:hAnsi="Arial Narrow" w:cs="Calibri"/>
                <w:color w:val="000000"/>
                <w:sz w:val="18"/>
                <w:szCs w:val="18"/>
              </w:rPr>
            </w:pPr>
            <w:r>
              <w:rPr>
                <w:rFonts w:ascii="Arial Narrow" w:hAnsi="Arial Narrow" w:cs="Calibri"/>
                <w:color w:val="000000"/>
                <w:sz w:val="18"/>
                <w:szCs w:val="18"/>
              </w:rPr>
              <w:t>0.0781</w:t>
            </w:r>
          </w:p>
        </w:tc>
        <w:tc>
          <w:tcPr>
            <w:tcW w:w="1227" w:type="dxa"/>
            <w:tcBorders>
              <w:top w:val="nil"/>
              <w:left w:val="nil"/>
              <w:bottom w:val="single" w:color="auto" w:sz="4" w:space="0"/>
              <w:right w:val="single" w:color="auto" w:sz="4" w:space="0"/>
            </w:tcBorders>
            <w:shd w:val="clear" w:color="auto" w:fill="auto"/>
            <w:noWrap/>
            <w:vAlign w:val="center"/>
          </w:tcPr>
          <w:p w:rsidR="006C3F6B" w:rsidP="00976777" w:rsidRDefault="006C3F6B" w14:paraId="7D332062" w14:textId="77777777">
            <w:pPr>
              <w:jc w:val="center"/>
              <w:rPr>
                <w:rFonts w:ascii="Arial Narrow" w:hAnsi="Arial Narrow" w:cs="Calibri"/>
                <w:color w:val="000000"/>
                <w:sz w:val="18"/>
                <w:szCs w:val="18"/>
              </w:rPr>
            </w:pPr>
            <w:r>
              <w:rPr>
                <w:rFonts w:ascii="Arial Narrow" w:hAnsi="Arial Narrow" w:cs="Calibri"/>
                <w:color w:val="000000"/>
                <w:sz w:val="18"/>
                <w:szCs w:val="18"/>
              </w:rPr>
              <w:t>0.400</w:t>
            </w:r>
          </w:p>
        </w:tc>
      </w:tr>
      <w:tr w:rsidRPr="00843804" w:rsidR="006C3F6B" w:rsidTr="00976777" w14:paraId="5B9DF8D9"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bottom"/>
          </w:tcPr>
          <w:p w:rsidR="006C3F6B" w:rsidP="00976777" w:rsidRDefault="006C3F6B" w14:paraId="7DD58E1C" w14:textId="77777777">
            <w:pPr>
              <w:rPr>
                <w:rFonts w:ascii="Arial Narrow" w:hAnsi="Arial Narrow"/>
                <w:sz w:val="18"/>
                <w:szCs w:val="18"/>
              </w:rPr>
            </w:pPr>
            <w:r>
              <w:rPr>
                <w:rFonts w:ascii="Arial Narrow" w:hAnsi="Arial Narrow" w:cs="Calibri"/>
                <w:color w:val="000000"/>
                <w:sz w:val="18"/>
                <w:szCs w:val="18"/>
              </w:rPr>
              <w:t xml:space="preserve">9.3. Second and Future Cycle </w:t>
            </w:r>
            <w:proofErr w:type="spellStart"/>
            <w:r>
              <w:rPr>
                <w:rFonts w:ascii="Arial Narrow" w:hAnsi="Arial Narrow" w:cs="Calibri"/>
                <w:color w:val="000000"/>
                <w:sz w:val="18"/>
                <w:szCs w:val="18"/>
              </w:rPr>
              <w:t>IIIB.g</w:t>
            </w:r>
            <w:proofErr w:type="spellEnd"/>
            <w:r>
              <w:rPr>
                <w:rFonts w:ascii="Arial Narrow" w:hAnsi="Arial Narrow" w:cs="Calibri"/>
                <w:color w:val="000000"/>
                <w:sz w:val="18"/>
                <w:szCs w:val="18"/>
              </w:rPr>
              <w:t xml:space="preserve"> Function Category (Consumer and Commercial)</w:t>
            </w:r>
            <w:r>
              <w:rPr>
                <w:rFonts w:ascii="Arial Narrow" w:hAnsi="Arial Narrow" w:cs="Calibri"/>
                <w:color w:val="000000"/>
                <w:sz w:val="18"/>
                <w:szCs w:val="18"/>
                <w:vertAlign w:val="superscript"/>
              </w:rPr>
              <w:t>5</w:t>
            </w:r>
          </w:p>
        </w:tc>
        <w:tc>
          <w:tcPr>
            <w:tcW w:w="1103" w:type="dxa"/>
            <w:tcBorders>
              <w:top w:val="nil"/>
              <w:left w:val="nil"/>
              <w:bottom w:val="single" w:color="auto" w:sz="4" w:space="0"/>
              <w:right w:val="single" w:color="auto" w:sz="4" w:space="0"/>
            </w:tcBorders>
            <w:shd w:val="clear" w:color="auto" w:fill="auto"/>
            <w:vAlign w:val="center"/>
          </w:tcPr>
          <w:p w:rsidRPr="009F03C9" w:rsidR="006C3F6B" w:rsidP="00976777" w:rsidRDefault="006C3F6B" w14:paraId="04B9D557" w14:textId="77777777">
            <w:pPr>
              <w:rPr>
                <w:rFonts w:ascii="Arial Narrow" w:hAnsi="Arial Narrow" w:cs="Calibri"/>
                <w:color w:val="000000"/>
                <w:sz w:val="18"/>
                <w:szCs w:val="18"/>
              </w:rPr>
            </w:pPr>
            <w:r>
              <w:rPr>
                <w:rFonts w:ascii="Arial Narrow" w:hAnsi="Arial Narrow" w:cs="Calibri"/>
                <w:color w:val="000000"/>
                <w:sz w:val="18"/>
                <w:szCs w:val="18"/>
              </w:rPr>
              <w:t>Chemical</w:t>
            </w:r>
          </w:p>
        </w:tc>
        <w:tc>
          <w:tcPr>
            <w:tcW w:w="99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683A262C" w14:textId="77777777">
            <w:pPr>
              <w:jc w:val="center"/>
              <w:rPr>
                <w:rFonts w:ascii="Arial Narrow" w:hAnsi="Arial Narrow"/>
                <w:sz w:val="18"/>
                <w:szCs w:val="18"/>
              </w:rPr>
            </w:pPr>
            <w:r>
              <w:rPr>
                <w:rFonts w:ascii="Arial Narrow" w:hAnsi="Arial Narrow" w:cs="Calibri"/>
                <w:color w:val="000000"/>
                <w:sz w:val="18"/>
                <w:szCs w:val="18"/>
              </w:rPr>
              <w:t>1.650</w:t>
            </w:r>
          </w:p>
        </w:tc>
        <w:tc>
          <w:tcPr>
            <w:tcW w:w="84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19D74F56" w14:textId="77777777">
            <w:pPr>
              <w:jc w:val="center"/>
              <w:rPr>
                <w:rFonts w:ascii="Arial Narrow" w:hAnsi="Arial Narrow"/>
                <w:sz w:val="18"/>
                <w:szCs w:val="18"/>
              </w:rPr>
            </w:pPr>
            <w:r>
              <w:rPr>
                <w:rFonts w:ascii="Arial Narrow" w:hAnsi="Arial Narrow" w:cs="Calibri"/>
                <w:color w:val="000000"/>
                <w:sz w:val="18"/>
                <w:szCs w:val="18"/>
              </w:rPr>
              <w:t>3.477</w:t>
            </w:r>
          </w:p>
        </w:tc>
        <w:tc>
          <w:tcPr>
            <w:tcW w:w="879"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740B588D" w14:textId="77777777">
            <w:pPr>
              <w:jc w:val="center"/>
              <w:rPr>
                <w:rFonts w:ascii="Arial Narrow" w:hAnsi="Arial Narrow"/>
                <w:sz w:val="18"/>
                <w:szCs w:val="18"/>
              </w:rPr>
            </w:pPr>
            <w:r>
              <w:rPr>
                <w:rFonts w:ascii="Arial Narrow" w:hAnsi="Arial Narrow" w:cs="Calibri"/>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72510FE8" w14:textId="77777777">
            <w:pPr>
              <w:jc w:val="center"/>
              <w:rPr>
                <w:rFonts w:ascii="Arial Narrow" w:hAnsi="Arial Narrow"/>
                <w:sz w:val="18"/>
                <w:szCs w:val="18"/>
              </w:rPr>
            </w:pPr>
            <w:r>
              <w:rPr>
                <w:rFonts w:ascii="Arial Narrow" w:hAnsi="Arial Narrow" w:cs="Calibri"/>
                <w:color w:val="000000"/>
                <w:sz w:val="18"/>
                <w:szCs w:val="18"/>
              </w:rPr>
              <w:t>5.127</w:t>
            </w:r>
          </w:p>
        </w:tc>
        <w:tc>
          <w:tcPr>
            <w:tcW w:w="1184"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2ADC2CB2" w14:textId="77777777">
            <w:pPr>
              <w:jc w:val="center"/>
              <w:rPr>
                <w:rFonts w:ascii="Arial Narrow" w:hAnsi="Arial Narrow"/>
                <w:sz w:val="18"/>
                <w:szCs w:val="18"/>
              </w:rPr>
            </w:pPr>
            <w:r>
              <w:rPr>
                <w:rFonts w:ascii="Arial Narrow" w:hAnsi="Arial Narrow" w:cs="Calibri"/>
                <w:color w:val="000000"/>
                <w:sz w:val="18"/>
                <w:szCs w:val="18"/>
              </w:rPr>
              <w:t>0.7808</w:t>
            </w:r>
          </w:p>
        </w:tc>
        <w:tc>
          <w:tcPr>
            <w:tcW w:w="1227" w:type="dxa"/>
            <w:tcBorders>
              <w:top w:val="nil"/>
              <w:left w:val="nil"/>
              <w:bottom w:val="single" w:color="auto" w:sz="4" w:space="0"/>
              <w:right w:val="single" w:color="auto" w:sz="4" w:space="0"/>
            </w:tcBorders>
            <w:shd w:val="clear" w:color="auto" w:fill="auto"/>
            <w:noWrap/>
            <w:vAlign w:val="center"/>
          </w:tcPr>
          <w:p w:rsidRPr="00E533BC" w:rsidR="006C3F6B" w:rsidP="00976777" w:rsidRDefault="006C3F6B" w14:paraId="5BAB746A" w14:textId="77777777">
            <w:pPr>
              <w:jc w:val="center"/>
              <w:rPr>
                <w:rFonts w:ascii="Arial Narrow" w:hAnsi="Arial Narrow"/>
                <w:sz w:val="18"/>
                <w:szCs w:val="18"/>
              </w:rPr>
            </w:pPr>
            <w:r>
              <w:rPr>
                <w:rFonts w:ascii="Arial Narrow" w:hAnsi="Arial Narrow" w:cs="Calibri"/>
                <w:color w:val="000000"/>
                <w:sz w:val="18"/>
                <w:szCs w:val="18"/>
              </w:rPr>
              <w:t>4.003</w:t>
            </w:r>
          </w:p>
        </w:tc>
      </w:tr>
      <w:tr w:rsidRPr="00843804" w:rsidR="006C3F6B" w:rsidTr="00976777" w14:paraId="4EC3AA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8"/>
            <w:tcBorders>
              <w:top w:val="nil"/>
              <w:left w:val="single" w:color="auto" w:sz="4" w:space="0"/>
              <w:bottom w:val="single" w:color="auto" w:sz="4" w:space="0"/>
              <w:right w:val="single" w:color="auto" w:sz="4" w:space="0"/>
            </w:tcBorders>
            <w:shd w:val="clear" w:color="auto" w:fill="auto"/>
            <w:noWrap/>
            <w:vAlign w:val="center"/>
            <w:hideMark/>
          </w:tcPr>
          <w:p w:rsidRPr="003635BC" w:rsidR="006C3F6B" w:rsidP="00976777" w:rsidRDefault="006C3F6B" w14:paraId="56607DB7" w14:textId="77777777">
            <w:pPr>
              <w:keepNext/>
              <w:rPr>
                <w:rFonts w:ascii="Arial Narrow" w:hAnsi="Arial Narrow"/>
                <w:sz w:val="18"/>
                <w:szCs w:val="18"/>
              </w:rPr>
            </w:pPr>
            <w:r w:rsidRPr="00F45073">
              <w:rPr>
                <w:rFonts w:ascii="Arial Narrow" w:hAnsi="Arial Narrow"/>
                <w:b/>
                <w:sz w:val="18"/>
                <w:szCs w:val="18"/>
              </w:rPr>
              <w:t xml:space="preserve">CBI Substantiation </w:t>
            </w:r>
          </w:p>
        </w:tc>
      </w:tr>
      <w:tr w:rsidRPr="00843804" w:rsidR="006C3F6B" w:rsidTr="00976777" w14:paraId="723A2CDD"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3075BE" w:rsidR="006C3F6B" w:rsidP="00976777" w:rsidRDefault="006C3F6B" w14:paraId="435D97A5" w14:textId="77777777">
            <w:pPr>
              <w:keepNext/>
              <w:rPr>
                <w:rFonts w:ascii="Arial Narrow" w:hAnsi="Arial Narrow"/>
                <w:sz w:val="18"/>
                <w:szCs w:val="18"/>
              </w:rPr>
            </w:pPr>
            <w:r>
              <w:rPr>
                <w:rFonts w:ascii="Arial Narrow" w:hAnsi="Arial Narrow"/>
                <w:sz w:val="18"/>
                <w:szCs w:val="18"/>
              </w:rPr>
              <w:t xml:space="preserve">1. </w:t>
            </w:r>
            <w:r w:rsidRPr="00F45073">
              <w:rPr>
                <w:rFonts w:ascii="Arial Narrow" w:hAnsi="Arial Narrow"/>
                <w:sz w:val="18"/>
                <w:szCs w:val="18"/>
              </w:rPr>
              <w:t>Rule Familiarization</w:t>
            </w:r>
            <w:r w:rsidRPr="003635BC">
              <w:rPr>
                <w:rFonts w:ascii="Arial Narrow" w:hAnsi="Arial Narrow"/>
                <w:sz w:val="18"/>
                <w:szCs w:val="18"/>
              </w:rPr>
              <w:t xml:space="preserve"> increase due to increased regulatory complexity</w:t>
            </w:r>
            <w:r w:rsidRPr="00912B62">
              <w:rPr>
                <w:rFonts w:ascii="Arial Narrow" w:hAnsi="Arial Narrow"/>
                <w:sz w:val="18"/>
                <w:szCs w:val="18"/>
                <w:vertAlign w:val="superscript"/>
              </w:rPr>
              <w:t>1</w:t>
            </w:r>
          </w:p>
        </w:tc>
        <w:tc>
          <w:tcPr>
            <w:tcW w:w="1103" w:type="dxa"/>
            <w:tcBorders>
              <w:top w:val="nil"/>
              <w:left w:val="nil"/>
              <w:bottom w:val="single" w:color="auto" w:sz="4" w:space="0"/>
              <w:right w:val="single" w:color="auto" w:sz="4" w:space="0"/>
            </w:tcBorders>
            <w:shd w:val="clear" w:color="auto" w:fill="auto"/>
            <w:vAlign w:val="center"/>
            <w:hideMark/>
          </w:tcPr>
          <w:p w:rsidRPr="00E533BC" w:rsidR="006C3F6B" w:rsidP="00976777" w:rsidRDefault="006C3F6B" w14:paraId="788F6004" w14:textId="77777777">
            <w:pPr>
              <w:keepNext/>
              <w:rPr>
                <w:rFonts w:ascii="Arial Narrow" w:hAnsi="Arial Narrow"/>
                <w:sz w:val="18"/>
                <w:szCs w:val="18"/>
              </w:rPr>
            </w:pPr>
            <w:r w:rsidRPr="00E533BC">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F6379CE" w14:textId="77777777">
            <w:pPr>
              <w:jc w:val="center"/>
              <w:rPr>
                <w:rFonts w:ascii="Arial Narrow" w:hAnsi="Arial Narrow"/>
                <w:sz w:val="18"/>
                <w:szCs w:val="18"/>
              </w:rPr>
            </w:pPr>
            <w:r w:rsidRPr="00E533BC">
              <w:rPr>
                <w:rFonts w:ascii="Arial Narrow" w:hAnsi="Arial Narrow"/>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644B386"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4A7CD6E"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480E62E" w14:textId="77777777">
            <w:pPr>
              <w:jc w:val="center"/>
              <w:rPr>
                <w:rFonts w:ascii="Arial Narrow" w:hAnsi="Arial Narrow"/>
                <w:sz w:val="18"/>
                <w:szCs w:val="18"/>
              </w:rPr>
            </w:pPr>
            <w:r w:rsidRPr="00E533BC">
              <w:rPr>
                <w:rFonts w:ascii="Arial Narrow" w:hAnsi="Arial Narrow"/>
                <w:sz w:val="18"/>
                <w:szCs w:val="18"/>
              </w:rPr>
              <w:t>0.000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00B37CC"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96852B8" w14:textId="77777777">
            <w:pPr>
              <w:jc w:val="center"/>
              <w:rPr>
                <w:rFonts w:ascii="Arial Narrow" w:hAnsi="Arial Narrow"/>
                <w:sz w:val="18"/>
                <w:szCs w:val="18"/>
              </w:rPr>
            </w:pPr>
            <w:r w:rsidRPr="00E533BC">
              <w:rPr>
                <w:rFonts w:ascii="Arial Narrow" w:hAnsi="Arial Narrow"/>
                <w:sz w:val="18"/>
                <w:szCs w:val="18"/>
              </w:rPr>
              <w:t>0.000</w:t>
            </w:r>
          </w:p>
        </w:tc>
      </w:tr>
      <w:tr w:rsidRPr="00843804" w:rsidR="006C3F6B" w:rsidTr="00976777" w14:paraId="38A464D0"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3075BE" w:rsidR="006C3F6B" w:rsidP="00976777" w:rsidRDefault="006C3F6B" w14:paraId="3CD81A30" w14:textId="77777777">
            <w:pPr>
              <w:rPr>
                <w:rFonts w:ascii="Arial Narrow" w:hAnsi="Arial Narrow"/>
                <w:sz w:val="18"/>
                <w:szCs w:val="18"/>
              </w:rPr>
            </w:pPr>
            <w:r>
              <w:rPr>
                <w:rFonts w:ascii="Arial Narrow" w:hAnsi="Arial Narrow"/>
                <w:sz w:val="18"/>
                <w:szCs w:val="18"/>
              </w:rPr>
              <w:t xml:space="preserve">2. </w:t>
            </w:r>
            <w:r w:rsidRPr="00F45073">
              <w:rPr>
                <w:rFonts w:ascii="Arial Narrow" w:hAnsi="Arial Narrow"/>
                <w:sz w:val="18"/>
                <w:szCs w:val="18"/>
              </w:rPr>
              <w:t xml:space="preserve">Compliance Determination increase </w:t>
            </w:r>
            <w:r w:rsidRPr="003635BC">
              <w:rPr>
                <w:rFonts w:ascii="Arial Narrow" w:hAnsi="Arial Narrow"/>
                <w:sz w:val="18"/>
                <w:szCs w:val="18"/>
              </w:rPr>
              <w:t>due to increased regulatory complexity</w:t>
            </w:r>
            <w:r w:rsidRPr="008B3A0C">
              <w:rPr>
                <w:rFonts w:ascii="Arial Narrow" w:hAnsi="Arial Narrow"/>
                <w:sz w:val="18"/>
                <w:szCs w:val="18"/>
                <w:vertAlign w:val="superscript"/>
              </w:rPr>
              <w:t>8</w:t>
            </w:r>
          </w:p>
        </w:tc>
        <w:tc>
          <w:tcPr>
            <w:tcW w:w="1103" w:type="dxa"/>
            <w:tcBorders>
              <w:top w:val="nil"/>
              <w:left w:val="nil"/>
              <w:bottom w:val="single" w:color="auto" w:sz="4" w:space="0"/>
              <w:right w:val="single" w:color="auto" w:sz="4" w:space="0"/>
            </w:tcBorders>
            <w:shd w:val="clear" w:color="auto" w:fill="auto"/>
            <w:vAlign w:val="center"/>
            <w:hideMark/>
          </w:tcPr>
          <w:p w:rsidRPr="00E533BC" w:rsidR="006C3F6B" w:rsidP="00976777" w:rsidRDefault="006C3F6B" w14:paraId="49717FAD" w14:textId="77777777">
            <w:pPr>
              <w:rPr>
                <w:rFonts w:ascii="Arial Narrow" w:hAnsi="Arial Narrow"/>
                <w:sz w:val="18"/>
                <w:szCs w:val="18"/>
              </w:rPr>
            </w:pPr>
            <w:r w:rsidRPr="00E533BC">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23BDA54" w14:textId="77777777">
            <w:pPr>
              <w:jc w:val="center"/>
              <w:rPr>
                <w:rFonts w:ascii="Arial Narrow" w:hAnsi="Arial Narrow"/>
                <w:sz w:val="18"/>
                <w:szCs w:val="18"/>
              </w:rPr>
            </w:pPr>
            <w:r w:rsidRPr="00E533BC">
              <w:rPr>
                <w:rFonts w:ascii="Arial Narrow" w:hAnsi="Arial Narrow"/>
                <w:sz w:val="18"/>
                <w:szCs w:val="18"/>
              </w:rPr>
              <w:t>0.154</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D33911E" w14:textId="77777777">
            <w:pPr>
              <w:jc w:val="center"/>
              <w:rPr>
                <w:rFonts w:ascii="Arial Narrow" w:hAnsi="Arial Narrow"/>
                <w:sz w:val="18"/>
                <w:szCs w:val="18"/>
              </w:rPr>
            </w:pPr>
            <w:r w:rsidRPr="00E533BC">
              <w:rPr>
                <w:rFonts w:ascii="Arial Narrow" w:hAnsi="Arial Narrow"/>
                <w:sz w:val="18"/>
                <w:szCs w:val="18"/>
              </w:rPr>
              <w:t>0.346</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E532C79"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7DE1279" w14:textId="77777777">
            <w:pPr>
              <w:jc w:val="center"/>
              <w:rPr>
                <w:rFonts w:ascii="Arial Narrow" w:hAnsi="Arial Narrow"/>
                <w:sz w:val="18"/>
                <w:szCs w:val="18"/>
              </w:rPr>
            </w:pPr>
            <w:r w:rsidRPr="00E533BC">
              <w:rPr>
                <w:rFonts w:ascii="Arial Narrow" w:hAnsi="Arial Narrow"/>
                <w:sz w:val="18"/>
                <w:szCs w:val="18"/>
              </w:rPr>
              <w:t>0.500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D7770D0"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A2FD8FF" w14:textId="77777777">
            <w:pPr>
              <w:jc w:val="center"/>
              <w:rPr>
                <w:rFonts w:ascii="Arial Narrow" w:hAnsi="Arial Narrow"/>
                <w:sz w:val="18"/>
                <w:szCs w:val="18"/>
              </w:rPr>
            </w:pPr>
            <w:r w:rsidRPr="00E533BC">
              <w:rPr>
                <w:rFonts w:ascii="Arial Narrow" w:hAnsi="Arial Narrow"/>
                <w:sz w:val="18"/>
                <w:szCs w:val="18"/>
              </w:rPr>
              <w:t>0.500</w:t>
            </w:r>
          </w:p>
        </w:tc>
      </w:tr>
      <w:tr w:rsidRPr="00843804" w:rsidR="006C3F6B" w:rsidTr="00976777" w14:paraId="4423D66E" w14:textId="77777777">
        <w:trPr>
          <w:jc w:val="center"/>
        </w:trPr>
        <w:tc>
          <w:tcPr>
            <w:tcW w:w="2830" w:type="dxa"/>
            <w:tcBorders>
              <w:top w:val="single" w:color="auto" w:sz="4" w:space="0"/>
              <w:left w:val="single" w:color="auto" w:sz="4" w:space="0"/>
              <w:bottom w:val="single" w:color="auto" w:sz="4" w:space="0"/>
            </w:tcBorders>
            <w:shd w:val="clear" w:color="auto" w:fill="auto"/>
            <w:vAlign w:val="center"/>
          </w:tcPr>
          <w:p w:rsidRPr="0089179E" w:rsidR="006C3F6B" w:rsidP="00976777" w:rsidRDefault="006C3F6B" w14:paraId="15BC3F8E" w14:textId="77777777">
            <w:pPr>
              <w:rPr>
                <w:rFonts w:ascii="Arial Narrow" w:hAnsi="Arial Narrow" w:cs="Calibri"/>
                <w:i/>
                <w:color w:val="000000"/>
                <w:sz w:val="18"/>
                <w:szCs w:val="18"/>
              </w:rPr>
            </w:pPr>
            <w:r>
              <w:rPr>
                <w:rFonts w:ascii="Arial Narrow" w:hAnsi="Arial Narrow" w:cs="Calibri"/>
                <w:color w:val="000000"/>
                <w:sz w:val="18"/>
                <w:szCs w:val="18"/>
              </w:rPr>
              <w:t xml:space="preserve">  </w:t>
            </w:r>
            <w:r w:rsidRPr="0089179E">
              <w:rPr>
                <w:rFonts w:ascii="Arial Narrow" w:hAnsi="Arial Narrow" w:cs="Calibri"/>
                <w:i/>
                <w:color w:val="000000"/>
                <w:sz w:val="18"/>
                <w:szCs w:val="18"/>
              </w:rPr>
              <w:t>Form Completion</w:t>
            </w:r>
          </w:p>
        </w:tc>
        <w:tc>
          <w:tcPr>
            <w:tcW w:w="1103" w:type="dxa"/>
            <w:tcBorders>
              <w:top w:val="single" w:color="auto" w:sz="4" w:space="0"/>
              <w:bottom w:val="single" w:color="auto" w:sz="4" w:space="0"/>
            </w:tcBorders>
            <w:shd w:val="clear" w:color="auto" w:fill="auto"/>
            <w:vAlign w:val="center"/>
          </w:tcPr>
          <w:p w:rsidRPr="009F03C9" w:rsidR="006C3F6B" w:rsidP="00976777" w:rsidRDefault="006C3F6B" w14:paraId="71DEE2B4" w14:textId="77777777">
            <w:pPr>
              <w:rPr>
                <w:rFonts w:ascii="Arial Narrow" w:hAnsi="Arial Narrow" w:cs="Calibri"/>
                <w:color w:val="000000"/>
                <w:sz w:val="18"/>
                <w:szCs w:val="18"/>
              </w:rPr>
            </w:pPr>
          </w:p>
        </w:tc>
        <w:tc>
          <w:tcPr>
            <w:tcW w:w="997" w:type="dxa"/>
            <w:tcBorders>
              <w:top w:val="single" w:color="auto" w:sz="4" w:space="0"/>
              <w:bottom w:val="single" w:color="auto" w:sz="4" w:space="0"/>
            </w:tcBorders>
            <w:shd w:val="clear" w:color="auto" w:fill="auto"/>
            <w:noWrap/>
            <w:vAlign w:val="center"/>
          </w:tcPr>
          <w:p w:rsidRPr="00E533BC" w:rsidR="006C3F6B" w:rsidP="00976777" w:rsidRDefault="006C3F6B" w14:paraId="0EAC1578" w14:textId="77777777">
            <w:pPr>
              <w:jc w:val="center"/>
              <w:rPr>
                <w:rFonts w:ascii="Arial Narrow" w:hAnsi="Arial Narrow"/>
                <w:color w:val="000000"/>
                <w:sz w:val="18"/>
                <w:szCs w:val="18"/>
              </w:rPr>
            </w:pPr>
          </w:p>
        </w:tc>
        <w:tc>
          <w:tcPr>
            <w:tcW w:w="847" w:type="dxa"/>
            <w:tcBorders>
              <w:top w:val="single" w:color="auto" w:sz="4" w:space="0"/>
              <w:bottom w:val="single" w:color="auto" w:sz="4" w:space="0"/>
            </w:tcBorders>
            <w:shd w:val="clear" w:color="auto" w:fill="auto"/>
            <w:noWrap/>
            <w:vAlign w:val="center"/>
          </w:tcPr>
          <w:p w:rsidRPr="00E533BC" w:rsidR="006C3F6B" w:rsidP="00976777" w:rsidRDefault="006C3F6B" w14:paraId="7AC05CA7" w14:textId="77777777">
            <w:pPr>
              <w:jc w:val="center"/>
              <w:rPr>
                <w:rFonts w:ascii="Arial Narrow" w:hAnsi="Arial Narrow"/>
                <w:color w:val="000000"/>
                <w:sz w:val="18"/>
                <w:szCs w:val="18"/>
              </w:rPr>
            </w:pPr>
          </w:p>
        </w:tc>
        <w:tc>
          <w:tcPr>
            <w:tcW w:w="879" w:type="dxa"/>
            <w:tcBorders>
              <w:top w:val="single" w:color="auto" w:sz="4" w:space="0"/>
              <w:bottom w:val="single" w:color="auto" w:sz="4" w:space="0"/>
            </w:tcBorders>
            <w:shd w:val="clear" w:color="auto" w:fill="auto"/>
            <w:noWrap/>
            <w:vAlign w:val="center"/>
          </w:tcPr>
          <w:p w:rsidRPr="00E533BC" w:rsidR="006C3F6B" w:rsidP="00976777" w:rsidRDefault="006C3F6B" w14:paraId="40AF7E7C" w14:textId="77777777">
            <w:pPr>
              <w:jc w:val="center"/>
              <w:rPr>
                <w:rFonts w:ascii="Arial Narrow" w:hAnsi="Arial Narrow"/>
                <w:color w:val="000000"/>
                <w:sz w:val="18"/>
                <w:szCs w:val="18"/>
              </w:rPr>
            </w:pPr>
          </w:p>
        </w:tc>
        <w:tc>
          <w:tcPr>
            <w:tcW w:w="1013" w:type="dxa"/>
            <w:tcBorders>
              <w:top w:val="single" w:color="auto" w:sz="4" w:space="0"/>
              <w:bottom w:val="single" w:color="auto" w:sz="4" w:space="0"/>
            </w:tcBorders>
            <w:shd w:val="clear" w:color="auto" w:fill="auto"/>
            <w:noWrap/>
            <w:vAlign w:val="center"/>
          </w:tcPr>
          <w:p w:rsidRPr="00E533BC" w:rsidR="006C3F6B" w:rsidP="00976777" w:rsidRDefault="006C3F6B" w14:paraId="279432CA" w14:textId="77777777">
            <w:pPr>
              <w:jc w:val="center"/>
              <w:rPr>
                <w:rFonts w:ascii="Arial Narrow" w:hAnsi="Arial Narrow"/>
                <w:color w:val="000000"/>
                <w:sz w:val="18"/>
                <w:szCs w:val="18"/>
              </w:rPr>
            </w:pPr>
          </w:p>
        </w:tc>
        <w:tc>
          <w:tcPr>
            <w:tcW w:w="1184" w:type="dxa"/>
            <w:tcBorders>
              <w:top w:val="single" w:color="auto" w:sz="4" w:space="0"/>
              <w:bottom w:val="single" w:color="auto" w:sz="4" w:space="0"/>
            </w:tcBorders>
            <w:shd w:val="clear" w:color="auto" w:fill="auto"/>
            <w:noWrap/>
            <w:vAlign w:val="center"/>
          </w:tcPr>
          <w:p w:rsidRPr="00E533BC" w:rsidR="006C3F6B" w:rsidP="00976777" w:rsidRDefault="006C3F6B" w14:paraId="7B6D3DC1" w14:textId="77777777">
            <w:pPr>
              <w:jc w:val="center"/>
              <w:rPr>
                <w:rFonts w:ascii="Arial Narrow" w:hAnsi="Arial Narrow"/>
                <w:color w:val="000000"/>
                <w:sz w:val="18"/>
                <w:szCs w:val="18"/>
              </w:rPr>
            </w:pPr>
          </w:p>
        </w:tc>
        <w:tc>
          <w:tcPr>
            <w:tcW w:w="1227" w:type="dxa"/>
            <w:tcBorders>
              <w:top w:val="single" w:color="auto" w:sz="4" w:space="0"/>
              <w:bottom w:val="single" w:color="auto" w:sz="4" w:space="0"/>
              <w:right w:val="single" w:color="auto" w:sz="4" w:space="0"/>
            </w:tcBorders>
            <w:shd w:val="clear" w:color="auto" w:fill="auto"/>
            <w:noWrap/>
            <w:vAlign w:val="center"/>
          </w:tcPr>
          <w:p w:rsidRPr="00E533BC" w:rsidR="006C3F6B" w:rsidP="00976777" w:rsidRDefault="006C3F6B" w14:paraId="28E7152B" w14:textId="77777777">
            <w:pPr>
              <w:jc w:val="center"/>
              <w:rPr>
                <w:rFonts w:ascii="Arial Narrow" w:hAnsi="Arial Narrow"/>
                <w:color w:val="000000"/>
                <w:sz w:val="18"/>
                <w:szCs w:val="18"/>
              </w:rPr>
            </w:pPr>
          </w:p>
        </w:tc>
      </w:tr>
      <w:tr w:rsidRPr="00843804" w:rsidR="006C3F6B" w:rsidTr="00976777" w14:paraId="78992CD0"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3635BC" w:rsidR="006C3F6B" w:rsidP="00976777" w:rsidRDefault="006C3F6B" w14:paraId="2DE62290" w14:textId="77777777">
            <w:pPr>
              <w:rPr>
                <w:rFonts w:ascii="Arial Narrow" w:hAnsi="Arial Narrow" w:cs="Calibri"/>
                <w:color w:val="000000"/>
                <w:sz w:val="18"/>
                <w:szCs w:val="18"/>
              </w:rPr>
            </w:pPr>
            <w:r>
              <w:rPr>
                <w:rFonts w:ascii="Arial Narrow" w:hAnsi="Arial Narrow" w:cs="Calibri"/>
                <w:color w:val="000000"/>
                <w:sz w:val="18"/>
                <w:szCs w:val="18"/>
              </w:rPr>
              <w:t xml:space="preserve">3. </w:t>
            </w:r>
            <w:r w:rsidRPr="00F45073">
              <w:rPr>
                <w:rFonts w:ascii="Arial Narrow" w:hAnsi="Arial Narrow" w:cs="Calibri"/>
                <w:color w:val="000000"/>
                <w:sz w:val="18"/>
                <w:szCs w:val="18"/>
              </w:rPr>
              <w:t xml:space="preserve">Part II </w:t>
            </w:r>
            <w:r w:rsidRPr="003635BC">
              <w:rPr>
                <w:rFonts w:ascii="Arial Narrow" w:hAnsi="Arial Narrow" w:cs="Calibri"/>
                <w:color w:val="000000"/>
                <w:sz w:val="18"/>
                <w:szCs w:val="18"/>
              </w:rPr>
              <w:t>Chem ID CBI Substantiation</w:t>
            </w:r>
            <w:r>
              <w:rPr>
                <w:rFonts w:ascii="Arial Narrow" w:hAnsi="Arial Narrow" w:cs="Calibri"/>
                <w:color w:val="000000"/>
                <w:sz w:val="18"/>
                <w:szCs w:val="18"/>
                <w:vertAlign w:val="superscript"/>
              </w:rPr>
              <w:t>9</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70C8B7AA" w14:textId="77777777">
            <w:pPr>
              <w:rPr>
                <w:rFonts w:ascii="Arial Narrow" w:hAnsi="Arial Narrow"/>
                <w:sz w:val="18"/>
                <w:szCs w:val="18"/>
              </w:rPr>
            </w:pPr>
            <w:r w:rsidRPr="009F03C9">
              <w:rPr>
                <w:rFonts w:ascii="Arial Narrow" w:hAnsi="Arial Narrow" w:cs="Calibri"/>
                <w:color w:val="000000"/>
                <w:sz w:val="18"/>
                <w:szCs w:val="18"/>
              </w:rPr>
              <w:t xml:space="preserve">Chemical </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F3AEE4A" w14:textId="77777777">
            <w:pPr>
              <w:jc w:val="center"/>
              <w:rPr>
                <w:rFonts w:ascii="Arial Narrow" w:hAnsi="Arial Narrow"/>
                <w:sz w:val="18"/>
                <w:szCs w:val="18"/>
                <w:highlight w:val="cyan"/>
              </w:rPr>
            </w:pPr>
            <w:r w:rsidRPr="00E533BC">
              <w:rPr>
                <w:rFonts w:ascii="Arial Narrow" w:hAnsi="Arial Narrow"/>
                <w:color w:val="000000"/>
                <w:sz w:val="18"/>
                <w:szCs w:val="18"/>
              </w:rPr>
              <w:t>0.08</w:t>
            </w:r>
            <w:r>
              <w:rPr>
                <w:rFonts w:ascii="Arial Narrow" w:hAnsi="Arial Narrow"/>
                <w:color w:val="000000"/>
                <w:sz w:val="18"/>
                <w:szCs w:val="18"/>
              </w:rPr>
              <w:t>7</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2D47EB2" w14:textId="77777777">
            <w:pPr>
              <w:jc w:val="center"/>
              <w:rPr>
                <w:rFonts w:ascii="Arial Narrow" w:hAnsi="Arial Narrow"/>
                <w:sz w:val="18"/>
                <w:szCs w:val="18"/>
                <w:highlight w:val="cyan"/>
              </w:rPr>
            </w:pPr>
            <w:r w:rsidRPr="00E533BC">
              <w:rPr>
                <w:rFonts w:ascii="Arial Narrow" w:hAnsi="Arial Narrow"/>
                <w:color w:val="000000"/>
                <w:sz w:val="18"/>
                <w:szCs w:val="18"/>
              </w:rPr>
              <w:t>0.175</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D0D6F7E" w14:textId="77777777">
            <w:pPr>
              <w:jc w:val="center"/>
              <w:rPr>
                <w:rFonts w:ascii="Arial Narrow" w:hAnsi="Arial Narrow"/>
                <w:sz w:val="18"/>
                <w:szCs w:val="18"/>
                <w:highlight w:val="cyan"/>
              </w:rPr>
            </w:pPr>
            <w:r w:rsidRPr="00E533BC">
              <w:rPr>
                <w:rFonts w:ascii="Arial Narrow" w:hAnsi="Arial Narrow"/>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77B264A" w14:textId="77777777">
            <w:pPr>
              <w:jc w:val="center"/>
              <w:rPr>
                <w:rFonts w:ascii="Arial Narrow" w:hAnsi="Arial Narrow"/>
                <w:sz w:val="18"/>
                <w:szCs w:val="18"/>
                <w:highlight w:val="cyan"/>
              </w:rPr>
            </w:pPr>
            <w:r w:rsidRPr="00E533BC">
              <w:rPr>
                <w:rFonts w:ascii="Arial Narrow" w:hAnsi="Arial Narrow"/>
                <w:color w:val="000000"/>
                <w:sz w:val="18"/>
                <w:szCs w:val="18"/>
              </w:rPr>
              <w:t>0.26</w:t>
            </w:r>
            <w:r>
              <w:rPr>
                <w:rFonts w:ascii="Arial Narrow" w:hAnsi="Arial Narrow"/>
                <w:color w:val="000000"/>
                <w:sz w:val="18"/>
                <w:szCs w:val="18"/>
              </w:rPr>
              <w:t>2</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A78C5D6" w14:textId="77777777">
            <w:pPr>
              <w:jc w:val="center"/>
              <w:rPr>
                <w:rFonts w:ascii="Arial Narrow" w:hAnsi="Arial Narrow"/>
                <w:sz w:val="18"/>
                <w:szCs w:val="18"/>
                <w:highlight w:val="cyan"/>
              </w:rPr>
            </w:pPr>
            <w:r>
              <w:rPr>
                <w:rFonts w:ascii="Arial Narrow" w:hAnsi="Arial Narrow" w:cs="Calibri"/>
                <w:color w:val="000000"/>
                <w:sz w:val="18"/>
                <w:szCs w:val="18"/>
              </w:rPr>
              <w:t>0.01582</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64AA499" w14:textId="77777777">
            <w:pPr>
              <w:jc w:val="center"/>
              <w:rPr>
                <w:rFonts w:ascii="Arial Narrow" w:hAnsi="Arial Narrow"/>
                <w:sz w:val="18"/>
                <w:szCs w:val="18"/>
                <w:highlight w:val="cyan"/>
              </w:rPr>
            </w:pPr>
            <w:r>
              <w:rPr>
                <w:rFonts w:ascii="Arial Narrow" w:hAnsi="Arial Narrow" w:cs="Calibri"/>
                <w:color w:val="000000"/>
                <w:sz w:val="18"/>
                <w:szCs w:val="18"/>
              </w:rPr>
              <w:t>0.004</w:t>
            </w:r>
          </w:p>
        </w:tc>
      </w:tr>
      <w:tr w:rsidRPr="00843804" w:rsidR="006C3F6B" w:rsidTr="00976777" w14:paraId="09E148B5"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E533BC" w:rsidR="006C3F6B" w:rsidP="00976777" w:rsidRDefault="006C3F6B" w14:paraId="27592059" w14:textId="77777777">
            <w:pPr>
              <w:rPr>
                <w:rFonts w:ascii="Arial Narrow" w:hAnsi="Arial Narrow" w:cs="Calibri"/>
                <w:color w:val="000000"/>
                <w:sz w:val="18"/>
                <w:szCs w:val="18"/>
              </w:rPr>
            </w:pPr>
            <w:r>
              <w:rPr>
                <w:rFonts w:ascii="Arial Narrow" w:hAnsi="Arial Narrow" w:cs="Calibri"/>
                <w:color w:val="000000"/>
                <w:sz w:val="18"/>
                <w:szCs w:val="18"/>
              </w:rPr>
              <w:t xml:space="preserve">4. </w:t>
            </w:r>
            <w:r w:rsidRPr="00F45073">
              <w:rPr>
                <w:rFonts w:ascii="Arial Narrow" w:hAnsi="Arial Narrow" w:cs="Calibri"/>
                <w:color w:val="000000"/>
                <w:sz w:val="18"/>
                <w:szCs w:val="18"/>
              </w:rPr>
              <w:t xml:space="preserve">Part II </w:t>
            </w:r>
            <w:r w:rsidRPr="003635BC">
              <w:rPr>
                <w:rFonts w:ascii="Arial Narrow" w:hAnsi="Arial Narrow" w:cs="Calibri"/>
                <w:color w:val="000000"/>
                <w:sz w:val="18"/>
                <w:szCs w:val="18"/>
              </w:rPr>
              <w:t xml:space="preserve">Connection CBI Substantiation and Part II </w:t>
            </w:r>
            <w:proofErr w:type="gramStart"/>
            <w:r w:rsidRPr="003635BC">
              <w:rPr>
                <w:rFonts w:ascii="Arial Narrow" w:hAnsi="Arial Narrow" w:cs="Calibri"/>
                <w:color w:val="000000"/>
                <w:sz w:val="18"/>
                <w:szCs w:val="18"/>
              </w:rPr>
              <w:t>Other</w:t>
            </w:r>
            <w:proofErr w:type="gramEnd"/>
            <w:r w:rsidRPr="003635BC">
              <w:rPr>
                <w:rFonts w:ascii="Arial Narrow" w:hAnsi="Arial Narrow" w:cs="Calibri"/>
                <w:color w:val="000000"/>
                <w:sz w:val="18"/>
                <w:szCs w:val="18"/>
              </w:rPr>
              <w:t xml:space="preserve"> CBI Substantiation</w:t>
            </w:r>
            <w:r>
              <w:rPr>
                <w:rFonts w:ascii="Arial Narrow" w:hAnsi="Arial Narrow" w:cs="Calibri"/>
                <w:color w:val="000000"/>
                <w:sz w:val="18"/>
                <w:szCs w:val="18"/>
                <w:vertAlign w:val="superscript"/>
              </w:rPr>
              <w:t>9,10</w:t>
            </w:r>
          </w:p>
        </w:tc>
        <w:tc>
          <w:tcPr>
            <w:tcW w:w="1103" w:type="dxa"/>
            <w:tcBorders>
              <w:top w:val="nil"/>
              <w:left w:val="nil"/>
              <w:bottom w:val="single" w:color="auto" w:sz="4" w:space="0"/>
              <w:right w:val="single" w:color="auto" w:sz="4" w:space="0"/>
            </w:tcBorders>
            <w:shd w:val="clear" w:color="auto" w:fill="auto"/>
            <w:vAlign w:val="center"/>
            <w:hideMark/>
          </w:tcPr>
          <w:p w:rsidRPr="00E533BC" w:rsidR="006C3F6B" w:rsidP="00976777" w:rsidRDefault="006C3F6B" w14:paraId="213AC8AE" w14:textId="77777777">
            <w:pPr>
              <w:rPr>
                <w:rFonts w:ascii="Arial Narrow" w:hAnsi="Arial Narrow"/>
                <w:sz w:val="18"/>
                <w:szCs w:val="18"/>
              </w:rPr>
            </w:pPr>
            <w:r w:rsidRPr="00E533BC">
              <w:rPr>
                <w:rFonts w:ascii="Arial Narrow" w:hAnsi="Arial Narrow" w:cs="Calibri"/>
                <w:color w:val="000000"/>
                <w:sz w:val="18"/>
                <w:szCs w:val="18"/>
              </w:rPr>
              <w:t xml:space="preserve">Chemical </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7318696" w14:textId="77777777">
            <w:pPr>
              <w:jc w:val="center"/>
              <w:rPr>
                <w:rFonts w:ascii="Arial Narrow" w:hAnsi="Arial Narrow"/>
                <w:sz w:val="18"/>
                <w:szCs w:val="18"/>
                <w:highlight w:val="cyan"/>
              </w:rPr>
            </w:pPr>
            <w:r w:rsidRPr="00E533BC">
              <w:rPr>
                <w:rFonts w:ascii="Arial Narrow" w:hAnsi="Arial Narrow"/>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2051E5A" w14:textId="77777777">
            <w:pPr>
              <w:jc w:val="center"/>
              <w:rPr>
                <w:rFonts w:ascii="Arial Narrow" w:hAnsi="Arial Narrow"/>
                <w:sz w:val="18"/>
                <w:szCs w:val="18"/>
                <w:highlight w:val="cyan"/>
              </w:rPr>
            </w:pPr>
            <w:r>
              <w:rPr>
                <w:rFonts w:ascii="Arial Narrow" w:hAnsi="Arial Narrow" w:cs="Calibri"/>
                <w:color w:val="000000"/>
                <w:sz w:val="18"/>
                <w:szCs w:val="18"/>
              </w:rPr>
              <w:t>-0.786</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96A582F" w14:textId="77777777">
            <w:pPr>
              <w:jc w:val="center"/>
              <w:rPr>
                <w:rFonts w:ascii="Arial Narrow" w:hAnsi="Arial Narrow"/>
                <w:sz w:val="18"/>
                <w:szCs w:val="18"/>
                <w:highlight w:val="cyan"/>
              </w:rPr>
            </w:pPr>
            <w:r w:rsidRPr="00E533BC">
              <w:rPr>
                <w:rFonts w:ascii="Arial Narrow" w:hAnsi="Arial Narrow"/>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FC5D5B9" w14:textId="77777777">
            <w:pPr>
              <w:jc w:val="center"/>
              <w:rPr>
                <w:rFonts w:ascii="Arial Narrow" w:hAnsi="Arial Narrow"/>
                <w:sz w:val="18"/>
                <w:szCs w:val="18"/>
                <w:highlight w:val="cyan"/>
              </w:rPr>
            </w:pPr>
            <w:r>
              <w:rPr>
                <w:rFonts w:ascii="Arial Narrow" w:hAnsi="Arial Narrow" w:cs="Calibri"/>
                <w:color w:val="000000"/>
                <w:sz w:val="18"/>
                <w:szCs w:val="18"/>
              </w:rPr>
              <w:t>-0.786</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3A4DB19" w14:textId="77777777">
            <w:pPr>
              <w:jc w:val="center"/>
              <w:rPr>
                <w:rFonts w:ascii="Arial Narrow" w:hAnsi="Arial Narrow"/>
                <w:sz w:val="18"/>
                <w:szCs w:val="18"/>
                <w:highlight w:val="cyan"/>
              </w:rPr>
            </w:pPr>
            <w:r>
              <w:rPr>
                <w:rFonts w:ascii="Arial Narrow" w:hAnsi="Arial Narrow" w:cs="Calibri"/>
                <w:color w:val="000000"/>
                <w:sz w:val="18"/>
                <w:szCs w:val="18"/>
              </w:rPr>
              <w:t>0.45310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6760D18" w14:textId="77777777">
            <w:pPr>
              <w:jc w:val="center"/>
              <w:rPr>
                <w:rFonts w:ascii="Arial Narrow" w:hAnsi="Arial Narrow"/>
                <w:sz w:val="18"/>
                <w:szCs w:val="18"/>
                <w:highlight w:val="cyan"/>
              </w:rPr>
            </w:pPr>
            <w:r>
              <w:rPr>
                <w:rFonts w:ascii="Arial Narrow" w:hAnsi="Arial Narrow" w:cs="Calibri"/>
                <w:color w:val="000000"/>
                <w:sz w:val="18"/>
                <w:szCs w:val="18"/>
              </w:rPr>
              <w:t>-0.356</w:t>
            </w:r>
          </w:p>
        </w:tc>
      </w:tr>
      <w:tr w:rsidRPr="00843804" w:rsidR="006C3F6B" w:rsidTr="00976777" w14:paraId="149C86A4" w14:textId="77777777">
        <w:trPr>
          <w:jc w:val="center"/>
        </w:trPr>
        <w:tc>
          <w:tcPr>
            <w:tcW w:w="2830" w:type="dxa"/>
            <w:tcBorders>
              <w:top w:val="nil"/>
              <w:left w:val="single" w:color="auto" w:sz="4" w:space="0"/>
              <w:bottom w:val="single" w:color="auto" w:sz="4" w:space="0"/>
              <w:right w:val="single" w:color="auto" w:sz="4" w:space="0"/>
            </w:tcBorders>
            <w:shd w:val="clear" w:color="auto" w:fill="auto"/>
            <w:vAlign w:val="center"/>
            <w:hideMark/>
          </w:tcPr>
          <w:p w:rsidRPr="00E533BC" w:rsidR="006C3F6B" w:rsidP="00976777" w:rsidRDefault="006C3F6B" w14:paraId="22AF0C51" w14:textId="77777777">
            <w:pPr>
              <w:rPr>
                <w:rFonts w:ascii="Arial Narrow" w:hAnsi="Arial Narrow" w:cs="Calibri"/>
                <w:color w:val="000000"/>
                <w:sz w:val="18"/>
                <w:szCs w:val="18"/>
              </w:rPr>
            </w:pPr>
            <w:bookmarkStart w:name="_Hlk531190049" w:id="45"/>
            <w:r>
              <w:rPr>
                <w:rFonts w:ascii="Arial Narrow" w:hAnsi="Arial Narrow" w:cs="Calibri"/>
                <w:color w:val="000000"/>
                <w:sz w:val="18"/>
                <w:szCs w:val="18"/>
              </w:rPr>
              <w:t>5. Part III CBI</w:t>
            </w:r>
            <w:r w:rsidRPr="00F45073">
              <w:rPr>
                <w:rFonts w:ascii="Arial Narrow" w:hAnsi="Arial Narrow" w:cs="Calibri"/>
                <w:color w:val="000000"/>
                <w:sz w:val="18"/>
                <w:szCs w:val="18"/>
              </w:rPr>
              <w:t xml:space="preserve"> </w:t>
            </w:r>
            <w:r w:rsidRPr="003635BC">
              <w:rPr>
                <w:rFonts w:ascii="Arial Narrow" w:hAnsi="Arial Narrow" w:cs="Calibri"/>
                <w:color w:val="000000"/>
                <w:sz w:val="18"/>
                <w:szCs w:val="18"/>
              </w:rPr>
              <w:t>Substantiation</w:t>
            </w:r>
            <w:bookmarkEnd w:id="45"/>
            <w:r>
              <w:rPr>
                <w:rFonts w:ascii="Arial Narrow" w:hAnsi="Arial Narrow" w:cs="Calibri"/>
                <w:color w:val="000000"/>
                <w:sz w:val="18"/>
                <w:szCs w:val="18"/>
                <w:vertAlign w:val="superscript"/>
              </w:rPr>
              <w:t>9,11</w:t>
            </w:r>
          </w:p>
        </w:tc>
        <w:tc>
          <w:tcPr>
            <w:tcW w:w="1103" w:type="dxa"/>
            <w:tcBorders>
              <w:top w:val="nil"/>
              <w:left w:val="nil"/>
              <w:bottom w:val="single" w:color="auto" w:sz="4" w:space="0"/>
              <w:right w:val="single" w:color="auto" w:sz="4" w:space="0"/>
            </w:tcBorders>
            <w:shd w:val="clear" w:color="auto" w:fill="auto"/>
            <w:vAlign w:val="center"/>
            <w:hideMark/>
          </w:tcPr>
          <w:p w:rsidRPr="00E533BC" w:rsidR="006C3F6B" w:rsidP="00976777" w:rsidRDefault="006C3F6B" w14:paraId="30783A9F" w14:textId="77777777">
            <w:pPr>
              <w:rPr>
                <w:rFonts w:ascii="Arial Narrow" w:hAnsi="Arial Narrow"/>
                <w:sz w:val="18"/>
                <w:szCs w:val="18"/>
              </w:rPr>
            </w:pPr>
            <w:r w:rsidRPr="00E533BC">
              <w:rPr>
                <w:rFonts w:ascii="Arial Narrow" w:hAnsi="Arial Narrow" w:cs="Calibri"/>
                <w:color w:val="000000"/>
                <w:sz w:val="18"/>
                <w:szCs w:val="18"/>
              </w:rPr>
              <w:t xml:space="preserve">Chemical </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F6DAC46" w14:textId="77777777">
            <w:pPr>
              <w:jc w:val="center"/>
              <w:rPr>
                <w:rFonts w:ascii="Arial Narrow" w:hAnsi="Arial Narrow"/>
                <w:sz w:val="18"/>
                <w:szCs w:val="18"/>
                <w:highlight w:val="cyan"/>
              </w:rPr>
            </w:pPr>
            <w:r w:rsidRPr="00E533BC">
              <w:rPr>
                <w:rFonts w:ascii="Arial Narrow" w:hAnsi="Arial Narrow"/>
                <w:color w:val="000000"/>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D76A9FB" w14:textId="77777777">
            <w:pPr>
              <w:jc w:val="center"/>
              <w:rPr>
                <w:rFonts w:ascii="Arial Narrow" w:hAnsi="Arial Narrow"/>
                <w:sz w:val="18"/>
                <w:szCs w:val="18"/>
                <w:highlight w:val="cyan"/>
              </w:rPr>
            </w:pPr>
            <w:r>
              <w:rPr>
                <w:rFonts w:ascii="Arial Narrow" w:hAnsi="Arial Narrow" w:cs="Calibri"/>
                <w:color w:val="000000"/>
                <w:sz w:val="18"/>
                <w:szCs w:val="18"/>
              </w:rPr>
              <w:t>-0.744</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4C63F6FF" w14:textId="77777777">
            <w:pPr>
              <w:jc w:val="center"/>
              <w:rPr>
                <w:rFonts w:ascii="Arial Narrow" w:hAnsi="Arial Narrow"/>
                <w:sz w:val="18"/>
                <w:szCs w:val="18"/>
                <w:highlight w:val="cyan"/>
              </w:rPr>
            </w:pPr>
            <w:r w:rsidRPr="00E533BC">
              <w:rPr>
                <w:rFonts w:ascii="Arial Narrow" w:hAnsi="Arial Narrow"/>
                <w:color w:val="000000"/>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3207755F" w14:textId="77777777">
            <w:pPr>
              <w:jc w:val="center"/>
              <w:rPr>
                <w:rFonts w:ascii="Arial Narrow" w:hAnsi="Arial Narrow"/>
                <w:sz w:val="18"/>
                <w:szCs w:val="18"/>
                <w:highlight w:val="cyan"/>
              </w:rPr>
            </w:pPr>
            <w:r>
              <w:rPr>
                <w:rFonts w:ascii="Arial Narrow" w:hAnsi="Arial Narrow" w:cs="Calibri"/>
                <w:color w:val="000000"/>
                <w:sz w:val="18"/>
                <w:szCs w:val="18"/>
              </w:rPr>
              <w:t>-0.744</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32E8418" w14:textId="77777777">
            <w:pPr>
              <w:jc w:val="center"/>
              <w:rPr>
                <w:rFonts w:ascii="Arial Narrow" w:hAnsi="Arial Narrow"/>
                <w:sz w:val="18"/>
                <w:szCs w:val="18"/>
                <w:highlight w:val="cyan"/>
              </w:rPr>
            </w:pPr>
            <w:r>
              <w:rPr>
                <w:rFonts w:ascii="Arial Narrow" w:hAnsi="Arial Narrow" w:cs="Calibri"/>
                <w:color w:val="000000"/>
                <w:sz w:val="18"/>
                <w:szCs w:val="18"/>
              </w:rPr>
              <w:t>0.09800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A8E6A9C" w14:textId="77777777">
            <w:pPr>
              <w:jc w:val="center"/>
              <w:rPr>
                <w:rFonts w:ascii="Arial Narrow" w:hAnsi="Arial Narrow"/>
                <w:sz w:val="18"/>
                <w:szCs w:val="18"/>
                <w:highlight w:val="cyan"/>
              </w:rPr>
            </w:pPr>
            <w:r>
              <w:rPr>
                <w:rFonts w:ascii="Arial Narrow" w:hAnsi="Arial Narrow" w:cs="Calibri"/>
                <w:color w:val="000000"/>
                <w:sz w:val="18"/>
                <w:szCs w:val="18"/>
              </w:rPr>
              <w:t>-0.073</w:t>
            </w:r>
          </w:p>
        </w:tc>
      </w:tr>
      <w:tr w:rsidRPr="00843804" w:rsidR="006C3F6B" w:rsidTr="00976777" w14:paraId="390ADF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8"/>
            <w:tcBorders>
              <w:top w:val="nil"/>
              <w:left w:val="single" w:color="auto" w:sz="4" w:space="0"/>
              <w:bottom w:val="single" w:color="auto" w:sz="4" w:space="0"/>
              <w:right w:val="single" w:color="auto" w:sz="4" w:space="0"/>
            </w:tcBorders>
            <w:shd w:val="clear" w:color="auto" w:fill="auto"/>
            <w:noWrap/>
            <w:vAlign w:val="center"/>
            <w:hideMark/>
          </w:tcPr>
          <w:p w:rsidRPr="003075BE" w:rsidR="006C3F6B" w:rsidP="00976777" w:rsidRDefault="006C3F6B" w14:paraId="53E5FC3F" w14:textId="77777777">
            <w:pPr>
              <w:rPr>
                <w:rFonts w:ascii="Arial Narrow" w:hAnsi="Arial Narrow"/>
                <w:sz w:val="18"/>
                <w:szCs w:val="18"/>
              </w:rPr>
            </w:pPr>
            <w:r w:rsidRPr="00F45073">
              <w:rPr>
                <w:rFonts w:ascii="Arial Narrow" w:hAnsi="Arial Narrow"/>
                <w:b/>
                <w:sz w:val="18"/>
                <w:szCs w:val="18"/>
              </w:rPr>
              <w:t>Byproduct</w:t>
            </w:r>
            <w:r w:rsidRPr="003635BC">
              <w:rPr>
                <w:rFonts w:ascii="Arial Narrow" w:hAnsi="Arial Narrow"/>
                <w:b/>
                <w:sz w:val="18"/>
                <w:szCs w:val="18"/>
              </w:rPr>
              <w:t xml:space="preserve"> Exemptions</w:t>
            </w:r>
          </w:p>
        </w:tc>
      </w:tr>
      <w:tr w:rsidRPr="00843804" w:rsidR="006C3F6B" w:rsidTr="00976777" w14:paraId="1AEEDD3A" w14:textId="77777777">
        <w:trPr>
          <w:jc w:val="center"/>
        </w:trPr>
        <w:tc>
          <w:tcPr>
            <w:tcW w:w="2830" w:type="dxa"/>
            <w:tcBorders>
              <w:top w:val="nil"/>
              <w:left w:val="single" w:color="auto" w:sz="4" w:space="0"/>
              <w:bottom w:val="single" w:color="auto" w:sz="4" w:space="0"/>
              <w:right w:val="single" w:color="auto" w:sz="4" w:space="0"/>
            </w:tcBorders>
            <w:shd w:val="clear" w:color="auto" w:fill="auto"/>
            <w:noWrap/>
            <w:vAlign w:val="center"/>
            <w:hideMark/>
          </w:tcPr>
          <w:p w:rsidRPr="00F45073" w:rsidR="006C3F6B" w:rsidP="00976777" w:rsidRDefault="006C3F6B" w14:paraId="7127005E" w14:textId="77777777">
            <w:pPr>
              <w:rPr>
                <w:rFonts w:ascii="Arial Narrow" w:hAnsi="Arial Narrow"/>
                <w:sz w:val="18"/>
                <w:szCs w:val="18"/>
              </w:rPr>
            </w:pPr>
            <w:r>
              <w:rPr>
                <w:rFonts w:ascii="Arial Narrow" w:hAnsi="Arial Narrow"/>
                <w:sz w:val="18"/>
                <w:szCs w:val="18"/>
              </w:rPr>
              <w:t xml:space="preserve">1. </w:t>
            </w:r>
            <w:r w:rsidRPr="00F45073">
              <w:rPr>
                <w:rFonts w:ascii="Arial Narrow" w:hAnsi="Arial Narrow"/>
                <w:sz w:val="18"/>
                <w:szCs w:val="18"/>
              </w:rPr>
              <w:t>Rule Familiarization</w:t>
            </w:r>
            <w:r w:rsidRPr="003635BC">
              <w:rPr>
                <w:rFonts w:ascii="Arial Narrow" w:hAnsi="Arial Narrow"/>
                <w:sz w:val="18"/>
                <w:szCs w:val="18"/>
              </w:rPr>
              <w:t xml:space="preserve"> increase due to increased regulatory complexity</w:t>
            </w:r>
            <w:r w:rsidRPr="00912B62">
              <w:rPr>
                <w:rFonts w:ascii="Arial Narrow" w:hAnsi="Arial Narrow"/>
                <w:sz w:val="18"/>
                <w:szCs w:val="18"/>
                <w:vertAlign w:val="superscript"/>
              </w:rPr>
              <w:t>1</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00460858" w14:textId="77777777">
            <w:pPr>
              <w:rPr>
                <w:rFonts w:ascii="Arial Narrow" w:hAnsi="Arial Narrow"/>
                <w:sz w:val="18"/>
                <w:szCs w:val="18"/>
              </w:rPr>
            </w:pPr>
            <w:r w:rsidRPr="009F03C9">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9BAC48E" w14:textId="77777777">
            <w:pPr>
              <w:jc w:val="center"/>
              <w:rPr>
                <w:rFonts w:ascii="Arial Narrow" w:hAnsi="Arial Narrow"/>
                <w:sz w:val="18"/>
                <w:szCs w:val="18"/>
              </w:rPr>
            </w:pPr>
            <w:r w:rsidRPr="00E533BC">
              <w:rPr>
                <w:rFonts w:ascii="Arial Narrow" w:hAnsi="Arial Narrow"/>
                <w:sz w:val="18"/>
                <w:szCs w:val="18"/>
              </w:rPr>
              <w:t>0.000</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D1331FD" w14:textId="77777777">
            <w:pPr>
              <w:jc w:val="center"/>
              <w:rPr>
                <w:rFonts w:ascii="Arial Narrow" w:hAnsi="Arial Narrow"/>
                <w:sz w:val="18"/>
                <w:szCs w:val="18"/>
              </w:rPr>
            </w:pPr>
            <w:r w:rsidRPr="00E533BC">
              <w:rPr>
                <w:rFonts w:ascii="Arial Narrow" w:hAnsi="Arial Narrow"/>
                <w:sz w:val="18"/>
                <w:szCs w:val="18"/>
              </w:rPr>
              <w:t>0.000</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47173CF"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1F74A165" w14:textId="77777777">
            <w:pPr>
              <w:jc w:val="center"/>
              <w:rPr>
                <w:rFonts w:ascii="Arial Narrow" w:hAnsi="Arial Narrow"/>
                <w:sz w:val="18"/>
                <w:szCs w:val="18"/>
              </w:rPr>
            </w:pPr>
            <w:r w:rsidRPr="00E533BC">
              <w:rPr>
                <w:rFonts w:ascii="Arial Narrow" w:hAnsi="Arial Narrow"/>
                <w:sz w:val="18"/>
                <w:szCs w:val="18"/>
              </w:rPr>
              <w:t>0.000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8606752" w14:textId="77777777">
            <w:pPr>
              <w:jc w:val="center"/>
              <w:rPr>
                <w:rFonts w:ascii="Arial Narrow" w:hAnsi="Arial Narrow"/>
                <w:sz w:val="18"/>
                <w:szCs w:val="18"/>
              </w:rPr>
            </w:pPr>
            <w:r w:rsidRPr="00E533BC">
              <w:rPr>
                <w:rFonts w:ascii="Arial Narrow" w:hAnsi="Arial Narrow"/>
                <w:sz w:val="18"/>
                <w:szCs w:val="18"/>
              </w:rPr>
              <w:t>1.000</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568A782" w14:textId="77777777">
            <w:pPr>
              <w:jc w:val="center"/>
              <w:rPr>
                <w:rFonts w:ascii="Arial Narrow" w:hAnsi="Arial Narrow"/>
                <w:sz w:val="18"/>
                <w:szCs w:val="18"/>
              </w:rPr>
            </w:pPr>
            <w:r w:rsidRPr="00E533BC">
              <w:rPr>
                <w:rFonts w:ascii="Arial Narrow" w:hAnsi="Arial Narrow"/>
                <w:sz w:val="18"/>
                <w:szCs w:val="18"/>
              </w:rPr>
              <w:t>0.000</w:t>
            </w:r>
          </w:p>
        </w:tc>
      </w:tr>
      <w:tr w:rsidRPr="00843804" w:rsidR="006C3F6B" w:rsidTr="00976777" w14:paraId="6A9B298F" w14:textId="77777777">
        <w:trPr>
          <w:jc w:val="center"/>
        </w:trPr>
        <w:tc>
          <w:tcPr>
            <w:tcW w:w="2830" w:type="dxa"/>
            <w:tcBorders>
              <w:top w:val="nil"/>
              <w:left w:val="single" w:color="auto" w:sz="4" w:space="0"/>
              <w:bottom w:val="single" w:color="auto" w:sz="4" w:space="0"/>
              <w:right w:val="single" w:color="auto" w:sz="4" w:space="0"/>
            </w:tcBorders>
            <w:shd w:val="clear" w:color="auto" w:fill="auto"/>
            <w:noWrap/>
            <w:vAlign w:val="center"/>
            <w:hideMark/>
          </w:tcPr>
          <w:p w:rsidRPr="003635BC" w:rsidR="006C3F6B" w:rsidP="00976777" w:rsidRDefault="006C3F6B" w14:paraId="58A9B9FC" w14:textId="77777777">
            <w:pPr>
              <w:rPr>
                <w:rFonts w:ascii="Arial Narrow" w:hAnsi="Arial Narrow"/>
                <w:sz w:val="18"/>
                <w:szCs w:val="18"/>
              </w:rPr>
            </w:pPr>
            <w:r>
              <w:rPr>
                <w:rFonts w:ascii="Arial Narrow" w:hAnsi="Arial Narrow"/>
                <w:sz w:val="18"/>
                <w:szCs w:val="18"/>
              </w:rPr>
              <w:t xml:space="preserve">2. </w:t>
            </w:r>
            <w:r w:rsidRPr="00F45073">
              <w:rPr>
                <w:rFonts w:ascii="Arial Narrow" w:hAnsi="Arial Narrow"/>
                <w:sz w:val="18"/>
                <w:szCs w:val="18"/>
              </w:rPr>
              <w:t xml:space="preserve">Compliance Determination increase </w:t>
            </w:r>
            <w:r w:rsidRPr="003635BC">
              <w:rPr>
                <w:rFonts w:ascii="Arial Narrow" w:hAnsi="Arial Narrow"/>
                <w:sz w:val="18"/>
                <w:szCs w:val="18"/>
              </w:rPr>
              <w:t>due to increased regulatory complexity</w:t>
            </w:r>
            <w:r>
              <w:rPr>
                <w:rFonts w:ascii="Arial Narrow" w:hAnsi="Arial Narrow"/>
                <w:sz w:val="18"/>
                <w:szCs w:val="18"/>
                <w:vertAlign w:val="superscript"/>
              </w:rPr>
              <w:t>12</w:t>
            </w:r>
          </w:p>
        </w:tc>
        <w:tc>
          <w:tcPr>
            <w:tcW w:w="1103" w:type="dxa"/>
            <w:tcBorders>
              <w:top w:val="nil"/>
              <w:left w:val="nil"/>
              <w:bottom w:val="single" w:color="auto" w:sz="4" w:space="0"/>
              <w:right w:val="single" w:color="auto" w:sz="4" w:space="0"/>
            </w:tcBorders>
            <w:shd w:val="clear" w:color="auto" w:fill="auto"/>
            <w:vAlign w:val="center"/>
            <w:hideMark/>
          </w:tcPr>
          <w:p w:rsidRPr="003075BE" w:rsidR="006C3F6B" w:rsidP="00976777" w:rsidRDefault="006C3F6B" w14:paraId="0250D011" w14:textId="77777777">
            <w:pPr>
              <w:rPr>
                <w:rFonts w:ascii="Arial Narrow" w:hAnsi="Arial Narrow"/>
                <w:sz w:val="18"/>
                <w:szCs w:val="18"/>
              </w:rPr>
            </w:pPr>
            <w:r w:rsidRPr="009F03C9">
              <w:rPr>
                <w:rFonts w:ascii="Arial Narrow" w:hAnsi="Arial Narrow"/>
                <w:sz w:val="18"/>
                <w:szCs w:val="18"/>
              </w:rPr>
              <w:t>Site</w:t>
            </w:r>
          </w:p>
        </w:tc>
        <w:tc>
          <w:tcPr>
            <w:tcW w:w="99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714AD5A5" w14:textId="77777777">
            <w:pPr>
              <w:jc w:val="center"/>
              <w:rPr>
                <w:rFonts w:ascii="Arial Narrow" w:hAnsi="Arial Narrow"/>
                <w:sz w:val="18"/>
                <w:szCs w:val="18"/>
              </w:rPr>
            </w:pPr>
            <w:r w:rsidRPr="00E533BC">
              <w:rPr>
                <w:rFonts w:ascii="Arial Narrow" w:hAnsi="Arial Narrow"/>
                <w:sz w:val="18"/>
                <w:szCs w:val="18"/>
              </w:rPr>
              <w:t>0.308</w:t>
            </w:r>
          </w:p>
        </w:tc>
        <w:tc>
          <w:tcPr>
            <w:tcW w:w="84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EF300FF" w14:textId="77777777">
            <w:pPr>
              <w:jc w:val="center"/>
              <w:rPr>
                <w:rFonts w:ascii="Arial Narrow" w:hAnsi="Arial Narrow"/>
                <w:sz w:val="18"/>
                <w:szCs w:val="18"/>
              </w:rPr>
            </w:pPr>
            <w:r w:rsidRPr="00E533BC">
              <w:rPr>
                <w:rFonts w:ascii="Arial Narrow" w:hAnsi="Arial Narrow"/>
                <w:sz w:val="18"/>
                <w:szCs w:val="18"/>
              </w:rPr>
              <w:t>0.692</w:t>
            </w:r>
          </w:p>
        </w:tc>
        <w:tc>
          <w:tcPr>
            <w:tcW w:w="879"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2B7A1054" w14:textId="77777777">
            <w:pPr>
              <w:jc w:val="center"/>
              <w:rPr>
                <w:rFonts w:ascii="Arial Narrow" w:hAnsi="Arial Narrow"/>
                <w:sz w:val="18"/>
                <w:szCs w:val="18"/>
              </w:rPr>
            </w:pPr>
            <w:r w:rsidRPr="00E533BC">
              <w:rPr>
                <w:rFonts w:ascii="Arial Narrow" w:hAnsi="Arial Narrow"/>
                <w:sz w:val="18"/>
                <w:szCs w:val="18"/>
              </w:rPr>
              <w:t>0.000</w:t>
            </w:r>
          </w:p>
        </w:tc>
        <w:tc>
          <w:tcPr>
            <w:tcW w:w="1013"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04D12A41" w14:textId="77777777">
            <w:pPr>
              <w:jc w:val="center"/>
              <w:rPr>
                <w:rFonts w:ascii="Arial Narrow" w:hAnsi="Arial Narrow"/>
                <w:sz w:val="18"/>
                <w:szCs w:val="18"/>
              </w:rPr>
            </w:pPr>
            <w:r w:rsidRPr="00E533BC">
              <w:rPr>
                <w:rFonts w:ascii="Arial Narrow" w:hAnsi="Arial Narrow"/>
                <w:sz w:val="18"/>
                <w:szCs w:val="18"/>
              </w:rPr>
              <w:t>1.000</w:t>
            </w:r>
          </w:p>
        </w:tc>
        <w:tc>
          <w:tcPr>
            <w:tcW w:w="1184"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674EBAE1" w14:textId="77777777">
            <w:pPr>
              <w:jc w:val="center"/>
              <w:rPr>
                <w:rFonts w:ascii="Arial Narrow" w:hAnsi="Arial Narrow"/>
                <w:sz w:val="18"/>
                <w:szCs w:val="18"/>
              </w:rPr>
            </w:pPr>
            <w:r w:rsidRPr="00E533BC">
              <w:rPr>
                <w:rFonts w:ascii="Arial Narrow" w:hAnsi="Arial Narrow"/>
                <w:sz w:val="18"/>
                <w:szCs w:val="18"/>
              </w:rPr>
              <w:t>0.40</w:t>
            </w:r>
            <w:r>
              <w:rPr>
                <w:rFonts w:ascii="Arial Narrow" w:hAnsi="Arial Narrow"/>
                <w:sz w:val="18"/>
                <w:szCs w:val="18"/>
              </w:rPr>
              <w:t>37</w:t>
            </w:r>
          </w:p>
        </w:tc>
        <w:tc>
          <w:tcPr>
            <w:tcW w:w="1227" w:type="dxa"/>
            <w:tcBorders>
              <w:top w:val="nil"/>
              <w:left w:val="nil"/>
              <w:bottom w:val="single" w:color="auto" w:sz="4" w:space="0"/>
              <w:right w:val="single" w:color="auto" w:sz="4" w:space="0"/>
            </w:tcBorders>
            <w:shd w:val="clear" w:color="auto" w:fill="auto"/>
            <w:noWrap/>
            <w:vAlign w:val="center"/>
            <w:hideMark/>
          </w:tcPr>
          <w:p w:rsidRPr="00E533BC" w:rsidR="006C3F6B" w:rsidP="00976777" w:rsidRDefault="006C3F6B" w14:paraId="52643D94" w14:textId="77777777">
            <w:pPr>
              <w:jc w:val="center"/>
              <w:rPr>
                <w:rFonts w:ascii="Arial Narrow" w:hAnsi="Arial Narrow"/>
                <w:sz w:val="18"/>
                <w:szCs w:val="18"/>
              </w:rPr>
            </w:pPr>
            <w:r>
              <w:rPr>
                <w:rFonts w:ascii="Arial Narrow" w:hAnsi="Arial Narrow"/>
                <w:sz w:val="18"/>
                <w:szCs w:val="18"/>
              </w:rPr>
              <w:t>N/A</w:t>
            </w:r>
          </w:p>
        </w:tc>
      </w:tr>
      <w:tr w:rsidRPr="00843804" w:rsidR="006C3F6B" w:rsidTr="00976777" w14:paraId="6A2142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8"/>
            <w:tcBorders>
              <w:top w:val="single" w:color="auto" w:sz="4" w:space="0"/>
              <w:bottom w:val="single" w:color="auto" w:sz="4" w:space="0"/>
            </w:tcBorders>
            <w:shd w:val="clear" w:color="auto" w:fill="auto"/>
          </w:tcPr>
          <w:p w:rsidR="006C3F6B" w:rsidP="00976777" w:rsidRDefault="006C3F6B" w14:paraId="5D964823" w14:textId="77777777">
            <w:pPr>
              <w:rPr>
                <w:rFonts w:ascii="Arial Narrow" w:hAnsi="Arial Narrow"/>
                <w:sz w:val="18"/>
                <w:szCs w:val="18"/>
              </w:rPr>
            </w:pPr>
            <w:bookmarkStart w:name="_Hlk521322437" w:id="46"/>
            <w:r>
              <w:rPr>
                <w:rFonts w:ascii="Arial Narrow" w:hAnsi="Arial Narrow"/>
                <w:sz w:val="18"/>
                <w:szCs w:val="18"/>
              </w:rPr>
              <w:t>General Note:</w:t>
            </w:r>
          </w:p>
          <w:p w:rsidR="006C3F6B" w:rsidP="00976777" w:rsidRDefault="006C3F6B" w14:paraId="695A43D9" w14:textId="77777777">
            <w:pPr>
              <w:pStyle w:val="ListParagraph"/>
              <w:numPr>
                <w:ilvl w:val="0"/>
                <w:numId w:val="46"/>
              </w:numPr>
              <w:spacing w:before="20" w:after="20"/>
              <w:ind w:left="144" w:hanging="144"/>
              <w:rPr>
                <w:rFonts w:ascii="Arial Narrow" w:hAnsi="Arial Narrow"/>
                <w:sz w:val="18"/>
                <w:szCs w:val="18"/>
              </w:rPr>
            </w:pPr>
            <w:r>
              <w:rPr>
                <w:rFonts w:ascii="Arial Narrow" w:hAnsi="Arial Narrow"/>
                <w:sz w:val="18"/>
                <w:szCs w:val="18"/>
              </w:rPr>
              <w:t>For additional details on development and assumptions associated with items in this table, see the source EA (EPA, 2019).</w:t>
            </w:r>
          </w:p>
          <w:p w:rsidRPr="00D617F5" w:rsidR="006C3F6B" w:rsidP="00976777" w:rsidRDefault="006C3F6B" w14:paraId="46E9D391" w14:textId="77777777">
            <w:pPr>
              <w:pStyle w:val="ListParagraph"/>
              <w:numPr>
                <w:ilvl w:val="0"/>
                <w:numId w:val="46"/>
              </w:numPr>
              <w:spacing w:before="20" w:after="20"/>
              <w:ind w:left="144" w:hanging="144"/>
              <w:rPr>
                <w:rFonts w:ascii="Arial Narrow" w:hAnsi="Arial Narrow"/>
                <w:sz w:val="18"/>
                <w:szCs w:val="18"/>
              </w:rPr>
            </w:pPr>
            <w:r>
              <w:rPr>
                <w:rFonts w:ascii="Arial Narrow" w:hAnsi="Arial Narrow"/>
                <w:sz w:val="18"/>
                <w:szCs w:val="18"/>
              </w:rPr>
              <w:t>This table uses the 2016 CDR Form U designations.  See the appropriate footnote for the 2020 CDR Form U designation.</w:t>
            </w:r>
          </w:p>
          <w:p w:rsidRPr="003635BC" w:rsidR="006C3F6B" w:rsidP="00976777" w:rsidRDefault="006C3F6B" w14:paraId="1366458F" w14:textId="77777777">
            <w:pPr>
              <w:rPr>
                <w:rFonts w:ascii="Arial Narrow" w:hAnsi="Arial Narrow"/>
                <w:sz w:val="18"/>
                <w:szCs w:val="18"/>
              </w:rPr>
            </w:pPr>
            <w:r w:rsidRPr="003635BC">
              <w:rPr>
                <w:rFonts w:ascii="Arial Narrow" w:hAnsi="Arial Narrow"/>
                <w:sz w:val="18"/>
                <w:szCs w:val="18"/>
              </w:rPr>
              <w:t>Footnotes:</w:t>
            </w:r>
          </w:p>
          <w:p w:rsidRPr="00E533BC" w:rsidR="006C3F6B" w:rsidP="00976777" w:rsidRDefault="006C3F6B" w14:paraId="5587374B" w14:textId="77777777">
            <w:pPr>
              <w:ind w:left="220" w:hanging="220"/>
              <w:rPr>
                <w:rFonts w:ascii="Arial Narrow" w:hAnsi="Arial Narrow"/>
                <w:sz w:val="18"/>
                <w:szCs w:val="18"/>
              </w:rPr>
            </w:pPr>
            <w:r w:rsidRPr="00912B62">
              <w:rPr>
                <w:rFonts w:ascii="Arial Narrow" w:hAnsi="Arial Narrow"/>
                <w:sz w:val="18"/>
                <w:szCs w:val="18"/>
                <w:vertAlign w:val="superscript"/>
              </w:rPr>
              <w:t>1</w:t>
            </w:r>
            <w:r>
              <w:rPr>
                <w:rFonts w:ascii="Arial Narrow" w:hAnsi="Arial Narrow"/>
                <w:sz w:val="18"/>
                <w:szCs w:val="18"/>
              </w:rPr>
              <w:tab/>
            </w:r>
            <w:r w:rsidRPr="00F45073">
              <w:rPr>
                <w:rFonts w:ascii="Arial Narrow" w:hAnsi="Arial Narrow"/>
                <w:sz w:val="18"/>
                <w:szCs w:val="18"/>
              </w:rPr>
              <w:t xml:space="preserve">No incremental rule familiarization </w:t>
            </w:r>
            <w:r>
              <w:rPr>
                <w:rFonts w:ascii="Arial Narrow" w:hAnsi="Arial Narrow"/>
                <w:sz w:val="18"/>
                <w:szCs w:val="18"/>
              </w:rPr>
              <w:t xml:space="preserve">associated with reportable data elements </w:t>
            </w:r>
            <w:r w:rsidRPr="00F45073">
              <w:rPr>
                <w:rFonts w:ascii="Arial Narrow" w:hAnsi="Arial Narrow"/>
                <w:sz w:val="18"/>
                <w:szCs w:val="18"/>
              </w:rPr>
              <w:t xml:space="preserve">is assumed for </w:t>
            </w:r>
            <w:r w:rsidRPr="003635BC">
              <w:rPr>
                <w:rFonts w:ascii="Arial Narrow" w:hAnsi="Arial Narrow"/>
                <w:sz w:val="18"/>
                <w:szCs w:val="18"/>
              </w:rPr>
              <w:t xml:space="preserve">experienced </w:t>
            </w:r>
            <w:r w:rsidRPr="00A47D48">
              <w:rPr>
                <w:rFonts w:ascii="Arial Narrow" w:hAnsi="Arial Narrow"/>
                <w:sz w:val="18"/>
                <w:szCs w:val="18"/>
              </w:rPr>
              <w:t xml:space="preserve">reporters in </w:t>
            </w:r>
            <w:r w:rsidRPr="00D72FFB">
              <w:rPr>
                <w:rFonts w:ascii="Arial Narrow" w:hAnsi="Arial Narrow"/>
                <w:sz w:val="18"/>
                <w:szCs w:val="18"/>
              </w:rPr>
              <w:t>the se</w:t>
            </w:r>
            <w:r w:rsidRPr="00DD6830">
              <w:rPr>
                <w:rFonts w:ascii="Arial Narrow" w:hAnsi="Arial Narrow"/>
                <w:sz w:val="18"/>
                <w:szCs w:val="18"/>
              </w:rPr>
              <w:t>cond and</w:t>
            </w:r>
            <w:r w:rsidRPr="00A47D48">
              <w:rPr>
                <w:rFonts w:ascii="Arial Narrow" w:hAnsi="Arial Narrow"/>
                <w:sz w:val="18"/>
                <w:szCs w:val="18"/>
              </w:rPr>
              <w:t xml:space="preserve"> future cycles as baseline rule familiarization provides familiarity with the requirement that they must submit information on Form U.</w:t>
            </w:r>
          </w:p>
          <w:p w:rsidR="006C3F6B" w:rsidP="00976777" w:rsidRDefault="006C3F6B" w14:paraId="3F6128DD" w14:textId="77777777">
            <w:pPr>
              <w:ind w:left="216" w:hanging="216"/>
              <w:rPr>
                <w:rFonts w:ascii="Arial Narrow" w:hAnsi="Arial Narrow"/>
                <w:sz w:val="18"/>
                <w:szCs w:val="18"/>
              </w:rPr>
            </w:pPr>
            <w:r w:rsidRPr="00912B62">
              <w:rPr>
                <w:rFonts w:ascii="Arial Narrow" w:hAnsi="Arial Narrow"/>
                <w:sz w:val="18"/>
                <w:szCs w:val="18"/>
                <w:vertAlign w:val="superscript"/>
              </w:rPr>
              <w:t>2</w:t>
            </w:r>
            <w:r>
              <w:rPr>
                <w:rFonts w:ascii="Arial Narrow" w:hAnsi="Arial Narrow"/>
                <w:sz w:val="18"/>
                <w:szCs w:val="18"/>
              </w:rPr>
              <w:tab/>
            </w:r>
            <w:r w:rsidRPr="00F45073">
              <w:rPr>
                <w:rFonts w:ascii="Arial Narrow" w:hAnsi="Arial Narrow"/>
                <w:sz w:val="18"/>
                <w:szCs w:val="18"/>
              </w:rPr>
              <w:t>No incremental compliance determination</w:t>
            </w:r>
            <w:r w:rsidRPr="003635BC">
              <w:rPr>
                <w:rFonts w:ascii="Arial Narrow" w:hAnsi="Arial Narrow"/>
                <w:sz w:val="18"/>
                <w:szCs w:val="18"/>
              </w:rPr>
              <w:t xml:space="preserve"> is assumed for experienced reporters </w:t>
            </w:r>
            <w:r>
              <w:rPr>
                <w:rFonts w:ascii="Arial Narrow" w:hAnsi="Arial Narrow"/>
                <w:sz w:val="18"/>
                <w:szCs w:val="18"/>
              </w:rPr>
              <w:t xml:space="preserve">(or new reporters) </w:t>
            </w:r>
            <w:r w:rsidRPr="003635BC">
              <w:rPr>
                <w:rFonts w:ascii="Arial Narrow" w:hAnsi="Arial Narrow"/>
                <w:sz w:val="18"/>
                <w:szCs w:val="18"/>
              </w:rPr>
              <w:t xml:space="preserve">as </w:t>
            </w:r>
            <w:r>
              <w:rPr>
                <w:rFonts w:ascii="Arial Narrow" w:hAnsi="Arial Narrow"/>
                <w:sz w:val="18"/>
                <w:szCs w:val="18"/>
              </w:rPr>
              <w:t xml:space="preserve">baseline compliance determination covers all required compliance activities (i.e., reporters have already surmised that they need to complete a Form U). </w:t>
            </w:r>
          </w:p>
          <w:p w:rsidRPr="00E533BC" w:rsidR="006C3F6B" w:rsidP="00976777" w:rsidRDefault="006C3F6B" w14:paraId="0D69805A" w14:textId="77777777">
            <w:pPr>
              <w:ind w:left="216" w:hanging="216"/>
              <w:rPr>
                <w:rFonts w:ascii="Arial Narrow" w:hAnsi="Arial Narrow"/>
                <w:sz w:val="18"/>
                <w:szCs w:val="18"/>
              </w:rPr>
            </w:pPr>
            <w:r w:rsidRPr="00912B62">
              <w:rPr>
                <w:rFonts w:ascii="Arial Narrow" w:hAnsi="Arial Narrow"/>
                <w:sz w:val="18"/>
                <w:szCs w:val="18"/>
                <w:vertAlign w:val="superscript"/>
              </w:rPr>
              <w:t>3</w:t>
            </w:r>
            <w:r>
              <w:rPr>
                <w:rFonts w:ascii="Arial Narrow" w:hAnsi="Arial Narrow"/>
                <w:sz w:val="18"/>
                <w:szCs w:val="18"/>
                <w:vertAlign w:val="superscript"/>
              </w:rPr>
              <w:tab/>
            </w:r>
            <w:r>
              <w:rPr>
                <w:rFonts w:ascii="Arial Narrow" w:hAnsi="Arial Narrow"/>
                <w:sz w:val="18"/>
                <w:szCs w:val="18"/>
              </w:rPr>
              <w:t xml:space="preserve">The source of this estimate is the </w:t>
            </w:r>
            <w:r w:rsidRPr="0091185D">
              <w:rPr>
                <w:rFonts w:ascii="Arial Narrow" w:hAnsi="Arial Narrow"/>
                <w:sz w:val="18"/>
                <w:szCs w:val="18"/>
              </w:rPr>
              <w:t>TRI estimate</w:t>
            </w:r>
            <w:r>
              <w:rPr>
                <w:rFonts w:ascii="Arial Narrow" w:hAnsi="Arial Narrow"/>
                <w:sz w:val="18"/>
                <w:szCs w:val="18"/>
              </w:rPr>
              <w:t xml:space="preserve"> per EPA (2011) Appendix A list of standardized time estimates, with proportions of Managerial, Technical, and Clerical as presented in Appendix G of that document. </w:t>
            </w:r>
          </w:p>
          <w:p w:rsidR="006C3F6B" w:rsidP="00976777" w:rsidRDefault="006C3F6B" w14:paraId="236DBCE9" w14:textId="77777777">
            <w:pPr>
              <w:ind w:left="216" w:hanging="216"/>
              <w:rPr>
                <w:rFonts w:ascii="Arial Narrow" w:hAnsi="Arial Narrow"/>
                <w:sz w:val="18"/>
                <w:szCs w:val="18"/>
              </w:rPr>
            </w:pPr>
            <w:r w:rsidRPr="00912B62">
              <w:rPr>
                <w:rFonts w:ascii="Arial Narrow" w:hAnsi="Arial Narrow"/>
                <w:sz w:val="18"/>
                <w:szCs w:val="18"/>
                <w:vertAlign w:val="superscript"/>
              </w:rPr>
              <w:t>4</w:t>
            </w:r>
            <w:r>
              <w:rPr>
                <w:rFonts w:ascii="Arial Narrow" w:hAnsi="Arial Narrow"/>
                <w:sz w:val="18"/>
                <w:szCs w:val="18"/>
                <w:vertAlign w:val="superscript"/>
              </w:rPr>
              <w:tab/>
            </w:r>
            <w:r w:rsidRPr="003B7CF6">
              <w:rPr>
                <w:rFonts w:ascii="Arial Narrow" w:hAnsi="Arial Narrow"/>
                <w:sz w:val="18"/>
                <w:szCs w:val="18"/>
              </w:rPr>
              <w:t>B</w:t>
            </w:r>
            <w:r w:rsidRPr="0094186A">
              <w:rPr>
                <w:rFonts w:ascii="Arial Narrow" w:hAnsi="Arial Narrow"/>
                <w:sz w:val="18"/>
                <w:szCs w:val="18"/>
              </w:rPr>
              <w:t>est professional judgment</w:t>
            </w:r>
            <w:r w:rsidRPr="0091185D">
              <w:rPr>
                <w:rFonts w:ascii="Arial Narrow" w:hAnsi="Arial Narrow"/>
                <w:sz w:val="18"/>
                <w:szCs w:val="18"/>
              </w:rPr>
              <w:t xml:space="preserve"> finds that it is appropriate to assume th</w:t>
            </w:r>
            <w:r>
              <w:rPr>
                <w:rFonts w:ascii="Arial Narrow" w:hAnsi="Arial Narrow"/>
                <w:sz w:val="18"/>
                <w:szCs w:val="18"/>
              </w:rPr>
              <w:t xml:space="preserve">at the burden of determining the percentage of production volume that is a byproduct </w:t>
            </w:r>
            <w:r w:rsidRPr="0091185D">
              <w:rPr>
                <w:rFonts w:ascii="Arial Narrow" w:hAnsi="Arial Narrow"/>
                <w:sz w:val="18"/>
                <w:szCs w:val="18"/>
              </w:rPr>
              <w:t>is equal to the estimate for Part II "Volume Exported</w:t>
            </w:r>
            <w:r>
              <w:rPr>
                <w:rFonts w:ascii="Arial Narrow" w:hAnsi="Arial Narrow"/>
                <w:sz w:val="18"/>
                <w:szCs w:val="18"/>
              </w:rPr>
              <w:t>,</w:t>
            </w:r>
            <w:r w:rsidRPr="0091185D">
              <w:rPr>
                <w:rFonts w:ascii="Arial Narrow" w:hAnsi="Arial Narrow"/>
                <w:sz w:val="18"/>
                <w:szCs w:val="18"/>
              </w:rPr>
              <w:t xml:space="preserve">" because </w:t>
            </w:r>
            <w:r>
              <w:rPr>
                <w:rFonts w:ascii="Arial Narrow" w:hAnsi="Arial Narrow"/>
                <w:sz w:val="18"/>
                <w:szCs w:val="18"/>
              </w:rPr>
              <w:t xml:space="preserve">other percent production </w:t>
            </w:r>
            <w:r w:rsidRPr="0091185D">
              <w:rPr>
                <w:rFonts w:ascii="Arial Narrow" w:hAnsi="Arial Narrow"/>
                <w:sz w:val="18"/>
                <w:szCs w:val="18"/>
              </w:rPr>
              <w:t xml:space="preserve">volume </w:t>
            </w:r>
            <w:r>
              <w:rPr>
                <w:rFonts w:ascii="Arial Narrow" w:hAnsi="Arial Narrow"/>
                <w:sz w:val="18"/>
                <w:szCs w:val="18"/>
              </w:rPr>
              <w:t xml:space="preserve">data elements are similarly </w:t>
            </w:r>
            <w:r w:rsidRPr="0091185D">
              <w:rPr>
                <w:rFonts w:ascii="Arial Narrow" w:hAnsi="Arial Narrow"/>
                <w:sz w:val="18"/>
                <w:szCs w:val="18"/>
              </w:rPr>
              <w:t>based on mass balance</w:t>
            </w:r>
            <w:r>
              <w:rPr>
                <w:rFonts w:ascii="Arial Narrow" w:hAnsi="Arial Narrow"/>
                <w:sz w:val="18"/>
                <w:szCs w:val="18"/>
              </w:rPr>
              <w:t xml:space="preserve"> considerations</w:t>
            </w:r>
            <w:r w:rsidRPr="0091185D">
              <w:rPr>
                <w:rFonts w:ascii="Arial Narrow" w:hAnsi="Arial Narrow"/>
                <w:sz w:val="18"/>
                <w:szCs w:val="18"/>
              </w:rPr>
              <w:t>.</w:t>
            </w:r>
            <w:r>
              <w:rPr>
                <w:rFonts w:ascii="Arial Narrow" w:hAnsi="Arial Narrow"/>
                <w:sz w:val="18"/>
                <w:szCs w:val="18"/>
              </w:rPr>
              <w:t xml:space="preserve"> Since this data element will be reported as one of four ranges (</w:t>
            </w:r>
            <w:r w:rsidRPr="00A7521D">
              <w:rPr>
                <w:rFonts w:ascii="Arial Narrow" w:hAnsi="Arial Narrow"/>
                <w:sz w:val="18"/>
                <w:szCs w:val="18"/>
              </w:rPr>
              <w:t xml:space="preserve">0%, &gt;0% but &lt;50%, </w:t>
            </w:r>
            <w:r>
              <w:rPr>
                <w:rFonts w:ascii="Arial Narrow" w:hAnsi="Arial Narrow"/>
                <w:sz w:val="18"/>
                <w:szCs w:val="18"/>
              </w:rPr>
              <w:t xml:space="preserve">at least </w:t>
            </w:r>
            <w:r w:rsidRPr="00A7521D">
              <w:rPr>
                <w:rFonts w:ascii="Arial Narrow" w:hAnsi="Arial Narrow"/>
                <w:sz w:val="18"/>
                <w:szCs w:val="18"/>
              </w:rPr>
              <w:t>50% but &lt;100%, 100%</w:t>
            </w:r>
            <w:r>
              <w:rPr>
                <w:rFonts w:ascii="Arial Narrow" w:hAnsi="Arial Narrow"/>
                <w:sz w:val="18"/>
                <w:szCs w:val="18"/>
              </w:rPr>
              <w:t xml:space="preserve">), </w:t>
            </w:r>
            <w:r>
              <w:rPr>
                <w:rFonts w:ascii="Arial Narrow" w:hAnsi="Arial Narrow"/>
                <w:sz w:val="18"/>
                <w:szCs w:val="18"/>
              </w:rPr>
              <w:lastRenderedPageBreak/>
              <w:t>technical staff at most sites would likely no longer have to perform a full mass balance calculation. EPA estimates that the technical burden is reduced by 50%, from 0.82 hours to 0.41 hours. For the 2020 CDR Form U, “Volume Exported” is in Part II Section C.</w:t>
            </w:r>
          </w:p>
          <w:p w:rsidR="006C3F6B" w:rsidP="00976777" w:rsidRDefault="006C3F6B" w14:paraId="43F503AC" w14:textId="77777777">
            <w:pPr>
              <w:ind w:left="216" w:hanging="216"/>
              <w:rPr>
                <w:rFonts w:ascii="Arial Narrow" w:hAnsi="Arial Narrow"/>
                <w:sz w:val="18"/>
                <w:szCs w:val="18"/>
                <w:vertAlign w:val="superscript"/>
              </w:rPr>
            </w:pPr>
            <w:r>
              <w:rPr>
                <w:rFonts w:ascii="Arial Narrow" w:hAnsi="Arial Narrow"/>
                <w:sz w:val="18"/>
                <w:szCs w:val="18"/>
                <w:vertAlign w:val="superscript"/>
              </w:rPr>
              <w:t>5</w:t>
            </w:r>
            <w:r>
              <w:rPr>
                <w:rFonts w:ascii="Arial Narrow" w:hAnsi="Arial Narrow"/>
                <w:sz w:val="18"/>
                <w:szCs w:val="18"/>
                <w:vertAlign w:val="superscript"/>
              </w:rPr>
              <w:tab/>
            </w:r>
            <w:r>
              <w:rPr>
                <w:rFonts w:ascii="Arial Narrow" w:hAnsi="Arial Narrow"/>
                <w:sz w:val="18"/>
                <w:szCs w:val="18"/>
              </w:rPr>
              <w:t xml:space="preserve">See </w:t>
            </w:r>
            <w:r w:rsidRPr="00EA6DE3">
              <w:rPr>
                <w:rFonts w:ascii="Arial Narrow" w:hAnsi="Arial Narrow"/>
                <w:sz w:val="18"/>
                <w:szCs w:val="18"/>
              </w:rPr>
              <w:t xml:space="preserve">Appendix </w:t>
            </w:r>
            <w:r w:rsidRPr="005F6753">
              <w:rPr>
                <w:rFonts w:ascii="Arial Narrow" w:hAnsi="Arial Narrow"/>
                <w:sz w:val="18"/>
                <w:szCs w:val="18"/>
              </w:rPr>
              <w:t>C</w:t>
            </w:r>
            <w:r>
              <w:rPr>
                <w:rFonts w:ascii="Arial Narrow" w:hAnsi="Arial Narrow"/>
                <w:sz w:val="18"/>
                <w:szCs w:val="18"/>
              </w:rPr>
              <w:t xml:space="preserve"> of the source EA (EPA, 2019) for the derivation of these burden estimates. For the 2020 CDR Form U, the function category data elements are in Part II Section D.1 (for industrial) and Section D.2 (for consumer and commercial).</w:t>
            </w:r>
          </w:p>
          <w:p w:rsidR="006C3F6B" w:rsidP="00976777" w:rsidRDefault="006C3F6B" w14:paraId="299AACD6" w14:textId="77777777">
            <w:pPr>
              <w:ind w:left="216" w:hanging="216"/>
              <w:rPr>
                <w:rFonts w:ascii="Arial Narrow" w:hAnsi="Arial Narrow"/>
                <w:sz w:val="18"/>
                <w:szCs w:val="18"/>
              </w:rPr>
            </w:pPr>
            <w:r>
              <w:rPr>
                <w:rFonts w:ascii="Arial Narrow" w:hAnsi="Arial Narrow"/>
                <w:sz w:val="18"/>
                <w:szCs w:val="18"/>
                <w:vertAlign w:val="superscript"/>
              </w:rPr>
              <w:t>6</w:t>
            </w:r>
            <w:r>
              <w:rPr>
                <w:rFonts w:ascii="Arial Narrow" w:hAnsi="Arial Narrow"/>
                <w:sz w:val="18"/>
                <w:szCs w:val="18"/>
                <w:vertAlign w:val="superscript"/>
              </w:rPr>
              <w:tab/>
            </w:r>
            <w:r>
              <w:rPr>
                <w:rFonts w:ascii="Arial Narrow" w:hAnsi="Arial Narrow"/>
                <w:sz w:val="18"/>
                <w:szCs w:val="18"/>
              </w:rPr>
              <w:t>This data element is referred to as “Industrial Function Category” in the baseline and “Function Category” under the final rule. For the 2020 CDR Form U, the “Function Category” associated with industrial process and use is in Part II Section D.1.</w:t>
            </w:r>
          </w:p>
          <w:p w:rsidRPr="008B3A0C" w:rsidR="006C3F6B" w:rsidP="00976777" w:rsidRDefault="006C3F6B" w14:paraId="2DE54EEE" w14:textId="77777777">
            <w:pPr>
              <w:ind w:left="216" w:hanging="216"/>
              <w:rPr>
                <w:rFonts w:ascii="Arial Narrow" w:hAnsi="Arial Narrow"/>
                <w:sz w:val="18"/>
                <w:szCs w:val="18"/>
                <w:vertAlign w:val="superscript"/>
              </w:rPr>
            </w:pPr>
            <w:r w:rsidRPr="008B3A0C">
              <w:rPr>
                <w:rFonts w:ascii="Arial Narrow" w:hAnsi="Arial Narrow"/>
                <w:sz w:val="18"/>
                <w:szCs w:val="18"/>
                <w:vertAlign w:val="superscript"/>
              </w:rPr>
              <w:t>7</w:t>
            </w:r>
            <w:r>
              <w:rPr>
                <w:rFonts w:ascii="Arial Narrow" w:hAnsi="Arial Narrow"/>
                <w:sz w:val="18"/>
                <w:szCs w:val="18"/>
                <w:vertAlign w:val="superscript"/>
              </w:rPr>
              <w:t xml:space="preserve">     </w:t>
            </w:r>
            <w:r w:rsidRPr="008B3A0C">
              <w:rPr>
                <w:rFonts w:ascii="Arial Narrow" w:hAnsi="Arial Narrow"/>
                <w:sz w:val="18"/>
                <w:szCs w:val="18"/>
              </w:rPr>
              <w:t>While intelligent sorting is not available in the first cycle, it can be used in the second and future cycles.</w:t>
            </w:r>
          </w:p>
          <w:p w:rsidRPr="00E533BC" w:rsidR="006C3F6B" w:rsidP="00976777" w:rsidRDefault="006C3F6B" w14:paraId="5111DB59" w14:textId="77777777">
            <w:pPr>
              <w:ind w:left="216" w:hanging="216"/>
              <w:rPr>
                <w:rFonts w:ascii="Arial Narrow" w:hAnsi="Arial Narrow"/>
                <w:sz w:val="18"/>
                <w:szCs w:val="18"/>
              </w:rPr>
            </w:pPr>
            <w:r>
              <w:rPr>
                <w:rFonts w:ascii="Arial Narrow" w:hAnsi="Arial Narrow"/>
                <w:sz w:val="18"/>
                <w:szCs w:val="18"/>
                <w:vertAlign w:val="superscript"/>
              </w:rPr>
              <w:t>8</w:t>
            </w:r>
            <w:r>
              <w:rPr>
                <w:rFonts w:ascii="Arial Narrow" w:hAnsi="Arial Narrow"/>
                <w:sz w:val="18"/>
                <w:szCs w:val="18"/>
                <w:vertAlign w:val="superscript"/>
              </w:rPr>
              <w:tab/>
            </w:r>
            <w:r w:rsidRPr="00F45073">
              <w:rPr>
                <w:rFonts w:ascii="Arial Narrow" w:hAnsi="Arial Narrow"/>
                <w:sz w:val="18"/>
                <w:szCs w:val="18"/>
              </w:rPr>
              <w:t xml:space="preserve">Incremental </w:t>
            </w:r>
            <w:r>
              <w:rPr>
                <w:rFonts w:ascii="Arial Narrow" w:hAnsi="Arial Narrow"/>
                <w:sz w:val="18"/>
                <w:szCs w:val="18"/>
              </w:rPr>
              <w:t>c</w:t>
            </w:r>
            <w:r w:rsidRPr="00F45073">
              <w:rPr>
                <w:rFonts w:ascii="Arial Narrow" w:hAnsi="Arial Narrow"/>
                <w:sz w:val="18"/>
                <w:szCs w:val="18"/>
              </w:rPr>
              <w:t xml:space="preserve">ompliance determination </w:t>
            </w:r>
            <w:r w:rsidRPr="003635BC">
              <w:rPr>
                <w:rFonts w:ascii="Arial Narrow" w:hAnsi="Arial Narrow"/>
                <w:sz w:val="18"/>
                <w:szCs w:val="18"/>
              </w:rPr>
              <w:t>for experienced reporters</w:t>
            </w:r>
            <w:r>
              <w:rPr>
                <w:rFonts w:ascii="Arial Narrow" w:hAnsi="Arial Narrow"/>
                <w:sz w:val="18"/>
                <w:szCs w:val="18"/>
              </w:rPr>
              <w:t xml:space="preserve"> (and new reporters)</w:t>
            </w:r>
            <w:r w:rsidRPr="003635BC">
              <w:rPr>
                <w:rFonts w:ascii="Arial Narrow" w:hAnsi="Arial Narrow"/>
                <w:sz w:val="18"/>
                <w:szCs w:val="18"/>
              </w:rPr>
              <w:t xml:space="preserve"> is </w:t>
            </w:r>
            <w:r>
              <w:rPr>
                <w:rFonts w:ascii="Arial Narrow" w:hAnsi="Arial Narrow"/>
                <w:sz w:val="18"/>
                <w:szCs w:val="18"/>
              </w:rPr>
              <w:t xml:space="preserve">assumed to be </w:t>
            </w:r>
            <w:proofErr w:type="gramStart"/>
            <w:r>
              <w:rPr>
                <w:rFonts w:ascii="Arial Narrow" w:hAnsi="Arial Narrow"/>
                <w:sz w:val="18"/>
                <w:szCs w:val="18"/>
              </w:rPr>
              <w:t>similar to</w:t>
            </w:r>
            <w:proofErr w:type="gramEnd"/>
            <w:r>
              <w:rPr>
                <w:rFonts w:ascii="Arial Narrow" w:hAnsi="Arial Narrow"/>
                <w:sz w:val="18"/>
                <w:szCs w:val="18"/>
              </w:rPr>
              <w:t xml:space="preserve"> the </w:t>
            </w:r>
            <w:r w:rsidRPr="003635BC">
              <w:rPr>
                <w:rFonts w:ascii="Arial Narrow" w:hAnsi="Arial Narrow"/>
                <w:sz w:val="18"/>
                <w:szCs w:val="18"/>
              </w:rPr>
              <w:t>incremental compliance determinati</w:t>
            </w:r>
            <w:r w:rsidRPr="0006432F">
              <w:rPr>
                <w:rFonts w:ascii="Arial Narrow" w:hAnsi="Arial Narrow"/>
                <w:sz w:val="18"/>
                <w:szCs w:val="18"/>
              </w:rPr>
              <w:t xml:space="preserve">on burden </w:t>
            </w:r>
            <w:r w:rsidRPr="009F03C9">
              <w:rPr>
                <w:rFonts w:ascii="Arial Narrow" w:hAnsi="Arial Narrow"/>
                <w:sz w:val="18"/>
                <w:szCs w:val="18"/>
              </w:rPr>
              <w:t>estimated in the economic analysis supporting Inventory Notification Rule</w:t>
            </w:r>
            <w:r w:rsidRPr="003075BE">
              <w:rPr>
                <w:rFonts w:ascii="Arial Narrow" w:hAnsi="Arial Narrow"/>
                <w:sz w:val="18"/>
                <w:szCs w:val="18"/>
              </w:rPr>
              <w:t xml:space="preserve"> (EPA, 2017)</w:t>
            </w:r>
            <w:r w:rsidRPr="00E533BC">
              <w:rPr>
                <w:rFonts w:ascii="Arial Narrow" w:hAnsi="Arial Narrow"/>
                <w:sz w:val="18"/>
                <w:szCs w:val="18"/>
              </w:rPr>
              <w:t>.</w:t>
            </w:r>
            <w:r>
              <w:rPr>
                <w:rFonts w:ascii="Arial Narrow" w:hAnsi="Arial Narrow"/>
                <w:sz w:val="18"/>
                <w:szCs w:val="18"/>
              </w:rPr>
              <w:t xml:space="preserve"> This source estimate is considered reasonable, given the extent to which CBI substantiation is part of that rule.</w:t>
            </w:r>
          </w:p>
          <w:p w:rsidRPr="00E533BC" w:rsidR="006C3F6B" w:rsidP="00976777" w:rsidRDefault="006C3F6B" w14:paraId="3518CBD6" w14:textId="77777777">
            <w:pPr>
              <w:ind w:left="216" w:hanging="216"/>
              <w:rPr>
                <w:rFonts w:ascii="Arial Narrow" w:hAnsi="Arial Narrow"/>
                <w:sz w:val="18"/>
                <w:szCs w:val="18"/>
              </w:rPr>
            </w:pPr>
            <w:r>
              <w:rPr>
                <w:rFonts w:ascii="Arial Narrow" w:hAnsi="Arial Narrow"/>
                <w:sz w:val="18"/>
                <w:szCs w:val="18"/>
                <w:vertAlign w:val="superscript"/>
              </w:rPr>
              <w:t>9</w:t>
            </w:r>
            <w:r>
              <w:rPr>
                <w:rFonts w:ascii="Arial Narrow" w:hAnsi="Arial Narrow"/>
                <w:sz w:val="18"/>
                <w:szCs w:val="18"/>
                <w:vertAlign w:val="superscript"/>
              </w:rPr>
              <w:tab/>
            </w:r>
            <w:r w:rsidRPr="00F45073">
              <w:rPr>
                <w:rFonts w:ascii="Arial Narrow" w:hAnsi="Arial Narrow"/>
                <w:sz w:val="18"/>
                <w:szCs w:val="18"/>
              </w:rPr>
              <w:t>For CBI substantiation</w:t>
            </w:r>
            <w:r w:rsidRPr="003635BC">
              <w:rPr>
                <w:rFonts w:ascii="Arial Narrow" w:hAnsi="Arial Narrow"/>
                <w:sz w:val="18"/>
                <w:szCs w:val="18"/>
              </w:rPr>
              <w:t xml:space="preserve"> estimates, the </w:t>
            </w:r>
            <w:r>
              <w:rPr>
                <w:rFonts w:ascii="Arial Narrow" w:hAnsi="Arial Narrow"/>
                <w:sz w:val="18"/>
                <w:szCs w:val="18"/>
              </w:rPr>
              <w:t>unadjusted</w:t>
            </w:r>
            <w:r w:rsidRPr="003635BC">
              <w:rPr>
                <w:rFonts w:ascii="Arial Narrow" w:hAnsi="Arial Narrow"/>
                <w:sz w:val="18"/>
                <w:szCs w:val="18"/>
              </w:rPr>
              <w:t xml:space="preserve"> unit burden estimate </w:t>
            </w:r>
            <w:r w:rsidRPr="0006432F">
              <w:rPr>
                <w:rFonts w:ascii="Arial Narrow" w:hAnsi="Arial Narrow"/>
                <w:sz w:val="18"/>
                <w:szCs w:val="18"/>
              </w:rPr>
              <w:t>(experienced reporter</w:t>
            </w:r>
            <w:r w:rsidRPr="009F03C9">
              <w:rPr>
                <w:rFonts w:ascii="Arial Narrow" w:hAnsi="Arial Narrow"/>
                <w:sz w:val="18"/>
                <w:szCs w:val="18"/>
              </w:rPr>
              <w:t xml:space="preserve">) is developed using the number of substantive questions by type of CBI claim (e.g., chemical identification) and the average number </w:t>
            </w:r>
            <w:r>
              <w:rPr>
                <w:rFonts w:ascii="Arial Narrow" w:hAnsi="Arial Narrow"/>
                <w:sz w:val="18"/>
                <w:szCs w:val="18"/>
              </w:rPr>
              <w:t xml:space="preserve">of CBI claims of that type made in the 2016 CDR (EPA, 2018a). </w:t>
            </w:r>
            <w:r w:rsidRPr="00E533BC">
              <w:rPr>
                <w:rFonts w:ascii="Arial Narrow" w:hAnsi="Arial Narrow"/>
                <w:sz w:val="18"/>
                <w:szCs w:val="18"/>
              </w:rPr>
              <w:t xml:space="preserve">In contrast, the adjusted unit burden estimate </w:t>
            </w:r>
            <w:r>
              <w:rPr>
                <w:rFonts w:ascii="Arial Narrow" w:hAnsi="Arial Narrow"/>
                <w:sz w:val="18"/>
                <w:szCs w:val="18"/>
              </w:rPr>
              <w:t xml:space="preserve">for each type of CBI claim </w:t>
            </w:r>
            <w:r w:rsidRPr="00E533BC">
              <w:rPr>
                <w:rFonts w:ascii="Arial Narrow" w:hAnsi="Arial Narrow"/>
                <w:sz w:val="18"/>
                <w:szCs w:val="18"/>
              </w:rPr>
              <w:t xml:space="preserve">(consistent with other adjusted unit burden estimates) applies pro-rating </w:t>
            </w:r>
            <w:r>
              <w:rPr>
                <w:rFonts w:ascii="Arial Narrow" w:hAnsi="Arial Narrow"/>
                <w:sz w:val="18"/>
                <w:szCs w:val="18"/>
              </w:rPr>
              <w:t>using the</w:t>
            </w:r>
            <w:r w:rsidRPr="00E533BC">
              <w:rPr>
                <w:rFonts w:ascii="Arial Narrow" w:hAnsi="Arial Narrow"/>
                <w:sz w:val="18"/>
                <w:szCs w:val="18"/>
              </w:rPr>
              <w:t xml:space="preserve"> average occurrence</w:t>
            </w:r>
            <w:r>
              <w:rPr>
                <w:rFonts w:ascii="Arial Narrow" w:hAnsi="Arial Narrow"/>
                <w:sz w:val="18"/>
                <w:szCs w:val="18"/>
              </w:rPr>
              <w:t xml:space="preserve"> rate</w:t>
            </w:r>
            <w:r w:rsidRPr="00E533BC">
              <w:rPr>
                <w:rFonts w:ascii="Arial Narrow" w:hAnsi="Arial Narrow"/>
                <w:sz w:val="18"/>
                <w:szCs w:val="18"/>
              </w:rPr>
              <w:t xml:space="preserve">s </w:t>
            </w:r>
            <w:r>
              <w:rPr>
                <w:rFonts w:ascii="Arial Narrow" w:hAnsi="Arial Narrow"/>
                <w:sz w:val="18"/>
                <w:szCs w:val="18"/>
              </w:rPr>
              <w:t>of CBI claims among all chemical reports</w:t>
            </w:r>
            <w:r w:rsidRPr="00E533BC">
              <w:rPr>
                <w:rFonts w:ascii="Arial Narrow" w:hAnsi="Arial Narrow"/>
                <w:sz w:val="18"/>
                <w:szCs w:val="18"/>
              </w:rPr>
              <w:t xml:space="preserve"> as identified in 2016 CDR. See also Appendix B </w:t>
            </w:r>
            <w:r>
              <w:rPr>
                <w:rFonts w:ascii="Arial Narrow" w:hAnsi="Arial Narrow"/>
                <w:sz w:val="18"/>
                <w:szCs w:val="18"/>
              </w:rPr>
              <w:t xml:space="preserve">of the source EA (EPA, 2019) </w:t>
            </w:r>
            <w:r w:rsidRPr="00E533BC">
              <w:rPr>
                <w:rFonts w:ascii="Arial Narrow" w:hAnsi="Arial Narrow"/>
                <w:sz w:val="18"/>
                <w:szCs w:val="18"/>
              </w:rPr>
              <w:t xml:space="preserve">for the presentation of CBI substantiation unit burden </w:t>
            </w:r>
            <w:r>
              <w:rPr>
                <w:rFonts w:ascii="Arial Narrow" w:hAnsi="Arial Narrow"/>
                <w:sz w:val="18"/>
                <w:szCs w:val="18"/>
              </w:rPr>
              <w:t>under the final rule</w:t>
            </w:r>
            <w:r w:rsidRPr="00E533BC">
              <w:rPr>
                <w:rFonts w:ascii="Arial Narrow" w:hAnsi="Arial Narrow"/>
                <w:sz w:val="18"/>
                <w:szCs w:val="18"/>
              </w:rPr>
              <w:t xml:space="preserve"> and the derivation of the incremental burden values. </w:t>
            </w:r>
          </w:p>
          <w:p w:rsidRPr="00E533BC" w:rsidR="006C3F6B" w:rsidP="00976777" w:rsidRDefault="006C3F6B" w14:paraId="135096CE" w14:textId="77777777">
            <w:pPr>
              <w:ind w:left="216" w:hanging="216"/>
              <w:rPr>
                <w:rFonts w:ascii="Arial Narrow" w:hAnsi="Arial Narrow"/>
                <w:sz w:val="18"/>
                <w:szCs w:val="18"/>
              </w:rPr>
            </w:pPr>
            <w:r>
              <w:rPr>
                <w:rFonts w:ascii="Arial Narrow" w:hAnsi="Arial Narrow"/>
                <w:sz w:val="18"/>
                <w:szCs w:val="18"/>
                <w:vertAlign w:val="superscript"/>
              </w:rPr>
              <w:t>10</w:t>
            </w:r>
            <w:r>
              <w:rPr>
                <w:rFonts w:ascii="Arial Narrow" w:hAnsi="Arial Narrow"/>
                <w:sz w:val="18"/>
                <w:szCs w:val="18"/>
                <w:vertAlign w:val="superscript"/>
              </w:rPr>
              <w:tab/>
            </w:r>
            <w:r w:rsidRPr="00F45073">
              <w:rPr>
                <w:rFonts w:ascii="Arial Narrow" w:hAnsi="Arial Narrow"/>
                <w:sz w:val="18"/>
                <w:szCs w:val="18"/>
              </w:rPr>
              <w:t>The baseline has one estimate for Part II non-chem ID CBI substantiation burden, which applies to both connection variab</w:t>
            </w:r>
            <w:r w:rsidRPr="003635BC">
              <w:rPr>
                <w:rFonts w:ascii="Arial Narrow" w:hAnsi="Arial Narrow"/>
                <w:sz w:val="18"/>
                <w:szCs w:val="18"/>
              </w:rPr>
              <w:t xml:space="preserve">les and other Part II data elements. In this table, the </w:t>
            </w:r>
            <w:r>
              <w:rPr>
                <w:rFonts w:ascii="Arial Narrow" w:hAnsi="Arial Narrow"/>
                <w:sz w:val="18"/>
                <w:szCs w:val="18"/>
              </w:rPr>
              <w:t>final rule</w:t>
            </w:r>
            <w:r w:rsidRPr="003635BC">
              <w:rPr>
                <w:rFonts w:ascii="Arial Narrow" w:hAnsi="Arial Narrow"/>
                <w:sz w:val="18"/>
                <w:szCs w:val="18"/>
              </w:rPr>
              <w:t xml:space="preserve"> </w:t>
            </w:r>
            <w:r w:rsidRPr="009F03C9">
              <w:rPr>
                <w:rFonts w:ascii="Arial Narrow" w:hAnsi="Arial Narrow"/>
                <w:sz w:val="18"/>
                <w:szCs w:val="18"/>
              </w:rPr>
              <w:t>Part II</w:t>
            </w:r>
            <w:r w:rsidRPr="003075BE">
              <w:rPr>
                <w:rFonts w:ascii="Arial Narrow" w:hAnsi="Arial Narrow"/>
                <w:sz w:val="18"/>
                <w:szCs w:val="18"/>
              </w:rPr>
              <w:t xml:space="preserve"> Connection CBI Substantiation and </w:t>
            </w:r>
            <w:r w:rsidRPr="00E533BC">
              <w:rPr>
                <w:rFonts w:ascii="Arial Narrow" w:hAnsi="Arial Narrow"/>
                <w:sz w:val="18"/>
                <w:szCs w:val="18"/>
              </w:rPr>
              <w:t xml:space="preserve">Part II Other CBI Substantiation are combined in order to compare Part II non-chem ID CBI substantiation burden change between the baseline and </w:t>
            </w:r>
            <w:r>
              <w:rPr>
                <w:rFonts w:ascii="Arial Narrow" w:hAnsi="Arial Narrow"/>
                <w:sz w:val="18"/>
                <w:szCs w:val="18"/>
              </w:rPr>
              <w:t xml:space="preserve">final rule </w:t>
            </w:r>
            <w:r w:rsidRPr="00E533BC">
              <w:rPr>
                <w:rFonts w:ascii="Arial Narrow" w:hAnsi="Arial Narrow"/>
                <w:sz w:val="18"/>
                <w:szCs w:val="18"/>
              </w:rPr>
              <w:t>conditions. See Appendix B</w:t>
            </w:r>
            <w:r>
              <w:rPr>
                <w:rFonts w:ascii="Arial Narrow" w:hAnsi="Arial Narrow"/>
                <w:sz w:val="18"/>
                <w:szCs w:val="18"/>
              </w:rPr>
              <w:t xml:space="preserve"> of the source EA (EPA, 2019</w:t>
            </w:r>
            <w:proofErr w:type="gramStart"/>
            <w:r>
              <w:rPr>
                <w:rFonts w:ascii="Arial Narrow" w:hAnsi="Arial Narrow"/>
                <w:sz w:val="18"/>
                <w:szCs w:val="18"/>
              </w:rPr>
              <w:t xml:space="preserve">) </w:t>
            </w:r>
            <w:r w:rsidRPr="00E533BC">
              <w:rPr>
                <w:rFonts w:ascii="Arial Narrow" w:hAnsi="Arial Narrow"/>
                <w:sz w:val="18"/>
                <w:szCs w:val="18"/>
              </w:rPr>
              <w:t xml:space="preserve"> for</w:t>
            </w:r>
            <w:proofErr w:type="gramEnd"/>
            <w:r w:rsidRPr="00E533BC">
              <w:rPr>
                <w:rFonts w:ascii="Arial Narrow" w:hAnsi="Arial Narrow"/>
                <w:sz w:val="18"/>
                <w:szCs w:val="18"/>
              </w:rPr>
              <w:t xml:space="preserve"> more details.</w:t>
            </w:r>
            <w:r>
              <w:rPr>
                <w:rFonts w:ascii="Arial Narrow" w:hAnsi="Arial Narrow"/>
                <w:sz w:val="18"/>
                <w:szCs w:val="18"/>
              </w:rPr>
              <w:t xml:space="preserve"> </w:t>
            </w:r>
          </w:p>
          <w:p w:rsidRPr="003635BC" w:rsidR="006C3F6B" w:rsidP="00976777" w:rsidRDefault="006C3F6B" w14:paraId="15B609F2" w14:textId="77777777">
            <w:pPr>
              <w:ind w:left="216" w:hanging="216"/>
              <w:rPr>
                <w:rFonts w:ascii="Arial Narrow" w:hAnsi="Arial Narrow"/>
                <w:sz w:val="18"/>
                <w:szCs w:val="18"/>
              </w:rPr>
            </w:pPr>
            <w:r>
              <w:rPr>
                <w:rFonts w:ascii="Arial Narrow" w:hAnsi="Arial Narrow"/>
                <w:sz w:val="18"/>
                <w:szCs w:val="18"/>
                <w:vertAlign w:val="superscript"/>
              </w:rPr>
              <w:t>11</w:t>
            </w:r>
            <w:r>
              <w:rPr>
                <w:rFonts w:ascii="Arial Narrow" w:hAnsi="Arial Narrow"/>
                <w:sz w:val="18"/>
                <w:szCs w:val="18"/>
              </w:rPr>
              <w:tab/>
            </w:r>
            <w:r w:rsidRPr="00F45073">
              <w:rPr>
                <w:rFonts w:ascii="Arial Narrow" w:hAnsi="Arial Narrow"/>
                <w:sz w:val="18"/>
                <w:szCs w:val="18"/>
              </w:rPr>
              <w:t>The “Proportion of Chemical Reports</w:t>
            </w:r>
            <w:r>
              <w:rPr>
                <w:rFonts w:ascii="Arial Narrow" w:hAnsi="Arial Narrow"/>
                <w:sz w:val="18"/>
                <w:szCs w:val="18"/>
              </w:rPr>
              <w:t xml:space="preserve"> Affected</w:t>
            </w:r>
            <w:r w:rsidRPr="00F45073">
              <w:rPr>
                <w:rFonts w:ascii="Arial Narrow" w:hAnsi="Arial Narrow"/>
                <w:sz w:val="18"/>
                <w:szCs w:val="18"/>
              </w:rPr>
              <w:t xml:space="preserve">” for </w:t>
            </w:r>
            <w:r>
              <w:rPr>
                <w:rFonts w:ascii="Arial Narrow" w:hAnsi="Arial Narrow"/>
                <w:sz w:val="18"/>
                <w:szCs w:val="18"/>
              </w:rPr>
              <w:t>Part III CBI</w:t>
            </w:r>
            <w:r w:rsidRPr="00F45073">
              <w:rPr>
                <w:rFonts w:ascii="Arial Narrow" w:hAnsi="Arial Narrow"/>
                <w:sz w:val="18"/>
                <w:szCs w:val="18"/>
              </w:rPr>
              <w:t xml:space="preserve"> substantiation is a combination prorating factor which is the product of the percent full reports (78.08%) and the incidence </w:t>
            </w:r>
            <w:r w:rsidRPr="003635BC">
              <w:rPr>
                <w:rFonts w:ascii="Arial Narrow" w:hAnsi="Arial Narrow"/>
                <w:sz w:val="18"/>
                <w:szCs w:val="18"/>
              </w:rPr>
              <w:t>rate for CBI claims among full reports (11.87%).</w:t>
            </w:r>
            <w:r>
              <w:rPr>
                <w:rFonts w:ascii="Arial Narrow" w:hAnsi="Arial Narrow"/>
                <w:sz w:val="18"/>
                <w:szCs w:val="18"/>
              </w:rPr>
              <w:t xml:space="preserve">  For the 2020 CDR Form U, these substantiations are associated with data reported in Part II Section D.</w:t>
            </w:r>
          </w:p>
          <w:p w:rsidRPr="003635BC" w:rsidR="006C3F6B" w:rsidP="00976777" w:rsidRDefault="006C3F6B" w14:paraId="03A849BB" w14:textId="77777777">
            <w:pPr>
              <w:ind w:left="216" w:hanging="216"/>
              <w:rPr>
                <w:rFonts w:ascii="Arial Narrow" w:hAnsi="Arial Narrow"/>
                <w:sz w:val="18"/>
                <w:szCs w:val="18"/>
              </w:rPr>
            </w:pPr>
            <w:r>
              <w:rPr>
                <w:rFonts w:ascii="Arial Narrow" w:hAnsi="Arial Narrow"/>
                <w:sz w:val="18"/>
                <w:szCs w:val="18"/>
                <w:vertAlign w:val="superscript"/>
              </w:rPr>
              <w:t>12</w:t>
            </w:r>
            <w:r>
              <w:rPr>
                <w:rFonts w:ascii="Arial Narrow" w:hAnsi="Arial Narrow"/>
                <w:sz w:val="18"/>
                <w:szCs w:val="18"/>
                <w:vertAlign w:val="superscript"/>
              </w:rPr>
              <w:tab/>
            </w:r>
            <w:r w:rsidRPr="00F45073">
              <w:rPr>
                <w:rFonts w:ascii="Arial Narrow" w:hAnsi="Arial Narrow"/>
                <w:sz w:val="18"/>
                <w:szCs w:val="18"/>
              </w:rPr>
              <w:t xml:space="preserve">Incremental </w:t>
            </w:r>
            <w:r>
              <w:rPr>
                <w:rFonts w:ascii="Arial Narrow" w:hAnsi="Arial Narrow"/>
                <w:sz w:val="18"/>
                <w:szCs w:val="18"/>
              </w:rPr>
              <w:t>c</w:t>
            </w:r>
            <w:r w:rsidRPr="00F45073">
              <w:rPr>
                <w:rFonts w:ascii="Arial Narrow" w:hAnsi="Arial Narrow"/>
                <w:sz w:val="18"/>
                <w:szCs w:val="18"/>
              </w:rPr>
              <w:t xml:space="preserve">ompliance determination for experienced reporters </w:t>
            </w:r>
            <w:r>
              <w:rPr>
                <w:rFonts w:ascii="Arial Narrow" w:hAnsi="Arial Narrow"/>
                <w:sz w:val="18"/>
                <w:szCs w:val="18"/>
              </w:rPr>
              <w:t xml:space="preserve">(and new reporters) </w:t>
            </w:r>
            <w:r w:rsidRPr="00F45073">
              <w:rPr>
                <w:rFonts w:ascii="Arial Narrow" w:hAnsi="Arial Narrow"/>
                <w:sz w:val="18"/>
                <w:szCs w:val="18"/>
              </w:rPr>
              <w:t>is based on EPA</w:t>
            </w:r>
            <w:r w:rsidRPr="003635BC">
              <w:rPr>
                <w:rFonts w:ascii="Arial Narrow" w:hAnsi="Arial Narrow"/>
                <w:sz w:val="18"/>
                <w:szCs w:val="18"/>
              </w:rPr>
              <w:t>’s best professional judgment.</w:t>
            </w:r>
            <w:r>
              <w:rPr>
                <w:rFonts w:ascii="Arial Narrow" w:hAnsi="Arial Narrow"/>
                <w:sz w:val="18"/>
                <w:szCs w:val="18"/>
              </w:rPr>
              <w:t xml:space="preserve"> F</w:t>
            </w:r>
            <w:r w:rsidRPr="00F54EB8">
              <w:rPr>
                <w:rFonts w:ascii="Arial Narrow" w:hAnsi="Arial Narrow"/>
                <w:sz w:val="18"/>
                <w:szCs w:val="18"/>
              </w:rPr>
              <w:t xml:space="preserve">or byproduct exemptions, reporters </w:t>
            </w:r>
            <w:proofErr w:type="gramStart"/>
            <w:r w:rsidRPr="00F54EB8">
              <w:rPr>
                <w:rFonts w:ascii="Arial Narrow" w:hAnsi="Arial Narrow"/>
                <w:sz w:val="18"/>
                <w:szCs w:val="18"/>
              </w:rPr>
              <w:t>have to</w:t>
            </w:r>
            <w:proofErr w:type="gramEnd"/>
            <w:r w:rsidRPr="00F54EB8">
              <w:rPr>
                <w:rFonts w:ascii="Arial Narrow" w:hAnsi="Arial Narrow"/>
                <w:sz w:val="18"/>
                <w:szCs w:val="18"/>
              </w:rPr>
              <w:t xml:space="preserve"> do extra work to determine whether the exact exemption </w:t>
            </w:r>
            <w:r>
              <w:rPr>
                <w:rFonts w:ascii="Arial Narrow" w:hAnsi="Arial Narrow"/>
                <w:sz w:val="18"/>
                <w:szCs w:val="18"/>
              </w:rPr>
              <w:t xml:space="preserve">conditions </w:t>
            </w:r>
            <w:r w:rsidRPr="00F54EB8">
              <w:rPr>
                <w:rFonts w:ascii="Arial Narrow" w:hAnsi="Arial Narrow"/>
                <w:sz w:val="18"/>
                <w:szCs w:val="18"/>
              </w:rPr>
              <w:t>apply</w:t>
            </w:r>
            <w:r>
              <w:rPr>
                <w:rFonts w:ascii="Arial Narrow" w:hAnsi="Arial Narrow"/>
                <w:sz w:val="18"/>
                <w:szCs w:val="18"/>
              </w:rPr>
              <w:t>.</w:t>
            </w:r>
            <w:r w:rsidRPr="00F45073">
              <w:rPr>
                <w:rFonts w:ascii="Arial Narrow" w:hAnsi="Arial Narrow"/>
                <w:sz w:val="18"/>
                <w:szCs w:val="18"/>
              </w:rPr>
              <w:t xml:space="preserve"> Approximately 40% of all sites are assumed to incur </w:t>
            </w:r>
            <w:r>
              <w:rPr>
                <w:rFonts w:ascii="Arial Narrow" w:hAnsi="Arial Narrow"/>
                <w:sz w:val="18"/>
                <w:szCs w:val="18"/>
              </w:rPr>
              <w:t xml:space="preserve">this </w:t>
            </w:r>
            <w:r w:rsidRPr="00F45073">
              <w:rPr>
                <w:rFonts w:ascii="Arial Narrow" w:hAnsi="Arial Narrow"/>
                <w:sz w:val="18"/>
                <w:szCs w:val="18"/>
              </w:rPr>
              <w:t>burden</w:t>
            </w:r>
            <w:r>
              <w:rPr>
                <w:rFonts w:ascii="Arial Narrow" w:hAnsi="Arial Narrow"/>
                <w:sz w:val="18"/>
                <w:szCs w:val="18"/>
              </w:rPr>
              <w:t>, estimated as the percentage of sites that domestically manufactured inorganic chemicals</w:t>
            </w:r>
            <w:r w:rsidRPr="00E533BC">
              <w:rPr>
                <w:rFonts w:ascii="Arial Narrow" w:hAnsi="Arial Narrow"/>
                <w:sz w:val="18"/>
                <w:szCs w:val="18"/>
              </w:rPr>
              <w:t xml:space="preserve"> in </w:t>
            </w:r>
            <w:r>
              <w:rPr>
                <w:rFonts w:ascii="Arial Narrow" w:hAnsi="Arial Narrow"/>
                <w:sz w:val="18"/>
                <w:szCs w:val="18"/>
              </w:rPr>
              <w:t>the 2016 CDR (</w:t>
            </w:r>
            <w:r w:rsidRPr="00E533BC">
              <w:rPr>
                <w:rFonts w:ascii="Arial Narrow" w:hAnsi="Arial Narrow"/>
                <w:sz w:val="18"/>
                <w:szCs w:val="18"/>
              </w:rPr>
              <w:t>EPA</w:t>
            </w:r>
            <w:r>
              <w:rPr>
                <w:rFonts w:ascii="Arial Narrow" w:hAnsi="Arial Narrow"/>
                <w:sz w:val="18"/>
                <w:szCs w:val="18"/>
              </w:rPr>
              <w:t xml:space="preserve">, </w:t>
            </w:r>
            <w:r w:rsidRPr="00E533BC">
              <w:rPr>
                <w:rFonts w:ascii="Arial Narrow" w:hAnsi="Arial Narrow"/>
                <w:sz w:val="18"/>
                <w:szCs w:val="18"/>
              </w:rPr>
              <w:t>2018</w:t>
            </w:r>
            <w:r>
              <w:rPr>
                <w:rFonts w:ascii="Arial Narrow" w:hAnsi="Arial Narrow"/>
                <w:sz w:val="18"/>
                <w:szCs w:val="18"/>
              </w:rPr>
              <w:t>a</w:t>
            </w:r>
            <w:r w:rsidRPr="00E533BC">
              <w:rPr>
                <w:rFonts w:ascii="Arial Narrow" w:hAnsi="Arial Narrow"/>
                <w:sz w:val="18"/>
                <w:szCs w:val="18"/>
              </w:rPr>
              <w:t xml:space="preserve">). </w:t>
            </w:r>
            <w:r>
              <w:rPr>
                <w:rFonts w:ascii="Arial Narrow" w:hAnsi="Arial Narrow"/>
                <w:sz w:val="18"/>
                <w:szCs w:val="18"/>
              </w:rPr>
              <w:t>A</w:t>
            </w:r>
            <w:r w:rsidRPr="00E533BC">
              <w:rPr>
                <w:rFonts w:ascii="Arial Narrow" w:hAnsi="Arial Narrow"/>
                <w:sz w:val="18"/>
                <w:szCs w:val="18"/>
              </w:rPr>
              <w:t xml:space="preserve">s </w:t>
            </w:r>
            <w:r>
              <w:rPr>
                <w:rFonts w:ascii="Arial Narrow" w:hAnsi="Arial Narrow"/>
                <w:sz w:val="18"/>
                <w:szCs w:val="18"/>
              </w:rPr>
              <w:t>with the form completion burden of the byproduct exemptions,</w:t>
            </w:r>
            <w:r w:rsidRPr="00E533BC">
              <w:rPr>
                <w:rFonts w:ascii="Arial Narrow" w:hAnsi="Arial Narrow"/>
                <w:sz w:val="18"/>
                <w:szCs w:val="18"/>
              </w:rPr>
              <w:t xml:space="preserve"> the unadjusted unit burden is applied to the respective affected number of sites, instead of all </w:t>
            </w:r>
            <w:r>
              <w:rPr>
                <w:rFonts w:ascii="Arial Narrow" w:hAnsi="Arial Narrow"/>
                <w:sz w:val="18"/>
                <w:szCs w:val="18"/>
              </w:rPr>
              <w:t xml:space="preserve">CDR </w:t>
            </w:r>
            <w:r w:rsidRPr="00E533BC">
              <w:rPr>
                <w:rFonts w:ascii="Arial Narrow" w:hAnsi="Arial Narrow"/>
                <w:sz w:val="18"/>
                <w:szCs w:val="18"/>
              </w:rPr>
              <w:t>sites.</w:t>
            </w:r>
            <w:bookmarkEnd w:id="46"/>
          </w:p>
        </w:tc>
      </w:tr>
    </w:tbl>
    <w:p w:rsidRPr="00574902" w:rsidR="004909CD" w:rsidP="004909CD" w:rsidRDefault="004909CD" w14:paraId="4F435865" w14:textId="13B1921E">
      <w:pPr>
        <w:pStyle w:val="BodyText"/>
        <w:spacing w:before="240"/>
      </w:pPr>
      <w:r w:rsidRPr="00574902">
        <w:lastRenderedPageBreak/>
        <w:t xml:space="preserve">Incremental new reporter unit burden for form completion activities associated with CDR Revisions is based on estimates of experienced reporter burden for the modifications and additions to form completion activities </w:t>
      </w:r>
      <w:r>
        <w:t>finalized</w:t>
      </w:r>
      <w:r w:rsidRPr="00574902">
        <w:t xml:space="preserve"> by the rule; new reporters are estimated to take 1.26 times longer than experienced reporters (</w:t>
      </w:r>
      <w:bookmarkStart w:name="_Hlk527375031" w:id="47"/>
      <w:r w:rsidRPr="00574902">
        <w:t>EPA, 2018b)</w:t>
      </w:r>
      <w:bookmarkEnd w:id="47"/>
      <w:r w:rsidRPr="00574902">
        <w:t>.</w:t>
      </w:r>
      <w:r w:rsidRPr="00574902">
        <w:rPr>
          <w:rStyle w:val="FootnoteReference"/>
          <w:rFonts w:eastAsiaTheme="majorEastAsia"/>
          <w:bCs/>
          <w:color w:val="000000"/>
        </w:rPr>
        <w:t xml:space="preserve"> </w:t>
      </w:r>
      <w:r w:rsidRPr="00D72FFB" w:rsidR="00BD0A57">
        <w:t>In the second cycle,</w:t>
      </w:r>
      <w:r w:rsidRPr="00DD6830" w:rsidR="00BD0A57">
        <w:t xml:space="preserve"> new reporter burden is applied to the 90% of reporters using OECD codes for the first</w:t>
      </w:r>
      <w:r w:rsidRPr="00A47D48" w:rsidR="00BD0A57">
        <w:t xml:space="preserve"> time. This new reporter burden only applies to the data elements for which OECD codes are used. </w:t>
      </w:r>
      <w:r w:rsidRPr="00574902">
        <w:t xml:space="preserve">These unit burdens are applied to new reporters </w:t>
      </w:r>
      <w:r w:rsidR="00BD0A57">
        <w:t xml:space="preserve">in the second and </w:t>
      </w:r>
      <w:r w:rsidRPr="009A1924">
        <w:t>future cycle</w:t>
      </w:r>
      <w:r w:rsidR="00BD0A57">
        <w:t>s</w:t>
      </w:r>
      <w:r w:rsidRPr="00574902">
        <w:t>.</w:t>
      </w:r>
    </w:p>
    <w:p w:rsidR="004909CD" w:rsidP="004909CD" w:rsidRDefault="00DA78C8" w14:paraId="65A30B28" w14:textId="43B2BCE3">
      <w:pPr>
        <w:pStyle w:val="BodyText"/>
      </w:pPr>
      <w:r>
        <w:fldChar w:fldCharType="begin"/>
      </w:r>
      <w:r>
        <w:instrText xml:space="preserve"> REF _Ref33190998 \h </w:instrText>
      </w:r>
      <w:r>
        <w:fldChar w:fldCharType="separate"/>
      </w:r>
      <w:r w:rsidRPr="007375F8" w:rsidR="00AC5186">
        <w:rPr>
          <w:szCs w:val="24"/>
        </w:rPr>
        <w:t xml:space="preserve">Table </w:t>
      </w:r>
      <w:r w:rsidR="00AC5186">
        <w:rPr>
          <w:noProof/>
          <w:szCs w:val="24"/>
        </w:rPr>
        <w:t>3</w:t>
      </w:r>
      <w:r>
        <w:fldChar w:fldCharType="end"/>
      </w:r>
      <w:r>
        <w:t xml:space="preserve"> </w:t>
      </w:r>
      <w:r w:rsidRPr="00574902" w:rsidR="004909CD">
        <w:t xml:space="preserve">presents the derivation of incremental unit burdens for new reporters and the overall average reporter for activities relating to reportable data elements and CBI substantiation. For </w:t>
      </w:r>
      <w:r w:rsidR="007C0649">
        <w:t>subsequent</w:t>
      </w:r>
      <w:r w:rsidRPr="00574902" w:rsidR="007C0649">
        <w:t xml:space="preserve"> </w:t>
      </w:r>
      <w:r w:rsidRPr="00574902" w:rsidR="004909CD">
        <w:t>cycles, EPA estimates conditions at about 15% new reporters, 78% full reports</w:t>
      </w:r>
      <w:r w:rsidR="004909CD">
        <w:t>,</w:t>
      </w:r>
      <w:r w:rsidRPr="003E570D" w:rsidR="004909CD">
        <w:rPr>
          <w:rStyle w:val="FootnoteReference"/>
          <w:vertAlign w:val="superscript"/>
        </w:rPr>
        <w:footnoteReference w:id="9"/>
      </w:r>
      <w:r w:rsidRPr="00574902" w:rsidR="004909CD">
        <w:t xml:space="preserve"> and 7.5 chemical reports per site (as in the analyses </w:t>
      </w:r>
      <w:r w:rsidR="002719CF">
        <w:t xml:space="preserve">presented in </w:t>
      </w:r>
      <w:r w:rsidRPr="00574902" w:rsidR="004909CD">
        <w:t>EPA (</w:t>
      </w:r>
      <w:r w:rsidR="004909CD">
        <w:t>2019</w:t>
      </w:r>
      <w:r w:rsidRPr="00574902" w:rsidR="004909CD">
        <w:t>)).</w:t>
      </w:r>
    </w:p>
    <w:p w:rsidR="002719CF" w:rsidP="004909CD" w:rsidRDefault="002719CF" w14:paraId="4E0C3029" w14:textId="77777777">
      <w:pPr>
        <w:pStyle w:val="BodyText"/>
      </w:pPr>
    </w:p>
    <w:tbl>
      <w:tblPr>
        <w:tblW w:w="5000" w:type="pct"/>
        <w:jc w:val="center"/>
        <w:tblLayout w:type="fixed"/>
        <w:tblCellMar>
          <w:left w:w="115" w:type="dxa"/>
          <w:right w:w="115" w:type="dxa"/>
        </w:tblCellMar>
        <w:tblLook w:val="04A0" w:firstRow="1" w:lastRow="0" w:firstColumn="1" w:lastColumn="0" w:noHBand="0" w:noVBand="1"/>
      </w:tblPr>
      <w:tblGrid>
        <w:gridCol w:w="295"/>
        <w:gridCol w:w="4066"/>
        <w:gridCol w:w="2035"/>
        <w:gridCol w:w="1842"/>
        <w:gridCol w:w="1842"/>
      </w:tblGrid>
      <w:tr w:rsidRPr="00574902" w:rsidR="004909CD" w:rsidTr="00E96905" w14:paraId="21D7DEA3" w14:textId="77777777">
        <w:trPr>
          <w:tblHeader/>
          <w:jc w:val="center"/>
        </w:trPr>
        <w:tc>
          <w:tcPr>
            <w:tcW w:w="10080" w:type="dxa"/>
            <w:gridSpan w:val="5"/>
            <w:tcBorders>
              <w:top w:val="nil"/>
              <w:left w:val="nil"/>
              <w:bottom w:val="single" w:color="auto" w:sz="4" w:space="0"/>
              <w:right w:val="nil"/>
            </w:tcBorders>
            <w:shd w:val="clear" w:color="auto" w:fill="auto"/>
            <w:vAlign w:val="center"/>
            <w:hideMark/>
          </w:tcPr>
          <w:p w:rsidRPr="007375F8" w:rsidR="004909CD" w:rsidP="00F64D94" w:rsidRDefault="004909CD" w14:paraId="3AEFF006" w14:textId="73CCF84C">
            <w:pPr>
              <w:pStyle w:val="Caption"/>
              <w:rPr>
                <w:szCs w:val="24"/>
              </w:rPr>
            </w:pPr>
            <w:bookmarkStart w:name="_Ref33190998" w:id="48"/>
            <w:bookmarkStart w:name="_Ref526352636" w:id="49"/>
            <w:bookmarkStart w:name="_Ref524342694" w:id="50"/>
            <w:bookmarkStart w:name="_Toc34230797" w:id="51"/>
            <w:r w:rsidRPr="007375F8">
              <w:rPr>
                <w:szCs w:val="24"/>
              </w:rPr>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1D745F">
              <w:rPr>
                <w:noProof/>
                <w:szCs w:val="24"/>
              </w:rPr>
              <w:t>3</w:t>
            </w:r>
            <w:r w:rsidR="00F574F4">
              <w:rPr>
                <w:szCs w:val="24"/>
              </w:rPr>
              <w:fldChar w:fldCharType="end"/>
            </w:r>
            <w:bookmarkEnd w:id="48"/>
            <w:bookmarkEnd w:id="49"/>
            <w:bookmarkEnd w:id="50"/>
            <w:r w:rsidRPr="007375F8">
              <w:rPr>
                <w:szCs w:val="24"/>
              </w:rPr>
              <w:t>: Reportable Data Elements and CBI Substantiation Incremental Burden, Experienced and New Reporters, Four-Year Cycle, Industry and Government</w:t>
            </w:r>
            <w:bookmarkEnd w:id="51"/>
          </w:p>
        </w:tc>
      </w:tr>
      <w:tr w:rsidRPr="00574902" w:rsidR="004909CD" w:rsidTr="00E96905" w14:paraId="00889D3C" w14:textId="77777777">
        <w:trPr>
          <w:tblHeader/>
          <w:jc w:val="center"/>
        </w:trPr>
        <w:tc>
          <w:tcPr>
            <w:tcW w:w="4361" w:type="dxa"/>
            <w:gridSpan w:val="2"/>
            <w:vMerge w:val="restart"/>
            <w:tcBorders>
              <w:top w:val="nil"/>
              <w:left w:val="single" w:color="auto" w:sz="4" w:space="0"/>
              <w:bottom w:val="single" w:color="000000" w:themeColor="text1" w:sz="4" w:space="0"/>
              <w:right w:val="single" w:color="auto" w:sz="4" w:space="0"/>
            </w:tcBorders>
            <w:shd w:val="clear" w:color="auto" w:fill="BFBFBF" w:themeFill="background1" w:themeFillShade="BF"/>
            <w:noWrap/>
            <w:vAlign w:val="bottom"/>
            <w:hideMark/>
          </w:tcPr>
          <w:p w:rsidRPr="00574902" w:rsidR="004909CD" w:rsidP="00F64D94" w:rsidRDefault="004909CD" w14:paraId="7184DF7D"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Activity</w:t>
            </w:r>
          </w:p>
        </w:tc>
        <w:tc>
          <w:tcPr>
            <w:tcW w:w="2035"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117EBB2B"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Experienced Reporters</w:t>
            </w:r>
          </w:p>
        </w:tc>
        <w:tc>
          <w:tcPr>
            <w:tcW w:w="1842"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45DF24BB"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New Reporters</w:t>
            </w:r>
            <w:r w:rsidRPr="00574902">
              <w:rPr>
                <w:rFonts w:ascii="Arial Narrow" w:hAnsi="Arial Narrow" w:cs="Calibri"/>
                <w:b/>
                <w:bCs/>
                <w:color w:val="000000"/>
                <w:sz w:val="18"/>
                <w:szCs w:val="18"/>
                <w:vertAlign w:val="superscript"/>
              </w:rPr>
              <w:t>1</w:t>
            </w:r>
          </w:p>
        </w:tc>
        <w:tc>
          <w:tcPr>
            <w:tcW w:w="1842"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1C90F80C"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Overall</w:t>
            </w:r>
            <w:r w:rsidRPr="00574902">
              <w:rPr>
                <w:rFonts w:ascii="Arial Narrow" w:hAnsi="Arial Narrow" w:cs="Calibri"/>
                <w:b/>
                <w:bCs/>
                <w:color w:val="000000"/>
                <w:sz w:val="18"/>
                <w:szCs w:val="18"/>
                <w:vertAlign w:val="superscript"/>
              </w:rPr>
              <w:t>2</w:t>
            </w:r>
          </w:p>
        </w:tc>
      </w:tr>
      <w:tr w:rsidRPr="00574902" w:rsidR="004909CD" w:rsidTr="00E96905" w14:paraId="30C0FD9B" w14:textId="77777777">
        <w:trPr>
          <w:tblHeader/>
          <w:jc w:val="center"/>
        </w:trPr>
        <w:tc>
          <w:tcPr>
            <w:tcW w:w="4361" w:type="dxa"/>
            <w:gridSpan w:val="2"/>
            <w:vMerge/>
            <w:tcBorders>
              <w:top w:val="nil"/>
              <w:left w:val="single" w:color="auto" w:sz="4" w:space="0"/>
              <w:bottom w:val="single" w:color="000000" w:sz="4" w:space="0"/>
              <w:right w:val="single" w:color="auto" w:sz="4" w:space="0"/>
            </w:tcBorders>
            <w:shd w:val="clear" w:color="auto" w:fill="BFBFBF"/>
            <w:vAlign w:val="center"/>
            <w:hideMark/>
          </w:tcPr>
          <w:p w:rsidRPr="00574902" w:rsidR="004909CD" w:rsidP="00F64D94" w:rsidRDefault="004909CD" w14:paraId="1404B51B" w14:textId="77777777">
            <w:pPr>
              <w:rPr>
                <w:rFonts w:ascii="Arial Narrow" w:hAnsi="Arial Narrow" w:cs="Calibri"/>
                <w:b/>
                <w:bCs/>
                <w:color w:val="000000"/>
                <w:sz w:val="18"/>
                <w:szCs w:val="18"/>
              </w:rPr>
            </w:pPr>
          </w:p>
        </w:tc>
        <w:tc>
          <w:tcPr>
            <w:tcW w:w="2035"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13A48A07"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Unit Burden per Average Site (hours)</w:t>
            </w:r>
          </w:p>
        </w:tc>
        <w:tc>
          <w:tcPr>
            <w:tcW w:w="1842"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2A4FFCE2"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Unit Burden per Average Site (hours)</w:t>
            </w:r>
          </w:p>
        </w:tc>
        <w:tc>
          <w:tcPr>
            <w:tcW w:w="1842"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59A52D20" w14:textId="77777777">
            <w:pPr>
              <w:jc w:val="center"/>
              <w:rPr>
                <w:rFonts w:ascii="Arial Narrow" w:hAnsi="Arial Narrow" w:cs="Calibri"/>
                <w:b/>
                <w:bCs/>
                <w:color w:val="000000"/>
                <w:sz w:val="18"/>
                <w:szCs w:val="18"/>
              </w:rPr>
            </w:pPr>
            <w:r w:rsidRPr="00574902">
              <w:rPr>
                <w:rFonts w:ascii="Arial Narrow" w:hAnsi="Arial Narrow" w:cs="Calibri"/>
                <w:b/>
                <w:bCs/>
                <w:color w:val="000000"/>
                <w:sz w:val="18"/>
                <w:szCs w:val="18"/>
              </w:rPr>
              <w:t>Unit Burden per Average Site (hours)</w:t>
            </w:r>
          </w:p>
        </w:tc>
      </w:tr>
      <w:tr w:rsidRPr="00574902" w:rsidR="004909CD" w:rsidTr="00E96905" w14:paraId="1126E9F5" w14:textId="77777777">
        <w:trPr>
          <w:jc w:val="center"/>
        </w:trPr>
        <w:tc>
          <w:tcPr>
            <w:tcW w:w="4361" w:type="dxa"/>
            <w:gridSpan w:val="2"/>
            <w:tcBorders>
              <w:top w:val="single" w:color="auto" w:sz="4" w:space="0"/>
              <w:left w:val="single" w:color="auto" w:sz="4" w:space="0"/>
              <w:bottom w:val="single" w:color="auto" w:sz="4" w:space="0"/>
              <w:right w:val="nil"/>
            </w:tcBorders>
            <w:shd w:val="clear" w:color="auto" w:fill="auto"/>
            <w:vAlign w:val="bottom"/>
            <w:hideMark/>
          </w:tcPr>
          <w:p w:rsidRPr="00574902" w:rsidR="004909CD" w:rsidP="00F64D94" w:rsidRDefault="004909CD" w14:paraId="76CDDE59" w14:textId="77777777">
            <w:pPr>
              <w:rPr>
                <w:rFonts w:ascii="Arial Narrow" w:hAnsi="Arial Narrow" w:cs="Calibri"/>
                <w:b/>
                <w:bCs/>
                <w:color w:val="000000"/>
                <w:sz w:val="18"/>
                <w:szCs w:val="18"/>
              </w:rPr>
            </w:pPr>
            <w:r w:rsidRPr="00574902">
              <w:rPr>
                <w:rFonts w:ascii="Arial Narrow" w:hAnsi="Arial Narrow" w:cs="Calibri"/>
                <w:b/>
                <w:bCs/>
                <w:color w:val="000000"/>
                <w:sz w:val="18"/>
                <w:szCs w:val="18"/>
              </w:rPr>
              <w:t>Reportable Data Elements</w:t>
            </w:r>
          </w:p>
        </w:tc>
        <w:tc>
          <w:tcPr>
            <w:tcW w:w="2035" w:type="dxa"/>
            <w:tcBorders>
              <w:top w:val="nil"/>
              <w:left w:val="nil"/>
              <w:bottom w:val="single" w:color="auto" w:sz="4" w:space="0"/>
              <w:right w:val="nil"/>
            </w:tcBorders>
            <w:shd w:val="clear" w:color="auto" w:fill="auto"/>
            <w:noWrap/>
            <w:vAlign w:val="center"/>
            <w:hideMark/>
          </w:tcPr>
          <w:p w:rsidRPr="00574902" w:rsidR="004909CD" w:rsidP="00F64D94" w:rsidRDefault="004909CD" w14:paraId="52D801A1"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c>
          <w:tcPr>
            <w:tcW w:w="1842" w:type="dxa"/>
            <w:tcBorders>
              <w:top w:val="nil"/>
              <w:left w:val="nil"/>
              <w:bottom w:val="single" w:color="auto" w:sz="4" w:space="0"/>
              <w:right w:val="nil"/>
            </w:tcBorders>
            <w:shd w:val="clear" w:color="auto" w:fill="auto"/>
            <w:noWrap/>
            <w:vAlign w:val="center"/>
            <w:hideMark/>
          </w:tcPr>
          <w:p w:rsidRPr="00574902" w:rsidR="004909CD" w:rsidP="00F64D94" w:rsidRDefault="004909CD" w14:paraId="43C35CB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38C8F9E0"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r>
      <w:tr w:rsidRPr="00574902" w:rsidR="004909CD" w:rsidTr="00E96905" w14:paraId="6B51E5C2" w14:textId="77777777">
        <w:trPr>
          <w:jc w:val="center"/>
        </w:trPr>
        <w:tc>
          <w:tcPr>
            <w:tcW w:w="4361"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1CEA1ED8" w14:textId="77777777">
            <w:pPr>
              <w:rPr>
                <w:rFonts w:ascii="Arial Narrow" w:hAnsi="Arial Narrow" w:cs="Calibri"/>
                <w:color w:val="000000"/>
                <w:sz w:val="18"/>
                <w:szCs w:val="18"/>
              </w:rPr>
            </w:pPr>
            <w:r w:rsidRPr="00574902">
              <w:rPr>
                <w:rFonts w:ascii="Arial Narrow" w:hAnsi="Arial Narrow" w:cs="Calibri"/>
                <w:color w:val="000000"/>
                <w:sz w:val="18"/>
                <w:szCs w:val="18"/>
              </w:rPr>
              <w:t>Rule Familiarization</w:t>
            </w:r>
            <w:r w:rsidRPr="00574902">
              <w:rPr>
                <w:rFonts w:ascii="Arial Narrow" w:hAnsi="Arial Narrow" w:cs="Calibri"/>
                <w:color w:val="000000"/>
                <w:sz w:val="18"/>
                <w:szCs w:val="18"/>
                <w:vertAlign w:val="superscript"/>
              </w:rPr>
              <w:t>3</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5CADF8D8"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19304F0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0.167</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6D54DA91"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0.025</w:t>
            </w:r>
          </w:p>
        </w:tc>
      </w:tr>
      <w:tr w:rsidRPr="00574902" w:rsidR="004909CD" w:rsidTr="00E96905" w14:paraId="2970F979" w14:textId="77777777">
        <w:trPr>
          <w:jc w:val="center"/>
        </w:trPr>
        <w:tc>
          <w:tcPr>
            <w:tcW w:w="4361"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3FE831B2" w14:textId="77777777">
            <w:pPr>
              <w:rPr>
                <w:rFonts w:ascii="Arial Narrow" w:hAnsi="Arial Narrow" w:cs="Calibri"/>
                <w:color w:val="000000"/>
                <w:sz w:val="18"/>
                <w:szCs w:val="18"/>
              </w:rPr>
            </w:pPr>
            <w:r w:rsidRPr="00574902">
              <w:rPr>
                <w:rFonts w:ascii="Arial Narrow" w:hAnsi="Arial Narrow" w:cs="Calibri"/>
                <w:color w:val="000000"/>
                <w:sz w:val="18"/>
                <w:szCs w:val="18"/>
              </w:rPr>
              <w:t>Compliance Determination</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49C75AFF"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7FFAC09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51BBB73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r>
      <w:tr w:rsidRPr="00574902" w:rsidR="004909CD" w:rsidTr="00E96905" w14:paraId="64AA9122" w14:textId="77777777">
        <w:trPr>
          <w:jc w:val="center"/>
        </w:trPr>
        <w:tc>
          <w:tcPr>
            <w:tcW w:w="4361"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6E1F62C8" w14:textId="77777777">
            <w:pPr>
              <w:rPr>
                <w:rFonts w:ascii="Arial Narrow" w:hAnsi="Arial Narrow" w:cs="Calibri"/>
                <w:color w:val="000000"/>
                <w:sz w:val="18"/>
                <w:szCs w:val="18"/>
              </w:rPr>
            </w:pPr>
            <w:r w:rsidRPr="00574902">
              <w:rPr>
                <w:rFonts w:ascii="Arial Narrow" w:hAnsi="Arial Narrow" w:cs="Calibri"/>
                <w:color w:val="000000"/>
                <w:sz w:val="18"/>
                <w:szCs w:val="18"/>
              </w:rPr>
              <w:lastRenderedPageBreak/>
              <w:t>Recordkeeping</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451D8BF7"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198F5F92"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2C52198A"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r>
      <w:tr w:rsidRPr="00574902" w:rsidR="004909CD" w:rsidTr="00E96905" w14:paraId="03FD4234" w14:textId="77777777">
        <w:trPr>
          <w:jc w:val="center"/>
        </w:trPr>
        <w:tc>
          <w:tcPr>
            <w:tcW w:w="4361" w:type="dxa"/>
            <w:gridSpan w:val="2"/>
            <w:tcBorders>
              <w:top w:val="nil"/>
              <w:left w:val="single" w:color="auto" w:sz="4" w:space="0"/>
              <w:bottom w:val="single" w:color="auto" w:sz="4" w:space="0"/>
              <w:right w:val="single" w:color="auto" w:sz="4" w:space="0"/>
            </w:tcBorders>
            <w:shd w:val="clear" w:color="auto" w:fill="auto"/>
            <w:vAlign w:val="center"/>
            <w:hideMark/>
          </w:tcPr>
          <w:p w:rsidRPr="00574902" w:rsidR="004909CD" w:rsidP="00F64D94" w:rsidRDefault="004909CD" w14:paraId="7E8EA28F" w14:textId="77777777">
            <w:pPr>
              <w:rPr>
                <w:rFonts w:ascii="Arial Narrow" w:hAnsi="Arial Narrow" w:cs="Calibri"/>
                <w:color w:val="000000"/>
                <w:sz w:val="18"/>
                <w:szCs w:val="18"/>
              </w:rPr>
            </w:pPr>
            <w:r w:rsidRPr="00574902">
              <w:rPr>
                <w:rFonts w:ascii="Arial Narrow" w:hAnsi="Arial Narrow" w:cs="Calibri"/>
                <w:color w:val="000000"/>
                <w:sz w:val="18"/>
                <w:szCs w:val="18"/>
              </w:rPr>
              <w:t>Average Multi-Chemical Form Completion (7.5 chemicals)</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D31D8" w:rsidR="004909CD" w:rsidP="00F64D94" w:rsidRDefault="004909CD" w14:paraId="40FF46A7" w14:textId="77777777">
            <w:pPr>
              <w:ind w:firstLine="180" w:firstLineChars="100"/>
              <w:jc w:val="right"/>
              <w:rPr>
                <w:rFonts w:ascii="Arial Narrow" w:hAnsi="Arial Narrow" w:cs="Calibri"/>
                <w:color w:val="000000" w:themeColor="text1"/>
                <w:sz w:val="18"/>
                <w:szCs w:val="18"/>
              </w:rPr>
            </w:pPr>
            <w:r w:rsidRPr="009A1924">
              <w:rPr>
                <w:rFonts w:ascii="Arial Narrow" w:hAnsi="Arial Narrow" w:cs="Calibri"/>
                <w:color w:val="000000"/>
                <w:sz w:val="18"/>
                <w:szCs w:val="18"/>
              </w:rPr>
              <w:t>31.902</w:t>
            </w:r>
          </w:p>
        </w:tc>
        <w:tc>
          <w:tcPr>
            <w:tcW w:w="1842" w:type="dxa"/>
            <w:tcBorders>
              <w:top w:val="single" w:color="auto" w:sz="4" w:space="0"/>
              <w:left w:val="nil"/>
              <w:bottom w:val="single" w:color="auto" w:sz="4" w:space="0"/>
              <w:right w:val="single" w:color="auto" w:sz="4" w:space="0"/>
            </w:tcBorders>
            <w:shd w:val="clear" w:color="auto" w:fill="auto"/>
            <w:noWrap/>
            <w:vAlign w:val="center"/>
            <w:hideMark/>
          </w:tcPr>
          <w:p w:rsidRPr="000D31D8" w:rsidR="004909CD" w:rsidP="00F64D94" w:rsidRDefault="004909CD" w14:paraId="1C465481" w14:textId="77777777">
            <w:pPr>
              <w:ind w:firstLine="180" w:firstLineChars="100"/>
              <w:jc w:val="right"/>
              <w:rPr>
                <w:rFonts w:ascii="Arial Narrow" w:hAnsi="Arial Narrow" w:cs="Calibri"/>
                <w:color w:val="000000" w:themeColor="text1"/>
                <w:sz w:val="18"/>
                <w:szCs w:val="18"/>
              </w:rPr>
            </w:pPr>
            <w:r w:rsidRPr="009A1924">
              <w:rPr>
                <w:rFonts w:ascii="Arial Narrow" w:hAnsi="Arial Narrow" w:cs="Calibri"/>
                <w:color w:val="000000"/>
                <w:sz w:val="18"/>
                <w:szCs w:val="18"/>
              </w:rPr>
              <w:t>40.197</w:t>
            </w:r>
          </w:p>
        </w:tc>
        <w:tc>
          <w:tcPr>
            <w:tcW w:w="1842" w:type="dxa"/>
            <w:tcBorders>
              <w:top w:val="single" w:color="auto" w:sz="4" w:space="0"/>
              <w:left w:val="nil"/>
              <w:bottom w:val="single" w:color="auto" w:sz="4" w:space="0"/>
              <w:right w:val="single" w:color="auto" w:sz="4" w:space="0"/>
            </w:tcBorders>
            <w:shd w:val="clear" w:color="auto" w:fill="auto"/>
            <w:noWrap/>
            <w:vAlign w:val="center"/>
            <w:hideMark/>
          </w:tcPr>
          <w:p w:rsidRPr="000D31D8" w:rsidR="004909CD" w:rsidP="00F64D94" w:rsidRDefault="004909CD" w14:paraId="5124988D" w14:textId="77777777">
            <w:pPr>
              <w:ind w:firstLine="180" w:firstLineChars="100"/>
              <w:jc w:val="right"/>
              <w:rPr>
                <w:rFonts w:ascii="Arial Narrow" w:hAnsi="Arial Narrow" w:cs="Calibri"/>
                <w:color w:val="000000" w:themeColor="text1"/>
                <w:sz w:val="18"/>
                <w:szCs w:val="18"/>
              </w:rPr>
            </w:pPr>
            <w:r w:rsidRPr="009A1924">
              <w:rPr>
                <w:rFonts w:ascii="Arial Narrow" w:hAnsi="Arial Narrow" w:cs="Calibri"/>
                <w:color w:val="000000"/>
                <w:sz w:val="18"/>
                <w:szCs w:val="18"/>
              </w:rPr>
              <w:t>33.131</w:t>
            </w:r>
          </w:p>
        </w:tc>
      </w:tr>
      <w:tr w:rsidRPr="00574902" w:rsidR="004909CD" w:rsidTr="00E96905" w14:paraId="65D4C5EB" w14:textId="77777777">
        <w:trPr>
          <w:jc w:val="center"/>
        </w:trPr>
        <w:tc>
          <w:tcPr>
            <w:tcW w:w="4361" w:type="dxa"/>
            <w:gridSpan w:val="2"/>
            <w:tcBorders>
              <w:top w:val="single" w:color="auto" w:sz="4" w:space="0"/>
              <w:left w:val="single" w:color="auto" w:sz="4" w:space="0"/>
              <w:bottom w:val="single" w:color="auto" w:sz="4" w:space="0"/>
              <w:right w:val="nil"/>
            </w:tcBorders>
            <w:shd w:val="clear" w:color="auto" w:fill="auto"/>
            <w:vAlign w:val="bottom"/>
            <w:hideMark/>
          </w:tcPr>
          <w:p w:rsidRPr="00574902" w:rsidR="004909CD" w:rsidP="00F64D94" w:rsidRDefault="004909CD" w14:paraId="25E1645D" w14:textId="77777777">
            <w:pPr>
              <w:rPr>
                <w:rFonts w:ascii="Arial Narrow" w:hAnsi="Arial Narrow" w:cs="Calibri"/>
                <w:b/>
                <w:bCs/>
                <w:color w:val="000000"/>
                <w:sz w:val="18"/>
                <w:szCs w:val="18"/>
              </w:rPr>
            </w:pPr>
            <w:r w:rsidRPr="00574902">
              <w:rPr>
                <w:rFonts w:ascii="Arial Narrow" w:hAnsi="Arial Narrow" w:cs="Calibri"/>
                <w:b/>
                <w:bCs/>
                <w:color w:val="000000"/>
                <w:sz w:val="18"/>
                <w:szCs w:val="18"/>
              </w:rPr>
              <w:t>CBI Substantiation</w:t>
            </w:r>
          </w:p>
        </w:tc>
        <w:tc>
          <w:tcPr>
            <w:tcW w:w="2035" w:type="dxa"/>
            <w:tcBorders>
              <w:top w:val="nil"/>
              <w:left w:val="nil"/>
              <w:bottom w:val="single" w:color="auto" w:sz="4" w:space="0"/>
              <w:right w:val="nil"/>
            </w:tcBorders>
            <w:shd w:val="clear" w:color="auto" w:fill="auto"/>
            <w:noWrap/>
            <w:vAlign w:val="center"/>
            <w:hideMark/>
          </w:tcPr>
          <w:p w:rsidRPr="00574902" w:rsidR="004909CD" w:rsidP="00F64D94" w:rsidRDefault="004909CD" w14:paraId="52D4025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c>
          <w:tcPr>
            <w:tcW w:w="1842" w:type="dxa"/>
            <w:tcBorders>
              <w:top w:val="nil"/>
              <w:left w:val="nil"/>
              <w:bottom w:val="single" w:color="auto" w:sz="4" w:space="0"/>
              <w:right w:val="nil"/>
            </w:tcBorders>
            <w:shd w:val="clear" w:color="auto" w:fill="auto"/>
            <w:noWrap/>
            <w:vAlign w:val="center"/>
            <w:hideMark/>
          </w:tcPr>
          <w:p w:rsidRPr="00574902" w:rsidR="004909CD" w:rsidP="00F64D94" w:rsidRDefault="004909CD" w14:paraId="2A6B03E0"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66805F4C"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 </w:t>
            </w:r>
          </w:p>
        </w:tc>
      </w:tr>
      <w:tr w:rsidRPr="00574902" w:rsidR="004909CD" w:rsidTr="00E96905" w14:paraId="06F9A7A5" w14:textId="77777777">
        <w:trPr>
          <w:jc w:val="center"/>
        </w:trPr>
        <w:tc>
          <w:tcPr>
            <w:tcW w:w="4361"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2EB9A403" w14:textId="77777777">
            <w:pPr>
              <w:rPr>
                <w:rFonts w:ascii="Arial Narrow" w:hAnsi="Arial Narrow" w:cs="Calibri"/>
                <w:color w:val="000000"/>
                <w:sz w:val="18"/>
                <w:szCs w:val="18"/>
              </w:rPr>
            </w:pPr>
            <w:r w:rsidRPr="00574902">
              <w:rPr>
                <w:rFonts w:ascii="Arial Narrow" w:hAnsi="Arial Narrow" w:cs="Calibri"/>
                <w:color w:val="000000"/>
                <w:sz w:val="18"/>
                <w:szCs w:val="18"/>
              </w:rPr>
              <w:t>Rule Familiarization</w:t>
            </w:r>
            <w:r w:rsidRPr="00574902">
              <w:rPr>
                <w:rFonts w:ascii="Arial Narrow" w:hAnsi="Arial Narrow" w:cs="Calibri"/>
                <w:color w:val="000000"/>
                <w:sz w:val="18"/>
                <w:szCs w:val="18"/>
                <w:vertAlign w:val="superscript"/>
              </w:rPr>
              <w:t>4</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22D5C030"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7D3AB4A5"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2.000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50311B85"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0.296</w:t>
            </w:r>
          </w:p>
        </w:tc>
      </w:tr>
      <w:tr w:rsidRPr="00574902" w:rsidR="004909CD" w:rsidTr="00E96905" w14:paraId="3A7FC474" w14:textId="77777777">
        <w:trPr>
          <w:jc w:val="center"/>
        </w:trPr>
        <w:tc>
          <w:tcPr>
            <w:tcW w:w="4361"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32A10EC1" w14:textId="77777777">
            <w:pPr>
              <w:rPr>
                <w:rFonts w:ascii="Arial Narrow" w:hAnsi="Arial Narrow" w:cs="Calibri"/>
                <w:color w:val="000000"/>
                <w:sz w:val="18"/>
                <w:szCs w:val="18"/>
              </w:rPr>
            </w:pPr>
            <w:r w:rsidRPr="00574902">
              <w:rPr>
                <w:rFonts w:ascii="Arial Narrow" w:hAnsi="Arial Narrow" w:cs="Calibri"/>
                <w:color w:val="000000"/>
                <w:sz w:val="18"/>
                <w:szCs w:val="18"/>
              </w:rPr>
              <w:t>Compliance Determination</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67BFC33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0.500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42B15BFD"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0.500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2922E389"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0.500</w:t>
            </w:r>
          </w:p>
        </w:tc>
      </w:tr>
      <w:tr w:rsidRPr="00574902" w:rsidR="004909CD" w:rsidTr="00E96905" w14:paraId="2B609F77" w14:textId="77777777">
        <w:trPr>
          <w:jc w:val="center"/>
        </w:trPr>
        <w:tc>
          <w:tcPr>
            <w:tcW w:w="4361"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52A06D22" w14:textId="77777777">
            <w:pPr>
              <w:rPr>
                <w:rFonts w:ascii="Arial Narrow" w:hAnsi="Arial Narrow" w:cs="Calibri"/>
                <w:color w:val="000000"/>
                <w:sz w:val="18"/>
                <w:szCs w:val="18"/>
              </w:rPr>
            </w:pPr>
            <w:r w:rsidRPr="00574902">
              <w:rPr>
                <w:rFonts w:ascii="Arial Narrow" w:hAnsi="Arial Narrow" w:cs="Calibri"/>
                <w:color w:val="000000"/>
                <w:sz w:val="18"/>
                <w:szCs w:val="18"/>
              </w:rPr>
              <w:t>Recordkeeping</w:t>
            </w:r>
          </w:p>
        </w:tc>
        <w:tc>
          <w:tcPr>
            <w:tcW w:w="2035"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6F8786C4"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3D4A101A"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c>
          <w:tcPr>
            <w:tcW w:w="1842"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5D589BDF" w14:textId="77777777">
            <w:pPr>
              <w:ind w:firstLine="180" w:firstLineChars="100"/>
              <w:jc w:val="right"/>
              <w:rPr>
                <w:rFonts w:ascii="Arial Narrow" w:hAnsi="Arial Narrow" w:cs="Calibri"/>
                <w:color w:val="000000" w:themeColor="text1"/>
                <w:sz w:val="18"/>
                <w:szCs w:val="18"/>
              </w:rPr>
            </w:pPr>
            <w:r w:rsidRPr="00574902">
              <w:rPr>
                <w:rFonts w:ascii="Arial Narrow" w:hAnsi="Arial Narrow" w:cs="Calibri"/>
                <w:color w:val="000000" w:themeColor="text1"/>
                <w:sz w:val="18"/>
                <w:szCs w:val="18"/>
              </w:rPr>
              <w:t>0.000</w:t>
            </w:r>
          </w:p>
        </w:tc>
      </w:tr>
      <w:tr w:rsidRPr="00574902" w:rsidR="004909CD" w:rsidTr="00E96905" w14:paraId="206F7053" w14:textId="77777777">
        <w:trPr>
          <w:jc w:val="center"/>
        </w:trPr>
        <w:tc>
          <w:tcPr>
            <w:tcW w:w="4361" w:type="dxa"/>
            <w:gridSpan w:val="2"/>
            <w:tcBorders>
              <w:top w:val="nil"/>
              <w:left w:val="single" w:color="auto" w:sz="4" w:space="0"/>
              <w:bottom w:val="single" w:color="auto" w:sz="12" w:space="0"/>
              <w:right w:val="single" w:color="auto" w:sz="4" w:space="0"/>
            </w:tcBorders>
            <w:shd w:val="clear" w:color="auto" w:fill="auto"/>
            <w:vAlign w:val="bottom"/>
            <w:hideMark/>
          </w:tcPr>
          <w:p w:rsidRPr="00574902" w:rsidR="004909CD" w:rsidP="00F64D94" w:rsidRDefault="004909CD" w14:paraId="34D26FD3" w14:textId="77777777">
            <w:pPr>
              <w:rPr>
                <w:rFonts w:ascii="Arial Narrow" w:hAnsi="Arial Narrow" w:cs="Calibri"/>
                <w:color w:val="000000"/>
                <w:sz w:val="18"/>
                <w:szCs w:val="18"/>
              </w:rPr>
            </w:pPr>
            <w:r w:rsidRPr="00574902">
              <w:rPr>
                <w:rFonts w:ascii="Arial Narrow" w:hAnsi="Arial Narrow" w:cs="Calibri"/>
                <w:color w:val="000000"/>
                <w:sz w:val="18"/>
                <w:szCs w:val="18"/>
              </w:rPr>
              <w:t>Average Multi-Chemical Form Completion (7.5 chemicals)</w:t>
            </w:r>
          </w:p>
        </w:tc>
        <w:tc>
          <w:tcPr>
            <w:tcW w:w="2035" w:type="dxa"/>
            <w:tcBorders>
              <w:top w:val="nil"/>
              <w:left w:val="nil"/>
              <w:bottom w:val="single" w:color="auto" w:sz="12" w:space="0"/>
              <w:right w:val="single" w:color="auto" w:sz="4" w:space="0"/>
            </w:tcBorders>
            <w:shd w:val="clear" w:color="auto" w:fill="auto"/>
            <w:noWrap/>
            <w:vAlign w:val="center"/>
            <w:hideMark/>
          </w:tcPr>
          <w:p w:rsidRPr="005639A9" w:rsidR="004909CD" w:rsidP="00F64D94" w:rsidRDefault="004909CD" w14:paraId="0818B218" w14:textId="77777777">
            <w:pPr>
              <w:ind w:firstLine="180" w:firstLineChars="100"/>
              <w:jc w:val="right"/>
              <w:rPr>
                <w:rFonts w:ascii="Arial Narrow" w:hAnsi="Arial Narrow" w:cs="Calibri"/>
                <w:color w:val="000000" w:themeColor="text1"/>
                <w:sz w:val="18"/>
                <w:szCs w:val="18"/>
              </w:rPr>
            </w:pPr>
            <w:r>
              <w:rPr>
                <w:rFonts w:ascii="Arial Narrow" w:hAnsi="Arial Narrow" w:cs="Calibri"/>
                <w:color w:val="000000"/>
                <w:sz w:val="18"/>
                <w:szCs w:val="18"/>
              </w:rPr>
              <w:t>-3.188</w:t>
            </w:r>
          </w:p>
        </w:tc>
        <w:tc>
          <w:tcPr>
            <w:tcW w:w="1842" w:type="dxa"/>
            <w:tcBorders>
              <w:top w:val="nil"/>
              <w:left w:val="nil"/>
              <w:bottom w:val="single" w:color="auto" w:sz="12" w:space="0"/>
              <w:right w:val="single" w:color="auto" w:sz="4" w:space="0"/>
            </w:tcBorders>
            <w:shd w:val="clear" w:color="auto" w:fill="auto"/>
            <w:noWrap/>
            <w:vAlign w:val="center"/>
            <w:hideMark/>
          </w:tcPr>
          <w:p w:rsidRPr="005639A9" w:rsidR="004909CD" w:rsidP="00F64D94" w:rsidRDefault="004909CD" w14:paraId="3674FE4A" w14:textId="77777777">
            <w:pPr>
              <w:ind w:firstLine="180" w:firstLineChars="100"/>
              <w:jc w:val="right"/>
              <w:rPr>
                <w:rFonts w:ascii="Arial Narrow" w:hAnsi="Arial Narrow" w:cs="Calibri"/>
                <w:color w:val="000000" w:themeColor="text1"/>
                <w:sz w:val="18"/>
                <w:szCs w:val="18"/>
              </w:rPr>
            </w:pPr>
            <w:r>
              <w:rPr>
                <w:rFonts w:ascii="Arial Narrow" w:hAnsi="Arial Narrow" w:cs="Calibri"/>
                <w:color w:val="000000"/>
                <w:sz w:val="18"/>
                <w:szCs w:val="18"/>
              </w:rPr>
              <w:t>-4.017</w:t>
            </w:r>
          </w:p>
        </w:tc>
        <w:tc>
          <w:tcPr>
            <w:tcW w:w="1842" w:type="dxa"/>
            <w:tcBorders>
              <w:top w:val="nil"/>
              <w:left w:val="nil"/>
              <w:bottom w:val="single" w:color="auto" w:sz="12" w:space="0"/>
              <w:right w:val="single" w:color="auto" w:sz="4" w:space="0"/>
            </w:tcBorders>
            <w:shd w:val="clear" w:color="auto" w:fill="auto"/>
            <w:noWrap/>
            <w:vAlign w:val="center"/>
            <w:hideMark/>
          </w:tcPr>
          <w:p w:rsidRPr="005639A9" w:rsidR="004909CD" w:rsidP="00F64D94" w:rsidRDefault="004909CD" w14:paraId="414C1FDE" w14:textId="77777777">
            <w:pPr>
              <w:ind w:firstLine="180" w:firstLineChars="100"/>
              <w:jc w:val="right"/>
              <w:rPr>
                <w:rFonts w:ascii="Arial Narrow" w:hAnsi="Arial Narrow" w:cs="Calibri"/>
                <w:color w:val="000000" w:themeColor="text1"/>
                <w:sz w:val="18"/>
                <w:szCs w:val="18"/>
              </w:rPr>
            </w:pPr>
            <w:r>
              <w:rPr>
                <w:rFonts w:ascii="Arial Narrow" w:hAnsi="Arial Narrow" w:cs="Calibri"/>
                <w:color w:val="000000"/>
                <w:sz w:val="18"/>
                <w:szCs w:val="18"/>
              </w:rPr>
              <w:t>-3.311</w:t>
            </w:r>
          </w:p>
        </w:tc>
      </w:tr>
      <w:tr w:rsidRPr="00574902" w:rsidR="004909CD" w:rsidTr="00E96905" w14:paraId="1D680AF7" w14:textId="77777777">
        <w:trPr>
          <w:jc w:val="center"/>
        </w:trPr>
        <w:tc>
          <w:tcPr>
            <w:tcW w:w="4361" w:type="dxa"/>
            <w:gridSpan w:val="2"/>
            <w:tcBorders>
              <w:top w:val="single" w:color="auto" w:sz="12" w:space="0"/>
              <w:left w:val="single" w:color="auto" w:sz="8" w:space="0"/>
              <w:bottom w:val="single" w:color="auto" w:sz="8" w:space="0"/>
              <w:right w:val="single" w:color="auto" w:sz="8" w:space="0"/>
            </w:tcBorders>
            <w:shd w:val="clear" w:color="auto" w:fill="auto"/>
            <w:vAlign w:val="bottom"/>
            <w:hideMark/>
          </w:tcPr>
          <w:p w:rsidRPr="00574902" w:rsidR="004909CD" w:rsidP="00F64D94" w:rsidRDefault="004909CD" w14:paraId="6E34F079" w14:textId="77777777">
            <w:pPr>
              <w:rPr>
                <w:rFonts w:ascii="Arial Narrow" w:hAnsi="Arial Narrow" w:cs="Calibri"/>
                <w:b/>
                <w:bCs/>
                <w:color w:val="000000"/>
                <w:sz w:val="18"/>
                <w:szCs w:val="18"/>
              </w:rPr>
            </w:pPr>
            <w:r w:rsidRPr="00574902">
              <w:rPr>
                <w:rFonts w:ascii="Arial Narrow" w:hAnsi="Arial Narrow" w:cs="Calibri"/>
                <w:b/>
                <w:bCs/>
                <w:color w:val="000000"/>
                <w:sz w:val="18"/>
                <w:szCs w:val="18"/>
              </w:rPr>
              <w:t xml:space="preserve">Total </w:t>
            </w:r>
          </w:p>
        </w:tc>
        <w:tc>
          <w:tcPr>
            <w:tcW w:w="2035"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5639A9" w:rsidR="004909CD" w:rsidP="00F64D94" w:rsidRDefault="004909CD" w14:paraId="7FFA475E" w14:textId="77777777">
            <w:pPr>
              <w:ind w:firstLine="181" w:firstLineChars="100"/>
              <w:jc w:val="right"/>
              <w:rPr>
                <w:rFonts w:ascii="Arial Narrow" w:hAnsi="Arial Narrow" w:cs="Calibri"/>
                <w:b/>
                <w:bCs/>
                <w:color w:val="000000" w:themeColor="text1"/>
                <w:sz w:val="18"/>
                <w:szCs w:val="18"/>
              </w:rPr>
            </w:pPr>
            <w:r>
              <w:rPr>
                <w:rFonts w:ascii="Arial Narrow" w:hAnsi="Arial Narrow" w:cs="Calibri"/>
                <w:b/>
                <w:bCs/>
                <w:color w:val="000000"/>
                <w:sz w:val="18"/>
                <w:szCs w:val="18"/>
              </w:rPr>
              <w:t>29.214</w:t>
            </w:r>
          </w:p>
        </w:tc>
        <w:tc>
          <w:tcPr>
            <w:tcW w:w="1842"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5639A9" w:rsidR="004909CD" w:rsidP="00F64D94" w:rsidRDefault="004909CD" w14:paraId="3F90D344" w14:textId="77777777">
            <w:pPr>
              <w:ind w:firstLine="181" w:firstLineChars="100"/>
              <w:jc w:val="right"/>
              <w:rPr>
                <w:rFonts w:ascii="Arial Narrow" w:hAnsi="Arial Narrow" w:cs="Calibri"/>
                <w:b/>
                <w:bCs/>
                <w:color w:val="000000" w:themeColor="text1"/>
                <w:sz w:val="18"/>
                <w:szCs w:val="18"/>
              </w:rPr>
            </w:pPr>
            <w:r>
              <w:rPr>
                <w:rFonts w:ascii="Arial Narrow" w:hAnsi="Arial Narrow" w:cs="Calibri"/>
                <w:b/>
                <w:bCs/>
                <w:color w:val="000000"/>
                <w:sz w:val="18"/>
                <w:szCs w:val="18"/>
              </w:rPr>
              <w:t>38.847</w:t>
            </w:r>
          </w:p>
        </w:tc>
        <w:tc>
          <w:tcPr>
            <w:tcW w:w="1842" w:type="dxa"/>
            <w:tcBorders>
              <w:top w:val="single" w:color="auto" w:sz="12" w:space="0"/>
              <w:left w:val="single" w:color="auto" w:sz="8" w:space="0"/>
              <w:bottom w:val="single" w:color="auto" w:sz="8" w:space="0"/>
              <w:right w:val="single" w:color="auto" w:sz="8" w:space="0"/>
            </w:tcBorders>
            <w:shd w:val="clear" w:color="auto" w:fill="auto"/>
            <w:noWrap/>
            <w:vAlign w:val="bottom"/>
            <w:hideMark/>
          </w:tcPr>
          <w:p w:rsidRPr="005639A9" w:rsidR="004909CD" w:rsidP="00F64D94" w:rsidRDefault="004909CD" w14:paraId="3205A3C2" w14:textId="77777777">
            <w:pPr>
              <w:ind w:firstLine="181" w:firstLineChars="100"/>
              <w:jc w:val="right"/>
              <w:rPr>
                <w:rFonts w:ascii="Arial Narrow" w:hAnsi="Arial Narrow" w:cs="Calibri"/>
                <w:b/>
                <w:bCs/>
                <w:color w:val="000000" w:themeColor="text1"/>
                <w:sz w:val="18"/>
                <w:szCs w:val="18"/>
              </w:rPr>
            </w:pPr>
            <w:r>
              <w:rPr>
                <w:rFonts w:ascii="Arial Narrow" w:hAnsi="Arial Narrow" w:cs="Calibri"/>
                <w:b/>
                <w:bCs/>
                <w:color w:val="000000"/>
                <w:sz w:val="18"/>
                <w:szCs w:val="18"/>
              </w:rPr>
              <w:t>30.641</w:t>
            </w:r>
          </w:p>
        </w:tc>
      </w:tr>
      <w:tr w:rsidRPr="00574902" w:rsidR="004909CD" w:rsidTr="00E96905" w14:paraId="3DB5A602" w14:textId="77777777">
        <w:trPr>
          <w:jc w:val="center"/>
        </w:trPr>
        <w:tc>
          <w:tcPr>
            <w:tcW w:w="10080" w:type="dxa"/>
            <w:gridSpan w:val="5"/>
            <w:tcBorders>
              <w:top w:val="single" w:color="auto" w:sz="8" w:space="0"/>
              <w:left w:val="single" w:color="auto" w:sz="4" w:space="0"/>
              <w:bottom w:val="nil"/>
              <w:right w:val="single" w:color="000000" w:themeColor="text1" w:sz="4" w:space="0"/>
            </w:tcBorders>
            <w:shd w:val="clear" w:color="auto" w:fill="auto"/>
            <w:vAlign w:val="center"/>
            <w:hideMark/>
          </w:tcPr>
          <w:p w:rsidRPr="00574902" w:rsidR="004909CD" w:rsidP="00F64D94" w:rsidRDefault="004909CD" w14:paraId="3B797621"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General Note:</w:t>
            </w:r>
          </w:p>
        </w:tc>
      </w:tr>
      <w:tr w:rsidRPr="00574902" w:rsidR="004909CD" w:rsidTr="00E96905" w14:paraId="48FD4FE7" w14:textId="77777777">
        <w:trPr>
          <w:jc w:val="center"/>
        </w:trPr>
        <w:tc>
          <w:tcPr>
            <w:tcW w:w="10080" w:type="dxa"/>
            <w:gridSpan w:val="5"/>
            <w:tcBorders>
              <w:top w:val="nil"/>
              <w:left w:val="single" w:color="auto" w:sz="4" w:space="0"/>
              <w:bottom w:val="nil"/>
              <w:right w:val="single" w:color="000000" w:themeColor="text1" w:sz="4" w:space="0"/>
            </w:tcBorders>
            <w:shd w:val="clear" w:color="auto" w:fill="auto"/>
            <w:vAlign w:val="center"/>
          </w:tcPr>
          <w:p w:rsidRPr="00574902" w:rsidR="004909CD" w:rsidP="004909CD" w:rsidRDefault="004909CD" w14:paraId="7CAE6248" w14:textId="5ABCBD0F">
            <w:pPr>
              <w:pStyle w:val="ListParagraph"/>
              <w:numPr>
                <w:ilvl w:val="0"/>
                <w:numId w:val="29"/>
              </w:numPr>
              <w:ind w:left="144" w:hanging="144"/>
              <w:contextualSpacing w:val="0"/>
              <w:rPr>
                <w:rFonts w:ascii="Arial Narrow" w:hAnsi="Arial Narrow" w:eastAsia="Times New Roman" w:cs="Calibri"/>
                <w:color w:val="000000"/>
                <w:sz w:val="18"/>
                <w:szCs w:val="18"/>
              </w:rPr>
            </w:pPr>
            <w:r w:rsidRPr="000E2B6D">
              <w:rPr>
                <w:rFonts w:ascii="Arial Narrow" w:hAnsi="Arial Narrow" w:eastAsia="Times New Roman" w:cs="Calibri"/>
                <w:color w:val="000000"/>
                <w:sz w:val="18"/>
                <w:szCs w:val="18"/>
              </w:rPr>
              <w:t>Estimates of incremental until burden in</w:t>
            </w:r>
            <w:r w:rsidR="00F41F65">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_Ref33190998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3</w:t>
            </w:r>
            <w:r w:rsidR="00F41F65">
              <w:rPr>
                <w:rFonts w:ascii="Arial Narrow" w:hAnsi="Arial Narrow" w:eastAsia="Times New Roman" w:cs="Calibri"/>
                <w:color w:val="000000"/>
                <w:sz w:val="18"/>
                <w:szCs w:val="18"/>
              </w:rPr>
              <w:fldChar w:fldCharType="end"/>
            </w:r>
            <w:r w:rsidRPr="000E2B6D">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_Ref33191021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4</w:t>
            </w:r>
            <w:r w:rsidR="00F41F65">
              <w:rPr>
                <w:rFonts w:ascii="Arial Narrow" w:hAnsi="Arial Narrow" w:eastAsia="Times New Roman" w:cs="Calibri"/>
                <w:color w:val="000000"/>
                <w:sz w:val="18"/>
                <w:szCs w:val="18"/>
              </w:rPr>
              <w:fldChar w:fldCharType="end"/>
            </w:r>
            <w:r w:rsidRPr="000E2B6D">
              <w:rPr>
                <w:rFonts w:ascii="Arial Narrow" w:hAnsi="Arial Narrow" w:eastAsia="Times New Roman" w:cs="Calibri"/>
                <w:color w:val="000000"/>
                <w:sz w:val="18"/>
                <w:szCs w:val="18"/>
              </w:rPr>
              <w:t>, and</w:t>
            </w:r>
            <w:r w:rsidRPr="00574902">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_Ref33191040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5</w:t>
            </w:r>
            <w:r w:rsidR="00F41F65">
              <w:rPr>
                <w:rFonts w:ascii="Arial Narrow" w:hAnsi="Arial Narrow" w:eastAsia="Times New Roman" w:cs="Calibri"/>
                <w:color w:val="000000"/>
                <w:sz w:val="18"/>
                <w:szCs w:val="18"/>
              </w:rPr>
              <w:fldChar w:fldCharType="end"/>
            </w:r>
            <w:r w:rsidR="00F41F65">
              <w:rPr>
                <w:rFonts w:ascii="Arial Narrow" w:hAnsi="Arial Narrow" w:eastAsia="Times New Roman" w:cs="Calibri"/>
                <w:color w:val="000000"/>
                <w:sz w:val="18"/>
                <w:szCs w:val="18"/>
              </w:rPr>
              <w:t xml:space="preserve"> </w:t>
            </w:r>
            <w:r w:rsidRPr="00574902">
              <w:rPr>
                <w:rFonts w:ascii="Arial Narrow" w:hAnsi="Arial Narrow" w:eastAsia="Times New Roman" w:cs="Calibri"/>
                <w:color w:val="000000"/>
                <w:sz w:val="18"/>
                <w:szCs w:val="18"/>
              </w:rPr>
              <w:t xml:space="preserve">differ slightly from results that would be obtained using information in the EA (EPA, </w:t>
            </w:r>
            <w:r>
              <w:rPr>
                <w:rFonts w:ascii="Arial Narrow" w:hAnsi="Arial Narrow" w:eastAsia="Times New Roman" w:cs="Calibri"/>
                <w:color w:val="000000"/>
                <w:sz w:val="18"/>
                <w:szCs w:val="18"/>
              </w:rPr>
              <w:t>2019)</w:t>
            </w:r>
            <w:r w:rsidRPr="00574902">
              <w:rPr>
                <w:rFonts w:ascii="Arial Narrow" w:hAnsi="Arial Narrow" w:eastAsia="Times New Roman" w:cs="Calibri"/>
                <w:color w:val="000000"/>
                <w:sz w:val="18"/>
                <w:szCs w:val="18"/>
              </w:rPr>
              <w:t xml:space="preserve"> due to rounding.</w:t>
            </w:r>
          </w:p>
        </w:tc>
      </w:tr>
      <w:tr w:rsidRPr="00574902" w:rsidR="004909CD" w:rsidTr="00E96905" w14:paraId="4B7318B3" w14:textId="77777777">
        <w:trPr>
          <w:jc w:val="center"/>
        </w:trPr>
        <w:tc>
          <w:tcPr>
            <w:tcW w:w="10080" w:type="dxa"/>
            <w:gridSpan w:val="5"/>
            <w:tcBorders>
              <w:top w:val="nil"/>
              <w:left w:val="single" w:color="auto" w:sz="4" w:space="0"/>
              <w:bottom w:val="nil"/>
              <w:right w:val="single" w:color="000000" w:themeColor="text1" w:sz="4" w:space="0"/>
            </w:tcBorders>
            <w:shd w:val="clear" w:color="auto" w:fill="auto"/>
            <w:vAlign w:val="center"/>
            <w:hideMark/>
          </w:tcPr>
          <w:p w:rsidRPr="00574902" w:rsidR="004909CD" w:rsidP="004909CD" w:rsidRDefault="004909CD" w14:paraId="38EF328D" w14:textId="77777777">
            <w:pPr>
              <w:pStyle w:val="ListParagraph"/>
              <w:numPr>
                <w:ilvl w:val="0"/>
                <w:numId w:val="29"/>
              </w:numPr>
              <w:ind w:left="144" w:hanging="144"/>
              <w:contextualSpacing w:val="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(2018b).</w:t>
            </w:r>
          </w:p>
        </w:tc>
      </w:tr>
      <w:tr w:rsidRPr="00574902" w:rsidR="004909CD" w:rsidTr="00E96905" w14:paraId="79273679" w14:textId="77777777">
        <w:trPr>
          <w:jc w:val="center"/>
        </w:trPr>
        <w:tc>
          <w:tcPr>
            <w:tcW w:w="10080" w:type="dxa"/>
            <w:gridSpan w:val="5"/>
            <w:tcBorders>
              <w:top w:val="nil"/>
              <w:left w:val="single" w:color="auto" w:sz="4" w:space="0"/>
              <w:bottom w:val="nil"/>
              <w:right w:val="single" w:color="000000" w:themeColor="text1" w:sz="4" w:space="0"/>
            </w:tcBorders>
            <w:shd w:val="clear" w:color="auto" w:fill="auto"/>
            <w:vAlign w:val="center"/>
            <w:hideMark/>
          </w:tcPr>
          <w:p w:rsidRPr="00574902" w:rsidR="004909CD" w:rsidP="00F64D94" w:rsidRDefault="004909CD" w14:paraId="19875DD3" w14:textId="77777777">
            <w:pPr>
              <w:keepNext/>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Footnotes:</w:t>
            </w:r>
          </w:p>
        </w:tc>
      </w:tr>
      <w:tr w:rsidRPr="00574902" w:rsidR="004909CD" w:rsidTr="00E96905" w14:paraId="5D26C533" w14:textId="77777777">
        <w:trPr>
          <w:jc w:val="center"/>
        </w:trPr>
        <w:tc>
          <w:tcPr>
            <w:tcW w:w="295" w:type="dxa"/>
            <w:tcBorders>
              <w:top w:val="nil"/>
              <w:left w:val="single" w:color="auto" w:sz="4" w:space="0"/>
              <w:right w:val="nil"/>
            </w:tcBorders>
            <w:shd w:val="clear" w:color="auto" w:fill="auto"/>
            <w:hideMark/>
          </w:tcPr>
          <w:p w:rsidRPr="00574902" w:rsidR="004909CD" w:rsidP="00F64D94" w:rsidRDefault="004909CD" w14:paraId="7061C374" w14:textId="77777777">
            <w:pPr>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vertAlign w:val="superscript"/>
              </w:rPr>
              <w:t>1</w:t>
            </w:r>
          </w:p>
        </w:tc>
        <w:tc>
          <w:tcPr>
            <w:tcW w:w="9785" w:type="dxa"/>
            <w:gridSpan w:val="4"/>
            <w:tcBorders>
              <w:top w:val="nil"/>
              <w:left w:val="nil"/>
              <w:right w:val="single" w:color="000000" w:themeColor="text1" w:sz="4" w:space="0"/>
            </w:tcBorders>
            <w:shd w:val="clear" w:color="auto" w:fill="auto"/>
            <w:hideMark/>
          </w:tcPr>
          <w:p w:rsidRPr="00574902" w:rsidR="004909CD" w:rsidP="00F64D94" w:rsidRDefault="004909CD" w14:paraId="719430F3" w14:textId="77777777">
            <w:pPr>
              <w:ind w:left="-12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The estimate for new reporter form completion is derived using the experienced reporter estimate and a First Time Filer Factor of 1.26 (see Section 6(g) of EPA (2018b)).</w:t>
            </w:r>
          </w:p>
        </w:tc>
      </w:tr>
      <w:tr w:rsidRPr="00574902" w:rsidR="004909CD" w:rsidTr="00E96905" w14:paraId="1F9E084F" w14:textId="77777777">
        <w:trPr>
          <w:jc w:val="center"/>
        </w:trPr>
        <w:tc>
          <w:tcPr>
            <w:tcW w:w="295" w:type="dxa"/>
            <w:tcBorders>
              <w:top w:val="nil"/>
              <w:left w:val="single" w:color="auto" w:sz="4" w:space="0"/>
              <w:right w:val="nil"/>
            </w:tcBorders>
            <w:shd w:val="clear" w:color="auto" w:fill="auto"/>
          </w:tcPr>
          <w:p w:rsidRPr="00574902" w:rsidR="004909CD" w:rsidP="00F64D94" w:rsidRDefault="004909CD" w14:paraId="33681729" w14:textId="77777777">
            <w:pPr>
              <w:rPr>
                <w:rFonts w:ascii="Arial Narrow" w:hAnsi="Arial Narrow" w:eastAsia="Times New Roman" w:cs="Calibri"/>
                <w:color w:val="000000" w:themeColor="text1"/>
                <w:sz w:val="18"/>
                <w:szCs w:val="18"/>
                <w:vertAlign w:val="superscript"/>
              </w:rPr>
            </w:pPr>
            <w:r w:rsidRPr="00574902">
              <w:rPr>
                <w:rFonts w:ascii="Arial Narrow" w:hAnsi="Arial Narrow" w:eastAsia="Times New Roman" w:cs="Calibri"/>
                <w:color w:val="000000" w:themeColor="text1"/>
                <w:sz w:val="18"/>
                <w:szCs w:val="18"/>
                <w:vertAlign w:val="superscript"/>
              </w:rPr>
              <w:t>2</w:t>
            </w:r>
          </w:p>
        </w:tc>
        <w:tc>
          <w:tcPr>
            <w:tcW w:w="9785" w:type="dxa"/>
            <w:gridSpan w:val="4"/>
            <w:tcBorders>
              <w:top w:val="nil"/>
              <w:left w:val="nil"/>
              <w:right w:val="single" w:color="000000" w:themeColor="text1" w:sz="4" w:space="0"/>
            </w:tcBorders>
            <w:shd w:val="clear" w:color="auto" w:fill="auto"/>
          </w:tcPr>
          <w:p w:rsidRPr="00574902" w:rsidR="004909CD" w:rsidP="00F64D94" w:rsidRDefault="004909CD" w14:paraId="3B4D4D5F" w14:textId="77777777">
            <w:pPr>
              <w:ind w:left="-12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As in the analysis in Tables 4-13 and 4-14 of EPA (</w:t>
            </w:r>
            <w:r>
              <w:rPr>
                <w:rFonts w:ascii="Arial Narrow" w:hAnsi="Arial Narrow" w:eastAsia="Times New Roman" w:cs="Calibri"/>
                <w:color w:val="000000"/>
                <w:sz w:val="18"/>
                <w:szCs w:val="18"/>
              </w:rPr>
              <w:t>2019</w:t>
            </w:r>
            <w:r w:rsidRPr="00574902">
              <w:rPr>
                <w:rFonts w:ascii="Arial Narrow" w:hAnsi="Arial Narrow" w:eastAsia="Times New Roman" w:cs="Calibri"/>
                <w:color w:val="000000"/>
                <w:sz w:val="18"/>
                <w:szCs w:val="18"/>
              </w:rPr>
              <w:t>), overall unit burden is based on 14.82% new reporting sites.</w:t>
            </w:r>
          </w:p>
        </w:tc>
      </w:tr>
      <w:tr w:rsidRPr="00574902" w:rsidR="004909CD" w:rsidTr="00E96905" w14:paraId="196A654D" w14:textId="77777777">
        <w:trPr>
          <w:jc w:val="center"/>
        </w:trPr>
        <w:tc>
          <w:tcPr>
            <w:tcW w:w="295" w:type="dxa"/>
            <w:tcBorders>
              <w:top w:val="nil"/>
              <w:left w:val="single" w:color="auto" w:sz="4" w:space="0"/>
              <w:right w:val="nil"/>
            </w:tcBorders>
            <w:shd w:val="clear" w:color="auto" w:fill="auto"/>
            <w:hideMark/>
          </w:tcPr>
          <w:p w:rsidRPr="00574902" w:rsidR="004909CD" w:rsidP="00F64D94" w:rsidRDefault="004909CD" w14:paraId="0CB18D87" w14:textId="77777777">
            <w:pPr>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vertAlign w:val="superscript"/>
              </w:rPr>
              <w:t>3</w:t>
            </w:r>
          </w:p>
        </w:tc>
        <w:tc>
          <w:tcPr>
            <w:tcW w:w="9785" w:type="dxa"/>
            <w:gridSpan w:val="4"/>
            <w:tcBorders>
              <w:top w:val="nil"/>
              <w:left w:val="nil"/>
              <w:right w:val="single" w:color="000000" w:themeColor="text1" w:sz="4" w:space="0"/>
            </w:tcBorders>
            <w:shd w:val="clear" w:color="auto" w:fill="auto"/>
            <w:hideMark/>
          </w:tcPr>
          <w:p w:rsidRPr="00574902" w:rsidR="004909CD" w:rsidP="00F64D94" w:rsidRDefault="004909CD" w14:paraId="128F2AD2" w14:textId="77777777">
            <w:pPr>
              <w:ind w:left="-12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 xml:space="preserve">The estimate for new reporter incremental Rule Familiarization burden consists of 0.049 hours of Managerial labor and 0.118 hours of Technical labor. Compliance Determination for new reporters is estimated at the same levels as for experienced reporters. </w:t>
            </w:r>
          </w:p>
        </w:tc>
      </w:tr>
      <w:tr w:rsidRPr="00574902" w:rsidR="004909CD" w:rsidTr="00E96905" w14:paraId="2EDF1984" w14:textId="77777777">
        <w:trPr>
          <w:jc w:val="center"/>
        </w:trPr>
        <w:tc>
          <w:tcPr>
            <w:tcW w:w="295" w:type="dxa"/>
            <w:tcBorders>
              <w:left w:val="single" w:color="auto" w:sz="4" w:space="0"/>
              <w:bottom w:val="single" w:color="auto" w:sz="4" w:space="0"/>
            </w:tcBorders>
            <w:shd w:val="clear" w:color="auto" w:fill="auto"/>
            <w:hideMark/>
          </w:tcPr>
          <w:p w:rsidRPr="00574902" w:rsidR="004909CD" w:rsidP="00F64D94" w:rsidRDefault="004909CD" w14:paraId="21BCF87E" w14:textId="77777777">
            <w:pPr>
              <w:keepNex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vertAlign w:val="superscript"/>
              </w:rPr>
              <w:t>4</w:t>
            </w:r>
          </w:p>
        </w:tc>
        <w:tc>
          <w:tcPr>
            <w:tcW w:w="9785" w:type="dxa"/>
            <w:gridSpan w:val="4"/>
            <w:tcBorders>
              <w:bottom w:val="single" w:color="auto" w:sz="4" w:space="0"/>
              <w:right w:val="single" w:color="auto" w:sz="4" w:space="0"/>
            </w:tcBorders>
            <w:shd w:val="clear" w:color="auto" w:fill="auto"/>
            <w:hideMark/>
          </w:tcPr>
          <w:p w:rsidRPr="00574902" w:rsidR="004909CD" w:rsidP="00F64D94" w:rsidRDefault="004909CD" w14:paraId="6995B21E" w14:textId="77777777">
            <w:pPr>
              <w:keepNext/>
              <w:ind w:left="-115"/>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 xml:space="preserve">The estimate for new reporter incremental Rule Familiarization burden consists of 0.583 hours of Managerial labor and 1.417 hours of Technical labor. Compliance Determination for new reporters is estimated at the same levels as for experienced reporters. </w:t>
            </w:r>
          </w:p>
        </w:tc>
      </w:tr>
    </w:tbl>
    <w:p w:rsidRPr="00574902" w:rsidR="004909CD" w:rsidP="004909CD" w:rsidRDefault="004909CD" w14:paraId="3FE2B704" w14:textId="77777777"/>
    <w:p w:rsidRPr="00574902" w:rsidR="004909CD" w:rsidP="004909CD" w:rsidRDefault="00DA78C8" w14:paraId="7793FB07" w14:textId="5170F5C8">
      <w:pPr>
        <w:pStyle w:val="BodyText"/>
      </w:pPr>
      <w:r>
        <w:fldChar w:fldCharType="begin"/>
      </w:r>
      <w:r>
        <w:instrText xml:space="preserve"> REF _Ref33191021 \h </w:instrText>
      </w:r>
      <w:r>
        <w:fldChar w:fldCharType="separate"/>
      </w:r>
      <w:r w:rsidRPr="007375F8" w:rsidR="005B1BB5">
        <w:rPr>
          <w:szCs w:val="24"/>
        </w:rPr>
        <w:t xml:space="preserve">Table </w:t>
      </w:r>
      <w:r w:rsidR="005B1BB5">
        <w:rPr>
          <w:noProof/>
          <w:szCs w:val="24"/>
        </w:rPr>
        <w:t>4</w:t>
      </w:r>
      <w:r>
        <w:fldChar w:fldCharType="end"/>
      </w:r>
      <w:r>
        <w:t xml:space="preserve"> </w:t>
      </w:r>
      <w:r w:rsidRPr="00574902" w:rsidR="004909CD">
        <w:t xml:space="preserve">presents the derivation of unit burdens for new reporters and the overall average reporter for incremental increases to rule familiarization and compliance determination associated with the byproduct </w:t>
      </w:r>
      <w:r w:rsidR="004909CD">
        <w:t>exemptions</w:t>
      </w:r>
      <w:r w:rsidRPr="00574902" w:rsidR="004909CD">
        <w:t xml:space="preserve"> </w:t>
      </w:r>
      <w:r w:rsidR="004909CD">
        <w:t>included in</w:t>
      </w:r>
      <w:r w:rsidRPr="00574902" w:rsidR="004909CD">
        <w:t xml:space="preserve"> the rule. These </w:t>
      </w:r>
      <w:r w:rsidR="004909CD">
        <w:t>exemptions</w:t>
      </w:r>
      <w:r w:rsidRPr="00574902" w:rsidR="004909CD">
        <w:t xml:space="preserve"> primarily result in a reduction in number of chemical reports submitted and number of sites reporting.</w:t>
      </w:r>
      <w:bookmarkStart w:name="_Ref524344142" w:id="52"/>
    </w:p>
    <w:p w:rsidRPr="00574902" w:rsidR="004909CD" w:rsidP="004909CD" w:rsidRDefault="004909CD" w14:paraId="03122EF0" w14:textId="77777777">
      <w:pPr>
        <w:spacing w:after="200" w:line="276" w:lineRule="auto"/>
        <w:rPr>
          <w:rFonts w:eastAsia="Times New Roman" w:cs="Times New Roman"/>
        </w:rPr>
      </w:pPr>
      <w:r w:rsidRPr="00574902">
        <w:br w:type="page"/>
      </w:r>
    </w:p>
    <w:tbl>
      <w:tblPr>
        <w:tblW w:w="4948" w:type="pct"/>
        <w:jc w:val="center"/>
        <w:tblLayout w:type="fixed"/>
        <w:tblCellMar>
          <w:left w:w="115" w:type="dxa"/>
          <w:right w:w="115" w:type="dxa"/>
        </w:tblCellMar>
        <w:tblLook w:val="04A0" w:firstRow="1" w:lastRow="0" w:firstColumn="1" w:lastColumn="0" w:noHBand="0" w:noVBand="1"/>
      </w:tblPr>
      <w:tblGrid>
        <w:gridCol w:w="291"/>
        <w:gridCol w:w="3974"/>
        <w:gridCol w:w="2035"/>
        <w:gridCol w:w="1841"/>
        <w:gridCol w:w="1834"/>
      </w:tblGrid>
      <w:tr w:rsidRPr="00574902" w:rsidR="004909CD" w:rsidTr="00F64D94" w14:paraId="5AB9BD89" w14:textId="77777777">
        <w:trPr>
          <w:tblHeader/>
          <w:jc w:val="center"/>
        </w:trPr>
        <w:tc>
          <w:tcPr>
            <w:tcW w:w="9263" w:type="dxa"/>
            <w:gridSpan w:val="5"/>
            <w:tcBorders>
              <w:top w:val="nil"/>
              <w:left w:val="nil"/>
              <w:bottom w:val="single" w:color="auto" w:sz="4" w:space="0"/>
              <w:right w:val="nil"/>
            </w:tcBorders>
            <w:shd w:val="clear" w:color="auto" w:fill="auto"/>
            <w:vAlign w:val="center"/>
            <w:hideMark/>
          </w:tcPr>
          <w:p w:rsidRPr="007375F8" w:rsidR="004909CD" w:rsidP="00F64D94" w:rsidRDefault="004909CD" w14:paraId="6B9F562C" w14:textId="394491C0">
            <w:pPr>
              <w:pStyle w:val="Caption"/>
              <w:rPr>
                <w:szCs w:val="24"/>
              </w:rPr>
            </w:pPr>
            <w:bookmarkStart w:name="_Ref33191021" w:id="53"/>
            <w:bookmarkStart w:name="_Ref526353437" w:id="54"/>
            <w:bookmarkStart w:name="_Ref525022549" w:id="55"/>
            <w:bookmarkStart w:name="_Toc34230798" w:id="56"/>
            <w:r w:rsidRPr="007375F8">
              <w:rPr>
                <w:szCs w:val="24"/>
              </w:rPr>
              <w:lastRenderedPageBreak/>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4</w:t>
            </w:r>
            <w:r w:rsidR="00F574F4">
              <w:rPr>
                <w:szCs w:val="24"/>
              </w:rPr>
              <w:fldChar w:fldCharType="end"/>
            </w:r>
            <w:bookmarkEnd w:id="52"/>
            <w:bookmarkEnd w:id="53"/>
            <w:bookmarkEnd w:id="54"/>
            <w:bookmarkEnd w:id="55"/>
            <w:r w:rsidRPr="007375F8">
              <w:rPr>
                <w:szCs w:val="24"/>
              </w:rPr>
              <w:t>: Byproduct Exemptions Incremental Burden, Experienced and New Reporters, Four-Year Cycle, Industry and Government</w:t>
            </w:r>
            <w:bookmarkEnd w:id="56"/>
          </w:p>
        </w:tc>
      </w:tr>
      <w:tr w:rsidRPr="00574902" w:rsidR="004909CD" w:rsidTr="00F64D94" w14:paraId="0769A0E1" w14:textId="77777777">
        <w:trPr>
          <w:tblHeader/>
          <w:jc w:val="center"/>
        </w:trPr>
        <w:tc>
          <w:tcPr>
            <w:tcW w:w="3960" w:type="dxa"/>
            <w:gridSpan w:val="2"/>
            <w:vMerge w:val="restart"/>
            <w:tcBorders>
              <w:top w:val="nil"/>
              <w:left w:val="single" w:color="auto" w:sz="4" w:space="0"/>
              <w:bottom w:val="single" w:color="000000" w:themeColor="text1" w:sz="4" w:space="0"/>
              <w:right w:val="single" w:color="auto" w:sz="4" w:space="0"/>
            </w:tcBorders>
            <w:shd w:val="clear" w:color="auto" w:fill="BFBFBF" w:themeFill="background1" w:themeFillShade="BF"/>
            <w:noWrap/>
            <w:vAlign w:val="bottom"/>
            <w:hideMark/>
          </w:tcPr>
          <w:p w:rsidRPr="00574902" w:rsidR="004909CD" w:rsidP="00F64D94" w:rsidRDefault="004909CD" w14:paraId="22A922BD"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Activity</w:t>
            </w:r>
          </w:p>
        </w:tc>
        <w:tc>
          <w:tcPr>
            <w:tcW w:w="1890"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4DA66AB3"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Experienced Reporters</w:t>
            </w:r>
          </w:p>
        </w:tc>
        <w:tc>
          <w:tcPr>
            <w:tcW w:w="1710"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04583E28"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New Reporters</w:t>
            </w:r>
          </w:p>
        </w:tc>
        <w:tc>
          <w:tcPr>
            <w:tcW w:w="1703" w:type="dxa"/>
            <w:tcBorders>
              <w:top w:val="nil"/>
              <w:left w:val="nil"/>
              <w:bottom w:val="single" w:color="auto" w:sz="4" w:space="0"/>
              <w:right w:val="single" w:color="auto" w:sz="4" w:space="0"/>
            </w:tcBorders>
            <w:shd w:val="clear" w:color="auto" w:fill="BFBFBF" w:themeFill="background1" w:themeFillShade="BF"/>
            <w:vAlign w:val="bottom"/>
            <w:hideMark/>
          </w:tcPr>
          <w:p w:rsidRPr="00574902" w:rsidR="004909CD" w:rsidP="00F64D94" w:rsidRDefault="004909CD" w14:paraId="485531F0"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Overall</w:t>
            </w:r>
            <w:r w:rsidRPr="00574902">
              <w:rPr>
                <w:rFonts w:ascii="Arial Narrow" w:hAnsi="Arial Narrow" w:eastAsia="Times New Roman" w:cs="Calibri"/>
                <w:b/>
                <w:bCs/>
                <w:color w:val="000000"/>
                <w:sz w:val="18"/>
                <w:szCs w:val="18"/>
                <w:vertAlign w:val="superscript"/>
              </w:rPr>
              <w:t>1</w:t>
            </w:r>
          </w:p>
        </w:tc>
      </w:tr>
      <w:tr w:rsidRPr="00574902" w:rsidR="004909CD" w:rsidTr="00F64D94" w14:paraId="2766BDD3" w14:textId="77777777">
        <w:trPr>
          <w:tblHeader/>
          <w:jc w:val="center"/>
        </w:trPr>
        <w:tc>
          <w:tcPr>
            <w:tcW w:w="3960" w:type="dxa"/>
            <w:gridSpan w:val="2"/>
            <w:vMerge/>
            <w:tcBorders>
              <w:top w:val="nil"/>
              <w:left w:val="single" w:color="auto" w:sz="4" w:space="0"/>
              <w:bottom w:val="single" w:color="000000" w:sz="4" w:space="0"/>
              <w:right w:val="single" w:color="auto" w:sz="4" w:space="0"/>
            </w:tcBorders>
            <w:shd w:val="clear" w:color="auto" w:fill="BFBFBF"/>
            <w:vAlign w:val="center"/>
            <w:hideMark/>
          </w:tcPr>
          <w:p w:rsidRPr="00574902" w:rsidR="004909CD" w:rsidP="00F64D94" w:rsidRDefault="004909CD" w14:paraId="7A4D7F4C" w14:textId="77777777">
            <w:pPr>
              <w:rPr>
                <w:rFonts w:ascii="Arial Narrow" w:hAnsi="Arial Narrow" w:eastAsia="Times New Roman" w:cs="Calibri"/>
                <w:b/>
                <w:bCs/>
                <w:color w:val="000000"/>
                <w:sz w:val="18"/>
                <w:szCs w:val="18"/>
              </w:rPr>
            </w:pPr>
          </w:p>
        </w:tc>
        <w:tc>
          <w:tcPr>
            <w:tcW w:w="1890"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0A198338"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Unit Burden per Average Site (hours)</w:t>
            </w:r>
          </w:p>
        </w:tc>
        <w:tc>
          <w:tcPr>
            <w:tcW w:w="1710"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0FCBB185"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Unit Burden per Average Site (hours)</w:t>
            </w:r>
          </w:p>
        </w:tc>
        <w:tc>
          <w:tcPr>
            <w:tcW w:w="1703" w:type="dxa"/>
            <w:tcBorders>
              <w:top w:val="nil"/>
              <w:left w:val="nil"/>
              <w:bottom w:val="single" w:color="auto" w:sz="4" w:space="0"/>
              <w:right w:val="single" w:color="auto" w:sz="4" w:space="0"/>
            </w:tcBorders>
            <w:shd w:val="clear" w:color="auto" w:fill="BFBFBF" w:themeFill="background1" w:themeFillShade="BF"/>
            <w:vAlign w:val="center"/>
            <w:hideMark/>
          </w:tcPr>
          <w:p w:rsidRPr="00574902" w:rsidR="004909CD" w:rsidP="00F64D94" w:rsidRDefault="004909CD" w14:paraId="1465FB4F" w14:textId="77777777">
            <w:pPr>
              <w:jc w:val="cente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Unit Burden per Average Site (hours)</w:t>
            </w:r>
          </w:p>
        </w:tc>
      </w:tr>
      <w:tr w:rsidRPr="00574902" w:rsidR="004909CD" w:rsidTr="00F64D94" w14:paraId="19CCA3DE" w14:textId="77777777">
        <w:trPr>
          <w:jc w:val="center"/>
        </w:trPr>
        <w:tc>
          <w:tcPr>
            <w:tcW w:w="3960" w:type="dxa"/>
            <w:gridSpan w:val="2"/>
            <w:tcBorders>
              <w:top w:val="single" w:color="auto" w:sz="4" w:space="0"/>
              <w:left w:val="single" w:color="auto" w:sz="4" w:space="0"/>
              <w:bottom w:val="single" w:color="auto" w:sz="4" w:space="0"/>
              <w:right w:val="nil"/>
            </w:tcBorders>
            <w:shd w:val="clear" w:color="auto" w:fill="auto"/>
            <w:vAlign w:val="bottom"/>
            <w:hideMark/>
          </w:tcPr>
          <w:p w:rsidRPr="00574902" w:rsidR="004909CD" w:rsidP="00F64D94" w:rsidRDefault="004909CD" w14:paraId="2B8CFD01" w14:textId="77777777">
            <w:pPr>
              <w:rPr>
                <w:rFonts w:ascii="Arial Narrow" w:hAnsi="Arial Narrow" w:eastAsia="Times New Roman" w:cs="Calibri"/>
                <w:b/>
                <w:bCs/>
                <w:color w:val="000000"/>
                <w:sz w:val="18"/>
                <w:szCs w:val="18"/>
              </w:rPr>
            </w:pPr>
            <w:r w:rsidRPr="00574902">
              <w:rPr>
                <w:rFonts w:ascii="Arial Narrow" w:hAnsi="Arial Narrow" w:eastAsia="Times New Roman" w:cs="Calibri"/>
                <w:b/>
                <w:bCs/>
                <w:color w:val="000000"/>
                <w:sz w:val="18"/>
                <w:szCs w:val="18"/>
              </w:rPr>
              <w:t>Byproduct Exemptions</w:t>
            </w:r>
          </w:p>
        </w:tc>
        <w:tc>
          <w:tcPr>
            <w:tcW w:w="1890" w:type="dxa"/>
            <w:tcBorders>
              <w:top w:val="nil"/>
              <w:left w:val="nil"/>
              <w:bottom w:val="single" w:color="auto" w:sz="4" w:space="0"/>
              <w:right w:val="nil"/>
            </w:tcBorders>
            <w:shd w:val="clear" w:color="auto" w:fill="auto"/>
            <w:noWrap/>
            <w:vAlign w:val="center"/>
            <w:hideMark/>
          </w:tcPr>
          <w:p w:rsidRPr="00574902" w:rsidR="004909CD" w:rsidP="00F64D94" w:rsidRDefault="004909CD" w14:paraId="5AD2CF6D" w14:textId="77777777">
            <w:pPr>
              <w:ind w:firstLine="180" w:firstLineChars="100"/>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 </w:t>
            </w:r>
          </w:p>
        </w:tc>
        <w:tc>
          <w:tcPr>
            <w:tcW w:w="1710" w:type="dxa"/>
            <w:tcBorders>
              <w:top w:val="nil"/>
              <w:left w:val="nil"/>
              <w:bottom w:val="single" w:color="auto" w:sz="4" w:space="0"/>
              <w:right w:val="nil"/>
            </w:tcBorders>
            <w:shd w:val="clear" w:color="auto" w:fill="auto"/>
            <w:noWrap/>
            <w:vAlign w:val="center"/>
            <w:hideMark/>
          </w:tcPr>
          <w:p w:rsidRPr="00574902" w:rsidR="004909CD" w:rsidP="00F64D94" w:rsidRDefault="004909CD" w14:paraId="646C6E0C" w14:textId="77777777">
            <w:pPr>
              <w:ind w:firstLine="180" w:firstLineChars="100"/>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 </w:t>
            </w:r>
          </w:p>
        </w:tc>
        <w:tc>
          <w:tcPr>
            <w:tcW w:w="1703" w:type="dxa"/>
            <w:tcBorders>
              <w:top w:val="nil"/>
              <w:left w:val="nil"/>
              <w:bottom w:val="single" w:color="auto" w:sz="4" w:space="0"/>
              <w:right w:val="single" w:color="auto" w:sz="4" w:space="0"/>
            </w:tcBorders>
            <w:shd w:val="clear" w:color="auto" w:fill="auto"/>
            <w:noWrap/>
            <w:vAlign w:val="center"/>
            <w:hideMark/>
          </w:tcPr>
          <w:p w:rsidRPr="00574902" w:rsidR="004909CD" w:rsidP="00F64D94" w:rsidRDefault="004909CD" w14:paraId="2EC6C051" w14:textId="77777777">
            <w:pPr>
              <w:ind w:firstLine="180" w:firstLineChars="100"/>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 </w:t>
            </w:r>
          </w:p>
        </w:tc>
      </w:tr>
      <w:tr w:rsidRPr="00574902" w:rsidR="004909CD" w:rsidTr="00F64D94" w14:paraId="23B283AD" w14:textId="77777777">
        <w:trPr>
          <w:jc w:val="center"/>
        </w:trPr>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5AB73737" w14:textId="77777777">
            <w:pPr>
              <w:rPr>
                <w:rFonts w:ascii="Arial Narrow" w:hAnsi="Arial Narrow" w:eastAsia="Times New Roman" w:cs="Calibri"/>
                <w:color w:val="000000"/>
                <w:sz w:val="18"/>
                <w:szCs w:val="18"/>
              </w:rPr>
            </w:pPr>
            <w:r w:rsidRPr="00574902">
              <w:rPr>
                <w:rFonts w:ascii="Arial Narrow" w:hAnsi="Arial Narrow" w:cs="Calibri"/>
                <w:color w:val="000000"/>
                <w:sz w:val="18"/>
                <w:szCs w:val="18"/>
              </w:rPr>
              <w:t>Rule Familiarization</w:t>
            </w:r>
            <w:r w:rsidRPr="00574902">
              <w:rPr>
                <w:rFonts w:ascii="Arial Narrow" w:hAnsi="Arial Narrow" w:cs="Calibri"/>
                <w:color w:val="000000"/>
                <w:sz w:val="18"/>
                <w:szCs w:val="18"/>
                <w:vertAlign w:val="superscript"/>
              </w:rPr>
              <w:t>2</w:t>
            </w:r>
          </w:p>
        </w:tc>
        <w:tc>
          <w:tcPr>
            <w:tcW w:w="189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41CE2254"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C07D931"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0.500</w:t>
            </w:r>
          </w:p>
        </w:tc>
        <w:tc>
          <w:tcPr>
            <w:tcW w:w="1703"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7423FD1F"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0.074</w:t>
            </w:r>
          </w:p>
        </w:tc>
      </w:tr>
      <w:tr w:rsidRPr="00574902" w:rsidR="004909CD" w:rsidTr="00F64D94" w14:paraId="63467203" w14:textId="77777777">
        <w:trPr>
          <w:jc w:val="center"/>
        </w:trPr>
        <w:tc>
          <w:tcPr>
            <w:tcW w:w="3960"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12724F9A"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Compliance Determination</w:t>
            </w:r>
          </w:p>
        </w:tc>
        <w:tc>
          <w:tcPr>
            <w:tcW w:w="189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466492EC"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0.404</w:t>
            </w:r>
          </w:p>
        </w:tc>
        <w:tc>
          <w:tcPr>
            <w:tcW w:w="171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B65489F"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0.404</w:t>
            </w:r>
          </w:p>
        </w:tc>
        <w:tc>
          <w:tcPr>
            <w:tcW w:w="1703"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79FA9EC" w14:textId="77777777">
            <w:pPr>
              <w:jc w:val="right"/>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rPr>
              <w:t>0.404</w:t>
            </w:r>
          </w:p>
        </w:tc>
      </w:tr>
      <w:tr w:rsidRPr="00574902" w:rsidR="004909CD" w:rsidTr="00F64D94" w14:paraId="3CBC6A3D" w14:textId="77777777">
        <w:trPr>
          <w:jc w:val="center"/>
        </w:trPr>
        <w:tc>
          <w:tcPr>
            <w:tcW w:w="3960"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2090CE89"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Recordkeeping</w:t>
            </w:r>
          </w:p>
        </w:tc>
        <w:tc>
          <w:tcPr>
            <w:tcW w:w="189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6E501165" w14:textId="77777777">
            <w:pPr>
              <w:jc w:val="right"/>
              <w:rPr>
                <w:rFonts w:ascii="Arial Narrow" w:hAnsi="Arial Narrow" w:eastAsia="Times New Roman" w:cs="Calibri"/>
                <w:color w:val="000000"/>
                <w:sz w:val="18"/>
                <w:szCs w:val="18"/>
              </w:rPr>
            </w:pPr>
            <w:r w:rsidRPr="00574902">
              <w:rPr>
                <w:rFonts w:ascii="Arial Narrow" w:hAnsi="Arial Narrow" w:cs="Calibri"/>
                <w:color w:val="000000" w:themeColor="text1"/>
                <w:sz w:val="18"/>
                <w:szCs w:val="18"/>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0B82F4E" w14:textId="77777777">
            <w:pPr>
              <w:jc w:val="right"/>
              <w:rPr>
                <w:rFonts w:ascii="Arial Narrow" w:hAnsi="Arial Narrow" w:eastAsia="Times New Roman" w:cs="Calibri"/>
                <w:color w:val="000000"/>
                <w:sz w:val="18"/>
                <w:szCs w:val="18"/>
              </w:rPr>
            </w:pPr>
            <w:r w:rsidRPr="00574902">
              <w:rPr>
                <w:rFonts w:ascii="Arial Narrow" w:hAnsi="Arial Narrow" w:cs="Calibri"/>
                <w:color w:val="000000" w:themeColor="text1"/>
                <w:sz w:val="18"/>
                <w:szCs w:val="18"/>
              </w:rPr>
              <w:t>0.000</w:t>
            </w:r>
          </w:p>
        </w:tc>
        <w:tc>
          <w:tcPr>
            <w:tcW w:w="1703"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04FB6E20" w14:textId="77777777">
            <w:pPr>
              <w:jc w:val="right"/>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0.000</w:t>
            </w:r>
          </w:p>
        </w:tc>
      </w:tr>
      <w:tr w:rsidRPr="00574902" w:rsidR="004909CD" w:rsidTr="00F64D94" w14:paraId="2D9390A4" w14:textId="77777777">
        <w:trPr>
          <w:jc w:val="center"/>
        </w:trPr>
        <w:tc>
          <w:tcPr>
            <w:tcW w:w="3960" w:type="dxa"/>
            <w:gridSpan w:val="2"/>
            <w:tcBorders>
              <w:top w:val="nil"/>
              <w:left w:val="single" w:color="auto" w:sz="4" w:space="0"/>
              <w:bottom w:val="single" w:color="auto" w:sz="4" w:space="0"/>
              <w:right w:val="single" w:color="auto" w:sz="4" w:space="0"/>
            </w:tcBorders>
            <w:shd w:val="clear" w:color="auto" w:fill="auto"/>
            <w:vAlign w:val="bottom"/>
            <w:hideMark/>
          </w:tcPr>
          <w:p w:rsidRPr="00574902" w:rsidR="004909CD" w:rsidP="00F64D94" w:rsidRDefault="004909CD" w14:paraId="23446ADF"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Average Multi-Chemical Form Completion (7.5 chemicals)</w:t>
            </w:r>
          </w:p>
        </w:tc>
        <w:tc>
          <w:tcPr>
            <w:tcW w:w="189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2C4B625" w14:textId="77777777">
            <w:pPr>
              <w:jc w:val="cente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N/A</w:t>
            </w:r>
          </w:p>
        </w:tc>
        <w:tc>
          <w:tcPr>
            <w:tcW w:w="1710"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1F8C67B6" w14:textId="77777777">
            <w:pPr>
              <w:jc w:val="cente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N/A</w:t>
            </w:r>
          </w:p>
        </w:tc>
        <w:tc>
          <w:tcPr>
            <w:tcW w:w="1703" w:type="dxa"/>
            <w:tcBorders>
              <w:top w:val="nil"/>
              <w:left w:val="nil"/>
              <w:bottom w:val="single" w:color="auto" w:sz="4" w:space="0"/>
              <w:right w:val="single" w:color="auto" w:sz="4" w:space="0"/>
            </w:tcBorders>
            <w:shd w:val="clear" w:color="auto" w:fill="auto"/>
            <w:noWrap/>
            <w:vAlign w:val="bottom"/>
            <w:hideMark/>
          </w:tcPr>
          <w:p w:rsidRPr="00574902" w:rsidR="004909CD" w:rsidP="00F64D94" w:rsidRDefault="004909CD" w14:paraId="6873626B" w14:textId="77777777">
            <w:pPr>
              <w:jc w:val="cente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N/A</w:t>
            </w:r>
          </w:p>
        </w:tc>
      </w:tr>
      <w:tr w:rsidRPr="00574902" w:rsidR="004909CD" w:rsidTr="00F64D94" w14:paraId="1271969D" w14:textId="77777777">
        <w:trPr>
          <w:jc w:val="center"/>
        </w:trPr>
        <w:tc>
          <w:tcPr>
            <w:tcW w:w="3960" w:type="dxa"/>
            <w:gridSpan w:val="2"/>
            <w:tcBorders>
              <w:top w:val="single" w:color="auto" w:sz="12" w:space="0"/>
              <w:left w:val="single" w:color="auto" w:sz="8" w:space="0"/>
              <w:bottom w:val="single" w:color="auto" w:sz="8" w:space="0"/>
              <w:right w:val="single" w:color="auto" w:sz="8" w:space="0"/>
            </w:tcBorders>
            <w:shd w:val="clear" w:color="auto" w:fill="auto"/>
            <w:vAlign w:val="bottom"/>
          </w:tcPr>
          <w:p w:rsidRPr="00574902" w:rsidR="004909CD" w:rsidP="00F64D94" w:rsidRDefault="004909CD" w14:paraId="1120C164" w14:textId="77777777">
            <w:pPr>
              <w:rPr>
                <w:rFonts w:ascii="Arial Narrow" w:hAnsi="Arial Narrow" w:eastAsia="Times New Roman" w:cs="Calibri"/>
                <w:b/>
                <w:color w:val="000000"/>
                <w:sz w:val="18"/>
                <w:szCs w:val="18"/>
              </w:rPr>
            </w:pPr>
            <w:r w:rsidRPr="00574902">
              <w:rPr>
                <w:rFonts w:ascii="Arial Narrow" w:hAnsi="Arial Narrow" w:eastAsia="Times New Roman" w:cs="Calibri"/>
                <w:b/>
                <w:color w:val="000000"/>
                <w:sz w:val="18"/>
                <w:szCs w:val="18"/>
              </w:rPr>
              <w:t>Total</w:t>
            </w:r>
          </w:p>
        </w:tc>
        <w:tc>
          <w:tcPr>
            <w:tcW w:w="1890" w:type="dxa"/>
            <w:tcBorders>
              <w:top w:val="single" w:color="auto" w:sz="12" w:space="0"/>
              <w:left w:val="single" w:color="auto" w:sz="8" w:space="0"/>
              <w:bottom w:val="single" w:color="auto" w:sz="8" w:space="0"/>
              <w:right w:val="single" w:color="auto" w:sz="8" w:space="0"/>
            </w:tcBorders>
            <w:shd w:val="clear" w:color="auto" w:fill="auto"/>
            <w:noWrap/>
          </w:tcPr>
          <w:p w:rsidRPr="00574902" w:rsidR="004909CD" w:rsidP="00F64D94" w:rsidRDefault="004909CD" w14:paraId="30A7DCB1" w14:textId="77777777">
            <w:pPr>
              <w:jc w:val="right"/>
              <w:rPr>
                <w:rFonts w:ascii="Arial Narrow" w:hAnsi="Arial Narrow" w:eastAsia="Times New Roman" w:cs="Calibri"/>
                <w:b/>
                <w:bCs/>
                <w:color w:val="000000" w:themeColor="text1"/>
                <w:sz w:val="18"/>
                <w:szCs w:val="18"/>
              </w:rPr>
            </w:pPr>
            <w:r w:rsidRPr="00574902">
              <w:rPr>
                <w:rFonts w:ascii="Arial Narrow" w:hAnsi="Arial Narrow" w:eastAsia="Times New Roman" w:cs="Calibri"/>
                <w:b/>
                <w:bCs/>
                <w:color w:val="000000" w:themeColor="text1"/>
                <w:sz w:val="18"/>
                <w:szCs w:val="18"/>
              </w:rPr>
              <w:t>0.404</w:t>
            </w:r>
          </w:p>
        </w:tc>
        <w:tc>
          <w:tcPr>
            <w:tcW w:w="1710" w:type="dxa"/>
            <w:tcBorders>
              <w:top w:val="single" w:color="auto" w:sz="12" w:space="0"/>
              <w:left w:val="single" w:color="auto" w:sz="8" w:space="0"/>
              <w:bottom w:val="single" w:color="auto" w:sz="8" w:space="0"/>
              <w:right w:val="single" w:color="auto" w:sz="8" w:space="0"/>
            </w:tcBorders>
            <w:shd w:val="clear" w:color="auto" w:fill="auto"/>
            <w:noWrap/>
          </w:tcPr>
          <w:p w:rsidRPr="00574902" w:rsidR="004909CD" w:rsidP="00F64D94" w:rsidRDefault="004909CD" w14:paraId="32CA3118" w14:textId="77777777">
            <w:pPr>
              <w:jc w:val="right"/>
              <w:rPr>
                <w:rFonts w:ascii="Arial Narrow" w:hAnsi="Arial Narrow" w:eastAsia="Times New Roman" w:cs="Calibri"/>
                <w:b/>
                <w:bCs/>
                <w:color w:val="000000" w:themeColor="text1"/>
                <w:sz w:val="18"/>
                <w:szCs w:val="18"/>
              </w:rPr>
            </w:pPr>
            <w:r>
              <w:rPr>
                <w:rFonts w:ascii="Arial Narrow" w:hAnsi="Arial Narrow" w:eastAsia="Times New Roman" w:cs="Calibri"/>
                <w:b/>
                <w:bCs/>
                <w:color w:val="000000" w:themeColor="text1"/>
                <w:sz w:val="18"/>
                <w:szCs w:val="18"/>
              </w:rPr>
              <w:t>0</w:t>
            </w:r>
            <w:r w:rsidRPr="00574902">
              <w:rPr>
                <w:rFonts w:ascii="Arial Narrow" w:hAnsi="Arial Narrow" w:eastAsia="Times New Roman" w:cs="Calibri"/>
                <w:b/>
                <w:bCs/>
                <w:color w:val="000000" w:themeColor="text1"/>
                <w:sz w:val="18"/>
                <w:szCs w:val="18"/>
              </w:rPr>
              <w:t>.</w:t>
            </w:r>
            <w:r>
              <w:rPr>
                <w:rFonts w:ascii="Arial Narrow" w:hAnsi="Arial Narrow" w:eastAsia="Times New Roman" w:cs="Calibri"/>
                <w:b/>
                <w:bCs/>
                <w:color w:val="000000" w:themeColor="text1"/>
                <w:sz w:val="18"/>
                <w:szCs w:val="18"/>
              </w:rPr>
              <w:t>9</w:t>
            </w:r>
            <w:r w:rsidRPr="00574902">
              <w:rPr>
                <w:rFonts w:ascii="Arial Narrow" w:hAnsi="Arial Narrow" w:eastAsia="Times New Roman" w:cs="Calibri"/>
                <w:b/>
                <w:bCs/>
                <w:color w:val="000000" w:themeColor="text1"/>
                <w:sz w:val="18"/>
                <w:szCs w:val="18"/>
              </w:rPr>
              <w:t>04</w:t>
            </w:r>
          </w:p>
        </w:tc>
        <w:tc>
          <w:tcPr>
            <w:tcW w:w="1703" w:type="dxa"/>
            <w:tcBorders>
              <w:top w:val="single" w:color="auto" w:sz="12" w:space="0"/>
              <w:left w:val="single" w:color="auto" w:sz="8" w:space="0"/>
              <w:bottom w:val="single" w:color="auto" w:sz="8" w:space="0"/>
              <w:right w:val="single" w:color="auto" w:sz="8" w:space="0"/>
            </w:tcBorders>
            <w:shd w:val="clear" w:color="auto" w:fill="auto"/>
            <w:noWrap/>
          </w:tcPr>
          <w:p w:rsidRPr="00574902" w:rsidR="004909CD" w:rsidP="00F64D94" w:rsidRDefault="004909CD" w14:paraId="11CA2171" w14:textId="77777777">
            <w:pPr>
              <w:jc w:val="right"/>
              <w:rPr>
                <w:rFonts w:ascii="Arial Narrow" w:hAnsi="Arial Narrow" w:eastAsia="Times New Roman" w:cs="Calibri"/>
                <w:b/>
                <w:bCs/>
                <w:color w:val="000000" w:themeColor="text1"/>
                <w:sz w:val="18"/>
                <w:szCs w:val="18"/>
              </w:rPr>
            </w:pPr>
            <w:r w:rsidRPr="00574902">
              <w:rPr>
                <w:rFonts w:ascii="Arial Narrow" w:hAnsi="Arial Narrow" w:eastAsia="Times New Roman" w:cs="Calibri"/>
                <w:b/>
                <w:bCs/>
                <w:color w:val="000000" w:themeColor="text1"/>
                <w:sz w:val="18"/>
                <w:szCs w:val="18"/>
              </w:rPr>
              <w:t>0.</w:t>
            </w:r>
            <w:r>
              <w:rPr>
                <w:rFonts w:ascii="Arial Narrow" w:hAnsi="Arial Narrow" w:eastAsia="Times New Roman" w:cs="Calibri"/>
                <w:b/>
                <w:bCs/>
                <w:color w:val="000000" w:themeColor="text1"/>
                <w:sz w:val="18"/>
                <w:szCs w:val="18"/>
              </w:rPr>
              <w:t>478</w:t>
            </w:r>
          </w:p>
        </w:tc>
      </w:tr>
      <w:tr w:rsidRPr="00574902" w:rsidR="004909CD" w:rsidTr="00F64D94" w14:paraId="19CF3FE2" w14:textId="77777777">
        <w:trPr>
          <w:jc w:val="center"/>
        </w:trPr>
        <w:tc>
          <w:tcPr>
            <w:tcW w:w="9263" w:type="dxa"/>
            <w:gridSpan w:val="5"/>
            <w:tcBorders>
              <w:top w:val="single" w:color="auto" w:sz="8" w:space="0"/>
              <w:left w:val="single" w:color="auto" w:sz="4" w:space="0"/>
              <w:bottom w:val="nil"/>
              <w:right w:val="single" w:color="000000" w:themeColor="text1" w:sz="4" w:space="0"/>
            </w:tcBorders>
            <w:shd w:val="clear" w:color="auto" w:fill="auto"/>
            <w:vAlign w:val="center"/>
            <w:hideMark/>
          </w:tcPr>
          <w:p w:rsidRPr="00574902" w:rsidR="004909CD" w:rsidP="00F64D94" w:rsidRDefault="004909CD" w14:paraId="2AABBF1B"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General Note:</w:t>
            </w:r>
          </w:p>
        </w:tc>
      </w:tr>
      <w:tr w:rsidRPr="00574902" w:rsidR="004909CD" w:rsidTr="00F64D94" w14:paraId="2DE2C001" w14:textId="77777777">
        <w:trPr>
          <w:jc w:val="center"/>
        </w:trPr>
        <w:tc>
          <w:tcPr>
            <w:tcW w:w="9263" w:type="dxa"/>
            <w:gridSpan w:val="5"/>
            <w:tcBorders>
              <w:top w:val="nil"/>
              <w:left w:val="single" w:color="auto" w:sz="4" w:space="0"/>
              <w:bottom w:val="nil"/>
              <w:right w:val="single" w:color="000000" w:themeColor="text1" w:sz="4" w:space="0"/>
            </w:tcBorders>
            <w:shd w:val="clear" w:color="auto" w:fill="auto"/>
            <w:vAlign w:val="center"/>
          </w:tcPr>
          <w:p w:rsidRPr="00574902" w:rsidR="004909CD" w:rsidP="004909CD" w:rsidRDefault="004909CD" w14:paraId="3ED2891C" w14:textId="428B7BE2">
            <w:pPr>
              <w:pStyle w:val="ListParagraph"/>
              <w:numPr>
                <w:ilvl w:val="0"/>
                <w:numId w:val="30"/>
              </w:numPr>
              <w:ind w:left="144" w:hanging="144"/>
              <w:contextualSpacing w:val="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Estimates of incremental until burden in</w:t>
            </w:r>
            <w:r w:rsidR="00F41F65">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_Ref33190998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3</w:t>
            </w:r>
            <w:r w:rsidR="00F41F65">
              <w:rPr>
                <w:rFonts w:ascii="Arial Narrow" w:hAnsi="Arial Narrow" w:eastAsia="Times New Roman" w:cs="Calibri"/>
                <w:color w:val="000000"/>
                <w:sz w:val="18"/>
                <w:szCs w:val="18"/>
              </w:rPr>
              <w:fldChar w:fldCharType="end"/>
            </w:r>
            <w:r>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_Ref33191021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4</w:t>
            </w:r>
            <w:r w:rsidR="00F41F65">
              <w:rPr>
                <w:rFonts w:ascii="Arial Narrow" w:hAnsi="Arial Narrow" w:eastAsia="Times New Roman" w:cs="Calibri"/>
                <w:color w:val="000000"/>
                <w:sz w:val="18"/>
                <w:szCs w:val="18"/>
              </w:rPr>
              <w:fldChar w:fldCharType="end"/>
            </w:r>
            <w:r>
              <w:rPr>
                <w:rFonts w:ascii="Arial Narrow" w:hAnsi="Arial Narrow" w:eastAsia="Times New Roman" w:cs="Calibri"/>
                <w:color w:val="000000"/>
                <w:sz w:val="18"/>
                <w:szCs w:val="18"/>
              </w:rPr>
              <w:t>, and</w:t>
            </w:r>
            <w:r w:rsidRPr="00574902">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_Ref33191040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AC5186" w:rsidR="00AC5186">
              <w:rPr>
                <w:rFonts w:ascii="Arial Narrow" w:hAnsi="Arial Narrow" w:eastAsia="Times New Roman" w:cs="Calibri"/>
                <w:color w:val="000000"/>
                <w:sz w:val="18"/>
                <w:szCs w:val="18"/>
              </w:rPr>
              <w:t>Table 5</w:t>
            </w:r>
            <w:r w:rsidR="00F41F65">
              <w:rPr>
                <w:rFonts w:ascii="Arial Narrow" w:hAnsi="Arial Narrow" w:eastAsia="Times New Roman" w:cs="Calibri"/>
                <w:color w:val="000000"/>
                <w:sz w:val="18"/>
                <w:szCs w:val="18"/>
              </w:rPr>
              <w:fldChar w:fldCharType="end"/>
            </w:r>
            <w:r w:rsidR="00F41F65">
              <w:rPr>
                <w:rFonts w:ascii="Arial Narrow" w:hAnsi="Arial Narrow" w:eastAsia="Times New Roman" w:cs="Calibri"/>
                <w:color w:val="000000"/>
                <w:sz w:val="18"/>
                <w:szCs w:val="18"/>
              </w:rPr>
              <w:t xml:space="preserve"> </w:t>
            </w:r>
            <w:r w:rsidRPr="00574902">
              <w:rPr>
                <w:rFonts w:ascii="Arial Narrow" w:hAnsi="Arial Narrow" w:eastAsia="Times New Roman" w:cs="Calibri"/>
                <w:color w:val="000000"/>
                <w:sz w:val="18"/>
                <w:szCs w:val="18"/>
              </w:rPr>
              <w:t xml:space="preserve">differ slightly from results that would be obtained using information in the EA (EPA, </w:t>
            </w:r>
            <w:r>
              <w:rPr>
                <w:rFonts w:ascii="Arial Narrow" w:hAnsi="Arial Narrow" w:eastAsia="Times New Roman" w:cs="Calibri"/>
                <w:color w:val="000000"/>
                <w:sz w:val="18"/>
                <w:szCs w:val="18"/>
              </w:rPr>
              <w:t>2019)</w:t>
            </w:r>
            <w:r w:rsidRPr="00574902">
              <w:rPr>
                <w:rFonts w:ascii="Arial Narrow" w:hAnsi="Arial Narrow" w:eastAsia="Times New Roman" w:cs="Calibri"/>
                <w:color w:val="000000"/>
                <w:sz w:val="18"/>
                <w:szCs w:val="18"/>
              </w:rPr>
              <w:t xml:space="preserve"> due to rounding.</w:t>
            </w:r>
          </w:p>
        </w:tc>
      </w:tr>
      <w:tr w:rsidRPr="00574902" w:rsidR="004909CD" w:rsidTr="00F64D94" w14:paraId="0906FA0D" w14:textId="77777777">
        <w:trPr>
          <w:jc w:val="center"/>
        </w:trPr>
        <w:tc>
          <w:tcPr>
            <w:tcW w:w="9263" w:type="dxa"/>
            <w:gridSpan w:val="5"/>
            <w:tcBorders>
              <w:top w:val="nil"/>
              <w:left w:val="single" w:color="auto" w:sz="4" w:space="0"/>
              <w:bottom w:val="nil"/>
              <w:right w:val="single" w:color="000000" w:themeColor="text1" w:sz="4" w:space="0"/>
            </w:tcBorders>
            <w:shd w:val="clear" w:color="auto" w:fill="auto"/>
            <w:vAlign w:val="center"/>
            <w:hideMark/>
          </w:tcPr>
          <w:p w:rsidRPr="00574902" w:rsidR="004909CD" w:rsidP="004909CD" w:rsidRDefault="004909CD" w14:paraId="6EECAF1E" w14:textId="77777777">
            <w:pPr>
              <w:pStyle w:val="ListParagraph"/>
              <w:numPr>
                <w:ilvl w:val="0"/>
                <w:numId w:val="30"/>
              </w:numPr>
              <w:ind w:left="144" w:hanging="144"/>
              <w:contextualSpacing w:val="0"/>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(2018b).</w:t>
            </w:r>
          </w:p>
        </w:tc>
      </w:tr>
      <w:tr w:rsidRPr="00574902" w:rsidR="004909CD" w:rsidTr="00F64D94" w14:paraId="61DFEE20" w14:textId="77777777">
        <w:trPr>
          <w:jc w:val="center"/>
        </w:trPr>
        <w:tc>
          <w:tcPr>
            <w:tcW w:w="9263" w:type="dxa"/>
            <w:gridSpan w:val="5"/>
            <w:tcBorders>
              <w:top w:val="nil"/>
              <w:left w:val="single" w:color="auto" w:sz="4" w:space="0"/>
              <w:right w:val="single" w:color="000000" w:themeColor="text1" w:sz="4" w:space="0"/>
            </w:tcBorders>
            <w:shd w:val="clear" w:color="auto" w:fill="auto"/>
            <w:vAlign w:val="center"/>
            <w:hideMark/>
          </w:tcPr>
          <w:p w:rsidRPr="00574902" w:rsidR="004909CD" w:rsidP="00F64D94" w:rsidRDefault="004909CD" w14:paraId="6BB38AC7" w14:textId="77777777">
            <w:pPr>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Footnotes:</w:t>
            </w:r>
          </w:p>
        </w:tc>
      </w:tr>
      <w:tr w:rsidRPr="00574902" w:rsidR="004909CD" w:rsidTr="00F64D94" w14:paraId="73736CA0" w14:textId="77777777">
        <w:trPr>
          <w:jc w:val="center"/>
        </w:trPr>
        <w:tc>
          <w:tcPr>
            <w:tcW w:w="270" w:type="dxa"/>
            <w:tcBorders>
              <w:top w:val="nil"/>
              <w:left w:val="single" w:color="auto" w:sz="4" w:space="0"/>
              <w:right w:val="nil"/>
            </w:tcBorders>
            <w:shd w:val="clear" w:color="auto" w:fill="auto"/>
          </w:tcPr>
          <w:p w:rsidRPr="00574902" w:rsidR="004909CD" w:rsidP="00F64D94" w:rsidRDefault="004909CD" w14:paraId="66BF28F3" w14:textId="77777777">
            <w:pPr>
              <w:rPr>
                <w:rFonts w:ascii="Arial Narrow" w:hAnsi="Arial Narrow" w:eastAsia="Times New Roman" w:cs="Calibri"/>
                <w:color w:val="000000" w:themeColor="text1"/>
                <w:sz w:val="18"/>
                <w:szCs w:val="18"/>
                <w:vertAlign w:val="superscript"/>
              </w:rPr>
            </w:pPr>
            <w:r w:rsidRPr="00574902">
              <w:rPr>
                <w:rFonts w:ascii="Arial Narrow" w:hAnsi="Arial Narrow" w:eastAsia="Times New Roman" w:cs="Calibri"/>
                <w:color w:val="000000" w:themeColor="text1"/>
                <w:sz w:val="18"/>
                <w:szCs w:val="18"/>
                <w:vertAlign w:val="superscript"/>
              </w:rPr>
              <w:t>1</w:t>
            </w:r>
          </w:p>
        </w:tc>
        <w:tc>
          <w:tcPr>
            <w:tcW w:w="8993" w:type="dxa"/>
            <w:gridSpan w:val="4"/>
            <w:tcBorders>
              <w:top w:val="nil"/>
              <w:left w:val="nil"/>
              <w:right w:val="single" w:color="000000" w:themeColor="text1" w:sz="4" w:space="0"/>
            </w:tcBorders>
            <w:shd w:val="clear" w:color="auto" w:fill="auto"/>
          </w:tcPr>
          <w:p w:rsidRPr="00574902" w:rsidR="004909CD" w:rsidP="00F64D94" w:rsidRDefault="004909CD" w14:paraId="4E92DEA0" w14:textId="77777777">
            <w:pPr>
              <w:ind w:left="-103"/>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As in the analysis in Table 4-15 of EPA (</w:t>
            </w:r>
            <w:r>
              <w:rPr>
                <w:rFonts w:ascii="Arial Narrow" w:hAnsi="Arial Narrow" w:eastAsia="Times New Roman" w:cs="Calibri"/>
                <w:color w:val="000000"/>
                <w:sz w:val="18"/>
                <w:szCs w:val="18"/>
              </w:rPr>
              <w:t>2019</w:t>
            </w:r>
            <w:r w:rsidRPr="00574902">
              <w:rPr>
                <w:rFonts w:ascii="Arial Narrow" w:hAnsi="Arial Narrow" w:eastAsia="Times New Roman" w:cs="Calibri"/>
                <w:color w:val="000000"/>
                <w:sz w:val="18"/>
                <w:szCs w:val="18"/>
              </w:rPr>
              <w:t xml:space="preserve">), overall unit burden is based on 14.82% new reporting sites. </w:t>
            </w:r>
          </w:p>
        </w:tc>
      </w:tr>
      <w:tr w:rsidRPr="00855347" w:rsidR="004909CD" w:rsidTr="00F64D94" w14:paraId="1E3CD156" w14:textId="77777777">
        <w:trPr>
          <w:jc w:val="center"/>
        </w:trPr>
        <w:tc>
          <w:tcPr>
            <w:tcW w:w="270" w:type="dxa"/>
            <w:tcBorders>
              <w:left w:val="single" w:color="auto" w:sz="4" w:space="0"/>
              <w:bottom w:val="single" w:color="auto" w:sz="4" w:space="0"/>
              <w:right w:val="nil"/>
            </w:tcBorders>
            <w:shd w:val="clear" w:color="auto" w:fill="auto"/>
            <w:hideMark/>
          </w:tcPr>
          <w:p w:rsidRPr="00574902" w:rsidR="004909CD" w:rsidP="00F64D94" w:rsidRDefault="004909CD" w14:paraId="2E1B216C" w14:textId="77777777">
            <w:pPr>
              <w:rPr>
                <w:rFonts w:ascii="Arial Narrow" w:hAnsi="Arial Narrow" w:eastAsia="Times New Roman" w:cs="Calibri"/>
                <w:color w:val="000000" w:themeColor="text1"/>
                <w:sz w:val="18"/>
                <w:szCs w:val="18"/>
              </w:rPr>
            </w:pPr>
            <w:r w:rsidRPr="00574902">
              <w:rPr>
                <w:rFonts w:ascii="Arial Narrow" w:hAnsi="Arial Narrow" w:eastAsia="Times New Roman" w:cs="Calibri"/>
                <w:color w:val="000000" w:themeColor="text1"/>
                <w:sz w:val="18"/>
                <w:szCs w:val="18"/>
                <w:vertAlign w:val="superscript"/>
              </w:rPr>
              <w:t>2</w:t>
            </w:r>
          </w:p>
        </w:tc>
        <w:tc>
          <w:tcPr>
            <w:tcW w:w="8993" w:type="dxa"/>
            <w:gridSpan w:val="4"/>
            <w:tcBorders>
              <w:left w:val="nil"/>
              <w:bottom w:val="single" w:color="auto" w:sz="4" w:space="0"/>
              <w:right w:val="single" w:color="000000" w:themeColor="text1" w:sz="4" w:space="0"/>
            </w:tcBorders>
            <w:shd w:val="clear" w:color="auto" w:fill="auto"/>
            <w:hideMark/>
          </w:tcPr>
          <w:p w:rsidRPr="002D0EB4" w:rsidR="004909CD" w:rsidP="00F64D94" w:rsidRDefault="004909CD" w14:paraId="61DE0A45" w14:textId="77777777">
            <w:pPr>
              <w:ind w:left="-103"/>
              <w:rPr>
                <w:rFonts w:ascii="Arial Narrow" w:hAnsi="Arial Narrow" w:eastAsia="Times New Roman" w:cs="Calibri"/>
                <w:color w:val="000000"/>
                <w:sz w:val="18"/>
                <w:szCs w:val="18"/>
              </w:rPr>
            </w:pPr>
            <w:r w:rsidRPr="00574902">
              <w:rPr>
                <w:rFonts w:ascii="Arial Narrow" w:hAnsi="Arial Narrow" w:eastAsia="Times New Roman" w:cs="Calibri"/>
                <w:color w:val="000000"/>
                <w:sz w:val="18"/>
                <w:szCs w:val="18"/>
              </w:rPr>
              <w:t>The estimate for new reporter incremental Rule Familiarization burden consists of 0.146 hours of Managerial labor and 0.354 hours of Technical labor. Compliance Determination for new reporters is estimated at the same levels as for experienced reporters.</w:t>
            </w:r>
            <w:r w:rsidRPr="002D0EB4">
              <w:rPr>
                <w:rFonts w:ascii="Arial Narrow" w:hAnsi="Arial Narrow" w:eastAsia="Times New Roman" w:cs="Calibri"/>
                <w:color w:val="000000"/>
                <w:sz w:val="18"/>
                <w:szCs w:val="18"/>
              </w:rPr>
              <w:t xml:space="preserve"> </w:t>
            </w:r>
          </w:p>
        </w:tc>
      </w:tr>
    </w:tbl>
    <w:p w:rsidR="004909CD" w:rsidP="004909CD" w:rsidRDefault="004909CD" w14:paraId="1E3782AC" w14:textId="10DB8097"/>
    <w:p w:rsidR="0045734C" w:rsidP="0045734C" w:rsidRDefault="00955C62" w14:paraId="006F44D9" w14:textId="2408EF97">
      <w:pPr>
        <w:pStyle w:val="BodyText"/>
      </w:pPr>
      <w:r>
        <w:t xml:space="preserve">Unit costs are derived by combining relevant wage information with unit burden estimates.  See Appendix B for information on the industry wage rates used in this analysis. </w:t>
      </w:r>
      <w:r w:rsidRPr="000C437E" w:rsidR="0045734C">
        <w:t xml:space="preserve">Unit reporter burden and reporter cost per site are derived for reportable data elements, CBI substantiation, and the incremental increases in rule familiarization and compliance determination associated with byproduct </w:t>
      </w:r>
      <w:r w:rsidR="0045734C">
        <w:t>exemptions</w:t>
      </w:r>
      <w:r w:rsidRPr="000C437E" w:rsidR="0045734C">
        <w:t xml:space="preserve"> in</w:t>
      </w:r>
      <w:r w:rsidR="00DA78C8">
        <w:t xml:space="preserve"> </w:t>
      </w:r>
      <w:r w:rsidR="00DA78C8">
        <w:fldChar w:fldCharType="begin"/>
      </w:r>
      <w:r w:rsidR="00DA78C8">
        <w:instrText xml:space="preserve"> REF _Ref33191040 \h </w:instrText>
      </w:r>
      <w:r w:rsidR="00DA78C8">
        <w:fldChar w:fldCharType="separate"/>
      </w:r>
      <w:r w:rsidRPr="0045734C" w:rsidR="005B1BB5">
        <w:rPr>
          <w:szCs w:val="24"/>
        </w:rPr>
        <w:t xml:space="preserve">Table </w:t>
      </w:r>
      <w:r w:rsidR="005B1BB5">
        <w:rPr>
          <w:noProof/>
          <w:szCs w:val="24"/>
        </w:rPr>
        <w:t>5</w:t>
      </w:r>
      <w:r w:rsidR="00DA78C8">
        <w:fldChar w:fldCharType="end"/>
      </w:r>
      <w:r w:rsidRPr="000C437E" w:rsidR="0045734C">
        <w:t>. EP</w:t>
      </w:r>
      <w:r w:rsidRPr="009E313C" w:rsidR="0045734C">
        <w:t xml:space="preserve">A estimates </w:t>
      </w:r>
      <w:r w:rsidR="0045734C">
        <w:t>incremental reporter burden and cost at approximately 31</w:t>
      </w:r>
      <w:r w:rsidRPr="00781C0F" w:rsidR="0045734C">
        <w:t xml:space="preserve"> hours and $</w:t>
      </w:r>
      <w:r w:rsidR="0045734C">
        <w:t xml:space="preserve">2,401 per industry or government site per four-year reporting cycle. </w:t>
      </w:r>
      <w:bookmarkStart w:name="_Ref524344792" w:id="57"/>
    </w:p>
    <w:p w:rsidR="0045734C" w:rsidP="0045734C" w:rsidRDefault="0045734C" w14:paraId="7F72D956" w14:textId="77777777">
      <w:pPr>
        <w:pStyle w:val="BodyText"/>
      </w:pPr>
    </w:p>
    <w:tbl>
      <w:tblPr>
        <w:tblW w:w="5000" w:type="pct"/>
        <w:jc w:val="center"/>
        <w:tblLook w:val="04A0" w:firstRow="1" w:lastRow="0" w:firstColumn="1" w:lastColumn="0" w:noHBand="0" w:noVBand="1"/>
      </w:tblPr>
      <w:tblGrid>
        <w:gridCol w:w="6859"/>
        <w:gridCol w:w="1441"/>
        <w:gridCol w:w="1780"/>
      </w:tblGrid>
      <w:tr w:rsidRPr="0026317C" w:rsidR="0045734C" w:rsidTr="00F64D94" w14:paraId="671BFEC1" w14:textId="77777777">
        <w:trPr>
          <w:tblHeader/>
          <w:jc w:val="center"/>
        </w:trPr>
        <w:tc>
          <w:tcPr>
            <w:tcW w:w="9360" w:type="dxa"/>
            <w:gridSpan w:val="3"/>
            <w:tcBorders>
              <w:top w:val="nil"/>
              <w:left w:val="nil"/>
              <w:bottom w:val="single" w:color="auto" w:sz="4" w:space="0"/>
              <w:right w:val="nil"/>
            </w:tcBorders>
            <w:shd w:val="clear" w:color="auto" w:fill="auto"/>
            <w:vAlign w:val="bottom"/>
            <w:hideMark/>
          </w:tcPr>
          <w:p w:rsidRPr="0045734C" w:rsidR="0045734C" w:rsidP="00F64D94" w:rsidRDefault="0045734C" w14:paraId="47B0DD06" w14:textId="2F902417">
            <w:pPr>
              <w:pStyle w:val="Caption"/>
              <w:rPr>
                <w:szCs w:val="24"/>
              </w:rPr>
            </w:pPr>
            <w:bookmarkStart w:name="_Ref33191040" w:id="58"/>
            <w:bookmarkStart w:name="_Ref526353586" w:id="59"/>
            <w:bookmarkStart w:name="_Ref525829571" w:id="60"/>
            <w:bookmarkStart w:name="_Ref525826990" w:id="61"/>
            <w:bookmarkStart w:name="_Toc34230799" w:id="62"/>
            <w:r w:rsidRPr="0045734C">
              <w:rPr>
                <w:szCs w:val="24"/>
              </w:rPr>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5</w:t>
            </w:r>
            <w:r w:rsidR="00F574F4">
              <w:rPr>
                <w:szCs w:val="24"/>
              </w:rPr>
              <w:fldChar w:fldCharType="end"/>
            </w:r>
            <w:bookmarkEnd w:id="57"/>
            <w:bookmarkEnd w:id="58"/>
            <w:bookmarkEnd w:id="59"/>
            <w:bookmarkEnd w:id="60"/>
            <w:bookmarkEnd w:id="61"/>
            <w:r w:rsidRPr="0045734C">
              <w:rPr>
                <w:szCs w:val="24"/>
              </w:rPr>
              <w:t>: Incremental Unit Burden and Cost per Site, Four-Year Cycle, Experienced and New Reporters, Industry and Government</w:t>
            </w:r>
            <w:bookmarkEnd w:id="62"/>
          </w:p>
        </w:tc>
      </w:tr>
      <w:tr w:rsidRPr="0026317C" w:rsidR="0045734C" w:rsidTr="00F64D94" w14:paraId="1D815C41" w14:textId="77777777">
        <w:trPr>
          <w:tblHeader/>
          <w:jc w:val="center"/>
        </w:trPr>
        <w:tc>
          <w:tcPr>
            <w:tcW w:w="6369" w:type="dxa"/>
            <w:tcBorders>
              <w:top w:val="nil"/>
              <w:left w:val="single" w:color="auto" w:sz="4" w:space="0"/>
              <w:bottom w:val="single" w:color="auto" w:sz="4" w:space="0"/>
              <w:right w:val="single" w:color="auto" w:sz="4" w:space="0"/>
            </w:tcBorders>
            <w:shd w:val="clear" w:color="auto" w:fill="BFBFBF" w:themeFill="background1" w:themeFillShade="BF"/>
            <w:noWrap/>
            <w:vAlign w:val="bottom"/>
            <w:hideMark/>
          </w:tcPr>
          <w:p w:rsidRPr="000B0C5D" w:rsidR="0045734C" w:rsidP="00F64D94" w:rsidRDefault="0045734C" w14:paraId="380913AC" w14:textId="77777777">
            <w:pP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Activity</w:t>
            </w:r>
          </w:p>
        </w:tc>
        <w:tc>
          <w:tcPr>
            <w:tcW w:w="1338" w:type="dxa"/>
            <w:tcBorders>
              <w:top w:val="nil"/>
              <w:left w:val="nil"/>
              <w:bottom w:val="single" w:color="auto" w:sz="4" w:space="0"/>
              <w:right w:val="single" w:color="auto" w:sz="4" w:space="0"/>
            </w:tcBorders>
            <w:shd w:val="clear" w:color="auto" w:fill="BFBFBF" w:themeFill="background1" w:themeFillShade="BF"/>
            <w:vAlign w:val="bottom"/>
            <w:hideMark/>
          </w:tcPr>
          <w:p w:rsidRPr="000B0C5D" w:rsidR="0045734C" w:rsidP="00F64D94" w:rsidRDefault="0045734C" w14:paraId="4F4473FE" w14:textId="77777777">
            <w:pPr>
              <w:jc w:val="center"/>
              <w:rPr>
                <w:rFonts w:ascii="Arial Narrow" w:hAnsi="Arial Narrow" w:eastAsia="Times New Roman" w:cs="Calibri"/>
                <w:b/>
                <w:bCs/>
                <w:color w:val="000000"/>
                <w:sz w:val="18"/>
                <w:szCs w:val="18"/>
              </w:rPr>
            </w:pPr>
            <w:r w:rsidRPr="000B0C5D">
              <w:rPr>
                <w:rFonts w:ascii="Arial Narrow" w:hAnsi="Arial Narrow" w:eastAsia="Times New Roman" w:cs="Calibri"/>
                <w:b/>
                <w:bCs/>
                <w:color w:val="000000"/>
                <w:sz w:val="18"/>
                <w:szCs w:val="18"/>
              </w:rPr>
              <w:t>Overall average burden per site (hours)</w:t>
            </w:r>
          </w:p>
        </w:tc>
        <w:tc>
          <w:tcPr>
            <w:tcW w:w="1653" w:type="dxa"/>
            <w:tcBorders>
              <w:top w:val="nil"/>
              <w:left w:val="nil"/>
              <w:bottom w:val="single" w:color="auto" w:sz="4" w:space="0"/>
              <w:right w:val="single" w:color="auto" w:sz="4" w:space="0"/>
            </w:tcBorders>
            <w:shd w:val="clear" w:color="auto" w:fill="BFBFBF" w:themeFill="background1" w:themeFillShade="BF"/>
            <w:vAlign w:val="bottom"/>
            <w:hideMark/>
          </w:tcPr>
          <w:p w:rsidRPr="000B0C5D" w:rsidR="0045734C" w:rsidP="00F64D94" w:rsidRDefault="0045734C" w14:paraId="1022AE32" w14:textId="77777777">
            <w:pPr>
              <w:jc w:val="center"/>
              <w:rPr>
                <w:rFonts w:ascii="Arial Narrow" w:hAnsi="Arial Narrow" w:eastAsia="Times New Roman" w:cs="Calibri"/>
                <w:b/>
                <w:bCs/>
                <w:color w:val="000000"/>
                <w:sz w:val="18"/>
                <w:szCs w:val="18"/>
              </w:rPr>
            </w:pPr>
            <w:r w:rsidRPr="000B0C5D">
              <w:rPr>
                <w:rFonts w:ascii="Arial Narrow" w:hAnsi="Arial Narrow" w:eastAsia="Times New Roman" w:cs="Calibri"/>
                <w:b/>
                <w:bCs/>
                <w:color w:val="000000"/>
                <w:sz w:val="18"/>
                <w:szCs w:val="18"/>
              </w:rPr>
              <w:t>Overall average cost per site (</w:t>
            </w:r>
            <w:r>
              <w:rPr>
                <w:rFonts w:ascii="Arial Narrow" w:hAnsi="Arial Narrow" w:eastAsia="Times New Roman" w:cs="Calibri"/>
                <w:b/>
                <w:bCs/>
                <w:color w:val="000000"/>
                <w:sz w:val="18"/>
                <w:szCs w:val="18"/>
              </w:rPr>
              <w:t>2018$</w:t>
            </w:r>
            <w:r w:rsidRPr="000B0C5D">
              <w:rPr>
                <w:rFonts w:ascii="Arial Narrow" w:hAnsi="Arial Narrow" w:eastAsia="Times New Roman" w:cs="Calibri"/>
                <w:b/>
                <w:bCs/>
                <w:color w:val="000000"/>
                <w:sz w:val="18"/>
                <w:szCs w:val="18"/>
              </w:rPr>
              <w:t>)</w:t>
            </w:r>
          </w:p>
        </w:tc>
      </w:tr>
      <w:tr w:rsidRPr="0026317C" w:rsidR="0045734C" w:rsidTr="00F64D94" w14:paraId="7EAD077F" w14:textId="77777777">
        <w:trPr>
          <w:jc w:val="center"/>
        </w:trPr>
        <w:tc>
          <w:tcPr>
            <w:tcW w:w="6369" w:type="dxa"/>
            <w:tcBorders>
              <w:top w:val="nil"/>
              <w:left w:val="single" w:color="auto" w:sz="4" w:space="0"/>
              <w:bottom w:val="single" w:color="auto" w:sz="4" w:space="0"/>
              <w:right w:val="single" w:color="auto" w:sz="4" w:space="0"/>
            </w:tcBorders>
            <w:shd w:val="clear" w:color="auto" w:fill="auto"/>
            <w:vAlign w:val="center"/>
            <w:hideMark/>
          </w:tcPr>
          <w:p w:rsidRPr="000B0C5D" w:rsidR="0045734C" w:rsidP="00F64D94" w:rsidRDefault="0045734C" w14:paraId="06BCE3E9" w14:textId="77777777">
            <w:pPr>
              <w:rPr>
                <w:rFonts w:ascii="Arial Narrow" w:hAnsi="Arial Narrow" w:eastAsia="Times New Roman" w:cs="Calibri"/>
                <w:color w:val="000000"/>
                <w:sz w:val="18"/>
                <w:szCs w:val="18"/>
              </w:rPr>
            </w:pPr>
            <w:r w:rsidRPr="000B0C5D">
              <w:rPr>
                <w:rFonts w:ascii="Arial Narrow" w:hAnsi="Arial Narrow" w:eastAsia="Times New Roman" w:cs="Calibri"/>
                <w:color w:val="000000"/>
                <w:sz w:val="18"/>
                <w:szCs w:val="18"/>
              </w:rPr>
              <w:t>Reportable Data Elements and CBI Substantiation, including incremental rule familiarization and compliance determination</w:t>
            </w:r>
          </w:p>
        </w:tc>
        <w:tc>
          <w:tcPr>
            <w:tcW w:w="1338" w:type="dxa"/>
            <w:tcBorders>
              <w:top w:val="nil"/>
              <w:left w:val="nil"/>
              <w:bottom w:val="single" w:color="auto" w:sz="4" w:space="0"/>
              <w:right w:val="single" w:color="auto" w:sz="4" w:space="0"/>
            </w:tcBorders>
            <w:shd w:val="clear" w:color="auto" w:fill="auto"/>
            <w:noWrap/>
            <w:vAlign w:val="bottom"/>
            <w:hideMark/>
          </w:tcPr>
          <w:p w:rsidRPr="00ED53A8" w:rsidR="0045734C" w:rsidP="00F64D94" w:rsidRDefault="0045734C" w14:paraId="17802143"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30.641</w:t>
            </w:r>
          </w:p>
        </w:tc>
        <w:tc>
          <w:tcPr>
            <w:tcW w:w="1653" w:type="dxa"/>
            <w:tcBorders>
              <w:top w:val="nil"/>
              <w:left w:val="nil"/>
              <w:bottom w:val="single" w:color="auto" w:sz="4" w:space="0"/>
              <w:right w:val="single" w:color="auto" w:sz="4" w:space="0"/>
            </w:tcBorders>
            <w:shd w:val="clear" w:color="auto" w:fill="auto"/>
            <w:noWrap/>
            <w:vAlign w:val="bottom"/>
            <w:hideMark/>
          </w:tcPr>
          <w:p w:rsidRPr="00ED53A8" w:rsidR="0045734C" w:rsidP="00F64D94" w:rsidRDefault="0045734C" w14:paraId="2988C2FC"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$2,364.69</w:t>
            </w:r>
          </w:p>
        </w:tc>
      </w:tr>
      <w:tr w:rsidRPr="0026317C" w:rsidR="0045734C" w:rsidTr="00F64D94" w14:paraId="7547B513" w14:textId="77777777">
        <w:trPr>
          <w:jc w:val="center"/>
        </w:trPr>
        <w:tc>
          <w:tcPr>
            <w:tcW w:w="6369" w:type="dxa"/>
            <w:tcBorders>
              <w:top w:val="nil"/>
              <w:left w:val="single" w:color="auto" w:sz="4" w:space="0"/>
              <w:bottom w:val="single" w:color="auto" w:sz="4" w:space="0"/>
              <w:right w:val="single" w:color="auto" w:sz="4" w:space="0"/>
            </w:tcBorders>
            <w:shd w:val="clear" w:color="auto" w:fill="auto"/>
            <w:vAlign w:val="center"/>
            <w:hideMark/>
          </w:tcPr>
          <w:p w:rsidRPr="000B0C5D" w:rsidR="0045734C" w:rsidP="00F64D94" w:rsidRDefault="0045734C" w14:paraId="4F059E0E" w14:textId="77777777">
            <w:pPr>
              <w:rPr>
                <w:rFonts w:ascii="Arial Narrow" w:hAnsi="Arial Narrow" w:eastAsia="Times New Roman" w:cs="Calibri"/>
                <w:color w:val="000000"/>
                <w:sz w:val="18"/>
                <w:szCs w:val="18"/>
              </w:rPr>
            </w:pPr>
            <w:r w:rsidRPr="000B0C5D">
              <w:rPr>
                <w:rFonts w:ascii="Arial Narrow" w:hAnsi="Arial Narrow" w:eastAsia="Times New Roman" w:cs="Calibri"/>
                <w:color w:val="000000"/>
                <w:sz w:val="18"/>
                <w:szCs w:val="18"/>
              </w:rPr>
              <w:t xml:space="preserve">Byproduct </w:t>
            </w:r>
            <w:r>
              <w:rPr>
                <w:rFonts w:ascii="Arial Narrow" w:hAnsi="Arial Narrow" w:eastAsia="Times New Roman" w:cs="Calibri"/>
                <w:color w:val="000000"/>
                <w:sz w:val="18"/>
                <w:szCs w:val="18"/>
              </w:rPr>
              <w:t>Exemptions</w:t>
            </w:r>
            <w:r w:rsidRPr="000B0C5D">
              <w:rPr>
                <w:rFonts w:ascii="Arial Narrow" w:hAnsi="Arial Narrow" w:eastAsia="Times New Roman" w:cs="Calibri"/>
                <w:color w:val="000000"/>
                <w:sz w:val="18"/>
                <w:szCs w:val="18"/>
              </w:rPr>
              <w:t xml:space="preserve"> incremental rule familiarization and compliance determination</w:t>
            </w:r>
          </w:p>
        </w:tc>
        <w:tc>
          <w:tcPr>
            <w:tcW w:w="1338" w:type="dxa"/>
            <w:tcBorders>
              <w:top w:val="nil"/>
              <w:left w:val="nil"/>
              <w:bottom w:val="single" w:color="auto" w:sz="4" w:space="0"/>
              <w:right w:val="single" w:color="auto" w:sz="4" w:space="0"/>
            </w:tcBorders>
            <w:shd w:val="clear" w:color="auto" w:fill="auto"/>
            <w:noWrap/>
            <w:vAlign w:val="bottom"/>
            <w:hideMark/>
          </w:tcPr>
          <w:p w:rsidRPr="00F95887" w:rsidR="0045734C" w:rsidP="00F64D94" w:rsidRDefault="0045734C" w14:paraId="258D4FEF"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0.478</w:t>
            </w:r>
          </w:p>
        </w:tc>
        <w:tc>
          <w:tcPr>
            <w:tcW w:w="1653" w:type="dxa"/>
            <w:tcBorders>
              <w:top w:val="nil"/>
              <w:left w:val="nil"/>
              <w:bottom w:val="single" w:color="auto" w:sz="4" w:space="0"/>
              <w:right w:val="single" w:color="auto" w:sz="4" w:space="0"/>
            </w:tcBorders>
            <w:shd w:val="clear" w:color="auto" w:fill="auto"/>
            <w:noWrap/>
            <w:vAlign w:val="bottom"/>
            <w:hideMark/>
          </w:tcPr>
          <w:p w:rsidRPr="00F95887" w:rsidR="0045734C" w:rsidP="00F64D94" w:rsidRDefault="0045734C" w14:paraId="39405D4A"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$36.68</w:t>
            </w:r>
          </w:p>
        </w:tc>
      </w:tr>
      <w:tr w:rsidRPr="0026317C" w:rsidR="0045734C" w:rsidTr="00F64D94" w14:paraId="0C4834DC" w14:textId="77777777">
        <w:trPr>
          <w:jc w:val="center"/>
        </w:trPr>
        <w:tc>
          <w:tcPr>
            <w:tcW w:w="6369" w:type="dxa"/>
            <w:tcBorders>
              <w:top w:val="single" w:color="auto" w:sz="12" w:space="0"/>
              <w:left w:val="single" w:color="auto" w:sz="4" w:space="0"/>
              <w:bottom w:val="single" w:color="auto" w:sz="12" w:space="0"/>
              <w:right w:val="single" w:color="auto" w:sz="4" w:space="0"/>
            </w:tcBorders>
            <w:shd w:val="clear" w:color="auto" w:fill="auto"/>
            <w:vAlign w:val="center"/>
          </w:tcPr>
          <w:p w:rsidRPr="000B0C5D" w:rsidR="0045734C" w:rsidP="00F64D94" w:rsidRDefault="0045734C" w14:paraId="5AFA87E5" w14:textId="77777777">
            <w:pPr>
              <w:rPr>
                <w:rFonts w:ascii="Arial Narrow" w:hAnsi="Arial Narrow" w:eastAsia="Times New Roman" w:cs="Calibri"/>
                <w:color w:val="000000"/>
                <w:sz w:val="18"/>
                <w:szCs w:val="18"/>
              </w:rPr>
            </w:pPr>
            <w:r w:rsidRPr="000B0C5D">
              <w:rPr>
                <w:rFonts w:ascii="Arial Narrow" w:hAnsi="Arial Narrow" w:eastAsia="Times New Roman" w:cs="Calibri"/>
                <w:b/>
                <w:bCs/>
                <w:color w:val="000000"/>
                <w:sz w:val="18"/>
                <w:szCs w:val="18"/>
              </w:rPr>
              <w:t>Total</w:t>
            </w:r>
          </w:p>
        </w:tc>
        <w:tc>
          <w:tcPr>
            <w:tcW w:w="1338" w:type="dxa"/>
            <w:tcBorders>
              <w:top w:val="single" w:color="auto" w:sz="12" w:space="0"/>
              <w:left w:val="nil"/>
              <w:bottom w:val="single" w:color="auto" w:sz="12" w:space="0"/>
              <w:right w:val="single" w:color="auto" w:sz="4" w:space="0"/>
            </w:tcBorders>
            <w:shd w:val="clear" w:color="auto" w:fill="auto"/>
            <w:noWrap/>
            <w:vAlign w:val="bottom"/>
          </w:tcPr>
          <w:p w:rsidRPr="00380AD9" w:rsidR="0045734C" w:rsidP="00F64D94" w:rsidRDefault="0045734C" w14:paraId="583C4EE8" w14:textId="77777777">
            <w:pPr>
              <w:jc w:val="right"/>
              <w:rPr>
                <w:rFonts w:ascii="Arial Narrow" w:hAnsi="Arial Narrow" w:eastAsia="Times New Roman" w:cs="Calibri"/>
                <w:color w:val="000000" w:themeColor="text1"/>
                <w:sz w:val="18"/>
                <w:szCs w:val="18"/>
              </w:rPr>
            </w:pPr>
            <w:r>
              <w:rPr>
                <w:rFonts w:ascii="Arial Narrow" w:hAnsi="Arial Narrow" w:cs="Calibri"/>
                <w:b/>
                <w:bCs/>
                <w:color w:val="000000"/>
                <w:sz w:val="18"/>
                <w:szCs w:val="18"/>
              </w:rPr>
              <w:t>31.119</w:t>
            </w:r>
          </w:p>
        </w:tc>
        <w:tc>
          <w:tcPr>
            <w:tcW w:w="1653" w:type="dxa"/>
            <w:tcBorders>
              <w:top w:val="single" w:color="auto" w:sz="12" w:space="0"/>
              <w:left w:val="nil"/>
              <w:bottom w:val="single" w:color="auto" w:sz="12" w:space="0"/>
              <w:right w:val="single" w:color="auto" w:sz="4" w:space="0"/>
            </w:tcBorders>
            <w:shd w:val="clear" w:color="auto" w:fill="auto"/>
            <w:noWrap/>
            <w:vAlign w:val="bottom"/>
          </w:tcPr>
          <w:p w:rsidRPr="009A1924" w:rsidR="0045734C" w:rsidP="00F64D94" w:rsidRDefault="0045734C" w14:paraId="1CABF7A5" w14:textId="77777777">
            <w:pPr>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$2,401.37</w:t>
            </w:r>
          </w:p>
        </w:tc>
      </w:tr>
      <w:tr w:rsidRPr="0026317C" w:rsidR="0045734C" w:rsidTr="00F64D94" w14:paraId="00D0F1BD" w14:textId="77777777">
        <w:trPr>
          <w:jc w:val="center"/>
        </w:trPr>
        <w:tc>
          <w:tcPr>
            <w:tcW w:w="9360" w:type="dxa"/>
            <w:gridSpan w:val="3"/>
            <w:tcBorders>
              <w:top w:val="single" w:color="auto" w:sz="12" w:space="0"/>
              <w:left w:val="single" w:color="auto" w:sz="4" w:space="0"/>
              <w:right w:val="single" w:color="auto" w:sz="4" w:space="0"/>
            </w:tcBorders>
            <w:shd w:val="clear" w:color="auto" w:fill="auto"/>
            <w:vAlign w:val="center"/>
          </w:tcPr>
          <w:p w:rsidRPr="00874EA2" w:rsidR="0045734C" w:rsidP="00F64D94" w:rsidRDefault="0045734C" w14:paraId="49208D13" w14:textId="77777777">
            <w:pPr>
              <w:rPr>
                <w:rFonts w:ascii="Arial Narrow" w:hAnsi="Arial Narrow" w:eastAsia="Times New Roman" w:cs="Calibri"/>
                <w:bCs/>
                <w:color w:val="000000"/>
                <w:sz w:val="18"/>
                <w:szCs w:val="18"/>
              </w:rPr>
            </w:pPr>
            <w:r w:rsidRPr="00874EA2">
              <w:rPr>
                <w:rFonts w:ascii="Arial Narrow" w:hAnsi="Arial Narrow" w:eastAsia="Times New Roman" w:cs="Calibri"/>
                <w:bCs/>
                <w:color w:val="000000"/>
                <w:sz w:val="18"/>
                <w:szCs w:val="18"/>
              </w:rPr>
              <w:t>General Note:</w:t>
            </w:r>
          </w:p>
        </w:tc>
      </w:tr>
      <w:tr w:rsidRPr="0026317C" w:rsidR="0045734C" w:rsidTr="00F64D94" w14:paraId="46AC024F" w14:textId="77777777">
        <w:trPr>
          <w:jc w:val="center"/>
        </w:trPr>
        <w:tc>
          <w:tcPr>
            <w:tcW w:w="9360" w:type="dxa"/>
            <w:gridSpan w:val="3"/>
            <w:tcBorders>
              <w:left w:val="single" w:color="auto" w:sz="4" w:space="0"/>
              <w:bottom w:val="single" w:color="auto" w:sz="2" w:space="0"/>
              <w:right w:val="single" w:color="auto" w:sz="4" w:space="0"/>
            </w:tcBorders>
            <w:shd w:val="clear" w:color="auto" w:fill="auto"/>
            <w:vAlign w:val="center"/>
          </w:tcPr>
          <w:p w:rsidRPr="00874EA2" w:rsidR="0045734C" w:rsidP="0045734C" w:rsidRDefault="0045734C" w14:paraId="6AD69F59" w14:textId="39BA8083">
            <w:pPr>
              <w:pStyle w:val="ListParagraph"/>
              <w:numPr>
                <w:ilvl w:val="0"/>
                <w:numId w:val="29"/>
              </w:numPr>
              <w:ind w:left="144" w:hanging="144"/>
              <w:contextualSpacing w:val="0"/>
              <w:rPr>
                <w:rFonts w:ascii="Arial Narrow" w:hAnsi="Arial Narrow" w:eastAsia="Times New Roman" w:cs="Calibri"/>
                <w:color w:val="000000"/>
                <w:sz w:val="18"/>
                <w:szCs w:val="18"/>
              </w:rPr>
            </w:pPr>
            <w:r>
              <w:rPr>
                <w:rFonts w:ascii="Arial Narrow" w:hAnsi="Arial Narrow" w:eastAsia="Times New Roman" w:cs="Calibri"/>
                <w:color w:val="000000"/>
                <w:sz w:val="18"/>
                <w:szCs w:val="18"/>
              </w:rPr>
              <w:t xml:space="preserve">Estimates of incremental until </w:t>
            </w:r>
            <w:r w:rsidRPr="00DA78C8">
              <w:rPr>
                <w:rFonts w:ascii="Arial Narrow" w:hAnsi="Arial Narrow" w:eastAsia="Times New Roman" w:cs="Calibri"/>
                <w:color w:val="000000"/>
                <w:sz w:val="18"/>
                <w:szCs w:val="18"/>
              </w:rPr>
              <w:t>burden in</w:t>
            </w:r>
            <w:r w:rsidRPr="00DA78C8" w:rsidR="00DA78C8">
              <w:rPr>
                <w:rFonts w:ascii="Arial Narrow" w:hAnsi="Arial Narrow" w:eastAsia="Times New Roman" w:cs="Calibri"/>
                <w:color w:val="000000"/>
                <w:sz w:val="18"/>
                <w:szCs w:val="18"/>
              </w:rPr>
              <w:t xml:space="preserve"> </w:t>
            </w:r>
            <w:r w:rsidRPr="00DA78C8" w:rsidR="00DA78C8">
              <w:rPr>
                <w:rFonts w:ascii="Arial Narrow" w:hAnsi="Arial Narrow" w:eastAsia="Times New Roman" w:cs="Calibri"/>
                <w:color w:val="000000"/>
                <w:sz w:val="18"/>
                <w:szCs w:val="18"/>
              </w:rPr>
              <w:fldChar w:fldCharType="begin"/>
            </w:r>
            <w:r w:rsidRPr="00DA78C8" w:rsidR="00DA78C8">
              <w:rPr>
                <w:rFonts w:ascii="Arial Narrow" w:hAnsi="Arial Narrow" w:eastAsia="Times New Roman" w:cs="Calibri"/>
                <w:color w:val="000000"/>
                <w:sz w:val="18"/>
                <w:szCs w:val="18"/>
              </w:rPr>
              <w:instrText xml:space="preserve"> REF _Ref33190998 \h  \* MERGEFORMAT </w:instrText>
            </w:r>
            <w:r w:rsidRPr="00DA78C8" w:rsidR="00DA78C8">
              <w:rPr>
                <w:rFonts w:ascii="Arial Narrow" w:hAnsi="Arial Narrow" w:eastAsia="Times New Roman" w:cs="Calibri"/>
                <w:color w:val="000000"/>
                <w:sz w:val="18"/>
                <w:szCs w:val="18"/>
              </w:rPr>
            </w:r>
            <w:r w:rsidRPr="00DA78C8" w:rsidR="00DA78C8">
              <w:rPr>
                <w:rFonts w:ascii="Arial Narrow" w:hAnsi="Arial Narrow" w:eastAsia="Times New Roman" w:cs="Calibri"/>
                <w:color w:val="000000"/>
                <w:sz w:val="18"/>
                <w:szCs w:val="18"/>
              </w:rPr>
              <w:fldChar w:fldCharType="separate"/>
            </w:r>
            <w:r w:rsidRPr="00B77137" w:rsidR="00B77137">
              <w:rPr>
                <w:rFonts w:ascii="Arial Narrow" w:hAnsi="Arial Narrow"/>
                <w:sz w:val="18"/>
                <w:szCs w:val="18"/>
              </w:rPr>
              <w:t xml:space="preserve">Table </w:t>
            </w:r>
            <w:r w:rsidRPr="00B77137" w:rsidR="00B77137">
              <w:rPr>
                <w:rFonts w:ascii="Arial Narrow" w:hAnsi="Arial Narrow"/>
                <w:noProof/>
                <w:sz w:val="18"/>
                <w:szCs w:val="18"/>
              </w:rPr>
              <w:t>3</w:t>
            </w:r>
            <w:r w:rsidRPr="00DA78C8" w:rsidR="00DA78C8">
              <w:rPr>
                <w:rFonts w:ascii="Arial Narrow" w:hAnsi="Arial Narrow" w:eastAsia="Times New Roman" w:cs="Calibri"/>
                <w:color w:val="000000"/>
                <w:sz w:val="18"/>
                <w:szCs w:val="18"/>
              </w:rPr>
              <w:fldChar w:fldCharType="end"/>
            </w:r>
            <w:r w:rsidRPr="00DA78C8">
              <w:rPr>
                <w:rFonts w:ascii="Arial Narrow" w:hAnsi="Arial Narrow" w:eastAsia="Times New Roman" w:cs="Calibri"/>
                <w:color w:val="000000"/>
                <w:sz w:val="18"/>
                <w:szCs w:val="18"/>
              </w:rPr>
              <w:t xml:space="preserve">, </w:t>
            </w:r>
            <w:r w:rsidRPr="00DA78C8" w:rsidR="00DA78C8">
              <w:rPr>
                <w:rFonts w:ascii="Arial Narrow" w:hAnsi="Arial Narrow" w:eastAsia="Times New Roman" w:cs="Calibri"/>
                <w:color w:val="000000"/>
                <w:sz w:val="18"/>
                <w:szCs w:val="18"/>
              </w:rPr>
              <w:fldChar w:fldCharType="begin"/>
            </w:r>
            <w:r w:rsidRPr="00DA78C8" w:rsidR="00DA78C8">
              <w:rPr>
                <w:rFonts w:ascii="Arial Narrow" w:hAnsi="Arial Narrow" w:eastAsia="Times New Roman" w:cs="Calibri"/>
                <w:color w:val="000000"/>
                <w:sz w:val="18"/>
                <w:szCs w:val="18"/>
              </w:rPr>
              <w:instrText xml:space="preserve"> REF _Ref33191021 \h  \* MERGEFORMAT </w:instrText>
            </w:r>
            <w:r w:rsidRPr="00DA78C8" w:rsidR="00DA78C8">
              <w:rPr>
                <w:rFonts w:ascii="Arial Narrow" w:hAnsi="Arial Narrow" w:eastAsia="Times New Roman" w:cs="Calibri"/>
                <w:color w:val="000000"/>
                <w:sz w:val="18"/>
                <w:szCs w:val="18"/>
              </w:rPr>
            </w:r>
            <w:r w:rsidRPr="00DA78C8" w:rsidR="00DA78C8">
              <w:rPr>
                <w:rFonts w:ascii="Arial Narrow" w:hAnsi="Arial Narrow" w:eastAsia="Times New Roman" w:cs="Calibri"/>
                <w:color w:val="000000"/>
                <w:sz w:val="18"/>
                <w:szCs w:val="18"/>
              </w:rPr>
              <w:fldChar w:fldCharType="separate"/>
            </w:r>
            <w:r w:rsidRPr="00B77137" w:rsidR="00B77137">
              <w:rPr>
                <w:rFonts w:ascii="Arial Narrow" w:hAnsi="Arial Narrow"/>
                <w:sz w:val="18"/>
                <w:szCs w:val="18"/>
              </w:rPr>
              <w:t xml:space="preserve">Table </w:t>
            </w:r>
            <w:r w:rsidRPr="00B77137" w:rsidR="00B77137">
              <w:rPr>
                <w:rFonts w:ascii="Arial Narrow" w:hAnsi="Arial Narrow"/>
                <w:noProof/>
                <w:sz w:val="18"/>
                <w:szCs w:val="18"/>
              </w:rPr>
              <w:t>4</w:t>
            </w:r>
            <w:r w:rsidRPr="00DA78C8" w:rsidR="00DA78C8">
              <w:rPr>
                <w:rFonts w:ascii="Arial Narrow" w:hAnsi="Arial Narrow" w:eastAsia="Times New Roman" w:cs="Calibri"/>
                <w:color w:val="000000"/>
                <w:sz w:val="18"/>
                <w:szCs w:val="18"/>
              </w:rPr>
              <w:fldChar w:fldCharType="end"/>
            </w:r>
            <w:r w:rsidRPr="00DA78C8">
              <w:rPr>
                <w:rFonts w:ascii="Arial Narrow" w:hAnsi="Arial Narrow" w:eastAsia="Times New Roman" w:cs="Calibri"/>
                <w:color w:val="000000"/>
                <w:sz w:val="18"/>
                <w:szCs w:val="18"/>
              </w:rPr>
              <w:t xml:space="preserve">, and </w:t>
            </w:r>
            <w:r w:rsidRPr="00DA78C8" w:rsidR="00DA78C8">
              <w:rPr>
                <w:rFonts w:ascii="Arial Narrow" w:hAnsi="Arial Narrow" w:eastAsia="Times New Roman" w:cs="Calibri"/>
                <w:color w:val="000000"/>
                <w:sz w:val="18"/>
                <w:szCs w:val="18"/>
              </w:rPr>
              <w:fldChar w:fldCharType="begin"/>
            </w:r>
            <w:r w:rsidRPr="00DA78C8" w:rsidR="00DA78C8">
              <w:rPr>
                <w:rFonts w:ascii="Arial Narrow" w:hAnsi="Arial Narrow" w:eastAsia="Times New Roman" w:cs="Calibri"/>
                <w:color w:val="000000"/>
                <w:sz w:val="18"/>
                <w:szCs w:val="18"/>
              </w:rPr>
              <w:instrText xml:space="preserve"> REF _Ref33191040 \h  \* MERGEFORMAT </w:instrText>
            </w:r>
            <w:r w:rsidRPr="00DA78C8" w:rsidR="00DA78C8">
              <w:rPr>
                <w:rFonts w:ascii="Arial Narrow" w:hAnsi="Arial Narrow" w:eastAsia="Times New Roman" w:cs="Calibri"/>
                <w:color w:val="000000"/>
                <w:sz w:val="18"/>
                <w:szCs w:val="18"/>
              </w:rPr>
            </w:r>
            <w:r w:rsidRPr="00DA78C8" w:rsidR="00DA78C8">
              <w:rPr>
                <w:rFonts w:ascii="Arial Narrow" w:hAnsi="Arial Narrow" w:eastAsia="Times New Roman" w:cs="Calibri"/>
                <w:color w:val="000000"/>
                <w:sz w:val="18"/>
                <w:szCs w:val="18"/>
              </w:rPr>
              <w:fldChar w:fldCharType="separate"/>
            </w:r>
            <w:r w:rsidRPr="00B77137" w:rsidR="00B77137">
              <w:rPr>
                <w:rFonts w:ascii="Arial Narrow" w:hAnsi="Arial Narrow"/>
                <w:sz w:val="18"/>
                <w:szCs w:val="18"/>
              </w:rPr>
              <w:t xml:space="preserve">Table </w:t>
            </w:r>
            <w:r w:rsidRPr="00B77137" w:rsidR="00B77137">
              <w:rPr>
                <w:rFonts w:ascii="Arial Narrow" w:hAnsi="Arial Narrow"/>
                <w:noProof/>
                <w:sz w:val="18"/>
                <w:szCs w:val="18"/>
              </w:rPr>
              <w:t>5</w:t>
            </w:r>
            <w:r w:rsidRPr="00DA78C8" w:rsidR="00DA78C8">
              <w:rPr>
                <w:rFonts w:ascii="Arial Narrow" w:hAnsi="Arial Narrow" w:eastAsia="Times New Roman" w:cs="Calibri"/>
                <w:color w:val="000000"/>
                <w:sz w:val="18"/>
                <w:szCs w:val="18"/>
              </w:rPr>
              <w:fldChar w:fldCharType="end"/>
            </w:r>
            <w:r w:rsidRPr="00DA78C8" w:rsidR="00DA78C8">
              <w:rPr>
                <w:rFonts w:ascii="Arial Narrow" w:hAnsi="Arial Narrow" w:eastAsia="Times New Roman" w:cs="Calibri"/>
                <w:color w:val="000000"/>
                <w:sz w:val="18"/>
                <w:szCs w:val="18"/>
              </w:rPr>
              <w:t xml:space="preserve"> </w:t>
            </w:r>
            <w:r w:rsidRPr="00DA78C8">
              <w:rPr>
                <w:rFonts w:ascii="Arial Narrow" w:hAnsi="Arial Narrow" w:eastAsia="Times New Roman" w:cs="Calibri"/>
                <w:color w:val="000000"/>
                <w:sz w:val="18"/>
                <w:szCs w:val="18"/>
              </w:rPr>
              <w:t>differ slightly from results that would be obtained using information in the EA (EPA, 2019) due to rounding.</w:t>
            </w:r>
          </w:p>
        </w:tc>
      </w:tr>
    </w:tbl>
    <w:p w:rsidRPr="0045734C" w:rsidR="0045734C" w:rsidP="0045734C" w:rsidRDefault="0045734C" w14:paraId="4FE0DC46" w14:textId="77777777">
      <w:pPr>
        <w:pStyle w:val="NoSpacing"/>
      </w:pPr>
    </w:p>
    <w:p w:rsidR="0045734C" w:rsidP="002210E9" w:rsidRDefault="0045734C" w14:paraId="767FD80E" w14:textId="23D2B677">
      <w:pPr>
        <w:pStyle w:val="Heading2"/>
        <w:ind w:firstLine="720"/>
      </w:pPr>
      <w:bookmarkStart w:name="_Toc34984674" w:id="63"/>
      <w:r>
        <w:t xml:space="preserve">5.(c). </w:t>
      </w:r>
      <w:r w:rsidR="00F53645">
        <w:tab/>
      </w:r>
      <w:r>
        <w:t>Respondent Universe, Total, and Bottom Line Burden Hours and Costs</w:t>
      </w:r>
      <w:bookmarkEnd w:id="63"/>
    </w:p>
    <w:p w:rsidRPr="004909CD" w:rsidR="00BA4529" w:rsidP="002210E9" w:rsidRDefault="00BA4529" w14:paraId="7EDF2E05" w14:textId="1687AB20">
      <w:pPr>
        <w:pStyle w:val="Heading2"/>
        <w:ind w:firstLine="720"/>
      </w:pPr>
      <w:bookmarkStart w:name="_Toc34984675" w:id="64"/>
      <w:r w:rsidRPr="004909CD">
        <w:t>5(</w:t>
      </w:r>
      <w:r>
        <w:t>c</w:t>
      </w:r>
      <w:r w:rsidRPr="004909CD">
        <w:t>)(</w:t>
      </w:r>
      <w:proofErr w:type="spellStart"/>
      <w:r w:rsidRPr="004909CD">
        <w:t>i</w:t>
      </w:r>
      <w:proofErr w:type="spellEnd"/>
      <w:r w:rsidRPr="004909CD">
        <w:t>)</w:t>
      </w:r>
      <w:r w:rsidR="00F53645">
        <w:t>.</w:t>
      </w:r>
      <w:r w:rsidR="007941B9">
        <w:tab/>
      </w:r>
      <w:r>
        <w:t>IC#1 CDR Reporting</w:t>
      </w:r>
      <w:bookmarkEnd w:id="64"/>
    </w:p>
    <w:bookmarkStart w:name="_Hlk523225754" w:id="65"/>
    <w:p w:rsidR="00967CD5" w:rsidP="00E96905" w:rsidRDefault="00DA78C8" w14:paraId="46346AF5" w14:textId="7885B78E">
      <w:pPr>
        <w:rPr>
          <w:b/>
        </w:rPr>
      </w:pPr>
      <w:r>
        <w:fldChar w:fldCharType="begin"/>
      </w:r>
      <w:r>
        <w:instrText xml:space="preserve"> REF _Ref33191072 \h </w:instrText>
      </w:r>
      <w:r>
        <w:fldChar w:fldCharType="separate"/>
      </w:r>
      <w:r w:rsidRPr="003173DB" w:rsidR="005B1BB5">
        <w:rPr>
          <w:szCs w:val="24"/>
        </w:rPr>
        <w:t xml:space="preserve">Table </w:t>
      </w:r>
      <w:r w:rsidR="005B1BB5">
        <w:rPr>
          <w:noProof/>
          <w:szCs w:val="24"/>
        </w:rPr>
        <w:t>6</w:t>
      </w:r>
      <w:r>
        <w:fldChar w:fldCharType="end"/>
      </w:r>
      <w:r>
        <w:t xml:space="preserve"> </w:t>
      </w:r>
      <w:r w:rsidR="00967CD5">
        <w:t xml:space="preserve">presents the change in numbers of </w:t>
      </w:r>
      <w:r w:rsidRPr="008A7FB7" w:rsidR="00967CD5">
        <w:t>sites</w:t>
      </w:r>
      <w:r w:rsidR="00967CD5">
        <w:t xml:space="preserve"> and chemical </w:t>
      </w:r>
      <w:r w:rsidRPr="008A7FB7" w:rsidR="00967CD5">
        <w:t xml:space="preserve">reports </w:t>
      </w:r>
      <w:r w:rsidR="00967CD5">
        <w:t xml:space="preserve">due to the rule </w:t>
      </w:r>
      <w:r w:rsidRPr="00A8169C" w:rsidR="00967CD5">
        <w:t xml:space="preserve">(EPA, </w:t>
      </w:r>
      <w:r w:rsidR="00967CD5">
        <w:t>2019</w:t>
      </w:r>
      <w:r w:rsidRPr="000F6E04" w:rsidR="00967CD5">
        <w:t>).</w:t>
      </w:r>
      <w:r w:rsidR="00967CD5">
        <w:t xml:space="preserve"> </w:t>
      </w:r>
      <w:r w:rsidRPr="009132EA" w:rsidR="00967CD5">
        <w:t>Note that</w:t>
      </w:r>
      <w:r w:rsidR="00967CD5">
        <w:t xml:space="preserve"> in the following calculation,</w:t>
      </w:r>
      <w:r w:rsidRPr="009132EA" w:rsidR="00967CD5">
        <w:t xml:space="preserve"> all sites in the baseline are also additionally affected by the revisions to CDR </w:t>
      </w:r>
      <w:r w:rsidR="00967CD5">
        <w:t xml:space="preserve">reporting requirements </w:t>
      </w:r>
      <w:r w:rsidRPr="009132EA" w:rsidR="00967CD5">
        <w:t xml:space="preserve">and some combination of incremental rule familiarization and compliance determination for the rule. </w:t>
      </w:r>
      <w:bookmarkEnd w:id="65"/>
    </w:p>
    <w:p w:rsidRPr="003173DB" w:rsidR="00967CD5" w:rsidP="00967CD5" w:rsidRDefault="00967CD5" w14:paraId="63F81730" w14:textId="77777777">
      <w:pPr>
        <w:rPr>
          <w:szCs w:val="24"/>
        </w:rPr>
      </w:pPr>
      <w:bookmarkStart w:name="_Ref524345693" w:id="66"/>
    </w:p>
    <w:tbl>
      <w:tblPr>
        <w:tblW w:w="5000" w:type="pct"/>
        <w:jc w:val="center"/>
        <w:tblLayout w:type="fixed"/>
        <w:tblLook w:val="04A0" w:firstRow="1" w:lastRow="0" w:firstColumn="1" w:lastColumn="0" w:noHBand="0" w:noVBand="1"/>
      </w:tblPr>
      <w:tblGrid>
        <w:gridCol w:w="256"/>
        <w:gridCol w:w="5528"/>
        <w:gridCol w:w="1431"/>
        <w:gridCol w:w="1431"/>
        <w:gridCol w:w="1434"/>
      </w:tblGrid>
      <w:tr w:rsidRPr="003173DB" w:rsidR="003173DB" w:rsidTr="00F64D94" w14:paraId="3CA0CE20" w14:textId="77777777">
        <w:trPr>
          <w:tblHeader/>
          <w:jc w:val="center"/>
        </w:trPr>
        <w:tc>
          <w:tcPr>
            <w:tcW w:w="9360" w:type="dxa"/>
            <w:gridSpan w:val="5"/>
            <w:tcBorders>
              <w:top w:val="nil"/>
              <w:left w:val="nil"/>
              <w:bottom w:val="single" w:color="auto" w:sz="4" w:space="0"/>
              <w:right w:val="nil"/>
            </w:tcBorders>
            <w:shd w:val="clear" w:color="auto" w:fill="auto"/>
            <w:vAlign w:val="bottom"/>
            <w:hideMark/>
          </w:tcPr>
          <w:p w:rsidRPr="003173DB" w:rsidR="00967CD5" w:rsidP="00F64D94" w:rsidRDefault="00967CD5" w14:paraId="3F9E72A4" w14:textId="38EA1A4A">
            <w:pPr>
              <w:pStyle w:val="Caption"/>
              <w:rPr>
                <w:szCs w:val="24"/>
              </w:rPr>
            </w:pPr>
            <w:bookmarkStart w:name="_Ref33191072" w:id="67"/>
            <w:bookmarkStart w:name="_Ref526353750" w:id="68"/>
            <w:bookmarkStart w:name="_Ref525022725" w:id="69"/>
            <w:bookmarkStart w:name="_Toc34230800" w:id="70"/>
            <w:r w:rsidRPr="003173DB">
              <w:rPr>
                <w:szCs w:val="24"/>
              </w:rPr>
              <w:lastRenderedPageBreak/>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6</w:t>
            </w:r>
            <w:r w:rsidR="00F574F4">
              <w:rPr>
                <w:szCs w:val="24"/>
              </w:rPr>
              <w:fldChar w:fldCharType="end"/>
            </w:r>
            <w:bookmarkEnd w:id="66"/>
            <w:bookmarkEnd w:id="67"/>
            <w:bookmarkEnd w:id="68"/>
            <w:bookmarkEnd w:id="69"/>
            <w:r w:rsidRPr="003173DB">
              <w:rPr>
                <w:szCs w:val="24"/>
              </w:rPr>
              <w:t>: Change in Sites and Chemical Reports</w:t>
            </w:r>
            <w:bookmarkEnd w:id="70"/>
            <w:r w:rsidRPr="003173DB">
              <w:rPr>
                <w:szCs w:val="24"/>
              </w:rPr>
              <w:t xml:space="preserve"> </w:t>
            </w:r>
          </w:p>
        </w:tc>
      </w:tr>
      <w:tr w:rsidRPr="0026317C" w:rsidR="00967CD5" w:rsidTr="00F64D94" w14:paraId="22B36F14" w14:textId="77777777">
        <w:trPr>
          <w:tblHeader/>
          <w:jc w:val="center"/>
        </w:trPr>
        <w:tc>
          <w:tcPr>
            <w:tcW w:w="5370" w:type="dxa"/>
            <w:gridSpan w:val="2"/>
            <w:tcBorders>
              <w:top w:val="nil"/>
              <w:left w:val="single" w:color="auto" w:sz="4" w:space="0"/>
              <w:bottom w:val="single" w:color="auto" w:sz="4" w:space="0"/>
              <w:right w:val="single" w:color="auto" w:sz="4" w:space="0"/>
            </w:tcBorders>
            <w:shd w:val="clear" w:color="auto" w:fill="BFBFBF" w:themeFill="background1" w:themeFillShade="BF"/>
            <w:noWrap/>
            <w:vAlign w:val="bottom"/>
            <w:hideMark/>
          </w:tcPr>
          <w:p w:rsidRPr="00885DF8" w:rsidR="00967CD5" w:rsidP="00F64D94" w:rsidRDefault="00967CD5" w14:paraId="00108595" w14:textId="77777777">
            <w:pPr>
              <w:jc w:val="center"/>
              <w:rPr>
                <w:rFonts w:ascii="Arial Narrow" w:hAnsi="Arial Narrow" w:eastAsia="Times New Roman" w:cs="Calibri"/>
                <w:b/>
                <w:bCs/>
                <w:color w:val="000000"/>
                <w:sz w:val="18"/>
                <w:szCs w:val="18"/>
              </w:rPr>
            </w:pPr>
            <w:r w:rsidRPr="00885DF8">
              <w:rPr>
                <w:rFonts w:ascii="Arial Narrow" w:hAnsi="Arial Narrow" w:eastAsia="Times New Roman" w:cs="Calibri"/>
                <w:b/>
                <w:bCs/>
                <w:color w:val="000000"/>
                <w:sz w:val="18"/>
                <w:szCs w:val="18"/>
              </w:rPr>
              <w:t>Regulatory Provision Description</w:t>
            </w:r>
          </w:p>
        </w:tc>
        <w:tc>
          <w:tcPr>
            <w:tcW w:w="1329" w:type="dxa"/>
            <w:tcBorders>
              <w:top w:val="nil"/>
              <w:left w:val="nil"/>
              <w:bottom w:val="single" w:color="auto" w:sz="4" w:space="0"/>
              <w:right w:val="single" w:color="auto" w:sz="4" w:space="0"/>
            </w:tcBorders>
            <w:shd w:val="clear" w:color="auto" w:fill="BFBFBF" w:themeFill="background1" w:themeFillShade="BF"/>
            <w:vAlign w:val="bottom"/>
            <w:hideMark/>
          </w:tcPr>
          <w:p w:rsidRPr="00885DF8" w:rsidR="00967CD5" w:rsidP="00F64D94" w:rsidRDefault="00967CD5" w14:paraId="14E16472" w14:textId="77777777">
            <w:pPr>
              <w:jc w:val="center"/>
              <w:rPr>
                <w:rFonts w:ascii="Arial Narrow" w:hAnsi="Arial Narrow" w:eastAsia="Times New Roman" w:cs="Calibri"/>
                <w:b/>
                <w:bCs/>
                <w:color w:val="000000"/>
                <w:sz w:val="18"/>
                <w:szCs w:val="18"/>
              </w:rPr>
            </w:pPr>
            <w:r w:rsidRPr="00885DF8">
              <w:rPr>
                <w:rFonts w:ascii="Arial Narrow" w:hAnsi="Arial Narrow" w:eastAsia="Times New Roman" w:cs="Calibri"/>
                <w:b/>
                <w:bCs/>
                <w:color w:val="000000"/>
                <w:sz w:val="18"/>
                <w:szCs w:val="18"/>
              </w:rPr>
              <w:t>Change in Number of Sites</w:t>
            </w:r>
          </w:p>
        </w:tc>
        <w:tc>
          <w:tcPr>
            <w:tcW w:w="1329" w:type="dxa"/>
            <w:tcBorders>
              <w:top w:val="nil"/>
              <w:left w:val="nil"/>
              <w:bottom w:val="single" w:color="auto" w:sz="4" w:space="0"/>
              <w:right w:val="single" w:color="auto" w:sz="4" w:space="0"/>
            </w:tcBorders>
            <w:shd w:val="clear" w:color="auto" w:fill="BFBFBF" w:themeFill="background1" w:themeFillShade="BF"/>
            <w:vAlign w:val="bottom"/>
            <w:hideMark/>
          </w:tcPr>
          <w:p w:rsidRPr="00885DF8" w:rsidR="00967CD5" w:rsidP="00F64D94" w:rsidRDefault="00967CD5" w14:paraId="25D72F8D" w14:textId="77777777">
            <w:pPr>
              <w:jc w:val="center"/>
              <w:rPr>
                <w:rFonts w:ascii="Arial Narrow" w:hAnsi="Arial Narrow" w:eastAsia="Times New Roman" w:cs="Calibri"/>
                <w:b/>
                <w:bCs/>
                <w:color w:val="000000"/>
                <w:sz w:val="18"/>
                <w:szCs w:val="18"/>
              </w:rPr>
            </w:pPr>
            <w:r w:rsidRPr="00885DF8">
              <w:rPr>
                <w:rFonts w:ascii="Arial Narrow" w:hAnsi="Arial Narrow" w:eastAsia="Times New Roman" w:cs="Calibri"/>
                <w:b/>
                <w:bCs/>
                <w:color w:val="000000"/>
                <w:sz w:val="18"/>
                <w:szCs w:val="18"/>
              </w:rPr>
              <w:t>Change in Number of Chemical Reports</w:t>
            </w:r>
          </w:p>
        </w:tc>
        <w:tc>
          <w:tcPr>
            <w:tcW w:w="1332" w:type="dxa"/>
            <w:tcBorders>
              <w:top w:val="nil"/>
              <w:left w:val="nil"/>
              <w:bottom w:val="single" w:color="auto" w:sz="4" w:space="0"/>
              <w:right w:val="single" w:color="auto" w:sz="4" w:space="0"/>
            </w:tcBorders>
            <w:shd w:val="clear" w:color="auto" w:fill="BFBFBF" w:themeFill="background1" w:themeFillShade="BF"/>
            <w:vAlign w:val="bottom"/>
            <w:hideMark/>
          </w:tcPr>
          <w:p w:rsidRPr="00885DF8" w:rsidR="00967CD5" w:rsidP="00F64D94" w:rsidRDefault="00967CD5" w14:paraId="4B47F5F4" w14:textId="77777777">
            <w:pPr>
              <w:jc w:val="center"/>
              <w:rPr>
                <w:rFonts w:ascii="Arial Narrow" w:hAnsi="Arial Narrow" w:eastAsia="Times New Roman" w:cs="Calibri"/>
                <w:b/>
                <w:bCs/>
                <w:color w:val="000000"/>
                <w:sz w:val="18"/>
                <w:szCs w:val="18"/>
              </w:rPr>
            </w:pPr>
            <w:r w:rsidRPr="00885DF8">
              <w:rPr>
                <w:rFonts w:ascii="Arial Narrow" w:hAnsi="Arial Narrow" w:eastAsia="Times New Roman" w:cs="Calibri"/>
                <w:b/>
                <w:bCs/>
                <w:color w:val="000000"/>
                <w:sz w:val="18"/>
                <w:szCs w:val="18"/>
              </w:rPr>
              <w:t>Change in Number of Full Chemical Reports</w:t>
            </w:r>
            <w:r w:rsidRPr="00885DF8">
              <w:rPr>
                <w:rFonts w:ascii="Arial Narrow" w:hAnsi="Arial Narrow" w:eastAsia="Times New Roman" w:cs="Calibri"/>
                <w:b/>
                <w:bCs/>
                <w:color w:val="000000"/>
                <w:sz w:val="18"/>
                <w:szCs w:val="18"/>
                <w:vertAlign w:val="superscript"/>
              </w:rPr>
              <w:t>1</w:t>
            </w:r>
          </w:p>
        </w:tc>
      </w:tr>
      <w:tr w:rsidRPr="0026317C" w:rsidR="00967CD5" w:rsidTr="00F64D94" w14:paraId="1C2B5563" w14:textId="77777777">
        <w:trPr>
          <w:jc w:val="center"/>
        </w:trPr>
        <w:tc>
          <w:tcPr>
            <w:tcW w:w="53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9A1924" w:rsidR="00967CD5" w:rsidP="00F64D94" w:rsidRDefault="00967CD5" w14:paraId="58B91926" w14:textId="77777777">
            <w:pPr>
              <w:rPr>
                <w:rFonts w:ascii="Arial Narrow" w:hAnsi="Arial Narrow" w:eastAsia="Times New Roman" w:cs="Calibri"/>
                <w:color w:val="000000"/>
                <w:sz w:val="18"/>
                <w:szCs w:val="18"/>
                <w:highlight w:val="lightGray"/>
              </w:rPr>
            </w:pPr>
            <w:r w:rsidRPr="00821559">
              <w:rPr>
                <w:rFonts w:ascii="Arial Narrow" w:hAnsi="Arial Narrow" w:eastAsia="Times New Roman" w:cs="Calibri"/>
                <w:color w:val="000000"/>
                <w:sz w:val="18"/>
                <w:szCs w:val="18"/>
              </w:rPr>
              <w:t>CDR Revisions</w:t>
            </w:r>
            <w:r w:rsidRPr="00821559">
              <w:rPr>
                <w:rFonts w:ascii="Arial Narrow" w:hAnsi="Arial Narrow" w:eastAsia="Times New Roman" w:cs="Calibri"/>
                <w:color w:val="000000"/>
                <w:sz w:val="18"/>
                <w:szCs w:val="18"/>
                <w:vertAlign w:val="superscript"/>
              </w:rPr>
              <w:t>2</w:t>
            </w:r>
          </w:p>
        </w:tc>
        <w:tc>
          <w:tcPr>
            <w:tcW w:w="1329" w:type="dxa"/>
            <w:tcBorders>
              <w:top w:val="nil"/>
              <w:left w:val="nil"/>
              <w:bottom w:val="single" w:color="auto" w:sz="4" w:space="0"/>
              <w:right w:val="single" w:color="auto" w:sz="4" w:space="0"/>
            </w:tcBorders>
            <w:shd w:val="clear" w:color="auto" w:fill="auto"/>
            <w:noWrap/>
            <w:vAlign w:val="bottom"/>
            <w:hideMark/>
          </w:tcPr>
          <w:p w:rsidRPr="009A1924" w:rsidR="00967CD5" w:rsidP="00F64D94" w:rsidRDefault="00967CD5" w14:paraId="50069A33" w14:textId="77777777">
            <w:pPr>
              <w:jc w:val="right"/>
              <w:rPr>
                <w:rFonts w:ascii="Arial Narrow" w:hAnsi="Arial Narrow" w:eastAsia="Times New Roman" w:cs="Calibri"/>
                <w:color w:val="000000" w:themeColor="text1"/>
                <w:sz w:val="18"/>
                <w:szCs w:val="18"/>
                <w:highlight w:val="lightGray"/>
              </w:rPr>
            </w:pPr>
            <w:r>
              <w:rPr>
                <w:rFonts w:ascii="Arial Narrow" w:hAnsi="Arial Narrow" w:cs="Calibri"/>
                <w:color w:val="000000"/>
                <w:sz w:val="18"/>
                <w:szCs w:val="18"/>
              </w:rPr>
              <w:t>-70</w:t>
            </w:r>
          </w:p>
        </w:tc>
        <w:tc>
          <w:tcPr>
            <w:tcW w:w="1329" w:type="dxa"/>
            <w:tcBorders>
              <w:top w:val="nil"/>
              <w:left w:val="nil"/>
              <w:bottom w:val="single" w:color="auto" w:sz="4" w:space="0"/>
              <w:right w:val="single" w:color="auto" w:sz="4" w:space="0"/>
            </w:tcBorders>
            <w:shd w:val="clear" w:color="auto" w:fill="auto"/>
            <w:noWrap/>
            <w:vAlign w:val="bottom"/>
            <w:hideMark/>
          </w:tcPr>
          <w:p w:rsidRPr="009A1924" w:rsidR="00967CD5" w:rsidP="00F64D94" w:rsidRDefault="00967CD5" w14:paraId="285676BD" w14:textId="77777777">
            <w:pPr>
              <w:jc w:val="right"/>
              <w:rPr>
                <w:rFonts w:ascii="Arial Narrow" w:hAnsi="Arial Narrow" w:eastAsia="Times New Roman" w:cs="Calibri"/>
                <w:color w:val="000000" w:themeColor="text1"/>
                <w:sz w:val="18"/>
                <w:szCs w:val="18"/>
                <w:highlight w:val="lightGray"/>
              </w:rPr>
            </w:pPr>
            <w:r>
              <w:rPr>
                <w:rFonts w:ascii="Arial Narrow" w:hAnsi="Arial Narrow" w:cs="Calibri"/>
                <w:color w:val="000000"/>
                <w:sz w:val="18"/>
                <w:szCs w:val="18"/>
              </w:rPr>
              <w:t>-925</w:t>
            </w:r>
          </w:p>
        </w:tc>
        <w:tc>
          <w:tcPr>
            <w:tcW w:w="1332" w:type="dxa"/>
            <w:tcBorders>
              <w:top w:val="nil"/>
              <w:left w:val="nil"/>
              <w:bottom w:val="single" w:color="auto" w:sz="4" w:space="0"/>
              <w:right w:val="single" w:color="auto" w:sz="4" w:space="0"/>
            </w:tcBorders>
            <w:shd w:val="clear" w:color="auto" w:fill="auto"/>
            <w:noWrap/>
            <w:vAlign w:val="bottom"/>
            <w:hideMark/>
          </w:tcPr>
          <w:p w:rsidRPr="009A1924" w:rsidR="00967CD5" w:rsidP="00F64D94" w:rsidRDefault="00967CD5" w14:paraId="1815ECD5" w14:textId="77777777">
            <w:pPr>
              <w:jc w:val="right"/>
              <w:rPr>
                <w:rFonts w:ascii="Arial Narrow" w:hAnsi="Arial Narrow" w:eastAsia="Times New Roman" w:cs="Calibri"/>
                <w:color w:val="000000" w:themeColor="text1"/>
                <w:sz w:val="18"/>
                <w:szCs w:val="18"/>
                <w:highlight w:val="lightGray"/>
              </w:rPr>
            </w:pPr>
            <w:r>
              <w:rPr>
                <w:rFonts w:ascii="Arial Narrow" w:hAnsi="Arial Narrow" w:cs="Calibri"/>
                <w:color w:val="000000"/>
                <w:sz w:val="18"/>
                <w:szCs w:val="18"/>
              </w:rPr>
              <w:t>-849</w:t>
            </w:r>
          </w:p>
        </w:tc>
      </w:tr>
      <w:tr w:rsidRPr="0026317C" w:rsidR="00967CD5" w:rsidTr="00F64D94" w14:paraId="14435FCF" w14:textId="77777777">
        <w:trPr>
          <w:jc w:val="center"/>
        </w:trPr>
        <w:tc>
          <w:tcPr>
            <w:tcW w:w="9360" w:type="dxa"/>
            <w:gridSpan w:val="5"/>
            <w:tcBorders>
              <w:top w:val="single" w:color="auto" w:sz="4" w:space="0"/>
              <w:left w:val="single" w:color="auto" w:sz="4" w:space="0"/>
              <w:bottom w:val="nil"/>
              <w:right w:val="single" w:color="000000" w:themeColor="text1" w:sz="4" w:space="0"/>
            </w:tcBorders>
            <w:shd w:val="clear" w:color="auto" w:fill="auto"/>
            <w:noWrap/>
            <w:vAlign w:val="center"/>
            <w:hideMark/>
          </w:tcPr>
          <w:p w:rsidRPr="00885DF8" w:rsidR="00967CD5" w:rsidP="00F64D94" w:rsidRDefault="00967CD5" w14:paraId="45777EAC" w14:textId="77777777">
            <w:pPr>
              <w:rPr>
                <w:rFonts w:ascii="Arial Narrow" w:hAnsi="Arial Narrow" w:eastAsia="Times New Roman" w:cs="Calibri"/>
                <w:color w:val="000000"/>
                <w:sz w:val="18"/>
                <w:szCs w:val="18"/>
              </w:rPr>
            </w:pPr>
            <w:r w:rsidRPr="00885DF8">
              <w:rPr>
                <w:rFonts w:ascii="Arial Narrow" w:hAnsi="Arial Narrow" w:eastAsia="Times New Roman" w:cs="Calibri"/>
                <w:color w:val="000000"/>
                <w:sz w:val="18"/>
                <w:szCs w:val="18"/>
              </w:rPr>
              <w:t>Footnotes</w:t>
            </w:r>
            <w:r>
              <w:rPr>
                <w:rFonts w:ascii="Arial Narrow" w:hAnsi="Arial Narrow" w:eastAsia="Times New Roman" w:cs="Calibri"/>
                <w:color w:val="000000"/>
                <w:sz w:val="18"/>
                <w:szCs w:val="18"/>
              </w:rPr>
              <w:t>:</w:t>
            </w:r>
          </w:p>
        </w:tc>
      </w:tr>
      <w:tr w:rsidRPr="0026317C" w:rsidR="00967CD5" w:rsidTr="00F64D94" w14:paraId="7EE8D1BA" w14:textId="77777777">
        <w:trPr>
          <w:jc w:val="center"/>
        </w:trPr>
        <w:tc>
          <w:tcPr>
            <w:tcW w:w="237" w:type="dxa"/>
            <w:tcBorders>
              <w:top w:val="nil"/>
              <w:left w:val="single" w:color="auto" w:sz="4" w:space="0"/>
              <w:right w:val="nil"/>
            </w:tcBorders>
            <w:shd w:val="clear" w:color="auto" w:fill="auto"/>
            <w:noWrap/>
            <w:hideMark/>
          </w:tcPr>
          <w:p w:rsidRPr="00885DF8" w:rsidR="00967CD5" w:rsidP="00F64D94" w:rsidRDefault="00967CD5" w14:paraId="77BF3B13" w14:textId="77777777">
            <w:pPr>
              <w:rPr>
                <w:rFonts w:ascii="Arial Narrow" w:hAnsi="Arial Narrow" w:eastAsia="Times New Roman" w:cs="Calibri"/>
                <w:color w:val="000000" w:themeColor="text1"/>
                <w:sz w:val="18"/>
                <w:szCs w:val="18"/>
              </w:rPr>
            </w:pPr>
            <w:r w:rsidRPr="0B02F8A5">
              <w:rPr>
                <w:rFonts w:ascii="Arial Narrow" w:hAnsi="Arial Narrow" w:eastAsia="Times New Roman" w:cs="Calibri"/>
                <w:color w:val="000000" w:themeColor="text1"/>
                <w:sz w:val="18"/>
                <w:szCs w:val="18"/>
                <w:vertAlign w:val="superscript"/>
              </w:rPr>
              <w:t>1</w:t>
            </w:r>
          </w:p>
        </w:tc>
        <w:tc>
          <w:tcPr>
            <w:tcW w:w="9123" w:type="dxa"/>
            <w:gridSpan w:val="4"/>
            <w:tcBorders>
              <w:top w:val="nil"/>
              <w:left w:val="nil"/>
              <w:right w:val="single" w:color="000000" w:themeColor="text1" w:sz="4" w:space="0"/>
            </w:tcBorders>
            <w:shd w:val="clear" w:color="auto" w:fill="auto"/>
            <w:hideMark/>
          </w:tcPr>
          <w:p w:rsidRPr="00885DF8" w:rsidR="00967CD5" w:rsidP="00F64D94" w:rsidRDefault="00967CD5" w14:paraId="7E4A2E8D" w14:textId="77777777">
            <w:pPr>
              <w:rPr>
                <w:rFonts w:ascii="Arial Narrow" w:hAnsi="Arial Narrow" w:eastAsia="Times New Roman" w:cs="Calibri"/>
                <w:color w:val="000000"/>
                <w:sz w:val="18"/>
                <w:szCs w:val="18"/>
              </w:rPr>
            </w:pPr>
            <w:r w:rsidRPr="00885DF8">
              <w:rPr>
                <w:rFonts w:ascii="Arial Narrow" w:hAnsi="Arial Narrow" w:eastAsia="Times New Roman" w:cs="Calibri"/>
                <w:color w:val="000000"/>
                <w:sz w:val="18"/>
                <w:szCs w:val="18"/>
              </w:rPr>
              <w:t xml:space="preserve">Full </w:t>
            </w:r>
            <w:r>
              <w:rPr>
                <w:rFonts w:ascii="Arial Narrow" w:hAnsi="Arial Narrow" w:eastAsia="Times New Roman" w:cs="Calibri"/>
                <w:color w:val="000000"/>
                <w:sz w:val="18"/>
                <w:szCs w:val="18"/>
              </w:rPr>
              <w:t>c</w:t>
            </w:r>
            <w:r w:rsidRPr="00885DF8">
              <w:rPr>
                <w:rFonts w:ascii="Arial Narrow" w:hAnsi="Arial Narrow" w:eastAsia="Times New Roman" w:cs="Calibri"/>
                <w:color w:val="000000"/>
                <w:sz w:val="18"/>
                <w:szCs w:val="18"/>
              </w:rPr>
              <w:t xml:space="preserve">hemical </w:t>
            </w:r>
            <w:r>
              <w:rPr>
                <w:rFonts w:ascii="Arial Narrow" w:hAnsi="Arial Narrow" w:eastAsia="Times New Roman" w:cs="Calibri"/>
                <w:color w:val="000000"/>
                <w:sz w:val="18"/>
                <w:szCs w:val="18"/>
              </w:rPr>
              <w:t>r</w:t>
            </w:r>
            <w:r w:rsidRPr="00885DF8">
              <w:rPr>
                <w:rFonts w:ascii="Arial Narrow" w:hAnsi="Arial Narrow" w:eastAsia="Times New Roman" w:cs="Calibri"/>
                <w:color w:val="000000"/>
                <w:sz w:val="18"/>
                <w:szCs w:val="18"/>
              </w:rPr>
              <w:t xml:space="preserve">eport counts are used later in this analysis to calculate incremental Agency burden. </w:t>
            </w:r>
          </w:p>
        </w:tc>
      </w:tr>
      <w:tr w:rsidRPr="0026317C" w:rsidR="00967CD5" w:rsidTr="00F64D94" w14:paraId="577F1314" w14:textId="77777777">
        <w:trPr>
          <w:jc w:val="center"/>
        </w:trPr>
        <w:tc>
          <w:tcPr>
            <w:tcW w:w="237" w:type="dxa"/>
            <w:tcBorders>
              <w:left w:val="single" w:color="auto" w:sz="4" w:space="0"/>
              <w:bottom w:val="single" w:color="auto" w:sz="4" w:space="0"/>
              <w:right w:val="nil"/>
            </w:tcBorders>
            <w:shd w:val="clear" w:color="auto" w:fill="auto"/>
            <w:noWrap/>
            <w:hideMark/>
          </w:tcPr>
          <w:p w:rsidRPr="00885DF8" w:rsidR="00967CD5" w:rsidP="00F64D94" w:rsidRDefault="00967CD5" w14:paraId="44C2CC2C" w14:textId="77777777">
            <w:pPr>
              <w:rPr>
                <w:rFonts w:ascii="Arial Narrow" w:hAnsi="Arial Narrow" w:eastAsia="Times New Roman" w:cs="Calibri"/>
                <w:color w:val="000000" w:themeColor="text1"/>
                <w:sz w:val="18"/>
                <w:szCs w:val="18"/>
              </w:rPr>
            </w:pPr>
            <w:r w:rsidRPr="0B02F8A5">
              <w:rPr>
                <w:rFonts w:ascii="Arial Narrow" w:hAnsi="Arial Narrow" w:eastAsia="Times New Roman" w:cs="Calibri"/>
                <w:color w:val="000000" w:themeColor="text1"/>
                <w:sz w:val="18"/>
                <w:szCs w:val="18"/>
                <w:vertAlign w:val="superscript"/>
              </w:rPr>
              <w:t>2</w:t>
            </w:r>
          </w:p>
        </w:tc>
        <w:tc>
          <w:tcPr>
            <w:tcW w:w="9123" w:type="dxa"/>
            <w:gridSpan w:val="4"/>
            <w:tcBorders>
              <w:left w:val="nil"/>
              <w:bottom w:val="single" w:color="auto" w:sz="4" w:space="0"/>
              <w:right w:val="single" w:color="auto" w:sz="4" w:space="0"/>
            </w:tcBorders>
            <w:shd w:val="clear" w:color="auto" w:fill="auto"/>
            <w:hideMark/>
          </w:tcPr>
          <w:p w:rsidRPr="00885DF8" w:rsidR="00967CD5" w:rsidP="00F64D94" w:rsidRDefault="00967CD5" w14:paraId="001F9AB7" w14:textId="77777777">
            <w:pPr>
              <w:rPr>
                <w:rFonts w:ascii="Arial Narrow" w:hAnsi="Arial Narrow" w:cs="Calibri"/>
                <w:color w:val="000000"/>
                <w:sz w:val="18"/>
                <w:szCs w:val="18"/>
              </w:rPr>
            </w:pPr>
            <w:r>
              <w:rPr>
                <w:rFonts w:ascii="Arial Narrow" w:hAnsi="Arial Narrow" w:cs="Calibri"/>
                <w:color w:val="000000"/>
                <w:sz w:val="18"/>
                <w:szCs w:val="18"/>
              </w:rPr>
              <w:t>I</w:t>
            </w:r>
            <w:r w:rsidRPr="00885DF8">
              <w:rPr>
                <w:rFonts w:ascii="Arial Narrow" w:hAnsi="Arial Narrow" w:cs="Calibri"/>
                <w:color w:val="000000"/>
                <w:sz w:val="18"/>
                <w:szCs w:val="18"/>
              </w:rPr>
              <w:t>nclude</w:t>
            </w:r>
            <w:r>
              <w:rPr>
                <w:rFonts w:ascii="Arial Narrow" w:hAnsi="Arial Narrow" w:cs="Calibri"/>
                <w:color w:val="000000"/>
                <w:sz w:val="18"/>
                <w:szCs w:val="18"/>
              </w:rPr>
              <w:t>s</w:t>
            </w:r>
            <w:r w:rsidRPr="00885DF8">
              <w:rPr>
                <w:rFonts w:ascii="Arial Narrow" w:hAnsi="Arial Narrow" w:cs="Calibri"/>
                <w:color w:val="000000"/>
                <w:sz w:val="18"/>
                <w:szCs w:val="18"/>
              </w:rPr>
              <w:t xml:space="preserve"> modifications and additions to reportable data elements, changes to CBI substantiation requirements, </w:t>
            </w:r>
            <w:r>
              <w:rPr>
                <w:rFonts w:ascii="Arial Narrow" w:hAnsi="Arial Narrow" w:cs="Calibri"/>
                <w:color w:val="000000"/>
                <w:sz w:val="18"/>
                <w:szCs w:val="18"/>
              </w:rPr>
              <w:t xml:space="preserve">and </w:t>
            </w:r>
            <w:r w:rsidRPr="00885DF8">
              <w:rPr>
                <w:rFonts w:ascii="Arial Narrow" w:hAnsi="Arial Narrow" w:cs="Calibri"/>
                <w:color w:val="000000"/>
                <w:sz w:val="18"/>
                <w:szCs w:val="18"/>
              </w:rPr>
              <w:t xml:space="preserve">specific inorganic byproduct reporting exemptions. Of these provisions in the rule, </w:t>
            </w:r>
            <w:r>
              <w:rPr>
                <w:rFonts w:ascii="Arial Narrow" w:hAnsi="Arial Narrow" w:cs="Calibri"/>
                <w:color w:val="000000"/>
                <w:sz w:val="18"/>
                <w:szCs w:val="18"/>
              </w:rPr>
              <w:t xml:space="preserve">the </w:t>
            </w:r>
            <w:r w:rsidRPr="00885DF8">
              <w:rPr>
                <w:rFonts w:ascii="Arial Narrow" w:hAnsi="Arial Narrow" w:cs="Calibri"/>
                <w:color w:val="000000"/>
                <w:sz w:val="18"/>
                <w:szCs w:val="18"/>
              </w:rPr>
              <w:t xml:space="preserve">byproduct exemptions will result in sites with some or </w:t>
            </w:r>
            <w:proofErr w:type="gramStart"/>
            <w:r w:rsidRPr="00885DF8">
              <w:rPr>
                <w:rFonts w:ascii="Arial Narrow" w:hAnsi="Arial Narrow" w:cs="Calibri"/>
                <w:color w:val="000000"/>
                <w:sz w:val="18"/>
                <w:szCs w:val="18"/>
              </w:rPr>
              <w:t>all of</w:t>
            </w:r>
            <w:proofErr w:type="gramEnd"/>
            <w:r w:rsidRPr="00885DF8">
              <w:rPr>
                <w:rFonts w:ascii="Arial Narrow" w:hAnsi="Arial Narrow" w:cs="Calibri"/>
                <w:color w:val="000000"/>
                <w:sz w:val="18"/>
                <w:szCs w:val="18"/>
              </w:rPr>
              <w:t xml:space="preserve"> their chemical reports exempted.</w:t>
            </w:r>
          </w:p>
        </w:tc>
      </w:tr>
    </w:tbl>
    <w:p w:rsidR="00967CD5" w:rsidP="00967CD5" w:rsidRDefault="00967CD5" w14:paraId="410BD3BD" w14:textId="77777777">
      <w:pPr>
        <w:rPr>
          <w:b/>
        </w:rPr>
      </w:pPr>
    </w:p>
    <w:p w:rsidR="00967CD5" w:rsidP="00995019" w:rsidRDefault="00967CD5" w14:paraId="7DC6C9FB" w14:textId="23816226">
      <w:pPr>
        <w:pStyle w:val="Caption"/>
        <w:rPr>
          <w:b w:val="0"/>
          <w:bCs w:val="0"/>
          <w:szCs w:val="22"/>
        </w:rPr>
      </w:pPr>
      <w:r w:rsidRPr="00995019">
        <w:rPr>
          <w:bCs w:val="0"/>
          <w:szCs w:val="22"/>
        </w:rPr>
        <w:t>Total Reporter Burden/Cost</w:t>
      </w:r>
      <w:r w:rsidRPr="00995019">
        <w:rPr>
          <w:b w:val="0"/>
          <w:bCs w:val="0"/>
          <w:szCs w:val="22"/>
        </w:rPr>
        <w:t>. Estimates of the reporting burden and cost per four-year reporting cycle are shown in</w:t>
      </w:r>
      <w:r w:rsidR="00A954FA">
        <w:rPr>
          <w:b w:val="0"/>
        </w:rPr>
        <w:t xml:space="preserve"> </w:t>
      </w:r>
      <w:r w:rsidRPr="00A954FA" w:rsidR="00A954FA">
        <w:rPr>
          <w:b w:val="0"/>
        </w:rPr>
        <w:fldChar w:fldCharType="begin"/>
      </w:r>
      <w:r w:rsidRPr="00A954FA" w:rsidR="00A954FA">
        <w:rPr>
          <w:b w:val="0"/>
        </w:rPr>
        <w:instrText xml:space="preserve"> REF _Ref33191177 \h </w:instrText>
      </w:r>
      <w:r w:rsidRPr="00821559" w:rsidR="00A954FA">
        <w:rPr>
          <w:b w:val="0"/>
        </w:rPr>
        <w:instrText xml:space="preserve"> \* MERGEFORMAT </w:instrText>
      </w:r>
      <w:r w:rsidRPr="00A954FA" w:rsidR="00A954FA">
        <w:rPr>
          <w:b w:val="0"/>
        </w:rPr>
      </w:r>
      <w:r w:rsidRPr="00A954FA" w:rsidR="00A954FA">
        <w:rPr>
          <w:b w:val="0"/>
        </w:rPr>
        <w:fldChar w:fldCharType="separate"/>
      </w:r>
      <w:r w:rsidRPr="002210E9" w:rsidR="005B1BB5">
        <w:rPr>
          <w:b w:val="0"/>
          <w:szCs w:val="24"/>
        </w:rPr>
        <w:t xml:space="preserve">Table </w:t>
      </w:r>
      <w:r w:rsidRPr="002210E9" w:rsidR="005B1BB5">
        <w:rPr>
          <w:b w:val="0"/>
          <w:noProof/>
          <w:szCs w:val="24"/>
        </w:rPr>
        <w:t>7</w:t>
      </w:r>
      <w:r w:rsidRPr="00A954FA" w:rsidR="00A954FA">
        <w:rPr>
          <w:b w:val="0"/>
        </w:rPr>
        <w:fldChar w:fldCharType="end"/>
      </w:r>
      <w:r w:rsidRPr="00A954FA">
        <w:rPr>
          <w:b w:val="0"/>
          <w:szCs w:val="22"/>
        </w:rPr>
        <w:t>.</w:t>
      </w:r>
      <w:r w:rsidRPr="00995019">
        <w:rPr>
          <w:b w:val="0"/>
          <w:bCs w:val="0"/>
          <w:szCs w:val="22"/>
        </w:rPr>
        <w:t xml:space="preserve"> Total burden and cost are calculated for changes to reporting activities by multiplying the unit burdens and costs in </w:t>
      </w:r>
      <w:r w:rsidRPr="00A954FA" w:rsidR="00A954FA">
        <w:rPr>
          <w:b w:val="0"/>
          <w:bCs w:val="0"/>
          <w:szCs w:val="22"/>
        </w:rPr>
        <w:fldChar w:fldCharType="begin"/>
      </w:r>
      <w:r w:rsidRPr="00A954FA" w:rsidR="00A954FA">
        <w:rPr>
          <w:b w:val="0"/>
          <w:bCs w:val="0"/>
          <w:szCs w:val="22"/>
        </w:rPr>
        <w:instrText xml:space="preserve"> REF _Ref33191040 \h </w:instrText>
      </w:r>
      <w:r w:rsidRPr="00821559" w:rsidR="00A954FA">
        <w:rPr>
          <w:b w:val="0"/>
          <w:bCs w:val="0"/>
          <w:szCs w:val="22"/>
        </w:rPr>
        <w:instrText xml:space="preserve"> \* MERGEFORMAT </w:instrText>
      </w:r>
      <w:r w:rsidRPr="00A954FA" w:rsidR="00A954FA">
        <w:rPr>
          <w:b w:val="0"/>
          <w:bCs w:val="0"/>
          <w:szCs w:val="22"/>
        </w:rPr>
      </w:r>
      <w:r w:rsidRPr="00A954FA" w:rsidR="00A954FA">
        <w:rPr>
          <w:b w:val="0"/>
          <w:bCs w:val="0"/>
          <w:szCs w:val="22"/>
        </w:rPr>
        <w:fldChar w:fldCharType="separate"/>
      </w:r>
      <w:r w:rsidRPr="002210E9" w:rsidR="005B1BB5">
        <w:rPr>
          <w:b w:val="0"/>
          <w:bCs w:val="0"/>
          <w:szCs w:val="24"/>
        </w:rPr>
        <w:t xml:space="preserve">Table </w:t>
      </w:r>
      <w:r w:rsidRPr="002210E9" w:rsidR="005B1BB5">
        <w:rPr>
          <w:b w:val="0"/>
          <w:bCs w:val="0"/>
          <w:noProof/>
          <w:szCs w:val="24"/>
        </w:rPr>
        <w:t>5</w:t>
      </w:r>
      <w:r w:rsidRPr="00A954FA" w:rsidR="00A954FA">
        <w:rPr>
          <w:b w:val="0"/>
          <w:bCs w:val="0"/>
          <w:szCs w:val="22"/>
        </w:rPr>
        <w:fldChar w:fldCharType="end"/>
      </w:r>
      <w:r w:rsidR="00A954FA">
        <w:rPr>
          <w:b w:val="0"/>
          <w:bCs w:val="0"/>
          <w:szCs w:val="22"/>
        </w:rPr>
        <w:t xml:space="preserve"> </w:t>
      </w:r>
      <w:r w:rsidRPr="00995019">
        <w:rPr>
          <w:b w:val="0"/>
          <w:bCs w:val="0"/>
          <w:szCs w:val="22"/>
        </w:rPr>
        <w:t xml:space="preserve">by the respective number of reporting sites. Total burden and cost attributable to reporting universe changes (reductions) are calculated for relevant sites and chemical reports using baseline information (for more detail, see EPA (2019)). </w:t>
      </w:r>
      <w:bookmarkStart w:name="_Ref524346286" w:id="71"/>
    </w:p>
    <w:p w:rsidRPr="00E96905" w:rsidR="00E96905" w:rsidP="00E96905" w:rsidRDefault="00E96905" w14:paraId="691B8CDD" w14:textId="77777777">
      <w:pPr>
        <w:rPr>
          <w:lang w:bidi="en-US"/>
        </w:rPr>
      </w:pPr>
    </w:p>
    <w:tbl>
      <w:tblPr>
        <w:tblW w:w="5144" w:type="pct"/>
        <w:jc w:val="center"/>
        <w:tblLayout w:type="fixed"/>
        <w:tblLook w:val="04A0" w:firstRow="1" w:lastRow="0" w:firstColumn="1" w:lastColumn="0" w:noHBand="0" w:noVBand="1"/>
      </w:tblPr>
      <w:tblGrid>
        <w:gridCol w:w="290"/>
        <w:gridCol w:w="3597"/>
        <w:gridCol w:w="1048"/>
        <w:gridCol w:w="1048"/>
        <w:gridCol w:w="1048"/>
        <w:gridCol w:w="1013"/>
        <w:gridCol w:w="969"/>
        <w:gridCol w:w="1357"/>
      </w:tblGrid>
      <w:tr w:rsidRPr="00945F41" w:rsidR="00967CD5" w:rsidTr="00F64D94" w14:paraId="78A79455" w14:textId="77777777">
        <w:trPr>
          <w:tblHeader/>
          <w:jc w:val="center"/>
        </w:trPr>
        <w:tc>
          <w:tcPr>
            <w:tcW w:w="9630" w:type="dxa"/>
            <w:gridSpan w:val="8"/>
            <w:tcBorders>
              <w:top w:val="nil"/>
              <w:left w:val="nil"/>
              <w:bottom w:val="single" w:color="auto" w:sz="4" w:space="0"/>
              <w:right w:val="nil"/>
            </w:tcBorders>
            <w:shd w:val="clear" w:color="auto" w:fill="auto"/>
            <w:vAlign w:val="bottom"/>
            <w:hideMark/>
          </w:tcPr>
          <w:p w:rsidRPr="003173DB" w:rsidR="00967CD5" w:rsidP="00F64D94" w:rsidRDefault="00967CD5" w14:paraId="4E3F9798" w14:textId="564E3CF4">
            <w:pPr>
              <w:pStyle w:val="Caption"/>
              <w:rPr>
                <w:szCs w:val="24"/>
              </w:rPr>
            </w:pPr>
            <w:bookmarkStart w:name="_Ref33191177" w:id="72"/>
            <w:bookmarkStart w:name="_Ref526353789" w:id="73"/>
            <w:bookmarkStart w:name="_Ref525022776" w:id="74"/>
            <w:bookmarkStart w:name="_Toc34230801" w:id="75"/>
            <w:r w:rsidRPr="003173DB">
              <w:rPr>
                <w:szCs w:val="24"/>
              </w:rPr>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7</w:t>
            </w:r>
            <w:r w:rsidR="00F574F4">
              <w:rPr>
                <w:szCs w:val="24"/>
              </w:rPr>
              <w:fldChar w:fldCharType="end"/>
            </w:r>
            <w:bookmarkEnd w:id="71"/>
            <w:bookmarkEnd w:id="72"/>
            <w:bookmarkEnd w:id="73"/>
            <w:bookmarkEnd w:id="74"/>
            <w:r w:rsidRPr="003173DB">
              <w:rPr>
                <w:szCs w:val="24"/>
              </w:rPr>
              <w:t>: CDR Revisions Incremental Reporting Burden and Cost for Four Year-Reporting Cycle, New and Experienced Reporters</w:t>
            </w:r>
            <w:bookmarkEnd w:id="75"/>
          </w:p>
        </w:tc>
      </w:tr>
      <w:tr w:rsidRPr="00945F41" w:rsidR="00967CD5" w:rsidTr="00F64D94" w14:paraId="58BC20FC" w14:textId="77777777">
        <w:trPr>
          <w:tblHeader/>
          <w:jc w:val="center"/>
        </w:trPr>
        <w:tc>
          <w:tcPr>
            <w:tcW w:w="3610" w:type="dxa"/>
            <w:gridSpan w:val="2"/>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F0228D" w:rsidR="00967CD5" w:rsidP="00F64D94" w:rsidRDefault="00967CD5" w14:paraId="4FF27338" w14:textId="77777777">
            <w:pPr>
              <w:jc w:val="center"/>
              <w:rPr>
                <w:rFonts w:ascii="Arial Narrow" w:hAnsi="Arial Narrow" w:eastAsia="Times New Roman" w:cs="Calibri"/>
                <w:b/>
                <w:bCs/>
                <w:color w:val="000000" w:themeColor="text1"/>
                <w:sz w:val="18"/>
                <w:szCs w:val="18"/>
              </w:rPr>
            </w:pPr>
            <w:r w:rsidRPr="00F0228D">
              <w:rPr>
                <w:rFonts w:ascii="Arial Narrow" w:hAnsi="Arial Narrow" w:eastAsia="Times New Roman" w:cs="Calibri"/>
                <w:b/>
                <w:bCs/>
                <w:color w:val="000000" w:themeColor="text1"/>
                <w:sz w:val="18"/>
                <w:szCs w:val="18"/>
              </w:rPr>
              <w:t> </w:t>
            </w:r>
          </w:p>
        </w:tc>
        <w:tc>
          <w:tcPr>
            <w:tcW w:w="973"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F0228D" w:rsidR="00967CD5" w:rsidP="00F64D94" w:rsidRDefault="00967CD5" w14:paraId="233B0C61" w14:textId="77777777">
            <w:pPr>
              <w:jc w:val="center"/>
              <w:rPr>
                <w:rFonts w:ascii="Arial Narrow" w:hAnsi="Arial Narrow" w:eastAsia="Times New Roman" w:cs="Calibri"/>
                <w:b/>
                <w:color w:val="000000"/>
                <w:sz w:val="18"/>
                <w:szCs w:val="18"/>
              </w:rPr>
            </w:pPr>
            <w:r w:rsidRPr="00F0228D">
              <w:rPr>
                <w:rFonts w:ascii="Arial Narrow" w:hAnsi="Arial Narrow" w:eastAsia="Times New Roman" w:cs="Calibri"/>
                <w:b/>
                <w:color w:val="000000"/>
                <w:sz w:val="18"/>
                <w:szCs w:val="18"/>
              </w:rPr>
              <w:t>Baseline Number of Sites</w:t>
            </w:r>
          </w:p>
        </w:tc>
        <w:tc>
          <w:tcPr>
            <w:tcW w:w="973"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F0228D" w:rsidR="00967CD5" w:rsidP="00F64D94" w:rsidRDefault="00967CD5" w14:paraId="2B56A155" w14:textId="77777777">
            <w:pPr>
              <w:jc w:val="center"/>
              <w:rPr>
                <w:rFonts w:ascii="Arial Narrow" w:hAnsi="Arial Narrow" w:eastAsia="Times New Roman" w:cs="Calibri"/>
                <w:b/>
                <w:color w:val="000000"/>
                <w:sz w:val="18"/>
                <w:szCs w:val="18"/>
              </w:rPr>
            </w:pPr>
            <w:r w:rsidRPr="00F0228D">
              <w:rPr>
                <w:rFonts w:ascii="Arial Narrow" w:hAnsi="Arial Narrow" w:eastAsia="Times New Roman" w:cs="Calibri"/>
                <w:b/>
                <w:color w:val="000000"/>
                <w:sz w:val="18"/>
                <w:szCs w:val="18"/>
              </w:rPr>
              <w:t>Number of Sites</w:t>
            </w:r>
            <w:r>
              <w:rPr>
                <w:rFonts w:ascii="Arial Narrow" w:hAnsi="Arial Narrow" w:eastAsia="Times New Roman" w:cs="Calibri"/>
                <w:b/>
                <w:color w:val="000000"/>
                <w:sz w:val="18"/>
                <w:szCs w:val="18"/>
              </w:rPr>
              <w:t xml:space="preserve"> under Final Rule</w:t>
            </w:r>
          </w:p>
        </w:tc>
        <w:tc>
          <w:tcPr>
            <w:tcW w:w="4074"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F0228D" w:rsidR="00967CD5" w:rsidP="00F64D94" w:rsidRDefault="00967CD5" w14:paraId="35780748" w14:textId="77777777">
            <w:pPr>
              <w:jc w:val="center"/>
              <w:rPr>
                <w:rFonts w:ascii="Arial Narrow" w:hAnsi="Arial Narrow" w:eastAsia="Times New Roman" w:cs="Calibri"/>
                <w:b/>
                <w:color w:val="000000"/>
                <w:sz w:val="18"/>
                <w:szCs w:val="18"/>
              </w:rPr>
            </w:pPr>
            <w:r w:rsidRPr="000D7568">
              <w:rPr>
                <w:rFonts w:ascii="Arial Narrow" w:hAnsi="Arial Narrow" w:eastAsia="Times New Roman" w:cs="Calibri"/>
                <w:b/>
                <w:sz w:val="18"/>
                <w:szCs w:val="18"/>
              </w:rPr>
              <w:t>Future</w:t>
            </w:r>
            <w:r w:rsidRPr="00F0228D">
              <w:rPr>
                <w:rFonts w:ascii="Arial Narrow" w:hAnsi="Arial Narrow" w:eastAsia="Times New Roman" w:cs="Calibri"/>
                <w:b/>
                <w:color w:val="000000"/>
                <w:sz w:val="18"/>
                <w:szCs w:val="18"/>
              </w:rPr>
              <w:t xml:space="preserve"> Cycle</w:t>
            </w:r>
            <w:r>
              <w:rPr>
                <w:rFonts w:ascii="Arial Narrow" w:hAnsi="Arial Narrow" w:eastAsia="Times New Roman" w:cs="Calibri"/>
                <w:b/>
                <w:color w:val="000000"/>
                <w:sz w:val="18"/>
                <w:szCs w:val="18"/>
              </w:rPr>
              <w:t>s</w:t>
            </w:r>
          </w:p>
        </w:tc>
      </w:tr>
      <w:tr w:rsidRPr="00945F41" w:rsidR="00967CD5" w:rsidTr="00F64D94" w14:paraId="767775F8" w14:textId="77777777">
        <w:trPr>
          <w:tblHeader/>
          <w:jc w:val="center"/>
        </w:trPr>
        <w:tc>
          <w:tcPr>
            <w:tcW w:w="3610" w:type="dxa"/>
            <w:gridSpan w:val="2"/>
            <w:vMerge/>
            <w:tcBorders>
              <w:top w:val="single" w:color="auto" w:sz="4" w:space="0"/>
              <w:left w:val="single" w:color="auto" w:sz="4" w:space="0"/>
              <w:bottom w:val="single" w:color="auto" w:sz="4" w:space="0"/>
              <w:right w:val="single" w:color="auto" w:sz="4" w:space="0"/>
            </w:tcBorders>
            <w:vAlign w:val="center"/>
            <w:hideMark/>
          </w:tcPr>
          <w:p w:rsidRPr="00D3042C" w:rsidR="00967CD5" w:rsidP="00F64D94" w:rsidRDefault="00967CD5" w14:paraId="444A367E" w14:textId="77777777">
            <w:pPr>
              <w:rPr>
                <w:rFonts w:ascii="Arial Narrow" w:hAnsi="Arial Narrow" w:eastAsia="Times New Roman" w:cs="Calibri"/>
                <w:b/>
                <w:color w:val="000000"/>
                <w:sz w:val="18"/>
                <w:szCs w:val="18"/>
              </w:rPr>
            </w:pPr>
          </w:p>
        </w:tc>
        <w:tc>
          <w:tcPr>
            <w:tcW w:w="973" w:type="dxa"/>
            <w:vMerge/>
            <w:tcBorders>
              <w:top w:val="single" w:color="auto" w:sz="4" w:space="0"/>
              <w:left w:val="single" w:color="auto" w:sz="4" w:space="0"/>
              <w:bottom w:val="single" w:color="auto" w:sz="4" w:space="0"/>
              <w:right w:val="single" w:color="auto" w:sz="4" w:space="0"/>
            </w:tcBorders>
            <w:vAlign w:val="center"/>
            <w:hideMark/>
          </w:tcPr>
          <w:p w:rsidRPr="00D3042C" w:rsidR="00967CD5" w:rsidP="00F64D94" w:rsidRDefault="00967CD5" w14:paraId="6E195C88" w14:textId="77777777">
            <w:pPr>
              <w:rPr>
                <w:rFonts w:ascii="Arial Narrow" w:hAnsi="Arial Narrow" w:eastAsia="Times New Roman" w:cs="Calibri"/>
                <w:b/>
                <w:color w:val="000000"/>
                <w:sz w:val="18"/>
                <w:szCs w:val="18"/>
              </w:rPr>
            </w:pPr>
          </w:p>
        </w:tc>
        <w:tc>
          <w:tcPr>
            <w:tcW w:w="973" w:type="dxa"/>
            <w:vMerge/>
            <w:tcBorders>
              <w:top w:val="single" w:color="auto" w:sz="4" w:space="0"/>
              <w:left w:val="single" w:color="auto" w:sz="4" w:space="0"/>
              <w:bottom w:val="single" w:color="auto" w:sz="4" w:space="0"/>
              <w:right w:val="single" w:color="auto" w:sz="4" w:space="0"/>
            </w:tcBorders>
            <w:vAlign w:val="center"/>
            <w:hideMark/>
          </w:tcPr>
          <w:p w:rsidRPr="00D3042C" w:rsidR="00967CD5" w:rsidP="00F64D94" w:rsidRDefault="00967CD5" w14:paraId="5DFFC8A9" w14:textId="77777777">
            <w:pPr>
              <w:rPr>
                <w:rFonts w:ascii="Arial Narrow" w:hAnsi="Arial Narrow" w:eastAsia="Times New Roman" w:cs="Calibri"/>
                <w:b/>
                <w:color w:val="000000"/>
                <w:sz w:val="18"/>
                <w:szCs w:val="18"/>
              </w:rPr>
            </w:pPr>
          </w:p>
        </w:tc>
        <w:tc>
          <w:tcPr>
            <w:tcW w:w="97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D3042C" w:rsidR="00967CD5" w:rsidP="00F64D94" w:rsidRDefault="00967CD5" w14:paraId="38C1F3F4" w14:textId="77777777">
            <w:pPr>
              <w:jc w:val="center"/>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U</w:t>
            </w:r>
            <w:r w:rsidRPr="00D3042C">
              <w:rPr>
                <w:rFonts w:ascii="Arial Narrow" w:hAnsi="Arial Narrow" w:eastAsia="Times New Roman" w:cs="Calibri"/>
                <w:b/>
                <w:color w:val="000000"/>
                <w:sz w:val="18"/>
                <w:szCs w:val="18"/>
              </w:rPr>
              <w:t>nit burden (hours)</w:t>
            </w:r>
            <w:r>
              <w:rPr>
                <w:rFonts w:ascii="Arial Narrow" w:hAnsi="Arial Narrow" w:eastAsia="Times New Roman" w:cs="Calibri"/>
                <w:b/>
                <w:color w:val="000000"/>
                <w:sz w:val="18"/>
                <w:szCs w:val="18"/>
                <w:vertAlign w:val="superscript"/>
              </w:rPr>
              <w:t>1</w:t>
            </w:r>
          </w:p>
        </w:tc>
        <w:tc>
          <w:tcPr>
            <w:tcW w:w="94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D3042C" w:rsidR="00967CD5" w:rsidP="00F64D94" w:rsidRDefault="00967CD5" w14:paraId="03B8BB73" w14:textId="77777777">
            <w:pPr>
              <w:jc w:val="center"/>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U</w:t>
            </w:r>
            <w:r w:rsidRPr="00D3042C">
              <w:rPr>
                <w:rFonts w:ascii="Arial Narrow" w:hAnsi="Arial Narrow" w:eastAsia="Times New Roman" w:cs="Calibri"/>
                <w:b/>
                <w:color w:val="000000"/>
                <w:sz w:val="18"/>
                <w:szCs w:val="18"/>
              </w:rPr>
              <w:t>nit cost (</w:t>
            </w:r>
            <w:r>
              <w:rPr>
                <w:rFonts w:ascii="Arial Narrow" w:hAnsi="Arial Narrow" w:eastAsia="Times New Roman" w:cs="Calibri"/>
                <w:b/>
                <w:color w:val="000000"/>
                <w:sz w:val="18"/>
                <w:szCs w:val="18"/>
              </w:rPr>
              <w:t>2018$</w:t>
            </w:r>
            <w:r w:rsidRPr="00D3042C">
              <w:rPr>
                <w:rFonts w:ascii="Arial Narrow" w:hAnsi="Arial Narrow" w:eastAsia="Times New Roman" w:cs="Calibri"/>
                <w:b/>
                <w:color w:val="000000"/>
                <w:sz w:val="18"/>
                <w:szCs w:val="18"/>
              </w:rPr>
              <w:t>)</w:t>
            </w:r>
            <w:r>
              <w:rPr>
                <w:rFonts w:ascii="Arial Narrow" w:hAnsi="Arial Narrow" w:eastAsia="Times New Roman" w:cs="Calibri"/>
                <w:b/>
                <w:color w:val="000000"/>
                <w:sz w:val="18"/>
                <w:szCs w:val="18"/>
                <w:vertAlign w:val="superscript"/>
              </w:rPr>
              <w:t>1</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D3042C" w:rsidR="00967CD5" w:rsidP="00F64D94" w:rsidRDefault="00967CD5" w14:paraId="60FBDC27" w14:textId="77777777">
            <w:pPr>
              <w:jc w:val="center"/>
              <w:rPr>
                <w:rFonts w:ascii="Arial Narrow" w:hAnsi="Arial Narrow" w:eastAsia="Times New Roman" w:cs="Calibri"/>
                <w:b/>
                <w:color w:val="000000"/>
                <w:sz w:val="18"/>
                <w:szCs w:val="18"/>
              </w:rPr>
            </w:pPr>
            <w:r w:rsidRPr="00D3042C">
              <w:rPr>
                <w:rFonts w:ascii="Arial Narrow" w:hAnsi="Arial Narrow" w:eastAsia="Times New Roman" w:cs="Calibri"/>
                <w:b/>
                <w:color w:val="000000"/>
                <w:sz w:val="18"/>
                <w:szCs w:val="18"/>
              </w:rPr>
              <w:t>Burden (hours)</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F0228D" w:rsidR="00967CD5" w:rsidP="00F64D94" w:rsidRDefault="00967CD5" w14:paraId="3939B8E8" w14:textId="77777777">
            <w:pPr>
              <w:jc w:val="center"/>
              <w:rPr>
                <w:rFonts w:ascii="Arial Narrow" w:hAnsi="Arial Narrow" w:eastAsia="Times New Roman" w:cs="Calibri"/>
                <w:b/>
                <w:color w:val="000000"/>
                <w:sz w:val="18"/>
                <w:szCs w:val="18"/>
              </w:rPr>
            </w:pPr>
            <w:r w:rsidRPr="00F0228D">
              <w:rPr>
                <w:rFonts w:ascii="Arial Narrow" w:hAnsi="Arial Narrow" w:eastAsia="Times New Roman" w:cs="Calibri"/>
                <w:b/>
                <w:color w:val="000000"/>
                <w:sz w:val="18"/>
                <w:szCs w:val="18"/>
              </w:rPr>
              <w:t>Cost (</w:t>
            </w:r>
            <w:r>
              <w:rPr>
                <w:rFonts w:ascii="Arial Narrow" w:hAnsi="Arial Narrow" w:eastAsia="Times New Roman" w:cs="Calibri"/>
                <w:b/>
                <w:color w:val="000000"/>
                <w:sz w:val="18"/>
                <w:szCs w:val="18"/>
              </w:rPr>
              <w:t>2018$</w:t>
            </w:r>
            <w:r w:rsidRPr="00F0228D">
              <w:rPr>
                <w:rFonts w:ascii="Arial Narrow" w:hAnsi="Arial Narrow" w:eastAsia="Times New Roman" w:cs="Calibri"/>
                <w:b/>
                <w:color w:val="000000"/>
                <w:sz w:val="18"/>
                <w:szCs w:val="18"/>
              </w:rPr>
              <w:t>)</w:t>
            </w:r>
          </w:p>
        </w:tc>
      </w:tr>
      <w:tr w:rsidRPr="00945F41" w:rsidR="00967CD5" w:rsidTr="00F64D94" w14:paraId="6B695A6E" w14:textId="77777777">
        <w:trPr>
          <w:jc w:val="center"/>
        </w:trPr>
        <w:tc>
          <w:tcPr>
            <w:tcW w:w="96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D3042C" w:rsidR="00967CD5" w:rsidP="00F64D94" w:rsidRDefault="00967CD5" w14:paraId="5FF59531" w14:textId="77777777">
            <w:pPr>
              <w:rPr>
                <w:rFonts w:ascii="Arial Narrow" w:hAnsi="Arial Narrow" w:eastAsia="Times New Roman" w:cs="Calibri"/>
                <w:b/>
                <w:color w:val="000000"/>
                <w:sz w:val="18"/>
                <w:szCs w:val="18"/>
              </w:rPr>
            </w:pPr>
            <w:r w:rsidRPr="00D3042C">
              <w:rPr>
                <w:rFonts w:ascii="Arial Narrow" w:hAnsi="Arial Narrow" w:eastAsia="Times New Roman" w:cs="Calibri"/>
                <w:b/>
                <w:color w:val="000000"/>
                <w:sz w:val="18"/>
                <w:szCs w:val="18"/>
              </w:rPr>
              <w:t>Changes to Reporting Activities</w:t>
            </w:r>
            <w:r>
              <w:rPr>
                <w:rFonts w:ascii="Arial Narrow" w:hAnsi="Arial Narrow" w:eastAsia="Times New Roman" w:cs="Calibri"/>
                <w:b/>
                <w:color w:val="000000"/>
                <w:sz w:val="18"/>
                <w:szCs w:val="18"/>
                <w:vertAlign w:val="superscript"/>
              </w:rPr>
              <w:t>2</w:t>
            </w:r>
          </w:p>
        </w:tc>
      </w:tr>
      <w:tr w:rsidRPr="00945F41" w:rsidR="00967CD5" w:rsidTr="00F64D94" w14:paraId="4BECF8D9" w14:textId="77777777">
        <w:trPr>
          <w:jc w:val="center"/>
        </w:trPr>
        <w:tc>
          <w:tcPr>
            <w:tcW w:w="3610" w:type="dxa"/>
            <w:gridSpan w:val="2"/>
            <w:tcBorders>
              <w:top w:val="nil"/>
              <w:left w:val="single" w:color="auto" w:sz="4" w:space="0"/>
              <w:bottom w:val="single" w:color="auto" w:sz="4" w:space="0"/>
              <w:right w:val="single" w:color="auto" w:sz="4" w:space="0"/>
            </w:tcBorders>
            <w:shd w:val="clear" w:color="auto" w:fill="auto"/>
            <w:vAlign w:val="center"/>
            <w:hideMark/>
          </w:tcPr>
          <w:p w:rsidRPr="00D3042C" w:rsidR="00967CD5" w:rsidP="00F64D94" w:rsidRDefault="00967CD5" w14:paraId="43BF21CD" w14:textId="77777777">
            <w:pPr>
              <w:rPr>
                <w:rFonts w:ascii="Arial Narrow" w:hAnsi="Arial Narrow" w:eastAsia="Times New Roman" w:cs="Calibri"/>
                <w:color w:val="000000"/>
                <w:sz w:val="18"/>
                <w:szCs w:val="18"/>
              </w:rPr>
            </w:pPr>
            <w:r w:rsidRPr="00D3042C">
              <w:rPr>
                <w:rFonts w:ascii="Arial Narrow" w:hAnsi="Arial Narrow" w:eastAsia="Times New Roman" w:cs="Calibri"/>
                <w:color w:val="000000"/>
                <w:sz w:val="18"/>
                <w:szCs w:val="18"/>
              </w:rPr>
              <w:t>Reportable Data Elements + CBI Substantiation, including incremental rule familiarization and compliance determination</w:t>
            </w:r>
          </w:p>
        </w:tc>
        <w:tc>
          <w:tcPr>
            <w:tcW w:w="973" w:type="dxa"/>
            <w:tcBorders>
              <w:top w:val="nil"/>
              <w:left w:val="nil"/>
              <w:bottom w:val="single" w:color="auto" w:sz="4" w:space="0"/>
              <w:right w:val="single" w:color="auto" w:sz="4" w:space="0"/>
            </w:tcBorders>
            <w:shd w:val="clear" w:color="auto" w:fill="auto"/>
            <w:noWrap/>
            <w:vAlign w:val="center"/>
            <w:hideMark/>
          </w:tcPr>
          <w:p w:rsidRPr="00D3042C" w:rsidR="00967CD5" w:rsidP="00F64D94" w:rsidRDefault="00967CD5" w14:paraId="1680886C"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5,660 </w:t>
            </w:r>
          </w:p>
        </w:tc>
        <w:tc>
          <w:tcPr>
            <w:tcW w:w="973" w:type="dxa"/>
            <w:tcBorders>
              <w:top w:val="nil"/>
              <w:left w:val="nil"/>
              <w:bottom w:val="single" w:color="auto" w:sz="4" w:space="0"/>
              <w:right w:val="double" w:color="auto" w:sz="4" w:space="0"/>
            </w:tcBorders>
            <w:shd w:val="clear" w:color="auto" w:fill="auto"/>
            <w:noWrap/>
            <w:vAlign w:val="center"/>
            <w:hideMark/>
          </w:tcPr>
          <w:p w:rsidRPr="00D3042C" w:rsidR="00967CD5" w:rsidP="00F64D94" w:rsidRDefault="00967CD5" w14:paraId="5BFE4DA2"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5,660 </w:t>
            </w:r>
          </w:p>
        </w:tc>
        <w:tc>
          <w:tcPr>
            <w:tcW w:w="973" w:type="dxa"/>
            <w:tcBorders>
              <w:top w:val="nil"/>
              <w:left w:val="double" w:color="auto" w:sz="4" w:space="0"/>
              <w:bottom w:val="single" w:color="auto" w:sz="4" w:space="0"/>
              <w:right w:val="single" w:color="auto" w:sz="4" w:space="0"/>
            </w:tcBorders>
            <w:shd w:val="clear" w:color="auto" w:fill="auto"/>
            <w:noWrap/>
            <w:vAlign w:val="center"/>
            <w:hideMark/>
          </w:tcPr>
          <w:p w:rsidRPr="00ED53A8" w:rsidR="00967CD5" w:rsidP="00F64D94" w:rsidRDefault="00967CD5" w14:paraId="45F514BF"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30.644</w:t>
            </w:r>
          </w:p>
        </w:tc>
        <w:tc>
          <w:tcPr>
            <w:tcW w:w="941" w:type="dxa"/>
            <w:tcBorders>
              <w:top w:val="nil"/>
              <w:left w:val="nil"/>
              <w:bottom w:val="single" w:color="auto" w:sz="4" w:space="0"/>
              <w:right w:val="double" w:color="auto" w:sz="4" w:space="0"/>
            </w:tcBorders>
            <w:shd w:val="clear" w:color="auto" w:fill="auto"/>
            <w:noWrap/>
            <w:vAlign w:val="center"/>
            <w:hideMark/>
          </w:tcPr>
          <w:p w:rsidRPr="00ED53A8" w:rsidR="00967CD5" w:rsidP="00F64D94" w:rsidRDefault="00967CD5" w14:paraId="6629B582"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$2,364.69</w:t>
            </w:r>
          </w:p>
        </w:tc>
        <w:tc>
          <w:tcPr>
            <w:tcW w:w="900" w:type="dxa"/>
            <w:tcBorders>
              <w:top w:val="nil"/>
              <w:left w:val="double" w:color="auto" w:sz="4" w:space="0"/>
              <w:bottom w:val="single" w:color="auto" w:sz="4" w:space="0"/>
              <w:right w:val="single" w:color="auto" w:sz="4" w:space="0"/>
            </w:tcBorders>
            <w:shd w:val="clear" w:color="auto" w:fill="auto"/>
            <w:noWrap/>
            <w:vAlign w:val="center"/>
            <w:hideMark/>
          </w:tcPr>
          <w:p w:rsidRPr="00ED53A8" w:rsidR="00967CD5" w:rsidP="00F64D94" w:rsidRDefault="00967CD5" w14:paraId="6925190F"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173,444</w:t>
            </w:r>
          </w:p>
        </w:tc>
        <w:tc>
          <w:tcPr>
            <w:tcW w:w="1260" w:type="dxa"/>
            <w:tcBorders>
              <w:top w:val="nil"/>
              <w:left w:val="nil"/>
              <w:bottom w:val="single" w:color="auto" w:sz="4" w:space="0"/>
              <w:right w:val="single" w:color="auto" w:sz="4" w:space="0"/>
            </w:tcBorders>
            <w:shd w:val="clear" w:color="auto" w:fill="auto"/>
            <w:noWrap/>
            <w:vAlign w:val="center"/>
            <w:hideMark/>
          </w:tcPr>
          <w:p w:rsidRPr="00ED53A8" w:rsidR="00967CD5" w:rsidP="00F64D94" w:rsidRDefault="00967CD5" w14:paraId="4F3F56AD"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$13,384,144</w:t>
            </w:r>
          </w:p>
        </w:tc>
      </w:tr>
      <w:tr w:rsidRPr="00945F41" w:rsidR="00967CD5" w:rsidTr="00F64D94" w14:paraId="11E9630F" w14:textId="77777777">
        <w:trPr>
          <w:jc w:val="center"/>
        </w:trPr>
        <w:tc>
          <w:tcPr>
            <w:tcW w:w="3610" w:type="dxa"/>
            <w:gridSpan w:val="2"/>
            <w:tcBorders>
              <w:top w:val="nil"/>
              <w:left w:val="single" w:color="auto" w:sz="4" w:space="0"/>
              <w:bottom w:val="single" w:color="auto" w:sz="4" w:space="0"/>
              <w:right w:val="single" w:color="auto" w:sz="4" w:space="0"/>
            </w:tcBorders>
            <w:shd w:val="clear" w:color="auto" w:fill="auto"/>
            <w:vAlign w:val="center"/>
            <w:hideMark/>
          </w:tcPr>
          <w:p w:rsidRPr="00D3042C" w:rsidR="00967CD5" w:rsidP="00F64D94" w:rsidRDefault="00967CD5" w14:paraId="5D137A0B" w14:textId="77777777">
            <w:pPr>
              <w:rPr>
                <w:rFonts w:ascii="Arial Narrow" w:hAnsi="Arial Narrow" w:eastAsia="Times New Roman" w:cs="Calibri"/>
                <w:color w:val="000000"/>
                <w:sz w:val="18"/>
                <w:szCs w:val="18"/>
              </w:rPr>
            </w:pPr>
            <w:r w:rsidRPr="00D3042C">
              <w:rPr>
                <w:rFonts w:ascii="Arial Narrow" w:hAnsi="Arial Narrow" w:eastAsia="Times New Roman" w:cs="Calibri"/>
                <w:color w:val="000000"/>
                <w:sz w:val="18"/>
                <w:szCs w:val="18"/>
              </w:rPr>
              <w:t xml:space="preserve">Byproduct </w:t>
            </w:r>
            <w:r>
              <w:rPr>
                <w:rFonts w:ascii="Arial Narrow" w:hAnsi="Arial Narrow" w:eastAsia="Times New Roman" w:cs="Calibri"/>
                <w:color w:val="000000"/>
                <w:sz w:val="18"/>
                <w:szCs w:val="18"/>
              </w:rPr>
              <w:t>Exemptions</w:t>
            </w:r>
            <w:r w:rsidRPr="00D3042C">
              <w:rPr>
                <w:rFonts w:ascii="Arial Narrow" w:hAnsi="Arial Narrow" w:eastAsia="Times New Roman" w:cs="Calibri"/>
                <w:color w:val="000000"/>
                <w:sz w:val="18"/>
                <w:szCs w:val="18"/>
              </w:rPr>
              <w:t xml:space="preserve"> incremental rule familiarization and compliance determination</w:t>
            </w:r>
          </w:p>
        </w:tc>
        <w:tc>
          <w:tcPr>
            <w:tcW w:w="973" w:type="dxa"/>
            <w:tcBorders>
              <w:top w:val="nil"/>
              <w:left w:val="nil"/>
              <w:bottom w:val="single" w:color="auto" w:sz="4" w:space="0"/>
              <w:right w:val="single" w:color="auto" w:sz="4" w:space="0"/>
            </w:tcBorders>
            <w:shd w:val="clear" w:color="auto" w:fill="auto"/>
            <w:noWrap/>
            <w:vAlign w:val="center"/>
            <w:hideMark/>
          </w:tcPr>
          <w:p w:rsidRPr="00D3042C" w:rsidR="00967CD5" w:rsidP="00F64D94" w:rsidRDefault="00967CD5" w14:paraId="4F3DD056"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5,660 </w:t>
            </w:r>
          </w:p>
        </w:tc>
        <w:tc>
          <w:tcPr>
            <w:tcW w:w="973" w:type="dxa"/>
            <w:tcBorders>
              <w:top w:val="nil"/>
              <w:left w:val="nil"/>
              <w:bottom w:val="single" w:color="auto" w:sz="4" w:space="0"/>
              <w:right w:val="double" w:color="auto" w:sz="4" w:space="0"/>
            </w:tcBorders>
            <w:shd w:val="clear" w:color="auto" w:fill="auto"/>
            <w:noWrap/>
            <w:vAlign w:val="center"/>
            <w:hideMark/>
          </w:tcPr>
          <w:p w:rsidRPr="00D3042C" w:rsidR="00967CD5" w:rsidP="00F64D94" w:rsidRDefault="00967CD5" w14:paraId="116E5301"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5,660 </w:t>
            </w:r>
          </w:p>
        </w:tc>
        <w:tc>
          <w:tcPr>
            <w:tcW w:w="973" w:type="dxa"/>
            <w:tcBorders>
              <w:top w:val="single" w:color="auto" w:sz="4" w:space="0"/>
              <w:left w:val="double" w:color="auto" w:sz="4" w:space="0"/>
              <w:bottom w:val="single" w:color="auto" w:sz="4" w:space="0"/>
              <w:right w:val="single" w:color="auto" w:sz="4" w:space="0"/>
            </w:tcBorders>
            <w:shd w:val="clear" w:color="auto" w:fill="auto"/>
            <w:noWrap/>
            <w:vAlign w:val="center"/>
            <w:hideMark/>
          </w:tcPr>
          <w:p w:rsidRPr="00481CB5" w:rsidR="00967CD5" w:rsidP="00F64D94" w:rsidRDefault="00967CD5" w14:paraId="50730615"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0.478</w:t>
            </w:r>
          </w:p>
        </w:tc>
        <w:tc>
          <w:tcPr>
            <w:tcW w:w="941" w:type="dxa"/>
            <w:tcBorders>
              <w:top w:val="single" w:color="auto" w:sz="4" w:space="0"/>
              <w:left w:val="nil"/>
              <w:bottom w:val="single" w:color="auto" w:sz="4" w:space="0"/>
              <w:right w:val="double" w:color="auto" w:sz="4" w:space="0"/>
            </w:tcBorders>
            <w:shd w:val="clear" w:color="auto" w:fill="auto"/>
            <w:noWrap/>
            <w:vAlign w:val="center"/>
            <w:hideMark/>
          </w:tcPr>
          <w:p w:rsidRPr="00481CB5" w:rsidR="00967CD5" w:rsidP="00F64D94" w:rsidRDefault="00967CD5" w14:paraId="67BD40B9"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$36.68</w:t>
            </w:r>
          </w:p>
        </w:tc>
        <w:tc>
          <w:tcPr>
            <w:tcW w:w="900" w:type="dxa"/>
            <w:tcBorders>
              <w:top w:val="single" w:color="auto" w:sz="4" w:space="0"/>
              <w:left w:val="double" w:color="auto" w:sz="4" w:space="0"/>
              <w:bottom w:val="single" w:color="auto" w:sz="4" w:space="0"/>
              <w:right w:val="single" w:color="auto" w:sz="4" w:space="0"/>
            </w:tcBorders>
            <w:shd w:val="clear" w:color="auto" w:fill="auto"/>
            <w:noWrap/>
            <w:vAlign w:val="center"/>
            <w:hideMark/>
          </w:tcPr>
          <w:p w:rsidRPr="00481CB5" w:rsidR="00967CD5" w:rsidP="00F64D94" w:rsidRDefault="00967CD5" w14:paraId="6268E507"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2,704</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1CB5" w:rsidR="00967CD5" w:rsidP="00F64D94" w:rsidRDefault="00967CD5" w14:paraId="6D2725F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$207,614</w:t>
            </w:r>
          </w:p>
        </w:tc>
      </w:tr>
      <w:tr w:rsidRPr="00945F41" w:rsidR="00967CD5" w:rsidTr="00F64D94" w14:paraId="0F85D9B1" w14:textId="77777777">
        <w:trPr>
          <w:jc w:val="center"/>
        </w:trPr>
        <w:tc>
          <w:tcPr>
            <w:tcW w:w="7470" w:type="dxa"/>
            <w:gridSpan w:val="6"/>
            <w:tcBorders>
              <w:top w:val="nil"/>
              <w:left w:val="single" w:color="auto" w:sz="4" w:space="0"/>
              <w:bottom w:val="single" w:color="auto" w:sz="4" w:space="0"/>
              <w:right w:val="double" w:color="auto" w:sz="4" w:space="0"/>
            </w:tcBorders>
            <w:shd w:val="clear" w:color="auto" w:fill="auto"/>
            <w:vAlign w:val="center"/>
          </w:tcPr>
          <w:p w:rsidRPr="000F2A3A" w:rsidR="00967CD5" w:rsidP="00F64D94" w:rsidRDefault="00967CD5" w14:paraId="4189EB93" w14:textId="77777777">
            <w:pPr>
              <w:rPr>
                <w:rFonts w:ascii="Arial Narrow" w:hAnsi="Arial Narrow" w:cs="Calibri"/>
                <w:color w:val="000000"/>
                <w:sz w:val="18"/>
                <w:szCs w:val="18"/>
              </w:rPr>
            </w:pPr>
            <w:r w:rsidRPr="000F2A3A">
              <w:rPr>
                <w:rFonts w:ascii="Arial Narrow" w:hAnsi="Arial Narrow" w:cs="Calibri"/>
                <w:color w:val="000000"/>
                <w:sz w:val="18"/>
                <w:szCs w:val="18"/>
              </w:rPr>
              <w:t>Subtotal, Changes to Reporting Activities</w:t>
            </w:r>
          </w:p>
        </w:tc>
        <w:tc>
          <w:tcPr>
            <w:tcW w:w="900" w:type="dxa"/>
            <w:tcBorders>
              <w:top w:val="single" w:color="auto" w:sz="4" w:space="0"/>
              <w:left w:val="double" w:color="auto" w:sz="4" w:space="0"/>
              <w:bottom w:val="single" w:color="auto" w:sz="4" w:space="0"/>
              <w:right w:val="single" w:color="auto" w:sz="4" w:space="0"/>
            </w:tcBorders>
            <w:shd w:val="clear" w:color="auto" w:fill="auto"/>
            <w:noWrap/>
            <w:vAlign w:val="center"/>
          </w:tcPr>
          <w:p w:rsidRPr="005639A9" w:rsidR="00967CD5" w:rsidP="00F64D94" w:rsidRDefault="00967CD5" w14:paraId="631F37EC" w14:textId="77777777">
            <w:pPr>
              <w:jc w:val="right"/>
              <w:rPr>
                <w:rFonts w:ascii="Arial Narrow" w:hAnsi="Arial Narrow" w:cs="Calibri"/>
                <w:b/>
                <w:color w:val="000000"/>
                <w:sz w:val="18"/>
                <w:szCs w:val="18"/>
              </w:rPr>
            </w:pPr>
            <w:r>
              <w:rPr>
                <w:rFonts w:ascii="Arial Narrow" w:hAnsi="Arial Narrow" w:cs="Calibri"/>
                <w:color w:val="000000"/>
                <w:sz w:val="18"/>
                <w:szCs w:val="18"/>
              </w:rPr>
              <w:t>176,148</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5639A9" w:rsidR="00967CD5" w:rsidP="00F64D94" w:rsidRDefault="00967CD5" w14:paraId="3FB14A8D" w14:textId="77777777">
            <w:pPr>
              <w:jc w:val="right"/>
              <w:rPr>
                <w:rFonts w:ascii="Arial Narrow" w:hAnsi="Arial Narrow" w:cs="Calibri"/>
                <w:b/>
                <w:color w:val="000000"/>
                <w:sz w:val="18"/>
                <w:szCs w:val="18"/>
              </w:rPr>
            </w:pPr>
            <w:r>
              <w:rPr>
                <w:rFonts w:ascii="Arial Narrow" w:hAnsi="Arial Narrow" w:cs="Calibri"/>
                <w:color w:val="000000"/>
                <w:sz w:val="18"/>
                <w:szCs w:val="18"/>
              </w:rPr>
              <w:t>$13,591,758</w:t>
            </w:r>
          </w:p>
        </w:tc>
      </w:tr>
      <w:tr w:rsidRPr="00945F41" w:rsidR="00967CD5" w:rsidTr="00F64D94" w14:paraId="36B3515B" w14:textId="77777777">
        <w:trPr>
          <w:jc w:val="center"/>
        </w:trPr>
        <w:tc>
          <w:tcPr>
            <w:tcW w:w="9630" w:type="dxa"/>
            <w:gridSpan w:val="8"/>
            <w:tcBorders>
              <w:top w:val="nil"/>
              <w:left w:val="single" w:color="auto" w:sz="4" w:space="0"/>
              <w:bottom w:val="single" w:color="auto" w:sz="4" w:space="0"/>
              <w:right w:val="single" w:color="auto" w:sz="4" w:space="0"/>
            </w:tcBorders>
            <w:shd w:val="clear" w:color="auto" w:fill="auto"/>
            <w:vAlign w:val="center"/>
          </w:tcPr>
          <w:p w:rsidRPr="000F2A3A" w:rsidR="00967CD5" w:rsidP="00F64D94" w:rsidRDefault="00967CD5" w14:paraId="1CFD264E" w14:textId="77777777">
            <w:pPr>
              <w:rPr>
                <w:rFonts w:ascii="Arial Narrow" w:hAnsi="Arial Narrow" w:eastAsia="Times New Roman" w:cs="Calibri"/>
                <w:b/>
                <w:color w:val="000000"/>
                <w:sz w:val="18"/>
                <w:szCs w:val="18"/>
              </w:rPr>
            </w:pPr>
            <w:r w:rsidRPr="000F2A3A">
              <w:rPr>
                <w:rFonts w:ascii="Arial Narrow" w:hAnsi="Arial Narrow" w:eastAsia="Times New Roman" w:cs="Calibri"/>
                <w:b/>
                <w:color w:val="000000"/>
                <w:sz w:val="18"/>
                <w:szCs w:val="18"/>
              </w:rPr>
              <w:t>Changes to Reporting Universe</w:t>
            </w:r>
          </w:p>
        </w:tc>
      </w:tr>
      <w:tr w:rsidRPr="00945F41" w:rsidR="00967CD5" w:rsidTr="00F64D94" w14:paraId="18DA8120" w14:textId="77777777">
        <w:trPr>
          <w:jc w:val="center"/>
        </w:trPr>
        <w:tc>
          <w:tcPr>
            <w:tcW w:w="3610" w:type="dxa"/>
            <w:gridSpan w:val="2"/>
            <w:tcBorders>
              <w:top w:val="nil"/>
              <w:left w:val="single" w:color="auto" w:sz="4" w:space="0"/>
              <w:bottom w:val="single" w:color="auto" w:sz="4" w:space="0"/>
              <w:right w:val="single" w:color="auto" w:sz="4" w:space="0"/>
            </w:tcBorders>
            <w:shd w:val="clear" w:color="auto" w:fill="auto"/>
            <w:vAlign w:val="center"/>
            <w:hideMark/>
          </w:tcPr>
          <w:p w:rsidRPr="00D3042C" w:rsidR="00967CD5" w:rsidP="00F64D94" w:rsidRDefault="00967CD5" w14:paraId="1844F3CA" w14:textId="77777777">
            <w:pPr>
              <w:rPr>
                <w:rFonts w:ascii="Arial Narrow" w:hAnsi="Arial Narrow" w:eastAsia="Times New Roman" w:cs="Calibri"/>
                <w:color w:val="000000"/>
                <w:sz w:val="18"/>
                <w:szCs w:val="18"/>
              </w:rPr>
            </w:pPr>
            <w:r w:rsidRPr="00D3042C">
              <w:rPr>
                <w:rFonts w:ascii="Arial Narrow" w:hAnsi="Arial Narrow" w:eastAsia="Times New Roman" w:cs="Calibri"/>
                <w:color w:val="000000"/>
                <w:sz w:val="18"/>
                <w:szCs w:val="18"/>
              </w:rPr>
              <w:t>Byproduct Exemptions</w:t>
            </w:r>
          </w:p>
        </w:tc>
        <w:tc>
          <w:tcPr>
            <w:tcW w:w="973" w:type="dxa"/>
            <w:tcBorders>
              <w:top w:val="nil"/>
              <w:left w:val="nil"/>
              <w:bottom w:val="single" w:color="auto" w:sz="4" w:space="0"/>
              <w:right w:val="single" w:color="auto" w:sz="4" w:space="0"/>
            </w:tcBorders>
            <w:shd w:val="clear" w:color="auto" w:fill="auto"/>
            <w:noWrap/>
            <w:vAlign w:val="center"/>
            <w:hideMark/>
          </w:tcPr>
          <w:p w:rsidRPr="00D3042C" w:rsidR="00967CD5" w:rsidP="00F64D94" w:rsidRDefault="00967CD5" w14:paraId="28495D28"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601 </w:t>
            </w:r>
          </w:p>
        </w:tc>
        <w:tc>
          <w:tcPr>
            <w:tcW w:w="973" w:type="dxa"/>
            <w:tcBorders>
              <w:top w:val="nil"/>
              <w:left w:val="nil"/>
              <w:bottom w:val="single" w:color="auto" w:sz="4" w:space="0"/>
              <w:right w:val="double" w:color="auto" w:sz="4" w:space="0"/>
            </w:tcBorders>
            <w:shd w:val="clear" w:color="auto" w:fill="auto"/>
            <w:noWrap/>
            <w:vAlign w:val="center"/>
            <w:hideMark/>
          </w:tcPr>
          <w:p w:rsidRPr="00D3042C" w:rsidR="00967CD5" w:rsidP="00F64D94" w:rsidRDefault="00967CD5" w14:paraId="21879A08" w14:textId="77777777">
            <w:pPr>
              <w:jc w:val="right"/>
              <w:rPr>
                <w:rFonts w:ascii="Arial Narrow" w:hAnsi="Arial Narrow" w:eastAsia="Times New Roman" w:cs="Calibri"/>
                <w:color w:val="000000" w:themeColor="text1"/>
                <w:sz w:val="18"/>
                <w:szCs w:val="18"/>
              </w:rPr>
            </w:pPr>
            <w:r w:rsidRPr="00D3042C">
              <w:rPr>
                <w:rFonts w:ascii="Arial Narrow" w:hAnsi="Arial Narrow" w:eastAsia="Times New Roman" w:cs="Calibri"/>
                <w:color w:val="000000" w:themeColor="text1"/>
                <w:sz w:val="18"/>
                <w:szCs w:val="18"/>
              </w:rPr>
              <w:t xml:space="preserve">531 </w:t>
            </w:r>
          </w:p>
        </w:tc>
        <w:tc>
          <w:tcPr>
            <w:tcW w:w="973" w:type="dxa"/>
            <w:tcBorders>
              <w:top w:val="nil"/>
              <w:left w:val="double" w:color="auto" w:sz="4" w:space="0"/>
              <w:bottom w:val="single" w:color="auto" w:sz="4" w:space="0"/>
              <w:right w:val="single" w:color="auto" w:sz="4" w:space="0"/>
            </w:tcBorders>
            <w:shd w:val="clear" w:color="auto" w:fill="FFFFFF" w:themeFill="background1"/>
            <w:noWrap/>
            <w:vAlign w:val="center"/>
            <w:hideMark/>
          </w:tcPr>
          <w:p w:rsidRPr="00D3042C" w:rsidR="00967CD5" w:rsidP="00F64D94" w:rsidRDefault="00967CD5" w14:paraId="6A2CD7DB" w14:textId="77777777">
            <w:pPr>
              <w:jc w:val="center"/>
              <w:rPr>
                <w:rFonts w:ascii="Arial Narrow" w:hAnsi="Arial Narrow" w:eastAsia="Times New Roman" w:cs="Calibri"/>
                <w:color w:val="000000"/>
                <w:sz w:val="18"/>
                <w:szCs w:val="18"/>
              </w:rPr>
            </w:pPr>
            <w:r w:rsidRPr="00D3042C">
              <w:rPr>
                <w:rFonts w:ascii="Arial Narrow" w:hAnsi="Arial Narrow" w:eastAsia="Times New Roman" w:cs="Calibri"/>
                <w:color w:val="000000"/>
                <w:sz w:val="18"/>
                <w:szCs w:val="18"/>
              </w:rPr>
              <w:t>N/A</w:t>
            </w:r>
          </w:p>
        </w:tc>
        <w:tc>
          <w:tcPr>
            <w:tcW w:w="941" w:type="dxa"/>
            <w:tcBorders>
              <w:top w:val="nil"/>
              <w:left w:val="nil"/>
              <w:bottom w:val="single" w:color="auto" w:sz="4" w:space="0"/>
              <w:right w:val="double" w:color="auto" w:sz="4" w:space="0"/>
            </w:tcBorders>
            <w:shd w:val="clear" w:color="auto" w:fill="FFFFFF" w:themeFill="background1"/>
            <w:noWrap/>
            <w:vAlign w:val="center"/>
            <w:hideMark/>
          </w:tcPr>
          <w:p w:rsidRPr="00D3042C" w:rsidR="00967CD5" w:rsidP="00F64D94" w:rsidRDefault="00967CD5" w14:paraId="5561DA2D" w14:textId="77777777">
            <w:pPr>
              <w:jc w:val="center"/>
              <w:rPr>
                <w:rFonts w:ascii="Arial Narrow" w:hAnsi="Arial Narrow" w:eastAsia="Times New Roman" w:cs="Calibri"/>
                <w:color w:val="000000"/>
                <w:sz w:val="18"/>
                <w:szCs w:val="18"/>
              </w:rPr>
            </w:pPr>
            <w:r w:rsidRPr="00D3042C">
              <w:rPr>
                <w:rFonts w:ascii="Arial Narrow" w:hAnsi="Arial Narrow" w:eastAsia="Times New Roman" w:cs="Calibri"/>
                <w:color w:val="000000"/>
                <w:sz w:val="18"/>
                <w:szCs w:val="18"/>
              </w:rPr>
              <w:t>N/A</w:t>
            </w:r>
          </w:p>
        </w:tc>
        <w:tc>
          <w:tcPr>
            <w:tcW w:w="900" w:type="dxa"/>
            <w:tcBorders>
              <w:top w:val="nil"/>
              <w:left w:val="double" w:color="auto" w:sz="4" w:space="0"/>
              <w:bottom w:val="single" w:color="auto" w:sz="4" w:space="0"/>
              <w:right w:val="single" w:color="auto" w:sz="4" w:space="0"/>
            </w:tcBorders>
            <w:shd w:val="clear" w:color="auto" w:fill="auto"/>
            <w:noWrap/>
            <w:vAlign w:val="center"/>
            <w:hideMark/>
          </w:tcPr>
          <w:p w:rsidRPr="000626DB" w:rsidR="00967CD5" w:rsidP="00F64D94" w:rsidRDefault="00967CD5" w14:paraId="25FBE696" w14:textId="77777777">
            <w:pPr>
              <w:jc w:val="right"/>
              <w:rPr>
                <w:rFonts w:ascii="Arial Narrow" w:hAnsi="Arial Narrow" w:eastAsia="Times New Roman" w:cs="Calibri"/>
                <w:color w:val="000000" w:themeColor="text1"/>
                <w:sz w:val="18"/>
                <w:szCs w:val="18"/>
              </w:rPr>
            </w:pPr>
            <w:r w:rsidRPr="000626DB">
              <w:rPr>
                <w:rFonts w:ascii="Arial Narrow" w:hAnsi="Arial Narrow" w:eastAsia="Times New Roman" w:cs="Calibri"/>
                <w:color w:val="000000" w:themeColor="text1"/>
                <w:sz w:val="18"/>
                <w:szCs w:val="18"/>
              </w:rPr>
              <w:t>-70,271</w:t>
            </w:r>
          </w:p>
        </w:tc>
        <w:tc>
          <w:tcPr>
            <w:tcW w:w="1260" w:type="dxa"/>
            <w:tcBorders>
              <w:top w:val="nil"/>
              <w:left w:val="nil"/>
              <w:bottom w:val="single" w:color="auto" w:sz="4" w:space="0"/>
              <w:right w:val="single" w:color="auto" w:sz="4" w:space="0"/>
            </w:tcBorders>
            <w:shd w:val="clear" w:color="auto" w:fill="auto"/>
            <w:noWrap/>
            <w:vAlign w:val="center"/>
            <w:hideMark/>
          </w:tcPr>
          <w:p w:rsidRPr="001D5EBB" w:rsidR="00967CD5" w:rsidP="00F64D94" w:rsidRDefault="00967CD5" w14:paraId="4BC9D418"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-$5,376,960</w:t>
            </w:r>
          </w:p>
        </w:tc>
      </w:tr>
      <w:tr w:rsidRPr="00945F41" w:rsidR="00967CD5" w:rsidTr="00F64D94" w14:paraId="78594178" w14:textId="77777777">
        <w:trPr>
          <w:jc w:val="center"/>
        </w:trPr>
        <w:tc>
          <w:tcPr>
            <w:tcW w:w="7470" w:type="dxa"/>
            <w:gridSpan w:val="6"/>
            <w:tcBorders>
              <w:top w:val="single" w:color="auto" w:sz="4" w:space="0"/>
              <w:left w:val="single" w:color="auto" w:sz="4" w:space="0"/>
              <w:bottom w:val="single" w:color="auto" w:sz="4" w:space="0"/>
              <w:right w:val="double" w:color="auto" w:sz="4" w:space="0"/>
            </w:tcBorders>
            <w:shd w:val="clear" w:color="auto" w:fill="auto"/>
            <w:vAlign w:val="center"/>
          </w:tcPr>
          <w:p w:rsidRPr="00874EA2" w:rsidR="00967CD5" w:rsidP="00F64D94" w:rsidRDefault="00967CD5" w14:paraId="11986B64" w14:textId="77777777">
            <w:pPr>
              <w:rPr>
                <w:rFonts w:ascii="Arial Narrow" w:hAnsi="Arial Narrow" w:eastAsia="Times New Roman" w:cs="Calibri"/>
                <w:b/>
                <w:color w:val="000000"/>
                <w:sz w:val="18"/>
                <w:szCs w:val="18"/>
              </w:rPr>
            </w:pPr>
            <w:r w:rsidRPr="00874EA2">
              <w:rPr>
                <w:rFonts w:ascii="Arial Narrow" w:hAnsi="Arial Narrow" w:eastAsia="Times New Roman" w:cs="Calibri"/>
                <w:b/>
                <w:color w:val="000000"/>
                <w:sz w:val="18"/>
                <w:szCs w:val="18"/>
              </w:rPr>
              <w:t>Net Incremental Change</w:t>
            </w:r>
          </w:p>
        </w:tc>
        <w:tc>
          <w:tcPr>
            <w:tcW w:w="900" w:type="dxa"/>
            <w:tcBorders>
              <w:top w:val="single" w:color="auto" w:sz="4" w:space="0"/>
              <w:left w:val="double" w:color="auto" w:sz="4" w:space="0"/>
              <w:bottom w:val="single" w:color="auto" w:sz="4" w:space="0"/>
              <w:right w:val="single" w:color="auto" w:sz="4" w:space="0"/>
            </w:tcBorders>
            <w:shd w:val="clear" w:color="auto" w:fill="auto"/>
            <w:noWrap/>
            <w:vAlign w:val="center"/>
          </w:tcPr>
          <w:p w:rsidRPr="005639A9" w:rsidR="00967CD5" w:rsidP="00F64D94" w:rsidRDefault="00967CD5" w14:paraId="1F5C88BD" w14:textId="77777777">
            <w:pPr>
              <w:jc w:val="right"/>
              <w:rPr>
                <w:rFonts w:ascii="Arial Narrow" w:hAnsi="Arial Narrow" w:cs="Calibri"/>
                <w:color w:val="000000"/>
                <w:sz w:val="18"/>
                <w:szCs w:val="18"/>
              </w:rPr>
            </w:pPr>
            <w:r>
              <w:rPr>
                <w:rFonts w:ascii="Arial Narrow" w:hAnsi="Arial Narrow" w:cs="Calibri"/>
                <w:b/>
                <w:bCs/>
                <w:color w:val="000000"/>
                <w:sz w:val="18"/>
                <w:szCs w:val="18"/>
              </w:rPr>
              <w:t>105,877</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5639A9" w:rsidR="00967CD5" w:rsidP="00F64D94" w:rsidRDefault="00967CD5" w14:paraId="3BF670FC" w14:textId="77777777">
            <w:pPr>
              <w:jc w:val="right"/>
              <w:rPr>
                <w:rFonts w:ascii="Arial Narrow" w:hAnsi="Arial Narrow" w:cs="Calibri"/>
                <w:color w:val="000000"/>
                <w:sz w:val="18"/>
                <w:szCs w:val="18"/>
              </w:rPr>
            </w:pPr>
            <w:r>
              <w:rPr>
                <w:rFonts w:ascii="Arial Narrow" w:hAnsi="Arial Narrow" w:cs="Calibri"/>
                <w:b/>
                <w:bCs/>
                <w:color w:val="000000"/>
                <w:sz w:val="18"/>
                <w:szCs w:val="18"/>
              </w:rPr>
              <w:t>$8,214,798</w:t>
            </w:r>
          </w:p>
        </w:tc>
      </w:tr>
      <w:tr w:rsidRPr="00945F41" w:rsidR="00967CD5" w:rsidTr="00F64D94" w14:paraId="7035A210" w14:textId="77777777">
        <w:trPr>
          <w:jc w:val="center"/>
        </w:trPr>
        <w:tc>
          <w:tcPr>
            <w:tcW w:w="9630" w:type="dxa"/>
            <w:gridSpan w:val="8"/>
            <w:tcBorders>
              <w:top w:val="single" w:color="auto" w:sz="4" w:space="0"/>
              <w:left w:val="single" w:color="auto" w:sz="4" w:space="0"/>
              <w:right w:val="single" w:color="auto" w:sz="4" w:space="0"/>
            </w:tcBorders>
            <w:shd w:val="clear" w:color="auto" w:fill="auto"/>
          </w:tcPr>
          <w:p w:rsidRPr="00874EA2" w:rsidR="00967CD5" w:rsidP="00F64D94" w:rsidRDefault="00967CD5" w14:paraId="13319534" w14:textId="77777777">
            <w:pPr>
              <w:rPr>
                <w:rFonts w:ascii="Arial Narrow" w:hAnsi="Arial Narrow" w:cs="Calibri"/>
                <w:bCs/>
                <w:color w:val="000000"/>
                <w:sz w:val="18"/>
                <w:szCs w:val="18"/>
              </w:rPr>
            </w:pPr>
            <w:r w:rsidRPr="00874EA2">
              <w:rPr>
                <w:rFonts w:ascii="Arial Narrow" w:hAnsi="Arial Narrow" w:cs="Calibri"/>
                <w:bCs/>
                <w:color w:val="000000"/>
                <w:sz w:val="18"/>
                <w:szCs w:val="18"/>
              </w:rPr>
              <w:t>Footnote</w:t>
            </w:r>
            <w:r>
              <w:rPr>
                <w:rFonts w:ascii="Arial Narrow" w:hAnsi="Arial Narrow" w:cs="Calibri"/>
                <w:bCs/>
                <w:color w:val="000000"/>
                <w:sz w:val="18"/>
                <w:szCs w:val="18"/>
              </w:rPr>
              <w:t>s</w:t>
            </w:r>
            <w:r w:rsidRPr="00874EA2">
              <w:rPr>
                <w:rFonts w:ascii="Arial Narrow" w:hAnsi="Arial Narrow" w:cs="Calibri"/>
                <w:bCs/>
                <w:color w:val="000000"/>
                <w:sz w:val="18"/>
                <w:szCs w:val="18"/>
              </w:rPr>
              <w:t>:</w:t>
            </w:r>
            <w:bookmarkStart w:name="_GoBack" w:id="76"/>
            <w:bookmarkEnd w:id="76"/>
          </w:p>
        </w:tc>
      </w:tr>
      <w:tr w:rsidRPr="00945F41" w:rsidR="00967CD5" w:rsidTr="00F64D94" w14:paraId="24F5CF7B" w14:textId="77777777">
        <w:trPr>
          <w:jc w:val="center"/>
        </w:trPr>
        <w:tc>
          <w:tcPr>
            <w:tcW w:w="270" w:type="dxa"/>
            <w:tcBorders>
              <w:left w:val="single" w:color="auto" w:sz="4" w:space="0"/>
            </w:tcBorders>
            <w:shd w:val="clear" w:color="auto" w:fill="auto"/>
          </w:tcPr>
          <w:p w:rsidR="00967CD5" w:rsidP="00F64D94" w:rsidRDefault="00967CD5" w14:paraId="5497262A" w14:textId="77777777">
            <w:pPr>
              <w:jc w:val="right"/>
              <w:rPr>
                <w:rFonts w:ascii="Arial Narrow" w:hAnsi="Arial Narrow" w:eastAsia="Times New Roman" w:cs="Calibri"/>
                <w:b/>
                <w:color w:val="000000"/>
                <w:sz w:val="18"/>
                <w:szCs w:val="18"/>
                <w:vertAlign w:val="superscript"/>
              </w:rPr>
            </w:pPr>
            <w:r>
              <w:rPr>
                <w:rFonts w:ascii="Arial Narrow" w:hAnsi="Arial Narrow" w:eastAsia="Times New Roman" w:cs="Calibri"/>
                <w:b/>
                <w:color w:val="000000"/>
                <w:sz w:val="18"/>
                <w:szCs w:val="18"/>
                <w:vertAlign w:val="superscript"/>
              </w:rPr>
              <w:t>1</w:t>
            </w:r>
          </w:p>
        </w:tc>
        <w:tc>
          <w:tcPr>
            <w:tcW w:w="9360" w:type="dxa"/>
            <w:gridSpan w:val="7"/>
            <w:tcBorders>
              <w:right w:val="single" w:color="auto" w:sz="4" w:space="0"/>
            </w:tcBorders>
            <w:shd w:val="clear" w:color="auto" w:fill="auto"/>
            <w:noWrap/>
          </w:tcPr>
          <w:p w:rsidRPr="00995019" w:rsidR="00967CD5" w:rsidP="00821559" w:rsidRDefault="00967CD5" w14:paraId="459FF7E4" w14:textId="70C640C6">
            <w:pPr>
              <w:pStyle w:val="Footnotetables"/>
              <w:ind w:left="0" w:firstLine="0"/>
              <w:rPr>
                <w:rFonts w:cs="Calibri"/>
                <w:bCs/>
                <w:color w:val="000000"/>
                <w:szCs w:val="18"/>
              </w:rPr>
            </w:pPr>
            <w:r w:rsidRPr="00995019">
              <w:rPr>
                <w:rFonts w:cs="Calibri"/>
                <w:bCs/>
                <w:color w:val="000000"/>
                <w:szCs w:val="18"/>
              </w:rPr>
              <w:t>Estimates of incremental until burden and unit cost are back-calculated to ensure table presentation consistency, and therefore differ slightly from corresponding estimates in</w:t>
            </w:r>
            <w:r w:rsidR="00F41F65">
              <w:rPr>
                <w:rFonts w:cs="Calibri"/>
                <w:bCs/>
                <w:color w:val="000000"/>
                <w:szCs w:val="18"/>
              </w:rPr>
              <w:t xml:space="preserve"> </w:t>
            </w:r>
            <w:r w:rsidR="00F41F65">
              <w:rPr>
                <w:rFonts w:cs="Calibri"/>
                <w:bCs/>
                <w:color w:val="000000"/>
                <w:szCs w:val="18"/>
              </w:rPr>
              <w:fldChar w:fldCharType="begin"/>
            </w:r>
            <w:r w:rsidR="00F41F65">
              <w:rPr>
                <w:rFonts w:cs="Calibri"/>
                <w:bCs/>
                <w:color w:val="000000"/>
                <w:szCs w:val="18"/>
              </w:rPr>
              <w:instrText xml:space="preserve"> REF _Ref33190998 \h </w:instrText>
            </w:r>
            <w:r w:rsidR="00F41F65">
              <w:rPr>
                <w:rFonts w:cs="Calibri"/>
                <w:bCs/>
                <w:color w:val="000000"/>
                <w:szCs w:val="18"/>
              </w:rPr>
            </w:r>
            <w:r w:rsidR="00F41F65">
              <w:rPr>
                <w:rFonts w:cs="Calibri"/>
                <w:bCs/>
                <w:color w:val="000000"/>
                <w:szCs w:val="18"/>
              </w:rPr>
              <w:fldChar w:fldCharType="separate"/>
            </w:r>
            <w:r w:rsidRPr="007375F8" w:rsidR="00B77137">
              <w:rPr>
                <w:szCs w:val="24"/>
              </w:rPr>
              <w:t xml:space="preserve">Table </w:t>
            </w:r>
            <w:r w:rsidR="00B77137">
              <w:rPr>
                <w:noProof/>
                <w:szCs w:val="24"/>
              </w:rPr>
              <w:t>3</w:t>
            </w:r>
            <w:r w:rsidR="00F41F65">
              <w:rPr>
                <w:rFonts w:cs="Calibri"/>
                <w:bCs/>
                <w:color w:val="000000"/>
                <w:szCs w:val="18"/>
              </w:rPr>
              <w:fldChar w:fldCharType="end"/>
            </w:r>
            <w:r w:rsidRPr="00995019">
              <w:rPr>
                <w:rFonts w:cs="Calibri"/>
                <w:bCs/>
                <w:color w:val="000000"/>
                <w:szCs w:val="18"/>
              </w:rPr>
              <w:t xml:space="preserve">, </w:t>
            </w:r>
            <w:r w:rsidR="00F41F65">
              <w:rPr>
                <w:rFonts w:cs="Calibri"/>
                <w:bCs/>
                <w:color w:val="000000"/>
                <w:szCs w:val="18"/>
              </w:rPr>
              <w:fldChar w:fldCharType="begin"/>
            </w:r>
            <w:r w:rsidR="00F41F65">
              <w:rPr>
                <w:rFonts w:cs="Calibri"/>
                <w:bCs/>
                <w:color w:val="000000"/>
                <w:szCs w:val="18"/>
              </w:rPr>
              <w:instrText xml:space="preserve"> REF _Ref33191021 \h </w:instrText>
            </w:r>
            <w:r w:rsidR="00F41F65">
              <w:rPr>
                <w:rFonts w:cs="Calibri"/>
                <w:bCs/>
                <w:color w:val="000000"/>
                <w:szCs w:val="18"/>
              </w:rPr>
            </w:r>
            <w:r w:rsidR="00F41F65">
              <w:rPr>
                <w:rFonts w:cs="Calibri"/>
                <w:bCs/>
                <w:color w:val="000000"/>
                <w:szCs w:val="18"/>
              </w:rPr>
              <w:fldChar w:fldCharType="separate"/>
            </w:r>
            <w:r w:rsidRPr="007375F8" w:rsidR="00B77137">
              <w:rPr>
                <w:szCs w:val="24"/>
              </w:rPr>
              <w:t xml:space="preserve">Table </w:t>
            </w:r>
            <w:r w:rsidR="00B77137">
              <w:rPr>
                <w:noProof/>
                <w:szCs w:val="24"/>
              </w:rPr>
              <w:t>4</w:t>
            </w:r>
            <w:r w:rsidR="00F41F65">
              <w:rPr>
                <w:rFonts w:cs="Calibri"/>
                <w:bCs/>
                <w:color w:val="000000"/>
                <w:szCs w:val="18"/>
              </w:rPr>
              <w:fldChar w:fldCharType="end"/>
            </w:r>
            <w:r w:rsidRPr="00995019">
              <w:rPr>
                <w:rFonts w:cs="Calibri"/>
                <w:bCs/>
                <w:color w:val="000000"/>
                <w:szCs w:val="18"/>
              </w:rPr>
              <w:t xml:space="preserve">, and </w:t>
            </w:r>
            <w:r w:rsidR="00F41F65">
              <w:rPr>
                <w:rFonts w:cs="Calibri"/>
                <w:bCs/>
                <w:color w:val="000000"/>
                <w:szCs w:val="18"/>
              </w:rPr>
              <w:fldChar w:fldCharType="begin"/>
            </w:r>
            <w:r w:rsidR="00F41F65">
              <w:rPr>
                <w:rFonts w:cs="Calibri"/>
                <w:bCs/>
                <w:color w:val="000000"/>
                <w:szCs w:val="18"/>
              </w:rPr>
              <w:instrText xml:space="preserve"> REF _Ref33191040 \h </w:instrText>
            </w:r>
            <w:r w:rsidR="00F41F65">
              <w:rPr>
                <w:rFonts w:cs="Calibri"/>
                <w:bCs/>
                <w:color w:val="000000"/>
                <w:szCs w:val="18"/>
              </w:rPr>
            </w:r>
            <w:r w:rsidR="00F41F65">
              <w:rPr>
                <w:rFonts w:cs="Calibri"/>
                <w:bCs/>
                <w:color w:val="000000"/>
                <w:szCs w:val="18"/>
              </w:rPr>
              <w:fldChar w:fldCharType="separate"/>
            </w:r>
            <w:r w:rsidRPr="0045734C" w:rsidR="00B77137">
              <w:rPr>
                <w:szCs w:val="24"/>
              </w:rPr>
              <w:t xml:space="preserve">Table </w:t>
            </w:r>
            <w:r w:rsidR="00B77137">
              <w:rPr>
                <w:noProof/>
                <w:szCs w:val="24"/>
              </w:rPr>
              <w:t>5</w:t>
            </w:r>
            <w:r w:rsidR="00F41F65">
              <w:rPr>
                <w:rFonts w:cs="Calibri"/>
                <w:bCs/>
                <w:color w:val="000000"/>
                <w:szCs w:val="18"/>
              </w:rPr>
              <w:fldChar w:fldCharType="end"/>
            </w:r>
            <w:r w:rsidR="00F41F65">
              <w:rPr>
                <w:rFonts w:cs="Calibri"/>
                <w:bCs/>
                <w:color w:val="000000"/>
                <w:szCs w:val="18"/>
              </w:rPr>
              <w:t xml:space="preserve"> </w:t>
            </w:r>
            <w:r w:rsidRPr="00995019">
              <w:rPr>
                <w:rFonts w:cs="Calibri"/>
                <w:bCs/>
                <w:color w:val="000000"/>
                <w:szCs w:val="18"/>
              </w:rPr>
              <w:t>in this document.</w:t>
            </w:r>
          </w:p>
        </w:tc>
      </w:tr>
      <w:tr w:rsidRPr="00945F41" w:rsidR="00967CD5" w:rsidTr="00F64D94" w14:paraId="428EACB9" w14:textId="77777777">
        <w:trPr>
          <w:jc w:val="center"/>
        </w:trPr>
        <w:tc>
          <w:tcPr>
            <w:tcW w:w="270" w:type="dxa"/>
            <w:tcBorders>
              <w:left w:val="single" w:color="auto" w:sz="4" w:space="0"/>
              <w:bottom w:val="single" w:color="auto" w:sz="4" w:space="0"/>
            </w:tcBorders>
            <w:shd w:val="clear" w:color="auto" w:fill="auto"/>
          </w:tcPr>
          <w:p w:rsidRPr="00874EA2" w:rsidR="00967CD5" w:rsidP="00F64D94" w:rsidRDefault="00967CD5" w14:paraId="05255982" w14:textId="77777777">
            <w:pPr>
              <w:jc w:val="right"/>
              <w:rPr>
                <w:rFonts w:ascii="Arial Narrow" w:hAnsi="Arial Narrow" w:eastAsia="Times New Roman" w:cs="Calibri"/>
                <w:b/>
                <w:color w:val="000000"/>
                <w:sz w:val="18"/>
                <w:szCs w:val="18"/>
                <w:vertAlign w:val="superscript"/>
              </w:rPr>
            </w:pPr>
            <w:r>
              <w:rPr>
                <w:rFonts w:ascii="Arial Narrow" w:hAnsi="Arial Narrow" w:eastAsia="Times New Roman" w:cs="Calibri"/>
                <w:b/>
                <w:color w:val="000000"/>
                <w:sz w:val="18"/>
                <w:szCs w:val="18"/>
                <w:vertAlign w:val="superscript"/>
              </w:rPr>
              <w:t>2</w:t>
            </w:r>
          </w:p>
        </w:tc>
        <w:tc>
          <w:tcPr>
            <w:tcW w:w="9360" w:type="dxa"/>
            <w:gridSpan w:val="7"/>
            <w:tcBorders>
              <w:bottom w:val="single" w:color="auto" w:sz="4" w:space="0"/>
              <w:right w:val="single" w:color="auto" w:sz="4" w:space="0"/>
            </w:tcBorders>
            <w:shd w:val="clear" w:color="auto" w:fill="auto"/>
            <w:noWrap/>
          </w:tcPr>
          <w:p w:rsidRPr="00874EA2" w:rsidR="00967CD5" w:rsidP="00F64D94" w:rsidRDefault="00967CD5" w14:paraId="04E79012" w14:textId="5FE6EA8C">
            <w:pPr>
              <w:rPr>
                <w:rFonts w:ascii="Arial Narrow" w:hAnsi="Arial Narrow" w:cs="Calibri"/>
                <w:bCs/>
                <w:color w:val="000000"/>
                <w:sz w:val="18"/>
                <w:szCs w:val="18"/>
              </w:rPr>
            </w:pPr>
            <w:r w:rsidRPr="00874EA2">
              <w:rPr>
                <w:rFonts w:ascii="Arial Narrow" w:hAnsi="Arial Narrow" w:cs="Calibri"/>
                <w:bCs/>
                <w:color w:val="000000"/>
                <w:sz w:val="18"/>
                <w:szCs w:val="18"/>
              </w:rPr>
              <w:t xml:space="preserve">Note that the calculations in the top half of this table apply the unit burdens to the entire baseline reporting universe. This “calculation in parallel” is necessary to separately present the distinct provisions of the </w:t>
            </w:r>
            <w:r>
              <w:rPr>
                <w:rFonts w:ascii="Arial Narrow" w:hAnsi="Arial Narrow" w:cs="Calibri"/>
                <w:bCs/>
                <w:color w:val="000000"/>
                <w:sz w:val="18"/>
                <w:szCs w:val="18"/>
              </w:rPr>
              <w:t>final rule</w:t>
            </w:r>
            <w:r w:rsidRPr="00874EA2">
              <w:rPr>
                <w:rFonts w:ascii="Arial Narrow" w:hAnsi="Arial Narrow" w:cs="Calibri"/>
                <w:bCs/>
                <w:color w:val="000000"/>
                <w:sz w:val="18"/>
                <w:szCs w:val="18"/>
              </w:rPr>
              <w:t xml:space="preserve"> and to reconcile estimates across </w:t>
            </w:r>
            <w:r>
              <w:rPr>
                <w:rFonts w:ascii="Arial Narrow" w:hAnsi="Arial Narrow" w:cs="Calibri"/>
                <w:bCs/>
                <w:color w:val="000000"/>
                <w:sz w:val="18"/>
                <w:szCs w:val="18"/>
              </w:rPr>
              <w:t>the</w:t>
            </w:r>
            <w:r w:rsidRPr="00874EA2">
              <w:rPr>
                <w:rFonts w:ascii="Arial Narrow" w:hAnsi="Arial Narrow" w:cs="Calibri"/>
                <w:bCs/>
                <w:color w:val="000000"/>
                <w:sz w:val="18"/>
                <w:szCs w:val="18"/>
              </w:rPr>
              <w:t xml:space="preserve"> EA and this ICR Addendum. See Section</w:t>
            </w:r>
            <w:r w:rsidR="00995019">
              <w:rPr>
                <w:rFonts w:ascii="Arial Narrow" w:hAnsi="Arial Narrow" w:cs="Calibri"/>
                <w:bCs/>
                <w:color w:val="000000"/>
                <w:sz w:val="18"/>
                <w:szCs w:val="18"/>
              </w:rPr>
              <w:t xml:space="preserve"> 6</w:t>
            </w:r>
            <w:r w:rsidRPr="00874EA2">
              <w:rPr>
                <w:rFonts w:ascii="Arial Narrow" w:hAnsi="Arial Narrow" w:cs="Calibri"/>
                <w:bCs/>
                <w:color w:val="000000"/>
                <w:sz w:val="18"/>
                <w:szCs w:val="18"/>
              </w:rPr>
              <w:t xml:space="preserve"> for more information on different calculation methodologies.</w:t>
            </w:r>
          </w:p>
        </w:tc>
      </w:tr>
    </w:tbl>
    <w:p w:rsidRPr="004909CD" w:rsidR="004909CD" w:rsidP="004909CD" w:rsidRDefault="004909CD" w14:paraId="2B3EF554" w14:textId="77777777">
      <w:pPr>
        <w:pStyle w:val="NoSpacing"/>
      </w:pPr>
    </w:p>
    <w:p w:rsidR="008665D4" w:rsidP="008665D4" w:rsidRDefault="00A954FA" w14:paraId="56F2F6F1" w14:textId="30DC5182">
      <w:pPr>
        <w:pStyle w:val="BodyText"/>
      </w:pPr>
      <w:r>
        <w:fldChar w:fldCharType="begin"/>
      </w:r>
      <w:r>
        <w:instrText xml:space="preserve"> REF _Ref33191274 \h </w:instrText>
      </w:r>
      <w:r>
        <w:fldChar w:fldCharType="separate"/>
      </w:r>
      <w:r w:rsidRPr="008665D4" w:rsidR="005B1BB5">
        <w:rPr>
          <w:szCs w:val="24"/>
        </w:rPr>
        <w:t xml:space="preserve">Table </w:t>
      </w:r>
      <w:r w:rsidR="005B1BB5">
        <w:rPr>
          <w:noProof/>
          <w:szCs w:val="24"/>
        </w:rPr>
        <w:t>8</w:t>
      </w:r>
      <w:r>
        <w:fldChar w:fldCharType="end"/>
      </w:r>
      <w:r>
        <w:t xml:space="preserve"> </w:t>
      </w:r>
      <w:r w:rsidR="008665D4">
        <w:t xml:space="preserve">presents the bottom-line </w:t>
      </w:r>
      <w:r w:rsidR="002719CF">
        <w:t xml:space="preserve">reporter </w:t>
      </w:r>
      <w:r w:rsidR="008665D4">
        <w:t>burden and cost, including average annual and ICR Renewal Period totals under the final rule.</w:t>
      </w:r>
    </w:p>
    <w:p w:rsidR="00776D34" w:rsidP="008665D4" w:rsidRDefault="00776D34" w14:paraId="65A5BCED" w14:textId="77777777">
      <w:pPr>
        <w:pStyle w:val="BodyText"/>
      </w:pPr>
    </w:p>
    <w:tbl>
      <w:tblPr>
        <w:tblW w:w="5000" w:type="pct"/>
        <w:jc w:val="center"/>
        <w:tblLook w:val="04A0" w:firstRow="1" w:lastRow="0" w:firstColumn="1" w:lastColumn="0" w:noHBand="0" w:noVBand="1"/>
      </w:tblPr>
      <w:tblGrid>
        <w:gridCol w:w="1039"/>
        <w:gridCol w:w="614"/>
        <w:gridCol w:w="614"/>
        <w:gridCol w:w="614"/>
        <w:gridCol w:w="614"/>
        <w:gridCol w:w="1802"/>
        <w:gridCol w:w="1797"/>
        <w:gridCol w:w="1726"/>
        <w:gridCol w:w="1260"/>
      </w:tblGrid>
      <w:tr w:rsidRPr="00E562D4" w:rsidR="008665D4" w:rsidTr="00C7037B" w14:paraId="721B4A87" w14:textId="77777777">
        <w:trPr>
          <w:tblHeader/>
          <w:jc w:val="center"/>
        </w:trPr>
        <w:tc>
          <w:tcPr>
            <w:tcW w:w="10080" w:type="dxa"/>
            <w:gridSpan w:val="9"/>
            <w:tcBorders>
              <w:top w:val="nil"/>
              <w:left w:val="nil"/>
              <w:bottom w:val="nil"/>
              <w:right w:val="nil"/>
            </w:tcBorders>
            <w:shd w:val="clear" w:color="auto" w:fill="auto"/>
            <w:vAlign w:val="bottom"/>
            <w:hideMark/>
          </w:tcPr>
          <w:p w:rsidRPr="008665D4" w:rsidR="008665D4" w:rsidP="00C935A8" w:rsidRDefault="008665D4" w14:paraId="41F86A85" w14:textId="4D9704AE">
            <w:pPr>
              <w:pStyle w:val="Caption"/>
              <w:rPr>
                <w:szCs w:val="24"/>
              </w:rPr>
            </w:pPr>
            <w:bookmarkStart w:name="_Ref33191274" w:id="77"/>
            <w:bookmarkStart w:name="_Ref526352582" w:id="78"/>
            <w:bookmarkStart w:name="_Ref524348159" w:id="79"/>
            <w:bookmarkStart w:name="_Ref525022899" w:id="80"/>
            <w:bookmarkStart w:name="_Ref524474085" w:id="81"/>
            <w:bookmarkStart w:name="_Toc34230802" w:id="82"/>
            <w:r w:rsidRPr="008665D4">
              <w:rPr>
                <w:szCs w:val="24"/>
              </w:rPr>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8</w:t>
            </w:r>
            <w:r w:rsidR="00F574F4">
              <w:rPr>
                <w:szCs w:val="24"/>
              </w:rPr>
              <w:fldChar w:fldCharType="end"/>
            </w:r>
            <w:bookmarkEnd w:id="77"/>
            <w:bookmarkEnd w:id="78"/>
            <w:bookmarkEnd w:id="79"/>
            <w:bookmarkEnd w:id="80"/>
            <w:r w:rsidRPr="008665D4">
              <w:rPr>
                <w:szCs w:val="24"/>
              </w:rPr>
              <w:t>: Annual Average and Overall Incremental Burden and Cost for the ICR Renewal Period</w:t>
            </w:r>
            <w:bookmarkEnd w:id="81"/>
            <w:bookmarkEnd w:id="82"/>
          </w:p>
        </w:tc>
      </w:tr>
      <w:tr w:rsidRPr="00E562D4" w:rsidR="008665D4" w:rsidTr="00C7037B" w14:paraId="07909AD9" w14:textId="77777777">
        <w:trPr>
          <w:tblHeader/>
          <w:jc w:val="center"/>
        </w:trPr>
        <w:tc>
          <w:tcPr>
            <w:tcW w:w="1039"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1C07118F"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Burden Category</w:t>
            </w:r>
          </w:p>
        </w:tc>
        <w:tc>
          <w:tcPr>
            <w:tcW w:w="2456" w:type="dxa"/>
            <w:gridSpan w:val="4"/>
            <w:tcBorders>
              <w:top w:val="single" w:color="auto" w:sz="4" w:space="0"/>
              <w:left w:val="nil"/>
              <w:bottom w:val="single" w:color="auto" w:sz="4" w:space="0"/>
              <w:right w:val="double" w:color="auto" w:sz="6" w:space="0"/>
            </w:tcBorders>
            <w:shd w:val="clear" w:color="auto" w:fill="BFBFBF" w:themeFill="background1" w:themeFillShade="BF"/>
            <w:noWrap/>
            <w:vAlign w:val="bottom"/>
            <w:hideMark/>
          </w:tcPr>
          <w:p w:rsidRPr="00BF4E58" w:rsidR="008665D4" w:rsidP="00C935A8" w:rsidRDefault="008665D4" w14:paraId="56395FCF"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CDR Reporting Cycle Burden</w:t>
            </w:r>
            <w:r>
              <w:rPr>
                <w:rFonts w:ascii="Arial Narrow" w:hAnsi="Arial Narrow" w:eastAsia="Times New Roman" w:cs="Calibri"/>
                <w:b/>
                <w:bCs/>
                <w:color w:val="000000"/>
                <w:sz w:val="18"/>
                <w:szCs w:val="18"/>
              </w:rPr>
              <w:t xml:space="preserve"> (hours) </w:t>
            </w:r>
          </w:p>
        </w:tc>
        <w:tc>
          <w:tcPr>
            <w:tcW w:w="3599" w:type="dxa"/>
            <w:gridSpan w:val="2"/>
            <w:tcBorders>
              <w:top w:val="single" w:color="auto" w:sz="4" w:space="0"/>
              <w:left w:val="double" w:color="auto" w:sz="6" w:space="0"/>
              <w:bottom w:val="single" w:color="auto" w:sz="4" w:space="0"/>
              <w:right w:val="double" w:color="000000" w:themeColor="text1" w:sz="6" w:space="0"/>
            </w:tcBorders>
            <w:shd w:val="clear" w:color="auto" w:fill="BFBFBF" w:themeFill="background1" w:themeFillShade="BF"/>
            <w:vAlign w:val="bottom"/>
            <w:hideMark/>
          </w:tcPr>
          <w:p w:rsidRPr="00BF4E58" w:rsidR="008665D4" w:rsidP="00C935A8" w:rsidRDefault="008665D4" w14:paraId="721D5F43"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Both CDR Cycle and ICR Renewal Period</w:t>
            </w:r>
          </w:p>
        </w:tc>
        <w:tc>
          <w:tcPr>
            <w:tcW w:w="2986" w:type="dxa"/>
            <w:gridSpan w:val="2"/>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6BDC9016"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ICR Renewal Period</w:t>
            </w:r>
            <w:r w:rsidRPr="00BF4E58">
              <w:rPr>
                <w:rFonts w:ascii="Arial Narrow" w:hAnsi="Arial Narrow" w:eastAsia="Times New Roman" w:cs="Calibri"/>
                <w:b/>
                <w:bCs/>
                <w:color w:val="000000"/>
                <w:sz w:val="18"/>
                <w:szCs w:val="18"/>
              </w:rPr>
              <w:br/>
              <w:t>(Nov '18 - Nov '21)</w:t>
            </w:r>
          </w:p>
        </w:tc>
      </w:tr>
      <w:tr w:rsidRPr="00E562D4" w:rsidR="008665D4" w:rsidTr="00C7037B" w14:paraId="19265BB6" w14:textId="77777777">
        <w:trPr>
          <w:tblHeader/>
          <w:jc w:val="center"/>
        </w:trPr>
        <w:tc>
          <w:tcPr>
            <w:tcW w:w="1039" w:type="dxa"/>
            <w:vMerge/>
            <w:tcBorders>
              <w:top w:val="single" w:color="auto" w:sz="4" w:space="0"/>
              <w:left w:val="single" w:color="auto" w:sz="4" w:space="0"/>
              <w:bottom w:val="single" w:color="auto" w:sz="4" w:space="0"/>
              <w:right w:val="single" w:color="auto" w:sz="4" w:space="0"/>
            </w:tcBorders>
            <w:vAlign w:val="bottom"/>
            <w:hideMark/>
          </w:tcPr>
          <w:p w:rsidRPr="00BF4E58" w:rsidR="008665D4" w:rsidP="00C935A8" w:rsidRDefault="008665D4" w14:paraId="51913E3D" w14:textId="77777777">
            <w:pPr>
              <w:jc w:val="center"/>
              <w:rPr>
                <w:rFonts w:ascii="Arial Narrow" w:hAnsi="Arial Narrow" w:eastAsia="Times New Roman" w:cs="Calibri"/>
                <w:b/>
                <w:bCs/>
                <w:color w:val="000000"/>
                <w:sz w:val="18"/>
                <w:szCs w:val="18"/>
              </w:rPr>
            </w:pPr>
          </w:p>
        </w:tc>
        <w:tc>
          <w:tcPr>
            <w:tcW w:w="61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4C0D87F8" w14:textId="77777777">
            <w:pPr>
              <w:jc w:val="center"/>
              <w:rPr>
                <w:rFonts w:ascii="Arial Narrow" w:hAnsi="Arial Narrow" w:eastAsia="Times New Roman" w:cs="Calibri"/>
                <w:b/>
                <w:bCs/>
                <w:color w:val="000000" w:themeColor="text1"/>
                <w:sz w:val="18"/>
                <w:szCs w:val="18"/>
              </w:rPr>
            </w:pPr>
            <w:r w:rsidRPr="00BF4E58">
              <w:rPr>
                <w:rFonts w:ascii="Arial Narrow" w:hAnsi="Arial Narrow" w:eastAsia="Times New Roman" w:cs="Calibri"/>
                <w:b/>
                <w:bCs/>
                <w:color w:val="000000" w:themeColor="text1"/>
                <w:sz w:val="18"/>
                <w:szCs w:val="18"/>
              </w:rPr>
              <w:t>2016</w:t>
            </w:r>
          </w:p>
        </w:tc>
        <w:tc>
          <w:tcPr>
            <w:tcW w:w="614"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3E261ED1" w14:textId="77777777">
            <w:pPr>
              <w:jc w:val="center"/>
              <w:rPr>
                <w:rFonts w:ascii="Arial Narrow" w:hAnsi="Arial Narrow" w:eastAsia="Times New Roman" w:cs="Calibri"/>
                <w:b/>
                <w:bCs/>
                <w:color w:val="000000" w:themeColor="text1"/>
                <w:sz w:val="18"/>
                <w:szCs w:val="18"/>
              </w:rPr>
            </w:pPr>
            <w:r w:rsidRPr="00BF4E58">
              <w:rPr>
                <w:rFonts w:ascii="Arial Narrow" w:hAnsi="Arial Narrow" w:eastAsia="Times New Roman" w:cs="Calibri"/>
                <w:b/>
                <w:bCs/>
                <w:color w:val="000000" w:themeColor="text1"/>
                <w:sz w:val="18"/>
                <w:szCs w:val="18"/>
              </w:rPr>
              <w:t>2017</w:t>
            </w:r>
          </w:p>
        </w:tc>
        <w:tc>
          <w:tcPr>
            <w:tcW w:w="614" w:type="dxa"/>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57791D14" w14:textId="77777777">
            <w:pPr>
              <w:jc w:val="center"/>
              <w:rPr>
                <w:rFonts w:ascii="Arial Narrow" w:hAnsi="Arial Narrow" w:eastAsia="Times New Roman" w:cs="Calibri"/>
                <w:b/>
                <w:bCs/>
                <w:color w:val="000000" w:themeColor="text1"/>
                <w:sz w:val="18"/>
                <w:szCs w:val="18"/>
              </w:rPr>
            </w:pPr>
            <w:r w:rsidRPr="00BF4E58">
              <w:rPr>
                <w:rFonts w:ascii="Arial Narrow" w:hAnsi="Arial Narrow" w:eastAsia="Times New Roman" w:cs="Calibri"/>
                <w:b/>
                <w:bCs/>
                <w:color w:val="000000" w:themeColor="text1"/>
                <w:sz w:val="18"/>
                <w:szCs w:val="18"/>
              </w:rPr>
              <w:t>2018</w:t>
            </w:r>
          </w:p>
        </w:tc>
        <w:tc>
          <w:tcPr>
            <w:tcW w:w="614" w:type="dxa"/>
            <w:tcBorders>
              <w:top w:val="nil"/>
              <w:left w:val="single" w:color="auto" w:sz="4" w:space="0"/>
              <w:bottom w:val="single" w:color="auto" w:sz="4" w:space="0"/>
              <w:right w:val="nil"/>
            </w:tcBorders>
            <w:shd w:val="clear" w:color="auto" w:fill="BFBFBF" w:themeFill="background1" w:themeFillShade="BF"/>
            <w:vAlign w:val="bottom"/>
            <w:hideMark/>
          </w:tcPr>
          <w:p w:rsidRPr="00BF4E58" w:rsidR="008665D4" w:rsidP="00C935A8" w:rsidRDefault="008665D4" w14:paraId="5C5D6A58" w14:textId="77777777">
            <w:pPr>
              <w:jc w:val="center"/>
              <w:rPr>
                <w:rFonts w:ascii="Arial Narrow" w:hAnsi="Arial Narrow" w:eastAsia="Times New Roman" w:cs="Calibri"/>
                <w:b/>
                <w:bCs/>
                <w:color w:val="000000" w:themeColor="text1"/>
                <w:sz w:val="18"/>
                <w:szCs w:val="18"/>
              </w:rPr>
            </w:pPr>
            <w:r w:rsidRPr="00BF4E58">
              <w:rPr>
                <w:rFonts w:ascii="Arial Narrow" w:hAnsi="Arial Narrow" w:eastAsia="Times New Roman" w:cs="Calibri"/>
                <w:b/>
                <w:bCs/>
                <w:color w:val="000000" w:themeColor="text1"/>
                <w:sz w:val="18"/>
                <w:szCs w:val="18"/>
              </w:rPr>
              <w:t>2019</w:t>
            </w:r>
          </w:p>
        </w:tc>
        <w:tc>
          <w:tcPr>
            <w:tcW w:w="1802" w:type="dxa"/>
            <w:tcBorders>
              <w:top w:val="nil"/>
              <w:left w:val="double" w:color="auto" w:sz="6" w:space="0"/>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06C5A942"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Annual Average Burden</w:t>
            </w:r>
            <w:r>
              <w:rPr>
                <w:rFonts w:ascii="Arial Narrow" w:hAnsi="Arial Narrow" w:eastAsia="Times New Roman" w:cs="Calibri"/>
                <w:b/>
                <w:bCs/>
                <w:color w:val="000000"/>
                <w:sz w:val="18"/>
                <w:szCs w:val="18"/>
              </w:rPr>
              <w:t xml:space="preserve"> (hours)</w:t>
            </w:r>
          </w:p>
        </w:tc>
        <w:tc>
          <w:tcPr>
            <w:tcW w:w="1797" w:type="dxa"/>
            <w:tcBorders>
              <w:top w:val="nil"/>
              <w:left w:val="nil"/>
              <w:bottom w:val="single" w:color="auto" w:sz="4" w:space="0"/>
              <w:right w:val="double" w:color="auto" w:sz="6" w:space="0"/>
            </w:tcBorders>
            <w:shd w:val="clear" w:color="auto" w:fill="BFBFBF" w:themeFill="background1" w:themeFillShade="BF"/>
            <w:vAlign w:val="bottom"/>
            <w:hideMark/>
          </w:tcPr>
          <w:p w:rsidRPr="00BF4E58" w:rsidR="008665D4" w:rsidP="00C935A8" w:rsidRDefault="008665D4" w14:paraId="67FB030B"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Annual Average Cost</w:t>
            </w:r>
            <w:r>
              <w:rPr>
                <w:rFonts w:ascii="Arial Narrow" w:hAnsi="Arial Narrow" w:eastAsia="Times New Roman" w:cs="Calibri"/>
                <w:b/>
                <w:bCs/>
                <w:color w:val="000000"/>
                <w:sz w:val="18"/>
                <w:szCs w:val="18"/>
              </w:rPr>
              <w:t xml:space="preserve"> (2018$)</w:t>
            </w:r>
          </w:p>
        </w:tc>
        <w:tc>
          <w:tcPr>
            <w:tcW w:w="1726" w:type="dxa"/>
            <w:tcBorders>
              <w:top w:val="nil"/>
              <w:left w:val="nil"/>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23B0B46F"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Total</w:t>
            </w:r>
            <w:r w:rsidRPr="00BF4E58">
              <w:rPr>
                <w:rFonts w:ascii="Arial Narrow" w:hAnsi="Arial Narrow" w:eastAsia="Times New Roman" w:cs="Calibri"/>
                <w:b/>
                <w:bCs/>
                <w:color w:val="000000"/>
                <w:sz w:val="18"/>
                <w:szCs w:val="18"/>
              </w:rPr>
              <w:br/>
              <w:t>Burden</w:t>
            </w:r>
            <w:r>
              <w:rPr>
                <w:rFonts w:ascii="Arial Narrow" w:hAnsi="Arial Narrow" w:eastAsia="Times New Roman" w:cs="Calibri"/>
                <w:b/>
                <w:bCs/>
                <w:color w:val="000000"/>
                <w:sz w:val="18"/>
                <w:szCs w:val="18"/>
              </w:rPr>
              <w:t xml:space="preserve"> (hours) </w:t>
            </w:r>
          </w:p>
        </w:tc>
        <w:tc>
          <w:tcPr>
            <w:tcW w:w="1260" w:type="dxa"/>
            <w:tcBorders>
              <w:top w:val="nil"/>
              <w:left w:val="nil"/>
              <w:bottom w:val="single" w:color="auto" w:sz="4" w:space="0"/>
              <w:right w:val="single" w:color="auto" w:sz="4" w:space="0"/>
            </w:tcBorders>
            <w:shd w:val="clear" w:color="auto" w:fill="BFBFBF" w:themeFill="background1" w:themeFillShade="BF"/>
            <w:vAlign w:val="bottom"/>
            <w:hideMark/>
          </w:tcPr>
          <w:p w:rsidRPr="00BF4E58" w:rsidR="008665D4" w:rsidP="00C935A8" w:rsidRDefault="008665D4" w14:paraId="4D06CE54" w14:textId="77777777">
            <w:pPr>
              <w:jc w:val="cente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Total</w:t>
            </w:r>
            <w:r>
              <w:rPr>
                <w:rFonts w:ascii="Arial Narrow" w:hAnsi="Arial Narrow" w:eastAsia="Times New Roman" w:cs="Calibri"/>
                <w:b/>
                <w:bCs/>
                <w:color w:val="000000"/>
                <w:sz w:val="18"/>
                <w:szCs w:val="18"/>
              </w:rPr>
              <w:t xml:space="preserve"> </w:t>
            </w:r>
            <w:r w:rsidRPr="00BF4E58">
              <w:rPr>
                <w:rFonts w:ascii="Arial Narrow" w:hAnsi="Arial Narrow" w:eastAsia="Times New Roman" w:cs="Calibri"/>
                <w:b/>
                <w:bCs/>
                <w:color w:val="000000"/>
                <w:sz w:val="18"/>
                <w:szCs w:val="18"/>
              </w:rPr>
              <w:t>Cost</w:t>
            </w:r>
            <w:r>
              <w:rPr>
                <w:rFonts w:ascii="Arial Narrow" w:hAnsi="Arial Narrow" w:eastAsia="Times New Roman" w:cs="Calibri"/>
                <w:b/>
                <w:bCs/>
                <w:color w:val="000000"/>
                <w:sz w:val="18"/>
                <w:szCs w:val="18"/>
              </w:rPr>
              <w:t xml:space="preserve"> (2018$)</w:t>
            </w:r>
          </w:p>
        </w:tc>
      </w:tr>
      <w:tr w:rsidRPr="00E562D4" w:rsidR="008665D4" w:rsidTr="00C7037B" w14:paraId="18021991" w14:textId="77777777">
        <w:trPr>
          <w:jc w:val="center"/>
        </w:trPr>
        <w:tc>
          <w:tcPr>
            <w:tcW w:w="1039" w:type="dxa"/>
            <w:tcBorders>
              <w:top w:val="nil"/>
              <w:left w:val="single" w:color="auto" w:sz="4" w:space="0"/>
              <w:bottom w:val="single" w:color="auto" w:sz="4" w:space="0"/>
              <w:right w:val="single" w:color="auto" w:sz="4" w:space="0"/>
            </w:tcBorders>
            <w:shd w:val="clear" w:color="auto" w:fill="auto"/>
            <w:vAlign w:val="center"/>
            <w:hideMark/>
          </w:tcPr>
          <w:p w:rsidRPr="00BF4E58" w:rsidR="008665D4" w:rsidP="00C935A8" w:rsidRDefault="008665D4" w14:paraId="6F991DDF" w14:textId="77777777">
            <w:pPr>
              <w:rPr>
                <w:rFonts w:ascii="Arial Narrow" w:hAnsi="Arial Narrow" w:eastAsia="Times New Roman" w:cs="Calibri"/>
                <w:b/>
                <w:bCs/>
                <w:color w:val="000000"/>
                <w:sz w:val="18"/>
                <w:szCs w:val="18"/>
              </w:rPr>
            </w:pPr>
            <w:r w:rsidRPr="00BF4E58">
              <w:rPr>
                <w:rFonts w:ascii="Arial Narrow" w:hAnsi="Arial Narrow" w:eastAsia="Times New Roman" w:cs="Calibri"/>
                <w:b/>
                <w:bCs/>
                <w:color w:val="000000"/>
                <w:sz w:val="18"/>
                <w:szCs w:val="18"/>
              </w:rPr>
              <w:t>Reporter Burden, Total</w:t>
            </w:r>
          </w:p>
        </w:tc>
        <w:tc>
          <w:tcPr>
            <w:tcW w:w="2456" w:type="dxa"/>
            <w:gridSpan w:val="4"/>
            <w:tcBorders>
              <w:top w:val="single" w:color="auto" w:sz="4" w:space="0"/>
              <w:left w:val="nil"/>
              <w:bottom w:val="single" w:color="auto" w:sz="4" w:space="0"/>
              <w:right w:val="single" w:color="auto" w:sz="4" w:space="0"/>
            </w:tcBorders>
            <w:shd w:val="clear" w:color="auto" w:fill="auto"/>
            <w:noWrap/>
            <w:vAlign w:val="center"/>
            <w:hideMark/>
          </w:tcPr>
          <w:p w:rsidRPr="00BF4E58" w:rsidR="008665D4" w:rsidP="00C935A8" w:rsidRDefault="008665D4" w14:paraId="601BDC29" w14:textId="77777777">
            <w:pPr>
              <w:jc w:val="center"/>
              <w:rPr>
                <w:rFonts w:ascii="Arial Narrow" w:hAnsi="Arial Narrow" w:eastAsia="Times New Roman" w:cs="Calibri"/>
                <w:b/>
                <w:bCs/>
                <w:color w:val="000000" w:themeColor="text1"/>
                <w:sz w:val="18"/>
                <w:szCs w:val="18"/>
              </w:rPr>
            </w:pPr>
            <w:r>
              <w:rPr>
                <w:rFonts w:ascii="Arial Narrow" w:hAnsi="Arial Narrow" w:cs="Calibri"/>
                <w:b/>
                <w:bCs/>
                <w:color w:val="000000"/>
                <w:sz w:val="18"/>
                <w:szCs w:val="18"/>
              </w:rPr>
              <w:t>105,877</w:t>
            </w:r>
          </w:p>
        </w:tc>
        <w:tc>
          <w:tcPr>
            <w:tcW w:w="1802" w:type="dxa"/>
            <w:tcBorders>
              <w:top w:val="nil"/>
              <w:left w:val="double" w:color="auto" w:sz="6" w:space="0"/>
              <w:bottom w:val="single" w:color="auto" w:sz="4" w:space="0"/>
              <w:right w:val="single" w:color="auto" w:sz="4" w:space="0"/>
            </w:tcBorders>
            <w:shd w:val="clear" w:color="auto" w:fill="auto"/>
            <w:noWrap/>
            <w:vAlign w:val="center"/>
            <w:hideMark/>
          </w:tcPr>
          <w:p w:rsidRPr="00BF4E58" w:rsidR="008665D4" w:rsidP="00C935A8" w:rsidRDefault="008665D4" w14:paraId="27D9FD51" w14:textId="77777777">
            <w:pPr>
              <w:jc w:val="right"/>
              <w:rPr>
                <w:rFonts w:ascii="Arial Narrow" w:hAnsi="Arial Narrow" w:eastAsia="Times New Roman" w:cs="Calibri"/>
                <w:b/>
                <w:bCs/>
                <w:color w:val="000000" w:themeColor="text1"/>
                <w:sz w:val="18"/>
                <w:szCs w:val="18"/>
              </w:rPr>
            </w:pPr>
            <w:r>
              <w:rPr>
                <w:rFonts w:ascii="Arial Narrow" w:hAnsi="Arial Narrow" w:cs="Calibri"/>
                <w:b/>
                <w:bCs/>
                <w:color w:val="000000"/>
                <w:sz w:val="18"/>
                <w:szCs w:val="18"/>
              </w:rPr>
              <w:t>26,469</w:t>
            </w:r>
          </w:p>
        </w:tc>
        <w:tc>
          <w:tcPr>
            <w:tcW w:w="1797" w:type="dxa"/>
            <w:tcBorders>
              <w:top w:val="nil"/>
              <w:left w:val="nil"/>
              <w:bottom w:val="single" w:color="auto" w:sz="4" w:space="0"/>
              <w:right w:val="double" w:color="auto" w:sz="6" w:space="0"/>
            </w:tcBorders>
            <w:shd w:val="clear" w:color="auto" w:fill="auto"/>
            <w:vAlign w:val="center"/>
            <w:hideMark/>
          </w:tcPr>
          <w:p w:rsidRPr="009A1924" w:rsidR="008665D4" w:rsidP="00C935A8" w:rsidRDefault="008665D4" w14:paraId="70D7DFE5" w14:textId="77777777">
            <w:pPr>
              <w:jc w:val="right"/>
              <w:rPr>
                <w:rFonts w:ascii="Arial Narrow" w:hAnsi="Arial Narrow" w:cs="Calibri"/>
                <w:b/>
                <w:bCs/>
                <w:color w:val="000000"/>
                <w:sz w:val="18"/>
                <w:szCs w:val="18"/>
              </w:rPr>
            </w:pPr>
            <w:r>
              <w:rPr>
                <w:rFonts w:ascii="Arial Narrow" w:hAnsi="Arial Narrow" w:cs="Calibri"/>
                <w:b/>
                <w:bCs/>
                <w:color w:val="000000"/>
                <w:sz w:val="18"/>
                <w:szCs w:val="18"/>
              </w:rPr>
              <w:t>$2,053,700</w:t>
            </w:r>
          </w:p>
        </w:tc>
        <w:tc>
          <w:tcPr>
            <w:tcW w:w="1726" w:type="dxa"/>
            <w:tcBorders>
              <w:top w:val="nil"/>
              <w:left w:val="nil"/>
              <w:bottom w:val="single" w:color="auto" w:sz="4" w:space="0"/>
              <w:right w:val="single" w:color="auto" w:sz="4" w:space="0"/>
            </w:tcBorders>
            <w:shd w:val="clear" w:color="auto" w:fill="auto"/>
            <w:noWrap/>
            <w:vAlign w:val="center"/>
            <w:hideMark/>
          </w:tcPr>
          <w:p w:rsidRPr="00BF4E58" w:rsidR="008665D4" w:rsidP="00C935A8" w:rsidRDefault="008665D4" w14:paraId="24B53B5F" w14:textId="77777777">
            <w:pPr>
              <w:jc w:val="right"/>
              <w:rPr>
                <w:rFonts w:ascii="Arial Narrow" w:hAnsi="Arial Narrow" w:eastAsia="Times New Roman" w:cs="Calibri"/>
                <w:b/>
                <w:bCs/>
                <w:color w:val="000000" w:themeColor="text1"/>
                <w:sz w:val="18"/>
                <w:szCs w:val="18"/>
              </w:rPr>
            </w:pPr>
            <w:r>
              <w:rPr>
                <w:rFonts w:ascii="Arial Narrow" w:hAnsi="Arial Narrow" w:cs="Calibri"/>
                <w:b/>
                <w:bCs/>
                <w:color w:val="000000"/>
                <w:sz w:val="18"/>
                <w:szCs w:val="18"/>
              </w:rPr>
              <w:t>79,407</w:t>
            </w:r>
          </w:p>
        </w:tc>
        <w:tc>
          <w:tcPr>
            <w:tcW w:w="1260" w:type="dxa"/>
            <w:tcBorders>
              <w:top w:val="nil"/>
              <w:left w:val="nil"/>
              <w:bottom w:val="single" w:color="auto" w:sz="4" w:space="0"/>
              <w:right w:val="single" w:color="auto" w:sz="4" w:space="0"/>
            </w:tcBorders>
            <w:shd w:val="clear" w:color="auto" w:fill="auto"/>
            <w:noWrap/>
            <w:vAlign w:val="center"/>
            <w:hideMark/>
          </w:tcPr>
          <w:p w:rsidRPr="00BF4E58" w:rsidR="008665D4" w:rsidP="00C935A8" w:rsidRDefault="008665D4" w14:paraId="57B363A2" w14:textId="77777777">
            <w:pPr>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$6,161,100</w:t>
            </w:r>
          </w:p>
        </w:tc>
      </w:tr>
    </w:tbl>
    <w:p w:rsidR="00DE68B2" w:rsidP="00821559" w:rsidRDefault="00DE68B2" w14:paraId="2F2AD645" w14:textId="77777777">
      <w:pPr>
        <w:pStyle w:val="Heading1"/>
        <w:ind w:left="360"/>
      </w:pPr>
      <w:bookmarkStart w:name="_Ref24463412" w:id="83"/>
    </w:p>
    <w:p w:rsidRPr="00853B7A" w:rsidR="00F44411" w:rsidP="00853B7A" w:rsidRDefault="00EC3C02" w14:paraId="07F49ADA" w14:textId="535641E5">
      <w:pPr>
        <w:pStyle w:val="Heading1"/>
        <w:numPr>
          <w:ilvl w:val="0"/>
          <w:numId w:val="3"/>
        </w:numPr>
      </w:pPr>
      <w:bookmarkStart w:name="_Ref33191589" w:id="84"/>
      <w:bookmarkStart w:name="_Toc34984676" w:id="85"/>
      <w:r w:rsidRPr="00853B7A">
        <w:t xml:space="preserve">PRA </w:t>
      </w:r>
      <w:r w:rsidRPr="00853B7A" w:rsidR="004A19D1">
        <w:t>BURDEN STATEMENT</w:t>
      </w:r>
      <w:bookmarkEnd w:id="83"/>
      <w:bookmarkEnd w:id="84"/>
      <w:bookmarkEnd w:id="85"/>
    </w:p>
    <w:p w:rsidRPr="008A7FB7" w:rsidR="00C7037B" w:rsidP="00C7037B" w:rsidRDefault="00C7037B" w14:paraId="051073B7" w14:textId="77777777">
      <w:pPr>
        <w:pStyle w:val="BodyText"/>
      </w:pPr>
      <w:r>
        <w:t>Under the final rule, t</w:t>
      </w:r>
      <w:r w:rsidRPr="008A7FB7">
        <w:t xml:space="preserve">he </w:t>
      </w:r>
      <w:r>
        <w:t>incremental reporter</w:t>
      </w:r>
      <w:r w:rsidRPr="008A7FB7">
        <w:t xml:space="preserve"> burden</w:t>
      </w:r>
      <w:r>
        <w:t xml:space="preserve"> increase </w:t>
      </w:r>
      <w:r w:rsidRPr="008A7FB7">
        <w:t xml:space="preserve">for this collection of information is estimated </w:t>
      </w:r>
      <w:r>
        <w:t>to average 4.68 hours per year for the average site.</w:t>
      </w:r>
      <w:r w:rsidRPr="002B6E34">
        <w:rPr>
          <w:rStyle w:val="FootnoteReference"/>
          <w:vertAlign w:val="superscript"/>
        </w:rPr>
        <w:footnoteReference w:id="10"/>
      </w:r>
      <w:r w:rsidRPr="002B6E34">
        <w:rPr>
          <w:vertAlign w:val="superscript"/>
        </w:rPr>
        <w:t>,</w:t>
      </w:r>
      <w:r w:rsidRPr="002B6E34">
        <w:rPr>
          <w:rStyle w:val="FootnoteReference"/>
          <w:vertAlign w:val="superscript"/>
        </w:rPr>
        <w:footnoteReference w:id="11"/>
      </w:r>
      <w:r>
        <w:t xml:space="preserve"> This estimate includes the combined effects of increases to certain reporting activities (incremental rule familiarization and compliance determination, data elements on Form U) as well as the elimination of reporting for newly exempted chemical reports and/or sites. </w:t>
      </w:r>
      <w:r w:rsidRPr="008A7FB7">
        <w:t>Burden is defined in 5 CFR 1320.3(b). An Agency may not conduct or sponsor, and a person is not required to respond to, a collection of information unless it displays a currently valid OMB control number. The OMB control numbers for EPA</w:t>
      </w:r>
      <w:r>
        <w:t>’</w:t>
      </w:r>
      <w:r w:rsidRPr="008A7FB7">
        <w:t>s regulations in title 40 of the CFR, after appearing in the Federal Register when approved, are listed in 40 CFR Part 9, and are displayed either by publication in the Federal Register or by other appropriate means, such as on the related collection instrument or form, if applicable.</w:t>
      </w:r>
    </w:p>
    <w:p w:rsidR="00F66120" w:rsidP="00D027EA" w:rsidRDefault="00D027EA" w14:paraId="4259945D" w14:textId="35C4BCE4">
      <w:pPr>
        <w:pStyle w:val="BodyText"/>
      </w:pPr>
      <w:r w:rsidRPr="000E5DBC">
        <w:t xml:space="preserve">EPA estimates that reporters will experience </w:t>
      </w:r>
      <w:r>
        <w:t xml:space="preserve">a </w:t>
      </w:r>
      <w:r w:rsidRPr="000E5DBC">
        <w:t xml:space="preserve">net </w:t>
      </w:r>
      <w:r>
        <w:t>in</w:t>
      </w:r>
      <w:r w:rsidRPr="000E5DBC">
        <w:t xml:space="preserve">crease in reporting burden due to the </w:t>
      </w:r>
      <w:r>
        <w:t>final</w:t>
      </w:r>
      <w:r w:rsidRPr="000E5DBC">
        <w:t xml:space="preserve"> rule. </w:t>
      </w:r>
      <w:r>
        <w:t>A</w:t>
      </w:r>
      <w:r w:rsidRPr="000E5DBC">
        <w:t xml:space="preserve">nnual reporting burden is </w:t>
      </w:r>
      <w:r>
        <w:t>increased</w:t>
      </w:r>
      <w:r w:rsidRPr="000E5DBC">
        <w:t xml:space="preserve"> by </w:t>
      </w:r>
      <w:r>
        <w:t>26,469</w:t>
      </w:r>
      <w:r w:rsidRPr="000E5DBC">
        <w:t xml:space="preserve"> hours per year. </w:t>
      </w:r>
      <w:r w:rsidR="0046052E">
        <w:fldChar w:fldCharType="begin"/>
      </w:r>
      <w:r w:rsidR="0046052E">
        <w:instrText xml:space="preserve"> REF _Ref33191325 \h </w:instrText>
      </w:r>
      <w:r w:rsidR="0046052E">
        <w:fldChar w:fldCharType="separate"/>
      </w:r>
      <w:r w:rsidRPr="00D027EA" w:rsidR="00D21867">
        <w:rPr>
          <w:szCs w:val="24"/>
        </w:rPr>
        <w:t xml:space="preserve">Table </w:t>
      </w:r>
      <w:r w:rsidR="00D21867">
        <w:rPr>
          <w:noProof/>
          <w:szCs w:val="24"/>
        </w:rPr>
        <w:t>9</w:t>
      </w:r>
      <w:r w:rsidR="0046052E">
        <w:fldChar w:fldCharType="end"/>
      </w:r>
      <w:r w:rsidR="0046052E">
        <w:t xml:space="preserve"> </w:t>
      </w:r>
      <w:r>
        <w:t>details the reasons for change in annual burden. EPA first accounts for burden reduction associated with the change in number of sites and chemical reports due to the byproduct exemptions. The unit burdens associated with new reporting activities under CDR Revisions are then applied to the final rule counts of sites and chemical reports. As such, in this sequential calculation, incremental rule familiarization, incremental compliance determination, and changes to Form U content associated with counts of exempted sites are not included in the estimate.</w:t>
      </w:r>
      <w:r w:rsidDel="007F21CB">
        <w:rPr>
          <w:rStyle w:val="FootnoteReference"/>
        </w:rPr>
        <w:t xml:space="preserve"> </w:t>
      </w:r>
      <w:r w:rsidR="00C534EC">
        <w:t>For further explanation see Appendix C.</w:t>
      </w:r>
    </w:p>
    <w:p w:rsidR="00F66120" w:rsidP="002210E9" w:rsidRDefault="00F66120" w14:paraId="07581EEE" w14:textId="77777777">
      <w:pPr>
        <w:pStyle w:val="NoSpacing"/>
        <w:rPr>
          <w:rFonts w:eastAsiaTheme="minorEastAsia"/>
          <w:lang w:bidi="en-US"/>
        </w:rPr>
      </w:pPr>
      <w:r>
        <w:br w:type="page"/>
      </w:r>
    </w:p>
    <w:tbl>
      <w:tblPr>
        <w:tblW w:w="5000" w:type="pct"/>
        <w:jc w:val="center"/>
        <w:tblLayout w:type="fixed"/>
        <w:tblCellMar>
          <w:left w:w="115" w:type="dxa"/>
          <w:right w:w="115" w:type="dxa"/>
        </w:tblCellMar>
        <w:tblLook w:val="04A0" w:firstRow="1" w:lastRow="0" w:firstColumn="1" w:lastColumn="0" w:noHBand="0" w:noVBand="1"/>
      </w:tblPr>
      <w:tblGrid>
        <w:gridCol w:w="387"/>
        <w:gridCol w:w="1551"/>
        <w:gridCol w:w="1745"/>
        <w:gridCol w:w="1840"/>
        <w:gridCol w:w="1940"/>
        <w:gridCol w:w="1551"/>
        <w:gridCol w:w="1066"/>
      </w:tblGrid>
      <w:tr w:rsidRPr="00924A46" w:rsidR="00D027EA" w:rsidTr="00C935A8" w14:paraId="14BF1FC2" w14:textId="77777777">
        <w:trPr>
          <w:tblHeader/>
          <w:jc w:val="center"/>
        </w:trPr>
        <w:tc>
          <w:tcPr>
            <w:tcW w:w="9360" w:type="dxa"/>
            <w:gridSpan w:val="7"/>
            <w:tcBorders>
              <w:bottom w:val="single" w:color="auto" w:sz="4" w:space="0"/>
            </w:tcBorders>
            <w:shd w:val="clear" w:color="auto" w:fill="auto"/>
            <w:vAlign w:val="bottom"/>
          </w:tcPr>
          <w:p w:rsidRPr="00D027EA" w:rsidR="00D027EA" w:rsidP="00C935A8" w:rsidRDefault="00D027EA" w14:paraId="019D908D" w14:textId="2309892D">
            <w:pPr>
              <w:pStyle w:val="Caption"/>
              <w:rPr>
                <w:szCs w:val="24"/>
              </w:rPr>
            </w:pPr>
            <w:bookmarkStart w:name="_Ref33191325" w:id="86"/>
            <w:bookmarkStart w:name="_Ref524348889" w:id="87"/>
            <w:bookmarkStart w:name="_Ref526353905" w:id="88"/>
            <w:bookmarkStart w:name="_Ref525830880" w:id="89"/>
            <w:bookmarkStart w:name="_Toc34230803" w:id="90"/>
            <w:r w:rsidRPr="00D027EA">
              <w:rPr>
                <w:szCs w:val="24"/>
              </w:rPr>
              <w:lastRenderedPageBreak/>
              <w:t xml:space="preserve">Table </w:t>
            </w:r>
            <w:r w:rsidR="00F574F4">
              <w:rPr>
                <w:szCs w:val="24"/>
              </w:rPr>
              <w:fldChar w:fldCharType="begin"/>
            </w:r>
            <w:r w:rsidR="00F574F4">
              <w:rPr>
                <w:szCs w:val="24"/>
              </w:rPr>
              <w:instrText xml:space="preserve"> SEQ Table \* ARABIC </w:instrText>
            </w:r>
            <w:r w:rsidR="00F574F4">
              <w:rPr>
                <w:szCs w:val="24"/>
              </w:rPr>
              <w:fldChar w:fldCharType="separate"/>
            </w:r>
            <w:r w:rsidR="00382CD1">
              <w:rPr>
                <w:noProof/>
                <w:szCs w:val="24"/>
              </w:rPr>
              <w:t>9</w:t>
            </w:r>
            <w:r w:rsidR="00F574F4">
              <w:rPr>
                <w:szCs w:val="24"/>
              </w:rPr>
              <w:fldChar w:fldCharType="end"/>
            </w:r>
            <w:bookmarkEnd w:id="86"/>
            <w:bookmarkEnd w:id="87"/>
            <w:bookmarkEnd w:id="88"/>
            <w:bookmarkEnd w:id="89"/>
            <w:r w:rsidRPr="00D027EA">
              <w:rPr>
                <w:szCs w:val="24"/>
              </w:rPr>
              <w:t>: Reasons for Change in Burden (Annual)</w:t>
            </w:r>
            <w:bookmarkEnd w:id="90"/>
          </w:p>
        </w:tc>
      </w:tr>
      <w:tr w:rsidR="00D027EA" w:rsidTr="00C935A8" w14:paraId="19C658B4" w14:textId="77777777">
        <w:trPr>
          <w:jc w:val="center"/>
        </w:trPr>
        <w:tc>
          <w:tcPr>
            <w:tcW w:w="1800" w:type="dxa"/>
            <w:gridSpan w:val="2"/>
            <w:vMerge w:val="restart"/>
            <w:tcBorders>
              <w:top w:val="single" w:color="auto" w:sz="4" w:space="0"/>
              <w:left w:val="single" w:color="auto" w:sz="4" w:space="0"/>
              <w:bottom w:val="single" w:color="auto" w:sz="4" w:space="0"/>
              <w:right w:val="single" w:color="auto" w:sz="4" w:space="0"/>
            </w:tcBorders>
            <w:shd w:val="clear" w:color="000000" w:fill="BFBFBF"/>
            <w:vAlign w:val="bottom"/>
            <w:hideMark/>
          </w:tcPr>
          <w:p w:rsidRPr="008C5171" w:rsidR="00D027EA" w:rsidP="00C935A8" w:rsidRDefault="00D027EA" w14:paraId="0332013D" w14:textId="77777777">
            <w:pPr>
              <w:rPr>
                <w:rFonts w:ascii="Arial Narrow" w:hAnsi="Arial Narrow"/>
                <w:color w:val="000000"/>
                <w:sz w:val="18"/>
                <w:szCs w:val="18"/>
              </w:rPr>
            </w:pPr>
            <w:r w:rsidRPr="008C5171">
              <w:rPr>
                <w:rFonts w:ascii="Arial Narrow" w:hAnsi="Arial Narrow"/>
                <w:color w:val="000000"/>
                <w:sz w:val="18"/>
                <w:szCs w:val="18"/>
              </w:rPr>
              <w:t> </w:t>
            </w:r>
          </w:p>
        </w:tc>
        <w:tc>
          <w:tcPr>
            <w:tcW w:w="6570" w:type="dxa"/>
            <w:gridSpan w:val="4"/>
            <w:tcBorders>
              <w:top w:val="single" w:color="auto" w:sz="4" w:space="0"/>
              <w:left w:val="single" w:color="auto" w:sz="4" w:space="0"/>
              <w:bottom w:val="single" w:color="auto" w:sz="4" w:space="0"/>
              <w:right w:val="single" w:color="auto" w:sz="4" w:space="0"/>
            </w:tcBorders>
            <w:shd w:val="clear" w:color="000000" w:fill="BFBFBF"/>
            <w:vAlign w:val="bottom"/>
            <w:hideMark/>
          </w:tcPr>
          <w:p w:rsidRPr="004B2A38" w:rsidR="00D027EA" w:rsidP="00C935A8" w:rsidRDefault="00D027EA" w14:paraId="30664323"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Changes</w:t>
            </w:r>
          </w:p>
        </w:tc>
        <w:tc>
          <w:tcPr>
            <w:tcW w:w="990" w:type="dxa"/>
            <w:vMerge w:val="restart"/>
            <w:tcBorders>
              <w:top w:val="single" w:color="auto" w:sz="4" w:space="0"/>
              <w:left w:val="single" w:color="auto" w:sz="4" w:space="0"/>
              <w:right w:val="single" w:color="auto" w:sz="4" w:space="0"/>
            </w:tcBorders>
            <w:shd w:val="clear" w:color="000000" w:fill="BFBFBF"/>
            <w:vAlign w:val="center"/>
            <w:hideMark/>
          </w:tcPr>
          <w:p w:rsidRPr="004B2A38" w:rsidR="00D027EA" w:rsidP="00C935A8" w:rsidRDefault="00D027EA" w14:paraId="5E2A59DD" w14:textId="77777777">
            <w:pPr>
              <w:jc w:val="center"/>
              <w:rPr>
                <w:rFonts w:ascii="Arial Narrow" w:hAnsi="Arial Narrow" w:cs="Calibri"/>
                <w:b/>
                <w:bCs/>
                <w:color w:val="000000"/>
                <w:sz w:val="18"/>
                <w:szCs w:val="18"/>
              </w:rPr>
            </w:pPr>
            <w:r w:rsidRPr="004B2A38">
              <w:rPr>
                <w:rFonts w:ascii="Arial Narrow" w:hAnsi="Arial Narrow" w:cs="Calibri"/>
                <w:b/>
                <w:bCs/>
                <w:sz w:val="18"/>
                <w:szCs w:val="18"/>
              </w:rPr>
              <w:t>Overall</w:t>
            </w:r>
            <w:r w:rsidRPr="004B2A38">
              <w:rPr>
                <w:rFonts w:ascii="Arial Narrow" w:hAnsi="Arial Narrow" w:cs="Calibri"/>
                <w:b/>
                <w:bCs/>
                <w:sz w:val="18"/>
                <w:szCs w:val="18"/>
                <w:vertAlign w:val="superscript"/>
              </w:rPr>
              <w:t>1</w:t>
            </w:r>
          </w:p>
        </w:tc>
      </w:tr>
      <w:tr w:rsidR="00D027EA" w:rsidTr="00C935A8" w14:paraId="14BBD0FE" w14:textId="77777777">
        <w:trPr>
          <w:jc w:val="center"/>
        </w:trPr>
        <w:tc>
          <w:tcPr>
            <w:tcW w:w="1800" w:type="dxa"/>
            <w:gridSpan w:val="2"/>
            <w:vMerge/>
            <w:tcBorders>
              <w:top w:val="single" w:color="auto" w:sz="4" w:space="0"/>
              <w:left w:val="single" w:color="auto" w:sz="4" w:space="0"/>
              <w:bottom w:val="single" w:color="auto" w:sz="4" w:space="0"/>
              <w:right w:val="single" w:color="auto" w:sz="4" w:space="0"/>
            </w:tcBorders>
            <w:vAlign w:val="center"/>
            <w:hideMark/>
          </w:tcPr>
          <w:p w:rsidRPr="008C5171" w:rsidR="00D027EA" w:rsidP="00C935A8" w:rsidRDefault="00D027EA" w14:paraId="6945B247" w14:textId="77777777">
            <w:pPr>
              <w:rPr>
                <w:rFonts w:ascii="Arial Narrow" w:hAnsi="Arial Narrow"/>
                <w:color w:val="000000"/>
                <w:sz w:val="18"/>
                <w:szCs w:val="18"/>
              </w:rPr>
            </w:pPr>
          </w:p>
        </w:tc>
        <w:tc>
          <w:tcPr>
            <w:tcW w:w="3329" w:type="dxa"/>
            <w:gridSpan w:val="2"/>
            <w:tcBorders>
              <w:top w:val="single" w:color="auto" w:sz="4" w:space="0"/>
              <w:left w:val="single" w:color="auto" w:sz="4" w:space="0"/>
              <w:bottom w:val="single" w:color="auto" w:sz="4" w:space="0"/>
              <w:right w:val="single" w:color="000000" w:sz="4" w:space="0"/>
            </w:tcBorders>
            <w:shd w:val="clear" w:color="000000" w:fill="BFBFBF"/>
            <w:vAlign w:val="bottom"/>
            <w:hideMark/>
          </w:tcPr>
          <w:p w:rsidRPr="004B2A38" w:rsidR="00D027EA" w:rsidP="00C935A8" w:rsidRDefault="00D027EA" w14:paraId="31D5332C"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 xml:space="preserve">CDR Revisions Changes to Numbers of </w:t>
            </w:r>
            <w:r>
              <w:rPr>
                <w:rFonts w:ascii="Arial Narrow" w:hAnsi="Arial Narrow" w:cs="Calibri"/>
                <w:b/>
                <w:bCs/>
                <w:color w:val="000000"/>
                <w:sz w:val="18"/>
                <w:szCs w:val="18"/>
              </w:rPr>
              <w:t>Sites</w:t>
            </w:r>
            <w:r w:rsidRPr="004B2A38">
              <w:rPr>
                <w:rFonts w:ascii="Arial Narrow" w:hAnsi="Arial Narrow" w:cs="Calibri"/>
                <w:b/>
                <w:bCs/>
                <w:color w:val="000000"/>
                <w:sz w:val="18"/>
                <w:szCs w:val="18"/>
              </w:rPr>
              <w:t xml:space="preserve">/Chemical Reports, Byproduct </w:t>
            </w:r>
            <w:r>
              <w:rPr>
                <w:rFonts w:ascii="Arial Narrow" w:hAnsi="Arial Narrow" w:cs="Calibri"/>
                <w:b/>
                <w:bCs/>
                <w:color w:val="000000"/>
                <w:sz w:val="18"/>
                <w:szCs w:val="18"/>
              </w:rPr>
              <w:t>Exemptions</w:t>
            </w:r>
          </w:p>
        </w:tc>
        <w:tc>
          <w:tcPr>
            <w:tcW w:w="3241" w:type="dxa"/>
            <w:gridSpan w:val="2"/>
            <w:tcBorders>
              <w:top w:val="single" w:color="auto" w:sz="4" w:space="0"/>
              <w:left w:val="single" w:color="auto" w:sz="4" w:space="0"/>
              <w:bottom w:val="single" w:color="auto" w:sz="4" w:space="0"/>
              <w:right w:val="single" w:color="auto" w:sz="4" w:space="0"/>
            </w:tcBorders>
            <w:shd w:val="clear" w:color="000000" w:fill="BFBFBF"/>
            <w:vAlign w:val="bottom"/>
            <w:hideMark/>
          </w:tcPr>
          <w:p w:rsidRPr="004B2A38" w:rsidR="00D027EA" w:rsidP="00C935A8" w:rsidRDefault="00D027EA" w14:paraId="5B18EF9B"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CDR Revisions New and Modified Reporting Activities</w:t>
            </w:r>
          </w:p>
        </w:tc>
        <w:tc>
          <w:tcPr>
            <w:tcW w:w="990" w:type="dxa"/>
            <w:vMerge/>
            <w:tcBorders>
              <w:left w:val="single" w:color="auto" w:sz="4" w:space="0"/>
              <w:right w:val="single" w:color="auto" w:sz="4" w:space="0"/>
            </w:tcBorders>
            <w:shd w:val="clear" w:color="000000" w:fill="BFBFBF"/>
            <w:vAlign w:val="bottom"/>
            <w:hideMark/>
          </w:tcPr>
          <w:p w:rsidRPr="004B2A38" w:rsidR="00D027EA" w:rsidP="00C935A8" w:rsidRDefault="00D027EA" w14:paraId="66ACF83B" w14:textId="77777777">
            <w:pPr>
              <w:jc w:val="center"/>
              <w:rPr>
                <w:rFonts w:ascii="Arial Narrow" w:hAnsi="Arial Narrow" w:cs="Calibri"/>
                <w:b/>
                <w:bCs/>
                <w:sz w:val="18"/>
                <w:szCs w:val="18"/>
              </w:rPr>
            </w:pPr>
          </w:p>
        </w:tc>
      </w:tr>
      <w:tr w:rsidR="00D027EA" w:rsidTr="00C935A8" w14:paraId="694FB102" w14:textId="77777777">
        <w:trPr>
          <w:jc w:val="center"/>
        </w:trPr>
        <w:tc>
          <w:tcPr>
            <w:tcW w:w="1800" w:type="dxa"/>
            <w:gridSpan w:val="2"/>
            <w:vMerge/>
            <w:tcBorders>
              <w:top w:val="single" w:color="auto" w:sz="4" w:space="0"/>
              <w:left w:val="single" w:color="auto" w:sz="4" w:space="0"/>
              <w:bottom w:val="single" w:color="auto" w:sz="4" w:space="0"/>
              <w:right w:val="single" w:color="auto" w:sz="4" w:space="0"/>
            </w:tcBorders>
            <w:vAlign w:val="center"/>
            <w:hideMark/>
          </w:tcPr>
          <w:p w:rsidRPr="008C5171" w:rsidR="00D027EA" w:rsidP="00C935A8" w:rsidRDefault="00D027EA" w14:paraId="044D66C9" w14:textId="77777777">
            <w:pPr>
              <w:rPr>
                <w:rFonts w:ascii="Arial Narrow" w:hAnsi="Arial Narrow"/>
                <w:color w:val="000000"/>
                <w:sz w:val="18"/>
                <w:szCs w:val="18"/>
              </w:rPr>
            </w:pPr>
          </w:p>
        </w:tc>
        <w:tc>
          <w:tcPr>
            <w:tcW w:w="1620" w:type="dxa"/>
            <w:tcBorders>
              <w:top w:val="nil"/>
              <w:left w:val="nil"/>
              <w:bottom w:val="single" w:color="auto" w:sz="4" w:space="0"/>
              <w:right w:val="single" w:color="auto" w:sz="4" w:space="0"/>
            </w:tcBorders>
            <w:shd w:val="clear" w:color="000000" w:fill="BFBFBF"/>
            <w:noWrap/>
            <w:vAlign w:val="bottom"/>
            <w:hideMark/>
          </w:tcPr>
          <w:p w:rsidRPr="004B2A38" w:rsidR="00D027EA" w:rsidP="00C935A8" w:rsidRDefault="00D027EA" w14:paraId="286CDD93"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p>
        </w:tc>
        <w:tc>
          <w:tcPr>
            <w:tcW w:w="1709" w:type="dxa"/>
            <w:tcBorders>
              <w:top w:val="nil"/>
              <w:left w:val="nil"/>
              <w:bottom w:val="single" w:color="auto" w:sz="4" w:space="0"/>
              <w:right w:val="single" w:color="auto" w:sz="4" w:space="0"/>
            </w:tcBorders>
            <w:shd w:val="clear" w:color="000000" w:fill="BFBFBF"/>
            <w:noWrap/>
            <w:vAlign w:val="bottom"/>
            <w:hideMark/>
          </w:tcPr>
          <w:p w:rsidRPr="004B2A38" w:rsidR="00D027EA" w:rsidP="00C935A8" w:rsidRDefault="00D027EA" w14:paraId="737D1ED9"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1801" w:type="dxa"/>
            <w:tcBorders>
              <w:top w:val="nil"/>
              <w:left w:val="nil"/>
              <w:bottom w:val="single" w:color="auto" w:sz="4" w:space="0"/>
              <w:right w:val="single" w:color="auto" w:sz="4" w:space="0"/>
            </w:tcBorders>
            <w:shd w:val="clear" w:color="000000" w:fill="BFBFBF"/>
            <w:noWrap/>
            <w:vAlign w:val="bottom"/>
            <w:hideMark/>
          </w:tcPr>
          <w:p w:rsidRPr="004B2A38" w:rsidR="00D027EA" w:rsidP="00C935A8" w:rsidRDefault="00D027EA" w14:paraId="221571DB"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r>
              <w:rPr>
                <w:rFonts w:ascii="Arial Narrow" w:hAnsi="Arial Narrow" w:cs="Calibri"/>
                <w:b/>
                <w:bCs/>
                <w:color w:val="000000"/>
                <w:sz w:val="18"/>
                <w:szCs w:val="18"/>
                <w:vertAlign w:val="superscript"/>
              </w:rPr>
              <w:t>2</w:t>
            </w:r>
          </w:p>
        </w:tc>
        <w:tc>
          <w:tcPr>
            <w:tcW w:w="1440" w:type="dxa"/>
            <w:tcBorders>
              <w:top w:val="nil"/>
              <w:left w:val="nil"/>
              <w:bottom w:val="single" w:color="auto" w:sz="4" w:space="0"/>
              <w:right w:val="single" w:color="auto" w:sz="4" w:space="0"/>
            </w:tcBorders>
            <w:shd w:val="clear" w:color="000000" w:fill="BFBFBF"/>
            <w:noWrap/>
            <w:vAlign w:val="bottom"/>
            <w:hideMark/>
          </w:tcPr>
          <w:p w:rsidRPr="004B2A38" w:rsidR="00D027EA" w:rsidP="00C935A8" w:rsidRDefault="00D027EA" w14:paraId="2BBD9E53" w14:textId="77777777">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990" w:type="dxa"/>
            <w:vMerge/>
            <w:tcBorders>
              <w:left w:val="single" w:color="auto" w:sz="4" w:space="0"/>
              <w:bottom w:val="single" w:color="auto" w:sz="4" w:space="0"/>
              <w:right w:val="single" w:color="auto" w:sz="4" w:space="0"/>
            </w:tcBorders>
            <w:shd w:val="clear" w:color="000000" w:fill="BFBFBF"/>
            <w:noWrap/>
            <w:vAlign w:val="bottom"/>
            <w:hideMark/>
          </w:tcPr>
          <w:p w:rsidRPr="004B2A38" w:rsidR="00D027EA" w:rsidP="00C935A8" w:rsidRDefault="00D027EA" w14:paraId="246F9FBC" w14:textId="77777777">
            <w:pPr>
              <w:jc w:val="center"/>
              <w:rPr>
                <w:rFonts w:ascii="Arial Narrow" w:hAnsi="Arial Narrow" w:cs="Calibri"/>
                <w:b/>
                <w:bCs/>
                <w:color w:val="000000"/>
                <w:sz w:val="18"/>
                <w:szCs w:val="18"/>
              </w:rPr>
            </w:pPr>
          </w:p>
        </w:tc>
      </w:tr>
      <w:tr w:rsidR="00D027EA" w:rsidTr="00C935A8" w14:paraId="5435037C" w14:textId="77777777">
        <w:trPr>
          <w:jc w:val="center"/>
        </w:trPr>
        <w:tc>
          <w:tcPr>
            <w:tcW w:w="1800" w:type="dxa"/>
            <w:gridSpan w:val="2"/>
            <w:tcBorders>
              <w:top w:val="nil"/>
              <w:left w:val="single" w:color="auto" w:sz="4" w:space="0"/>
              <w:bottom w:val="single" w:color="auto" w:sz="4" w:space="0"/>
              <w:right w:val="single" w:color="auto" w:sz="4" w:space="0"/>
            </w:tcBorders>
            <w:shd w:val="clear" w:color="auto" w:fill="auto"/>
            <w:vAlign w:val="center"/>
            <w:hideMark/>
          </w:tcPr>
          <w:p w:rsidRPr="004B2A38" w:rsidR="00D027EA" w:rsidP="00C935A8" w:rsidRDefault="00D027EA" w14:paraId="31467F08" w14:textId="77777777">
            <w:pPr>
              <w:rPr>
                <w:rFonts w:ascii="Arial Narrow" w:hAnsi="Arial Narrow" w:cs="Calibri"/>
                <w:color w:val="000000"/>
                <w:sz w:val="18"/>
                <w:szCs w:val="18"/>
              </w:rPr>
            </w:pPr>
            <w:r w:rsidRPr="004B2A38">
              <w:rPr>
                <w:rFonts w:ascii="Arial Narrow" w:hAnsi="Arial Narrow" w:cs="Calibri"/>
                <w:color w:val="000000"/>
                <w:sz w:val="18"/>
                <w:szCs w:val="18"/>
              </w:rPr>
              <w:t>Net Incremental Burden</w:t>
            </w:r>
          </w:p>
        </w:tc>
        <w:tc>
          <w:tcPr>
            <w:tcW w:w="1620" w:type="dxa"/>
            <w:tcBorders>
              <w:top w:val="nil"/>
              <w:left w:val="nil"/>
              <w:bottom w:val="single" w:color="auto" w:sz="4" w:space="0"/>
              <w:right w:val="single" w:color="auto" w:sz="4" w:space="0"/>
            </w:tcBorders>
            <w:shd w:val="clear" w:color="auto" w:fill="auto"/>
            <w:noWrap/>
            <w:vAlign w:val="center"/>
            <w:hideMark/>
          </w:tcPr>
          <w:p w:rsidRPr="004B2A38" w:rsidR="00D027EA" w:rsidP="00C935A8" w:rsidRDefault="00D027EA" w14:paraId="78841F8F" w14:textId="77777777">
            <w:pPr>
              <w:ind w:firstLine="180" w:firstLineChars="100"/>
              <w:jc w:val="right"/>
              <w:rPr>
                <w:rFonts w:ascii="Arial Narrow" w:hAnsi="Arial Narrow" w:cs="Calibri"/>
                <w:color w:val="000000"/>
                <w:sz w:val="18"/>
                <w:szCs w:val="18"/>
              </w:rPr>
            </w:pPr>
            <w:r w:rsidRPr="004B2A38">
              <w:rPr>
                <w:rFonts w:ascii="Arial Narrow" w:hAnsi="Arial Narrow" w:cs="Calibri"/>
                <w:color w:val="000000"/>
                <w:sz w:val="18"/>
                <w:szCs w:val="18"/>
              </w:rPr>
              <w:t> </w:t>
            </w:r>
          </w:p>
        </w:tc>
        <w:tc>
          <w:tcPr>
            <w:tcW w:w="1709" w:type="dxa"/>
            <w:tcBorders>
              <w:top w:val="nil"/>
              <w:left w:val="nil"/>
              <w:bottom w:val="single" w:color="auto" w:sz="4" w:space="0"/>
              <w:right w:val="single" w:color="auto" w:sz="4" w:space="0"/>
            </w:tcBorders>
            <w:shd w:val="clear" w:color="auto" w:fill="auto"/>
            <w:noWrap/>
            <w:vAlign w:val="center"/>
            <w:hideMark/>
          </w:tcPr>
          <w:p w:rsidRPr="004B2A38" w:rsidR="00D027EA" w:rsidP="00C935A8" w:rsidRDefault="00D027EA" w14:paraId="7FBB9FFD" w14:textId="77777777">
            <w:pPr>
              <w:ind w:firstLine="180" w:firstLineChars="100"/>
              <w:jc w:val="right"/>
              <w:rPr>
                <w:rFonts w:ascii="Arial Narrow" w:hAnsi="Arial Narrow" w:cs="Calibri"/>
                <w:color w:val="000000"/>
                <w:sz w:val="18"/>
                <w:szCs w:val="18"/>
              </w:rPr>
            </w:pPr>
            <w:r>
              <w:rPr>
                <w:rFonts w:ascii="Arial Narrow" w:hAnsi="Arial Narrow" w:cs="Calibri"/>
                <w:color w:val="000000"/>
                <w:sz w:val="18"/>
                <w:szCs w:val="18"/>
              </w:rPr>
              <w:t>-17,568</w:t>
            </w:r>
          </w:p>
        </w:tc>
        <w:tc>
          <w:tcPr>
            <w:tcW w:w="1801" w:type="dxa"/>
            <w:tcBorders>
              <w:top w:val="nil"/>
              <w:left w:val="nil"/>
              <w:bottom w:val="single" w:color="auto" w:sz="4" w:space="0"/>
              <w:right w:val="single" w:color="auto" w:sz="4" w:space="0"/>
            </w:tcBorders>
            <w:shd w:val="clear" w:color="auto" w:fill="auto"/>
            <w:noWrap/>
            <w:vAlign w:val="center"/>
            <w:hideMark/>
          </w:tcPr>
          <w:p w:rsidRPr="004B2A38" w:rsidR="00D027EA" w:rsidP="00C935A8" w:rsidRDefault="00D027EA" w14:paraId="5BF5B49B" w14:textId="77777777">
            <w:pPr>
              <w:jc w:val="right"/>
              <w:rPr>
                <w:rFonts w:ascii="Arial Narrow" w:hAnsi="Arial Narrow" w:cs="Calibri"/>
                <w:color w:val="000000"/>
                <w:sz w:val="18"/>
                <w:szCs w:val="18"/>
              </w:rPr>
            </w:pPr>
            <w:r>
              <w:rPr>
                <w:rFonts w:ascii="Arial Narrow" w:hAnsi="Arial Narrow" w:cs="Calibri"/>
                <w:color w:val="000000"/>
                <w:sz w:val="18"/>
                <w:szCs w:val="18"/>
              </w:rPr>
              <w:t>7.780</w:t>
            </w:r>
          </w:p>
        </w:tc>
        <w:tc>
          <w:tcPr>
            <w:tcW w:w="1440" w:type="dxa"/>
            <w:tcBorders>
              <w:top w:val="nil"/>
              <w:left w:val="nil"/>
              <w:bottom w:val="single" w:color="auto" w:sz="4" w:space="0"/>
              <w:right w:val="single" w:color="auto" w:sz="4" w:space="0"/>
            </w:tcBorders>
            <w:shd w:val="clear" w:color="auto" w:fill="auto"/>
            <w:noWrap/>
            <w:vAlign w:val="center"/>
            <w:hideMark/>
          </w:tcPr>
          <w:p w:rsidRPr="004B2A38" w:rsidR="00D027EA" w:rsidP="00C935A8" w:rsidRDefault="00D027EA" w14:paraId="7C1E7659" w14:textId="77777777">
            <w:pPr>
              <w:ind w:firstLine="180" w:firstLineChars="100"/>
              <w:jc w:val="right"/>
              <w:rPr>
                <w:rFonts w:ascii="Arial Narrow" w:hAnsi="Arial Narrow" w:cs="Calibri"/>
                <w:color w:val="000000"/>
                <w:sz w:val="18"/>
                <w:szCs w:val="18"/>
              </w:rPr>
            </w:pPr>
            <w:r>
              <w:rPr>
                <w:rFonts w:ascii="Arial Narrow" w:hAnsi="Arial Narrow" w:cs="Calibri"/>
                <w:color w:val="000000"/>
                <w:sz w:val="18"/>
                <w:szCs w:val="18"/>
              </w:rPr>
              <w:t>43,490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B2A38" w:rsidR="00D027EA" w:rsidP="00C935A8" w:rsidRDefault="00D027EA" w14:paraId="37AF1E95" w14:textId="77777777">
            <w:pPr>
              <w:ind w:firstLine="180" w:firstLineChars="100"/>
              <w:jc w:val="right"/>
              <w:rPr>
                <w:rFonts w:ascii="Arial Narrow" w:hAnsi="Arial Narrow" w:cs="Calibri"/>
                <w:color w:val="000000"/>
                <w:sz w:val="18"/>
                <w:szCs w:val="18"/>
              </w:rPr>
            </w:pPr>
            <w:r>
              <w:rPr>
                <w:rFonts w:ascii="Arial Narrow" w:hAnsi="Arial Narrow" w:cs="Calibri"/>
                <w:color w:val="000000"/>
                <w:sz w:val="18"/>
                <w:szCs w:val="18"/>
              </w:rPr>
              <w:t>25,922</w:t>
            </w:r>
          </w:p>
        </w:tc>
      </w:tr>
      <w:tr w:rsidRPr="00924A46" w:rsidR="00D027EA" w:rsidTr="00C935A8" w14:paraId="1CC452A6" w14:textId="77777777">
        <w:trPr>
          <w:jc w:val="center"/>
        </w:trPr>
        <w:tc>
          <w:tcPr>
            <w:tcW w:w="9360" w:type="dxa"/>
            <w:gridSpan w:val="7"/>
            <w:tcBorders>
              <w:top w:val="single" w:color="auto" w:sz="4" w:space="0"/>
              <w:left w:val="single" w:color="auto" w:sz="4" w:space="0"/>
              <w:bottom w:val="nil"/>
              <w:right w:val="single" w:color="auto" w:sz="4" w:space="0"/>
            </w:tcBorders>
            <w:shd w:val="clear" w:color="auto" w:fill="auto"/>
            <w:vAlign w:val="center"/>
            <w:hideMark/>
          </w:tcPr>
          <w:p w:rsidRPr="004B2A38" w:rsidR="00D027EA" w:rsidP="00C935A8" w:rsidRDefault="00D027EA" w14:paraId="10D37F38" w14:textId="77777777">
            <w:pPr>
              <w:rPr>
                <w:rFonts w:ascii="Arial Narrow" w:hAnsi="Arial Narrow" w:eastAsia="Times New Roman" w:cs="Calibri"/>
                <w:color w:val="000000"/>
                <w:sz w:val="18"/>
                <w:szCs w:val="18"/>
              </w:rPr>
            </w:pPr>
            <w:r w:rsidRPr="004B2A38">
              <w:rPr>
                <w:rFonts w:ascii="Arial Narrow" w:hAnsi="Arial Narrow" w:eastAsia="Times New Roman" w:cs="Calibri"/>
                <w:color w:val="000000"/>
                <w:sz w:val="18"/>
                <w:szCs w:val="18"/>
              </w:rPr>
              <w:t xml:space="preserve">General Notes: </w:t>
            </w:r>
          </w:p>
        </w:tc>
      </w:tr>
      <w:tr w:rsidRPr="00924A46" w:rsidR="00D027EA" w:rsidTr="00C935A8" w14:paraId="43794EFD" w14:textId="77777777">
        <w:trPr>
          <w:jc w:val="center"/>
        </w:trPr>
        <w:tc>
          <w:tcPr>
            <w:tcW w:w="9360" w:type="dxa"/>
            <w:gridSpan w:val="7"/>
            <w:tcBorders>
              <w:top w:val="nil"/>
              <w:left w:val="single" w:color="auto" w:sz="4" w:space="0"/>
              <w:bottom w:val="nil"/>
              <w:right w:val="single" w:color="auto" w:sz="4" w:space="0"/>
            </w:tcBorders>
            <w:shd w:val="clear" w:color="auto" w:fill="auto"/>
            <w:vAlign w:val="center"/>
            <w:hideMark/>
          </w:tcPr>
          <w:p w:rsidRPr="008C5171" w:rsidR="00D027EA" w:rsidP="00D027EA" w:rsidRDefault="00D027EA" w14:paraId="32A372D6" w14:textId="77777777">
            <w:pPr>
              <w:pStyle w:val="ListParagraph"/>
              <w:numPr>
                <w:ilvl w:val="0"/>
                <w:numId w:val="33"/>
              </w:numPr>
              <w:ind w:left="144" w:hanging="144"/>
              <w:contextualSpacing w:val="0"/>
              <w:rPr>
                <w:rFonts w:ascii="Arial Narrow" w:hAnsi="Arial Narrow" w:eastAsia="Times New Roman" w:cs="Calibri"/>
                <w:color w:val="000000"/>
                <w:sz w:val="18"/>
                <w:szCs w:val="18"/>
              </w:rPr>
            </w:pPr>
            <w:r w:rsidRPr="00BD2A4E">
              <w:rPr>
                <w:rFonts w:ascii="Arial Narrow" w:hAnsi="Arial Narrow" w:eastAsia="Times New Roman" w:cs="Calibri"/>
                <w:color w:val="000000"/>
                <w:sz w:val="18"/>
                <w:szCs w:val="18"/>
              </w:rPr>
              <w:t>All unit and total burden estimates are reported in hours and are on an annual basis.</w:t>
            </w:r>
          </w:p>
        </w:tc>
      </w:tr>
      <w:tr w:rsidRPr="00924A46" w:rsidR="00D027EA" w:rsidTr="00C935A8" w14:paraId="3F3E597C" w14:textId="77777777">
        <w:trPr>
          <w:jc w:val="center"/>
        </w:trPr>
        <w:tc>
          <w:tcPr>
            <w:tcW w:w="9360" w:type="dxa"/>
            <w:gridSpan w:val="7"/>
            <w:tcBorders>
              <w:top w:val="nil"/>
              <w:left w:val="single" w:color="auto" w:sz="4" w:space="0"/>
              <w:bottom w:val="nil"/>
              <w:right w:val="single" w:color="auto" w:sz="4" w:space="0"/>
            </w:tcBorders>
            <w:shd w:val="clear" w:color="auto" w:fill="auto"/>
            <w:vAlign w:val="center"/>
          </w:tcPr>
          <w:p w:rsidRPr="008C5171" w:rsidR="00D027EA" w:rsidP="00D027EA" w:rsidRDefault="00D027EA" w14:paraId="1FD8122F" w14:textId="77777777">
            <w:pPr>
              <w:pStyle w:val="ListParagraph"/>
              <w:numPr>
                <w:ilvl w:val="0"/>
                <w:numId w:val="33"/>
              </w:numPr>
              <w:ind w:left="144" w:hanging="144"/>
              <w:contextualSpacing w:val="0"/>
              <w:rPr>
                <w:rFonts w:ascii="Arial Narrow" w:hAnsi="Arial Narrow" w:eastAsia="Times New Roman" w:cs="Calibri"/>
                <w:color w:val="000000"/>
                <w:sz w:val="18"/>
                <w:szCs w:val="18"/>
              </w:rPr>
            </w:pPr>
            <w:r w:rsidRPr="006F724E">
              <w:rPr>
                <w:rFonts w:ascii="Arial Narrow" w:hAnsi="Arial Narrow" w:eastAsia="Times New Roman" w:cs="Calibri"/>
                <w:color w:val="000000"/>
                <w:sz w:val="18"/>
                <w:szCs w:val="18"/>
              </w:rPr>
              <w:t xml:space="preserve">This calculation assumes that the exemptions resulting from the rule are mutually exclusive. </w:t>
            </w:r>
          </w:p>
        </w:tc>
      </w:tr>
      <w:tr w:rsidRPr="00924A46" w:rsidR="00D027EA" w:rsidTr="00C935A8" w14:paraId="35A817DF" w14:textId="77777777">
        <w:trPr>
          <w:jc w:val="center"/>
        </w:trPr>
        <w:tc>
          <w:tcPr>
            <w:tcW w:w="9360" w:type="dxa"/>
            <w:gridSpan w:val="7"/>
            <w:tcBorders>
              <w:top w:val="nil"/>
              <w:left w:val="single" w:color="auto" w:sz="4" w:space="0"/>
              <w:bottom w:val="nil"/>
              <w:right w:val="single" w:color="auto" w:sz="4" w:space="0"/>
            </w:tcBorders>
            <w:shd w:val="clear" w:color="auto" w:fill="auto"/>
            <w:vAlign w:val="center"/>
            <w:hideMark/>
          </w:tcPr>
          <w:p w:rsidRPr="006F724E" w:rsidR="00D027EA" w:rsidP="00C935A8" w:rsidRDefault="00D027EA" w14:paraId="55FBBDAA" w14:textId="77777777">
            <w:pPr>
              <w:rPr>
                <w:rFonts w:ascii="Arial Narrow" w:hAnsi="Arial Narrow" w:eastAsia="Times New Roman" w:cs="Calibri"/>
                <w:color w:val="000000"/>
                <w:sz w:val="18"/>
                <w:szCs w:val="18"/>
              </w:rPr>
            </w:pPr>
            <w:r w:rsidRPr="006F724E">
              <w:rPr>
                <w:rFonts w:ascii="Arial Narrow" w:hAnsi="Arial Narrow" w:eastAsia="Times New Roman" w:cs="Calibri"/>
                <w:color w:val="000000"/>
                <w:sz w:val="18"/>
                <w:szCs w:val="18"/>
              </w:rPr>
              <w:t>Footnotes:</w:t>
            </w:r>
          </w:p>
        </w:tc>
      </w:tr>
      <w:tr w:rsidRPr="00924A46" w:rsidR="00D027EA" w:rsidTr="00C935A8" w14:paraId="2E69BC66" w14:textId="77777777">
        <w:trPr>
          <w:jc w:val="center"/>
        </w:trPr>
        <w:tc>
          <w:tcPr>
            <w:tcW w:w="360" w:type="dxa"/>
            <w:tcBorders>
              <w:top w:val="nil"/>
              <w:left w:val="single" w:color="auto" w:sz="4" w:space="0"/>
              <w:bottom w:val="nil"/>
              <w:right w:val="nil"/>
            </w:tcBorders>
            <w:shd w:val="clear" w:color="auto" w:fill="auto"/>
            <w:noWrap/>
            <w:hideMark/>
          </w:tcPr>
          <w:p w:rsidRPr="006F724E" w:rsidR="00D027EA" w:rsidP="00C935A8" w:rsidRDefault="00D027EA" w14:paraId="0CA89C2F" w14:textId="77777777">
            <w:pPr>
              <w:rPr>
                <w:rFonts w:ascii="Arial Narrow" w:hAnsi="Arial Narrow" w:eastAsia="Times New Roman" w:cs="Calibri"/>
                <w:color w:val="000000" w:themeColor="text1"/>
                <w:sz w:val="18"/>
                <w:szCs w:val="18"/>
              </w:rPr>
            </w:pPr>
            <w:r w:rsidRPr="006F724E">
              <w:rPr>
                <w:rFonts w:ascii="Arial Narrow" w:hAnsi="Arial Narrow" w:eastAsia="Times New Roman" w:cs="Calibri"/>
                <w:color w:val="000000" w:themeColor="text1"/>
                <w:sz w:val="18"/>
                <w:szCs w:val="18"/>
                <w:vertAlign w:val="superscript"/>
              </w:rPr>
              <w:t>1</w:t>
            </w:r>
          </w:p>
        </w:tc>
        <w:tc>
          <w:tcPr>
            <w:tcW w:w="9000" w:type="dxa"/>
            <w:gridSpan w:val="6"/>
            <w:tcBorders>
              <w:top w:val="nil"/>
              <w:left w:val="nil"/>
              <w:bottom w:val="nil"/>
              <w:right w:val="single" w:color="auto" w:sz="4" w:space="0"/>
            </w:tcBorders>
            <w:shd w:val="clear" w:color="auto" w:fill="auto"/>
            <w:noWrap/>
            <w:hideMark/>
          </w:tcPr>
          <w:p w:rsidRPr="006F724E" w:rsidR="00D027EA" w:rsidP="00C935A8" w:rsidRDefault="00D027EA" w14:paraId="3B7C6634" w14:textId="13D685E3">
            <w:pPr>
              <w:ind w:left="-110"/>
              <w:rPr>
                <w:rFonts w:ascii="Arial Narrow" w:hAnsi="Arial Narrow" w:eastAsia="Times New Roman" w:cs="Calibri"/>
                <w:color w:val="000000" w:themeColor="text1"/>
                <w:sz w:val="18"/>
                <w:szCs w:val="18"/>
              </w:rPr>
            </w:pPr>
            <w:r w:rsidRPr="006F724E">
              <w:rPr>
                <w:rFonts w:ascii="Arial Narrow" w:hAnsi="Arial Narrow" w:cs="Calibri"/>
                <w:color w:val="000000"/>
                <w:sz w:val="18"/>
                <w:szCs w:val="18"/>
              </w:rPr>
              <w:t xml:space="preserve">The overall net incremental burden in this table does not match the overall net incremental burden presented in </w:t>
            </w:r>
            <w:r w:rsidR="009907D1">
              <w:rPr>
                <w:rFonts w:ascii="Arial Narrow" w:hAnsi="Arial Narrow" w:cs="Calibri"/>
                <w:color w:val="000000"/>
                <w:sz w:val="18"/>
                <w:szCs w:val="18"/>
              </w:rPr>
              <w:fldChar w:fldCharType="begin"/>
            </w:r>
            <w:r w:rsidR="009907D1">
              <w:rPr>
                <w:rFonts w:ascii="Arial Narrow" w:hAnsi="Arial Narrow" w:cs="Calibri"/>
                <w:color w:val="000000"/>
                <w:sz w:val="18"/>
                <w:szCs w:val="18"/>
              </w:rPr>
              <w:instrText xml:space="preserve"> REF _Ref33191274 \h  \* MERGEFORMAT </w:instrText>
            </w:r>
            <w:r w:rsidR="009907D1">
              <w:rPr>
                <w:rFonts w:ascii="Arial Narrow" w:hAnsi="Arial Narrow" w:cs="Calibri"/>
                <w:color w:val="000000"/>
                <w:sz w:val="18"/>
                <w:szCs w:val="18"/>
              </w:rPr>
            </w:r>
            <w:r w:rsidR="009907D1">
              <w:rPr>
                <w:rFonts w:ascii="Arial Narrow" w:hAnsi="Arial Narrow" w:cs="Calibri"/>
                <w:color w:val="000000"/>
                <w:sz w:val="18"/>
                <w:szCs w:val="18"/>
              </w:rPr>
              <w:fldChar w:fldCharType="separate"/>
            </w:r>
            <w:r w:rsidRPr="002210E9" w:rsidR="00D21867">
              <w:rPr>
                <w:rFonts w:ascii="Arial Narrow" w:hAnsi="Arial Narrow" w:cs="Calibri"/>
                <w:color w:val="000000"/>
                <w:sz w:val="18"/>
                <w:szCs w:val="18"/>
              </w:rPr>
              <w:t>Table 8</w:t>
            </w:r>
            <w:r w:rsidR="009907D1">
              <w:rPr>
                <w:rFonts w:ascii="Arial Narrow" w:hAnsi="Arial Narrow" w:cs="Calibri"/>
                <w:color w:val="000000"/>
                <w:sz w:val="18"/>
                <w:szCs w:val="18"/>
              </w:rPr>
              <w:fldChar w:fldCharType="end"/>
            </w:r>
            <w:r w:rsidR="009907D1">
              <w:rPr>
                <w:rFonts w:ascii="Arial Narrow" w:hAnsi="Arial Narrow" w:cs="Calibri"/>
                <w:color w:val="000000"/>
                <w:sz w:val="18"/>
                <w:szCs w:val="18"/>
              </w:rPr>
              <w:t xml:space="preserve"> </w:t>
            </w:r>
            <w:r w:rsidRPr="006F724E">
              <w:rPr>
                <w:rFonts w:ascii="Arial Narrow" w:hAnsi="Arial Narrow" w:cs="Calibri"/>
                <w:color w:val="000000"/>
                <w:sz w:val="18"/>
                <w:szCs w:val="18"/>
              </w:rPr>
              <w:t xml:space="preserve">or the net incremental burden calculated </w:t>
            </w:r>
            <w:r>
              <w:rPr>
                <w:rFonts w:ascii="Arial Narrow" w:hAnsi="Arial Narrow" w:cs="Calibri"/>
                <w:color w:val="000000"/>
                <w:sz w:val="18"/>
                <w:szCs w:val="18"/>
              </w:rPr>
              <w:t>in</w:t>
            </w:r>
            <w:r w:rsidRPr="006F724E">
              <w:rPr>
                <w:rFonts w:ascii="Arial Narrow" w:hAnsi="Arial Narrow" w:cs="Calibri"/>
                <w:color w:val="000000"/>
                <w:sz w:val="18"/>
                <w:szCs w:val="18"/>
              </w:rPr>
              <w:t xml:space="preserve"> the CDR Revisions EA. This calculation is performed in sequence and applies the changes due to the rule </w:t>
            </w:r>
            <w:r>
              <w:rPr>
                <w:rFonts w:ascii="Arial Narrow" w:hAnsi="Arial Narrow" w:cs="Calibri"/>
                <w:color w:val="000000"/>
                <w:sz w:val="18"/>
                <w:szCs w:val="18"/>
              </w:rPr>
              <w:t>in total</w:t>
            </w:r>
            <w:r w:rsidRPr="006F724E">
              <w:rPr>
                <w:rFonts w:ascii="Arial Narrow" w:hAnsi="Arial Narrow" w:cs="Calibri"/>
                <w:color w:val="000000"/>
                <w:sz w:val="18"/>
                <w:szCs w:val="18"/>
              </w:rPr>
              <w:t xml:space="preserve">. It is therefore more accurate than an approach that calculates burden associated with changes in parallel and sums them. This ICR Addendum and the </w:t>
            </w:r>
            <w:r>
              <w:rPr>
                <w:rFonts w:ascii="Arial Narrow" w:hAnsi="Arial Narrow" w:cs="Calibri"/>
                <w:color w:val="000000"/>
                <w:sz w:val="18"/>
                <w:szCs w:val="18"/>
              </w:rPr>
              <w:t>CDR Revisions</w:t>
            </w:r>
            <w:r w:rsidRPr="006F724E">
              <w:rPr>
                <w:rFonts w:ascii="Arial Narrow" w:hAnsi="Arial Narrow" w:cs="Calibri"/>
                <w:color w:val="000000"/>
                <w:sz w:val="18"/>
                <w:szCs w:val="18"/>
              </w:rPr>
              <w:t xml:space="preserve"> EA </w:t>
            </w:r>
            <w:r w:rsidRPr="006F724E">
              <w:rPr>
                <w:rFonts w:ascii="Arial Narrow" w:hAnsi="Arial Narrow" w:cs="Calibri"/>
                <w:sz w:val="18"/>
                <w:szCs w:val="18"/>
              </w:rPr>
              <w:t>(</w:t>
            </w:r>
            <w:r>
              <w:rPr>
                <w:rFonts w:ascii="Arial Narrow" w:hAnsi="Arial Narrow" w:cs="Calibri"/>
                <w:sz w:val="18"/>
                <w:szCs w:val="18"/>
              </w:rPr>
              <w:t>EPA, 2019</w:t>
            </w:r>
            <w:r w:rsidRPr="006F724E">
              <w:rPr>
                <w:rFonts w:ascii="Arial Narrow" w:hAnsi="Arial Narrow" w:cs="Calibri"/>
                <w:sz w:val="18"/>
                <w:szCs w:val="18"/>
              </w:rPr>
              <w:t xml:space="preserve">) </w:t>
            </w:r>
            <w:r w:rsidRPr="006F724E">
              <w:rPr>
                <w:rFonts w:ascii="Arial Narrow" w:hAnsi="Arial Narrow" w:cs="Calibri"/>
                <w:color w:val="000000"/>
                <w:sz w:val="18"/>
                <w:szCs w:val="18"/>
              </w:rPr>
              <w:t xml:space="preserve">use the latter approach, which is why the total values do not match. Calculation in sequence yields an annual burden </w:t>
            </w:r>
            <w:r>
              <w:rPr>
                <w:rFonts w:ascii="Arial Narrow" w:hAnsi="Arial Narrow" w:cs="Calibri"/>
                <w:color w:val="000000"/>
                <w:sz w:val="18"/>
                <w:szCs w:val="18"/>
              </w:rPr>
              <w:t>increase</w:t>
            </w:r>
            <w:r w:rsidRPr="006F724E">
              <w:rPr>
                <w:rFonts w:ascii="Arial Narrow" w:hAnsi="Arial Narrow" w:cs="Calibri"/>
                <w:color w:val="000000"/>
                <w:sz w:val="18"/>
                <w:szCs w:val="18"/>
              </w:rPr>
              <w:t xml:space="preserve"> that is </w:t>
            </w:r>
            <w:r>
              <w:rPr>
                <w:rFonts w:ascii="Arial Narrow" w:hAnsi="Arial Narrow" w:cs="Calibri"/>
                <w:color w:val="000000"/>
                <w:sz w:val="18"/>
                <w:szCs w:val="18"/>
              </w:rPr>
              <w:t>547</w:t>
            </w:r>
            <w:r w:rsidRPr="006F724E">
              <w:rPr>
                <w:rFonts w:ascii="Arial Narrow" w:hAnsi="Arial Narrow" w:cs="Calibri"/>
                <w:color w:val="000000"/>
                <w:sz w:val="18"/>
                <w:szCs w:val="18"/>
              </w:rPr>
              <w:t xml:space="preserve"> hours (</w:t>
            </w:r>
            <w:r>
              <w:rPr>
                <w:rFonts w:ascii="Arial Narrow" w:hAnsi="Arial Narrow" w:cs="Calibri"/>
                <w:color w:val="000000"/>
                <w:sz w:val="18"/>
                <w:szCs w:val="18"/>
              </w:rPr>
              <w:t>2.07</w:t>
            </w:r>
            <w:r w:rsidRPr="006F724E">
              <w:rPr>
                <w:rFonts w:ascii="Arial Narrow" w:hAnsi="Arial Narrow" w:cs="Calibri"/>
                <w:color w:val="000000"/>
                <w:sz w:val="18"/>
                <w:szCs w:val="18"/>
              </w:rPr>
              <w:t xml:space="preserve">%) </w:t>
            </w:r>
            <w:r>
              <w:rPr>
                <w:rFonts w:ascii="Arial Narrow" w:hAnsi="Arial Narrow" w:cs="Calibri"/>
                <w:color w:val="000000"/>
                <w:sz w:val="18"/>
                <w:szCs w:val="18"/>
              </w:rPr>
              <w:t>smaller</w:t>
            </w:r>
            <w:r w:rsidRPr="006F724E">
              <w:rPr>
                <w:rFonts w:ascii="Arial Narrow" w:hAnsi="Arial Narrow" w:cs="Calibri"/>
                <w:color w:val="000000"/>
                <w:sz w:val="18"/>
                <w:szCs w:val="18"/>
              </w:rPr>
              <w:t xml:space="preserve"> than annual burden </w:t>
            </w:r>
            <w:r>
              <w:rPr>
                <w:rFonts w:ascii="Arial Narrow" w:hAnsi="Arial Narrow" w:cs="Calibri"/>
                <w:color w:val="000000"/>
                <w:sz w:val="18"/>
                <w:szCs w:val="18"/>
              </w:rPr>
              <w:t>increase</w:t>
            </w:r>
            <w:r w:rsidRPr="006F724E">
              <w:rPr>
                <w:rFonts w:ascii="Arial Narrow" w:hAnsi="Arial Narrow" w:cs="Calibri"/>
                <w:color w:val="000000"/>
                <w:sz w:val="18"/>
                <w:szCs w:val="18"/>
              </w:rPr>
              <w:t xml:space="preserve"> calculated in parallel. </w:t>
            </w:r>
          </w:p>
        </w:tc>
      </w:tr>
      <w:tr w:rsidRPr="00924A46" w:rsidR="00D027EA" w:rsidTr="00C935A8" w14:paraId="0F753B6A" w14:textId="77777777">
        <w:trPr>
          <w:jc w:val="center"/>
        </w:trPr>
        <w:tc>
          <w:tcPr>
            <w:tcW w:w="360" w:type="dxa"/>
            <w:tcBorders>
              <w:top w:val="nil"/>
              <w:left w:val="single" w:color="auto" w:sz="4" w:space="0"/>
              <w:bottom w:val="single" w:color="auto" w:sz="4" w:space="0"/>
              <w:right w:val="nil"/>
            </w:tcBorders>
            <w:shd w:val="clear" w:color="auto" w:fill="auto"/>
            <w:noWrap/>
            <w:hideMark/>
          </w:tcPr>
          <w:p w:rsidRPr="004B2A38" w:rsidR="00D027EA" w:rsidP="00C935A8" w:rsidRDefault="00D027EA" w14:paraId="296D50ED" w14:textId="77777777">
            <w:pPr>
              <w:rPr>
                <w:rFonts w:ascii="Arial Narrow" w:hAnsi="Arial Narrow" w:eastAsia="Times New Roman" w:cs="Calibri"/>
                <w:color w:val="000000" w:themeColor="text1"/>
                <w:sz w:val="18"/>
                <w:szCs w:val="18"/>
              </w:rPr>
            </w:pPr>
            <w:r>
              <w:rPr>
                <w:rFonts w:ascii="Arial Narrow" w:hAnsi="Arial Narrow" w:eastAsia="Times New Roman" w:cs="Calibri"/>
                <w:color w:val="000000" w:themeColor="text1"/>
                <w:sz w:val="18"/>
                <w:szCs w:val="18"/>
                <w:vertAlign w:val="superscript"/>
              </w:rPr>
              <w:t>2</w:t>
            </w:r>
          </w:p>
        </w:tc>
        <w:tc>
          <w:tcPr>
            <w:tcW w:w="9000" w:type="dxa"/>
            <w:gridSpan w:val="6"/>
            <w:tcBorders>
              <w:top w:val="nil"/>
              <w:left w:val="nil"/>
              <w:bottom w:val="single" w:color="auto" w:sz="4" w:space="0"/>
              <w:right w:val="single" w:color="auto" w:sz="4" w:space="0"/>
            </w:tcBorders>
            <w:shd w:val="clear" w:color="auto" w:fill="auto"/>
            <w:noWrap/>
            <w:vAlign w:val="center"/>
            <w:hideMark/>
          </w:tcPr>
          <w:p w:rsidRPr="004B2A38" w:rsidR="00D027EA" w:rsidP="00C935A8" w:rsidRDefault="00D027EA" w14:paraId="61C64C98" w14:textId="77777777">
            <w:pPr>
              <w:ind w:left="-110"/>
              <w:rPr>
                <w:rFonts w:ascii="Arial Narrow" w:hAnsi="Arial Narrow" w:eastAsia="Times New Roman" w:cs="Calibri"/>
                <w:color w:val="000000"/>
                <w:sz w:val="18"/>
                <w:szCs w:val="18"/>
              </w:rPr>
            </w:pPr>
            <w:r w:rsidRPr="004B2A38">
              <w:rPr>
                <w:rFonts w:ascii="Arial Narrow" w:hAnsi="Arial Narrow" w:cs="Calibri"/>
                <w:color w:val="000000"/>
                <w:sz w:val="18"/>
                <w:szCs w:val="18"/>
              </w:rPr>
              <w:t xml:space="preserve">Represents the net change from CDR Revisions, excluding </w:t>
            </w:r>
            <w:r>
              <w:rPr>
                <w:rFonts w:ascii="Arial Narrow" w:hAnsi="Arial Narrow" w:cs="Calibri"/>
                <w:color w:val="000000"/>
                <w:sz w:val="18"/>
                <w:szCs w:val="18"/>
              </w:rPr>
              <w:t>b</w:t>
            </w:r>
            <w:r w:rsidRPr="004B2A38">
              <w:rPr>
                <w:rFonts w:ascii="Arial Narrow" w:hAnsi="Arial Narrow" w:cs="Calibri"/>
                <w:color w:val="000000"/>
                <w:sz w:val="18"/>
                <w:szCs w:val="18"/>
              </w:rPr>
              <w:t xml:space="preserve">yproduct </w:t>
            </w:r>
            <w:r>
              <w:rPr>
                <w:rFonts w:ascii="Arial Narrow" w:hAnsi="Arial Narrow" w:cs="Calibri"/>
                <w:color w:val="000000"/>
                <w:sz w:val="18"/>
                <w:szCs w:val="18"/>
              </w:rPr>
              <w:t>e</w:t>
            </w:r>
            <w:r w:rsidRPr="004B2A38">
              <w:rPr>
                <w:rFonts w:ascii="Arial Narrow" w:hAnsi="Arial Narrow" w:cs="Calibri"/>
                <w:color w:val="000000"/>
                <w:sz w:val="18"/>
                <w:szCs w:val="18"/>
              </w:rPr>
              <w:t>xemptions.</w:t>
            </w:r>
          </w:p>
        </w:tc>
      </w:tr>
    </w:tbl>
    <w:p w:rsidRPr="00025CEE" w:rsidR="002B34A0" w:rsidP="002B34A0" w:rsidRDefault="002B34A0" w14:paraId="670BD894" w14:textId="77777777">
      <w:pPr>
        <w:rPr>
          <w:color w:val="FF33CC"/>
          <w:lang w:bidi="en-US"/>
        </w:rPr>
      </w:pPr>
    </w:p>
    <w:p w:rsidR="001E51C3" w:rsidRDefault="001E51C3" w14:paraId="7A0B84A8" w14:textId="77777777">
      <w:pPr>
        <w:spacing w:after="200" w:line="276" w:lineRule="auto"/>
        <w:rPr>
          <w:rFonts w:eastAsiaTheme="majorEastAsia" w:cstheme="majorBidi"/>
          <w:b/>
          <w:bCs/>
          <w:sz w:val="28"/>
          <w:szCs w:val="28"/>
          <w:lang w:bidi="en-US"/>
        </w:rPr>
      </w:pPr>
      <w:r>
        <w:rPr>
          <w:lang w:bidi="en-US"/>
        </w:rPr>
        <w:br w:type="page"/>
      </w:r>
    </w:p>
    <w:p w:rsidRPr="0068315F" w:rsidR="002B34A0" w:rsidP="00853B7A" w:rsidRDefault="00A22510" w14:paraId="4C8092A3" w14:textId="763F6B7D">
      <w:pPr>
        <w:pStyle w:val="Heading1"/>
        <w:numPr>
          <w:ilvl w:val="0"/>
          <w:numId w:val="3"/>
        </w:numPr>
        <w:rPr>
          <w:lang w:bidi="en-US"/>
        </w:rPr>
      </w:pPr>
      <w:bookmarkStart w:name="_Toc34984677" w:id="91"/>
      <w:r>
        <w:rPr>
          <w:lang w:bidi="en-US"/>
        </w:rPr>
        <w:lastRenderedPageBreak/>
        <w:t>References</w:t>
      </w:r>
      <w:bookmarkEnd w:id="91"/>
    </w:p>
    <w:p w:rsidRPr="00852CB1" w:rsidR="008F0E7C" w:rsidP="00852CB1" w:rsidRDefault="008F0E7C" w14:paraId="3736FC91" w14:textId="3C548128">
      <w:pPr>
        <w:pStyle w:val="Reference"/>
        <w:spacing w:after="240"/>
        <w:rPr>
          <w:rFonts w:ascii="Arial" w:hAnsi="Arial" w:cs="Arial"/>
          <w:sz w:val="24"/>
        </w:rPr>
      </w:pPr>
      <w:bookmarkStart w:name="OLE_LINK6" w:id="92"/>
      <w:bookmarkStart w:name="OLE_LINK7" w:id="93"/>
      <w:r w:rsidRPr="00852CB1">
        <w:rPr>
          <w:rFonts w:ascii="Arial" w:hAnsi="Arial" w:cs="Arial"/>
          <w:sz w:val="24"/>
        </w:rPr>
        <w:t xml:space="preserve">BLS (U.S. Bureau of Labor Statistics). 2019a. Employer Costs for Employee Compensation Supplementary Tables: December 2006 – June 2019. </w:t>
      </w:r>
      <w:r w:rsidR="003C4D74">
        <w:rPr>
          <w:rFonts w:ascii="Arial" w:hAnsi="Arial" w:cs="Arial"/>
        </w:rPr>
        <w:t>Retrieved October 24, 2019 from</w:t>
      </w:r>
      <w:r w:rsidRPr="00852CB1" w:rsidR="003C4D74">
        <w:rPr>
          <w:rFonts w:ascii="Arial" w:hAnsi="Arial" w:cs="Arial"/>
          <w:sz w:val="24"/>
        </w:rPr>
        <w:t xml:space="preserve"> </w:t>
      </w:r>
      <w:r w:rsidRPr="00852CB1">
        <w:rPr>
          <w:rFonts w:ascii="Arial" w:hAnsi="Arial" w:cs="Arial"/>
          <w:sz w:val="24"/>
        </w:rPr>
        <w:t>https//www/bls.gov/</w:t>
      </w:r>
      <w:proofErr w:type="spellStart"/>
      <w:r w:rsidRPr="00852CB1">
        <w:rPr>
          <w:rFonts w:ascii="Arial" w:hAnsi="Arial" w:cs="Arial"/>
          <w:sz w:val="24"/>
        </w:rPr>
        <w:t>ncs</w:t>
      </w:r>
      <w:proofErr w:type="spellEnd"/>
      <w:r w:rsidRPr="00852CB1">
        <w:rPr>
          <w:rFonts w:ascii="Arial" w:hAnsi="Arial" w:cs="Arial"/>
          <w:sz w:val="24"/>
        </w:rPr>
        <w:t>/</w:t>
      </w:r>
      <w:proofErr w:type="spellStart"/>
      <w:r w:rsidRPr="00852CB1">
        <w:rPr>
          <w:rFonts w:ascii="Arial" w:hAnsi="Arial" w:cs="Arial"/>
          <w:sz w:val="24"/>
        </w:rPr>
        <w:t>ect</w:t>
      </w:r>
      <w:proofErr w:type="spellEnd"/>
      <w:r w:rsidRPr="00852CB1">
        <w:rPr>
          <w:rFonts w:ascii="Arial" w:hAnsi="Arial" w:cs="Arial"/>
          <w:sz w:val="24"/>
        </w:rPr>
        <w:t>/.</w:t>
      </w:r>
    </w:p>
    <w:p w:rsidRPr="00852CB1" w:rsidR="008F0E7C" w:rsidP="00852CB1" w:rsidRDefault="008F0E7C" w14:paraId="5384053D" w14:textId="17942701">
      <w:pPr>
        <w:pStyle w:val="Reference"/>
        <w:spacing w:after="240"/>
        <w:rPr>
          <w:rFonts w:ascii="Arial" w:hAnsi="Arial" w:cs="Arial"/>
          <w:sz w:val="24"/>
        </w:rPr>
      </w:pPr>
      <w:r w:rsidRPr="00852CB1">
        <w:rPr>
          <w:rFonts w:ascii="Arial" w:hAnsi="Arial" w:cs="Arial"/>
          <w:sz w:val="24"/>
        </w:rPr>
        <w:t xml:space="preserve">BLS. 2019b. Employment Cost Index (ECI) Historical Listing – Volume III National Compensation Survey </w:t>
      </w:r>
      <w:r w:rsidR="00C837AF">
        <w:rPr>
          <w:rFonts w:ascii="Arial" w:hAnsi="Arial" w:cs="Arial"/>
          <w:sz w:val="24"/>
        </w:rPr>
        <w:t>October</w:t>
      </w:r>
      <w:r w:rsidRPr="00852CB1" w:rsidR="00C837AF">
        <w:rPr>
          <w:rFonts w:ascii="Arial" w:hAnsi="Arial" w:cs="Arial"/>
          <w:sz w:val="24"/>
        </w:rPr>
        <w:t xml:space="preserve"> </w:t>
      </w:r>
      <w:r w:rsidRPr="00852CB1">
        <w:rPr>
          <w:rFonts w:ascii="Arial" w:hAnsi="Arial" w:cs="Arial"/>
          <w:sz w:val="24"/>
        </w:rPr>
        <w:t>2019. Available at https://www.bls.gov/web/eci/echistrynaics.pdf (</w:t>
      </w:r>
      <w:r w:rsidRPr="00821559" w:rsidR="00C837AF">
        <w:rPr>
          <w:rFonts w:ascii="Arial" w:hAnsi="Arial" w:cs="Arial"/>
          <w:sz w:val="24"/>
        </w:rPr>
        <w:t>Accessed January 28, 2020</w:t>
      </w:r>
      <w:r w:rsidRPr="00852CB1">
        <w:rPr>
          <w:rFonts w:ascii="Arial" w:hAnsi="Arial" w:cs="Arial"/>
          <w:sz w:val="24"/>
        </w:rPr>
        <w:t>).</w:t>
      </w:r>
    </w:p>
    <w:p w:rsidRPr="008F0E7C" w:rsidR="008F0E7C" w:rsidP="008F0E7C" w:rsidRDefault="008F0E7C" w14:paraId="0AC9E8B4" w14:textId="77777777">
      <w:pPr>
        <w:pStyle w:val="Reference"/>
        <w:spacing w:after="240"/>
        <w:rPr>
          <w:rFonts w:ascii="Arial" w:hAnsi="Arial" w:cs="Arial"/>
          <w:i/>
          <w:sz w:val="24"/>
        </w:rPr>
      </w:pPr>
      <w:r w:rsidRPr="008F0E7C">
        <w:rPr>
          <w:rFonts w:ascii="Arial" w:hAnsi="Arial" w:cs="Arial"/>
          <w:sz w:val="24"/>
        </w:rPr>
        <w:t xml:space="preserve">EPA. 2002. </w:t>
      </w:r>
      <w:r w:rsidRPr="008F0E7C">
        <w:rPr>
          <w:rFonts w:ascii="Arial" w:hAnsi="Arial" w:cs="Arial"/>
          <w:i/>
          <w:sz w:val="24"/>
        </w:rPr>
        <w:t>Revised Economic Analysis for the Amended Inventory Update Rule: Final Report (EPA-HQ-OPPT-2002-0054-0260).</w:t>
      </w:r>
      <w:r w:rsidRPr="008F0E7C">
        <w:rPr>
          <w:rFonts w:ascii="Arial" w:hAnsi="Arial" w:cs="Arial"/>
          <w:sz w:val="24"/>
        </w:rPr>
        <w:t xml:space="preserve"> Office of Pollution Prevention and Toxics, Economic and Policy Analysis Branch. August 2002</w:t>
      </w:r>
      <w:r w:rsidRPr="008F0E7C">
        <w:rPr>
          <w:rFonts w:ascii="Arial" w:hAnsi="Arial" w:cs="Arial"/>
          <w:i/>
          <w:sz w:val="24"/>
        </w:rPr>
        <w:t>.</w:t>
      </w:r>
    </w:p>
    <w:p w:rsidR="008F0E7C" w:rsidP="008F0E7C" w:rsidRDefault="008F0E7C" w14:paraId="7EF0F84F" w14:textId="56E0CA18">
      <w:pPr>
        <w:pStyle w:val="Reference"/>
        <w:spacing w:after="240"/>
        <w:rPr>
          <w:rFonts w:ascii="Arial" w:hAnsi="Arial" w:cs="Arial"/>
          <w:sz w:val="24"/>
        </w:rPr>
      </w:pPr>
      <w:r w:rsidRPr="008F0E7C">
        <w:rPr>
          <w:rFonts w:ascii="Arial" w:hAnsi="Arial" w:cs="Arial"/>
          <w:sz w:val="24"/>
        </w:rPr>
        <w:t xml:space="preserve">EPA. 2009. </w:t>
      </w:r>
      <w:r w:rsidRPr="008F0E7C">
        <w:rPr>
          <w:rFonts w:ascii="Arial" w:hAnsi="Arial" w:cs="Arial"/>
          <w:i/>
          <w:iCs/>
          <w:sz w:val="24"/>
        </w:rPr>
        <w:t>ICR Handbook: EPA’s Guide to Writing Information Collection Requests under the Paperwork Reduction Act of 1995</w:t>
      </w:r>
      <w:r w:rsidRPr="008F0E7C">
        <w:rPr>
          <w:rFonts w:ascii="Arial" w:hAnsi="Arial" w:cs="Arial"/>
          <w:sz w:val="24"/>
        </w:rPr>
        <w:t xml:space="preserve">. Retrieved from </w:t>
      </w:r>
      <w:hyperlink w:history="1" r:id="rId16">
        <w:r w:rsidRPr="005578F9" w:rsidR="003E23A0">
          <w:rPr>
            <w:rStyle w:val="Hyperlink"/>
            <w:rFonts w:ascii="Arial" w:hAnsi="Arial" w:cs="Arial"/>
            <w:sz w:val="24"/>
          </w:rPr>
          <w:t>https://www.pdffiller.com/10247637--ICR-Handbook---Environmental-Protection-Agency-</w:t>
        </w:r>
      </w:hyperlink>
      <w:r w:rsidRPr="008F0E7C">
        <w:rPr>
          <w:rFonts w:ascii="Arial" w:hAnsi="Arial" w:cs="Arial"/>
          <w:sz w:val="24"/>
        </w:rPr>
        <w:t>.</w:t>
      </w:r>
    </w:p>
    <w:p w:rsidRPr="00821559" w:rsidR="003E23A0" w:rsidP="008F0E7C" w:rsidRDefault="003E23A0" w14:paraId="3D0E32A2" w14:textId="51DE8492">
      <w:pPr>
        <w:pStyle w:val="Reference"/>
        <w:spacing w:after="240"/>
        <w:rPr>
          <w:rFonts w:ascii="Arial" w:hAnsi="Arial" w:cs="Arial"/>
          <w:sz w:val="24"/>
        </w:rPr>
      </w:pPr>
      <w:r w:rsidRPr="00821559">
        <w:rPr>
          <w:rFonts w:ascii="Arial" w:hAnsi="Arial" w:cs="Arial"/>
          <w:bCs/>
          <w:sz w:val="24"/>
        </w:rPr>
        <w:t xml:space="preserve">EPA. 2011. </w:t>
      </w:r>
      <w:r w:rsidRPr="00821559">
        <w:rPr>
          <w:rFonts w:ascii="Arial" w:hAnsi="Arial" w:cs="Arial"/>
          <w:i/>
          <w:sz w:val="24"/>
        </w:rPr>
        <w:t>Revising TRI Burden to Ratio-Based Methodology.</w:t>
      </w:r>
      <w:r w:rsidRPr="00821559">
        <w:rPr>
          <w:rFonts w:ascii="Arial" w:hAnsi="Arial" w:cs="Arial"/>
          <w:bCs/>
          <w:sz w:val="24"/>
        </w:rPr>
        <w:t xml:space="preserve"> U.S. EPA, </w:t>
      </w:r>
      <w:r w:rsidRPr="00821559">
        <w:rPr>
          <w:rFonts w:ascii="Arial" w:hAnsi="Arial" w:cs="Arial"/>
          <w:sz w:val="24"/>
        </w:rPr>
        <w:t>Office of Environmental Information, Office of Information Analysis and Access, TRI Regulatory Development Branch, TRI Program Division. February 1, 2011</w:t>
      </w:r>
      <w:r w:rsidR="0046052E">
        <w:rPr>
          <w:rFonts w:ascii="Arial" w:hAnsi="Arial" w:cs="Arial"/>
          <w:sz w:val="24"/>
        </w:rPr>
        <w:t>.</w:t>
      </w:r>
    </w:p>
    <w:p w:rsidR="008F0E7C" w:rsidP="003E23A0" w:rsidRDefault="008F0E7C" w14:paraId="7D72F45E" w14:textId="21A852BA">
      <w:pPr>
        <w:ind w:left="360" w:right="360" w:hanging="360"/>
        <w:rPr>
          <w:rFonts w:cs="Arial"/>
        </w:rPr>
      </w:pPr>
      <w:r w:rsidRPr="008F0E7C">
        <w:rPr>
          <w:rFonts w:cs="Arial"/>
        </w:rPr>
        <w:t xml:space="preserve">EPA. 2015. </w:t>
      </w:r>
      <w:r w:rsidRPr="008F0E7C">
        <w:rPr>
          <w:rFonts w:cs="Arial"/>
          <w:i/>
        </w:rPr>
        <w:t xml:space="preserve">ICR No. </w:t>
      </w:r>
      <w:r w:rsidRPr="008F0E7C">
        <w:rPr>
          <w:rFonts w:cs="Arial"/>
          <w:bCs/>
          <w:i/>
        </w:rPr>
        <w:t>1884.08</w:t>
      </w:r>
      <w:r w:rsidRPr="008F0E7C">
        <w:rPr>
          <w:rFonts w:cs="Arial"/>
          <w:i/>
        </w:rPr>
        <w:t>.</w:t>
      </w:r>
      <w:r w:rsidRPr="008F0E7C">
        <w:rPr>
          <w:rFonts w:cs="Arial"/>
        </w:rPr>
        <w:t xml:space="preserve"> </w:t>
      </w:r>
      <w:r w:rsidRPr="008F0E7C">
        <w:rPr>
          <w:rFonts w:cs="Arial"/>
          <w:i/>
          <w:iCs/>
        </w:rPr>
        <w:t>[Information Collection Request for]</w:t>
      </w:r>
      <w:r w:rsidRPr="008F0E7C">
        <w:rPr>
          <w:rFonts w:cs="Arial"/>
          <w:bCs/>
        </w:rPr>
        <w:t xml:space="preserve"> Partial Update of the TSCA Section 8(b) Inventory Data Base, Production and Site Report </w:t>
      </w:r>
      <w:r w:rsidRPr="008F0E7C">
        <w:rPr>
          <w:rFonts w:cs="Arial"/>
          <w:i/>
          <w:iCs/>
        </w:rPr>
        <w:t>Supporting Statement for a Request for</w:t>
      </w:r>
      <w:r w:rsidRPr="008F0E7C">
        <w:rPr>
          <w:rFonts w:cs="Arial"/>
          <w:bCs/>
        </w:rPr>
        <w:t xml:space="preserve"> </w:t>
      </w:r>
      <w:r w:rsidRPr="008F0E7C">
        <w:rPr>
          <w:rFonts w:cs="Arial"/>
          <w:i/>
          <w:iCs/>
        </w:rPr>
        <w:t>OMB Review under the Paperwork Reduction Act</w:t>
      </w:r>
      <w:r w:rsidRPr="008F0E7C">
        <w:rPr>
          <w:rFonts w:cs="Arial"/>
        </w:rPr>
        <w:t>. October 14, 2015. EPA-HQ-OPPT-2013-0721-0008.</w:t>
      </w:r>
    </w:p>
    <w:p w:rsidRPr="007A14FB" w:rsidR="007A14FB" w:rsidP="00821559" w:rsidRDefault="007A14FB" w14:paraId="517A7C4A" w14:textId="77777777">
      <w:pPr>
        <w:pStyle w:val="NoSpacing"/>
      </w:pPr>
    </w:p>
    <w:p w:rsidRPr="007A14FB" w:rsidR="007A14FB" w:rsidP="00821559" w:rsidRDefault="007A14FB" w14:paraId="0B4779D1" w14:textId="03655221">
      <w:pPr>
        <w:pStyle w:val="Reference"/>
      </w:pPr>
      <w:r w:rsidRPr="00821559">
        <w:rPr>
          <w:rFonts w:ascii="Arial" w:hAnsi="Arial" w:cs="Arial"/>
          <w:sz w:val="24"/>
        </w:rPr>
        <w:t xml:space="preserve">EPA. 2017. </w:t>
      </w:r>
      <w:r w:rsidRPr="00821559">
        <w:rPr>
          <w:rFonts w:ascii="Arial" w:hAnsi="Arial" w:cs="Arial"/>
          <w:i/>
          <w:sz w:val="24"/>
        </w:rPr>
        <w:t>Burden and Cost Report for the Final Rule: TSCA Inventory Notification Requirements</w:t>
      </w:r>
      <w:r>
        <w:rPr>
          <w:rFonts w:ascii="Arial" w:hAnsi="Arial" w:cs="Arial"/>
          <w:i/>
          <w:sz w:val="24"/>
        </w:rPr>
        <w:t xml:space="preserve"> </w:t>
      </w:r>
      <w:r w:rsidRPr="00821559">
        <w:rPr>
          <w:rFonts w:ascii="Arial" w:hAnsi="Arial" w:cs="Arial"/>
          <w:sz w:val="24"/>
        </w:rPr>
        <w:t xml:space="preserve">(RIN 2070-AK24) </w:t>
      </w:r>
      <w:r w:rsidRPr="00821559">
        <w:rPr>
          <w:rFonts w:ascii="Arial" w:hAnsi="Arial" w:cs="Arial"/>
          <w:color w:val="auto"/>
          <w:sz w:val="24"/>
        </w:rPr>
        <w:t>EPA-HQ-OPPT-2016-0426-0072</w:t>
      </w:r>
      <w:r w:rsidR="0046052E">
        <w:rPr>
          <w:rFonts w:ascii="Arial" w:hAnsi="Arial" w:cs="Arial"/>
          <w:color w:val="666666"/>
          <w:sz w:val="24"/>
        </w:rPr>
        <w:t>.</w:t>
      </w:r>
    </w:p>
    <w:p w:rsidRPr="008F0E7C" w:rsidR="008F0E7C" w:rsidP="008F0E7C" w:rsidRDefault="008F0E7C" w14:paraId="3E15BC26" w14:textId="77777777">
      <w:pPr>
        <w:pStyle w:val="ListParagraph"/>
        <w:ind w:left="360" w:right="360"/>
        <w:rPr>
          <w:rFonts w:cs="Arial"/>
        </w:rPr>
      </w:pPr>
    </w:p>
    <w:p w:rsidRPr="008F0E7C" w:rsidR="008F0E7C" w:rsidP="008F0E7C" w:rsidRDefault="008F0E7C" w14:paraId="62DFDD56" w14:textId="77777777">
      <w:pPr>
        <w:pStyle w:val="Reference"/>
        <w:spacing w:after="0"/>
        <w:rPr>
          <w:rFonts w:ascii="Arial" w:hAnsi="Arial" w:cs="Arial"/>
          <w:sz w:val="24"/>
        </w:rPr>
      </w:pPr>
      <w:r w:rsidRPr="008F0E7C">
        <w:rPr>
          <w:rFonts w:ascii="Arial" w:hAnsi="Arial" w:cs="Arial"/>
          <w:sz w:val="24"/>
        </w:rPr>
        <w:t xml:space="preserve">EPA. 2018a. </w:t>
      </w:r>
      <w:r w:rsidRPr="008F0E7C">
        <w:rPr>
          <w:rFonts w:ascii="Arial" w:hAnsi="Arial" w:cs="Arial"/>
          <w:i/>
          <w:sz w:val="24"/>
        </w:rPr>
        <w:t>2016 Chemical Data Reporting (CDR).</w:t>
      </w:r>
      <w:r w:rsidRPr="008F0E7C">
        <w:rPr>
          <w:rFonts w:ascii="Arial" w:hAnsi="Arial" w:cs="Arial"/>
          <w:sz w:val="24"/>
        </w:rPr>
        <w:t xml:space="preserve"> CBI Dataset pulled on October 7, 2017 and developed in the EPAB CDR Database, internal EPA release. Office of Pollution Prevention and Toxics, Economic and Policy Analysis Branch. June 13, 2018.</w:t>
      </w:r>
    </w:p>
    <w:p w:rsidRPr="008F0E7C" w:rsidR="008F0E7C" w:rsidP="008F0E7C" w:rsidRDefault="008F0E7C" w14:paraId="413B1CC9" w14:textId="77777777">
      <w:pPr>
        <w:pStyle w:val="ListParagraph"/>
        <w:ind w:left="360" w:right="360"/>
        <w:rPr>
          <w:rFonts w:cs="Arial"/>
        </w:rPr>
      </w:pPr>
    </w:p>
    <w:p w:rsidRPr="00852CB1" w:rsidR="008F0E7C" w:rsidP="00852CB1" w:rsidRDefault="008F0E7C" w14:paraId="13CC1E1E" w14:textId="77777777">
      <w:pPr>
        <w:pStyle w:val="Reference"/>
        <w:spacing w:after="240"/>
        <w:rPr>
          <w:rFonts w:ascii="Arial" w:hAnsi="Arial" w:cs="Arial"/>
          <w:sz w:val="24"/>
        </w:rPr>
      </w:pPr>
      <w:r w:rsidRPr="00852CB1">
        <w:rPr>
          <w:rFonts w:ascii="Arial" w:hAnsi="Arial" w:cs="Arial"/>
          <w:sz w:val="24"/>
        </w:rPr>
        <w:t>EPA. 2018b. ICR No. 1884.10. [Information Collection Request for] Chemical Data Reporting under the Toxic Substances Control Act (TSCA section 8(a)) Supporting Statement for a Request for OMB Review under the Paperwork Reduction Act. October 29, 2018. EPA-HQ-OPPT-2017-0648.</w:t>
      </w:r>
    </w:p>
    <w:p w:rsidRPr="00852CB1" w:rsidR="008F0E7C" w:rsidP="00852CB1" w:rsidRDefault="008F0E7C" w14:paraId="18AC293C" w14:textId="77777777">
      <w:pPr>
        <w:pStyle w:val="Reference"/>
        <w:spacing w:after="240"/>
        <w:rPr>
          <w:rFonts w:ascii="Arial" w:hAnsi="Arial" w:cs="Arial"/>
          <w:sz w:val="24"/>
        </w:rPr>
      </w:pPr>
      <w:r w:rsidRPr="00852CB1">
        <w:rPr>
          <w:rFonts w:ascii="Arial" w:hAnsi="Arial" w:cs="Arial"/>
          <w:sz w:val="24"/>
        </w:rPr>
        <w:t xml:space="preserve">EPA. 2019. Economic Analysis for the Final Rule on TSCA Chemical Data Reporting (CDR) Revisions (RIN 2070-AK33). Economic and Policy Analysis Branch, Chemistry, Economics, and Sustainable Strategies Division, Office of Pollution Prevention and Toxics, U.S. Environmental Protection Agency, (included in same docket as this report, EPA-HQ-OPPT-2018-0321). </w:t>
      </w:r>
    </w:p>
    <w:p w:rsidRPr="00852CB1" w:rsidR="008F0E7C" w:rsidP="00852CB1" w:rsidRDefault="008F0E7C" w14:paraId="1FB6AF73" w14:textId="77777777">
      <w:pPr>
        <w:pStyle w:val="Reference"/>
        <w:spacing w:after="240"/>
        <w:rPr>
          <w:rFonts w:ascii="Arial" w:hAnsi="Arial" w:cs="Arial"/>
          <w:sz w:val="24"/>
        </w:rPr>
      </w:pPr>
      <w:r w:rsidRPr="00852CB1">
        <w:rPr>
          <w:rFonts w:ascii="Arial" w:hAnsi="Arial" w:cs="Arial"/>
          <w:sz w:val="24"/>
        </w:rPr>
        <w:t xml:space="preserve">OPM (Office of Personnel Management). 2018. Salary Table 2018-DCB. Retrieved October 18, 2019 from Pay &amp; Leave: Salaries &amp; Wages: </w:t>
      </w:r>
      <w:hyperlink w:history="1" r:id="rId17">
        <w:r w:rsidRPr="00852CB1">
          <w:rPr>
            <w:rFonts w:ascii="Arial" w:hAnsi="Arial" w:cs="Arial"/>
            <w:sz w:val="24"/>
          </w:rPr>
          <w:t>https://www.opm.gov/policy-data-oversight/pay-leave/salaries-wages/salary-tables/18Tables/html/DCB_h.aspx</w:t>
        </w:r>
      </w:hyperlink>
      <w:r w:rsidRPr="00852CB1">
        <w:rPr>
          <w:rFonts w:ascii="Arial" w:hAnsi="Arial" w:cs="Arial"/>
          <w:sz w:val="24"/>
        </w:rPr>
        <w:t>.</w:t>
      </w:r>
    </w:p>
    <w:p w:rsidRPr="00852CB1" w:rsidR="008F0E7C" w:rsidP="00852CB1" w:rsidRDefault="008F0E7C" w14:paraId="3E75A1A6" w14:textId="77777777">
      <w:pPr>
        <w:pStyle w:val="Reference"/>
        <w:spacing w:after="240"/>
        <w:rPr>
          <w:rFonts w:ascii="Arial" w:hAnsi="Arial" w:cs="Arial"/>
          <w:sz w:val="24"/>
        </w:rPr>
      </w:pPr>
      <w:r w:rsidRPr="00852CB1">
        <w:rPr>
          <w:rFonts w:ascii="Arial" w:hAnsi="Arial" w:cs="Arial"/>
          <w:sz w:val="24"/>
        </w:rPr>
        <w:lastRenderedPageBreak/>
        <w:t>Rice. 2002. Wage Rates for Economic Analysis of the Toxics Release Inventory Program. June 10, 2002.</w:t>
      </w:r>
      <w:bookmarkEnd w:id="92"/>
      <w:bookmarkEnd w:id="93"/>
      <w:r w:rsidRPr="00852CB1">
        <w:rPr>
          <w:rFonts w:ascii="Arial" w:hAnsi="Arial" w:cs="Arial"/>
          <w:sz w:val="24"/>
        </w:rPr>
        <w:t xml:space="preserve"> </w:t>
      </w:r>
    </w:p>
    <w:p w:rsidRPr="00852CB1" w:rsidR="0068315F" w:rsidP="00852CB1" w:rsidRDefault="0068315F" w14:paraId="2E0459BE" w14:textId="77777777">
      <w:pPr>
        <w:pStyle w:val="Reference"/>
        <w:spacing w:after="240"/>
        <w:rPr>
          <w:rFonts w:ascii="Arial" w:hAnsi="Arial" w:cs="Arial"/>
          <w:sz w:val="24"/>
        </w:rPr>
      </w:pPr>
    </w:p>
    <w:p w:rsidRPr="00852CB1" w:rsidR="00324F8B" w:rsidP="00852CB1" w:rsidRDefault="00324F8B" w14:paraId="2B34499F" w14:textId="04B80F74">
      <w:pPr>
        <w:pStyle w:val="Reference"/>
        <w:spacing w:after="240"/>
        <w:rPr>
          <w:rFonts w:ascii="Arial" w:hAnsi="Arial" w:cs="Arial"/>
          <w:sz w:val="24"/>
        </w:rPr>
      </w:pPr>
      <w:r w:rsidRPr="00852CB1">
        <w:rPr>
          <w:rFonts w:ascii="Arial" w:hAnsi="Arial" w:cs="Arial"/>
          <w:sz w:val="24"/>
        </w:rPr>
        <w:br w:type="page"/>
      </w:r>
    </w:p>
    <w:p w:rsidRPr="00431919" w:rsidR="00324F8B" w:rsidP="00820169" w:rsidRDefault="00324F8B" w14:paraId="78B8FCC5" w14:textId="5FCF7591">
      <w:pPr>
        <w:pStyle w:val="Heading7"/>
      </w:pPr>
      <w:bookmarkStart w:name="_Toc34984678" w:id="94"/>
      <w:r w:rsidRPr="00431919">
        <w:lastRenderedPageBreak/>
        <w:t>Detailed Derivation of Agency Burden and Cost</w:t>
      </w:r>
      <w:bookmarkEnd w:id="94"/>
    </w:p>
    <w:p w:rsidR="00324F8B" w:rsidP="00BB0BA7" w:rsidRDefault="00324F8B" w14:paraId="6BC615F6" w14:textId="3CC0DB96">
      <w:pPr>
        <w:rPr>
          <w:b/>
        </w:rPr>
      </w:pPr>
      <w:bookmarkStart w:name="_Hlk23940184" w:id="95"/>
      <w:r w:rsidRPr="00BB0BA7">
        <w:rPr>
          <w:b/>
        </w:rPr>
        <w:t>EPA Staff Activities</w:t>
      </w:r>
    </w:p>
    <w:p w:rsidRPr="00BB0BA7" w:rsidR="00BB0BA7" w:rsidP="00BB0BA7" w:rsidRDefault="00BB0BA7" w14:paraId="4DB4E3DB" w14:textId="77777777">
      <w:pPr>
        <w:pStyle w:val="NoSpacing"/>
      </w:pPr>
    </w:p>
    <w:p w:rsidRPr="00E43E85" w:rsidR="00324F8B" w:rsidP="00324F8B" w:rsidRDefault="00324F8B" w14:paraId="29457D13" w14:textId="77777777">
      <w:pPr>
        <w:pStyle w:val="BodyText"/>
      </w:pPr>
      <w:r>
        <w:t xml:space="preserve">EPA activities affected by the rule involve submission receipt and tracking, data review, and quality control. Agency burden is reduced given that these activities are related to the quantity of sites, chemical reports, and CDX registrations, all of which decrease under the rule. The following analysis of Agency burden is limited to incremental change in these variable costs, since fixed costs do not change. Additionally, </w:t>
      </w:r>
      <w:r w:rsidRPr="00E43E85">
        <w:t>costs related to EPA activities that involve data</w:t>
      </w:r>
      <w:r>
        <w:t xml:space="preserve"> use</w:t>
      </w:r>
      <w:r w:rsidRPr="00E43E85">
        <w:t xml:space="preserve"> are not included. </w:t>
      </w:r>
    </w:p>
    <w:p w:rsidR="00324F8B" w:rsidP="00324F8B" w:rsidRDefault="00324F8B" w14:paraId="69DBFB5F" w14:textId="77777777">
      <w:pPr>
        <w:pStyle w:val="BodyText"/>
      </w:pPr>
      <w:r w:rsidRPr="008A7FB7">
        <w:t>Agency personnel are responsible for quality control of data</w:t>
      </w:r>
      <w:r>
        <w:t xml:space="preserve">, while contractors perform data processing tasks. Additionally, change in number of CDX registrations </w:t>
      </w:r>
      <w:proofErr w:type="gramStart"/>
      <w:r>
        <w:t>is considered to be</w:t>
      </w:r>
      <w:proofErr w:type="gramEnd"/>
      <w:r>
        <w:t xml:space="preserve"> negligible, and therefore for ease of presentation is not included in estimate of associated Agency cost. </w:t>
      </w:r>
    </w:p>
    <w:p w:rsidR="00324F8B" w:rsidP="00324F8B" w:rsidRDefault="00324F8B" w14:paraId="37475191" w14:textId="49A6B6D0">
      <w:pPr>
        <w:pStyle w:val="BodyText"/>
      </w:pPr>
      <w:r w:rsidRPr="008A7FB7">
        <w:t>EPA labor costs are based on annual federal wage rates</w:t>
      </w:r>
      <w:r>
        <w:t>,</w:t>
      </w:r>
      <w:r w:rsidRPr="008A7FB7">
        <w:t xml:space="preserve"> </w:t>
      </w:r>
      <w:r>
        <w:t xml:space="preserve">as presented in </w:t>
      </w:r>
      <w:r w:rsidR="00A438EC">
        <w:fldChar w:fldCharType="begin"/>
      </w:r>
      <w:r w:rsidR="00A438EC">
        <w:instrText xml:space="preserve"> REF _Ref33098931 \h </w:instrText>
      </w:r>
      <w:r w:rsidR="00A438EC">
        <w:fldChar w:fldCharType="separate"/>
      </w:r>
      <w:r w:rsidR="00EC4095">
        <w:t xml:space="preserve">Table A- </w:t>
      </w:r>
      <w:r w:rsidR="00EC4095">
        <w:rPr>
          <w:noProof/>
        </w:rPr>
        <w:t>1</w:t>
      </w:r>
      <w:r w:rsidR="00A438EC">
        <w:fldChar w:fldCharType="end"/>
      </w:r>
      <w:r w:rsidR="00CC3895">
        <w:t xml:space="preserve">. </w:t>
      </w:r>
      <w:r>
        <w:t>As in the ICR renewal (EPA, 2018b), a GS-12 Step 3 is assumed for program staff hours and a GS-13</w:t>
      </w:r>
      <w:r w:rsidRPr="008A7FB7">
        <w:t xml:space="preserve"> Step 3 is assumed for </w:t>
      </w:r>
      <w:r>
        <w:t xml:space="preserve">information technology (IT) staff hours. </w:t>
      </w:r>
      <w:r w:rsidRPr="008A7FB7">
        <w:t xml:space="preserve"> </w:t>
      </w:r>
    </w:p>
    <w:p w:rsidR="00A968E8" w:rsidP="00324F8B" w:rsidRDefault="00A968E8" w14:paraId="59C23581" w14:textId="77777777">
      <w:pPr>
        <w:pStyle w:val="BodyText"/>
      </w:pPr>
    </w:p>
    <w:tbl>
      <w:tblPr>
        <w:tblW w:w="5000" w:type="pct"/>
        <w:jc w:val="center"/>
        <w:tblLook w:val="04A0" w:firstRow="1" w:lastRow="0" w:firstColumn="1" w:lastColumn="0" w:noHBand="0" w:noVBand="1"/>
      </w:tblPr>
      <w:tblGrid>
        <w:gridCol w:w="1113"/>
        <w:gridCol w:w="1782"/>
        <w:gridCol w:w="1205"/>
        <w:gridCol w:w="953"/>
        <w:gridCol w:w="1189"/>
        <w:gridCol w:w="1111"/>
        <w:gridCol w:w="1539"/>
        <w:gridCol w:w="1188"/>
      </w:tblGrid>
      <w:tr w:rsidRPr="003D75E2" w:rsidR="00324F8B" w:rsidTr="008F2224" w14:paraId="11F8DEB8" w14:textId="77777777">
        <w:trPr>
          <w:tblHeader/>
          <w:jc w:val="center"/>
        </w:trPr>
        <w:tc>
          <w:tcPr>
            <w:tcW w:w="10080" w:type="dxa"/>
            <w:gridSpan w:val="8"/>
            <w:tcBorders>
              <w:bottom w:val="single" w:color="auto" w:sz="4" w:space="0"/>
            </w:tcBorders>
            <w:shd w:val="clear" w:color="auto" w:fill="auto"/>
            <w:vAlign w:val="center"/>
          </w:tcPr>
          <w:p w:rsidRPr="00B8508E" w:rsidR="00324F8B" w:rsidP="00A438EC" w:rsidRDefault="00A438EC" w14:paraId="4610EA49" w14:textId="0E58BDB9">
            <w:pPr>
              <w:pStyle w:val="Caption"/>
              <w:rPr>
                <w:szCs w:val="24"/>
              </w:rPr>
            </w:pPr>
            <w:bookmarkStart w:name="_Ref33098931" w:id="96"/>
            <w:bookmarkStart w:name="_Ref24462901" w:id="97"/>
            <w:bookmarkStart w:name="_Toc24464126" w:id="98"/>
            <w:r>
              <w:t xml:space="preserve">Table A- </w:t>
            </w:r>
            <w:r>
              <w:fldChar w:fldCharType="begin"/>
            </w:r>
            <w:r>
              <w:instrText>SEQ Table_A- \* ARABIC</w:instrText>
            </w:r>
            <w:r>
              <w:fldChar w:fldCharType="separate"/>
            </w:r>
            <w:r w:rsidR="00EC4095">
              <w:rPr>
                <w:noProof/>
              </w:rPr>
              <w:t>1</w:t>
            </w:r>
            <w:r>
              <w:fldChar w:fldCharType="end"/>
            </w:r>
            <w:bookmarkEnd w:id="96"/>
            <w:bookmarkEnd w:id="97"/>
            <w:r w:rsidR="00A968E8">
              <w:t>: Agency Wage Rate (2018$)</w:t>
            </w:r>
            <w:bookmarkEnd w:id="98"/>
          </w:p>
        </w:tc>
      </w:tr>
      <w:tr w:rsidRPr="003D75E2" w:rsidR="00324F8B" w:rsidTr="008F2224" w14:paraId="57468859" w14:textId="77777777">
        <w:trPr>
          <w:tblHeader/>
          <w:jc w:val="center"/>
        </w:trPr>
        <w:tc>
          <w:tcPr>
            <w:tcW w:w="1113"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1384F769" w14:textId="77777777">
            <w:pPr>
              <w:jc w:val="center"/>
              <w:rPr>
                <w:rFonts w:ascii="Arial Narrow" w:hAnsi="Arial Narrow"/>
                <w:b/>
                <w:sz w:val="18"/>
                <w:szCs w:val="18"/>
              </w:rPr>
            </w:pPr>
            <w:r w:rsidRPr="006B5FC6">
              <w:rPr>
                <w:rFonts w:ascii="Arial Narrow" w:hAnsi="Arial Narrow"/>
                <w:b/>
                <w:sz w:val="18"/>
                <w:szCs w:val="18"/>
              </w:rPr>
              <w:t>Labor Category</w:t>
            </w:r>
          </w:p>
        </w:tc>
        <w:tc>
          <w:tcPr>
            <w:tcW w:w="1782"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6F144451" w14:textId="77777777">
            <w:pPr>
              <w:jc w:val="center"/>
              <w:rPr>
                <w:rFonts w:ascii="Arial Narrow" w:hAnsi="Arial Narrow"/>
                <w:b/>
                <w:sz w:val="18"/>
                <w:szCs w:val="18"/>
              </w:rPr>
            </w:pPr>
            <w:r w:rsidRPr="006B5FC6">
              <w:rPr>
                <w:rFonts w:ascii="Arial Narrow" w:hAnsi="Arial Narrow"/>
                <w:b/>
                <w:sz w:val="18"/>
                <w:szCs w:val="18"/>
              </w:rPr>
              <w:t>Data Source for Wage Information</w:t>
            </w:r>
          </w:p>
        </w:tc>
        <w:tc>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778DDB12" w14:textId="77777777">
            <w:pPr>
              <w:jc w:val="center"/>
              <w:rPr>
                <w:rFonts w:ascii="Arial Narrow" w:hAnsi="Arial Narrow"/>
                <w:b/>
                <w:sz w:val="18"/>
                <w:szCs w:val="18"/>
              </w:rPr>
            </w:pPr>
            <w:r w:rsidRPr="006B5FC6">
              <w:rPr>
                <w:rFonts w:ascii="Arial Narrow" w:hAnsi="Arial Narrow"/>
                <w:b/>
                <w:sz w:val="18"/>
                <w:szCs w:val="18"/>
              </w:rPr>
              <w:t>Wage ($/hour)</w:t>
            </w:r>
            <w:r w:rsidRPr="006B5FC6">
              <w:rPr>
                <w:rFonts w:ascii="Arial Narrow" w:hAnsi="Arial Narrow"/>
                <w:b/>
                <w:sz w:val="18"/>
                <w:szCs w:val="18"/>
                <w:vertAlign w:val="superscript"/>
              </w:rPr>
              <w:t>1</w:t>
            </w:r>
          </w:p>
        </w:tc>
        <w:tc>
          <w:tcPr>
            <w:tcW w:w="9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181A474A" w14:textId="77777777">
            <w:pPr>
              <w:jc w:val="center"/>
              <w:rPr>
                <w:rFonts w:ascii="Arial Narrow" w:hAnsi="Arial Narrow"/>
                <w:b/>
                <w:sz w:val="18"/>
                <w:szCs w:val="18"/>
              </w:rPr>
            </w:pPr>
            <w:r w:rsidRPr="006B5FC6">
              <w:rPr>
                <w:rFonts w:ascii="Arial Narrow" w:hAnsi="Arial Narrow"/>
                <w:b/>
                <w:sz w:val="18"/>
                <w:szCs w:val="18"/>
              </w:rPr>
              <w:t>Fringe Benefit</w:t>
            </w:r>
          </w:p>
        </w:tc>
        <w:tc>
          <w:tcPr>
            <w:tcW w:w="118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432D9E33" w14:textId="77777777">
            <w:pPr>
              <w:jc w:val="center"/>
              <w:rPr>
                <w:rFonts w:ascii="Arial Narrow" w:hAnsi="Arial Narrow"/>
                <w:b/>
                <w:sz w:val="18"/>
                <w:szCs w:val="18"/>
              </w:rPr>
            </w:pPr>
            <w:r w:rsidRPr="006B5FC6">
              <w:rPr>
                <w:rFonts w:ascii="Arial Narrow" w:hAnsi="Arial Narrow"/>
                <w:b/>
                <w:sz w:val="18"/>
                <w:szCs w:val="18"/>
              </w:rPr>
              <w:t xml:space="preserve">Fringes as % </w:t>
            </w:r>
            <w:r>
              <w:rPr>
                <w:rFonts w:ascii="Arial Narrow" w:hAnsi="Arial Narrow"/>
                <w:b/>
                <w:sz w:val="18"/>
                <w:szCs w:val="18"/>
              </w:rPr>
              <w:t>W</w:t>
            </w:r>
            <w:r w:rsidRPr="006B5FC6">
              <w:rPr>
                <w:rFonts w:ascii="Arial Narrow" w:hAnsi="Arial Narrow"/>
                <w:b/>
                <w:sz w:val="18"/>
                <w:szCs w:val="18"/>
              </w:rPr>
              <w:t>age</w:t>
            </w:r>
          </w:p>
        </w:tc>
        <w:tc>
          <w:tcPr>
            <w:tcW w:w="111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481AECD5" w14:textId="77777777">
            <w:pPr>
              <w:jc w:val="center"/>
              <w:rPr>
                <w:rFonts w:ascii="Arial Narrow" w:hAnsi="Arial Narrow"/>
                <w:b/>
                <w:sz w:val="18"/>
                <w:szCs w:val="18"/>
              </w:rPr>
            </w:pPr>
            <w:r w:rsidRPr="006B5FC6">
              <w:rPr>
                <w:rFonts w:ascii="Arial Narrow" w:hAnsi="Arial Narrow"/>
                <w:b/>
                <w:sz w:val="18"/>
                <w:szCs w:val="18"/>
              </w:rPr>
              <w:t xml:space="preserve">Overhead as % </w:t>
            </w:r>
            <w:r>
              <w:rPr>
                <w:rFonts w:ascii="Arial Narrow" w:hAnsi="Arial Narrow"/>
                <w:b/>
                <w:sz w:val="18"/>
                <w:szCs w:val="18"/>
              </w:rPr>
              <w:t>W</w:t>
            </w:r>
            <w:r w:rsidRPr="006B5FC6">
              <w:rPr>
                <w:rFonts w:ascii="Arial Narrow" w:hAnsi="Arial Narrow"/>
                <w:b/>
                <w:sz w:val="18"/>
                <w:szCs w:val="18"/>
              </w:rPr>
              <w:t>age</w:t>
            </w:r>
            <w:r w:rsidRPr="006B5FC6">
              <w:rPr>
                <w:rFonts w:ascii="Arial Narrow" w:hAnsi="Arial Narrow"/>
                <w:b/>
                <w:sz w:val="18"/>
                <w:szCs w:val="18"/>
                <w:vertAlign w:val="superscript"/>
              </w:rPr>
              <w:t>2</w:t>
            </w:r>
          </w:p>
        </w:tc>
        <w:tc>
          <w:tcPr>
            <w:tcW w:w="153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4BFC8D35" w14:textId="77777777">
            <w:pPr>
              <w:jc w:val="center"/>
              <w:rPr>
                <w:rFonts w:ascii="Arial Narrow" w:hAnsi="Arial Narrow"/>
                <w:b/>
                <w:sz w:val="18"/>
                <w:szCs w:val="18"/>
              </w:rPr>
            </w:pPr>
            <w:r w:rsidRPr="006B5FC6">
              <w:rPr>
                <w:rFonts w:ascii="Arial Narrow" w:hAnsi="Arial Narrow"/>
                <w:b/>
                <w:sz w:val="18"/>
                <w:szCs w:val="18"/>
              </w:rPr>
              <w:t>Fringe + Overhead Factor</w:t>
            </w:r>
          </w:p>
        </w:tc>
        <w:tc>
          <w:tcPr>
            <w:tcW w:w="118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32C1FE53" w14:textId="77777777">
            <w:pPr>
              <w:jc w:val="center"/>
              <w:rPr>
                <w:rFonts w:ascii="Arial Narrow" w:hAnsi="Arial Narrow"/>
                <w:b/>
                <w:bCs/>
                <w:sz w:val="18"/>
                <w:szCs w:val="18"/>
              </w:rPr>
            </w:pPr>
            <w:r w:rsidRPr="0B02F8A5">
              <w:rPr>
                <w:rFonts w:ascii="Arial Narrow" w:hAnsi="Arial Narrow"/>
                <w:b/>
                <w:bCs/>
                <w:sz w:val="18"/>
                <w:szCs w:val="18"/>
              </w:rPr>
              <w:t>Loaded Wage ($/h</w:t>
            </w:r>
            <w:r>
              <w:rPr>
                <w:rFonts w:ascii="Arial Narrow" w:hAnsi="Arial Narrow"/>
                <w:b/>
                <w:bCs/>
                <w:sz w:val="18"/>
                <w:szCs w:val="18"/>
              </w:rPr>
              <w:t>ou</w:t>
            </w:r>
            <w:r w:rsidRPr="0B02F8A5">
              <w:rPr>
                <w:rFonts w:ascii="Arial Narrow" w:hAnsi="Arial Narrow"/>
                <w:b/>
                <w:bCs/>
                <w:sz w:val="18"/>
                <w:szCs w:val="18"/>
              </w:rPr>
              <w:t>r)</w:t>
            </w:r>
          </w:p>
        </w:tc>
      </w:tr>
      <w:tr w:rsidRPr="003D75E2" w:rsidR="00324F8B" w:rsidTr="008F2224" w14:paraId="1C1B8CAC" w14:textId="77777777">
        <w:trPr>
          <w:tblHeader/>
          <w:jc w:val="center"/>
        </w:trPr>
        <w:tc>
          <w:tcPr>
            <w:tcW w:w="1113" w:type="dxa"/>
            <w:vMerge/>
            <w:tcBorders>
              <w:top w:val="single" w:color="auto" w:sz="4" w:space="0"/>
              <w:left w:val="single" w:color="auto" w:sz="4" w:space="0"/>
              <w:bottom w:val="single" w:color="auto" w:sz="4" w:space="0"/>
              <w:right w:val="single" w:color="auto" w:sz="4" w:space="0"/>
            </w:tcBorders>
            <w:shd w:val="clear" w:color="auto" w:fill="BFBFBF"/>
            <w:vAlign w:val="bottom"/>
            <w:hideMark/>
          </w:tcPr>
          <w:p w:rsidRPr="006B5FC6" w:rsidR="00324F8B" w:rsidP="00192DF6" w:rsidRDefault="00324F8B" w14:paraId="47E9A223" w14:textId="77777777">
            <w:pPr>
              <w:jc w:val="center"/>
              <w:rPr>
                <w:rFonts w:ascii="Arial Narrow" w:hAnsi="Arial Narrow"/>
                <w:b/>
                <w:sz w:val="18"/>
                <w:szCs w:val="18"/>
              </w:rPr>
            </w:pPr>
          </w:p>
        </w:tc>
        <w:tc>
          <w:tcPr>
            <w:tcW w:w="0" w:type="auto"/>
            <w:vMerge/>
            <w:tcBorders>
              <w:top w:val="single" w:color="auto" w:sz="4" w:space="0"/>
              <w:left w:val="single" w:color="auto" w:sz="4" w:space="0"/>
              <w:bottom w:val="single" w:color="auto" w:sz="4" w:space="0"/>
              <w:right w:val="single" w:color="auto" w:sz="4" w:space="0"/>
            </w:tcBorders>
            <w:shd w:val="clear" w:color="auto" w:fill="BFBFBF"/>
            <w:vAlign w:val="bottom"/>
            <w:hideMark/>
          </w:tcPr>
          <w:p w:rsidRPr="006B5FC6" w:rsidR="00324F8B" w:rsidP="00192DF6" w:rsidRDefault="00324F8B" w14:paraId="68FDF074" w14:textId="77777777">
            <w:pPr>
              <w:jc w:val="center"/>
              <w:rPr>
                <w:rFonts w:ascii="Arial Narrow" w:hAnsi="Arial Narrow"/>
                <w:b/>
                <w:sz w:val="18"/>
                <w:szCs w:val="18"/>
              </w:rPr>
            </w:pPr>
          </w:p>
        </w:tc>
        <w:tc>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70FE86E0" w14:textId="77777777">
            <w:pPr>
              <w:jc w:val="center"/>
              <w:rPr>
                <w:rFonts w:ascii="Arial Narrow" w:hAnsi="Arial Narrow"/>
                <w:b/>
                <w:sz w:val="18"/>
                <w:szCs w:val="18"/>
              </w:rPr>
            </w:pPr>
            <w:r w:rsidRPr="006B5FC6">
              <w:rPr>
                <w:rFonts w:ascii="Arial Narrow" w:hAnsi="Arial Narrow"/>
                <w:b/>
                <w:sz w:val="18"/>
                <w:szCs w:val="18"/>
              </w:rPr>
              <w:t>(a)</w:t>
            </w:r>
          </w:p>
        </w:tc>
        <w:tc>
          <w:tcPr>
            <w:tcW w:w="9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6F893F6D" w14:textId="77777777">
            <w:pPr>
              <w:jc w:val="center"/>
              <w:rPr>
                <w:rFonts w:ascii="Arial Narrow" w:hAnsi="Arial Narrow"/>
                <w:b/>
                <w:sz w:val="18"/>
                <w:szCs w:val="18"/>
              </w:rPr>
            </w:pPr>
            <w:r w:rsidRPr="006B5FC6">
              <w:rPr>
                <w:rFonts w:ascii="Arial Narrow" w:hAnsi="Arial Narrow"/>
                <w:b/>
                <w:sz w:val="18"/>
                <w:szCs w:val="18"/>
              </w:rPr>
              <w:t>(b)</w:t>
            </w:r>
          </w:p>
        </w:tc>
        <w:tc>
          <w:tcPr>
            <w:tcW w:w="118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7F5322C4" w14:textId="77777777">
            <w:pPr>
              <w:jc w:val="center"/>
              <w:rPr>
                <w:rFonts w:ascii="Arial Narrow" w:hAnsi="Arial Narrow"/>
                <w:b/>
                <w:sz w:val="18"/>
                <w:szCs w:val="18"/>
              </w:rPr>
            </w:pPr>
            <w:r w:rsidRPr="006B5FC6">
              <w:rPr>
                <w:rFonts w:ascii="Arial Narrow" w:hAnsi="Arial Narrow"/>
                <w:b/>
                <w:sz w:val="18"/>
                <w:szCs w:val="18"/>
              </w:rPr>
              <w:t>(c)=(b)/(a)</w:t>
            </w:r>
          </w:p>
        </w:tc>
        <w:tc>
          <w:tcPr>
            <w:tcW w:w="111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3369C83E" w14:textId="77777777">
            <w:pPr>
              <w:jc w:val="center"/>
              <w:rPr>
                <w:rFonts w:ascii="Arial Narrow" w:hAnsi="Arial Narrow"/>
                <w:b/>
                <w:sz w:val="18"/>
                <w:szCs w:val="18"/>
              </w:rPr>
            </w:pPr>
            <w:r w:rsidRPr="006B5FC6">
              <w:rPr>
                <w:rFonts w:ascii="Arial Narrow" w:hAnsi="Arial Narrow"/>
                <w:b/>
                <w:sz w:val="18"/>
                <w:szCs w:val="18"/>
              </w:rPr>
              <w:t>(d)</w:t>
            </w:r>
          </w:p>
        </w:tc>
        <w:tc>
          <w:tcPr>
            <w:tcW w:w="153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7C33C2EB" w14:textId="77777777">
            <w:pPr>
              <w:jc w:val="center"/>
              <w:rPr>
                <w:rFonts w:ascii="Arial Narrow" w:hAnsi="Arial Narrow"/>
                <w:b/>
                <w:sz w:val="18"/>
                <w:szCs w:val="18"/>
              </w:rPr>
            </w:pPr>
            <w:r w:rsidRPr="006B5FC6">
              <w:rPr>
                <w:rFonts w:ascii="Arial Narrow" w:hAnsi="Arial Narrow"/>
                <w:b/>
                <w:sz w:val="18"/>
                <w:szCs w:val="18"/>
              </w:rPr>
              <w:t>(e)=(c)+(</w:t>
            </w:r>
            <w:proofErr w:type="gramStart"/>
            <w:r w:rsidRPr="006B5FC6">
              <w:rPr>
                <w:rFonts w:ascii="Arial Narrow" w:hAnsi="Arial Narrow"/>
                <w:b/>
                <w:sz w:val="18"/>
                <w:szCs w:val="18"/>
              </w:rPr>
              <w:t>d)+</w:t>
            </w:r>
            <w:proofErr w:type="gramEnd"/>
            <w:r w:rsidRPr="006B5FC6">
              <w:rPr>
                <w:rFonts w:ascii="Arial Narrow" w:hAnsi="Arial Narrow"/>
                <w:b/>
                <w:sz w:val="18"/>
                <w:szCs w:val="18"/>
              </w:rPr>
              <w:t>1</w:t>
            </w:r>
          </w:p>
        </w:tc>
        <w:tc>
          <w:tcPr>
            <w:tcW w:w="118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68C9ADC0" w14:textId="77777777">
            <w:pPr>
              <w:jc w:val="center"/>
              <w:rPr>
                <w:rFonts w:ascii="Arial Narrow" w:hAnsi="Arial Narrow"/>
                <w:b/>
                <w:sz w:val="18"/>
                <w:szCs w:val="18"/>
              </w:rPr>
            </w:pPr>
            <w:r w:rsidRPr="006B5FC6">
              <w:rPr>
                <w:rFonts w:ascii="Arial Narrow" w:hAnsi="Arial Narrow"/>
                <w:b/>
                <w:sz w:val="18"/>
                <w:szCs w:val="18"/>
              </w:rPr>
              <w:t>(f)=(a)*(e)</w:t>
            </w:r>
          </w:p>
        </w:tc>
      </w:tr>
      <w:tr w:rsidRPr="003D75E2" w:rsidR="00324F8B" w:rsidTr="008F2224" w14:paraId="7FF8EDD0" w14:textId="77777777">
        <w:trPr>
          <w:jc w:val="center"/>
        </w:trPr>
        <w:tc>
          <w:tcPr>
            <w:tcW w:w="111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67F067DE" w14:textId="77777777">
            <w:pPr>
              <w:rPr>
                <w:rFonts w:ascii="Arial Narrow" w:hAnsi="Arial Narrow"/>
                <w:sz w:val="18"/>
                <w:szCs w:val="18"/>
              </w:rPr>
            </w:pPr>
            <w:r w:rsidRPr="006B5FC6">
              <w:rPr>
                <w:rFonts w:ascii="Arial Narrow" w:hAnsi="Arial Narrow"/>
                <w:sz w:val="18"/>
                <w:szCs w:val="18"/>
              </w:rPr>
              <w:t>EPA program staff</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CCD9122" w14:textId="77777777">
            <w:pPr>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 xml:space="preserve">GS-12 Step 3 pay rates </w:t>
            </w:r>
          </w:p>
        </w:tc>
        <w:tc>
          <w:tcPr>
            <w:tcW w:w="1205"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454584E4" w14:textId="77777777">
            <w:pPr>
              <w:jc w:val="center"/>
              <w:rPr>
                <w:rFonts w:ascii="Arial Narrow" w:hAnsi="Arial Narrow"/>
                <w:sz w:val="18"/>
                <w:szCs w:val="18"/>
              </w:rPr>
            </w:pPr>
            <w:r>
              <w:rPr>
                <w:rFonts w:ascii="Arial Narrow" w:hAnsi="Arial Narrow" w:cs="Calibri"/>
                <w:color w:val="000000"/>
                <w:sz w:val="18"/>
                <w:szCs w:val="18"/>
              </w:rPr>
              <w:t>$41.68</w:t>
            </w:r>
          </w:p>
        </w:tc>
        <w:tc>
          <w:tcPr>
            <w:tcW w:w="95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1707F9DE" w14:textId="77777777">
            <w:pPr>
              <w:jc w:val="center"/>
              <w:rPr>
                <w:rFonts w:ascii="Arial Narrow" w:hAnsi="Arial Narrow"/>
                <w:sz w:val="18"/>
                <w:szCs w:val="18"/>
              </w:rPr>
            </w:pPr>
            <w:r w:rsidRPr="006B5FC6">
              <w:rPr>
                <w:rFonts w:ascii="Arial Narrow" w:hAnsi="Arial Narrow"/>
                <w:sz w:val="18"/>
                <w:szCs w:val="18"/>
              </w:rPr>
              <w:t>Included in 60% overhead</w:t>
            </w:r>
          </w:p>
        </w:tc>
        <w:tc>
          <w:tcPr>
            <w:tcW w:w="118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280987BA" w14:textId="77777777">
            <w:pPr>
              <w:jc w:val="center"/>
              <w:rPr>
                <w:rFonts w:ascii="Arial Narrow" w:hAnsi="Arial Narrow"/>
                <w:sz w:val="18"/>
                <w:szCs w:val="18"/>
              </w:rPr>
            </w:pPr>
            <w:r w:rsidRPr="006B5FC6">
              <w:rPr>
                <w:rFonts w:ascii="Arial Narrow" w:hAnsi="Arial Narrow"/>
                <w:sz w:val="18"/>
                <w:szCs w:val="18"/>
              </w:rPr>
              <w:t>N/A</w:t>
            </w:r>
          </w:p>
        </w:tc>
        <w:tc>
          <w:tcPr>
            <w:tcW w:w="1111"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10A8A864" w14:textId="77777777">
            <w:pPr>
              <w:jc w:val="center"/>
              <w:rPr>
                <w:rFonts w:ascii="Arial Narrow" w:hAnsi="Arial Narrow"/>
                <w:sz w:val="18"/>
                <w:szCs w:val="18"/>
              </w:rPr>
            </w:pPr>
            <w:r w:rsidRPr="006B5FC6">
              <w:rPr>
                <w:rFonts w:ascii="Arial Narrow" w:hAnsi="Arial Narrow"/>
                <w:sz w:val="18"/>
                <w:szCs w:val="18"/>
              </w:rPr>
              <w:t xml:space="preserve">60% </w:t>
            </w:r>
          </w:p>
        </w:tc>
        <w:tc>
          <w:tcPr>
            <w:tcW w:w="153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3150B22F" w14:textId="77777777">
            <w:pPr>
              <w:jc w:val="center"/>
              <w:rPr>
                <w:rFonts w:ascii="Arial Narrow" w:hAnsi="Arial Narrow"/>
                <w:sz w:val="18"/>
                <w:szCs w:val="18"/>
              </w:rPr>
            </w:pPr>
            <w:r w:rsidRPr="0B02F8A5">
              <w:rPr>
                <w:rFonts w:ascii="Arial Narrow" w:hAnsi="Arial Narrow"/>
                <w:sz w:val="18"/>
                <w:szCs w:val="18"/>
              </w:rPr>
              <w:t>1.6</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7FD09534" w14:textId="77777777">
            <w:pPr>
              <w:jc w:val="center"/>
              <w:rPr>
                <w:rFonts w:ascii="Arial Narrow" w:hAnsi="Arial Narrow"/>
                <w:sz w:val="18"/>
                <w:szCs w:val="18"/>
              </w:rPr>
            </w:pPr>
            <w:r>
              <w:rPr>
                <w:rFonts w:ascii="Arial Narrow" w:hAnsi="Arial Narrow" w:cs="Calibri"/>
                <w:color w:val="000000"/>
                <w:sz w:val="18"/>
                <w:szCs w:val="18"/>
              </w:rPr>
              <w:t xml:space="preserve">$66.69 </w:t>
            </w:r>
          </w:p>
        </w:tc>
      </w:tr>
      <w:tr w:rsidRPr="003D75E2" w:rsidR="00324F8B" w:rsidTr="008F2224" w14:paraId="3A68B3D9" w14:textId="77777777">
        <w:trPr>
          <w:jc w:val="center"/>
        </w:trPr>
        <w:tc>
          <w:tcPr>
            <w:tcW w:w="111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BC84392" w14:textId="77777777">
            <w:pPr>
              <w:rPr>
                <w:rFonts w:ascii="Arial Narrow" w:hAnsi="Arial Narrow"/>
                <w:sz w:val="18"/>
                <w:szCs w:val="18"/>
              </w:rPr>
            </w:pPr>
            <w:r w:rsidRPr="006B5FC6">
              <w:rPr>
                <w:rFonts w:ascii="Arial Narrow" w:hAnsi="Arial Narrow"/>
                <w:sz w:val="18"/>
                <w:szCs w:val="18"/>
              </w:rPr>
              <w:t>EPA IT staff</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1CD4E706" w14:textId="77777777">
            <w:pPr>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GS-13 Step 3 pay rates</w:t>
            </w:r>
          </w:p>
        </w:tc>
        <w:tc>
          <w:tcPr>
            <w:tcW w:w="1205"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2EAF8063" w14:textId="77777777">
            <w:pPr>
              <w:jc w:val="center"/>
              <w:rPr>
                <w:rFonts w:ascii="Arial Narrow" w:hAnsi="Arial Narrow"/>
                <w:sz w:val="18"/>
                <w:szCs w:val="18"/>
              </w:rPr>
            </w:pPr>
            <w:r>
              <w:rPr>
                <w:rFonts w:ascii="Arial Narrow" w:hAnsi="Arial Narrow" w:cs="Calibri"/>
                <w:color w:val="000000"/>
                <w:sz w:val="18"/>
                <w:szCs w:val="18"/>
              </w:rPr>
              <w:t>$49.56</w:t>
            </w:r>
          </w:p>
        </w:tc>
        <w:tc>
          <w:tcPr>
            <w:tcW w:w="95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1DDD1A14" w14:textId="77777777">
            <w:pPr>
              <w:jc w:val="center"/>
              <w:rPr>
                <w:rFonts w:ascii="Arial Narrow" w:hAnsi="Arial Narrow"/>
                <w:sz w:val="18"/>
                <w:szCs w:val="18"/>
              </w:rPr>
            </w:pPr>
            <w:r w:rsidRPr="006B5FC6">
              <w:rPr>
                <w:rFonts w:ascii="Arial Narrow" w:hAnsi="Arial Narrow"/>
                <w:sz w:val="18"/>
                <w:szCs w:val="18"/>
              </w:rPr>
              <w:t>Included in 60% overhead</w:t>
            </w:r>
          </w:p>
        </w:tc>
        <w:tc>
          <w:tcPr>
            <w:tcW w:w="118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463E2903" w14:textId="77777777">
            <w:pPr>
              <w:jc w:val="center"/>
              <w:rPr>
                <w:rFonts w:ascii="Arial Narrow" w:hAnsi="Arial Narrow"/>
                <w:sz w:val="18"/>
                <w:szCs w:val="18"/>
              </w:rPr>
            </w:pPr>
            <w:r w:rsidRPr="006B5FC6">
              <w:rPr>
                <w:rFonts w:ascii="Arial Narrow" w:hAnsi="Arial Narrow"/>
                <w:sz w:val="18"/>
                <w:szCs w:val="18"/>
              </w:rPr>
              <w:t>N/A</w:t>
            </w:r>
          </w:p>
        </w:tc>
        <w:tc>
          <w:tcPr>
            <w:tcW w:w="1111"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59B83753" w14:textId="77777777">
            <w:pPr>
              <w:jc w:val="center"/>
              <w:rPr>
                <w:rFonts w:ascii="Arial Narrow" w:hAnsi="Arial Narrow"/>
                <w:sz w:val="18"/>
                <w:szCs w:val="18"/>
              </w:rPr>
            </w:pPr>
            <w:r w:rsidRPr="006B5FC6">
              <w:rPr>
                <w:rFonts w:ascii="Arial Narrow" w:hAnsi="Arial Narrow"/>
                <w:sz w:val="18"/>
                <w:szCs w:val="18"/>
              </w:rPr>
              <w:t xml:space="preserve">60% </w:t>
            </w:r>
          </w:p>
        </w:tc>
        <w:tc>
          <w:tcPr>
            <w:tcW w:w="153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B2F3FD3" w14:textId="77777777">
            <w:pPr>
              <w:jc w:val="center"/>
              <w:rPr>
                <w:rFonts w:ascii="Arial Narrow" w:hAnsi="Arial Narrow"/>
                <w:sz w:val="18"/>
                <w:szCs w:val="18"/>
              </w:rPr>
            </w:pPr>
            <w:r w:rsidRPr="0B02F8A5">
              <w:rPr>
                <w:rFonts w:ascii="Arial Narrow" w:hAnsi="Arial Narrow"/>
                <w:sz w:val="18"/>
                <w:szCs w:val="18"/>
              </w:rPr>
              <w:t>1.6</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2EB03EDF" w14:textId="77777777">
            <w:pPr>
              <w:jc w:val="center"/>
              <w:rPr>
                <w:rFonts w:ascii="Arial Narrow" w:hAnsi="Arial Narrow"/>
                <w:sz w:val="18"/>
                <w:szCs w:val="18"/>
              </w:rPr>
            </w:pPr>
            <w:r>
              <w:rPr>
                <w:rFonts w:ascii="Arial Narrow" w:hAnsi="Arial Narrow" w:cs="Calibri"/>
                <w:color w:val="000000"/>
                <w:sz w:val="18"/>
                <w:szCs w:val="18"/>
              </w:rPr>
              <w:t xml:space="preserve">$79.30 </w:t>
            </w:r>
          </w:p>
        </w:tc>
      </w:tr>
      <w:tr w:rsidRPr="005E662A" w:rsidR="00324F8B" w:rsidTr="008F2224" w14:paraId="3EDD5A78" w14:textId="77777777">
        <w:trPr>
          <w:jc w:val="center"/>
        </w:trPr>
        <w:tc>
          <w:tcPr>
            <w:tcW w:w="10080" w:type="dxa"/>
            <w:gridSpan w:val="8"/>
            <w:tcBorders>
              <w:top w:val="single" w:color="auto" w:sz="4" w:space="0"/>
              <w:left w:val="single" w:color="auto" w:sz="4" w:space="0"/>
              <w:bottom w:val="single" w:color="auto" w:sz="4" w:space="0"/>
              <w:right w:val="single" w:color="auto" w:sz="4" w:space="0"/>
            </w:tcBorders>
            <w:vAlign w:val="center"/>
            <w:hideMark/>
          </w:tcPr>
          <w:p w:rsidR="00324F8B" w:rsidP="00192DF6" w:rsidRDefault="00324F8B" w14:paraId="5DC86692" w14:textId="77777777">
            <w:pPr>
              <w:rPr>
                <w:rFonts w:ascii="Arial Narrow" w:hAnsi="Arial Narrow"/>
                <w:sz w:val="18"/>
                <w:szCs w:val="18"/>
              </w:rPr>
            </w:pPr>
            <w:r w:rsidRPr="00885DF8">
              <w:rPr>
                <w:rFonts w:ascii="Arial Narrow" w:hAnsi="Arial Narrow"/>
                <w:sz w:val="18"/>
                <w:szCs w:val="18"/>
              </w:rPr>
              <w:t>Footnotes</w:t>
            </w:r>
            <w:r>
              <w:rPr>
                <w:rFonts w:ascii="Arial Narrow" w:hAnsi="Arial Narrow"/>
                <w:sz w:val="18"/>
                <w:szCs w:val="18"/>
              </w:rPr>
              <w:t>:</w:t>
            </w:r>
          </w:p>
          <w:p w:rsidR="00324F8B" w:rsidP="00192DF6" w:rsidRDefault="00324F8B" w14:paraId="6C13C79A" w14:textId="77777777">
            <w:pPr>
              <w:ind w:left="144" w:hanging="144"/>
              <w:rPr>
                <w:rFonts w:ascii="Arial Narrow" w:hAnsi="Arial Narrow"/>
                <w:sz w:val="18"/>
                <w:szCs w:val="18"/>
              </w:rPr>
            </w:pPr>
            <w:bookmarkStart w:name="_Hlk519781728" w:id="99"/>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 xml:space="preserve">Source:  </w:t>
            </w:r>
            <w:r w:rsidRPr="00885DF8">
              <w:rPr>
                <w:rFonts w:ascii="Arial Narrow" w:hAnsi="Arial Narrow"/>
                <w:i/>
                <w:sz w:val="18"/>
                <w:szCs w:val="18"/>
              </w:rPr>
              <w:t>Salary Table</w:t>
            </w:r>
            <w:r w:rsidRPr="00885DF8">
              <w:rPr>
                <w:rFonts w:ascii="Arial Narrow" w:hAnsi="Arial Narrow"/>
                <w:sz w:val="18"/>
                <w:szCs w:val="18"/>
              </w:rPr>
              <w:t xml:space="preserve"> 201</w:t>
            </w:r>
            <w:r>
              <w:rPr>
                <w:rFonts w:ascii="Arial Narrow" w:hAnsi="Arial Narrow"/>
                <w:sz w:val="18"/>
                <w:szCs w:val="18"/>
              </w:rPr>
              <w:t>8</w:t>
            </w:r>
            <w:r w:rsidRPr="00885DF8">
              <w:rPr>
                <w:rFonts w:ascii="Arial Narrow" w:hAnsi="Arial Narrow"/>
                <w:sz w:val="18"/>
                <w:szCs w:val="18"/>
              </w:rPr>
              <w:t>-DCB. (OPM, 2018).</w:t>
            </w:r>
          </w:p>
          <w:p w:rsidRPr="00885DF8" w:rsidR="00324F8B" w:rsidP="00192DF6" w:rsidRDefault="00324F8B" w14:paraId="4DDD539C" w14:textId="77777777">
            <w:pPr>
              <w:ind w:left="144" w:hanging="144"/>
              <w:rPr>
                <w:rFonts w:ascii="Arial Narrow" w:hAnsi="Arial Narrow"/>
                <w:sz w:val="18"/>
                <w:szCs w:val="18"/>
              </w:rPr>
            </w:pPr>
            <w:r w:rsidRPr="00885DF8">
              <w:rPr>
                <w:rFonts w:ascii="Arial Narrow" w:hAnsi="Arial Narrow"/>
                <w:sz w:val="18"/>
                <w:szCs w:val="18"/>
                <w:vertAlign w:val="superscript"/>
              </w:rPr>
              <w:t>2</w:t>
            </w:r>
            <w:r>
              <w:rPr>
                <w:rFonts w:ascii="Arial Narrow" w:hAnsi="Arial Narrow"/>
                <w:sz w:val="18"/>
                <w:szCs w:val="18"/>
              </w:rPr>
              <w:tab/>
            </w:r>
            <w:r w:rsidRPr="00885DF8">
              <w:rPr>
                <w:rFonts w:ascii="Arial Narrow" w:hAnsi="Arial Narrow"/>
                <w:sz w:val="18"/>
                <w:szCs w:val="18"/>
              </w:rPr>
              <w:t>The 60</w:t>
            </w:r>
            <w:r>
              <w:rPr>
                <w:rFonts w:ascii="Arial Narrow" w:hAnsi="Arial Narrow"/>
                <w:sz w:val="18"/>
                <w:szCs w:val="18"/>
              </w:rPr>
              <w:t>%</w:t>
            </w:r>
            <w:r w:rsidRPr="00885DF8">
              <w:rPr>
                <w:rFonts w:ascii="Arial Narrow" w:hAnsi="Arial Narrow"/>
                <w:sz w:val="18"/>
                <w:szCs w:val="18"/>
              </w:rPr>
              <w:t xml:space="preserve"> fringes-and-overhead rate is from an EPA guide, </w:t>
            </w:r>
            <w:r w:rsidRPr="00885DF8">
              <w:rPr>
                <w:rFonts w:ascii="Arial Narrow" w:hAnsi="Arial Narrow"/>
                <w:i/>
                <w:iCs/>
                <w:sz w:val="18"/>
                <w:szCs w:val="18"/>
              </w:rPr>
              <w:t>Instructions for Preparing ICRs</w:t>
            </w:r>
            <w:r w:rsidRPr="00885DF8">
              <w:rPr>
                <w:rFonts w:ascii="Arial Narrow" w:hAnsi="Arial Narrow"/>
                <w:sz w:val="18"/>
                <w:szCs w:val="18"/>
              </w:rPr>
              <w:t xml:space="preserve"> (EPA, 2009).</w:t>
            </w:r>
            <w:bookmarkEnd w:id="99"/>
          </w:p>
        </w:tc>
      </w:tr>
    </w:tbl>
    <w:p w:rsidR="00324F8B" w:rsidP="00324F8B" w:rsidRDefault="00324F8B" w14:paraId="4CE47C6B" w14:textId="41A97C8B">
      <w:pPr>
        <w:pStyle w:val="BodyText"/>
        <w:spacing w:before="240"/>
      </w:pPr>
      <w:r w:rsidRPr="004523B1">
        <w:t xml:space="preserve">Unit </w:t>
      </w:r>
      <w:r>
        <w:t>b</w:t>
      </w:r>
      <w:r w:rsidRPr="004523B1">
        <w:t>urden and cost associated with EPA staff activities per four-year reporting cycle are the same as in the</w:t>
      </w:r>
      <w:r>
        <w:t xml:space="preserve"> </w:t>
      </w:r>
      <w:r w:rsidRPr="004523B1">
        <w:t xml:space="preserve">ICR </w:t>
      </w:r>
      <w:r>
        <w:t xml:space="preserve">Renewal (EPA, 2018b) </w:t>
      </w:r>
      <w:r w:rsidRPr="004523B1">
        <w:t xml:space="preserve">and </w:t>
      </w:r>
      <w:r>
        <w:t xml:space="preserve">are </w:t>
      </w:r>
      <w:r w:rsidRPr="004523B1">
        <w:t>presented in</w:t>
      </w:r>
      <w:r w:rsidR="00700B04">
        <w:t xml:space="preserve"> </w:t>
      </w:r>
      <w:r w:rsidR="00700B04">
        <w:fldChar w:fldCharType="begin"/>
      </w:r>
      <w:r w:rsidR="00700B04">
        <w:instrText xml:space="preserve"> REF _Ref33099217 \h </w:instrText>
      </w:r>
      <w:r w:rsidR="00700B04">
        <w:fldChar w:fldCharType="separate"/>
      </w:r>
      <w:r w:rsidR="00EC4095">
        <w:t xml:space="preserve">Table A- </w:t>
      </w:r>
      <w:r w:rsidR="00EC4095">
        <w:rPr>
          <w:noProof/>
        </w:rPr>
        <w:t>2</w:t>
      </w:r>
      <w:r w:rsidR="00700B04">
        <w:fldChar w:fldCharType="end"/>
      </w:r>
      <w:r w:rsidRPr="004523B1">
        <w:t xml:space="preserve">. The cost associated with quality control of data is performed by program staff and is dependent on the number of </w:t>
      </w:r>
      <w:r>
        <w:t xml:space="preserve">chemical </w:t>
      </w:r>
      <w:r w:rsidRPr="004523B1">
        <w:t xml:space="preserve">reports received. </w:t>
      </w:r>
    </w:p>
    <w:p w:rsidR="00C935A8" w:rsidP="00324F8B" w:rsidRDefault="00C935A8" w14:paraId="1A159346" w14:textId="77777777">
      <w:pPr>
        <w:pStyle w:val="BodyText"/>
        <w:spacing w:before="24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7"/>
        <w:gridCol w:w="1746"/>
        <w:gridCol w:w="1534"/>
        <w:gridCol w:w="1663"/>
      </w:tblGrid>
      <w:tr w:rsidRPr="003A0A3F" w:rsidR="00324F8B" w:rsidTr="00192DF6" w14:paraId="51A20819" w14:textId="77777777">
        <w:trPr>
          <w:tblHeader/>
          <w:jc w:val="center"/>
        </w:trPr>
        <w:tc>
          <w:tcPr>
            <w:tcW w:w="5000" w:type="pct"/>
            <w:gridSpan w:val="4"/>
            <w:tcBorders>
              <w:top w:val="nil"/>
              <w:left w:val="nil"/>
              <w:bottom w:val="single" w:color="auto" w:sz="4" w:space="0"/>
              <w:right w:val="nil"/>
            </w:tcBorders>
            <w:shd w:val="clear" w:color="auto" w:fill="auto"/>
            <w:vAlign w:val="bottom"/>
          </w:tcPr>
          <w:p w:rsidRPr="00C90618" w:rsidR="00324F8B" w:rsidP="00700B04" w:rsidRDefault="00700B04" w14:paraId="7485F201" w14:textId="5E3A139D">
            <w:pPr>
              <w:pStyle w:val="Caption"/>
              <w:rPr>
                <w:szCs w:val="24"/>
              </w:rPr>
            </w:pPr>
            <w:bookmarkStart w:name="_Ref33099217" w:id="100"/>
            <w:bookmarkStart w:name="_Ref24462097" w:id="101"/>
            <w:bookmarkStart w:name="_Toc24464127" w:id="102"/>
            <w:bookmarkStart w:name="_Toc519866159" w:id="103"/>
            <w:bookmarkStart w:name="_Toc521241619" w:id="104"/>
            <w:bookmarkStart w:name="_Toc521331637" w:id="105"/>
            <w:bookmarkStart w:name="_Toc521468921" w:id="106"/>
            <w:r>
              <w:t xml:space="preserve">Table A- </w:t>
            </w:r>
            <w:r>
              <w:fldChar w:fldCharType="begin"/>
            </w:r>
            <w:r>
              <w:instrText>SEQ Table_A- \* ARABIC</w:instrText>
            </w:r>
            <w:r>
              <w:fldChar w:fldCharType="separate"/>
            </w:r>
            <w:r w:rsidR="00EC4095">
              <w:rPr>
                <w:noProof/>
              </w:rPr>
              <w:t>2</w:t>
            </w:r>
            <w:r>
              <w:fldChar w:fldCharType="end"/>
            </w:r>
            <w:bookmarkEnd w:id="100"/>
            <w:bookmarkEnd w:id="101"/>
            <w:r w:rsidR="00A968E8">
              <w:t xml:space="preserve">: </w:t>
            </w:r>
            <w:r w:rsidRPr="00C90618" w:rsidR="00A968E8">
              <w:t>EPA Staff Burden and Cost of Processing Reports per Four-Year Reporting Cycle</w:t>
            </w:r>
            <w:r w:rsidRPr="00C90618" w:rsidR="00324F8B">
              <w:rPr>
                <w:szCs w:val="24"/>
              </w:rPr>
              <w:t>:</w:t>
            </w:r>
            <w:bookmarkEnd w:id="102"/>
            <w:r w:rsidRPr="00C90618" w:rsidR="00324F8B">
              <w:rPr>
                <w:szCs w:val="24"/>
              </w:rPr>
              <w:t xml:space="preserve"> </w:t>
            </w:r>
            <w:bookmarkEnd w:id="103"/>
            <w:bookmarkEnd w:id="104"/>
            <w:bookmarkEnd w:id="105"/>
            <w:bookmarkEnd w:id="106"/>
          </w:p>
        </w:tc>
      </w:tr>
      <w:tr w:rsidRPr="003A0A3F" w:rsidR="00324F8B" w:rsidTr="00192DF6" w14:paraId="203BED8E" w14:textId="77777777">
        <w:trPr>
          <w:tblHeader/>
          <w:jc w:val="center"/>
        </w:trPr>
        <w:tc>
          <w:tcPr>
            <w:tcW w:w="2548" w:type="pct"/>
            <w:tcBorders>
              <w:top w:val="single" w:color="auto" w:sz="4" w:space="0"/>
            </w:tcBorders>
            <w:shd w:val="clear" w:color="auto" w:fill="BFBFBF" w:themeFill="background1" w:themeFillShade="BF"/>
            <w:vAlign w:val="bottom"/>
            <w:hideMark/>
          </w:tcPr>
          <w:p w:rsidRPr="006B5FC6" w:rsidR="00324F8B" w:rsidP="00192DF6" w:rsidRDefault="00324F8B" w14:paraId="501D8B1C" w14:textId="77777777">
            <w:pPr>
              <w:keepNext/>
              <w:jc w:val="center"/>
              <w:rPr>
                <w:rFonts w:ascii="Arial Narrow" w:hAnsi="Arial Narrow"/>
                <w:b/>
                <w:sz w:val="18"/>
                <w:szCs w:val="18"/>
              </w:rPr>
            </w:pPr>
            <w:r w:rsidRPr="006B5FC6">
              <w:rPr>
                <w:rFonts w:ascii="Arial Narrow" w:hAnsi="Arial Narrow"/>
                <w:b/>
                <w:sz w:val="18"/>
                <w:szCs w:val="18"/>
              </w:rPr>
              <w:t>Activity</w:t>
            </w:r>
          </w:p>
        </w:tc>
        <w:tc>
          <w:tcPr>
            <w:tcW w:w="866" w:type="pct"/>
            <w:tcBorders>
              <w:top w:val="single" w:color="auto" w:sz="4" w:space="0"/>
            </w:tcBorders>
            <w:shd w:val="clear" w:color="auto" w:fill="BFBFBF" w:themeFill="background1" w:themeFillShade="BF"/>
            <w:vAlign w:val="bottom"/>
            <w:hideMark/>
          </w:tcPr>
          <w:p w:rsidRPr="006B5FC6" w:rsidR="00324F8B" w:rsidP="00192DF6" w:rsidRDefault="00324F8B" w14:paraId="186E9DD2" w14:textId="77777777">
            <w:pPr>
              <w:keepNext/>
              <w:jc w:val="center"/>
              <w:rPr>
                <w:rFonts w:ascii="Arial Narrow" w:hAnsi="Arial Narrow"/>
                <w:b/>
                <w:sz w:val="18"/>
                <w:szCs w:val="18"/>
              </w:rPr>
            </w:pPr>
            <w:r w:rsidRPr="006B5FC6">
              <w:rPr>
                <w:rFonts w:ascii="Arial Narrow" w:hAnsi="Arial Narrow"/>
                <w:b/>
                <w:sz w:val="18"/>
                <w:szCs w:val="18"/>
              </w:rPr>
              <w:t>Unit of Analysis</w:t>
            </w:r>
          </w:p>
        </w:tc>
        <w:tc>
          <w:tcPr>
            <w:tcW w:w="761" w:type="pct"/>
            <w:tcBorders>
              <w:top w:val="single" w:color="auto" w:sz="4" w:space="0"/>
            </w:tcBorders>
            <w:shd w:val="clear" w:color="auto" w:fill="BFBFBF" w:themeFill="background1" w:themeFillShade="BF"/>
            <w:vAlign w:val="bottom"/>
            <w:hideMark/>
          </w:tcPr>
          <w:p w:rsidRPr="006B5FC6" w:rsidR="00324F8B" w:rsidP="00192DF6" w:rsidRDefault="00324F8B" w14:paraId="66A9434D" w14:textId="77777777">
            <w:pPr>
              <w:keepNext/>
              <w:jc w:val="center"/>
              <w:rPr>
                <w:rFonts w:ascii="Arial Narrow" w:hAnsi="Arial Narrow"/>
                <w:b/>
                <w:sz w:val="18"/>
                <w:szCs w:val="18"/>
              </w:rPr>
            </w:pPr>
            <w:r w:rsidRPr="006B5FC6">
              <w:rPr>
                <w:rFonts w:ascii="Arial Narrow" w:hAnsi="Arial Narrow"/>
                <w:b/>
                <w:sz w:val="18"/>
                <w:szCs w:val="18"/>
              </w:rPr>
              <w:t>Agency Burden per Activity</w:t>
            </w:r>
            <w:r w:rsidRPr="006B5FC6">
              <w:rPr>
                <w:rFonts w:ascii="Arial Narrow" w:hAnsi="Arial Narrow"/>
                <w:b/>
                <w:sz w:val="18"/>
                <w:szCs w:val="18"/>
              </w:rPr>
              <w:br/>
              <w:t>(</w:t>
            </w:r>
            <w:r>
              <w:rPr>
                <w:rFonts w:ascii="Arial Narrow" w:hAnsi="Arial Narrow"/>
                <w:b/>
                <w:sz w:val="18"/>
                <w:szCs w:val="18"/>
              </w:rPr>
              <w:t>h</w:t>
            </w:r>
            <w:r w:rsidRPr="006B5FC6">
              <w:rPr>
                <w:rFonts w:ascii="Arial Narrow" w:hAnsi="Arial Narrow"/>
                <w:b/>
                <w:sz w:val="18"/>
                <w:szCs w:val="18"/>
              </w:rPr>
              <w:t>ours)</w:t>
            </w:r>
          </w:p>
        </w:tc>
        <w:tc>
          <w:tcPr>
            <w:tcW w:w="825" w:type="pct"/>
            <w:tcBorders>
              <w:top w:val="single" w:color="auto" w:sz="4" w:space="0"/>
            </w:tcBorders>
            <w:shd w:val="clear" w:color="auto" w:fill="BFBFBF" w:themeFill="background1" w:themeFillShade="BF"/>
            <w:vAlign w:val="bottom"/>
            <w:hideMark/>
          </w:tcPr>
          <w:p w:rsidRPr="006B5FC6" w:rsidR="00324F8B" w:rsidP="00192DF6" w:rsidRDefault="00324F8B" w14:paraId="0687BBCA" w14:textId="77777777">
            <w:pPr>
              <w:keepNext/>
              <w:jc w:val="center"/>
              <w:rPr>
                <w:rFonts w:ascii="Arial Narrow" w:hAnsi="Arial Narrow"/>
                <w:b/>
                <w:sz w:val="18"/>
                <w:szCs w:val="18"/>
              </w:rPr>
            </w:pPr>
            <w:r w:rsidRPr="006B5FC6">
              <w:rPr>
                <w:rFonts w:ascii="Arial Narrow" w:hAnsi="Arial Narrow"/>
                <w:b/>
                <w:sz w:val="18"/>
                <w:szCs w:val="18"/>
              </w:rPr>
              <w:t>Agency Cost per Activity (</w:t>
            </w:r>
            <w:r>
              <w:rPr>
                <w:rFonts w:ascii="Arial Narrow" w:hAnsi="Arial Narrow"/>
                <w:b/>
                <w:sz w:val="18"/>
                <w:szCs w:val="18"/>
              </w:rPr>
              <w:t>2018$</w:t>
            </w:r>
            <w:r w:rsidRPr="006B5FC6">
              <w:rPr>
                <w:rFonts w:ascii="Arial Narrow" w:hAnsi="Arial Narrow"/>
                <w:b/>
                <w:sz w:val="18"/>
                <w:szCs w:val="18"/>
              </w:rPr>
              <w:t>)</w:t>
            </w:r>
            <w:r w:rsidRPr="006B5FC6">
              <w:rPr>
                <w:rFonts w:ascii="Arial Narrow" w:hAnsi="Arial Narrow"/>
                <w:b/>
                <w:sz w:val="18"/>
                <w:szCs w:val="18"/>
                <w:vertAlign w:val="superscript"/>
              </w:rPr>
              <w:t>1</w:t>
            </w:r>
          </w:p>
        </w:tc>
      </w:tr>
      <w:tr w:rsidRPr="003A0A3F" w:rsidR="00324F8B" w:rsidTr="00192DF6" w14:paraId="24FB0891" w14:textId="77777777">
        <w:trPr>
          <w:jc w:val="center"/>
        </w:trPr>
        <w:tc>
          <w:tcPr>
            <w:tcW w:w="2548" w:type="pct"/>
            <w:vAlign w:val="center"/>
            <w:hideMark/>
          </w:tcPr>
          <w:p w:rsidRPr="006B5FC6" w:rsidR="00324F8B" w:rsidP="00192DF6" w:rsidRDefault="00324F8B" w14:paraId="36152AC4" w14:textId="77777777">
            <w:pPr>
              <w:keepNext/>
              <w:rPr>
                <w:rFonts w:ascii="Arial Narrow" w:hAnsi="Arial Narrow"/>
                <w:sz w:val="18"/>
                <w:szCs w:val="18"/>
              </w:rPr>
            </w:pPr>
            <w:r w:rsidRPr="006B5FC6">
              <w:rPr>
                <w:rFonts w:ascii="Arial Narrow" w:hAnsi="Arial Narrow"/>
                <w:sz w:val="18"/>
                <w:szCs w:val="18"/>
              </w:rPr>
              <w:t>Quality Control of Data for Part I</w:t>
            </w:r>
          </w:p>
        </w:tc>
        <w:tc>
          <w:tcPr>
            <w:tcW w:w="866" w:type="pct"/>
            <w:shd w:val="clear" w:color="auto" w:fill="FFFFFF" w:themeFill="background1"/>
            <w:vAlign w:val="center"/>
            <w:hideMark/>
          </w:tcPr>
          <w:p w:rsidRPr="006B5FC6" w:rsidR="00324F8B" w:rsidP="00192DF6" w:rsidRDefault="00324F8B" w14:paraId="6516744C" w14:textId="77777777">
            <w:pPr>
              <w:keepNext/>
              <w:rPr>
                <w:rFonts w:ascii="Arial Narrow" w:hAnsi="Arial Narrow"/>
                <w:sz w:val="18"/>
                <w:szCs w:val="18"/>
              </w:rPr>
            </w:pPr>
            <w:r w:rsidRPr="006B5FC6">
              <w:rPr>
                <w:rFonts w:ascii="Arial Narrow" w:hAnsi="Arial Narrow"/>
                <w:sz w:val="18"/>
                <w:szCs w:val="18"/>
              </w:rPr>
              <w:t>Per Site</w:t>
            </w:r>
          </w:p>
        </w:tc>
        <w:tc>
          <w:tcPr>
            <w:tcW w:w="761" w:type="pct"/>
            <w:vAlign w:val="center"/>
            <w:hideMark/>
          </w:tcPr>
          <w:p w:rsidRPr="006B5FC6" w:rsidR="00324F8B" w:rsidP="00192DF6" w:rsidRDefault="00324F8B" w14:paraId="2978724F" w14:textId="77777777">
            <w:pPr>
              <w:keepNext/>
              <w:jc w:val="right"/>
              <w:rPr>
                <w:rFonts w:ascii="Arial Narrow" w:hAnsi="Arial Narrow"/>
                <w:sz w:val="18"/>
                <w:szCs w:val="18"/>
              </w:rPr>
            </w:pPr>
            <w:r w:rsidRPr="0B02F8A5">
              <w:rPr>
                <w:rFonts w:ascii="Arial Narrow" w:hAnsi="Arial Narrow"/>
                <w:sz w:val="18"/>
                <w:szCs w:val="18"/>
              </w:rPr>
              <w:t>0.0019</w:t>
            </w:r>
          </w:p>
        </w:tc>
        <w:tc>
          <w:tcPr>
            <w:tcW w:w="825" w:type="pct"/>
            <w:vAlign w:val="center"/>
            <w:hideMark/>
          </w:tcPr>
          <w:p w:rsidRPr="006B5FC6" w:rsidR="00324F8B" w:rsidP="00192DF6" w:rsidRDefault="00324F8B" w14:paraId="0CC60D5B" w14:textId="77777777">
            <w:pPr>
              <w:keepNext/>
              <w:jc w:val="right"/>
              <w:rPr>
                <w:rFonts w:ascii="Arial Narrow" w:hAnsi="Arial Narrow"/>
                <w:sz w:val="18"/>
                <w:szCs w:val="18"/>
              </w:rPr>
            </w:pPr>
            <w:r>
              <w:rPr>
                <w:rFonts w:ascii="Arial Narrow" w:hAnsi="Arial Narrow" w:cs="Calibri"/>
                <w:color w:val="000000"/>
                <w:sz w:val="18"/>
                <w:szCs w:val="18"/>
              </w:rPr>
              <w:t xml:space="preserve">$0.13 </w:t>
            </w:r>
          </w:p>
        </w:tc>
      </w:tr>
      <w:tr w:rsidRPr="003A0A3F" w:rsidR="00324F8B" w:rsidTr="00192DF6" w14:paraId="042C846A" w14:textId="77777777">
        <w:trPr>
          <w:jc w:val="center"/>
        </w:trPr>
        <w:tc>
          <w:tcPr>
            <w:tcW w:w="2548" w:type="pct"/>
            <w:vAlign w:val="center"/>
            <w:hideMark/>
          </w:tcPr>
          <w:p w:rsidRPr="006B5FC6" w:rsidR="00324F8B" w:rsidP="00192DF6" w:rsidRDefault="00324F8B" w14:paraId="4D847878" w14:textId="77777777">
            <w:pPr>
              <w:keepNext/>
              <w:rPr>
                <w:rFonts w:ascii="Arial Narrow" w:hAnsi="Arial Narrow"/>
                <w:sz w:val="18"/>
                <w:szCs w:val="18"/>
              </w:rPr>
            </w:pPr>
            <w:r w:rsidRPr="006B5FC6">
              <w:rPr>
                <w:rFonts w:ascii="Arial Narrow" w:hAnsi="Arial Narrow"/>
                <w:sz w:val="18"/>
                <w:szCs w:val="18"/>
              </w:rPr>
              <w:t>Quality Control of Data for Part II</w:t>
            </w:r>
          </w:p>
        </w:tc>
        <w:tc>
          <w:tcPr>
            <w:tcW w:w="866" w:type="pct"/>
            <w:vAlign w:val="center"/>
            <w:hideMark/>
          </w:tcPr>
          <w:p w:rsidRPr="006B5FC6" w:rsidR="00324F8B" w:rsidP="00192DF6" w:rsidRDefault="00324F8B" w14:paraId="6E0E6C9B" w14:textId="77777777">
            <w:pPr>
              <w:keepNext/>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rsidRPr="006B5FC6" w:rsidR="00324F8B" w:rsidP="00192DF6" w:rsidRDefault="00324F8B" w14:paraId="3A696E6B" w14:textId="77777777">
            <w:pPr>
              <w:keepNext/>
              <w:jc w:val="right"/>
              <w:rPr>
                <w:rFonts w:ascii="Arial Narrow" w:hAnsi="Arial Narrow"/>
                <w:sz w:val="18"/>
                <w:szCs w:val="18"/>
              </w:rPr>
            </w:pPr>
            <w:r w:rsidRPr="0B02F8A5">
              <w:rPr>
                <w:rFonts w:ascii="Arial Narrow" w:hAnsi="Arial Narrow"/>
                <w:sz w:val="18"/>
                <w:szCs w:val="18"/>
              </w:rPr>
              <w:t>0.0054</w:t>
            </w:r>
          </w:p>
        </w:tc>
        <w:tc>
          <w:tcPr>
            <w:tcW w:w="825" w:type="pct"/>
            <w:vAlign w:val="center"/>
            <w:hideMark/>
          </w:tcPr>
          <w:p w:rsidRPr="006B5FC6" w:rsidR="00324F8B" w:rsidP="00192DF6" w:rsidRDefault="00324F8B" w14:paraId="79BDDF4D" w14:textId="77777777">
            <w:pPr>
              <w:keepNext/>
              <w:jc w:val="right"/>
              <w:rPr>
                <w:rFonts w:ascii="Arial Narrow" w:hAnsi="Arial Narrow"/>
                <w:sz w:val="18"/>
                <w:szCs w:val="18"/>
              </w:rPr>
            </w:pPr>
            <w:r>
              <w:rPr>
                <w:rFonts w:ascii="Arial Narrow" w:hAnsi="Arial Narrow" w:cs="Calibri"/>
                <w:color w:val="000000"/>
                <w:sz w:val="18"/>
                <w:szCs w:val="18"/>
              </w:rPr>
              <w:t xml:space="preserve">$0.36 </w:t>
            </w:r>
          </w:p>
        </w:tc>
      </w:tr>
      <w:tr w:rsidRPr="003A0A3F" w:rsidR="00324F8B" w:rsidTr="00192DF6" w14:paraId="4A62CE59" w14:textId="77777777">
        <w:trPr>
          <w:jc w:val="center"/>
        </w:trPr>
        <w:tc>
          <w:tcPr>
            <w:tcW w:w="2548" w:type="pct"/>
            <w:vAlign w:val="center"/>
            <w:hideMark/>
          </w:tcPr>
          <w:p w:rsidRPr="006B5FC6" w:rsidR="00324F8B" w:rsidP="00192DF6" w:rsidRDefault="00324F8B" w14:paraId="3AE0784D" w14:textId="77777777">
            <w:pPr>
              <w:keepNext/>
              <w:rPr>
                <w:rFonts w:ascii="Arial Narrow" w:hAnsi="Arial Narrow"/>
                <w:sz w:val="18"/>
                <w:szCs w:val="18"/>
              </w:rPr>
            </w:pPr>
            <w:r w:rsidRPr="006B5FC6">
              <w:rPr>
                <w:rFonts w:ascii="Arial Narrow" w:hAnsi="Arial Narrow"/>
                <w:sz w:val="18"/>
                <w:szCs w:val="18"/>
              </w:rPr>
              <w:t>Quality Control of Data for Part III</w:t>
            </w:r>
          </w:p>
        </w:tc>
        <w:tc>
          <w:tcPr>
            <w:tcW w:w="866" w:type="pct"/>
            <w:vAlign w:val="center"/>
            <w:hideMark/>
          </w:tcPr>
          <w:p w:rsidRPr="006B5FC6" w:rsidR="00324F8B" w:rsidP="00192DF6" w:rsidRDefault="00324F8B" w14:paraId="5073F8BD" w14:textId="77777777">
            <w:pPr>
              <w:keepNext/>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rsidRPr="006B5FC6" w:rsidR="00324F8B" w:rsidP="00192DF6" w:rsidRDefault="00324F8B" w14:paraId="0C1A518A" w14:textId="77777777">
            <w:pPr>
              <w:keepNext/>
              <w:jc w:val="right"/>
              <w:rPr>
                <w:rFonts w:ascii="Arial Narrow" w:hAnsi="Arial Narrow"/>
                <w:sz w:val="18"/>
                <w:szCs w:val="18"/>
              </w:rPr>
            </w:pPr>
            <w:r w:rsidRPr="0B02F8A5">
              <w:rPr>
                <w:rFonts w:ascii="Arial Narrow" w:hAnsi="Arial Narrow"/>
                <w:sz w:val="18"/>
                <w:szCs w:val="18"/>
              </w:rPr>
              <w:t>0.0063</w:t>
            </w:r>
          </w:p>
        </w:tc>
        <w:tc>
          <w:tcPr>
            <w:tcW w:w="825" w:type="pct"/>
            <w:vAlign w:val="center"/>
            <w:hideMark/>
          </w:tcPr>
          <w:p w:rsidRPr="006B5FC6" w:rsidR="00324F8B" w:rsidP="00192DF6" w:rsidRDefault="00324F8B" w14:paraId="68B6DDAB" w14:textId="77777777">
            <w:pPr>
              <w:keepNext/>
              <w:jc w:val="right"/>
              <w:rPr>
                <w:rFonts w:ascii="Arial Narrow" w:hAnsi="Arial Narrow"/>
                <w:sz w:val="18"/>
                <w:szCs w:val="18"/>
              </w:rPr>
            </w:pPr>
            <w:r>
              <w:rPr>
                <w:rFonts w:ascii="Arial Narrow" w:hAnsi="Arial Narrow" w:cs="Calibri"/>
                <w:color w:val="000000"/>
                <w:sz w:val="18"/>
                <w:szCs w:val="18"/>
              </w:rPr>
              <w:t xml:space="preserve">$0.42 </w:t>
            </w:r>
          </w:p>
        </w:tc>
      </w:tr>
      <w:tr w:rsidRPr="003A0A3F" w:rsidR="00324F8B" w:rsidTr="00192DF6" w14:paraId="70A6539E" w14:textId="77777777">
        <w:trPr>
          <w:jc w:val="center"/>
        </w:trPr>
        <w:tc>
          <w:tcPr>
            <w:tcW w:w="5000" w:type="pct"/>
            <w:gridSpan w:val="4"/>
            <w:tcBorders>
              <w:left w:val="single" w:color="auto" w:sz="4" w:space="0"/>
              <w:bottom w:val="single" w:color="auto" w:sz="4" w:space="0"/>
              <w:right w:val="single" w:color="auto" w:sz="4" w:space="0"/>
            </w:tcBorders>
            <w:hideMark/>
          </w:tcPr>
          <w:p w:rsidR="00406EBA" w:rsidP="00192DF6" w:rsidRDefault="00406EBA" w14:paraId="1EE858DF" w14:textId="1B2E7644">
            <w:pPr>
              <w:rPr>
                <w:rFonts w:ascii="Arial Narrow" w:hAnsi="Arial Narrow"/>
                <w:sz w:val="18"/>
                <w:szCs w:val="18"/>
              </w:rPr>
            </w:pPr>
            <w:r>
              <w:rPr>
                <w:rFonts w:ascii="Arial Narrow" w:hAnsi="Arial Narrow"/>
                <w:sz w:val="18"/>
                <w:szCs w:val="18"/>
              </w:rPr>
              <w:t xml:space="preserve">General Notes: </w:t>
            </w:r>
          </w:p>
          <w:p w:rsidR="00324F8B" w:rsidP="00192DF6" w:rsidRDefault="00324F8B" w14:paraId="4B931562" w14:textId="48AFE4C6">
            <w:pPr>
              <w:rPr>
                <w:rFonts w:ascii="Arial Narrow" w:hAnsi="Arial Narrow"/>
                <w:sz w:val="18"/>
                <w:szCs w:val="18"/>
              </w:rPr>
            </w:pPr>
            <w:r w:rsidRPr="008C5171">
              <w:rPr>
                <w:rFonts w:ascii="Arial Narrow" w:hAnsi="Arial Narrow"/>
                <w:sz w:val="18"/>
                <w:szCs w:val="18"/>
              </w:rPr>
              <w:lastRenderedPageBreak/>
              <w:t xml:space="preserve">Sources include EPA </w:t>
            </w:r>
            <w:r>
              <w:rPr>
                <w:rFonts w:ascii="Arial Narrow" w:hAnsi="Arial Narrow"/>
                <w:sz w:val="18"/>
                <w:szCs w:val="18"/>
              </w:rPr>
              <w:t>(</w:t>
            </w:r>
            <w:r w:rsidRPr="008C5171">
              <w:rPr>
                <w:rFonts w:ascii="Arial Narrow" w:hAnsi="Arial Narrow"/>
                <w:sz w:val="18"/>
                <w:szCs w:val="18"/>
              </w:rPr>
              <w:t>2015</w:t>
            </w:r>
            <w:r>
              <w:rPr>
                <w:rFonts w:ascii="Arial Narrow" w:hAnsi="Arial Narrow"/>
                <w:sz w:val="18"/>
                <w:szCs w:val="18"/>
              </w:rPr>
              <w:t>)</w:t>
            </w:r>
            <w:r w:rsidRPr="008C5171">
              <w:rPr>
                <w:rFonts w:ascii="Arial Narrow" w:hAnsi="Arial Narrow"/>
                <w:sz w:val="18"/>
                <w:szCs w:val="18"/>
              </w:rPr>
              <w:t xml:space="preserve"> and </w:t>
            </w:r>
            <w:r>
              <w:rPr>
                <w:rFonts w:ascii="Arial Narrow" w:hAnsi="Arial Narrow"/>
                <w:sz w:val="18"/>
                <w:szCs w:val="18"/>
              </w:rPr>
              <w:t>EPA (2018b).</w:t>
            </w:r>
          </w:p>
          <w:p w:rsidRPr="002210E9" w:rsidR="005E277B" w:rsidP="002210E9" w:rsidRDefault="005E277B" w14:paraId="6B1AB588" w14:textId="67AC71E5">
            <w:pPr>
              <w:spacing w:before="20" w:after="20"/>
              <w:rPr>
                <w:rFonts w:ascii="Arial Narrow" w:hAnsi="Arial Narrow"/>
                <w:sz w:val="18"/>
                <w:szCs w:val="18"/>
              </w:rPr>
            </w:pPr>
            <w:r w:rsidRPr="002210E9">
              <w:rPr>
                <w:rFonts w:ascii="Arial Narrow" w:hAnsi="Arial Narrow"/>
                <w:sz w:val="18"/>
                <w:szCs w:val="18"/>
              </w:rPr>
              <w:t>This table uses the 2016 CDR Form U designations.</w:t>
            </w:r>
            <w:r w:rsidR="00FE26D5">
              <w:rPr>
                <w:rFonts w:ascii="Arial Narrow" w:hAnsi="Arial Narrow"/>
                <w:sz w:val="18"/>
                <w:szCs w:val="18"/>
              </w:rPr>
              <w:t xml:space="preserve"> See </w:t>
            </w:r>
            <w:r w:rsidR="00733A1C">
              <w:rPr>
                <w:rStyle w:val="CommentReference"/>
              </w:rPr>
              <w:t>Table 1 for crosswalk</w:t>
            </w:r>
            <w:r w:rsidR="000C202C">
              <w:rPr>
                <w:rStyle w:val="CommentReference"/>
              </w:rPr>
              <w:t xml:space="preserve"> to the</w:t>
            </w:r>
            <w:r w:rsidR="00270C64">
              <w:rPr>
                <w:rStyle w:val="CommentReference"/>
              </w:rPr>
              <w:t xml:space="preserve"> new Form U printout to be used for the 2020 CDR.</w:t>
            </w:r>
            <w:r w:rsidR="00733A1C">
              <w:rPr>
                <w:rStyle w:val="CommentReference"/>
              </w:rPr>
              <w:t xml:space="preserve"> </w:t>
            </w:r>
          </w:p>
          <w:p w:rsidR="00324F8B" w:rsidP="00192DF6" w:rsidRDefault="00324F8B" w14:paraId="64A81D67" w14:textId="77777777">
            <w:pPr>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rsidRPr="00885DF8" w:rsidR="00324F8B" w:rsidP="00192DF6" w:rsidRDefault="00324F8B" w14:paraId="207CD93A" w14:textId="260AE679">
            <w:pPr>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 xml:space="preserve"> Based on labor </w:t>
            </w:r>
            <w:r w:rsidRPr="00E074AB">
              <w:rPr>
                <w:rFonts w:ascii="Arial Narrow" w:hAnsi="Arial Narrow"/>
                <w:sz w:val="18"/>
                <w:szCs w:val="18"/>
              </w:rPr>
              <w:t xml:space="preserve">rates </w:t>
            </w:r>
            <w:r w:rsidRPr="00E074AB">
              <w:rPr>
                <w:rFonts w:ascii="Arial Narrow" w:hAnsi="Arial Narrow" w:eastAsia="Times New Roman" w:cs="Calibri"/>
                <w:color w:val="000000"/>
                <w:sz w:val="18"/>
                <w:szCs w:val="18"/>
              </w:rPr>
              <w:t>(see</w:t>
            </w:r>
            <w:r w:rsidR="00A438EC">
              <w:rPr>
                <w:rFonts w:ascii="Arial Narrow" w:hAnsi="Arial Narrow" w:eastAsia="Times New Roman" w:cs="Calibri"/>
                <w:color w:val="000000"/>
                <w:sz w:val="18"/>
                <w:szCs w:val="18"/>
              </w:rPr>
              <w:t xml:space="preserve"> </w:t>
            </w:r>
            <w:r w:rsidRPr="00A438EC" w:rsidR="00A438EC">
              <w:rPr>
                <w:rFonts w:ascii="Arial Narrow" w:hAnsi="Arial Narrow" w:eastAsia="Times New Roman" w:cs="Calibri"/>
                <w:color w:val="000000"/>
                <w:sz w:val="18"/>
                <w:szCs w:val="18"/>
              </w:rPr>
              <w:fldChar w:fldCharType="begin"/>
            </w:r>
            <w:r w:rsidRPr="00A438EC" w:rsidR="00A438EC">
              <w:rPr>
                <w:rFonts w:ascii="Arial Narrow" w:hAnsi="Arial Narrow" w:eastAsia="Times New Roman" w:cs="Calibri"/>
                <w:color w:val="000000"/>
                <w:sz w:val="18"/>
                <w:szCs w:val="18"/>
              </w:rPr>
              <w:instrText xml:space="preserve"> REF _Ref33098931 \h  \* MERGEFORMAT </w:instrText>
            </w:r>
            <w:r w:rsidRPr="00A438EC" w:rsidR="00A438EC">
              <w:rPr>
                <w:rFonts w:ascii="Arial Narrow" w:hAnsi="Arial Narrow" w:eastAsia="Times New Roman" w:cs="Calibri"/>
                <w:color w:val="000000"/>
                <w:sz w:val="18"/>
                <w:szCs w:val="18"/>
              </w:rPr>
            </w:r>
            <w:r w:rsidRPr="00A438EC" w:rsidR="00A438EC">
              <w:rPr>
                <w:rFonts w:ascii="Arial Narrow" w:hAnsi="Arial Narrow" w:eastAsia="Times New Roman" w:cs="Calibri"/>
                <w:color w:val="000000"/>
                <w:sz w:val="18"/>
                <w:szCs w:val="18"/>
              </w:rPr>
              <w:fldChar w:fldCharType="separate"/>
            </w:r>
            <w:r w:rsidRPr="00821559" w:rsidR="00EC4095">
              <w:rPr>
                <w:rFonts w:ascii="Arial Narrow" w:hAnsi="Arial Narrow"/>
                <w:sz w:val="18"/>
                <w:szCs w:val="18"/>
              </w:rPr>
              <w:t xml:space="preserve">Table A- </w:t>
            </w:r>
            <w:r w:rsidRPr="00821559" w:rsidR="00EC4095">
              <w:rPr>
                <w:rFonts w:ascii="Arial Narrow" w:hAnsi="Arial Narrow"/>
                <w:noProof/>
                <w:sz w:val="18"/>
                <w:szCs w:val="18"/>
              </w:rPr>
              <w:t>1</w:t>
            </w:r>
            <w:r w:rsidRPr="00A438EC" w:rsidR="00A438EC">
              <w:rPr>
                <w:rFonts w:ascii="Arial Narrow" w:hAnsi="Arial Narrow" w:eastAsia="Times New Roman" w:cs="Calibri"/>
                <w:color w:val="000000"/>
                <w:sz w:val="18"/>
                <w:szCs w:val="18"/>
              </w:rPr>
              <w:fldChar w:fldCharType="end"/>
            </w:r>
            <w:r w:rsidRPr="00E074AB">
              <w:rPr>
                <w:rFonts w:ascii="Arial Narrow" w:hAnsi="Arial Narrow" w:eastAsia="Times New Roman" w:cs="Calibri"/>
                <w:color w:val="000000"/>
                <w:sz w:val="18"/>
                <w:szCs w:val="18"/>
              </w:rPr>
              <w:t>)</w:t>
            </w:r>
            <w:r w:rsidRPr="00E074AB">
              <w:rPr>
                <w:rFonts w:ascii="Arial Narrow" w:hAnsi="Arial Narrow"/>
                <w:sz w:val="18"/>
                <w:szCs w:val="18"/>
              </w:rPr>
              <w:t xml:space="preserve"> for</w:t>
            </w:r>
            <w:r w:rsidRPr="00885DF8">
              <w:rPr>
                <w:rFonts w:ascii="Arial Narrow" w:hAnsi="Arial Narrow"/>
                <w:sz w:val="18"/>
                <w:szCs w:val="18"/>
              </w:rPr>
              <w:t xml:space="preserve"> </w:t>
            </w:r>
            <w:r>
              <w:rPr>
                <w:rFonts w:ascii="Arial Narrow" w:hAnsi="Arial Narrow"/>
                <w:sz w:val="18"/>
                <w:szCs w:val="18"/>
              </w:rPr>
              <w:t>q</w:t>
            </w:r>
            <w:r w:rsidRPr="00885DF8">
              <w:rPr>
                <w:rFonts w:ascii="Arial Narrow" w:hAnsi="Arial Narrow"/>
                <w:sz w:val="18"/>
                <w:szCs w:val="18"/>
              </w:rPr>
              <w:t xml:space="preserve">uality </w:t>
            </w:r>
            <w:r>
              <w:rPr>
                <w:rFonts w:ascii="Arial Narrow" w:hAnsi="Arial Narrow"/>
                <w:sz w:val="18"/>
                <w:szCs w:val="18"/>
              </w:rPr>
              <w:t>c</w:t>
            </w:r>
            <w:r w:rsidRPr="00885DF8">
              <w:rPr>
                <w:rFonts w:ascii="Arial Narrow" w:hAnsi="Arial Narrow"/>
                <w:sz w:val="18"/>
                <w:szCs w:val="18"/>
              </w:rPr>
              <w:t xml:space="preserve">ontrol activities and </w:t>
            </w:r>
            <w:r>
              <w:rPr>
                <w:rFonts w:ascii="Arial Narrow" w:hAnsi="Arial Narrow"/>
                <w:sz w:val="18"/>
                <w:szCs w:val="18"/>
              </w:rPr>
              <w:t>r</w:t>
            </w:r>
            <w:r w:rsidRPr="00885DF8">
              <w:rPr>
                <w:rFonts w:ascii="Arial Narrow" w:hAnsi="Arial Narrow"/>
                <w:sz w:val="18"/>
                <w:szCs w:val="18"/>
              </w:rPr>
              <w:t>eview of e-</w:t>
            </w:r>
            <w:r>
              <w:rPr>
                <w:rFonts w:ascii="Arial Narrow" w:hAnsi="Arial Narrow"/>
                <w:sz w:val="18"/>
                <w:szCs w:val="18"/>
              </w:rPr>
              <w:t>s</w:t>
            </w:r>
            <w:r w:rsidRPr="00885DF8">
              <w:rPr>
                <w:rFonts w:ascii="Arial Narrow" w:hAnsi="Arial Narrow"/>
                <w:sz w:val="18"/>
                <w:szCs w:val="18"/>
              </w:rPr>
              <w:t xml:space="preserve">ignatures by </w:t>
            </w:r>
            <w:r>
              <w:rPr>
                <w:rFonts w:ascii="Arial Narrow" w:hAnsi="Arial Narrow"/>
                <w:sz w:val="18"/>
                <w:szCs w:val="18"/>
              </w:rPr>
              <w:t>p</w:t>
            </w:r>
            <w:r w:rsidRPr="00885DF8">
              <w:rPr>
                <w:rFonts w:ascii="Arial Narrow" w:hAnsi="Arial Narrow"/>
                <w:sz w:val="18"/>
                <w:szCs w:val="18"/>
              </w:rPr>
              <w:t xml:space="preserve">rogram </w:t>
            </w:r>
            <w:r>
              <w:rPr>
                <w:rFonts w:ascii="Arial Narrow" w:hAnsi="Arial Narrow"/>
                <w:sz w:val="18"/>
                <w:szCs w:val="18"/>
              </w:rPr>
              <w:t>s</w:t>
            </w:r>
            <w:r w:rsidRPr="00885DF8">
              <w:rPr>
                <w:rFonts w:ascii="Arial Narrow" w:hAnsi="Arial Narrow"/>
                <w:sz w:val="18"/>
                <w:szCs w:val="18"/>
              </w:rPr>
              <w:t>taff GS12 Step 3</w:t>
            </w:r>
            <w:r>
              <w:rPr>
                <w:rFonts w:ascii="Arial Narrow" w:hAnsi="Arial Narrow"/>
                <w:sz w:val="18"/>
                <w:szCs w:val="18"/>
              </w:rPr>
              <w:t>.</w:t>
            </w:r>
          </w:p>
        </w:tc>
      </w:tr>
    </w:tbl>
    <w:p w:rsidRPr="003928A8" w:rsidR="003928A8" w:rsidP="003928A8" w:rsidRDefault="003928A8" w14:paraId="2ADFC548" w14:textId="77777777"/>
    <w:p w:rsidR="00324F8B" w:rsidP="00BB0BA7" w:rsidRDefault="00324F8B" w14:paraId="37E2D487" w14:textId="2F9624A6">
      <w:pPr>
        <w:rPr>
          <w:b/>
        </w:rPr>
      </w:pPr>
      <w:r w:rsidRPr="00BB0BA7">
        <w:rPr>
          <w:b/>
        </w:rPr>
        <w:t>Contractor Activities</w:t>
      </w:r>
    </w:p>
    <w:p w:rsidRPr="00BB0BA7" w:rsidR="00BB0BA7" w:rsidP="00BB0BA7" w:rsidRDefault="00BB0BA7" w14:paraId="2E08B0D9" w14:textId="77777777">
      <w:pPr>
        <w:pStyle w:val="NoSpacing"/>
      </w:pPr>
    </w:p>
    <w:p w:rsidRPr="00A968E8" w:rsidR="00324F8B" w:rsidP="00A968E8" w:rsidRDefault="00324F8B" w14:paraId="140009E6" w14:textId="750F65EB">
      <w:r w:rsidRPr="00A968E8">
        <w:t>Agency costs also include payment for extramural tasks completed by contractors (this category includes costs to EPA, but not burden hours). Contractor activities affected by the final rule include document receipt, tracking, and data review as presented in</w:t>
      </w:r>
      <w:r w:rsidR="00700B04">
        <w:t xml:space="preserve"> </w:t>
      </w:r>
      <w:r w:rsidR="00700B04">
        <w:fldChar w:fldCharType="begin"/>
      </w:r>
      <w:r w:rsidR="00700B04">
        <w:instrText xml:space="preserve"> REF _Ref33099262 \h </w:instrText>
      </w:r>
      <w:r w:rsidR="00700B04">
        <w:fldChar w:fldCharType="separate"/>
      </w:r>
      <w:r w:rsidR="00EC4095">
        <w:t xml:space="preserve">Table A- </w:t>
      </w:r>
      <w:r w:rsidR="00EC4095">
        <w:rPr>
          <w:noProof/>
        </w:rPr>
        <w:t>3</w:t>
      </w:r>
      <w:r w:rsidR="00700B04">
        <w:fldChar w:fldCharType="end"/>
      </w:r>
      <w:r w:rsidRPr="00A968E8">
        <w:t xml:space="preserve">.  These costs are taken from the ICR renewal (EPA, 2018b) and are inflated from 2012 to 2018 dollars with an inflation factor calculated using the Employment Cost Index (ECI), seasonally adjusted, for management, professional, and related occupations in private industry (BLS, 2019b). </w:t>
      </w:r>
    </w:p>
    <w:p w:rsidRPr="00A968E8" w:rsidR="008665D4" w:rsidP="00A968E8" w:rsidRDefault="008665D4" w14:paraId="05C97F7C" w14:textId="27C79522"/>
    <w:tbl>
      <w:tblPr>
        <w:tblW w:w="5000" w:type="pct"/>
        <w:jc w:val="center"/>
        <w:tblLook w:val="04A0" w:firstRow="1" w:lastRow="0" w:firstColumn="1" w:lastColumn="0" w:noHBand="0" w:noVBand="1"/>
      </w:tblPr>
      <w:tblGrid>
        <w:gridCol w:w="7536"/>
        <w:gridCol w:w="1370"/>
        <w:gridCol w:w="1174"/>
      </w:tblGrid>
      <w:tr w:rsidRPr="003D75E2" w:rsidR="00324F8B" w:rsidTr="00A968E8" w14:paraId="6FE2362F" w14:textId="77777777">
        <w:trPr>
          <w:tblHeader/>
          <w:jc w:val="center"/>
        </w:trPr>
        <w:tc>
          <w:tcPr>
            <w:tcW w:w="10080" w:type="dxa"/>
            <w:gridSpan w:val="3"/>
            <w:tcBorders>
              <w:bottom w:val="single" w:color="auto" w:sz="4" w:space="0"/>
            </w:tcBorders>
            <w:shd w:val="clear" w:color="auto" w:fill="auto"/>
            <w:vAlign w:val="bottom"/>
          </w:tcPr>
          <w:p w:rsidRPr="00C90618" w:rsidR="00324F8B" w:rsidP="00700B04" w:rsidRDefault="00700B04" w14:paraId="608881A3" w14:textId="13F3C14E">
            <w:pPr>
              <w:pStyle w:val="Caption"/>
              <w:rPr>
                <w:szCs w:val="24"/>
              </w:rPr>
            </w:pPr>
            <w:bookmarkStart w:name="_Ref33099262" w:id="107"/>
            <w:bookmarkStart w:name="_Toc519866160" w:id="108"/>
            <w:bookmarkStart w:name="_Toc521241620" w:id="109"/>
            <w:bookmarkStart w:name="_Toc521331638" w:id="110"/>
            <w:bookmarkStart w:name="_Toc521468922" w:id="111"/>
            <w:bookmarkStart w:name="_Toc24464128" w:id="112"/>
            <w:r>
              <w:t xml:space="preserve">Table A- </w:t>
            </w:r>
            <w:r>
              <w:fldChar w:fldCharType="begin"/>
            </w:r>
            <w:r>
              <w:instrText>SEQ Table_A- \* ARABIC</w:instrText>
            </w:r>
            <w:r>
              <w:fldChar w:fldCharType="separate"/>
            </w:r>
            <w:r w:rsidR="00EC4095">
              <w:rPr>
                <w:noProof/>
              </w:rPr>
              <w:t>3</w:t>
            </w:r>
            <w:r>
              <w:fldChar w:fldCharType="end"/>
            </w:r>
            <w:bookmarkEnd w:id="107"/>
            <w:r w:rsidRPr="00C90618" w:rsidR="00324F8B">
              <w:rPr>
                <w:szCs w:val="24"/>
              </w:rPr>
              <w:t>: Unit Cost of Contractor Activities for Four-Year Reporting Cycle</w:t>
            </w:r>
            <w:bookmarkEnd w:id="108"/>
            <w:bookmarkEnd w:id="109"/>
            <w:bookmarkEnd w:id="110"/>
            <w:bookmarkEnd w:id="111"/>
            <w:bookmarkEnd w:id="112"/>
          </w:p>
        </w:tc>
      </w:tr>
      <w:tr w:rsidRPr="003D75E2" w:rsidR="00324F8B" w:rsidTr="00A968E8" w14:paraId="1140F76D" w14:textId="77777777">
        <w:trPr>
          <w:tblHeader/>
          <w:jc w:val="center"/>
        </w:trPr>
        <w:tc>
          <w:tcPr>
            <w:tcW w:w="7536"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192DF6" w:rsidRDefault="00324F8B" w14:paraId="54459F76" w14:textId="77777777">
            <w:pPr>
              <w:spacing w:before="10" w:after="10"/>
              <w:jc w:val="center"/>
              <w:rPr>
                <w:rFonts w:ascii="Arial Narrow" w:hAnsi="Arial Narrow"/>
                <w:b/>
                <w:sz w:val="18"/>
                <w:szCs w:val="18"/>
              </w:rPr>
            </w:pPr>
            <w:r>
              <w:rPr>
                <w:rFonts w:ascii="Arial Narrow" w:hAnsi="Arial Narrow"/>
                <w:b/>
                <w:sz w:val="18"/>
                <w:szCs w:val="18"/>
              </w:rPr>
              <w:t>Activity</w:t>
            </w:r>
          </w:p>
        </w:tc>
        <w:tc>
          <w:tcPr>
            <w:tcW w:w="1370"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192DF6" w:rsidRDefault="00324F8B" w14:paraId="0E034B69" w14:textId="77777777">
            <w:pPr>
              <w:spacing w:before="10" w:after="10"/>
              <w:jc w:val="center"/>
              <w:rPr>
                <w:rFonts w:ascii="Arial Narrow" w:hAnsi="Arial Narrow"/>
                <w:b/>
                <w:sz w:val="18"/>
                <w:szCs w:val="18"/>
              </w:rPr>
            </w:pPr>
            <w:r w:rsidRPr="006B5FC6">
              <w:rPr>
                <w:rFonts w:ascii="Arial Narrow" w:hAnsi="Arial Narrow"/>
                <w:b/>
                <w:sz w:val="18"/>
                <w:szCs w:val="18"/>
              </w:rPr>
              <w:t xml:space="preserve">Cost </w:t>
            </w:r>
            <w:r w:rsidRPr="006B5FC6">
              <w:rPr>
                <w:rFonts w:ascii="Arial Narrow" w:hAnsi="Arial Narrow"/>
                <w:b/>
                <w:sz w:val="18"/>
                <w:szCs w:val="18"/>
              </w:rPr>
              <w:br/>
              <w:t>2012$</w:t>
            </w:r>
          </w:p>
        </w:tc>
        <w:tc>
          <w:tcPr>
            <w:tcW w:w="1174"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192DF6" w:rsidRDefault="00324F8B" w14:paraId="2F70B0F2" w14:textId="77777777">
            <w:pPr>
              <w:spacing w:before="10" w:after="10"/>
              <w:jc w:val="center"/>
              <w:rPr>
                <w:rFonts w:ascii="Arial Narrow" w:hAnsi="Arial Narrow"/>
                <w:b/>
                <w:sz w:val="18"/>
                <w:szCs w:val="18"/>
              </w:rPr>
            </w:pPr>
            <w:r w:rsidRPr="006B5FC6">
              <w:rPr>
                <w:rFonts w:ascii="Arial Narrow" w:hAnsi="Arial Narrow"/>
                <w:b/>
                <w:sz w:val="18"/>
                <w:szCs w:val="18"/>
              </w:rPr>
              <w:t>Cost</w:t>
            </w:r>
            <w:r w:rsidRPr="006B5FC6">
              <w:rPr>
                <w:rFonts w:ascii="Arial Narrow" w:hAnsi="Arial Narrow"/>
                <w:b/>
                <w:sz w:val="18"/>
                <w:szCs w:val="18"/>
                <w:vertAlign w:val="superscript"/>
              </w:rPr>
              <w:t>1</w:t>
            </w:r>
            <w:r w:rsidRPr="006B5FC6">
              <w:rPr>
                <w:rFonts w:ascii="Arial Narrow" w:hAnsi="Arial Narrow"/>
                <w:b/>
                <w:sz w:val="18"/>
                <w:szCs w:val="18"/>
              </w:rPr>
              <w:br/>
            </w:r>
            <w:r>
              <w:rPr>
                <w:rFonts w:ascii="Arial Narrow" w:hAnsi="Arial Narrow"/>
                <w:b/>
                <w:sz w:val="18"/>
                <w:szCs w:val="18"/>
              </w:rPr>
              <w:t>2018$</w:t>
            </w:r>
          </w:p>
        </w:tc>
      </w:tr>
      <w:tr w:rsidRPr="003D75E2" w:rsidR="00324F8B" w:rsidTr="00A968E8" w14:paraId="131792FF" w14:textId="77777777">
        <w:trPr>
          <w:jc w:val="center"/>
        </w:trPr>
        <w:tc>
          <w:tcPr>
            <w:tcW w:w="10080" w:type="dxa"/>
            <w:gridSpan w:val="3"/>
            <w:tcBorders>
              <w:top w:val="single" w:color="auto" w:sz="4" w:space="0"/>
              <w:left w:val="single" w:color="auto" w:sz="4" w:space="0"/>
              <w:bottom w:val="single" w:color="auto" w:sz="4" w:space="0"/>
              <w:right w:val="single" w:color="auto" w:sz="4" w:space="0"/>
            </w:tcBorders>
            <w:shd w:val="clear" w:color="auto" w:fill="F2F2F2"/>
            <w:vAlign w:val="center"/>
            <w:hideMark/>
          </w:tcPr>
          <w:p w:rsidRPr="006B5FC6" w:rsidR="00324F8B" w:rsidP="00192DF6" w:rsidRDefault="00324F8B" w14:paraId="0460DD54" w14:textId="77777777">
            <w:pPr>
              <w:spacing w:before="10" w:after="10"/>
              <w:rPr>
                <w:rFonts w:ascii="Arial Narrow" w:hAnsi="Arial Narrow"/>
                <w:sz w:val="18"/>
                <w:szCs w:val="18"/>
              </w:rPr>
            </w:pPr>
            <w:r w:rsidRPr="006B5FC6">
              <w:rPr>
                <w:rFonts w:ascii="Arial Narrow" w:hAnsi="Arial Narrow"/>
                <w:b/>
                <w:sz w:val="18"/>
                <w:szCs w:val="18"/>
              </w:rPr>
              <w:t xml:space="preserve">Variable Costs (cost per </w:t>
            </w:r>
            <w:r>
              <w:rPr>
                <w:rFonts w:ascii="Arial Narrow" w:hAnsi="Arial Narrow"/>
                <w:b/>
                <w:sz w:val="18"/>
                <w:szCs w:val="18"/>
              </w:rPr>
              <w:t xml:space="preserve">chemical </w:t>
            </w:r>
            <w:r w:rsidRPr="006B5FC6">
              <w:rPr>
                <w:rFonts w:ascii="Arial Narrow" w:hAnsi="Arial Narrow"/>
                <w:b/>
                <w:sz w:val="18"/>
                <w:szCs w:val="18"/>
              </w:rPr>
              <w:t>report)</w:t>
            </w:r>
          </w:p>
        </w:tc>
      </w:tr>
      <w:tr w:rsidRPr="003D75E2" w:rsidR="00324F8B" w:rsidTr="00A968E8" w14:paraId="61778210" w14:textId="77777777">
        <w:trPr>
          <w:jc w:val="center"/>
        </w:trPr>
        <w:tc>
          <w:tcPr>
            <w:tcW w:w="7536"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A6EEBF3" w14:textId="77777777">
            <w:pPr>
              <w:spacing w:before="10" w:after="10"/>
              <w:rPr>
                <w:rFonts w:ascii="Arial Narrow" w:hAnsi="Arial Narrow"/>
                <w:sz w:val="18"/>
                <w:szCs w:val="18"/>
              </w:rPr>
            </w:pPr>
            <w:r w:rsidRPr="006B5FC6">
              <w:rPr>
                <w:rFonts w:ascii="Arial Narrow" w:hAnsi="Arial Narrow"/>
                <w:sz w:val="18"/>
                <w:szCs w:val="18"/>
              </w:rPr>
              <w:t>Document receipt, tracking, and data review for Part I</w:t>
            </w:r>
          </w:p>
        </w:tc>
        <w:tc>
          <w:tcPr>
            <w:tcW w:w="1370"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5C5E7C4D" w14:textId="77777777">
            <w:pPr>
              <w:spacing w:before="10" w:after="10"/>
              <w:jc w:val="right"/>
              <w:rPr>
                <w:rFonts w:ascii="Arial Narrow" w:hAnsi="Arial Narrow"/>
                <w:sz w:val="18"/>
                <w:szCs w:val="18"/>
              </w:rPr>
            </w:pPr>
            <w:r w:rsidRPr="006B5FC6">
              <w:rPr>
                <w:rFonts w:ascii="Arial Narrow" w:hAnsi="Arial Narrow"/>
                <w:sz w:val="18"/>
                <w:szCs w:val="18"/>
              </w:rPr>
              <w:t xml:space="preserve">$0.10 </w:t>
            </w:r>
          </w:p>
        </w:tc>
        <w:tc>
          <w:tcPr>
            <w:tcW w:w="1174"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2FD38A90" w14:textId="77777777">
            <w:pPr>
              <w:spacing w:before="10" w:after="10"/>
              <w:jc w:val="right"/>
              <w:rPr>
                <w:rFonts w:ascii="Arial Narrow" w:hAnsi="Arial Narrow"/>
                <w:sz w:val="18"/>
                <w:szCs w:val="18"/>
              </w:rPr>
            </w:pPr>
            <w:r>
              <w:rPr>
                <w:rFonts w:ascii="Arial Narrow" w:hAnsi="Arial Narrow" w:cs="Calibri"/>
                <w:color w:val="000000"/>
                <w:sz w:val="18"/>
                <w:szCs w:val="18"/>
              </w:rPr>
              <w:t xml:space="preserve">$0.12 </w:t>
            </w:r>
          </w:p>
        </w:tc>
      </w:tr>
      <w:tr w:rsidRPr="003D75E2" w:rsidR="00324F8B" w:rsidTr="00A968E8" w14:paraId="3032862B" w14:textId="77777777">
        <w:trPr>
          <w:jc w:val="center"/>
        </w:trPr>
        <w:tc>
          <w:tcPr>
            <w:tcW w:w="7536"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40C59227" w14:textId="77777777">
            <w:pPr>
              <w:spacing w:before="10" w:after="10"/>
              <w:rPr>
                <w:rFonts w:ascii="Arial Narrow" w:hAnsi="Arial Narrow"/>
                <w:sz w:val="18"/>
                <w:szCs w:val="18"/>
              </w:rPr>
            </w:pPr>
            <w:r w:rsidRPr="006B5FC6">
              <w:rPr>
                <w:rFonts w:ascii="Arial Narrow" w:hAnsi="Arial Narrow"/>
                <w:sz w:val="18"/>
                <w:szCs w:val="18"/>
              </w:rPr>
              <w:t>Document receipt, tracking, and data review for Part II</w:t>
            </w:r>
          </w:p>
        </w:tc>
        <w:tc>
          <w:tcPr>
            <w:tcW w:w="1370"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7684C30C" w14:textId="77777777">
            <w:pPr>
              <w:spacing w:before="10" w:after="10"/>
              <w:jc w:val="right"/>
              <w:rPr>
                <w:rFonts w:ascii="Arial Narrow" w:hAnsi="Arial Narrow"/>
                <w:sz w:val="18"/>
                <w:szCs w:val="18"/>
              </w:rPr>
            </w:pPr>
            <w:r w:rsidRPr="006B5FC6">
              <w:rPr>
                <w:rFonts w:ascii="Arial Narrow" w:hAnsi="Arial Narrow"/>
                <w:sz w:val="18"/>
                <w:szCs w:val="18"/>
              </w:rPr>
              <w:t xml:space="preserve">$0.28 </w:t>
            </w:r>
          </w:p>
        </w:tc>
        <w:tc>
          <w:tcPr>
            <w:tcW w:w="1174"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5E3B9E3E" w14:textId="77777777">
            <w:pPr>
              <w:spacing w:before="10" w:after="10"/>
              <w:jc w:val="right"/>
              <w:rPr>
                <w:rFonts w:ascii="Arial Narrow" w:hAnsi="Arial Narrow"/>
                <w:sz w:val="18"/>
                <w:szCs w:val="18"/>
              </w:rPr>
            </w:pPr>
            <w:r>
              <w:rPr>
                <w:rFonts w:ascii="Arial Narrow" w:hAnsi="Arial Narrow" w:cs="Calibri"/>
                <w:color w:val="000000"/>
                <w:sz w:val="18"/>
                <w:szCs w:val="18"/>
              </w:rPr>
              <w:t xml:space="preserve">$0.32 </w:t>
            </w:r>
          </w:p>
        </w:tc>
      </w:tr>
      <w:tr w:rsidRPr="003D75E2" w:rsidR="00324F8B" w:rsidTr="00A968E8" w14:paraId="0E3392F7" w14:textId="77777777">
        <w:trPr>
          <w:jc w:val="center"/>
        </w:trPr>
        <w:tc>
          <w:tcPr>
            <w:tcW w:w="7536" w:type="dxa"/>
            <w:tcBorders>
              <w:top w:val="single" w:color="auto" w:sz="4" w:space="0"/>
              <w:left w:val="single" w:color="auto" w:sz="4" w:space="0"/>
              <w:bottom w:val="single" w:color="auto" w:sz="12" w:space="0"/>
              <w:right w:val="single" w:color="auto" w:sz="4" w:space="0"/>
            </w:tcBorders>
            <w:vAlign w:val="center"/>
            <w:hideMark/>
          </w:tcPr>
          <w:p w:rsidRPr="006B5FC6" w:rsidR="00324F8B" w:rsidP="00192DF6" w:rsidRDefault="00324F8B" w14:paraId="1D51EAB4" w14:textId="77777777">
            <w:pPr>
              <w:spacing w:before="10" w:after="10"/>
              <w:rPr>
                <w:rFonts w:ascii="Arial Narrow" w:hAnsi="Arial Narrow"/>
                <w:sz w:val="18"/>
                <w:szCs w:val="18"/>
              </w:rPr>
            </w:pPr>
            <w:r w:rsidRPr="006B5FC6">
              <w:rPr>
                <w:rFonts w:ascii="Arial Narrow" w:hAnsi="Arial Narrow"/>
                <w:sz w:val="18"/>
                <w:szCs w:val="18"/>
              </w:rPr>
              <w:t>Document receipt, tracking, and data review for Part III</w:t>
            </w:r>
          </w:p>
        </w:tc>
        <w:tc>
          <w:tcPr>
            <w:tcW w:w="1370" w:type="dxa"/>
            <w:tcBorders>
              <w:top w:val="single" w:color="auto" w:sz="4" w:space="0"/>
              <w:left w:val="single" w:color="auto" w:sz="4" w:space="0"/>
              <w:bottom w:val="single" w:color="auto" w:sz="12" w:space="0"/>
              <w:right w:val="single" w:color="auto" w:sz="4" w:space="0"/>
            </w:tcBorders>
            <w:vAlign w:val="center"/>
            <w:hideMark/>
          </w:tcPr>
          <w:p w:rsidRPr="006B5FC6" w:rsidR="00324F8B" w:rsidP="00192DF6" w:rsidRDefault="00324F8B" w14:paraId="6AA5AF04" w14:textId="77777777">
            <w:pPr>
              <w:spacing w:before="10" w:after="10"/>
              <w:jc w:val="right"/>
              <w:rPr>
                <w:rFonts w:ascii="Arial Narrow" w:hAnsi="Arial Narrow"/>
                <w:sz w:val="18"/>
                <w:szCs w:val="18"/>
              </w:rPr>
            </w:pPr>
            <w:r w:rsidRPr="006B5FC6">
              <w:rPr>
                <w:rFonts w:ascii="Arial Narrow" w:hAnsi="Arial Narrow"/>
                <w:sz w:val="18"/>
                <w:szCs w:val="18"/>
              </w:rPr>
              <w:t xml:space="preserve">$0.32 </w:t>
            </w:r>
          </w:p>
        </w:tc>
        <w:tc>
          <w:tcPr>
            <w:tcW w:w="1174" w:type="dxa"/>
            <w:tcBorders>
              <w:top w:val="single" w:color="auto" w:sz="4" w:space="0"/>
              <w:left w:val="single" w:color="auto" w:sz="4" w:space="0"/>
              <w:bottom w:val="single" w:color="auto" w:sz="12" w:space="0"/>
              <w:right w:val="single" w:color="auto" w:sz="4" w:space="0"/>
            </w:tcBorders>
            <w:vAlign w:val="center"/>
            <w:hideMark/>
          </w:tcPr>
          <w:p w:rsidRPr="006B5FC6" w:rsidR="00324F8B" w:rsidP="00192DF6" w:rsidRDefault="00324F8B" w14:paraId="71380C0F" w14:textId="77777777">
            <w:pPr>
              <w:spacing w:before="10" w:after="10"/>
              <w:jc w:val="right"/>
              <w:rPr>
                <w:rFonts w:ascii="Arial Narrow" w:hAnsi="Arial Narrow"/>
                <w:sz w:val="18"/>
                <w:szCs w:val="18"/>
              </w:rPr>
            </w:pPr>
            <w:r>
              <w:rPr>
                <w:rFonts w:ascii="Arial Narrow" w:hAnsi="Arial Narrow" w:cs="Calibri"/>
                <w:color w:val="000000"/>
                <w:sz w:val="18"/>
                <w:szCs w:val="18"/>
              </w:rPr>
              <w:t xml:space="preserve">$0.37 </w:t>
            </w:r>
          </w:p>
        </w:tc>
      </w:tr>
      <w:tr w:rsidRPr="003D75E2" w:rsidR="00324F8B" w:rsidTr="00A968E8" w14:paraId="6EE70C2E" w14:textId="77777777">
        <w:trPr>
          <w:jc w:val="center"/>
        </w:trPr>
        <w:tc>
          <w:tcPr>
            <w:tcW w:w="7536" w:type="dxa"/>
            <w:tcBorders>
              <w:top w:val="single" w:color="auto" w:sz="12" w:space="0"/>
              <w:left w:val="single" w:color="auto" w:sz="8" w:space="0"/>
              <w:bottom w:val="single" w:color="auto" w:sz="8" w:space="0"/>
              <w:right w:val="single" w:color="auto" w:sz="4" w:space="0"/>
            </w:tcBorders>
            <w:vAlign w:val="center"/>
            <w:hideMark/>
          </w:tcPr>
          <w:p w:rsidRPr="006B5FC6" w:rsidR="00324F8B" w:rsidP="00192DF6" w:rsidRDefault="00324F8B" w14:paraId="6B99B66A" w14:textId="77777777">
            <w:pPr>
              <w:spacing w:before="10" w:after="10"/>
              <w:rPr>
                <w:rFonts w:ascii="Arial Narrow" w:hAnsi="Arial Narrow"/>
                <w:b/>
                <w:sz w:val="18"/>
                <w:szCs w:val="18"/>
              </w:rPr>
            </w:pPr>
            <w:r w:rsidRPr="006B5FC6">
              <w:rPr>
                <w:rFonts w:ascii="Arial Narrow" w:hAnsi="Arial Narrow"/>
                <w:b/>
                <w:sz w:val="18"/>
                <w:szCs w:val="18"/>
              </w:rPr>
              <w:t>Total Cost of Document receipt, tracking, and data review, per single chemical full report</w:t>
            </w:r>
          </w:p>
        </w:tc>
        <w:tc>
          <w:tcPr>
            <w:tcW w:w="1370" w:type="dxa"/>
            <w:tcBorders>
              <w:top w:val="single" w:color="auto" w:sz="12" w:space="0"/>
              <w:left w:val="single" w:color="auto" w:sz="4" w:space="0"/>
              <w:bottom w:val="single" w:color="auto" w:sz="8" w:space="0"/>
              <w:right w:val="single" w:color="auto" w:sz="4" w:space="0"/>
            </w:tcBorders>
            <w:vAlign w:val="center"/>
            <w:hideMark/>
          </w:tcPr>
          <w:p w:rsidRPr="006B5FC6" w:rsidR="00324F8B" w:rsidP="00192DF6" w:rsidRDefault="00324F8B" w14:paraId="02F7F28E" w14:textId="77777777">
            <w:pPr>
              <w:spacing w:before="10" w:after="10"/>
              <w:jc w:val="right"/>
              <w:rPr>
                <w:rFonts w:ascii="Arial Narrow" w:hAnsi="Arial Narrow"/>
                <w:b/>
                <w:sz w:val="18"/>
                <w:szCs w:val="18"/>
              </w:rPr>
            </w:pPr>
            <w:r w:rsidRPr="006B5FC6">
              <w:rPr>
                <w:rFonts w:ascii="Arial Narrow" w:hAnsi="Arial Narrow"/>
                <w:b/>
                <w:sz w:val="18"/>
                <w:szCs w:val="18"/>
              </w:rPr>
              <w:t xml:space="preserve">$0.70 </w:t>
            </w:r>
          </w:p>
        </w:tc>
        <w:tc>
          <w:tcPr>
            <w:tcW w:w="1174" w:type="dxa"/>
            <w:tcBorders>
              <w:top w:val="single" w:color="auto" w:sz="12" w:space="0"/>
              <w:left w:val="single" w:color="auto" w:sz="4" w:space="0"/>
              <w:bottom w:val="single" w:color="auto" w:sz="8" w:space="0"/>
              <w:right w:val="single" w:color="auto" w:sz="8" w:space="0"/>
            </w:tcBorders>
            <w:vAlign w:val="center"/>
            <w:hideMark/>
          </w:tcPr>
          <w:p w:rsidRPr="006B5FC6" w:rsidR="00324F8B" w:rsidP="00192DF6" w:rsidRDefault="00324F8B" w14:paraId="7D20D061" w14:textId="77777777">
            <w:pPr>
              <w:spacing w:before="10" w:after="10"/>
              <w:jc w:val="right"/>
              <w:rPr>
                <w:rFonts w:ascii="Arial Narrow" w:hAnsi="Arial Narrow"/>
                <w:b/>
                <w:sz w:val="18"/>
                <w:szCs w:val="18"/>
              </w:rPr>
            </w:pPr>
            <w:r>
              <w:rPr>
                <w:rFonts w:ascii="Arial Narrow" w:hAnsi="Arial Narrow" w:cs="Calibri"/>
                <w:b/>
                <w:bCs/>
                <w:color w:val="000000"/>
                <w:sz w:val="18"/>
                <w:szCs w:val="18"/>
              </w:rPr>
              <w:t xml:space="preserve">$0.81 </w:t>
            </w:r>
          </w:p>
        </w:tc>
      </w:tr>
      <w:tr w:rsidRPr="005E662A" w:rsidR="00324F8B" w:rsidTr="00A968E8" w14:paraId="75BE8AFB" w14:textId="77777777">
        <w:trPr>
          <w:jc w:val="center"/>
        </w:trPr>
        <w:tc>
          <w:tcPr>
            <w:tcW w:w="10080" w:type="dxa"/>
            <w:gridSpan w:val="3"/>
            <w:tcBorders>
              <w:top w:val="single" w:color="auto" w:sz="8" w:space="0"/>
              <w:left w:val="single" w:color="auto" w:sz="4" w:space="0"/>
              <w:bottom w:val="single" w:color="auto" w:sz="4" w:space="0"/>
              <w:right w:val="single" w:color="auto" w:sz="4" w:space="0"/>
            </w:tcBorders>
            <w:vAlign w:val="bottom"/>
            <w:hideMark/>
          </w:tcPr>
          <w:p w:rsidR="00324F8B" w:rsidP="00192DF6" w:rsidRDefault="00324F8B" w14:paraId="30CB23B1" w14:textId="6EFC72EA">
            <w:pPr>
              <w:rPr>
                <w:rFonts w:ascii="Arial Narrow" w:hAnsi="Arial Narrow"/>
                <w:sz w:val="18"/>
                <w:szCs w:val="18"/>
              </w:rPr>
            </w:pPr>
            <w:r w:rsidRPr="008C5171">
              <w:rPr>
                <w:rFonts w:ascii="Arial Narrow" w:hAnsi="Arial Narrow"/>
                <w:sz w:val="18"/>
                <w:szCs w:val="18"/>
              </w:rPr>
              <w:t xml:space="preserve">Sources include EPA </w:t>
            </w:r>
            <w:r>
              <w:rPr>
                <w:rFonts w:ascii="Arial Narrow" w:hAnsi="Arial Narrow"/>
                <w:sz w:val="18"/>
                <w:szCs w:val="18"/>
              </w:rPr>
              <w:t>(</w:t>
            </w:r>
            <w:r w:rsidRPr="008C5171">
              <w:rPr>
                <w:rFonts w:ascii="Arial Narrow" w:hAnsi="Arial Narrow"/>
                <w:sz w:val="18"/>
                <w:szCs w:val="18"/>
              </w:rPr>
              <w:t>2015</w:t>
            </w:r>
            <w:r>
              <w:rPr>
                <w:rFonts w:ascii="Arial Narrow" w:hAnsi="Arial Narrow"/>
                <w:sz w:val="18"/>
                <w:szCs w:val="18"/>
              </w:rPr>
              <w:t>),</w:t>
            </w:r>
            <w:r w:rsidRPr="008C5171">
              <w:rPr>
                <w:rFonts w:ascii="Arial Narrow" w:hAnsi="Arial Narrow"/>
                <w:sz w:val="18"/>
                <w:szCs w:val="18"/>
              </w:rPr>
              <w:t xml:space="preserve"> </w:t>
            </w:r>
            <w:r>
              <w:rPr>
                <w:rFonts w:ascii="Arial Narrow" w:hAnsi="Arial Narrow"/>
                <w:sz w:val="18"/>
                <w:szCs w:val="18"/>
              </w:rPr>
              <w:t>EPA (2018b),</w:t>
            </w:r>
            <w:r w:rsidRPr="008C5171">
              <w:rPr>
                <w:rFonts w:ascii="Arial Narrow" w:hAnsi="Arial Narrow"/>
                <w:sz w:val="18"/>
                <w:szCs w:val="18"/>
              </w:rPr>
              <w:t xml:space="preserve"> and BLS </w:t>
            </w:r>
            <w:r>
              <w:rPr>
                <w:rFonts w:ascii="Arial Narrow" w:hAnsi="Arial Narrow"/>
                <w:sz w:val="18"/>
                <w:szCs w:val="18"/>
              </w:rPr>
              <w:t>(</w:t>
            </w:r>
            <w:r w:rsidRPr="008C5171">
              <w:rPr>
                <w:rFonts w:ascii="Arial Narrow" w:hAnsi="Arial Narrow"/>
                <w:sz w:val="18"/>
                <w:szCs w:val="18"/>
              </w:rPr>
              <w:t>201</w:t>
            </w:r>
            <w:r>
              <w:rPr>
                <w:rFonts w:ascii="Arial Narrow" w:hAnsi="Arial Narrow"/>
                <w:sz w:val="18"/>
                <w:szCs w:val="18"/>
              </w:rPr>
              <w:t>9b).</w:t>
            </w:r>
          </w:p>
          <w:p w:rsidRPr="00311D2F" w:rsidR="00311D2F" w:rsidP="002210E9" w:rsidRDefault="00311D2F" w14:paraId="65D15E83" w14:textId="6FEC3768">
            <w:pPr>
              <w:pStyle w:val="ListParagraph"/>
              <w:numPr>
                <w:ilvl w:val="0"/>
                <w:numId w:val="46"/>
              </w:numPr>
              <w:spacing w:before="20" w:after="20"/>
              <w:ind w:left="144" w:hanging="144"/>
              <w:rPr>
                <w:rFonts w:ascii="Arial Narrow" w:hAnsi="Arial Narrow"/>
                <w:sz w:val="18"/>
                <w:szCs w:val="18"/>
              </w:rPr>
            </w:pPr>
            <w:r>
              <w:rPr>
                <w:rFonts w:ascii="Arial Narrow" w:hAnsi="Arial Narrow"/>
                <w:sz w:val="18"/>
                <w:szCs w:val="18"/>
              </w:rPr>
              <w:t>This table uses the 2016 CDR Form U designations</w:t>
            </w:r>
            <w:r w:rsidR="00733A1C">
              <w:rPr>
                <w:rFonts w:ascii="Arial Narrow" w:hAnsi="Arial Narrow"/>
                <w:sz w:val="18"/>
                <w:szCs w:val="18"/>
              </w:rPr>
              <w:t>. See Table 1 for crosswalk</w:t>
            </w:r>
            <w:r w:rsidR="00270C64">
              <w:rPr>
                <w:rStyle w:val="CommentReference"/>
              </w:rPr>
              <w:t xml:space="preserve"> to the new Form U printout to be used for the 2020 CDR.</w:t>
            </w:r>
            <w:r w:rsidR="00733A1C">
              <w:rPr>
                <w:rFonts w:ascii="Arial Narrow" w:hAnsi="Arial Narrow"/>
                <w:sz w:val="18"/>
                <w:szCs w:val="18"/>
              </w:rPr>
              <w:t xml:space="preserve"> </w:t>
            </w:r>
          </w:p>
          <w:p w:rsidR="00324F8B" w:rsidP="00192DF6" w:rsidRDefault="00324F8B" w14:paraId="7C251530" w14:textId="77777777">
            <w:pPr>
              <w:spacing w:before="10" w:after="10"/>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rsidRPr="00885DF8" w:rsidR="00324F8B" w:rsidP="00192DF6" w:rsidRDefault="00324F8B" w14:paraId="35AAD51D" w14:textId="77777777">
            <w:pPr>
              <w:spacing w:before="10" w:after="10"/>
              <w:ind w:left="144" w:hanging="144"/>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The inflation rate of 1.1</w:t>
            </w:r>
            <w:r>
              <w:rPr>
                <w:rFonts w:ascii="Arial Narrow" w:hAnsi="Arial Narrow"/>
                <w:sz w:val="18"/>
                <w:szCs w:val="18"/>
              </w:rPr>
              <w:t>5</w:t>
            </w:r>
            <w:r w:rsidRPr="00885DF8">
              <w:rPr>
                <w:rFonts w:ascii="Arial Narrow" w:hAnsi="Arial Narrow"/>
                <w:sz w:val="18"/>
                <w:szCs w:val="18"/>
              </w:rPr>
              <w:t xml:space="preserve"> is calculated as the total compensation Employment Cost Index (ECI) for 201</w:t>
            </w:r>
            <w:r>
              <w:rPr>
                <w:rFonts w:ascii="Arial Narrow" w:hAnsi="Arial Narrow"/>
                <w:sz w:val="18"/>
                <w:szCs w:val="18"/>
              </w:rPr>
              <w:t>8</w:t>
            </w:r>
            <w:r w:rsidRPr="00885DF8">
              <w:rPr>
                <w:rFonts w:ascii="Arial Narrow" w:hAnsi="Arial Narrow"/>
                <w:sz w:val="18"/>
                <w:szCs w:val="18"/>
              </w:rPr>
              <w:t xml:space="preserve"> divided by the ECI for 2012.</w:t>
            </w:r>
          </w:p>
        </w:tc>
      </w:tr>
      <w:bookmarkEnd w:id="95"/>
    </w:tbl>
    <w:p w:rsidRPr="003928A8" w:rsidR="00955C62" w:rsidP="003928A8" w:rsidRDefault="00955C62" w14:paraId="2435919C" w14:textId="3B23D700"/>
    <w:p w:rsidR="00A22510" w:rsidP="00A22510" w:rsidRDefault="00A22510" w14:paraId="71646586" w14:textId="29A90870">
      <w:pPr>
        <w:pStyle w:val="BodyText"/>
      </w:pPr>
      <w:r>
        <w:t xml:space="preserve">The final rule will result in net reduction in the reporting universe, which will result in lower Agency burden and cost associated with quality control. </w:t>
      </w:r>
      <w:r w:rsidR="00700B04">
        <w:fldChar w:fldCharType="begin"/>
      </w:r>
      <w:r w:rsidR="00700B04">
        <w:instrText xml:space="preserve"> REF _Ref33099288 \h </w:instrText>
      </w:r>
      <w:r w:rsidR="00700B04">
        <w:fldChar w:fldCharType="separate"/>
      </w:r>
      <w:r w:rsidR="00EC4095">
        <w:t>Table A-</w:t>
      </w:r>
      <w:r w:rsidR="00EC4095">
        <w:rPr>
          <w:noProof/>
        </w:rPr>
        <w:t>4</w:t>
      </w:r>
      <w:r w:rsidR="00700B04">
        <w:fldChar w:fldCharType="end"/>
      </w:r>
      <w:r w:rsidR="00700B04">
        <w:t xml:space="preserve"> </w:t>
      </w:r>
      <w:r>
        <w:t xml:space="preserve">presents the estimated incremental Agency burden and </w:t>
      </w:r>
      <w:r w:rsidRPr="00794249">
        <w:t>cost</w:t>
      </w:r>
      <w:r>
        <w:t xml:space="preserve"> associated with the rule. </w:t>
      </w:r>
    </w:p>
    <w:p w:rsidR="00F66120" w:rsidRDefault="00F66120" w14:paraId="77132D3D" w14:textId="1A41E319">
      <w:pPr>
        <w:spacing w:after="200" w:line="276" w:lineRule="auto"/>
      </w:pPr>
      <w:r>
        <w:br w:type="page"/>
      </w:r>
    </w:p>
    <w:tbl>
      <w:tblPr>
        <w:tblW w:w="5000" w:type="pct"/>
        <w:jc w:val="center"/>
        <w:tblLayout w:type="fixed"/>
        <w:tblCellMar>
          <w:left w:w="115" w:type="dxa"/>
          <w:right w:w="115" w:type="dxa"/>
        </w:tblCellMar>
        <w:tblLook w:val="04A0" w:firstRow="1" w:lastRow="0" w:firstColumn="1" w:lastColumn="0" w:noHBand="0" w:noVBand="1"/>
      </w:tblPr>
      <w:tblGrid>
        <w:gridCol w:w="275"/>
        <w:gridCol w:w="887"/>
        <w:gridCol w:w="1067"/>
        <w:gridCol w:w="1066"/>
        <w:gridCol w:w="1357"/>
        <w:gridCol w:w="1063"/>
        <w:gridCol w:w="1378"/>
        <w:gridCol w:w="1079"/>
        <w:gridCol w:w="904"/>
        <w:gridCol w:w="992"/>
        <w:gridCol w:w="12"/>
      </w:tblGrid>
      <w:tr w:rsidRPr="00C31FCD" w:rsidR="00A22510" w:rsidTr="00C44E9B" w14:paraId="6191F535" w14:textId="77777777">
        <w:trPr>
          <w:gridAfter w:val="1"/>
          <w:wAfter w:w="12" w:type="dxa"/>
          <w:tblHeader/>
          <w:jc w:val="center"/>
        </w:trPr>
        <w:tc>
          <w:tcPr>
            <w:tcW w:w="10068" w:type="dxa"/>
            <w:gridSpan w:val="10"/>
            <w:tcBorders>
              <w:top w:val="nil"/>
              <w:bottom w:val="single" w:color="auto" w:sz="4" w:space="0"/>
              <w:right w:val="nil"/>
            </w:tcBorders>
            <w:shd w:val="clear" w:color="auto" w:fill="auto"/>
            <w:vAlign w:val="bottom"/>
            <w:hideMark/>
          </w:tcPr>
          <w:p w:rsidRPr="00A22510" w:rsidR="00A22510" w:rsidP="00700B04" w:rsidRDefault="00700B04" w14:paraId="3397CCA0" w14:textId="658E4FE2">
            <w:pPr>
              <w:pStyle w:val="Caption"/>
              <w:rPr>
                <w:szCs w:val="24"/>
              </w:rPr>
            </w:pPr>
            <w:bookmarkStart w:name="_Ref33099288" w:id="113"/>
            <w:bookmarkStart w:name="_Ref24463169" w:id="114"/>
            <w:bookmarkStart w:name="_Toc24464129" w:id="115"/>
            <w:r>
              <w:lastRenderedPageBreak/>
              <w:t xml:space="preserve">Table A- </w:t>
            </w:r>
            <w:r>
              <w:fldChar w:fldCharType="begin"/>
            </w:r>
            <w:r>
              <w:instrText>SEQ Table_A- \* ARABIC</w:instrText>
            </w:r>
            <w:r>
              <w:fldChar w:fldCharType="separate"/>
            </w:r>
            <w:r w:rsidR="00EC4095">
              <w:rPr>
                <w:noProof/>
              </w:rPr>
              <w:t>4</w:t>
            </w:r>
            <w:r>
              <w:fldChar w:fldCharType="end"/>
            </w:r>
            <w:bookmarkEnd w:id="113"/>
            <w:bookmarkEnd w:id="114"/>
            <w:r w:rsidRPr="00A22510" w:rsidR="00A22510">
              <w:rPr>
                <w:szCs w:val="24"/>
              </w:rPr>
              <w:t>: Incremental Agency Burden and Cost of CDR Revisions, Four-Year Cycle</w:t>
            </w:r>
            <w:bookmarkEnd w:id="115"/>
          </w:p>
        </w:tc>
      </w:tr>
      <w:tr w:rsidRPr="00C31FCD" w:rsidR="00A22510" w:rsidTr="00C44E9B" w14:paraId="6C93CC8E" w14:textId="77777777">
        <w:trPr>
          <w:gridAfter w:val="1"/>
          <w:wAfter w:w="12" w:type="dxa"/>
          <w:tblHeader/>
          <w:jc w:val="center"/>
        </w:trPr>
        <w:tc>
          <w:tcPr>
            <w:tcW w:w="1162" w:type="dxa"/>
            <w:gridSpan w:val="2"/>
            <w:vMerge w:val="restart"/>
            <w:tcBorders>
              <w:top w:val="single" w:color="auto" w:sz="4" w:space="0"/>
              <w:left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3778DF5A"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Activity</w:t>
            </w:r>
          </w:p>
        </w:tc>
        <w:tc>
          <w:tcPr>
            <w:tcW w:w="1067" w:type="dxa"/>
            <w:vMerge w:val="restart"/>
            <w:tcBorders>
              <w:top w:val="single" w:color="auto" w:sz="4" w:space="0"/>
              <w:left w:val="single" w:color="auto" w:sz="4" w:space="0"/>
              <w:right w:val="single" w:color="auto" w:sz="4" w:space="0"/>
            </w:tcBorders>
            <w:shd w:val="clear" w:color="auto" w:fill="BFBFBF" w:themeFill="background1" w:themeFillShade="BF"/>
            <w:vAlign w:val="bottom"/>
          </w:tcPr>
          <w:p w:rsidRPr="004E5265" w:rsidR="00A22510" w:rsidP="00C935A8" w:rsidRDefault="00A22510" w14:paraId="331D4528"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Staff</w:t>
            </w:r>
          </w:p>
        </w:tc>
        <w:tc>
          <w:tcPr>
            <w:tcW w:w="1066" w:type="dxa"/>
            <w:vMerge w:val="restart"/>
            <w:tcBorders>
              <w:top w:val="single" w:color="auto" w:sz="4" w:space="0"/>
              <w:left w:val="single" w:color="auto" w:sz="4" w:space="0"/>
              <w:right w:val="single" w:color="auto" w:sz="4" w:space="0"/>
            </w:tcBorders>
            <w:shd w:val="clear" w:color="auto" w:fill="BFBFBF" w:themeFill="background1" w:themeFillShade="BF"/>
            <w:vAlign w:val="bottom"/>
          </w:tcPr>
          <w:p w:rsidRPr="004E5265" w:rsidR="00A22510" w:rsidP="00C935A8" w:rsidRDefault="00A22510" w14:paraId="04F2D19F"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Form U Section</w:t>
            </w:r>
          </w:p>
        </w:tc>
        <w:tc>
          <w:tcPr>
            <w:tcW w:w="1357" w:type="dxa"/>
            <w:vMerge w:val="restart"/>
            <w:tcBorders>
              <w:top w:val="single" w:color="auto" w:sz="4" w:space="0"/>
              <w:left w:val="single" w:color="auto" w:sz="4" w:space="0"/>
              <w:right w:val="single" w:color="auto" w:sz="4" w:space="0"/>
            </w:tcBorders>
            <w:shd w:val="clear" w:color="auto" w:fill="BFBFBF" w:themeFill="background1" w:themeFillShade="BF"/>
            <w:vAlign w:val="bottom"/>
          </w:tcPr>
          <w:p w:rsidRPr="004E5265" w:rsidR="00A22510" w:rsidP="00C935A8" w:rsidRDefault="00A22510" w14:paraId="72607C2D"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Burden per Activity (hours)</w:t>
            </w:r>
          </w:p>
        </w:tc>
        <w:tc>
          <w:tcPr>
            <w:tcW w:w="1063" w:type="dxa"/>
            <w:vMerge w:val="restart"/>
            <w:tcBorders>
              <w:top w:val="single" w:color="auto" w:sz="4" w:space="0"/>
              <w:left w:val="single" w:color="auto" w:sz="4" w:space="0"/>
              <w:right w:val="single" w:color="auto" w:sz="4" w:space="0"/>
            </w:tcBorders>
            <w:shd w:val="clear" w:color="auto" w:fill="BFBFBF" w:themeFill="background1" w:themeFillShade="BF"/>
            <w:vAlign w:val="bottom"/>
          </w:tcPr>
          <w:p w:rsidRPr="004E5265" w:rsidR="00A22510" w:rsidP="00C935A8" w:rsidRDefault="00A22510" w14:paraId="7A88CC1F"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Cost per Activity</w:t>
            </w:r>
            <w:r w:rsidRPr="004E5265">
              <w:rPr>
                <w:rFonts w:ascii="Arial Narrow" w:hAnsi="Arial Narrow" w:eastAsia="Times New Roman" w:cs="Calibri"/>
                <w:b/>
                <w:bCs/>
                <w:color w:val="000000"/>
                <w:sz w:val="18"/>
                <w:szCs w:val="18"/>
              </w:rPr>
              <w:br/>
              <w:t>(</w:t>
            </w:r>
            <w:r>
              <w:rPr>
                <w:rFonts w:ascii="Arial Narrow" w:hAnsi="Arial Narrow" w:eastAsia="Times New Roman" w:cs="Calibri"/>
                <w:b/>
                <w:bCs/>
                <w:color w:val="000000"/>
                <w:sz w:val="18"/>
                <w:szCs w:val="18"/>
              </w:rPr>
              <w:t>2018$</w:t>
            </w:r>
            <w:r w:rsidRPr="004E5265">
              <w:rPr>
                <w:rFonts w:ascii="Arial Narrow" w:hAnsi="Arial Narrow" w:eastAsia="Times New Roman" w:cs="Calibri"/>
                <w:b/>
                <w:bCs/>
                <w:color w:val="000000"/>
                <w:sz w:val="18"/>
                <w:szCs w:val="18"/>
              </w:rPr>
              <w:t>)</w:t>
            </w:r>
          </w:p>
        </w:tc>
        <w:tc>
          <w:tcPr>
            <w:tcW w:w="1378" w:type="dxa"/>
            <w:vMerge w:val="restart"/>
            <w:tcBorders>
              <w:top w:val="single" w:color="auto" w:sz="4" w:space="0"/>
              <w:left w:val="single" w:color="auto" w:sz="4" w:space="0"/>
              <w:right w:val="double" w:color="auto" w:sz="4" w:space="0"/>
            </w:tcBorders>
            <w:shd w:val="clear" w:color="auto" w:fill="BFBFBF" w:themeFill="background1" w:themeFillShade="BF"/>
            <w:vAlign w:val="bottom"/>
          </w:tcPr>
          <w:p w:rsidRPr="004E5265" w:rsidR="00A22510" w:rsidP="00C935A8" w:rsidRDefault="00A22510" w14:paraId="6D0BB22D" w14:textId="77777777">
            <w:pPr>
              <w:jc w:val="cente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sz w:val="18"/>
                <w:szCs w:val="18"/>
              </w:rPr>
              <w:t>Unit of Analysis</w:t>
            </w:r>
          </w:p>
        </w:tc>
        <w:tc>
          <w:tcPr>
            <w:tcW w:w="2975" w:type="dxa"/>
            <w:gridSpan w:val="3"/>
            <w:tcBorders>
              <w:top w:val="single" w:color="auto" w:sz="4" w:space="0"/>
              <w:left w:val="double" w:color="auto" w:sz="4" w:space="0"/>
              <w:bottom w:val="single" w:color="auto" w:sz="4" w:space="0"/>
              <w:right w:val="single" w:color="auto" w:sz="4" w:space="0"/>
            </w:tcBorders>
            <w:shd w:val="clear" w:color="auto" w:fill="BFBFBF" w:themeFill="background1" w:themeFillShade="BF"/>
            <w:vAlign w:val="center"/>
            <w:hideMark/>
          </w:tcPr>
          <w:p w:rsidRPr="004E5265" w:rsidR="00A22510" w:rsidP="00C935A8" w:rsidRDefault="00A22510" w14:paraId="74BF5E5B" w14:textId="77777777">
            <w:pPr>
              <w:jc w:val="cente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Incremental Change</w:t>
            </w:r>
          </w:p>
        </w:tc>
      </w:tr>
      <w:tr w:rsidRPr="00C31FCD" w:rsidR="00A22510" w:rsidTr="00C44E9B" w14:paraId="66FBA198" w14:textId="77777777">
        <w:trPr>
          <w:gridAfter w:val="1"/>
          <w:wAfter w:w="12" w:type="dxa"/>
          <w:tblHeader/>
          <w:jc w:val="center"/>
        </w:trPr>
        <w:tc>
          <w:tcPr>
            <w:tcW w:w="1162" w:type="dxa"/>
            <w:gridSpan w:val="2"/>
            <w:vMerge/>
            <w:tcBorders>
              <w:left w:val="sing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7D1B5B65" w14:textId="77777777">
            <w:pPr>
              <w:jc w:val="center"/>
              <w:rPr>
                <w:rFonts w:ascii="Arial Narrow" w:hAnsi="Arial Narrow" w:eastAsia="Times New Roman" w:cs="Calibri"/>
                <w:b/>
                <w:bCs/>
                <w:color w:val="000000"/>
                <w:sz w:val="18"/>
                <w:szCs w:val="18"/>
              </w:rPr>
            </w:pPr>
          </w:p>
        </w:tc>
        <w:tc>
          <w:tcPr>
            <w:tcW w:w="1067" w:type="dxa"/>
            <w:vMerge/>
            <w:tcBorders>
              <w:left w:val="sing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1D8E1C9E" w14:textId="77777777">
            <w:pPr>
              <w:jc w:val="center"/>
              <w:rPr>
                <w:rFonts w:ascii="Arial Narrow" w:hAnsi="Arial Narrow" w:eastAsia="Times New Roman" w:cs="Calibri"/>
                <w:b/>
                <w:bCs/>
                <w:color w:val="000000"/>
                <w:sz w:val="18"/>
                <w:szCs w:val="18"/>
              </w:rPr>
            </w:pPr>
          </w:p>
        </w:tc>
        <w:tc>
          <w:tcPr>
            <w:tcW w:w="1066" w:type="dxa"/>
            <w:vMerge/>
            <w:tcBorders>
              <w:left w:val="sing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6FEC94AA" w14:textId="77777777">
            <w:pPr>
              <w:jc w:val="center"/>
              <w:rPr>
                <w:rFonts w:ascii="Arial Narrow" w:hAnsi="Arial Narrow" w:eastAsia="Times New Roman" w:cs="Calibri"/>
                <w:b/>
                <w:bCs/>
                <w:color w:val="000000"/>
                <w:sz w:val="18"/>
                <w:szCs w:val="18"/>
              </w:rPr>
            </w:pPr>
          </w:p>
        </w:tc>
        <w:tc>
          <w:tcPr>
            <w:tcW w:w="1357" w:type="dxa"/>
            <w:vMerge/>
            <w:tcBorders>
              <w:left w:val="sing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62103198" w14:textId="77777777">
            <w:pPr>
              <w:jc w:val="center"/>
              <w:rPr>
                <w:rFonts w:ascii="Arial Narrow" w:hAnsi="Arial Narrow" w:eastAsia="Times New Roman" w:cs="Calibri"/>
                <w:b/>
                <w:bCs/>
                <w:color w:val="000000"/>
                <w:sz w:val="18"/>
                <w:szCs w:val="18"/>
              </w:rPr>
            </w:pPr>
          </w:p>
        </w:tc>
        <w:tc>
          <w:tcPr>
            <w:tcW w:w="1063" w:type="dxa"/>
            <w:vMerge/>
            <w:tcBorders>
              <w:left w:val="sing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224B8D88" w14:textId="77777777">
            <w:pPr>
              <w:jc w:val="center"/>
              <w:rPr>
                <w:rFonts w:ascii="Arial Narrow" w:hAnsi="Arial Narrow" w:eastAsia="Times New Roman" w:cs="Calibri"/>
                <w:b/>
                <w:bCs/>
                <w:color w:val="000000"/>
                <w:sz w:val="18"/>
                <w:szCs w:val="18"/>
              </w:rPr>
            </w:pPr>
          </w:p>
        </w:tc>
        <w:tc>
          <w:tcPr>
            <w:tcW w:w="1378" w:type="dxa"/>
            <w:vMerge/>
            <w:tcBorders>
              <w:left w:val="single" w:color="auto" w:sz="4" w:space="0"/>
              <w:bottom w:val="single" w:color="auto" w:sz="4" w:space="0"/>
              <w:right w:val="double" w:color="auto" w:sz="4" w:space="0"/>
            </w:tcBorders>
            <w:shd w:val="clear" w:color="auto" w:fill="BFBFBF" w:themeFill="background1" w:themeFillShade="BF"/>
            <w:vAlign w:val="bottom"/>
            <w:hideMark/>
          </w:tcPr>
          <w:p w:rsidRPr="004E5265" w:rsidR="00A22510" w:rsidP="00C935A8" w:rsidRDefault="00A22510" w14:paraId="478150CE" w14:textId="77777777">
            <w:pPr>
              <w:jc w:val="center"/>
              <w:rPr>
                <w:rFonts w:ascii="Arial Narrow" w:hAnsi="Arial Narrow" w:eastAsia="Times New Roman" w:cs="Calibri"/>
                <w:b/>
                <w:bCs/>
                <w:color w:val="000000"/>
                <w:sz w:val="18"/>
                <w:szCs w:val="18"/>
              </w:rPr>
            </w:pPr>
          </w:p>
        </w:tc>
        <w:tc>
          <w:tcPr>
            <w:tcW w:w="1079" w:type="dxa"/>
            <w:tcBorders>
              <w:top w:val="nil"/>
              <w:left w:val="double" w:color="auto" w:sz="4" w:space="0"/>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4705C3BB" w14:textId="77777777">
            <w:pPr>
              <w:jc w:val="cente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Affected Universe</w:t>
            </w:r>
          </w:p>
        </w:tc>
        <w:tc>
          <w:tcPr>
            <w:tcW w:w="904" w:type="dxa"/>
            <w:tcBorders>
              <w:top w:val="nil"/>
              <w:left w:val="nil"/>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4332AF0E" w14:textId="77777777">
            <w:pPr>
              <w:jc w:val="cente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Total Burden (hours)</w:t>
            </w:r>
          </w:p>
        </w:tc>
        <w:tc>
          <w:tcPr>
            <w:tcW w:w="992" w:type="dxa"/>
            <w:tcBorders>
              <w:top w:val="nil"/>
              <w:left w:val="nil"/>
              <w:bottom w:val="single" w:color="auto" w:sz="4" w:space="0"/>
              <w:right w:val="single" w:color="auto" w:sz="4" w:space="0"/>
            </w:tcBorders>
            <w:shd w:val="clear" w:color="auto" w:fill="BFBFBF" w:themeFill="background1" w:themeFillShade="BF"/>
            <w:vAlign w:val="bottom"/>
            <w:hideMark/>
          </w:tcPr>
          <w:p w:rsidRPr="004E5265" w:rsidR="00A22510" w:rsidP="00C935A8" w:rsidRDefault="00A22510" w14:paraId="0A7288ED" w14:textId="77777777">
            <w:pPr>
              <w:jc w:val="cente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Total Cost (201</w:t>
            </w:r>
            <w:r>
              <w:rPr>
                <w:rFonts w:ascii="Arial Narrow" w:hAnsi="Arial Narrow" w:eastAsia="Times New Roman" w:cs="Calibri"/>
                <w:b/>
                <w:bCs/>
                <w:color w:val="000000"/>
                <w:sz w:val="18"/>
                <w:szCs w:val="18"/>
              </w:rPr>
              <w:t>8</w:t>
            </w:r>
            <w:r w:rsidRPr="004E5265">
              <w:rPr>
                <w:rFonts w:ascii="Arial Narrow" w:hAnsi="Arial Narrow" w:eastAsia="Times New Roman" w:cs="Calibri"/>
                <w:b/>
                <w:bCs/>
                <w:color w:val="000000"/>
                <w:sz w:val="18"/>
                <w:szCs w:val="18"/>
              </w:rPr>
              <w:t>$)</w:t>
            </w:r>
            <w:r w:rsidRPr="004E5265">
              <w:rPr>
                <w:rFonts w:ascii="Arial Narrow" w:hAnsi="Arial Narrow" w:eastAsia="Times New Roman" w:cs="Calibri"/>
                <w:b/>
                <w:bCs/>
                <w:color w:val="000000"/>
                <w:sz w:val="18"/>
                <w:szCs w:val="18"/>
                <w:vertAlign w:val="superscript"/>
              </w:rPr>
              <w:t>1</w:t>
            </w:r>
          </w:p>
        </w:tc>
      </w:tr>
      <w:tr w:rsidRPr="00C31FCD" w:rsidR="00A22510" w:rsidTr="00C44E9B" w14:paraId="054E8958" w14:textId="77777777">
        <w:trPr>
          <w:gridAfter w:val="1"/>
          <w:wAfter w:w="12" w:type="dxa"/>
          <w:jc w:val="center"/>
        </w:trPr>
        <w:tc>
          <w:tcPr>
            <w:tcW w:w="10068"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5E733895" w14:textId="77777777">
            <w:pP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Variable Burden and Cost</w:t>
            </w:r>
          </w:p>
        </w:tc>
      </w:tr>
      <w:tr w:rsidRPr="00C31FCD" w:rsidR="00A22510" w:rsidTr="00C44E9B" w14:paraId="4A494AD5" w14:textId="77777777">
        <w:trPr>
          <w:gridAfter w:val="1"/>
          <w:wAfter w:w="12" w:type="dxa"/>
          <w:jc w:val="center"/>
        </w:trPr>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30F7A6F2" w14:textId="77777777">
            <w:pPr>
              <w:rPr>
                <w:rFonts w:ascii="Arial Narrow" w:hAnsi="Arial Narrow" w:eastAsia="Times New Roman" w:cs="Calibri"/>
                <w:color w:val="000000"/>
                <w:sz w:val="18"/>
                <w:szCs w:val="18"/>
              </w:rPr>
            </w:pPr>
            <w:r>
              <w:rPr>
                <w:rFonts w:ascii="Arial Narrow" w:hAnsi="Arial Narrow" w:eastAsia="Times New Roman" w:cs="Calibri"/>
                <w:color w:val="000000"/>
                <w:sz w:val="18"/>
                <w:szCs w:val="18"/>
              </w:rPr>
              <w:t>Submission Receipt and Tracking: Data Review</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27CC71AD"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Contractor</w:t>
            </w:r>
          </w:p>
        </w:tc>
        <w:tc>
          <w:tcPr>
            <w:tcW w:w="1066"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6931B291"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w:t>
            </w:r>
          </w:p>
        </w:tc>
        <w:tc>
          <w:tcPr>
            <w:tcW w:w="1357"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329C51C6"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N/A</w:t>
            </w:r>
          </w:p>
        </w:tc>
        <w:tc>
          <w:tcPr>
            <w:tcW w:w="1063"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31F9DE64"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$0.12 </w:t>
            </w:r>
          </w:p>
        </w:tc>
        <w:tc>
          <w:tcPr>
            <w:tcW w:w="1378" w:type="dxa"/>
            <w:tcBorders>
              <w:top w:val="nil"/>
              <w:left w:val="nil"/>
              <w:bottom w:val="single" w:color="auto" w:sz="4" w:space="0"/>
              <w:right w:val="double" w:color="auto" w:sz="4" w:space="0"/>
            </w:tcBorders>
            <w:shd w:val="clear" w:color="auto" w:fill="auto"/>
            <w:vAlign w:val="center"/>
            <w:hideMark/>
          </w:tcPr>
          <w:p w:rsidRPr="004E5265" w:rsidR="00A22510" w:rsidP="00C935A8" w:rsidRDefault="00A22510" w14:paraId="59D5646A"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Sites</w:t>
            </w:r>
          </w:p>
        </w:tc>
        <w:tc>
          <w:tcPr>
            <w:tcW w:w="1079" w:type="dxa"/>
            <w:tcBorders>
              <w:top w:val="nil"/>
              <w:left w:val="double" w:color="auto" w:sz="4" w:space="0"/>
              <w:bottom w:val="single" w:color="auto" w:sz="4" w:space="0"/>
              <w:right w:val="single" w:color="auto" w:sz="4" w:space="0"/>
            </w:tcBorders>
            <w:shd w:val="clear" w:color="auto" w:fill="FFFFFF" w:themeFill="background1"/>
            <w:vAlign w:val="center"/>
            <w:hideMark/>
          </w:tcPr>
          <w:p w:rsidRPr="00863C80" w:rsidR="00A22510" w:rsidP="00C935A8" w:rsidRDefault="00A22510" w14:paraId="6A7A1849"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-70</w:t>
            </w:r>
          </w:p>
        </w:tc>
        <w:tc>
          <w:tcPr>
            <w:tcW w:w="904"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6902AA4B"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N/A</w:t>
            </w:r>
          </w:p>
        </w:tc>
        <w:tc>
          <w:tcPr>
            <w:tcW w:w="992"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264BF02A"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-$8</w:t>
            </w:r>
          </w:p>
        </w:tc>
      </w:tr>
      <w:tr w:rsidRPr="00C31FCD" w:rsidR="00A22510" w:rsidTr="00C44E9B" w14:paraId="5BE10AFD" w14:textId="77777777">
        <w:trPr>
          <w:gridAfter w:val="1"/>
          <w:wAfter w:w="12" w:type="dxa"/>
          <w:jc w:val="center"/>
        </w:trPr>
        <w:tc>
          <w:tcPr>
            <w:tcW w:w="1162" w:type="dxa"/>
            <w:gridSpan w:val="2"/>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78C8A378" w14:textId="77777777">
            <w:pPr>
              <w:rPr>
                <w:rFonts w:ascii="Arial Narrow" w:hAnsi="Arial Narrow" w:eastAsia="Times New Roman" w:cs="Calibri"/>
                <w:color w:val="000000"/>
                <w:sz w:val="18"/>
                <w:szCs w:val="18"/>
              </w:rPr>
            </w:pPr>
          </w:p>
        </w:tc>
        <w:tc>
          <w:tcPr>
            <w:tcW w:w="1067" w:type="dxa"/>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4434277B" w14:textId="77777777">
            <w:pPr>
              <w:rPr>
                <w:rFonts w:ascii="Arial Narrow" w:hAnsi="Arial Narrow" w:eastAsia="Times New Roman" w:cs="Calibri"/>
                <w:color w:val="000000"/>
                <w:sz w:val="18"/>
                <w:szCs w:val="18"/>
              </w:rPr>
            </w:pPr>
          </w:p>
        </w:tc>
        <w:tc>
          <w:tcPr>
            <w:tcW w:w="1066" w:type="dxa"/>
            <w:tcBorders>
              <w:top w:val="nil"/>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1FDB8150"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II</w:t>
            </w:r>
          </w:p>
        </w:tc>
        <w:tc>
          <w:tcPr>
            <w:tcW w:w="1357"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42FC958E"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N/A</w:t>
            </w:r>
          </w:p>
        </w:tc>
        <w:tc>
          <w:tcPr>
            <w:tcW w:w="1063"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6F024AF7"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$0.32 </w:t>
            </w:r>
          </w:p>
        </w:tc>
        <w:tc>
          <w:tcPr>
            <w:tcW w:w="1378" w:type="dxa"/>
            <w:tcBorders>
              <w:top w:val="nil"/>
              <w:left w:val="nil"/>
              <w:bottom w:val="single" w:color="auto" w:sz="4" w:space="0"/>
              <w:right w:val="double" w:color="auto" w:sz="4" w:space="0"/>
            </w:tcBorders>
            <w:shd w:val="clear" w:color="auto" w:fill="auto"/>
            <w:vAlign w:val="center"/>
            <w:hideMark/>
          </w:tcPr>
          <w:p w:rsidRPr="004E5265" w:rsidR="00A22510" w:rsidP="00C935A8" w:rsidRDefault="00A22510" w14:paraId="4602D287"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Full and Partial Chemical Reports</w:t>
            </w:r>
          </w:p>
        </w:tc>
        <w:tc>
          <w:tcPr>
            <w:tcW w:w="1079" w:type="dxa"/>
            <w:tcBorders>
              <w:top w:val="nil"/>
              <w:left w:val="double" w:color="auto" w:sz="4" w:space="0"/>
              <w:bottom w:val="single" w:color="auto" w:sz="4" w:space="0"/>
              <w:right w:val="single" w:color="auto" w:sz="4" w:space="0"/>
            </w:tcBorders>
            <w:shd w:val="clear" w:color="auto" w:fill="FFFFFF" w:themeFill="background1"/>
            <w:vAlign w:val="center"/>
            <w:hideMark/>
          </w:tcPr>
          <w:p w:rsidRPr="00863C80" w:rsidR="00A22510" w:rsidP="00C935A8" w:rsidRDefault="00A22510" w14:paraId="755354FD"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-925</w:t>
            </w:r>
          </w:p>
        </w:tc>
        <w:tc>
          <w:tcPr>
            <w:tcW w:w="904"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18F066D9"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N/A</w:t>
            </w:r>
          </w:p>
        </w:tc>
        <w:tc>
          <w:tcPr>
            <w:tcW w:w="992"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59A64CE6"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-$296</w:t>
            </w:r>
          </w:p>
        </w:tc>
      </w:tr>
      <w:tr w:rsidRPr="00C31FCD" w:rsidR="00A22510" w:rsidTr="00C44E9B" w14:paraId="30739D6E" w14:textId="77777777">
        <w:trPr>
          <w:gridAfter w:val="1"/>
          <w:wAfter w:w="12" w:type="dxa"/>
          <w:jc w:val="center"/>
        </w:trPr>
        <w:tc>
          <w:tcPr>
            <w:tcW w:w="1162" w:type="dxa"/>
            <w:gridSpan w:val="2"/>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636F7A47" w14:textId="77777777">
            <w:pPr>
              <w:rPr>
                <w:rFonts w:ascii="Arial Narrow" w:hAnsi="Arial Narrow" w:eastAsia="Times New Roman" w:cs="Calibri"/>
                <w:color w:val="000000"/>
                <w:sz w:val="18"/>
                <w:szCs w:val="18"/>
              </w:rPr>
            </w:pPr>
          </w:p>
        </w:tc>
        <w:tc>
          <w:tcPr>
            <w:tcW w:w="1067" w:type="dxa"/>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46B2E4FD" w14:textId="77777777">
            <w:pPr>
              <w:rPr>
                <w:rFonts w:ascii="Arial Narrow" w:hAnsi="Arial Narrow" w:eastAsia="Times New Roman" w:cs="Calibri"/>
                <w:color w:val="000000"/>
                <w:sz w:val="18"/>
                <w:szCs w:val="18"/>
              </w:rPr>
            </w:pPr>
          </w:p>
        </w:tc>
        <w:tc>
          <w:tcPr>
            <w:tcW w:w="1066" w:type="dxa"/>
            <w:tcBorders>
              <w:top w:val="nil"/>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580786AA"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III</w:t>
            </w:r>
          </w:p>
        </w:tc>
        <w:tc>
          <w:tcPr>
            <w:tcW w:w="1357"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33C60FE9"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N/A</w:t>
            </w:r>
          </w:p>
        </w:tc>
        <w:tc>
          <w:tcPr>
            <w:tcW w:w="1063"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505D238D"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$0.37 </w:t>
            </w:r>
          </w:p>
        </w:tc>
        <w:tc>
          <w:tcPr>
            <w:tcW w:w="1378" w:type="dxa"/>
            <w:tcBorders>
              <w:top w:val="nil"/>
              <w:left w:val="nil"/>
              <w:bottom w:val="single" w:color="auto" w:sz="4" w:space="0"/>
              <w:right w:val="double" w:color="auto" w:sz="4" w:space="0"/>
            </w:tcBorders>
            <w:shd w:val="clear" w:color="auto" w:fill="auto"/>
            <w:vAlign w:val="center"/>
            <w:hideMark/>
          </w:tcPr>
          <w:p w:rsidRPr="004E5265" w:rsidR="00A22510" w:rsidP="00C935A8" w:rsidRDefault="00A22510" w14:paraId="2029C41F"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Full Chemical Reports</w:t>
            </w:r>
          </w:p>
        </w:tc>
        <w:tc>
          <w:tcPr>
            <w:tcW w:w="1079" w:type="dxa"/>
            <w:tcBorders>
              <w:top w:val="nil"/>
              <w:left w:val="double" w:color="auto" w:sz="4" w:space="0"/>
              <w:bottom w:val="single" w:color="auto" w:sz="4" w:space="0"/>
              <w:right w:val="single" w:color="auto" w:sz="4" w:space="0"/>
            </w:tcBorders>
            <w:shd w:val="clear" w:color="auto" w:fill="FFFFFF" w:themeFill="background1"/>
            <w:vAlign w:val="center"/>
            <w:hideMark/>
          </w:tcPr>
          <w:p w:rsidRPr="00863C80" w:rsidR="00A22510" w:rsidP="00C935A8" w:rsidRDefault="00A22510" w14:paraId="7D55A250"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-849</w:t>
            </w:r>
          </w:p>
        </w:tc>
        <w:tc>
          <w:tcPr>
            <w:tcW w:w="904"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5940DB16"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N/A</w:t>
            </w:r>
          </w:p>
        </w:tc>
        <w:tc>
          <w:tcPr>
            <w:tcW w:w="992"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2821B6E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-$314</w:t>
            </w:r>
          </w:p>
        </w:tc>
      </w:tr>
      <w:tr w:rsidRPr="00C31FCD" w:rsidR="00A22510" w:rsidTr="00C44E9B" w14:paraId="73D419C2" w14:textId="77777777">
        <w:trPr>
          <w:gridAfter w:val="1"/>
          <w:wAfter w:w="12" w:type="dxa"/>
          <w:jc w:val="center"/>
        </w:trPr>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5E6B5E0D" w14:textId="77777777">
            <w:pP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Quality Control</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5803F170"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 xml:space="preserve">EPA Program Staff </w:t>
            </w:r>
          </w:p>
        </w:tc>
        <w:tc>
          <w:tcPr>
            <w:tcW w:w="1066"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2A5231ED"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w:t>
            </w:r>
          </w:p>
        </w:tc>
        <w:tc>
          <w:tcPr>
            <w:tcW w:w="1357"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2E521B94" w14:textId="77777777">
            <w:pPr>
              <w:jc w:val="center"/>
              <w:rPr>
                <w:rFonts w:ascii="Arial Narrow" w:hAnsi="Arial Narrow" w:eastAsia="Times New Roman" w:cs="Calibri"/>
                <w:color w:val="000000" w:themeColor="text1"/>
                <w:sz w:val="18"/>
                <w:szCs w:val="18"/>
              </w:rPr>
            </w:pPr>
            <w:r w:rsidRPr="004E5265">
              <w:rPr>
                <w:rFonts w:ascii="Arial Narrow" w:hAnsi="Arial Narrow" w:eastAsia="Times New Roman" w:cs="Calibri"/>
                <w:color w:val="000000" w:themeColor="text1"/>
                <w:sz w:val="18"/>
                <w:szCs w:val="18"/>
              </w:rPr>
              <w:t>0.0019</w:t>
            </w:r>
          </w:p>
        </w:tc>
        <w:tc>
          <w:tcPr>
            <w:tcW w:w="1063"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1EF8C560"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$0.13 </w:t>
            </w:r>
          </w:p>
        </w:tc>
        <w:tc>
          <w:tcPr>
            <w:tcW w:w="1378" w:type="dxa"/>
            <w:tcBorders>
              <w:top w:val="nil"/>
              <w:left w:val="nil"/>
              <w:bottom w:val="single" w:color="auto" w:sz="4" w:space="0"/>
              <w:right w:val="double" w:color="auto" w:sz="4" w:space="0"/>
            </w:tcBorders>
            <w:shd w:val="clear" w:color="auto" w:fill="auto"/>
            <w:vAlign w:val="center"/>
            <w:hideMark/>
          </w:tcPr>
          <w:p w:rsidRPr="004E5265" w:rsidR="00A22510" w:rsidP="00C935A8" w:rsidRDefault="00A22510" w14:paraId="48B8A7BA"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Sites</w:t>
            </w:r>
          </w:p>
        </w:tc>
        <w:tc>
          <w:tcPr>
            <w:tcW w:w="1079" w:type="dxa"/>
            <w:tcBorders>
              <w:top w:val="nil"/>
              <w:left w:val="double" w:color="auto" w:sz="4" w:space="0"/>
              <w:bottom w:val="single" w:color="auto" w:sz="4" w:space="0"/>
              <w:right w:val="single" w:color="auto" w:sz="4" w:space="0"/>
            </w:tcBorders>
            <w:shd w:val="clear" w:color="auto" w:fill="FFFFFF" w:themeFill="background1"/>
            <w:vAlign w:val="center"/>
            <w:hideMark/>
          </w:tcPr>
          <w:p w:rsidRPr="00863C80" w:rsidR="00A22510" w:rsidP="00C935A8" w:rsidRDefault="00A22510" w14:paraId="6F0758B8"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-70</w:t>
            </w:r>
          </w:p>
        </w:tc>
        <w:tc>
          <w:tcPr>
            <w:tcW w:w="904"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07E375FF"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0</w:t>
            </w:r>
          </w:p>
        </w:tc>
        <w:tc>
          <w:tcPr>
            <w:tcW w:w="992"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3C326186"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-$9</w:t>
            </w:r>
          </w:p>
        </w:tc>
      </w:tr>
      <w:tr w:rsidRPr="00C31FCD" w:rsidR="00A22510" w:rsidTr="00C44E9B" w14:paraId="7BC3E2E0" w14:textId="77777777">
        <w:trPr>
          <w:gridAfter w:val="1"/>
          <w:wAfter w:w="12" w:type="dxa"/>
          <w:jc w:val="center"/>
        </w:trPr>
        <w:tc>
          <w:tcPr>
            <w:tcW w:w="1162" w:type="dxa"/>
            <w:gridSpan w:val="2"/>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2AED1DA4" w14:textId="77777777">
            <w:pPr>
              <w:rPr>
                <w:rFonts w:ascii="Arial Narrow" w:hAnsi="Arial Narrow" w:eastAsia="Times New Roman" w:cs="Calibri"/>
                <w:color w:val="000000"/>
                <w:sz w:val="18"/>
                <w:szCs w:val="18"/>
              </w:rPr>
            </w:pPr>
          </w:p>
        </w:tc>
        <w:tc>
          <w:tcPr>
            <w:tcW w:w="1067" w:type="dxa"/>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6596E149" w14:textId="77777777">
            <w:pPr>
              <w:rPr>
                <w:rFonts w:ascii="Arial Narrow" w:hAnsi="Arial Narrow" w:eastAsia="Times New Roman" w:cs="Calibri"/>
                <w:color w:val="000000"/>
                <w:sz w:val="18"/>
                <w:szCs w:val="18"/>
              </w:rPr>
            </w:pPr>
          </w:p>
        </w:tc>
        <w:tc>
          <w:tcPr>
            <w:tcW w:w="1066" w:type="dxa"/>
            <w:tcBorders>
              <w:top w:val="nil"/>
              <w:left w:val="single" w:color="auto" w:sz="4" w:space="0"/>
              <w:bottom w:val="single" w:color="auto" w:sz="4" w:space="0"/>
              <w:right w:val="single" w:color="auto" w:sz="4" w:space="0"/>
            </w:tcBorders>
            <w:shd w:val="clear" w:color="auto" w:fill="auto"/>
            <w:vAlign w:val="center"/>
            <w:hideMark/>
          </w:tcPr>
          <w:p w:rsidRPr="004E5265" w:rsidR="00A22510" w:rsidP="00C935A8" w:rsidRDefault="00A22510" w14:paraId="684D9D03"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II</w:t>
            </w:r>
          </w:p>
        </w:tc>
        <w:tc>
          <w:tcPr>
            <w:tcW w:w="1357"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048D60B9" w14:textId="77777777">
            <w:pPr>
              <w:jc w:val="center"/>
              <w:rPr>
                <w:rFonts w:ascii="Arial Narrow" w:hAnsi="Arial Narrow" w:eastAsia="Times New Roman" w:cs="Calibri"/>
                <w:color w:val="000000" w:themeColor="text1"/>
                <w:sz w:val="18"/>
                <w:szCs w:val="18"/>
              </w:rPr>
            </w:pPr>
            <w:r w:rsidRPr="004E5265">
              <w:rPr>
                <w:rFonts w:ascii="Arial Narrow" w:hAnsi="Arial Narrow" w:eastAsia="Times New Roman" w:cs="Calibri"/>
                <w:color w:val="000000" w:themeColor="text1"/>
                <w:sz w:val="18"/>
                <w:szCs w:val="18"/>
              </w:rPr>
              <w:t>0.0054</w:t>
            </w:r>
          </w:p>
        </w:tc>
        <w:tc>
          <w:tcPr>
            <w:tcW w:w="1063"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3EC44A83"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$0.36 </w:t>
            </w:r>
          </w:p>
        </w:tc>
        <w:tc>
          <w:tcPr>
            <w:tcW w:w="1378" w:type="dxa"/>
            <w:tcBorders>
              <w:top w:val="nil"/>
              <w:left w:val="nil"/>
              <w:bottom w:val="single" w:color="auto" w:sz="4" w:space="0"/>
              <w:right w:val="double" w:color="auto" w:sz="4" w:space="0"/>
            </w:tcBorders>
            <w:shd w:val="clear" w:color="auto" w:fill="auto"/>
            <w:vAlign w:val="center"/>
            <w:hideMark/>
          </w:tcPr>
          <w:p w:rsidRPr="004E5265" w:rsidR="00A22510" w:rsidP="00C935A8" w:rsidRDefault="00A22510" w14:paraId="0B6B4B00"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Full and Partial Chemical Reports</w:t>
            </w:r>
          </w:p>
        </w:tc>
        <w:tc>
          <w:tcPr>
            <w:tcW w:w="1079" w:type="dxa"/>
            <w:tcBorders>
              <w:top w:val="nil"/>
              <w:left w:val="double" w:color="auto" w:sz="4" w:space="0"/>
              <w:bottom w:val="single" w:color="auto" w:sz="4" w:space="0"/>
              <w:right w:val="single" w:color="auto" w:sz="4" w:space="0"/>
            </w:tcBorders>
            <w:shd w:val="clear" w:color="auto" w:fill="FFFFFF" w:themeFill="background1"/>
            <w:vAlign w:val="center"/>
            <w:hideMark/>
          </w:tcPr>
          <w:p w:rsidRPr="00863C80" w:rsidR="00A22510" w:rsidP="00C935A8" w:rsidRDefault="00A22510" w14:paraId="2E28F673"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-925</w:t>
            </w:r>
          </w:p>
        </w:tc>
        <w:tc>
          <w:tcPr>
            <w:tcW w:w="904" w:type="dxa"/>
            <w:tcBorders>
              <w:top w:val="nil"/>
              <w:left w:val="nil"/>
              <w:bottom w:val="single" w:color="auto" w:sz="4" w:space="0"/>
              <w:right w:val="single" w:color="auto" w:sz="4" w:space="0"/>
            </w:tcBorders>
            <w:shd w:val="clear" w:color="auto" w:fill="auto"/>
            <w:vAlign w:val="center"/>
            <w:hideMark/>
          </w:tcPr>
          <w:p w:rsidRPr="004E5265" w:rsidR="00A22510" w:rsidP="00C935A8" w:rsidRDefault="00A22510" w14:paraId="74835D23"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-5</w:t>
            </w:r>
          </w:p>
        </w:tc>
        <w:tc>
          <w:tcPr>
            <w:tcW w:w="992" w:type="dxa"/>
            <w:tcBorders>
              <w:top w:val="nil"/>
              <w:left w:val="nil"/>
              <w:bottom w:val="single" w:color="auto" w:sz="4" w:space="0"/>
              <w:right w:val="single" w:color="auto" w:sz="4" w:space="0"/>
            </w:tcBorders>
            <w:shd w:val="clear" w:color="auto" w:fill="FFFFFF" w:themeFill="background1"/>
            <w:vAlign w:val="center"/>
            <w:hideMark/>
          </w:tcPr>
          <w:p w:rsidRPr="004E5265" w:rsidR="00A22510" w:rsidP="00C935A8" w:rsidRDefault="00A22510" w14:paraId="6E98ECD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-$333</w:t>
            </w:r>
          </w:p>
        </w:tc>
      </w:tr>
      <w:tr w:rsidRPr="00C31FCD" w:rsidR="00A22510" w:rsidTr="00C44E9B" w14:paraId="00443212" w14:textId="77777777">
        <w:trPr>
          <w:gridAfter w:val="1"/>
          <w:wAfter w:w="12" w:type="dxa"/>
          <w:jc w:val="center"/>
        </w:trPr>
        <w:tc>
          <w:tcPr>
            <w:tcW w:w="1162" w:type="dxa"/>
            <w:gridSpan w:val="2"/>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24E3B0AD" w14:textId="77777777">
            <w:pPr>
              <w:rPr>
                <w:rFonts w:ascii="Arial Narrow" w:hAnsi="Arial Narrow" w:eastAsia="Times New Roman" w:cs="Calibri"/>
                <w:color w:val="000000"/>
                <w:sz w:val="18"/>
                <w:szCs w:val="18"/>
              </w:rPr>
            </w:pPr>
          </w:p>
        </w:tc>
        <w:tc>
          <w:tcPr>
            <w:tcW w:w="1067" w:type="dxa"/>
            <w:vMerge/>
            <w:tcBorders>
              <w:top w:val="single" w:color="auto" w:sz="4" w:space="0"/>
              <w:left w:val="single" w:color="auto" w:sz="4" w:space="0"/>
              <w:bottom w:val="single" w:color="auto" w:sz="4" w:space="0"/>
              <w:right w:val="single" w:color="auto" w:sz="4" w:space="0"/>
            </w:tcBorders>
            <w:vAlign w:val="center"/>
            <w:hideMark/>
          </w:tcPr>
          <w:p w:rsidRPr="004E5265" w:rsidR="00A22510" w:rsidP="00C935A8" w:rsidRDefault="00A22510" w14:paraId="4DFD95B8" w14:textId="77777777">
            <w:pPr>
              <w:rPr>
                <w:rFonts w:ascii="Arial Narrow" w:hAnsi="Arial Narrow" w:eastAsia="Times New Roman" w:cs="Calibri"/>
                <w:color w:val="000000"/>
                <w:sz w:val="18"/>
                <w:szCs w:val="18"/>
              </w:rPr>
            </w:pPr>
          </w:p>
        </w:tc>
        <w:tc>
          <w:tcPr>
            <w:tcW w:w="1066" w:type="dxa"/>
            <w:tcBorders>
              <w:top w:val="nil"/>
              <w:left w:val="single" w:color="auto" w:sz="4" w:space="0"/>
              <w:bottom w:val="single" w:color="auto" w:sz="12" w:space="0"/>
              <w:right w:val="single" w:color="auto" w:sz="4" w:space="0"/>
            </w:tcBorders>
            <w:shd w:val="clear" w:color="auto" w:fill="auto"/>
            <w:vAlign w:val="center"/>
            <w:hideMark/>
          </w:tcPr>
          <w:p w:rsidRPr="004E5265" w:rsidR="00A22510" w:rsidP="00C935A8" w:rsidRDefault="00A22510" w14:paraId="14658884"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Part III</w:t>
            </w:r>
          </w:p>
        </w:tc>
        <w:tc>
          <w:tcPr>
            <w:tcW w:w="1357" w:type="dxa"/>
            <w:tcBorders>
              <w:top w:val="nil"/>
              <w:left w:val="nil"/>
              <w:bottom w:val="single" w:color="auto" w:sz="12" w:space="0"/>
              <w:right w:val="single" w:color="auto" w:sz="4" w:space="0"/>
            </w:tcBorders>
            <w:shd w:val="clear" w:color="auto" w:fill="FFFFFF" w:themeFill="background1"/>
            <w:vAlign w:val="center"/>
            <w:hideMark/>
          </w:tcPr>
          <w:p w:rsidRPr="004E5265" w:rsidR="00A22510" w:rsidP="00C935A8" w:rsidRDefault="00A22510" w14:paraId="1632ED2C" w14:textId="77777777">
            <w:pPr>
              <w:jc w:val="center"/>
              <w:rPr>
                <w:rFonts w:ascii="Arial Narrow" w:hAnsi="Arial Narrow" w:eastAsia="Times New Roman" w:cs="Calibri"/>
                <w:color w:val="000000" w:themeColor="text1"/>
                <w:sz w:val="18"/>
                <w:szCs w:val="18"/>
              </w:rPr>
            </w:pPr>
            <w:r w:rsidRPr="004E5265">
              <w:rPr>
                <w:rFonts w:ascii="Arial Narrow" w:hAnsi="Arial Narrow" w:eastAsia="Times New Roman" w:cs="Calibri"/>
                <w:color w:val="000000" w:themeColor="text1"/>
                <w:sz w:val="18"/>
                <w:szCs w:val="18"/>
              </w:rPr>
              <w:t>0.0063</w:t>
            </w:r>
          </w:p>
        </w:tc>
        <w:tc>
          <w:tcPr>
            <w:tcW w:w="1063" w:type="dxa"/>
            <w:tcBorders>
              <w:top w:val="nil"/>
              <w:left w:val="nil"/>
              <w:bottom w:val="single" w:color="auto" w:sz="12" w:space="0"/>
              <w:right w:val="single" w:color="auto" w:sz="4" w:space="0"/>
            </w:tcBorders>
            <w:shd w:val="clear" w:color="auto" w:fill="auto"/>
            <w:vAlign w:val="center"/>
            <w:hideMark/>
          </w:tcPr>
          <w:p w:rsidRPr="004E5265" w:rsidR="00A22510" w:rsidP="00C935A8" w:rsidRDefault="00A22510" w14:paraId="3AC173D2" w14:textId="77777777">
            <w:pPr>
              <w:jc w:val="center"/>
              <w:rPr>
                <w:rFonts w:ascii="Arial Narrow" w:hAnsi="Arial Narrow" w:eastAsia="Times New Roman" w:cs="Calibri"/>
                <w:color w:val="000000"/>
                <w:sz w:val="18"/>
                <w:szCs w:val="18"/>
              </w:rPr>
            </w:pPr>
            <w:r>
              <w:rPr>
                <w:rFonts w:ascii="Arial Narrow" w:hAnsi="Arial Narrow" w:cs="Calibri"/>
                <w:color w:val="000000"/>
                <w:sz w:val="18"/>
                <w:szCs w:val="18"/>
              </w:rPr>
              <w:t xml:space="preserve">$0.42 </w:t>
            </w:r>
          </w:p>
        </w:tc>
        <w:tc>
          <w:tcPr>
            <w:tcW w:w="1378" w:type="dxa"/>
            <w:tcBorders>
              <w:top w:val="nil"/>
              <w:left w:val="nil"/>
              <w:bottom w:val="single" w:color="auto" w:sz="12" w:space="0"/>
              <w:right w:val="double" w:color="auto" w:sz="4" w:space="0"/>
            </w:tcBorders>
            <w:shd w:val="clear" w:color="auto" w:fill="auto"/>
            <w:vAlign w:val="center"/>
            <w:hideMark/>
          </w:tcPr>
          <w:p w:rsidRPr="004E5265" w:rsidR="00A22510" w:rsidP="00C935A8" w:rsidRDefault="00A22510" w14:paraId="2A851A07" w14:textId="77777777">
            <w:pPr>
              <w:jc w:val="cente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Full Chemical Reports</w:t>
            </w:r>
          </w:p>
        </w:tc>
        <w:tc>
          <w:tcPr>
            <w:tcW w:w="1079" w:type="dxa"/>
            <w:tcBorders>
              <w:top w:val="nil"/>
              <w:left w:val="double" w:color="auto" w:sz="4" w:space="0"/>
              <w:bottom w:val="single" w:color="auto" w:sz="12" w:space="0"/>
              <w:right w:val="single" w:color="auto" w:sz="4" w:space="0"/>
            </w:tcBorders>
            <w:shd w:val="clear" w:color="auto" w:fill="FFFFFF" w:themeFill="background1"/>
            <w:vAlign w:val="center"/>
            <w:hideMark/>
          </w:tcPr>
          <w:p w:rsidRPr="00863C80" w:rsidR="00A22510" w:rsidP="00C935A8" w:rsidRDefault="00A22510" w14:paraId="4F44571C" w14:textId="77777777">
            <w:pPr>
              <w:jc w:val="center"/>
              <w:rPr>
                <w:rFonts w:ascii="Arial Narrow" w:hAnsi="Arial Narrow" w:eastAsia="Times New Roman" w:cs="Calibri"/>
                <w:color w:val="000000" w:themeColor="text1"/>
                <w:sz w:val="18"/>
                <w:szCs w:val="18"/>
              </w:rPr>
            </w:pPr>
            <w:r>
              <w:rPr>
                <w:rFonts w:ascii="Arial Narrow" w:hAnsi="Arial Narrow" w:cs="Calibri"/>
                <w:color w:val="000000"/>
                <w:sz w:val="18"/>
                <w:szCs w:val="18"/>
              </w:rPr>
              <w:t>-849</w:t>
            </w:r>
          </w:p>
        </w:tc>
        <w:tc>
          <w:tcPr>
            <w:tcW w:w="904" w:type="dxa"/>
            <w:tcBorders>
              <w:top w:val="nil"/>
              <w:left w:val="nil"/>
              <w:bottom w:val="single" w:color="auto" w:sz="12" w:space="0"/>
              <w:right w:val="single" w:color="auto" w:sz="4" w:space="0"/>
            </w:tcBorders>
            <w:shd w:val="clear" w:color="auto" w:fill="auto"/>
            <w:vAlign w:val="center"/>
            <w:hideMark/>
          </w:tcPr>
          <w:p w:rsidRPr="004E5265" w:rsidR="00A22510" w:rsidP="00C935A8" w:rsidRDefault="00A22510" w14:paraId="0BCE9B7A"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-5</w:t>
            </w:r>
          </w:p>
        </w:tc>
        <w:tc>
          <w:tcPr>
            <w:tcW w:w="992" w:type="dxa"/>
            <w:tcBorders>
              <w:top w:val="nil"/>
              <w:left w:val="nil"/>
              <w:bottom w:val="single" w:color="auto" w:sz="12" w:space="0"/>
              <w:right w:val="single" w:color="auto" w:sz="4" w:space="0"/>
            </w:tcBorders>
            <w:shd w:val="clear" w:color="auto" w:fill="FFFFFF" w:themeFill="background1"/>
            <w:vAlign w:val="center"/>
            <w:hideMark/>
          </w:tcPr>
          <w:p w:rsidRPr="004E5265" w:rsidR="00A22510" w:rsidP="00C935A8" w:rsidRDefault="00A22510" w14:paraId="102F43A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-$357</w:t>
            </w:r>
          </w:p>
        </w:tc>
      </w:tr>
      <w:tr w:rsidRPr="00C31FCD" w:rsidR="00A22510" w:rsidTr="00C44E9B" w14:paraId="63844728" w14:textId="77777777">
        <w:trPr>
          <w:gridAfter w:val="1"/>
          <w:wAfter w:w="12" w:type="dxa"/>
          <w:jc w:val="center"/>
        </w:trPr>
        <w:tc>
          <w:tcPr>
            <w:tcW w:w="3295" w:type="dxa"/>
            <w:gridSpan w:val="4"/>
            <w:tcBorders>
              <w:top w:val="single" w:color="auto" w:sz="12" w:space="0"/>
              <w:left w:val="single" w:color="auto" w:sz="4" w:space="0"/>
              <w:bottom w:val="single" w:color="auto" w:sz="8" w:space="0"/>
            </w:tcBorders>
            <w:shd w:val="clear" w:color="auto" w:fill="auto"/>
            <w:vAlign w:val="center"/>
            <w:hideMark/>
          </w:tcPr>
          <w:p w:rsidRPr="004E5265" w:rsidR="00A22510" w:rsidP="00C935A8" w:rsidRDefault="00A22510" w14:paraId="5341976F" w14:textId="77777777">
            <w:pPr>
              <w:rPr>
                <w:rFonts w:ascii="Arial Narrow" w:hAnsi="Arial Narrow" w:eastAsia="Times New Roman" w:cs="Calibri"/>
                <w:b/>
                <w:bCs/>
                <w:color w:val="000000"/>
                <w:sz w:val="18"/>
                <w:szCs w:val="18"/>
              </w:rPr>
            </w:pPr>
            <w:r w:rsidRPr="004E5265">
              <w:rPr>
                <w:rFonts w:ascii="Arial Narrow" w:hAnsi="Arial Narrow" w:eastAsia="Times New Roman" w:cs="Calibri"/>
                <w:b/>
                <w:bCs/>
                <w:color w:val="000000"/>
                <w:sz w:val="18"/>
                <w:szCs w:val="18"/>
              </w:rPr>
              <w:t>Total Variable Burden and Cost</w:t>
            </w:r>
          </w:p>
        </w:tc>
        <w:tc>
          <w:tcPr>
            <w:tcW w:w="1357" w:type="dxa"/>
            <w:tcBorders>
              <w:top w:val="single" w:color="auto" w:sz="12" w:space="0"/>
              <w:bottom w:val="single" w:color="auto" w:sz="8" w:space="0"/>
            </w:tcBorders>
            <w:shd w:val="clear" w:color="auto" w:fill="auto"/>
            <w:vAlign w:val="center"/>
            <w:hideMark/>
          </w:tcPr>
          <w:p w:rsidRPr="004E5265" w:rsidR="00A22510" w:rsidP="00C935A8" w:rsidRDefault="00A22510" w14:paraId="165B4E53" w14:textId="77777777">
            <w:pP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themeColor="text1"/>
                <w:sz w:val="18"/>
                <w:szCs w:val="18"/>
              </w:rPr>
              <w:t> </w:t>
            </w:r>
          </w:p>
        </w:tc>
        <w:tc>
          <w:tcPr>
            <w:tcW w:w="1063" w:type="dxa"/>
            <w:tcBorders>
              <w:top w:val="single" w:color="auto" w:sz="12" w:space="0"/>
              <w:bottom w:val="single" w:color="auto" w:sz="8" w:space="0"/>
            </w:tcBorders>
            <w:shd w:val="clear" w:color="auto" w:fill="auto"/>
            <w:vAlign w:val="center"/>
            <w:hideMark/>
          </w:tcPr>
          <w:p w:rsidRPr="004E5265" w:rsidR="00A22510" w:rsidP="00C935A8" w:rsidRDefault="00A22510" w14:paraId="47D89594" w14:textId="77777777">
            <w:pP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themeColor="text1"/>
                <w:sz w:val="18"/>
                <w:szCs w:val="18"/>
              </w:rPr>
              <w:t> </w:t>
            </w:r>
          </w:p>
        </w:tc>
        <w:tc>
          <w:tcPr>
            <w:tcW w:w="1378" w:type="dxa"/>
            <w:tcBorders>
              <w:top w:val="single" w:color="auto" w:sz="12" w:space="0"/>
              <w:bottom w:val="single" w:color="auto" w:sz="8" w:space="0"/>
            </w:tcBorders>
            <w:shd w:val="clear" w:color="auto" w:fill="auto"/>
            <w:vAlign w:val="center"/>
            <w:hideMark/>
          </w:tcPr>
          <w:p w:rsidRPr="004E5265" w:rsidR="00A22510" w:rsidP="00C935A8" w:rsidRDefault="00A22510" w14:paraId="5AEF16EC" w14:textId="77777777">
            <w:pP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themeColor="text1"/>
                <w:sz w:val="18"/>
                <w:szCs w:val="18"/>
              </w:rPr>
              <w:t> </w:t>
            </w:r>
          </w:p>
        </w:tc>
        <w:tc>
          <w:tcPr>
            <w:tcW w:w="1079" w:type="dxa"/>
            <w:tcBorders>
              <w:top w:val="single" w:color="auto" w:sz="12" w:space="0"/>
              <w:bottom w:val="single" w:color="auto" w:sz="8" w:space="0"/>
              <w:right w:val="single" w:color="auto" w:sz="4" w:space="0"/>
            </w:tcBorders>
            <w:shd w:val="clear" w:color="auto" w:fill="auto"/>
            <w:vAlign w:val="center"/>
            <w:hideMark/>
          </w:tcPr>
          <w:p w:rsidRPr="004E5265" w:rsidR="00A22510" w:rsidP="00C935A8" w:rsidRDefault="00A22510" w14:paraId="214F3281" w14:textId="77777777">
            <w:pPr>
              <w:rPr>
                <w:rFonts w:ascii="Arial Narrow" w:hAnsi="Arial Narrow" w:eastAsia="Times New Roman" w:cs="Calibri"/>
                <w:b/>
                <w:bCs/>
                <w:color w:val="000000" w:themeColor="text1"/>
                <w:sz w:val="18"/>
                <w:szCs w:val="18"/>
              </w:rPr>
            </w:pPr>
            <w:r w:rsidRPr="004E5265">
              <w:rPr>
                <w:rFonts w:ascii="Arial Narrow" w:hAnsi="Arial Narrow" w:eastAsia="Times New Roman" w:cs="Calibri"/>
                <w:b/>
                <w:bCs/>
                <w:color w:val="000000" w:themeColor="text1"/>
                <w:sz w:val="18"/>
                <w:szCs w:val="18"/>
              </w:rPr>
              <w:t> </w:t>
            </w:r>
          </w:p>
        </w:tc>
        <w:tc>
          <w:tcPr>
            <w:tcW w:w="904" w:type="dxa"/>
            <w:tcBorders>
              <w:top w:val="single" w:color="auto" w:sz="12" w:space="0"/>
              <w:left w:val="single" w:color="auto" w:sz="4" w:space="0"/>
              <w:bottom w:val="single" w:color="auto" w:sz="8" w:space="0"/>
              <w:right w:val="single" w:color="auto" w:sz="4" w:space="0"/>
            </w:tcBorders>
            <w:shd w:val="clear" w:color="auto" w:fill="auto"/>
            <w:vAlign w:val="center"/>
            <w:hideMark/>
          </w:tcPr>
          <w:p w:rsidRPr="004E5265" w:rsidR="00A22510" w:rsidP="00C935A8" w:rsidRDefault="00A22510" w14:paraId="76513F60" w14:textId="77777777">
            <w:pPr>
              <w:jc w:val="right"/>
              <w:rPr>
                <w:rFonts w:ascii="Arial Narrow" w:hAnsi="Arial Narrow" w:eastAsia="Times New Roman" w:cs="Calibri"/>
                <w:b/>
                <w:bCs/>
                <w:color w:val="000000" w:themeColor="text1"/>
                <w:sz w:val="18"/>
                <w:szCs w:val="18"/>
              </w:rPr>
            </w:pPr>
            <w:r>
              <w:rPr>
                <w:rFonts w:ascii="Arial Narrow" w:hAnsi="Arial Narrow" w:cs="Calibri"/>
                <w:b/>
                <w:bCs/>
                <w:color w:val="000000"/>
                <w:sz w:val="18"/>
                <w:szCs w:val="18"/>
              </w:rPr>
              <w:t>-10</w:t>
            </w:r>
          </w:p>
        </w:tc>
        <w:tc>
          <w:tcPr>
            <w:tcW w:w="992" w:type="dxa"/>
            <w:tcBorders>
              <w:top w:val="single" w:color="auto" w:sz="12" w:space="0"/>
              <w:left w:val="single" w:color="auto" w:sz="4" w:space="0"/>
              <w:bottom w:val="single" w:color="auto" w:sz="8" w:space="0"/>
              <w:right w:val="single" w:color="auto" w:sz="8" w:space="0"/>
            </w:tcBorders>
            <w:shd w:val="clear" w:color="auto" w:fill="auto"/>
            <w:vAlign w:val="center"/>
            <w:hideMark/>
          </w:tcPr>
          <w:p w:rsidRPr="00FC1700" w:rsidR="00A22510" w:rsidP="00C935A8" w:rsidRDefault="00A22510" w14:paraId="25F92EC7" w14:textId="77777777">
            <w:pPr>
              <w:jc w:val="right"/>
              <w:rPr>
                <w:rFonts w:ascii="Arial Narrow" w:hAnsi="Arial Narrow" w:cs="Calibri"/>
                <w:b/>
                <w:bCs/>
                <w:color w:val="000000"/>
                <w:sz w:val="18"/>
                <w:szCs w:val="18"/>
              </w:rPr>
            </w:pPr>
            <w:r>
              <w:rPr>
                <w:rFonts w:ascii="Arial Narrow" w:hAnsi="Arial Narrow" w:cs="Calibri"/>
                <w:b/>
                <w:bCs/>
                <w:color w:val="000000"/>
                <w:sz w:val="18"/>
                <w:szCs w:val="18"/>
              </w:rPr>
              <w:t>-$1,317</w:t>
            </w:r>
          </w:p>
        </w:tc>
      </w:tr>
      <w:tr w:rsidRPr="00C31FCD" w:rsidR="00A22510" w:rsidTr="00C44E9B" w14:paraId="0391CAEF" w14:textId="77777777">
        <w:trPr>
          <w:gridAfter w:val="1"/>
          <w:wAfter w:w="12" w:type="dxa"/>
          <w:jc w:val="center"/>
        </w:trPr>
        <w:tc>
          <w:tcPr>
            <w:tcW w:w="10068" w:type="dxa"/>
            <w:gridSpan w:val="10"/>
            <w:tcBorders>
              <w:top w:val="single" w:color="auto" w:sz="8" w:space="0"/>
              <w:left w:val="single" w:color="auto" w:sz="4" w:space="0"/>
              <w:bottom w:val="nil"/>
              <w:right w:val="single" w:color="000000" w:themeColor="text1" w:sz="4" w:space="0"/>
            </w:tcBorders>
            <w:shd w:val="clear" w:color="auto" w:fill="auto"/>
            <w:vAlign w:val="bottom"/>
          </w:tcPr>
          <w:p w:rsidR="00A22510" w:rsidP="00C935A8" w:rsidRDefault="00A22510" w14:paraId="43E53BC6" w14:textId="77777777">
            <w:pPr>
              <w:rPr>
                <w:rFonts w:ascii="Arial Narrow" w:hAnsi="Arial Narrow" w:eastAsia="Times New Roman" w:cs="Calibri"/>
                <w:color w:val="000000"/>
                <w:sz w:val="18"/>
                <w:szCs w:val="18"/>
              </w:rPr>
            </w:pPr>
            <w:r w:rsidRPr="004E5265">
              <w:rPr>
                <w:rFonts w:ascii="Arial Narrow" w:hAnsi="Arial Narrow" w:eastAsia="Times New Roman" w:cs="Calibri"/>
                <w:color w:val="000000"/>
                <w:sz w:val="18"/>
                <w:szCs w:val="18"/>
              </w:rPr>
              <w:t>General Note:</w:t>
            </w:r>
          </w:p>
          <w:p w:rsidRPr="002210E9" w:rsidR="00311D2F" w:rsidP="002210E9" w:rsidRDefault="00311D2F" w14:paraId="64AAB294" w14:textId="5EE161E7">
            <w:pPr>
              <w:pStyle w:val="ListParagraph"/>
              <w:numPr>
                <w:ilvl w:val="0"/>
                <w:numId w:val="46"/>
              </w:numPr>
              <w:spacing w:before="20" w:after="20"/>
              <w:ind w:left="144" w:hanging="144"/>
              <w:rPr>
                <w:rFonts w:ascii="Arial Narrow" w:hAnsi="Arial Narrow"/>
                <w:sz w:val="18"/>
                <w:szCs w:val="18"/>
              </w:rPr>
            </w:pPr>
            <w:r>
              <w:rPr>
                <w:rFonts w:ascii="Arial Narrow" w:hAnsi="Arial Narrow"/>
                <w:sz w:val="18"/>
                <w:szCs w:val="18"/>
              </w:rPr>
              <w:t>This table uses the 2016 CDR Form U designations</w:t>
            </w:r>
            <w:r w:rsidR="002F6BF0">
              <w:rPr>
                <w:rFonts w:ascii="Arial Narrow" w:hAnsi="Arial Narrow"/>
                <w:sz w:val="18"/>
                <w:szCs w:val="18"/>
              </w:rPr>
              <w:t>. See Table 1 for crosswalk</w:t>
            </w:r>
            <w:r w:rsidR="00132F3D">
              <w:rPr>
                <w:rStyle w:val="CommentReference"/>
              </w:rPr>
              <w:t xml:space="preserve"> to the new Form U printout to be used for the 2020 CDR.</w:t>
            </w:r>
            <w:r w:rsidR="002F6BF0">
              <w:rPr>
                <w:rFonts w:ascii="Arial Narrow" w:hAnsi="Arial Narrow"/>
                <w:sz w:val="18"/>
                <w:szCs w:val="18"/>
              </w:rPr>
              <w:t xml:space="preserve"> </w:t>
            </w:r>
          </w:p>
        </w:tc>
      </w:tr>
      <w:tr w:rsidRPr="00B74F09" w:rsidR="00A22510" w:rsidTr="00C44E9B" w14:paraId="55F53D9E" w14:textId="77777777">
        <w:trPr>
          <w:gridAfter w:val="1"/>
          <w:wAfter w:w="12" w:type="dxa"/>
          <w:jc w:val="center"/>
        </w:trPr>
        <w:tc>
          <w:tcPr>
            <w:tcW w:w="10068" w:type="dxa"/>
            <w:gridSpan w:val="10"/>
            <w:tcBorders>
              <w:left w:val="single" w:color="auto" w:sz="4" w:space="0"/>
              <w:bottom w:val="nil"/>
              <w:right w:val="single" w:color="000000" w:themeColor="text1" w:sz="4" w:space="0"/>
            </w:tcBorders>
            <w:shd w:val="clear" w:color="auto" w:fill="auto"/>
            <w:vAlign w:val="bottom"/>
          </w:tcPr>
          <w:p w:rsidRPr="00B74F09" w:rsidR="00A22510" w:rsidP="00A22510" w:rsidRDefault="00A22510" w14:paraId="0B22ED46" w14:textId="77777777">
            <w:pPr>
              <w:pStyle w:val="ListParagraph"/>
              <w:numPr>
                <w:ilvl w:val="0"/>
                <w:numId w:val="32"/>
              </w:numPr>
              <w:ind w:left="144" w:hanging="144"/>
              <w:contextualSpacing w:val="0"/>
              <w:rPr>
                <w:rFonts w:ascii="Arial Narrow" w:hAnsi="Arial Narrow"/>
                <w:sz w:val="18"/>
                <w:szCs w:val="18"/>
              </w:rPr>
            </w:pPr>
            <w:r w:rsidRPr="00B74F09">
              <w:rPr>
                <w:rFonts w:ascii="Arial Narrow" w:hAnsi="Arial Narrow"/>
                <w:sz w:val="18"/>
                <w:szCs w:val="18"/>
              </w:rPr>
              <w:t>For ease of presentation, change in number of CDX registrations is assumed to be negligible.</w:t>
            </w:r>
          </w:p>
        </w:tc>
      </w:tr>
      <w:tr w:rsidRPr="00B74F09" w:rsidR="00A22510" w:rsidTr="00C44E9B" w14:paraId="71F805F5" w14:textId="77777777">
        <w:trPr>
          <w:gridAfter w:val="1"/>
          <w:wAfter w:w="12" w:type="dxa"/>
          <w:jc w:val="center"/>
        </w:trPr>
        <w:tc>
          <w:tcPr>
            <w:tcW w:w="10068" w:type="dxa"/>
            <w:gridSpan w:val="10"/>
            <w:tcBorders>
              <w:left w:val="single" w:color="auto" w:sz="4" w:space="0"/>
              <w:right w:val="single" w:color="000000" w:themeColor="text1" w:sz="4" w:space="0"/>
            </w:tcBorders>
            <w:shd w:val="clear" w:color="auto" w:fill="auto"/>
            <w:hideMark/>
          </w:tcPr>
          <w:p w:rsidRPr="00B74F09" w:rsidR="00A22510" w:rsidP="00C935A8" w:rsidRDefault="00A22510" w14:paraId="3C49B02A" w14:textId="77777777">
            <w:pPr>
              <w:rPr>
                <w:rFonts w:ascii="Arial Narrow" w:hAnsi="Arial Narrow" w:eastAsia="Times New Roman" w:cs="Calibri"/>
                <w:color w:val="000000"/>
                <w:sz w:val="18"/>
                <w:szCs w:val="18"/>
              </w:rPr>
            </w:pPr>
            <w:r w:rsidRPr="00B74F09">
              <w:rPr>
                <w:rFonts w:ascii="Arial Narrow" w:hAnsi="Arial Narrow" w:eastAsia="Times New Roman" w:cs="Calibri"/>
                <w:color w:val="000000"/>
                <w:sz w:val="18"/>
                <w:szCs w:val="18"/>
              </w:rPr>
              <w:t>Footnote:</w:t>
            </w:r>
          </w:p>
        </w:tc>
      </w:tr>
      <w:tr w:rsidRPr="00C31FCD" w:rsidR="00A22510" w:rsidTr="00C44E9B" w14:paraId="55E4E421" w14:textId="77777777">
        <w:trPr>
          <w:jc w:val="center"/>
        </w:trPr>
        <w:tc>
          <w:tcPr>
            <w:tcW w:w="275" w:type="dxa"/>
            <w:tcBorders>
              <w:top w:val="nil"/>
              <w:left w:val="single" w:color="auto" w:sz="4" w:space="0"/>
              <w:bottom w:val="single" w:color="auto" w:sz="4" w:space="0"/>
              <w:right w:val="nil"/>
            </w:tcBorders>
            <w:shd w:val="clear" w:color="auto" w:fill="auto"/>
            <w:hideMark/>
          </w:tcPr>
          <w:p w:rsidRPr="00B74F09" w:rsidR="00A22510" w:rsidP="00C935A8" w:rsidRDefault="00A22510" w14:paraId="53098BE0" w14:textId="77777777">
            <w:pPr>
              <w:rPr>
                <w:rFonts w:ascii="Arial Narrow" w:hAnsi="Arial Narrow" w:eastAsia="Times New Roman" w:cs="Calibri"/>
                <w:color w:val="000000" w:themeColor="text1"/>
                <w:sz w:val="18"/>
                <w:szCs w:val="18"/>
              </w:rPr>
            </w:pPr>
            <w:r w:rsidRPr="00B74F09">
              <w:rPr>
                <w:rFonts w:ascii="Arial Narrow" w:hAnsi="Arial Narrow" w:eastAsia="Times New Roman" w:cs="Calibri"/>
                <w:color w:val="000000" w:themeColor="text1"/>
                <w:sz w:val="18"/>
                <w:szCs w:val="18"/>
                <w:vertAlign w:val="superscript"/>
              </w:rPr>
              <w:t>1</w:t>
            </w:r>
          </w:p>
        </w:tc>
        <w:tc>
          <w:tcPr>
            <w:tcW w:w="9805" w:type="dxa"/>
            <w:gridSpan w:val="10"/>
            <w:tcBorders>
              <w:top w:val="nil"/>
              <w:left w:val="nil"/>
              <w:bottom w:val="single" w:color="auto" w:sz="4" w:space="0"/>
              <w:right w:val="single" w:color="000000" w:themeColor="text1" w:sz="4" w:space="0"/>
            </w:tcBorders>
            <w:shd w:val="clear" w:color="auto" w:fill="auto"/>
            <w:hideMark/>
          </w:tcPr>
          <w:p w:rsidRPr="00B74F09" w:rsidR="00A22510" w:rsidP="00C935A8" w:rsidRDefault="00A22510" w14:paraId="30480497" w14:textId="472B4399">
            <w:pPr>
              <w:ind w:left="-98"/>
              <w:rPr>
                <w:rFonts w:ascii="Arial Narrow" w:hAnsi="Arial Narrow" w:eastAsia="Times New Roman" w:cs="Calibri"/>
                <w:color w:val="000000"/>
                <w:sz w:val="18"/>
                <w:szCs w:val="18"/>
              </w:rPr>
            </w:pPr>
            <w:r w:rsidRPr="00B74F09">
              <w:rPr>
                <w:rFonts w:ascii="Arial Narrow" w:hAnsi="Arial Narrow" w:eastAsia="Times New Roman" w:cs="Calibri"/>
                <w:color w:val="000000"/>
                <w:sz w:val="18"/>
                <w:szCs w:val="18"/>
              </w:rPr>
              <w:t xml:space="preserve">Based on Labor </w:t>
            </w:r>
            <w:r w:rsidRPr="0058718E">
              <w:rPr>
                <w:rFonts w:ascii="Arial Narrow" w:hAnsi="Arial Narrow" w:eastAsia="Times New Roman" w:cs="Calibri"/>
                <w:color w:val="000000"/>
                <w:sz w:val="18"/>
                <w:szCs w:val="18"/>
              </w:rPr>
              <w:t>rates (see</w:t>
            </w:r>
            <w:r w:rsidR="00F41F65">
              <w:rPr>
                <w:rFonts w:ascii="Arial Narrow" w:hAnsi="Arial Narrow" w:eastAsia="Times New Roman" w:cs="Calibri"/>
                <w:color w:val="000000"/>
                <w:sz w:val="18"/>
                <w:szCs w:val="18"/>
              </w:rPr>
              <w:t xml:space="preserve"> </w:t>
            </w:r>
            <w:r w:rsidR="00F41F65">
              <w:rPr>
                <w:rFonts w:ascii="Arial Narrow" w:hAnsi="Arial Narrow" w:eastAsia="Times New Roman" w:cs="Calibri"/>
                <w:color w:val="000000"/>
                <w:sz w:val="18"/>
                <w:szCs w:val="18"/>
              </w:rPr>
              <w:fldChar w:fldCharType="begin"/>
            </w:r>
            <w:r w:rsidR="00F41F65">
              <w:rPr>
                <w:rFonts w:ascii="Arial Narrow" w:hAnsi="Arial Narrow" w:eastAsia="Times New Roman" w:cs="Calibri"/>
                <w:color w:val="000000"/>
                <w:sz w:val="18"/>
                <w:szCs w:val="18"/>
              </w:rPr>
              <w:instrText xml:space="preserve"> REF _Ref33098931 \h  \* MERGEFORMAT </w:instrText>
            </w:r>
            <w:r w:rsidR="00F41F65">
              <w:rPr>
                <w:rFonts w:ascii="Arial Narrow" w:hAnsi="Arial Narrow" w:eastAsia="Times New Roman" w:cs="Calibri"/>
                <w:color w:val="000000"/>
                <w:sz w:val="18"/>
                <w:szCs w:val="18"/>
              </w:rPr>
            </w:r>
            <w:r w:rsidR="00F41F65">
              <w:rPr>
                <w:rFonts w:ascii="Arial Narrow" w:hAnsi="Arial Narrow" w:eastAsia="Times New Roman" w:cs="Calibri"/>
                <w:color w:val="000000"/>
                <w:sz w:val="18"/>
                <w:szCs w:val="18"/>
              </w:rPr>
              <w:fldChar w:fldCharType="separate"/>
            </w:r>
            <w:r w:rsidRPr="00821559" w:rsidR="00EC4095">
              <w:rPr>
                <w:rFonts w:ascii="Arial Narrow" w:hAnsi="Arial Narrow" w:eastAsia="Times New Roman" w:cs="Calibri"/>
                <w:color w:val="000000"/>
                <w:sz w:val="18"/>
                <w:szCs w:val="18"/>
              </w:rPr>
              <w:t>Table A- 1</w:t>
            </w:r>
            <w:r w:rsidR="00F41F65">
              <w:rPr>
                <w:rFonts w:ascii="Arial Narrow" w:hAnsi="Arial Narrow" w:eastAsia="Times New Roman" w:cs="Calibri"/>
                <w:color w:val="000000"/>
                <w:sz w:val="18"/>
                <w:szCs w:val="18"/>
              </w:rPr>
              <w:fldChar w:fldCharType="end"/>
            </w:r>
            <w:r w:rsidR="00935355">
              <w:rPr>
                <w:rFonts w:ascii="Arial Narrow" w:hAnsi="Arial Narrow" w:eastAsia="Times New Roman" w:cs="Calibri"/>
                <w:color w:val="000000"/>
                <w:sz w:val="18"/>
                <w:szCs w:val="18"/>
              </w:rPr>
              <w:t>)</w:t>
            </w:r>
            <w:r w:rsidRPr="0058718E">
              <w:rPr>
                <w:rFonts w:ascii="Arial Narrow" w:hAnsi="Arial Narrow" w:eastAsia="Times New Roman" w:cs="Calibri"/>
                <w:color w:val="000000"/>
                <w:sz w:val="18"/>
                <w:szCs w:val="18"/>
              </w:rPr>
              <w:t xml:space="preserve"> for Program</w:t>
            </w:r>
            <w:r w:rsidRPr="00B74F09">
              <w:rPr>
                <w:rFonts w:ascii="Arial Narrow" w:hAnsi="Arial Narrow" w:eastAsia="Times New Roman" w:cs="Calibri"/>
                <w:color w:val="000000"/>
                <w:sz w:val="18"/>
                <w:szCs w:val="18"/>
              </w:rPr>
              <w:t xml:space="preserve"> Staff GS12 Step 3; for IT Staff GS13, Step 3.</w:t>
            </w:r>
          </w:p>
        </w:tc>
      </w:tr>
    </w:tbl>
    <w:p w:rsidR="00A22510" w:rsidP="00A22510" w:rsidRDefault="00A22510" w14:paraId="4910A692" w14:textId="77777777">
      <w:pPr>
        <w:pStyle w:val="BodyText"/>
        <w:spacing w:after="200"/>
      </w:pPr>
    </w:p>
    <w:p w:rsidR="00820169" w:rsidP="00955C62" w:rsidRDefault="00820169" w14:paraId="3417236B" w14:textId="77777777">
      <w:pPr>
        <w:pStyle w:val="NoSpacing"/>
        <w:sectPr w:rsidR="00820169" w:rsidSect="002B34A0">
          <w:headerReference w:type="default" r:id="rId18"/>
          <w:footerReference w:type="default" r:id="rId19"/>
          <w:pgSz w:w="12240" w:h="15840"/>
          <w:pgMar w:top="1080" w:right="1080" w:bottom="1080" w:left="1080" w:header="720" w:footer="720" w:gutter="0"/>
          <w:cols w:space="720"/>
          <w:docGrid w:linePitch="360"/>
        </w:sectPr>
      </w:pPr>
    </w:p>
    <w:p w:rsidRPr="00955C62" w:rsidR="00955C62" w:rsidP="00820169" w:rsidRDefault="00955C62" w14:paraId="1CC0A606" w14:textId="31483E1C">
      <w:pPr>
        <w:pStyle w:val="Heading7"/>
      </w:pPr>
      <w:bookmarkStart w:name="_Toc34984679" w:id="116"/>
      <w:r w:rsidRPr="00955C62">
        <w:lastRenderedPageBreak/>
        <w:t>Estimating Respondent Cost</w:t>
      </w:r>
      <w:bookmarkEnd w:id="116"/>
    </w:p>
    <w:p w:rsidRPr="003E03CF" w:rsidR="00955C62" w:rsidP="00955C62" w:rsidRDefault="00955C62" w14:paraId="25ADFAFD" w14:textId="49D67276">
      <w:pPr>
        <w:pStyle w:val="BodyText"/>
      </w:pPr>
      <w:r w:rsidRPr="003C2620">
        <w:t>Wage rates for managerial, technical, and clerical labor are derived an</w:t>
      </w:r>
      <w:r>
        <w:t>d presented in</w:t>
      </w:r>
      <w:r w:rsidR="001D2438">
        <w:t xml:space="preserve"> </w:t>
      </w:r>
      <w:r w:rsidR="001D2438">
        <w:fldChar w:fldCharType="begin"/>
      </w:r>
      <w:r w:rsidR="001D2438">
        <w:instrText xml:space="preserve"> REF _Ref24463307 \h </w:instrText>
      </w:r>
      <w:r w:rsidR="001D2438">
        <w:fldChar w:fldCharType="separate"/>
      </w:r>
      <w:r w:rsidR="00EC4095">
        <w:t xml:space="preserve">Table </w:t>
      </w:r>
      <w:r w:rsidR="00EC4095">
        <w:rPr>
          <w:noProof/>
        </w:rPr>
        <w:t>B</w:t>
      </w:r>
      <w:r w:rsidR="00EC4095">
        <w:noBreakHyphen/>
      </w:r>
      <w:r w:rsidR="00EC4095">
        <w:rPr>
          <w:noProof/>
        </w:rPr>
        <w:t>1</w:t>
      </w:r>
      <w:r w:rsidR="001D2438">
        <w:fldChar w:fldCharType="end"/>
      </w:r>
      <w:r>
        <w:t xml:space="preserve">. </w:t>
      </w:r>
      <w:r w:rsidRPr="003E03CF">
        <w:t xml:space="preserve">As a simplification and for purposes of ease of presentation, personnel at government-owned reporting sites are assumed to have the same wage rate as the equivalent industry personnel. This section describes the industry wage data used to develop </w:t>
      </w:r>
      <w:r>
        <w:t xml:space="preserve">reporting burden </w:t>
      </w:r>
      <w:r w:rsidRPr="003E03CF">
        <w:t>estimates</w:t>
      </w:r>
      <w:r>
        <w:t xml:space="preserve">. </w:t>
      </w:r>
    </w:p>
    <w:p w:rsidR="00955C62" w:rsidP="00955C62" w:rsidRDefault="00955C62" w14:paraId="1E828857" w14:textId="77777777">
      <w:pPr>
        <w:pStyle w:val="BodyText"/>
        <w:rPr>
          <w:i/>
          <w:iCs/>
        </w:rPr>
      </w:pPr>
      <w:r w:rsidRPr="003E03CF">
        <w:t xml:space="preserve">Standard wage rates for managerial, technical, and clerical levels </w:t>
      </w:r>
      <w:r>
        <w:t>are</w:t>
      </w:r>
      <w:r w:rsidRPr="003E03CF">
        <w:t xml:space="preserve"> developed from information published by the Bureau of Labor Statistics (BLS) and a method outlined in the document </w:t>
      </w:r>
      <w:r w:rsidRPr="003E03CF">
        <w:rPr>
          <w:i/>
          <w:iCs/>
        </w:rPr>
        <w:t xml:space="preserve">Wage Rates for Economic Analyses of the Toxics Release Inventory Program </w:t>
      </w:r>
      <w:r w:rsidRPr="003E03CF">
        <w:t>(</w:t>
      </w:r>
      <w:r>
        <w:t>Rice</w:t>
      </w:r>
      <w:r w:rsidRPr="003E03CF">
        <w:t>, 2002). Average wage data for the three major occupational groups are published quarterly by the BLS in the Employer Costs for Employer Compensation (ECEC) reports</w:t>
      </w:r>
      <w:r>
        <w:t xml:space="preserve"> (per </w:t>
      </w:r>
      <w:r w:rsidRPr="003E03CF">
        <w:rPr>
          <w:i/>
          <w:iCs/>
        </w:rPr>
        <w:t xml:space="preserve">Employer Costs for Employee Compensation Supplementary Tables: December 2006 – </w:t>
      </w:r>
      <w:r>
        <w:rPr>
          <w:i/>
          <w:iCs/>
        </w:rPr>
        <w:t>June</w:t>
      </w:r>
      <w:r w:rsidRPr="003E03CF">
        <w:rPr>
          <w:i/>
          <w:iCs/>
        </w:rPr>
        <w:t xml:space="preserve"> 201</w:t>
      </w:r>
      <w:r>
        <w:rPr>
          <w:i/>
          <w:iCs/>
        </w:rPr>
        <w:t>9</w:t>
      </w:r>
      <w:r w:rsidRPr="003E03CF">
        <w:rPr>
          <w:i/>
          <w:iCs/>
        </w:rPr>
        <w:t xml:space="preserve"> </w:t>
      </w:r>
      <w:r w:rsidRPr="003E03CF">
        <w:rPr>
          <w:iCs/>
        </w:rPr>
        <w:t>(</w:t>
      </w:r>
      <w:r>
        <w:rPr>
          <w:iCs/>
        </w:rPr>
        <w:t>BLS</w:t>
      </w:r>
      <w:r w:rsidRPr="003E03CF">
        <w:rPr>
          <w:iCs/>
        </w:rPr>
        <w:t>, 201</w:t>
      </w:r>
      <w:r>
        <w:rPr>
          <w:iCs/>
        </w:rPr>
        <w:t>9a)</w:t>
      </w:r>
      <w:r w:rsidRPr="003E03CF">
        <w:rPr>
          <w:iCs/>
        </w:rPr>
        <w:t>)</w:t>
      </w:r>
      <w:r w:rsidRPr="003E03CF">
        <w:rPr>
          <w:i/>
          <w:iCs/>
        </w:rPr>
        <w:t>.</w:t>
      </w:r>
    </w:p>
    <w:p w:rsidR="00955C62" w:rsidP="00955C62" w:rsidRDefault="00955C62" w14:paraId="10B52F93" w14:textId="759793B7">
      <w:pPr>
        <w:pStyle w:val="BodyText"/>
        <w:rPr>
          <w:szCs w:val="24"/>
        </w:rPr>
      </w:pPr>
      <w:r w:rsidRPr="003E03CF">
        <w:t xml:space="preserve">Fringe benefits costs, such as health insurance and vacation for each labor category are taken from the same ECEC series. Following the methodology outlined in </w:t>
      </w:r>
      <w:r>
        <w:t>Rice (2002)</w:t>
      </w:r>
      <w:r w:rsidRPr="003E03CF">
        <w:t>, fringe benefits are calculated as a percentage of total wages for each category. An additional 17</w:t>
      </w:r>
      <w:r>
        <w:t>%</w:t>
      </w:r>
      <w:r w:rsidRPr="003E03CF">
        <w:t xml:space="preserve"> is added to the wages in each category to account for overhead, based on information provided by the chemical industry and chemical industry trade associations in the </w:t>
      </w:r>
      <w:r w:rsidRPr="003E03CF">
        <w:rPr>
          <w:i/>
          <w:iCs/>
        </w:rPr>
        <w:t xml:space="preserve">Revised Economic Analysis for the Amended Inventory Update Rule: Final Report </w:t>
      </w:r>
      <w:r w:rsidRPr="003E03CF">
        <w:t>(EPA, 2002). The wages for each of the three categories are then multiplied by benefits and overhead factors to estimate loaded, annual salaries in 201</w:t>
      </w:r>
      <w:r>
        <w:t>8</w:t>
      </w:r>
      <w:r w:rsidRPr="003E03CF">
        <w:t xml:space="preserve"> dollars. </w:t>
      </w:r>
      <w:r w:rsidR="00300F0C">
        <w:fldChar w:fldCharType="begin"/>
      </w:r>
      <w:r w:rsidR="00300F0C">
        <w:instrText xml:space="preserve"> REF _Ref24463307 \h </w:instrText>
      </w:r>
      <w:r w:rsidR="00300F0C">
        <w:fldChar w:fldCharType="separate"/>
      </w:r>
      <w:r w:rsidR="00EC4095">
        <w:t xml:space="preserve">Table </w:t>
      </w:r>
      <w:r w:rsidR="00EC4095">
        <w:rPr>
          <w:noProof/>
        </w:rPr>
        <w:t>B</w:t>
      </w:r>
      <w:r w:rsidR="00EC4095">
        <w:noBreakHyphen/>
      </w:r>
      <w:r w:rsidR="00EC4095">
        <w:rPr>
          <w:noProof/>
        </w:rPr>
        <w:t>1</w:t>
      </w:r>
      <w:r w:rsidR="00300F0C">
        <w:fldChar w:fldCharType="end"/>
      </w:r>
      <w:r>
        <w:t xml:space="preserve"> </w:t>
      </w:r>
      <w:r w:rsidRPr="003E03CF">
        <w:t xml:space="preserve">contains the loaded wage rates for the managerial, </w:t>
      </w:r>
      <w:r w:rsidRPr="00F64D94">
        <w:rPr>
          <w:szCs w:val="24"/>
        </w:rPr>
        <w:t>technical and clerical occupation categories.</w:t>
      </w:r>
    </w:p>
    <w:p w:rsidRPr="00300F0C" w:rsidR="00F64D94" w:rsidP="00300F0C" w:rsidRDefault="00F64D94" w14:paraId="72093DF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269"/>
        <w:gridCol w:w="2028"/>
        <w:gridCol w:w="782"/>
        <w:gridCol w:w="865"/>
        <w:gridCol w:w="873"/>
        <w:gridCol w:w="1066"/>
        <w:gridCol w:w="873"/>
        <w:gridCol w:w="1262"/>
        <w:gridCol w:w="1062"/>
      </w:tblGrid>
      <w:tr w:rsidRPr="00F64D94" w:rsidR="00F64D94" w:rsidTr="00F64D94" w14:paraId="129C140F" w14:textId="77777777">
        <w:trPr>
          <w:tblHeader/>
          <w:jc w:val="center"/>
        </w:trPr>
        <w:tc>
          <w:tcPr>
            <w:tcW w:w="5000" w:type="pct"/>
            <w:gridSpan w:val="9"/>
            <w:tcBorders>
              <w:top w:val="nil"/>
              <w:left w:val="nil"/>
              <w:right w:val="nil"/>
            </w:tcBorders>
            <w:shd w:val="clear" w:color="auto" w:fill="auto"/>
            <w:vAlign w:val="center"/>
          </w:tcPr>
          <w:p w:rsidRPr="00F64D94" w:rsidR="00955C62" w:rsidP="00F64D94" w:rsidRDefault="00300F0C" w14:paraId="11EED633" w14:textId="64333163">
            <w:pPr>
              <w:pStyle w:val="Caption"/>
              <w:rPr>
                <w:szCs w:val="24"/>
              </w:rPr>
            </w:pPr>
            <w:bookmarkStart w:name="_Ref24463307" w:id="117"/>
            <w:bookmarkStart w:name="_Toc24464130" w:id="118"/>
            <w:r>
              <w:t xml:space="preserve">Table </w:t>
            </w:r>
            <w:r>
              <w:fldChar w:fldCharType="begin"/>
            </w:r>
            <w:r>
              <w:instrText>STYLEREF 7 \s</w:instrText>
            </w:r>
            <w:r>
              <w:fldChar w:fldCharType="separate"/>
            </w:r>
            <w:r w:rsidR="00EC4095">
              <w:rPr>
                <w:noProof/>
              </w:rPr>
              <w:t>B</w:t>
            </w:r>
            <w:r>
              <w:fldChar w:fldCharType="end"/>
            </w:r>
            <w:r w:rsidR="004E2306">
              <w:noBreakHyphen/>
            </w:r>
            <w:r>
              <w:fldChar w:fldCharType="begin"/>
            </w:r>
            <w:r>
              <w:instrText>SEQ Table_Apx \* ARABIC \s 7</w:instrText>
            </w:r>
            <w:r>
              <w:fldChar w:fldCharType="separate"/>
            </w:r>
            <w:r w:rsidR="00EC4095">
              <w:rPr>
                <w:noProof/>
              </w:rPr>
              <w:t>1</w:t>
            </w:r>
            <w:r>
              <w:fldChar w:fldCharType="end"/>
            </w:r>
            <w:bookmarkEnd w:id="117"/>
            <w:r w:rsidRPr="00F64D94" w:rsidR="00955C62">
              <w:rPr>
                <w:szCs w:val="24"/>
              </w:rPr>
              <w:t>: Reporter Wage Rates (2018$)</w:t>
            </w:r>
            <w:bookmarkEnd w:id="118"/>
          </w:p>
        </w:tc>
      </w:tr>
      <w:tr w:rsidRPr="003E03CF" w:rsidR="00955C62" w:rsidTr="00F64D94" w14:paraId="327BFD4E" w14:textId="77777777">
        <w:trPr>
          <w:tblHeader/>
          <w:jc w:val="center"/>
        </w:trPr>
        <w:tc>
          <w:tcPr>
            <w:tcW w:w="629" w:type="pct"/>
            <w:vMerge w:val="restart"/>
            <w:shd w:val="clear" w:color="auto" w:fill="BFBFBF" w:themeFill="background1" w:themeFillShade="BF"/>
            <w:vAlign w:val="bottom"/>
            <w:hideMark/>
          </w:tcPr>
          <w:p w:rsidRPr="003E03CF" w:rsidR="00955C62" w:rsidP="00F64D94" w:rsidRDefault="00955C62" w14:paraId="08BA3967" w14:textId="77777777">
            <w:pPr>
              <w:jc w:val="center"/>
              <w:rPr>
                <w:rFonts w:ascii="Arial Narrow" w:hAnsi="Arial Narrow"/>
                <w:b/>
                <w:sz w:val="18"/>
              </w:rPr>
            </w:pPr>
            <w:r w:rsidRPr="003E03CF">
              <w:rPr>
                <w:rFonts w:ascii="Arial Narrow" w:hAnsi="Arial Narrow"/>
                <w:b/>
                <w:sz w:val="18"/>
              </w:rPr>
              <w:t>Labor Category</w:t>
            </w:r>
          </w:p>
        </w:tc>
        <w:tc>
          <w:tcPr>
            <w:tcW w:w="1006" w:type="pct"/>
            <w:vMerge w:val="restart"/>
            <w:shd w:val="clear" w:color="auto" w:fill="BFBFBF" w:themeFill="background1" w:themeFillShade="BF"/>
            <w:vAlign w:val="bottom"/>
            <w:hideMark/>
          </w:tcPr>
          <w:p w:rsidRPr="003E03CF" w:rsidR="00955C62" w:rsidP="00F64D94" w:rsidRDefault="00955C62" w14:paraId="6B38CF80" w14:textId="77777777">
            <w:pPr>
              <w:jc w:val="center"/>
              <w:rPr>
                <w:rFonts w:ascii="Arial Narrow" w:hAnsi="Arial Narrow"/>
                <w:b/>
                <w:sz w:val="18"/>
              </w:rPr>
            </w:pPr>
            <w:r w:rsidRPr="003E03CF">
              <w:rPr>
                <w:rFonts w:ascii="Arial Narrow" w:hAnsi="Arial Narrow"/>
                <w:b/>
                <w:sz w:val="18"/>
              </w:rPr>
              <w:t>Data Series</w:t>
            </w:r>
            <w:r w:rsidRPr="003E03CF">
              <w:rPr>
                <w:rFonts w:ascii="Arial Narrow" w:hAnsi="Arial Narrow"/>
                <w:b/>
                <w:sz w:val="18"/>
                <w:vertAlign w:val="superscript"/>
              </w:rPr>
              <w:t xml:space="preserve"> 1</w:t>
            </w:r>
          </w:p>
        </w:tc>
        <w:tc>
          <w:tcPr>
            <w:tcW w:w="388" w:type="pct"/>
            <w:vMerge w:val="restart"/>
            <w:shd w:val="clear" w:color="auto" w:fill="BFBFBF" w:themeFill="background1" w:themeFillShade="BF"/>
            <w:vAlign w:val="bottom"/>
            <w:hideMark/>
          </w:tcPr>
          <w:p w:rsidRPr="003E03CF" w:rsidR="00955C62" w:rsidP="00F64D94" w:rsidRDefault="00955C62" w14:paraId="7D7D4C58" w14:textId="77777777">
            <w:pPr>
              <w:jc w:val="center"/>
              <w:rPr>
                <w:rFonts w:ascii="Arial Narrow" w:hAnsi="Arial Narrow"/>
                <w:b/>
                <w:sz w:val="18"/>
              </w:rPr>
            </w:pPr>
            <w:r w:rsidRPr="003E03CF">
              <w:rPr>
                <w:rFonts w:ascii="Arial Narrow" w:hAnsi="Arial Narrow"/>
                <w:b/>
                <w:sz w:val="18"/>
              </w:rPr>
              <w:t>Date</w:t>
            </w:r>
          </w:p>
        </w:tc>
        <w:tc>
          <w:tcPr>
            <w:tcW w:w="429" w:type="pct"/>
            <w:shd w:val="clear" w:color="auto" w:fill="BFBFBF" w:themeFill="background1" w:themeFillShade="BF"/>
            <w:vAlign w:val="bottom"/>
            <w:hideMark/>
          </w:tcPr>
          <w:p w:rsidRPr="003E03CF" w:rsidR="00955C62" w:rsidP="00F64D94" w:rsidRDefault="00955C62" w14:paraId="4AE6CD12" w14:textId="77777777">
            <w:pPr>
              <w:jc w:val="center"/>
              <w:rPr>
                <w:rFonts w:ascii="Arial Narrow" w:hAnsi="Arial Narrow"/>
                <w:b/>
                <w:sz w:val="18"/>
              </w:rPr>
            </w:pPr>
            <w:r w:rsidRPr="003E03CF">
              <w:rPr>
                <w:rFonts w:ascii="Arial Narrow" w:hAnsi="Arial Narrow"/>
                <w:b/>
                <w:sz w:val="18"/>
              </w:rPr>
              <w:t>Wage</w:t>
            </w:r>
            <w:r>
              <w:rPr>
                <w:rFonts w:ascii="Arial Narrow" w:hAnsi="Arial Narrow"/>
                <w:b/>
                <w:sz w:val="18"/>
              </w:rPr>
              <w:t xml:space="preserve"> ($/hour)</w:t>
            </w:r>
          </w:p>
        </w:tc>
        <w:tc>
          <w:tcPr>
            <w:tcW w:w="433" w:type="pct"/>
            <w:shd w:val="clear" w:color="auto" w:fill="BFBFBF" w:themeFill="background1" w:themeFillShade="BF"/>
            <w:vAlign w:val="bottom"/>
            <w:hideMark/>
          </w:tcPr>
          <w:p w:rsidRPr="003E03CF" w:rsidR="00955C62" w:rsidP="00F64D94" w:rsidRDefault="00955C62" w14:paraId="1356042F" w14:textId="77777777">
            <w:pPr>
              <w:jc w:val="center"/>
              <w:rPr>
                <w:rFonts w:ascii="Arial Narrow" w:hAnsi="Arial Narrow"/>
                <w:b/>
                <w:sz w:val="18"/>
              </w:rPr>
            </w:pPr>
            <w:r w:rsidRPr="003E03CF">
              <w:rPr>
                <w:rFonts w:ascii="Arial Narrow" w:hAnsi="Arial Narrow"/>
                <w:b/>
                <w:sz w:val="18"/>
              </w:rPr>
              <w:t>Fringe Benefit</w:t>
            </w:r>
          </w:p>
        </w:tc>
        <w:tc>
          <w:tcPr>
            <w:tcW w:w="529" w:type="pct"/>
            <w:shd w:val="clear" w:color="auto" w:fill="BFBFBF" w:themeFill="background1" w:themeFillShade="BF"/>
            <w:vAlign w:val="bottom"/>
            <w:hideMark/>
          </w:tcPr>
          <w:p w:rsidRPr="003E03CF" w:rsidR="00955C62" w:rsidP="00F64D94" w:rsidRDefault="00955C62" w14:paraId="65EB2DFA" w14:textId="77777777">
            <w:pPr>
              <w:jc w:val="center"/>
              <w:rPr>
                <w:rFonts w:ascii="Arial Narrow" w:hAnsi="Arial Narrow"/>
                <w:b/>
                <w:sz w:val="18"/>
              </w:rPr>
            </w:pPr>
            <w:r w:rsidRPr="003E03CF">
              <w:rPr>
                <w:rFonts w:ascii="Arial Narrow" w:hAnsi="Arial Narrow"/>
                <w:b/>
                <w:sz w:val="18"/>
              </w:rPr>
              <w:t>Fringes as % Wage</w:t>
            </w:r>
          </w:p>
        </w:tc>
        <w:tc>
          <w:tcPr>
            <w:tcW w:w="433" w:type="pct"/>
            <w:shd w:val="clear" w:color="auto" w:fill="BFBFBF" w:themeFill="background1" w:themeFillShade="BF"/>
            <w:vAlign w:val="bottom"/>
            <w:hideMark/>
          </w:tcPr>
          <w:p w:rsidRPr="003E03CF" w:rsidR="00955C62" w:rsidP="00F64D94" w:rsidRDefault="00955C62" w14:paraId="0A4FC4C9" w14:textId="77777777">
            <w:pPr>
              <w:jc w:val="center"/>
              <w:rPr>
                <w:rFonts w:ascii="Arial Narrow" w:hAnsi="Arial Narrow"/>
                <w:b/>
                <w:sz w:val="18"/>
              </w:rPr>
            </w:pPr>
            <w:r w:rsidRPr="003E03CF">
              <w:rPr>
                <w:rFonts w:ascii="Arial Narrow" w:hAnsi="Arial Narrow"/>
                <w:b/>
                <w:sz w:val="18"/>
              </w:rPr>
              <w:t>Over</w:t>
            </w:r>
            <w:r>
              <w:rPr>
                <w:rFonts w:ascii="Arial Narrow" w:hAnsi="Arial Narrow"/>
                <w:b/>
                <w:sz w:val="18"/>
              </w:rPr>
              <w:t>-</w:t>
            </w:r>
            <w:r w:rsidRPr="003E03CF">
              <w:rPr>
                <w:rFonts w:ascii="Arial Narrow" w:hAnsi="Arial Narrow"/>
                <w:b/>
                <w:sz w:val="18"/>
              </w:rPr>
              <w:t xml:space="preserve">head % </w:t>
            </w:r>
            <w:r>
              <w:rPr>
                <w:rFonts w:ascii="Arial Narrow" w:hAnsi="Arial Narrow"/>
                <w:b/>
                <w:sz w:val="18"/>
              </w:rPr>
              <w:t>W</w:t>
            </w:r>
            <w:r w:rsidRPr="003E03CF">
              <w:rPr>
                <w:rFonts w:ascii="Arial Narrow" w:hAnsi="Arial Narrow"/>
                <w:b/>
                <w:sz w:val="18"/>
              </w:rPr>
              <w:t xml:space="preserve">age </w:t>
            </w:r>
            <w:r w:rsidRPr="003E03CF">
              <w:rPr>
                <w:rFonts w:ascii="Arial Narrow" w:hAnsi="Arial Narrow"/>
                <w:b/>
                <w:sz w:val="18"/>
                <w:vertAlign w:val="superscript"/>
              </w:rPr>
              <w:t>2</w:t>
            </w:r>
          </w:p>
        </w:tc>
        <w:tc>
          <w:tcPr>
            <w:tcW w:w="626" w:type="pct"/>
            <w:shd w:val="clear" w:color="auto" w:fill="BFBFBF" w:themeFill="background1" w:themeFillShade="BF"/>
            <w:vAlign w:val="bottom"/>
            <w:hideMark/>
          </w:tcPr>
          <w:p w:rsidRPr="003E03CF" w:rsidR="00955C62" w:rsidP="00F64D94" w:rsidRDefault="00955C62" w14:paraId="313D1B40" w14:textId="77777777">
            <w:pPr>
              <w:jc w:val="center"/>
              <w:rPr>
                <w:rFonts w:ascii="Arial Narrow" w:hAnsi="Arial Narrow"/>
                <w:b/>
                <w:sz w:val="18"/>
              </w:rPr>
            </w:pPr>
            <w:r w:rsidRPr="003E03CF">
              <w:rPr>
                <w:rFonts w:ascii="Arial Narrow" w:hAnsi="Arial Narrow"/>
                <w:b/>
                <w:sz w:val="18"/>
              </w:rPr>
              <w:t xml:space="preserve">Fringe + Overhead Factor </w:t>
            </w:r>
            <w:r w:rsidRPr="003E03CF">
              <w:rPr>
                <w:rFonts w:ascii="Arial Narrow" w:hAnsi="Arial Narrow"/>
                <w:b/>
                <w:sz w:val="18"/>
                <w:vertAlign w:val="superscript"/>
              </w:rPr>
              <w:t>3</w:t>
            </w:r>
          </w:p>
        </w:tc>
        <w:tc>
          <w:tcPr>
            <w:tcW w:w="527" w:type="pct"/>
            <w:shd w:val="clear" w:color="auto" w:fill="BFBFBF" w:themeFill="background1" w:themeFillShade="BF"/>
            <w:vAlign w:val="bottom"/>
            <w:hideMark/>
          </w:tcPr>
          <w:p w:rsidRPr="003E03CF" w:rsidR="00955C62" w:rsidP="00F64D94" w:rsidRDefault="00955C62" w14:paraId="104B43FD" w14:textId="77777777">
            <w:pPr>
              <w:jc w:val="center"/>
              <w:rPr>
                <w:rFonts w:ascii="Arial Narrow" w:hAnsi="Arial Narrow"/>
                <w:b/>
                <w:sz w:val="18"/>
              </w:rPr>
            </w:pPr>
            <w:r w:rsidRPr="003E03CF">
              <w:rPr>
                <w:rFonts w:ascii="Arial Narrow" w:hAnsi="Arial Narrow"/>
                <w:b/>
                <w:sz w:val="18"/>
              </w:rPr>
              <w:t>Loaded Wage</w:t>
            </w:r>
            <w:r>
              <w:rPr>
                <w:rFonts w:ascii="Arial Narrow" w:hAnsi="Arial Narrow"/>
                <w:b/>
                <w:sz w:val="18"/>
              </w:rPr>
              <w:t xml:space="preserve"> ($/hour)</w:t>
            </w:r>
            <w:r w:rsidRPr="003E03CF">
              <w:rPr>
                <w:rFonts w:ascii="Arial Narrow" w:hAnsi="Arial Narrow"/>
                <w:b/>
                <w:sz w:val="18"/>
                <w:vertAlign w:val="superscript"/>
              </w:rPr>
              <w:t>4</w:t>
            </w:r>
          </w:p>
        </w:tc>
      </w:tr>
      <w:tr w:rsidRPr="003E03CF" w:rsidR="00955C62" w:rsidTr="00F64D94" w14:paraId="531AE02C" w14:textId="77777777">
        <w:trPr>
          <w:tblHeader/>
          <w:jc w:val="center"/>
        </w:trPr>
        <w:tc>
          <w:tcPr>
            <w:tcW w:w="629" w:type="pct"/>
            <w:vMerge/>
            <w:shd w:val="clear" w:color="auto" w:fill="BFBFBF"/>
            <w:vAlign w:val="center"/>
            <w:hideMark/>
          </w:tcPr>
          <w:p w:rsidRPr="003E03CF" w:rsidR="00955C62" w:rsidP="00F64D94" w:rsidRDefault="00955C62" w14:paraId="59B15C3F" w14:textId="77777777">
            <w:pPr>
              <w:rPr>
                <w:rFonts w:ascii="Arial Narrow" w:hAnsi="Arial Narrow"/>
                <w:b/>
                <w:sz w:val="18"/>
              </w:rPr>
            </w:pPr>
          </w:p>
        </w:tc>
        <w:tc>
          <w:tcPr>
            <w:tcW w:w="1006" w:type="pct"/>
            <w:vMerge/>
            <w:shd w:val="clear" w:color="auto" w:fill="BFBFBF"/>
            <w:vAlign w:val="center"/>
            <w:hideMark/>
          </w:tcPr>
          <w:p w:rsidRPr="003E03CF" w:rsidR="00955C62" w:rsidP="00F64D94" w:rsidRDefault="00955C62" w14:paraId="042CBE99" w14:textId="77777777">
            <w:pPr>
              <w:rPr>
                <w:rFonts w:ascii="Arial Narrow" w:hAnsi="Arial Narrow"/>
                <w:b/>
                <w:sz w:val="18"/>
              </w:rPr>
            </w:pPr>
          </w:p>
        </w:tc>
        <w:tc>
          <w:tcPr>
            <w:tcW w:w="388" w:type="pct"/>
            <w:vMerge/>
            <w:shd w:val="clear" w:color="auto" w:fill="BFBFBF"/>
            <w:vAlign w:val="center"/>
            <w:hideMark/>
          </w:tcPr>
          <w:p w:rsidRPr="003E03CF" w:rsidR="00955C62" w:rsidP="00F64D94" w:rsidRDefault="00955C62" w14:paraId="4398A1AA" w14:textId="77777777">
            <w:pPr>
              <w:rPr>
                <w:rFonts w:ascii="Arial Narrow" w:hAnsi="Arial Narrow"/>
                <w:b/>
                <w:sz w:val="18"/>
              </w:rPr>
            </w:pPr>
          </w:p>
        </w:tc>
        <w:tc>
          <w:tcPr>
            <w:tcW w:w="429" w:type="pct"/>
            <w:shd w:val="clear" w:color="auto" w:fill="BFBFBF" w:themeFill="background1" w:themeFillShade="BF"/>
            <w:vAlign w:val="center"/>
            <w:hideMark/>
          </w:tcPr>
          <w:p w:rsidRPr="003E03CF" w:rsidR="00955C62" w:rsidP="00F64D94" w:rsidRDefault="00955C62" w14:paraId="517EC56F" w14:textId="77777777">
            <w:pPr>
              <w:jc w:val="center"/>
              <w:rPr>
                <w:rFonts w:ascii="Arial Narrow" w:hAnsi="Arial Narrow"/>
                <w:b/>
                <w:sz w:val="18"/>
              </w:rPr>
            </w:pPr>
            <w:r w:rsidRPr="003E03CF">
              <w:rPr>
                <w:rFonts w:ascii="Arial Narrow" w:hAnsi="Arial Narrow"/>
                <w:b/>
                <w:sz w:val="18"/>
              </w:rPr>
              <w:t>(a)</w:t>
            </w:r>
          </w:p>
        </w:tc>
        <w:tc>
          <w:tcPr>
            <w:tcW w:w="433" w:type="pct"/>
            <w:shd w:val="clear" w:color="auto" w:fill="BFBFBF" w:themeFill="background1" w:themeFillShade="BF"/>
            <w:vAlign w:val="center"/>
            <w:hideMark/>
          </w:tcPr>
          <w:p w:rsidRPr="003E03CF" w:rsidR="00955C62" w:rsidP="00F64D94" w:rsidRDefault="00955C62" w14:paraId="07690287" w14:textId="77777777">
            <w:pPr>
              <w:jc w:val="center"/>
              <w:rPr>
                <w:rFonts w:ascii="Arial Narrow" w:hAnsi="Arial Narrow"/>
                <w:b/>
                <w:sz w:val="18"/>
              </w:rPr>
            </w:pPr>
            <w:r w:rsidRPr="003E03CF">
              <w:rPr>
                <w:rFonts w:ascii="Arial Narrow" w:hAnsi="Arial Narrow"/>
                <w:b/>
                <w:sz w:val="18"/>
              </w:rPr>
              <w:t>(b)</w:t>
            </w:r>
          </w:p>
        </w:tc>
        <w:tc>
          <w:tcPr>
            <w:tcW w:w="529" w:type="pct"/>
            <w:shd w:val="clear" w:color="auto" w:fill="BFBFBF" w:themeFill="background1" w:themeFillShade="BF"/>
            <w:vAlign w:val="center"/>
            <w:hideMark/>
          </w:tcPr>
          <w:p w:rsidRPr="003E03CF" w:rsidR="00955C62" w:rsidP="00F64D94" w:rsidRDefault="00955C62" w14:paraId="6292A84B" w14:textId="77777777">
            <w:pPr>
              <w:jc w:val="center"/>
              <w:rPr>
                <w:rFonts w:ascii="Arial Narrow" w:hAnsi="Arial Narrow"/>
                <w:b/>
                <w:sz w:val="18"/>
              </w:rPr>
            </w:pPr>
            <w:r w:rsidRPr="003E03CF">
              <w:rPr>
                <w:rFonts w:ascii="Arial Narrow" w:hAnsi="Arial Narrow"/>
                <w:b/>
                <w:sz w:val="18"/>
              </w:rPr>
              <w:t>(c) =(b)/(a)</w:t>
            </w:r>
          </w:p>
        </w:tc>
        <w:tc>
          <w:tcPr>
            <w:tcW w:w="433" w:type="pct"/>
            <w:shd w:val="clear" w:color="auto" w:fill="BFBFBF" w:themeFill="background1" w:themeFillShade="BF"/>
            <w:vAlign w:val="center"/>
            <w:hideMark/>
          </w:tcPr>
          <w:p w:rsidRPr="003E03CF" w:rsidR="00955C62" w:rsidP="00F64D94" w:rsidRDefault="00955C62" w14:paraId="2F4F2861" w14:textId="77777777">
            <w:pPr>
              <w:jc w:val="center"/>
              <w:rPr>
                <w:rFonts w:ascii="Arial Narrow" w:hAnsi="Arial Narrow"/>
                <w:b/>
                <w:sz w:val="18"/>
              </w:rPr>
            </w:pPr>
            <w:r w:rsidRPr="003E03CF">
              <w:rPr>
                <w:rFonts w:ascii="Arial Narrow" w:hAnsi="Arial Narrow"/>
                <w:b/>
                <w:sz w:val="18"/>
              </w:rPr>
              <w:t>(d)</w:t>
            </w:r>
          </w:p>
        </w:tc>
        <w:tc>
          <w:tcPr>
            <w:tcW w:w="626" w:type="pct"/>
            <w:shd w:val="clear" w:color="auto" w:fill="BFBFBF" w:themeFill="background1" w:themeFillShade="BF"/>
            <w:vAlign w:val="center"/>
            <w:hideMark/>
          </w:tcPr>
          <w:p w:rsidRPr="003E03CF" w:rsidR="00955C62" w:rsidP="00F64D94" w:rsidRDefault="00955C62" w14:paraId="0ACCD0A2" w14:textId="77777777">
            <w:pPr>
              <w:jc w:val="center"/>
              <w:rPr>
                <w:rFonts w:ascii="Arial Narrow" w:hAnsi="Arial Narrow"/>
                <w:b/>
                <w:sz w:val="18"/>
              </w:rPr>
            </w:pPr>
            <w:r w:rsidRPr="003E03CF">
              <w:rPr>
                <w:rFonts w:ascii="Arial Narrow" w:hAnsi="Arial Narrow"/>
                <w:b/>
                <w:sz w:val="18"/>
              </w:rPr>
              <w:t>(e)=(c)+(</w:t>
            </w:r>
            <w:proofErr w:type="gramStart"/>
            <w:r w:rsidRPr="003E03CF">
              <w:rPr>
                <w:rFonts w:ascii="Arial Narrow" w:hAnsi="Arial Narrow"/>
                <w:b/>
                <w:sz w:val="18"/>
              </w:rPr>
              <w:t>d)+</w:t>
            </w:r>
            <w:proofErr w:type="gramEnd"/>
            <w:r w:rsidRPr="003E03CF">
              <w:rPr>
                <w:rFonts w:ascii="Arial Narrow" w:hAnsi="Arial Narrow"/>
                <w:b/>
                <w:sz w:val="18"/>
              </w:rPr>
              <w:t>1</w:t>
            </w:r>
          </w:p>
        </w:tc>
        <w:tc>
          <w:tcPr>
            <w:tcW w:w="527" w:type="pct"/>
            <w:shd w:val="clear" w:color="auto" w:fill="BFBFBF" w:themeFill="background1" w:themeFillShade="BF"/>
            <w:vAlign w:val="center"/>
            <w:hideMark/>
          </w:tcPr>
          <w:p w:rsidRPr="003E03CF" w:rsidR="00955C62" w:rsidP="00F64D94" w:rsidRDefault="00955C62" w14:paraId="6E6C7D96" w14:textId="77777777">
            <w:pPr>
              <w:jc w:val="center"/>
              <w:rPr>
                <w:rFonts w:ascii="Arial Narrow" w:hAnsi="Arial Narrow"/>
                <w:b/>
                <w:sz w:val="18"/>
              </w:rPr>
            </w:pPr>
            <w:r w:rsidRPr="003E03CF">
              <w:rPr>
                <w:rFonts w:ascii="Arial Narrow" w:hAnsi="Arial Narrow"/>
                <w:b/>
                <w:sz w:val="18"/>
              </w:rPr>
              <w:t>(f)=(a)×(e)</w:t>
            </w:r>
          </w:p>
        </w:tc>
      </w:tr>
      <w:tr w:rsidRPr="003E03CF" w:rsidR="00955C62" w:rsidTr="00F64D94" w14:paraId="360F4D8E" w14:textId="77777777">
        <w:trPr>
          <w:jc w:val="center"/>
        </w:trPr>
        <w:tc>
          <w:tcPr>
            <w:tcW w:w="629" w:type="pct"/>
            <w:shd w:val="clear" w:color="auto" w:fill="auto"/>
            <w:vAlign w:val="center"/>
            <w:hideMark/>
          </w:tcPr>
          <w:p w:rsidRPr="003E03CF" w:rsidR="00955C62" w:rsidP="00F64D94" w:rsidRDefault="00955C62" w14:paraId="4916DB6A" w14:textId="77777777">
            <w:pPr>
              <w:rPr>
                <w:rFonts w:ascii="Arial Narrow" w:hAnsi="Arial Narrow"/>
                <w:sz w:val="18"/>
                <w:szCs w:val="18"/>
              </w:rPr>
            </w:pPr>
            <w:r w:rsidRPr="003E03CF">
              <w:rPr>
                <w:rFonts w:ascii="Arial Narrow" w:hAnsi="Arial Narrow"/>
                <w:sz w:val="18"/>
                <w:szCs w:val="18"/>
              </w:rPr>
              <w:t>Managerial</w:t>
            </w:r>
          </w:p>
        </w:tc>
        <w:tc>
          <w:tcPr>
            <w:tcW w:w="1006" w:type="pct"/>
            <w:shd w:val="clear" w:color="auto" w:fill="auto"/>
            <w:vAlign w:val="center"/>
            <w:hideMark/>
          </w:tcPr>
          <w:p w:rsidRPr="003E03CF" w:rsidR="00955C62" w:rsidP="00F64D94" w:rsidRDefault="00955C62" w14:paraId="0CEC4CC6" w14:textId="77777777">
            <w:pPr>
              <w:rPr>
                <w:rFonts w:ascii="Arial Narrow" w:hAnsi="Arial Narrow"/>
                <w:sz w:val="18"/>
                <w:szCs w:val="18"/>
              </w:rPr>
            </w:pPr>
            <w:r w:rsidRPr="003E03CF">
              <w:rPr>
                <w:rFonts w:ascii="Arial Narrow" w:hAnsi="Arial Narrow"/>
                <w:sz w:val="18"/>
                <w:szCs w:val="18"/>
              </w:rPr>
              <w:t>BLS ECEC, Private Manufacturing industries, “Mgt, Business, and Financial”</w:t>
            </w:r>
          </w:p>
        </w:tc>
        <w:tc>
          <w:tcPr>
            <w:tcW w:w="388" w:type="pct"/>
            <w:shd w:val="clear" w:color="auto" w:fill="auto"/>
            <w:vAlign w:val="center"/>
            <w:hideMark/>
          </w:tcPr>
          <w:p w:rsidRPr="003E03CF" w:rsidR="00955C62" w:rsidP="00F64D94" w:rsidRDefault="00955C62" w14:paraId="604A048C" w14:textId="77777777">
            <w:pPr>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F64D94" w:rsidRDefault="00955C62" w14:paraId="129D46AE" w14:textId="77777777">
            <w:pPr>
              <w:jc w:val="center"/>
              <w:rPr>
                <w:rFonts w:ascii="Arial Narrow" w:hAnsi="Arial Narrow"/>
                <w:sz w:val="18"/>
                <w:szCs w:val="18"/>
              </w:rPr>
            </w:pPr>
            <w:r>
              <w:rPr>
                <w:rFonts w:ascii="Arial Narrow" w:hAnsi="Arial Narrow" w:cs="Calibri"/>
                <w:color w:val="000000"/>
                <w:sz w:val="18"/>
                <w:szCs w:val="18"/>
              </w:rPr>
              <w:t xml:space="preserve">$48.73 </w:t>
            </w:r>
          </w:p>
        </w:tc>
        <w:tc>
          <w:tcPr>
            <w:tcW w:w="433" w:type="pct"/>
            <w:shd w:val="clear" w:color="auto" w:fill="auto"/>
            <w:vAlign w:val="center"/>
            <w:hideMark/>
          </w:tcPr>
          <w:p w:rsidRPr="003E03CF" w:rsidR="00955C62" w:rsidP="00F64D94" w:rsidRDefault="00955C62" w14:paraId="36AD3031" w14:textId="77777777">
            <w:pPr>
              <w:jc w:val="center"/>
              <w:rPr>
                <w:rFonts w:ascii="Arial Narrow" w:hAnsi="Arial Narrow"/>
                <w:sz w:val="18"/>
                <w:szCs w:val="18"/>
              </w:rPr>
            </w:pPr>
            <w:r>
              <w:rPr>
                <w:rFonts w:ascii="Arial Narrow" w:hAnsi="Arial Narrow" w:cs="Calibri"/>
                <w:color w:val="000000"/>
                <w:sz w:val="18"/>
                <w:szCs w:val="18"/>
              </w:rPr>
              <w:t xml:space="preserve">$23.08 </w:t>
            </w:r>
          </w:p>
        </w:tc>
        <w:tc>
          <w:tcPr>
            <w:tcW w:w="529" w:type="pct"/>
            <w:shd w:val="clear" w:color="auto" w:fill="auto"/>
            <w:vAlign w:val="center"/>
            <w:hideMark/>
          </w:tcPr>
          <w:p w:rsidRPr="003E03CF" w:rsidR="00955C62" w:rsidP="00F64D94" w:rsidRDefault="00955C62" w14:paraId="2D1E9D5F" w14:textId="77777777">
            <w:pPr>
              <w:jc w:val="center"/>
              <w:rPr>
                <w:rFonts w:ascii="Arial Narrow" w:hAnsi="Arial Narrow"/>
                <w:sz w:val="18"/>
                <w:szCs w:val="18"/>
              </w:rPr>
            </w:pPr>
            <w:r>
              <w:rPr>
                <w:rFonts w:ascii="Arial Narrow" w:hAnsi="Arial Narrow" w:cs="Calibri"/>
                <w:color w:val="000000"/>
                <w:sz w:val="18"/>
                <w:szCs w:val="18"/>
              </w:rPr>
              <w:t>47%</w:t>
            </w:r>
          </w:p>
        </w:tc>
        <w:tc>
          <w:tcPr>
            <w:tcW w:w="433" w:type="pct"/>
            <w:shd w:val="clear" w:color="auto" w:fill="auto"/>
            <w:vAlign w:val="center"/>
            <w:hideMark/>
          </w:tcPr>
          <w:p w:rsidRPr="003E03CF" w:rsidR="00955C62" w:rsidP="00F64D94" w:rsidRDefault="00955C62" w14:paraId="0A8809A0" w14:textId="77777777">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1FE5F6E0" w14:textId="77777777">
            <w:pPr>
              <w:jc w:val="center"/>
              <w:rPr>
                <w:rFonts w:ascii="Arial Narrow" w:hAnsi="Arial Narrow"/>
                <w:sz w:val="18"/>
                <w:szCs w:val="18"/>
              </w:rPr>
            </w:pPr>
            <w:r>
              <w:rPr>
                <w:rFonts w:ascii="Arial Narrow" w:hAnsi="Arial Narrow" w:cs="Calibri"/>
                <w:color w:val="000000"/>
                <w:sz w:val="18"/>
                <w:szCs w:val="18"/>
              </w:rPr>
              <w:t>1.64</w:t>
            </w:r>
          </w:p>
        </w:tc>
        <w:tc>
          <w:tcPr>
            <w:tcW w:w="527" w:type="pct"/>
            <w:shd w:val="clear" w:color="auto" w:fill="auto"/>
            <w:vAlign w:val="center"/>
            <w:hideMark/>
          </w:tcPr>
          <w:p w:rsidRPr="003E03CF" w:rsidR="00955C62" w:rsidP="00F64D94" w:rsidRDefault="00955C62" w14:paraId="543CA83F" w14:textId="77777777">
            <w:pPr>
              <w:jc w:val="center"/>
              <w:rPr>
                <w:rFonts w:ascii="Arial Narrow" w:hAnsi="Arial Narrow"/>
                <w:sz w:val="18"/>
                <w:szCs w:val="18"/>
              </w:rPr>
            </w:pPr>
            <w:r>
              <w:rPr>
                <w:rFonts w:ascii="Arial Narrow" w:hAnsi="Arial Narrow" w:cs="Calibri"/>
                <w:color w:val="000000"/>
                <w:sz w:val="18"/>
                <w:szCs w:val="18"/>
              </w:rPr>
              <w:t xml:space="preserve">$79.92 </w:t>
            </w:r>
          </w:p>
        </w:tc>
      </w:tr>
      <w:tr w:rsidRPr="003E03CF" w:rsidR="00955C62" w:rsidTr="00F64D94" w14:paraId="06551378" w14:textId="77777777">
        <w:trPr>
          <w:jc w:val="center"/>
        </w:trPr>
        <w:tc>
          <w:tcPr>
            <w:tcW w:w="629" w:type="pct"/>
            <w:shd w:val="clear" w:color="auto" w:fill="auto"/>
            <w:vAlign w:val="center"/>
            <w:hideMark/>
          </w:tcPr>
          <w:p w:rsidRPr="003E03CF" w:rsidR="00955C62" w:rsidP="00F64D94" w:rsidRDefault="00955C62" w14:paraId="041F242B" w14:textId="77777777">
            <w:pPr>
              <w:rPr>
                <w:rFonts w:ascii="Arial Narrow" w:hAnsi="Arial Narrow"/>
                <w:sz w:val="18"/>
                <w:szCs w:val="18"/>
              </w:rPr>
            </w:pPr>
            <w:r w:rsidRPr="003E03CF">
              <w:rPr>
                <w:rFonts w:ascii="Arial Narrow" w:hAnsi="Arial Narrow"/>
                <w:sz w:val="18"/>
                <w:szCs w:val="18"/>
              </w:rPr>
              <w:t>Professional / Technical</w:t>
            </w:r>
          </w:p>
        </w:tc>
        <w:tc>
          <w:tcPr>
            <w:tcW w:w="1006" w:type="pct"/>
            <w:shd w:val="clear" w:color="auto" w:fill="auto"/>
            <w:vAlign w:val="center"/>
            <w:hideMark/>
          </w:tcPr>
          <w:p w:rsidRPr="003E03CF" w:rsidR="00955C62" w:rsidP="00F64D94" w:rsidRDefault="00955C62" w14:paraId="39BB4875" w14:textId="77777777">
            <w:pPr>
              <w:rPr>
                <w:rFonts w:ascii="Arial Narrow" w:hAnsi="Arial Narrow"/>
                <w:sz w:val="18"/>
                <w:szCs w:val="18"/>
              </w:rPr>
            </w:pPr>
            <w:r w:rsidRPr="003E03CF">
              <w:rPr>
                <w:rFonts w:ascii="Arial Narrow" w:hAnsi="Arial Narrow"/>
                <w:sz w:val="18"/>
                <w:szCs w:val="18"/>
              </w:rPr>
              <w:t xml:space="preserve">BLS ECEC, Private Manufacturing industries, “Professional and </w:t>
            </w:r>
            <w:proofErr w:type="gramStart"/>
            <w:r w:rsidRPr="003E03CF">
              <w:rPr>
                <w:rFonts w:ascii="Arial Narrow" w:hAnsi="Arial Narrow"/>
                <w:sz w:val="18"/>
                <w:szCs w:val="18"/>
              </w:rPr>
              <w:t>related“</w:t>
            </w:r>
            <w:proofErr w:type="gramEnd"/>
          </w:p>
        </w:tc>
        <w:tc>
          <w:tcPr>
            <w:tcW w:w="388" w:type="pct"/>
            <w:shd w:val="clear" w:color="auto" w:fill="auto"/>
            <w:vAlign w:val="center"/>
            <w:hideMark/>
          </w:tcPr>
          <w:p w:rsidRPr="003E03CF" w:rsidR="00955C62" w:rsidP="00F64D94" w:rsidRDefault="00955C62" w14:paraId="60D78B3E" w14:textId="77777777">
            <w:pPr>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F64D94" w:rsidRDefault="00955C62" w14:paraId="4805A217" w14:textId="77777777">
            <w:pPr>
              <w:jc w:val="center"/>
              <w:rPr>
                <w:rFonts w:ascii="Arial Narrow" w:hAnsi="Arial Narrow"/>
                <w:sz w:val="18"/>
                <w:szCs w:val="18"/>
              </w:rPr>
            </w:pPr>
            <w:r>
              <w:rPr>
                <w:rFonts w:ascii="Arial Narrow" w:hAnsi="Arial Narrow" w:cs="Calibri"/>
                <w:color w:val="000000"/>
                <w:sz w:val="18"/>
                <w:szCs w:val="18"/>
              </w:rPr>
              <w:t xml:space="preserve">$44.35 </w:t>
            </w:r>
          </w:p>
        </w:tc>
        <w:tc>
          <w:tcPr>
            <w:tcW w:w="433" w:type="pct"/>
            <w:shd w:val="clear" w:color="auto" w:fill="auto"/>
            <w:vAlign w:val="center"/>
            <w:hideMark/>
          </w:tcPr>
          <w:p w:rsidRPr="003E03CF" w:rsidR="00955C62" w:rsidP="00F64D94" w:rsidRDefault="00955C62" w14:paraId="1B281AA8" w14:textId="77777777">
            <w:pPr>
              <w:jc w:val="center"/>
              <w:rPr>
                <w:rFonts w:ascii="Arial Narrow" w:hAnsi="Arial Narrow"/>
                <w:sz w:val="18"/>
                <w:szCs w:val="18"/>
              </w:rPr>
            </w:pPr>
            <w:r>
              <w:rPr>
                <w:rFonts w:ascii="Arial Narrow" w:hAnsi="Arial Narrow" w:cs="Calibri"/>
                <w:color w:val="000000"/>
                <w:sz w:val="18"/>
                <w:szCs w:val="18"/>
              </w:rPr>
              <w:t xml:space="preserve">$23.43 </w:t>
            </w:r>
          </w:p>
        </w:tc>
        <w:tc>
          <w:tcPr>
            <w:tcW w:w="529" w:type="pct"/>
            <w:shd w:val="clear" w:color="auto" w:fill="auto"/>
            <w:vAlign w:val="center"/>
            <w:hideMark/>
          </w:tcPr>
          <w:p w:rsidRPr="003E03CF" w:rsidR="00955C62" w:rsidP="00F64D94" w:rsidRDefault="00955C62" w14:paraId="6C9371C0" w14:textId="77777777">
            <w:pPr>
              <w:jc w:val="center"/>
              <w:rPr>
                <w:rFonts w:ascii="Arial Narrow" w:hAnsi="Arial Narrow"/>
                <w:sz w:val="18"/>
                <w:szCs w:val="18"/>
              </w:rPr>
            </w:pPr>
            <w:r>
              <w:rPr>
                <w:rFonts w:ascii="Arial Narrow" w:hAnsi="Arial Narrow" w:cs="Calibri"/>
                <w:color w:val="000000"/>
                <w:sz w:val="18"/>
                <w:szCs w:val="18"/>
              </w:rPr>
              <w:t>55%</w:t>
            </w:r>
          </w:p>
        </w:tc>
        <w:tc>
          <w:tcPr>
            <w:tcW w:w="433" w:type="pct"/>
            <w:shd w:val="clear" w:color="auto" w:fill="auto"/>
            <w:vAlign w:val="center"/>
            <w:hideMark/>
          </w:tcPr>
          <w:p w:rsidRPr="003E03CF" w:rsidR="00955C62" w:rsidP="00F64D94" w:rsidRDefault="00955C62" w14:paraId="6F7FC0F8" w14:textId="77777777">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131ACB6E" w14:textId="77777777">
            <w:pPr>
              <w:jc w:val="center"/>
              <w:rPr>
                <w:rFonts w:ascii="Arial Narrow" w:hAnsi="Arial Narrow"/>
                <w:sz w:val="18"/>
                <w:szCs w:val="18"/>
              </w:rPr>
            </w:pPr>
            <w:r>
              <w:rPr>
                <w:rFonts w:ascii="Arial Narrow" w:hAnsi="Arial Narrow" w:cs="Calibri"/>
                <w:color w:val="000000"/>
                <w:sz w:val="18"/>
                <w:szCs w:val="18"/>
              </w:rPr>
              <w:t>1.72</w:t>
            </w:r>
          </w:p>
        </w:tc>
        <w:tc>
          <w:tcPr>
            <w:tcW w:w="527" w:type="pct"/>
            <w:shd w:val="clear" w:color="auto" w:fill="auto"/>
            <w:vAlign w:val="center"/>
            <w:hideMark/>
          </w:tcPr>
          <w:p w:rsidRPr="003E03CF" w:rsidR="00955C62" w:rsidP="00F64D94" w:rsidRDefault="00955C62" w14:paraId="05FAECA4" w14:textId="77777777">
            <w:pPr>
              <w:jc w:val="center"/>
              <w:rPr>
                <w:rFonts w:ascii="Arial Narrow" w:hAnsi="Arial Narrow"/>
                <w:sz w:val="18"/>
                <w:szCs w:val="18"/>
              </w:rPr>
            </w:pPr>
            <w:r>
              <w:rPr>
                <w:rFonts w:ascii="Arial Narrow" w:hAnsi="Arial Narrow" w:cs="Calibri"/>
                <w:color w:val="000000"/>
                <w:sz w:val="18"/>
                <w:szCs w:val="18"/>
              </w:rPr>
              <w:t xml:space="preserve">$75.40 </w:t>
            </w:r>
          </w:p>
        </w:tc>
      </w:tr>
      <w:tr w:rsidRPr="003E03CF" w:rsidR="00955C62" w:rsidTr="00F64D94" w14:paraId="7DB9BA13" w14:textId="77777777">
        <w:trPr>
          <w:jc w:val="center"/>
        </w:trPr>
        <w:tc>
          <w:tcPr>
            <w:tcW w:w="629" w:type="pct"/>
            <w:shd w:val="clear" w:color="auto" w:fill="auto"/>
            <w:vAlign w:val="center"/>
            <w:hideMark/>
          </w:tcPr>
          <w:p w:rsidRPr="003E03CF" w:rsidR="00955C62" w:rsidP="00F64D94" w:rsidRDefault="00955C62" w14:paraId="08D88570" w14:textId="77777777">
            <w:pPr>
              <w:rPr>
                <w:rFonts w:ascii="Arial Narrow" w:hAnsi="Arial Narrow"/>
                <w:sz w:val="18"/>
                <w:szCs w:val="18"/>
              </w:rPr>
            </w:pPr>
            <w:r w:rsidRPr="003E03CF">
              <w:rPr>
                <w:rFonts w:ascii="Arial Narrow" w:hAnsi="Arial Narrow"/>
                <w:sz w:val="18"/>
                <w:szCs w:val="18"/>
              </w:rPr>
              <w:t>Clerical</w:t>
            </w:r>
          </w:p>
        </w:tc>
        <w:tc>
          <w:tcPr>
            <w:tcW w:w="1006" w:type="pct"/>
            <w:shd w:val="clear" w:color="auto" w:fill="auto"/>
            <w:vAlign w:val="center"/>
            <w:hideMark/>
          </w:tcPr>
          <w:p w:rsidRPr="003E03CF" w:rsidR="00955C62" w:rsidP="00F64D94" w:rsidRDefault="00955C62" w14:paraId="7583DEEB" w14:textId="77777777">
            <w:pPr>
              <w:rPr>
                <w:rFonts w:ascii="Arial Narrow" w:hAnsi="Arial Narrow"/>
                <w:sz w:val="18"/>
                <w:szCs w:val="18"/>
              </w:rPr>
            </w:pPr>
            <w:r w:rsidRPr="003E03CF">
              <w:rPr>
                <w:rFonts w:ascii="Arial Narrow" w:hAnsi="Arial Narrow"/>
                <w:sz w:val="18"/>
                <w:szCs w:val="18"/>
              </w:rPr>
              <w:t>BLS ECEC, Private Manufacturing industries, “Office and Administrative Support”</w:t>
            </w:r>
          </w:p>
        </w:tc>
        <w:tc>
          <w:tcPr>
            <w:tcW w:w="388" w:type="pct"/>
            <w:shd w:val="clear" w:color="auto" w:fill="auto"/>
            <w:vAlign w:val="center"/>
            <w:hideMark/>
          </w:tcPr>
          <w:p w:rsidRPr="003E03CF" w:rsidR="00955C62" w:rsidP="00F64D94" w:rsidRDefault="00955C62" w14:paraId="5F0BD747" w14:textId="77777777">
            <w:pPr>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F64D94" w:rsidRDefault="00955C62" w14:paraId="644EAD03" w14:textId="77777777">
            <w:pPr>
              <w:jc w:val="center"/>
              <w:rPr>
                <w:rFonts w:ascii="Arial Narrow" w:hAnsi="Arial Narrow"/>
                <w:sz w:val="18"/>
                <w:szCs w:val="18"/>
              </w:rPr>
            </w:pPr>
            <w:r>
              <w:rPr>
                <w:rFonts w:ascii="Arial Narrow" w:hAnsi="Arial Narrow" w:cs="Calibri"/>
                <w:color w:val="000000"/>
                <w:sz w:val="18"/>
                <w:szCs w:val="18"/>
              </w:rPr>
              <w:t xml:space="preserve">$20.77 </w:t>
            </w:r>
          </w:p>
        </w:tc>
        <w:tc>
          <w:tcPr>
            <w:tcW w:w="433" w:type="pct"/>
            <w:shd w:val="clear" w:color="auto" w:fill="auto"/>
            <w:vAlign w:val="center"/>
            <w:hideMark/>
          </w:tcPr>
          <w:p w:rsidRPr="003E03CF" w:rsidR="00955C62" w:rsidP="00F64D94" w:rsidRDefault="00955C62" w14:paraId="39502D59" w14:textId="77777777">
            <w:pPr>
              <w:jc w:val="center"/>
              <w:rPr>
                <w:rFonts w:ascii="Arial Narrow" w:hAnsi="Arial Narrow"/>
                <w:sz w:val="18"/>
                <w:szCs w:val="18"/>
              </w:rPr>
            </w:pPr>
            <w:r>
              <w:rPr>
                <w:rFonts w:ascii="Arial Narrow" w:hAnsi="Arial Narrow" w:cs="Calibri"/>
                <w:color w:val="000000"/>
                <w:sz w:val="18"/>
                <w:szCs w:val="18"/>
              </w:rPr>
              <w:t xml:space="preserve">$10.20 </w:t>
            </w:r>
          </w:p>
        </w:tc>
        <w:tc>
          <w:tcPr>
            <w:tcW w:w="529" w:type="pct"/>
            <w:shd w:val="clear" w:color="auto" w:fill="auto"/>
            <w:vAlign w:val="center"/>
            <w:hideMark/>
          </w:tcPr>
          <w:p w:rsidRPr="003E03CF" w:rsidR="00955C62" w:rsidP="00F64D94" w:rsidRDefault="00955C62" w14:paraId="53E88054" w14:textId="77777777">
            <w:pPr>
              <w:jc w:val="center"/>
              <w:rPr>
                <w:rFonts w:ascii="Arial Narrow" w:hAnsi="Arial Narrow"/>
                <w:sz w:val="18"/>
                <w:szCs w:val="18"/>
              </w:rPr>
            </w:pPr>
            <w:r>
              <w:rPr>
                <w:rFonts w:ascii="Arial Narrow" w:hAnsi="Arial Narrow" w:cs="Calibri"/>
                <w:color w:val="000000"/>
                <w:sz w:val="18"/>
                <w:szCs w:val="18"/>
              </w:rPr>
              <w:t>49%</w:t>
            </w:r>
          </w:p>
        </w:tc>
        <w:tc>
          <w:tcPr>
            <w:tcW w:w="433" w:type="pct"/>
            <w:shd w:val="clear" w:color="auto" w:fill="auto"/>
            <w:vAlign w:val="center"/>
            <w:hideMark/>
          </w:tcPr>
          <w:p w:rsidRPr="003E03CF" w:rsidR="00955C62" w:rsidP="00F64D94" w:rsidRDefault="00955C62" w14:paraId="198FFDEB" w14:textId="77777777">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440CED53" w14:textId="77777777">
            <w:pPr>
              <w:jc w:val="center"/>
              <w:rPr>
                <w:rFonts w:ascii="Arial Narrow" w:hAnsi="Arial Narrow"/>
                <w:sz w:val="18"/>
                <w:szCs w:val="18"/>
              </w:rPr>
            </w:pPr>
            <w:r>
              <w:rPr>
                <w:rFonts w:ascii="Arial Narrow" w:hAnsi="Arial Narrow" w:cs="Calibri"/>
                <w:color w:val="000000"/>
                <w:sz w:val="18"/>
                <w:szCs w:val="18"/>
              </w:rPr>
              <w:t>1.66</w:t>
            </w:r>
          </w:p>
        </w:tc>
        <w:tc>
          <w:tcPr>
            <w:tcW w:w="527" w:type="pct"/>
            <w:shd w:val="clear" w:color="auto" w:fill="auto"/>
            <w:vAlign w:val="center"/>
            <w:hideMark/>
          </w:tcPr>
          <w:p w:rsidRPr="003E03CF" w:rsidR="00955C62" w:rsidP="00F64D94" w:rsidRDefault="00955C62" w14:paraId="3EF95189" w14:textId="77777777">
            <w:pPr>
              <w:jc w:val="center"/>
              <w:rPr>
                <w:rFonts w:ascii="Arial Narrow" w:hAnsi="Arial Narrow"/>
                <w:sz w:val="18"/>
                <w:szCs w:val="18"/>
              </w:rPr>
            </w:pPr>
            <w:r>
              <w:rPr>
                <w:rFonts w:ascii="Arial Narrow" w:hAnsi="Arial Narrow" w:cs="Calibri"/>
                <w:color w:val="000000"/>
                <w:sz w:val="18"/>
                <w:szCs w:val="18"/>
              </w:rPr>
              <w:t xml:space="preserve">$34.48 </w:t>
            </w:r>
          </w:p>
        </w:tc>
      </w:tr>
      <w:tr w:rsidRPr="003E03CF" w:rsidR="00955C62" w:rsidTr="00F64D94" w14:paraId="65479B51" w14:textId="77777777">
        <w:trPr>
          <w:jc w:val="center"/>
        </w:trPr>
        <w:tc>
          <w:tcPr>
            <w:tcW w:w="5000" w:type="pct"/>
            <w:gridSpan w:val="9"/>
            <w:shd w:val="clear" w:color="auto" w:fill="auto"/>
            <w:hideMark/>
          </w:tcPr>
          <w:p w:rsidRPr="003E03CF" w:rsidR="00955C62" w:rsidP="00F64D94" w:rsidRDefault="00955C62" w14:paraId="59246BC7" w14:textId="77777777">
            <w:pPr>
              <w:rPr>
                <w:rFonts w:ascii="Arial Narrow" w:hAnsi="Arial Narrow"/>
                <w:sz w:val="18"/>
                <w:szCs w:val="18"/>
              </w:rPr>
            </w:pPr>
            <w:r w:rsidRPr="003E03CF">
              <w:rPr>
                <w:rFonts w:ascii="Arial Narrow" w:hAnsi="Arial Narrow"/>
                <w:sz w:val="18"/>
                <w:szCs w:val="18"/>
              </w:rPr>
              <w:t>Footnotes</w:t>
            </w:r>
            <w:r>
              <w:rPr>
                <w:rFonts w:ascii="Arial Narrow" w:hAnsi="Arial Narrow"/>
                <w:sz w:val="18"/>
                <w:szCs w:val="18"/>
              </w:rPr>
              <w:t>:</w:t>
            </w:r>
            <w:r w:rsidRPr="003E03CF">
              <w:rPr>
                <w:rFonts w:ascii="Arial Narrow" w:hAnsi="Arial Narrow"/>
                <w:sz w:val="18"/>
                <w:szCs w:val="18"/>
              </w:rPr>
              <w:br/>
            </w:r>
            <w:r w:rsidRPr="003E03CF">
              <w:rPr>
                <w:rFonts w:ascii="Arial Narrow" w:hAnsi="Arial Narrow"/>
                <w:sz w:val="18"/>
                <w:szCs w:val="18"/>
                <w:vertAlign w:val="superscript"/>
              </w:rPr>
              <w:t>1</w:t>
            </w:r>
            <w:r w:rsidRPr="003E03CF">
              <w:rPr>
                <w:rFonts w:ascii="Arial Narrow" w:hAnsi="Arial Narrow"/>
                <w:sz w:val="18"/>
                <w:szCs w:val="18"/>
              </w:rPr>
              <w:t xml:space="preserve"> </w:t>
            </w:r>
            <w:r w:rsidRPr="003E03CF">
              <w:rPr>
                <w:rFonts w:ascii="Arial Narrow" w:hAnsi="Arial Narrow"/>
                <w:i/>
                <w:sz w:val="18"/>
                <w:szCs w:val="18"/>
              </w:rPr>
              <w:t>Employer Costs for Employee Compensation Supplementary Tables</w:t>
            </w:r>
            <w:r w:rsidRPr="003E03CF">
              <w:rPr>
                <w:rFonts w:ascii="Arial Narrow" w:hAnsi="Arial Narrow"/>
                <w:sz w:val="18"/>
                <w:szCs w:val="18"/>
              </w:rPr>
              <w:t xml:space="preserve">: December 2006 – </w:t>
            </w:r>
            <w:r>
              <w:rPr>
                <w:rFonts w:ascii="Arial Narrow" w:hAnsi="Arial Narrow"/>
                <w:sz w:val="18"/>
                <w:szCs w:val="18"/>
              </w:rPr>
              <w:t>June</w:t>
            </w:r>
            <w:r w:rsidRPr="003E03CF">
              <w:rPr>
                <w:rFonts w:ascii="Arial Narrow" w:hAnsi="Arial Narrow"/>
                <w:sz w:val="18"/>
                <w:szCs w:val="18"/>
              </w:rPr>
              <w:t xml:space="preserve"> 201</w:t>
            </w:r>
            <w:r>
              <w:rPr>
                <w:rFonts w:ascii="Arial Narrow" w:hAnsi="Arial Narrow"/>
                <w:sz w:val="18"/>
                <w:szCs w:val="18"/>
              </w:rPr>
              <w:t>9</w:t>
            </w:r>
            <w:r w:rsidRPr="003E03CF">
              <w:rPr>
                <w:rFonts w:ascii="Arial Narrow" w:hAnsi="Arial Narrow"/>
                <w:sz w:val="18"/>
                <w:szCs w:val="18"/>
              </w:rPr>
              <w:t xml:space="preserve"> (</w:t>
            </w:r>
            <w:r>
              <w:rPr>
                <w:rFonts w:ascii="Arial Narrow" w:hAnsi="Arial Narrow"/>
                <w:sz w:val="18"/>
                <w:szCs w:val="18"/>
              </w:rPr>
              <w:t>BLS</w:t>
            </w:r>
            <w:r w:rsidRPr="003E03CF">
              <w:rPr>
                <w:rFonts w:ascii="Arial Narrow" w:hAnsi="Arial Narrow"/>
                <w:sz w:val="18"/>
                <w:szCs w:val="18"/>
              </w:rPr>
              <w:t>, 201</w:t>
            </w:r>
            <w:r>
              <w:rPr>
                <w:rFonts w:ascii="Arial Narrow" w:hAnsi="Arial Narrow"/>
                <w:sz w:val="18"/>
                <w:szCs w:val="18"/>
              </w:rPr>
              <w:t>9a</w:t>
            </w:r>
            <w:r w:rsidRPr="003E03CF">
              <w:rPr>
                <w:rFonts w:ascii="Arial Narrow" w:hAnsi="Arial Narrow"/>
                <w:sz w:val="18"/>
                <w:szCs w:val="18"/>
              </w:rPr>
              <w:t>).</w:t>
            </w:r>
            <w:r w:rsidRPr="003E03CF">
              <w:rPr>
                <w:rFonts w:ascii="Arial Narrow" w:hAnsi="Arial Narrow"/>
                <w:sz w:val="18"/>
                <w:szCs w:val="18"/>
              </w:rPr>
              <w:br/>
            </w:r>
            <w:r w:rsidRPr="003E03CF">
              <w:rPr>
                <w:rFonts w:ascii="Arial Narrow" w:hAnsi="Arial Narrow"/>
                <w:sz w:val="18"/>
                <w:szCs w:val="18"/>
                <w:vertAlign w:val="superscript"/>
              </w:rPr>
              <w:t>2</w:t>
            </w:r>
            <w:r w:rsidRPr="003E03CF">
              <w:rPr>
                <w:rFonts w:ascii="Arial Narrow" w:hAnsi="Arial Narrow"/>
                <w:sz w:val="18"/>
                <w:szCs w:val="18"/>
              </w:rPr>
              <w:t xml:space="preserve"> An overhead rate of 17% is used based on assumptions in </w:t>
            </w:r>
            <w:r w:rsidRPr="003E03CF">
              <w:rPr>
                <w:rFonts w:ascii="Arial Narrow" w:hAnsi="Arial Narrow"/>
                <w:i/>
                <w:sz w:val="18"/>
                <w:szCs w:val="18"/>
              </w:rPr>
              <w:t>Wage Rates for Economic Analysis of the Toxics Release Inventory Program</w:t>
            </w:r>
            <w:r w:rsidRPr="003E03CF">
              <w:rPr>
                <w:rFonts w:ascii="Arial Narrow" w:hAnsi="Arial Narrow"/>
                <w:sz w:val="18"/>
                <w:szCs w:val="18"/>
              </w:rPr>
              <w:t xml:space="preserve"> (</w:t>
            </w:r>
            <w:r>
              <w:rPr>
                <w:rFonts w:ascii="Arial Narrow" w:hAnsi="Arial Narrow"/>
                <w:sz w:val="18"/>
                <w:szCs w:val="18"/>
              </w:rPr>
              <w:t>Rice</w:t>
            </w:r>
            <w:r w:rsidRPr="003E03CF">
              <w:rPr>
                <w:rFonts w:ascii="Arial Narrow" w:hAnsi="Arial Narrow"/>
                <w:sz w:val="18"/>
                <w:szCs w:val="18"/>
              </w:rPr>
              <w:t xml:space="preserve">, 2002), and the </w:t>
            </w:r>
            <w:r w:rsidRPr="003E03CF">
              <w:rPr>
                <w:rFonts w:ascii="Arial Narrow" w:hAnsi="Arial Narrow"/>
                <w:i/>
                <w:sz w:val="18"/>
                <w:szCs w:val="18"/>
              </w:rPr>
              <w:t>Revised Economic Analysis for the Amended Inventory Update Rule: Final Report</w:t>
            </w:r>
            <w:r w:rsidRPr="003E03CF">
              <w:rPr>
                <w:rFonts w:ascii="Arial Narrow" w:hAnsi="Arial Narrow"/>
                <w:sz w:val="18"/>
                <w:szCs w:val="18"/>
              </w:rPr>
              <w:t xml:space="preserve"> (EPA, 2002).</w:t>
            </w:r>
            <w:r w:rsidRPr="003E03CF">
              <w:rPr>
                <w:rFonts w:ascii="Arial Narrow" w:hAnsi="Arial Narrow"/>
                <w:sz w:val="18"/>
                <w:szCs w:val="18"/>
              </w:rPr>
              <w:br/>
            </w:r>
            <w:r w:rsidRPr="003E03CF">
              <w:rPr>
                <w:rFonts w:ascii="Arial Narrow" w:hAnsi="Arial Narrow"/>
                <w:sz w:val="18"/>
                <w:szCs w:val="18"/>
                <w:vertAlign w:val="superscript"/>
              </w:rPr>
              <w:t>3</w:t>
            </w:r>
            <w:r w:rsidRPr="003E03CF">
              <w:rPr>
                <w:rFonts w:ascii="Arial Narrow" w:hAnsi="Arial Narrow"/>
                <w:sz w:val="18"/>
                <w:szCs w:val="18"/>
              </w:rPr>
              <w:t xml:space="preserve"> The inflation factor of “1” in the formula for calculating the fringe + overhead factor means wage data are not escalated to reflect inflation.</w:t>
            </w:r>
            <w:r w:rsidRPr="003E03CF">
              <w:rPr>
                <w:rFonts w:ascii="Arial Narrow" w:hAnsi="Arial Narrow"/>
                <w:sz w:val="18"/>
                <w:szCs w:val="18"/>
              </w:rPr>
              <w:br/>
            </w:r>
            <w:r w:rsidRPr="003E03CF">
              <w:rPr>
                <w:rFonts w:ascii="Arial Narrow" w:hAnsi="Arial Narrow"/>
                <w:sz w:val="18"/>
                <w:szCs w:val="18"/>
                <w:vertAlign w:val="superscript"/>
              </w:rPr>
              <w:t>4</w:t>
            </w:r>
            <w:r w:rsidRPr="003E03CF">
              <w:rPr>
                <w:rFonts w:ascii="Arial Narrow" w:hAnsi="Arial Narrow"/>
                <w:sz w:val="18"/>
                <w:szCs w:val="18"/>
              </w:rPr>
              <w:t xml:space="preserve"> Wage data are rounded to the closest cent in this analysis.</w:t>
            </w:r>
          </w:p>
        </w:tc>
      </w:tr>
    </w:tbl>
    <w:p w:rsidRPr="006567EE" w:rsidR="00955C62" w:rsidP="00955C62" w:rsidRDefault="00955C62" w14:paraId="071E4D18" w14:textId="77777777"/>
    <w:p w:rsidR="004E2306" w:rsidRDefault="004E2306" w14:paraId="3B4E2B63" w14:textId="77777777">
      <w:pPr>
        <w:spacing w:after="200" w:line="276" w:lineRule="auto"/>
        <w:rPr>
          <w:b/>
          <w:sz w:val="28"/>
          <w:szCs w:val="28"/>
        </w:rPr>
        <w:sectPr w:rsidR="004E2306" w:rsidSect="002B34A0">
          <w:pgSz w:w="12240" w:h="15840"/>
          <w:pgMar w:top="1080" w:right="1080" w:bottom="1080" w:left="1080" w:header="720" w:footer="720" w:gutter="0"/>
          <w:cols w:space="720"/>
          <w:docGrid w:linePitch="360"/>
        </w:sectPr>
      </w:pPr>
    </w:p>
    <w:p w:rsidR="0068315F" w:rsidP="00820169" w:rsidRDefault="00C534EC" w14:paraId="0A9C5B43" w14:textId="77639C53">
      <w:pPr>
        <w:pStyle w:val="Heading7"/>
      </w:pPr>
      <w:bookmarkStart w:name="_Toc34984680" w:id="119"/>
      <w:r>
        <w:lastRenderedPageBreak/>
        <w:t>Explanation of Sequential vs Parallel Calcu</w:t>
      </w:r>
      <w:r w:rsidR="00992C0C">
        <w:t>l</w:t>
      </w:r>
      <w:r>
        <w:t>ation</w:t>
      </w:r>
      <w:bookmarkEnd w:id="119"/>
    </w:p>
    <w:p w:rsidRPr="004E21AA" w:rsidR="004775FB" w:rsidP="004775FB" w:rsidRDefault="004775FB" w14:paraId="79DE3CA4" w14:textId="16C9D340">
      <w:pPr>
        <w:pStyle w:val="BodyText"/>
      </w:pPr>
      <w:r w:rsidRPr="00794249">
        <w:t xml:space="preserve">This </w:t>
      </w:r>
      <w:r>
        <w:t>Appendix</w:t>
      </w:r>
      <w:r w:rsidRPr="00794249">
        <w:t xml:space="preserve"> provides further explanation of the calculations in </w:t>
      </w:r>
      <w:r w:rsidR="004E2306">
        <w:t>Section</w:t>
      </w:r>
      <w:r w:rsidR="0058718E">
        <w:t xml:space="preserve"> </w:t>
      </w:r>
      <w:r w:rsidR="0058718E">
        <w:fldChar w:fldCharType="begin"/>
      </w:r>
      <w:r w:rsidR="0058718E">
        <w:instrText xml:space="preserve"> REF _Ref33191589 \r \h </w:instrText>
      </w:r>
      <w:r w:rsidR="0058718E">
        <w:fldChar w:fldCharType="separate"/>
      </w:r>
      <w:r w:rsidR="00EC4095">
        <w:t>6</w:t>
      </w:r>
      <w:r w:rsidR="0058718E">
        <w:fldChar w:fldCharType="end"/>
      </w:r>
      <w:r w:rsidRPr="00C63150">
        <w:t xml:space="preserve">. </w:t>
      </w:r>
      <w:r w:rsidR="0038412E">
        <w:fldChar w:fldCharType="begin"/>
      </w:r>
      <w:r w:rsidR="0038412E">
        <w:instrText xml:space="preserve"> REF _Ref24463471 \h </w:instrText>
      </w:r>
      <w:r w:rsidR="0038412E">
        <w:fldChar w:fldCharType="separate"/>
      </w:r>
      <w:r w:rsidR="00EC4095">
        <w:t xml:space="preserve">Table </w:t>
      </w:r>
      <w:r w:rsidR="00EC4095">
        <w:rPr>
          <w:noProof/>
        </w:rPr>
        <w:t>C</w:t>
      </w:r>
      <w:r w:rsidR="00EC4095">
        <w:noBreakHyphen/>
      </w:r>
      <w:r w:rsidR="00EC4095">
        <w:rPr>
          <w:noProof/>
        </w:rPr>
        <w:t>1</w:t>
      </w:r>
      <w:r w:rsidR="0038412E">
        <w:fldChar w:fldCharType="end"/>
      </w:r>
      <w:r>
        <w:t xml:space="preserve"> </w:t>
      </w:r>
      <w:r w:rsidRPr="00FA0871">
        <w:t>present</w:t>
      </w:r>
      <w:r w:rsidRPr="00794249">
        <w:t>s</w:t>
      </w:r>
      <w:r w:rsidRPr="00E50C4B">
        <w:t xml:space="preserve"> the</w:t>
      </w:r>
      <w:r w:rsidRPr="00F63255">
        <w:t xml:space="preserve"> calculation of </w:t>
      </w:r>
      <w:r w:rsidRPr="00C63150">
        <w:t>incremental reporting burden in sequence</w:t>
      </w:r>
      <w:r w:rsidRPr="00FE082E">
        <w:t xml:space="preserve"> (as opposed to being conducted as parallel calculations, as done in the </w:t>
      </w:r>
      <w:r>
        <w:t>CDR Revisions</w:t>
      </w:r>
      <w:r w:rsidRPr="00FE082E">
        <w:t xml:space="preserve"> EA (</w:t>
      </w:r>
      <w:r>
        <w:t>EPA, 2019</w:t>
      </w:r>
      <w:r w:rsidRPr="002049F9">
        <w:t>)</w:t>
      </w:r>
      <w:r w:rsidRPr="00063FB2">
        <w:t>, using</w:t>
      </w:r>
      <w:r w:rsidRPr="00AC7595">
        <w:t xml:space="preserve"> the following steps:</w:t>
      </w:r>
    </w:p>
    <w:p w:rsidR="004775FB" w:rsidP="004775FB" w:rsidRDefault="004775FB" w14:paraId="5DC954D7" w14:textId="77777777">
      <w:pPr>
        <w:pStyle w:val="ListParagraph"/>
        <w:numPr>
          <w:ilvl w:val="0"/>
          <w:numId w:val="34"/>
        </w:numPr>
        <w:spacing w:after="120"/>
        <w:contextualSpacing w:val="0"/>
      </w:pPr>
      <w:r>
        <w:t>Calculate the burden associated with exempting sites and chemical reports under CDR Revisions, specifically the byproducts exemptions. Remove these sites and chemical reports from the reporting universe.</w:t>
      </w:r>
    </w:p>
    <w:p w:rsidR="004775FB" w:rsidP="004775FB" w:rsidRDefault="004775FB" w14:paraId="0FC8A04A" w14:textId="77777777">
      <w:pPr>
        <w:pStyle w:val="ListParagraph"/>
        <w:numPr>
          <w:ilvl w:val="0"/>
          <w:numId w:val="34"/>
        </w:numPr>
        <w:spacing w:after="120"/>
        <w:contextualSpacing w:val="0"/>
      </w:pPr>
      <w:r>
        <w:t>Calculate a per-site and per-chemical report unit burden for the new CDR activities under the final rule and apply them to the remaining sites (post-exemptions in step 1).</w:t>
      </w:r>
    </w:p>
    <w:p w:rsidR="004775FB" w:rsidP="004775FB" w:rsidRDefault="004775FB" w14:paraId="1EB9E4BE" w14:textId="77777777">
      <w:pPr>
        <w:pStyle w:val="ListParagraph"/>
        <w:numPr>
          <w:ilvl w:val="0"/>
          <w:numId w:val="34"/>
        </w:numPr>
        <w:spacing w:after="240"/>
        <w:contextualSpacing w:val="0"/>
      </w:pPr>
      <w:proofErr w:type="gramStart"/>
      <w:r>
        <w:t>Sum total</w:t>
      </w:r>
      <w:proofErr w:type="gramEnd"/>
      <w:r>
        <w:t xml:space="preserve"> burden in steps 1-2 to estimate incremental burden under the final rule.</w:t>
      </w:r>
    </w:p>
    <w:p w:rsidRPr="004E21AA" w:rsidR="004775FB" w:rsidP="004775FB" w:rsidRDefault="004775FB" w14:paraId="5C8906CB" w14:textId="61C65588">
      <w:pPr>
        <w:pStyle w:val="BodyText"/>
      </w:pPr>
      <w:r w:rsidRPr="00794249">
        <w:t>Th</w:t>
      </w:r>
      <w:r w:rsidRPr="00E50C4B">
        <w:t>is approach differ</w:t>
      </w:r>
      <w:r w:rsidRPr="00F63255">
        <w:t>s</w:t>
      </w:r>
      <w:r w:rsidRPr="00C63150">
        <w:t xml:space="preserve"> from the calculation in the </w:t>
      </w:r>
      <w:r>
        <w:t>CDR Revisions</w:t>
      </w:r>
      <w:r w:rsidRPr="00C63150">
        <w:t xml:space="preserve"> EA and in the</w:t>
      </w:r>
      <w:r w:rsidRPr="00FE082E">
        <w:t xml:space="preserve"> </w:t>
      </w:r>
      <w:r w:rsidRPr="002A58F8">
        <w:t>main body of the ICR Addendum</w:t>
      </w:r>
      <w:r>
        <w:t>,</w:t>
      </w:r>
      <w:r w:rsidRPr="002A58F8">
        <w:t xml:space="preserve"> as</w:t>
      </w:r>
      <w:r w:rsidRPr="002049F9">
        <w:t xml:space="preserve"> </w:t>
      </w:r>
      <w:r w:rsidRPr="00063FB2">
        <w:t>it</w:t>
      </w:r>
      <w:r w:rsidRPr="00AC7595">
        <w:t xml:space="preserve"> applies </w:t>
      </w:r>
      <w:r w:rsidRPr="00B33B2F">
        <w:t>unit burden associated with new and modified reporting activities from step</w:t>
      </w:r>
      <w:r>
        <w:t xml:space="preserve"> 2</w:t>
      </w:r>
      <w:r w:rsidRPr="00B33B2F">
        <w:t xml:space="preserve"> to a post-exemption count of sites. This </w:t>
      </w:r>
      <w:r w:rsidRPr="00FA0871">
        <w:t xml:space="preserve">approach </w:t>
      </w:r>
      <w:r>
        <w:t xml:space="preserve">is a </w:t>
      </w:r>
      <w:r w:rsidRPr="00AD1F77">
        <w:t xml:space="preserve">“calculation in sequence.” </w:t>
      </w:r>
      <w:r>
        <w:t xml:space="preserve">As noted in Section 6, in this sequential calculation, incremental rule familiarization, incremental compliance determination, and changes to Form U content associated with exempted sites are not included in the estimate. </w:t>
      </w:r>
      <w:r w:rsidRPr="00AD1F77">
        <w:t xml:space="preserve">The approach used in the ICR Addendum and in the EA </w:t>
      </w:r>
      <w:r>
        <w:t>for</w:t>
      </w:r>
      <w:r w:rsidRPr="00AD1F77">
        <w:t xml:space="preserve"> the </w:t>
      </w:r>
      <w:r>
        <w:t>final rule</w:t>
      </w:r>
      <w:r w:rsidRPr="00AD1F77">
        <w:t xml:space="preserve"> applies these unit burdens to the entire baseline reporting universe. This “calculation in parallel” </w:t>
      </w:r>
      <w:r>
        <w:t>i</w:t>
      </w:r>
      <w:r w:rsidRPr="00AD1F77">
        <w:t>s necessary to separately present the distinct p</w:t>
      </w:r>
      <w:r>
        <w:t>rovision</w:t>
      </w:r>
      <w:r w:rsidRPr="00AD1F77">
        <w:t xml:space="preserve">s of the </w:t>
      </w:r>
      <w:r>
        <w:t>rule</w:t>
      </w:r>
      <w:r w:rsidRPr="00AD1F77">
        <w:t xml:space="preserve">. Note that when managing changes to the universe counts for sites and chemical reports, calculation in sequence yields </w:t>
      </w:r>
      <w:r>
        <w:t>lower</w:t>
      </w:r>
      <w:r w:rsidRPr="00AD1F77">
        <w:t xml:space="preserve"> values for burden and cost </w:t>
      </w:r>
      <w:r>
        <w:t xml:space="preserve">increases </w:t>
      </w:r>
      <w:r w:rsidRPr="00AD1F77">
        <w:t xml:space="preserve">due to the </w:t>
      </w:r>
      <w:r>
        <w:t>final</w:t>
      </w:r>
      <w:r w:rsidRPr="00AD1F77">
        <w:t xml:space="preserve"> rule than the values reported in the EA</w:t>
      </w:r>
      <w:r w:rsidRPr="00C63150">
        <w:t xml:space="preserve">. </w:t>
      </w:r>
    </w:p>
    <w:p w:rsidR="004775FB" w:rsidP="004775FB" w:rsidRDefault="004E2306" w14:paraId="0FD67550" w14:textId="22A5DD06">
      <w:pPr>
        <w:pStyle w:val="BodyText"/>
      </w:pPr>
      <w:r>
        <w:fldChar w:fldCharType="begin"/>
      </w:r>
      <w:r>
        <w:instrText xml:space="preserve"> REF _Ref24463471 \h </w:instrText>
      </w:r>
      <w:r>
        <w:fldChar w:fldCharType="separate"/>
      </w:r>
      <w:r w:rsidR="00EC4095">
        <w:t xml:space="preserve">Table </w:t>
      </w:r>
      <w:r w:rsidR="00EC4095">
        <w:rPr>
          <w:noProof/>
        </w:rPr>
        <w:t>C</w:t>
      </w:r>
      <w:r w:rsidR="00EC4095">
        <w:noBreakHyphen/>
      </w:r>
      <w:r w:rsidR="00EC4095">
        <w:rPr>
          <w:noProof/>
        </w:rPr>
        <w:t>1</w:t>
      </w:r>
      <w:r>
        <w:fldChar w:fldCharType="end"/>
      </w:r>
      <w:r w:rsidR="004775FB">
        <w:t xml:space="preserve"> demonstrates how the provisions in the final rule affect baseline counts of sites and chemical reports according to provisions of the rule.</w:t>
      </w:r>
    </w:p>
    <w:p w:rsidR="00C534EC" w:rsidP="004775FB" w:rsidRDefault="00C534EC" w14:paraId="66227E54" w14:textId="77777777">
      <w:pPr>
        <w:pStyle w:val="BodyText"/>
      </w:pPr>
    </w:p>
    <w:tbl>
      <w:tblPr>
        <w:tblW w:w="9540" w:type="dxa"/>
        <w:tblLayout w:type="fixed"/>
        <w:tblLook w:val="04A0" w:firstRow="1" w:lastRow="0" w:firstColumn="1" w:lastColumn="0" w:noHBand="0" w:noVBand="1"/>
      </w:tblPr>
      <w:tblGrid>
        <w:gridCol w:w="1620"/>
        <w:gridCol w:w="1980"/>
        <w:gridCol w:w="2070"/>
        <w:gridCol w:w="1890"/>
        <w:gridCol w:w="1980"/>
      </w:tblGrid>
      <w:tr w:rsidRPr="000F453D" w:rsidR="004775FB" w:rsidTr="00C935A8" w14:paraId="2BC88F22" w14:textId="77777777">
        <w:tc>
          <w:tcPr>
            <w:tcW w:w="9540" w:type="dxa"/>
            <w:gridSpan w:val="5"/>
            <w:tcBorders>
              <w:top w:val="nil"/>
              <w:left w:val="nil"/>
              <w:bottom w:val="single" w:color="auto" w:sz="4" w:space="0"/>
              <w:right w:val="nil"/>
            </w:tcBorders>
            <w:shd w:val="clear" w:color="auto" w:fill="auto"/>
            <w:noWrap/>
            <w:vAlign w:val="bottom"/>
            <w:hideMark/>
          </w:tcPr>
          <w:p w:rsidRPr="00C534EC" w:rsidR="004775FB" w:rsidP="00C935A8" w:rsidRDefault="004E2306" w14:paraId="315F3031" w14:textId="09871B17">
            <w:pPr>
              <w:pStyle w:val="Caption"/>
              <w:rPr>
                <w:rFonts w:eastAsia="Times New Roman" w:cs="Times New Roman"/>
                <w:szCs w:val="24"/>
              </w:rPr>
            </w:pPr>
            <w:bookmarkStart w:name="_Ref24463471" w:id="120"/>
            <w:bookmarkStart w:name="_Toc24464131" w:id="121"/>
            <w:r>
              <w:t xml:space="preserve">Table </w:t>
            </w:r>
            <w:r>
              <w:fldChar w:fldCharType="begin"/>
            </w:r>
            <w:r>
              <w:instrText>STYLEREF 7 \s</w:instrText>
            </w:r>
            <w:r>
              <w:fldChar w:fldCharType="separate"/>
            </w:r>
            <w:r w:rsidR="00EC4095">
              <w:rPr>
                <w:noProof/>
              </w:rPr>
              <w:t>C</w:t>
            </w:r>
            <w:r>
              <w:fldChar w:fldCharType="end"/>
            </w:r>
            <w:r>
              <w:noBreakHyphen/>
            </w:r>
            <w:r>
              <w:fldChar w:fldCharType="begin"/>
            </w:r>
            <w:r>
              <w:instrText>SEQ Table_Apx \* ARABIC \s 7</w:instrText>
            </w:r>
            <w:r>
              <w:fldChar w:fldCharType="separate"/>
            </w:r>
            <w:r w:rsidR="00EC4095">
              <w:rPr>
                <w:noProof/>
              </w:rPr>
              <w:t>1</w:t>
            </w:r>
            <w:r>
              <w:fldChar w:fldCharType="end"/>
            </w:r>
            <w:bookmarkEnd w:id="120"/>
            <w:r>
              <w:t>:</w:t>
            </w:r>
            <w:r w:rsidRPr="00C534EC" w:rsidR="004775FB">
              <w:rPr>
                <w:szCs w:val="24"/>
              </w:rPr>
              <w:t xml:space="preserve"> </w:t>
            </w:r>
            <w:r w:rsidRPr="00C534EC" w:rsidR="004775FB">
              <w:rPr>
                <w:rFonts w:eastAsia="Times New Roman" w:cs="Times New Roman"/>
                <w:szCs w:val="24"/>
              </w:rPr>
              <w:t>Final Rule Changes to Number of Sites and Chemical Reports</w:t>
            </w:r>
            <w:bookmarkEnd w:id="121"/>
          </w:p>
        </w:tc>
      </w:tr>
      <w:tr w:rsidRPr="000F453D" w:rsidR="004775FB" w:rsidTr="00C935A8" w14:paraId="2AEB21B9" w14:textId="77777777">
        <w:tc>
          <w:tcPr>
            <w:tcW w:w="1620" w:type="dxa"/>
            <w:tcBorders>
              <w:top w:val="nil"/>
              <w:left w:val="single" w:color="auto" w:sz="4" w:space="0"/>
              <w:bottom w:val="nil"/>
              <w:right w:val="single" w:color="auto" w:sz="4" w:space="0"/>
            </w:tcBorders>
            <w:shd w:val="clear" w:color="000000" w:fill="BFBFBF"/>
            <w:noWrap/>
            <w:vAlign w:val="bottom"/>
            <w:hideMark/>
          </w:tcPr>
          <w:p w:rsidRPr="00F63255" w:rsidR="004775FB" w:rsidP="00C935A8" w:rsidRDefault="004775FB" w14:paraId="4827E231" w14:textId="77777777">
            <w:pPr>
              <w:rPr>
                <w:rFonts w:ascii="Calibri" w:hAnsi="Calibri" w:eastAsia="Times New Roman" w:cs="Calibri"/>
                <w:color w:val="000000"/>
                <w:sz w:val="18"/>
                <w:szCs w:val="18"/>
              </w:rPr>
            </w:pPr>
            <w:r w:rsidRPr="00F63255">
              <w:rPr>
                <w:rFonts w:ascii="Calibri" w:hAnsi="Calibri" w:eastAsia="Times New Roman" w:cs="Calibri"/>
                <w:color w:val="000000"/>
                <w:sz w:val="18"/>
                <w:szCs w:val="18"/>
              </w:rPr>
              <w:t> </w:t>
            </w:r>
          </w:p>
        </w:tc>
        <w:tc>
          <w:tcPr>
            <w:tcW w:w="7920" w:type="dxa"/>
            <w:gridSpan w:val="4"/>
            <w:tcBorders>
              <w:top w:val="single" w:color="auto" w:sz="4" w:space="0"/>
              <w:left w:val="single" w:color="auto" w:sz="4" w:space="0"/>
              <w:bottom w:val="single" w:color="auto" w:sz="4" w:space="0"/>
              <w:right w:val="single" w:color="000000" w:sz="4" w:space="0"/>
            </w:tcBorders>
            <w:shd w:val="clear" w:color="000000" w:fill="BFBFBF"/>
            <w:vAlign w:val="center"/>
            <w:hideMark/>
          </w:tcPr>
          <w:p w:rsidRPr="00F63255" w:rsidR="004775FB" w:rsidP="00C935A8" w:rsidRDefault="004775FB" w14:paraId="3D1D5FA5"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Changes</w:t>
            </w:r>
          </w:p>
        </w:tc>
      </w:tr>
      <w:tr w:rsidRPr="000F453D" w:rsidR="004775FB" w:rsidTr="00C935A8" w14:paraId="052733DB" w14:textId="77777777">
        <w:tc>
          <w:tcPr>
            <w:tcW w:w="1620" w:type="dxa"/>
            <w:tcBorders>
              <w:top w:val="nil"/>
              <w:left w:val="single" w:color="auto" w:sz="4" w:space="0"/>
              <w:bottom w:val="single" w:color="auto" w:sz="4" w:space="0"/>
              <w:right w:val="single" w:color="auto" w:sz="4" w:space="0"/>
            </w:tcBorders>
            <w:shd w:val="clear" w:color="000000" w:fill="BFBFBF"/>
            <w:noWrap/>
            <w:vAlign w:val="bottom"/>
            <w:hideMark/>
          </w:tcPr>
          <w:p w:rsidRPr="00F63255" w:rsidR="004775FB" w:rsidP="00C935A8" w:rsidRDefault="004775FB" w14:paraId="19797573" w14:textId="77777777">
            <w:pPr>
              <w:rPr>
                <w:rFonts w:ascii="Calibri" w:hAnsi="Calibri" w:eastAsia="Times New Roman" w:cs="Calibri"/>
                <w:color w:val="000000"/>
                <w:sz w:val="18"/>
                <w:szCs w:val="18"/>
              </w:rPr>
            </w:pPr>
            <w:r w:rsidRPr="00F63255">
              <w:rPr>
                <w:rFonts w:ascii="Calibri" w:hAnsi="Calibri" w:eastAsia="Times New Roman" w:cs="Calibri"/>
                <w:color w:val="000000"/>
                <w:sz w:val="18"/>
                <w:szCs w:val="18"/>
              </w:rPr>
              <w:t> </w:t>
            </w:r>
          </w:p>
        </w:tc>
        <w:tc>
          <w:tcPr>
            <w:tcW w:w="4050"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F63255" w:rsidR="004775FB" w:rsidP="00C935A8" w:rsidRDefault="004775FB" w14:paraId="639B7BF1"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 xml:space="preserve">CDR Revisions Changes to Numbers of Reporters/Chemical Reports, Byproduct </w:t>
            </w:r>
            <w:r>
              <w:rPr>
                <w:rFonts w:ascii="Arial Narrow" w:hAnsi="Arial Narrow" w:eastAsia="Times New Roman" w:cs="Calibri"/>
                <w:b/>
                <w:bCs/>
                <w:color w:val="000000"/>
                <w:sz w:val="18"/>
                <w:szCs w:val="18"/>
              </w:rPr>
              <w:t>Exemptions</w:t>
            </w:r>
          </w:p>
        </w:tc>
        <w:tc>
          <w:tcPr>
            <w:tcW w:w="3870"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F63255" w:rsidR="004775FB" w:rsidP="00C935A8" w:rsidRDefault="004775FB" w14:paraId="5EEEAB1C"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CDR Revisions New and Modified Reporting Activities</w:t>
            </w:r>
          </w:p>
        </w:tc>
      </w:tr>
      <w:tr w:rsidRPr="000F453D" w:rsidR="004775FB" w:rsidTr="00C935A8" w14:paraId="77B83DC3" w14:textId="77777777">
        <w:tc>
          <w:tcPr>
            <w:tcW w:w="1620" w:type="dxa"/>
            <w:tcBorders>
              <w:top w:val="nil"/>
              <w:left w:val="single" w:color="auto" w:sz="4" w:space="0"/>
              <w:bottom w:val="single" w:color="auto" w:sz="4" w:space="0"/>
              <w:right w:val="single" w:color="auto" w:sz="4" w:space="0"/>
            </w:tcBorders>
            <w:shd w:val="clear" w:color="auto" w:fill="BFBFBF" w:themeFill="background1" w:themeFillShade="BF"/>
            <w:vAlign w:val="center"/>
            <w:hideMark/>
          </w:tcPr>
          <w:p w:rsidRPr="00F63255" w:rsidR="004775FB" w:rsidP="00C935A8" w:rsidRDefault="004775FB" w14:paraId="4BFD1480" w14:textId="77777777">
            <w:pPr>
              <w:rPr>
                <w:rFonts w:ascii="Arial Narrow" w:hAnsi="Arial Narrow" w:eastAsia="Times New Roman" w:cs="Calibri"/>
                <w:color w:val="000000"/>
                <w:sz w:val="18"/>
                <w:szCs w:val="18"/>
              </w:rPr>
            </w:pPr>
            <w:r w:rsidRPr="00F63255">
              <w:rPr>
                <w:rFonts w:ascii="Arial Narrow" w:hAnsi="Arial Narrow" w:eastAsia="Times New Roman" w:cs="Calibri"/>
                <w:color w:val="000000"/>
                <w:sz w:val="18"/>
                <w:szCs w:val="18"/>
              </w:rPr>
              <w:t> </w:t>
            </w:r>
          </w:p>
        </w:tc>
        <w:tc>
          <w:tcPr>
            <w:tcW w:w="1980" w:type="dxa"/>
            <w:tcBorders>
              <w:top w:val="nil"/>
              <w:left w:val="nil"/>
              <w:bottom w:val="single" w:color="auto" w:sz="4" w:space="0"/>
              <w:right w:val="single" w:color="auto" w:sz="4" w:space="0"/>
            </w:tcBorders>
            <w:shd w:val="clear" w:color="auto" w:fill="BFBFBF" w:themeFill="background1" w:themeFillShade="BF"/>
            <w:noWrap/>
            <w:vAlign w:val="center"/>
            <w:hideMark/>
          </w:tcPr>
          <w:p w:rsidRPr="00F63255" w:rsidR="004775FB" w:rsidP="00C935A8" w:rsidRDefault="004775FB" w14:paraId="47085854"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Before</w:t>
            </w:r>
          </w:p>
        </w:tc>
        <w:tc>
          <w:tcPr>
            <w:tcW w:w="2070" w:type="dxa"/>
            <w:tcBorders>
              <w:top w:val="nil"/>
              <w:left w:val="nil"/>
              <w:bottom w:val="single" w:color="auto" w:sz="4" w:space="0"/>
              <w:right w:val="single" w:color="auto" w:sz="4" w:space="0"/>
            </w:tcBorders>
            <w:shd w:val="clear" w:color="auto" w:fill="BFBFBF" w:themeFill="background1" w:themeFillShade="BF"/>
            <w:noWrap/>
            <w:vAlign w:val="center"/>
            <w:hideMark/>
          </w:tcPr>
          <w:p w:rsidRPr="00F63255" w:rsidR="004775FB" w:rsidP="00C935A8" w:rsidRDefault="004775FB" w14:paraId="26316296"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After</w:t>
            </w:r>
          </w:p>
        </w:tc>
        <w:tc>
          <w:tcPr>
            <w:tcW w:w="1890" w:type="dxa"/>
            <w:tcBorders>
              <w:top w:val="nil"/>
              <w:left w:val="nil"/>
              <w:bottom w:val="single" w:color="auto" w:sz="4" w:space="0"/>
              <w:right w:val="single" w:color="auto" w:sz="4" w:space="0"/>
            </w:tcBorders>
            <w:shd w:val="clear" w:color="auto" w:fill="BFBFBF" w:themeFill="background1" w:themeFillShade="BF"/>
            <w:noWrap/>
            <w:vAlign w:val="center"/>
            <w:hideMark/>
          </w:tcPr>
          <w:p w:rsidRPr="00F63255" w:rsidR="004775FB" w:rsidP="00C935A8" w:rsidRDefault="004775FB" w14:paraId="4F9FE6B0"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Before</w:t>
            </w:r>
          </w:p>
        </w:tc>
        <w:tc>
          <w:tcPr>
            <w:tcW w:w="1980" w:type="dxa"/>
            <w:tcBorders>
              <w:top w:val="nil"/>
              <w:left w:val="nil"/>
              <w:bottom w:val="single" w:color="auto" w:sz="4" w:space="0"/>
              <w:right w:val="single" w:color="auto" w:sz="4" w:space="0"/>
            </w:tcBorders>
            <w:shd w:val="clear" w:color="auto" w:fill="BFBFBF" w:themeFill="background1" w:themeFillShade="BF"/>
            <w:noWrap/>
            <w:vAlign w:val="center"/>
            <w:hideMark/>
          </w:tcPr>
          <w:p w:rsidRPr="00F63255" w:rsidR="004775FB" w:rsidP="00C935A8" w:rsidRDefault="004775FB" w14:paraId="4461D1BE" w14:textId="77777777">
            <w:pPr>
              <w:jc w:val="center"/>
              <w:rPr>
                <w:rFonts w:ascii="Arial Narrow" w:hAnsi="Arial Narrow" w:eastAsia="Times New Roman" w:cs="Calibri"/>
                <w:b/>
                <w:bCs/>
                <w:color w:val="000000"/>
                <w:sz w:val="18"/>
                <w:szCs w:val="18"/>
              </w:rPr>
            </w:pPr>
            <w:r w:rsidRPr="00F63255">
              <w:rPr>
                <w:rFonts w:ascii="Arial Narrow" w:hAnsi="Arial Narrow" w:eastAsia="Times New Roman" w:cs="Calibri"/>
                <w:b/>
                <w:bCs/>
                <w:color w:val="000000"/>
                <w:sz w:val="18"/>
                <w:szCs w:val="18"/>
              </w:rPr>
              <w:t>After</w:t>
            </w:r>
          </w:p>
        </w:tc>
      </w:tr>
      <w:tr w:rsidRPr="000F453D" w:rsidR="004775FB" w:rsidTr="00C935A8" w14:paraId="74CECF71" w14:textId="77777777">
        <w:tc>
          <w:tcPr>
            <w:tcW w:w="1620" w:type="dxa"/>
            <w:tcBorders>
              <w:top w:val="nil"/>
              <w:left w:val="single" w:color="auto" w:sz="4" w:space="0"/>
              <w:bottom w:val="single" w:color="auto" w:sz="4" w:space="0"/>
              <w:right w:val="single" w:color="auto" w:sz="4" w:space="0"/>
            </w:tcBorders>
            <w:shd w:val="clear" w:color="auto" w:fill="auto"/>
            <w:vAlign w:val="center"/>
            <w:hideMark/>
          </w:tcPr>
          <w:p w:rsidRPr="00F63255" w:rsidR="004775FB" w:rsidP="00C935A8" w:rsidRDefault="004775FB" w14:paraId="72265693" w14:textId="77777777">
            <w:pPr>
              <w:rPr>
                <w:rFonts w:ascii="Arial Narrow" w:hAnsi="Arial Narrow" w:eastAsia="Times New Roman" w:cs="Calibri"/>
                <w:color w:val="000000"/>
                <w:sz w:val="18"/>
                <w:szCs w:val="18"/>
              </w:rPr>
            </w:pPr>
            <w:r w:rsidRPr="00F63255">
              <w:rPr>
                <w:rFonts w:ascii="Arial Narrow" w:hAnsi="Arial Narrow" w:eastAsia="Times New Roman" w:cs="Calibri"/>
                <w:color w:val="000000"/>
                <w:sz w:val="18"/>
                <w:szCs w:val="18"/>
              </w:rPr>
              <w:t>Sites</w:t>
            </w:r>
          </w:p>
        </w:tc>
        <w:tc>
          <w:tcPr>
            <w:tcW w:w="198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43D4459B"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5,660</w:t>
            </w:r>
          </w:p>
        </w:tc>
        <w:tc>
          <w:tcPr>
            <w:tcW w:w="207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417F1D0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5,590</w:t>
            </w:r>
          </w:p>
        </w:tc>
        <w:tc>
          <w:tcPr>
            <w:tcW w:w="189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448A8272"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5,590</w:t>
            </w:r>
          </w:p>
        </w:tc>
        <w:tc>
          <w:tcPr>
            <w:tcW w:w="198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10BB1985"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5,590</w:t>
            </w:r>
          </w:p>
        </w:tc>
      </w:tr>
      <w:tr w:rsidRPr="000F453D" w:rsidR="004775FB" w:rsidTr="00C935A8" w14:paraId="784A9C41" w14:textId="77777777">
        <w:tc>
          <w:tcPr>
            <w:tcW w:w="1620" w:type="dxa"/>
            <w:tcBorders>
              <w:top w:val="nil"/>
              <w:left w:val="single" w:color="auto" w:sz="4" w:space="0"/>
              <w:bottom w:val="single" w:color="auto" w:sz="4" w:space="0"/>
              <w:right w:val="single" w:color="auto" w:sz="4" w:space="0"/>
            </w:tcBorders>
            <w:shd w:val="clear" w:color="auto" w:fill="auto"/>
            <w:vAlign w:val="center"/>
            <w:hideMark/>
          </w:tcPr>
          <w:p w:rsidRPr="00F63255" w:rsidR="004775FB" w:rsidP="00C935A8" w:rsidRDefault="004775FB" w14:paraId="3CF910DF" w14:textId="77777777">
            <w:pPr>
              <w:rPr>
                <w:rFonts w:ascii="Arial Narrow" w:hAnsi="Arial Narrow" w:eastAsia="Times New Roman" w:cs="Calibri"/>
                <w:color w:val="000000"/>
                <w:sz w:val="18"/>
                <w:szCs w:val="18"/>
              </w:rPr>
            </w:pPr>
            <w:r w:rsidRPr="00F63255">
              <w:rPr>
                <w:rFonts w:ascii="Arial Narrow" w:hAnsi="Arial Narrow" w:eastAsia="Times New Roman" w:cs="Calibri"/>
                <w:color w:val="000000"/>
                <w:sz w:val="18"/>
                <w:szCs w:val="18"/>
              </w:rPr>
              <w:t>Chemical Reports</w:t>
            </w:r>
          </w:p>
        </w:tc>
        <w:tc>
          <w:tcPr>
            <w:tcW w:w="198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3A09075D"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42,464</w:t>
            </w:r>
          </w:p>
        </w:tc>
        <w:tc>
          <w:tcPr>
            <w:tcW w:w="207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076C5826"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41,539</w:t>
            </w:r>
          </w:p>
        </w:tc>
        <w:tc>
          <w:tcPr>
            <w:tcW w:w="189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627E69B7"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41,539</w:t>
            </w:r>
          </w:p>
        </w:tc>
        <w:tc>
          <w:tcPr>
            <w:tcW w:w="1980" w:type="dxa"/>
            <w:tcBorders>
              <w:top w:val="nil"/>
              <w:left w:val="nil"/>
              <w:bottom w:val="single" w:color="auto" w:sz="4" w:space="0"/>
              <w:right w:val="single" w:color="auto" w:sz="4" w:space="0"/>
            </w:tcBorders>
            <w:shd w:val="clear" w:color="auto" w:fill="auto"/>
            <w:noWrap/>
            <w:vAlign w:val="center"/>
            <w:hideMark/>
          </w:tcPr>
          <w:p w:rsidRPr="00F63255" w:rsidR="004775FB" w:rsidP="00C935A8" w:rsidRDefault="004775FB" w14:paraId="26AA8F5D"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41,539</w:t>
            </w:r>
          </w:p>
        </w:tc>
      </w:tr>
    </w:tbl>
    <w:p w:rsidRPr="004E2306" w:rsidR="004775FB" w:rsidP="004E2306" w:rsidRDefault="004775FB" w14:paraId="61594FAA" w14:textId="77777777"/>
    <w:p w:rsidR="004775FB" w:rsidP="004775FB" w:rsidRDefault="004E2306" w14:paraId="3A5215E2" w14:textId="10CC24F1">
      <w:pPr>
        <w:pStyle w:val="BodyText"/>
      </w:pPr>
      <w:r>
        <w:rPr>
          <w:b/>
        </w:rPr>
        <w:fldChar w:fldCharType="begin"/>
      </w:r>
      <w:r>
        <w:instrText xml:space="preserve"> REF _Ref24463551 \h </w:instrText>
      </w:r>
      <w:r>
        <w:rPr>
          <w:b/>
        </w:rPr>
      </w:r>
      <w:r>
        <w:rPr>
          <w:b/>
        </w:rPr>
        <w:fldChar w:fldCharType="separate"/>
      </w:r>
      <w:r w:rsidR="00EC4095">
        <w:t xml:space="preserve">Table </w:t>
      </w:r>
      <w:r w:rsidR="00EC4095">
        <w:rPr>
          <w:noProof/>
        </w:rPr>
        <w:t>C</w:t>
      </w:r>
      <w:r w:rsidR="00EC4095">
        <w:noBreakHyphen/>
      </w:r>
      <w:r w:rsidR="00EC4095">
        <w:rPr>
          <w:noProof/>
        </w:rPr>
        <w:t>2</w:t>
      </w:r>
      <w:r>
        <w:rPr>
          <w:b/>
        </w:rPr>
        <w:fldChar w:fldCharType="end"/>
      </w:r>
      <w:r w:rsidRPr="00394B95" w:rsidR="004775FB">
        <w:t xml:space="preserve"> calculates total burden and cost under each option using the same approach as in</w:t>
      </w:r>
      <w:r w:rsidR="0058718E">
        <w:t xml:space="preserve"> </w:t>
      </w:r>
      <w:r w:rsidR="0058718E">
        <w:fldChar w:fldCharType="begin"/>
      </w:r>
      <w:r w:rsidR="0058718E">
        <w:instrText xml:space="preserve"> REF _Ref33191177 \h </w:instrText>
      </w:r>
      <w:r w:rsidR="0058718E">
        <w:fldChar w:fldCharType="separate"/>
      </w:r>
      <w:r w:rsidRPr="003173DB" w:rsidR="00EC4095">
        <w:rPr>
          <w:szCs w:val="24"/>
        </w:rPr>
        <w:t xml:space="preserve">Table </w:t>
      </w:r>
      <w:r w:rsidR="00EC4095">
        <w:rPr>
          <w:noProof/>
          <w:szCs w:val="24"/>
        </w:rPr>
        <w:t>6</w:t>
      </w:r>
      <w:r w:rsidR="0058718E">
        <w:fldChar w:fldCharType="end"/>
      </w:r>
      <w:r w:rsidR="004775FB">
        <w:t>; however, unit burdens are multiplied by the post-exemption count of sites instead of the baseline count of sites. These total burden values closely resemble the results in</w:t>
      </w:r>
      <w:r w:rsidR="0058718E">
        <w:t xml:space="preserve"> </w:t>
      </w:r>
      <w:r w:rsidR="0058718E">
        <w:fldChar w:fldCharType="begin"/>
      </w:r>
      <w:r w:rsidR="0058718E">
        <w:instrText xml:space="preserve"> REF _Ref33191177 \h </w:instrText>
      </w:r>
      <w:r w:rsidR="0058718E">
        <w:fldChar w:fldCharType="separate"/>
      </w:r>
      <w:r w:rsidRPr="003173DB" w:rsidR="00EC4095">
        <w:rPr>
          <w:szCs w:val="24"/>
        </w:rPr>
        <w:t xml:space="preserve">Table </w:t>
      </w:r>
      <w:r w:rsidR="00EC4095">
        <w:rPr>
          <w:noProof/>
          <w:szCs w:val="24"/>
        </w:rPr>
        <w:t>6</w:t>
      </w:r>
      <w:r w:rsidR="0058718E">
        <w:fldChar w:fldCharType="end"/>
      </w:r>
      <w:r w:rsidR="004775FB">
        <w:t>, with slight differences due to rounding.</w:t>
      </w:r>
    </w:p>
    <w:p w:rsidR="00C534EC" w:rsidP="004775FB" w:rsidRDefault="00C534EC" w14:paraId="2F5824C5" w14:textId="77777777">
      <w:pPr>
        <w:pStyle w:val="BodyText"/>
      </w:pPr>
    </w:p>
    <w:p w:rsidRPr="004E2306" w:rsidR="004E2306" w:rsidP="004E2306" w:rsidRDefault="004E2306" w14:paraId="0BFC693C" w14:textId="78D35867"/>
    <w:tbl>
      <w:tblPr>
        <w:tblW w:w="9360" w:type="dxa"/>
        <w:jc w:val="center"/>
        <w:tblLayout w:type="fixed"/>
        <w:tblCellMar>
          <w:left w:w="115" w:type="dxa"/>
          <w:right w:w="115" w:type="dxa"/>
        </w:tblCellMar>
        <w:tblLook w:val="04A0" w:firstRow="1" w:lastRow="0" w:firstColumn="1" w:lastColumn="0" w:noHBand="0" w:noVBand="1"/>
      </w:tblPr>
      <w:tblGrid>
        <w:gridCol w:w="270"/>
        <w:gridCol w:w="2970"/>
        <w:gridCol w:w="900"/>
        <w:gridCol w:w="990"/>
        <w:gridCol w:w="930"/>
        <w:gridCol w:w="1155"/>
        <w:gridCol w:w="1065"/>
        <w:gridCol w:w="1080"/>
      </w:tblGrid>
      <w:tr w:rsidRPr="007D2C2B" w:rsidR="004775FB" w:rsidTr="00C935A8" w14:paraId="785E11B2" w14:textId="77777777">
        <w:trPr>
          <w:tblHeader/>
          <w:jc w:val="center"/>
        </w:trPr>
        <w:tc>
          <w:tcPr>
            <w:tcW w:w="9360" w:type="dxa"/>
            <w:gridSpan w:val="8"/>
            <w:tcBorders>
              <w:top w:val="nil"/>
              <w:left w:val="nil"/>
              <w:bottom w:val="single" w:color="auto" w:sz="4" w:space="0"/>
              <w:right w:val="nil"/>
            </w:tcBorders>
            <w:shd w:val="clear" w:color="auto" w:fill="auto"/>
            <w:vAlign w:val="bottom"/>
            <w:hideMark/>
          </w:tcPr>
          <w:p w:rsidRPr="00C534EC" w:rsidR="004775FB" w:rsidP="00C935A8" w:rsidRDefault="004E2306" w14:paraId="7A1E52DE" w14:textId="3821AA41">
            <w:pPr>
              <w:pStyle w:val="Caption"/>
              <w:rPr>
                <w:rFonts w:eastAsia="Times New Roman" w:cs="Times New Roman"/>
                <w:color w:val="000000"/>
                <w:szCs w:val="24"/>
              </w:rPr>
            </w:pPr>
            <w:bookmarkStart w:name="_Ref24463551" w:id="122"/>
            <w:bookmarkStart w:name="_Toc24464132" w:id="123"/>
            <w:r>
              <w:t xml:space="preserve">Table </w:t>
            </w:r>
            <w:r>
              <w:fldChar w:fldCharType="begin"/>
            </w:r>
            <w:r>
              <w:instrText>STYLEREF 7 \s</w:instrText>
            </w:r>
            <w:r>
              <w:fldChar w:fldCharType="separate"/>
            </w:r>
            <w:r w:rsidR="00EC4095">
              <w:rPr>
                <w:noProof/>
              </w:rPr>
              <w:t>C</w:t>
            </w:r>
            <w:r>
              <w:fldChar w:fldCharType="end"/>
            </w:r>
            <w:r>
              <w:noBreakHyphen/>
            </w:r>
            <w:r>
              <w:fldChar w:fldCharType="begin"/>
            </w:r>
            <w:r>
              <w:instrText>SEQ Table_Apx \* ARABIC \s 7</w:instrText>
            </w:r>
            <w:r>
              <w:fldChar w:fldCharType="separate"/>
            </w:r>
            <w:r w:rsidR="00EC4095">
              <w:rPr>
                <w:noProof/>
              </w:rPr>
              <w:t>2</w:t>
            </w:r>
            <w:r>
              <w:fldChar w:fldCharType="end"/>
            </w:r>
            <w:bookmarkEnd w:id="122"/>
            <w:r w:rsidRPr="00C534EC" w:rsidR="004775FB">
              <w:rPr>
                <w:rFonts w:eastAsia="Times New Roman" w:cs="Times New Roman"/>
                <w:szCs w:val="24"/>
              </w:rPr>
              <w:t>: CDR Revisions Reporting Burden and Cost for Four-Year Reporting Cycle, Calculation in Sequence</w:t>
            </w:r>
            <w:bookmarkEnd w:id="123"/>
          </w:p>
        </w:tc>
      </w:tr>
      <w:tr w:rsidRPr="007D2C2B" w:rsidR="004775FB" w:rsidTr="00C935A8" w14:paraId="1A9EE2D8" w14:textId="77777777">
        <w:trPr>
          <w:tblHeader/>
          <w:jc w:val="center"/>
        </w:trPr>
        <w:tc>
          <w:tcPr>
            <w:tcW w:w="3240" w:type="dxa"/>
            <w:gridSpan w:val="2"/>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6B5FC6" w:rsidR="004775FB" w:rsidP="00C935A8" w:rsidRDefault="004775FB" w14:paraId="4BD9CE07" w14:textId="77777777">
            <w:pPr>
              <w:jc w:val="center"/>
              <w:rPr>
                <w:rFonts w:ascii="Arial Narrow" w:hAnsi="Arial Narrow" w:eastAsia="Times New Roman" w:cs="Calibri"/>
                <w:b/>
                <w:color w:val="000000"/>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4775FB" w:rsidP="00C935A8" w:rsidRDefault="004775FB" w14:paraId="7DC1BFD3" w14:textId="77777777">
            <w:pPr>
              <w:jc w:val="center"/>
              <w:rPr>
                <w:rFonts w:ascii="Arial Narrow" w:hAnsi="Arial Narrow" w:eastAsia="Times New Roman" w:cs="Calibri"/>
                <w:b/>
                <w:color w:val="000000"/>
                <w:sz w:val="18"/>
                <w:szCs w:val="18"/>
              </w:rPr>
            </w:pPr>
            <w:r w:rsidRPr="006B5FC6">
              <w:rPr>
                <w:rFonts w:ascii="Arial Narrow" w:hAnsi="Arial Narrow" w:eastAsia="Times New Roman" w:cs="Calibri"/>
                <w:b/>
                <w:color w:val="000000"/>
                <w:sz w:val="18"/>
                <w:szCs w:val="18"/>
              </w:rPr>
              <w:t>Baseline Number of Sites</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4775FB" w:rsidP="00C935A8" w:rsidRDefault="004775FB" w14:paraId="0CE90754" w14:textId="77777777">
            <w:pPr>
              <w:jc w:val="center"/>
              <w:rPr>
                <w:rFonts w:ascii="Arial Narrow" w:hAnsi="Arial Narrow" w:eastAsia="Times New Roman" w:cs="Calibri"/>
                <w:b/>
                <w:color w:val="000000"/>
                <w:sz w:val="18"/>
                <w:szCs w:val="18"/>
              </w:rPr>
            </w:pPr>
            <w:r w:rsidRPr="006B5FC6">
              <w:rPr>
                <w:rFonts w:ascii="Arial Narrow" w:hAnsi="Arial Narrow" w:eastAsia="Times New Roman" w:cs="Calibri"/>
                <w:b/>
                <w:color w:val="000000"/>
                <w:sz w:val="18"/>
                <w:szCs w:val="18"/>
              </w:rPr>
              <w:t xml:space="preserve"> Number of Sites</w:t>
            </w:r>
            <w:r>
              <w:rPr>
                <w:rFonts w:ascii="Arial Narrow" w:hAnsi="Arial Narrow" w:eastAsia="Times New Roman" w:cs="Calibri"/>
                <w:b/>
                <w:color w:val="000000"/>
                <w:sz w:val="18"/>
                <w:szCs w:val="18"/>
              </w:rPr>
              <w:t xml:space="preserve"> under Final Rule</w:t>
            </w:r>
          </w:p>
        </w:tc>
        <w:tc>
          <w:tcPr>
            <w:tcW w:w="4230" w:type="dxa"/>
            <w:gridSpan w:val="4"/>
            <w:tcBorders>
              <w:top w:val="single" w:color="auto" w:sz="4" w:space="0"/>
              <w:left w:val="nil"/>
              <w:bottom w:val="single" w:color="auto" w:sz="4" w:space="0"/>
              <w:right w:val="single" w:color="auto" w:sz="4" w:space="0"/>
            </w:tcBorders>
            <w:shd w:val="clear" w:color="auto" w:fill="BFBFBF" w:themeFill="background1" w:themeFillShade="BF"/>
            <w:vAlign w:val="bottom"/>
            <w:hideMark/>
          </w:tcPr>
          <w:p w:rsidRPr="006B5FC6" w:rsidR="004775FB" w:rsidP="00C935A8" w:rsidRDefault="004775FB" w14:paraId="62CAD6CA" w14:textId="77777777">
            <w:pPr>
              <w:jc w:val="center"/>
              <w:rPr>
                <w:rFonts w:ascii="Arial Narrow" w:hAnsi="Arial Narrow" w:eastAsia="Times New Roman" w:cs="Calibri"/>
                <w:b/>
                <w:color w:val="000000"/>
                <w:sz w:val="18"/>
                <w:szCs w:val="18"/>
              </w:rPr>
            </w:pPr>
            <w:r w:rsidRPr="00F554B2">
              <w:rPr>
                <w:rFonts w:ascii="Arial Narrow" w:hAnsi="Arial Narrow" w:eastAsia="Times New Roman" w:cs="Calibri"/>
                <w:b/>
                <w:sz w:val="18"/>
                <w:szCs w:val="18"/>
              </w:rPr>
              <w:t>Future</w:t>
            </w:r>
            <w:r w:rsidRPr="006B5FC6">
              <w:rPr>
                <w:rFonts w:ascii="Arial Narrow" w:hAnsi="Arial Narrow" w:eastAsia="Times New Roman" w:cs="Calibri"/>
                <w:b/>
                <w:color w:val="000000"/>
                <w:sz w:val="18"/>
                <w:szCs w:val="18"/>
              </w:rPr>
              <w:t xml:space="preserve"> Cycle</w:t>
            </w:r>
            <w:r>
              <w:rPr>
                <w:rFonts w:ascii="Arial Narrow" w:hAnsi="Arial Narrow" w:eastAsia="Times New Roman" w:cs="Calibri"/>
                <w:b/>
                <w:color w:val="000000"/>
                <w:sz w:val="18"/>
                <w:szCs w:val="18"/>
              </w:rPr>
              <w:t>s</w:t>
            </w:r>
          </w:p>
        </w:tc>
      </w:tr>
      <w:tr w:rsidRPr="007D2C2B" w:rsidR="004775FB" w:rsidTr="00C935A8" w14:paraId="6EA93370" w14:textId="77777777">
        <w:trPr>
          <w:tblHeader/>
          <w:jc w:val="center"/>
        </w:trPr>
        <w:tc>
          <w:tcPr>
            <w:tcW w:w="3240" w:type="dxa"/>
            <w:gridSpan w:val="2"/>
            <w:vMerge/>
            <w:tcBorders>
              <w:top w:val="single" w:color="auto" w:sz="4" w:space="0"/>
              <w:left w:val="single" w:color="auto" w:sz="4" w:space="0"/>
              <w:bottom w:val="single" w:color="auto" w:sz="4" w:space="0"/>
              <w:right w:val="single" w:color="auto" w:sz="4" w:space="0"/>
            </w:tcBorders>
            <w:vAlign w:val="bottom"/>
            <w:hideMark/>
          </w:tcPr>
          <w:p w:rsidRPr="006B5FC6" w:rsidR="004775FB" w:rsidP="00C935A8" w:rsidRDefault="004775FB" w14:paraId="5C713BAE" w14:textId="77777777">
            <w:pPr>
              <w:jc w:val="center"/>
              <w:rPr>
                <w:rFonts w:ascii="Arial Narrow" w:hAnsi="Arial Narrow" w:eastAsia="Times New Roman" w:cs="Calibri"/>
                <w:b/>
                <w:color w:val="000000"/>
                <w:sz w:val="18"/>
                <w:szCs w:val="18"/>
              </w:rPr>
            </w:pPr>
          </w:p>
        </w:tc>
        <w:tc>
          <w:tcPr>
            <w:tcW w:w="900" w:type="dxa"/>
            <w:vMerge/>
            <w:tcBorders>
              <w:top w:val="single" w:color="auto" w:sz="4" w:space="0"/>
              <w:left w:val="single" w:color="auto" w:sz="4" w:space="0"/>
              <w:bottom w:val="single" w:color="auto" w:sz="4" w:space="0"/>
              <w:right w:val="single" w:color="auto" w:sz="4" w:space="0"/>
            </w:tcBorders>
            <w:vAlign w:val="bottom"/>
            <w:hideMark/>
          </w:tcPr>
          <w:p w:rsidRPr="006B5FC6" w:rsidR="004775FB" w:rsidP="00C935A8" w:rsidRDefault="004775FB" w14:paraId="7F0B596D" w14:textId="77777777">
            <w:pPr>
              <w:jc w:val="center"/>
              <w:rPr>
                <w:rFonts w:ascii="Arial Narrow" w:hAnsi="Arial Narrow" w:eastAsia="Times New Roman" w:cs="Calibri"/>
                <w:b/>
                <w:color w:val="000000"/>
                <w:sz w:val="18"/>
                <w:szCs w:val="18"/>
              </w:rPr>
            </w:pPr>
          </w:p>
        </w:tc>
        <w:tc>
          <w:tcPr>
            <w:tcW w:w="990" w:type="dxa"/>
            <w:vMerge/>
            <w:tcBorders>
              <w:top w:val="single" w:color="auto" w:sz="4" w:space="0"/>
              <w:left w:val="single" w:color="auto" w:sz="4" w:space="0"/>
              <w:bottom w:val="single" w:color="auto" w:sz="4" w:space="0"/>
              <w:right w:val="single" w:color="auto" w:sz="4" w:space="0"/>
            </w:tcBorders>
            <w:vAlign w:val="bottom"/>
            <w:hideMark/>
          </w:tcPr>
          <w:p w:rsidRPr="006B5FC6" w:rsidR="004775FB" w:rsidP="00C935A8" w:rsidRDefault="004775FB" w14:paraId="717294EB" w14:textId="77777777">
            <w:pPr>
              <w:jc w:val="center"/>
              <w:rPr>
                <w:rFonts w:ascii="Arial Narrow" w:hAnsi="Arial Narrow" w:eastAsia="Times New Roman" w:cs="Calibri"/>
                <w:b/>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310FD7" w:rsidR="004775FB" w:rsidP="00C935A8" w:rsidRDefault="004775FB" w14:paraId="53C7F1FB" w14:textId="77777777">
            <w:pPr>
              <w:jc w:val="center"/>
              <w:rPr>
                <w:rFonts w:ascii="Arial Narrow" w:hAnsi="Arial Narrow" w:eastAsia="Times New Roman" w:cs="Calibri"/>
                <w:b/>
                <w:bCs/>
                <w:color w:val="000000" w:themeColor="text1"/>
                <w:sz w:val="18"/>
                <w:szCs w:val="18"/>
              </w:rPr>
            </w:pPr>
            <w:r w:rsidRPr="00CF58E6">
              <w:rPr>
                <w:rFonts w:ascii="Arial Narrow" w:hAnsi="Arial Narrow" w:eastAsia="Times New Roman" w:cs="Calibri"/>
                <w:b/>
                <w:bCs/>
                <w:color w:val="000000"/>
                <w:sz w:val="18"/>
                <w:szCs w:val="18"/>
              </w:rPr>
              <w:t>U</w:t>
            </w:r>
            <w:r w:rsidRPr="00310FD7">
              <w:rPr>
                <w:rFonts w:ascii="Arial Narrow" w:hAnsi="Arial Narrow" w:eastAsia="Times New Roman" w:cs="Calibri"/>
                <w:b/>
                <w:bCs/>
                <w:color w:val="000000"/>
                <w:sz w:val="18"/>
                <w:szCs w:val="18"/>
              </w:rPr>
              <w:t xml:space="preserve">nit </w:t>
            </w:r>
            <w:r>
              <w:rPr>
                <w:rFonts w:ascii="Arial Narrow" w:hAnsi="Arial Narrow" w:eastAsia="Times New Roman" w:cs="Calibri"/>
                <w:b/>
                <w:bCs/>
                <w:color w:val="000000"/>
                <w:sz w:val="18"/>
                <w:szCs w:val="18"/>
              </w:rPr>
              <w:t>B</w:t>
            </w:r>
            <w:r w:rsidRPr="00310FD7">
              <w:rPr>
                <w:rFonts w:ascii="Arial Narrow" w:hAnsi="Arial Narrow" w:eastAsia="Times New Roman" w:cs="Calibri"/>
                <w:b/>
                <w:bCs/>
                <w:color w:val="000000"/>
                <w:sz w:val="18"/>
                <w:szCs w:val="18"/>
              </w:rPr>
              <w:t>urden (hours)</w:t>
            </w:r>
            <w:r w:rsidRPr="00310FD7">
              <w:rPr>
                <w:rFonts w:ascii="Arial Narrow" w:hAnsi="Arial Narrow" w:eastAsia="Times New Roman" w:cs="Calibri"/>
                <w:b/>
                <w:bCs/>
                <w:color w:val="000000" w:themeColor="text1"/>
                <w:sz w:val="18"/>
                <w:szCs w:val="18"/>
                <w:vertAlign w:val="superscript"/>
              </w:rPr>
              <w:t>1</w:t>
            </w:r>
          </w:p>
        </w:tc>
        <w:tc>
          <w:tcPr>
            <w:tcW w:w="115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4775FB" w:rsidP="00C935A8" w:rsidRDefault="004775FB" w14:paraId="389B18B4" w14:textId="77777777">
            <w:pPr>
              <w:jc w:val="center"/>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U</w:t>
            </w:r>
            <w:r w:rsidRPr="006B5FC6">
              <w:rPr>
                <w:rFonts w:ascii="Arial Narrow" w:hAnsi="Arial Narrow" w:eastAsia="Times New Roman" w:cs="Calibri"/>
                <w:b/>
                <w:color w:val="000000"/>
                <w:sz w:val="18"/>
                <w:szCs w:val="18"/>
              </w:rPr>
              <w:t>nit</w:t>
            </w:r>
          </w:p>
          <w:p w:rsidRPr="00310FD7" w:rsidR="004775FB" w:rsidP="00C935A8" w:rsidRDefault="004775FB" w14:paraId="310F8829" w14:textId="77777777">
            <w:pPr>
              <w:jc w:val="center"/>
              <w:rPr>
                <w:rFonts w:ascii="Arial Narrow" w:hAnsi="Arial Narrow" w:eastAsia="Times New Roman" w:cs="Calibri"/>
                <w:b/>
                <w:bCs/>
                <w:color w:val="000000" w:themeColor="text1"/>
                <w:sz w:val="18"/>
                <w:szCs w:val="18"/>
                <w:vertAlign w:val="superscript"/>
              </w:rPr>
            </w:pPr>
            <w:r w:rsidRPr="00CF58E6">
              <w:rPr>
                <w:rFonts w:ascii="Arial Narrow" w:hAnsi="Arial Narrow" w:eastAsia="Times New Roman" w:cs="Calibri"/>
                <w:b/>
                <w:bCs/>
                <w:color w:val="000000"/>
                <w:sz w:val="18"/>
                <w:szCs w:val="18"/>
              </w:rPr>
              <w:t xml:space="preserve"> </w:t>
            </w:r>
            <w:r w:rsidRPr="00310FD7">
              <w:rPr>
                <w:rFonts w:ascii="Arial Narrow" w:hAnsi="Arial Narrow" w:eastAsia="Times New Roman" w:cs="Calibri"/>
                <w:b/>
                <w:bCs/>
                <w:color w:val="000000"/>
                <w:sz w:val="18"/>
                <w:szCs w:val="18"/>
              </w:rPr>
              <w:t>Cost</w:t>
            </w:r>
            <w:r>
              <w:br/>
            </w:r>
            <w:r w:rsidRPr="00CF58E6">
              <w:rPr>
                <w:rFonts w:ascii="Arial Narrow" w:hAnsi="Arial Narrow" w:eastAsia="Times New Roman" w:cs="Calibri"/>
                <w:b/>
                <w:bCs/>
                <w:color w:val="000000"/>
                <w:sz w:val="18"/>
                <w:szCs w:val="18"/>
              </w:rPr>
              <w:t xml:space="preserve"> (</w:t>
            </w:r>
            <w:r>
              <w:rPr>
                <w:rFonts w:ascii="Arial Narrow" w:hAnsi="Arial Narrow" w:eastAsia="Times New Roman" w:cs="Calibri"/>
                <w:b/>
                <w:bCs/>
                <w:color w:val="000000"/>
                <w:sz w:val="18"/>
                <w:szCs w:val="18"/>
              </w:rPr>
              <w:t>2018$</w:t>
            </w:r>
            <w:r w:rsidRPr="00CF58E6">
              <w:rPr>
                <w:rFonts w:ascii="Arial Narrow" w:hAnsi="Arial Narrow" w:eastAsia="Times New Roman" w:cs="Calibri"/>
                <w:b/>
                <w:bCs/>
                <w:color w:val="000000"/>
                <w:sz w:val="18"/>
                <w:szCs w:val="18"/>
              </w:rPr>
              <w:t>)</w:t>
            </w:r>
            <w:r w:rsidRPr="00310FD7">
              <w:rPr>
                <w:rFonts w:ascii="Arial Narrow" w:hAnsi="Arial Narrow" w:eastAsia="Times New Roman" w:cs="Calibri"/>
                <w:b/>
                <w:bCs/>
                <w:color w:val="000000"/>
                <w:sz w:val="18"/>
                <w:szCs w:val="18"/>
                <w:vertAlign w:val="superscript"/>
              </w:rPr>
              <w:t>1</w:t>
            </w:r>
          </w:p>
        </w:tc>
        <w:tc>
          <w:tcPr>
            <w:tcW w:w="106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4775FB" w:rsidP="00C935A8" w:rsidRDefault="004775FB" w14:paraId="3BE74D69" w14:textId="77777777">
            <w:pPr>
              <w:jc w:val="center"/>
              <w:rPr>
                <w:rFonts w:ascii="Arial Narrow" w:hAnsi="Arial Narrow" w:eastAsia="Times New Roman" w:cs="Calibri"/>
                <w:b/>
                <w:color w:val="000000"/>
                <w:sz w:val="18"/>
                <w:szCs w:val="18"/>
              </w:rPr>
            </w:pPr>
            <w:r w:rsidRPr="006B5FC6">
              <w:rPr>
                <w:rFonts w:ascii="Arial Narrow" w:hAnsi="Arial Narrow" w:eastAsia="Times New Roman" w:cs="Calibri"/>
                <w:b/>
                <w:color w:val="000000"/>
                <w:sz w:val="18"/>
                <w:szCs w:val="18"/>
              </w:rPr>
              <w:t>Burden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4775FB" w:rsidP="00C935A8" w:rsidRDefault="004775FB" w14:paraId="339177AF" w14:textId="77777777">
            <w:pPr>
              <w:jc w:val="center"/>
              <w:rPr>
                <w:rFonts w:ascii="Arial Narrow" w:hAnsi="Arial Narrow" w:eastAsia="Times New Roman" w:cs="Calibri"/>
                <w:b/>
                <w:color w:val="000000"/>
                <w:sz w:val="18"/>
                <w:szCs w:val="18"/>
              </w:rPr>
            </w:pPr>
            <w:r w:rsidRPr="006B5FC6">
              <w:rPr>
                <w:rFonts w:ascii="Arial Narrow" w:hAnsi="Arial Narrow" w:eastAsia="Times New Roman" w:cs="Calibri"/>
                <w:b/>
                <w:color w:val="000000"/>
                <w:sz w:val="18"/>
                <w:szCs w:val="18"/>
              </w:rPr>
              <w:t>Cost (</w:t>
            </w:r>
            <w:r>
              <w:rPr>
                <w:rFonts w:ascii="Arial Narrow" w:hAnsi="Arial Narrow" w:eastAsia="Times New Roman" w:cs="Calibri"/>
                <w:b/>
                <w:color w:val="000000"/>
                <w:sz w:val="18"/>
                <w:szCs w:val="18"/>
              </w:rPr>
              <w:t>2018$</w:t>
            </w:r>
            <w:r w:rsidRPr="006B5FC6">
              <w:rPr>
                <w:rFonts w:ascii="Arial Narrow" w:hAnsi="Arial Narrow" w:eastAsia="Times New Roman" w:cs="Calibri"/>
                <w:b/>
                <w:color w:val="000000"/>
                <w:sz w:val="18"/>
                <w:szCs w:val="18"/>
              </w:rPr>
              <w:t>)</w:t>
            </w:r>
          </w:p>
        </w:tc>
      </w:tr>
      <w:tr w:rsidRPr="007D2C2B" w:rsidR="004775FB" w:rsidTr="00C935A8" w14:paraId="37B8779D" w14:textId="77777777">
        <w:trPr>
          <w:jc w:val="center"/>
        </w:trPr>
        <w:tc>
          <w:tcPr>
            <w:tcW w:w="9360" w:type="dxa"/>
            <w:gridSpan w:val="8"/>
            <w:tcBorders>
              <w:top w:val="single" w:color="auto" w:sz="4" w:space="0"/>
              <w:left w:val="single" w:color="auto" w:sz="4" w:space="0"/>
              <w:bottom w:val="single" w:color="auto" w:sz="4" w:space="0"/>
              <w:right w:val="single" w:color="000000" w:themeColor="text1" w:sz="4" w:space="0"/>
            </w:tcBorders>
            <w:shd w:val="clear" w:color="auto" w:fill="auto"/>
            <w:noWrap/>
            <w:vAlign w:val="bottom"/>
            <w:hideMark/>
          </w:tcPr>
          <w:p w:rsidRPr="006B5FC6" w:rsidR="004775FB" w:rsidP="00C935A8" w:rsidRDefault="004775FB" w14:paraId="6C2738BC" w14:textId="77777777">
            <w:pPr>
              <w:rPr>
                <w:rFonts w:ascii="Arial Narrow" w:hAnsi="Arial Narrow" w:eastAsia="Times New Roman" w:cs="Calibri"/>
                <w:b/>
                <w:bCs/>
                <w:color w:val="000000"/>
                <w:sz w:val="18"/>
                <w:szCs w:val="18"/>
              </w:rPr>
            </w:pPr>
            <w:r w:rsidRPr="006B5FC6">
              <w:rPr>
                <w:rFonts w:ascii="Arial Narrow" w:hAnsi="Arial Narrow" w:eastAsia="Times New Roman" w:cs="Calibri"/>
                <w:b/>
                <w:bCs/>
                <w:color w:val="000000"/>
                <w:sz w:val="18"/>
                <w:szCs w:val="18"/>
              </w:rPr>
              <w:t>Changes to Reporting Activities</w:t>
            </w:r>
          </w:p>
        </w:tc>
      </w:tr>
      <w:tr w:rsidRPr="007D2C2B" w:rsidR="004775FB" w:rsidTr="00C935A8" w14:paraId="0E1CAA0C" w14:textId="77777777">
        <w:trPr>
          <w:jc w:val="center"/>
        </w:trPr>
        <w:tc>
          <w:tcPr>
            <w:tcW w:w="3240" w:type="dxa"/>
            <w:gridSpan w:val="2"/>
            <w:tcBorders>
              <w:top w:val="nil"/>
              <w:left w:val="single" w:color="auto" w:sz="4" w:space="0"/>
              <w:bottom w:val="single" w:color="auto" w:sz="4" w:space="0"/>
              <w:right w:val="single" w:color="auto" w:sz="4" w:space="0"/>
            </w:tcBorders>
            <w:shd w:val="clear" w:color="auto" w:fill="auto"/>
            <w:vAlign w:val="bottom"/>
            <w:hideMark/>
          </w:tcPr>
          <w:p w:rsidRPr="006B5FC6" w:rsidR="004775FB" w:rsidP="00C935A8" w:rsidRDefault="004775FB" w14:paraId="3AD18A7E" w14:textId="77777777">
            <w:pPr>
              <w:rPr>
                <w:rFonts w:ascii="Arial Narrow" w:hAnsi="Arial Narrow" w:eastAsia="Times New Roman" w:cs="Calibri"/>
                <w:color w:val="000000"/>
                <w:sz w:val="18"/>
                <w:szCs w:val="18"/>
              </w:rPr>
            </w:pPr>
            <w:r w:rsidRPr="006B5FC6">
              <w:rPr>
                <w:rFonts w:ascii="Arial Narrow" w:hAnsi="Arial Narrow" w:eastAsia="Times New Roman" w:cs="Calibri"/>
                <w:color w:val="000000"/>
                <w:sz w:val="18"/>
                <w:szCs w:val="18"/>
              </w:rPr>
              <w:lastRenderedPageBreak/>
              <w:t>Reportable Data Elements + CBI Substantiation</w:t>
            </w:r>
            <w:r>
              <w:rPr>
                <w:rFonts w:ascii="Arial Narrow" w:hAnsi="Arial Narrow" w:eastAsia="Times New Roman" w:cs="Calibri"/>
                <w:color w:val="000000"/>
                <w:sz w:val="18"/>
                <w:szCs w:val="18"/>
              </w:rPr>
              <w:t>, including i</w:t>
            </w:r>
            <w:r w:rsidRPr="006B5FC6">
              <w:rPr>
                <w:rFonts w:ascii="Arial Narrow" w:hAnsi="Arial Narrow" w:eastAsia="Times New Roman" w:cs="Calibri"/>
                <w:color w:val="000000"/>
                <w:sz w:val="18"/>
                <w:szCs w:val="18"/>
              </w:rPr>
              <w:t>ncremental rule familiarization and compliance determination</w:t>
            </w:r>
          </w:p>
        </w:tc>
        <w:tc>
          <w:tcPr>
            <w:tcW w:w="900" w:type="dxa"/>
            <w:tcBorders>
              <w:top w:val="nil"/>
              <w:left w:val="nil"/>
              <w:bottom w:val="single" w:color="auto" w:sz="4" w:space="0"/>
              <w:right w:val="single" w:color="auto" w:sz="4" w:space="0"/>
            </w:tcBorders>
            <w:shd w:val="clear" w:color="auto" w:fill="auto"/>
            <w:vAlign w:val="center"/>
            <w:hideMark/>
          </w:tcPr>
          <w:p w:rsidRPr="00221A21" w:rsidR="004775FB" w:rsidP="00C935A8" w:rsidRDefault="004775FB" w14:paraId="13BAD00E"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5,660</w:t>
            </w:r>
          </w:p>
        </w:tc>
        <w:tc>
          <w:tcPr>
            <w:tcW w:w="990" w:type="dxa"/>
            <w:tcBorders>
              <w:top w:val="nil"/>
              <w:left w:val="nil"/>
              <w:bottom w:val="single" w:color="auto" w:sz="4" w:space="0"/>
              <w:right w:val="single" w:color="auto" w:sz="4" w:space="0"/>
            </w:tcBorders>
            <w:shd w:val="clear" w:color="auto" w:fill="auto"/>
            <w:noWrap/>
            <w:vAlign w:val="center"/>
            <w:hideMark/>
          </w:tcPr>
          <w:p w:rsidRPr="002877CC" w:rsidR="004775FB" w:rsidP="00C935A8" w:rsidRDefault="004775FB" w14:paraId="00CC591F"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5,590</w:t>
            </w:r>
          </w:p>
        </w:tc>
        <w:tc>
          <w:tcPr>
            <w:tcW w:w="930" w:type="dxa"/>
            <w:tcBorders>
              <w:top w:val="nil"/>
              <w:left w:val="nil"/>
              <w:bottom w:val="single" w:color="auto" w:sz="4" w:space="0"/>
              <w:right w:val="single" w:color="auto" w:sz="4" w:space="0"/>
            </w:tcBorders>
            <w:shd w:val="clear" w:color="auto" w:fill="auto"/>
            <w:noWrap/>
            <w:vAlign w:val="center"/>
            <w:hideMark/>
          </w:tcPr>
          <w:p w:rsidRPr="00380AD9" w:rsidR="004775FB" w:rsidP="00C935A8" w:rsidRDefault="004775FB" w14:paraId="3A8397EF"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30.</w:t>
            </w:r>
            <w:r>
              <w:rPr>
                <w:rFonts w:ascii="Arial Narrow" w:hAnsi="Arial Narrow" w:cs="Calibri"/>
                <w:color w:val="000000"/>
                <w:sz w:val="18"/>
                <w:szCs w:val="18"/>
              </w:rPr>
              <w:t>644</w:t>
            </w:r>
          </w:p>
        </w:tc>
        <w:tc>
          <w:tcPr>
            <w:tcW w:w="1155" w:type="dxa"/>
            <w:tcBorders>
              <w:top w:val="nil"/>
              <w:left w:val="nil"/>
              <w:bottom w:val="single" w:color="auto" w:sz="4" w:space="0"/>
              <w:right w:val="single" w:color="auto" w:sz="4" w:space="0"/>
            </w:tcBorders>
            <w:shd w:val="clear" w:color="auto" w:fill="auto"/>
            <w:noWrap/>
            <w:vAlign w:val="center"/>
            <w:hideMark/>
          </w:tcPr>
          <w:p w:rsidRPr="00380AD9" w:rsidR="004775FB" w:rsidP="00C935A8" w:rsidRDefault="004775FB" w14:paraId="656882F7"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$2,364.69</w:t>
            </w:r>
          </w:p>
        </w:tc>
        <w:tc>
          <w:tcPr>
            <w:tcW w:w="1065" w:type="dxa"/>
            <w:tcBorders>
              <w:top w:val="nil"/>
              <w:left w:val="nil"/>
              <w:bottom w:val="single" w:color="auto" w:sz="4" w:space="0"/>
              <w:right w:val="single" w:color="auto" w:sz="4" w:space="0"/>
            </w:tcBorders>
            <w:shd w:val="clear" w:color="auto" w:fill="auto"/>
            <w:noWrap/>
            <w:vAlign w:val="center"/>
            <w:hideMark/>
          </w:tcPr>
          <w:p w:rsidRPr="00380AD9" w:rsidR="004775FB" w:rsidP="00C935A8" w:rsidRDefault="004775FB" w14:paraId="75752C8C"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171,299</w:t>
            </w:r>
          </w:p>
        </w:tc>
        <w:tc>
          <w:tcPr>
            <w:tcW w:w="1080" w:type="dxa"/>
            <w:tcBorders>
              <w:top w:val="nil"/>
              <w:left w:val="nil"/>
              <w:bottom w:val="single" w:color="auto" w:sz="4" w:space="0"/>
              <w:right w:val="single" w:color="auto" w:sz="4" w:space="0"/>
            </w:tcBorders>
            <w:shd w:val="clear" w:color="auto" w:fill="auto"/>
            <w:noWrap/>
            <w:vAlign w:val="center"/>
            <w:hideMark/>
          </w:tcPr>
          <w:p w:rsidRPr="00380AD9" w:rsidR="004775FB" w:rsidP="00C935A8" w:rsidRDefault="004775FB" w14:paraId="2B3AE980"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$13,218,616</w:t>
            </w:r>
          </w:p>
        </w:tc>
      </w:tr>
      <w:tr w:rsidRPr="007D2C2B" w:rsidR="004775FB" w:rsidTr="00C935A8" w14:paraId="6502F3F0" w14:textId="77777777">
        <w:trPr>
          <w:jc w:val="center"/>
        </w:trPr>
        <w:tc>
          <w:tcPr>
            <w:tcW w:w="3240" w:type="dxa"/>
            <w:gridSpan w:val="2"/>
            <w:tcBorders>
              <w:top w:val="nil"/>
              <w:left w:val="single" w:color="auto" w:sz="4" w:space="0"/>
              <w:bottom w:val="single" w:color="auto" w:sz="4" w:space="0"/>
              <w:right w:val="single" w:color="auto" w:sz="4" w:space="0"/>
            </w:tcBorders>
            <w:shd w:val="clear" w:color="auto" w:fill="auto"/>
            <w:vAlign w:val="bottom"/>
            <w:hideMark/>
          </w:tcPr>
          <w:p w:rsidRPr="006B5FC6" w:rsidR="004775FB" w:rsidP="00C935A8" w:rsidRDefault="004775FB" w14:paraId="7CB439F7" w14:textId="77777777">
            <w:pPr>
              <w:rPr>
                <w:rFonts w:ascii="Arial Narrow" w:hAnsi="Arial Narrow" w:eastAsia="Times New Roman" w:cs="Calibri"/>
                <w:color w:val="000000"/>
                <w:sz w:val="18"/>
                <w:szCs w:val="18"/>
              </w:rPr>
            </w:pPr>
            <w:r w:rsidRPr="006B5FC6">
              <w:rPr>
                <w:rFonts w:ascii="Arial Narrow" w:hAnsi="Arial Narrow" w:eastAsia="Times New Roman" w:cs="Calibri"/>
                <w:color w:val="000000"/>
                <w:sz w:val="18"/>
                <w:szCs w:val="18"/>
              </w:rPr>
              <w:t xml:space="preserve">Byproduct </w:t>
            </w:r>
            <w:r>
              <w:rPr>
                <w:rFonts w:ascii="Arial Narrow" w:hAnsi="Arial Narrow" w:eastAsia="Times New Roman" w:cs="Calibri"/>
                <w:color w:val="000000"/>
                <w:sz w:val="18"/>
                <w:szCs w:val="18"/>
              </w:rPr>
              <w:t>Exemptions</w:t>
            </w:r>
            <w:r w:rsidRPr="006B5FC6">
              <w:rPr>
                <w:rFonts w:ascii="Arial Narrow" w:hAnsi="Arial Narrow" w:eastAsia="Times New Roman" w:cs="Calibri"/>
                <w:color w:val="000000"/>
                <w:sz w:val="18"/>
                <w:szCs w:val="18"/>
              </w:rPr>
              <w:t xml:space="preserve"> </w:t>
            </w:r>
            <w:r>
              <w:rPr>
                <w:rFonts w:ascii="Arial Narrow" w:hAnsi="Arial Narrow" w:eastAsia="Times New Roman" w:cs="Calibri"/>
                <w:color w:val="000000"/>
                <w:sz w:val="18"/>
                <w:szCs w:val="18"/>
              </w:rPr>
              <w:t>i</w:t>
            </w:r>
            <w:r w:rsidRPr="006B5FC6">
              <w:rPr>
                <w:rFonts w:ascii="Arial Narrow" w:hAnsi="Arial Narrow" w:eastAsia="Times New Roman" w:cs="Calibri"/>
                <w:color w:val="000000"/>
                <w:sz w:val="18"/>
                <w:szCs w:val="18"/>
              </w:rPr>
              <w:t>ncremental rule familiarization and compliance determination</w:t>
            </w:r>
          </w:p>
        </w:tc>
        <w:tc>
          <w:tcPr>
            <w:tcW w:w="900" w:type="dxa"/>
            <w:tcBorders>
              <w:top w:val="nil"/>
              <w:left w:val="nil"/>
              <w:bottom w:val="single" w:color="auto" w:sz="4" w:space="0"/>
              <w:right w:val="single" w:color="auto" w:sz="4" w:space="0"/>
            </w:tcBorders>
            <w:shd w:val="clear" w:color="auto" w:fill="auto"/>
            <w:vAlign w:val="center"/>
            <w:hideMark/>
          </w:tcPr>
          <w:p w:rsidRPr="00221A21" w:rsidR="004775FB" w:rsidP="00C935A8" w:rsidRDefault="004775FB" w14:paraId="2920ADFF"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5,660</w:t>
            </w:r>
          </w:p>
        </w:tc>
        <w:tc>
          <w:tcPr>
            <w:tcW w:w="990" w:type="dxa"/>
            <w:tcBorders>
              <w:top w:val="nil"/>
              <w:left w:val="nil"/>
              <w:bottom w:val="single" w:color="auto" w:sz="4" w:space="0"/>
              <w:right w:val="single" w:color="auto" w:sz="4" w:space="0"/>
            </w:tcBorders>
            <w:shd w:val="clear" w:color="auto" w:fill="auto"/>
            <w:noWrap/>
            <w:vAlign w:val="center"/>
            <w:hideMark/>
          </w:tcPr>
          <w:p w:rsidRPr="00221A21" w:rsidR="004775FB" w:rsidP="00C935A8" w:rsidRDefault="004775FB" w14:paraId="65BFCD73"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5,590</w:t>
            </w:r>
          </w:p>
        </w:tc>
        <w:tc>
          <w:tcPr>
            <w:tcW w:w="930" w:type="dxa"/>
            <w:tcBorders>
              <w:top w:val="nil"/>
              <w:left w:val="nil"/>
              <w:bottom w:val="single" w:color="auto" w:sz="4" w:space="0"/>
              <w:right w:val="single" w:color="auto" w:sz="4" w:space="0"/>
            </w:tcBorders>
            <w:shd w:val="clear" w:color="auto" w:fill="auto"/>
            <w:noWrap/>
            <w:vAlign w:val="center"/>
            <w:hideMark/>
          </w:tcPr>
          <w:p w:rsidRPr="00221A21" w:rsidR="004775FB" w:rsidP="00C935A8" w:rsidRDefault="004775FB" w14:paraId="0A39AF5D" w14:textId="77777777">
            <w:pPr>
              <w:jc w:val="right"/>
              <w:rPr>
                <w:rFonts w:ascii="Arial Narrow" w:hAnsi="Arial Narrow" w:eastAsia="Times New Roman" w:cs="Calibri"/>
                <w:color w:val="000000" w:themeColor="text1"/>
                <w:sz w:val="18"/>
                <w:szCs w:val="18"/>
              </w:rPr>
            </w:pPr>
            <w:r w:rsidRPr="009A1924">
              <w:rPr>
                <w:rFonts w:ascii="Arial Narrow" w:hAnsi="Arial Narrow" w:cs="Calibri"/>
                <w:color w:val="000000"/>
                <w:sz w:val="18"/>
                <w:szCs w:val="18"/>
              </w:rPr>
              <w:t>0.478</w:t>
            </w:r>
          </w:p>
        </w:tc>
        <w:tc>
          <w:tcPr>
            <w:tcW w:w="1155" w:type="dxa"/>
            <w:tcBorders>
              <w:top w:val="nil"/>
              <w:left w:val="nil"/>
              <w:bottom w:val="single" w:color="auto" w:sz="4" w:space="0"/>
              <w:right w:val="single" w:color="auto" w:sz="4" w:space="0"/>
            </w:tcBorders>
            <w:shd w:val="clear" w:color="auto" w:fill="auto"/>
            <w:noWrap/>
            <w:vAlign w:val="center"/>
            <w:hideMark/>
          </w:tcPr>
          <w:p w:rsidRPr="00221A21" w:rsidR="004775FB" w:rsidP="00C935A8" w:rsidRDefault="004775FB" w14:paraId="62093C8E"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$36.68</w:t>
            </w:r>
          </w:p>
        </w:tc>
        <w:tc>
          <w:tcPr>
            <w:tcW w:w="1065" w:type="dxa"/>
            <w:tcBorders>
              <w:top w:val="nil"/>
              <w:left w:val="nil"/>
              <w:bottom w:val="single" w:color="auto" w:sz="4" w:space="0"/>
              <w:right w:val="single" w:color="auto" w:sz="4" w:space="0"/>
            </w:tcBorders>
            <w:shd w:val="clear" w:color="auto" w:fill="auto"/>
            <w:noWrap/>
            <w:vAlign w:val="center"/>
            <w:hideMark/>
          </w:tcPr>
          <w:p w:rsidRPr="002877CC" w:rsidR="004775FB" w:rsidP="00C935A8" w:rsidRDefault="004775FB" w14:paraId="1764EF27" w14:textId="77777777">
            <w:pPr>
              <w:jc w:val="right"/>
              <w:rPr>
                <w:rFonts w:ascii="Arial Narrow" w:hAnsi="Arial Narrow" w:eastAsia="Times New Roman" w:cs="Calibri"/>
                <w:color w:val="000000" w:themeColor="text1"/>
                <w:sz w:val="18"/>
                <w:szCs w:val="18"/>
              </w:rPr>
            </w:pPr>
            <w:r>
              <w:rPr>
                <w:rFonts w:ascii="Arial Narrow" w:hAnsi="Arial Narrow" w:cs="Calibri"/>
                <w:color w:val="000000"/>
                <w:sz w:val="18"/>
                <w:szCs w:val="18"/>
              </w:rPr>
              <w:t>2,671</w:t>
            </w:r>
          </w:p>
        </w:tc>
        <w:tc>
          <w:tcPr>
            <w:tcW w:w="1080" w:type="dxa"/>
            <w:tcBorders>
              <w:top w:val="nil"/>
              <w:left w:val="nil"/>
              <w:bottom w:val="single" w:color="auto" w:sz="4" w:space="0"/>
              <w:right w:val="single" w:color="auto" w:sz="4" w:space="0"/>
            </w:tcBorders>
            <w:shd w:val="clear" w:color="auto" w:fill="auto"/>
            <w:noWrap/>
            <w:vAlign w:val="center"/>
            <w:hideMark/>
          </w:tcPr>
          <w:p w:rsidRPr="002877CC" w:rsidR="004775FB" w:rsidP="00C935A8" w:rsidRDefault="004775FB" w14:paraId="16375D4C"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$205,046</w:t>
            </w:r>
          </w:p>
        </w:tc>
      </w:tr>
      <w:tr w:rsidRPr="007D2C2B" w:rsidR="004775FB" w:rsidTr="00C935A8" w14:paraId="09D4592D" w14:textId="77777777">
        <w:trPr>
          <w:jc w:val="center"/>
        </w:trPr>
        <w:tc>
          <w:tcPr>
            <w:tcW w:w="9360" w:type="dxa"/>
            <w:gridSpan w:val="8"/>
            <w:tcBorders>
              <w:top w:val="single" w:color="auto" w:sz="4" w:space="0"/>
              <w:left w:val="single" w:color="auto" w:sz="4" w:space="0"/>
              <w:bottom w:val="single" w:color="auto" w:sz="4" w:space="0"/>
              <w:right w:val="single" w:color="000000" w:themeColor="text1" w:sz="4" w:space="0"/>
            </w:tcBorders>
            <w:shd w:val="clear" w:color="auto" w:fill="auto"/>
            <w:vAlign w:val="bottom"/>
            <w:hideMark/>
          </w:tcPr>
          <w:p w:rsidRPr="006B5FC6" w:rsidR="004775FB" w:rsidP="00C935A8" w:rsidRDefault="004775FB" w14:paraId="3D553B65" w14:textId="77777777">
            <w:pPr>
              <w:rPr>
                <w:rFonts w:ascii="Arial Narrow" w:hAnsi="Arial Narrow" w:eastAsia="Times New Roman" w:cs="Calibri"/>
                <w:b/>
                <w:bCs/>
                <w:color w:val="000000"/>
                <w:sz w:val="18"/>
                <w:szCs w:val="18"/>
              </w:rPr>
            </w:pPr>
            <w:r w:rsidRPr="006B5FC6">
              <w:rPr>
                <w:rFonts w:ascii="Arial Narrow" w:hAnsi="Arial Narrow" w:eastAsia="Times New Roman" w:cs="Calibri"/>
                <w:b/>
                <w:bCs/>
                <w:color w:val="000000"/>
                <w:sz w:val="18"/>
                <w:szCs w:val="18"/>
              </w:rPr>
              <w:t>Changes to Reporting Universe</w:t>
            </w:r>
          </w:p>
        </w:tc>
      </w:tr>
      <w:tr w:rsidRPr="007D2C2B" w:rsidR="004775FB" w:rsidTr="00C935A8" w14:paraId="60BD387C" w14:textId="77777777">
        <w:trPr>
          <w:jc w:val="center"/>
        </w:trPr>
        <w:tc>
          <w:tcPr>
            <w:tcW w:w="3240" w:type="dxa"/>
            <w:gridSpan w:val="2"/>
            <w:tcBorders>
              <w:top w:val="nil"/>
              <w:left w:val="single" w:color="auto" w:sz="4" w:space="0"/>
              <w:bottom w:val="single" w:color="auto" w:sz="4" w:space="0"/>
              <w:right w:val="single" w:color="auto" w:sz="4" w:space="0"/>
            </w:tcBorders>
            <w:shd w:val="clear" w:color="auto" w:fill="auto"/>
            <w:vAlign w:val="bottom"/>
            <w:hideMark/>
          </w:tcPr>
          <w:p w:rsidRPr="006B5FC6" w:rsidR="004775FB" w:rsidP="00C935A8" w:rsidRDefault="004775FB" w14:paraId="326DD1C4" w14:textId="77777777">
            <w:pPr>
              <w:rPr>
                <w:rFonts w:ascii="Arial Narrow" w:hAnsi="Arial Narrow" w:eastAsia="Times New Roman" w:cs="Calibri"/>
                <w:color w:val="000000"/>
                <w:sz w:val="18"/>
                <w:szCs w:val="18"/>
              </w:rPr>
            </w:pPr>
            <w:r w:rsidRPr="006B5FC6">
              <w:rPr>
                <w:rFonts w:ascii="Arial Narrow" w:hAnsi="Arial Narrow" w:eastAsia="Times New Roman" w:cs="Calibri"/>
                <w:color w:val="000000"/>
                <w:sz w:val="18"/>
                <w:szCs w:val="18"/>
              </w:rPr>
              <w:t>Byproducts Exemptions</w:t>
            </w:r>
          </w:p>
        </w:tc>
        <w:tc>
          <w:tcPr>
            <w:tcW w:w="900" w:type="dxa"/>
            <w:tcBorders>
              <w:top w:val="nil"/>
              <w:left w:val="nil"/>
              <w:bottom w:val="single" w:color="auto" w:sz="4" w:space="0"/>
              <w:right w:val="single" w:color="auto" w:sz="4" w:space="0"/>
            </w:tcBorders>
            <w:shd w:val="clear" w:color="auto" w:fill="auto"/>
            <w:vAlign w:val="center"/>
            <w:hideMark/>
          </w:tcPr>
          <w:p w:rsidRPr="006B5FC6" w:rsidR="004775FB" w:rsidP="00C935A8" w:rsidRDefault="004775FB" w14:paraId="3A150B71" w14:textId="77777777">
            <w:pPr>
              <w:jc w:val="right"/>
              <w:rPr>
                <w:rFonts w:ascii="Arial Narrow" w:hAnsi="Arial Narrow" w:eastAsia="Times New Roman" w:cs="Calibri"/>
                <w:color w:val="000000" w:themeColor="text1"/>
                <w:sz w:val="18"/>
                <w:szCs w:val="18"/>
              </w:rPr>
            </w:pPr>
            <w:r w:rsidRPr="0B02F8A5">
              <w:rPr>
                <w:rFonts w:ascii="Arial Narrow" w:hAnsi="Arial Narrow" w:eastAsia="Times New Roman" w:cs="Calibri"/>
                <w:color w:val="000000" w:themeColor="text1"/>
                <w:sz w:val="18"/>
                <w:szCs w:val="18"/>
              </w:rPr>
              <w:t>601</w:t>
            </w:r>
          </w:p>
        </w:tc>
        <w:tc>
          <w:tcPr>
            <w:tcW w:w="990" w:type="dxa"/>
            <w:tcBorders>
              <w:top w:val="nil"/>
              <w:left w:val="nil"/>
              <w:bottom w:val="single" w:color="auto" w:sz="4" w:space="0"/>
              <w:right w:val="single" w:color="auto" w:sz="4" w:space="0"/>
            </w:tcBorders>
            <w:shd w:val="clear" w:color="auto" w:fill="auto"/>
            <w:vAlign w:val="center"/>
            <w:hideMark/>
          </w:tcPr>
          <w:p w:rsidRPr="006B5FC6" w:rsidR="004775FB" w:rsidP="00C935A8" w:rsidRDefault="004775FB" w14:paraId="5464D394" w14:textId="77777777">
            <w:pPr>
              <w:jc w:val="right"/>
              <w:rPr>
                <w:rFonts w:ascii="Arial Narrow" w:hAnsi="Arial Narrow" w:eastAsia="Times New Roman" w:cs="Calibri"/>
                <w:color w:val="000000" w:themeColor="text1"/>
                <w:sz w:val="18"/>
                <w:szCs w:val="18"/>
              </w:rPr>
            </w:pPr>
            <w:r w:rsidRPr="0B02F8A5">
              <w:rPr>
                <w:rFonts w:ascii="Arial Narrow" w:hAnsi="Arial Narrow" w:eastAsia="Times New Roman" w:cs="Calibri"/>
                <w:color w:val="000000" w:themeColor="text1"/>
                <w:sz w:val="18"/>
                <w:szCs w:val="18"/>
              </w:rPr>
              <w:t>531</w:t>
            </w:r>
          </w:p>
        </w:tc>
        <w:tc>
          <w:tcPr>
            <w:tcW w:w="930" w:type="dxa"/>
            <w:tcBorders>
              <w:top w:val="nil"/>
              <w:left w:val="nil"/>
              <w:bottom w:val="single" w:color="auto" w:sz="4" w:space="0"/>
              <w:right w:val="single" w:color="auto" w:sz="4" w:space="0"/>
            </w:tcBorders>
            <w:shd w:val="clear" w:color="auto" w:fill="FFFFFF" w:themeFill="background1"/>
            <w:noWrap/>
            <w:vAlign w:val="bottom"/>
            <w:hideMark/>
          </w:tcPr>
          <w:p w:rsidRPr="006B5FC6" w:rsidR="004775FB" w:rsidP="00C935A8" w:rsidRDefault="004775FB" w14:paraId="3B15B353" w14:textId="77777777">
            <w:pPr>
              <w:jc w:val="center"/>
              <w:rPr>
                <w:rFonts w:ascii="Arial Narrow" w:hAnsi="Arial Narrow" w:eastAsia="Times New Roman" w:cs="Calibri"/>
                <w:color w:val="000000"/>
                <w:sz w:val="18"/>
                <w:szCs w:val="18"/>
              </w:rPr>
            </w:pPr>
            <w:r w:rsidRPr="006B5FC6">
              <w:rPr>
                <w:rFonts w:ascii="Arial Narrow" w:hAnsi="Arial Narrow" w:eastAsia="Times New Roman" w:cs="Calibri"/>
                <w:color w:val="000000"/>
                <w:sz w:val="18"/>
                <w:szCs w:val="18"/>
              </w:rPr>
              <w:t>N/A</w:t>
            </w:r>
          </w:p>
        </w:tc>
        <w:tc>
          <w:tcPr>
            <w:tcW w:w="1155" w:type="dxa"/>
            <w:tcBorders>
              <w:top w:val="nil"/>
              <w:left w:val="nil"/>
              <w:bottom w:val="single" w:color="auto" w:sz="4" w:space="0"/>
              <w:right w:val="single" w:color="auto" w:sz="4" w:space="0"/>
            </w:tcBorders>
            <w:shd w:val="clear" w:color="auto" w:fill="FFFFFF" w:themeFill="background1"/>
            <w:noWrap/>
            <w:vAlign w:val="bottom"/>
            <w:hideMark/>
          </w:tcPr>
          <w:p w:rsidRPr="006B5FC6" w:rsidR="004775FB" w:rsidP="00C935A8" w:rsidRDefault="004775FB" w14:paraId="4A8D59D5" w14:textId="77777777">
            <w:pPr>
              <w:jc w:val="center"/>
              <w:rPr>
                <w:rFonts w:ascii="Arial Narrow" w:hAnsi="Arial Narrow" w:eastAsia="Times New Roman" w:cs="Calibri"/>
                <w:color w:val="000000"/>
                <w:sz w:val="18"/>
                <w:szCs w:val="18"/>
              </w:rPr>
            </w:pPr>
            <w:r w:rsidRPr="006B5FC6">
              <w:rPr>
                <w:rFonts w:ascii="Arial Narrow" w:hAnsi="Arial Narrow" w:eastAsia="Times New Roman" w:cs="Calibri"/>
                <w:color w:val="000000"/>
                <w:sz w:val="18"/>
                <w:szCs w:val="18"/>
              </w:rPr>
              <w:t>N/A</w:t>
            </w:r>
          </w:p>
        </w:tc>
        <w:tc>
          <w:tcPr>
            <w:tcW w:w="1065" w:type="dxa"/>
            <w:tcBorders>
              <w:top w:val="nil"/>
              <w:left w:val="nil"/>
              <w:bottom w:val="single" w:color="auto" w:sz="4" w:space="0"/>
              <w:right w:val="single" w:color="auto" w:sz="4" w:space="0"/>
            </w:tcBorders>
            <w:shd w:val="clear" w:color="auto" w:fill="auto"/>
            <w:noWrap/>
            <w:vAlign w:val="center"/>
            <w:hideMark/>
          </w:tcPr>
          <w:p w:rsidRPr="006B5FC6" w:rsidR="004775FB" w:rsidP="00C935A8" w:rsidRDefault="004775FB" w14:paraId="2BBC22B0" w14:textId="77777777">
            <w:pPr>
              <w:jc w:val="right"/>
              <w:rPr>
                <w:rFonts w:ascii="Arial Narrow" w:hAnsi="Arial Narrow" w:eastAsia="Times New Roman" w:cs="Calibri"/>
                <w:color w:val="000000" w:themeColor="text1"/>
                <w:sz w:val="18"/>
                <w:szCs w:val="18"/>
              </w:rPr>
            </w:pPr>
            <w:r w:rsidRPr="0B02F8A5">
              <w:rPr>
                <w:rFonts w:ascii="Arial Narrow" w:hAnsi="Arial Narrow" w:eastAsia="Times New Roman" w:cs="Calibri"/>
                <w:color w:val="000000" w:themeColor="text1"/>
                <w:sz w:val="18"/>
                <w:szCs w:val="18"/>
              </w:rPr>
              <w:t>-70,271</w:t>
            </w:r>
          </w:p>
        </w:tc>
        <w:tc>
          <w:tcPr>
            <w:tcW w:w="1080" w:type="dxa"/>
            <w:tcBorders>
              <w:top w:val="nil"/>
              <w:left w:val="nil"/>
              <w:bottom w:val="single" w:color="auto" w:sz="4" w:space="0"/>
              <w:right w:val="single" w:color="auto" w:sz="4" w:space="0"/>
            </w:tcBorders>
            <w:shd w:val="clear" w:color="auto" w:fill="auto"/>
            <w:noWrap/>
            <w:vAlign w:val="center"/>
            <w:hideMark/>
          </w:tcPr>
          <w:p w:rsidRPr="006B5FC6" w:rsidR="004775FB" w:rsidP="00C935A8" w:rsidRDefault="004775FB" w14:paraId="6B8B7966" w14:textId="77777777">
            <w:pPr>
              <w:jc w:val="right"/>
              <w:rPr>
                <w:rFonts w:ascii="Arial Narrow" w:hAnsi="Arial Narrow" w:eastAsia="Times New Roman" w:cs="Calibri"/>
                <w:color w:val="000000"/>
                <w:sz w:val="18"/>
                <w:szCs w:val="18"/>
              </w:rPr>
            </w:pPr>
            <w:r>
              <w:rPr>
                <w:rFonts w:ascii="Arial Narrow" w:hAnsi="Arial Narrow" w:cs="Calibri"/>
                <w:color w:val="000000"/>
                <w:sz w:val="18"/>
                <w:szCs w:val="18"/>
              </w:rPr>
              <w:t>-$5,376,960</w:t>
            </w:r>
          </w:p>
        </w:tc>
      </w:tr>
      <w:tr w:rsidRPr="007D2C2B" w:rsidR="004775FB" w:rsidTr="00C935A8" w14:paraId="56B6D758" w14:textId="77777777">
        <w:trPr>
          <w:jc w:val="center"/>
        </w:trPr>
        <w:tc>
          <w:tcPr>
            <w:tcW w:w="3240" w:type="dxa"/>
            <w:gridSpan w:val="2"/>
            <w:tcBorders>
              <w:top w:val="single" w:color="auto" w:sz="12" w:space="0"/>
              <w:left w:val="single" w:color="auto" w:sz="8" w:space="0"/>
              <w:bottom w:val="single" w:color="auto" w:sz="8" w:space="0"/>
            </w:tcBorders>
            <w:shd w:val="clear" w:color="auto" w:fill="auto"/>
            <w:vAlign w:val="bottom"/>
            <w:hideMark/>
          </w:tcPr>
          <w:p w:rsidRPr="006B5FC6" w:rsidR="004775FB" w:rsidP="00C935A8" w:rsidRDefault="004775FB" w14:paraId="562CE5C1" w14:textId="77777777">
            <w:pPr>
              <w:rPr>
                <w:rFonts w:ascii="Arial Narrow" w:hAnsi="Arial Narrow" w:eastAsia="Times New Roman" w:cs="Calibri"/>
                <w:b/>
                <w:bCs/>
                <w:color w:val="000000"/>
                <w:sz w:val="18"/>
                <w:szCs w:val="18"/>
              </w:rPr>
            </w:pPr>
            <w:r w:rsidRPr="006B5FC6">
              <w:rPr>
                <w:rFonts w:ascii="Arial Narrow" w:hAnsi="Arial Narrow" w:eastAsia="Times New Roman" w:cs="Calibri"/>
                <w:b/>
                <w:bCs/>
                <w:color w:val="000000"/>
                <w:sz w:val="18"/>
                <w:szCs w:val="18"/>
              </w:rPr>
              <w:t>Total</w:t>
            </w:r>
          </w:p>
        </w:tc>
        <w:tc>
          <w:tcPr>
            <w:tcW w:w="900" w:type="dxa"/>
            <w:tcBorders>
              <w:top w:val="single" w:color="auto" w:sz="12" w:space="0"/>
              <w:bottom w:val="single" w:color="auto" w:sz="8" w:space="0"/>
            </w:tcBorders>
            <w:shd w:val="clear" w:color="auto" w:fill="auto"/>
            <w:vAlign w:val="bottom"/>
            <w:hideMark/>
          </w:tcPr>
          <w:p w:rsidRPr="006B5FC6" w:rsidR="004775FB" w:rsidP="00C935A8" w:rsidRDefault="004775FB" w14:paraId="13770EDC" w14:textId="77777777">
            <w:pPr>
              <w:jc w:val="right"/>
              <w:rPr>
                <w:rFonts w:ascii="Arial Narrow" w:hAnsi="Arial Narrow" w:eastAsia="Times New Roman" w:cs="Calibri"/>
                <w:b/>
                <w:bCs/>
                <w:color w:val="000000" w:themeColor="text1"/>
                <w:sz w:val="18"/>
                <w:szCs w:val="18"/>
              </w:rPr>
            </w:pPr>
            <w:r w:rsidRPr="0B02F8A5">
              <w:rPr>
                <w:rFonts w:ascii="Arial Narrow" w:hAnsi="Arial Narrow" w:eastAsia="Times New Roman" w:cs="Calibri"/>
                <w:b/>
                <w:bCs/>
                <w:color w:val="000000" w:themeColor="text1"/>
                <w:sz w:val="18"/>
                <w:szCs w:val="18"/>
              </w:rPr>
              <w:t> </w:t>
            </w:r>
          </w:p>
        </w:tc>
        <w:tc>
          <w:tcPr>
            <w:tcW w:w="990" w:type="dxa"/>
            <w:tcBorders>
              <w:top w:val="single" w:color="auto" w:sz="12" w:space="0"/>
              <w:bottom w:val="single" w:color="auto" w:sz="8" w:space="0"/>
            </w:tcBorders>
            <w:shd w:val="clear" w:color="auto" w:fill="auto"/>
            <w:noWrap/>
            <w:vAlign w:val="bottom"/>
            <w:hideMark/>
          </w:tcPr>
          <w:p w:rsidRPr="006B5FC6" w:rsidR="004775FB" w:rsidP="00C935A8" w:rsidRDefault="004775FB" w14:paraId="5981B70E" w14:textId="77777777">
            <w:pPr>
              <w:jc w:val="right"/>
              <w:rPr>
                <w:rFonts w:ascii="Arial Narrow" w:hAnsi="Arial Narrow" w:eastAsia="Times New Roman" w:cs="Calibri"/>
                <w:b/>
                <w:bCs/>
                <w:color w:val="000000" w:themeColor="text1"/>
                <w:sz w:val="18"/>
                <w:szCs w:val="18"/>
              </w:rPr>
            </w:pPr>
            <w:r w:rsidRPr="0B02F8A5">
              <w:rPr>
                <w:rFonts w:ascii="Arial Narrow" w:hAnsi="Arial Narrow" w:eastAsia="Times New Roman" w:cs="Calibri"/>
                <w:b/>
                <w:bCs/>
                <w:color w:val="000000" w:themeColor="text1"/>
                <w:sz w:val="18"/>
                <w:szCs w:val="18"/>
              </w:rPr>
              <w:t> </w:t>
            </w:r>
          </w:p>
        </w:tc>
        <w:tc>
          <w:tcPr>
            <w:tcW w:w="930" w:type="dxa"/>
            <w:tcBorders>
              <w:top w:val="single" w:color="auto" w:sz="12" w:space="0"/>
              <w:bottom w:val="single" w:color="auto" w:sz="8" w:space="0"/>
            </w:tcBorders>
            <w:shd w:val="clear" w:color="auto" w:fill="auto"/>
            <w:noWrap/>
            <w:vAlign w:val="bottom"/>
            <w:hideMark/>
          </w:tcPr>
          <w:p w:rsidRPr="006B5FC6" w:rsidR="004775FB" w:rsidP="00C935A8" w:rsidRDefault="004775FB" w14:paraId="60588992" w14:textId="77777777">
            <w:pPr>
              <w:jc w:val="right"/>
              <w:rPr>
                <w:rFonts w:ascii="Arial Narrow" w:hAnsi="Arial Narrow" w:eastAsia="Times New Roman" w:cs="Calibri"/>
                <w:b/>
                <w:bCs/>
                <w:color w:val="000000" w:themeColor="text1"/>
                <w:sz w:val="18"/>
                <w:szCs w:val="18"/>
              </w:rPr>
            </w:pPr>
            <w:r w:rsidRPr="0B02F8A5">
              <w:rPr>
                <w:rFonts w:ascii="Arial Narrow" w:hAnsi="Arial Narrow" w:eastAsia="Times New Roman" w:cs="Calibri"/>
                <w:b/>
                <w:bCs/>
                <w:color w:val="000000" w:themeColor="text1"/>
                <w:sz w:val="18"/>
                <w:szCs w:val="18"/>
              </w:rPr>
              <w:t> </w:t>
            </w:r>
          </w:p>
        </w:tc>
        <w:tc>
          <w:tcPr>
            <w:tcW w:w="1155" w:type="dxa"/>
            <w:tcBorders>
              <w:top w:val="single" w:color="auto" w:sz="12" w:space="0"/>
              <w:bottom w:val="single" w:color="auto" w:sz="8" w:space="0"/>
              <w:right w:val="single" w:color="auto" w:sz="4" w:space="0"/>
            </w:tcBorders>
            <w:shd w:val="clear" w:color="auto" w:fill="auto"/>
            <w:noWrap/>
            <w:vAlign w:val="bottom"/>
            <w:hideMark/>
          </w:tcPr>
          <w:p w:rsidRPr="006B5FC6" w:rsidR="004775FB" w:rsidP="00C935A8" w:rsidRDefault="004775FB" w14:paraId="3FA29F0C" w14:textId="77777777">
            <w:pPr>
              <w:jc w:val="right"/>
              <w:rPr>
                <w:rFonts w:ascii="Arial Narrow" w:hAnsi="Arial Narrow" w:eastAsia="Times New Roman" w:cs="Calibri"/>
                <w:b/>
                <w:bCs/>
                <w:color w:val="000000" w:themeColor="text1"/>
                <w:sz w:val="18"/>
                <w:szCs w:val="18"/>
              </w:rPr>
            </w:pPr>
            <w:r w:rsidRPr="0B02F8A5">
              <w:rPr>
                <w:rFonts w:ascii="Arial Narrow" w:hAnsi="Arial Narrow" w:eastAsia="Times New Roman" w:cs="Calibri"/>
                <w:b/>
                <w:bCs/>
                <w:color w:val="000000" w:themeColor="text1"/>
                <w:sz w:val="18"/>
                <w:szCs w:val="18"/>
              </w:rPr>
              <w:t> </w:t>
            </w:r>
          </w:p>
        </w:tc>
        <w:tc>
          <w:tcPr>
            <w:tcW w:w="1065" w:type="dxa"/>
            <w:tcBorders>
              <w:top w:val="single" w:color="auto" w:sz="12" w:space="0"/>
              <w:left w:val="single" w:color="auto" w:sz="4" w:space="0"/>
              <w:bottom w:val="single" w:color="auto" w:sz="8" w:space="0"/>
              <w:right w:val="single" w:color="auto" w:sz="4" w:space="0"/>
            </w:tcBorders>
            <w:shd w:val="clear" w:color="auto" w:fill="auto"/>
            <w:noWrap/>
            <w:vAlign w:val="center"/>
            <w:hideMark/>
          </w:tcPr>
          <w:p w:rsidRPr="00380AD9" w:rsidR="004775FB" w:rsidP="00C935A8" w:rsidRDefault="004775FB" w14:paraId="5CBC769C" w14:textId="77777777">
            <w:pPr>
              <w:ind w:left="720" w:hanging="720"/>
              <w:jc w:val="right"/>
              <w:rPr>
                <w:rFonts w:ascii="Arial Narrow" w:hAnsi="Arial Narrow" w:eastAsia="Times New Roman" w:cs="Calibri"/>
                <w:b/>
                <w:bCs/>
                <w:color w:val="000000" w:themeColor="text1"/>
                <w:sz w:val="18"/>
                <w:szCs w:val="18"/>
              </w:rPr>
            </w:pPr>
            <w:r>
              <w:rPr>
                <w:rFonts w:ascii="Arial Narrow" w:hAnsi="Arial Narrow" w:cs="Calibri"/>
                <w:b/>
                <w:bCs/>
                <w:color w:val="000000"/>
                <w:sz w:val="18"/>
                <w:szCs w:val="18"/>
              </w:rPr>
              <w:t>103,699</w:t>
            </w:r>
          </w:p>
        </w:tc>
        <w:tc>
          <w:tcPr>
            <w:tcW w:w="1080" w:type="dxa"/>
            <w:tcBorders>
              <w:top w:val="single" w:color="auto" w:sz="12" w:space="0"/>
              <w:left w:val="single" w:color="auto" w:sz="4" w:space="0"/>
              <w:bottom w:val="single" w:color="auto" w:sz="8" w:space="0"/>
              <w:right w:val="single" w:color="auto" w:sz="8" w:space="0"/>
            </w:tcBorders>
            <w:shd w:val="clear" w:color="auto" w:fill="auto"/>
            <w:noWrap/>
            <w:vAlign w:val="center"/>
            <w:hideMark/>
          </w:tcPr>
          <w:p w:rsidRPr="00380AD9" w:rsidR="004775FB" w:rsidP="00C935A8" w:rsidRDefault="004775FB" w14:paraId="451F240D" w14:textId="77777777">
            <w:pPr>
              <w:ind w:left="720" w:hanging="72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$8,046,702</w:t>
            </w:r>
          </w:p>
        </w:tc>
      </w:tr>
      <w:tr w:rsidRPr="00567DF0" w:rsidR="004775FB" w:rsidTr="00C935A8" w14:paraId="4ED04D62" w14:textId="77777777">
        <w:tblPrEx>
          <w:tblCellMar>
            <w:left w:w="108" w:type="dxa"/>
            <w:right w:w="108" w:type="dxa"/>
          </w:tblCellMar>
        </w:tblPrEx>
        <w:trPr>
          <w:jc w:val="center"/>
        </w:trPr>
        <w:tc>
          <w:tcPr>
            <w:tcW w:w="9360" w:type="dxa"/>
            <w:gridSpan w:val="8"/>
            <w:tcBorders>
              <w:top w:val="single" w:color="auto" w:sz="4" w:space="0"/>
              <w:left w:val="single" w:color="auto" w:sz="4" w:space="0"/>
              <w:right w:val="single" w:color="auto" w:sz="4" w:space="0"/>
            </w:tcBorders>
            <w:shd w:val="clear" w:color="auto" w:fill="auto"/>
          </w:tcPr>
          <w:p w:rsidRPr="00567DF0" w:rsidR="004775FB" w:rsidP="00C935A8" w:rsidRDefault="004775FB" w14:paraId="3F7035E4" w14:textId="77777777">
            <w:pPr>
              <w:rPr>
                <w:rFonts w:ascii="Arial Narrow" w:hAnsi="Arial Narrow" w:cs="Calibri"/>
                <w:bCs/>
                <w:color w:val="000000"/>
                <w:sz w:val="18"/>
                <w:szCs w:val="18"/>
              </w:rPr>
            </w:pPr>
            <w:r w:rsidRPr="00567DF0">
              <w:rPr>
                <w:rFonts w:ascii="Arial Narrow" w:hAnsi="Arial Narrow" w:cs="Calibri"/>
                <w:bCs/>
                <w:color w:val="000000"/>
                <w:sz w:val="18"/>
                <w:szCs w:val="18"/>
              </w:rPr>
              <w:t>Footnote:</w:t>
            </w:r>
          </w:p>
        </w:tc>
      </w:tr>
      <w:tr w:rsidRPr="00565011" w:rsidR="004775FB" w:rsidTr="00C935A8" w14:paraId="5A5174D3" w14:textId="77777777">
        <w:tblPrEx>
          <w:tblCellMar>
            <w:left w:w="108" w:type="dxa"/>
            <w:right w:w="108" w:type="dxa"/>
          </w:tblCellMar>
        </w:tblPrEx>
        <w:trPr>
          <w:jc w:val="center"/>
        </w:trPr>
        <w:tc>
          <w:tcPr>
            <w:tcW w:w="270" w:type="dxa"/>
            <w:tcBorders>
              <w:left w:val="single" w:color="auto" w:sz="4" w:space="0"/>
              <w:bottom w:val="single" w:color="auto" w:sz="4" w:space="0"/>
            </w:tcBorders>
            <w:shd w:val="clear" w:color="auto" w:fill="auto"/>
          </w:tcPr>
          <w:p w:rsidR="004775FB" w:rsidP="00C935A8" w:rsidRDefault="004775FB" w14:paraId="28359579" w14:textId="77777777">
            <w:pPr>
              <w:jc w:val="right"/>
              <w:rPr>
                <w:rFonts w:ascii="Arial Narrow" w:hAnsi="Arial Narrow" w:eastAsia="Times New Roman" w:cs="Calibri"/>
                <w:b/>
                <w:color w:val="000000"/>
                <w:sz w:val="18"/>
                <w:szCs w:val="18"/>
                <w:vertAlign w:val="superscript"/>
              </w:rPr>
            </w:pPr>
            <w:r>
              <w:rPr>
                <w:rFonts w:ascii="Arial Narrow" w:hAnsi="Arial Narrow" w:eastAsia="Times New Roman" w:cs="Calibri"/>
                <w:b/>
                <w:color w:val="000000"/>
                <w:sz w:val="18"/>
                <w:szCs w:val="18"/>
                <w:vertAlign w:val="superscript"/>
              </w:rPr>
              <w:t>1</w:t>
            </w:r>
          </w:p>
        </w:tc>
        <w:tc>
          <w:tcPr>
            <w:tcW w:w="9090" w:type="dxa"/>
            <w:gridSpan w:val="7"/>
            <w:tcBorders>
              <w:bottom w:val="single" w:color="auto" w:sz="4" w:space="0"/>
              <w:right w:val="single" w:color="auto" w:sz="4" w:space="0"/>
            </w:tcBorders>
            <w:shd w:val="clear" w:color="auto" w:fill="auto"/>
            <w:noWrap/>
          </w:tcPr>
          <w:p w:rsidRPr="00565011" w:rsidR="004775FB" w:rsidP="00821559" w:rsidRDefault="004775FB" w14:paraId="2AB419E0" w14:textId="02B1DF90">
            <w:pPr>
              <w:pStyle w:val="Footnotetables"/>
              <w:ind w:left="0" w:firstLine="0"/>
            </w:pPr>
            <w:r w:rsidRPr="007A7147">
              <w:t xml:space="preserve">Estimates of incremental until burden </w:t>
            </w:r>
            <w:r>
              <w:t>and unit cost are back-calculated to ensure table presentation consistency and therefore differ slightly from corresponding estimates in</w:t>
            </w:r>
            <w:r w:rsidR="0058718E">
              <w:t xml:space="preserve"> </w:t>
            </w:r>
            <w:r w:rsidR="0058718E">
              <w:fldChar w:fldCharType="begin"/>
            </w:r>
            <w:r w:rsidR="0058718E">
              <w:instrText xml:space="preserve"> REF _Ref33190998 \h </w:instrText>
            </w:r>
            <w:r w:rsidR="0058718E">
              <w:fldChar w:fldCharType="separate"/>
            </w:r>
            <w:r w:rsidRPr="007375F8" w:rsidR="00EC4095">
              <w:rPr>
                <w:szCs w:val="24"/>
              </w:rPr>
              <w:t xml:space="preserve">Table </w:t>
            </w:r>
            <w:r w:rsidR="00EC4095">
              <w:rPr>
                <w:noProof/>
                <w:szCs w:val="24"/>
              </w:rPr>
              <w:t>2</w:t>
            </w:r>
            <w:r w:rsidR="0058718E">
              <w:fldChar w:fldCharType="end"/>
            </w:r>
            <w:r>
              <w:t xml:space="preserve">, </w:t>
            </w:r>
            <w:r w:rsidR="0058718E">
              <w:fldChar w:fldCharType="begin"/>
            </w:r>
            <w:r w:rsidR="0058718E">
              <w:instrText xml:space="preserve"> REF _Ref33191021 \h </w:instrText>
            </w:r>
            <w:r w:rsidR="0058718E">
              <w:fldChar w:fldCharType="separate"/>
            </w:r>
            <w:r w:rsidRPr="007375F8" w:rsidR="00EC4095">
              <w:rPr>
                <w:szCs w:val="24"/>
              </w:rPr>
              <w:t xml:space="preserve">Table </w:t>
            </w:r>
            <w:r w:rsidR="00EC4095">
              <w:rPr>
                <w:noProof/>
                <w:szCs w:val="24"/>
              </w:rPr>
              <w:t>3</w:t>
            </w:r>
            <w:r w:rsidR="0058718E">
              <w:fldChar w:fldCharType="end"/>
            </w:r>
            <w:r>
              <w:t>,</w:t>
            </w:r>
            <w:r w:rsidRPr="007A7147">
              <w:t xml:space="preserve"> and </w:t>
            </w:r>
            <w:r w:rsidR="0058718E">
              <w:fldChar w:fldCharType="begin"/>
            </w:r>
            <w:r w:rsidR="0058718E">
              <w:instrText xml:space="preserve"> REF _Ref33191040 \h </w:instrText>
            </w:r>
            <w:r w:rsidR="0058718E">
              <w:fldChar w:fldCharType="separate"/>
            </w:r>
            <w:r w:rsidRPr="0045734C" w:rsidR="00EC4095">
              <w:rPr>
                <w:szCs w:val="24"/>
              </w:rPr>
              <w:t xml:space="preserve">Table </w:t>
            </w:r>
            <w:r w:rsidR="00EC4095">
              <w:rPr>
                <w:noProof/>
                <w:szCs w:val="24"/>
              </w:rPr>
              <w:t>4</w:t>
            </w:r>
            <w:r w:rsidR="0058718E">
              <w:fldChar w:fldCharType="end"/>
            </w:r>
            <w:r w:rsidR="0058718E">
              <w:t xml:space="preserve"> </w:t>
            </w:r>
            <w:r>
              <w:t>in this document</w:t>
            </w:r>
            <w:r w:rsidRPr="007A7147">
              <w:t>.</w:t>
            </w:r>
          </w:p>
        </w:tc>
      </w:tr>
    </w:tbl>
    <w:p w:rsidR="00544740" w:rsidP="0068315F" w:rsidRDefault="00544740" w14:paraId="0CAD929D" w14:textId="77777777">
      <w:pPr>
        <w:pStyle w:val="NoSpacing"/>
        <w:rPr>
          <w:b/>
          <w:sz w:val="28"/>
          <w:szCs w:val="28"/>
        </w:rPr>
      </w:pPr>
    </w:p>
    <w:p w:rsidR="00544740" w:rsidP="00584412" w:rsidRDefault="00544740" w14:paraId="1E8ABC28" w14:textId="77777777">
      <w:pPr>
        <w:pStyle w:val="NoSpacing"/>
      </w:pPr>
      <w:r>
        <w:br w:type="page"/>
      </w:r>
    </w:p>
    <w:p w:rsidR="00283DEB" w:rsidP="001E44ED" w:rsidRDefault="00CA4A87" w14:paraId="775E8579" w14:textId="48D58F13">
      <w:pPr>
        <w:pStyle w:val="Heading7"/>
        <w:numPr>
          <w:ilvl w:val="0"/>
          <w:numId w:val="0"/>
        </w:numPr>
      </w:pPr>
      <w:bookmarkStart w:name="_Toc34984681" w:id="124"/>
      <w:r>
        <w:lastRenderedPageBreak/>
        <w:t xml:space="preserve">Attachment A. </w:t>
      </w:r>
      <w:r w:rsidR="00E87E30">
        <w:t xml:space="preserve">e-CDRweb </w:t>
      </w:r>
      <w:bookmarkEnd w:id="124"/>
      <w:r w:rsidR="00751D71">
        <w:t>Form U reporting tool</w:t>
      </w:r>
    </w:p>
    <w:p w:rsidR="00CA4A87" w:rsidP="001E44ED" w:rsidRDefault="00E87E30" w14:paraId="6F9D33A9" w14:textId="677143A3">
      <w:pPr>
        <w:pStyle w:val="Heading7"/>
        <w:numPr>
          <w:ilvl w:val="0"/>
          <w:numId w:val="0"/>
        </w:numPr>
      </w:pPr>
      <w:bookmarkStart w:name="_Toc34984682" w:id="125"/>
      <w:r>
        <w:t xml:space="preserve">A.1 </w:t>
      </w:r>
      <w:proofErr w:type="gramStart"/>
      <w:r w:rsidRPr="0094026E" w:rsidR="00CA4A87">
        <w:t>Mock ups</w:t>
      </w:r>
      <w:proofErr w:type="gramEnd"/>
      <w:r w:rsidRPr="0094026E" w:rsidR="00CA4A87">
        <w:t xml:space="preserve"> of e-CDRweb screen shots illustrating the changed reporting requirements</w:t>
      </w:r>
      <w:bookmarkEnd w:id="125"/>
      <w:r w:rsidRPr="0094026E" w:rsidR="00CA4A87">
        <w:t xml:space="preserve"> </w:t>
      </w:r>
    </w:p>
    <w:p w:rsidR="00807E8F" w:rsidP="0068315F" w:rsidRDefault="00CA4A87" w14:paraId="45BDCA17" w14:textId="715AA444">
      <w:pPr>
        <w:pStyle w:val="NoSpacing"/>
      </w:pPr>
      <w:r>
        <w:t xml:space="preserve">This attachment includes mock-ups of screen shots from the e-CDRweb reporting tool that implements changes from the CDR Revisions Final Rule. The selected screen shots illustrated the changed reporting requirements and are not final.  </w:t>
      </w:r>
    </w:p>
    <w:p w:rsidR="00807E8F" w:rsidP="0068315F" w:rsidRDefault="00807E8F" w14:paraId="6F4B5E68" w14:textId="77777777">
      <w:pPr>
        <w:pStyle w:val="NoSpacing"/>
      </w:pPr>
    </w:p>
    <w:p w:rsidR="00E87E30" w:rsidP="00E87E30" w:rsidRDefault="00E87E30" w14:paraId="6D0DF1D1" w14:textId="14DE5356">
      <w:pPr>
        <w:pStyle w:val="Heading7"/>
        <w:numPr>
          <w:ilvl w:val="0"/>
          <w:numId w:val="0"/>
        </w:numPr>
      </w:pPr>
      <w:bookmarkStart w:name="_Toc34984683" w:id="126"/>
      <w:r>
        <w:t xml:space="preserve">A.2 Example </w:t>
      </w:r>
      <w:r w:rsidR="00EC0CD7">
        <w:t xml:space="preserve">Draft </w:t>
      </w:r>
      <w:r>
        <w:t>Print-out from e-CDRweb: Primary Form, Manufacturer Submission</w:t>
      </w:r>
      <w:bookmarkEnd w:id="126"/>
    </w:p>
    <w:p w:rsidR="00E87E30" w:rsidP="00E87E30" w:rsidRDefault="00E87E30" w14:paraId="4B02DDC7" w14:textId="0BC8205C">
      <w:pPr>
        <w:pStyle w:val="Heading7"/>
        <w:numPr>
          <w:ilvl w:val="0"/>
          <w:numId w:val="0"/>
        </w:numPr>
      </w:pPr>
      <w:bookmarkStart w:name="_Toc34984684" w:id="127"/>
      <w:r>
        <w:t xml:space="preserve">A.3 Example </w:t>
      </w:r>
      <w:r w:rsidR="00EC0CD7">
        <w:t xml:space="preserve">Draft </w:t>
      </w:r>
      <w:r>
        <w:t>Print-out from e-CDRweb: Primary Form, Importer Submission</w:t>
      </w:r>
      <w:bookmarkEnd w:id="127"/>
    </w:p>
    <w:p w:rsidR="00E87E30" w:rsidP="00E87E30" w:rsidRDefault="00E87E30" w14:paraId="48030910" w14:textId="0E457249">
      <w:pPr>
        <w:pStyle w:val="Heading7"/>
        <w:numPr>
          <w:ilvl w:val="0"/>
          <w:numId w:val="0"/>
        </w:numPr>
      </w:pPr>
      <w:bookmarkStart w:name="_Toc34984685" w:id="128"/>
      <w:r>
        <w:t xml:space="preserve">A.4 Example </w:t>
      </w:r>
      <w:r w:rsidR="00EC0CD7">
        <w:t xml:space="preserve">Draft </w:t>
      </w:r>
      <w:r>
        <w:t>Print-out from e-CDRweb: Primary Form, Co-Manufacturer – Contracting Company Submission</w:t>
      </w:r>
      <w:bookmarkEnd w:id="128"/>
    </w:p>
    <w:p w:rsidR="00E87E30" w:rsidP="00E87E30" w:rsidRDefault="00E87E30" w14:paraId="377F88A0" w14:textId="184231DB">
      <w:pPr>
        <w:pStyle w:val="Heading7"/>
        <w:numPr>
          <w:ilvl w:val="0"/>
          <w:numId w:val="0"/>
        </w:numPr>
      </w:pPr>
      <w:bookmarkStart w:name="_Toc34984686" w:id="129"/>
      <w:r>
        <w:t>A.5 Example</w:t>
      </w:r>
      <w:r w:rsidR="00EC0CD7">
        <w:t xml:space="preserve"> Draft</w:t>
      </w:r>
      <w:r>
        <w:t xml:space="preserve"> Print-out from e-CDRweb: Primary Form, Co-Manufacturer – Producing Company Submission</w:t>
      </w:r>
      <w:bookmarkEnd w:id="129"/>
    </w:p>
    <w:p w:rsidR="00E87E30" w:rsidP="00E87E30" w:rsidRDefault="00E87E30" w14:paraId="32A9257D" w14:textId="429E0384">
      <w:pPr>
        <w:pStyle w:val="Heading7"/>
        <w:numPr>
          <w:ilvl w:val="0"/>
          <w:numId w:val="0"/>
        </w:numPr>
      </w:pPr>
      <w:bookmarkStart w:name="_Toc34984687" w:id="130"/>
      <w:r>
        <w:t xml:space="preserve">A.6 Example </w:t>
      </w:r>
      <w:r w:rsidR="00EC0CD7">
        <w:t xml:space="preserve">Draft </w:t>
      </w:r>
      <w:r>
        <w:t>Print-out from e-CDRweb: Secondary Form, Secondary or Tertiary Submission</w:t>
      </w:r>
      <w:bookmarkEnd w:id="130"/>
    </w:p>
    <w:p w:rsidR="00E87E30" w:rsidP="00E87E30" w:rsidRDefault="00E87E30" w14:paraId="1E0FEB34" w14:textId="32B3A896">
      <w:pPr>
        <w:pStyle w:val="Heading7"/>
        <w:numPr>
          <w:ilvl w:val="0"/>
          <w:numId w:val="0"/>
        </w:numPr>
      </w:pPr>
      <w:bookmarkStart w:name="_Toc34984688" w:id="131"/>
      <w:r>
        <w:t xml:space="preserve">A.7 Example </w:t>
      </w:r>
      <w:r w:rsidR="00EC0CD7">
        <w:t xml:space="preserve">Draft </w:t>
      </w:r>
      <w:r>
        <w:t>Print-out from e-CDRweb: Secondary Form, Secondary Notification to a Tertiary</w:t>
      </w:r>
      <w:bookmarkEnd w:id="131"/>
    </w:p>
    <w:p w:rsidRPr="00283DEB" w:rsidR="00283DEB" w:rsidP="00283DEB" w:rsidRDefault="00283DEB" w14:paraId="2011B368" w14:textId="77777777"/>
    <w:p w:rsidR="00CA4A87" w:rsidP="001E44ED" w:rsidRDefault="00CA4A87" w14:paraId="7CD3BCC6" w14:textId="0D2D7471">
      <w:pPr>
        <w:pStyle w:val="Heading7"/>
        <w:numPr>
          <w:ilvl w:val="0"/>
          <w:numId w:val="0"/>
        </w:numPr>
      </w:pPr>
      <w:bookmarkStart w:name="_Toc34984689" w:id="132"/>
      <w:r>
        <w:t xml:space="preserve">Attachment B. </w:t>
      </w:r>
      <w:r w:rsidRPr="0094026E">
        <w:t xml:space="preserve">Instructions </w:t>
      </w:r>
      <w:r>
        <w:t>for Reporting</w:t>
      </w:r>
      <w:bookmarkEnd w:id="132"/>
    </w:p>
    <w:p w:rsidR="004775FB" w:rsidP="0068315F" w:rsidRDefault="00CA4A87" w14:paraId="7003A1B3" w14:textId="1C34CD5D">
      <w:pPr>
        <w:pStyle w:val="NoSpacing"/>
      </w:pPr>
      <w:r>
        <w:t>This attachment is the draft 2020 CDR Instructions for Reporting. Based on the 2016 CDR Instructions for Reporting, this attachment has been updated to incorporate changes from the CDR Revisions Final Rule.</w:t>
      </w:r>
    </w:p>
    <w:p w:rsidR="00807E8F" w:rsidP="0068315F" w:rsidRDefault="00807E8F" w14:paraId="0740ADD6" w14:textId="5759A1BD">
      <w:pPr>
        <w:pStyle w:val="NoSpacing"/>
      </w:pPr>
    </w:p>
    <w:sectPr w:rsidR="00807E8F" w:rsidSect="002B34A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D3B7B" w14:textId="77777777" w:rsidR="00387594" w:rsidRDefault="00387594" w:rsidP="002B34A0">
      <w:r>
        <w:separator/>
      </w:r>
    </w:p>
  </w:endnote>
  <w:endnote w:type="continuationSeparator" w:id="0">
    <w:p w14:paraId="4637ED40" w14:textId="77777777" w:rsidR="00387594" w:rsidRDefault="00387594" w:rsidP="002B34A0">
      <w:r>
        <w:continuationSeparator/>
      </w:r>
    </w:p>
  </w:endnote>
  <w:endnote w:type="continuationNotice" w:id="1">
    <w:p w14:paraId="0521C592" w14:textId="77777777" w:rsidR="00387594" w:rsidRDefault="00387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380649"/>
      <w:docPartObj>
        <w:docPartGallery w:val="Page Numbers (Bottom of Page)"/>
        <w:docPartUnique/>
      </w:docPartObj>
    </w:sdtPr>
    <w:sdtContent>
      <w:sdt>
        <w:sdtPr>
          <w:id w:val="-261991045"/>
          <w:docPartObj>
            <w:docPartGallery w:val="Page Numbers (Top of Page)"/>
            <w:docPartUnique/>
          </w:docPartObj>
        </w:sdtPr>
        <w:sdtContent>
          <w:p w14:paraId="2411BCD7" w14:textId="3271F282" w:rsidR="00387594" w:rsidRDefault="00387594" w:rsidP="00C05573">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33</w:t>
            </w:r>
            <w:r w:rsidRPr="002B34A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E718" w14:textId="77777777" w:rsidR="00387594" w:rsidRDefault="00387594" w:rsidP="002B34A0">
      <w:r>
        <w:separator/>
      </w:r>
    </w:p>
  </w:footnote>
  <w:footnote w:type="continuationSeparator" w:id="0">
    <w:p w14:paraId="00F828DE" w14:textId="77777777" w:rsidR="00387594" w:rsidRDefault="00387594" w:rsidP="002B34A0">
      <w:r>
        <w:continuationSeparator/>
      </w:r>
    </w:p>
  </w:footnote>
  <w:footnote w:type="continuationNotice" w:id="1">
    <w:p w14:paraId="1E1F3B5C" w14:textId="77777777" w:rsidR="00387594" w:rsidRDefault="00387594"/>
  </w:footnote>
  <w:footnote w:id="2">
    <w:p w14:paraId="1AE2F50E" w14:textId="77777777" w:rsidR="00387594" w:rsidRPr="002210E9" w:rsidRDefault="00387594" w:rsidP="0007493C">
      <w:pPr>
        <w:pStyle w:val="FootnoteText"/>
        <w:rPr>
          <w:rFonts w:ascii="Arial Narrow" w:hAnsi="Arial Narrow"/>
          <w:sz w:val="18"/>
          <w:szCs w:val="18"/>
        </w:rPr>
      </w:pPr>
      <w:r w:rsidRPr="002210E9">
        <w:rPr>
          <w:rStyle w:val="FootnoteReference"/>
          <w:rFonts w:ascii="Arial Narrow" w:hAnsi="Arial Narrow"/>
          <w:sz w:val="18"/>
          <w:szCs w:val="18"/>
          <w:vertAlign w:val="superscript"/>
        </w:rPr>
        <w:footnoteRef/>
      </w:r>
      <w:r w:rsidRPr="002210E9">
        <w:rPr>
          <w:rFonts w:ascii="Arial Narrow" w:hAnsi="Arial Narrow"/>
          <w:sz w:val="18"/>
          <w:szCs w:val="18"/>
        </w:rPr>
        <w:t xml:space="preserve"> The 20 High Priority Chemical Substances are: 1,3-Butadiene, Butyl benzyl phthalate (BBP) (1,2-Benzenedicarboxylic acid, 1-butyl 2-(phenylmethyl) ester), Dibutyl phthalate (DBP) (1,2-Benzenedicarboxylic acid, 1,2-dibutyl ester), o-Dichlorobenzene (Benzene, 1,2-dichloro-), p-Dichlorobenzene (Benzene, 1,4-dichloro-), 1,1-Dichloroethane, 1,2-Dichloroethane, trans-1,2-Dichloroethylene (Ethene, 1,2-dichloro-, (1E)-), 1,2-Dichloropropane, Dicyclohexyl phthalate (1,2-Benzenedicarboxylic acid, 1,2-dicyclohexyl ester), Di-ethylhexyl phthalate (DEHP) (1,2-Benzenedicarboxylic acid, 1,2-bis(2-ethylhexyl) ester), Di-isobutyl phthalate (DIBP) (1,2-Benzenedicarboxylic acid, 1,2-bis(2-methylpropyl) ester),</w:t>
      </w:r>
      <w:r w:rsidRPr="00A47D48">
        <w:t xml:space="preserve"> </w:t>
      </w:r>
      <w:r w:rsidRPr="002210E9">
        <w:rPr>
          <w:rFonts w:ascii="Arial Narrow" w:hAnsi="Arial Narrow"/>
          <w:sz w:val="18"/>
          <w:szCs w:val="18"/>
        </w:rPr>
        <w:t>Ethylene dibromide (Ethane, 1,2-dibromo-), Formaldehyde, 1,3,4,6,7,8-Hexahydro-4,6,6,7,8,8-hexamethylcyclopenta [g]-2-benzopyran (HHCB), 4,4′-(1-Methylethylidene)bis[2, 6-dibromophenol] (TBBPA), Phosphoric acid, triphenyl ester (TPP), Phthalic anhydride (1,3-Isobenzofurandione), 1,1,2-Trichloroethane, Tris(2-chloroethyl) phosphate (TCEP) (Ethanol, 2-chloro-, 1,1′,1″-phosphate).</w:t>
      </w:r>
    </w:p>
  </w:footnote>
  <w:footnote w:id="3">
    <w:p w14:paraId="72133E90" w14:textId="77777777" w:rsidR="00387594" w:rsidRPr="005911FB" w:rsidRDefault="00387594" w:rsidP="005911FB">
      <w:pPr>
        <w:pStyle w:val="FootnoteText"/>
        <w:rPr>
          <w:rFonts w:ascii="Arial" w:hAnsi="Arial" w:cs="Arial"/>
        </w:rPr>
      </w:pPr>
      <w:r w:rsidRPr="005911FB">
        <w:rPr>
          <w:rStyle w:val="FootnoteReference"/>
          <w:rFonts w:ascii="Arial" w:hAnsi="Arial" w:cs="Arial"/>
          <w:vertAlign w:val="superscript"/>
        </w:rPr>
        <w:footnoteRef/>
      </w:r>
      <w:r w:rsidRPr="005911FB">
        <w:rPr>
          <w:rFonts w:ascii="Arial" w:hAnsi="Arial" w:cs="Arial"/>
        </w:rPr>
        <w:t xml:space="preserve"> Quality control activities performed by program staff involve comparative analysis of the data received to identify if there are any unexpected anomalies or inconsistencies of the data, such as between sites with the same parent companies, followed by outreach to the reporting companies to obtain corrections or confirmation that reported information is correct.</w:t>
      </w:r>
    </w:p>
  </w:footnote>
  <w:footnote w:id="4">
    <w:p w14:paraId="7DA9CF76" w14:textId="77777777" w:rsidR="00387594" w:rsidRPr="00A860B7" w:rsidRDefault="00387594" w:rsidP="004909CD">
      <w:pPr>
        <w:pStyle w:val="FootnoteText"/>
        <w:rPr>
          <w:rFonts w:ascii="Arial" w:hAnsi="Arial" w:cs="Arial"/>
        </w:rPr>
      </w:pPr>
      <w:r w:rsidRPr="00A860B7">
        <w:rPr>
          <w:rStyle w:val="FootnoteReference"/>
          <w:rFonts w:ascii="Arial" w:hAnsi="Arial" w:cs="Arial"/>
          <w:vertAlign w:val="superscript"/>
        </w:rPr>
        <w:footnoteRef/>
      </w:r>
      <w:r w:rsidRPr="00A860B7">
        <w:rPr>
          <w:rFonts w:ascii="Arial" w:hAnsi="Arial" w:cs="Arial"/>
          <w:vertAlign w:val="superscript"/>
        </w:rPr>
        <w:t xml:space="preserve"> </w:t>
      </w:r>
      <w:r w:rsidRPr="00A860B7">
        <w:rPr>
          <w:rFonts w:ascii="Arial" w:hAnsi="Arial" w:cs="Arial"/>
        </w:rPr>
        <w:t>The reporting threshold is lower (2,500 lb) for chemical substances that are the subject of certain TSCA actions (see 40 CFR 711.8(b)), including:</w:t>
      </w:r>
    </w:p>
    <w:p w14:paraId="7688D93A" w14:textId="77777777" w:rsidR="00387594" w:rsidRPr="00A860B7" w:rsidRDefault="00387594" w:rsidP="004909CD">
      <w:pPr>
        <w:pStyle w:val="FootnoteText"/>
        <w:numPr>
          <w:ilvl w:val="0"/>
          <w:numId w:val="31"/>
        </w:numPr>
        <w:ind w:left="720"/>
        <w:rPr>
          <w:rFonts w:ascii="Arial" w:hAnsi="Arial" w:cs="Arial"/>
        </w:rPr>
      </w:pPr>
      <w:r w:rsidRPr="00A860B7">
        <w:rPr>
          <w:rFonts w:ascii="Arial" w:hAnsi="Arial" w:cs="Arial"/>
        </w:rPr>
        <w:t>A rule proposed or promulgated under TSCA sections 5(a)(2), 5(b)(4), or 6;</w:t>
      </w:r>
    </w:p>
    <w:p w14:paraId="7B026D8B" w14:textId="77777777" w:rsidR="00387594" w:rsidRPr="00A860B7" w:rsidRDefault="00387594" w:rsidP="004909CD">
      <w:pPr>
        <w:pStyle w:val="FootnoteText"/>
        <w:numPr>
          <w:ilvl w:val="0"/>
          <w:numId w:val="31"/>
        </w:numPr>
        <w:ind w:left="720"/>
        <w:rPr>
          <w:rFonts w:ascii="Arial" w:hAnsi="Arial" w:cs="Arial"/>
        </w:rPr>
      </w:pPr>
      <w:r w:rsidRPr="00A860B7">
        <w:rPr>
          <w:rFonts w:ascii="Arial" w:hAnsi="Arial" w:cs="Arial"/>
        </w:rPr>
        <w:t>An order issued under TSCA sections 5(e) or 5(f); or</w:t>
      </w:r>
    </w:p>
    <w:p w14:paraId="273167DB" w14:textId="77777777" w:rsidR="00387594" w:rsidRPr="00A860B7" w:rsidRDefault="00387594" w:rsidP="004909CD">
      <w:pPr>
        <w:pStyle w:val="FootnoteText"/>
        <w:numPr>
          <w:ilvl w:val="0"/>
          <w:numId w:val="31"/>
        </w:numPr>
        <w:ind w:left="720"/>
        <w:rPr>
          <w:rFonts w:ascii="Arial" w:hAnsi="Arial" w:cs="Arial"/>
        </w:rPr>
      </w:pPr>
      <w:r w:rsidRPr="00A860B7">
        <w:rPr>
          <w:rFonts w:ascii="Arial" w:hAnsi="Arial" w:cs="Arial"/>
        </w:rPr>
        <w:t>Relief that has been granted under a civil action under TSCA sections 5 or 7.</w:t>
      </w:r>
    </w:p>
  </w:footnote>
  <w:footnote w:id="5">
    <w:p w14:paraId="2D6A07DD" w14:textId="77777777" w:rsidR="00387594" w:rsidRPr="00A860B7" w:rsidRDefault="00387594" w:rsidP="004909CD">
      <w:pPr>
        <w:pStyle w:val="FootnoteText"/>
        <w:rPr>
          <w:rFonts w:ascii="Arial" w:hAnsi="Arial" w:cs="Arial"/>
        </w:rPr>
      </w:pPr>
      <w:r w:rsidRPr="00A860B7">
        <w:rPr>
          <w:rStyle w:val="FootnoteReference"/>
          <w:rFonts w:ascii="Arial" w:hAnsi="Arial" w:cs="Arial"/>
          <w:vertAlign w:val="superscript"/>
        </w:rPr>
        <w:footnoteRef/>
      </w:r>
      <w:r w:rsidRPr="00A860B7">
        <w:rPr>
          <w:rFonts w:ascii="Arial" w:hAnsi="Arial" w:cs="Arial"/>
        </w:rPr>
        <w:t xml:space="preserve"> Note that some results in this analysis are presented on a one-year basis. The annual estimates are simply the four-year estimates divided by four. EPA acknowledges that activities may be spread unevenly across the four years. However, for purposes of burden and cost tracking, a constant annual burden and cost is a useful standardized metric for this and other analyses. </w:t>
      </w:r>
    </w:p>
  </w:footnote>
  <w:footnote w:id="6">
    <w:p w14:paraId="57BC71D1" w14:textId="77777777" w:rsidR="00387594" w:rsidRPr="00A860B7" w:rsidRDefault="00387594" w:rsidP="004909CD">
      <w:pPr>
        <w:pStyle w:val="FootnoteText"/>
        <w:rPr>
          <w:rFonts w:ascii="Arial" w:hAnsi="Arial" w:cs="Arial"/>
        </w:rPr>
      </w:pPr>
      <w:r w:rsidRPr="00A860B7">
        <w:rPr>
          <w:rStyle w:val="FootnoteReference"/>
          <w:rFonts w:ascii="Arial" w:hAnsi="Arial" w:cs="Arial"/>
          <w:vertAlign w:val="superscript"/>
        </w:rPr>
        <w:footnoteRef/>
      </w:r>
      <w:r w:rsidRPr="00A860B7">
        <w:rPr>
          <w:rFonts w:ascii="Arial" w:hAnsi="Arial" w:cs="Arial"/>
          <w:vertAlign w:val="superscript"/>
        </w:rPr>
        <w:t xml:space="preserve"> </w:t>
      </w:r>
      <w:r w:rsidRPr="00A860B7">
        <w:rPr>
          <w:rFonts w:ascii="Arial" w:hAnsi="Arial" w:cs="Arial"/>
        </w:rPr>
        <w:t xml:space="preserve">The economic analysis defines its baseline as the predicted 2020 CDR conditions using the 2016 CDR (EPA, 2018a). </w:t>
      </w:r>
      <w:r w:rsidRPr="00A860B7">
        <w:rPr>
          <w:rFonts w:ascii="Arial" w:eastAsia="Times New Roman" w:hAnsi="Arial" w:cs="Arial"/>
          <w:szCs w:val="18"/>
        </w:rPr>
        <w:t>The 2016 CDR is considered an appropriate baseline data source without adjustment for two reasons: (1) in the history of CDR development, the information from the 2016 CDR is the most complete, covering a comparable four-year period; and (2) upon review of year-to-year counts for chemicals, sites, and chemical reports there is high variance from year to year without a noteworthy trend upward or downward in counts.</w:t>
      </w:r>
    </w:p>
  </w:footnote>
  <w:footnote w:id="7">
    <w:p w14:paraId="06E3EFCC" w14:textId="59C62216" w:rsidR="00387594" w:rsidRDefault="00387594">
      <w:pPr>
        <w:pStyle w:val="FootnoteText"/>
      </w:pPr>
      <w:r w:rsidRPr="002210E9">
        <w:rPr>
          <w:rStyle w:val="FootnoteReference"/>
          <w:vertAlign w:val="superscript"/>
        </w:rPr>
        <w:footnoteRef/>
      </w:r>
      <w:r w:rsidRPr="002210E9">
        <w:rPr>
          <w:vertAlign w:val="superscript"/>
        </w:rPr>
        <w:t xml:space="preserve"> </w:t>
      </w:r>
      <w:r w:rsidRPr="002210E9">
        <w:rPr>
          <w:rFonts w:ascii="Arial" w:hAnsi="Arial" w:cs="Arial"/>
        </w:rPr>
        <w:t>Beginning with the 2020 CDR Form U, the section of the form containing the processing and use information will be Part II Section D</w:t>
      </w:r>
    </w:p>
  </w:footnote>
  <w:footnote w:id="8">
    <w:p w14:paraId="6D47CD86" w14:textId="0E451341" w:rsidR="00387594" w:rsidRPr="002210E9" w:rsidRDefault="00387594" w:rsidP="00347668">
      <w:pPr>
        <w:pStyle w:val="FootnoteText"/>
        <w:rPr>
          <w:rFonts w:ascii="Arial" w:hAnsi="Arial" w:cs="Arial"/>
        </w:rPr>
      </w:pPr>
      <w:r w:rsidRPr="002210E9">
        <w:rPr>
          <w:rStyle w:val="FootnoteReference"/>
          <w:rFonts w:ascii="Arial" w:hAnsi="Arial" w:cs="Arial"/>
          <w:vertAlign w:val="superscript"/>
        </w:rPr>
        <w:footnoteRef/>
      </w:r>
      <w:r w:rsidRPr="002210E9">
        <w:rPr>
          <w:rFonts w:ascii="Arial" w:hAnsi="Arial" w:cs="Arial"/>
        </w:rPr>
        <w:t xml:space="preserve"> The three affected data elements are Function Category (Industrial) in Part II</w:t>
      </w:r>
      <w:r>
        <w:rPr>
          <w:rFonts w:ascii="Arial" w:hAnsi="Arial" w:cs="Arial"/>
        </w:rPr>
        <w:t>IA</w:t>
      </w:r>
      <w:r w:rsidRPr="002210E9">
        <w:rPr>
          <w:rFonts w:ascii="Arial" w:hAnsi="Arial" w:cs="Arial"/>
        </w:rPr>
        <w:t xml:space="preserve"> and Product Category and Function Category (Consumer and Commercial) in Part II</w:t>
      </w:r>
      <w:r>
        <w:rPr>
          <w:rFonts w:ascii="Arial" w:hAnsi="Arial" w:cs="Arial"/>
        </w:rPr>
        <w:t>IB</w:t>
      </w:r>
      <w:r w:rsidRPr="002210E9">
        <w:rPr>
          <w:rFonts w:ascii="Arial" w:hAnsi="Arial" w:cs="Arial"/>
        </w:rPr>
        <w:t>.</w:t>
      </w:r>
      <w:r>
        <w:rPr>
          <w:rFonts w:ascii="Arial" w:hAnsi="Arial" w:cs="Arial"/>
        </w:rPr>
        <w:t xml:space="preserve"> Beginning with the 2020 CDR Form U, these data elements will be in Part II.D.1 and II.D.2, respectively.</w:t>
      </w:r>
    </w:p>
  </w:footnote>
  <w:footnote w:id="9">
    <w:p w14:paraId="529CBD53" w14:textId="2471EDB6" w:rsidR="00387594" w:rsidRPr="003E570D" w:rsidRDefault="00387594" w:rsidP="004909CD">
      <w:pPr>
        <w:pStyle w:val="FootnoteText"/>
        <w:rPr>
          <w:rFonts w:ascii="Arial" w:hAnsi="Arial" w:cs="Arial"/>
        </w:rPr>
      </w:pPr>
      <w:r w:rsidRPr="003E570D">
        <w:rPr>
          <w:rStyle w:val="FootnoteReference"/>
          <w:rFonts w:ascii="Arial" w:hAnsi="Arial" w:cs="Arial"/>
          <w:vertAlign w:val="superscript"/>
        </w:rPr>
        <w:footnoteRef/>
      </w:r>
      <w:r w:rsidRPr="003E570D">
        <w:rPr>
          <w:rFonts w:ascii="Arial" w:hAnsi="Arial" w:cs="Arial"/>
          <w:vertAlign w:val="superscript"/>
        </w:rPr>
        <w:t xml:space="preserve"> </w:t>
      </w:r>
      <w:r w:rsidRPr="003E570D">
        <w:rPr>
          <w:rFonts w:ascii="Arial" w:hAnsi="Arial" w:cs="Arial"/>
        </w:rPr>
        <w:t>A full chemical report refers to a Form U with Part III (chemical-specific processing and use) information.</w:t>
      </w:r>
      <w:r>
        <w:rPr>
          <w:rFonts w:ascii="Arial" w:hAnsi="Arial" w:cs="Arial"/>
        </w:rPr>
        <w:t xml:space="preserve"> For the 2020 CDR, processing and use information is in Part II Section D of the revised Form U printout. </w:t>
      </w:r>
    </w:p>
  </w:footnote>
  <w:footnote w:id="10">
    <w:p w14:paraId="3E9541EC" w14:textId="77777777" w:rsidR="00387594" w:rsidRPr="002B6E34" w:rsidRDefault="00387594" w:rsidP="00C7037B">
      <w:pPr>
        <w:pStyle w:val="FootnoteText"/>
        <w:rPr>
          <w:rFonts w:ascii="Arial" w:hAnsi="Arial" w:cs="Arial"/>
        </w:rPr>
      </w:pPr>
      <w:r w:rsidRPr="002B6E34">
        <w:rPr>
          <w:rStyle w:val="FootnoteReference"/>
          <w:rFonts w:ascii="Arial" w:hAnsi="Arial" w:cs="Arial"/>
          <w:vertAlign w:val="superscript"/>
        </w:rPr>
        <w:footnoteRef/>
      </w:r>
      <w:r w:rsidRPr="002B6E34">
        <w:rPr>
          <w:rFonts w:ascii="Arial" w:hAnsi="Arial" w:cs="Arial"/>
          <w:vertAlign w:val="superscript"/>
        </w:rPr>
        <w:t xml:space="preserve"> </w:t>
      </w:r>
      <w:r w:rsidRPr="002B6E34">
        <w:rPr>
          <w:rFonts w:ascii="Arial" w:hAnsi="Arial" w:cs="Arial"/>
        </w:rPr>
        <w:t xml:space="preserve">The number of chemicals per site changes by about -0.07 chemicals per site. The % partial reports changes by +0.3%. The estimate for % of sites as new reporters does not change. </w:t>
      </w:r>
    </w:p>
  </w:footnote>
  <w:footnote w:id="11">
    <w:p w14:paraId="7F0EDBD7" w14:textId="77777777" w:rsidR="00387594" w:rsidRDefault="00387594" w:rsidP="00C7037B">
      <w:pPr>
        <w:pStyle w:val="FootnoteText"/>
      </w:pPr>
      <w:r w:rsidRPr="002B6E34">
        <w:rPr>
          <w:rStyle w:val="FootnoteReference"/>
          <w:rFonts w:ascii="Arial" w:hAnsi="Arial" w:cs="Arial"/>
          <w:vertAlign w:val="superscript"/>
        </w:rPr>
        <w:footnoteRef/>
      </w:r>
      <w:r w:rsidRPr="002B6E34">
        <w:rPr>
          <w:rFonts w:ascii="Arial" w:hAnsi="Arial" w:cs="Arial"/>
        </w:rPr>
        <w:t xml:space="preserve"> Under the final rule, overall burden for the CDR collection of information is estimated to average 132.82 hours per year for the average multi-chemical submission of 7.43 chemicals per site with 22.22% of reports consisting of partial reports and 15% of sites as new reporters.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DA75" w14:textId="745F599D" w:rsidR="00387594" w:rsidRPr="00F91280" w:rsidRDefault="00F91280" w:rsidP="00F91280">
    <w:pPr>
      <w:jc w:val="right"/>
    </w:pPr>
    <w:r w:rsidRPr="00F91280">
      <w:rPr>
        <w:sz w:val="20"/>
        <w:szCs w:val="20"/>
      </w:rPr>
      <w:t>March 20,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4A01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C0D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607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2AB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CE63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3C61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2272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8" w15:restartNumberingAfterBreak="0">
    <w:nsid w:val="FFFFFF88"/>
    <w:multiLevelType w:val="singleLevel"/>
    <w:tmpl w:val="43FA5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A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1BB0C35"/>
    <w:multiLevelType w:val="hybridMultilevel"/>
    <w:tmpl w:val="F8E28AC8"/>
    <w:lvl w:ilvl="0" w:tplc="2C6ED1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FD1EBC"/>
    <w:multiLevelType w:val="multilevel"/>
    <w:tmpl w:val="770684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suff w:val="space"/>
      <w:lvlText w:val="Appendix %7."/>
      <w:lvlJc w:val="left"/>
      <w:pPr>
        <w:ind w:left="0" w:firstLine="0"/>
      </w:pPr>
      <w:rPr>
        <w:rFonts w:ascii="Arial" w:hAnsi="Arial" w:hint="default"/>
        <w:b/>
        <w:i w:val="0"/>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6092673"/>
    <w:multiLevelType w:val="hybridMultilevel"/>
    <w:tmpl w:val="69FE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78642C"/>
    <w:multiLevelType w:val="hybridMultilevel"/>
    <w:tmpl w:val="725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46344"/>
    <w:multiLevelType w:val="multilevel"/>
    <w:tmpl w:val="EEAE08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suff w:val="space"/>
      <w:lvlText w:val="Appendix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CD6A66"/>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3E4E9B"/>
    <w:multiLevelType w:val="hybridMultilevel"/>
    <w:tmpl w:val="CA026D6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C826BC"/>
    <w:multiLevelType w:val="multilevel"/>
    <w:tmpl w:val="2720684C"/>
    <w:numStyleLink w:val="ListNumber1"/>
  </w:abstractNum>
  <w:abstractNum w:abstractNumId="28"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5B22E4"/>
    <w:multiLevelType w:val="hybridMultilevel"/>
    <w:tmpl w:val="61568F24"/>
    <w:lvl w:ilvl="0" w:tplc="B3C413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CAF3C84"/>
    <w:multiLevelType w:val="hybridMultilevel"/>
    <w:tmpl w:val="194E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5E2EC8"/>
    <w:multiLevelType w:val="hybridMultilevel"/>
    <w:tmpl w:val="B47EDA22"/>
    <w:lvl w:ilvl="0" w:tplc="2C6ED1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D25E5D"/>
    <w:multiLevelType w:val="hybridMultilevel"/>
    <w:tmpl w:val="689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1795D"/>
    <w:multiLevelType w:val="hybridMultilevel"/>
    <w:tmpl w:val="832C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714349"/>
    <w:multiLevelType w:val="hybridMultilevel"/>
    <w:tmpl w:val="AA0AC63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552E03FD"/>
    <w:multiLevelType w:val="hybridMultilevel"/>
    <w:tmpl w:val="69F8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D75402"/>
    <w:multiLevelType w:val="hybridMultilevel"/>
    <w:tmpl w:val="53B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15:restartNumberingAfterBreak="0">
    <w:nsid w:val="61594CCD"/>
    <w:multiLevelType w:val="hybridMultilevel"/>
    <w:tmpl w:val="8F74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C3C6C55"/>
    <w:multiLevelType w:val="multilevel"/>
    <w:tmpl w:val="F19443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suff w:val="space"/>
      <w:lvlText w:val="Appendix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8"/>
  </w:num>
  <w:num w:numId="4">
    <w:abstractNumId w:val="42"/>
  </w:num>
  <w:num w:numId="5">
    <w:abstractNumId w:val="45"/>
  </w:num>
  <w:num w:numId="6">
    <w:abstractNumId w:val="32"/>
  </w:num>
  <w:num w:numId="7">
    <w:abstractNumId w:val="47"/>
  </w:num>
  <w:num w:numId="8">
    <w:abstractNumId w:val="31"/>
  </w:num>
  <w:num w:numId="9">
    <w:abstractNumId w:val="48"/>
  </w:num>
  <w:num w:numId="10">
    <w:abstractNumId w:val="24"/>
  </w:num>
  <w:num w:numId="11">
    <w:abstractNumId w:val="23"/>
  </w:num>
  <w:num w:numId="12">
    <w:abstractNumId w:val="17"/>
  </w:num>
  <w:num w:numId="13">
    <w:abstractNumId w:val="25"/>
  </w:num>
  <w:num w:numId="14">
    <w:abstractNumId w:val="46"/>
  </w:num>
  <w:num w:numId="15">
    <w:abstractNumId w:val="30"/>
  </w:num>
  <w:num w:numId="16">
    <w:abstractNumId w:val="33"/>
  </w:num>
  <w:num w:numId="17">
    <w:abstractNumId w:val="28"/>
  </w:num>
  <w:num w:numId="18">
    <w:abstractNumId w:val="1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6"/>
  </w:num>
  <w:num w:numId="20">
    <w:abstractNumId w:val="34"/>
  </w:num>
  <w:num w:numId="21">
    <w:abstractNumId w:val="15"/>
  </w:num>
  <w:num w:numId="22">
    <w:abstractNumId w:val="22"/>
  </w:num>
  <w:num w:numId="23">
    <w:abstractNumId w:val="27"/>
  </w:num>
  <w:num w:numId="24">
    <w:abstractNumId w:val="40"/>
  </w:num>
  <w:num w:numId="25">
    <w:abstractNumId w:val="44"/>
  </w:num>
  <w:num w:numId="26">
    <w:abstractNumId w:val="9"/>
  </w:num>
  <w:num w:numId="27">
    <w:abstractNumId w:val="35"/>
  </w:num>
  <w:num w:numId="28">
    <w:abstractNumId w:val="36"/>
  </w:num>
  <w:num w:numId="29">
    <w:abstractNumId w:val="20"/>
  </w:num>
  <w:num w:numId="30">
    <w:abstractNumId w:val="38"/>
  </w:num>
  <w:num w:numId="31">
    <w:abstractNumId w:val="41"/>
  </w:num>
  <w:num w:numId="32">
    <w:abstractNumId w:val="37"/>
  </w:num>
  <w:num w:numId="33">
    <w:abstractNumId w:val="39"/>
  </w:num>
  <w:num w:numId="34">
    <w:abstractNumId w:val="19"/>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49"/>
  </w:num>
  <w:num w:numId="45">
    <w:abstractNumId w:val="21"/>
  </w:num>
  <w:num w:numId="4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3C59"/>
    <w:rsid w:val="00003EFE"/>
    <w:rsid w:val="00005662"/>
    <w:rsid w:val="000069E3"/>
    <w:rsid w:val="00012C7C"/>
    <w:rsid w:val="00013174"/>
    <w:rsid w:val="0001558A"/>
    <w:rsid w:val="00017350"/>
    <w:rsid w:val="00017E42"/>
    <w:rsid w:val="0002070E"/>
    <w:rsid w:val="00020D31"/>
    <w:rsid w:val="0002255B"/>
    <w:rsid w:val="000244E2"/>
    <w:rsid w:val="00025468"/>
    <w:rsid w:val="00025CEE"/>
    <w:rsid w:val="00032FBE"/>
    <w:rsid w:val="00035C5E"/>
    <w:rsid w:val="000441D5"/>
    <w:rsid w:val="000509E5"/>
    <w:rsid w:val="00051C71"/>
    <w:rsid w:val="000525A8"/>
    <w:rsid w:val="000530F2"/>
    <w:rsid w:val="00053361"/>
    <w:rsid w:val="00053964"/>
    <w:rsid w:val="00053D9D"/>
    <w:rsid w:val="00055451"/>
    <w:rsid w:val="0006124D"/>
    <w:rsid w:val="0006712C"/>
    <w:rsid w:val="00067A3F"/>
    <w:rsid w:val="00070ACE"/>
    <w:rsid w:val="00070BCF"/>
    <w:rsid w:val="00071069"/>
    <w:rsid w:val="00071571"/>
    <w:rsid w:val="000718FF"/>
    <w:rsid w:val="0007493C"/>
    <w:rsid w:val="00077591"/>
    <w:rsid w:val="00077910"/>
    <w:rsid w:val="0008007A"/>
    <w:rsid w:val="00080514"/>
    <w:rsid w:val="00081CC6"/>
    <w:rsid w:val="000836DB"/>
    <w:rsid w:val="00085B90"/>
    <w:rsid w:val="00086F52"/>
    <w:rsid w:val="00096E80"/>
    <w:rsid w:val="00097B26"/>
    <w:rsid w:val="000A02BA"/>
    <w:rsid w:val="000A185F"/>
    <w:rsid w:val="000A22C8"/>
    <w:rsid w:val="000A2F92"/>
    <w:rsid w:val="000A409C"/>
    <w:rsid w:val="000A522E"/>
    <w:rsid w:val="000A59EC"/>
    <w:rsid w:val="000A5D40"/>
    <w:rsid w:val="000A7C2A"/>
    <w:rsid w:val="000B0DD6"/>
    <w:rsid w:val="000B2430"/>
    <w:rsid w:val="000B24B3"/>
    <w:rsid w:val="000B424E"/>
    <w:rsid w:val="000C202C"/>
    <w:rsid w:val="000D0374"/>
    <w:rsid w:val="000D1990"/>
    <w:rsid w:val="000D3066"/>
    <w:rsid w:val="000D4574"/>
    <w:rsid w:val="000D5722"/>
    <w:rsid w:val="000D590F"/>
    <w:rsid w:val="000D767F"/>
    <w:rsid w:val="000E19FB"/>
    <w:rsid w:val="000E1C35"/>
    <w:rsid w:val="000E66DE"/>
    <w:rsid w:val="000E7743"/>
    <w:rsid w:val="000E7B38"/>
    <w:rsid w:val="000F0C52"/>
    <w:rsid w:val="00100C28"/>
    <w:rsid w:val="00102480"/>
    <w:rsid w:val="00103F89"/>
    <w:rsid w:val="00105F59"/>
    <w:rsid w:val="00106889"/>
    <w:rsid w:val="00110EB7"/>
    <w:rsid w:val="0011790C"/>
    <w:rsid w:val="001203BA"/>
    <w:rsid w:val="00121CD3"/>
    <w:rsid w:val="00125B5B"/>
    <w:rsid w:val="00126EAC"/>
    <w:rsid w:val="00132F3D"/>
    <w:rsid w:val="00136D8F"/>
    <w:rsid w:val="00136E74"/>
    <w:rsid w:val="001417FF"/>
    <w:rsid w:val="001430EB"/>
    <w:rsid w:val="0014310F"/>
    <w:rsid w:val="001462BA"/>
    <w:rsid w:val="00151AB1"/>
    <w:rsid w:val="00153E68"/>
    <w:rsid w:val="0015601E"/>
    <w:rsid w:val="001568F9"/>
    <w:rsid w:val="001606AF"/>
    <w:rsid w:val="001635AE"/>
    <w:rsid w:val="00163EF0"/>
    <w:rsid w:val="00165581"/>
    <w:rsid w:val="001656B8"/>
    <w:rsid w:val="0016777D"/>
    <w:rsid w:val="00171625"/>
    <w:rsid w:val="00171D01"/>
    <w:rsid w:val="00173F47"/>
    <w:rsid w:val="0017447C"/>
    <w:rsid w:val="00175266"/>
    <w:rsid w:val="00176015"/>
    <w:rsid w:val="00176685"/>
    <w:rsid w:val="0018203B"/>
    <w:rsid w:val="0018440A"/>
    <w:rsid w:val="00185866"/>
    <w:rsid w:val="0019119D"/>
    <w:rsid w:val="00191899"/>
    <w:rsid w:val="00192DF6"/>
    <w:rsid w:val="0019305C"/>
    <w:rsid w:val="0019470B"/>
    <w:rsid w:val="001A11AE"/>
    <w:rsid w:val="001A2515"/>
    <w:rsid w:val="001A3C59"/>
    <w:rsid w:val="001A42FB"/>
    <w:rsid w:val="001A77C5"/>
    <w:rsid w:val="001B1831"/>
    <w:rsid w:val="001B2877"/>
    <w:rsid w:val="001B6F10"/>
    <w:rsid w:val="001B6F4B"/>
    <w:rsid w:val="001B756B"/>
    <w:rsid w:val="001C3BC2"/>
    <w:rsid w:val="001C482B"/>
    <w:rsid w:val="001C4A80"/>
    <w:rsid w:val="001C5F8B"/>
    <w:rsid w:val="001C6DC9"/>
    <w:rsid w:val="001D2438"/>
    <w:rsid w:val="001D301C"/>
    <w:rsid w:val="001D3125"/>
    <w:rsid w:val="001D3543"/>
    <w:rsid w:val="001D41E1"/>
    <w:rsid w:val="001D5B08"/>
    <w:rsid w:val="001D6B47"/>
    <w:rsid w:val="001D745F"/>
    <w:rsid w:val="001E01CF"/>
    <w:rsid w:val="001E06E3"/>
    <w:rsid w:val="001E28DD"/>
    <w:rsid w:val="001E3095"/>
    <w:rsid w:val="001E44ED"/>
    <w:rsid w:val="001E51C3"/>
    <w:rsid w:val="001E6980"/>
    <w:rsid w:val="001E7129"/>
    <w:rsid w:val="001E7A72"/>
    <w:rsid w:val="001F2B45"/>
    <w:rsid w:val="00200219"/>
    <w:rsid w:val="00200EAC"/>
    <w:rsid w:val="002011E3"/>
    <w:rsid w:val="00204C29"/>
    <w:rsid w:val="00206EFE"/>
    <w:rsid w:val="00212595"/>
    <w:rsid w:val="00215F6B"/>
    <w:rsid w:val="002210E9"/>
    <w:rsid w:val="0022191B"/>
    <w:rsid w:val="00224980"/>
    <w:rsid w:val="00226EE1"/>
    <w:rsid w:val="002321AA"/>
    <w:rsid w:val="00234DFF"/>
    <w:rsid w:val="002406C5"/>
    <w:rsid w:val="00244C57"/>
    <w:rsid w:val="00247F31"/>
    <w:rsid w:val="00250322"/>
    <w:rsid w:val="002529E5"/>
    <w:rsid w:val="00252BE8"/>
    <w:rsid w:val="00260275"/>
    <w:rsid w:val="0026385E"/>
    <w:rsid w:val="00267D72"/>
    <w:rsid w:val="00270944"/>
    <w:rsid w:val="00270A3D"/>
    <w:rsid w:val="00270C64"/>
    <w:rsid w:val="002719CF"/>
    <w:rsid w:val="00271A38"/>
    <w:rsid w:val="00280301"/>
    <w:rsid w:val="00282443"/>
    <w:rsid w:val="00282901"/>
    <w:rsid w:val="00283DEB"/>
    <w:rsid w:val="002840C6"/>
    <w:rsid w:val="00284B0F"/>
    <w:rsid w:val="00286682"/>
    <w:rsid w:val="002869C9"/>
    <w:rsid w:val="002917A2"/>
    <w:rsid w:val="00294C0D"/>
    <w:rsid w:val="002951E5"/>
    <w:rsid w:val="00295A23"/>
    <w:rsid w:val="00296D25"/>
    <w:rsid w:val="00296D51"/>
    <w:rsid w:val="002A0BEE"/>
    <w:rsid w:val="002A13C4"/>
    <w:rsid w:val="002A22F0"/>
    <w:rsid w:val="002B34A0"/>
    <w:rsid w:val="002B6E34"/>
    <w:rsid w:val="002C28FD"/>
    <w:rsid w:val="002C35B5"/>
    <w:rsid w:val="002C395B"/>
    <w:rsid w:val="002C5DC6"/>
    <w:rsid w:val="002C66D1"/>
    <w:rsid w:val="002D00BA"/>
    <w:rsid w:val="002D04A7"/>
    <w:rsid w:val="002D0FCC"/>
    <w:rsid w:val="002D2665"/>
    <w:rsid w:val="002D2E20"/>
    <w:rsid w:val="002D3008"/>
    <w:rsid w:val="002D371B"/>
    <w:rsid w:val="002D4992"/>
    <w:rsid w:val="002E0400"/>
    <w:rsid w:val="002E0418"/>
    <w:rsid w:val="002E2995"/>
    <w:rsid w:val="002E3182"/>
    <w:rsid w:val="002E3969"/>
    <w:rsid w:val="002E51C6"/>
    <w:rsid w:val="002E58DE"/>
    <w:rsid w:val="002F0194"/>
    <w:rsid w:val="002F01B9"/>
    <w:rsid w:val="002F5C6B"/>
    <w:rsid w:val="002F6BF0"/>
    <w:rsid w:val="002F7735"/>
    <w:rsid w:val="00300831"/>
    <w:rsid w:val="00300F0C"/>
    <w:rsid w:val="00301205"/>
    <w:rsid w:val="00304F9B"/>
    <w:rsid w:val="00310375"/>
    <w:rsid w:val="00310CD3"/>
    <w:rsid w:val="00311D2F"/>
    <w:rsid w:val="003173DB"/>
    <w:rsid w:val="0032236E"/>
    <w:rsid w:val="00322E24"/>
    <w:rsid w:val="0032425B"/>
    <w:rsid w:val="00324F8B"/>
    <w:rsid w:val="00326BA2"/>
    <w:rsid w:val="00327C9E"/>
    <w:rsid w:val="00327CF3"/>
    <w:rsid w:val="00330422"/>
    <w:rsid w:val="00332391"/>
    <w:rsid w:val="00334223"/>
    <w:rsid w:val="00334380"/>
    <w:rsid w:val="00334E71"/>
    <w:rsid w:val="0033540C"/>
    <w:rsid w:val="0033668C"/>
    <w:rsid w:val="0034411C"/>
    <w:rsid w:val="003468EA"/>
    <w:rsid w:val="0034717C"/>
    <w:rsid w:val="00347668"/>
    <w:rsid w:val="00350CA1"/>
    <w:rsid w:val="00351E08"/>
    <w:rsid w:val="00352760"/>
    <w:rsid w:val="0035280E"/>
    <w:rsid w:val="003552E0"/>
    <w:rsid w:val="00355DA6"/>
    <w:rsid w:val="00356731"/>
    <w:rsid w:val="00357FA0"/>
    <w:rsid w:val="00360002"/>
    <w:rsid w:val="00360250"/>
    <w:rsid w:val="0036061B"/>
    <w:rsid w:val="00360761"/>
    <w:rsid w:val="0036340C"/>
    <w:rsid w:val="0036430D"/>
    <w:rsid w:val="0036487A"/>
    <w:rsid w:val="00364D69"/>
    <w:rsid w:val="003679F9"/>
    <w:rsid w:val="00371C40"/>
    <w:rsid w:val="00372B02"/>
    <w:rsid w:val="003744A4"/>
    <w:rsid w:val="003750C6"/>
    <w:rsid w:val="0037775A"/>
    <w:rsid w:val="00382CD1"/>
    <w:rsid w:val="0038412E"/>
    <w:rsid w:val="00385470"/>
    <w:rsid w:val="00387594"/>
    <w:rsid w:val="00387946"/>
    <w:rsid w:val="00387BE7"/>
    <w:rsid w:val="00387F20"/>
    <w:rsid w:val="0039079A"/>
    <w:rsid w:val="00390954"/>
    <w:rsid w:val="003928A8"/>
    <w:rsid w:val="00393015"/>
    <w:rsid w:val="00394B95"/>
    <w:rsid w:val="00395811"/>
    <w:rsid w:val="00396F7B"/>
    <w:rsid w:val="00397AA3"/>
    <w:rsid w:val="003A1E25"/>
    <w:rsid w:val="003A268B"/>
    <w:rsid w:val="003A2D1D"/>
    <w:rsid w:val="003A5E99"/>
    <w:rsid w:val="003A7FD9"/>
    <w:rsid w:val="003B1154"/>
    <w:rsid w:val="003B118F"/>
    <w:rsid w:val="003B1D49"/>
    <w:rsid w:val="003C08F2"/>
    <w:rsid w:val="003C148D"/>
    <w:rsid w:val="003C26C1"/>
    <w:rsid w:val="003C30C1"/>
    <w:rsid w:val="003C459C"/>
    <w:rsid w:val="003C4D74"/>
    <w:rsid w:val="003C76C7"/>
    <w:rsid w:val="003C7C93"/>
    <w:rsid w:val="003D08A0"/>
    <w:rsid w:val="003D180B"/>
    <w:rsid w:val="003D2F08"/>
    <w:rsid w:val="003D4B4A"/>
    <w:rsid w:val="003E14CD"/>
    <w:rsid w:val="003E17BD"/>
    <w:rsid w:val="003E23A0"/>
    <w:rsid w:val="003E39A7"/>
    <w:rsid w:val="003E41D1"/>
    <w:rsid w:val="003E570D"/>
    <w:rsid w:val="003E6143"/>
    <w:rsid w:val="003E75A8"/>
    <w:rsid w:val="003F1086"/>
    <w:rsid w:val="003F2C31"/>
    <w:rsid w:val="004032C0"/>
    <w:rsid w:val="00403F39"/>
    <w:rsid w:val="00404DCC"/>
    <w:rsid w:val="00405E79"/>
    <w:rsid w:val="00406130"/>
    <w:rsid w:val="00406EBA"/>
    <w:rsid w:val="004124F7"/>
    <w:rsid w:val="00412D81"/>
    <w:rsid w:val="00413204"/>
    <w:rsid w:val="00416D2C"/>
    <w:rsid w:val="004236AE"/>
    <w:rsid w:val="00423A88"/>
    <w:rsid w:val="00430D9C"/>
    <w:rsid w:val="00431919"/>
    <w:rsid w:val="00431CE7"/>
    <w:rsid w:val="0043426C"/>
    <w:rsid w:val="004351F4"/>
    <w:rsid w:val="00436C4A"/>
    <w:rsid w:val="00437482"/>
    <w:rsid w:val="00437666"/>
    <w:rsid w:val="0044066C"/>
    <w:rsid w:val="00441F7E"/>
    <w:rsid w:val="00446301"/>
    <w:rsid w:val="004469A8"/>
    <w:rsid w:val="004514DB"/>
    <w:rsid w:val="004519C3"/>
    <w:rsid w:val="00454709"/>
    <w:rsid w:val="00456D44"/>
    <w:rsid w:val="0045734C"/>
    <w:rsid w:val="0046052E"/>
    <w:rsid w:val="0046257F"/>
    <w:rsid w:val="00462B1A"/>
    <w:rsid w:val="00476F7F"/>
    <w:rsid w:val="0047703D"/>
    <w:rsid w:val="004775FB"/>
    <w:rsid w:val="00480F90"/>
    <w:rsid w:val="00480FED"/>
    <w:rsid w:val="00480FFC"/>
    <w:rsid w:val="00481A31"/>
    <w:rsid w:val="0048229D"/>
    <w:rsid w:val="004828FC"/>
    <w:rsid w:val="004842E9"/>
    <w:rsid w:val="00484B2B"/>
    <w:rsid w:val="004909CD"/>
    <w:rsid w:val="004916B4"/>
    <w:rsid w:val="00492ABA"/>
    <w:rsid w:val="00495876"/>
    <w:rsid w:val="004A00E0"/>
    <w:rsid w:val="004A19D1"/>
    <w:rsid w:val="004A239F"/>
    <w:rsid w:val="004A492D"/>
    <w:rsid w:val="004A68D1"/>
    <w:rsid w:val="004A7C5C"/>
    <w:rsid w:val="004B3889"/>
    <w:rsid w:val="004B6AA1"/>
    <w:rsid w:val="004B7815"/>
    <w:rsid w:val="004B7F5C"/>
    <w:rsid w:val="004C096D"/>
    <w:rsid w:val="004C6D12"/>
    <w:rsid w:val="004C7770"/>
    <w:rsid w:val="004E0D4A"/>
    <w:rsid w:val="004E1DF2"/>
    <w:rsid w:val="004E21EF"/>
    <w:rsid w:val="004E2306"/>
    <w:rsid w:val="004E341A"/>
    <w:rsid w:val="004E4981"/>
    <w:rsid w:val="004E61F0"/>
    <w:rsid w:val="004E6BFE"/>
    <w:rsid w:val="004E7767"/>
    <w:rsid w:val="004F4446"/>
    <w:rsid w:val="004F60BD"/>
    <w:rsid w:val="00500E2E"/>
    <w:rsid w:val="005017EF"/>
    <w:rsid w:val="0050192C"/>
    <w:rsid w:val="00501DF2"/>
    <w:rsid w:val="00503C49"/>
    <w:rsid w:val="0050524A"/>
    <w:rsid w:val="00507055"/>
    <w:rsid w:val="0051135E"/>
    <w:rsid w:val="0051161C"/>
    <w:rsid w:val="00512823"/>
    <w:rsid w:val="00517968"/>
    <w:rsid w:val="00521AE4"/>
    <w:rsid w:val="005250DD"/>
    <w:rsid w:val="0053065B"/>
    <w:rsid w:val="0053207E"/>
    <w:rsid w:val="00532AEF"/>
    <w:rsid w:val="00532B03"/>
    <w:rsid w:val="005357E6"/>
    <w:rsid w:val="00536EBE"/>
    <w:rsid w:val="00537DD1"/>
    <w:rsid w:val="00541D82"/>
    <w:rsid w:val="00544740"/>
    <w:rsid w:val="00544CF7"/>
    <w:rsid w:val="00545D0D"/>
    <w:rsid w:val="005472B5"/>
    <w:rsid w:val="005508AE"/>
    <w:rsid w:val="00551F16"/>
    <w:rsid w:val="00556801"/>
    <w:rsid w:val="00556CC3"/>
    <w:rsid w:val="005666FA"/>
    <w:rsid w:val="00570897"/>
    <w:rsid w:val="00570FC3"/>
    <w:rsid w:val="00572D14"/>
    <w:rsid w:val="0057421B"/>
    <w:rsid w:val="00574388"/>
    <w:rsid w:val="00574A56"/>
    <w:rsid w:val="00574F8C"/>
    <w:rsid w:val="00575F41"/>
    <w:rsid w:val="0057698E"/>
    <w:rsid w:val="00584412"/>
    <w:rsid w:val="0058718E"/>
    <w:rsid w:val="005911FB"/>
    <w:rsid w:val="005914B3"/>
    <w:rsid w:val="005938D0"/>
    <w:rsid w:val="0059733A"/>
    <w:rsid w:val="005A0279"/>
    <w:rsid w:val="005A1E50"/>
    <w:rsid w:val="005A30AA"/>
    <w:rsid w:val="005A31BA"/>
    <w:rsid w:val="005A411B"/>
    <w:rsid w:val="005A566C"/>
    <w:rsid w:val="005A6D1B"/>
    <w:rsid w:val="005A75BB"/>
    <w:rsid w:val="005A7AEA"/>
    <w:rsid w:val="005B0214"/>
    <w:rsid w:val="005B02B7"/>
    <w:rsid w:val="005B0C89"/>
    <w:rsid w:val="005B1BB5"/>
    <w:rsid w:val="005B1BE2"/>
    <w:rsid w:val="005B2F60"/>
    <w:rsid w:val="005B4F77"/>
    <w:rsid w:val="005C15EB"/>
    <w:rsid w:val="005C3F21"/>
    <w:rsid w:val="005C4B39"/>
    <w:rsid w:val="005C72EA"/>
    <w:rsid w:val="005D283C"/>
    <w:rsid w:val="005D3611"/>
    <w:rsid w:val="005D6262"/>
    <w:rsid w:val="005D6E03"/>
    <w:rsid w:val="005D7BD1"/>
    <w:rsid w:val="005E2397"/>
    <w:rsid w:val="005E277B"/>
    <w:rsid w:val="005E7D3F"/>
    <w:rsid w:val="005F111E"/>
    <w:rsid w:val="005F2DD6"/>
    <w:rsid w:val="005F405B"/>
    <w:rsid w:val="005F7651"/>
    <w:rsid w:val="005F7705"/>
    <w:rsid w:val="005F7C26"/>
    <w:rsid w:val="00603309"/>
    <w:rsid w:val="00605066"/>
    <w:rsid w:val="00605607"/>
    <w:rsid w:val="00607340"/>
    <w:rsid w:val="00610320"/>
    <w:rsid w:val="0061240D"/>
    <w:rsid w:val="00614C2F"/>
    <w:rsid w:val="006150EF"/>
    <w:rsid w:val="00616749"/>
    <w:rsid w:val="0061756F"/>
    <w:rsid w:val="00617C9E"/>
    <w:rsid w:val="00617CF7"/>
    <w:rsid w:val="00623DFF"/>
    <w:rsid w:val="00624051"/>
    <w:rsid w:val="006253F1"/>
    <w:rsid w:val="0062641A"/>
    <w:rsid w:val="00626FF3"/>
    <w:rsid w:val="00635734"/>
    <w:rsid w:val="00635D1D"/>
    <w:rsid w:val="00636800"/>
    <w:rsid w:val="00637AAC"/>
    <w:rsid w:val="006407F8"/>
    <w:rsid w:val="00640E29"/>
    <w:rsid w:val="00641732"/>
    <w:rsid w:val="00642744"/>
    <w:rsid w:val="0064488E"/>
    <w:rsid w:val="0064527F"/>
    <w:rsid w:val="00645797"/>
    <w:rsid w:val="0064799A"/>
    <w:rsid w:val="00654445"/>
    <w:rsid w:val="00654E8E"/>
    <w:rsid w:val="00655B0C"/>
    <w:rsid w:val="00660CEA"/>
    <w:rsid w:val="00662811"/>
    <w:rsid w:val="00663535"/>
    <w:rsid w:val="00663B30"/>
    <w:rsid w:val="006656F3"/>
    <w:rsid w:val="00667805"/>
    <w:rsid w:val="00672040"/>
    <w:rsid w:val="00672AD6"/>
    <w:rsid w:val="00673434"/>
    <w:rsid w:val="00675BAE"/>
    <w:rsid w:val="0068056D"/>
    <w:rsid w:val="00680F94"/>
    <w:rsid w:val="0068224E"/>
    <w:rsid w:val="0068315F"/>
    <w:rsid w:val="00686836"/>
    <w:rsid w:val="00690CBF"/>
    <w:rsid w:val="00693369"/>
    <w:rsid w:val="0069338C"/>
    <w:rsid w:val="00693608"/>
    <w:rsid w:val="00694FCA"/>
    <w:rsid w:val="00695727"/>
    <w:rsid w:val="00696C3C"/>
    <w:rsid w:val="006A3133"/>
    <w:rsid w:val="006A4CF9"/>
    <w:rsid w:val="006A6522"/>
    <w:rsid w:val="006A7AC0"/>
    <w:rsid w:val="006B0CC4"/>
    <w:rsid w:val="006B4509"/>
    <w:rsid w:val="006B51CE"/>
    <w:rsid w:val="006B6D03"/>
    <w:rsid w:val="006C0719"/>
    <w:rsid w:val="006C3F6B"/>
    <w:rsid w:val="006C4E70"/>
    <w:rsid w:val="006C7C07"/>
    <w:rsid w:val="006D33FB"/>
    <w:rsid w:val="006D7B41"/>
    <w:rsid w:val="006E10DE"/>
    <w:rsid w:val="006E11A1"/>
    <w:rsid w:val="006E3357"/>
    <w:rsid w:val="006E3BD4"/>
    <w:rsid w:val="006F0D6F"/>
    <w:rsid w:val="006F15A6"/>
    <w:rsid w:val="006F1BF7"/>
    <w:rsid w:val="00700612"/>
    <w:rsid w:val="00700B04"/>
    <w:rsid w:val="00702929"/>
    <w:rsid w:val="00707599"/>
    <w:rsid w:val="00711FD7"/>
    <w:rsid w:val="00713CD7"/>
    <w:rsid w:val="00720AE6"/>
    <w:rsid w:val="00721F73"/>
    <w:rsid w:val="00722434"/>
    <w:rsid w:val="00724348"/>
    <w:rsid w:val="00727AD1"/>
    <w:rsid w:val="00731B33"/>
    <w:rsid w:val="00731F56"/>
    <w:rsid w:val="00732749"/>
    <w:rsid w:val="00733163"/>
    <w:rsid w:val="00733A1C"/>
    <w:rsid w:val="00734B1A"/>
    <w:rsid w:val="00735492"/>
    <w:rsid w:val="00735A14"/>
    <w:rsid w:val="007363B2"/>
    <w:rsid w:val="00736998"/>
    <w:rsid w:val="007374D4"/>
    <w:rsid w:val="007375F8"/>
    <w:rsid w:val="007410D7"/>
    <w:rsid w:val="00750499"/>
    <w:rsid w:val="0075081D"/>
    <w:rsid w:val="00751D71"/>
    <w:rsid w:val="00752A62"/>
    <w:rsid w:val="00753000"/>
    <w:rsid w:val="00754A72"/>
    <w:rsid w:val="00761599"/>
    <w:rsid w:val="0076331C"/>
    <w:rsid w:val="00765C0B"/>
    <w:rsid w:val="007666DC"/>
    <w:rsid w:val="00767282"/>
    <w:rsid w:val="00767352"/>
    <w:rsid w:val="00773023"/>
    <w:rsid w:val="00773531"/>
    <w:rsid w:val="00774041"/>
    <w:rsid w:val="00774C61"/>
    <w:rsid w:val="007756F8"/>
    <w:rsid w:val="00776D34"/>
    <w:rsid w:val="007919E5"/>
    <w:rsid w:val="00792DDB"/>
    <w:rsid w:val="00793390"/>
    <w:rsid w:val="007941B9"/>
    <w:rsid w:val="00796AA3"/>
    <w:rsid w:val="00796FD4"/>
    <w:rsid w:val="007A0FCD"/>
    <w:rsid w:val="007A14FB"/>
    <w:rsid w:val="007A346E"/>
    <w:rsid w:val="007A4A36"/>
    <w:rsid w:val="007A62B7"/>
    <w:rsid w:val="007A7EB2"/>
    <w:rsid w:val="007B075C"/>
    <w:rsid w:val="007B08F5"/>
    <w:rsid w:val="007B621D"/>
    <w:rsid w:val="007C0649"/>
    <w:rsid w:val="007C0EE6"/>
    <w:rsid w:val="007C12EF"/>
    <w:rsid w:val="007C27AD"/>
    <w:rsid w:val="007D36AF"/>
    <w:rsid w:val="007E3DA7"/>
    <w:rsid w:val="007E5C6B"/>
    <w:rsid w:val="007E5F6B"/>
    <w:rsid w:val="007F3A74"/>
    <w:rsid w:val="007F4564"/>
    <w:rsid w:val="007F50C4"/>
    <w:rsid w:val="007F5223"/>
    <w:rsid w:val="007F61B9"/>
    <w:rsid w:val="007F773B"/>
    <w:rsid w:val="0080119C"/>
    <w:rsid w:val="00801DB9"/>
    <w:rsid w:val="0080337B"/>
    <w:rsid w:val="00806752"/>
    <w:rsid w:val="0080744C"/>
    <w:rsid w:val="00807E8F"/>
    <w:rsid w:val="00820169"/>
    <w:rsid w:val="00821559"/>
    <w:rsid w:val="008226B6"/>
    <w:rsid w:val="00822D03"/>
    <w:rsid w:val="00826157"/>
    <w:rsid w:val="00835A3D"/>
    <w:rsid w:val="00840364"/>
    <w:rsid w:val="008410E7"/>
    <w:rsid w:val="008427A3"/>
    <w:rsid w:val="00842AA6"/>
    <w:rsid w:val="00842C8C"/>
    <w:rsid w:val="00843CF8"/>
    <w:rsid w:val="00843F2F"/>
    <w:rsid w:val="008444CB"/>
    <w:rsid w:val="00844D1C"/>
    <w:rsid w:val="00847766"/>
    <w:rsid w:val="008506F8"/>
    <w:rsid w:val="00852CB1"/>
    <w:rsid w:val="00853B7A"/>
    <w:rsid w:val="008540E0"/>
    <w:rsid w:val="00856436"/>
    <w:rsid w:val="008569D9"/>
    <w:rsid w:val="00857C49"/>
    <w:rsid w:val="00860228"/>
    <w:rsid w:val="00864133"/>
    <w:rsid w:val="008648B5"/>
    <w:rsid w:val="00865320"/>
    <w:rsid w:val="00865AE8"/>
    <w:rsid w:val="008660C5"/>
    <w:rsid w:val="008665D4"/>
    <w:rsid w:val="008675BB"/>
    <w:rsid w:val="00871EE1"/>
    <w:rsid w:val="00874232"/>
    <w:rsid w:val="0087637A"/>
    <w:rsid w:val="008763E7"/>
    <w:rsid w:val="008766FD"/>
    <w:rsid w:val="00880280"/>
    <w:rsid w:val="0088077D"/>
    <w:rsid w:val="00880F72"/>
    <w:rsid w:val="008828B9"/>
    <w:rsid w:val="00884766"/>
    <w:rsid w:val="0088633C"/>
    <w:rsid w:val="0088766D"/>
    <w:rsid w:val="008902C0"/>
    <w:rsid w:val="0089283E"/>
    <w:rsid w:val="0089356F"/>
    <w:rsid w:val="008A4970"/>
    <w:rsid w:val="008A68D8"/>
    <w:rsid w:val="008A7A7D"/>
    <w:rsid w:val="008B2652"/>
    <w:rsid w:val="008B4785"/>
    <w:rsid w:val="008B7176"/>
    <w:rsid w:val="008C67DD"/>
    <w:rsid w:val="008D26A9"/>
    <w:rsid w:val="008D2A4F"/>
    <w:rsid w:val="008D4E98"/>
    <w:rsid w:val="008D6158"/>
    <w:rsid w:val="008D7033"/>
    <w:rsid w:val="008E2771"/>
    <w:rsid w:val="008E3649"/>
    <w:rsid w:val="008E3797"/>
    <w:rsid w:val="008E4D1D"/>
    <w:rsid w:val="008E63B5"/>
    <w:rsid w:val="008E6C60"/>
    <w:rsid w:val="008F0E7C"/>
    <w:rsid w:val="008F2224"/>
    <w:rsid w:val="008F3996"/>
    <w:rsid w:val="008F3DD7"/>
    <w:rsid w:val="008F4003"/>
    <w:rsid w:val="00901041"/>
    <w:rsid w:val="00902078"/>
    <w:rsid w:val="00902AF1"/>
    <w:rsid w:val="0090335A"/>
    <w:rsid w:val="00904215"/>
    <w:rsid w:val="00904514"/>
    <w:rsid w:val="009103F9"/>
    <w:rsid w:val="00911D51"/>
    <w:rsid w:val="0091244B"/>
    <w:rsid w:val="00915CA6"/>
    <w:rsid w:val="00916BA4"/>
    <w:rsid w:val="0091773D"/>
    <w:rsid w:val="00930BD3"/>
    <w:rsid w:val="00930FCC"/>
    <w:rsid w:val="00935355"/>
    <w:rsid w:val="009377D8"/>
    <w:rsid w:val="00941034"/>
    <w:rsid w:val="00942996"/>
    <w:rsid w:val="00942BAB"/>
    <w:rsid w:val="00943756"/>
    <w:rsid w:val="00944196"/>
    <w:rsid w:val="00944D8B"/>
    <w:rsid w:val="00952831"/>
    <w:rsid w:val="009531A7"/>
    <w:rsid w:val="00954015"/>
    <w:rsid w:val="009543E1"/>
    <w:rsid w:val="00955014"/>
    <w:rsid w:val="00955C62"/>
    <w:rsid w:val="00956FF7"/>
    <w:rsid w:val="0095717E"/>
    <w:rsid w:val="00957E5C"/>
    <w:rsid w:val="00961018"/>
    <w:rsid w:val="00961DEC"/>
    <w:rsid w:val="00963C71"/>
    <w:rsid w:val="0096786C"/>
    <w:rsid w:val="00967CD5"/>
    <w:rsid w:val="00972B3A"/>
    <w:rsid w:val="009746B0"/>
    <w:rsid w:val="009757D4"/>
    <w:rsid w:val="00975B75"/>
    <w:rsid w:val="00976777"/>
    <w:rsid w:val="009779DE"/>
    <w:rsid w:val="009837C4"/>
    <w:rsid w:val="00983ED4"/>
    <w:rsid w:val="00983F5B"/>
    <w:rsid w:val="00984C87"/>
    <w:rsid w:val="0098584B"/>
    <w:rsid w:val="009907D1"/>
    <w:rsid w:val="00990D16"/>
    <w:rsid w:val="009913C5"/>
    <w:rsid w:val="009920C4"/>
    <w:rsid w:val="00992C0C"/>
    <w:rsid w:val="00995019"/>
    <w:rsid w:val="0099705C"/>
    <w:rsid w:val="009A1D72"/>
    <w:rsid w:val="009A2130"/>
    <w:rsid w:val="009A4DF1"/>
    <w:rsid w:val="009A521D"/>
    <w:rsid w:val="009A5F31"/>
    <w:rsid w:val="009A7344"/>
    <w:rsid w:val="009A7592"/>
    <w:rsid w:val="009B060F"/>
    <w:rsid w:val="009B24C2"/>
    <w:rsid w:val="009B6B48"/>
    <w:rsid w:val="009C196B"/>
    <w:rsid w:val="009C4CAC"/>
    <w:rsid w:val="009C6F48"/>
    <w:rsid w:val="009D1478"/>
    <w:rsid w:val="009D16EA"/>
    <w:rsid w:val="009D1DD4"/>
    <w:rsid w:val="009D2107"/>
    <w:rsid w:val="009D3063"/>
    <w:rsid w:val="009D3FC5"/>
    <w:rsid w:val="009D497D"/>
    <w:rsid w:val="009D58CD"/>
    <w:rsid w:val="009D77E6"/>
    <w:rsid w:val="009F3077"/>
    <w:rsid w:val="009F5C14"/>
    <w:rsid w:val="00A009CD"/>
    <w:rsid w:val="00A042CC"/>
    <w:rsid w:val="00A04F6D"/>
    <w:rsid w:val="00A05BD4"/>
    <w:rsid w:val="00A06EB0"/>
    <w:rsid w:val="00A07236"/>
    <w:rsid w:val="00A12976"/>
    <w:rsid w:val="00A131BF"/>
    <w:rsid w:val="00A1513C"/>
    <w:rsid w:val="00A20637"/>
    <w:rsid w:val="00A20CE9"/>
    <w:rsid w:val="00A22510"/>
    <w:rsid w:val="00A31915"/>
    <w:rsid w:val="00A322C3"/>
    <w:rsid w:val="00A328FD"/>
    <w:rsid w:val="00A35ABD"/>
    <w:rsid w:val="00A412C0"/>
    <w:rsid w:val="00A4169D"/>
    <w:rsid w:val="00A42D89"/>
    <w:rsid w:val="00A438EC"/>
    <w:rsid w:val="00A446D1"/>
    <w:rsid w:val="00A46202"/>
    <w:rsid w:val="00A468E2"/>
    <w:rsid w:val="00A5122C"/>
    <w:rsid w:val="00A5188E"/>
    <w:rsid w:val="00A5495D"/>
    <w:rsid w:val="00A57CB2"/>
    <w:rsid w:val="00A57D08"/>
    <w:rsid w:val="00A63AA3"/>
    <w:rsid w:val="00A66927"/>
    <w:rsid w:val="00A7399A"/>
    <w:rsid w:val="00A742F7"/>
    <w:rsid w:val="00A770CF"/>
    <w:rsid w:val="00A7756F"/>
    <w:rsid w:val="00A82C34"/>
    <w:rsid w:val="00A83055"/>
    <w:rsid w:val="00A84026"/>
    <w:rsid w:val="00A84A53"/>
    <w:rsid w:val="00A8605A"/>
    <w:rsid w:val="00A860B7"/>
    <w:rsid w:val="00A93298"/>
    <w:rsid w:val="00A943C8"/>
    <w:rsid w:val="00A954FA"/>
    <w:rsid w:val="00A968E8"/>
    <w:rsid w:val="00AA07D4"/>
    <w:rsid w:val="00AA6F17"/>
    <w:rsid w:val="00AA777E"/>
    <w:rsid w:val="00AB0AA4"/>
    <w:rsid w:val="00AB1434"/>
    <w:rsid w:val="00AB22ED"/>
    <w:rsid w:val="00AB5075"/>
    <w:rsid w:val="00AB52F0"/>
    <w:rsid w:val="00AB5C53"/>
    <w:rsid w:val="00AC0031"/>
    <w:rsid w:val="00AC2D0F"/>
    <w:rsid w:val="00AC4696"/>
    <w:rsid w:val="00AC5186"/>
    <w:rsid w:val="00AC71EB"/>
    <w:rsid w:val="00AD3A5D"/>
    <w:rsid w:val="00AD446E"/>
    <w:rsid w:val="00AD70A9"/>
    <w:rsid w:val="00AE28D7"/>
    <w:rsid w:val="00AE34A0"/>
    <w:rsid w:val="00AE3BE9"/>
    <w:rsid w:val="00AE3D52"/>
    <w:rsid w:val="00AE4E19"/>
    <w:rsid w:val="00AE5001"/>
    <w:rsid w:val="00AE5C84"/>
    <w:rsid w:val="00AE5D54"/>
    <w:rsid w:val="00AF0948"/>
    <w:rsid w:val="00AF2570"/>
    <w:rsid w:val="00AF4CFB"/>
    <w:rsid w:val="00B00521"/>
    <w:rsid w:val="00B0057B"/>
    <w:rsid w:val="00B025D6"/>
    <w:rsid w:val="00B03B9A"/>
    <w:rsid w:val="00B06B75"/>
    <w:rsid w:val="00B12414"/>
    <w:rsid w:val="00B136F3"/>
    <w:rsid w:val="00B14234"/>
    <w:rsid w:val="00B1466B"/>
    <w:rsid w:val="00B14BF0"/>
    <w:rsid w:val="00B2037A"/>
    <w:rsid w:val="00B21E6D"/>
    <w:rsid w:val="00B26B2F"/>
    <w:rsid w:val="00B27971"/>
    <w:rsid w:val="00B302C6"/>
    <w:rsid w:val="00B30C7C"/>
    <w:rsid w:val="00B35496"/>
    <w:rsid w:val="00B35FC9"/>
    <w:rsid w:val="00B40059"/>
    <w:rsid w:val="00B402DA"/>
    <w:rsid w:val="00B4134E"/>
    <w:rsid w:val="00B47071"/>
    <w:rsid w:val="00B4755C"/>
    <w:rsid w:val="00B477DD"/>
    <w:rsid w:val="00B50815"/>
    <w:rsid w:val="00B52CAF"/>
    <w:rsid w:val="00B55D88"/>
    <w:rsid w:val="00B56F7F"/>
    <w:rsid w:val="00B57B69"/>
    <w:rsid w:val="00B628D9"/>
    <w:rsid w:val="00B62B2A"/>
    <w:rsid w:val="00B63384"/>
    <w:rsid w:val="00B650A0"/>
    <w:rsid w:val="00B6613E"/>
    <w:rsid w:val="00B71800"/>
    <w:rsid w:val="00B7315B"/>
    <w:rsid w:val="00B737CA"/>
    <w:rsid w:val="00B7437D"/>
    <w:rsid w:val="00B75F79"/>
    <w:rsid w:val="00B77137"/>
    <w:rsid w:val="00B80F41"/>
    <w:rsid w:val="00B83F85"/>
    <w:rsid w:val="00B8508E"/>
    <w:rsid w:val="00B95741"/>
    <w:rsid w:val="00B966E1"/>
    <w:rsid w:val="00BA0426"/>
    <w:rsid w:val="00BA1CD4"/>
    <w:rsid w:val="00BA318E"/>
    <w:rsid w:val="00BA362E"/>
    <w:rsid w:val="00BA394A"/>
    <w:rsid w:val="00BA4529"/>
    <w:rsid w:val="00BA72CF"/>
    <w:rsid w:val="00BB0BA7"/>
    <w:rsid w:val="00BB37EE"/>
    <w:rsid w:val="00BB41F6"/>
    <w:rsid w:val="00BB5CBD"/>
    <w:rsid w:val="00BC1275"/>
    <w:rsid w:val="00BC2963"/>
    <w:rsid w:val="00BC4C5F"/>
    <w:rsid w:val="00BD0A57"/>
    <w:rsid w:val="00BD15C9"/>
    <w:rsid w:val="00BD1D8D"/>
    <w:rsid w:val="00BD46DF"/>
    <w:rsid w:val="00BD5CAA"/>
    <w:rsid w:val="00BD6CBA"/>
    <w:rsid w:val="00BD757F"/>
    <w:rsid w:val="00BE066E"/>
    <w:rsid w:val="00BE2F75"/>
    <w:rsid w:val="00BE3201"/>
    <w:rsid w:val="00BE4EF3"/>
    <w:rsid w:val="00BE5369"/>
    <w:rsid w:val="00BE589D"/>
    <w:rsid w:val="00BE5F80"/>
    <w:rsid w:val="00BE740A"/>
    <w:rsid w:val="00BF03AD"/>
    <w:rsid w:val="00BF1A35"/>
    <w:rsid w:val="00C001AC"/>
    <w:rsid w:val="00C0354B"/>
    <w:rsid w:val="00C05573"/>
    <w:rsid w:val="00C06E7A"/>
    <w:rsid w:val="00C11E60"/>
    <w:rsid w:val="00C13773"/>
    <w:rsid w:val="00C21335"/>
    <w:rsid w:val="00C2494D"/>
    <w:rsid w:val="00C2660B"/>
    <w:rsid w:val="00C267CB"/>
    <w:rsid w:val="00C26EDA"/>
    <w:rsid w:val="00C31803"/>
    <w:rsid w:val="00C32E01"/>
    <w:rsid w:val="00C35E29"/>
    <w:rsid w:val="00C364EF"/>
    <w:rsid w:val="00C40FBC"/>
    <w:rsid w:val="00C423D5"/>
    <w:rsid w:val="00C44E9B"/>
    <w:rsid w:val="00C534EC"/>
    <w:rsid w:val="00C54579"/>
    <w:rsid w:val="00C6198C"/>
    <w:rsid w:val="00C61E87"/>
    <w:rsid w:val="00C622B8"/>
    <w:rsid w:val="00C62F93"/>
    <w:rsid w:val="00C63425"/>
    <w:rsid w:val="00C656B4"/>
    <w:rsid w:val="00C6615B"/>
    <w:rsid w:val="00C662CD"/>
    <w:rsid w:val="00C668D9"/>
    <w:rsid w:val="00C7037B"/>
    <w:rsid w:val="00C74E75"/>
    <w:rsid w:val="00C76F17"/>
    <w:rsid w:val="00C82F00"/>
    <w:rsid w:val="00C837AD"/>
    <w:rsid w:val="00C837AF"/>
    <w:rsid w:val="00C8585F"/>
    <w:rsid w:val="00C85ED0"/>
    <w:rsid w:val="00C85F64"/>
    <w:rsid w:val="00C87480"/>
    <w:rsid w:val="00C87678"/>
    <w:rsid w:val="00C8772F"/>
    <w:rsid w:val="00C90618"/>
    <w:rsid w:val="00C935A8"/>
    <w:rsid w:val="00C944E8"/>
    <w:rsid w:val="00C94B07"/>
    <w:rsid w:val="00C96EA5"/>
    <w:rsid w:val="00CA4A87"/>
    <w:rsid w:val="00CA4D5A"/>
    <w:rsid w:val="00CB29D5"/>
    <w:rsid w:val="00CB6DAF"/>
    <w:rsid w:val="00CC2874"/>
    <w:rsid w:val="00CC3895"/>
    <w:rsid w:val="00CD1CF1"/>
    <w:rsid w:val="00CD2DDF"/>
    <w:rsid w:val="00CD5980"/>
    <w:rsid w:val="00CD5A48"/>
    <w:rsid w:val="00CE0877"/>
    <w:rsid w:val="00CE12C8"/>
    <w:rsid w:val="00CE1422"/>
    <w:rsid w:val="00CE1F77"/>
    <w:rsid w:val="00CE293D"/>
    <w:rsid w:val="00CE3848"/>
    <w:rsid w:val="00CF1F3F"/>
    <w:rsid w:val="00CF4847"/>
    <w:rsid w:val="00D01EA9"/>
    <w:rsid w:val="00D027EA"/>
    <w:rsid w:val="00D049C2"/>
    <w:rsid w:val="00D04B00"/>
    <w:rsid w:val="00D06383"/>
    <w:rsid w:val="00D15DBB"/>
    <w:rsid w:val="00D2025D"/>
    <w:rsid w:val="00D21819"/>
    <w:rsid w:val="00D21867"/>
    <w:rsid w:val="00D24E7A"/>
    <w:rsid w:val="00D2572E"/>
    <w:rsid w:val="00D32072"/>
    <w:rsid w:val="00D33DD6"/>
    <w:rsid w:val="00D358D9"/>
    <w:rsid w:val="00D3733D"/>
    <w:rsid w:val="00D376EE"/>
    <w:rsid w:val="00D421B9"/>
    <w:rsid w:val="00D4574B"/>
    <w:rsid w:val="00D4779C"/>
    <w:rsid w:val="00D5015E"/>
    <w:rsid w:val="00D51E50"/>
    <w:rsid w:val="00D54B26"/>
    <w:rsid w:val="00D55A35"/>
    <w:rsid w:val="00D6168D"/>
    <w:rsid w:val="00D63126"/>
    <w:rsid w:val="00D63C46"/>
    <w:rsid w:val="00D64753"/>
    <w:rsid w:val="00D64E54"/>
    <w:rsid w:val="00D651D2"/>
    <w:rsid w:val="00D672FE"/>
    <w:rsid w:val="00D70814"/>
    <w:rsid w:val="00D71846"/>
    <w:rsid w:val="00D74614"/>
    <w:rsid w:val="00D82861"/>
    <w:rsid w:val="00D83F2E"/>
    <w:rsid w:val="00D8631D"/>
    <w:rsid w:val="00D86DF5"/>
    <w:rsid w:val="00D92A65"/>
    <w:rsid w:val="00D951EA"/>
    <w:rsid w:val="00D95B40"/>
    <w:rsid w:val="00DA1962"/>
    <w:rsid w:val="00DA3DFB"/>
    <w:rsid w:val="00DA3E3F"/>
    <w:rsid w:val="00DA47BE"/>
    <w:rsid w:val="00DA4D51"/>
    <w:rsid w:val="00DA78C8"/>
    <w:rsid w:val="00DB17AB"/>
    <w:rsid w:val="00DB27F1"/>
    <w:rsid w:val="00DB3A73"/>
    <w:rsid w:val="00DB65B3"/>
    <w:rsid w:val="00DB7F57"/>
    <w:rsid w:val="00DB7FC9"/>
    <w:rsid w:val="00DC1437"/>
    <w:rsid w:val="00DC16A4"/>
    <w:rsid w:val="00DC2121"/>
    <w:rsid w:val="00DC27D5"/>
    <w:rsid w:val="00DC2E81"/>
    <w:rsid w:val="00DC650E"/>
    <w:rsid w:val="00DC68F6"/>
    <w:rsid w:val="00DD3791"/>
    <w:rsid w:val="00DD5D7D"/>
    <w:rsid w:val="00DD66CB"/>
    <w:rsid w:val="00DD66F8"/>
    <w:rsid w:val="00DD6865"/>
    <w:rsid w:val="00DE183A"/>
    <w:rsid w:val="00DE1A49"/>
    <w:rsid w:val="00DE3012"/>
    <w:rsid w:val="00DE3EB7"/>
    <w:rsid w:val="00DE68B2"/>
    <w:rsid w:val="00DF360C"/>
    <w:rsid w:val="00DF7131"/>
    <w:rsid w:val="00DF7905"/>
    <w:rsid w:val="00E01C78"/>
    <w:rsid w:val="00E0211D"/>
    <w:rsid w:val="00E07EAA"/>
    <w:rsid w:val="00E1095D"/>
    <w:rsid w:val="00E24AB5"/>
    <w:rsid w:val="00E25D46"/>
    <w:rsid w:val="00E27801"/>
    <w:rsid w:val="00E33A13"/>
    <w:rsid w:val="00E35205"/>
    <w:rsid w:val="00E36526"/>
    <w:rsid w:val="00E40B93"/>
    <w:rsid w:val="00E41A4C"/>
    <w:rsid w:val="00E45D59"/>
    <w:rsid w:val="00E47D4F"/>
    <w:rsid w:val="00E50CF3"/>
    <w:rsid w:val="00E51904"/>
    <w:rsid w:val="00E538B1"/>
    <w:rsid w:val="00E60172"/>
    <w:rsid w:val="00E62F2E"/>
    <w:rsid w:val="00E643DA"/>
    <w:rsid w:val="00E650C2"/>
    <w:rsid w:val="00E65DB2"/>
    <w:rsid w:val="00E67053"/>
    <w:rsid w:val="00E67B3B"/>
    <w:rsid w:val="00E706C3"/>
    <w:rsid w:val="00E73CDA"/>
    <w:rsid w:val="00E7591A"/>
    <w:rsid w:val="00E76508"/>
    <w:rsid w:val="00E8306D"/>
    <w:rsid w:val="00E8468E"/>
    <w:rsid w:val="00E85116"/>
    <w:rsid w:val="00E87E30"/>
    <w:rsid w:val="00E913F4"/>
    <w:rsid w:val="00E94DDB"/>
    <w:rsid w:val="00E96905"/>
    <w:rsid w:val="00E971AF"/>
    <w:rsid w:val="00E97943"/>
    <w:rsid w:val="00E97E4F"/>
    <w:rsid w:val="00EA260A"/>
    <w:rsid w:val="00EA2C44"/>
    <w:rsid w:val="00EA48E5"/>
    <w:rsid w:val="00EA7743"/>
    <w:rsid w:val="00EA7B46"/>
    <w:rsid w:val="00EB3B66"/>
    <w:rsid w:val="00EB5256"/>
    <w:rsid w:val="00EB62F7"/>
    <w:rsid w:val="00EB6556"/>
    <w:rsid w:val="00EB6901"/>
    <w:rsid w:val="00EB7032"/>
    <w:rsid w:val="00EC075F"/>
    <w:rsid w:val="00EC0CD7"/>
    <w:rsid w:val="00EC0D20"/>
    <w:rsid w:val="00EC2628"/>
    <w:rsid w:val="00EC3C02"/>
    <w:rsid w:val="00EC4095"/>
    <w:rsid w:val="00EC5C0D"/>
    <w:rsid w:val="00ED23D1"/>
    <w:rsid w:val="00ED38D8"/>
    <w:rsid w:val="00ED48B9"/>
    <w:rsid w:val="00ED4B4E"/>
    <w:rsid w:val="00EE104C"/>
    <w:rsid w:val="00EE6696"/>
    <w:rsid w:val="00EF0B41"/>
    <w:rsid w:val="00EF45B5"/>
    <w:rsid w:val="00EF5E4C"/>
    <w:rsid w:val="00F0035E"/>
    <w:rsid w:val="00F03904"/>
    <w:rsid w:val="00F0481D"/>
    <w:rsid w:val="00F06B4C"/>
    <w:rsid w:val="00F07228"/>
    <w:rsid w:val="00F07830"/>
    <w:rsid w:val="00F11847"/>
    <w:rsid w:val="00F1407C"/>
    <w:rsid w:val="00F1637F"/>
    <w:rsid w:val="00F178CB"/>
    <w:rsid w:val="00F20628"/>
    <w:rsid w:val="00F22AFD"/>
    <w:rsid w:val="00F22BA0"/>
    <w:rsid w:val="00F24D66"/>
    <w:rsid w:val="00F31976"/>
    <w:rsid w:val="00F31B27"/>
    <w:rsid w:val="00F33E59"/>
    <w:rsid w:val="00F3427A"/>
    <w:rsid w:val="00F34609"/>
    <w:rsid w:val="00F3647A"/>
    <w:rsid w:val="00F40219"/>
    <w:rsid w:val="00F41F65"/>
    <w:rsid w:val="00F42B5F"/>
    <w:rsid w:val="00F4309A"/>
    <w:rsid w:val="00F44411"/>
    <w:rsid w:val="00F471D2"/>
    <w:rsid w:val="00F51B52"/>
    <w:rsid w:val="00F53645"/>
    <w:rsid w:val="00F5691D"/>
    <w:rsid w:val="00F574F4"/>
    <w:rsid w:val="00F64D94"/>
    <w:rsid w:val="00F65E1C"/>
    <w:rsid w:val="00F66120"/>
    <w:rsid w:val="00F67307"/>
    <w:rsid w:val="00F71D22"/>
    <w:rsid w:val="00F748A8"/>
    <w:rsid w:val="00F854A7"/>
    <w:rsid w:val="00F87250"/>
    <w:rsid w:val="00F87915"/>
    <w:rsid w:val="00F90D38"/>
    <w:rsid w:val="00F91280"/>
    <w:rsid w:val="00F91E29"/>
    <w:rsid w:val="00F93707"/>
    <w:rsid w:val="00FA10D5"/>
    <w:rsid w:val="00FA3C69"/>
    <w:rsid w:val="00FA4B3F"/>
    <w:rsid w:val="00FA6BBA"/>
    <w:rsid w:val="00FB077A"/>
    <w:rsid w:val="00FB0FC4"/>
    <w:rsid w:val="00FB1C04"/>
    <w:rsid w:val="00FB60C7"/>
    <w:rsid w:val="00FC4073"/>
    <w:rsid w:val="00FC554A"/>
    <w:rsid w:val="00FC6D19"/>
    <w:rsid w:val="00FC7E4D"/>
    <w:rsid w:val="00FD14EF"/>
    <w:rsid w:val="00FD5AA7"/>
    <w:rsid w:val="00FD6A80"/>
    <w:rsid w:val="00FE1363"/>
    <w:rsid w:val="00FE26D5"/>
    <w:rsid w:val="00FE308E"/>
    <w:rsid w:val="00FE358F"/>
    <w:rsid w:val="00FE6240"/>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0B2C1"/>
  <w15:docId w15:val="{45FF20EC-DF81-42EB-9F90-528EA136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NoSpacing"/>
    <w:qFormat/>
    <w:rsid w:val="003928A8"/>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90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outlineLvl w:val="2"/>
    </w:pPr>
    <w:rPr>
      <w:rFonts w:eastAsia="Times New Roman" w:cs="Times New Roman"/>
      <w:i/>
      <w:i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Reference"/>
    <w:next w:val="Normal"/>
    <w:link w:val="Heading7Char"/>
    <w:uiPriority w:val="9"/>
    <w:unhideWhenUsed/>
    <w:qFormat/>
    <w:rsid w:val="00820169"/>
    <w:pPr>
      <w:numPr>
        <w:ilvl w:val="6"/>
        <w:numId w:val="45"/>
      </w:numPr>
      <w:spacing w:after="240"/>
      <w:outlineLvl w:val="6"/>
    </w:pPr>
    <w:rPr>
      <w:rFonts w:ascii="Arial" w:hAnsi="Arial" w:cs="Arial"/>
      <w:b/>
      <w:sz w:val="28"/>
      <w:szCs w:val="28"/>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96905"/>
    <w:rPr>
      <w:rFonts w:ascii="Arial" w:eastAsia="Times New Roman" w:hAnsi="Arial" w:cs="Times New Roman"/>
      <w:i/>
      <w:i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rsid w:val="00820169"/>
    <w:rPr>
      <w:rFonts w:ascii="Arial" w:hAnsi="Arial" w:cs="Arial"/>
      <w:b/>
      <w:color w:val="000000"/>
      <w:sz w:val="28"/>
      <w:szCs w:val="28"/>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uiPriority w:val="99"/>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Char, Char4"/>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unhideWhenUsed/>
    <w:qFormat/>
    <w:rsid w:val="003928A8"/>
    <w:pPr>
      <w:keepNext/>
    </w:pPr>
    <w:rPr>
      <w:rFonts w:eastAsiaTheme="minorEastAsia"/>
      <w:b/>
      <w:bCs/>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942996"/>
    <w:pPr>
      <w:tabs>
        <w:tab w:val="left" w:pos="720"/>
        <w:tab w:val="right" w:leader="dot" w:pos="10080"/>
      </w:tabs>
      <w:spacing w:after="100"/>
    </w:pPr>
    <w:rPr>
      <w:noProof/>
    </w:r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713CD7"/>
    <w:pPr>
      <w:spacing w:after="100"/>
      <w:ind w:left="1440"/>
    </w:pPr>
    <w:rPr>
      <w:i/>
    </w:r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numbering" w:customStyle="1" w:styleId="ListNumber1">
    <w:name w:val="List Number_1"/>
    <w:uiPriority w:val="99"/>
    <w:rsid w:val="00693608"/>
    <w:pPr>
      <w:numPr>
        <w:numId w:val="24"/>
      </w:numPr>
    </w:pPr>
  </w:style>
  <w:style w:type="paragraph" w:customStyle="1" w:styleId="BodyTextNoIndent">
    <w:name w:val="Body Text No Indent"/>
    <w:basedOn w:val="BodyText"/>
    <w:qFormat/>
    <w:rsid w:val="00395811"/>
    <w:pPr>
      <w:spacing w:after="240"/>
      <w:ind w:firstLine="720"/>
    </w:pPr>
    <w:rPr>
      <w:rFonts w:ascii="Times New Roman" w:eastAsia="Times New Roman" w:hAnsi="Times New Roman" w:cs="Times New Roman"/>
      <w:szCs w:val="24"/>
      <w:lang w:bidi="ar-SA"/>
    </w:rPr>
  </w:style>
  <w:style w:type="paragraph" w:styleId="ListBullet">
    <w:name w:val="List Bullet"/>
    <w:basedOn w:val="Normal"/>
    <w:uiPriority w:val="99"/>
    <w:unhideWhenUsed/>
    <w:rsid w:val="00EB5256"/>
    <w:pPr>
      <w:numPr>
        <w:numId w:val="26"/>
      </w:numPr>
      <w:contextualSpacing/>
    </w:pPr>
  </w:style>
  <w:style w:type="paragraph" w:customStyle="1" w:styleId="Footnotetables">
    <w:name w:val="Footnote_tables"/>
    <w:qFormat/>
    <w:rsid w:val="00967CD5"/>
    <w:pPr>
      <w:spacing w:before="60" w:after="0" w:line="240" w:lineRule="auto"/>
      <w:ind w:left="360" w:hanging="360"/>
    </w:pPr>
    <w:rPr>
      <w:rFonts w:ascii="Arial Narrow" w:hAnsi="Arial Narrow"/>
      <w:sz w:val="18"/>
      <w:szCs w:val="20"/>
    </w:rPr>
  </w:style>
  <w:style w:type="paragraph" w:customStyle="1" w:styleId="Reference">
    <w:name w:val="Reference"/>
    <w:basedOn w:val="Normal"/>
    <w:qFormat/>
    <w:rsid w:val="008F0E7C"/>
    <w:pPr>
      <w:autoSpaceDE w:val="0"/>
      <w:autoSpaceDN w:val="0"/>
      <w:adjustRightInd w:val="0"/>
      <w:spacing w:after="120"/>
      <w:ind w:left="360" w:hanging="360"/>
    </w:pPr>
    <w:rPr>
      <w:rFonts w:ascii="Times New Roman" w:hAnsi="Times New Roman"/>
      <w:color w:val="000000"/>
      <w:sz w:val="22"/>
      <w:szCs w:val="24"/>
    </w:rPr>
  </w:style>
  <w:style w:type="paragraph" w:styleId="TableofFigures">
    <w:name w:val="table of figures"/>
    <w:basedOn w:val="Normal"/>
    <w:next w:val="Normal"/>
    <w:uiPriority w:val="99"/>
    <w:unhideWhenUsed/>
    <w:rsid w:val="00D15DBB"/>
  </w:style>
  <w:style w:type="paragraph" w:customStyle="1" w:styleId="TableTitle">
    <w:name w:val="Table Title"/>
    <w:qFormat/>
    <w:rsid w:val="00F574F4"/>
    <w:pPr>
      <w:keepNext/>
      <w:spacing w:before="160" w:after="80" w:line="240" w:lineRule="auto"/>
    </w:pPr>
    <w:rPr>
      <w:rFonts w:ascii="Times New Roman" w:hAnsi="Times New Roman" w:cs="Times New Roman"/>
      <w:b/>
      <w:iCs/>
      <w:szCs w:val="18"/>
    </w:rPr>
  </w:style>
  <w:style w:type="character" w:styleId="UnresolvedMention">
    <w:name w:val="Unresolved Mention"/>
    <w:basedOn w:val="DefaultParagraphFont"/>
    <w:uiPriority w:val="99"/>
    <w:semiHidden/>
    <w:unhideWhenUsed/>
    <w:rsid w:val="003E23A0"/>
    <w:rPr>
      <w:color w:val="605E5C"/>
      <w:shd w:val="clear" w:color="auto" w:fill="E1DFDD"/>
    </w:rPr>
  </w:style>
  <w:style w:type="table" w:customStyle="1" w:styleId="TableGrid2">
    <w:name w:val="Table Grid2"/>
    <w:basedOn w:val="TableNormal"/>
    <w:next w:val="TableGrid"/>
    <w:uiPriority w:val="39"/>
    <w:rsid w:val="00382CD1"/>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documents/2017/01/19/2017-01235/statutory-requirements-for-substantiation-of-confidential-business-information-cbi-claims-under-th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openxmlformats.org/officeDocument/2006/relationships/hyperlink" Target="https://www.opm.gov/policy-data-oversight/pay-leave/salaries-wages/salary-tables/18Tables/html/DCB_h.aspx" TargetMode="External"/><Relationship Id="rId2" Type="http://schemas.openxmlformats.org/officeDocument/2006/relationships/customXml" Target="../customXml/item2.xml"/><Relationship Id="rId16" Type="http://schemas.openxmlformats.org/officeDocument/2006/relationships/hyperlink" Target="https://www.pdffiller.com/10247637--ICR-Handbook---Environmental-Protection-Agen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CDRweb@epa.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ocuments/2017/01/19/2017-01235/statutory-requirements-for-substantiation-of-confidential-business-information-cbi-claims-under-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12" ma:contentTypeDescription="Create a new document." ma:contentTypeScope="" ma:versionID="9fc3c5afe478520756e3d9066fb99e1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75a99e57ec5528a95ae38dac622d5eea"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2019-11-13T14:30:39+00:00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Brown, Judith</DisplayName>
        <AccountId>2867</AccountId>
        <AccountType/>
      </UserInfo>
      <UserInfo>
        <DisplayName>Vendinello, Lynn</DisplayName>
        <AccountId>1264</AccountId>
        <AccountType/>
      </UserInfo>
      <UserInfo>
        <DisplayName>Wolf, Joel</DisplayName>
        <AccountId>1014</AccountId>
        <AccountType/>
      </UserInfo>
      <UserInfo>
        <DisplayName>Kramek, Niva</DisplayName>
        <AccountId>1719</AccountId>
        <AccountType/>
      </UserInfo>
      <UserInfo>
        <DisplayName>Smith, ThomasA</DisplayName>
        <AccountId>3286</AccountId>
        <AccountType/>
      </UserInfo>
      <UserInfo>
        <DisplayName>Summers, Kelly</DisplayName>
        <AccountId>9030</AccountId>
        <AccountType/>
      </UserInfo>
      <UserInfo>
        <DisplayName>Comnes, Meredith</DisplayName>
        <AccountId>3752</AccountId>
        <AccountType/>
      </UserInfo>
      <UserInfo>
        <DisplayName>Rice, Cody</DisplayName>
        <AccountId>170</AccountId>
        <AccountType/>
      </UserInfo>
      <UserInfo>
        <DisplayName>Sharkey, Susan</DisplayName>
        <AccountId>1734</AccountId>
        <AccountType/>
      </UserInfo>
      <UserInfo>
        <DisplayName>Taylor, Jeffrey</DisplayName>
        <AccountId>7000</AccountId>
        <AccountType/>
      </UserInfo>
      <UserInfo>
        <DisplayName>Hall, Franklyn</DisplayName>
        <AccountId>106</AccountId>
        <AccountType/>
      </UserInfo>
      <UserInfo>
        <DisplayName>Gorder, Chris</DisplayName>
        <AccountId>3430</AccountId>
        <AccountType/>
      </UserInfo>
      <UserInfo>
        <DisplayName>Brown, Barrett</DisplayName>
        <AccountId>9820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8CBF-C4C0-4AB4-949B-3DBB6D9C1287}">
  <ds:schemaRefs>
    <ds:schemaRef ds:uri="http://schemas.microsoft.com/sharepoint/v3/contenttype/forms"/>
  </ds:schemaRefs>
</ds:datastoreItem>
</file>

<file path=customXml/itemProps2.xml><?xml version="1.0" encoding="utf-8"?>
<ds:datastoreItem xmlns:ds="http://schemas.openxmlformats.org/officeDocument/2006/customXml" ds:itemID="{56D60ADF-32FD-4EC8-967D-E59ABD9846BD}">
  <ds:schemaRefs>
    <ds:schemaRef ds:uri="Microsoft.SharePoint.Taxonomy.ContentTypeSync"/>
  </ds:schemaRefs>
</ds:datastoreItem>
</file>

<file path=customXml/itemProps3.xml><?xml version="1.0" encoding="utf-8"?>
<ds:datastoreItem xmlns:ds="http://schemas.openxmlformats.org/officeDocument/2006/customXml" ds:itemID="{9C7B72DF-14B2-44AE-A150-01D5AD78A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6620C-44B6-46B0-B75D-554CF8EC5EC6}">
  <ds:schemaRefs>
    <ds:schemaRef ds:uri="http://schemas.openxmlformats.org/package/2006/metadata/core-properties"/>
    <ds:schemaRef ds:uri="http://schemas.microsoft.com/office/2006/documentManagement/types"/>
    <ds:schemaRef ds:uri="http://schemas.microsoft.com/office/infopath/2007/PartnerControls"/>
    <ds:schemaRef ds:uri="a5d1ca4e-0a3f-4119-b619-e20b93ebd1aa"/>
    <ds:schemaRef ds:uri="http://purl.org/dc/elements/1.1/"/>
    <ds:schemaRef ds:uri="http://schemas.microsoft.com/office/2006/metadata/properties"/>
    <ds:schemaRef ds:uri="88f87ca9-d116-4246-8a47-f69c28fe3c5d"/>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CB364722-2E0E-4EA0-AAB5-1ED467A1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12360</Words>
  <Characters>70452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82647</CharactersWithSpaces>
  <SharedDoc>false</SharedDoc>
  <HLinks>
    <vt:vector size="354" baseType="variant">
      <vt:variant>
        <vt:i4>196652</vt:i4>
      </vt:variant>
      <vt:variant>
        <vt:i4>455</vt:i4>
      </vt:variant>
      <vt:variant>
        <vt:i4>0</vt:i4>
      </vt:variant>
      <vt:variant>
        <vt:i4>5</vt:i4>
      </vt:variant>
      <vt:variant>
        <vt:lpwstr>https://www.opm.gov/policy-data-oversight/pay-leave/salaries-wages/salary-tables/18Tables/html/DCB_h.aspx</vt:lpwstr>
      </vt:variant>
      <vt:variant>
        <vt:lpwstr/>
      </vt:variant>
      <vt:variant>
        <vt:i4>2687031</vt:i4>
      </vt:variant>
      <vt:variant>
        <vt:i4>452</vt:i4>
      </vt:variant>
      <vt:variant>
        <vt:i4>0</vt:i4>
      </vt:variant>
      <vt:variant>
        <vt:i4>5</vt:i4>
      </vt:variant>
      <vt:variant>
        <vt:lpwstr>https://www.pdffiller.com/10247637--ICR-Handbook---Environmental-Protection-Agency-</vt:lpwstr>
      </vt:variant>
      <vt:variant>
        <vt:lpwstr/>
      </vt:variant>
      <vt:variant>
        <vt:i4>6488143</vt:i4>
      </vt:variant>
      <vt:variant>
        <vt:i4>338</vt:i4>
      </vt:variant>
      <vt:variant>
        <vt:i4>0</vt:i4>
      </vt:variant>
      <vt:variant>
        <vt:i4>5</vt:i4>
      </vt:variant>
      <vt:variant>
        <vt:lpwstr>mailto:eCDRweb@epa.gov</vt:lpwstr>
      </vt:variant>
      <vt:variant>
        <vt:lpwstr/>
      </vt:variant>
      <vt:variant>
        <vt:i4>7536743</vt:i4>
      </vt:variant>
      <vt:variant>
        <vt:i4>335</vt:i4>
      </vt:variant>
      <vt:variant>
        <vt:i4>0</vt:i4>
      </vt:variant>
      <vt:variant>
        <vt:i4>5</vt:i4>
      </vt:variant>
      <vt:variant>
        <vt:lpwstr>https://www.federalregister.gov/documents/2017/01/19/2017-01235/statutory-requirements-for-substantiation-of-confidential-business-information-cbi-claims-under-the</vt:lpwstr>
      </vt:variant>
      <vt:variant>
        <vt:lpwstr/>
      </vt:variant>
      <vt:variant>
        <vt:i4>7536743</vt:i4>
      </vt:variant>
      <vt:variant>
        <vt:i4>332</vt:i4>
      </vt:variant>
      <vt:variant>
        <vt:i4>0</vt:i4>
      </vt:variant>
      <vt:variant>
        <vt:i4>5</vt:i4>
      </vt:variant>
      <vt:variant>
        <vt:lpwstr>https://www.federalregister.gov/documents/2017/01/19/2017-01235/statutory-requirements-for-substantiation-of-confidential-business-information-cbi-claims-under-the</vt:lpwstr>
      </vt:variant>
      <vt:variant>
        <vt:lpwstr/>
      </vt:variant>
      <vt:variant>
        <vt:i4>3080254</vt:i4>
      </vt:variant>
      <vt:variant>
        <vt:i4>327</vt:i4>
      </vt:variant>
      <vt:variant>
        <vt:i4>0</vt:i4>
      </vt:variant>
      <vt:variant>
        <vt:i4>5</vt:i4>
      </vt:variant>
      <vt:variant>
        <vt:lpwstr>http://www.epa.gov/dockets</vt:lpwstr>
      </vt:variant>
      <vt:variant>
        <vt:lpwstr/>
      </vt:variant>
      <vt:variant>
        <vt:i4>1441841</vt:i4>
      </vt:variant>
      <vt:variant>
        <vt:i4>320</vt:i4>
      </vt:variant>
      <vt:variant>
        <vt:i4>0</vt:i4>
      </vt:variant>
      <vt:variant>
        <vt:i4>5</vt:i4>
      </vt:variant>
      <vt:variant>
        <vt:lpwstr/>
      </vt:variant>
      <vt:variant>
        <vt:lpwstr>_Toc24464132</vt:lpwstr>
      </vt:variant>
      <vt:variant>
        <vt:i4>1376305</vt:i4>
      </vt:variant>
      <vt:variant>
        <vt:i4>314</vt:i4>
      </vt:variant>
      <vt:variant>
        <vt:i4>0</vt:i4>
      </vt:variant>
      <vt:variant>
        <vt:i4>5</vt:i4>
      </vt:variant>
      <vt:variant>
        <vt:lpwstr/>
      </vt:variant>
      <vt:variant>
        <vt:lpwstr>_Toc24464131</vt:lpwstr>
      </vt:variant>
      <vt:variant>
        <vt:i4>1310769</vt:i4>
      </vt:variant>
      <vt:variant>
        <vt:i4>308</vt:i4>
      </vt:variant>
      <vt:variant>
        <vt:i4>0</vt:i4>
      </vt:variant>
      <vt:variant>
        <vt:i4>5</vt:i4>
      </vt:variant>
      <vt:variant>
        <vt:lpwstr/>
      </vt:variant>
      <vt:variant>
        <vt:lpwstr>_Toc24464130</vt:lpwstr>
      </vt:variant>
      <vt:variant>
        <vt:i4>1900592</vt:i4>
      </vt:variant>
      <vt:variant>
        <vt:i4>302</vt:i4>
      </vt:variant>
      <vt:variant>
        <vt:i4>0</vt:i4>
      </vt:variant>
      <vt:variant>
        <vt:i4>5</vt:i4>
      </vt:variant>
      <vt:variant>
        <vt:lpwstr/>
      </vt:variant>
      <vt:variant>
        <vt:lpwstr>_Toc24464129</vt:lpwstr>
      </vt:variant>
      <vt:variant>
        <vt:i4>1835056</vt:i4>
      </vt:variant>
      <vt:variant>
        <vt:i4>296</vt:i4>
      </vt:variant>
      <vt:variant>
        <vt:i4>0</vt:i4>
      </vt:variant>
      <vt:variant>
        <vt:i4>5</vt:i4>
      </vt:variant>
      <vt:variant>
        <vt:lpwstr/>
      </vt:variant>
      <vt:variant>
        <vt:lpwstr>_Toc24464128</vt:lpwstr>
      </vt:variant>
      <vt:variant>
        <vt:i4>1245232</vt:i4>
      </vt:variant>
      <vt:variant>
        <vt:i4>290</vt:i4>
      </vt:variant>
      <vt:variant>
        <vt:i4>0</vt:i4>
      </vt:variant>
      <vt:variant>
        <vt:i4>5</vt:i4>
      </vt:variant>
      <vt:variant>
        <vt:lpwstr/>
      </vt:variant>
      <vt:variant>
        <vt:lpwstr>_Toc24464127</vt:lpwstr>
      </vt:variant>
      <vt:variant>
        <vt:i4>1179696</vt:i4>
      </vt:variant>
      <vt:variant>
        <vt:i4>284</vt:i4>
      </vt:variant>
      <vt:variant>
        <vt:i4>0</vt:i4>
      </vt:variant>
      <vt:variant>
        <vt:i4>5</vt:i4>
      </vt:variant>
      <vt:variant>
        <vt:lpwstr/>
      </vt:variant>
      <vt:variant>
        <vt:lpwstr>_Toc24464126</vt:lpwstr>
      </vt:variant>
      <vt:variant>
        <vt:i4>1769531</vt:i4>
      </vt:variant>
      <vt:variant>
        <vt:i4>275</vt:i4>
      </vt:variant>
      <vt:variant>
        <vt:i4>0</vt:i4>
      </vt:variant>
      <vt:variant>
        <vt:i4>5</vt:i4>
      </vt:variant>
      <vt:variant>
        <vt:lpwstr/>
      </vt:variant>
      <vt:variant>
        <vt:lpwstr>_Toc33188413</vt:lpwstr>
      </vt:variant>
      <vt:variant>
        <vt:i4>1703995</vt:i4>
      </vt:variant>
      <vt:variant>
        <vt:i4>269</vt:i4>
      </vt:variant>
      <vt:variant>
        <vt:i4>0</vt:i4>
      </vt:variant>
      <vt:variant>
        <vt:i4>5</vt:i4>
      </vt:variant>
      <vt:variant>
        <vt:lpwstr/>
      </vt:variant>
      <vt:variant>
        <vt:lpwstr>_Toc33188412</vt:lpwstr>
      </vt:variant>
      <vt:variant>
        <vt:i4>1638459</vt:i4>
      </vt:variant>
      <vt:variant>
        <vt:i4>263</vt:i4>
      </vt:variant>
      <vt:variant>
        <vt:i4>0</vt:i4>
      </vt:variant>
      <vt:variant>
        <vt:i4>5</vt:i4>
      </vt:variant>
      <vt:variant>
        <vt:lpwstr/>
      </vt:variant>
      <vt:variant>
        <vt:lpwstr>_Toc33188411</vt:lpwstr>
      </vt:variant>
      <vt:variant>
        <vt:i4>1572923</vt:i4>
      </vt:variant>
      <vt:variant>
        <vt:i4>257</vt:i4>
      </vt:variant>
      <vt:variant>
        <vt:i4>0</vt:i4>
      </vt:variant>
      <vt:variant>
        <vt:i4>5</vt:i4>
      </vt:variant>
      <vt:variant>
        <vt:lpwstr/>
      </vt:variant>
      <vt:variant>
        <vt:lpwstr>_Toc33188410</vt:lpwstr>
      </vt:variant>
      <vt:variant>
        <vt:i4>1114170</vt:i4>
      </vt:variant>
      <vt:variant>
        <vt:i4>251</vt:i4>
      </vt:variant>
      <vt:variant>
        <vt:i4>0</vt:i4>
      </vt:variant>
      <vt:variant>
        <vt:i4>5</vt:i4>
      </vt:variant>
      <vt:variant>
        <vt:lpwstr/>
      </vt:variant>
      <vt:variant>
        <vt:lpwstr>_Toc33188409</vt:lpwstr>
      </vt:variant>
      <vt:variant>
        <vt:i4>1048634</vt:i4>
      </vt:variant>
      <vt:variant>
        <vt:i4>245</vt:i4>
      </vt:variant>
      <vt:variant>
        <vt:i4>0</vt:i4>
      </vt:variant>
      <vt:variant>
        <vt:i4>5</vt:i4>
      </vt:variant>
      <vt:variant>
        <vt:lpwstr/>
      </vt:variant>
      <vt:variant>
        <vt:lpwstr>_Toc33188408</vt:lpwstr>
      </vt:variant>
      <vt:variant>
        <vt:i4>2031674</vt:i4>
      </vt:variant>
      <vt:variant>
        <vt:i4>239</vt:i4>
      </vt:variant>
      <vt:variant>
        <vt:i4>0</vt:i4>
      </vt:variant>
      <vt:variant>
        <vt:i4>5</vt:i4>
      </vt:variant>
      <vt:variant>
        <vt:lpwstr/>
      </vt:variant>
      <vt:variant>
        <vt:lpwstr>_Toc33188407</vt:lpwstr>
      </vt:variant>
      <vt:variant>
        <vt:i4>1966138</vt:i4>
      </vt:variant>
      <vt:variant>
        <vt:i4>233</vt:i4>
      </vt:variant>
      <vt:variant>
        <vt:i4>0</vt:i4>
      </vt:variant>
      <vt:variant>
        <vt:i4>5</vt:i4>
      </vt:variant>
      <vt:variant>
        <vt:lpwstr/>
      </vt:variant>
      <vt:variant>
        <vt:lpwstr>_Toc33188406</vt:lpwstr>
      </vt:variant>
      <vt:variant>
        <vt:i4>1900602</vt:i4>
      </vt:variant>
      <vt:variant>
        <vt:i4>224</vt:i4>
      </vt:variant>
      <vt:variant>
        <vt:i4>0</vt:i4>
      </vt:variant>
      <vt:variant>
        <vt:i4>5</vt:i4>
      </vt:variant>
      <vt:variant>
        <vt:lpwstr/>
      </vt:variant>
      <vt:variant>
        <vt:lpwstr>_Toc33188405</vt:lpwstr>
      </vt:variant>
      <vt:variant>
        <vt:i4>1835066</vt:i4>
      </vt:variant>
      <vt:variant>
        <vt:i4>218</vt:i4>
      </vt:variant>
      <vt:variant>
        <vt:i4>0</vt:i4>
      </vt:variant>
      <vt:variant>
        <vt:i4>5</vt:i4>
      </vt:variant>
      <vt:variant>
        <vt:lpwstr/>
      </vt:variant>
      <vt:variant>
        <vt:lpwstr>_Toc33188404</vt:lpwstr>
      </vt:variant>
      <vt:variant>
        <vt:i4>1769530</vt:i4>
      </vt:variant>
      <vt:variant>
        <vt:i4>212</vt:i4>
      </vt:variant>
      <vt:variant>
        <vt:i4>0</vt:i4>
      </vt:variant>
      <vt:variant>
        <vt:i4>5</vt:i4>
      </vt:variant>
      <vt:variant>
        <vt:lpwstr/>
      </vt:variant>
      <vt:variant>
        <vt:lpwstr>_Toc33188403</vt:lpwstr>
      </vt:variant>
      <vt:variant>
        <vt:i4>1703994</vt:i4>
      </vt:variant>
      <vt:variant>
        <vt:i4>206</vt:i4>
      </vt:variant>
      <vt:variant>
        <vt:i4>0</vt:i4>
      </vt:variant>
      <vt:variant>
        <vt:i4>5</vt:i4>
      </vt:variant>
      <vt:variant>
        <vt:lpwstr/>
      </vt:variant>
      <vt:variant>
        <vt:lpwstr>_Toc33188402</vt:lpwstr>
      </vt:variant>
      <vt:variant>
        <vt:i4>1638458</vt:i4>
      </vt:variant>
      <vt:variant>
        <vt:i4>200</vt:i4>
      </vt:variant>
      <vt:variant>
        <vt:i4>0</vt:i4>
      </vt:variant>
      <vt:variant>
        <vt:i4>5</vt:i4>
      </vt:variant>
      <vt:variant>
        <vt:lpwstr/>
      </vt:variant>
      <vt:variant>
        <vt:lpwstr>_Toc33188401</vt:lpwstr>
      </vt:variant>
      <vt:variant>
        <vt:i4>1572922</vt:i4>
      </vt:variant>
      <vt:variant>
        <vt:i4>194</vt:i4>
      </vt:variant>
      <vt:variant>
        <vt:i4>0</vt:i4>
      </vt:variant>
      <vt:variant>
        <vt:i4>5</vt:i4>
      </vt:variant>
      <vt:variant>
        <vt:lpwstr/>
      </vt:variant>
      <vt:variant>
        <vt:lpwstr>_Toc33188400</vt:lpwstr>
      </vt:variant>
      <vt:variant>
        <vt:i4>1441843</vt:i4>
      </vt:variant>
      <vt:variant>
        <vt:i4>188</vt:i4>
      </vt:variant>
      <vt:variant>
        <vt:i4>0</vt:i4>
      </vt:variant>
      <vt:variant>
        <vt:i4>5</vt:i4>
      </vt:variant>
      <vt:variant>
        <vt:lpwstr/>
      </vt:variant>
      <vt:variant>
        <vt:lpwstr>_Toc33188399</vt:lpwstr>
      </vt:variant>
      <vt:variant>
        <vt:i4>1507379</vt:i4>
      </vt:variant>
      <vt:variant>
        <vt:i4>182</vt:i4>
      </vt:variant>
      <vt:variant>
        <vt:i4>0</vt:i4>
      </vt:variant>
      <vt:variant>
        <vt:i4>5</vt:i4>
      </vt:variant>
      <vt:variant>
        <vt:lpwstr/>
      </vt:variant>
      <vt:variant>
        <vt:lpwstr>_Toc33188398</vt:lpwstr>
      </vt:variant>
      <vt:variant>
        <vt:i4>1572915</vt:i4>
      </vt:variant>
      <vt:variant>
        <vt:i4>176</vt:i4>
      </vt:variant>
      <vt:variant>
        <vt:i4>0</vt:i4>
      </vt:variant>
      <vt:variant>
        <vt:i4>5</vt:i4>
      </vt:variant>
      <vt:variant>
        <vt:lpwstr/>
      </vt:variant>
      <vt:variant>
        <vt:lpwstr>_Toc33188397</vt:lpwstr>
      </vt:variant>
      <vt:variant>
        <vt:i4>1638451</vt:i4>
      </vt:variant>
      <vt:variant>
        <vt:i4>170</vt:i4>
      </vt:variant>
      <vt:variant>
        <vt:i4>0</vt:i4>
      </vt:variant>
      <vt:variant>
        <vt:i4>5</vt:i4>
      </vt:variant>
      <vt:variant>
        <vt:lpwstr/>
      </vt:variant>
      <vt:variant>
        <vt:lpwstr>_Toc33188396</vt:lpwstr>
      </vt:variant>
      <vt:variant>
        <vt:i4>1703987</vt:i4>
      </vt:variant>
      <vt:variant>
        <vt:i4>164</vt:i4>
      </vt:variant>
      <vt:variant>
        <vt:i4>0</vt:i4>
      </vt:variant>
      <vt:variant>
        <vt:i4>5</vt:i4>
      </vt:variant>
      <vt:variant>
        <vt:lpwstr/>
      </vt:variant>
      <vt:variant>
        <vt:lpwstr>_Toc33188395</vt:lpwstr>
      </vt:variant>
      <vt:variant>
        <vt:i4>1769523</vt:i4>
      </vt:variant>
      <vt:variant>
        <vt:i4>158</vt:i4>
      </vt:variant>
      <vt:variant>
        <vt:i4>0</vt:i4>
      </vt:variant>
      <vt:variant>
        <vt:i4>5</vt:i4>
      </vt:variant>
      <vt:variant>
        <vt:lpwstr/>
      </vt:variant>
      <vt:variant>
        <vt:lpwstr>_Toc33188394</vt:lpwstr>
      </vt:variant>
      <vt:variant>
        <vt:i4>1835059</vt:i4>
      </vt:variant>
      <vt:variant>
        <vt:i4>152</vt:i4>
      </vt:variant>
      <vt:variant>
        <vt:i4>0</vt:i4>
      </vt:variant>
      <vt:variant>
        <vt:i4>5</vt:i4>
      </vt:variant>
      <vt:variant>
        <vt:lpwstr/>
      </vt:variant>
      <vt:variant>
        <vt:lpwstr>_Toc33188393</vt:lpwstr>
      </vt:variant>
      <vt:variant>
        <vt:i4>1900595</vt:i4>
      </vt:variant>
      <vt:variant>
        <vt:i4>146</vt:i4>
      </vt:variant>
      <vt:variant>
        <vt:i4>0</vt:i4>
      </vt:variant>
      <vt:variant>
        <vt:i4>5</vt:i4>
      </vt:variant>
      <vt:variant>
        <vt:lpwstr/>
      </vt:variant>
      <vt:variant>
        <vt:lpwstr>_Toc33188392</vt:lpwstr>
      </vt:variant>
      <vt:variant>
        <vt:i4>1966131</vt:i4>
      </vt:variant>
      <vt:variant>
        <vt:i4>140</vt:i4>
      </vt:variant>
      <vt:variant>
        <vt:i4>0</vt:i4>
      </vt:variant>
      <vt:variant>
        <vt:i4>5</vt:i4>
      </vt:variant>
      <vt:variant>
        <vt:lpwstr/>
      </vt:variant>
      <vt:variant>
        <vt:lpwstr>_Toc33188391</vt:lpwstr>
      </vt:variant>
      <vt:variant>
        <vt:i4>2031667</vt:i4>
      </vt:variant>
      <vt:variant>
        <vt:i4>134</vt:i4>
      </vt:variant>
      <vt:variant>
        <vt:i4>0</vt:i4>
      </vt:variant>
      <vt:variant>
        <vt:i4>5</vt:i4>
      </vt:variant>
      <vt:variant>
        <vt:lpwstr/>
      </vt:variant>
      <vt:variant>
        <vt:lpwstr>_Toc33188390</vt:lpwstr>
      </vt:variant>
      <vt:variant>
        <vt:i4>1441842</vt:i4>
      </vt:variant>
      <vt:variant>
        <vt:i4>128</vt:i4>
      </vt:variant>
      <vt:variant>
        <vt:i4>0</vt:i4>
      </vt:variant>
      <vt:variant>
        <vt:i4>5</vt:i4>
      </vt:variant>
      <vt:variant>
        <vt:lpwstr/>
      </vt:variant>
      <vt:variant>
        <vt:lpwstr>_Toc33188389</vt:lpwstr>
      </vt:variant>
      <vt:variant>
        <vt:i4>1507378</vt:i4>
      </vt:variant>
      <vt:variant>
        <vt:i4>122</vt:i4>
      </vt:variant>
      <vt:variant>
        <vt:i4>0</vt:i4>
      </vt:variant>
      <vt:variant>
        <vt:i4>5</vt:i4>
      </vt:variant>
      <vt:variant>
        <vt:lpwstr/>
      </vt:variant>
      <vt:variant>
        <vt:lpwstr>_Toc33188388</vt:lpwstr>
      </vt:variant>
      <vt:variant>
        <vt:i4>1572914</vt:i4>
      </vt:variant>
      <vt:variant>
        <vt:i4>116</vt:i4>
      </vt:variant>
      <vt:variant>
        <vt:i4>0</vt:i4>
      </vt:variant>
      <vt:variant>
        <vt:i4>5</vt:i4>
      </vt:variant>
      <vt:variant>
        <vt:lpwstr/>
      </vt:variant>
      <vt:variant>
        <vt:lpwstr>_Toc33188387</vt:lpwstr>
      </vt:variant>
      <vt:variant>
        <vt:i4>1638450</vt:i4>
      </vt:variant>
      <vt:variant>
        <vt:i4>110</vt:i4>
      </vt:variant>
      <vt:variant>
        <vt:i4>0</vt:i4>
      </vt:variant>
      <vt:variant>
        <vt:i4>5</vt:i4>
      </vt:variant>
      <vt:variant>
        <vt:lpwstr/>
      </vt:variant>
      <vt:variant>
        <vt:lpwstr>_Toc33188386</vt:lpwstr>
      </vt:variant>
      <vt:variant>
        <vt:i4>1703986</vt:i4>
      </vt:variant>
      <vt:variant>
        <vt:i4>104</vt:i4>
      </vt:variant>
      <vt:variant>
        <vt:i4>0</vt:i4>
      </vt:variant>
      <vt:variant>
        <vt:i4>5</vt:i4>
      </vt:variant>
      <vt:variant>
        <vt:lpwstr/>
      </vt:variant>
      <vt:variant>
        <vt:lpwstr>_Toc33188385</vt:lpwstr>
      </vt:variant>
      <vt:variant>
        <vt:i4>1769522</vt:i4>
      </vt:variant>
      <vt:variant>
        <vt:i4>98</vt:i4>
      </vt:variant>
      <vt:variant>
        <vt:i4>0</vt:i4>
      </vt:variant>
      <vt:variant>
        <vt:i4>5</vt:i4>
      </vt:variant>
      <vt:variant>
        <vt:lpwstr/>
      </vt:variant>
      <vt:variant>
        <vt:lpwstr>_Toc33188384</vt:lpwstr>
      </vt:variant>
      <vt:variant>
        <vt:i4>1835058</vt:i4>
      </vt:variant>
      <vt:variant>
        <vt:i4>92</vt:i4>
      </vt:variant>
      <vt:variant>
        <vt:i4>0</vt:i4>
      </vt:variant>
      <vt:variant>
        <vt:i4>5</vt:i4>
      </vt:variant>
      <vt:variant>
        <vt:lpwstr/>
      </vt:variant>
      <vt:variant>
        <vt:lpwstr>_Toc33188383</vt:lpwstr>
      </vt:variant>
      <vt:variant>
        <vt:i4>1900594</vt:i4>
      </vt:variant>
      <vt:variant>
        <vt:i4>86</vt:i4>
      </vt:variant>
      <vt:variant>
        <vt:i4>0</vt:i4>
      </vt:variant>
      <vt:variant>
        <vt:i4>5</vt:i4>
      </vt:variant>
      <vt:variant>
        <vt:lpwstr/>
      </vt:variant>
      <vt:variant>
        <vt:lpwstr>_Toc33188382</vt:lpwstr>
      </vt:variant>
      <vt:variant>
        <vt:i4>1966130</vt:i4>
      </vt:variant>
      <vt:variant>
        <vt:i4>80</vt:i4>
      </vt:variant>
      <vt:variant>
        <vt:i4>0</vt:i4>
      </vt:variant>
      <vt:variant>
        <vt:i4>5</vt:i4>
      </vt:variant>
      <vt:variant>
        <vt:lpwstr/>
      </vt:variant>
      <vt:variant>
        <vt:lpwstr>_Toc33188381</vt:lpwstr>
      </vt:variant>
      <vt:variant>
        <vt:i4>2031666</vt:i4>
      </vt:variant>
      <vt:variant>
        <vt:i4>74</vt:i4>
      </vt:variant>
      <vt:variant>
        <vt:i4>0</vt:i4>
      </vt:variant>
      <vt:variant>
        <vt:i4>5</vt:i4>
      </vt:variant>
      <vt:variant>
        <vt:lpwstr/>
      </vt:variant>
      <vt:variant>
        <vt:lpwstr>_Toc33188380</vt:lpwstr>
      </vt:variant>
      <vt:variant>
        <vt:i4>1441853</vt:i4>
      </vt:variant>
      <vt:variant>
        <vt:i4>68</vt:i4>
      </vt:variant>
      <vt:variant>
        <vt:i4>0</vt:i4>
      </vt:variant>
      <vt:variant>
        <vt:i4>5</vt:i4>
      </vt:variant>
      <vt:variant>
        <vt:lpwstr/>
      </vt:variant>
      <vt:variant>
        <vt:lpwstr>_Toc33188379</vt:lpwstr>
      </vt:variant>
      <vt:variant>
        <vt:i4>1507389</vt:i4>
      </vt:variant>
      <vt:variant>
        <vt:i4>62</vt:i4>
      </vt:variant>
      <vt:variant>
        <vt:i4>0</vt:i4>
      </vt:variant>
      <vt:variant>
        <vt:i4>5</vt:i4>
      </vt:variant>
      <vt:variant>
        <vt:lpwstr/>
      </vt:variant>
      <vt:variant>
        <vt:lpwstr>_Toc33188378</vt:lpwstr>
      </vt:variant>
      <vt:variant>
        <vt:i4>1572925</vt:i4>
      </vt:variant>
      <vt:variant>
        <vt:i4>56</vt:i4>
      </vt:variant>
      <vt:variant>
        <vt:i4>0</vt:i4>
      </vt:variant>
      <vt:variant>
        <vt:i4>5</vt:i4>
      </vt:variant>
      <vt:variant>
        <vt:lpwstr/>
      </vt:variant>
      <vt:variant>
        <vt:lpwstr>_Toc33188377</vt:lpwstr>
      </vt:variant>
      <vt:variant>
        <vt:i4>1638461</vt:i4>
      </vt:variant>
      <vt:variant>
        <vt:i4>50</vt:i4>
      </vt:variant>
      <vt:variant>
        <vt:i4>0</vt:i4>
      </vt:variant>
      <vt:variant>
        <vt:i4>5</vt:i4>
      </vt:variant>
      <vt:variant>
        <vt:lpwstr/>
      </vt:variant>
      <vt:variant>
        <vt:lpwstr>_Toc33188376</vt:lpwstr>
      </vt:variant>
      <vt:variant>
        <vt:i4>1703997</vt:i4>
      </vt:variant>
      <vt:variant>
        <vt:i4>44</vt:i4>
      </vt:variant>
      <vt:variant>
        <vt:i4>0</vt:i4>
      </vt:variant>
      <vt:variant>
        <vt:i4>5</vt:i4>
      </vt:variant>
      <vt:variant>
        <vt:lpwstr/>
      </vt:variant>
      <vt:variant>
        <vt:lpwstr>_Toc33188375</vt:lpwstr>
      </vt:variant>
      <vt:variant>
        <vt:i4>1769533</vt:i4>
      </vt:variant>
      <vt:variant>
        <vt:i4>38</vt:i4>
      </vt:variant>
      <vt:variant>
        <vt:i4>0</vt:i4>
      </vt:variant>
      <vt:variant>
        <vt:i4>5</vt:i4>
      </vt:variant>
      <vt:variant>
        <vt:lpwstr/>
      </vt:variant>
      <vt:variant>
        <vt:lpwstr>_Toc33188374</vt:lpwstr>
      </vt:variant>
      <vt:variant>
        <vt:i4>1835069</vt:i4>
      </vt:variant>
      <vt:variant>
        <vt:i4>32</vt:i4>
      </vt:variant>
      <vt:variant>
        <vt:i4>0</vt:i4>
      </vt:variant>
      <vt:variant>
        <vt:i4>5</vt:i4>
      </vt:variant>
      <vt:variant>
        <vt:lpwstr/>
      </vt:variant>
      <vt:variant>
        <vt:lpwstr>_Toc33188373</vt:lpwstr>
      </vt:variant>
      <vt:variant>
        <vt:i4>1900605</vt:i4>
      </vt:variant>
      <vt:variant>
        <vt:i4>26</vt:i4>
      </vt:variant>
      <vt:variant>
        <vt:i4>0</vt:i4>
      </vt:variant>
      <vt:variant>
        <vt:i4>5</vt:i4>
      </vt:variant>
      <vt:variant>
        <vt:lpwstr/>
      </vt:variant>
      <vt:variant>
        <vt:lpwstr>_Toc33188372</vt:lpwstr>
      </vt:variant>
      <vt:variant>
        <vt:i4>1966141</vt:i4>
      </vt:variant>
      <vt:variant>
        <vt:i4>20</vt:i4>
      </vt:variant>
      <vt:variant>
        <vt:i4>0</vt:i4>
      </vt:variant>
      <vt:variant>
        <vt:i4>5</vt:i4>
      </vt:variant>
      <vt:variant>
        <vt:lpwstr/>
      </vt:variant>
      <vt:variant>
        <vt:lpwstr>_Toc33188371</vt:lpwstr>
      </vt:variant>
      <vt:variant>
        <vt:i4>2031677</vt:i4>
      </vt:variant>
      <vt:variant>
        <vt:i4>14</vt:i4>
      </vt:variant>
      <vt:variant>
        <vt:i4>0</vt:i4>
      </vt:variant>
      <vt:variant>
        <vt:i4>5</vt:i4>
      </vt:variant>
      <vt:variant>
        <vt:lpwstr/>
      </vt:variant>
      <vt:variant>
        <vt:lpwstr>_Toc33188370</vt:lpwstr>
      </vt:variant>
      <vt:variant>
        <vt:i4>1441852</vt:i4>
      </vt:variant>
      <vt:variant>
        <vt:i4>8</vt:i4>
      </vt:variant>
      <vt:variant>
        <vt:i4>0</vt:i4>
      </vt:variant>
      <vt:variant>
        <vt:i4>5</vt:i4>
      </vt:variant>
      <vt:variant>
        <vt:lpwstr/>
      </vt:variant>
      <vt:variant>
        <vt:lpwstr>_Toc33188369</vt:lpwstr>
      </vt:variant>
      <vt:variant>
        <vt:i4>1507388</vt:i4>
      </vt:variant>
      <vt:variant>
        <vt:i4>2</vt:i4>
      </vt:variant>
      <vt:variant>
        <vt:i4>0</vt:i4>
      </vt:variant>
      <vt:variant>
        <vt:i4>5</vt:i4>
      </vt:variant>
      <vt:variant>
        <vt:lpwstr/>
      </vt:variant>
      <vt:variant>
        <vt:lpwstr>_Toc33188368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dc:description/>
  <cp:lastModifiedBy>Jonah</cp:lastModifiedBy>
  <cp:revision>3</cp:revision>
  <cp:lastPrinted>2020-02-21T21:38:00Z</cp:lastPrinted>
  <dcterms:created xsi:type="dcterms:W3CDTF">2020-03-20T16:14:00Z</dcterms:created>
  <dcterms:modified xsi:type="dcterms:W3CDTF">2020-03-20T16:21:00Z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