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2DE" w:rsidP="008A72DE" w:rsidRDefault="008A72DE" w14:paraId="4339D31D" w14:textId="77777777">
      <w:pPr>
        <w:jc w:val="center"/>
      </w:pPr>
      <w:smartTag w:uri="urn:schemas-microsoft-com:office:smarttags" w:element="place">
        <w:smartTag w:uri="urn:schemas-microsoft-com:office:smarttags" w:element="country-region">
          <w:r>
            <w:t>UNITED STATES OF AMERICA</w:t>
          </w:r>
        </w:smartTag>
      </w:smartTag>
    </w:p>
    <w:p w:rsidR="008A72DE" w:rsidP="008A72DE" w:rsidRDefault="008A72DE" w14:paraId="1C64DC4D" w14:textId="77777777">
      <w:pPr>
        <w:jc w:val="center"/>
      </w:pPr>
      <w:bookmarkStart w:name="_GoBack" w:id="0"/>
      <w:bookmarkEnd w:id="0"/>
      <w:r>
        <w:t>FEDERAL ENERGY REGULATORY COMMISSION</w:t>
      </w:r>
    </w:p>
    <w:p w:rsidR="008A72DE" w:rsidP="008A72DE" w:rsidRDefault="008A72DE" w14:paraId="64642480" w14:textId="77777777"/>
    <w:p w:rsidRPr="0064790A" w:rsidR="008A72DE" w:rsidP="008A72DE" w:rsidRDefault="008A72DE" w14:paraId="70D93AFB" w14:textId="77777777">
      <w:pPr>
        <w:jc w:val="center"/>
      </w:pPr>
      <w:r>
        <w:t>[Docket No</w:t>
      </w:r>
      <w:r w:rsidRPr="0064790A">
        <w:t>. IC</w:t>
      </w:r>
      <w:r>
        <w:t>19</w:t>
      </w:r>
      <w:r w:rsidRPr="0064790A">
        <w:t>-</w:t>
      </w:r>
      <w:r>
        <w:t>42</w:t>
      </w:r>
      <w:r w:rsidRPr="0064790A">
        <w:t>-000]</w:t>
      </w:r>
    </w:p>
    <w:p w:rsidRPr="0064790A" w:rsidR="008A72DE" w:rsidP="008A72DE" w:rsidRDefault="008A72DE" w14:paraId="58B8B262" w14:textId="77777777"/>
    <w:p w:rsidRPr="0064790A" w:rsidR="008A72DE" w:rsidP="008A72DE" w:rsidRDefault="008A72DE" w14:paraId="40A0358A" w14:textId="77777777">
      <w:pPr>
        <w:jc w:val="center"/>
      </w:pPr>
      <w:r w:rsidRPr="0064790A">
        <w:t>COMMISSION INFORMATION COLLECTION ACTIVITIES (FERC-521);</w:t>
      </w:r>
    </w:p>
    <w:p w:rsidRPr="0064790A" w:rsidR="008A72DE" w:rsidP="008A72DE" w:rsidRDefault="008A72DE" w14:paraId="5D32C41A" w14:textId="77777777">
      <w:pPr>
        <w:jc w:val="center"/>
      </w:pPr>
      <w:r w:rsidRPr="0064790A">
        <w:t>COMMENT REQUEST; EXTENSION</w:t>
      </w:r>
    </w:p>
    <w:p w:rsidRPr="0064790A" w:rsidR="008A72DE" w:rsidP="008A72DE" w:rsidRDefault="008A72DE" w14:paraId="7F99F288" w14:textId="77777777"/>
    <w:p w:rsidR="008A72DE" w:rsidP="00411AAB" w:rsidRDefault="00411AAB" w14:paraId="50085348" w14:textId="7A3A6545">
      <w:pPr>
        <w:jc w:val="center"/>
      </w:pPr>
      <w:r w:rsidRPr="00411AAB">
        <w:t>(</w:t>
      </w:r>
      <w:r w:rsidR="0050200E">
        <w:t>DATE</w:t>
      </w:r>
      <w:r w:rsidRPr="00411AAB">
        <w:t>)</w:t>
      </w:r>
    </w:p>
    <w:p w:rsidRPr="00411AAB" w:rsidR="00411AAB" w:rsidP="00411AAB" w:rsidRDefault="00411AAB" w14:paraId="012B714B" w14:textId="77777777"/>
    <w:p w:rsidR="008A72DE" w:rsidP="008A72DE" w:rsidRDefault="008A72DE" w14:paraId="6A6FE1FF" w14:textId="77777777">
      <w:r w:rsidRPr="00383A37">
        <w:rPr>
          <w:b/>
        </w:rPr>
        <w:t>AGENCY:</w:t>
      </w:r>
      <w:r w:rsidRPr="00383A37">
        <w:t xml:space="preserve">  Federal Energy Regulatory Commission.</w:t>
      </w:r>
    </w:p>
    <w:p w:rsidRPr="00383A37" w:rsidR="008A72DE" w:rsidP="008A72DE" w:rsidRDefault="008A72DE" w14:paraId="613DE29B" w14:textId="77777777"/>
    <w:p w:rsidR="008A72DE" w:rsidP="008A72DE" w:rsidRDefault="008A72DE" w14:paraId="1E2B2E86" w14:textId="77777777">
      <w:pPr>
        <w:spacing w:line="480" w:lineRule="auto"/>
      </w:pPr>
      <w:r w:rsidRPr="00CE64F2">
        <w:rPr>
          <w:b/>
        </w:rPr>
        <w:t>ACTION:</w:t>
      </w:r>
      <w:r>
        <w:t xml:space="preserve">  Notice of information collection and request for comments.</w:t>
      </w:r>
    </w:p>
    <w:p w:rsidR="008A72DE" w:rsidP="008A72DE" w:rsidRDefault="008A72DE" w14:paraId="79A498D4" w14:textId="2E7B206D">
      <w:pPr>
        <w:spacing w:line="480" w:lineRule="auto"/>
      </w:pPr>
      <w:r w:rsidRPr="00CE64F2">
        <w:rPr>
          <w:b/>
        </w:rPr>
        <w:t>SUMMARY:</w:t>
      </w:r>
      <w:r>
        <w:t xml:space="preserve"> </w:t>
      </w:r>
      <w:r w:rsidRPr="0059645A">
        <w:t>In compliance with the requirements of the Paperwork Reduction Act of 1995</w:t>
      </w:r>
      <w:r w:rsidR="0047667D">
        <w:t xml:space="preserve"> (PRA)</w:t>
      </w:r>
      <w:r w:rsidRPr="0059645A">
        <w:t>,</w:t>
      </w:r>
      <w:r w:rsidRPr="0059645A">
        <w:rPr>
          <w:szCs w:val="26"/>
        </w:rPr>
        <w:t xml:space="preserve"> </w:t>
      </w:r>
      <w:r w:rsidRPr="0059645A">
        <w:t>the Federal Energy Regulatory Commission (Commission or FERC) is</w:t>
      </w:r>
      <w:r>
        <w:t xml:space="preserve"> soliciting public comment on</w:t>
      </w:r>
      <w:r w:rsidR="0050200E">
        <w:t xml:space="preserve"> the currently approved information collection,</w:t>
      </w:r>
      <w:r>
        <w:t xml:space="preserve"> FERC-521</w:t>
      </w:r>
      <w:r w:rsidR="0050200E">
        <w:t xml:space="preserve">, </w:t>
      </w:r>
      <w:r>
        <w:t xml:space="preserve">(Payments for Benefits from Headwater Improvements) and submitting </w:t>
      </w:r>
      <w:r w:rsidR="00AC5EC1">
        <w:t>the information collection to the Office of Management and Budget (OMB) for review.  Any interested person may file comments directly with OMB and should address a copy of those comments to the Commission as explained below.</w:t>
      </w:r>
      <w:r w:rsidRPr="0059645A">
        <w:t xml:space="preserve">    </w:t>
      </w:r>
    </w:p>
    <w:p w:rsidRPr="009C147C" w:rsidR="008A72DE" w:rsidP="008A72DE" w:rsidRDefault="008A72DE" w14:paraId="3A87E82A" w14:textId="2D68829E">
      <w:pPr>
        <w:spacing w:line="480" w:lineRule="auto"/>
        <w:rPr>
          <w:b/>
        </w:rPr>
      </w:pPr>
      <w:r w:rsidRPr="00CE64F2">
        <w:rPr>
          <w:b/>
        </w:rPr>
        <w:t>DATES:</w:t>
      </w:r>
      <w:r>
        <w:t xml:space="preserve">  Comments on the collection of information are due </w:t>
      </w:r>
      <w:r w:rsidRPr="009C147C">
        <w:rPr>
          <w:b/>
        </w:rPr>
        <w:t>[</w:t>
      </w:r>
      <w:r>
        <w:rPr>
          <w:b/>
        </w:rPr>
        <w:t xml:space="preserve">insert </w:t>
      </w:r>
      <w:r w:rsidR="00AC5EC1">
        <w:rPr>
          <w:b/>
        </w:rPr>
        <w:t>date 3</w:t>
      </w:r>
      <w:r w:rsidRPr="009C147C">
        <w:rPr>
          <w:b/>
        </w:rPr>
        <w:t xml:space="preserve">0 days after publication in the Federal Register]. </w:t>
      </w:r>
    </w:p>
    <w:p w:rsidR="00AC5EC1" w:rsidP="00AC5EC1" w:rsidRDefault="008A72DE" w14:paraId="7011BEE8" w14:textId="6FC72CFF">
      <w:pPr>
        <w:spacing w:line="480" w:lineRule="auto"/>
        <w:rPr>
          <w:szCs w:val="26"/>
        </w:rPr>
      </w:pPr>
      <w:r w:rsidRPr="00CE64F2">
        <w:rPr>
          <w:b/>
        </w:rPr>
        <w:t>ADDRESSES:</w:t>
      </w:r>
      <w:r>
        <w:t xml:space="preserve">  </w:t>
      </w:r>
      <w:r w:rsidR="00AC5EC1">
        <w:rPr>
          <w:iCs/>
          <w:szCs w:val="26"/>
        </w:rPr>
        <w:t xml:space="preserve">Send written comments on FERC-521 to OMB through </w:t>
      </w:r>
      <w:hyperlink w:history="1" r:id="rId12">
        <w:r w:rsidR="00AC5EC1">
          <w:rPr>
            <w:rStyle w:val="Hyperlink"/>
          </w:rPr>
          <w:t>www.reginfo.gov/public/do/PRAMain</w:t>
        </w:r>
      </w:hyperlink>
      <w:r w:rsidR="00AC5EC1">
        <w:rPr>
          <w:szCs w:val="26"/>
        </w:rPr>
        <w:t>,</w:t>
      </w:r>
      <w:r w:rsidR="00AC5EC1">
        <w:rPr>
          <w:iCs/>
          <w:szCs w:val="26"/>
        </w:rPr>
        <w:t xml:space="preserve"> Attention:  Federal Energy Regulatory Commission Desk Officer.  Please identify the OMB control number (1902-0087) in the subject line.  Your comments </w:t>
      </w:r>
      <w:r w:rsidR="00AC5EC1">
        <w:rPr>
          <w:szCs w:val="26"/>
        </w:rPr>
        <w:t>should be sent within 30 days of publication of this notice in the Federal Register.</w:t>
      </w:r>
    </w:p>
    <w:p w:rsidR="00AC5EC1" w:rsidP="008A72DE" w:rsidRDefault="00AC5EC1" w14:paraId="3829E18A" w14:textId="447E5160">
      <w:pPr>
        <w:spacing w:line="480" w:lineRule="auto"/>
      </w:pPr>
      <w:r>
        <w:rPr>
          <w:szCs w:val="26"/>
        </w:rPr>
        <w:lastRenderedPageBreak/>
        <w:t>Please submit copies of your comments to the Commission (identified by Docket No. IC19-42-000) by either of the following methods:</w:t>
      </w:r>
    </w:p>
    <w:p w:rsidR="008A72DE" w:rsidP="00CE61D6" w:rsidRDefault="008A72DE" w14:paraId="2A103A4F" w14:textId="77777777">
      <w:pPr>
        <w:pStyle w:val="ListParagraph"/>
        <w:numPr>
          <w:ilvl w:val="0"/>
          <w:numId w:val="1"/>
        </w:numPr>
        <w:spacing w:line="480" w:lineRule="auto"/>
      </w:pPr>
      <w:bookmarkStart w:name="OLE_LINK1" w:id="1"/>
      <w:proofErr w:type="spellStart"/>
      <w:r>
        <w:t>eFiling</w:t>
      </w:r>
      <w:proofErr w:type="spellEnd"/>
      <w:r>
        <w:t xml:space="preserve"> at Commission’s Web Site: </w:t>
      </w:r>
      <w:hyperlink w:history="1" r:id="rId13">
        <w:r w:rsidRPr="00EC7068">
          <w:rPr>
            <w:rStyle w:val="Hyperlink"/>
          </w:rPr>
          <w:t>http://www.ferc.gov/docs-filing/efiling.asp</w:t>
        </w:r>
      </w:hyperlink>
    </w:p>
    <w:p w:rsidR="0047667D" w:rsidP="00CE61D6" w:rsidRDefault="0047667D" w14:paraId="62B6FED1" w14:textId="77777777">
      <w:pPr>
        <w:pStyle w:val="ListParagraph"/>
        <w:numPr>
          <w:ilvl w:val="0"/>
          <w:numId w:val="1"/>
        </w:numPr>
        <w:spacing w:after="160" w:line="480" w:lineRule="auto"/>
      </w:pPr>
      <w:r w:rsidRPr="00A720B6">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rsidR="004E5553" w:rsidP="004E5553" w:rsidRDefault="008A72DE" w14:paraId="12AC2205" w14:textId="77777777">
      <w:pPr>
        <w:spacing w:line="480" w:lineRule="auto"/>
      </w:pPr>
      <w:r>
        <w:rPr>
          <w:i/>
        </w:rPr>
        <w:t xml:space="preserve">Instructions: </w:t>
      </w:r>
      <w:r w:rsidR="004E5553">
        <w:rPr>
          <w:szCs w:val="26"/>
        </w:rPr>
        <w:t>All submissions must be formatted and filed in accordance with submission guidelines at: at</w:t>
      </w:r>
      <w:r w:rsidR="004E5553">
        <w:rPr>
          <w:i/>
          <w:szCs w:val="26"/>
        </w:rPr>
        <w:t xml:space="preserve"> </w:t>
      </w:r>
      <w:hyperlink w:history="1" r:id="rId14">
        <w:r w:rsidR="004E5553">
          <w:rPr>
            <w:rStyle w:val="Hyperlink"/>
          </w:rPr>
          <w:t>www.reginfo.gov/public/do/PRAMain</w:t>
        </w:r>
      </w:hyperlink>
      <w:r w:rsidR="004E5553">
        <w:rPr>
          <w:szCs w:val="26"/>
        </w:rPr>
        <w:t xml:space="preserve">;  Using the search function under the “Currently Under Review field,” select Federal Energy Regulatory Commission; click “submit” and select “comment” to the right of the subject collection. </w:t>
      </w:r>
    </w:p>
    <w:p w:rsidR="004E5553" w:rsidP="004E5553" w:rsidRDefault="004E5553" w14:paraId="70A1DF93" w14:textId="77777777">
      <w:pPr>
        <w:spacing w:line="480" w:lineRule="auto"/>
        <w:rPr>
          <w:szCs w:val="26"/>
        </w:rPr>
      </w:pPr>
      <w:r>
        <w:rPr>
          <w:i/>
          <w:iCs/>
          <w:szCs w:val="26"/>
        </w:rPr>
        <w:t>FERC submissions</w:t>
      </w:r>
      <w:r>
        <w:rPr>
          <w:szCs w:val="26"/>
        </w:rPr>
        <w:t xml:space="preserve"> must be formatted and filed in accordance with submission guidelines at: </w:t>
      </w:r>
      <w:hyperlink w:history="1" r:id="rId15">
        <w:r>
          <w:rPr>
            <w:rStyle w:val="Hyperlink"/>
          </w:rPr>
          <w:t>http://www.ferc.gov/help/submission-guide.asp</w:t>
        </w:r>
      </w:hyperlink>
      <w:r>
        <w:rPr>
          <w:szCs w:val="26"/>
        </w:rPr>
        <w:t>.  For user assistance, contact FERC Online Support by e-mail at ferconlinesupport@ferc.gov, or by phone at:  (866) 208-3676 (toll-free).</w:t>
      </w:r>
    </w:p>
    <w:p w:rsidRPr="00241BFD" w:rsidR="008A72DE" w:rsidP="008A72DE" w:rsidRDefault="008A72DE" w14:paraId="5448BFE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6">
        <w:r w:rsidRPr="0057675D">
          <w:rPr>
            <w:rStyle w:val="Hyperlink"/>
          </w:rPr>
          <w:t>http://www.ferc.gov/docs-filing/docs-filing.asp</w:t>
        </w:r>
      </w:hyperlink>
      <w:r>
        <w:t xml:space="preserve">. </w:t>
      </w:r>
    </w:p>
    <w:bookmarkEnd w:id="1"/>
    <w:p w:rsidR="008A72DE" w:rsidP="008A72DE" w:rsidRDefault="008A72DE" w14:paraId="05F5DD21" w14:textId="77777777">
      <w:pPr>
        <w:spacing w:line="480" w:lineRule="auto"/>
      </w:pPr>
      <w:r w:rsidRPr="00656DF0">
        <w:rPr>
          <w:b/>
        </w:rPr>
        <w:lastRenderedPageBreak/>
        <w:t>FOR FURTHER INFORMATION</w:t>
      </w:r>
      <w:r w:rsidRPr="00B6316C">
        <w:rPr>
          <w:b/>
        </w:rPr>
        <w:t>:</w:t>
      </w:r>
      <w:r w:rsidRPr="00B6316C">
        <w:t xml:space="preserve">  Ellen Brown may</w:t>
      </w:r>
      <w:r>
        <w:t xml:space="preserve"> be reached by e-mail at </w:t>
      </w:r>
      <w:hyperlink w:history="1" r:id="rId17">
        <w:r w:rsidRPr="00006D4B">
          <w:rPr>
            <w:rStyle w:val="Hyperlink"/>
          </w:rPr>
          <w:t>DataClearance@FERC.gov</w:t>
        </w:r>
      </w:hyperlink>
      <w:r>
        <w:t>, telephone at (202) 502-8663.</w:t>
      </w:r>
    </w:p>
    <w:p w:rsidR="008A72DE" w:rsidP="008A72DE" w:rsidRDefault="008A72DE" w14:paraId="4430EBEB" w14:textId="77777777">
      <w:pPr>
        <w:spacing w:line="480" w:lineRule="auto"/>
      </w:pPr>
      <w:r w:rsidRPr="001C3703">
        <w:rPr>
          <w:b/>
        </w:rPr>
        <w:t>SUPPLEMENTARY INFORMATION:</w:t>
      </w:r>
      <w:r>
        <w:t xml:space="preserve">  </w:t>
      </w:r>
    </w:p>
    <w:p w:rsidR="008A72DE" w:rsidP="008A72DE" w:rsidRDefault="008A72DE" w14:paraId="23D7614D" w14:textId="77777777">
      <w:pPr>
        <w:spacing w:line="480" w:lineRule="auto"/>
        <w:rPr>
          <w:i/>
        </w:rPr>
      </w:pPr>
      <w:r>
        <w:rPr>
          <w:i/>
        </w:rPr>
        <w:t xml:space="preserve">Title: </w:t>
      </w:r>
      <w:r>
        <w:t>FERC-521,</w:t>
      </w:r>
      <w:r w:rsidRPr="00B6316C">
        <w:t xml:space="preserve"> </w:t>
      </w:r>
      <w:r>
        <w:t>Payments for Benefits from Headwater Improvements</w:t>
      </w:r>
    </w:p>
    <w:p w:rsidR="008A72DE" w:rsidP="008A72DE" w:rsidRDefault="008A72DE" w14:paraId="18BC9307" w14:textId="77777777">
      <w:pPr>
        <w:spacing w:line="480" w:lineRule="auto"/>
      </w:pPr>
      <w:r>
        <w:rPr>
          <w:i/>
        </w:rPr>
        <w:t>OMB Control No.:</w:t>
      </w:r>
      <w:r>
        <w:t xml:space="preserve"> 1902-0087</w:t>
      </w:r>
    </w:p>
    <w:p w:rsidR="008A72DE" w:rsidP="008A72DE" w:rsidRDefault="008A72DE" w14:paraId="15613509" w14:textId="77777777">
      <w:pPr>
        <w:spacing w:line="480" w:lineRule="auto"/>
      </w:pPr>
      <w:r>
        <w:rPr>
          <w:i/>
        </w:rPr>
        <w:t>Type of Request:</w:t>
      </w:r>
      <w:r>
        <w:t xml:space="preserve"> Three-year extension of the FERC-521 information collection requirements with </w:t>
      </w:r>
      <w:r w:rsidRPr="007E0E40">
        <w:t>no changes</w:t>
      </w:r>
      <w:r>
        <w:t xml:space="preserve"> to the reporting requirements. </w:t>
      </w:r>
    </w:p>
    <w:p w:rsidR="008A72DE" w:rsidP="008A72DE" w:rsidRDefault="008A72DE" w14:paraId="4D3C444E" w14:textId="77777777">
      <w:pPr>
        <w:spacing w:line="480" w:lineRule="auto"/>
      </w:pPr>
      <w:r>
        <w:rPr>
          <w:i/>
        </w:rPr>
        <w:t xml:space="preserve">Abstract: </w:t>
      </w:r>
      <w:r>
        <w:t>The information collected under the requirements of FERC-521 is used by the Commission to implement the statutory provisions of Section 10(f) of the Federal Power Act (FPA).</w:t>
      </w:r>
      <w:r>
        <w:rPr>
          <w:rStyle w:val="FootnoteReference"/>
        </w:rPr>
        <w:footnoteReference w:id="1"/>
      </w:r>
      <w:r>
        <w:t xml:space="preserve">  The FPA authorizes the Commission to determine headwater benefits received by downstream hydropower project owners.  Headwater benefits are the additional energy production possible at a downstream hydropower project resulting from the regulation of river flows by an upstream storage reservoir.</w:t>
      </w:r>
    </w:p>
    <w:p w:rsidR="004E5553" w:rsidP="004E5553" w:rsidRDefault="008A72DE" w14:paraId="6887AFE9" w14:textId="6FDE72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b/>
        <w:t xml:space="preserve">When the Commission completes a study of a river basin, it determines headwater benefits charges that will be apportioned among the various downstream beneficiaries.  A headwater benefits charge and the cost incurred by the Commission to complete an evaluation are paid by downstream hydropower project owners.  In essence, the owners of non-federal hydropower projects that directly benefit from a headwater improvement must pay an equitable portion of the annual charges for interest, maintenance, and depreciation of the headwater project to the U.S. Treasury.  The regulations provide for </w:t>
      </w:r>
      <w:r>
        <w:lastRenderedPageBreak/>
        <w:t>apportionment of these costs between the headwater project and downstream projects based on downstream energy gains and propose equitable apportionment methodology that can be applied to all river basins in which headwater improvements are built.  The Commission requires owners of non-federal hydropower projects to file data for determining annual charges as outlined in 18 Code of Federal Regulations (CFR) Part 11.</w:t>
      </w:r>
      <w:r w:rsidRPr="004E5553" w:rsidR="004E5553">
        <w:rPr>
          <w:szCs w:val="26"/>
        </w:rPr>
        <w:t xml:space="preserve"> </w:t>
      </w:r>
      <w:r w:rsidR="004E5553">
        <w:rPr>
          <w:szCs w:val="26"/>
        </w:rPr>
        <w:t>The Commission received no comments in response to the Notice of Information and Request for Comments published on May 14, 2020 (85 FR 28940).</w:t>
      </w:r>
    </w:p>
    <w:p w:rsidRPr="009679E3" w:rsidR="008A72DE" w:rsidP="008A72DE" w:rsidRDefault="008A72DE" w14:paraId="756C7C9D" w14:textId="77777777">
      <w:pPr>
        <w:spacing w:line="480" w:lineRule="auto"/>
      </w:pPr>
      <w:r>
        <w:rPr>
          <w:i/>
        </w:rPr>
        <w:t xml:space="preserve">Type of Respondents: </w:t>
      </w:r>
      <w:r>
        <w:t xml:space="preserve">There are two types of entities that respond, Federal and Non-Federal hydropower project owners.  The Federal entities that typically respond are the U.S. Army Corps of Engineers and the U.S. Department of Interior Bureau of Reclamation.  The Non-Federal entities may consist of any Municipal or Non-Municipal hydropower project owner.  </w:t>
      </w:r>
    </w:p>
    <w:p w:rsidR="008A72DE" w:rsidP="008A72DE" w:rsidRDefault="008A72DE" w14:paraId="5DF57EC8" w14:textId="6E4CB84F">
      <w:pPr>
        <w:spacing w:line="480" w:lineRule="auto"/>
      </w:pPr>
      <w:r>
        <w:rPr>
          <w:i/>
        </w:rPr>
        <w:t>Estimate of Annual Burde</w:t>
      </w:r>
      <w:r w:rsidR="0047667D">
        <w:rPr>
          <w:i/>
        </w:rPr>
        <w:t>n</w:t>
      </w:r>
      <w:r w:rsidRPr="0047667D" w:rsidR="0047667D">
        <w:rPr>
          <w:i/>
          <w:vertAlign w:val="superscript"/>
        </w:rPr>
        <w:t>1</w:t>
      </w:r>
      <w:r w:rsidR="0047667D">
        <w:rPr>
          <w:i/>
        </w:rPr>
        <w:t>and cost</w:t>
      </w:r>
      <w:r>
        <w:rPr>
          <w:rStyle w:val="FootnoteReference"/>
          <w:i/>
        </w:rPr>
        <w:footnoteReference w:id="2"/>
      </w:r>
      <w:r>
        <w:rPr>
          <w:i/>
        </w:rPr>
        <w:t xml:space="preserve"> </w:t>
      </w:r>
      <w:r>
        <w:t>The Commission estimates the total Public Reporting Burden for this information collection as:</w:t>
      </w: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3"/>
        <w:gridCol w:w="1184"/>
        <w:gridCol w:w="1441"/>
        <w:gridCol w:w="1349"/>
        <w:gridCol w:w="1621"/>
        <w:gridCol w:w="1709"/>
        <w:gridCol w:w="1439"/>
      </w:tblGrid>
      <w:tr w:rsidRPr="00815AB2" w:rsidR="008A72DE" w:rsidTr="00F22E78" w14:paraId="16731038" w14:textId="77777777">
        <w:trPr>
          <w:cantSplit/>
        </w:trPr>
        <w:tc>
          <w:tcPr>
            <w:tcW w:w="5000" w:type="pct"/>
            <w:gridSpan w:val="7"/>
            <w:tcBorders>
              <w:bottom w:val="single" w:color="auto" w:sz="4" w:space="0"/>
            </w:tcBorders>
            <w:shd w:val="clear" w:color="auto" w:fill="D9D9D9"/>
          </w:tcPr>
          <w:p w:rsidRPr="009B515F" w:rsidR="008A72DE" w:rsidP="00F22E78" w:rsidRDefault="008A72DE" w14:paraId="2E0DA04A" w14:textId="77777777">
            <w:pPr>
              <w:jc w:val="center"/>
              <w:rPr>
                <w:rFonts w:eastAsia="Calibri"/>
                <w:b/>
                <w:sz w:val="20"/>
                <w:szCs w:val="20"/>
              </w:rPr>
            </w:pPr>
          </w:p>
          <w:p w:rsidRPr="009B515F" w:rsidR="008A72DE" w:rsidP="00F22E78" w:rsidRDefault="008A72DE" w14:paraId="5BCB045B" w14:textId="77777777">
            <w:pPr>
              <w:jc w:val="center"/>
              <w:rPr>
                <w:rFonts w:eastAsia="Calibri"/>
                <w:b/>
                <w:sz w:val="28"/>
                <w:szCs w:val="28"/>
              </w:rPr>
            </w:pPr>
            <w:r w:rsidRPr="009B515F">
              <w:rPr>
                <w:rFonts w:eastAsia="Calibri"/>
                <w:b/>
                <w:sz w:val="28"/>
                <w:szCs w:val="28"/>
              </w:rPr>
              <w:t xml:space="preserve">FERC-521: Payments for Benefits from Headwater </w:t>
            </w:r>
            <w:r>
              <w:rPr>
                <w:rFonts w:eastAsia="Calibri"/>
                <w:b/>
                <w:sz w:val="28"/>
                <w:szCs w:val="28"/>
              </w:rPr>
              <w:t>Improvements</w:t>
            </w:r>
          </w:p>
        </w:tc>
      </w:tr>
      <w:tr w:rsidRPr="00815AB2" w:rsidR="00037852" w:rsidTr="00037852" w14:paraId="39D5989D" w14:textId="77777777">
        <w:trPr>
          <w:cantSplit/>
        </w:trPr>
        <w:tc>
          <w:tcPr>
            <w:tcW w:w="729" w:type="pct"/>
            <w:shd w:val="clear" w:color="auto" w:fill="D9D9D9"/>
          </w:tcPr>
          <w:p w:rsidRPr="009B515F" w:rsidR="008A72DE" w:rsidP="00F22E78" w:rsidRDefault="008A72DE" w14:paraId="5742032B" w14:textId="77777777">
            <w:pPr>
              <w:jc w:val="center"/>
              <w:rPr>
                <w:rFonts w:eastAsia="Calibri"/>
                <w:b/>
                <w:sz w:val="24"/>
              </w:rPr>
            </w:pPr>
          </w:p>
        </w:tc>
        <w:tc>
          <w:tcPr>
            <w:tcW w:w="578" w:type="pct"/>
            <w:shd w:val="clear" w:color="auto" w:fill="D9D9D9"/>
            <w:vAlign w:val="bottom"/>
          </w:tcPr>
          <w:p w:rsidRPr="009B515F" w:rsidR="008A72DE" w:rsidP="00F22E78" w:rsidRDefault="008A72DE" w14:paraId="1A8065C2" w14:textId="77777777">
            <w:pPr>
              <w:jc w:val="center"/>
              <w:rPr>
                <w:rFonts w:eastAsia="Calibri"/>
                <w:b/>
                <w:sz w:val="24"/>
              </w:rPr>
            </w:pPr>
            <w:r w:rsidRPr="009B515F">
              <w:rPr>
                <w:rFonts w:eastAsia="Calibri"/>
                <w:b/>
                <w:sz w:val="24"/>
              </w:rPr>
              <w:t>Number of Respondents</w:t>
            </w:r>
            <w:r w:rsidRPr="009B515F">
              <w:rPr>
                <w:rFonts w:eastAsia="Calibri"/>
                <w:b/>
                <w:sz w:val="24"/>
              </w:rPr>
              <w:br/>
              <w:t>(1)</w:t>
            </w:r>
          </w:p>
        </w:tc>
        <w:tc>
          <w:tcPr>
            <w:tcW w:w="704" w:type="pct"/>
            <w:shd w:val="clear" w:color="auto" w:fill="D9D9D9"/>
            <w:vAlign w:val="bottom"/>
          </w:tcPr>
          <w:p w:rsidRPr="009B515F" w:rsidR="008A72DE" w:rsidP="00F22E78" w:rsidRDefault="008A72DE" w14:paraId="4ACC94D9" w14:textId="77777777">
            <w:pPr>
              <w:jc w:val="center"/>
              <w:rPr>
                <w:rFonts w:eastAsia="Calibri"/>
                <w:b/>
                <w:sz w:val="24"/>
              </w:rPr>
            </w:pPr>
            <w:r w:rsidRPr="009B515F">
              <w:rPr>
                <w:rFonts w:eastAsia="Calibri"/>
                <w:b/>
                <w:sz w:val="24"/>
              </w:rPr>
              <w:t>Annual Number of Responses per Respondent</w:t>
            </w:r>
          </w:p>
          <w:p w:rsidRPr="009B515F" w:rsidR="008A72DE" w:rsidP="00F22E78" w:rsidRDefault="008A72DE" w14:paraId="25772CB7" w14:textId="77777777">
            <w:pPr>
              <w:jc w:val="center"/>
              <w:rPr>
                <w:rFonts w:eastAsia="Calibri"/>
                <w:b/>
                <w:sz w:val="24"/>
              </w:rPr>
            </w:pPr>
            <w:r w:rsidRPr="009B515F">
              <w:rPr>
                <w:rFonts w:eastAsia="Calibri"/>
                <w:b/>
                <w:sz w:val="24"/>
              </w:rPr>
              <w:t>(2)</w:t>
            </w:r>
          </w:p>
        </w:tc>
        <w:tc>
          <w:tcPr>
            <w:tcW w:w="659" w:type="pct"/>
            <w:shd w:val="clear" w:color="auto" w:fill="D9D9D9"/>
            <w:vAlign w:val="bottom"/>
          </w:tcPr>
          <w:p w:rsidRPr="009B515F" w:rsidR="008A72DE" w:rsidP="00F22E78" w:rsidRDefault="008A72DE" w14:paraId="67FB20D3" w14:textId="77777777">
            <w:pPr>
              <w:jc w:val="center"/>
              <w:rPr>
                <w:rFonts w:eastAsia="Calibri"/>
                <w:b/>
                <w:sz w:val="24"/>
              </w:rPr>
            </w:pPr>
            <w:r w:rsidRPr="009B515F">
              <w:rPr>
                <w:rFonts w:eastAsia="Calibri"/>
                <w:b/>
                <w:sz w:val="24"/>
              </w:rPr>
              <w:t>Total Number of Responses (1)*(2)=(3)</w:t>
            </w:r>
          </w:p>
        </w:tc>
        <w:tc>
          <w:tcPr>
            <w:tcW w:w="792" w:type="pct"/>
            <w:shd w:val="clear" w:color="auto" w:fill="D9D9D9"/>
            <w:vAlign w:val="bottom"/>
          </w:tcPr>
          <w:p w:rsidRPr="009B515F" w:rsidR="008A72DE" w:rsidP="00F22E78" w:rsidRDefault="008A72DE" w14:paraId="28272F45" w14:textId="77777777">
            <w:pPr>
              <w:jc w:val="center"/>
              <w:rPr>
                <w:rFonts w:eastAsia="Calibri"/>
                <w:b/>
                <w:sz w:val="24"/>
              </w:rPr>
            </w:pPr>
            <w:r w:rsidRPr="009B515F">
              <w:rPr>
                <w:rFonts w:eastAsia="Calibri"/>
                <w:b/>
                <w:sz w:val="24"/>
              </w:rPr>
              <w:t>Average Burden &amp; Cost Per Response</w:t>
            </w:r>
          </w:p>
          <w:p w:rsidRPr="009B515F" w:rsidR="008A72DE" w:rsidP="00F22E78" w:rsidRDefault="008A72DE" w14:paraId="024D4422" w14:textId="77777777">
            <w:pPr>
              <w:jc w:val="center"/>
              <w:rPr>
                <w:rFonts w:eastAsia="Calibri"/>
                <w:b/>
                <w:sz w:val="24"/>
              </w:rPr>
            </w:pPr>
            <w:r w:rsidRPr="009B515F">
              <w:rPr>
                <w:rFonts w:eastAsia="Calibri"/>
                <w:b/>
                <w:sz w:val="24"/>
              </w:rPr>
              <w:t>(4)</w:t>
            </w:r>
          </w:p>
        </w:tc>
        <w:tc>
          <w:tcPr>
            <w:tcW w:w="835" w:type="pct"/>
            <w:shd w:val="clear" w:color="auto" w:fill="D9D9D9"/>
            <w:vAlign w:val="bottom"/>
          </w:tcPr>
          <w:p w:rsidRPr="009B515F" w:rsidR="008A72DE" w:rsidP="00F22E78" w:rsidRDefault="008A72DE" w14:paraId="693B8C90" w14:textId="77777777">
            <w:pPr>
              <w:jc w:val="center"/>
              <w:rPr>
                <w:rFonts w:eastAsia="Calibri"/>
                <w:b/>
                <w:sz w:val="24"/>
              </w:rPr>
            </w:pPr>
            <w:r w:rsidRPr="009B515F">
              <w:rPr>
                <w:rFonts w:eastAsia="Calibri"/>
                <w:b/>
                <w:sz w:val="24"/>
              </w:rPr>
              <w:t>Total Annual Burden Hours &amp; Total Annual Cost</w:t>
            </w:r>
          </w:p>
          <w:p w:rsidRPr="009B515F" w:rsidR="008A72DE" w:rsidP="00F22E78" w:rsidRDefault="008A72DE" w14:paraId="2C8C63B5" w14:textId="77777777">
            <w:pPr>
              <w:jc w:val="center"/>
              <w:rPr>
                <w:rFonts w:eastAsia="Calibri"/>
                <w:b/>
                <w:sz w:val="24"/>
              </w:rPr>
            </w:pPr>
            <w:r w:rsidRPr="009B515F">
              <w:rPr>
                <w:rFonts w:eastAsia="Calibri"/>
                <w:b/>
                <w:sz w:val="24"/>
              </w:rPr>
              <w:t>(3)*(4)=(5)</w:t>
            </w:r>
          </w:p>
        </w:tc>
        <w:tc>
          <w:tcPr>
            <w:tcW w:w="703" w:type="pct"/>
            <w:shd w:val="clear" w:color="auto" w:fill="D9D9D9"/>
            <w:vAlign w:val="bottom"/>
          </w:tcPr>
          <w:p w:rsidRPr="009B515F" w:rsidR="008A72DE" w:rsidP="00F22E78" w:rsidRDefault="008A72DE" w14:paraId="20D9D6BF" w14:textId="77777777">
            <w:pPr>
              <w:jc w:val="center"/>
              <w:rPr>
                <w:rFonts w:eastAsia="Calibri"/>
                <w:b/>
                <w:sz w:val="24"/>
              </w:rPr>
            </w:pPr>
            <w:r w:rsidRPr="009B515F">
              <w:rPr>
                <w:rFonts w:eastAsia="Calibri"/>
                <w:b/>
                <w:sz w:val="24"/>
              </w:rPr>
              <w:t>Cost per Respondent</w:t>
            </w:r>
          </w:p>
          <w:p w:rsidRPr="009B515F" w:rsidR="008A72DE" w:rsidP="00F22E78" w:rsidRDefault="008A72DE" w14:paraId="60101582" w14:textId="77777777">
            <w:pPr>
              <w:jc w:val="center"/>
              <w:rPr>
                <w:rFonts w:eastAsia="Calibri"/>
                <w:b/>
                <w:sz w:val="24"/>
              </w:rPr>
            </w:pPr>
            <w:r w:rsidRPr="009B515F">
              <w:rPr>
                <w:rFonts w:eastAsia="Calibri"/>
                <w:b/>
                <w:sz w:val="24"/>
              </w:rPr>
              <w:t xml:space="preserve"> ($)</w:t>
            </w:r>
          </w:p>
          <w:p w:rsidRPr="009B515F" w:rsidR="008A72DE" w:rsidP="00F22E78" w:rsidRDefault="008A72DE" w14:paraId="6415F7F0" w14:textId="77777777">
            <w:pPr>
              <w:jc w:val="center"/>
              <w:rPr>
                <w:rFonts w:eastAsia="Calibri"/>
                <w:b/>
                <w:sz w:val="24"/>
              </w:rPr>
            </w:pPr>
            <w:r w:rsidRPr="009B515F">
              <w:rPr>
                <w:rFonts w:eastAsia="Calibri"/>
                <w:b/>
                <w:sz w:val="24"/>
              </w:rPr>
              <w:t>(5)÷(1)</w:t>
            </w:r>
          </w:p>
        </w:tc>
      </w:tr>
      <w:tr w:rsidRPr="00815AB2" w:rsidR="008A72DE" w:rsidTr="00037852" w14:paraId="57530BF6" w14:textId="77777777">
        <w:trPr>
          <w:cantSplit/>
        </w:trPr>
        <w:tc>
          <w:tcPr>
            <w:tcW w:w="729" w:type="pct"/>
          </w:tcPr>
          <w:p w:rsidRPr="00815AB2" w:rsidR="008A72DE" w:rsidP="00F22E78" w:rsidRDefault="008A72DE" w14:paraId="524CA47D" w14:textId="77777777">
            <w:pPr>
              <w:jc w:val="right"/>
              <w:rPr>
                <w:rFonts w:eastAsia="Calibri"/>
                <w:sz w:val="24"/>
              </w:rPr>
            </w:pPr>
            <w:r>
              <w:rPr>
                <w:rFonts w:eastAsia="Calibri"/>
                <w:sz w:val="24"/>
              </w:rPr>
              <w:t xml:space="preserve">Federal and Non-Federal hydropower project owners </w:t>
            </w:r>
          </w:p>
        </w:tc>
        <w:tc>
          <w:tcPr>
            <w:tcW w:w="578" w:type="pct"/>
            <w:tcBorders>
              <w:bottom w:val="single" w:color="auto" w:sz="4" w:space="0"/>
            </w:tcBorders>
            <w:vAlign w:val="bottom"/>
          </w:tcPr>
          <w:p w:rsidRPr="00815AB2" w:rsidR="008A72DE" w:rsidP="00F22E78" w:rsidRDefault="008A72DE" w14:paraId="614F2700" w14:textId="77777777">
            <w:pPr>
              <w:jc w:val="right"/>
              <w:rPr>
                <w:rFonts w:eastAsia="Calibri"/>
                <w:sz w:val="24"/>
              </w:rPr>
            </w:pPr>
            <w:r w:rsidRPr="00815AB2">
              <w:t>3</w:t>
            </w:r>
          </w:p>
        </w:tc>
        <w:tc>
          <w:tcPr>
            <w:tcW w:w="704" w:type="pct"/>
            <w:tcBorders>
              <w:bottom w:val="single" w:color="auto" w:sz="4" w:space="0"/>
            </w:tcBorders>
            <w:vAlign w:val="bottom"/>
          </w:tcPr>
          <w:p w:rsidRPr="00815AB2" w:rsidR="008A72DE" w:rsidP="00F22E78" w:rsidRDefault="008A72DE" w14:paraId="349811CD" w14:textId="77777777">
            <w:pPr>
              <w:jc w:val="right"/>
              <w:rPr>
                <w:rFonts w:eastAsia="Calibri"/>
                <w:sz w:val="24"/>
              </w:rPr>
            </w:pPr>
            <w:r w:rsidRPr="00815AB2">
              <w:t>1</w:t>
            </w:r>
          </w:p>
        </w:tc>
        <w:tc>
          <w:tcPr>
            <w:tcW w:w="659" w:type="pct"/>
            <w:tcBorders>
              <w:bottom w:val="single" w:color="auto" w:sz="4" w:space="0"/>
            </w:tcBorders>
            <w:vAlign w:val="bottom"/>
          </w:tcPr>
          <w:p w:rsidRPr="00815AB2" w:rsidR="008A72DE" w:rsidP="00F22E78" w:rsidRDefault="008A72DE" w14:paraId="48EFC767" w14:textId="77777777">
            <w:pPr>
              <w:jc w:val="right"/>
              <w:rPr>
                <w:rFonts w:eastAsia="Calibri"/>
                <w:sz w:val="24"/>
              </w:rPr>
            </w:pPr>
            <w:r w:rsidRPr="00815AB2">
              <w:t>3</w:t>
            </w:r>
          </w:p>
        </w:tc>
        <w:tc>
          <w:tcPr>
            <w:tcW w:w="792" w:type="pct"/>
            <w:tcBorders>
              <w:bottom w:val="single" w:color="auto" w:sz="4" w:space="0"/>
            </w:tcBorders>
            <w:vAlign w:val="bottom"/>
          </w:tcPr>
          <w:p w:rsidRPr="00815AB2" w:rsidR="008A72DE" w:rsidP="00F22E78" w:rsidRDefault="008A72DE" w14:paraId="31C1A3C5" w14:textId="77777777">
            <w:pPr>
              <w:jc w:val="right"/>
              <w:rPr>
                <w:rFonts w:eastAsia="Calibri"/>
                <w:sz w:val="24"/>
              </w:rPr>
            </w:pPr>
            <w:r w:rsidRPr="00815AB2">
              <w:t>40</w:t>
            </w:r>
            <w:r>
              <w:t xml:space="preserve"> hrs.; $3,200</w:t>
            </w:r>
          </w:p>
        </w:tc>
        <w:tc>
          <w:tcPr>
            <w:tcW w:w="835" w:type="pct"/>
            <w:vAlign w:val="bottom"/>
          </w:tcPr>
          <w:p w:rsidR="008A72DE" w:rsidP="00F22E78" w:rsidRDefault="008A72DE" w14:paraId="6CB47EE0" w14:textId="77777777">
            <w:pPr>
              <w:jc w:val="right"/>
              <w:rPr>
                <w:strike/>
              </w:rPr>
            </w:pPr>
            <w:r w:rsidRPr="00815AB2">
              <w:t>120</w:t>
            </w:r>
            <w:r>
              <w:t xml:space="preserve"> hrs.;  </w:t>
            </w:r>
          </w:p>
          <w:p w:rsidRPr="000E44E6" w:rsidR="008A72DE" w:rsidP="00F22E78" w:rsidRDefault="008A72DE" w14:paraId="63744E0F" w14:textId="77777777">
            <w:pPr>
              <w:jc w:val="right"/>
              <w:rPr>
                <w:rFonts w:eastAsia="Calibri"/>
                <w:sz w:val="24"/>
              </w:rPr>
            </w:pPr>
            <w:r w:rsidRPr="00F25C0A">
              <w:t>$9,</w:t>
            </w:r>
            <w:r>
              <w:t>600</w:t>
            </w:r>
          </w:p>
        </w:tc>
        <w:tc>
          <w:tcPr>
            <w:tcW w:w="703" w:type="pct"/>
            <w:vAlign w:val="bottom"/>
          </w:tcPr>
          <w:p w:rsidRPr="00F25C0A" w:rsidR="008A72DE" w:rsidP="00F22E78" w:rsidRDefault="008A72DE" w14:paraId="7FE38ADC" w14:textId="77777777">
            <w:pPr>
              <w:jc w:val="right"/>
              <w:rPr>
                <w:rFonts w:eastAsia="Calibri"/>
                <w:strike/>
                <w:sz w:val="24"/>
              </w:rPr>
            </w:pPr>
            <w:r>
              <w:rPr>
                <w:rFonts w:eastAsia="Calibri"/>
                <w:sz w:val="24"/>
              </w:rPr>
              <w:t>$3,200</w:t>
            </w:r>
          </w:p>
        </w:tc>
      </w:tr>
      <w:tr w:rsidRPr="00B66905" w:rsidR="008A72DE" w:rsidTr="00037852" w14:paraId="7B15B1B3" w14:textId="77777777">
        <w:trPr>
          <w:cantSplit/>
        </w:trPr>
        <w:tc>
          <w:tcPr>
            <w:tcW w:w="729" w:type="pct"/>
          </w:tcPr>
          <w:p w:rsidRPr="00F25C0A" w:rsidR="008A72DE" w:rsidP="00F22E78" w:rsidRDefault="008A72DE" w14:paraId="27FEC7E4" w14:textId="77777777">
            <w:pPr>
              <w:jc w:val="right"/>
              <w:rPr>
                <w:rFonts w:eastAsia="Calibri"/>
                <w:b/>
                <w:sz w:val="24"/>
              </w:rPr>
            </w:pPr>
            <w:r w:rsidRPr="0002466B">
              <w:rPr>
                <w:rFonts w:eastAsia="Calibri"/>
                <w:b/>
                <w:sz w:val="24"/>
              </w:rPr>
              <w:t>TOTAL COST</w:t>
            </w:r>
          </w:p>
        </w:tc>
        <w:tc>
          <w:tcPr>
            <w:tcW w:w="578" w:type="pct"/>
            <w:shd w:val="clear" w:color="auto" w:fill="D9D9D9" w:themeFill="background1" w:themeFillShade="D9"/>
          </w:tcPr>
          <w:p w:rsidRPr="00B66905" w:rsidR="008A72DE" w:rsidP="00F22E78" w:rsidRDefault="008A72DE" w14:paraId="74474267" w14:textId="77777777">
            <w:pPr>
              <w:jc w:val="right"/>
              <w:rPr>
                <w:rFonts w:eastAsia="Calibri"/>
                <w:sz w:val="24"/>
                <w:highlight w:val="yellow"/>
              </w:rPr>
            </w:pPr>
          </w:p>
        </w:tc>
        <w:tc>
          <w:tcPr>
            <w:tcW w:w="704" w:type="pct"/>
            <w:shd w:val="clear" w:color="auto" w:fill="D9D9D9" w:themeFill="background1" w:themeFillShade="D9"/>
          </w:tcPr>
          <w:p w:rsidRPr="00B66905" w:rsidR="008A72DE" w:rsidP="00F22E78" w:rsidRDefault="008A72DE" w14:paraId="6CCB5BAE" w14:textId="77777777">
            <w:pPr>
              <w:jc w:val="right"/>
              <w:rPr>
                <w:rFonts w:eastAsia="Calibri"/>
                <w:sz w:val="24"/>
                <w:highlight w:val="yellow"/>
              </w:rPr>
            </w:pPr>
          </w:p>
        </w:tc>
        <w:tc>
          <w:tcPr>
            <w:tcW w:w="659" w:type="pct"/>
            <w:shd w:val="clear" w:color="auto" w:fill="D9D9D9" w:themeFill="background1" w:themeFillShade="D9"/>
          </w:tcPr>
          <w:p w:rsidRPr="00B66905" w:rsidR="008A72DE" w:rsidP="00F22E78" w:rsidRDefault="008A72DE" w14:paraId="50892290" w14:textId="77777777">
            <w:pPr>
              <w:jc w:val="right"/>
              <w:rPr>
                <w:rFonts w:eastAsia="Calibri"/>
                <w:sz w:val="24"/>
                <w:highlight w:val="yellow"/>
              </w:rPr>
            </w:pPr>
          </w:p>
        </w:tc>
        <w:tc>
          <w:tcPr>
            <w:tcW w:w="792" w:type="pct"/>
            <w:shd w:val="clear" w:color="auto" w:fill="D9D9D9" w:themeFill="background1" w:themeFillShade="D9"/>
          </w:tcPr>
          <w:p w:rsidRPr="00B66905" w:rsidR="008A72DE" w:rsidP="00F22E78" w:rsidRDefault="008A72DE" w14:paraId="37FFCDFF" w14:textId="77777777">
            <w:pPr>
              <w:jc w:val="right"/>
              <w:rPr>
                <w:rFonts w:eastAsia="Calibri"/>
                <w:sz w:val="24"/>
                <w:highlight w:val="yellow"/>
              </w:rPr>
            </w:pPr>
          </w:p>
        </w:tc>
        <w:tc>
          <w:tcPr>
            <w:tcW w:w="835" w:type="pct"/>
          </w:tcPr>
          <w:p w:rsidRPr="009B515F" w:rsidR="008A72DE" w:rsidP="00F22E78" w:rsidRDefault="008A72DE" w14:paraId="6B8E87C0" w14:textId="77777777">
            <w:pPr>
              <w:jc w:val="right"/>
              <w:rPr>
                <w:rFonts w:eastAsia="Calibri"/>
                <w:sz w:val="24"/>
              </w:rPr>
            </w:pPr>
            <w:r w:rsidRPr="009B515F">
              <w:rPr>
                <w:rFonts w:eastAsia="Calibri"/>
                <w:sz w:val="24"/>
              </w:rPr>
              <w:t>120 hrs</w:t>
            </w:r>
            <w:r>
              <w:rPr>
                <w:rFonts w:eastAsia="Calibri"/>
                <w:sz w:val="24"/>
              </w:rPr>
              <w:t xml:space="preserve">.; </w:t>
            </w:r>
          </w:p>
          <w:p w:rsidRPr="00B66905" w:rsidR="008A72DE" w:rsidP="00F22E78" w:rsidRDefault="008A72DE" w14:paraId="55FAC1F7" w14:textId="77777777">
            <w:pPr>
              <w:jc w:val="right"/>
              <w:rPr>
                <w:rFonts w:eastAsia="Calibri"/>
                <w:sz w:val="24"/>
                <w:highlight w:val="yellow"/>
              </w:rPr>
            </w:pPr>
            <w:r w:rsidRPr="00F25C0A">
              <w:rPr>
                <w:rFonts w:eastAsia="Calibri"/>
                <w:sz w:val="24"/>
              </w:rPr>
              <w:t>$9,</w:t>
            </w:r>
            <w:r>
              <w:rPr>
                <w:rFonts w:eastAsia="Calibri"/>
                <w:sz w:val="24"/>
              </w:rPr>
              <w:t>600</w:t>
            </w:r>
          </w:p>
        </w:tc>
        <w:tc>
          <w:tcPr>
            <w:tcW w:w="703" w:type="pct"/>
          </w:tcPr>
          <w:p w:rsidRPr="00F25C0A" w:rsidR="008A72DE" w:rsidP="00F22E78" w:rsidRDefault="008A72DE" w14:paraId="0FF00C41" w14:textId="77777777">
            <w:pPr>
              <w:jc w:val="right"/>
              <w:rPr>
                <w:rFonts w:eastAsia="Calibri"/>
                <w:sz w:val="24"/>
              </w:rPr>
            </w:pPr>
            <w:r w:rsidRPr="00F25C0A">
              <w:rPr>
                <w:rFonts w:eastAsia="Calibri"/>
                <w:sz w:val="24"/>
              </w:rPr>
              <w:t>$3,</w:t>
            </w:r>
            <w:r>
              <w:rPr>
                <w:rFonts w:eastAsia="Calibri"/>
                <w:sz w:val="24"/>
              </w:rPr>
              <w:t>20</w:t>
            </w:r>
            <w:r w:rsidRPr="00F25C0A">
              <w:rPr>
                <w:rFonts w:eastAsia="Calibri"/>
                <w:sz w:val="24"/>
              </w:rPr>
              <w:t>0</w:t>
            </w:r>
          </w:p>
          <w:p w:rsidRPr="00F25C0A" w:rsidR="008A72DE" w:rsidP="00F22E78" w:rsidRDefault="008A72DE" w14:paraId="0712E632" w14:textId="77777777">
            <w:pPr>
              <w:jc w:val="right"/>
              <w:rPr>
                <w:rFonts w:eastAsia="Calibri"/>
                <w:strike/>
                <w:sz w:val="24"/>
                <w:highlight w:val="yellow"/>
              </w:rPr>
            </w:pPr>
          </w:p>
        </w:tc>
      </w:tr>
    </w:tbl>
    <w:p w:rsidRPr="00B66905" w:rsidR="008A72DE" w:rsidP="008A72DE" w:rsidRDefault="008A72DE" w14:paraId="0A4F204F" w14:textId="77777777">
      <w:pPr>
        <w:spacing w:line="480" w:lineRule="auto"/>
        <w:rPr>
          <w:sz w:val="24"/>
        </w:rPr>
      </w:pPr>
    </w:p>
    <w:p w:rsidR="008A72DE" w:rsidP="008A72DE" w:rsidRDefault="008A72DE" w14:paraId="189728FB" w14:textId="77777777">
      <w:pPr>
        <w:spacing w:line="480" w:lineRule="auto"/>
        <w:ind w:firstLine="720"/>
      </w:pPr>
      <w:r>
        <w:t xml:space="preserve">The total estimated annual cost burden to each </w:t>
      </w:r>
      <w:r w:rsidRPr="0064790A">
        <w:t>respondent is $</w:t>
      </w:r>
      <w:r>
        <w:t>3,200</w:t>
      </w:r>
      <w:r w:rsidRPr="00B66905">
        <w:t xml:space="preserve"> [</w:t>
      </w:r>
      <w:r>
        <w:t xml:space="preserve">40 </w:t>
      </w:r>
      <w:r w:rsidRPr="00B66905">
        <w:t>hours * $</w:t>
      </w:r>
      <w:r>
        <w:t>80.00</w:t>
      </w:r>
      <w:r w:rsidRPr="00B66905">
        <w:t>/hour</w:t>
      </w:r>
      <w:r>
        <w:t xml:space="preserve"> </w:t>
      </w:r>
      <w:r w:rsidRPr="00B66905">
        <w:t>= $</w:t>
      </w:r>
      <w:r>
        <w:t>3,</w:t>
      </w:r>
      <w:r w:rsidRPr="00B66905">
        <w:t>]</w:t>
      </w:r>
      <w:r>
        <w:t>.</w:t>
      </w:r>
    </w:p>
    <w:p w:rsidR="008A72DE" w:rsidP="008A72DE" w:rsidRDefault="008A72DE" w14:paraId="7A0BD416"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A72DE" w:rsidP="008A72DE" w:rsidRDefault="008A72DE" w14:paraId="32D444F5" w14:textId="77777777"/>
    <w:p w:rsidR="008A72DE" w:rsidP="008A72DE" w:rsidRDefault="008A72DE" w14:paraId="14663350" w14:textId="77777777"/>
    <w:p w:rsidRPr="009B7F9A" w:rsidR="008A72DE" w:rsidP="008A72DE" w:rsidRDefault="008A72DE" w14:paraId="2FCB4267" w14:textId="77777777">
      <w:pPr>
        <w:ind w:firstLine="2174"/>
        <w:jc w:val="center"/>
      </w:pPr>
      <w:r w:rsidRPr="009B7F9A">
        <w:t>Kimberly D. Bose,</w:t>
      </w:r>
    </w:p>
    <w:p w:rsidRPr="009B7F9A" w:rsidR="008A72DE" w:rsidP="008A72DE" w:rsidRDefault="008A72DE" w14:paraId="23BF480E" w14:textId="77777777">
      <w:pPr>
        <w:ind w:firstLine="2174"/>
        <w:jc w:val="center"/>
      </w:pPr>
      <w:r w:rsidRPr="009B7F9A">
        <w:t>Secretary.</w:t>
      </w:r>
    </w:p>
    <w:p w:rsidRPr="008A72DE" w:rsidR="00E704E3" w:rsidP="008A72DE" w:rsidRDefault="00E704E3" w14:paraId="7C3C045E" w14:textId="77777777"/>
    <w:sectPr w:rsidRPr="008A72DE" w:rsidR="00E704E3" w:rsidSect="0003785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70A58" w14:textId="77777777" w:rsidR="002A3126" w:rsidRDefault="002A3126" w:rsidP="008A72DE">
      <w:r>
        <w:separator/>
      </w:r>
    </w:p>
  </w:endnote>
  <w:endnote w:type="continuationSeparator" w:id="0">
    <w:p w14:paraId="0694E238" w14:textId="77777777" w:rsidR="002A3126" w:rsidRDefault="002A3126" w:rsidP="008A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C4B7" w14:textId="77777777" w:rsidR="006F1768" w:rsidRDefault="006F1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879226"/>
      <w:docPartObj>
        <w:docPartGallery w:val="Page Numbers (Bottom of Page)"/>
        <w:docPartUnique/>
      </w:docPartObj>
    </w:sdtPr>
    <w:sdtEndPr>
      <w:rPr>
        <w:noProof/>
      </w:rPr>
    </w:sdtEndPr>
    <w:sdtContent>
      <w:p w14:paraId="54D03ABB" w14:textId="77777777" w:rsidR="00037852" w:rsidRDefault="00037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9F465" w14:textId="77777777" w:rsidR="00037852" w:rsidRDefault="00037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1B9D" w14:textId="77777777" w:rsidR="006F1768" w:rsidRDefault="006F1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CB35" w14:textId="77777777" w:rsidR="002A3126" w:rsidRDefault="002A3126" w:rsidP="008A72DE">
      <w:r>
        <w:separator/>
      </w:r>
    </w:p>
  </w:footnote>
  <w:footnote w:type="continuationSeparator" w:id="0">
    <w:p w14:paraId="38537796" w14:textId="77777777" w:rsidR="002A3126" w:rsidRDefault="002A3126" w:rsidP="008A72DE">
      <w:r>
        <w:continuationSeparator/>
      </w:r>
    </w:p>
  </w:footnote>
  <w:footnote w:id="1">
    <w:p w14:paraId="25808EB3" w14:textId="77777777" w:rsidR="008A72DE" w:rsidRPr="005D403D" w:rsidRDefault="008A72DE" w:rsidP="008A72DE">
      <w:pPr>
        <w:pStyle w:val="FootnoteText"/>
        <w:rPr>
          <w:sz w:val="26"/>
          <w:szCs w:val="26"/>
        </w:rPr>
      </w:pPr>
      <w:r w:rsidRPr="005D403D">
        <w:rPr>
          <w:rStyle w:val="FootnoteReference"/>
        </w:rPr>
        <w:footnoteRef/>
      </w:r>
      <w:r w:rsidRPr="005D403D">
        <w:rPr>
          <w:sz w:val="26"/>
          <w:szCs w:val="26"/>
        </w:rPr>
        <w:t xml:space="preserve"> 16 USC 803</w:t>
      </w:r>
    </w:p>
  </w:footnote>
  <w:footnote w:id="2">
    <w:p w14:paraId="4FEF28F1" w14:textId="77777777" w:rsidR="008A72DE" w:rsidRPr="00CA30AA" w:rsidRDefault="008A72DE" w:rsidP="008A72DE">
      <w:pPr>
        <w:rPr>
          <w:rFonts w:eastAsiaTheme="minorHAnsi"/>
          <w:szCs w:val="26"/>
        </w:rPr>
      </w:pPr>
      <w:r>
        <w:rPr>
          <w:rFonts w:eastAsiaTheme="minorHAnsi" w:cstheme="minorBidi"/>
          <w:szCs w:val="26"/>
        </w:rPr>
        <w:t>1</w:t>
      </w:r>
      <w:r w:rsidRPr="00CA30AA">
        <w:rPr>
          <w:rFonts w:asciiTheme="minorHAnsi" w:eastAsiaTheme="minorHAnsi" w:hAnsiTheme="minorHAnsi" w:cstheme="minorBidi"/>
          <w:sz w:val="20"/>
          <w:szCs w:val="20"/>
        </w:rPr>
        <w:t xml:space="preserve"> </w:t>
      </w:r>
      <w:r w:rsidRPr="00CA30AA">
        <w:rPr>
          <w:rFonts w:eastAsiaTheme="minorHAnsi"/>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w:t>
      </w:r>
      <w:r>
        <w:rPr>
          <w:rFonts w:eastAsiaTheme="minorHAnsi"/>
          <w:szCs w:val="26"/>
        </w:rPr>
        <w:t xml:space="preserve"> to</w:t>
      </w:r>
      <w:r w:rsidRPr="00CA30AA">
        <w:rPr>
          <w:rFonts w:eastAsiaTheme="minorHAnsi"/>
          <w:szCs w:val="26"/>
        </w:rPr>
        <w:t xml:space="preserve"> 5 Code of Federal Regulations 1320.3.</w:t>
      </w:r>
    </w:p>
    <w:p w14:paraId="25027D12" w14:textId="77777777" w:rsidR="008A72DE" w:rsidRPr="00A3726A" w:rsidRDefault="008A72DE" w:rsidP="008A72DE">
      <w:pPr>
        <w:rPr>
          <w:sz w:val="20"/>
        </w:rPr>
      </w:pPr>
      <w:r w:rsidRPr="004D5A57">
        <w:rPr>
          <w:rFonts w:eastAsiaTheme="minorHAnsi"/>
          <w:szCs w:val="26"/>
          <w:vertAlign w:val="superscript"/>
        </w:rPr>
        <w:footnoteRef/>
      </w:r>
      <w:r w:rsidRPr="00827D5B">
        <w:rPr>
          <w:rFonts w:eastAsiaTheme="minorHAnsi"/>
          <w:szCs w:val="26"/>
        </w:rPr>
        <w:t xml:space="preserve"> </w:t>
      </w:r>
      <w:r w:rsidRPr="00CA30AA">
        <w:rPr>
          <w:rFonts w:eastAsiaTheme="minorHAnsi"/>
          <w:szCs w:val="26"/>
        </w:rPr>
        <w:t>The estimates for cost per response are derived using the 201</w:t>
      </w:r>
      <w:r>
        <w:rPr>
          <w:rFonts w:eastAsiaTheme="minorHAnsi"/>
          <w:szCs w:val="26"/>
        </w:rPr>
        <w:t>9</w:t>
      </w:r>
      <w:r w:rsidRPr="00CA30AA">
        <w:rPr>
          <w:rFonts w:eastAsiaTheme="minorHAnsi"/>
          <w:szCs w:val="26"/>
        </w:rPr>
        <w:t xml:space="preserve"> FERC average salary plus benefits of $1</w:t>
      </w:r>
      <w:r>
        <w:rPr>
          <w:rFonts w:eastAsiaTheme="minorHAnsi"/>
          <w:szCs w:val="26"/>
        </w:rPr>
        <w:t>67,091</w:t>
      </w:r>
      <w:r w:rsidRPr="00CA30AA">
        <w:rPr>
          <w:rFonts w:eastAsiaTheme="minorHAnsi"/>
          <w:szCs w:val="26"/>
        </w:rPr>
        <w:t>/year (or $</w:t>
      </w:r>
      <w:r>
        <w:rPr>
          <w:rFonts w:eastAsiaTheme="minorHAnsi"/>
          <w:szCs w:val="26"/>
        </w:rPr>
        <w:t>80.00</w:t>
      </w:r>
      <w:r w:rsidRPr="00CA30AA">
        <w:rPr>
          <w:rFonts w:eastAsiaTheme="minorHAnsi"/>
          <w:szCs w:val="26"/>
        </w:rPr>
        <w:t>/hour). Commission staff finds that the work done for this information collection is typically done by wage categories similar</w:t>
      </w:r>
      <w:r>
        <w:rPr>
          <w:rFonts w:eastAsiaTheme="minorHAnsi"/>
          <w:szCs w:val="26"/>
        </w:rPr>
        <w:t xml:space="preserve"> </w:t>
      </w:r>
      <w:r w:rsidRPr="00CA30AA">
        <w:rPr>
          <w:rFonts w:eastAsiaTheme="minorHAnsi"/>
          <w:szCs w:val="26"/>
        </w:rPr>
        <w:t>to those at FERC.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80F2" w14:textId="77777777" w:rsidR="006F1768" w:rsidRDefault="006F1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226B" w14:textId="46952B09" w:rsidR="00037852" w:rsidRDefault="004D5A57">
    <w:pPr>
      <w:pStyle w:val="Header"/>
    </w:pPr>
    <w:r>
      <w:rPr>
        <w:noProof/>
      </w:rPr>
      <mc:AlternateContent>
        <mc:Choice Requires="wps">
          <w:drawing>
            <wp:anchor distT="0" distB="0" distL="114300" distR="114300" simplePos="0" relativeHeight="251659264" behindDoc="0" locked="0" layoutInCell="0" allowOverlap="1" wp14:anchorId="2CEF92D6" wp14:editId="5B836D58">
              <wp:simplePos x="0" y="0"/>
              <wp:positionH relativeFrom="page">
                <wp:posOffset>0</wp:posOffset>
              </wp:positionH>
              <wp:positionV relativeFrom="page">
                <wp:posOffset>190500</wp:posOffset>
              </wp:positionV>
              <wp:extent cx="7772400" cy="266700"/>
              <wp:effectExtent l="0" t="0" r="0" b="0"/>
              <wp:wrapNone/>
              <wp:docPr id="1" name="MSIPCMd0e24fc7b8cc317286f722cd"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5DD14" w14:textId="5A111BE1" w:rsidR="004D5A57" w:rsidRPr="004D5A57" w:rsidRDefault="004D5A57" w:rsidP="004D5A5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F92D6" id="_x0000_t202" coordsize="21600,21600" o:spt="202" path="m,l,21600r21600,l21600,xe">
              <v:stroke joinstyle="miter"/>
              <v:path gradientshapeok="t" o:connecttype="rect"/>
            </v:shapetype>
            <v:shape id="MSIPCMd0e24fc7b8cc317286f722cd"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b2lM1FQMAADYGAAAOAAAAAAAAAAAAAAAAAC4CAABk&#10;cnMvZTJvRG9jLnhtbFBLAQItABQABgAIAAAAIQBoO5V22wAAAAcBAAAPAAAAAAAAAAAAAAAAAG8F&#10;AABkcnMvZG93bnJldi54bWxQSwUGAAAAAAQABADzAAAAdwYAAAAA&#10;" o:allowincell="f" filled="f" stroked="f" strokeweight=".5pt">
              <v:textbox inset=",0,,0">
                <w:txbxContent>
                  <w:p w14:paraId="3AC5DD14" w14:textId="5A111BE1" w:rsidR="004D5A57" w:rsidRPr="004D5A57" w:rsidRDefault="004D5A57" w:rsidP="004D5A57">
                    <w:pPr>
                      <w:jc w:val="center"/>
                      <w:rPr>
                        <w:color w:val="A80000"/>
                      </w:rPr>
                    </w:pPr>
                  </w:p>
                </w:txbxContent>
              </v:textbox>
              <w10:wrap anchorx="page" anchory="page"/>
            </v:shape>
          </w:pict>
        </mc:Fallback>
      </mc:AlternateContent>
    </w:r>
    <w:r w:rsidR="00037852">
      <w:t>Docket No.</w:t>
    </w:r>
    <w:r w:rsidR="00411AAB">
      <w:t xml:space="preserve"> I</w:t>
    </w:r>
    <w:r w:rsidR="00037852">
      <w:t>C19-42-000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0982" w14:textId="06642815" w:rsidR="00037852" w:rsidRDefault="004D5A57">
    <w:pPr>
      <w:pStyle w:val="Header"/>
    </w:pPr>
    <w:r>
      <w:rPr>
        <w:noProof/>
      </w:rPr>
      <mc:AlternateContent>
        <mc:Choice Requires="wps">
          <w:drawing>
            <wp:anchor distT="0" distB="0" distL="114300" distR="114300" simplePos="0" relativeHeight="251660288" behindDoc="0" locked="0" layoutInCell="0" allowOverlap="1" wp14:anchorId="4B6254F7" wp14:editId="5BBC2828">
              <wp:simplePos x="0" y="0"/>
              <wp:positionH relativeFrom="page">
                <wp:posOffset>0</wp:posOffset>
              </wp:positionH>
              <wp:positionV relativeFrom="page">
                <wp:posOffset>190500</wp:posOffset>
              </wp:positionV>
              <wp:extent cx="7772400" cy="266700"/>
              <wp:effectExtent l="0" t="0" r="0" b="0"/>
              <wp:wrapNone/>
              <wp:docPr id="2" name="MSIPCM557146cbb10ff0ab0e3c0995"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C7847" w14:textId="5D67727C" w:rsidR="004D5A57" w:rsidRPr="004D5A57" w:rsidRDefault="004D5A57" w:rsidP="004D5A57">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6254F7" id="_x0000_t202" coordsize="21600,21600" o:spt="202" path="m,l,21600r21600,l21600,xe">
              <v:stroke joinstyle="miter"/>
              <v:path gradientshapeok="t" o:connecttype="rect"/>
            </v:shapetype>
            <v:shape id="MSIPCM557146cbb10ff0ab0e3c0995"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xQkQPFQMAAD8GAAAOAAAAAAAAAAAAAAAAAC4CAABk&#10;cnMvZTJvRG9jLnhtbFBLAQItABQABgAIAAAAIQBoO5V22wAAAAcBAAAPAAAAAAAAAAAAAAAAAG8F&#10;AABkcnMvZG93bnJldi54bWxQSwUGAAAAAAQABADzAAAAdwYAAAAA&#10;" o:allowincell="f" filled="f" stroked="f" strokeweight=".5pt">
              <v:textbox inset=",0,,0">
                <w:txbxContent>
                  <w:p w14:paraId="61EC7847" w14:textId="5D67727C" w:rsidR="004D5A57" w:rsidRPr="004D5A57" w:rsidRDefault="004D5A57" w:rsidP="004D5A57">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85A80910"/>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DE"/>
    <w:rsid w:val="00037852"/>
    <w:rsid w:val="000B2389"/>
    <w:rsid w:val="00201D91"/>
    <w:rsid w:val="002A3126"/>
    <w:rsid w:val="00316BC4"/>
    <w:rsid w:val="00323FEF"/>
    <w:rsid w:val="0039478A"/>
    <w:rsid w:val="00411AAB"/>
    <w:rsid w:val="0047667D"/>
    <w:rsid w:val="004D5A57"/>
    <w:rsid w:val="004E5553"/>
    <w:rsid w:val="0050200E"/>
    <w:rsid w:val="005D403D"/>
    <w:rsid w:val="006230F6"/>
    <w:rsid w:val="006F1768"/>
    <w:rsid w:val="008A72DE"/>
    <w:rsid w:val="00AC5EC1"/>
    <w:rsid w:val="00CE61D6"/>
    <w:rsid w:val="00E704E3"/>
    <w:rsid w:val="00F1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4:docId w14:val="16382EB6"/>
  <w15:chartTrackingRefBased/>
  <w15:docId w15:val="{D0B46F7F-86A3-4BA2-9076-07C86D8B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72D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
    <w:rsid w:val="008A72DE"/>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
    <w:basedOn w:val="Normal"/>
    <w:link w:val="FootnoteTextChar2"/>
    <w:rsid w:val="008A72DE"/>
    <w:rPr>
      <w:sz w:val="22"/>
      <w:szCs w:val="20"/>
    </w:rPr>
  </w:style>
  <w:style w:type="character" w:customStyle="1" w:styleId="FootnoteTextChar">
    <w:name w:val="Footnote Text Char"/>
    <w:basedOn w:val="DefaultParagraphFont"/>
    <w:uiPriority w:val="99"/>
    <w:semiHidden/>
    <w:rsid w:val="008A72DE"/>
    <w:rPr>
      <w:rFonts w:ascii="Times New Roman" w:eastAsia="Times New Roman" w:hAnsi="Times New Roman" w:cs="Times New Roman"/>
      <w:sz w:val="20"/>
      <w:szCs w:val="20"/>
    </w:rPr>
  </w:style>
  <w:style w:type="character" w:styleId="Hyperlink">
    <w:name w:val="Hyperlink"/>
    <w:rsid w:val="008A72DE"/>
    <w:rPr>
      <w:color w:val="0000FF"/>
      <w:u w:val="single"/>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
    <w:link w:val="FootnoteText"/>
    <w:rsid w:val="008A72DE"/>
    <w:rPr>
      <w:rFonts w:ascii="Times New Roman" w:eastAsia="Times New Roman" w:hAnsi="Times New Roman" w:cs="Times New Roman"/>
      <w:szCs w:val="20"/>
    </w:rPr>
  </w:style>
  <w:style w:type="paragraph" w:styleId="Header">
    <w:name w:val="header"/>
    <w:basedOn w:val="Normal"/>
    <w:link w:val="HeaderChar"/>
    <w:uiPriority w:val="99"/>
    <w:unhideWhenUsed/>
    <w:rsid w:val="00037852"/>
    <w:pPr>
      <w:tabs>
        <w:tab w:val="center" w:pos="4680"/>
        <w:tab w:val="right" w:pos="9360"/>
      </w:tabs>
    </w:pPr>
  </w:style>
  <w:style w:type="character" w:customStyle="1" w:styleId="HeaderChar">
    <w:name w:val="Header Char"/>
    <w:basedOn w:val="DefaultParagraphFont"/>
    <w:link w:val="Header"/>
    <w:uiPriority w:val="99"/>
    <w:rsid w:val="0003785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7852"/>
    <w:pPr>
      <w:tabs>
        <w:tab w:val="center" w:pos="4680"/>
        <w:tab w:val="right" w:pos="9360"/>
      </w:tabs>
    </w:pPr>
  </w:style>
  <w:style w:type="character" w:customStyle="1" w:styleId="FooterChar">
    <w:name w:val="Footer Char"/>
    <w:basedOn w:val="DefaultParagraphFont"/>
    <w:link w:val="Footer"/>
    <w:uiPriority w:val="99"/>
    <w:rsid w:val="00037852"/>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4D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5A57"/>
    <w:rPr>
      <w:sz w:val="16"/>
      <w:szCs w:val="16"/>
    </w:rPr>
  </w:style>
  <w:style w:type="paragraph" w:styleId="CommentText">
    <w:name w:val="annotation text"/>
    <w:basedOn w:val="Normal"/>
    <w:link w:val="CommentTextChar"/>
    <w:uiPriority w:val="99"/>
    <w:unhideWhenUsed/>
    <w:rsid w:val="004D5A57"/>
    <w:rPr>
      <w:sz w:val="20"/>
      <w:szCs w:val="20"/>
    </w:rPr>
  </w:style>
  <w:style w:type="character" w:customStyle="1" w:styleId="CommentTextChar">
    <w:name w:val="Comment Text Char"/>
    <w:basedOn w:val="DefaultParagraphFont"/>
    <w:link w:val="CommentText"/>
    <w:uiPriority w:val="99"/>
    <w:rsid w:val="004D5A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A57"/>
    <w:rPr>
      <w:b/>
      <w:bCs/>
    </w:rPr>
  </w:style>
  <w:style w:type="character" w:customStyle="1" w:styleId="CommentSubjectChar">
    <w:name w:val="Comment Subject Char"/>
    <w:basedOn w:val="CommentTextChar"/>
    <w:link w:val="CommentSubject"/>
    <w:uiPriority w:val="99"/>
    <w:semiHidden/>
    <w:rsid w:val="004D5A57"/>
    <w:rPr>
      <w:rFonts w:ascii="Times New Roman" w:eastAsia="Times New Roman" w:hAnsi="Times New Roman" w:cs="Times New Roman"/>
      <w:b/>
      <w:bCs/>
      <w:sz w:val="20"/>
      <w:szCs w:val="20"/>
    </w:rPr>
  </w:style>
  <w:style w:type="paragraph" w:styleId="ListParagraph">
    <w:name w:val="List Paragraph"/>
    <w:basedOn w:val="Normal"/>
    <w:uiPriority w:val="34"/>
    <w:qFormat/>
    <w:rsid w:val="00CE6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BE84-75DD-4E9A-B5BF-8D7C841B1AE8}">
  <ds:schemaRefs>
    <ds:schemaRef ds:uri="http://schemas.microsoft.com/sharepoint/v3/contenttype/forms"/>
  </ds:schemaRefs>
</ds:datastoreItem>
</file>

<file path=customXml/itemProps2.xml><?xml version="1.0" encoding="utf-8"?>
<ds:datastoreItem xmlns:ds="http://schemas.openxmlformats.org/officeDocument/2006/customXml" ds:itemID="{B67F183C-9271-406D-BA3C-6F0ECC13D86A}">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BACF36-6038-4D31-85CA-B595EA05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B1AB1-AA88-40B3-86EC-B12F14D41263}">
  <ds:schemaRefs>
    <ds:schemaRef ds:uri="Microsoft.SharePoint.Taxonomy.ContentTypeSync"/>
  </ds:schemaRefs>
</ds:datastoreItem>
</file>

<file path=customXml/itemProps5.xml><?xml version="1.0" encoding="utf-8"?>
<ds:datastoreItem xmlns:ds="http://schemas.openxmlformats.org/officeDocument/2006/customXml" ds:itemID="{6B17D8C0-D929-4245-84B7-9F9E41B4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2020-08-05T13:05:00Z</dcterms:created>
  <dcterms:modified xsi:type="dcterms:W3CDTF">2020-08-05T13:05:00Z</dcterms:modified>
  <cp:category/>
  <dc:identifier/>
  <cp:contentStatus/>
  <cp:version/>
</cp:coreProperties>
</file>