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4F65" w:rsidR="00C679E2" w:rsidP="00C679E2" w:rsidRDefault="00C679E2" w14:paraId="00C3DA71" w14:textId="77777777">
      <w:pPr>
        <w:jc w:val="center"/>
        <w:rPr>
          <w:szCs w:val="26"/>
        </w:rPr>
      </w:pPr>
      <w:bookmarkStart w:name="_GoBack" w:id="0"/>
      <w:bookmarkEnd w:id="0"/>
      <w:r w:rsidRPr="00234F65">
        <w:rPr>
          <w:szCs w:val="26"/>
        </w:rPr>
        <w:t>UNITED STATES OF AMERICA</w:t>
      </w:r>
    </w:p>
    <w:p w:rsidRPr="00234F65" w:rsidR="00C679E2" w:rsidP="00C679E2" w:rsidRDefault="00C679E2" w14:paraId="749FC829" w14:textId="77777777">
      <w:pPr>
        <w:jc w:val="center"/>
        <w:rPr>
          <w:szCs w:val="26"/>
        </w:rPr>
      </w:pPr>
      <w:r w:rsidRPr="00234F65">
        <w:rPr>
          <w:szCs w:val="26"/>
        </w:rPr>
        <w:t>FEDERAL ENERGY REGULATORY COMMISSION</w:t>
      </w:r>
    </w:p>
    <w:p w:rsidRPr="00234F65" w:rsidR="00C679E2" w:rsidP="00C679E2" w:rsidRDefault="00C679E2" w14:paraId="30CEC60E" w14:textId="77777777">
      <w:pPr>
        <w:rPr>
          <w:szCs w:val="26"/>
        </w:rPr>
      </w:pPr>
    </w:p>
    <w:p w:rsidRPr="00234F65" w:rsidR="00C679E2" w:rsidP="00C679E2" w:rsidRDefault="00C679E2" w14:paraId="0790E187" w14:textId="6DC86880">
      <w:pPr>
        <w:jc w:val="center"/>
        <w:rPr>
          <w:szCs w:val="26"/>
        </w:rPr>
      </w:pPr>
      <w:r w:rsidRPr="00234F65">
        <w:rPr>
          <w:szCs w:val="26"/>
        </w:rPr>
        <w:t>[Docket No. IC</w:t>
      </w:r>
      <w:r w:rsidRPr="00234F65" w:rsidR="001D15E9">
        <w:rPr>
          <w:szCs w:val="26"/>
        </w:rPr>
        <w:t>20</w:t>
      </w:r>
      <w:r w:rsidRPr="00234F65">
        <w:rPr>
          <w:szCs w:val="26"/>
        </w:rPr>
        <w:t>-</w:t>
      </w:r>
      <w:r w:rsidRPr="00234F65" w:rsidR="001D15E9">
        <w:rPr>
          <w:szCs w:val="26"/>
        </w:rPr>
        <w:t>1</w:t>
      </w:r>
      <w:r w:rsidRPr="00234F65" w:rsidR="00234F65">
        <w:rPr>
          <w:szCs w:val="26"/>
        </w:rPr>
        <w:t>9</w:t>
      </w:r>
      <w:r w:rsidRPr="00234F65">
        <w:rPr>
          <w:szCs w:val="26"/>
        </w:rPr>
        <w:t>-000]</w:t>
      </w:r>
    </w:p>
    <w:p w:rsidRPr="00234F65" w:rsidR="00C679E2" w:rsidP="00C679E2" w:rsidRDefault="00C679E2" w14:paraId="5C28B4BC" w14:textId="77777777">
      <w:pPr>
        <w:rPr>
          <w:szCs w:val="26"/>
        </w:rPr>
      </w:pPr>
    </w:p>
    <w:p w:rsidRPr="00234F65" w:rsidR="00C679E2" w:rsidP="00C679E2" w:rsidRDefault="00C679E2" w14:paraId="20AA6F15" w14:textId="77777777">
      <w:pPr>
        <w:jc w:val="center"/>
        <w:rPr>
          <w:szCs w:val="26"/>
        </w:rPr>
      </w:pPr>
      <w:r w:rsidRPr="00234F65">
        <w:rPr>
          <w:szCs w:val="26"/>
        </w:rPr>
        <w:t>COMMISSION INFORMATION COLLECTION ACTIVITIES (FERC-561);</w:t>
      </w:r>
    </w:p>
    <w:p w:rsidRPr="00234F65" w:rsidR="00C679E2" w:rsidP="00C679E2" w:rsidRDefault="00C679E2" w14:paraId="457449DA" w14:textId="77777777">
      <w:pPr>
        <w:jc w:val="center"/>
        <w:rPr>
          <w:szCs w:val="26"/>
        </w:rPr>
      </w:pPr>
      <w:r w:rsidRPr="00234F65">
        <w:rPr>
          <w:szCs w:val="26"/>
        </w:rPr>
        <w:t>COMMENT REQUEST; EXTENSION</w:t>
      </w:r>
    </w:p>
    <w:p w:rsidRPr="00234F65" w:rsidR="00C679E2" w:rsidP="00C679E2" w:rsidRDefault="00C679E2" w14:paraId="19420624" w14:textId="77777777">
      <w:pPr>
        <w:rPr>
          <w:szCs w:val="26"/>
        </w:rPr>
      </w:pPr>
    </w:p>
    <w:p w:rsidR="00C679E2" w:rsidP="005E779D" w:rsidRDefault="005E779D" w14:paraId="2F8090A1" w14:textId="0FDA3307">
      <w:pPr>
        <w:jc w:val="center"/>
        <w:rPr>
          <w:szCs w:val="26"/>
        </w:rPr>
      </w:pPr>
      <w:r w:rsidRPr="005E779D">
        <w:rPr>
          <w:szCs w:val="26"/>
        </w:rPr>
        <w:t>(May 7, 2020)</w:t>
      </w:r>
    </w:p>
    <w:p w:rsidRPr="005E779D" w:rsidR="005E779D" w:rsidP="005E779D" w:rsidRDefault="005E779D" w14:paraId="40E45EFF" w14:textId="77777777">
      <w:pPr>
        <w:rPr>
          <w:szCs w:val="26"/>
        </w:rPr>
      </w:pPr>
    </w:p>
    <w:p w:rsidRPr="00234F65" w:rsidR="00C679E2" w:rsidP="00C679E2" w:rsidRDefault="00C679E2" w14:paraId="72392B3B" w14:textId="77777777">
      <w:pPr>
        <w:rPr>
          <w:szCs w:val="26"/>
        </w:rPr>
      </w:pPr>
      <w:r w:rsidRPr="00234F65">
        <w:rPr>
          <w:b/>
          <w:szCs w:val="26"/>
        </w:rPr>
        <w:t>AGENCY:</w:t>
      </w:r>
      <w:r w:rsidRPr="00234F65">
        <w:rPr>
          <w:szCs w:val="26"/>
        </w:rPr>
        <w:t xml:space="preserve">  Federal Energy Regulatory Commission.</w:t>
      </w:r>
    </w:p>
    <w:p w:rsidRPr="00234F65" w:rsidR="00C679E2" w:rsidP="00C679E2" w:rsidRDefault="00C679E2" w14:paraId="163C5FDC" w14:textId="77777777">
      <w:pPr>
        <w:rPr>
          <w:szCs w:val="26"/>
        </w:rPr>
      </w:pPr>
    </w:p>
    <w:p w:rsidRPr="00234F65" w:rsidR="00C679E2" w:rsidP="00C679E2" w:rsidRDefault="00C679E2" w14:paraId="25364447" w14:textId="77777777">
      <w:pPr>
        <w:spacing w:line="480" w:lineRule="auto"/>
        <w:rPr>
          <w:szCs w:val="26"/>
        </w:rPr>
      </w:pPr>
      <w:r w:rsidRPr="00234F65">
        <w:rPr>
          <w:b/>
          <w:szCs w:val="26"/>
        </w:rPr>
        <w:t>ACTION:</w:t>
      </w:r>
      <w:r w:rsidRPr="00234F65">
        <w:rPr>
          <w:szCs w:val="26"/>
        </w:rPr>
        <w:t xml:space="preserve">  Notice of information collection and request for comments.</w:t>
      </w:r>
    </w:p>
    <w:p w:rsidRPr="00234F65" w:rsidR="00C679E2" w:rsidP="00C679E2" w:rsidRDefault="00C679E2" w14:paraId="2DE62AF7" w14:textId="1438EDE6">
      <w:pPr>
        <w:spacing w:line="480" w:lineRule="auto"/>
        <w:rPr>
          <w:szCs w:val="26"/>
        </w:rPr>
      </w:pPr>
      <w:r w:rsidRPr="00234F65">
        <w:rPr>
          <w:b/>
          <w:szCs w:val="26"/>
        </w:rPr>
        <w:t>SUMMARY:</w:t>
      </w:r>
      <w:r w:rsidRPr="00234F65">
        <w:rPr>
          <w:szCs w:val="26"/>
        </w:rPr>
        <w:t xml:space="preserve">  In compliance with the requirements of the Paperwork Reduction Act of 1995</w:t>
      </w:r>
      <w:r w:rsidRPr="00234F65" w:rsidR="00010429">
        <w:rPr>
          <w:szCs w:val="26"/>
        </w:rPr>
        <w:t xml:space="preserve"> (PRA)</w:t>
      </w:r>
      <w:r w:rsidRPr="00234F65">
        <w:rPr>
          <w:szCs w:val="26"/>
        </w:rPr>
        <w:t>, the Federal Energy Regulatory Commission (Commission or FERC) is soliciting public comment on the currently approved information collection, FERC-561 (Annual Report of Interlocking Positions)</w:t>
      </w:r>
      <w:r w:rsidRPr="00234F65" w:rsidR="00010429">
        <w:rPr>
          <w:szCs w:val="26"/>
        </w:rPr>
        <w:t>.</w:t>
      </w:r>
    </w:p>
    <w:p w:rsidRPr="00234F65" w:rsidR="00C679E2" w:rsidP="00C679E2" w:rsidRDefault="00C679E2" w14:paraId="720B1108" w14:textId="38D41606">
      <w:pPr>
        <w:spacing w:line="480" w:lineRule="auto"/>
        <w:rPr>
          <w:szCs w:val="26"/>
        </w:rPr>
      </w:pPr>
      <w:r w:rsidRPr="00234F65">
        <w:rPr>
          <w:b/>
          <w:szCs w:val="26"/>
        </w:rPr>
        <w:t>DATES:</w:t>
      </w:r>
      <w:r w:rsidRPr="00234F65">
        <w:rPr>
          <w:szCs w:val="26"/>
        </w:rPr>
        <w:t xml:space="preserve">  Comments on the collection of information are due </w:t>
      </w:r>
      <w:r w:rsidRPr="00234F65">
        <w:rPr>
          <w:caps/>
          <w:szCs w:val="26"/>
        </w:rPr>
        <w:t>[</w:t>
      </w:r>
      <w:r w:rsidRPr="00234F65">
        <w:rPr>
          <w:b/>
          <w:caps/>
          <w:szCs w:val="26"/>
        </w:rPr>
        <w:t>Insert date 60 days after publication in the Federal Register</w:t>
      </w:r>
      <w:r w:rsidRPr="00234F65">
        <w:rPr>
          <w:caps/>
          <w:szCs w:val="26"/>
        </w:rPr>
        <w:t xml:space="preserve">]. </w:t>
      </w:r>
    </w:p>
    <w:p w:rsidRPr="00234F65" w:rsidR="00C679E2" w:rsidP="00C679E2" w:rsidRDefault="00C679E2" w14:paraId="2D994ECD" w14:textId="7EDBE886">
      <w:pPr>
        <w:spacing w:line="480" w:lineRule="auto"/>
        <w:rPr>
          <w:szCs w:val="26"/>
        </w:rPr>
      </w:pPr>
      <w:r w:rsidRPr="00234F65">
        <w:rPr>
          <w:b/>
          <w:szCs w:val="26"/>
        </w:rPr>
        <w:t>ADDRESSES:</w:t>
      </w:r>
      <w:r w:rsidRPr="00234F65">
        <w:rPr>
          <w:szCs w:val="26"/>
        </w:rPr>
        <w:t xml:space="preserve">  You may submit comments (identified by Docket No. IC</w:t>
      </w:r>
      <w:r w:rsidRPr="00234F65" w:rsidR="001D15E9">
        <w:rPr>
          <w:szCs w:val="26"/>
        </w:rPr>
        <w:t>20-1</w:t>
      </w:r>
      <w:r w:rsidRPr="00234F65" w:rsidR="00234F65">
        <w:rPr>
          <w:szCs w:val="26"/>
        </w:rPr>
        <w:t>9</w:t>
      </w:r>
      <w:r w:rsidRPr="00234F65">
        <w:rPr>
          <w:szCs w:val="26"/>
        </w:rPr>
        <w:t>-000) by either of the following methods:</w:t>
      </w:r>
      <w:bookmarkStart w:name="OLE_LINK1" w:id="1"/>
    </w:p>
    <w:p w:rsidRPr="00234F65" w:rsidR="00C679E2" w:rsidP="00C679E2" w:rsidRDefault="00C679E2" w14:paraId="6D70E1B7" w14:textId="77777777">
      <w:pPr>
        <w:pStyle w:val="ListParagraph"/>
        <w:numPr>
          <w:ilvl w:val="0"/>
          <w:numId w:val="1"/>
        </w:numPr>
        <w:spacing w:line="480" w:lineRule="auto"/>
        <w:ind w:left="360"/>
        <w:rPr>
          <w:szCs w:val="26"/>
        </w:rPr>
      </w:pPr>
      <w:proofErr w:type="spellStart"/>
      <w:r w:rsidRPr="00234F65">
        <w:rPr>
          <w:szCs w:val="26"/>
        </w:rPr>
        <w:t>eFiling</w:t>
      </w:r>
      <w:proofErr w:type="spellEnd"/>
      <w:r w:rsidRPr="00234F65">
        <w:rPr>
          <w:szCs w:val="26"/>
        </w:rPr>
        <w:t xml:space="preserve"> at Commission’s Web Site: </w:t>
      </w:r>
      <w:hyperlink w:history="1" r:id="rId13">
        <w:r w:rsidRPr="00234F65">
          <w:rPr>
            <w:color w:val="0000FF"/>
            <w:szCs w:val="26"/>
            <w:u w:val="single"/>
          </w:rPr>
          <w:t>http://www.ferc.gov/docs-filing/efiling.asp</w:t>
        </w:r>
      </w:hyperlink>
    </w:p>
    <w:p w:rsidRPr="00234F65" w:rsidR="00C679E2" w:rsidP="00C679E2" w:rsidRDefault="00C679E2" w14:paraId="1E90221E" w14:textId="77777777">
      <w:pPr>
        <w:numPr>
          <w:ilvl w:val="0"/>
          <w:numId w:val="1"/>
        </w:numPr>
        <w:spacing w:after="160" w:line="480" w:lineRule="auto"/>
        <w:ind w:left="360"/>
        <w:contextualSpacing/>
        <w:rPr>
          <w:szCs w:val="26"/>
        </w:rPr>
      </w:pPr>
      <w:r w:rsidRPr="00234F65">
        <w:rPr>
          <w:szCs w:val="26"/>
        </w:rPr>
        <w:t>Mail/Express Services: Persons unable to file electronically may mail similar pleadings to the Federal Energy Regulatory Commission, 888 First Street, NE, Washington, DC 20426. Hand delivered submissions in docketed proceedings should be delivered to Health and Human Services, 12225 Wilkins Avenue, Rockville, Maryland 20852.</w:t>
      </w:r>
    </w:p>
    <w:p w:rsidRPr="00234F65" w:rsidR="00C679E2" w:rsidP="00C679E2" w:rsidRDefault="00C679E2" w14:paraId="1A799D76" w14:textId="77777777">
      <w:pPr>
        <w:spacing w:after="160" w:line="480" w:lineRule="auto"/>
        <w:contextualSpacing/>
        <w:rPr>
          <w:szCs w:val="26"/>
        </w:rPr>
      </w:pPr>
      <w:r w:rsidRPr="00234F65">
        <w:rPr>
          <w:i/>
          <w:szCs w:val="26"/>
        </w:rPr>
        <w:lastRenderedPageBreak/>
        <w:t xml:space="preserve">Instructions: </w:t>
      </w:r>
      <w:r w:rsidRPr="00234F65">
        <w:rPr>
          <w:szCs w:val="26"/>
        </w:rPr>
        <w:t xml:space="preserve">All submissions must be formatted and filed in accordance with submission guidelines at: </w:t>
      </w:r>
      <w:hyperlink w:history="1" r:id="rId14">
        <w:r w:rsidRPr="00234F65">
          <w:rPr>
            <w:rStyle w:val="Hyperlink"/>
            <w:szCs w:val="26"/>
          </w:rPr>
          <w:t>http://www.ferc.gov/help/submission-guide.asp</w:t>
        </w:r>
      </w:hyperlink>
      <w:r w:rsidRPr="00234F65">
        <w:rPr>
          <w:szCs w:val="26"/>
        </w:rPr>
        <w:t>.  For user assistance, contact FERC Online Support by e-mail at ferconlinesupport@ferc.gov, or by phone at</w:t>
      </w:r>
      <w:proofErr w:type="gramStart"/>
      <w:r w:rsidRPr="00234F65">
        <w:rPr>
          <w:szCs w:val="26"/>
        </w:rPr>
        <w:t>:  (</w:t>
      </w:r>
      <w:proofErr w:type="gramEnd"/>
      <w:r w:rsidRPr="00234F65">
        <w:rPr>
          <w:szCs w:val="26"/>
        </w:rPr>
        <w:t>866) 208-3676 (toll-free).</w:t>
      </w:r>
    </w:p>
    <w:p w:rsidRPr="00234F65" w:rsidR="00C679E2" w:rsidP="00C679E2" w:rsidRDefault="00C679E2" w14:paraId="469A730F" w14:textId="77777777">
      <w:pPr>
        <w:spacing w:line="480" w:lineRule="auto"/>
        <w:rPr>
          <w:szCs w:val="26"/>
        </w:rPr>
      </w:pPr>
      <w:r w:rsidRPr="00234F65">
        <w:rPr>
          <w:i/>
          <w:szCs w:val="26"/>
        </w:rPr>
        <w:t>Docket:</w:t>
      </w:r>
      <w:r w:rsidRPr="00234F65">
        <w:rPr>
          <w:szCs w:val="26"/>
        </w:rPr>
        <w:t xml:space="preserve"> Users interested in receiving automatic notification of activity in this docket or in viewing/downloading comments and issuances in this docket may do so at </w:t>
      </w:r>
      <w:hyperlink w:history="1" r:id="rId15">
        <w:r w:rsidRPr="00234F65">
          <w:rPr>
            <w:rStyle w:val="Hyperlink"/>
            <w:szCs w:val="26"/>
          </w:rPr>
          <w:t>http://www.ferc.gov/docs-filing/docs-filing.asp</w:t>
        </w:r>
      </w:hyperlink>
      <w:r w:rsidRPr="00234F65">
        <w:rPr>
          <w:szCs w:val="26"/>
        </w:rPr>
        <w:t xml:space="preserve">. </w:t>
      </w:r>
    </w:p>
    <w:bookmarkEnd w:id="1"/>
    <w:p w:rsidRPr="00234F65" w:rsidR="00C679E2" w:rsidP="00C679E2" w:rsidRDefault="00C679E2" w14:paraId="2E3CF352" w14:textId="77777777">
      <w:pPr>
        <w:spacing w:line="480" w:lineRule="auto"/>
        <w:rPr>
          <w:szCs w:val="26"/>
        </w:rPr>
      </w:pPr>
      <w:r w:rsidRPr="00234F65">
        <w:rPr>
          <w:b/>
          <w:szCs w:val="26"/>
        </w:rPr>
        <w:t>FOR FURTHER INFORMATION:</w:t>
      </w:r>
      <w:r w:rsidRPr="00234F65">
        <w:rPr>
          <w:szCs w:val="26"/>
        </w:rPr>
        <w:t xml:space="preserve">  Ellen Brown may be reached by e-mail at </w:t>
      </w:r>
      <w:hyperlink w:history="1" r:id="rId16">
        <w:r w:rsidRPr="00234F65">
          <w:rPr>
            <w:rStyle w:val="Hyperlink"/>
            <w:szCs w:val="26"/>
          </w:rPr>
          <w:t>DataClearance@FERC.gov</w:t>
        </w:r>
      </w:hyperlink>
      <w:r w:rsidRPr="00234F65">
        <w:rPr>
          <w:szCs w:val="26"/>
        </w:rPr>
        <w:t xml:space="preserve"> and telephone at (202) 502-8663.</w:t>
      </w:r>
    </w:p>
    <w:p w:rsidRPr="00234F65" w:rsidR="00C679E2" w:rsidP="00C679E2" w:rsidRDefault="00C679E2" w14:paraId="734F67B4" w14:textId="77777777">
      <w:pPr>
        <w:tabs>
          <w:tab w:val="left" w:pos="7880"/>
        </w:tabs>
        <w:spacing w:line="480" w:lineRule="auto"/>
        <w:rPr>
          <w:szCs w:val="26"/>
        </w:rPr>
      </w:pPr>
      <w:r w:rsidRPr="00234F65">
        <w:rPr>
          <w:szCs w:val="26"/>
        </w:rPr>
        <w:t xml:space="preserve"> </w:t>
      </w:r>
      <w:r w:rsidRPr="00234F65">
        <w:rPr>
          <w:b/>
          <w:szCs w:val="26"/>
        </w:rPr>
        <w:t>SUPPLEMENTARY INFORMATION:</w:t>
      </w:r>
      <w:r w:rsidRPr="00234F65">
        <w:rPr>
          <w:szCs w:val="26"/>
        </w:rPr>
        <w:t xml:space="preserve">  </w:t>
      </w:r>
    </w:p>
    <w:p w:rsidRPr="00234F65" w:rsidR="00C679E2" w:rsidP="00C679E2" w:rsidRDefault="00C679E2" w14:paraId="484A59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234F65">
        <w:rPr>
          <w:i/>
          <w:szCs w:val="26"/>
        </w:rPr>
        <w:t>OMB Control No.:</w:t>
      </w:r>
      <w:r w:rsidRPr="00234F65">
        <w:rPr>
          <w:szCs w:val="26"/>
        </w:rPr>
        <w:t xml:space="preserve"> 1902-0099</w:t>
      </w:r>
    </w:p>
    <w:p w:rsidRPr="00234F65" w:rsidR="00C679E2" w:rsidP="00C679E2" w:rsidRDefault="00C679E2" w14:paraId="674D009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234F65">
        <w:rPr>
          <w:i/>
          <w:szCs w:val="26"/>
        </w:rPr>
        <w:t>Abstract:</w:t>
      </w:r>
      <w:r w:rsidRPr="00234F65">
        <w:rPr>
          <w:szCs w:val="26"/>
        </w:rPr>
        <w:t xml:space="preserve"> The FERC Form 561 responds to the FPA requirements for annual reporting of similar types of positions which public utility officers and directors hold with financial institutions,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  </w:t>
      </w:r>
    </w:p>
    <w:p w:rsidRPr="00234F65" w:rsidR="00C679E2" w:rsidP="00C679E2" w:rsidRDefault="00C679E2" w14:paraId="101DC0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234F65">
        <w:rPr>
          <w:szCs w:val="26"/>
        </w:rPr>
        <w:tab/>
        <w:t xml:space="preserve">The Commission uses the information required by 18 CFR 131.31 and collected by the Form 561 to implement the FPA requirement that those who are authorized to hold interlocked directorates annually disclose all the interlocked positions held within the prior year.  The Form 561 data identifies persons holding interlocking positions between </w:t>
      </w:r>
      <w:r w:rsidRPr="00234F65">
        <w:rPr>
          <w:szCs w:val="26"/>
        </w:rPr>
        <w:lastRenderedPageBreak/>
        <w:t>public utilities and other entities, allows the Commission to review these interlocking positions, and allows identification of possible conflicts of interest.</w:t>
      </w:r>
    </w:p>
    <w:p w:rsidRPr="00234F65" w:rsidR="00C679E2" w:rsidP="00C679E2" w:rsidRDefault="00C679E2" w14:paraId="6076BDA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234F65">
        <w:rPr>
          <w:i/>
          <w:szCs w:val="26"/>
        </w:rPr>
        <w:t xml:space="preserve">Type of Respondents: </w:t>
      </w:r>
      <w:r w:rsidRPr="00234F65">
        <w:rPr>
          <w:szCs w:val="26"/>
        </w:rPr>
        <w:t xml:space="preserve">Public utility officers and directors holding financial positions, insurance companies, security underwriters, electrical equipment suppliers, fuel provider, and any entity which is controlled by these. </w:t>
      </w:r>
    </w:p>
    <w:p w:rsidRPr="00234F65" w:rsidR="00C679E2" w:rsidP="00C679E2" w:rsidRDefault="00C679E2" w14:paraId="465606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234F65">
        <w:rPr>
          <w:i/>
          <w:szCs w:val="26"/>
        </w:rPr>
        <w:t>Estimate of Annual Burden</w:t>
      </w:r>
      <w:r w:rsidRPr="00234F65" w:rsidR="00010429">
        <w:rPr>
          <w:rStyle w:val="FootnoteReference"/>
          <w:i/>
        </w:rPr>
        <w:footnoteReference w:id="1"/>
      </w:r>
      <w:r w:rsidRPr="00234F65">
        <w:rPr>
          <w:i/>
          <w:szCs w:val="26"/>
        </w:rPr>
        <w:t xml:space="preserve">: </w:t>
      </w:r>
      <w:r w:rsidRPr="00234F65">
        <w:rPr>
          <w:szCs w:val="26"/>
        </w:rPr>
        <w:t>The Commission estimates the total annual burden and cost</w:t>
      </w:r>
      <w:r w:rsidRPr="00234F65" w:rsidR="00010429">
        <w:rPr>
          <w:rStyle w:val="FootnoteReference"/>
        </w:rPr>
        <w:footnoteReference w:id="2"/>
      </w:r>
      <w:r w:rsidRPr="00234F65" w:rsidR="006B077F">
        <w:rPr>
          <w:szCs w:val="26"/>
          <w:vertAlign w:val="superscript"/>
        </w:rPr>
        <w:t xml:space="preserve"> </w:t>
      </w:r>
      <w:r w:rsidRPr="00234F65">
        <w:rPr>
          <w:szCs w:val="26"/>
        </w:rPr>
        <w:t>for this information collection as follows:</w:t>
      </w:r>
    </w:p>
    <w:p w:rsidRPr="00234F65" w:rsidR="00C679E2" w:rsidP="00C679E2" w:rsidRDefault="00C679E2" w14:paraId="6D53D35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tbl>
      <w:tblPr>
        <w:tblW w:w="503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52"/>
        <w:gridCol w:w="1361"/>
        <w:gridCol w:w="1889"/>
        <w:gridCol w:w="1556"/>
      </w:tblGrid>
      <w:tr w:rsidRPr="00234F65" w:rsidR="00C679E2" w:rsidTr="00C679E2" w14:paraId="4ADB69DE" w14:textId="77777777">
        <w:trPr>
          <w:cantSplit/>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234F65" w:rsidR="00C679E2" w:rsidP="00C679E2" w:rsidRDefault="00C679E2" w14:paraId="43DE8685" w14:textId="77777777">
            <w:pPr>
              <w:spacing w:line="276" w:lineRule="auto"/>
              <w:jc w:val="center"/>
              <w:rPr>
                <w:rFonts w:eastAsia="Calibri"/>
                <w:b/>
                <w:szCs w:val="26"/>
              </w:rPr>
            </w:pPr>
            <w:r w:rsidRPr="00234F65">
              <w:rPr>
                <w:rFonts w:eastAsia="Calibri"/>
                <w:b/>
                <w:szCs w:val="26"/>
              </w:rPr>
              <w:t>FERC Form 561</w:t>
            </w:r>
            <w:r w:rsidRPr="00234F65" w:rsidR="006B077F">
              <w:rPr>
                <w:rFonts w:eastAsia="Calibri"/>
                <w:b/>
                <w:szCs w:val="26"/>
              </w:rPr>
              <w:t>,</w:t>
            </w:r>
            <w:r w:rsidRPr="00234F65">
              <w:rPr>
                <w:rFonts w:eastAsia="Calibri"/>
                <w:b/>
                <w:szCs w:val="26"/>
              </w:rPr>
              <w:t xml:space="preserve"> (Annual Report of Interlocking Positions)</w:t>
            </w:r>
          </w:p>
        </w:tc>
      </w:tr>
      <w:tr w:rsidRPr="00234F65" w:rsidR="00C679E2" w:rsidTr="00C679E2" w14:paraId="278526E6" w14:textId="77777777">
        <w:trPr>
          <w:cantSplit/>
          <w:trHeight w:val="1217"/>
        </w:trPr>
        <w:tc>
          <w:tcPr>
            <w:tcW w:w="70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34F65" w:rsidR="00C679E2" w:rsidP="00C679E2" w:rsidRDefault="00C679E2" w14:paraId="5E794369" w14:textId="77777777">
            <w:pPr>
              <w:spacing w:line="276" w:lineRule="auto"/>
              <w:jc w:val="center"/>
              <w:rPr>
                <w:rFonts w:eastAsia="Calibri"/>
                <w:b/>
                <w:szCs w:val="26"/>
              </w:rPr>
            </w:pPr>
            <w:r w:rsidRPr="00234F65">
              <w:rPr>
                <w:rFonts w:eastAsia="Calibri"/>
                <w:b/>
                <w:szCs w:val="26"/>
              </w:rPr>
              <w:t>Number of Respondents</w:t>
            </w:r>
            <w:r w:rsidRPr="00234F65">
              <w:rPr>
                <w:rFonts w:eastAsia="Calibri"/>
                <w:b/>
                <w:szCs w:val="26"/>
              </w:rPr>
              <w:br/>
              <w:t>(1)</w:t>
            </w:r>
          </w:p>
        </w:tc>
        <w:tc>
          <w:tcPr>
            <w:tcW w:w="70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34F65" w:rsidR="00C679E2" w:rsidP="00C679E2" w:rsidRDefault="00C679E2" w14:paraId="6D1C0435" w14:textId="77777777">
            <w:pPr>
              <w:spacing w:line="276" w:lineRule="auto"/>
              <w:jc w:val="center"/>
              <w:rPr>
                <w:rFonts w:eastAsia="Calibri"/>
                <w:b/>
                <w:szCs w:val="26"/>
              </w:rPr>
            </w:pPr>
            <w:r w:rsidRPr="00234F65">
              <w:rPr>
                <w:rFonts w:eastAsia="Calibri"/>
                <w:b/>
                <w:szCs w:val="26"/>
              </w:rPr>
              <w:t>Annual Number of Responses per Respondent</w:t>
            </w:r>
          </w:p>
          <w:p w:rsidRPr="00234F65" w:rsidR="00C679E2" w:rsidP="00C679E2" w:rsidRDefault="00C679E2" w14:paraId="66DA6920" w14:textId="77777777">
            <w:pPr>
              <w:spacing w:line="276" w:lineRule="auto"/>
              <w:jc w:val="center"/>
              <w:rPr>
                <w:rFonts w:eastAsia="Calibri"/>
                <w:b/>
                <w:szCs w:val="26"/>
              </w:rPr>
            </w:pPr>
            <w:r w:rsidRPr="00234F65">
              <w:rPr>
                <w:rFonts w:eastAsia="Calibri"/>
                <w:b/>
                <w:szCs w:val="26"/>
              </w:rPr>
              <w:t>(2)</w:t>
            </w:r>
          </w:p>
        </w:tc>
        <w:tc>
          <w:tcPr>
            <w:tcW w:w="84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34F65" w:rsidR="00C679E2" w:rsidP="00C679E2" w:rsidRDefault="00C679E2" w14:paraId="63FFE4D6" w14:textId="77777777">
            <w:pPr>
              <w:spacing w:line="276" w:lineRule="auto"/>
              <w:jc w:val="center"/>
              <w:rPr>
                <w:rFonts w:eastAsia="Calibri"/>
                <w:b/>
                <w:szCs w:val="26"/>
              </w:rPr>
            </w:pPr>
            <w:r w:rsidRPr="00234F65">
              <w:rPr>
                <w:rFonts w:eastAsia="Calibri"/>
                <w:b/>
                <w:szCs w:val="26"/>
              </w:rPr>
              <w:t>Total Number of Responses (</w:t>
            </w:r>
            <w:proofErr w:type="gramStart"/>
            <w:r w:rsidRPr="00234F65">
              <w:rPr>
                <w:rFonts w:eastAsia="Calibri"/>
                <w:b/>
                <w:szCs w:val="26"/>
              </w:rPr>
              <w:t>1)*</w:t>
            </w:r>
            <w:proofErr w:type="gramEnd"/>
            <w:r w:rsidRPr="00234F65">
              <w:rPr>
                <w:rFonts w:eastAsia="Calibri"/>
                <w:b/>
                <w:szCs w:val="26"/>
              </w:rPr>
              <w:t>(2)=(3)</w:t>
            </w:r>
          </w:p>
        </w:tc>
        <w:tc>
          <w:tcPr>
            <w:tcW w:w="79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34F65" w:rsidR="00C679E2" w:rsidP="00C679E2" w:rsidRDefault="00C679E2" w14:paraId="6AFADB61" w14:textId="77777777">
            <w:pPr>
              <w:spacing w:line="276" w:lineRule="auto"/>
              <w:jc w:val="center"/>
              <w:rPr>
                <w:rFonts w:eastAsia="Calibri"/>
                <w:b/>
                <w:szCs w:val="26"/>
              </w:rPr>
            </w:pPr>
            <w:r w:rsidRPr="00234F65">
              <w:rPr>
                <w:rFonts w:eastAsia="Calibri"/>
                <w:b/>
                <w:szCs w:val="26"/>
              </w:rPr>
              <w:t>Average Burden &amp; Cost Per Response</w:t>
            </w:r>
          </w:p>
          <w:p w:rsidRPr="00234F65" w:rsidR="00C679E2" w:rsidP="00C679E2" w:rsidRDefault="00C679E2" w14:paraId="34BEF8D2" w14:textId="77777777">
            <w:pPr>
              <w:spacing w:line="276" w:lineRule="auto"/>
              <w:jc w:val="center"/>
              <w:rPr>
                <w:rFonts w:eastAsia="Calibri"/>
                <w:b/>
                <w:szCs w:val="26"/>
              </w:rPr>
            </w:pPr>
            <w:r w:rsidRPr="00234F65">
              <w:rPr>
                <w:rFonts w:eastAsia="Calibri"/>
                <w:b/>
                <w:szCs w:val="26"/>
              </w:rPr>
              <w:t>(4)</w:t>
            </w:r>
          </w:p>
        </w:tc>
        <w:tc>
          <w:tcPr>
            <w:tcW w:w="107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34F65" w:rsidR="00C679E2" w:rsidP="00C679E2" w:rsidRDefault="00C679E2" w14:paraId="1D5C6F60" w14:textId="77777777">
            <w:pPr>
              <w:spacing w:line="276" w:lineRule="auto"/>
              <w:jc w:val="center"/>
              <w:rPr>
                <w:rFonts w:eastAsia="Calibri"/>
                <w:b/>
                <w:szCs w:val="26"/>
              </w:rPr>
            </w:pPr>
            <w:r w:rsidRPr="00234F65">
              <w:rPr>
                <w:rFonts w:eastAsia="Calibri"/>
                <w:b/>
                <w:szCs w:val="26"/>
              </w:rPr>
              <w:t>Total Annual Burden Hours &amp; Total Annual Cost</w:t>
            </w:r>
          </w:p>
          <w:p w:rsidRPr="00234F65" w:rsidR="00C679E2" w:rsidP="00C679E2" w:rsidRDefault="00C679E2" w14:paraId="7E297C9B" w14:textId="77777777">
            <w:pPr>
              <w:spacing w:line="276" w:lineRule="auto"/>
              <w:jc w:val="center"/>
              <w:rPr>
                <w:rFonts w:eastAsia="Calibri"/>
                <w:b/>
                <w:szCs w:val="26"/>
              </w:rPr>
            </w:pPr>
            <w:r w:rsidRPr="00234F65">
              <w:rPr>
                <w:rFonts w:eastAsia="Calibri"/>
                <w:b/>
                <w:szCs w:val="26"/>
              </w:rPr>
              <w:t>(</w:t>
            </w:r>
            <w:proofErr w:type="gramStart"/>
            <w:r w:rsidRPr="00234F65">
              <w:rPr>
                <w:rFonts w:eastAsia="Calibri"/>
                <w:b/>
                <w:szCs w:val="26"/>
              </w:rPr>
              <w:t>3)*</w:t>
            </w:r>
            <w:proofErr w:type="gramEnd"/>
            <w:r w:rsidRPr="00234F65">
              <w:rPr>
                <w:rFonts w:eastAsia="Calibri"/>
                <w:b/>
                <w:szCs w:val="26"/>
              </w:rPr>
              <w:t>(4)=(5)</w:t>
            </w:r>
          </w:p>
        </w:tc>
        <w:tc>
          <w:tcPr>
            <w:tcW w:w="89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234F65" w:rsidR="00C679E2" w:rsidP="00C679E2" w:rsidRDefault="00C679E2" w14:paraId="189E3222" w14:textId="77777777">
            <w:pPr>
              <w:spacing w:line="276" w:lineRule="auto"/>
              <w:jc w:val="center"/>
              <w:rPr>
                <w:rFonts w:eastAsia="Calibri"/>
                <w:b/>
                <w:szCs w:val="26"/>
              </w:rPr>
            </w:pPr>
            <w:r w:rsidRPr="00234F65">
              <w:rPr>
                <w:rFonts w:eastAsia="Calibri"/>
                <w:b/>
                <w:szCs w:val="26"/>
              </w:rPr>
              <w:t>Cost per Respondent</w:t>
            </w:r>
          </w:p>
          <w:p w:rsidRPr="00234F65" w:rsidR="00C679E2" w:rsidP="00C679E2" w:rsidRDefault="00C679E2" w14:paraId="07F60484" w14:textId="77777777">
            <w:pPr>
              <w:spacing w:line="276" w:lineRule="auto"/>
              <w:jc w:val="center"/>
              <w:rPr>
                <w:rFonts w:eastAsia="Calibri"/>
                <w:b/>
                <w:szCs w:val="26"/>
              </w:rPr>
            </w:pPr>
            <w:r w:rsidRPr="00234F65">
              <w:rPr>
                <w:rFonts w:eastAsia="Calibri"/>
                <w:b/>
                <w:szCs w:val="26"/>
              </w:rPr>
              <w:t>($)</w:t>
            </w:r>
          </w:p>
          <w:p w:rsidRPr="00234F65" w:rsidR="00C679E2" w:rsidP="00C679E2" w:rsidRDefault="00C679E2" w14:paraId="0417FE58" w14:textId="77777777">
            <w:pPr>
              <w:spacing w:line="276" w:lineRule="auto"/>
              <w:jc w:val="center"/>
              <w:rPr>
                <w:rFonts w:eastAsia="Calibri"/>
                <w:b/>
                <w:szCs w:val="26"/>
              </w:rPr>
            </w:pPr>
            <w:r w:rsidRPr="00234F65">
              <w:rPr>
                <w:rFonts w:eastAsia="Calibri"/>
                <w:b/>
                <w:szCs w:val="26"/>
              </w:rPr>
              <w:t>(</w:t>
            </w:r>
            <w:proofErr w:type="gramStart"/>
            <w:r w:rsidRPr="00234F65">
              <w:rPr>
                <w:rFonts w:eastAsia="Calibri"/>
                <w:b/>
                <w:szCs w:val="26"/>
              </w:rPr>
              <w:t>5)÷</w:t>
            </w:r>
            <w:proofErr w:type="gramEnd"/>
            <w:r w:rsidRPr="00234F65">
              <w:rPr>
                <w:rFonts w:eastAsia="Calibri"/>
                <w:b/>
                <w:szCs w:val="26"/>
              </w:rPr>
              <w:t>(1)</w:t>
            </w:r>
          </w:p>
        </w:tc>
      </w:tr>
      <w:tr w:rsidRPr="00234F65" w:rsidR="00C679E2" w:rsidTr="00C679E2" w14:paraId="06F4192E" w14:textId="77777777">
        <w:trPr>
          <w:cantSplit/>
          <w:trHeight w:val="466"/>
        </w:trPr>
        <w:tc>
          <w:tcPr>
            <w:tcW w:w="700" w:type="pct"/>
            <w:tcBorders>
              <w:top w:val="single" w:color="auto" w:sz="4" w:space="0"/>
              <w:left w:val="single" w:color="auto" w:sz="4" w:space="0"/>
              <w:bottom w:val="single" w:color="auto" w:sz="4" w:space="0"/>
              <w:right w:val="single" w:color="auto" w:sz="4" w:space="0"/>
            </w:tcBorders>
            <w:hideMark/>
          </w:tcPr>
          <w:p w:rsidRPr="00234F65" w:rsidR="00C679E2" w:rsidP="00C679E2" w:rsidRDefault="00C679E2" w14:paraId="3A32107C" w14:textId="77777777">
            <w:pPr>
              <w:jc w:val="right"/>
              <w:rPr>
                <w:rFonts w:eastAsia="Calibri"/>
                <w:szCs w:val="26"/>
              </w:rPr>
            </w:pPr>
            <w:r w:rsidRPr="00234F65">
              <w:rPr>
                <w:rFonts w:eastAsia="Calibri"/>
                <w:szCs w:val="26"/>
              </w:rPr>
              <w:t>2,700</w:t>
            </w:r>
          </w:p>
        </w:tc>
        <w:tc>
          <w:tcPr>
            <w:tcW w:w="701" w:type="pct"/>
            <w:tcBorders>
              <w:top w:val="single" w:color="auto" w:sz="4" w:space="0"/>
              <w:left w:val="single" w:color="auto" w:sz="4" w:space="0"/>
              <w:bottom w:val="single" w:color="auto" w:sz="4" w:space="0"/>
              <w:right w:val="single" w:color="auto" w:sz="4" w:space="0"/>
            </w:tcBorders>
            <w:hideMark/>
          </w:tcPr>
          <w:p w:rsidRPr="00234F65" w:rsidR="00C679E2" w:rsidP="00C679E2" w:rsidRDefault="00C679E2" w14:paraId="2DAF311A" w14:textId="77777777">
            <w:pPr>
              <w:jc w:val="right"/>
              <w:rPr>
                <w:rFonts w:eastAsia="Calibri"/>
                <w:szCs w:val="26"/>
              </w:rPr>
            </w:pPr>
            <w:r w:rsidRPr="00234F65">
              <w:rPr>
                <w:rFonts w:eastAsia="Calibri"/>
                <w:szCs w:val="26"/>
              </w:rPr>
              <w:t>1</w:t>
            </w:r>
          </w:p>
        </w:tc>
        <w:tc>
          <w:tcPr>
            <w:tcW w:w="840" w:type="pct"/>
            <w:tcBorders>
              <w:top w:val="single" w:color="auto" w:sz="4" w:space="0"/>
              <w:left w:val="single" w:color="auto" w:sz="4" w:space="0"/>
              <w:bottom w:val="single" w:color="auto" w:sz="4" w:space="0"/>
              <w:right w:val="single" w:color="auto" w:sz="4" w:space="0"/>
            </w:tcBorders>
            <w:hideMark/>
          </w:tcPr>
          <w:p w:rsidRPr="00234F65" w:rsidR="00C679E2" w:rsidP="00C679E2" w:rsidRDefault="00C679E2" w14:paraId="34FB73EF" w14:textId="77777777">
            <w:pPr>
              <w:jc w:val="right"/>
              <w:rPr>
                <w:rFonts w:eastAsia="Calibri"/>
                <w:szCs w:val="26"/>
              </w:rPr>
            </w:pPr>
            <w:r w:rsidRPr="00234F65">
              <w:rPr>
                <w:rFonts w:eastAsia="Calibri"/>
                <w:szCs w:val="26"/>
              </w:rPr>
              <w:t>2,700</w:t>
            </w:r>
          </w:p>
        </w:tc>
        <w:tc>
          <w:tcPr>
            <w:tcW w:w="792" w:type="pct"/>
            <w:tcBorders>
              <w:top w:val="single" w:color="auto" w:sz="4" w:space="0"/>
              <w:left w:val="single" w:color="auto" w:sz="4" w:space="0"/>
              <w:bottom w:val="single" w:color="auto" w:sz="4" w:space="0"/>
              <w:right w:val="single" w:color="auto" w:sz="4" w:space="0"/>
            </w:tcBorders>
            <w:hideMark/>
          </w:tcPr>
          <w:p w:rsidRPr="00234F65" w:rsidR="00C679E2" w:rsidP="00C679E2" w:rsidRDefault="00C679E2" w14:paraId="2D9B6839" w14:textId="77777777">
            <w:pPr>
              <w:jc w:val="right"/>
              <w:rPr>
                <w:rFonts w:eastAsia="Calibri"/>
                <w:szCs w:val="26"/>
              </w:rPr>
            </w:pPr>
            <w:r w:rsidRPr="00234F65">
              <w:rPr>
                <w:rFonts w:eastAsia="Calibri"/>
                <w:szCs w:val="26"/>
              </w:rPr>
              <w:t>0.25 hrs.;</w:t>
            </w:r>
          </w:p>
          <w:p w:rsidRPr="00234F65" w:rsidR="00C679E2" w:rsidP="00C679E2" w:rsidRDefault="00C679E2" w14:paraId="3DFA28BA" w14:textId="549FFB72">
            <w:pPr>
              <w:jc w:val="right"/>
              <w:rPr>
                <w:rFonts w:eastAsia="Calibri"/>
                <w:szCs w:val="26"/>
              </w:rPr>
            </w:pPr>
            <w:r w:rsidRPr="00234F65">
              <w:rPr>
                <w:rFonts w:eastAsia="Calibri"/>
                <w:szCs w:val="26"/>
              </w:rPr>
              <w:t>$</w:t>
            </w:r>
            <w:r w:rsidRPr="00234F65" w:rsidR="001D15E9">
              <w:rPr>
                <w:rFonts w:eastAsia="Calibri"/>
                <w:szCs w:val="26"/>
              </w:rPr>
              <w:t>20.00</w:t>
            </w:r>
          </w:p>
        </w:tc>
        <w:tc>
          <w:tcPr>
            <w:tcW w:w="1072" w:type="pct"/>
            <w:tcBorders>
              <w:top w:val="single" w:color="auto" w:sz="4" w:space="0"/>
              <w:left w:val="single" w:color="auto" w:sz="4" w:space="0"/>
              <w:bottom w:val="single" w:color="auto" w:sz="4" w:space="0"/>
              <w:right w:val="single" w:color="auto" w:sz="4" w:space="0"/>
            </w:tcBorders>
            <w:hideMark/>
          </w:tcPr>
          <w:p w:rsidRPr="00234F65" w:rsidR="00C679E2" w:rsidP="00C679E2" w:rsidRDefault="00C679E2" w14:paraId="40F92F21" w14:textId="77777777">
            <w:pPr>
              <w:jc w:val="right"/>
              <w:rPr>
                <w:rFonts w:eastAsia="Calibri"/>
                <w:szCs w:val="26"/>
              </w:rPr>
            </w:pPr>
            <w:r w:rsidRPr="00234F65">
              <w:rPr>
                <w:rFonts w:eastAsia="Calibri"/>
                <w:szCs w:val="26"/>
              </w:rPr>
              <w:t xml:space="preserve"> 675.00 hrs.;</w:t>
            </w:r>
          </w:p>
          <w:p w:rsidRPr="00234F65" w:rsidR="00C679E2" w:rsidP="00C679E2" w:rsidRDefault="00C679E2" w14:paraId="3291CA5F" w14:textId="16468472">
            <w:pPr>
              <w:jc w:val="right"/>
              <w:rPr>
                <w:rFonts w:eastAsia="Calibri"/>
                <w:szCs w:val="26"/>
              </w:rPr>
            </w:pPr>
            <w:r w:rsidRPr="00234F65">
              <w:rPr>
                <w:rFonts w:eastAsia="Calibri"/>
                <w:szCs w:val="26"/>
              </w:rPr>
              <w:t>$</w:t>
            </w:r>
            <w:r w:rsidRPr="00234F65" w:rsidR="001D15E9">
              <w:rPr>
                <w:rFonts w:eastAsia="Calibri"/>
                <w:szCs w:val="26"/>
              </w:rPr>
              <w:t>54,000</w:t>
            </w:r>
          </w:p>
        </w:tc>
        <w:tc>
          <w:tcPr>
            <w:tcW w:w="895" w:type="pct"/>
            <w:tcBorders>
              <w:top w:val="single" w:color="auto" w:sz="4" w:space="0"/>
              <w:left w:val="single" w:color="auto" w:sz="4" w:space="0"/>
              <w:bottom w:val="single" w:color="auto" w:sz="4" w:space="0"/>
              <w:right w:val="single" w:color="auto" w:sz="4" w:space="0"/>
            </w:tcBorders>
            <w:hideMark/>
          </w:tcPr>
          <w:p w:rsidRPr="00234F65" w:rsidR="00C679E2" w:rsidP="00C679E2" w:rsidRDefault="00C679E2" w14:paraId="1E0D7FFF" w14:textId="13214EE3">
            <w:pPr>
              <w:jc w:val="right"/>
              <w:rPr>
                <w:rFonts w:eastAsia="Calibri"/>
                <w:szCs w:val="26"/>
              </w:rPr>
            </w:pPr>
            <w:r w:rsidRPr="00234F65">
              <w:rPr>
                <w:rFonts w:eastAsia="Calibri"/>
                <w:szCs w:val="26"/>
              </w:rPr>
              <w:t>$</w:t>
            </w:r>
            <w:r w:rsidRPr="00234F65" w:rsidR="001D15E9">
              <w:rPr>
                <w:rFonts w:eastAsia="Calibri"/>
                <w:szCs w:val="26"/>
              </w:rPr>
              <w:t>20.00</w:t>
            </w:r>
            <w:r w:rsidRPr="00234F65">
              <w:rPr>
                <w:rFonts w:eastAsia="Calibri"/>
                <w:szCs w:val="26"/>
              </w:rPr>
              <w:t xml:space="preserve"> </w:t>
            </w:r>
          </w:p>
        </w:tc>
      </w:tr>
    </w:tbl>
    <w:p w:rsidRPr="00234F65" w:rsidR="00C679E2" w:rsidP="00C679E2" w:rsidRDefault="00C679E2" w14:paraId="5D76AE6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234F65" w:rsidR="006B077F" w:rsidP="006B077F" w:rsidRDefault="006B077F" w14:paraId="2D0CDA0B" w14:textId="2EF72117">
      <w:pPr>
        <w:spacing w:line="480" w:lineRule="auto"/>
        <w:rPr>
          <w:szCs w:val="26"/>
        </w:rPr>
      </w:pPr>
      <w:r w:rsidRPr="00234F65">
        <w:rPr>
          <w:i/>
          <w:szCs w:val="26"/>
        </w:rPr>
        <w:t xml:space="preserve">Comments:  </w:t>
      </w:r>
      <w:r w:rsidRPr="00234F65">
        <w:rPr>
          <w:szCs w:val="26"/>
        </w:rPr>
        <w:t xml:space="preserve">Comments are invited on:  (1) whether the collection of information is necessary for the proper performance of the functions of the Commission, including whether the information will have practical utility; (2) the accuracy of the agency’s </w:t>
      </w:r>
      <w:r w:rsidRPr="00234F65">
        <w:rPr>
          <w:szCs w:val="26"/>
        </w:rPr>
        <w:lastRenderedPageBreak/>
        <w:t xml:space="preserve">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0948E3" w:rsidP="00333A53" w:rsidRDefault="000948E3" w14:paraId="17EC82F8" w14:textId="120425B1">
      <w:pPr>
        <w:rPr>
          <w:szCs w:val="26"/>
        </w:rPr>
      </w:pPr>
      <w:r w:rsidRPr="00234F65">
        <w:rPr>
          <w:szCs w:val="26"/>
        </w:rPr>
        <w:tab/>
      </w:r>
      <w:r w:rsidRPr="00234F65">
        <w:rPr>
          <w:szCs w:val="26"/>
        </w:rPr>
        <w:tab/>
      </w:r>
    </w:p>
    <w:p w:rsidR="00333A53" w:rsidP="00333A53" w:rsidRDefault="00333A53" w14:paraId="006355BA" w14:textId="5F53572D">
      <w:pPr>
        <w:rPr>
          <w:szCs w:val="26"/>
        </w:rPr>
      </w:pPr>
    </w:p>
    <w:p w:rsidRPr="00333A53" w:rsidR="00333A53" w:rsidP="00333A53" w:rsidRDefault="00333A53" w14:paraId="1B443A4F" w14:textId="4CF5F33C">
      <w:pPr>
        <w:ind w:firstLine="2174"/>
        <w:jc w:val="center"/>
      </w:pPr>
      <w:r w:rsidRPr="00333A53">
        <w:t>Kimberly D. Bose,</w:t>
      </w:r>
    </w:p>
    <w:p w:rsidRPr="00333A53" w:rsidR="00333A53" w:rsidP="00333A53" w:rsidRDefault="00333A53" w14:paraId="43B6569B" w14:textId="128112BA">
      <w:pPr>
        <w:ind w:firstLine="2174"/>
        <w:jc w:val="center"/>
      </w:pPr>
      <w:r w:rsidRPr="00333A53">
        <w:t>Secretary.</w:t>
      </w:r>
    </w:p>
    <w:p w:rsidRPr="00234F65" w:rsidR="00333A53" w:rsidP="00333A53" w:rsidRDefault="00333A53" w14:paraId="19CB69D6" w14:textId="77777777">
      <w:pPr>
        <w:rPr>
          <w:szCs w:val="26"/>
        </w:rPr>
      </w:pPr>
    </w:p>
    <w:p w:rsidRPr="00234F65" w:rsidR="000948E3" w:rsidP="006B077F" w:rsidRDefault="000948E3" w14:paraId="4785F905" w14:textId="77777777">
      <w:pPr>
        <w:spacing w:line="480" w:lineRule="auto"/>
        <w:rPr>
          <w:szCs w:val="26"/>
        </w:rPr>
      </w:pPr>
    </w:p>
    <w:p w:rsidRPr="00234F65" w:rsidR="006B077F" w:rsidP="006B077F" w:rsidRDefault="006B077F" w14:paraId="611595CF" w14:textId="77777777">
      <w:pPr>
        <w:rPr>
          <w:szCs w:val="26"/>
        </w:rPr>
      </w:pPr>
    </w:p>
    <w:p w:rsidRPr="00234F65" w:rsidR="00C679E2" w:rsidP="00C679E2" w:rsidRDefault="00C679E2" w14:paraId="142120C9" w14:textId="670B56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p>
    <w:p w:rsidRPr="00234F65" w:rsidR="000948E3" w:rsidP="00C679E2" w:rsidRDefault="000948E3" w14:paraId="38F55948" w14:textId="642088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6"/>
        </w:rPr>
      </w:pPr>
      <w:r w:rsidRPr="00234F65">
        <w:rPr>
          <w:szCs w:val="26"/>
        </w:rPr>
        <w:tab/>
      </w:r>
      <w:r w:rsidRPr="00234F65">
        <w:rPr>
          <w:szCs w:val="26"/>
        </w:rPr>
        <w:tab/>
      </w:r>
      <w:r w:rsidRPr="00234F65">
        <w:rPr>
          <w:szCs w:val="26"/>
        </w:rPr>
        <w:tab/>
      </w:r>
      <w:r w:rsidRPr="00234F65">
        <w:rPr>
          <w:szCs w:val="26"/>
        </w:rPr>
        <w:tab/>
      </w:r>
      <w:r w:rsidRPr="00234F65">
        <w:rPr>
          <w:szCs w:val="26"/>
        </w:rPr>
        <w:tab/>
      </w:r>
      <w:r w:rsidRPr="00234F65">
        <w:rPr>
          <w:szCs w:val="26"/>
        </w:rPr>
        <w:tab/>
      </w:r>
      <w:r w:rsidRPr="00234F65">
        <w:rPr>
          <w:szCs w:val="26"/>
        </w:rPr>
        <w:tab/>
      </w:r>
    </w:p>
    <w:p w:rsidRPr="00234F65" w:rsidR="00C679E2" w:rsidP="00C679E2" w:rsidRDefault="00C679E2" w14:paraId="55F378CA" w14:textId="77777777">
      <w:pPr>
        <w:tabs>
          <w:tab w:val="left" w:pos="7880"/>
        </w:tabs>
        <w:spacing w:line="480" w:lineRule="auto"/>
        <w:rPr>
          <w:szCs w:val="26"/>
        </w:rPr>
      </w:pPr>
    </w:p>
    <w:sectPr w:rsidRPr="00234F65" w:rsidR="00C679E2" w:rsidSect="0080765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0BDA3" w14:textId="77777777" w:rsidR="00466359" w:rsidRDefault="00466359" w:rsidP="00C679E2">
      <w:r>
        <w:separator/>
      </w:r>
    </w:p>
  </w:endnote>
  <w:endnote w:type="continuationSeparator" w:id="0">
    <w:p w14:paraId="461E6225" w14:textId="77777777" w:rsidR="00466359" w:rsidRDefault="00466359" w:rsidP="00C6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68E22" w14:textId="77777777" w:rsidR="00234F65" w:rsidRDefault="00234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66605" w14:textId="77777777" w:rsidR="00234F65" w:rsidRDefault="00234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ED6EE" w14:textId="77777777" w:rsidR="00234F65" w:rsidRDefault="00234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14B3E" w14:textId="77777777" w:rsidR="00466359" w:rsidRDefault="00466359" w:rsidP="00C679E2">
      <w:r>
        <w:separator/>
      </w:r>
    </w:p>
  </w:footnote>
  <w:footnote w:type="continuationSeparator" w:id="0">
    <w:p w14:paraId="22526FD0" w14:textId="77777777" w:rsidR="00466359" w:rsidRDefault="00466359" w:rsidP="00C679E2">
      <w:r>
        <w:continuationSeparator/>
      </w:r>
    </w:p>
  </w:footnote>
  <w:footnote w:id="1">
    <w:p w14:paraId="2CA4DC93" w14:textId="77777777" w:rsidR="00010429" w:rsidRPr="00010429" w:rsidRDefault="00010429" w:rsidP="00010429">
      <w:pPr>
        <w:pStyle w:val="FootnoteText"/>
        <w:rPr>
          <w:sz w:val="26"/>
          <w:szCs w:val="26"/>
        </w:rPr>
      </w:pPr>
      <w:r w:rsidRPr="00010429">
        <w:rPr>
          <w:rStyle w:val="FootnoteReference"/>
        </w:rPr>
        <w:footnoteRef/>
      </w:r>
      <w:r w:rsidRPr="00010429">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p w14:paraId="4BAED0D6" w14:textId="77777777" w:rsidR="00010429" w:rsidRPr="00010429" w:rsidRDefault="00010429">
      <w:pPr>
        <w:pStyle w:val="FootnoteText"/>
        <w:rPr>
          <w:sz w:val="26"/>
          <w:szCs w:val="26"/>
        </w:rPr>
      </w:pPr>
    </w:p>
  </w:footnote>
  <w:footnote w:id="2">
    <w:p w14:paraId="0C8E8EFE" w14:textId="77777777" w:rsidR="00010429" w:rsidRPr="00010429" w:rsidRDefault="00010429" w:rsidP="00010429">
      <w:pPr>
        <w:pStyle w:val="FootnoteText"/>
        <w:rPr>
          <w:sz w:val="26"/>
          <w:szCs w:val="26"/>
        </w:rPr>
      </w:pPr>
      <w:r w:rsidRPr="00010429">
        <w:rPr>
          <w:rStyle w:val="FootnoteReference"/>
        </w:rPr>
        <w:footnoteRef/>
      </w:r>
      <w:r w:rsidRPr="00010429">
        <w:rPr>
          <w:sz w:val="26"/>
          <w:szCs w:val="26"/>
        </w:rPr>
        <w:t xml:space="preserve"> Commission staff estimates that the industry’s skill set and cost (for wages and benefits) for FERC-561 are approximately the same as the Commission’s average cost.  The FERC 2019 average salary plus benefits for one FERC full-time equivalent (FTE) is $167,091/year (or $80.00/hour).  </w:t>
      </w:r>
    </w:p>
    <w:p w14:paraId="5410534E" w14:textId="77777777" w:rsidR="00010429" w:rsidRPr="00010429" w:rsidRDefault="00010429">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C1F8" w14:textId="77777777" w:rsidR="00234F65" w:rsidRDefault="00234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50C56" w14:textId="43264257" w:rsidR="0080765F" w:rsidRDefault="0080765F">
    <w:pPr>
      <w:pStyle w:val="Header"/>
    </w:pPr>
    <w:r w:rsidRPr="001D15E9">
      <w:t>Docket No. IC</w:t>
    </w:r>
    <w:r w:rsidR="001D15E9" w:rsidRPr="001D15E9">
      <w:t>20-1</w:t>
    </w:r>
    <w:r w:rsidR="00234F65">
      <w:t>9</w:t>
    </w:r>
    <w:r w:rsidRPr="001D15E9">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570AF" w14:textId="77777777" w:rsidR="00234F65" w:rsidRDefault="00234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875D6"/>
    <w:multiLevelType w:val="hybridMultilevel"/>
    <w:tmpl w:val="DC6CBC4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E2"/>
    <w:rsid w:val="00010429"/>
    <w:rsid w:val="000948E3"/>
    <w:rsid w:val="00114328"/>
    <w:rsid w:val="001D15E9"/>
    <w:rsid w:val="00234F65"/>
    <w:rsid w:val="00332E01"/>
    <w:rsid w:val="00333A53"/>
    <w:rsid w:val="00466359"/>
    <w:rsid w:val="00571C9B"/>
    <w:rsid w:val="005E779D"/>
    <w:rsid w:val="006B077F"/>
    <w:rsid w:val="0080765F"/>
    <w:rsid w:val="00A31C90"/>
    <w:rsid w:val="00BA0E65"/>
    <w:rsid w:val="00C679E2"/>
    <w:rsid w:val="00E704E3"/>
    <w:rsid w:val="00EF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C36AAC"/>
  <w15:chartTrackingRefBased/>
  <w15:docId w15:val="{E2E8C575-41B4-4227-9E14-91E1130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9E2"/>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9E2"/>
    <w:rPr>
      <w:rFonts w:ascii="Segoe UI" w:hAnsi="Segoe UI" w:cs="Segoe UI"/>
      <w:sz w:val="18"/>
      <w:szCs w:val="18"/>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C679E2"/>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C679E2"/>
    <w:rPr>
      <w:sz w:val="22"/>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C679E2"/>
    <w:rPr>
      <w:rFonts w:ascii="Times New Roman" w:eastAsia="Times New Roman" w:hAnsi="Times New Roman" w:cs="Times New Roman"/>
      <w:szCs w:val="20"/>
    </w:rPr>
  </w:style>
  <w:style w:type="character" w:styleId="Hyperlink">
    <w:name w:val="Hyperlink"/>
    <w:rsid w:val="00C679E2"/>
    <w:rPr>
      <w:color w:val="0000FF"/>
      <w:u w:val="single"/>
    </w:rPr>
  </w:style>
  <w:style w:type="character" w:styleId="CommentReference">
    <w:name w:val="annotation reference"/>
    <w:basedOn w:val="DefaultParagraphFont"/>
    <w:uiPriority w:val="99"/>
    <w:semiHidden/>
    <w:unhideWhenUsed/>
    <w:rsid w:val="00C679E2"/>
    <w:rPr>
      <w:sz w:val="16"/>
      <w:szCs w:val="16"/>
    </w:rPr>
  </w:style>
  <w:style w:type="paragraph" w:styleId="CommentText">
    <w:name w:val="annotation text"/>
    <w:basedOn w:val="Normal"/>
    <w:link w:val="CommentTextChar"/>
    <w:uiPriority w:val="99"/>
    <w:unhideWhenUsed/>
    <w:rsid w:val="00C679E2"/>
    <w:rPr>
      <w:sz w:val="20"/>
      <w:szCs w:val="20"/>
    </w:rPr>
  </w:style>
  <w:style w:type="character" w:customStyle="1" w:styleId="CommentTextChar">
    <w:name w:val="Comment Text Char"/>
    <w:basedOn w:val="DefaultParagraphFont"/>
    <w:link w:val="CommentText"/>
    <w:uiPriority w:val="99"/>
    <w:rsid w:val="00C679E2"/>
    <w:rPr>
      <w:rFonts w:ascii="Times New Roman" w:eastAsia="Times New Roman" w:hAnsi="Times New Roman" w:cs="Times New Roman"/>
      <w:sz w:val="20"/>
      <w:szCs w:val="20"/>
    </w:rPr>
  </w:style>
  <w:style w:type="paragraph" w:styleId="ListParagraph">
    <w:name w:val="List Paragraph"/>
    <w:basedOn w:val="Normal"/>
    <w:uiPriority w:val="34"/>
    <w:qFormat/>
    <w:rsid w:val="00C679E2"/>
    <w:pPr>
      <w:ind w:left="720"/>
      <w:contextualSpacing/>
    </w:pPr>
  </w:style>
  <w:style w:type="paragraph" w:styleId="CommentSubject">
    <w:name w:val="annotation subject"/>
    <w:basedOn w:val="CommentText"/>
    <w:next w:val="CommentText"/>
    <w:link w:val="CommentSubjectChar"/>
    <w:uiPriority w:val="99"/>
    <w:semiHidden/>
    <w:unhideWhenUsed/>
    <w:rsid w:val="00C679E2"/>
    <w:rPr>
      <w:b/>
      <w:bCs/>
    </w:rPr>
  </w:style>
  <w:style w:type="character" w:customStyle="1" w:styleId="CommentSubjectChar">
    <w:name w:val="Comment Subject Char"/>
    <w:basedOn w:val="CommentTextChar"/>
    <w:link w:val="CommentSubject"/>
    <w:uiPriority w:val="99"/>
    <w:semiHidden/>
    <w:rsid w:val="00C679E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0765F"/>
    <w:pPr>
      <w:tabs>
        <w:tab w:val="center" w:pos="4680"/>
        <w:tab w:val="right" w:pos="9360"/>
      </w:tabs>
    </w:pPr>
  </w:style>
  <w:style w:type="character" w:customStyle="1" w:styleId="HeaderChar">
    <w:name w:val="Header Char"/>
    <w:basedOn w:val="DefaultParagraphFont"/>
    <w:link w:val="Header"/>
    <w:uiPriority w:val="99"/>
    <w:rsid w:val="0080765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0765F"/>
    <w:pPr>
      <w:tabs>
        <w:tab w:val="center" w:pos="4680"/>
        <w:tab w:val="right" w:pos="9360"/>
      </w:tabs>
    </w:pPr>
  </w:style>
  <w:style w:type="character" w:customStyle="1" w:styleId="FooterChar">
    <w:name w:val="Footer Char"/>
    <w:basedOn w:val="DefaultParagraphFont"/>
    <w:link w:val="Footer"/>
    <w:uiPriority w:val="99"/>
    <w:rsid w:val="0080765F"/>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5671">
      <w:bodyDiv w:val="1"/>
      <w:marLeft w:val="0"/>
      <w:marRight w:val="0"/>
      <w:marTop w:val="0"/>
      <w:marBottom w:val="0"/>
      <w:divBdr>
        <w:top w:val="none" w:sz="0" w:space="0" w:color="auto"/>
        <w:left w:val="none" w:sz="0" w:space="0" w:color="auto"/>
        <w:bottom w:val="none" w:sz="0" w:space="0" w:color="auto"/>
        <w:right w:val="none" w:sz="0" w:space="0" w:color="auto"/>
      </w:divBdr>
    </w:div>
    <w:div w:id="528491116">
      <w:bodyDiv w:val="1"/>
      <w:marLeft w:val="0"/>
      <w:marRight w:val="0"/>
      <w:marTop w:val="0"/>
      <w:marBottom w:val="0"/>
      <w:divBdr>
        <w:top w:val="none" w:sz="0" w:space="0" w:color="auto"/>
        <w:left w:val="none" w:sz="0" w:space="0" w:color="auto"/>
        <w:bottom w:val="none" w:sz="0" w:space="0" w:color="auto"/>
        <w:right w:val="none" w:sz="0" w:space="0" w:color="auto"/>
      </w:divBdr>
    </w:div>
    <w:div w:id="1210875141">
      <w:bodyDiv w:val="1"/>
      <w:marLeft w:val="0"/>
      <w:marRight w:val="0"/>
      <w:marTop w:val="0"/>
      <w:marBottom w:val="0"/>
      <w:divBdr>
        <w:top w:val="none" w:sz="0" w:space="0" w:color="auto"/>
        <w:left w:val="none" w:sz="0" w:space="0" w:color="auto"/>
        <w:bottom w:val="none" w:sz="0" w:space="0" w:color="auto"/>
        <w:right w:val="none" w:sz="0" w:space="0" w:color="auto"/>
      </w:divBdr>
    </w:div>
    <w:div w:id="1609779574">
      <w:bodyDiv w:val="1"/>
      <w:marLeft w:val="0"/>
      <w:marRight w:val="0"/>
      <w:marTop w:val="0"/>
      <w:marBottom w:val="0"/>
      <w:divBdr>
        <w:top w:val="none" w:sz="0" w:space="0" w:color="auto"/>
        <w:left w:val="none" w:sz="0" w:space="0" w:color="auto"/>
        <w:bottom w:val="none" w:sz="0" w:space="0" w:color="auto"/>
        <w:right w:val="none" w:sz="0" w:space="0" w:color="auto"/>
      </w:divBdr>
    </w:div>
    <w:div w:id="190999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561</_x0031__x002e__x0020_Collection_x0020_Number>
    <Date xmlns="d6eefc7d-9817-4fa6-84d5-3bc009be21b8">2020-05-07T04:00:00.000Z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IC20-19</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33A72-729E-4E76-9A21-E35ABCA04DB1}">
  <ds:schemaRefs>
    <ds:schemaRef ds:uri="Microsoft.SharePoint.Taxonomy.ContentTypeSync"/>
  </ds:schemaRefs>
</ds:datastoreItem>
</file>

<file path=customXml/itemProps2.xml><?xml version="1.0" encoding="utf-8"?>
<ds:datastoreItem xmlns:ds="http://schemas.openxmlformats.org/officeDocument/2006/customXml" ds:itemID="{FD1403DC-AD3C-4AC1-BC5C-087F2F2972B5}">
  <ds:schemaRefs>
    <ds:schemaRef ds:uri="http://schemas.microsoft.com/sharepoint/v3/contenttype/forms"/>
  </ds:schemaRefs>
</ds:datastoreItem>
</file>

<file path=customXml/itemProps3.xml><?xml version="1.0" encoding="utf-8"?>
<ds:datastoreItem xmlns:ds="http://schemas.openxmlformats.org/officeDocument/2006/customXml" ds:itemID="{ACEA04C8-7221-4547-9A96-EAF979F62954}">
  <ds:schemaRefs>
    <ds:schemaRef ds:uri="http://schemas.microsoft.com/office/2006/metadata/properties"/>
    <ds:schemaRef ds:uri="d6eefc7d-9817-4fa6-84d5-3bc009be21b8"/>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D471EE3-6567-4588-A913-13283D37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3BF60-A8A5-4CCC-A846-0E2E02ED37BC}">
  <ds:schemaRefs>
    <ds:schemaRef ds:uri="http://schemas.microsoft.com/office/2006/metadata/customXsn"/>
  </ds:schemaRefs>
</ds:datastoreItem>
</file>

<file path=customXml/itemProps6.xml><?xml version="1.0" encoding="utf-8"?>
<ds:datastoreItem xmlns:ds="http://schemas.openxmlformats.org/officeDocument/2006/customXml" ds:itemID="{A10128BA-6976-4B19-83CD-90B01EA0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Annual Report of Interlocking Positions</vt:lpstr>
    </vt:vector>
  </TitlesOfParts>
  <Manager/>
  <Company/>
  <LinksUpToDate>false</LinksUpToDate>
  <CharactersWithSpaces>4688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of Interlocking Positions</dc:title>
  <dc:subject/>
  <dc:creator>Michele Chambers</dc:creator>
  <cp:keywords/>
  <dc:description/>
  <cp:lastModifiedBy>Michele Chambers</cp:lastModifiedBy>
  <cp:revision>2</cp:revision>
  <dcterms:created xsi:type="dcterms:W3CDTF">2020-05-07T17:42:00Z</dcterms:created>
  <dcterms:modified xsi:type="dcterms:W3CDTF">2020-05-07T17:42:00Z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