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7D6D" w:rsidR="00190B0A" w:rsidP="00190B0A" w:rsidRDefault="00190B0A" w14:paraId="6CF0708A" w14:textId="77777777">
      <w:pPr>
        <w:jc w:val="center"/>
        <w:rPr>
          <w:szCs w:val="26"/>
        </w:rPr>
      </w:pPr>
      <w:bookmarkStart w:name="_GoBack" w:id="0"/>
      <w:bookmarkEnd w:id="0"/>
      <w:r w:rsidRPr="00A27D6D">
        <w:rPr>
          <w:szCs w:val="26"/>
        </w:rPr>
        <w:t>UNITED STATES OF AMERICA</w:t>
      </w:r>
    </w:p>
    <w:p w:rsidRPr="00A27D6D" w:rsidR="00190B0A" w:rsidP="00190B0A" w:rsidRDefault="00190B0A" w14:paraId="6CF0708B" w14:textId="77777777">
      <w:pPr>
        <w:jc w:val="center"/>
        <w:rPr>
          <w:szCs w:val="26"/>
        </w:rPr>
      </w:pPr>
      <w:r w:rsidRPr="00A27D6D">
        <w:rPr>
          <w:szCs w:val="26"/>
        </w:rPr>
        <w:t>FEDERAL ENERGY REGULATORY COMMISSION</w:t>
      </w:r>
    </w:p>
    <w:p w:rsidRPr="00A27D6D" w:rsidR="00190B0A" w:rsidP="00190B0A" w:rsidRDefault="00190B0A" w14:paraId="6CF0708C" w14:textId="77777777">
      <w:pPr>
        <w:rPr>
          <w:szCs w:val="26"/>
        </w:rPr>
      </w:pPr>
    </w:p>
    <w:p w:rsidRPr="00A27D6D" w:rsidR="00190B0A" w:rsidP="00190B0A" w:rsidRDefault="00190B0A" w14:paraId="6CF0708D" w14:textId="77777777">
      <w:pPr>
        <w:jc w:val="center"/>
        <w:rPr>
          <w:szCs w:val="26"/>
        </w:rPr>
      </w:pPr>
      <w:r w:rsidRPr="00A27D6D">
        <w:rPr>
          <w:szCs w:val="26"/>
        </w:rPr>
        <w:t>[Docket No. IC20-14-000]</w:t>
      </w:r>
    </w:p>
    <w:p w:rsidRPr="00A27D6D" w:rsidR="00190B0A" w:rsidP="00190B0A" w:rsidRDefault="00190B0A" w14:paraId="6CF0708E" w14:textId="77777777">
      <w:pPr>
        <w:rPr>
          <w:szCs w:val="26"/>
        </w:rPr>
      </w:pPr>
    </w:p>
    <w:p w:rsidRPr="00A27D6D" w:rsidR="00190B0A" w:rsidP="00190B0A" w:rsidRDefault="00190B0A" w14:paraId="6CF0708F" w14:textId="77777777">
      <w:pPr>
        <w:jc w:val="center"/>
        <w:rPr>
          <w:szCs w:val="26"/>
        </w:rPr>
      </w:pPr>
      <w:r w:rsidRPr="00A27D6D">
        <w:rPr>
          <w:szCs w:val="26"/>
        </w:rPr>
        <w:t>COMMISSION INFORMATION COLLECTION ACTIVITIES</w:t>
      </w:r>
    </w:p>
    <w:p w:rsidRPr="00A27D6D" w:rsidR="00190B0A" w:rsidP="00190B0A" w:rsidRDefault="00190B0A" w14:paraId="6CF07090" w14:textId="77777777">
      <w:pPr>
        <w:jc w:val="center"/>
        <w:rPr>
          <w:szCs w:val="26"/>
        </w:rPr>
      </w:pPr>
      <w:r w:rsidRPr="00A27D6D">
        <w:rPr>
          <w:szCs w:val="26"/>
        </w:rPr>
        <w:t xml:space="preserve"> (FERC-725T);</w:t>
      </w:r>
    </w:p>
    <w:p w:rsidRPr="00A27D6D" w:rsidR="00190B0A" w:rsidP="00190B0A" w:rsidRDefault="00190B0A" w14:paraId="6CF07091" w14:textId="77777777">
      <w:pPr>
        <w:jc w:val="center"/>
        <w:rPr>
          <w:szCs w:val="26"/>
        </w:rPr>
      </w:pPr>
      <w:r w:rsidRPr="00A27D6D">
        <w:rPr>
          <w:szCs w:val="26"/>
        </w:rPr>
        <w:t>COMMENT REQUEST; EXTENSION</w:t>
      </w:r>
    </w:p>
    <w:p w:rsidRPr="00A27D6D" w:rsidR="00190B0A" w:rsidP="00190B0A" w:rsidRDefault="00190B0A" w14:paraId="6CF07092" w14:textId="77777777">
      <w:pPr>
        <w:jc w:val="center"/>
        <w:rPr>
          <w:szCs w:val="26"/>
        </w:rPr>
      </w:pPr>
    </w:p>
    <w:p w:rsidR="00190B0A" w:rsidP="00E623E5" w:rsidRDefault="00E623E5" w14:paraId="6CF07094" w14:textId="5E43DCF9">
      <w:pPr>
        <w:jc w:val="center"/>
        <w:rPr>
          <w:szCs w:val="26"/>
        </w:rPr>
      </w:pPr>
      <w:r w:rsidRPr="00E623E5">
        <w:rPr>
          <w:szCs w:val="26"/>
        </w:rPr>
        <w:t>(June 25, 2020)</w:t>
      </w:r>
    </w:p>
    <w:p w:rsidRPr="00E623E5" w:rsidR="00E623E5" w:rsidP="00E623E5" w:rsidRDefault="00E623E5" w14:paraId="6C8128BA" w14:textId="77777777">
      <w:pPr>
        <w:rPr>
          <w:szCs w:val="26"/>
        </w:rPr>
      </w:pPr>
    </w:p>
    <w:p w:rsidRPr="00A27D6D" w:rsidR="00190B0A" w:rsidP="00190B0A" w:rsidRDefault="00190B0A" w14:paraId="6CF07095" w14:textId="77777777">
      <w:pPr>
        <w:rPr>
          <w:szCs w:val="26"/>
        </w:rPr>
      </w:pPr>
    </w:p>
    <w:p w:rsidRPr="00A27D6D" w:rsidR="00190B0A" w:rsidP="00190B0A" w:rsidRDefault="00190B0A" w14:paraId="6CF07096" w14:textId="77777777">
      <w:pPr>
        <w:spacing w:line="480" w:lineRule="auto"/>
        <w:rPr>
          <w:szCs w:val="26"/>
        </w:rPr>
      </w:pPr>
      <w:r w:rsidRPr="00A27D6D">
        <w:rPr>
          <w:b/>
          <w:szCs w:val="26"/>
        </w:rPr>
        <w:t>AGENCY:</w:t>
      </w:r>
      <w:r w:rsidRPr="00A27D6D">
        <w:rPr>
          <w:szCs w:val="26"/>
        </w:rPr>
        <w:t xml:space="preserve">  Federal Energy Regulatory Commission.</w:t>
      </w:r>
    </w:p>
    <w:p w:rsidRPr="00A27D6D" w:rsidR="00190B0A" w:rsidP="00190B0A" w:rsidRDefault="00190B0A" w14:paraId="6CF07097" w14:textId="77777777">
      <w:pPr>
        <w:spacing w:line="480" w:lineRule="auto"/>
        <w:rPr>
          <w:szCs w:val="26"/>
        </w:rPr>
      </w:pPr>
      <w:r w:rsidRPr="00A27D6D">
        <w:rPr>
          <w:b/>
          <w:szCs w:val="26"/>
        </w:rPr>
        <w:t>ACTION:</w:t>
      </w:r>
      <w:r w:rsidRPr="00A27D6D">
        <w:rPr>
          <w:szCs w:val="26"/>
        </w:rPr>
        <w:t xml:space="preserve">  Notice of information collection and request for comments.</w:t>
      </w:r>
    </w:p>
    <w:p w:rsidRPr="00A27D6D" w:rsidR="00190B0A" w:rsidP="00190B0A" w:rsidRDefault="00190B0A" w14:paraId="6CF07098" w14:textId="77777777">
      <w:pPr>
        <w:spacing w:line="480" w:lineRule="auto"/>
        <w:rPr>
          <w:szCs w:val="26"/>
        </w:rPr>
      </w:pPr>
      <w:r w:rsidRPr="00A27D6D">
        <w:rPr>
          <w:b/>
          <w:szCs w:val="26"/>
        </w:rPr>
        <w:t>SUMMARY:</w:t>
      </w:r>
      <w:r w:rsidRPr="00A27D6D">
        <w:rPr>
          <w:szCs w:val="26"/>
        </w:rPr>
        <w:t xml:space="preserve">  In compliance with the requirements of the Paperwork Reduction Act of 1995 (PRA), the Federal Energy Regulatory Commission (Commission or FERC) is soliciting public comment on the currently approved information collection, </w:t>
      </w:r>
      <w:bookmarkStart w:name="_Hlk36637989" w:id="1"/>
      <w:r w:rsidRPr="00A27D6D">
        <w:rPr>
          <w:szCs w:val="26"/>
        </w:rPr>
        <w:t xml:space="preserve">FERC-725T, </w:t>
      </w:r>
      <w:r w:rsidRPr="00A27D6D" w:rsidR="00666A6E">
        <w:rPr>
          <w:szCs w:val="26"/>
        </w:rPr>
        <w:t>(</w:t>
      </w:r>
      <w:r w:rsidRPr="00A27D6D">
        <w:rPr>
          <w:szCs w:val="26"/>
        </w:rPr>
        <w:t>Mandatory Reliability Standards for the Bulk-Power System: TRE Reliability Standards</w:t>
      </w:r>
      <w:bookmarkEnd w:id="1"/>
      <w:r w:rsidRPr="00A27D6D" w:rsidR="00666A6E">
        <w:rPr>
          <w:szCs w:val="26"/>
        </w:rPr>
        <w:t>) and submitting the information collection to the Office of Management and Budget (OMB) for review</w:t>
      </w:r>
      <w:r w:rsidRPr="00A27D6D">
        <w:rPr>
          <w:szCs w:val="26"/>
        </w:rPr>
        <w:t>.</w:t>
      </w:r>
      <w:r w:rsidRPr="00A27D6D" w:rsidR="00666A6E">
        <w:rPr>
          <w:szCs w:val="26"/>
        </w:rPr>
        <w:t xml:space="preserve">  Any interested person may file comments directly with OMB and should address a copy of those comments to the Commission as explained below</w:t>
      </w:r>
    </w:p>
    <w:p w:rsidRPr="00A27D6D" w:rsidR="00190B0A" w:rsidP="00190B0A" w:rsidRDefault="00190B0A" w14:paraId="6CF07099" w14:textId="77777777">
      <w:pPr>
        <w:spacing w:line="480" w:lineRule="auto"/>
        <w:rPr>
          <w:szCs w:val="26"/>
        </w:rPr>
      </w:pPr>
      <w:r w:rsidRPr="00A27D6D">
        <w:rPr>
          <w:b/>
          <w:szCs w:val="26"/>
        </w:rPr>
        <w:t>DATES:</w:t>
      </w:r>
      <w:r w:rsidRPr="00A27D6D">
        <w:rPr>
          <w:szCs w:val="26"/>
        </w:rPr>
        <w:t xml:space="preserve">  Comments on the collection of information are due </w:t>
      </w:r>
      <w:r w:rsidRPr="00A27D6D">
        <w:rPr>
          <w:b/>
          <w:szCs w:val="26"/>
        </w:rPr>
        <w:t xml:space="preserve">[Insert date </w:t>
      </w:r>
      <w:r w:rsidRPr="00A27D6D" w:rsidR="00666A6E">
        <w:rPr>
          <w:b/>
          <w:szCs w:val="26"/>
        </w:rPr>
        <w:t>3</w:t>
      </w:r>
      <w:r w:rsidRPr="00A27D6D">
        <w:rPr>
          <w:b/>
          <w:szCs w:val="26"/>
        </w:rPr>
        <w:t>0 days after date of publication in the Federal Register]</w:t>
      </w:r>
      <w:r w:rsidRPr="00A27D6D">
        <w:rPr>
          <w:szCs w:val="26"/>
        </w:rPr>
        <w:t xml:space="preserve">. </w:t>
      </w:r>
    </w:p>
    <w:p w:rsidRPr="00A27D6D" w:rsidR="00666A6E" w:rsidP="00666A6E" w:rsidRDefault="00190B0A" w14:paraId="6CF0709A" w14:textId="77777777">
      <w:pPr>
        <w:spacing w:line="480" w:lineRule="auto"/>
        <w:rPr>
          <w:szCs w:val="26"/>
        </w:rPr>
      </w:pPr>
      <w:r w:rsidRPr="00A27D6D">
        <w:rPr>
          <w:b/>
          <w:szCs w:val="26"/>
        </w:rPr>
        <w:t>ADDRESSES:</w:t>
      </w:r>
      <w:r w:rsidRPr="00A27D6D">
        <w:rPr>
          <w:szCs w:val="26"/>
        </w:rPr>
        <w:t xml:space="preserve">  </w:t>
      </w:r>
      <w:r w:rsidRPr="00A27D6D" w:rsidR="00666A6E">
        <w:rPr>
          <w:iCs/>
          <w:szCs w:val="26"/>
        </w:rPr>
        <w:t xml:space="preserve">Send written comments on FERC-725 to OMB through </w:t>
      </w:r>
      <w:hyperlink w:history="1" r:id="rId11">
        <w:r w:rsidRPr="00A27D6D" w:rsidR="00666A6E">
          <w:rPr>
            <w:rStyle w:val="Hyperlink"/>
            <w:szCs w:val="26"/>
          </w:rPr>
          <w:t>www.reginfo.gov/public/do/PRAMain</w:t>
        </w:r>
      </w:hyperlink>
      <w:r w:rsidRPr="00A27D6D" w:rsidR="00666A6E">
        <w:rPr>
          <w:szCs w:val="26"/>
        </w:rPr>
        <w:t>,</w:t>
      </w:r>
      <w:r w:rsidRPr="00A27D6D" w:rsidR="00666A6E">
        <w:rPr>
          <w:iCs/>
          <w:szCs w:val="26"/>
        </w:rPr>
        <w:t xml:space="preserve"> Attention:  Federal Energy Regulatory Commission Desk Officer.  Please identify the OMB control number (1902-0273) in the subject line.  Your comments </w:t>
      </w:r>
      <w:r w:rsidRPr="00A27D6D" w:rsidR="00666A6E">
        <w:rPr>
          <w:szCs w:val="26"/>
        </w:rPr>
        <w:t>should be sent within 30 days of publication of this notice in the Federal Register.</w:t>
      </w:r>
    </w:p>
    <w:p w:rsidRPr="00A27D6D" w:rsidR="00190B0A" w:rsidP="00190B0A" w:rsidRDefault="00666A6E" w14:paraId="6CF0709B" w14:textId="77777777">
      <w:pPr>
        <w:spacing w:line="480" w:lineRule="auto"/>
        <w:rPr>
          <w:szCs w:val="26"/>
        </w:rPr>
      </w:pPr>
      <w:r w:rsidRPr="00A27D6D">
        <w:rPr>
          <w:szCs w:val="26"/>
        </w:rPr>
        <w:lastRenderedPageBreak/>
        <w:t xml:space="preserve">Please submit copies of your </w:t>
      </w:r>
      <w:r w:rsidRPr="00A27D6D" w:rsidR="00190B0A">
        <w:rPr>
          <w:szCs w:val="26"/>
        </w:rPr>
        <w:t>comments</w:t>
      </w:r>
      <w:r w:rsidRPr="00A27D6D">
        <w:rPr>
          <w:szCs w:val="26"/>
        </w:rPr>
        <w:t xml:space="preserve"> to the Commission </w:t>
      </w:r>
      <w:r w:rsidRPr="00A27D6D" w:rsidR="00190B0A">
        <w:rPr>
          <w:szCs w:val="26"/>
        </w:rPr>
        <w:t>(identified by Docket No. IC20-14-000) by either of the following methods:</w:t>
      </w:r>
    </w:p>
    <w:p w:rsidRPr="00A27D6D" w:rsidR="00190B0A" w:rsidP="00190B0A" w:rsidRDefault="00190B0A" w14:paraId="6CF0709C" w14:textId="77777777">
      <w:pPr>
        <w:numPr>
          <w:ilvl w:val="0"/>
          <w:numId w:val="1"/>
        </w:numPr>
        <w:tabs>
          <w:tab w:val="clear" w:pos="1500"/>
          <w:tab w:val="num" w:pos="1080"/>
        </w:tabs>
        <w:spacing w:line="480" w:lineRule="auto"/>
        <w:ind w:left="720" w:firstLine="0"/>
        <w:rPr>
          <w:rStyle w:val="Hyperlink"/>
          <w:szCs w:val="26"/>
        </w:rPr>
      </w:pPr>
      <w:bookmarkStart w:name="OLE_LINK1" w:id="2"/>
      <w:r w:rsidRPr="00A27D6D">
        <w:rPr>
          <w:szCs w:val="26"/>
        </w:rPr>
        <w:t xml:space="preserve">eFiling at Commission’s Web Site: </w:t>
      </w:r>
      <w:hyperlink w:history="1" r:id="rId12">
        <w:r w:rsidRPr="00A27D6D">
          <w:rPr>
            <w:rStyle w:val="Hyperlink"/>
            <w:szCs w:val="26"/>
          </w:rPr>
          <w:t>http://www.ferc.gov/docs-filing/efiling.asp</w:t>
        </w:r>
      </w:hyperlink>
    </w:p>
    <w:p w:rsidRPr="00E623E5" w:rsidR="00E623E5" w:rsidP="004E21AB" w:rsidRDefault="00E623E5" w14:paraId="636E99B3" w14:textId="608E7225">
      <w:pPr>
        <w:numPr>
          <w:ilvl w:val="0"/>
          <w:numId w:val="1"/>
        </w:numPr>
        <w:tabs>
          <w:tab w:val="clear" w:pos="1500"/>
          <w:tab w:val="num" w:pos="1170"/>
        </w:tabs>
        <w:spacing w:line="260" w:lineRule="atLeast"/>
        <w:ind w:left="1166" w:hanging="446"/>
        <w:rPr>
          <w:color w:val="0000FF"/>
          <w:szCs w:val="26"/>
          <w:u w:val="single"/>
        </w:rPr>
      </w:pPr>
      <w:r w:rsidRPr="00E623E5">
        <w:rPr>
          <w:szCs w:val="26"/>
        </w:rPr>
        <w:t>Mail/Hand Delivery/Courier: Federal Energy Regulatory Commission,</w:t>
      </w:r>
      <w:r w:rsidR="004E21AB">
        <w:rPr>
          <w:szCs w:val="26"/>
        </w:rPr>
        <w:t xml:space="preserve"> </w:t>
      </w:r>
      <w:r w:rsidRPr="00E623E5">
        <w:rPr>
          <w:szCs w:val="26"/>
        </w:rPr>
        <w:t xml:space="preserve">Secretary of the Commission, at Health and Human Services, 12225 Wilkins Avenue, Rockville, Maryland 20852. </w:t>
      </w:r>
    </w:p>
    <w:p w:rsidRPr="00A27D6D" w:rsidR="00190B0A" w:rsidP="00E623E5" w:rsidRDefault="00190B0A" w14:paraId="6CF0709D" w14:textId="79198775">
      <w:pPr>
        <w:spacing w:line="480" w:lineRule="auto"/>
        <w:rPr>
          <w:rStyle w:val="Hyperlink"/>
          <w:szCs w:val="26"/>
        </w:rPr>
      </w:pPr>
    </w:p>
    <w:p w:rsidRPr="00A27D6D" w:rsidR="00666A6E" w:rsidP="00666A6E" w:rsidRDefault="00190B0A" w14:paraId="6CF0709E" w14:textId="77777777">
      <w:pPr>
        <w:spacing w:line="480" w:lineRule="auto"/>
        <w:rPr>
          <w:szCs w:val="26"/>
        </w:rPr>
      </w:pPr>
      <w:r w:rsidRPr="00A27D6D">
        <w:rPr>
          <w:i/>
          <w:szCs w:val="26"/>
        </w:rPr>
        <w:t xml:space="preserve">Instructions: </w:t>
      </w:r>
      <w:r w:rsidRPr="00A27D6D">
        <w:rPr>
          <w:szCs w:val="26"/>
        </w:rPr>
        <w:t>All submissions must be formatted and filed in accordance with submission guidelines at:</w:t>
      </w:r>
      <w:r w:rsidRPr="00A27D6D" w:rsidR="00666A6E">
        <w:rPr>
          <w:szCs w:val="26"/>
        </w:rPr>
        <w:t xml:space="preserve"> at</w:t>
      </w:r>
      <w:r w:rsidRPr="00A27D6D" w:rsidR="00666A6E">
        <w:rPr>
          <w:i/>
          <w:szCs w:val="26"/>
        </w:rPr>
        <w:t xml:space="preserve"> </w:t>
      </w:r>
      <w:hyperlink w:history="1" r:id="rId13">
        <w:r w:rsidRPr="00A27D6D" w:rsidR="00666A6E">
          <w:rPr>
            <w:rStyle w:val="Hyperlink"/>
            <w:szCs w:val="26"/>
          </w:rPr>
          <w:t>www.reginfo.gov/public/do/PRAMain</w:t>
        </w:r>
      </w:hyperlink>
      <w:r w:rsidRPr="00A27D6D" w:rsidR="00666A6E">
        <w:rPr>
          <w:szCs w:val="26"/>
        </w:rPr>
        <w:t xml:space="preserve">;  Using the search function under the “Currently Under Review field,” select Federal Energy Regulatory Commission; click “submit” and select “comment” to the right of the subject collection. </w:t>
      </w:r>
    </w:p>
    <w:p w:rsidRPr="00A27D6D" w:rsidR="00666A6E" w:rsidP="00666A6E" w:rsidRDefault="00666A6E" w14:paraId="6CF0709F" w14:textId="77777777">
      <w:pPr>
        <w:spacing w:line="480" w:lineRule="auto"/>
        <w:rPr>
          <w:szCs w:val="26"/>
        </w:rPr>
      </w:pPr>
      <w:r w:rsidRPr="00A27D6D">
        <w:rPr>
          <w:i/>
          <w:iCs/>
          <w:szCs w:val="26"/>
        </w:rPr>
        <w:t>FERC submissions</w:t>
      </w:r>
      <w:r w:rsidRPr="00A27D6D">
        <w:rPr>
          <w:szCs w:val="26"/>
        </w:rPr>
        <w:t xml:space="preserve"> must be formatted and filed in accordance with submission guidelines at: </w:t>
      </w:r>
      <w:hyperlink w:history="1" r:id="rId14">
        <w:r w:rsidRPr="00A27D6D">
          <w:rPr>
            <w:rStyle w:val="Hyperlink"/>
            <w:szCs w:val="26"/>
          </w:rPr>
          <w:t>http://www.ferc.gov/help/submission-guide.asp</w:t>
        </w:r>
      </w:hyperlink>
      <w:r w:rsidRPr="00A27D6D">
        <w:rPr>
          <w:szCs w:val="26"/>
        </w:rPr>
        <w:t>.  For user assistance, contact FERC Online Support by e-mail at ferconlinesupport@ferc.gov, or by phone at:  (866) 208-3676 (toll-free).</w:t>
      </w:r>
    </w:p>
    <w:p w:rsidRPr="00A27D6D" w:rsidR="00190B0A" w:rsidP="00190B0A" w:rsidRDefault="00190B0A" w14:paraId="6CF070A0" w14:textId="77777777">
      <w:pPr>
        <w:spacing w:line="480" w:lineRule="auto"/>
        <w:rPr>
          <w:szCs w:val="26"/>
        </w:rPr>
      </w:pPr>
      <w:r w:rsidRPr="00A27D6D">
        <w:rPr>
          <w:i/>
          <w:szCs w:val="26"/>
        </w:rPr>
        <w:t>Docket:</w:t>
      </w:r>
      <w:r w:rsidRPr="00A27D6D">
        <w:rPr>
          <w:szCs w:val="26"/>
        </w:rPr>
        <w:t xml:space="preserve"> Users interested in receiving automatic notification of activity in this docket or in viewing/downloading comments and issuances in this docket may do so at </w:t>
      </w:r>
      <w:hyperlink w:history="1" r:id="rId15">
        <w:r w:rsidRPr="00A27D6D">
          <w:rPr>
            <w:rStyle w:val="Hyperlink"/>
            <w:szCs w:val="26"/>
          </w:rPr>
          <w:t>http://www.ferc.gov/docs-filing/docs-filing.asp</w:t>
        </w:r>
      </w:hyperlink>
      <w:r w:rsidRPr="00A27D6D">
        <w:rPr>
          <w:szCs w:val="26"/>
        </w:rPr>
        <w:t xml:space="preserve">. </w:t>
      </w:r>
    </w:p>
    <w:bookmarkEnd w:id="2"/>
    <w:p w:rsidR="00190B0A" w:rsidP="00190B0A" w:rsidRDefault="00190B0A" w14:paraId="6CF070A1" w14:textId="075EB05D">
      <w:pPr>
        <w:spacing w:line="480" w:lineRule="auto"/>
        <w:rPr>
          <w:szCs w:val="26"/>
        </w:rPr>
      </w:pPr>
      <w:r w:rsidRPr="00A27D6D">
        <w:rPr>
          <w:b/>
          <w:szCs w:val="26"/>
        </w:rPr>
        <w:t>FOR FURTHER INFORMATION CONTACT:</w:t>
      </w:r>
      <w:r w:rsidRPr="00A27D6D">
        <w:rPr>
          <w:szCs w:val="26"/>
        </w:rPr>
        <w:t xml:space="preserve">  Ellen Brown may be reached by e-mail at </w:t>
      </w:r>
      <w:hyperlink w:history="1" r:id="rId16">
        <w:r w:rsidRPr="00A27D6D">
          <w:rPr>
            <w:rStyle w:val="Hyperlink"/>
            <w:szCs w:val="26"/>
          </w:rPr>
          <w:t>DataClearance@FERC.gov</w:t>
        </w:r>
      </w:hyperlink>
      <w:r w:rsidRPr="00A27D6D">
        <w:rPr>
          <w:szCs w:val="26"/>
        </w:rPr>
        <w:t>, telephone at (202) 502-8663.</w:t>
      </w:r>
    </w:p>
    <w:p w:rsidR="004E21AB" w:rsidP="00190B0A" w:rsidRDefault="004E21AB" w14:paraId="56A095CF" w14:textId="6EB81ACD">
      <w:pPr>
        <w:spacing w:line="480" w:lineRule="auto"/>
        <w:rPr>
          <w:szCs w:val="26"/>
        </w:rPr>
      </w:pPr>
    </w:p>
    <w:p w:rsidR="004E21AB" w:rsidP="00190B0A" w:rsidRDefault="004E21AB" w14:paraId="27E917F2" w14:textId="4569502E">
      <w:pPr>
        <w:spacing w:line="480" w:lineRule="auto"/>
        <w:rPr>
          <w:szCs w:val="26"/>
        </w:rPr>
      </w:pPr>
    </w:p>
    <w:p w:rsidRPr="00A27D6D" w:rsidR="004E21AB" w:rsidP="00190B0A" w:rsidRDefault="004E21AB" w14:paraId="7435BEE3" w14:textId="77777777">
      <w:pPr>
        <w:spacing w:line="480" w:lineRule="auto"/>
        <w:rPr>
          <w:szCs w:val="26"/>
        </w:rPr>
      </w:pPr>
    </w:p>
    <w:p w:rsidRPr="00A27D6D" w:rsidR="00190B0A" w:rsidP="00190B0A" w:rsidRDefault="00190B0A" w14:paraId="6CF070A2" w14:textId="77777777">
      <w:pPr>
        <w:spacing w:line="480" w:lineRule="auto"/>
        <w:rPr>
          <w:szCs w:val="26"/>
        </w:rPr>
      </w:pPr>
      <w:r w:rsidRPr="00A27D6D">
        <w:rPr>
          <w:szCs w:val="26"/>
        </w:rPr>
        <w:lastRenderedPageBreak/>
        <w:t xml:space="preserve"> </w:t>
      </w:r>
      <w:r w:rsidRPr="00A27D6D">
        <w:rPr>
          <w:b/>
          <w:szCs w:val="26"/>
        </w:rPr>
        <w:t>SUPPLEMENTARY INFORMATION:</w:t>
      </w:r>
      <w:r w:rsidRPr="00A27D6D">
        <w:rPr>
          <w:szCs w:val="26"/>
        </w:rPr>
        <w:t xml:space="preserve">  </w:t>
      </w:r>
    </w:p>
    <w:p w:rsidRPr="00A27D6D" w:rsidR="00190B0A" w:rsidP="00190B0A" w:rsidRDefault="00190B0A" w14:paraId="6CF070A3" w14:textId="77777777">
      <w:pPr>
        <w:spacing w:line="480" w:lineRule="auto"/>
        <w:rPr>
          <w:i/>
          <w:szCs w:val="26"/>
        </w:rPr>
      </w:pPr>
      <w:r w:rsidRPr="00A27D6D">
        <w:rPr>
          <w:i/>
          <w:szCs w:val="26"/>
        </w:rPr>
        <w:t xml:space="preserve">Title: </w:t>
      </w:r>
      <w:r w:rsidRPr="00A27D6D">
        <w:rPr>
          <w:szCs w:val="26"/>
        </w:rPr>
        <w:t>FERC-725T, Mandatory Reliability Standards for the Bulk-Power System: TRE</w:t>
      </w:r>
      <w:r w:rsidRPr="00A27D6D">
        <w:rPr>
          <w:rStyle w:val="FootnoteReference"/>
        </w:rPr>
        <w:footnoteReference w:id="1"/>
      </w:r>
      <w:r w:rsidRPr="00A27D6D">
        <w:rPr>
          <w:szCs w:val="26"/>
        </w:rPr>
        <w:t xml:space="preserve"> Reliability Standards.</w:t>
      </w:r>
    </w:p>
    <w:p w:rsidRPr="00A27D6D" w:rsidR="00190B0A" w:rsidP="00190B0A" w:rsidRDefault="00190B0A" w14:paraId="6CF070A4" w14:textId="77777777">
      <w:pPr>
        <w:spacing w:line="480" w:lineRule="auto"/>
        <w:rPr>
          <w:szCs w:val="26"/>
        </w:rPr>
      </w:pPr>
      <w:r w:rsidRPr="00A27D6D">
        <w:rPr>
          <w:i/>
          <w:szCs w:val="26"/>
        </w:rPr>
        <w:t>OMB Control No.:</w:t>
      </w:r>
      <w:r w:rsidRPr="00A27D6D">
        <w:rPr>
          <w:szCs w:val="26"/>
        </w:rPr>
        <w:t xml:space="preserve"> 1902-0273</w:t>
      </w:r>
    </w:p>
    <w:p w:rsidRPr="00A27D6D" w:rsidR="00190B0A" w:rsidP="00190B0A" w:rsidRDefault="00190B0A" w14:paraId="6CF070A5" w14:textId="77777777">
      <w:pPr>
        <w:spacing w:line="480" w:lineRule="auto"/>
        <w:rPr>
          <w:szCs w:val="26"/>
        </w:rPr>
      </w:pPr>
      <w:r w:rsidRPr="00A27D6D">
        <w:rPr>
          <w:i/>
          <w:szCs w:val="26"/>
        </w:rPr>
        <w:t>Type of Request:</w:t>
      </w:r>
      <w:r w:rsidRPr="00A27D6D">
        <w:rPr>
          <w:szCs w:val="26"/>
        </w:rPr>
        <w:t xml:space="preserve"> Three-year extension of the FERC-725T information collection requirements with no changes to the current reporting requirements. </w:t>
      </w:r>
    </w:p>
    <w:p w:rsidRPr="00A27D6D" w:rsidR="00190B0A" w:rsidP="00190B0A" w:rsidRDefault="00190B0A" w14:paraId="6CF070A6" w14:textId="77777777">
      <w:pPr>
        <w:spacing w:line="480" w:lineRule="auto"/>
        <w:rPr>
          <w:szCs w:val="26"/>
        </w:rPr>
      </w:pPr>
      <w:r w:rsidRPr="00A27D6D">
        <w:rPr>
          <w:i/>
          <w:szCs w:val="26"/>
        </w:rPr>
        <w:t xml:space="preserve">Abstract: </w:t>
      </w:r>
      <w:r w:rsidRPr="00A27D6D">
        <w:rPr>
          <w:szCs w:val="26"/>
        </w:rPr>
        <w:t xml:space="preserve"> TRE Reliability Standards apply to entities registered as Generator Owners (GOs), Generator Operators (GOPs), and Balancing Authorities (BAs) within the Texas Reliability Entity region.  </w:t>
      </w:r>
    </w:p>
    <w:p w:rsidRPr="00A27D6D" w:rsidR="00190B0A" w:rsidP="00190B0A" w:rsidRDefault="00190B0A" w14:paraId="6CF070A7" w14:textId="77777777">
      <w:pPr>
        <w:spacing w:line="480" w:lineRule="auto"/>
        <w:rPr>
          <w:szCs w:val="26"/>
        </w:rPr>
      </w:pPr>
      <w:r w:rsidRPr="00A27D6D">
        <w:rPr>
          <w:szCs w:val="26"/>
        </w:rPr>
        <w:tab/>
        <w:t>The information collection requirements entail the setting or configuration of the Control System software, identification and recording of events, data retention, and submitting frequency measurable events to the compliance enforcement authority (Regional Entity or NERC).</w:t>
      </w:r>
    </w:p>
    <w:p w:rsidRPr="00A27D6D" w:rsidR="00190B0A" w:rsidP="00190B0A" w:rsidRDefault="00190B0A" w14:paraId="6CF070A8" w14:textId="77777777">
      <w:pPr>
        <w:spacing w:line="480" w:lineRule="auto"/>
        <w:rPr>
          <w:szCs w:val="26"/>
        </w:rPr>
      </w:pPr>
      <w:r w:rsidRPr="00A27D6D">
        <w:rPr>
          <w:szCs w:val="26"/>
        </w:rPr>
        <w:tab/>
        <w:t>Submitting frequency measurable events.  The BA has to identify and post information regarding Frequency Measurable Events (FME).  Further, the BA has to calculate and report to the Compliance Enforcement Authority data related to Primary Frequency Response (PFR) performance of each generating unit/generating facility.</w:t>
      </w:r>
    </w:p>
    <w:p w:rsidRPr="00A27D6D" w:rsidR="00190B0A" w:rsidP="00190B0A" w:rsidRDefault="00190B0A" w14:paraId="6CF070A9" w14:textId="77777777">
      <w:pPr>
        <w:spacing w:line="480" w:lineRule="auto"/>
        <w:rPr>
          <w:szCs w:val="26"/>
          <w:u w:val="single"/>
        </w:rPr>
      </w:pPr>
      <w:r w:rsidRPr="00A27D6D">
        <w:rPr>
          <w:szCs w:val="26"/>
        </w:rPr>
        <w:tab/>
        <w:t>Data retention. The BA, GO, and GOP shall keep data or evidence to show compliance, as identified below, unless directed by its Compliance Enforcement Authority to retain specific evidence for a longer period of time as part of an investigation.  Compliance audits are generally about three years apart.</w:t>
      </w:r>
    </w:p>
    <w:p w:rsidRPr="00A27D6D" w:rsidR="00190B0A" w:rsidP="00190B0A" w:rsidRDefault="00190B0A" w14:paraId="6CF070AA" w14:textId="77777777">
      <w:pPr>
        <w:numPr>
          <w:ilvl w:val="0"/>
          <w:numId w:val="2"/>
        </w:numPr>
        <w:spacing w:line="480" w:lineRule="auto"/>
        <w:rPr>
          <w:szCs w:val="26"/>
        </w:rPr>
      </w:pPr>
      <w:r w:rsidRPr="00A27D6D">
        <w:rPr>
          <w:szCs w:val="26"/>
        </w:rPr>
        <w:t>The BA shall retain a list of identified Frequency Measurable Events and shall retain FME information since its last compliance audit.</w:t>
      </w:r>
    </w:p>
    <w:p w:rsidRPr="00A27D6D" w:rsidR="00190B0A" w:rsidP="00190B0A" w:rsidRDefault="00190B0A" w14:paraId="6CF070AB" w14:textId="77777777">
      <w:pPr>
        <w:numPr>
          <w:ilvl w:val="0"/>
          <w:numId w:val="2"/>
        </w:numPr>
        <w:spacing w:line="480" w:lineRule="auto"/>
        <w:rPr>
          <w:szCs w:val="26"/>
        </w:rPr>
      </w:pPr>
      <w:r w:rsidRPr="00A27D6D">
        <w:rPr>
          <w:szCs w:val="26"/>
        </w:rPr>
        <w:t>The BA shall retain all monthly PFR performance reports since its last compliance audit.</w:t>
      </w:r>
    </w:p>
    <w:p w:rsidRPr="00A27D6D" w:rsidR="00190B0A" w:rsidP="00190B0A" w:rsidRDefault="00190B0A" w14:paraId="6CF070AC" w14:textId="77777777">
      <w:pPr>
        <w:numPr>
          <w:ilvl w:val="0"/>
          <w:numId w:val="2"/>
        </w:numPr>
        <w:spacing w:line="480" w:lineRule="auto"/>
        <w:rPr>
          <w:szCs w:val="26"/>
        </w:rPr>
      </w:pPr>
      <w:r w:rsidRPr="00A27D6D">
        <w:rPr>
          <w:szCs w:val="26"/>
        </w:rPr>
        <w:t>The BA shall retain all annual Interconnection minimum Frequency Response calculations, and related methodology and criteria documents, relating to time periods since its last compliance audit.</w:t>
      </w:r>
    </w:p>
    <w:p w:rsidRPr="00A27D6D" w:rsidR="00190B0A" w:rsidP="00190B0A" w:rsidRDefault="00190B0A" w14:paraId="6CF070AD" w14:textId="77777777">
      <w:pPr>
        <w:numPr>
          <w:ilvl w:val="0"/>
          <w:numId w:val="2"/>
        </w:numPr>
        <w:spacing w:line="480" w:lineRule="auto"/>
        <w:rPr>
          <w:szCs w:val="26"/>
        </w:rPr>
      </w:pPr>
      <w:r w:rsidRPr="00A27D6D">
        <w:rPr>
          <w:szCs w:val="26"/>
        </w:rPr>
        <w:t>The BA shall retain all data and calculations relating to the Interconnection’s Frequency Response, and all evidence of actions taken to increase the Interconnection’s Frequency Response, since its last compliance audit.</w:t>
      </w:r>
    </w:p>
    <w:p w:rsidRPr="00A27D6D" w:rsidR="00190B0A" w:rsidP="00190B0A" w:rsidRDefault="00190B0A" w14:paraId="6CF070AE" w14:textId="77777777">
      <w:pPr>
        <w:numPr>
          <w:ilvl w:val="0"/>
          <w:numId w:val="2"/>
        </w:numPr>
        <w:spacing w:line="480" w:lineRule="auto"/>
        <w:rPr>
          <w:szCs w:val="26"/>
        </w:rPr>
      </w:pPr>
      <w:r w:rsidRPr="00A27D6D">
        <w:rPr>
          <w:szCs w:val="26"/>
        </w:rPr>
        <w:t>Each GOP and GO shall retain evidence since its last compliance audit.</w:t>
      </w:r>
    </w:p>
    <w:p w:rsidRPr="00A27D6D" w:rsidR="00190B0A" w:rsidP="00190B0A" w:rsidRDefault="00190B0A" w14:paraId="6CF070AF" w14:textId="77777777">
      <w:pPr>
        <w:spacing w:line="480" w:lineRule="auto"/>
        <w:rPr>
          <w:szCs w:val="26"/>
        </w:rPr>
      </w:pPr>
      <w:r w:rsidRPr="00A27D6D">
        <w:rPr>
          <w:i/>
          <w:szCs w:val="26"/>
        </w:rPr>
        <w:t xml:space="preserve">Type of Respondents: </w:t>
      </w:r>
      <w:r w:rsidRPr="00A27D6D">
        <w:rPr>
          <w:szCs w:val="26"/>
        </w:rPr>
        <w:t xml:space="preserve">NERC Registered entities:  Balancing Authorities, Generator Owners, Generator Operators. </w:t>
      </w:r>
    </w:p>
    <w:p w:rsidR="00190B0A" w:rsidP="00190B0A" w:rsidRDefault="00190B0A" w14:paraId="6CF070B0" w14:textId="5D53A014">
      <w:pPr>
        <w:spacing w:line="480" w:lineRule="auto"/>
        <w:rPr>
          <w:szCs w:val="26"/>
        </w:rPr>
      </w:pPr>
      <w:r w:rsidRPr="00A27D6D">
        <w:rPr>
          <w:i/>
          <w:szCs w:val="26"/>
        </w:rPr>
        <w:t>Estimate of Annual Burden</w:t>
      </w:r>
      <w:r w:rsidRPr="00A27D6D">
        <w:rPr>
          <w:rStyle w:val="FootnoteReference"/>
          <w:i/>
        </w:rPr>
        <w:footnoteReference w:id="2"/>
      </w:r>
      <w:r w:rsidRPr="00A27D6D">
        <w:rPr>
          <w:i/>
          <w:szCs w:val="26"/>
        </w:rPr>
        <w:t xml:space="preserve">: </w:t>
      </w:r>
      <w:r w:rsidRPr="00A27D6D">
        <w:rPr>
          <w:szCs w:val="26"/>
        </w:rPr>
        <w:t>The Commission estimates the annual public reporting burden for the information collection as:</w:t>
      </w:r>
    </w:p>
    <w:p w:rsidR="004E21AB" w:rsidP="00190B0A" w:rsidRDefault="004E21AB" w14:paraId="6C3112E1" w14:textId="39E846CA">
      <w:pPr>
        <w:spacing w:line="480" w:lineRule="auto"/>
        <w:rPr>
          <w:szCs w:val="26"/>
        </w:rPr>
      </w:pPr>
    </w:p>
    <w:p w:rsidR="004E21AB" w:rsidP="00190B0A" w:rsidRDefault="004E21AB" w14:paraId="1EF08E33" w14:textId="21076B76">
      <w:pPr>
        <w:spacing w:line="480" w:lineRule="auto"/>
        <w:rPr>
          <w:szCs w:val="26"/>
        </w:rPr>
      </w:pPr>
    </w:p>
    <w:p w:rsidRPr="00A27D6D" w:rsidR="004E21AB" w:rsidP="00190B0A" w:rsidRDefault="004E21AB" w14:paraId="34B25892" w14:textId="77777777">
      <w:pPr>
        <w:spacing w:line="480" w:lineRule="auto"/>
        <w:rPr>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A27D6D" w:rsidR="00190B0A" w:rsidTr="002B6F86" w14:paraId="6CF070B2" w14:textId="77777777">
        <w:trPr>
          <w:cantSplit/>
        </w:trPr>
        <w:tc>
          <w:tcPr>
            <w:tcW w:w="5000" w:type="pct"/>
            <w:gridSpan w:val="7"/>
            <w:tcBorders>
              <w:bottom w:val="single" w:color="auto" w:sz="4" w:space="0"/>
            </w:tcBorders>
            <w:shd w:val="clear" w:color="auto" w:fill="D9D9D9"/>
          </w:tcPr>
          <w:p w:rsidRPr="00A27D6D" w:rsidR="00190B0A" w:rsidP="002B6F86" w:rsidRDefault="00190B0A" w14:paraId="6CF070B1" w14:textId="77777777">
            <w:pPr>
              <w:jc w:val="center"/>
              <w:rPr>
                <w:rFonts w:eastAsia="Calibri"/>
                <w:b/>
                <w:szCs w:val="26"/>
              </w:rPr>
            </w:pPr>
            <w:r w:rsidRPr="00A27D6D">
              <w:rPr>
                <w:rFonts w:eastAsia="Calibri"/>
                <w:b/>
                <w:szCs w:val="26"/>
              </w:rPr>
              <w:t>FERC-725T (Mandatory Reliability Standards for the Bulk-Power System: TRE Reliability Standards)</w:t>
            </w:r>
          </w:p>
        </w:tc>
      </w:tr>
      <w:tr w:rsidRPr="00A27D6D" w:rsidR="00190B0A" w:rsidTr="002B6F86" w14:paraId="6CF070BF" w14:textId="77777777">
        <w:trPr>
          <w:cantSplit/>
        </w:trPr>
        <w:tc>
          <w:tcPr>
            <w:tcW w:w="878" w:type="pct"/>
            <w:shd w:val="clear" w:color="auto" w:fill="D9D9D9"/>
          </w:tcPr>
          <w:p w:rsidRPr="00A27D6D" w:rsidR="00190B0A" w:rsidP="002B6F86" w:rsidRDefault="00190B0A" w14:paraId="6CF070B3" w14:textId="77777777">
            <w:pPr>
              <w:jc w:val="center"/>
              <w:rPr>
                <w:rFonts w:eastAsia="Calibri"/>
                <w:b/>
                <w:szCs w:val="26"/>
              </w:rPr>
            </w:pPr>
          </w:p>
        </w:tc>
        <w:tc>
          <w:tcPr>
            <w:tcW w:w="746" w:type="pct"/>
            <w:shd w:val="clear" w:color="auto" w:fill="D9D9D9"/>
            <w:vAlign w:val="bottom"/>
          </w:tcPr>
          <w:p w:rsidRPr="00A27D6D" w:rsidR="00190B0A" w:rsidP="002B6F86" w:rsidRDefault="00190B0A" w14:paraId="6CF070B4" w14:textId="77777777">
            <w:pPr>
              <w:jc w:val="center"/>
              <w:rPr>
                <w:rFonts w:eastAsia="Calibri"/>
                <w:b/>
                <w:szCs w:val="26"/>
              </w:rPr>
            </w:pPr>
            <w:r w:rsidRPr="00A27D6D">
              <w:rPr>
                <w:rFonts w:eastAsia="Calibri"/>
                <w:b/>
                <w:szCs w:val="26"/>
              </w:rPr>
              <w:t>Number of Respondents</w:t>
            </w:r>
            <w:r w:rsidRPr="00A27D6D">
              <w:rPr>
                <w:rFonts w:eastAsia="Calibri"/>
                <w:b/>
                <w:szCs w:val="26"/>
              </w:rPr>
              <w:br/>
              <w:t>(1)</w:t>
            </w:r>
          </w:p>
        </w:tc>
        <w:tc>
          <w:tcPr>
            <w:tcW w:w="746" w:type="pct"/>
            <w:shd w:val="clear" w:color="auto" w:fill="D9D9D9"/>
            <w:vAlign w:val="bottom"/>
          </w:tcPr>
          <w:p w:rsidRPr="00A27D6D" w:rsidR="00190B0A" w:rsidP="002B6F86" w:rsidRDefault="00190B0A" w14:paraId="6CF070B5" w14:textId="77777777">
            <w:pPr>
              <w:jc w:val="center"/>
              <w:rPr>
                <w:rFonts w:eastAsia="Calibri"/>
                <w:b/>
                <w:szCs w:val="26"/>
              </w:rPr>
            </w:pPr>
            <w:r w:rsidRPr="00A27D6D">
              <w:rPr>
                <w:rFonts w:eastAsia="Calibri"/>
                <w:b/>
                <w:szCs w:val="26"/>
              </w:rPr>
              <w:t>Annual Number of Responses per Respondent</w:t>
            </w:r>
          </w:p>
          <w:p w:rsidRPr="00A27D6D" w:rsidR="00190B0A" w:rsidP="002B6F86" w:rsidRDefault="00190B0A" w14:paraId="6CF070B6" w14:textId="77777777">
            <w:pPr>
              <w:jc w:val="center"/>
              <w:rPr>
                <w:rFonts w:eastAsia="Calibri"/>
                <w:b/>
                <w:szCs w:val="26"/>
              </w:rPr>
            </w:pPr>
            <w:r w:rsidRPr="00A27D6D">
              <w:rPr>
                <w:rFonts w:eastAsia="Calibri"/>
                <w:b/>
                <w:szCs w:val="26"/>
              </w:rPr>
              <w:t>(2)</w:t>
            </w:r>
          </w:p>
        </w:tc>
        <w:tc>
          <w:tcPr>
            <w:tcW w:w="703" w:type="pct"/>
            <w:shd w:val="clear" w:color="auto" w:fill="D9D9D9"/>
            <w:vAlign w:val="bottom"/>
          </w:tcPr>
          <w:p w:rsidRPr="00A27D6D" w:rsidR="00190B0A" w:rsidP="002B6F86" w:rsidRDefault="00190B0A" w14:paraId="6CF070B7" w14:textId="77777777">
            <w:pPr>
              <w:jc w:val="center"/>
              <w:rPr>
                <w:rFonts w:eastAsia="Calibri"/>
                <w:b/>
                <w:szCs w:val="26"/>
              </w:rPr>
            </w:pPr>
            <w:r w:rsidRPr="00A27D6D">
              <w:rPr>
                <w:rFonts w:eastAsia="Calibri"/>
                <w:b/>
                <w:szCs w:val="26"/>
              </w:rPr>
              <w:t>Total Number of Responses (1)*(2)=(3)</w:t>
            </w:r>
          </w:p>
        </w:tc>
        <w:tc>
          <w:tcPr>
            <w:tcW w:w="654" w:type="pct"/>
            <w:shd w:val="clear" w:color="auto" w:fill="D9D9D9"/>
            <w:vAlign w:val="bottom"/>
          </w:tcPr>
          <w:p w:rsidRPr="00A27D6D" w:rsidR="00190B0A" w:rsidP="002B6F86" w:rsidRDefault="00190B0A" w14:paraId="6CF070B8" w14:textId="77777777">
            <w:pPr>
              <w:jc w:val="center"/>
              <w:rPr>
                <w:rFonts w:eastAsia="Calibri"/>
                <w:b/>
                <w:szCs w:val="26"/>
              </w:rPr>
            </w:pPr>
            <w:r w:rsidRPr="00A27D6D">
              <w:rPr>
                <w:rFonts w:eastAsia="Calibri"/>
                <w:b/>
                <w:szCs w:val="26"/>
              </w:rPr>
              <w:t>Average Burden &amp; Cost Per Response</w:t>
            </w:r>
            <w:bookmarkStart w:name="_Ref366073887" w:id="3"/>
            <w:r w:rsidRPr="00A27D6D">
              <w:rPr>
                <w:b/>
                <w:szCs w:val="26"/>
                <w:vertAlign w:val="superscript"/>
              </w:rPr>
              <w:footnoteReference w:id="3"/>
            </w:r>
            <w:bookmarkEnd w:id="3"/>
          </w:p>
          <w:p w:rsidRPr="00A27D6D" w:rsidR="00190B0A" w:rsidP="002B6F86" w:rsidRDefault="00190B0A" w14:paraId="6CF070B9" w14:textId="77777777">
            <w:pPr>
              <w:jc w:val="center"/>
              <w:rPr>
                <w:rFonts w:eastAsia="Calibri"/>
                <w:b/>
                <w:szCs w:val="26"/>
              </w:rPr>
            </w:pPr>
            <w:r w:rsidRPr="00A27D6D">
              <w:rPr>
                <w:rFonts w:eastAsia="Calibri"/>
                <w:b/>
                <w:szCs w:val="26"/>
              </w:rPr>
              <w:t>(4)</w:t>
            </w:r>
          </w:p>
        </w:tc>
        <w:tc>
          <w:tcPr>
            <w:tcW w:w="657" w:type="pct"/>
            <w:shd w:val="clear" w:color="auto" w:fill="D9D9D9"/>
            <w:vAlign w:val="bottom"/>
          </w:tcPr>
          <w:p w:rsidRPr="00A27D6D" w:rsidR="00190B0A" w:rsidP="002B6F86" w:rsidRDefault="00190B0A" w14:paraId="6CF070BA" w14:textId="77777777">
            <w:pPr>
              <w:jc w:val="center"/>
              <w:rPr>
                <w:rFonts w:eastAsia="Calibri"/>
                <w:b/>
                <w:szCs w:val="26"/>
              </w:rPr>
            </w:pPr>
            <w:r w:rsidRPr="00A27D6D">
              <w:rPr>
                <w:rFonts w:eastAsia="Calibri"/>
                <w:b/>
                <w:szCs w:val="26"/>
              </w:rPr>
              <w:t>Total Annual Burden Hours &amp; Total Annual Cost</w:t>
            </w:r>
          </w:p>
          <w:p w:rsidRPr="00A27D6D" w:rsidR="00190B0A" w:rsidP="002B6F86" w:rsidRDefault="00190B0A" w14:paraId="6CF070BB" w14:textId="77777777">
            <w:pPr>
              <w:jc w:val="center"/>
              <w:rPr>
                <w:rFonts w:eastAsia="Calibri"/>
                <w:b/>
                <w:szCs w:val="26"/>
              </w:rPr>
            </w:pPr>
            <w:r w:rsidRPr="00A27D6D">
              <w:rPr>
                <w:rFonts w:eastAsia="Calibri"/>
                <w:b/>
                <w:szCs w:val="26"/>
              </w:rPr>
              <w:t>(3)*(4)=(5)</w:t>
            </w:r>
          </w:p>
        </w:tc>
        <w:tc>
          <w:tcPr>
            <w:tcW w:w="616" w:type="pct"/>
            <w:shd w:val="clear" w:color="auto" w:fill="D9D9D9"/>
            <w:vAlign w:val="bottom"/>
          </w:tcPr>
          <w:p w:rsidRPr="00A27D6D" w:rsidR="00190B0A" w:rsidP="002B6F86" w:rsidRDefault="00190B0A" w14:paraId="6CF070BC" w14:textId="77777777">
            <w:pPr>
              <w:jc w:val="center"/>
              <w:rPr>
                <w:rFonts w:eastAsia="Calibri"/>
                <w:b/>
                <w:szCs w:val="26"/>
              </w:rPr>
            </w:pPr>
            <w:r w:rsidRPr="00A27D6D">
              <w:rPr>
                <w:rFonts w:eastAsia="Calibri"/>
                <w:b/>
                <w:szCs w:val="26"/>
              </w:rPr>
              <w:t>Cost per Respondent</w:t>
            </w:r>
          </w:p>
          <w:p w:rsidRPr="00A27D6D" w:rsidR="00190B0A" w:rsidP="002B6F86" w:rsidRDefault="00190B0A" w14:paraId="6CF070BD" w14:textId="77777777">
            <w:pPr>
              <w:jc w:val="center"/>
              <w:rPr>
                <w:rFonts w:eastAsia="Calibri"/>
                <w:b/>
                <w:szCs w:val="26"/>
              </w:rPr>
            </w:pPr>
            <w:r w:rsidRPr="00A27D6D">
              <w:rPr>
                <w:rFonts w:eastAsia="Calibri"/>
                <w:b/>
                <w:szCs w:val="26"/>
              </w:rPr>
              <w:t xml:space="preserve"> ($)</w:t>
            </w:r>
          </w:p>
          <w:p w:rsidRPr="00A27D6D" w:rsidR="00190B0A" w:rsidP="002B6F86" w:rsidRDefault="00190B0A" w14:paraId="6CF070BE" w14:textId="77777777">
            <w:pPr>
              <w:jc w:val="center"/>
              <w:rPr>
                <w:rFonts w:eastAsia="Calibri"/>
                <w:b/>
                <w:szCs w:val="26"/>
              </w:rPr>
            </w:pPr>
            <w:r w:rsidRPr="00A27D6D">
              <w:rPr>
                <w:rFonts w:eastAsia="Calibri"/>
                <w:b/>
                <w:szCs w:val="26"/>
              </w:rPr>
              <w:t>(5)÷(1)</w:t>
            </w:r>
          </w:p>
        </w:tc>
      </w:tr>
      <w:tr w:rsidRPr="00A27D6D" w:rsidR="00190B0A" w:rsidTr="002B6F86" w14:paraId="6CF070CB" w14:textId="77777777">
        <w:trPr>
          <w:cantSplit/>
        </w:trPr>
        <w:tc>
          <w:tcPr>
            <w:tcW w:w="878" w:type="pct"/>
          </w:tcPr>
          <w:p w:rsidRPr="00A27D6D" w:rsidR="00190B0A" w:rsidP="002B6F86" w:rsidRDefault="00190B0A" w14:paraId="6CF070C0" w14:textId="77777777">
            <w:pPr>
              <w:rPr>
                <w:rFonts w:eastAsia="Calibri"/>
                <w:szCs w:val="26"/>
              </w:rPr>
            </w:pPr>
            <w:r w:rsidRPr="00A27D6D">
              <w:rPr>
                <w:rFonts w:eastAsia="Calibri"/>
                <w:szCs w:val="26"/>
              </w:rPr>
              <w:t>Maintenance and Submission of Event Log Data</w:t>
            </w:r>
          </w:p>
        </w:tc>
        <w:tc>
          <w:tcPr>
            <w:tcW w:w="746" w:type="pct"/>
          </w:tcPr>
          <w:p w:rsidRPr="00A27D6D" w:rsidR="00190B0A" w:rsidP="002B6F86" w:rsidRDefault="00190B0A" w14:paraId="6CF070C1" w14:textId="77777777">
            <w:pPr>
              <w:jc w:val="right"/>
              <w:rPr>
                <w:rFonts w:eastAsia="Calibri"/>
                <w:szCs w:val="26"/>
              </w:rPr>
            </w:pPr>
            <w:r w:rsidRPr="00A27D6D">
              <w:rPr>
                <w:rFonts w:eastAsia="Calibri"/>
                <w:szCs w:val="26"/>
              </w:rPr>
              <w:t>1</w:t>
            </w:r>
            <w:r w:rsidRPr="00A27D6D">
              <w:rPr>
                <w:rStyle w:val="FootnoteReference"/>
                <w:rFonts w:eastAsia="Calibri"/>
              </w:rPr>
              <w:footnoteReference w:id="4"/>
            </w:r>
          </w:p>
          <w:p w:rsidRPr="00A27D6D" w:rsidR="00190B0A" w:rsidP="002B6F86" w:rsidRDefault="00190B0A" w14:paraId="6CF070C2" w14:textId="77777777">
            <w:pPr>
              <w:jc w:val="right"/>
              <w:rPr>
                <w:rFonts w:eastAsia="Calibri"/>
                <w:szCs w:val="26"/>
              </w:rPr>
            </w:pPr>
          </w:p>
        </w:tc>
        <w:tc>
          <w:tcPr>
            <w:tcW w:w="746" w:type="pct"/>
          </w:tcPr>
          <w:p w:rsidRPr="00A27D6D" w:rsidR="00190B0A" w:rsidP="002B6F86" w:rsidRDefault="00190B0A" w14:paraId="6CF070C3" w14:textId="77777777">
            <w:pPr>
              <w:jc w:val="right"/>
              <w:rPr>
                <w:rFonts w:eastAsia="Calibri"/>
                <w:szCs w:val="26"/>
              </w:rPr>
            </w:pPr>
            <w:r w:rsidRPr="00A27D6D">
              <w:rPr>
                <w:rFonts w:eastAsia="Calibri"/>
                <w:szCs w:val="26"/>
              </w:rPr>
              <w:t>1</w:t>
            </w:r>
          </w:p>
        </w:tc>
        <w:tc>
          <w:tcPr>
            <w:tcW w:w="703" w:type="pct"/>
          </w:tcPr>
          <w:p w:rsidRPr="00A27D6D" w:rsidR="00190B0A" w:rsidP="002B6F86" w:rsidRDefault="00190B0A" w14:paraId="6CF070C4" w14:textId="77777777">
            <w:pPr>
              <w:jc w:val="right"/>
              <w:rPr>
                <w:rFonts w:eastAsia="Calibri"/>
                <w:szCs w:val="26"/>
              </w:rPr>
            </w:pPr>
            <w:r w:rsidRPr="00A27D6D">
              <w:rPr>
                <w:rFonts w:eastAsia="Calibri"/>
                <w:szCs w:val="26"/>
              </w:rPr>
              <w:t>1</w:t>
            </w:r>
          </w:p>
        </w:tc>
        <w:tc>
          <w:tcPr>
            <w:tcW w:w="654" w:type="pct"/>
          </w:tcPr>
          <w:p w:rsidRPr="00A27D6D" w:rsidR="00190B0A" w:rsidP="002B6F86" w:rsidRDefault="00190B0A" w14:paraId="6CF070C5" w14:textId="77777777">
            <w:pPr>
              <w:jc w:val="right"/>
              <w:rPr>
                <w:rFonts w:eastAsia="Calibri"/>
                <w:szCs w:val="26"/>
              </w:rPr>
            </w:pPr>
            <w:r w:rsidRPr="00A27D6D">
              <w:rPr>
                <w:rFonts w:eastAsia="Calibri"/>
                <w:szCs w:val="26"/>
              </w:rPr>
              <w:t xml:space="preserve">16 hrs.; </w:t>
            </w:r>
          </w:p>
          <w:p w:rsidRPr="00A27D6D" w:rsidR="00190B0A" w:rsidP="002B6F86" w:rsidRDefault="00190B0A" w14:paraId="6CF070C6" w14:textId="77777777">
            <w:pPr>
              <w:jc w:val="right"/>
              <w:rPr>
                <w:rFonts w:eastAsia="Calibri"/>
                <w:szCs w:val="26"/>
              </w:rPr>
            </w:pPr>
            <w:r w:rsidRPr="00A27D6D">
              <w:rPr>
                <w:rFonts w:eastAsia="Calibri"/>
                <w:szCs w:val="26"/>
              </w:rPr>
              <w:t>$821.44</w:t>
            </w:r>
          </w:p>
        </w:tc>
        <w:tc>
          <w:tcPr>
            <w:tcW w:w="657" w:type="pct"/>
          </w:tcPr>
          <w:p w:rsidRPr="00A27D6D" w:rsidR="00190B0A" w:rsidP="002B6F86" w:rsidRDefault="00190B0A" w14:paraId="6CF070C7" w14:textId="77777777">
            <w:pPr>
              <w:jc w:val="right"/>
              <w:rPr>
                <w:rFonts w:eastAsia="Calibri"/>
                <w:szCs w:val="26"/>
              </w:rPr>
            </w:pPr>
            <w:r w:rsidRPr="00A27D6D">
              <w:rPr>
                <w:rFonts w:eastAsia="Calibri"/>
                <w:szCs w:val="26"/>
              </w:rPr>
              <w:t xml:space="preserve"> 16 hrs.; </w:t>
            </w:r>
          </w:p>
          <w:p w:rsidRPr="00A27D6D" w:rsidR="00190B0A" w:rsidP="002B6F86" w:rsidRDefault="00190B0A" w14:paraId="6CF070C8" w14:textId="77777777">
            <w:pPr>
              <w:jc w:val="right"/>
              <w:rPr>
                <w:rFonts w:eastAsia="Calibri"/>
                <w:szCs w:val="26"/>
              </w:rPr>
            </w:pPr>
            <w:r w:rsidRPr="00A27D6D">
              <w:rPr>
                <w:rFonts w:eastAsia="Calibri"/>
                <w:szCs w:val="26"/>
              </w:rPr>
              <w:t xml:space="preserve">$821.44 </w:t>
            </w:r>
          </w:p>
        </w:tc>
        <w:tc>
          <w:tcPr>
            <w:tcW w:w="616" w:type="pct"/>
          </w:tcPr>
          <w:p w:rsidRPr="00A27D6D" w:rsidR="00190B0A" w:rsidP="002B6F86" w:rsidRDefault="00190B0A" w14:paraId="6CF070C9" w14:textId="77777777">
            <w:pPr>
              <w:jc w:val="right"/>
              <w:rPr>
                <w:rFonts w:eastAsia="Calibri"/>
                <w:szCs w:val="26"/>
              </w:rPr>
            </w:pPr>
            <w:r w:rsidRPr="00A27D6D">
              <w:rPr>
                <w:rFonts w:eastAsia="Calibri"/>
                <w:szCs w:val="26"/>
              </w:rPr>
              <w:t xml:space="preserve">$821.44 </w:t>
            </w:r>
          </w:p>
          <w:p w:rsidRPr="00A27D6D" w:rsidR="00190B0A" w:rsidP="002B6F86" w:rsidRDefault="00190B0A" w14:paraId="6CF070CA" w14:textId="77777777">
            <w:pPr>
              <w:jc w:val="right"/>
              <w:rPr>
                <w:rFonts w:eastAsia="Calibri"/>
                <w:szCs w:val="26"/>
              </w:rPr>
            </w:pPr>
          </w:p>
        </w:tc>
      </w:tr>
      <w:tr w:rsidRPr="00A27D6D" w:rsidR="00190B0A" w:rsidTr="002B6F86" w14:paraId="6CF070D5" w14:textId="77777777">
        <w:trPr>
          <w:cantSplit/>
        </w:trPr>
        <w:tc>
          <w:tcPr>
            <w:tcW w:w="878" w:type="pct"/>
          </w:tcPr>
          <w:p w:rsidRPr="00A27D6D" w:rsidR="00190B0A" w:rsidP="002B6F86" w:rsidRDefault="00190B0A" w14:paraId="6CF070CC" w14:textId="77777777">
            <w:pPr>
              <w:rPr>
                <w:rFonts w:eastAsia="Calibri"/>
                <w:szCs w:val="26"/>
              </w:rPr>
            </w:pPr>
            <w:r w:rsidRPr="00A27D6D">
              <w:rPr>
                <w:rFonts w:eastAsia="Calibri"/>
                <w:szCs w:val="26"/>
              </w:rPr>
              <w:t>Evidence Retention</w:t>
            </w:r>
          </w:p>
        </w:tc>
        <w:tc>
          <w:tcPr>
            <w:tcW w:w="746" w:type="pct"/>
          </w:tcPr>
          <w:p w:rsidRPr="00A27D6D" w:rsidR="00190B0A" w:rsidP="002B6F86" w:rsidRDefault="00190B0A" w14:paraId="6CF070CD" w14:textId="77777777">
            <w:pPr>
              <w:jc w:val="right"/>
              <w:rPr>
                <w:rFonts w:eastAsia="Calibri"/>
                <w:szCs w:val="26"/>
              </w:rPr>
            </w:pPr>
            <w:r w:rsidRPr="00A27D6D">
              <w:rPr>
                <w:rFonts w:eastAsia="Calibri"/>
                <w:szCs w:val="26"/>
              </w:rPr>
              <w:t>130</w:t>
            </w:r>
            <w:r w:rsidRPr="00A27D6D">
              <w:rPr>
                <w:rStyle w:val="FootnoteReference"/>
                <w:rFonts w:eastAsia="Calibri"/>
              </w:rPr>
              <w:footnoteReference w:id="5"/>
            </w:r>
          </w:p>
        </w:tc>
        <w:tc>
          <w:tcPr>
            <w:tcW w:w="746" w:type="pct"/>
          </w:tcPr>
          <w:p w:rsidRPr="00A27D6D" w:rsidR="00190B0A" w:rsidP="002B6F86" w:rsidRDefault="00190B0A" w14:paraId="6CF070CE" w14:textId="77777777">
            <w:pPr>
              <w:jc w:val="right"/>
              <w:rPr>
                <w:rFonts w:eastAsia="Calibri"/>
                <w:szCs w:val="26"/>
              </w:rPr>
            </w:pPr>
            <w:r w:rsidRPr="00A27D6D">
              <w:rPr>
                <w:rFonts w:eastAsia="Calibri"/>
                <w:szCs w:val="26"/>
              </w:rPr>
              <w:t>1</w:t>
            </w:r>
          </w:p>
        </w:tc>
        <w:tc>
          <w:tcPr>
            <w:tcW w:w="703" w:type="pct"/>
          </w:tcPr>
          <w:p w:rsidRPr="00A27D6D" w:rsidR="00190B0A" w:rsidP="002B6F86" w:rsidRDefault="00190B0A" w14:paraId="6CF070CF" w14:textId="77777777">
            <w:pPr>
              <w:jc w:val="right"/>
              <w:rPr>
                <w:rFonts w:eastAsia="Calibri"/>
                <w:szCs w:val="26"/>
              </w:rPr>
            </w:pPr>
            <w:r w:rsidRPr="00A27D6D">
              <w:rPr>
                <w:rFonts w:eastAsia="Calibri"/>
                <w:szCs w:val="26"/>
              </w:rPr>
              <w:t>130</w:t>
            </w:r>
          </w:p>
        </w:tc>
        <w:tc>
          <w:tcPr>
            <w:tcW w:w="654" w:type="pct"/>
          </w:tcPr>
          <w:p w:rsidRPr="00A27D6D" w:rsidR="00190B0A" w:rsidP="002B6F86" w:rsidRDefault="00190B0A" w14:paraId="6CF070D0" w14:textId="77777777">
            <w:pPr>
              <w:jc w:val="right"/>
              <w:rPr>
                <w:rFonts w:eastAsia="Calibri"/>
                <w:szCs w:val="26"/>
              </w:rPr>
            </w:pPr>
            <w:r w:rsidRPr="00A27D6D">
              <w:rPr>
                <w:rFonts w:eastAsia="Calibri"/>
                <w:szCs w:val="26"/>
              </w:rPr>
              <w:t xml:space="preserve">2 hrs.; </w:t>
            </w:r>
          </w:p>
          <w:p w:rsidRPr="00A27D6D" w:rsidR="00190B0A" w:rsidP="002B6F86" w:rsidRDefault="00190B0A" w14:paraId="6CF070D1" w14:textId="77777777">
            <w:pPr>
              <w:jc w:val="right"/>
              <w:rPr>
                <w:rFonts w:eastAsia="Calibri"/>
                <w:szCs w:val="26"/>
              </w:rPr>
            </w:pPr>
            <w:r w:rsidRPr="00A27D6D">
              <w:rPr>
                <w:rFonts w:eastAsia="Calibri"/>
                <w:szCs w:val="26"/>
              </w:rPr>
              <w:t>$102.68</w:t>
            </w:r>
          </w:p>
        </w:tc>
        <w:tc>
          <w:tcPr>
            <w:tcW w:w="657" w:type="pct"/>
          </w:tcPr>
          <w:p w:rsidRPr="00A27D6D" w:rsidR="00190B0A" w:rsidP="002B6F86" w:rsidRDefault="00190B0A" w14:paraId="6CF070D2" w14:textId="77777777">
            <w:pPr>
              <w:jc w:val="right"/>
              <w:rPr>
                <w:rFonts w:eastAsia="Calibri"/>
                <w:szCs w:val="26"/>
              </w:rPr>
            </w:pPr>
            <w:r w:rsidRPr="00A27D6D">
              <w:rPr>
                <w:rFonts w:eastAsia="Calibri"/>
                <w:szCs w:val="26"/>
              </w:rPr>
              <w:t>260 hrs.;</w:t>
            </w:r>
          </w:p>
          <w:p w:rsidRPr="00A27D6D" w:rsidR="00190B0A" w:rsidP="002B6F86" w:rsidRDefault="00190B0A" w14:paraId="6CF070D3" w14:textId="77777777">
            <w:pPr>
              <w:jc w:val="right"/>
              <w:rPr>
                <w:rFonts w:eastAsia="Calibri"/>
                <w:szCs w:val="26"/>
              </w:rPr>
            </w:pPr>
            <w:r w:rsidRPr="00A27D6D">
              <w:rPr>
                <w:rFonts w:eastAsia="Calibri"/>
                <w:szCs w:val="26"/>
              </w:rPr>
              <w:t>$13,348.4</w:t>
            </w:r>
          </w:p>
        </w:tc>
        <w:tc>
          <w:tcPr>
            <w:tcW w:w="616" w:type="pct"/>
          </w:tcPr>
          <w:p w:rsidRPr="00A27D6D" w:rsidR="00190B0A" w:rsidP="002B6F86" w:rsidRDefault="00190B0A" w14:paraId="6CF070D4" w14:textId="77777777">
            <w:pPr>
              <w:jc w:val="right"/>
              <w:rPr>
                <w:rFonts w:eastAsia="Calibri"/>
                <w:szCs w:val="26"/>
              </w:rPr>
            </w:pPr>
            <w:r w:rsidRPr="00A27D6D">
              <w:rPr>
                <w:rFonts w:eastAsia="Calibri"/>
                <w:szCs w:val="26"/>
              </w:rPr>
              <w:t>$102.68</w:t>
            </w:r>
          </w:p>
        </w:tc>
      </w:tr>
      <w:tr w:rsidRPr="00A27D6D" w:rsidR="00190B0A" w:rsidTr="002B6F86" w14:paraId="6CF070DD" w14:textId="77777777">
        <w:trPr>
          <w:cantSplit/>
          <w:trHeight w:val="485"/>
        </w:trPr>
        <w:tc>
          <w:tcPr>
            <w:tcW w:w="878" w:type="pct"/>
            <w:tcBorders>
              <w:bottom w:val="single" w:color="auto" w:sz="4" w:space="0"/>
            </w:tcBorders>
          </w:tcPr>
          <w:p w:rsidRPr="00A27D6D" w:rsidR="00190B0A" w:rsidP="002B6F86" w:rsidRDefault="00190B0A" w14:paraId="6CF070D6" w14:textId="77777777">
            <w:pPr>
              <w:rPr>
                <w:rFonts w:eastAsia="Calibri"/>
                <w:b/>
                <w:szCs w:val="26"/>
              </w:rPr>
            </w:pPr>
            <w:r w:rsidRPr="00A27D6D">
              <w:rPr>
                <w:rFonts w:eastAsia="Calibri"/>
                <w:b/>
                <w:szCs w:val="26"/>
              </w:rPr>
              <w:t>TOTAL</w:t>
            </w:r>
          </w:p>
        </w:tc>
        <w:tc>
          <w:tcPr>
            <w:tcW w:w="1492" w:type="pct"/>
            <w:gridSpan w:val="2"/>
            <w:tcBorders>
              <w:bottom w:val="single" w:color="auto" w:sz="4" w:space="0"/>
            </w:tcBorders>
            <w:shd w:val="clear" w:color="auto" w:fill="D9D9D9"/>
          </w:tcPr>
          <w:p w:rsidRPr="00A27D6D" w:rsidR="00190B0A" w:rsidP="002B6F86" w:rsidRDefault="00190B0A" w14:paraId="6CF070D7" w14:textId="77777777">
            <w:pPr>
              <w:jc w:val="right"/>
              <w:rPr>
                <w:rFonts w:eastAsia="Calibri"/>
                <w:szCs w:val="26"/>
              </w:rPr>
            </w:pPr>
          </w:p>
        </w:tc>
        <w:tc>
          <w:tcPr>
            <w:tcW w:w="703" w:type="pct"/>
            <w:tcBorders>
              <w:bottom w:val="single" w:color="auto" w:sz="4" w:space="0"/>
            </w:tcBorders>
            <w:shd w:val="clear" w:color="auto" w:fill="auto"/>
          </w:tcPr>
          <w:p w:rsidRPr="00A27D6D" w:rsidR="00190B0A" w:rsidP="002B6F86" w:rsidRDefault="00190B0A" w14:paraId="6CF070D8" w14:textId="77777777">
            <w:pPr>
              <w:jc w:val="right"/>
              <w:rPr>
                <w:rFonts w:eastAsia="Calibri"/>
                <w:b/>
                <w:szCs w:val="26"/>
              </w:rPr>
            </w:pPr>
            <w:r w:rsidRPr="00A27D6D">
              <w:rPr>
                <w:rFonts w:eastAsia="Calibri"/>
                <w:b/>
                <w:szCs w:val="26"/>
              </w:rPr>
              <w:t>131</w:t>
            </w:r>
          </w:p>
        </w:tc>
        <w:tc>
          <w:tcPr>
            <w:tcW w:w="654" w:type="pct"/>
            <w:tcBorders>
              <w:bottom w:val="single" w:color="auto" w:sz="4" w:space="0"/>
            </w:tcBorders>
            <w:shd w:val="clear" w:color="auto" w:fill="D9D9D9"/>
          </w:tcPr>
          <w:p w:rsidRPr="00A27D6D" w:rsidR="00190B0A" w:rsidP="002B6F86" w:rsidRDefault="00190B0A" w14:paraId="6CF070D9" w14:textId="77777777">
            <w:pPr>
              <w:jc w:val="right"/>
              <w:rPr>
                <w:rFonts w:eastAsia="Calibri"/>
                <w:szCs w:val="26"/>
              </w:rPr>
            </w:pPr>
          </w:p>
        </w:tc>
        <w:tc>
          <w:tcPr>
            <w:tcW w:w="657" w:type="pct"/>
            <w:tcBorders>
              <w:bottom w:val="single" w:color="auto" w:sz="4" w:space="0"/>
            </w:tcBorders>
          </w:tcPr>
          <w:p w:rsidRPr="00A27D6D" w:rsidR="00190B0A" w:rsidP="002B6F86" w:rsidRDefault="00190B0A" w14:paraId="6CF070DA" w14:textId="77777777">
            <w:pPr>
              <w:jc w:val="right"/>
              <w:rPr>
                <w:rFonts w:eastAsia="Calibri"/>
                <w:b/>
                <w:szCs w:val="26"/>
              </w:rPr>
            </w:pPr>
            <w:r w:rsidRPr="00A27D6D">
              <w:rPr>
                <w:rFonts w:eastAsia="Calibri"/>
                <w:b/>
                <w:szCs w:val="26"/>
              </w:rPr>
              <w:t>276 hrs.;</w:t>
            </w:r>
          </w:p>
          <w:p w:rsidRPr="00A27D6D" w:rsidR="00190B0A" w:rsidP="002B6F86" w:rsidRDefault="00190B0A" w14:paraId="6CF070DB" w14:textId="77777777">
            <w:pPr>
              <w:jc w:val="right"/>
              <w:rPr>
                <w:rFonts w:eastAsia="Calibri"/>
                <w:b/>
                <w:szCs w:val="26"/>
              </w:rPr>
            </w:pPr>
            <w:r w:rsidRPr="00A27D6D">
              <w:rPr>
                <w:rFonts w:eastAsia="Calibri"/>
                <w:b/>
                <w:szCs w:val="26"/>
              </w:rPr>
              <w:t xml:space="preserve">$14,169.84  </w:t>
            </w:r>
          </w:p>
        </w:tc>
        <w:tc>
          <w:tcPr>
            <w:tcW w:w="616" w:type="pct"/>
            <w:tcBorders>
              <w:bottom w:val="single" w:color="auto" w:sz="4" w:space="0"/>
            </w:tcBorders>
            <w:shd w:val="clear" w:color="auto" w:fill="D9D9D9"/>
          </w:tcPr>
          <w:p w:rsidRPr="00A27D6D" w:rsidR="00190B0A" w:rsidP="002B6F86" w:rsidRDefault="00190B0A" w14:paraId="6CF070DC" w14:textId="77777777">
            <w:pPr>
              <w:jc w:val="right"/>
              <w:rPr>
                <w:rFonts w:eastAsia="Calibri"/>
                <w:b/>
                <w:szCs w:val="26"/>
              </w:rPr>
            </w:pPr>
          </w:p>
        </w:tc>
      </w:tr>
    </w:tbl>
    <w:p w:rsidRPr="00A27D6D" w:rsidR="00190B0A" w:rsidP="00190B0A" w:rsidRDefault="00190B0A" w14:paraId="6CF070DE" w14:textId="77777777">
      <w:pPr>
        <w:spacing w:line="480" w:lineRule="auto"/>
        <w:rPr>
          <w:szCs w:val="26"/>
        </w:rPr>
      </w:pPr>
    </w:p>
    <w:p w:rsidRPr="00A27D6D" w:rsidR="00190B0A" w:rsidP="00190B0A" w:rsidRDefault="00190B0A" w14:paraId="6CF070DF" w14:textId="77777777">
      <w:pPr>
        <w:spacing w:line="480" w:lineRule="auto"/>
        <w:rPr>
          <w:szCs w:val="26"/>
        </w:rPr>
      </w:pPr>
      <w:r w:rsidRPr="00A27D6D">
        <w:rPr>
          <w:i/>
          <w:szCs w:val="26"/>
        </w:rPr>
        <w:t xml:space="preserve">Comments:  </w:t>
      </w:r>
      <w:r w:rsidRPr="00A27D6D">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A27D6D" w:rsidR="00190B0A" w:rsidP="00190B0A" w:rsidRDefault="00190B0A" w14:paraId="6CF070E0" w14:textId="77777777">
      <w:pPr>
        <w:spacing w:line="480" w:lineRule="auto"/>
        <w:ind w:firstLine="720"/>
        <w:rPr>
          <w:szCs w:val="26"/>
        </w:rPr>
      </w:pPr>
    </w:p>
    <w:p w:rsidRPr="00A27D6D" w:rsidR="00190B0A" w:rsidP="00190B0A" w:rsidRDefault="00190B0A" w14:paraId="6CF070E1" w14:textId="77777777">
      <w:pPr>
        <w:rPr>
          <w:szCs w:val="26"/>
        </w:rPr>
      </w:pPr>
    </w:p>
    <w:p w:rsidRPr="00A27D6D" w:rsidR="00190B0A" w:rsidP="00190B0A" w:rsidRDefault="00190B0A" w14:paraId="6CF070E2" w14:textId="77777777">
      <w:pPr>
        <w:tabs>
          <w:tab w:val="left" w:pos="5040"/>
        </w:tabs>
        <w:jc w:val="center"/>
        <w:rPr>
          <w:szCs w:val="26"/>
        </w:rPr>
      </w:pPr>
      <w:r w:rsidRPr="00A27D6D">
        <w:rPr>
          <w:szCs w:val="26"/>
        </w:rPr>
        <w:t xml:space="preserve">                                        Kimberly D. Bose,</w:t>
      </w:r>
    </w:p>
    <w:p w:rsidRPr="00A27D6D" w:rsidR="00190B0A" w:rsidP="00190B0A" w:rsidRDefault="00190B0A" w14:paraId="6CF070E3" w14:textId="77777777">
      <w:pPr>
        <w:jc w:val="center"/>
        <w:rPr>
          <w:szCs w:val="26"/>
        </w:rPr>
      </w:pPr>
      <w:r w:rsidRPr="00A27D6D">
        <w:rPr>
          <w:szCs w:val="26"/>
        </w:rPr>
        <w:t xml:space="preserve">                                          Secretary.</w:t>
      </w:r>
    </w:p>
    <w:p w:rsidRPr="00A27D6D" w:rsidR="00E704E3" w:rsidRDefault="00E704E3" w14:paraId="6CF070E4" w14:textId="77777777">
      <w:pPr>
        <w:rPr>
          <w:szCs w:val="26"/>
        </w:rPr>
      </w:pPr>
    </w:p>
    <w:sectPr w:rsidRPr="00A27D6D" w:rsidR="00E704E3"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070E7" w14:textId="77777777" w:rsidR="00190B0A" w:rsidRDefault="00190B0A" w:rsidP="00190B0A">
      <w:r>
        <w:separator/>
      </w:r>
    </w:p>
  </w:endnote>
  <w:endnote w:type="continuationSeparator" w:id="0">
    <w:p w14:paraId="6CF070E8" w14:textId="77777777" w:rsidR="00190B0A" w:rsidRDefault="00190B0A" w:rsidP="0019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0ED" w14:textId="77777777" w:rsidR="003B4FE5" w:rsidRDefault="00F7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0EE" w14:textId="77777777" w:rsidR="003B4FE5" w:rsidRDefault="00F77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0F0" w14:textId="77777777" w:rsidR="003B4FE5" w:rsidRDefault="00F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070E5" w14:textId="77777777" w:rsidR="00190B0A" w:rsidRDefault="00190B0A" w:rsidP="00190B0A">
      <w:r>
        <w:separator/>
      </w:r>
    </w:p>
  </w:footnote>
  <w:footnote w:type="continuationSeparator" w:id="0">
    <w:p w14:paraId="6CF070E6" w14:textId="77777777" w:rsidR="00190B0A" w:rsidRDefault="00190B0A" w:rsidP="00190B0A">
      <w:r>
        <w:continuationSeparator/>
      </w:r>
    </w:p>
  </w:footnote>
  <w:footnote w:id="1">
    <w:p w14:paraId="6CF070F1" w14:textId="77777777" w:rsidR="00190B0A" w:rsidRPr="004108F8" w:rsidRDefault="00190B0A" w:rsidP="004E21AB">
      <w:pPr>
        <w:pStyle w:val="FootnoteText"/>
        <w:ind w:firstLine="720"/>
        <w:rPr>
          <w:sz w:val="26"/>
          <w:szCs w:val="26"/>
        </w:rPr>
      </w:pPr>
      <w:r w:rsidRPr="004108F8">
        <w:rPr>
          <w:rStyle w:val="FootnoteReference"/>
        </w:rPr>
        <w:footnoteRef/>
      </w:r>
      <w:r w:rsidRPr="004108F8">
        <w:rPr>
          <w:sz w:val="26"/>
          <w:szCs w:val="26"/>
        </w:rPr>
        <w:t xml:space="preserve"> Texas Reliability Entity</w:t>
      </w:r>
    </w:p>
  </w:footnote>
  <w:footnote w:id="2">
    <w:p w14:paraId="6CF070F2" w14:textId="77777777" w:rsidR="00190B0A" w:rsidRPr="001F3FD7" w:rsidRDefault="00190B0A" w:rsidP="004E21AB">
      <w:pPr>
        <w:pStyle w:val="FootnoteText"/>
        <w:ind w:left="720"/>
        <w:rPr>
          <w:sz w:val="26"/>
          <w:szCs w:val="26"/>
        </w:rPr>
      </w:pPr>
      <w:r w:rsidRPr="001F3FD7">
        <w:rPr>
          <w:rStyle w:val="FootnoteReference"/>
        </w:rPr>
        <w:footnoteRef/>
      </w:r>
      <w:r w:rsidRPr="001F3FD7">
        <w:rPr>
          <w:sz w:val="26"/>
          <w:szCs w:val="26"/>
        </w:rPr>
        <w:t xml:space="preserve"> </w:t>
      </w:r>
      <w:r>
        <w:rPr>
          <w:sz w:val="26"/>
          <w:szCs w:val="26"/>
        </w:rPr>
        <w:t>B</w:t>
      </w:r>
      <w:r w:rsidRPr="001F3FD7">
        <w:rPr>
          <w:sz w:val="26"/>
          <w:szCs w:val="26"/>
        </w:rPr>
        <w:t xml:space="preserve">urden </w:t>
      </w:r>
      <w:r>
        <w:rPr>
          <w:sz w:val="26"/>
          <w:szCs w:val="26"/>
        </w:rPr>
        <w:t xml:space="preserve">is defined </w:t>
      </w:r>
      <w:r w:rsidRPr="001F3FD7">
        <w:rPr>
          <w:sz w:val="26"/>
          <w:szCs w:val="26"/>
        </w:rPr>
        <w:t>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6CF070F3" w14:textId="52740015" w:rsidR="00190B0A" w:rsidRDefault="00190B0A" w:rsidP="004E21AB">
      <w:pPr>
        <w:pStyle w:val="FootnoteText"/>
        <w:ind w:left="720"/>
        <w:rPr>
          <w:sz w:val="26"/>
          <w:szCs w:val="26"/>
        </w:rPr>
      </w:pPr>
      <w:r w:rsidRPr="001F3FD7">
        <w:rPr>
          <w:rStyle w:val="FootnoteReference"/>
        </w:rPr>
        <w:footnoteRef/>
      </w:r>
      <w:r w:rsidRPr="001F3FD7">
        <w:rPr>
          <w:sz w:val="26"/>
          <w:szCs w:val="26"/>
        </w:rPr>
        <w:t xml:space="preserve"> </w:t>
      </w:r>
      <w:r>
        <w:rPr>
          <w:sz w:val="26"/>
          <w:szCs w:val="26"/>
        </w:rPr>
        <w:t xml:space="preserve">the figures for May 2018 posted by the Bureau of Labor Statistics for the </w:t>
      </w:r>
      <w:r w:rsidR="004E21AB">
        <w:rPr>
          <w:sz w:val="26"/>
          <w:szCs w:val="26"/>
        </w:rPr>
        <w:t xml:space="preserve">    </w:t>
      </w:r>
      <w:r>
        <w:rPr>
          <w:sz w:val="26"/>
          <w:szCs w:val="26"/>
        </w:rPr>
        <w:t>Utilities sector (available at http://www.bls.gov/oes/current/naics2_22.htm) and updated March 2019 for benefits information (at http://www.bls.gov/news.release/ecec.nr0.htm).  The hourly estimates for salary plus benefits are:</w:t>
      </w:r>
    </w:p>
    <w:p w14:paraId="6CF070F4" w14:textId="77777777" w:rsidR="00190B0A" w:rsidRDefault="00190B0A" w:rsidP="004E21AB">
      <w:pPr>
        <w:pStyle w:val="FootnoteText"/>
        <w:ind w:firstLine="720"/>
        <w:rPr>
          <w:sz w:val="26"/>
          <w:szCs w:val="26"/>
        </w:rPr>
      </w:pPr>
      <w:r>
        <w:rPr>
          <w:sz w:val="26"/>
          <w:szCs w:val="26"/>
        </w:rPr>
        <w:t>-File Clerks (code 43-4071), $34.50</w:t>
      </w:r>
    </w:p>
    <w:p w14:paraId="6CF070F5" w14:textId="77777777" w:rsidR="00190B0A" w:rsidRDefault="00190B0A" w:rsidP="004E21AB">
      <w:pPr>
        <w:pStyle w:val="FootnoteText"/>
        <w:ind w:firstLine="720"/>
        <w:rPr>
          <w:sz w:val="26"/>
          <w:szCs w:val="26"/>
        </w:rPr>
      </w:pPr>
      <w:r>
        <w:rPr>
          <w:sz w:val="26"/>
          <w:szCs w:val="26"/>
        </w:rPr>
        <w:t>-Electrical Engineer (code 17-2071), $68.17</w:t>
      </w:r>
    </w:p>
    <w:p w14:paraId="6CF070F6" w14:textId="77777777" w:rsidR="00190B0A" w:rsidRPr="001F3FD7" w:rsidRDefault="00190B0A" w:rsidP="004E21AB">
      <w:pPr>
        <w:pStyle w:val="FootnoteText"/>
        <w:ind w:left="720"/>
        <w:rPr>
          <w:sz w:val="26"/>
          <w:szCs w:val="26"/>
        </w:rPr>
      </w:pPr>
      <w:r>
        <w:rPr>
          <w:sz w:val="26"/>
          <w:szCs w:val="26"/>
        </w:rPr>
        <w:t>The average hourly burden cost for this collection is $51.34 [$34.50 + $68.17 = 51.335] and is rounded to $51.34.</w:t>
      </w:r>
    </w:p>
  </w:footnote>
  <w:footnote w:id="4">
    <w:p w14:paraId="6CF070F7" w14:textId="77777777" w:rsidR="00190B0A" w:rsidRPr="001F3FD7" w:rsidRDefault="00190B0A" w:rsidP="004E21AB">
      <w:pPr>
        <w:pStyle w:val="FootnoteText"/>
        <w:tabs>
          <w:tab w:val="left" w:pos="4680"/>
          <w:tab w:val="left" w:pos="5040"/>
        </w:tabs>
        <w:ind w:firstLine="720"/>
        <w:rPr>
          <w:sz w:val="26"/>
          <w:szCs w:val="26"/>
        </w:rPr>
      </w:pPr>
      <w:r w:rsidRPr="001F3FD7">
        <w:rPr>
          <w:rStyle w:val="FootnoteReference"/>
        </w:rPr>
        <w:footnoteRef/>
      </w:r>
      <w:r w:rsidRPr="001F3FD7">
        <w:rPr>
          <w:sz w:val="26"/>
          <w:szCs w:val="26"/>
        </w:rPr>
        <w:t xml:space="preserve"> BA (balancing authority)</w:t>
      </w:r>
    </w:p>
  </w:footnote>
  <w:footnote w:id="5">
    <w:p w14:paraId="6CF070F8" w14:textId="77777777" w:rsidR="00190B0A" w:rsidRPr="00A24483" w:rsidRDefault="00190B0A" w:rsidP="004E21AB">
      <w:pPr>
        <w:pStyle w:val="FootnoteText"/>
        <w:ind w:firstLine="720"/>
        <w:rPr>
          <w:sz w:val="20"/>
        </w:rPr>
      </w:pPr>
      <w:r w:rsidRPr="001F3FD7">
        <w:rPr>
          <w:rStyle w:val="FootnoteReference"/>
        </w:rPr>
        <w:footnoteRef/>
      </w:r>
      <w:r w:rsidRPr="001F3FD7">
        <w:rPr>
          <w:sz w:val="26"/>
          <w:szCs w:val="26"/>
        </w:rPr>
        <w:t xml:space="preserve"> BA (balancing authority), GO (generator owner), and GOP (generator operator)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0E9" w14:textId="77777777" w:rsidR="004D79AA" w:rsidRDefault="00A27D6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070EA" w14:textId="77777777" w:rsidR="004D79AA" w:rsidRDefault="00F77545"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0EB" w14:textId="77777777" w:rsidR="004D79AA" w:rsidRDefault="00A27D6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CF070EC" w14:textId="77777777" w:rsidR="004D79AA" w:rsidRDefault="00A27D6D" w:rsidP="005E318F">
    <w:pPr>
      <w:pStyle w:val="Header"/>
      <w:ind w:right="360"/>
    </w:pPr>
    <w:r w:rsidRPr="00362F6A">
      <w:t>Docket No. IC</w:t>
    </w:r>
    <w:r>
      <w:t>20</w:t>
    </w:r>
    <w:r w:rsidRPr="00362F6A">
      <w:t>-</w:t>
    </w:r>
    <w:r>
      <w:t>14</w:t>
    </w:r>
    <w:r w:rsidRPr="004C03CA">
      <w:t>-</w:t>
    </w:r>
    <w:r w:rsidRPr="00362F6A">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0EF" w14:textId="77777777" w:rsidR="003B4FE5" w:rsidRDefault="00F7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7AA6D236"/>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76D0D25"/>
    <w:multiLevelType w:val="hybridMultilevel"/>
    <w:tmpl w:val="730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0A"/>
    <w:rsid w:val="00190B0A"/>
    <w:rsid w:val="004E21AB"/>
    <w:rsid w:val="00666A6E"/>
    <w:rsid w:val="00A27D6D"/>
    <w:rsid w:val="00B34C15"/>
    <w:rsid w:val="00E623E5"/>
    <w:rsid w:val="00E704E3"/>
    <w:rsid w:val="00F7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0708A"/>
  <w15:chartTrackingRefBased/>
  <w15:docId w15:val="{2C6D6D37-259E-4E98-8FB7-D1AC05FE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0B0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190B0A"/>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190B0A"/>
    <w:rPr>
      <w:sz w:val="22"/>
      <w:szCs w:val="20"/>
    </w:rPr>
  </w:style>
  <w:style w:type="character" w:customStyle="1" w:styleId="FootnoteTextChar">
    <w:name w:val="Footnote Text Char"/>
    <w:basedOn w:val="DefaultParagraphFont"/>
    <w:uiPriority w:val="99"/>
    <w:semiHidden/>
    <w:rsid w:val="00190B0A"/>
    <w:rPr>
      <w:rFonts w:ascii="Times New Roman" w:eastAsia="Times New Roman" w:hAnsi="Times New Roman" w:cs="Times New Roman"/>
      <w:sz w:val="20"/>
      <w:szCs w:val="20"/>
    </w:rPr>
  </w:style>
  <w:style w:type="paragraph" w:styleId="Header">
    <w:name w:val="header"/>
    <w:basedOn w:val="Normal"/>
    <w:link w:val="HeaderChar"/>
    <w:rsid w:val="00190B0A"/>
    <w:pPr>
      <w:tabs>
        <w:tab w:val="center" w:pos="4320"/>
        <w:tab w:val="right" w:pos="8640"/>
      </w:tabs>
    </w:pPr>
  </w:style>
  <w:style w:type="character" w:customStyle="1" w:styleId="HeaderChar">
    <w:name w:val="Header Char"/>
    <w:basedOn w:val="DefaultParagraphFont"/>
    <w:link w:val="Header"/>
    <w:rsid w:val="00190B0A"/>
    <w:rPr>
      <w:rFonts w:ascii="Times New Roman" w:eastAsia="Times New Roman" w:hAnsi="Times New Roman" w:cs="Times New Roman"/>
      <w:sz w:val="26"/>
      <w:szCs w:val="24"/>
    </w:rPr>
  </w:style>
  <w:style w:type="character" w:styleId="PageNumber">
    <w:name w:val="page number"/>
    <w:basedOn w:val="DefaultParagraphFont"/>
    <w:rsid w:val="00190B0A"/>
  </w:style>
  <w:style w:type="paragraph" w:styleId="Footer">
    <w:name w:val="footer"/>
    <w:basedOn w:val="Normal"/>
    <w:link w:val="FooterChar"/>
    <w:rsid w:val="00190B0A"/>
    <w:pPr>
      <w:tabs>
        <w:tab w:val="center" w:pos="4320"/>
        <w:tab w:val="right" w:pos="8640"/>
      </w:tabs>
    </w:pPr>
  </w:style>
  <w:style w:type="character" w:customStyle="1" w:styleId="FooterChar">
    <w:name w:val="Footer Char"/>
    <w:basedOn w:val="DefaultParagraphFont"/>
    <w:link w:val="Footer"/>
    <w:rsid w:val="00190B0A"/>
    <w:rPr>
      <w:rFonts w:ascii="Times New Roman" w:eastAsia="Times New Roman" w:hAnsi="Times New Roman" w:cs="Times New Roman"/>
      <w:sz w:val="26"/>
      <w:szCs w:val="24"/>
    </w:rPr>
  </w:style>
  <w:style w:type="character" w:styleId="Hyperlink">
    <w:name w:val="Hyperlink"/>
    <w:rsid w:val="00190B0A"/>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190B0A"/>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66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A6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6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A843E-BCD5-4F90-AB5E-491C63964FE2}">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0D7E765-E2C4-447C-905A-3BFDB6507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4F91D-7ED3-4968-9CF9-AF014AC1ABCE}">
  <ds:schemaRefs>
    <ds:schemaRef ds:uri="Microsoft.SharePoint.Taxonomy.ContentTypeSync"/>
  </ds:schemaRefs>
</ds:datastoreItem>
</file>

<file path=customXml/itemProps4.xml><?xml version="1.0" encoding="utf-8"?>
<ds:datastoreItem xmlns:ds="http://schemas.openxmlformats.org/officeDocument/2006/customXml" ds:itemID="{92708740-AA5C-4F62-941F-B9573C3E6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2020-07-01T12:42:00Z</dcterms:created>
  <dcterms:modified xsi:type="dcterms:W3CDTF">2020-07-01T12:42:00Z</dcterms:modified>
  <cp:category/>
  <dc:identifier/>
  <cp:contentStatus/>
  <cp:version/>
</cp:coreProperties>
</file>