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4521C" w:rsidRDefault="00F06866" w:rsidP="0043493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w:t>
      </w:r>
      <w:r w:rsidRPr="0084521C">
        <w:rPr>
          <w:sz w:val="28"/>
        </w:rPr>
        <w:t xml:space="preserve">Control Number: </w:t>
      </w:r>
      <w:r w:rsidR="00D02B0E" w:rsidRPr="0084521C">
        <w:rPr>
          <w:sz w:val="28"/>
        </w:rPr>
        <w:t>1545-</w:t>
      </w:r>
      <w:r w:rsidR="000C65FA">
        <w:rPr>
          <w:sz w:val="28"/>
        </w:rPr>
        <w:t>2256</w:t>
      </w:r>
      <w:r w:rsidRPr="0084521C">
        <w:rPr>
          <w:sz w:val="28"/>
        </w:rPr>
        <w:t>)</w:t>
      </w:r>
    </w:p>
    <w:p w:rsidR="00E50293" w:rsidRPr="009239AA" w:rsidRDefault="00EC4307" w:rsidP="00434933">
      <w:pPr>
        <w:jc w:val="center"/>
        <w:rPr>
          <w:b/>
        </w:rPr>
      </w:pPr>
      <w:r w:rsidRPr="0084521C">
        <w:rPr>
          <w:b/>
          <w:noProof/>
        </w:rPr>
        <mc:AlternateContent>
          <mc:Choice Requires="wps">
            <w:drawing>
              <wp:anchor distT="0" distB="0" distL="114300" distR="114300" simplePos="0" relativeHeight="251657216" behindDoc="0" locked="0" layoutInCell="0" allowOverlap="1" wp14:anchorId="59DEB3F5" wp14:editId="4FAAA208">
                <wp:simplePos x="0" y="0"/>
                <wp:positionH relativeFrom="column">
                  <wp:posOffset>0</wp:posOffset>
                </wp:positionH>
                <wp:positionV relativeFrom="paragraph">
                  <wp:posOffset>0</wp:posOffset>
                </wp:positionV>
                <wp:extent cx="6921500" cy="0"/>
                <wp:effectExtent l="9525" t="18415" r="1270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BDBC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J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YpJN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" o:allowincell="f" strokeweight="1.5pt"/>
            </w:pict>
          </mc:Fallback>
        </mc:AlternateContent>
      </w:r>
      <w:r w:rsidR="005E714A" w:rsidRPr="0084521C">
        <w:rPr>
          <w:b/>
        </w:rPr>
        <w:t>TITLE OF INFORMATION COLLECTION:</w:t>
      </w:r>
      <w:r w:rsidR="005E714A" w:rsidRPr="0084521C">
        <w:t xml:space="preserve">  </w:t>
      </w:r>
      <w:r w:rsidR="0007763D" w:rsidRPr="0007763D">
        <w:t>Revised Form W4 Usability</w:t>
      </w:r>
    </w:p>
    <w:p w:rsidR="005E714A" w:rsidRDefault="005E714A"/>
    <w:p w:rsidR="00BA5C5A" w:rsidRDefault="00F15956" w:rsidP="00BA5C5A">
      <w:pPr>
        <w:rPr>
          <w:b/>
        </w:rPr>
      </w:pPr>
      <w:r>
        <w:rPr>
          <w:b/>
        </w:rPr>
        <w:t>PURPOSE</w:t>
      </w:r>
      <w:r w:rsidRPr="009239AA">
        <w:rPr>
          <w:b/>
        </w:rPr>
        <w:t>:</w:t>
      </w:r>
      <w:r w:rsidR="00C14CC4" w:rsidRPr="009239AA">
        <w:rPr>
          <w:b/>
        </w:rPr>
        <w:t xml:space="preserve">  </w:t>
      </w:r>
    </w:p>
    <w:p w:rsidR="00131F3C" w:rsidRDefault="00131F3C" w:rsidP="00131F3C">
      <w:r>
        <w:t>MITRE is tasked with conducting an independent assessment of usability, stakeholder perceptions, and stakeholder impacts of the draft 2020 Employee’s Withholding Allowance Certificate Form W-4 (“Form W-4” or “the proposed new form”). The scope of this project encompasses gathering feedback to understand how changes to Form W-4 will impact external partners, stakeholders, and employee taxpayers through investigation of:</w:t>
      </w:r>
    </w:p>
    <w:p w:rsidR="00131F3C" w:rsidRDefault="00131F3C" w:rsidP="00131F3C"/>
    <w:p w:rsidR="00131F3C" w:rsidRDefault="00131F3C" w:rsidP="00131F3C">
      <w:r>
        <w:t>1.</w:t>
      </w:r>
      <w:r>
        <w:tab/>
        <w:t>The usability and user experience of employees filling out the draft 2020 Form W-4</w:t>
      </w:r>
    </w:p>
    <w:p w:rsidR="00131F3C" w:rsidRDefault="00131F3C" w:rsidP="00131F3C">
      <w:r>
        <w:t>2.</w:t>
      </w:r>
      <w:r>
        <w:tab/>
        <w:t>Employers’ perceptions and perceived effects on their employees and internal payroll operations</w:t>
      </w:r>
    </w:p>
    <w:p w:rsidR="0084521C" w:rsidRDefault="00131F3C" w:rsidP="00131F3C">
      <w:r>
        <w:t>3.</w:t>
      </w:r>
      <w:r>
        <w:tab/>
        <w:t>Effects on external payroll company operations</w:t>
      </w:r>
    </w:p>
    <w:p w:rsidR="00131F3C" w:rsidRDefault="00131F3C" w:rsidP="00131F3C"/>
    <w:p w:rsidR="00131F3C" w:rsidRDefault="00131F3C" w:rsidP="00131F3C">
      <w:r>
        <w:t>The purpose of usability and user experience interviews with taxpayers is to collect information from current</w:t>
      </w:r>
      <w:r w:rsidRPr="008516A0">
        <w:t xml:space="preserve"> </w:t>
      </w:r>
      <w:r>
        <w:t xml:space="preserve">Form </w:t>
      </w:r>
      <w:r w:rsidRPr="008516A0">
        <w:t>W-2 employees</w:t>
      </w:r>
      <w:r>
        <w:t xml:space="preserve">, </w:t>
      </w:r>
      <w:r w:rsidRPr="008516A0">
        <w:t>as defined by their income from wages, salaries, tips and other compensation reported on their tax return</w:t>
      </w:r>
      <w:r>
        <w:t>. Specifically, the research will fulfill the following objectives:</w:t>
      </w:r>
    </w:p>
    <w:p w:rsidR="00131F3C" w:rsidRDefault="00131F3C" w:rsidP="00131F3C"/>
    <w:p w:rsidR="00131F3C" w:rsidRPr="00C745DB" w:rsidRDefault="00131F3C" w:rsidP="00131F3C">
      <w:pPr>
        <w:pStyle w:val="ListParagraph"/>
        <w:numPr>
          <w:ilvl w:val="1"/>
          <w:numId w:val="20"/>
        </w:numPr>
        <w:tabs>
          <w:tab w:val="clear" w:pos="1440"/>
        </w:tabs>
        <w:spacing w:after="60"/>
        <w:ind w:left="360"/>
        <w:contextualSpacing w:val="0"/>
      </w:pPr>
      <w:r>
        <w:t>Identify usability issues with the proposed new Form W-4 form, based on sessions with taxpayers who have received a Form W-2 within the past four</w:t>
      </w:r>
      <w:r w:rsidRPr="002E3C03">
        <w:t xml:space="preserve"> tax years</w:t>
      </w:r>
      <w:r w:rsidRPr="002E3C03">
        <w:rPr>
          <w:rStyle w:val="FootnoteReference"/>
        </w:rPr>
        <w:footnoteReference w:id="1"/>
      </w:r>
      <w:r w:rsidRPr="002E3C03">
        <w:t>.</w:t>
      </w:r>
    </w:p>
    <w:p w:rsidR="00131F3C" w:rsidRDefault="00131F3C" w:rsidP="00131F3C">
      <w:pPr>
        <w:numPr>
          <w:ilvl w:val="1"/>
          <w:numId w:val="20"/>
        </w:numPr>
        <w:tabs>
          <w:tab w:val="clear" w:pos="1440"/>
        </w:tabs>
        <w:spacing w:after="60"/>
        <w:ind w:left="360"/>
      </w:pPr>
      <w:r>
        <w:t>Identify potential data quality issues with the new form.</w:t>
      </w:r>
    </w:p>
    <w:p w:rsidR="00131F3C" w:rsidRDefault="00131F3C" w:rsidP="00131F3C">
      <w:pPr>
        <w:numPr>
          <w:ilvl w:val="1"/>
          <w:numId w:val="20"/>
        </w:numPr>
        <w:tabs>
          <w:tab w:val="clear" w:pos="1440"/>
        </w:tabs>
        <w:spacing w:after="60"/>
        <w:ind w:left="360"/>
      </w:pPr>
      <w:r>
        <w:t>Identify potential issues with taxpayers’ ability to understand the new form instructions.</w:t>
      </w:r>
    </w:p>
    <w:p w:rsidR="00131F3C" w:rsidRDefault="00131F3C" w:rsidP="00131F3C">
      <w:pPr>
        <w:numPr>
          <w:ilvl w:val="1"/>
          <w:numId w:val="20"/>
        </w:numPr>
        <w:tabs>
          <w:tab w:val="clear" w:pos="1440"/>
        </w:tabs>
        <w:spacing w:after="60"/>
        <w:ind w:left="360"/>
      </w:pPr>
      <w:r>
        <w:t>Measure taxpayer satisfaction with the new form.</w:t>
      </w:r>
    </w:p>
    <w:p w:rsidR="00131F3C" w:rsidRDefault="00131F3C" w:rsidP="00131F3C">
      <w:pPr>
        <w:numPr>
          <w:ilvl w:val="1"/>
          <w:numId w:val="20"/>
        </w:numPr>
        <w:tabs>
          <w:tab w:val="clear" w:pos="1440"/>
        </w:tabs>
        <w:spacing w:after="60"/>
        <w:ind w:left="360"/>
      </w:pPr>
      <w:r>
        <w:t>Understand taxpayers’ perceptions of the new form.</w:t>
      </w:r>
    </w:p>
    <w:p w:rsidR="00131F3C" w:rsidRDefault="00131F3C" w:rsidP="00131F3C">
      <w:pPr>
        <w:numPr>
          <w:ilvl w:val="1"/>
          <w:numId w:val="20"/>
        </w:numPr>
        <w:tabs>
          <w:tab w:val="clear" w:pos="1440"/>
        </w:tabs>
        <w:spacing w:after="60"/>
        <w:ind w:left="360"/>
      </w:pPr>
      <w:r>
        <w:t>Identify how the new form will affect taxpayers’ withholding decisions.</w:t>
      </w:r>
    </w:p>
    <w:p w:rsidR="00C8488C" w:rsidRDefault="00C8488C" w:rsidP="0084521C"/>
    <w:p w:rsidR="0084521C" w:rsidRDefault="0084521C" w:rsidP="0084521C">
      <w:pPr>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BA5C5A" w:rsidRPr="00386430" w:rsidRDefault="00131F3C" w:rsidP="00BA5C5A">
      <w:r>
        <w:t xml:space="preserve">The </w:t>
      </w:r>
      <w:r w:rsidRPr="00131F3C">
        <w:t>population of interest for is taxpayers who are current Form W-2 employees, as defined by their income from wages, salaries, tips and other compensation reported on their tax return.</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B92C1C">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B92C1C">
        <w:rPr>
          <w:bCs/>
          <w:sz w:val="24"/>
        </w:rPr>
        <w:t xml:space="preserve"> </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B92C1C">
        <w:rPr>
          <w:bCs/>
          <w:sz w:val="24"/>
        </w:rPr>
        <w:t xml:space="preserve"> </w:t>
      </w:r>
      <w:r w:rsidR="0084521C">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w:t>
      </w:r>
      <w:r w:rsidR="006929B8">
        <w:rPr>
          <w:bCs/>
          <w:sz w:val="24"/>
        </w:rPr>
        <w:t xml:space="preserve">  </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B92C1C">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92C1C">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w:t>
      </w:r>
      <w:r w:rsidR="00B92C1C">
        <w:rPr>
          <w:bCs/>
          <w:sz w:val="24"/>
          <w:u w:val="single"/>
        </w:rPr>
        <w:t>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Default="00B92C1C" w:rsidP="009C13B9">
      <w:r>
        <w:t>Name:</w:t>
      </w:r>
      <w:r w:rsidR="0084521C">
        <w:rPr>
          <w:u w:val="single"/>
        </w:rPr>
        <w:t xml:space="preserve"> Courtney Rasey</w:t>
      </w:r>
    </w:p>
    <w:p w:rsidR="009C13B9" w:rsidRDefault="009C13B9" w:rsidP="009C13B9">
      <w:pPr>
        <w:pStyle w:val="ListParagraph"/>
        <w:ind w:left="360"/>
      </w:pPr>
    </w:p>
    <w:p w:rsidR="009C13B9" w:rsidRDefault="009C13B9" w:rsidP="009C13B9">
      <w:r>
        <w:t>To assist review, please provide answers to the following question</w:t>
      </w:r>
      <w:r w:rsidR="00386430">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929B8">
        <w:t xml:space="preserve"> </w:t>
      </w:r>
      <w:r w:rsidR="0084521C">
        <w:t>X</w:t>
      </w:r>
      <w:r w:rsidR="006929B8">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84521C">
        <w:t>X</w:t>
      </w:r>
      <w:r>
        <w:t xml:space="preserve"> ] No</w:t>
      </w:r>
    </w:p>
    <w:p w:rsidR="00CF6542" w:rsidRDefault="00CF6542" w:rsidP="00C86E91">
      <w:pPr>
        <w:pStyle w:val="ListParagraph"/>
        <w:ind w:left="0"/>
        <w:rPr>
          <w:b/>
        </w:rPr>
      </w:pPr>
    </w:p>
    <w:p w:rsidR="001E0C5B" w:rsidRDefault="001E0C5B" w:rsidP="00C86E91">
      <w:pPr>
        <w:pStyle w:val="ListParagraph"/>
        <w:ind w:left="0"/>
        <w:rPr>
          <w:b/>
        </w:rPr>
      </w:pPr>
      <w:r>
        <w:t xml:space="preserve">No PII will be collected. Discussion </w:t>
      </w:r>
      <w:r w:rsidRPr="00002838">
        <w:t>participants will not be identified in any of the documents or files used for this project.</w:t>
      </w:r>
      <w:r>
        <w:t xml:space="preserve"> Further, n</w:t>
      </w:r>
      <w:r w:rsidRPr="00002838">
        <w:t>o questions will be asked that are of a</w:t>
      </w:r>
      <w:r>
        <w:t xml:space="preserve"> personal or sensitive nature, or require details regarding participants’ tax return or account.</w:t>
      </w:r>
    </w:p>
    <w:p w:rsidR="001E0C5B" w:rsidRDefault="001E0C5B"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434933">
        <w:br/>
        <w:t>[</w:t>
      </w:r>
      <w:r w:rsidR="006929B8">
        <w:t xml:space="preserve"> </w:t>
      </w:r>
      <w:r w:rsidR="0084521C">
        <w:t>X</w:t>
      </w:r>
      <w:r w:rsidR="006929B8">
        <w:t xml:space="preserve"> </w:t>
      </w:r>
      <w:r>
        <w:t xml:space="preserve">] Yes [  ] No  </w:t>
      </w:r>
    </w:p>
    <w:p w:rsidR="00EC4307" w:rsidRPr="00EC4307" w:rsidRDefault="00EC4307" w:rsidP="00C86E91">
      <w:pPr>
        <w:rPr>
          <w:sz w:val="10"/>
          <w:szCs w:val="10"/>
        </w:rPr>
      </w:pPr>
    </w:p>
    <w:p w:rsidR="00C86E91" w:rsidRDefault="00C86E91">
      <w:pPr>
        <w:rPr>
          <w:b/>
        </w:rPr>
      </w:pPr>
    </w:p>
    <w:p w:rsidR="0084521C" w:rsidRPr="003E4768" w:rsidRDefault="005E714A" w:rsidP="00C86E91">
      <w:r>
        <w:rPr>
          <w:b/>
        </w:rPr>
        <w:t>BURDEN HOUR</w:t>
      </w:r>
      <w:r w:rsidR="00441434">
        <w:rPr>
          <w:b/>
        </w:rPr>
        <w:t>S</w:t>
      </w:r>
      <w:r>
        <w:t xml:space="preserve"> </w:t>
      </w:r>
    </w:p>
    <w:p w:rsidR="006832D9" w:rsidRPr="00434933" w:rsidRDefault="006832D9" w:rsidP="00F3170F">
      <w:pPr>
        <w:keepNext/>
        <w:keepLines/>
        <w:rPr>
          <w:b/>
          <w:sz w:val="10"/>
          <w:szCs w:val="10"/>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980"/>
        <w:gridCol w:w="1800"/>
        <w:gridCol w:w="1260"/>
      </w:tblGrid>
      <w:tr w:rsidR="00EF2095" w:rsidTr="0047638B">
        <w:trPr>
          <w:trHeight w:val="279"/>
        </w:trPr>
        <w:tc>
          <w:tcPr>
            <w:tcW w:w="4950" w:type="dxa"/>
            <w:vAlign w:val="center"/>
          </w:tcPr>
          <w:p w:rsidR="006832D9" w:rsidRPr="0001027E" w:rsidRDefault="00E40B50" w:rsidP="0047638B">
            <w:pPr>
              <w:rPr>
                <w:b/>
              </w:rPr>
            </w:pPr>
            <w:r w:rsidRPr="0001027E">
              <w:rPr>
                <w:b/>
              </w:rPr>
              <w:t>Category of Respondent</w:t>
            </w:r>
          </w:p>
        </w:tc>
        <w:tc>
          <w:tcPr>
            <w:tcW w:w="1980" w:type="dxa"/>
            <w:vAlign w:val="center"/>
          </w:tcPr>
          <w:p w:rsidR="006832D9" w:rsidRPr="0001027E" w:rsidRDefault="006832D9" w:rsidP="00986692">
            <w:pPr>
              <w:jc w:val="center"/>
              <w:rPr>
                <w:b/>
              </w:rPr>
            </w:pPr>
            <w:r w:rsidRPr="0001027E">
              <w:rPr>
                <w:b/>
              </w:rPr>
              <w:t>N</w:t>
            </w:r>
            <w:r w:rsidR="009F5923" w:rsidRPr="0001027E">
              <w:rPr>
                <w:b/>
              </w:rPr>
              <w:t>o.</w:t>
            </w:r>
            <w:r w:rsidRPr="0001027E">
              <w:rPr>
                <w:b/>
              </w:rPr>
              <w:t xml:space="preserve"> of Respondents</w:t>
            </w:r>
          </w:p>
        </w:tc>
        <w:tc>
          <w:tcPr>
            <w:tcW w:w="1800" w:type="dxa"/>
            <w:vAlign w:val="center"/>
          </w:tcPr>
          <w:p w:rsidR="006832D9" w:rsidRPr="0001027E" w:rsidRDefault="006832D9" w:rsidP="00986692">
            <w:pPr>
              <w:jc w:val="center"/>
              <w:rPr>
                <w:b/>
              </w:rPr>
            </w:pPr>
            <w:r w:rsidRPr="0001027E">
              <w:rPr>
                <w:b/>
              </w:rPr>
              <w:t>Participation Time</w:t>
            </w:r>
          </w:p>
        </w:tc>
        <w:tc>
          <w:tcPr>
            <w:tcW w:w="1260" w:type="dxa"/>
            <w:vAlign w:val="center"/>
          </w:tcPr>
          <w:p w:rsidR="006832D9" w:rsidRDefault="006832D9" w:rsidP="00986692">
            <w:pPr>
              <w:jc w:val="center"/>
              <w:rPr>
                <w:b/>
              </w:rPr>
            </w:pPr>
            <w:r w:rsidRPr="0001027E">
              <w:rPr>
                <w:b/>
              </w:rPr>
              <w:t>Burden</w:t>
            </w:r>
          </w:p>
          <w:p w:rsidR="00986692" w:rsidRPr="0001027E" w:rsidRDefault="00986692" w:rsidP="00986692">
            <w:pPr>
              <w:jc w:val="center"/>
              <w:rPr>
                <w:b/>
              </w:rPr>
            </w:pPr>
            <w:r>
              <w:rPr>
                <w:b/>
              </w:rPr>
              <w:t>Hours</w:t>
            </w:r>
          </w:p>
        </w:tc>
      </w:tr>
      <w:tr w:rsidR="00986692" w:rsidTr="00986692">
        <w:trPr>
          <w:trHeight w:val="279"/>
        </w:trPr>
        <w:tc>
          <w:tcPr>
            <w:tcW w:w="4950" w:type="dxa"/>
            <w:vAlign w:val="center"/>
          </w:tcPr>
          <w:p w:rsidR="00986692" w:rsidRPr="00986692" w:rsidRDefault="008421C6" w:rsidP="00986692">
            <w:pPr>
              <w:rPr>
                <w:iCs/>
                <w:color w:val="000000"/>
                <w:sz w:val="22"/>
                <w:szCs w:val="22"/>
              </w:rPr>
            </w:pPr>
            <w:r>
              <w:rPr>
                <w:iCs/>
                <w:color w:val="000000"/>
              </w:rPr>
              <w:t>Read the introduction letter mailed to potential participants</w:t>
            </w:r>
          </w:p>
        </w:tc>
        <w:tc>
          <w:tcPr>
            <w:tcW w:w="1980" w:type="dxa"/>
            <w:vAlign w:val="center"/>
          </w:tcPr>
          <w:p w:rsidR="00986692" w:rsidRPr="00986692" w:rsidRDefault="00B66226" w:rsidP="00986692">
            <w:pPr>
              <w:jc w:val="center"/>
              <w:rPr>
                <w:color w:val="000000"/>
              </w:rPr>
            </w:pPr>
            <w:r>
              <w:rPr>
                <w:color w:val="000000"/>
              </w:rPr>
              <w:t>1200</w:t>
            </w:r>
          </w:p>
        </w:tc>
        <w:tc>
          <w:tcPr>
            <w:tcW w:w="1800" w:type="dxa"/>
            <w:vAlign w:val="center"/>
          </w:tcPr>
          <w:p w:rsidR="00986692" w:rsidRPr="00986692" w:rsidRDefault="00C2348F" w:rsidP="00986692">
            <w:pPr>
              <w:jc w:val="center"/>
              <w:rPr>
                <w:iCs/>
                <w:color w:val="000000"/>
              </w:rPr>
            </w:pPr>
            <w:r>
              <w:rPr>
                <w:iCs/>
                <w:color w:val="000000"/>
              </w:rPr>
              <w:t>3</w:t>
            </w:r>
            <w:r w:rsidR="00B66226">
              <w:rPr>
                <w:iCs/>
                <w:color w:val="000000"/>
              </w:rPr>
              <w:t xml:space="preserve"> minutes</w:t>
            </w:r>
          </w:p>
        </w:tc>
        <w:tc>
          <w:tcPr>
            <w:tcW w:w="1260" w:type="dxa"/>
            <w:vAlign w:val="center"/>
          </w:tcPr>
          <w:p w:rsidR="00986692" w:rsidRPr="00986692" w:rsidRDefault="00C2348F" w:rsidP="00986692">
            <w:pPr>
              <w:jc w:val="center"/>
              <w:rPr>
                <w:color w:val="000000"/>
              </w:rPr>
            </w:pPr>
            <w:r>
              <w:rPr>
                <w:color w:val="000000"/>
              </w:rPr>
              <w:t>60 hours</w:t>
            </w:r>
          </w:p>
        </w:tc>
      </w:tr>
      <w:tr w:rsidR="00986692" w:rsidTr="00986692">
        <w:trPr>
          <w:trHeight w:val="279"/>
        </w:trPr>
        <w:tc>
          <w:tcPr>
            <w:tcW w:w="4950" w:type="dxa"/>
            <w:vAlign w:val="center"/>
          </w:tcPr>
          <w:p w:rsidR="00986692" w:rsidRPr="00986692" w:rsidRDefault="008421C6" w:rsidP="00986692">
            <w:pPr>
              <w:rPr>
                <w:iCs/>
                <w:color w:val="000000"/>
              </w:rPr>
            </w:pPr>
            <w:r>
              <w:rPr>
                <w:iCs/>
                <w:color w:val="000000"/>
              </w:rPr>
              <w:t>Read the invitation letter mailed to potential participants</w:t>
            </w:r>
          </w:p>
        </w:tc>
        <w:tc>
          <w:tcPr>
            <w:tcW w:w="1980" w:type="dxa"/>
            <w:vAlign w:val="center"/>
          </w:tcPr>
          <w:p w:rsidR="00986692" w:rsidRPr="00986692" w:rsidRDefault="00B66226" w:rsidP="00986692">
            <w:pPr>
              <w:jc w:val="center"/>
              <w:rPr>
                <w:color w:val="000000"/>
              </w:rPr>
            </w:pPr>
            <w:r>
              <w:rPr>
                <w:color w:val="000000"/>
              </w:rPr>
              <w:t>1200</w:t>
            </w:r>
          </w:p>
        </w:tc>
        <w:tc>
          <w:tcPr>
            <w:tcW w:w="1800" w:type="dxa"/>
            <w:vAlign w:val="center"/>
          </w:tcPr>
          <w:p w:rsidR="00986692" w:rsidRPr="00986692" w:rsidRDefault="003E4768" w:rsidP="00986692">
            <w:pPr>
              <w:jc w:val="center"/>
              <w:rPr>
                <w:iCs/>
                <w:color w:val="000000"/>
              </w:rPr>
            </w:pPr>
            <w:r>
              <w:rPr>
                <w:iCs/>
                <w:color w:val="000000"/>
              </w:rPr>
              <w:t>3</w:t>
            </w:r>
            <w:r w:rsidR="00B66226">
              <w:rPr>
                <w:iCs/>
                <w:color w:val="000000"/>
              </w:rPr>
              <w:t xml:space="preserve"> minutes</w:t>
            </w:r>
          </w:p>
        </w:tc>
        <w:tc>
          <w:tcPr>
            <w:tcW w:w="1260" w:type="dxa"/>
            <w:vAlign w:val="center"/>
          </w:tcPr>
          <w:p w:rsidR="00986692" w:rsidRPr="00986692" w:rsidRDefault="00C2348F" w:rsidP="00986692">
            <w:pPr>
              <w:jc w:val="center"/>
              <w:rPr>
                <w:color w:val="000000"/>
              </w:rPr>
            </w:pPr>
            <w:r>
              <w:rPr>
                <w:color w:val="000000"/>
              </w:rPr>
              <w:t>60 hours</w:t>
            </w:r>
          </w:p>
        </w:tc>
      </w:tr>
      <w:tr w:rsidR="00986692" w:rsidTr="00986692">
        <w:trPr>
          <w:trHeight w:val="279"/>
        </w:trPr>
        <w:tc>
          <w:tcPr>
            <w:tcW w:w="4950" w:type="dxa"/>
            <w:vAlign w:val="center"/>
          </w:tcPr>
          <w:p w:rsidR="00986692" w:rsidRPr="00986692" w:rsidRDefault="008421C6" w:rsidP="00986692">
            <w:pPr>
              <w:rPr>
                <w:iCs/>
                <w:color w:val="000000"/>
              </w:rPr>
            </w:pPr>
            <w:r>
              <w:rPr>
                <w:iCs/>
                <w:color w:val="000000"/>
              </w:rPr>
              <w:t>Potential respondents contact MITRE and complete a brief screener</w:t>
            </w:r>
          </w:p>
        </w:tc>
        <w:tc>
          <w:tcPr>
            <w:tcW w:w="1980" w:type="dxa"/>
            <w:vAlign w:val="center"/>
          </w:tcPr>
          <w:p w:rsidR="00986692" w:rsidRPr="00986692" w:rsidRDefault="003E4768" w:rsidP="00986692">
            <w:pPr>
              <w:jc w:val="center"/>
              <w:rPr>
                <w:color w:val="000000"/>
              </w:rPr>
            </w:pPr>
            <w:r>
              <w:rPr>
                <w:color w:val="000000"/>
              </w:rPr>
              <w:t>60</w:t>
            </w:r>
          </w:p>
        </w:tc>
        <w:tc>
          <w:tcPr>
            <w:tcW w:w="1800" w:type="dxa"/>
            <w:vAlign w:val="center"/>
          </w:tcPr>
          <w:p w:rsidR="00986692" w:rsidRPr="00986692" w:rsidRDefault="003E4768" w:rsidP="00986692">
            <w:pPr>
              <w:jc w:val="center"/>
              <w:rPr>
                <w:iCs/>
                <w:color w:val="000000"/>
              </w:rPr>
            </w:pPr>
            <w:r>
              <w:rPr>
                <w:iCs/>
                <w:color w:val="000000"/>
              </w:rPr>
              <w:t>10</w:t>
            </w:r>
            <w:r w:rsidR="00283281">
              <w:rPr>
                <w:iCs/>
                <w:color w:val="000000"/>
              </w:rPr>
              <w:t xml:space="preserve"> minutes</w:t>
            </w:r>
          </w:p>
        </w:tc>
        <w:tc>
          <w:tcPr>
            <w:tcW w:w="1260" w:type="dxa"/>
            <w:vAlign w:val="center"/>
          </w:tcPr>
          <w:p w:rsidR="00986692" w:rsidRPr="00986692" w:rsidRDefault="00283281" w:rsidP="00986692">
            <w:pPr>
              <w:jc w:val="center"/>
              <w:rPr>
                <w:color w:val="000000"/>
              </w:rPr>
            </w:pPr>
            <w:r>
              <w:rPr>
                <w:color w:val="000000"/>
              </w:rPr>
              <w:t>1 hour</w:t>
            </w:r>
          </w:p>
        </w:tc>
      </w:tr>
      <w:tr w:rsidR="00986692" w:rsidTr="00986692">
        <w:trPr>
          <w:trHeight w:val="279"/>
        </w:trPr>
        <w:tc>
          <w:tcPr>
            <w:tcW w:w="4950" w:type="dxa"/>
            <w:vAlign w:val="center"/>
          </w:tcPr>
          <w:p w:rsidR="00986692" w:rsidRPr="00986692" w:rsidRDefault="008421C6" w:rsidP="00986692">
            <w:pPr>
              <w:rPr>
                <w:iCs/>
                <w:color w:val="000000"/>
              </w:rPr>
            </w:pPr>
            <w:r>
              <w:rPr>
                <w:iCs/>
                <w:color w:val="000000"/>
              </w:rPr>
              <w:t>Participate in interview sessions</w:t>
            </w:r>
          </w:p>
        </w:tc>
        <w:tc>
          <w:tcPr>
            <w:tcW w:w="1980" w:type="dxa"/>
            <w:vAlign w:val="center"/>
          </w:tcPr>
          <w:p w:rsidR="00986692" w:rsidRPr="00986692" w:rsidRDefault="00283281" w:rsidP="00986692">
            <w:pPr>
              <w:jc w:val="center"/>
              <w:rPr>
                <w:color w:val="000000"/>
              </w:rPr>
            </w:pPr>
            <w:r>
              <w:rPr>
                <w:color w:val="000000"/>
              </w:rPr>
              <w:t>30</w:t>
            </w:r>
          </w:p>
        </w:tc>
        <w:tc>
          <w:tcPr>
            <w:tcW w:w="1800" w:type="dxa"/>
            <w:vAlign w:val="center"/>
          </w:tcPr>
          <w:p w:rsidR="00986692" w:rsidRPr="00986692" w:rsidRDefault="00283281" w:rsidP="00986692">
            <w:pPr>
              <w:jc w:val="center"/>
              <w:rPr>
                <w:iCs/>
                <w:color w:val="000000"/>
              </w:rPr>
            </w:pPr>
            <w:r>
              <w:rPr>
                <w:iCs/>
                <w:color w:val="000000"/>
              </w:rPr>
              <w:t>90 minutes</w:t>
            </w:r>
          </w:p>
        </w:tc>
        <w:tc>
          <w:tcPr>
            <w:tcW w:w="1260" w:type="dxa"/>
            <w:vAlign w:val="center"/>
          </w:tcPr>
          <w:p w:rsidR="00986692" w:rsidRPr="00986692" w:rsidRDefault="00283281" w:rsidP="00986692">
            <w:pPr>
              <w:jc w:val="center"/>
              <w:rPr>
                <w:color w:val="000000"/>
              </w:rPr>
            </w:pPr>
            <w:r>
              <w:rPr>
                <w:color w:val="000000"/>
              </w:rPr>
              <w:t>45 hours</w:t>
            </w:r>
          </w:p>
        </w:tc>
      </w:tr>
      <w:tr w:rsidR="00986692" w:rsidTr="00986692">
        <w:trPr>
          <w:trHeight w:val="295"/>
        </w:trPr>
        <w:tc>
          <w:tcPr>
            <w:tcW w:w="8730" w:type="dxa"/>
            <w:gridSpan w:val="3"/>
          </w:tcPr>
          <w:p w:rsidR="00986692" w:rsidRDefault="0047638B" w:rsidP="00843796">
            <w:r>
              <w:rPr>
                <w:b/>
              </w:rPr>
              <w:t>TOTAL</w:t>
            </w:r>
          </w:p>
        </w:tc>
        <w:tc>
          <w:tcPr>
            <w:tcW w:w="1260" w:type="dxa"/>
            <w:vAlign w:val="center"/>
          </w:tcPr>
          <w:p w:rsidR="00986692" w:rsidRPr="0001027E" w:rsidRDefault="00C2348F" w:rsidP="00986692">
            <w:pPr>
              <w:jc w:val="center"/>
              <w:rPr>
                <w:b/>
              </w:rPr>
            </w:pPr>
            <w:r>
              <w:rPr>
                <w:b/>
              </w:rPr>
              <w:t>166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3E4768">
        <w:t xml:space="preserve">The estimated </w:t>
      </w:r>
      <w:r w:rsidR="00C86E91">
        <w:t>cost to the Federal government is</w:t>
      </w:r>
      <w:r w:rsidR="00EC4307">
        <w:t xml:space="preserve">: </w:t>
      </w:r>
      <w:r w:rsidR="00EC4307" w:rsidRPr="00EC4307">
        <w:rPr>
          <w:b/>
        </w:rPr>
        <w:t>$</w:t>
      </w:r>
      <w:r w:rsidR="00A15D88">
        <w:rPr>
          <w:b/>
        </w:rPr>
        <w:t>500,000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E4768">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20F0E" w:rsidRDefault="00420F0E" w:rsidP="00420F0E">
      <w:pPr>
        <w:spacing w:after="60"/>
      </w:pPr>
      <w:r>
        <w:t>MITRE has access to the Compliance Data Warehouse (CDW),</w:t>
      </w:r>
      <w:r w:rsidRPr="0050094C">
        <w:t xml:space="preserve"> the largest database in the </w:t>
      </w:r>
      <w:r>
        <w:t xml:space="preserve">IRS providing </w:t>
      </w:r>
      <w:r w:rsidRPr="0050094C">
        <w:t xml:space="preserve">data, metadata, tools, and computing services to hundreds of research analysts whose work is aimed at improving tax </w:t>
      </w:r>
      <w:r w:rsidRPr="0050094C">
        <w:lastRenderedPageBreak/>
        <w:t>administration.</w:t>
      </w:r>
      <w:r>
        <w:t xml:space="preserve"> The dataset of records contained in the CDW represents the full universe of taxpayers. From these records, MITRE will sample potential participants from CDW according to the following strategy:</w:t>
      </w:r>
    </w:p>
    <w:p w:rsidR="00420F0E" w:rsidRDefault="00420F0E" w:rsidP="00420F0E">
      <w:pPr>
        <w:pStyle w:val="ListParagraph"/>
        <w:numPr>
          <w:ilvl w:val="0"/>
          <w:numId w:val="21"/>
        </w:numPr>
        <w:spacing w:after="60"/>
        <w:contextualSpacing w:val="0"/>
      </w:pPr>
      <w:r>
        <w:t>Identify potential interview locations and their zip codes.</w:t>
      </w:r>
    </w:p>
    <w:p w:rsidR="00420F0E" w:rsidRDefault="00420F0E" w:rsidP="00420F0E">
      <w:pPr>
        <w:pStyle w:val="ListParagraph"/>
        <w:numPr>
          <w:ilvl w:val="0"/>
          <w:numId w:val="21"/>
        </w:numPr>
        <w:spacing w:after="60"/>
        <w:contextualSpacing w:val="0"/>
      </w:pPr>
      <w:r>
        <w:t>Select interview location. MITRE will target one location within a 150-mile radius of the Washington, DC metropolitan area. For this location, MITRE will select 1-2 zip codes where the average AGI for that zip code falls within 15% of the national mean AGI.</w:t>
      </w:r>
    </w:p>
    <w:p w:rsidR="00420F0E" w:rsidRDefault="00420F0E" w:rsidP="00420F0E">
      <w:pPr>
        <w:pStyle w:val="ListParagraph"/>
        <w:numPr>
          <w:ilvl w:val="0"/>
          <w:numId w:val="21"/>
        </w:numPr>
        <w:spacing w:after="60"/>
        <w:contextualSpacing w:val="0"/>
      </w:pPr>
      <w:r>
        <w:t>Randomly select approximately 1,200 taxpayers who were W-2 wage, salary, and/or tip earners in TY2017 and reported their addresses as being in the selected zip codes in TY2017. These taxpayers will receive invitations to participate.</w:t>
      </w:r>
    </w:p>
    <w:p w:rsidR="00420F0E" w:rsidRDefault="00420F0E" w:rsidP="00420F0E">
      <w:pPr>
        <w:pStyle w:val="ListParagraph"/>
        <w:numPr>
          <w:ilvl w:val="0"/>
          <w:numId w:val="21"/>
        </w:numPr>
        <w:spacing w:after="60"/>
        <w:contextualSpacing w:val="0"/>
      </w:pPr>
      <w:r>
        <w:t>If time and resources allow, MITRE will additionally conduct a descriptive analysis of a random sample of all W-2 wage earners nationally, to compare the characteristics of the national population with this task’s invitation sample.</w:t>
      </w:r>
    </w:p>
    <w:p w:rsidR="00420F0E" w:rsidRDefault="00420F0E" w:rsidP="00420F0E"/>
    <w:p w:rsidR="00420F0E" w:rsidRPr="00C00D46" w:rsidRDefault="00420F0E" w:rsidP="00420F0E">
      <w:r>
        <w:t xml:space="preserve">The sampling strategy above will result in a random sample of invitees, that is, individuals we will invite to participate in the study. Based on reports from IRS Wage and Investment (W&amp;I) of low response rates to invitations to participate in a previous study, MITRE plans to contact approximately 1,200 taxpayers to achieve a total interview sample of 20-30 participants. MITRE may also cultivate a “back-up” sample in case response rates are low for the first invitation. MITRE will record all decisions made during sampling for the final report. The recruitment strategy for contacting these individuals is described below. </w:t>
      </w:r>
    </w:p>
    <w:p w:rsidR="00A403BB" w:rsidRDefault="00A403BB" w:rsidP="00420F0E"/>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386430" w:rsidP="001B0AAA">
      <w:pPr>
        <w:ind w:left="720"/>
      </w:pPr>
      <w:r>
        <w:t>[</w:t>
      </w:r>
      <w:r w:rsidR="006929B8">
        <w:t xml:space="preserve"> </w:t>
      </w:r>
      <w:r w:rsidR="003E4768">
        <w:t>X</w:t>
      </w:r>
      <w:r w:rsidR="006929B8">
        <w:t xml:space="preserve">  </w:t>
      </w:r>
      <w:r w:rsidR="00A403BB">
        <w:t>] Telephone</w:t>
      </w:r>
      <w:r w:rsidR="00A403BB">
        <w:tab/>
      </w:r>
    </w:p>
    <w:p w:rsidR="001B0AAA" w:rsidRDefault="00A403BB" w:rsidP="001B0AAA">
      <w:pPr>
        <w:ind w:left="720"/>
      </w:pPr>
      <w:r>
        <w:t>[</w:t>
      </w:r>
      <w:r w:rsidR="001B0AAA">
        <w:t xml:space="preserve"> </w:t>
      </w:r>
      <w:r w:rsidR="00434933">
        <w:t xml:space="preserve"> </w:t>
      </w:r>
      <w:r w:rsidR="003E4768">
        <w:t>X</w:t>
      </w:r>
      <w:r>
        <w:t xml:space="preserve"> ] In-person</w:t>
      </w:r>
      <w:r>
        <w:tab/>
      </w:r>
    </w:p>
    <w:p w:rsidR="001B0AAA" w:rsidRDefault="00A403BB" w:rsidP="001B0AAA">
      <w:pPr>
        <w:ind w:left="720"/>
      </w:pPr>
      <w:r>
        <w:t>[</w:t>
      </w:r>
      <w:r w:rsidR="00434933">
        <w:t xml:space="preserve"> </w:t>
      </w:r>
      <w:r>
        <w:t xml:space="preserve"> ] Mail</w:t>
      </w:r>
      <w:r w:rsidR="001B0AAA">
        <w:t xml:space="preserve"> </w:t>
      </w:r>
    </w:p>
    <w:p w:rsidR="001B0AAA" w:rsidRDefault="00A403BB" w:rsidP="001B0AAA">
      <w:pPr>
        <w:ind w:left="720"/>
      </w:pPr>
      <w:r>
        <w:t>[</w:t>
      </w:r>
      <w:r w:rsidR="00386430">
        <w:t xml:space="preserve"> </w:t>
      </w:r>
      <w:r>
        <w:t xml:space="preserve"> </w:t>
      </w:r>
      <w:r w:rsidR="001B0AAA">
        <w:t xml:space="preserve"> </w:t>
      </w:r>
      <w:r>
        <w:t>] Other, Explain</w:t>
      </w:r>
    </w:p>
    <w:p w:rsidR="003E4768" w:rsidRDefault="003E4768" w:rsidP="001B0AAA">
      <w:pPr>
        <w:ind w:left="720"/>
      </w:pPr>
    </w:p>
    <w:p w:rsidR="00F24CFC" w:rsidRDefault="00F24CFC" w:rsidP="00F24CFC">
      <w:pPr>
        <w:pStyle w:val="ListParagraph"/>
        <w:numPr>
          <w:ilvl w:val="0"/>
          <w:numId w:val="17"/>
        </w:numPr>
      </w:pPr>
      <w:r>
        <w:t xml:space="preserve">Will interviewers or </w:t>
      </w:r>
      <w:r w:rsidR="00386430">
        <w:t>facilitators be used?  [</w:t>
      </w:r>
      <w:r w:rsidR="006929B8">
        <w:t xml:space="preserve"> </w:t>
      </w:r>
      <w:r w:rsidR="003E4768">
        <w:t>X</w:t>
      </w:r>
      <w:r w:rsidR="006929B8">
        <w:t xml:space="preserve"> </w:t>
      </w:r>
      <w:r>
        <w:t xml:space="preserve">] Yes [  </w:t>
      </w:r>
      <w:r w:rsidR="00434933">
        <w:t xml:space="preserve">  </w:t>
      </w:r>
      <w:r>
        <w:t>] No</w:t>
      </w:r>
    </w:p>
    <w:p w:rsidR="00EC4307" w:rsidRDefault="00EC4307" w:rsidP="00EC4307"/>
    <w:p w:rsidR="00EC4307" w:rsidRDefault="00EC4307" w:rsidP="00EC4307"/>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Pr="008228C3" w:rsidRDefault="005E714A" w:rsidP="00BB7AE3">
      <w:pPr>
        <w:pStyle w:val="Heading2"/>
        <w:tabs>
          <w:tab w:val="left" w:pos="900"/>
        </w:tabs>
        <w:ind w:right="-180"/>
        <w:jc w:val="left"/>
        <w:rPr>
          <w:b w:val="0"/>
        </w:rPr>
      </w:pPr>
    </w:p>
    <w:sectPr w:rsidR="005E714A" w:rsidRPr="008228C3" w:rsidSect="0043493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CD" w:rsidRDefault="000329CD">
      <w:r>
        <w:separator/>
      </w:r>
    </w:p>
  </w:endnote>
  <w:endnote w:type="continuationSeparator" w:id="0">
    <w:p w:rsidR="000329CD" w:rsidRDefault="000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1110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CD" w:rsidRDefault="000329CD">
      <w:r>
        <w:separator/>
      </w:r>
    </w:p>
  </w:footnote>
  <w:footnote w:type="continuationSeparator" w:id="0">
    <w:p w:rsidR="000329CD" w:rsidRDefault="000329CD">
      <w:r>
        <w:continuationSeparator/>
      </w:r>
    </w:p>
  </w:footnote>
  <w:footnote w:id="1">
    <w:p w:rsidR="00131F3C" w:rsidRDefault="00131F3C" w:rsidP="00131F3C">
      <w:pPr>
        <w:pStyle w:val="FootnoteText"/>
      </w:pPr>
      <w:r>
        <w:rPr>
          <w:rStyle w:val="FootnoteReference"/>
        </w:rPr>
        <w:footnoteRef/>
      </w:r>
      <w:r>
        <w:t xml:space="preserve"> “In January 2018, median employee tenure (the point at which half of all workers had more tenure and</w:t>
      </w:r>
    </w:p>
    <w:p w:rsidR="00131F3C" w:rsidRDefault="00131F3C" w:rsidP="00131F3C">
      <w:pPr>
        <w:pStyle w:val="FootnoteText"/>
      </w:pPr>
      <w:r>
        <w:t>half had less tenure) for men was 4.3 years, unchanged from January 2016. Median tenure for women, at</w:t>
      </w:r>
    </w:p>
    <w:p w:rsidR="00131F3C" w:rsidRDefault="00131F3C" w:rsidP="00131F3C">
      <w:pPr>
        <w:pStyle w:val="FootnoteText"/>
      </w:pPr>
      <w:r>
        <w:t xml:space="preserve">4.0 years in January 2018, also was unchanged from January 2016.” </w:t>
      </w:r>
      <w:r w:rsidRPr="00736860">
        <w:rPr>
          <w:i/>
        </w:rPr>
        <w:t>Bureau of Labor Statistics News Release USDL-18-1500</w:t>
      </w:r>
      <w:r>
        <w:t xml:space="preserve">, </w:t>
      </w:r>
      <w:r w:rsidRPr="00736860">
        <w:rPr>
          <w:i/>
        </w:rPr>
        <w:t>September 20,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1F6449"/>
    <w:multiLevelType w:val="hybridMultilevel"/>
    <w:tmpl w:val="4FB44372"/>
    <w:lvl w:ilvl="0" w:tplc="98D0FB3C">
      <w:start w:val="1"/>
      <w:numFmt w:val="bullet"/>
      <w:lvlText w:val="•"/>
      <w:lvlJc w:val="left"/>
      <w:pPr>
        <w:tabs>
          <w:tab w:val="num" w:pos="720"/>
        </w:tabs>
        <w:ind w:left="720" w:hanging="360"/>
      </w:pPr>
      <w:rPr>
        <w:rFonts w:ascii="Arial" w:hAnsi="Arial" w:hint="default"/>
      </w:rPr>
    </w:lvl>
    <w:lvl w:ilvl="1" w:tplc="3A040ECE">
      <w:start w:val="1"/>
      <w:numFmt w:val="decimal"/>
      <w:lvlText w:val="%2."/>
      <w:lvlJc w:val="left"/>
      <w:pPr>
        <w:tabs>
          <w:tab w:val="num" w:pos="1440"/>
        </w:tabs>
        <w:ind w:left="1440" w:hanging="360"/>
      </w:pPr>
      <w:rPr>
        <w:rFonts w:ascii="Times New Roman" w:eastAsia="Times New Roman" w:hAnsi="Times New Roman" w:cs="Times New Roman"/>
      </w:rPr>
    </w:lvl>
    <w:lvl w:ilvl="2" w:tplc="BD48150C">
      <w:start w:val="1"/>
      <w:numFmt w:val="bullet"/>
      <w:lvlText w:val="•"/>
      <w:lvlJc w:val="left"/>
      <w:pPr>
        <w:tabs>
          <w:tab w:val="num" w:pos="2160"/>
        </w:tabs>
        <w:ind w:left="2160" w:hanging="360"/>
      </w:pPr>
      <w:rPr>
        <w:rFonts w:ascii="Arial" w:hAnsi="Arial" w:hint="default"/>
      </w:rPr>
    </w:lvl>
    <w:lvl w:ilvl="3" w:tplc="E81C0264">
      <w:start w:val="1"/>
      <w:numFmt w:val="bullet"/>
      <w:lvlText w:val="-"/>
      <w:lvlJc w:val="left"/>
      <w:pPr>
        <w:ind w:left="2880" w:hanging="360"/>
      </w:pPr>
      <w:rPr>
        <w:rFonts w:ascii="Times New Roman" w:eastAsia="Times New Roman" w:hAnsi="Times New Roman" w:cs="Times New Roman" w:hint="default"/>
      </w:rPr>
    </w:lvl>
    <w:lvl w:ilvl="4" w:tplc="4588E8FE" w:tentative="1">
      <w:start w:val="1"/>
      <w:numFmt w:val="bullet"/>
      <w:lvlText w:val="•"/>
      <w:lvlJc w:val="left"/>
      <w:pPr>
        <w:tabs>
          <w:tab w:val="num" w:pos="3600"/>
        </w:tabs>
        <w:ind w:left="3600" w:hanging="360"/>
      </w:pPr>
      <w:rPr>
        <w:rFonts w:ascii="Arial" w:hAnsi="Arial" w:hint="default"/>
      </w:rPr>
    </w:lvl>
    <w:lvl w:ilvl="5" w:tplc="1AAA759A" w:tentative="1">
      <w:start w:val="1"/>
      <w:numFmt w:val="bullet"/>
      <w:lvlText w:val="•"/>
      <w:lvlJc w:val="left"/>
      <w:pPr>
        <w:tabs>
          <w:tab w:val="num" w:pos="4320"/>
        </w:tabs>
        <w:ind w:left="4320" w:hanging="360"/>
      </w:pPr>
      <w:rPr>
        <w:rFonts w:ascii="Arial" w:hAnsi="Arial" w:hint="default"/>
      </w:rPr>
    </w:lvl>
    <w:lvl w:ilvl="6" w:tplc="FD6C9DCC" w:tentative="1">
      <w:start w:val="1"/>
      <w:numFmt w:val="bullet"/>
      <w:lvlText w:val="•"/>
      <w:lvlJc w:val="left"/>
      <w:pPr>
        <w:tabs>
          <w:tab w:val="num" w:pos="5040"/>
        </w:tabs>
        <w:ind w:left="5040" w:hanging="360"/>
      </w:pPr>
      <w:rPr>
        <w:rFonts w:ascii="Arial" w:hAnsi="Arial" w:hint="default"/>
      </w:rPr>
    </w:lvl>
    <w:lvl w:ilvl="7" w:tplc="0968374A" w:tentative="1">
      <w:start w:val="1"/>
      <w:numFmt w:val="bullet"/>
      <w:lvlText w:val="•"/>
      <w:lvlJc w:val="left"/>
      <w:pPr>
        <w:tabs>
          <w:tab w:val="num" w:pos="5760"/>
        </w:tabs>
        <w:ind w:left="5760" w:hanging="360"/>
      </w:pPr>
      <w:rPr>
        <w:rFonts w:ascii="Arial" w:hAnsi="Arial" w:hint="default"/>
      </w:rPr>
    </w:lvl>
    <w:lvl w:ilvl="8" w:tplc="67C8FBEA" w:tentative="1">
      <w:start w:val="1"/>
      <w:numFmt w:val="bullet"/>
      <w:lvlText w:val="•"/>
      <w:lvlJc w:val="left"/>
      <w:pPr>
        <w:tabs>
          <w:tab w:val="num" w:pos="6480"/>
        </w:tabs>
        <w:ind w:left="6480" w:hanging="360"/>
      </w:pPr>
      <w:rPr>
        <w:rFonts w:ascii="Arial" w:hAnsi="Arial" w:hint="default"/>
      </w:rPr>
    </w:lvl>
  </w:abstractNum>
  <w:abstractNum w:abstractNumId="9">
    <w:nsid w:val="36604358"/>
    <w:multiLevelType w:val="hybridMultilevel"/>
    <w:tmpl w:val="8090AE2A"/>
    <w:lvl w:ilvl="0" w:tplc="EC6CA0C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14"/>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29CD"/>
    <w:rsid w:val="00047A64"/>
    <w:rsid w:val="000641CD"/>
    <w:rsid w:val="00067329"/>
    <w:rsid w:val="0007763D"/>
    <w:rsid w:val="000B2838"/>
    <w:rsid w:val="000C65FA"/>
    <w:rsid w:val="000D44CA"/>
    <w:rsid w:val="000E200B"/>
    <w:rsid w:val="000F68BE"/>
    <w:rsid w:val="00131F3C"/>
    <w:rsid w:val="001927A4"/>
    <w:rsid w:val="00194AC6"/>
    <w:rsid w:val="001A23B0"/>
    <w:rsid w:val="001A25CC"/>
    <w:rsid w:val="001B0AAA"/>
    <w:rsid w:val="001C39F7"/>
    <w:rsid w:val="001E0C5B"/>
    <w:rsid w:val="00216647"/>
    <w:rsid w:val="00237B48"/>
    <w:rsid w:val="0024294D"/>
    <w:rsid w:val="0024521E"/>
    <w:rsid w:val="0025026D"/>
    <w:rsid w:val="002631A3"/>
    <w:rsid w:val="00263C3D"/>
    <w:rsid w:val="00274D0B"/>
    <w:rsid w:val="00283281"/>
    <w:rsid w:val="002B052D"/>
    <w:rsid w:val="002B34CD"/>
    <w:rsid w:val="002B3C95"/>
    <w:rsid w:val="002D0B92"/>
    <w:rsid w:val="003032D5"/>
    <w:rsid w:val="00386430"/>
    <w:rsid w:val="003D5BBE"/>
    <w:rsid w:val="003E3C61"/>
    <w:rsid w:val="003E4768"/>
    <w:rsid w:val="003F1C5B"/>
    <w:rsid w:val="0041110A"/>
    <w:rsid w:val="0041242E"/>
    <w:rsid w:val="00420F0E"/>
    <w:rsid w:val="00434933"/>
    <w:rsid w:val="00434E33"/>
    <w:rsid w:val="00441434"/>
    <w:rsid w:val="0045264C"/>
    <w:rsid w:val="0047638B"/>
    <w:rsid w:val="004876EC"/>
    <w:rsid w:val="004D6E14"/>
    <w:rsid w:val="004F1ECF"/>
    <w:rsid w:val="005009B0"/>
    <w:rsid w:val="00526324"/>
    <w:rsid w:val="00575AA7"/>
    <w:rsid w:val="005A1006"/>
    <w:rsid w:val="005E714A"/>
    <w:rsid w:val="005F693D"/>
    <w:rsid w:val="006140A0"/>
    <w:rsid w:val="00636621"/>
    <w:rsid w:val="00642B49"/>
    <w:rsid w:val="006650E3"/>
    <w:rsid w:val="006832D9"/>
    <w:rsid w:val="006929B8"/>
    <w:rsid w:val="0069403B"/>
    <w:rsid w:val="006F3DDE"/>
    <w:rsid w:val="00704678"/>
    <w:rsid w:val="007425E7"/>
    <w:rsid w:val="007F7080"/>
    <w:rsid w:val="00802607"/>
    <w:rsid w:val="008101A5"/>
    <w:rsid w:val="00822664"/>
    <w:rsid w:val="008228C3"/>
    <w:rsid w:val="008421C6"/>
    <w:rsid w:val="00843796"/>
    <w:rsid w:val="0084521C"/>
    <w:rsid w:val="0087655D"/>
    <w:rsid w:val="00895229"/>
    <w:rsid w:val="008B2EB3"/>
    <w:rsid w:val="008F0203"/>
    <w:rsid w:val="008F50D4"/>
    <w:rsid w:val="008F63B5"/>
    <w:rsid w:val="009239AA"/>
    <w:rsid w:val="00935ADA"/>
    <w:rsid w:val="00946B6C"/>
    <w:rsid w:val="00955A71"/>
    <w:rsid w:val="0096108F"/>
    <w:rsid w:val="0098404E"/>
    <w:rsid w:val="00986692"/>
    <w:rsid w:val="009C13B9"/>
    <w:rsid w:val="009D01A2"/>
    <w:rsid w:val="009F5923"/>
    <w:rsid w:val="00A15D88"/>
    <w:rsid w:val="00A403BB"/>
    <w:rsid w:val="00A674DF"/>
    <w:rsid w:val="00A83AA6"/>
    <w:rsid w:val="00A934D6"/>
    <w:rsid w:val="00AE1809"/>
    <w:rsid w:val="00AF3B1F"/>
    <w:rsid w:val="00B66226"/>
    <w:rsid w:val="00B80D76"/>
    <w:rsid w:val="00B824F4"/>
    <w:rsid w:val="00B92C1C"/>
    <w:rsid w:val="00BA2105"/>
    <w:rsid w:val="00BA5C5A"/>
    <w:rsid w:val="00BA7E06"/>
    <w:rsid w:val="00BB43B5"/>
    <w:rsid w:val="00BB6219"/>
    <w:rsid w:val="00BB7AE3"/>
    <w:rsid w:val="00BD290F"/>
    <w:rsid w:val="00BD78CA"/>
    <w:rsid w:val="00C14CC4"/>
    <w:rsid w:val="00C2348F"/>
    <w:rsid w:val="00C33C52"/>
    <w:rsid w:val="00C40D8B"/>
    <w:rsid w:val="00C56581"/>
    <w:rsid w:val="00C75546"/>
    <w:rsid w:val="00C8407A"/>
    <w:rsid w:val="00C8488C"/>
    <w:rsid w:val="00C86E91"/>
    <w:rsid w:val="00CA2650"/>
    <w:rsid w:val="00CB1078"/>
    <w:rsid w:val="00CC6FAF"/>
    <w:rsid w:val="00CF6542"/>
    <w:rsid w:val="00D02B0E"/>
    <w:rsid w:val="00D24698"/>
    <w:rsid w:val="00D6383F"/>
    <w:rsid w:val="00DA71E8"/>
    <w:rsid w:val="00DB59D0"/>
    <w:rsid w:val="00DC33D3"/>
    <w:rsid w:val="00DC5D34"/>
    <w:rsid w:val="00E26329"/>
    <w:rsid w:val="00E40B50"/>
    <w:rsid w:val="00E50293"/>
    <w:rsid w:val="00E65FFC"/>
    <w:rsid w:val="00E744EA"/>
    <w:rsid w:val="00E80951"/>
    <w:rsid w:val="00E86CC6"/>
    <w:rsid w:val="00EB56B3"/>
    <w:rsid w:val="00EC4307"/>
    <w:rsid w:val="00ED6492"/>
    <w:rsid w:val="00EF2095"/>
    <w:rsid w:val="00F06866"/>
    <w:rsid w:val="00F1055B"/>
    <w:rsid w:val="00F15956"/>
    <w:rsid w:val="00F24CFC"/>
    <w:rsid w:val="00F3170F"/>
    <w:rsid w:val="00F51AC7"/>
    <w:rsid w:val="00F976B0"/>
    <w:rsid w:val="00FA6DE7"/>
    <w:rsid w:val="00FC0A8E"/>
    <w:rsid w:val="00FC4F7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FootnoteReference">
    <w:name w:val="footnote reference"/>
    <w:basedOn w:val="DefaultParagraphFont"/>
    <w:rsid w:val="00131F3C"/>
    <w:rPr>
      <w:rFonts w:ascii="Times New Roman" w:hAnsi="Times New Roman"/>
      <w:sz w:val="18"/>
      <w:vertAlign w:val="superscript"/>
    </w:rPr>
  </w:style>
  <w:style w:type="paragraph" w:styleId="FootnoteText">
    <w:name w:val="footnote text"/>
    <w:basedOn w:val="Normal"/>
    <w:link w:val="FootnoteTextChar"/>
    <w:autoRedefine/>
    <w:uiPriority w:val="99"/>
    <w:rsid w:val="00131F3C"/>
    <w:rPr>
      <w:sz w:val="18"/>
      <w:szCs w:val="20"/>
    </w:rPr>
  </w:style>
  <w:style w:type="character" w:customStyle="1" w:styleId="FootnoteTextChar">
    <w:name w:val="Footnote Text Char"/>
    <w:basedOn w:val="DefaultParagraphFont"/>
    <w:link w:val="FootnoteText"/>
    <w:uiPriority w:val="99"/>
    <w:rsid w:val="00131F3C"/>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FootnoteReference">
    <w:name w:val="footnote reference"/>
    <w:basedOn w:val="DefaultParagraphFont"/>
    <w:rsid w:val="00131F3C"/>
    <w:rPr>
      <w:rFonts w:ascii="Times New Roman" w:hAnsi="Times New Roman"/>
      <w:sz w:val="18"/>
      <w:vertAlign w:val="superscript"/>
    </w:rPr>
  </w:style>
  <w:style w:type="paragraph" w:styleId="FootnoteText">
    <w:name w:val="footnote text"/>
    <w:basedOn w:val="Normal"/>
    <w:link w:val="FootnoteTextChar"/>
    <w:autoRedefine/>
    <w:uiPriority w:val="99"/>
    <w:rsid w:val="00131F3C"/>
    <w:rPr>
      <w:sz w:val="18"/>
      <w:szCs w:val="20"/>
    </w:rPr>
  </w:style>
  <w:style w:type="character" w:customStyle="1" w:styleId="FootnoteTextChar">
    <w:name w:val="Footnote Text Char"/>
    <w:basedOn w:val="DefaultParagraphFont"/>
    <w:link w:val="FootnoteText"/>
    <w:uiPriority w:val="99"/>
    <w:rsid w:val="00131F3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2018-12-17T19:04:00Z</dcterms:created>
  <dcterms:modified xsi:type="dcterms:W3CDTF">2018-12-17T19:04:00Z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