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12B62" w:rsidR="001945CA" w:rsidP="009F4D1C" w:rsidRDefault="00B50861" w14:paraId="6556D67E" w14:textId="77777777">
      <w:pPr>
        <w:jc w:val="center"/>
        <w:rPr>
          <w:sz w:val="28"/>
          <w:szCs w:val="28"/>
        </w:rPr>
      </w:pPr>
      <w:r w:rsidRPr="00512B62">
        <w:rPr>
          <w:sz w:val="28"/>
          <w:szCs w:val="28"/>
        </w:rPr>
        <w:t>Department of the Treasury</w:t>
      </w:r>
    </w:p>
    <w:p w:rsidRPr="00512B62" w:rsidR="007E69B3" w:rsidP="009F4D1C" w:rsidRDefault="00B50861" w14:paraId="4F6F99C2" w14:textId="77777777">
      <w:pPr>
        <w:jc w:val="center"/>
        <w:rPr>
          <w:sz w:val="28"/>
          <w:szCs w:val="28"/>
        </w:rPr>
      </w:pPr>
      <w:r w:rsidRPr="00512B62">
        <w:rPr>
          <w:sz w:val="28"/>
          <w:szCs w:val="28"/>
        </w:rPr>
        <w:t>Departmental Offices</w:t>
      </w:r>
    </w:p>
    <w:p w:rsidRPr="00512B62" w:rsidR="003C068B" w:rsidP="00A73FE3" w:rsidRDefault="00512B62" w14:paraId="076A763B" w14:textId="10CB5D6E">
      <w:pPr>
        <w:jc w:val="center"/>
        <w:rPr>
          <w:b/>
        </w:rPr>
      </w:pPr>
      <w:r w:rsidRPr="00512B62">
        <w:rPr>
          <w:b/>
        </w:rPr>
        <w:t xml:space="preserve">Application </w:t>
      </w:r>
      <w:r w:rsidR="00165343">
        <w:rPr>
          <w:b/>
        </w:rPr>
        <w:t xml:space="preserve">and Reports </w:t>
      </w:r>
      <w:r w:rsidRPr="00512B62">
        <w:rPr>
          <w:b/>
        </w:rPr>
        <w:t xml:space="preserve">for </w:t>
      </w:r>
      <w:r w:rsidR="000E07A3">
        <w:rPr>
          <w:b/>
        </w:rPr>
        <w:t xml:space="preserve">the </w:t>
      </w:r>
      <w:r w:rsidR="00165343">
        <w:rPr>
          <w:b/>
        </w:rPr>
        <w:t xml:space="preserve">Direct Component </w:t>
      </w:r>
      <w:r w:rsidR="000E07A3">
        <w:rPr>
          <w:b/>
        </w:rPr>
        <w:t xml:space="preserve">and the Centers of Excellence Research Grants Program </w:t>
      </w:r>
      <w:r w:rsidR="00165343">
        <w:rPr>
          <w:b/>
        </w:rPr>
        <w:t xml:space="preserve">of the </w:t>
      </w:r>
      <w:r w:rsidR="00B31CDA">
        <w:rPr>
          <w:b/>
        </w:rPr>
        <w:t>Office of Gulf Coast Restoration, Office of</w:t>
      </w:r>
      <w:r w:rsidR="00F23B72">
        <w:rPr>
          <w:b/>
        </w:rPr>
        <w:t xml:space="preserve"> </w:t>
      </w:r>
      <w:r w:rsidR="00BC1BAC">
        <w:rPr>
          <w:b/>
        </w:rPr>
        <w:t>Fiscal Assistant Secretary</w:t>
      </w:r>
      <w:r w:rsidR="00B31CDA">
        <w:rPr>
          <w:b/>
        </w:rPr>
        <w:t xml:space="preserve"> </w:t>
      </w:r>
    </w:p>
    <w:p w:rsidR="00512B62" w:rsidP="00512B62" w:rsidRDefault="00512B62" w14:paraId="1A46653E" w14:textId="189756E9">
      <w:pPr>
        <w:jc w:val="center"/>
        <w:rPr>
          <w:i/>
        </w:rPr>
      </w:pPr>
      <w:bookmarkStart w:name="_GoBack" w:id="0"/>
      <w:bookmarkEnd w:id="0"/>
      <w:r w:rsidRPr="00512B62">
        <w:rPr>
          <w:i/>
        </w:rPr>
        <w:t>Supporting Statement and Request for Clearance</w:t>
      </w:r>
    </w:p>
    <w:p w:rsidRPr="00110D39" w:rsidR="00110D39" w:rsidP="00512B62" w:rsidRDefault="00B601FF" w14:paraId="19A6AAA8" w14:textId="77777777">
      <w:pPr>
        <w:jc w:val="center"/>
      </w:pPr>
      <w:r>
        <w:t>OMB No. 1505-0250</w:t>
      </w:r>
    </w:p>
    <w:p w:rsidR="000E1D60" w:rsidP="00A73FE3" w:rsidRDefault="000E1D60" w14:paraId="29EDAC2D" w14:textId="77777777">
      <w:pPr>
        <w:jc w:val="center"/>
      </w:pPr>
    </w:p>
    <w:p w:rsidRPr="0025604D" w:rsidR="00A73FE3" w:rsidRDefault="00A73FE3" w14:paraId="1DF2F638" w14:textId="77777777"/>
    <w:p w:rsidRPr="002551F6" w:rsidR="00B50861" w:rsidP="00F41911" w:rsidRDefault="00F41911" w14:paraId="0CDC7AD8" w14:textId="77777777">
      <w:pPr>
        <w:numPr>
          <w:ilvl w:val="0"/>
          <w:numId w:val="12"/>
        </w:numPr>
        <w:rPr>
          <w:b/>
          <w:u w:val="single"/>
        </w:rPr>
      </w:pPr>
      <w:r w:rsidRPr="002551F6">
        <w:rPr>
          <w:b/>
        </w:rPr>
        <w:t xml:space="preserve"> </w:t>
      </w:r>
      <w:r w:rsidRPr="002551F6" w:rsidR="00B50861">
        <w:rPr>
          <w:b/>
          <w:u w:val="single"/>
        </w:rPr>
        <w:t>Circumstances necessitating the collection of information</w:t>
      </w:r>
    </w:p>
    <w:p w:rsidRPr="0025604D" w:rsidR="00990870" w:rsidP="00990870" w:rsidRDefault="00990870" w14:paraId="0161624D" w14:textId="77777777">
      <w:pPr>
        <w:ind w:left="360"/>
        <w:rPr>
          <w:u w:val="single"/>
        </w:rPr>
      </w:pPr>
    </w:p>
    <w:p w:rsidRPr="002551F6" w:rsidR="00AF0BF9" w:rsidP="00B716A8" w:rsidRDefault="00A73FE3" w14:paraId="1004CF6F" w14:textId="6FC874C3">
      <w:r w:rsidRPr="002551F6">
        <w:t xml:space="preserve">Authorized under the </w:t>
      </w:r>
      <w:r w:rsidRPr="002551F6" w:rsidR="000E07A3">
        <w:t>Resources and Ecosystems Sustainability, Tourist Opportunities, and Revived Economies of the Gulf Coast States Act (RESTORE</w:t>
      </w:r>
      <w:r w:rsidR="009E4CDC">
        <w:t xml:space="preserve"> Act</w:t>
      </w:r>
      <w:r w:rsidRPr="002551F6" w:rsidR="000E07A3">
        <w:t>)</w:t>
      </w:r>
      <w:r w:rsidR="002E4398">
        <w:t xml:space="preserve"> (P.L. 112-141)</w:t>
      </w:r>
      <w:r w:rsidRPr="002551F6" w:rsidR="000E07A3">
        <w:t>, t</w:t>
      </w:r>
      <w:r w:rsidRPr="002551F6">
        <w:t xml:space="preserve">he Department of the Treasury </w:t>
      </w:r>
      <w:r w:rsidRPr="002551F6" w:rsidR="00260CEB">
        <w:t>implement</w:t>
      </w:r>
      <w:r w:rsidR="009E4CDC">
        <w:t>s</w:t>
      </w:r>
      <w:r w:rsidRPr="002551F6" w:rsidR="00260CEB">
        <w:t xml:space="preserve"> </w:t>
      </w:r>
      <w:r w:rsidRPr="002551F6">
        <w:t xml:space="preserve">several </w:t>
      </w:r>
      <w:r w:rsidRPr="002551F6" w:rsidR="00260CEB">
        <w:t xml:space="preserve">provisions of the Act, more specifically </w:t>
      </w:r>
      <w:r w:rsidRPr="002551F6" w:rsidR="000E07A3">
        <w:t>the Direct Component and the Centers of Excellence Research</w:t>
      </w:r>
      <w:r w:rsidR="002920BD">
        <w:t xml:space="preserve"> Grants Program</w:t>
      </w:r>
      <w:r w:rsidRPr="002551F6" w:rsidR="000E07A3">
        <w:t>.</w:t>
      </w:r>
      <w:r w:rsidRPr="002551F6" w:rsidR="009B6FA0">
        <w:t xml:space="preserve">  </w:t>
      </w:r>
      <w:r w:rsidRPr="002551F6" w:rsidR="000E07A3">
        <w:t xml:space="preserve">These programs </w:t>
      </w:r>
      <w:r w:rsidRPr="002551F6" w:rsidR="00CD58CD">
        <w:t xml:space="preserve">require Treasury to </w:t>
      </w:r>
      <w:r w:rsidR="00B31CDA">
        <w:t>award</w:t>
      </w:r>
      <w:r w:rsidRPr="002551F6" w:rsidR="00CD58CD">
        <w:t xml:space="preserve"> </w:t>
      </w:r>
      <w:r w:rsidRPr="002551F6" w:rsidR="000E07A3">
        <w:t>grants from the Gulf Coast Restoration Trust Fund</w:t>
      </w:r>
      <w:r w:rsidR="009259D5">
        <w:t xml:space="preserve"> (Trust Fund) equally to the five Gulf Coast States</w:t>
      </w:r>
      <w:r w:rsidRPr="002551F6" w:rsidR="00860267">
        <w:t xml:space="preserve"> </w:t>
      </w:r>
      <w:r w:rsidRPr="002551F6" w:rsidR="000E07A3">
        <w:t xml:space="preserve">impacted by </w:t>
      </w:r>
      <w:r w:rsidR="00B64EA2">
        <w:t xml:space="preserve">the </w:t>
      </w:r>
      <w:r w:rsidRPr="00106A18" w:rsidR="000E07A3">
        <w:rPr>
          <w:i/>
        </w:rPr>
        <w:t xml:space="preserve">Deepwater Horizon </w:t>
      </w:r>
      <w:r w:rsidRPr="002551F6" w:rsidR="000E07A3">
        <w:t>Oil Spill</w:t>
      </w:r>
      <w:r w:rsidRPr="002551F6" w:rsidR="00860267">
        <w:t xml:space="preserve">.  </w:t>
      </w:r>
      <w:r w:rsidRPr="002551F6" w:rsidR="000E07A3">
        <w:t xml:space="preserve">The </w:t>
      </w:r>
      <w:r w:rsidR="009259D5">
        <w:t xml:space="preserve">Direct Component </w:t>
      </w:r>
      <w:r w:rsidR="009E4CDC">
        <w:t>recipients include</w:t>
      </w:r>
      <w:r w:rsidRPr="002551F6" w:rsidR="000E07A3">
        <w:t xml:space="preserve"> Alabama, </w:t>
      </w:r>
      <w:r w:rsidRPr="002551F6" w:rsidR="009E4CDC">
        <w:t xml:space="preserve">23 </w:t>
      </w:r>
      <w:r w:rsidR="009E4CDC">
        <w:t xml:space="preserve">Florida </w:t>
      </w:r>
      <w:r w:rsidRPr="002551F6" w:rsidR="009E4CDC">
        <w:t>counties</w:t>
      </w:r>
      <w:r w:rsidR="009E4CDC">
        <w:t>,</w:t>
      </w:r>
      <w:r w:rsidRPr="002551F6" w:rsidR="009E4CDC">
        <w:t xml:space="preserve"> </w:t>
      </w:r>
      <w:r w:rsidRPr="002551F6" w:rsidR="000E07A3">
        <w:t xml:space="preserve">Louisiana, </w:t>
      </w:r>
      <w:r w:rsidRPr="002551F6" w:rsidR="009E4CDC">
        <w:t xml:space="preserve">20 </w:t>
      </w:r>
      <w:r w:rsidR="009E4CDC">
        <w:t xml:space="preserve">Louisiana </w:t>
      </w:r>
      <w:r w:rsidRPr="002551F6" w:rsidR="009E4CDC">
        <w:t>parishes</w:t>
      </w:r>
      <w:r w:rsidR="009E4CDC">
        <w:t xml:space="preserve">, </w:t>
      </w:r>
      <w:r w:rsidRPr="002551F6" w:rsidR="000E07A3">
        <w:t xml:space="preserve">Mississippi, and Texas.  </w:t>
      </w:r>
      <w:r w:rsidR="009259D5">
        <w:t>Alabama, Florida, Louisiana, Mississippi, and Texas equally share the Centers of Excellence Research Grants Program allocations from Trust Fund deposits</w:t>
      </w:r>
      <w:r w:rsidR="00B31CDA">
        <w:t>.</w:t>
      </w:r>
    </w:p>
    <w:p w:rsidRPr="002551F6" w:rsidR="00AF0BF9" w:rsidP="00B716A8" w:rsidRDefault="00AF0BF9" w14:paraId="2396964A" w14:textId="77777777"/>
    <w:p w:rsidR="006678F4" w:rsidP="006678F4" w:rsidRDefault="006678F4" w14:paraId="6310665E" w14:textId="2090FB70">
      <w:r>
        <w:t>In general, f</w:t>
      </w:r>
      <w:r w:rsidRPr="002551F6" w:rsidR="00AF0BF9">
        <w:t>or the Direct Component,</w:t>
      </w:r>
      <w:r>
        <w:t xml:space="preserve"> </w:t>
      </w:r>
      <w:r w:rsidRPr="006678F4">
        <w:t>the following projects, programs, and activities are eligible for funding under the Direct Component</w:t>
      </w:r>
      <w:r>
        <w:t>,</w:t>
      </w:r>
      <w:r w:rsidRPr="006678F4">
        <w:t xml:space="preserve"> </w:t>
      </w:r>
      <w:r>
        <w:t>based on t</w:t>
      </w:r>
      <w:r w:rsidRPr="006678F4">
        <w:t xml:space="preserve">he eligibility </w:t>
      </w:r>
      <w:r>
        <w:t>criteria</w:t>
      </w:r>
      <w:r w:rsidRPr="006678F4">
        <w:t xml:space="preserve"> desc</w:t>
      </w:r>
      <w:r>
        <w:t>ribed in Treasury’s regulations</w:t>
      </w:r>
      <w:r w:rsidR="0058262E">
        <w:t>.</w:t>
      </w:r>
      <w:r w:rsidRPr="006678F4">
        <w:t xml:space="preserve"> </w:t>
      </w:r>
      <w:r w:rsidR="0058262E">
        <w:t xml:space="preserve"> </w:t>
      </w:r>
      <w:r w:rsidR="0058262E">
        <w:rPr>
          <w:i/>
        </w:rPr>
        <w:t>S</w:t>
      </w:r>
      <w:r w:rsidRPr="00106A18">
        <w:rPr>
          <w:i/>
        </w:rPr>
        <w:t>ee 31 CFR 34.201</w:t>
      </w:r>
      <w:r w:rsidR="0058262E">
        <w:rPr>
          <w:i/>
        </w:rPr>
        <w:t>.</w:t>
      </w:r>
      <w:r w:rsidR="00B64EA2">
        <w:t xml:space="preserve"> </w:t>
      </w:r>
    </w:p>
    <w:p w:rsidR="006678F4" w:rsidP="00106A18" w:rsidRDefault="006678F4" w14:paraId="0733FF4D" w14:textId="127C2E90">
      <w:pPr>
        <w:numPr>
          <w:ilvl w:val="0"/>
          <w:numId w:val="16"/>
        </w:numPr>
      </w:pPr>
      <w:r>
        <w:t>Restoration and protection of the natural resources, ecosystems, fisheries, marine and wildlife habitats, beaches and coastal wetlands of the Gulf Coast region</w:t>
      </w:r>
    </w:p>
    <w:p w:rsidR="006678F4" w:rsidP="00106A18" w:rsidRDefault="006678F4" w14:paraId="70D5F25B" w14:textId="77777777">
      <w:pPr>
        <w:numPr>
          <w:ilvl w:val="0"/>
          <w:numId w:val="16"/>
        </w:numPr>
      </w:pPr>
      <w:r>
        <w:t>Mitigation of damage to fish, wildlife, and natural resources</w:t>
      </w:r>
    </w:p>
    <w:p w:rsidR="006678F4" w:rsidP="00106A18" w:rsidRDefault="006678F4" w14:paraId="5ABF6E8A" w14:textId="77777777">
      <w:pPr>
        <w:numPr>
          <w:ilvl w:val="0"/>
          <w:numId w:val="16"/>
        </w:numPr>
      </w:pPr>
      <w:r>
        <w:t>Implementation of a federally approved marine, coastal, or comprehensive conservation management plan, including fisheries monitoring</w:t>
      </w:r>
    </w:p>
    <w:p w:rsidR="006678F4" w:rsidP="00106A18" w:rsidRDefault="006678F4" w14:paraId="7D008A1B" w14:textId="77777777">
      <w:pPr>
        <w:numPr>
          <w:ilvl w:val="0"/>
          <w:numId w:val="16"/>
        </w:numPr>
      </w:pPr>
      <w:r>
        <w:t>Workforce development and job creation</w:t>
      </w:r>
    </w:p>
    <w:p w:rsidR="006678F4" w:rsidP="00106A18" w:rsidRDefault="006678F4" w14:paraId="18BF362E" w14:textId="77777777">
      <w:pPr>
        <w:numPr>
          <w:ilvl w:val="0"/>
          <w:numId w:val="16"/>
        </w:numPr>
      </w:pPr>
      <w:r>
        <w:t>Improvements to or on State parks located in coastal areas affected by the Deepwater Horizon oil spill</w:t>
      </w:r>
      <w:r w:rsidRPr="006678F4">
        <w:t xml:space="preserve"> </w:t>
      </w:r>
    </w:p>
    <w:p w:rsidR="006678F4" w:rsidP="00106A18" w:rsidRDefault="006678F4" w14:paraId="7A8E4CA9" w14:textId="77777777">
      <w:pPr>
        <w:numPr>
          <w:ilvl w:val="0"/>
          <w:numId w:val="16"/>
        </w:numPr>
      </w:pPr>
      <w:r>
        <w:t>Infrastructure projects benefitting the economy or ecological resources, including port infrastructure</w:t>
      </w:r>
    </w:p>
    <w:p w:rsidR="006678F4" w:rsidP="00106A18" w:rsidRDefault="006678F4" w14:paraId="401FFA50" w14:textId="4EC11C16">
      <w:pPr>
        <w:numPr>
          <w:ilvl w:val="0"/>
          <w:numId w:val="16"/>
        </w:numPr>
      </w:pPr>
      <w:r>
        <w:t>Coastal flood protection and related infrastructure</w:t>
      </w:r>
    </w:p>
    <w:p w:rsidR="006678F4" w:rsidP="00106A18" w:rsidRDefault="006678F4" w14:paraId="25D29FC3" w14:textId="77777777">
      <w:pPr>
        <w:numPr>
          <w:ilvl w:val="0"/>
          <w:numId w:val="16"/>
        </w:numPr>
      </w:pPr>
      <w:r>
        <w:t xml:space="preserve">Planning assistance </w:t>
      </w:r>
    </w:p>
    <w:p w:rsidR="006678F4" w:rsidP="00106A18" w:rsidRDefault="006678F4" w14:paraId="1C47C75F" w14:textId="77777777">
      <w:pPr>
        <w:numPr>
          <w:ilvl w:val="0"/>
          <w:numId w:val="16"/>
        </w:numPr>
      </w:pPr>
      <w:r>
        <w:t>Administrative costs</w:t>
      </w:r>
    </w:p>
    <w:p w:rsidR="006678F4" w:rsidP="00106A18" w:rsidRDefault="006678F4" w14:paraId="08B83E96" w14:textId="615F447E">
      <w:pPr>
        <w:numPr>
          <w:ilvl w:val="0"/>
          <w:numId w:val="16"/>
        </w:numPr>
      </w:pPr>
      <w:r>
        <w:t>Promotion of tourism in the Gulf Coast region, including recreational fishing</w:t>
      </w:r>
    </w:p>
    <w:p w:rsidR="006678F4" w:rsidP="00106A18" w:rsidRDefault="006678F4" w14:paraId="1F45C760" w14:textId="77777777">
      <w:pPr>
        <w:numPr>
          <w:ilvl w:val="0"/>
          <w:numId w:val="16"/>
        </w:numPr>
      </w:pPr>
      <w:r>
        <w:t>Promotion of the consumption of seafood harvested from the Gulf Coast region</w:t>
      </w:r>
      <w:r w:rsidR="003F59C0">
        <w:t>.</w:t>
      </w:r>
    </w:p>
    <w:p w:rsidR="006678F4" w:rsidP="006678F4" w:rsidRDefault="006678F4" w14:paraId="52FE8145" w14:textId="77777777"/>
    <w:p w:rsidRPr="00106A18" w:rsidR="00AF0BF9" w:rsidP="00106A18" w:rsidRDefault="00AF0BF9" w14:paraId="08B21447" w14:textId="6D318A3B">
      <w:pPr>
        <w:jc w:val="both"/>
        <w:rPr>
          <w:i/>
        </w:rPr>
      </w:pPr>
      <w:r w:rsidRPr="002551F6">
        <w:t xml:space="preserve">For the Centers of Excellence </w:t>
      </w:r>
      <w:r w:rsidR="009E4CDC">
        <w:t xml:space="preserve">Research Grants </w:t>
      </w:r>
      <w:r w:rsidRPr="002551F6">
        <w:t>Program,</w:t>
      </w:r>
      <w:r w:rsidR="009259D5">
        <w:t xml:space="preserve"> each Gulf Coast State may establish one or more centers of excellence to</w:t>
      </w:r>
      <w:r w:rsidRPr="002551F6">
        <w:t xml:space="preserve"> </w:t>
      </w:r>
      <w:r w:rsidR="009259D5">
        <w:t xml:space="preserve">focus on science, technology, and monitoring </w:t>
      </w:r>
      <w:r w:rsidRPr="002551F6">
        <w:t>research only on the Gulf Coast Region</w:t>
      </w:r>
      <w:r w:rsidR="005E5A57">
        <w:t xml:space="preserve"> based on five eligible disciplines</w:t>
      </w:r>
      <w:r w:rsidR="0058262E">
        <w:t>.</w:t>
      </w:r>
      <w:r w:rsidR="005E5A57">
        <w:t xml:space="preserve"> </w:t>
      </w:r>
      <w:r w:rsidR="0058262E">
        <w:t xml:space="preserve"> </w:t>
      </w:r>
      <w:r w:rsidR="0058262E">
        <w:rPr>
          <w:i/>
        </w:rPr>
        <w:t>Se</w:t>
      </w:r>
      <w:r w:rsidR="005E5A57">
        <w:rPr>
          <w:i/>
        </w:rPr>
        <w:t>e 31 CFR 34.704</w:t>
      </w:r>
      <w:r w:rsidR="0058262E">
        <w:rPr>
          <w:i/>
        </w:rPr>
        <w:t>.</w:t>
      </w:r>
    </w:p>
    <w:p w:rsidRPr="002551F6" w:rsidR="00390A50" w:rsidP="006678F4" w:rsidRDefault="00390A50" w14:paraId="32C0A3F6" w14:textId="77777777"/>
    <w:p w:rsidR="00390A50" w:rsidP="00106A18" w:rsidRDefault="00390A50" w14:paraId="235EE8BD" w14:textId="77777777">
      <w:pPr>
        <w:numPr>
          <w:ilvl w:val="0"/>
          <w:numId w:val="18"/>
        </w:numPr>
      </w:pPr>
      <w:r>
        <w:lastRenderedPageBreak/>
        <w:t>Coastal and deltaic sustainability, restoration, and protection, including solutions and technology that allow citizens to live in a safe and sustainable manner in a coastal delta in the Gulf Coast Region</w:t>
      </w:r>
    </w:p>
    <w:p w:rsidR="00390A50" w:rsidP="00106A18" w:rsidRDefault="00390A50" w14:paraId="0B13625F" w14:textId="77777777">
      <w:pPr>
        <w:numPr>
          <w:ilvl w:val="0"/>
          <w:numId w:val="18"/>
        </w:numPr>
      </w:pPr>
      <w:r>
        <w:t>Coastal fisheries and wildlife ecosystem research and monitoring in the Gulf Coast Region</w:t>
      </w:r>
    </w:p>
    <w:p w:rsidR="00390A50" w:rsidP="00106A18" w:rsidRDefault="00390A50" w14:paraId="01B18379" w14:textId="77777777">
      <w:pPr>
        <w:numPr>
          <w:ilvl w:val="0"/>
          <w:numId w:val="18"/>
        </w:numPr>
      </w:pPr>
      <w:r>
        <w:t>Offshore energy development, including research and technology to improve the sustainable and safe development of energy resources in the Gulf of Mexico</w:t>
      </w:r>
    </w:p>
    <w:p w:rsidR="00390A50" w:rsidP="00106A18" w:rsidRDefault="00390A50" w14:paraId="120D6BD6" w14:textId="77777777">
      <w:pPr>
        <w:numPr>
          <w:ilvl w:val="0"/>
          <w:numId w:val="18"/>
        </w:numPr>
      </w:pPr>
      <w:r>
        <w:t>Sustainable and resilient growth, economic and commercial development in the Gulf Coast Region</w:t>
      </w:r>
    </w:p>
    <w:p w:rsidRPr="0025604D" w:rsidR="00775C08" w:rsidP="00106A18" w:rsidRDefault="00390A50" w14:paraId="27EEB109" w14:textId="77777777">
      <w:pPr>
        <w:numPr>
          <w:ilvl w:val="0"/>
          <w:numId w:val="18"/>
        </w:numPr>
      </w:pPr>
      <w:r>
        <w:t>Comprehensive observation, monitoring, and mapping of the Gulf of Mexico</w:t>
      </w:r>
      <w:r w:rsidR="003F59C0">
        <w:t>.</w:t>
      </w:r>
    </w:p>
    <w:p w:rsidR="005E5A57" w:rsidP="00106A18" w:rsidRDefault="005E5A57" w14:paraId="0B0A6AE8" w14:textId="77777777">
      <w:pPr>
        <w:ind w:left="720"/>
        <w:rPr>
          <w:b/>
        </w:rPr>
      </w:pPr>
    </w:p>
    <w:p w:rsidRPr="00CD125E" w:rsidR="004564BB" w:rsidP="004564BB" w:rsidRDefault="004564BB" w14:paraId="6B24D477" w14:textId="11A73E89">
      <w:pPr>
        <w:autoSpaceDE w:val="0"/>
        <w:autoSpaceDN w:val="0"/>
        <w:adjustRightInd w:val="0"/>
      </w:pPr>
      <w:r w:rsidRPr="004564BB">
        <w:t>Additionally,</w:t>
      </w:r>
      <w:r>
        <w:t xml:space="preserve"> on December 13, 2016, Treasury published a final rule in the Federal Register,   </w:t>
      </w:r>
      <w:r>
        <w:rPr>
          <w:bCs/>
        </w:rPr>
        <w:t xml:space="preserve">effective January 12, 2017, </w:t>
      </w:r>
      <w:r>
        <w:t xml:space="preserve">titled </w:t>
      </w:r>
      <w:r w:rsidRPr="00CD125E">
        <w:rPr>
          <w:bCs/>
        </w:rPr>
        <w:t>Regulation Regarding</w:t>
      </w:r>
      <w:r>
        <w:rPr>
          <w:bCs/>
        </w:rPr>
        <w:t xml:space="preserve"> </w:t>
      </w:r>
      <w:r w:rsidRPr="00CD125E">
        <w:rPr>
          <w:bCs/>
        </w:rPr>
        <w:t>Nondiscrimination on the Basis of</w:t>
      </w:r>
      <w:r>
        <w:rPr>
          <w:bCs/>
        </w:rPr>
        <w:t xml:space="preserve"> </w:t>
      </w:r>
      <w:r w:rsidRPr="00CD125E">
        <w:rPr>
          <w:bCs/>
        </w:rPr>
        <w:t>Race, Color, or National Origin in</w:t>
      </w:r>
      <w:r>
        <w:rPr>
          <w:bCs/>
        </w:rPr>
        <w:t xml:space="preserve"> </w:t>
      </w:r>
      <w:r w:rsidRPr="00CD125E">
        <w:rPr>
          <w:bCs/>
        </w:rPr>
        <w:t>Programs or Activities Receiving</w:t>
      </w:r>
      <w:r>
        <w:rPr>
          <w:bCs/>
        </w:rPr>
        <w:t xml:space="preserve"> </w:t>
      </w:r>
      <w:r w:rsidRPr="00CD125E">
        <w:rPr>
          <w:bCs/>
        </w:rPr>
        <w:t>Federal Financial Assistance From the</w:t>
      </w:r>
      <w:r>
        <w:rPr>
          <w:bCs/>
        </w:rPr>
        <w:t xml:space="preserve"> </w:t>
      </w:r>
      <w:r w:rsidRPr="00CD125E">
        <w:rPr>
          <w:bCs/>
        </w:rPr>
        <w:t>Department of the Treasury</w:t>
      </w:r>
      <w:r>
        <w:rPr>
          <w:bCs/>
        </w:rPr>
        <w:t xml:space="preserve"> </w:t>
      </w:r>
      <w:r>
        <w:t>(31 CFR Part 22)</w:t>
      </w:r>
      <w:r>
        <w:rPr>
          <w:bCs/>
        </w:rPr>
        <w:t>, which implements Title VI of the Civil Rights Act of 1964. The</w:t>
      </w:r>
      <w:r w:rsidRPr="00CD125E">
        <w:t xml:space="preserve"> final regulation provide</w:t>
      </w:r>
      <w:r>
        <w:t>s</w:t>
      </w:r>
      <w:r w:rsidRPr="00CD125E">
        <w:t xml:space="preserve"> guidance to the Department’s recipients of federal financial assistance in complying with the provisions of Title VI and also promote</w:t>
      </w:r>
      <w:r>
        <w:t>s</w:t>
      </w:r>
      <w:r w:rsidRPr="00CD125E">
        <w:t xml:space="preserve"> consistent and appropriate enforcement of Title VI by the</w:t>
      </w:r>
      <w:r>
        <w:t xml:space="preserve"> </w:t>
      </w:r>
      <w:r w:rsidRPr="00CD125E">
        <w:t xml:space="preserve">Department’s components. Through </w:t>
      </w:r>
      <w:r>
        <w:t>thi</w:t>
      </w:r>
      <w:r w:rsidRPr="00CD125E">
        <w:t>s final rule, the Department also notifie</w:t>
      </w:r>
      <w:r>
        <w:t>d</w:t>
      </w:r>
      <w:r w:rsidRPr="00CD125E">
        <w:t xml:space="preserve"> beneficiaries of its programs offering financial assistance of the protections against discrimination based on race, color, and national origin.</w:t>
      </w:r>
    </w:p>
    <w:p w:rsidR="004564BB" w:rsidP="004564BB" w:rsidRDefault="004564BB" w14:paraId="5A9AC583" w14:textId="6B43B366">
      <w:pPr>
        <w:autoSpaceDE w:val="0"/>
        <w:autoSpaceDN w:val="0"/>
        <w:adjustRightInd w:val="0"/>
      </w:pPr>
    </w:p>
    <w:p w:rsidRPr="00CD125E" w:rsidR="004564BB" w:rsidP="004564BB" w:rsidRDefault="004564BB" w14:paraId="5A2EA8E9" w14:textId="08FCCDD4">
      <w:pPr>
        <w:autoSpaceDE w:val="0"/>
        <w:autoSpaceDN w:val="0"/>
        <w:adjustRightInd w:val="0"/>
      </w:pPr>
      <w:r w:rsidRPr="00CD125E">
        <w:t xml:space="preserve">The information collections contained in this </w:t>
      </w:r>
      <w:r>
        <w:t xml:space="preserve">final </w:t>
      </w:r>
      <w:r w:rsidR="0025330A">
        <w:t xml:space="preserve">rule </w:t>
      </w:r>
      <w:r>
        <w:t xml:space="preserve">are being added to the </w:t>
      </w:r>
      <w:r w:rsidRPr="00CD125E">
        <w:t>information collection</w:t>
      </w:r>
      <w:r>
        <w:t xml:space="preserve"> for RESTORE Act grants. </w:t>
      </w:r>
      <w:r w:rsidRPr="00CD125E">
        <w:t xml:space="preserve">The information collections contained in this rule are found in </w:t>
      </w:r>
      <w:r>
        <w:t xml:space="preserve">31 CFR </w:t>
      </w:r>
      <w:r w:rsidR="0025330A">
        <w:t>Part</w:t>
      </w:r>
      <w:r w:rsidRPr="00CD125E">
        <w:t xml:space="preserve"> 22.</w:t>
      </w:r>
    </w:p>
    <w:p w:rsidRPr="004564BB" w:rsidR="004564BB" w:rsidP="00411121" w:rsidRDefault="004564BB" w14:paraId="56E911E0" w14:textId="77777777"/>
    <w:p w:rsidRPr="002551F6" w:rsidR="003C1AB8" w:rsidP="00F41911" w:rsidRDefault="00F72D0B" w14:paraId="29B40872" w14:textId="77777777">
      <w:pPr>
        <w:numPr>
          <w:ilvl w:val="0"/>
          <w:numId w:val="12"/>
        </w:numPr>
        <w:rPr>
          <w:b/>
        </w:rPr>
      </w:pPr>
      <w:r w:rsidRPr="002551F6">
        <w:rPr>
          <w:b/>
          <w:u w:val="single"/>
        </w:rPr>
        <w:t>U</w:t>
      </w:r>
      <w:r w:rsidRPr="002551F6" w:rsidR="003C1AB8">
        <w:rPr>
          <w:b/>
          <w:u w:val="single"/>
        </w:rPr>
        <w:t>se of the data</w:t>
      </w:r>
    </w:p>
    <w:p w:rsidRPr="002551F6" w:rsidR="003C1AB8" w:rsidP="003C1AB8" w:rsidRDefault="003C1AB8" w14:paraId="7AB4BFCC" w14:textId="77777777">
      <w:pPr>
        <w:rPr>
          <w:u w:val="single"/>
        </w:rPr>
      </w:pPr>
    </w:p>
    <w:p w:rsidRPr="002551F6" w:rsidR="00856DD0" w:rsidP="003C1AB8" w:rsidRDefault="006536E9" w14:paraId="032EF2C5" w14:textId="78C838FD">
      <w:r w:rsidRPr="002551F6">
        <w:t xml:space="preserve">The </w:t>
      </w:r>
      <w:r w:rsidR="009E4CDC">
        <w:t xml:space="preserve">collection </w:t>
      </w:r>
      <w:r w:rsidRPr="002551F6">
        <w:t>information</w:t>
      </w:r>
      <w:r w:rsidR="009E4CDC">
        <w:t>:</w:t>
      </w:r>
      <w:r w:rsidRPr="002551F6">
        <w:t xml:space="preserve"> </w:t>
      </w:r>
      <w:r w:rsidR="002920BD">
        <w:t xml:space="preserve"> </w:t>
      </w:r>
      <w:r w:rsidRPr="002551F6" w:rsidR="00EC5FAF">
        <w:t>(1) identif</w:t>
      </w:r>
      <w:r w:rsidR="009E4CDC">
        <w:t>ies</w:t>
      </w:r>
      <w:r w:rsidRPr="002551F6" w:rsidR="00EC5FAF">
        <w:t xml:space="preserve"> eligible recipients</w:t>
      </w:r>
      <w:r w:rsidR="00A73817">
        <w:t xml:space="preserve"> and activities</w:t>
      </w:r>
      <w:r w:rsidRPr="002551F6" w:rsidR="00EC5FAF">
        <w:t xml:space="preserve">; </w:t>
      </w:r>
      <w:r w:rsidRPr="002551F6" w:rsidR="005D099C">
        <w:t>(2)</w:t>
      </w:r>
      <w:r w:rsidR="00B64EA2">
        <w:t xml:space="preserve"> </w:t>
      </w:r>
      <w:r w:rsidRPr="002551F6" w:rsidR="00860267">
        <w:t>determine</w:t>
      </w:r>
      <w:r w:rsidR="009E4CDC">
        <w:t>s</w:t>
      </w:r>
      <w:r w:rsidRPr="002551F6" w:rsidR="00860267">
        <w:t xml:space="preserve"> the </w:t>
      </w:r>
      <w:r w:rsidR="002920BD">
        <w:t>a</w:t>
      </w:r>
      <w:r w:rsidRPr="002551F6" w:rsidR="00860267">
        <w:t>ppropriate amount of funding;</w:t>
      </w:r>
      <w:r w:rsidRPr="002551F6" w:rsidR="001648D5">
        <w:t xml:space="preserve"> (</w:t>
      </w:r>
      <w:r w:rsidRPr="002551F6" w:rsidR="005D099C">
        <w:t>3</w:t>
      </w:r>
      <w:r w:rsidRPr="002551F6" w:rsidR="001648D5">
        <w:t xml:space="preserve">) </w:t>
      </w:r>
      <w:r w:rsidRPr="002551F6" w:rsidR="00860267">
        <w:t>ensure</w:t>
      </w:r>
      <w:r w:rsidR="009E4CDC">
        <w:t>s</w:t>
      </w:r>
      <w:r w:rsidRPr="002551F6" w:rsidR="00860267">
        <w:t xml:space="preserve"> </w:t>
      </w:r>
      <w:r w:rsidRPr="002551F6" w:rsidR="005D099C">
        <w:t xml:space="preserve">compliance </w:t>
      </w:r>
      <w:r w:rsidRPr="002551F6" w:rsidR="00860267">
        <w:t xml:space="preserve">with </w:t>
      </w:r>
      <w:r w:rsidR="009E4CDC">
        <w:t xml:space="preserve">the RESTORE </w:t>
      </w:r>
      <w:r w:rsidR="004A7CC6">
        <w:t>Act</w:t>
      </w:r>
      <w:r w:rsidR="005E5A57">
        <w:t>, the regulation</w:t>
      </w:r>
      <w:r w:rsidR="004A7CC6">
        <w:t xml:space="preserve"> </w:t>
      </w:r>
      <w:r w:rsidR="004A7CC6">
        <w:rPr>
          <w:i/>
        </w:rPr>
        <w:t>(31CFR Part 34)</w:t>
      </w:r>
      <w:r w:rsidR="005E5A57">
        <w:t xml:space="preserve">, </w:t>
      </w:r>
      <w:r w:rsidR="009E4CDC">
        <w:t xml:space="preserve">and Federal </w:t>
      </w:r>
      <w:r w:rsidRPr="002551F6" w:rsidR="00860267">
        <w:t>laws</w:t>
      </w:r>
      <w:r w:rsidR="009E4CDC">
        <w:t xml:space="preserve"> and policies on grants</w:t>
      </w:r>
      <w:r w:rsidR="004A7CC6">
        <w:t xml:space="preserve"> </w:t>
      </w:r>
      <w:r w:rsidR="004A7CC6">
        <w:rPr>
          <w:i/>
        </w:rPr>
        <w:t>(</w:t>
      </w:r>
      <w:r w:rsidRPr="004A7CC6" w:rsidR="004A7CC6">
        <w:rPr>
          <w:i/>
        </w:rPr>
        <w:t>O</w:t>
      </w:r>
      <w:r w:rsidR="004A7CC6">
        <w:rPr>
          <w:i/>
        </w:rPr>
        <w:t xml:space="preserve">ffice of </w:t>
      </w:r>
      <w:r w:rsidRPr="004A7CC6" w:rsidR="004A7CC6">
        <w:rPr>
          <w:i/>
        </w:rPr>
        <w:t>M</w:t>
      </w:r>
      <w:r w:rsidR="004A7CC6">
        <w:rPr>
          <w:i/>
        </w:rPr>
        <w:t xml:space="preserve">anagement and </w:t>
      </w:r>
      <w:r w:rsidRPr="004A7CC6" w:rsidR="004A7CC6">
        <w:rPr>
          <w:i/>
        </w:rPr>
        <w:t>B</w:t>
      </w:r>
      <w:r w:rsidR="004A7CC6">
        <w:rPr>
          <w:i/>
        </w:rPr>
        <w:t>udget</w:t>
      </w:r>
      <w:r w:rsidRPr="004A7CC6" w:rsidR="004A7CC6">
        <w:rPr>
          <w:i/>
        </w:rPr>
        <w:t>’s Uniform Administrative Requirements, Cost Principles, and Audit Requirements for Federal Awards</w:t>
      </w:r>
      <w:r w:rsidR="004A7CC6">
        <w:rPr>
          <w:i/>
        </w:rPr>
        <w:t xml:space="preserve"> 2 CF</w:t>
      </w:r>
      <w:r w:rsidRPr="004A7CC6" w:rsidR="004A7CC6">
        <w:rPr>
          <w:i/>
        </w:rPr>
        <w:t>R</w:t>
      </w:r>
      <w:r w:rsidR="0058262E">
        <w:rPr>
          <w:i/>
        </w:rPr>
        <w:t xml:space="preserve"> </w:t>
      </w:r>
      <w:r w:rsidRPr="004A7CC6" w:rsidR="004A7CC6">
        <w:rPr>
          <w:i/>
        </w:rPr>
        <w:t>200</w:t>
      </w:r>
      <w:r w:rsidR="0013796F">
        <w:rPr>
          <w:i/>
        </w:rPr>
        <w:t>,</w:t>
      </w:r>
      <w:r w:rsidR="00BC1BAC">
        <w:rPr>
          <w:i/>
        </w:rPr>
        <w:t xml:space="preserve"> herein </w:t>
      </w:r>
      <w:r w:rsidR="0013796F">
        <w:rPr>
          <w:i/>
        </w:rPr>
        <w:t>OMB Uniform Guidance</w:t>
      </w:r>
      <w:r w:rsidR="004A7CC6">
        <w:rPr>
          <w:i/>
        </w:rPr>
        <w:t>)</w:t>
      </w:r>
      <w:r w:rsidR="005F5202">
        <w:rPr>
          <w:i/>
        </w:rPr>
        <w:t>, and compliance with Title VI of the Civil Rights Act of 1964 (31 CFR Part 22)</w:t>
      </w:r>
      <w:r w:rsidRPr="002551F6" w:rsidR="00860267">
        <w:t>; (4)</w:t>
      </w:r>
      <w:r w:rsidRPr="002551F6" w:rsidR="00AF0BF9">
        <w:t xml:space="preserve"> track</w:t>
      </w:r>
      <w:r w:rsidR="009E4CDC">
        <w:t>s</w:t>
      </w:r>
      <w:r w:rsidRPr="002551F6" w:rsidR="00AF0BF9">
        <w:t xml:space="preserve"> </w:t>
      </w:r>
      <w:r w:rsidR="009E4CDC">
        <w:t xml:space="preserve">recipients’ </w:t>
      </w:r>
      <w:r w:rsidRPr="002551F6" w:rsidR="00AF0BF9">
        <w:t>progress; and (5)</w:t>
      </w:r>
      <w:r w:rsidRPr="002551F6" w:rsidR="00860267">
        <w:t xml:space="preserve"> report</w:t>
      </w:r>
      <w:r w:rsidR="009E4CDC">
        <w:t>s</w:t>
      </w:r>
      <w:r w:rsidRPr="002551F6" w:rsidR="00860267">
        <w:t xml:space="preserve"> on the effectiveness of</w:t>
      </w:r>
      <w:r w:rsidRPr="002551F6" w:rsidR="0072166B">
        <w:t xml:space="preserve"> the program</w:t>
      </w:r>
      <w:r w:rsidRPr="002551F6" w:rsidR="005D099C">
        <w:t>.</w:t>
      </w:r>
      <w:r w:rsidRPr="002551F6" w:rsidR="0072166B">
        <w:t xml:space="preserve"> </w:t>
      </w:r>
    </w:p>
    <w:p w:rsidRPr="002551F6" w:rsidR="00E13A9C" w:rsidP="003C1AB8" w:rsidRDefault="00E13A9C" w14:paraId="63D0161C" w14:textId="77777777"/>
    <w:p w:rsidRPr="002551F6" w:rsidR="003C1AB8" w:rsidP="00181F21" w:rsidRDefault="003C1AB8" w14:paraId="72280846" w14:textId="77777777">
      <w:pPr>
        <w:keepNext/>
        <w:ind w:left="720" w:hanging="360"/>
        <w:rPr>
          <w:b/>
        </w:rPr>
      </w:pPr>
      <w:r w:rsidRPr="002551F6">
        <w:rPr>
          <w:b/>
        </w:rPr>
        <w:t xml:space="preserve">3.  </w:t>
      </w:r>
      <w:r w:rsidRPr="002551F6" w:rsidR="00F72D0B">
        <w:rPr>
          <w:b/>
          <w:u w:val="single"/>
        </w:rPr>
        <w:t>Use of information technology</w:t>
      </w:r>
      <w:r w:rsidRPr="002551F6">
        <w:rPr>
          <w:b/>
        </w:rPr>
        <w:t xml:space="preserve"> </w:t>
      </w:r>
    </w:p>
    <w:p w:rsidRPr="0025604D" w:rsidR="003C1AB8" w:rsidP="00961823" w:rsidRDefault="003C1AB8" w14:paraId="04D2602B" w14:textId="77777777">
      <w:pPr>
        <w:keepNext/>
      </w:pPr>
    </w:p>
    <w:p w:rsidRPr="002551F6" w:rsidR="00F72D0B" w:rsidP="00F72D0B" w:rsidRDefault="001F31FB" w14:paraId="15BFF2F8" w14:textId="2364113A">
      <w:r w:rsidRPr="001F31FB">
        <w:t>Treasury uses the Department of Health and Human Services (HHS’s) GrantSolutions.gov shared-service provider system to manage the application submission process.  Eligible</w:t>
      </w:r>
      <w:r w:rsidR="00E11EDD">
        <w:t xml:space="preserve"> </w:t>
      </w:r>
      <w:proofErr w:type="gramStart"/>
      <w:r w:rsidRPr="001F31FB">
        <w:t>recipients</w:t>
      </w:r>
      <w:proofErr w:type="gramEnd"/>
      <w:r w:rsidRPr="002551F6" w:rsidR="00062B59">
        <w:t xml:space="preserve"> </w:t>
      </w:r>
      <w:r w:rsidRPr="002551F6" w:rsidR="00F6095F">
        <w:t>complete fillable form</w:t>
      </w:r>
      <w:r w:rsidR="002920BD">
        <w:t>s</w:t>
      </w:r>
      <w:r w:rsidRPr="002551F6" w:rsidR="00F6095F">
        <w:t xml:space="preserve"> and </w:t>
      </w:r>
      <w:r w:rsidR="0025330A">
        <w:t xml:space="preserve">supplemental </w:t>
      </w:r>
      <w:r w:rsidR="005F5202">
        <w:t xml:space="preserve">document uploads and </w:t>
      </w:r>
      <w:r w:rsidR="0025330A">
        <w:t>submits</w:t>
      </w:r>
      <w:r w:rsidRPr="002551F6" w:rsidR="0025330A">
        <w:t xml:space="preserve"> </w:t>
      </w:r>
      <w:r w:rsidRPr="002551F6" w:rsidR="00F6095F">
        <w:t xml:space="preserve">the </w:t>
      </w:r>
      <w:r>
        <w:t xml:space="preserve">grant </w:t>
      </w:r>
      <w:r w:rsidRPr="002551F6" w:rsidR="00F6095F">
        <w:t xml:space="preserve">application </w:t>
      </w:r>
      <w:r w:rsidR="00F4591C">
        <w:t xml:space="preserve">electronically </w:t>
      </w:r>
      <w:r w:rsidRPr="002551F6" w:rsidR="00860267">
        <w:t>via</w:t>
      </w:r>
      <w:r>
        <w:t xml:space="preserve"> GrantSolutions.gov</w:t>
      </w:r>
      <w:r w:rsidR="00E13A9C">
        <w:t>.</w:t>
      </w:r>
      <w:r w:rsidRPr="002551F6" w:rsidR="00860267">
        <w:t xml:space="preserve"> </w:t>
      </w:r>
      <w:r w:rsidRPr="002551F6" w:rsidR="00062B59">
        <w:t xml:space="preserve"> </w:t>
      </w:r>
      <w:r>
        <w:t xml:space="preserve">Eligible recipients </w:t>
      </w:r>
      <w:r w:rsidR="002920BD">
        <w:t xml:space="preserve">complete </w:t>
      </w:r>
      <w:r w:rsidRPr="002551F6" w:rsidR="002920BD">
        <w:t>fillable</w:t>
      </w:r>
      <w:r w:rsidR="002920BD">
        <w:t xml:space="preserve"> </w:t>
      </w:r>
      <w:r w:rsidR="00D367C2">
        <w:t>multiyear plan form</w:t>
      </w:r>
      <w:r w:rsidR="003F59C0">
        <w:t>s</w:t>
      </w:r>
      <w:r w:rsidR="00D367C2">
        <w:t xml:space="preserve"> and </w:t>
      </w:r>
      <w:r w:rsidR="003F59C0">
        <w:t xml:space="preserve">an </w:t>
      </w:r>
      <w:r w:rsidR="002920BD">
        <w:t>operational self-assessment</w:t>
      </w:r>
      <w:r w:rsidRPr="002551F6" w:rsidR="002920BD">
        <w:t xml:space="preserve"> form </w:t>
      </w:r>
      <w:r w:rsidR="002920BD">
        <w:t xml:space="preserve">electronically </w:t>
      </w:r>
      <w:r w:rsidRPr="002551F6" w:rsidR="002920BD">
        <w:t xml:space="preserve">and </w:t>
      </w:r>
      <w:r w:rsidR="0025330A">
        <w:t xml:space="preserve">submits </w:t>
      </w:r>
      <w:r w:rsidR="005E5A57">
        <w:t>those forms</w:t>
      </w:r>
      <w:r w:rsidR="00FE40CB">
        <w:t xml:space="preserve"> </w:t>
      </w:r>
      <w:r>
        <w:t xml:space="preserve">directly </w:t>
      </w:r>
      <w:r w:rsidR="002920BD">
        <w:t>to Treasury</w:t>
      </w:r>
      <w:r w:rsidR="0025330A">
        <w:t xml:space="preserve"> via email</w:t>
      </w:r>
      <w:r w:rsidR="002920BD">
        <w:t xml:space="preserve">.  </w:t>
      </w:r>
      <w:r>
        <w:t xml:space="preserve">Eligible recipients </w:t>
      </w:r>
      <w:r w:rsidRPr="002551F6" w:rsidR="002551F6">
        <w:t xml:space="preserve">enter progress information on </w:t>
      </w:r>
      <w:r w:rsidR="00112D71">
        <w:t>fillable forms</w:t>
      </w:r>
      <w:r w:rsidRPr="002551F6" w:rsidR="00112D71">
        <w:t xml:space="preserve"> </w:t>
      </w:r>
      <w:r w:rsidRPr="002551F6" w:rsidR="002551F6">
        <w:t>and submit</w:t>
      </w:r>
      <w:r w:rsidR="0025330A">
        <w:t>s</w:t>
      </w:r>
      <w:r w:rsidRPr="002551F6" w:rsidR="002551F6">
        <w:t xml:space="preserve"> the progress reports </w:t>
      </w:r>
      <w:r w:rsidR="00F4591C">
        <w:t>electronically</w:t>
      </w:r>
      <w:r>
        <w:t xml:space="preserve"> through GrantSolutions.gov</w:t>
      </w:r>
      <w:r w:rsidRPr="002551F6" w:rsidR="002551F6">
        <w:t xml:space="preserve">.  </w:t>
      </w:r>
      <w:r w:rsidRPr="002551F6" w:rsidR="00062B59">
        <w:t xml:space="preserve">Data from </w:t>
      </w:r>
      <w:r w:rsidR="003F59C0">
        <w:t xml:space="preserve">grant </w:t>
      </w:r>
      <w:r w:rsidRPr="002551F6" w:rsidR="00062B59">
        <w:t xml:space="preserve">applications </w:t>
      </w:r>
      <w:r w:rsidRPr="002551F6" w:rsidR="002551F6">
        <w:t xml:space="preserve">and reports </w:t>
      </w:r>
      <w:r w:rsidR="004A7CC6">
        <w:t>are</w:t>
      </w:r>
      <w:r w:rsidR="00FE40CB">
        <w:t xml:space="preserve"> </w:t>
      </w:r>
      <w:r w:rsidRPr="002551F6" w:rsidR="00062B59">
        <w:t>stored electronically.</w:t>
      </w:r>
    </w:p>
    <w:p w:rsidRPr="0025604D" w:rsidR="00E13A9C" w:rsidP="00F72D0B" w:rsidRDefault="00E13A9C" w14:paraId="428D358D" w14:textId="77777777"/>
    <w:p w:rsidRPr="002551F6" w:rsidR="00F72D0B" w:rsidP="00181F21" w:rsidRDefault="00F72D0B" w14:paraId="3972E8F7" w14:textId="77777777">
      <w:pPr>
        <w:ind w:left="720" w:hanging="360"/>
        <w:rPr>
          <w:b/>
        </w:rPr>
      </w:pPr>
      <w:r w:rsidRPr="002551F6">
        <w:rPr>
          <w:b/>
        </w:rPr>
        <w:lastRenderedPageBreak/>
        <w:t xml:space="preserve">4.  </w:t>
      </w:r>
      <w:r w:rsidRPr="002551F6">
        <w:rPr>
          <w:b/>
          <w:u w:val="single"/>
        </w:rPr>
        <w:t>Efforts to identify duplication</w:t>
      </w:r>
      <w:r w:rsidRPr="002551F6">
        <w:rPr>
          <w:b/>
        </w:rPr>
        <w:t xml:space="preserve">   </w:t>
      </w:r>
    </w:p>
    <w:p w:rsidR="00406DAA" w:rsidP="00CC4534" w:rsidRDefault="00406DAA" w14:paraId="08600C19" w14:textId="77777777"/>
    <w:p w:rsidRPr="002551F6" w:rsidR="00F72D0B" w:rsidP="00856DD0" w:rsidRDefault="00F72D0B" w14:paraId="67BCCFAE" w14:textId="77777777">
      <w:r w:rsidRPr="002551F6">
        <w:t xml:space="preserve">The information </w:t>
      </w:r>
      <w:r w:rsidRPr="002551F6" w:rsidR="002551F6">
        <w:t xml:space="preserve">is not known to </w:t>
      </w:r>
      <w:r w:rsidRPr="002551F6" w:rsidR="005A5C1B">
        <w:t xml:space="preserve">overlap with </w:t>
      </w:r>
      <w:r w:rsidRPr="002551F6" w:rsidR="002551F6">
        <w:t xml:space="preserve">any other </w:t>
      </w:r>
      <w:r w:rsidRPr="002551F6" w:rsidR="005A5C1B">
        <w:t xml:space="preserve">data collected </w:t>
      </w:r>
      <w:r w:rsidRPr="002551F6" w:rsidR="0054191E">
        <w:t>under previously approved information</w:t>
      </w:r>
      <w:r w:rsidR="00B64EA2">
        <w:t xml:space="preserve"> collections</w:t>
      </w:r>
      <w:r w:rsidRPr="002551F6" w:rsidR="0054191E">
        <w:t xml:space="preserve">.  </w:t>
      </w:r>
      <w:r w:rsidRPr="002551F6" w:rsidR="00D24A88">
        <w:t xml:space="preserve">  </w:t>
      </w:r>
    </w:p>
    <w:p w:rsidRPr="0025604D" w:rsidR="00E13A9C" w:rsidP="00F72D0B" w:rsidRDefault="00E13A9C" w14:paraId="3E4C2788" w14:textId="77777777"/>
    <w:p w:rsidRPr="002551F6" w:rsidR="00F72D0B" w:rsidP="00181F21" w:rsidRDefault="00F72D0B" w14:paraId="0B638284" w14:textId="77777777">
      <w:pPr>
        <w:ind w:firstLine="360"/>
        <w:rPr>
          <w:b/>
          <w:u w:val="single"/>
        </w:rPr>
      </w:pPr>
      <w:r w:rsidRPr="002551F6">
        <w:rPr>
          <w:b/>
        </w:rPr>
        <w:t xml:space="preserve">5.  </w:t>
      </w:r>
      <w:r w:rsidRPr="002551F6">
        <w:rPr>
          <w:b/>
          <w:u w:val="single"/>
        </w:rPr>
        <w:t xml:space="preserve">Impact on small </w:t>
      </w:r>
      <w:r w:rsidR="004B7407">
        <w:rPr>
          <w:b/>
          <w:u w:val="single"/>
        </w:rPr>
        <w:t xml:space="preserve">businesses and </w:t>
      </w:r>
      <w:r w:rsidRPr="002551F6">
        <w:rPr>
          <w:b/>
          <w:u w:val="single"/>
        </w:rPr>
        <w:t>entities</w:t>
      </w:r>
    </w:p>
    <w:p w:rsidRPr="0025604D" w:rsidR="00F72D0B" w:rsidP="00F72D0B" w:rsidRDefault="00F72D0B" w14:paraId="0392AF70" w14:textId="77777777"/>
    <w:p w:rsidRPr="002551F6" w:rsidR="00F72D0B" w:rsidP="00F72D0B" w:rsidRDefault="00913A34" w14:paraId="2D6118FB" w14:textId="5F2BB0C3">
      <w:r>
        <w:t>T</w:t>
      </w:r>
      <w:r w:rsidRPr="002551F6" w:rsidR="007614AA">
        <w:t>his</w:t>
      </w:r>
      <w:r>
        <w:t xml:space="preserve"> collection is</w:t>
      </w:r>
      <w:r w:rsidRPr="002551F6" w:rsidR="007614AA">
        <w:t xml:space="preserve"> </w:t>
      </w:r>
      <w:r w:rsidR="00FE40CB">
        <w:t>limited to certain s</w:t>
      </w:r>
      <w:r w:rsidRPr="002551F6" w:rsidR="002551F6">
        <w:t>tates, counties, and parishes</w:t>
      </w:r>
      <w:r w:rsidR="001F31FB">
        <w:t xml:space="preserve"> named as eligible entity recipients in the RESTORE Act and regulation</w:t>
      </w:r>
      <w:r>
        <w:t>.</w:t>
      </w:r>
      <w:r w:rsidRPr="002551F6" w:rsidR="00D24A88">
        <w:t xml:space="preserve">  </w:t>
      </w:r>
      <w:r w:rsidR="00802F36">
        <w:t>All efforts have been made to minimize burden on small entities therein.</w:t>
      </w:r>
    </w:p>
    <w:p w:rsidR="00D24A88" w:rsidP="00F72D0B" w:rsidRDefault="00D24A88" w14:paraId="01081EFE" w14:textId="77777777"/>
    <w:p w:rsidRPr="002551F6" w:rsidR="00F72D0B" w:rsidP="00181F21" w:rsidRDefault="00F72D0B" w14:paraId="2F99A687" w14:textId="77777777">
      <w:pPr>
        <w:ind w:firstLine="360"/>
        <w:rPr>
          <w:b/>
          <w:u w:val="single"/>
        </w:rPr>
      </w:pPr>
      <w:r w:rsidRPr="002551F6">
        <w:rPr>
          <w:b/>
        </w:rPr>
        <w:t xml:space="preserve">6.  </w:t>
      </w:r>
      <w:r w:rsidRPr="002551F6">
        <w:rPr>
          <w:b/>
          <w:u w:val="single"/>
        </w:rPr>
        <w:t>Consequences of less frequent collection and obstacles to burden reduction</w:t>
      </w:r>
    </w:p>
    <w:p w:rsidRPr="002551F6" w:rsidR="00F72D0B" w:rsidP="00F72D0B" w:rsidRDefault="00F72D0B" w14:paraId="349661FC" w14:textId="77777777"/>
    <w:p w:rsidRPr="002551F6" w:rsidR="00D24A88" w:rsidP="008A5AEA" w:rsidRDefault="004B7407" w14:paraId="0839D6D5" w14:textId="55F32DD1">
      <w:r>
        <w:t xml:space="preserve">Collection is at a minimum: </w:t>
      </w:r>
      <w:r w:rsidR="0058262E">
        <w:t xml:space="preserve"> g</w:t>
      </w:r>
      <w:r w:rsidR="003F59C0">
        <w:t>rant a</w:t>
      </w:r>
      <w:r>
        <w:t xml:space="preserve">pplications for when funds are available; </w:t>
      </w:r>
      <w:r w:rsidR="00112D71">
        <w:t>semi-annual</w:t>
      </w:r>
      <w:r w:rsidR="00BB4BD8">
        <w:t xml:space="preserve"> </w:t>
      </w:r>
      <w:r>
        <w:t>reporting to assess progress</w:t>
      </w:r>
      <w:r w:rsidR="005E5A57">
        <w:t xml:space="preserve"> of the activity funded by the awarded grant</w:t>
      </w:r>
      <w:r w:rsidR="002920BD">
        <w:t xml:space="preserve">; </w:t>
      </w:r>
      <w:r w:rsidR="00D367C2">
        <w:t>multiyear plan</w:t>
      </w:r>
      <w:r w:rsidR="005E5A57">
        <w:t xml:space="preserve"> submission subject to the</w:t>
      </w:r>
      <w:r w:rsidR="001F31FB">
        <w:t xml:space="preserve"> eligible recipient’s</w:t>
      </w:r>
      <w:r w:rsidR="005E5A57">
        <w:t xml:space="preserve"> time tables</w:t>
      </w:r>
      <w:r w:rsidR="00D367C2">
        <w:t>;</w:t>
      </w:r>
      <w:r w:rsidR="005E5A57">
        <w:t xml:space="preserve"> and</w:t>
      </w:r>
      <w:r w:rsidR="00D367C2">
        <w:t xml:space="preserve"> </w:t>
      </w:r>
      <w:r w:rsidR="002920BD">
        <w:t>operational self-assessment updated annually</w:t>
      </w:r>
      <w:r>
        <w:t>.</w:t>
      </w:r>
    </w:p>
    <w:p w:rsidRPr="002551F6" w:rsidR="003F59C0" w:rsidP="00F72D0B" w:rsidRDefault="006B22D1" w14:paraId="6A4875CC" w14:textId="13C36943">
      <w:r w:rsidRPr="002551F6">
        <w:t xml:space="preserve"> </w:t>
      </w:r>
    </w:p>
    <w:p w:rsidRPr="002551F6" w:rsidR="00F72D0B" w:rsidP="00181F21" w:rsidRDefault="00CB003A" w14:paraId="78DBF5E6" w14:textId="77777777">
      <w:pPr>
        <w:ind w:firstLine="360"/>
        <w:rPr>
          <w:b/>
          <w:u w:val="single"/>
        </w:rPr>
      </w:pPr>
      <w:r w:rsidRPr="002551F6">
        <w:rPr>
          <w:b/>
        </w:rPr>
        <w:t xml:space="preserve">7.  </w:t>
      </w:r>
      <w:r w:rsidRPr="002551F6">
        <w:rPr>
          <w:b/>
          <w:u w:val="single"/>
        </w:rPr>
        <w:t>Circumstances requiring special information collection</w:t>
      </w:r>
    </w:p>
    <w:p w:rsidRPr="002551F6" w:rsidR="00FB7F1C" w:rsidP="00CB003A" w:rsidRDefault="00FB7F1C" w14:paraId="29757889" w14:textId="77777777">
      <w:pPr>
        <w:rPr>
          <w:u w:val="single"/>
        </w:rPr>
      </w:pPr>
    </w:p>
    <w:p w:rsidRPr="002551F6" w:rsidR="00D24A88" w:rsidP="00D24A88" w:rsidRDefault="00802F36" w14:paraId="1A9DDC8A" w14:textId="0B42EAF3">
      <w:r>
        <w:t>There are no special circumstances causing the information collection to be conducted in a manner</w:t>
      </w:r>
      <w:r w:rsidR="001F31FB">
        <w:t xml:space="preserve"> described</w:t>
      </w:r>
      <w:r>
        <w:t xml:space="preserve"> in 5 CFR 1320.6</w:t>
      </w:r>
      <w:r w:rsidRPr="002551F6" w:rsidR="00D24A88">
        <w:t>.</w:t>
      </w:r>
      <w:r w:rsidRPr="002551F6" w:rsidR="009B6FA0">
        <w:t xml:space="preserve"> </w:t>
      </w:r>
    </w:p>
    <w:p w:rsidR="00E13A9C" w:rsidP="00CB003A" w:rsidRDefault="00E13A9C" w14:paraId="209A2F66" w14:textId="77777777"/>
    <w:p w:rsidRPr="002551F6" w:rsidR="00CB003A" w:rsidP="00181F21" w:rsidRDefault="00147A26" w14:paraId="01D136C9" w14:textId="77777777">
      <w:pPr>
        <w:ind w:firstLine="360"/>
        <w:rPr>
          <w:b/>
          <w:u w:val="single"/>
        </w:rPr>
      </w:pPr>
      <w:r w:rsidRPr="00B36755">
        <w:rPr>
          <w:b/>
        </w:rPr>
        <w:t xml:space="preserve">8.  </w:t>
      </w:r>
      <w:r w:rsidRPr="00B36755" w:rsidR="00CB003A">
        <w:rPr>
          <w:b/>
          <w:u w:val="single"/>
        </w:rPr>
        <w:t>Solicitation of comments on information collection</w:t>
      </w:r>
    </w:p>
    <w:p w:rsidRPr="002551F6" w:rsidR="00CB003A" w:rsidP="00CB003A" w:rsidRDefault="00CB003A" w14:paraId="522F6CF9" w14:textId="77777777"/>
    <w:p w:rsidR="002E171C" w:rsidP="00C07AF0" w:rsidRDefault="002E171C" w14:paraId="5478F9EA" w14:textId="6A88687C">
      <w:r w:rsidRPr="00AE3975">
        <w:t xml:space="preserve">Treasury published a notice soliciting comments on information collection in the </w:t>
      </w:r>
      <w:r w:rsidRPr="00AE3975">
        <w:rPr>
          <w:i/>
        </w:rPr>
        <w:t>Federal Register</w:t>
      </w:r>
      <w:r w:rsidRPr="00AE3975">
        <w:t xml:space="preserve"> on October 24, 2019.  </w:t>
      </w:r>
      <w:r w:rsidRPr="00AE3975">
        <w:rPr>
          <w:i/>
        </w:rPr>
        <w:t xml:space="preserve">See </w:t>
      </w:r>
      <w:r>
        <w:rPr>
          <w:i/>
        </w:rPr>
        <w:t>84</w:t>
      </w:r>
      <w:r w:rsidRPr="00AE3975">
        <w:rPr>
          <w:i/>
        </w:rPr>
        <w:t xml:space="preserve"> FR </w:t>
      </w:r>
      <w:r>
        <w:rPr>
          <w:i/>
        </w:rPr>
        <w:t>57159</w:t>
      </w:r>
      <w:r w:rsidRPr="00AE3975">
        <w:t>.  Treasury received comments from three respondents.</w:t>
      </w:r>
    </w:p>
    <w:p w:rsidRPr="00AE3975" w:rsidR="002E171C" w:rsidP="00C07AF0" w:rsidRDefault="002E171C" w14:paraId="31DFC11E" w14:textId="77777777"/>
    <w:p w:rsidR="002E171C" w:rsidP="00C07AF0" w:rsidRDefault="002E171C" w14:paraId="40185FB3" w14:textId="5C73B66A">
      <w:r w:rsidRPr="00AE3975">
        <w:t>All three respondents requested minor clarifications and technical enhancements to the Direct Component and Centers of Excellence Application forms; minor clarifications to the Direct Component Narrative Supplement; and format changes to the Operational Self-Assessment.  In response, Treasury made formatting changes and clarified forms, as appropriate and consistent with Treasury program guidance.</w:t>
      </w:r>
    </w:p>
    <w:p w:rsidRPr="00AE3975" w:rsidR="002E171C" w:rsidP="00C07AF0" w:rsidRDefault="002E171C" w14:paraId="5E29ED27" w14:textId="77777777"/>
    <w:p w:rsidR="002E171C" w:rsidP="00C07AF0" w:rsidRDefault="002E171C" w14:paraId="021C19C4" w14:textId="44E53C2E">
      <w:r w:rsidRPr="00AE3975">
        <w:t>All three respondents requested clarifications, additional detail, and formatting changes to the Status of Performance Report and Milestones Report forms.  In response, Treasury will address formatting issues in the online forms within the Grantsolutions.gov management system and will provide guidance and training to applicants regarding suggested performance measures.</w:t>
      </w:r>
    </w:p>
    <w:p w:rsidRPr="00AE3975" w:rsidR="002E171C" w:rsidP="00C07AF0" w:rsidRDefault="002E171C" w14:paraId="29429138" w14:textId="77777777"/>
    <w:p w:rsidR="002E171C" w:rsidP="00C07AF0" w:rsidRDefault="002E171C" w14:paraId="0B152F7A" w14:textId="0CC8983B">
      <w:r w:rsidRPr="00AE3975">
        <w:t xml:space="preserve">All three respondents requested changes to the Environmental Checklist form to modify the format and clarify requirements for several environmental laws.  In response, Treasury made some format changes and revised language for specific environmental laws and added </w:t>
      </w:r>
      <w:r w:rsidR="00C07AF0">
        <w:t xml:space="preserve">a </w:t>
      </w:r>
      <w:r w:rsidR="002155B4">
        <w:t xml:space="preserve">reference to </w:t>
      </w:r>
      <w:r w:rsidRPr="00AE3975">
        <w:t xml:space="preserve">one environmental law to be consistent with Treasury’s RESTORE Act Standard Terms and Conditions.  One respondent requested further clarifications for two environmental laws - Migratory Bird Treaty Act (MBTA) and National Historic Preservation Act (NHPA).  </w:t>
      </w:r>
      <w:r w:rsidRPr="00AE3975">
        <w:lastRenderedPageBreak/>
        <w:t xml:space="preserve">Treasury </w:t>
      </w:r>
      <w:r w:rsidR="0081495E">
        <w:t xml:space="preserve">made no changes to the </w:t>
      </w:r>
      <w:r w:rsidRPr="00AE3975">
        <w:t>language for the MBTA</w:t>
      </w:r>
      <w:r w:rsidR="0081495E">
        <w:t>, because the U.S. Fish and Wildlife Service published a Notice of Proposed Rulemaking for the MBTA on January 30, 2020. Treasury</w:t>
      </w:r>
      <w:r w:rsidRPr="00AE3975">
        <w:t xml:space="preserve"> will provide guidance to applicants to work with their State Historic Preservation Office to address questions related to the NHPA.</w:t>
      </w:r>
    </w:p>
    <w:p w:rsidRPr="00AE3975" w:rsidR="002E171C" w:rsidP="00C07AF0" w:rsidRDefault="002E171C" w14:paraId="00C770A8" w14:textId="77777777"/>
    <w:p w:rsidRPr="00AE3975" w:rsidR="002E171C" w:rsidP="00C07AF0" w:rsidRDefault="002E171C" w14:paraId="46CB026F" w14:textId="2B011354">
      <w:r w:rsidRPr="00AE3975">
        <w:t>All three respondents requested changes to the Title VI Narrative to reduce recipient burden by accepting comparable Title VI information provided with a grant application to another federal agency.  In response, Treasury will accept information provided to another federal agency to the extent it responds to all the information required in the Treasury Title VI Narrative.  Any missing</w:t>
      </w:r>
      <w:r w:rsidR="00C07AF0">
        <w:t xml:space="preserve"> </w:t>
      </w:r>
      <w:r w:rsidRPr="00AE3975">
        <w:t>information will be required to supplement the information provided to another agency.  All three respondents requested changes and clarifications to the Treasury Title VI Narrative related to post-award information requirements. The Title VI Narrative is required at the time of application to Treasury</w:t>
      </w:r>
      <w:r w:rsidR="002155B4">
        <w:t>;</w:t>
      </w:r>
      <w:r w:rsidRPr="00AE3975" w:rsidR="002155B4">
        <w:t xml:space="preserve"> </w:t>
      </w:r>
      <w:r w:rsidRPr="00AE3975">
        <w:t>therefore</w:t>
      </w:r>
      <w:r w:rsidR="002155B4">
        <w:t>,</w:t>
      </w:r>
      <w:r w:rsidRPr="00AE3975">
        <w:t xml:space="preserve"> Treasury deleted all references to post-award information requirements in the Title VI Narrative.</w:t>
      </w:r>
    </w:p>
    <w:p w:rsidR="00A81BCB" w:rsidP="00FE40CB" w:rsidRDefault="00A81BCB" w14:paraId="00679B1A" w14:textId="77777777"/>
    <w:p w:rsidRPr="002551F6" w:rsidR="00147A26" w:rsidP="00FB7F1C" w:rsidRDefault="00147A26" w14:paraId="170F2CD8" w14:textId="714A5E06">
      <w:pPr>
        <w:keepNext/>
        <w:ind w:firstLine="360"/>
        <w:rPr>
          <w:b/>
        </w:rPr>
      </w:pPr>
      <w:r w:rsidRPr="002551F6">
        <w:rPr>
          <w:b/>
        </w:rPr>
        <w:t xml:space="preserve">9.  </w:t>
      </w:r>
      <w:r w:rsidRPr="002551F6">
        <w:rPr>
          <w:b/>
          <w:u w:val="single"/>
        </w:rPr>
        <w:t>Provision of payments to record</w:t>
      </w:r>
      <w:r w:rsidR="0058262E">
        <w:rPr>
          <w:b/>
          <w:u w:val="single"/>
        </w:rPr>
        <w:t xml:space="preserve"> </w:t>
      </w:r>
      <w:r w:rsidRPr="002551F6">
        <w:rPr>
          <w:b/>
          <w:u w:val="single"/>
        </w:rPr>
        <w:t>keepers</w:t>
      </w:r>
    </w:p>
    <w:p w:rsidRPr="00C9704D" w:rsidR="00147A26" w:rsidP="00FB7F1C" w:rsidRDefault="00147A26" w14:paraId="3C380E65" w14:textId="77777777">
      <w:pPr>
        <w:keepNext/>
      </w:pPr>
    </w:p>
    <w:p w:rsidRPr="00C9704D" w:rsidR="00256911" w:rsidP="00CB003A" w:rsidRDefault="00E96BF2" w14:paraId="4D8D0DCF" w14:textId="77777777">
      <w:r>
        <w:t>No payments or gifts are provided to respondents</w:t>
      </w:r>
      <w:r w:rsidRPr="00C9704D" w:rsidR="009B6FA0">
        <w:t>.</w:t>
      </w:r>
    </w:p>
    <w:p w:rsidRPr="00C9704D" w:rsidR="00BA51F9" w:rsidP="00CB003A" w:rsidRDefault="00BA51F9" w14:paraId="7725F7F3" w14:textId="77777777"/>
    <w:p w:rsidRPr="00C9704D" w:rsidR="00147A26" w:rsidP="00666B6D" w:rsidRDefault="00147A26" w14:paraId="386A728B" w14:textId="77777777">
      <w:pPr>
        <w:keepNext/>
        <w:ind w:firstLine="360"/>
        <w:rPr>
          <w:b/>
        </w:rPr>
      </w:pPr>
      <w:r w:rsidRPr="00C9704D">
        <w:rPr>
          <w:b/>
        </w:rPr>
        <w:t xml:space="preserve">10.  </w:t>
      </w:r>
      <w:r w:rsidRPr="00C9704D">
        <w:rPr>
          <w:b/>
          <w:u w:val="single"/>
        </w:rPr>
        <w:t>Assurance of confidentiality</w:t>
      </w:r>
    </w:p>
    <w:p w:rsidRPr="0025604D" w:rsidR="00147A26" w:rsidP="00666B6D" w:rsidRDefault="00147A26" w14:paraId="66B91B7B" w14:textId="77777777">
      <w:pPr>
        <w:keepNext/>
      </w:pPr>
    </w:p>
    <w:p w:rsidR="00E146F2" w:rsidP="00E146F2" w:rsidRDefault="00E146F2" w14:paraId="6660277B" w14:textId="77777777">
      <w:pPr>
        <w:autoSpaceDE w:val="0"/>
        <w:autoSpaceDN w:val="0"/>
      </w:pPr>
      <w:r>
        <w:t>The Department is subject to all Federal regulations with respect to confidentiality of the information provided in this collection of information and provides no other assurances of confidentiality to respondents.</w:t>
      </w:r>
    </w:p>
    <w:p w:rsidRPr="00C9704D" w:rsidR="00E13A9C" w:rsidP="00CB003A" w:rsidRDefault="00E13A9C" w14:paraId="5619105B" w14:textId="77777777"/>
    <w:p w:rsidRPr="00C9704D" w:rsidR="00147A26" w:rsidP="00181F21" w:rsidRDefault="00147A26" w14:paraId="14350DCD" w14:textId="77777777">
      <w:pPr>
        <w:ind w:firstLine="360"/>
        <w:rPr>
          <w:b/>
          <w:u w:val="single"/>
        </w:rPr>
      </w:pPr>
      <w:r w:rsidRPr="00C9704D">
        <w:rPr>
          <w:b/>
        </w:rPr>
        <w:t xml:space="preserve">11.  </w:t>
      </w:r>
      <w:r w:rsidRPr="00C9704D">
        <w:rPr>
          <w:b/>
          <w:u w:val="single"/>
        </w:rPr>
        <w:t>Justification of sensitive questions</w:t>
      </w:r>
    </w:p>
    <w:p w:rsidRPr="0025604D" w:rsidR="00147A26" w:rsidP="00CB003A" w:rsidRDefault="00147A26" w14:paraId="525F1C68" w14:textId="77777777"/>
    <w:p w:rsidR="00147A26" w:rsidP="00CB003A" w:rsidRDefault="00913A34" w14:paraId="25D19EB2" w14:textId="77777777">
      <w:r>
        <w:t xml:space="preserve">No </w:t>
      </w:r>
      <w:r w:rsidR="00FE40CB">
        <w:t xml:space="preserve">personally </w:t>
      </w:r>
      <w:r>
        <w:t>identifiable information (PII) is collected</w:t>
      </w:r>
      <w:r w:rsidRPr="00C9704D" w:rsidR="00475731">
        <w:t>.</w:t>
      </w:r>
    </w:p>
    <w:p w:rsidR="00A95A75" w:rsidP="004B0AEF" w:rsidRDefault="00E13A9C" w14:paraId="2734153C" w14:textId="6B77B373">
      <w:pPr>
        <w:ind w:firstLine="360"/>
        <w:rPr>
          <w:b/>
          <w:u w:val="single"/>
        </w:rPr>
      </w:pPr>
      <w:r>
        <w:rPr>
          <w:b/>
        </w:rPr>
        <w:br w:type="page"/>
      </w:r>
      <w:r w:rsidR="00A95A75">
        <w:rPr>
          <w:b/>
        </w:rPr>
        <w:lastRenderedPageBreak/>
        <w:t xml:space="preserve">12.  </w:t>
      </w:r>
      <w:r w:rsidR="00A95A75">
        <w:rPr>
          <w:b/>
          <w:u w:val="single"/>
        </w:rPr>
        <w:t xml:space="preserve">Justification </w:t>
      </w:r>
    </w:p>
    <w:p w:rsidR="004063EA" w:rsidP="004B0AEF" w:rsidRDefault="004063EA" w14:paraId="141F5606" w14:textId="77777777">
      <w:pPr>
        <w:ind w:firstLine="360"/>
        <w:rPr>
          <w:b/>
          <w:u w:val="single"/>
        </w:rPr>
      </w:pPr>
    </w:p>
    <w:tbl>
      <w:tblPr>
        <w:tblW w:w="9900" w:type="dxa"/>
        <w:tblInd w:w="-10" w:type="dxa"/>
        <w:tblLook w:val="04A0" w:firstRow="1" w:lastRow="0" w:firstColumn="1" w:lastColumn="0" w:noHBand="0" w:noVBand="1"/>
      </w:tblPr>
      <w:tblGrid>
        <w:gridCol w:w="2080"/>
        <w:gridCol w:w="1437"/>
        <w:gridCol w:w="1240"/>
        <w:gridCol w:w="1240"/>
        <w:gridCol w:w="1268"/>
        <w:gridCol w:w="1240"/>
        <w:gridCol w:w="1395"/>
      </w:tblGrid>
      <w:tr w:rsidR="0025330A" w:rsidTr="00F561A0" w14:paraId="1F30D643" w14:textId="77777777">
        <w:trPr>
          <w:trHeight w:val="682"/>
        </w:trPr>
        <w:tc>
          <w:tcPr>
            <w:tcW w:w="20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25330A" w:rsidR="0025330A" w:rsidRDefault="0025330A" w14:paraId="023764DB" w14:textId="77777777">
            <w:pPr>
              <w:rPr>
                <w:rFonts w:ascii="Arial Narrow" w:hAnsi="Arial Narrow" w:cs="Calibri"/>
                <w:b/>
                <w:bCs/>
                <w:color w:val="000000"/>
                <w:sz w:val="18"/>
                <w:szCs w:val="18"/>
              </w:rPr>
            </w:pPr>
            <w:r w:rsidRPr="0025330A">
              <w:rPr>
                <w:rFonts w:ascii="Arial Narrow" w:hAnsi="Arial Narrow" w:cs="Calibri"/>
                <w:b/>
                <w:bCs/>
                <w:color w:val="000000"/>
                <w:sz w:val="18"/>
                <w:szCs w:val="18"/>
              </w:rPr>
              <w:t>Reporting</w:t>
            </w:r>
          </w:p>
        </w:tc>
        <w:tc>
          <w:tcPr>
            <w:tcW w:w="1437" w:type="dxa"/>
            <w:tcBorders>
              <w:top w:val="single" w:color="auto" w:sz="8" w:space="0"/>
              <w:left w:val="nil"/>
              <w:bottom w:val="single" w:color="auto" w:sz="8" w:space="0"/>
              <w:right w:val="single" w:color="auto" w:sz="8" w:space="0"/>
            </w:tcBorders>
            <w:shd w:val="clear" w:color="auto" w:fill="auto"/>
            <w:vAlign w:val="center"/>
            <w:hideMark/>
          </w:tcPr>
          <w:p w:rsidRPr="0025330A" w:rsidR="0025330A" w:rsidRDefault="0025330A" w14:paraId="2224D404" w14:textId="77777777">
            <w:pPr>
              <w:jc w:val="center"/>
              <w:rPr>
                <w:rFonts w:ascii="Arial Narrow" w:hAnsi="Arial Narrow" w:cs="Calibri"/>
                <w:b/>
                <w:color w:val="000000"/>
                <w:sz w:val="18"/>
                <w:szCs w:val="18"/>
              </w:rPr>
            </w:pPr>
            <w:r w:rsidRPr="0025330A">
              <w:rPr>
                <w:rFonts w:ascii="Arial Narrow" w:hAnsi="Arial Narrow" w:cs="Calibri"/>
                <w:b/>
                <w:color w:val="000000"/>
                <w:sz w:val="18"/>
                <w:szCs w:val="18"/>
              </w:rPr>
              <w:t># Respondents</w:t>
            </w:r>
          </w:p>
        </w:tc>
        <w:tc>
          <w:tcPr>
            <w:tcW w:w="1240" w:type="dxa"/>
            <w:tcBorders>
              <w:top w:val="single" w:color="auto" w:sz="8" w:space="0"/>
              <w:left w:val="nil"/>
              <w:bottom w:val="single" w:color="auto" w:sz="8" w:space="0"/>
              <w:right w:val="single" w:color="auto" w:sz="8" w:space="0"/>
            </w:tcBorders>
            <w:shd w:val="clear" w:color="auto" w:fill="auto"/>
            <w:vAlign w:val="center"/>
            <w:hideMark/>
          </w:tcPr>
          <w:p w:rsidRPr="0025330A" w:rsidR="0025330A" w:rsidRDefault="0025330A" w14:paraId="79E6689B" w14:textId="77777777">
            <w:pPr>
              <w:jc w:val="center"/>
              <w:rPr>
                <w:rFonts w:ascii="Arial Narrow" w:hAnsi="Arial Narrow" w:cs="Calibri"/>
                <w:b/>
                <w:color w:val="000000"/>
                <w:sz w:val="18"/>
                <w:szCs w:val="18"/>
              </w:rPr>
            </w:pPr>
            <w:r w:rsidRPr="0025330A">
              <w:rPr>
                <w:rFonts w:ascii="Arial Narrow" w:hAnsi="Arial Narrow" w:cs="Calibri"/>
                <w:b/>
                <w:color w:val="000000"/>
                <w:sz w:val="18"/>
                <w:szCs w:val="18"/>
              </w:rPr>
              <w:t># Responses Per Respondent</w:t>
            </w:r>
          </w:p>
        </w:tc>
        <w:tc>
          <w:tcPr>
            <w:tcW w:w="1240" w:type="dxa"/>
            <w:tcBorders>
              <w:top w:val="single" w:color="auto" w:sz="8" w:space="0"/>
              <w:left w:val="nil"/>
              <w:bottom w:val="single" w:color="auto" w:sz="8" w:space="0"/>
              <w:right w:val="single" w:color="auto" w:sz="8" w:space="0"/>
            </w:tcBorders>
            <w:shd w:val="clear" w:color="auto" w:fill="auto"/>
            <w:vAlign w:val="center"/>
            <w:hideMark/>
          </w:tcPr>
          <w:p w:rsidRPr="0025330A" w:rsidR="0025330A" w:rsidRDefault="0025330A" w14:paraId="1747FA46" w14:textId="77777777">
            <w:pPr>
              <w:jc w:val="center"/>
              <w:rPr>
                <w:rFonts w:ascii="Arial Narrow" w:hAnsi="Arial Narrow" w:cs="Calibri"/>
                <w:b/>
                <w:color w:val="000000"/>
                <w:sz w:val="18"/>
                <w:szCs w:val="18"/>
              </w:rPr>
            </w:pPr>
            <w:r w:rsidRPr="0025330A">
              <w:rPr>
                <w:rFonts w:ascii="Arial Narrow" w:hAnsi="Arial Narrow" w:cs="Calibri"/>
                <w:b/>
                <w:color w:val="000000"/>
                <w:sz w:val="18"/>
                <w:szCs w:val="18"/>
              </w:rPr>
              <w:t>Total annual Responses</w:t>
            </w:r>
          </w:p>
        </w:tc>
        <w:tc>
          <w:tcPr>
            <w:tcW w:w="1268" w:type="dxa"/>
            <w:tcBorders>
              <w:top w:val="single" w:color="auto" w:sz="8" w:space="0"/>
              <w:left w:val="nil"/>
              <w:bottom w:val="single" w:color="auto" w:sz="8" w:space="0"/>
              <w:right w:val="single" w:color="auto" w:sz="8" w:space="0"/>
            </w:tcBorders>
            <w:shd w:val="clear" w:color="auto" w:fill="auto"/>
            <w:vAlign w:val="center"/>
            <w:hideMark/>
          </w:tcPr>
          <w:p w:rsidRPr="0025330A" w:rsidR="0025330A" w:rsidRDefault="0025330A" w14:paraId="3F58FB90" w14:textId="77777777">
            <w:pPr>
              <w:jc w:val="center"/>
              <w:rPr>
                <w:rFonts w:ascii="Arial Narrow" w:hAnsi="Arial Narrow" w:cs="Calibri"/>
                <w:b/>
                <w:color w:val="000000"/>
                <w:sz w:val="18"/>
                <w:szCs w:val="18"/>
              </w:rPr>
            </w:pPr>
            <w:r w:rsidRPr="0025330A">
              <w:rPr>
                <w:rFonts w:ascii="Arial Narrow" w:hAnsi="Arial Narrow" w:cs="Calibri"/>
                <w:b/>
                <w:color w:val="000000"/>
                <w:sz w:val="18"/>
                <w:szCs w:val="18"/>
              </w:rPr>
              <w:t>Hours per response</w:t>
            </w:r>
          </w:p>
        </w:tc>
        <w:tc>
          <w:tcPr>
            <w:tcW w:w="1240" w:type="dxa"/>
            <w:tcBorders>
              <w:top w:val="single" w:color="auto" w:sz="8" w:space="0"/>
              <w:left w:val="nil"/>
              <w:bottom w:val="single" w:color="auto" w:sz="8" w:space="0"/>
              <w:right w:val="single" w:color="auto" w:sz="8" w:space="0"/>
            </w:tcBorders>
            <w:shd w:val="clear" w:color="auto" w:fill="auto"/>
            <w:vAlign w:val="center"/>
            <w:hideMark/>
          </w:tcPr>
          <w:p w:rsidRPr="0025330A" w:rsidR="0025330A" w:rsidRDefault="0025330A" w14:paraId="53B79CA0" w14:textId="77777777">
            <w:pPr>
              <w:jc w:val="center"/>
              <w:rPr>
                <w:rFonts w:ascii="Arial Narrow" w:hAnsi="Arial Narrow" w:cs="Calibri"/>
                <w:b/>
                <w:color w:val="000000"/>
                <w:sz w:val="18"/>
                <w:szCs w:val="18"/>
              </w:rPr>
            </w:pPr>
            <w:r w:rsidRPr="0025330A">
              <w:rPr>
                <w:rFonts w:ascii="Arial Narrow" w:hAnsi="Arial Narrow" w:cs="Calibri"/>
                <w:b/>
                <w:color w:val="000000"/>
                <w:sz w:val="18"/>
                <w:szCs w:val="18"/>
              </w:rPr>
              <w:t>Total Burden</w:t>
            </w:r>
          </w:p>
        </w:tc>
        <w:tc>
          <w:tcPr>
            <w:tcW w:w="1395" w:type="dxa"/>
            <w:tcBorders>
              <w:top w:val="single" w:color="auto" w:sz="8" w:space="0"/>
              <w:left w:val="nil"/>
              <w:bottom w:val="single" w:color="auto" w:sz="8" w:space="0"/>
              <w:right w:val="single" w:color="auto" w:sz="8" w:space="0"/>
            </w:tcBorders>
            <w:shd w:val="clear" w:color="auto" w:fill="auto"/>
            <w:vAlign w:val="center"/>
            <w:hideMark/>
          </w:tcPr>
          <w:p w:rsidRPr="0025330A" w:rsidR="0025330A" w:rsidRDefault="0025330A" w14:paraId="460093BF" w14:textId="77777777">
            <w:pPr>
              <w:jc w:val="center"/>
              <w:rPr>
                <w:rFonts w:ascii="Arial Narrow" w:hAnsi="Arial Narrow" w:cs="Calibri"/>
                <w:b/>
                <w:color w:val="000000"/>
                <w:sz w:val="18"/>
                <w:szCs w:val="18"/>
              </w:rPr>
            </w:pPr>
            <w:r w:rsidRPr="0025330A">
              <w:rPr>
                <w:rFonts w:ascii="Arial Narrow" w:hAnsi="Arial Narrow" w:cs="Calibri"/>
                <w:b/>
                <w:color w:val="000000"/>
                <w:sz w:val="18"/>
                <w:szCs w:val="18"/>
              </w:rPr>
              <w:t xml:space="preserve">Cost to Respondent </w:t>
            </w:r>
            <w:r w:rsidRPr="0025330A">
              <w:rPr>
                <w:rFonts w:ascii="Arial Narrow" w:hAnsi="Arial Narrow" w:cs="Calibri"/>
                <w:b/>
                <w:sz w:val="18"/>
                <w:szCs w:val="18"/>
              </w:rPr>
              <w:t>(@ $48 per hr.*)</w:t>
            </w:r>
          </w:p>
        </w:tc>
      </w:tr>
      <w:tr w:rsidR="0025330A" w:rsidTr="0025330A" w14:paraId="2177F633" w14:textId="77777777">
        <w:trPr>
          <w:trHeight w:val="495"/>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25330A" w:rsidR="0025330A" w:rsidRDefault="0025330A" w14:paraId="2F9893F2" w14:textId="77777777">
            <w:pPr>
              <w:rPr>
                <w:rFonts w:ascii="Arial" w:hAnsi="Arial" w:cs="Arial"/>
                <w:color w:val="000000"/>
                <w:sz w:val="18"/>
                <w:szCs w:val="18"/>
              </w:rPr>
            </w:pPr>
            <w:r w:rsidRPr="0025330A">
              <w:rPr>
                <w:rFonts w:ascii="Arial" w:hAnsi="Arial" w:cs="Arial"/>
                <w:color w:val="000000"/>
                <w:sz w:val="18"/>
                <w:szCs w:val="18"/>
              </w:rPr>
              <w:t>Operational Self-Assessment</w:t>
            </w:r>
          </w:p>
        </w:tc>
        <w:tc>
          <w:tcPr>
            <w:tcW w:w="1437" w:type="dxa"/>
            <w:tcBorders>
              <w:top w:val="nil"/>
              <w:left w:val="nil"/>
              <w:bottom w:val="single" w:color="auto" w:sz="8" w:space="0"/>
              <w:right w:val="single" w:color="auto" w:sz="8" w:space="0"/>
            </w:tcBorders>
            <w:shd w:val="clear" w:color="auto" w:fill="auto"/>
            <w:vAlign w:val="center"/>
            <w:hideMark/>
          </w:tcPr>
          <w:p w:rsidRPr="0025330A" w:rsidR="0025330A" w:rsidRDefault="0025330A" w14:paraId="0B7068F5" w14:textId="77777777">
            <w:pPr>
              <w:jc w:val="center"/>
              <w:rPr>
                <w:rFonts w:ascii="Arial" w:hAnsi="Arial" w:cs="Arial"/>
                <w:color w:val="000000"/>
                <w:sz w:val="18"/>
                <w:szCs w:val="18"/>
              </w:rPr>
            </w:pPr>
            <w:r w:rsidRPr="0025330A">
              <w:rPr>
                <w:rFonts w:ascii="Arial" w:hAnsi="Arial" w:cs="Arial"/>
                <w:color w:val="000000"/>
                <w:sz w:val="18"/>
                <w:szCs w:val="18"/>
              </w:rPr>
              <w:t>48</w:t>
            </w:r>
          </w:p>
        </w:tc>
        <w:tc>
          <w:tcPr>
            <w:tcW w:w="1240" w:type="dxa"/>
            <w:tcBorders>
              <w:top w:val="nil"/>
              <w:left w:val="nil"/>
              <w:bottom w:val="single" w:color="auto" w:sz="8" w:space="0"/>
              <w:right w:val="single" w:color="auto" w:sz="8" w:space="0"/>
            </w:tcBorders>
            <w:shd w:val="clear" w:color="auto" w:fill="auto"/>
            <w:vAlign w:val="center"/>
            <w:hideMark/>
          </w:tcPr>
          <w:p w:rsidRPr="0025330A" w:rsidR="0025330A" w:rsidRDefault="0025330A" w14:paraId="727741C3" w14:textId="77777777">
            <w:pPr>
              <w:jc w:val="center"/>
              <w:rPr>
                <w:rFonts w:ascii="Arial" w:hAnsi="Arial" w:cs="Arial"/>
                <w:color w:val="000000"/>
                <w:sz w:val="18"/>
                <w:szCs w:val="18"/>
              </w:rPr>
            </w:pPr>
            <w:r w:rsidRPr="0025330A">
              <w:rPr>
                <w:rFonts w:ascii="Arial" w:hAnsi="Arial" w:cs="Arial"/>
                <w:color w:val="000000"/>
                <w:sz w:val="18"/>
                <w:szCs w:val="18"/>
              </w:rPr>
              <w:t>1</w:t>
            </w:r>
          </w:p>
        </w:tc>
        <w:tc>
          <w:tcPr>
            <w:tcW w:w="1240" w:type="dxa"/>
            <w:tcBorders>
              <w:top w:val="nil"/>
              <w:left w:val="nil"/>
              <w:bottom w:val="single" w:color="auto" w:sz="8" w:space="0"/>
              <w:right w:val="single" w:color="auto" w:sz="8" w:space="0"/>
            </w:tcBorders>
            <w:shd w:val="clear" w:color="auto" w:fill="auto"/>
            <w:vAlign w:val="center"/>
            <w:hideMark/>
          </w:tcPr>
          <w:p w:rsidRPr="0025330A" w:rsidR="0025330A" w:rsidRDefault="0025330A" w14:paraId="6422CFF9" w14:textId="77777777">
            <w:pPr>
              <w:jc w:val="center"/>
              <w:rPr>
                <w:rFonts w:ascii="Arial" w:hAnsi="Arial" w:cs="Arial"/>
                <w:color w:val="000000"/>
                <w:sz w:val="18"/>
                <w:szCs w:val="18"/>
              </w:rPr>
            </w:pPr>
            <w:r w:rsidRPr="0025330A">
              <w:rPr>
                <w:rFonts w:ascii="Arial" w:hAnsi="Arial" w:cs="Arial"/>
                <w:color w:val="000000"/>
                <w:sz w:val="18"/>
                <w:szCs w:val="18"/>
              </w:rPr>
              <w:t>48</w:t>
            </w:r>
          </w:p>
        </w:tc>
        <w:tc>
          <w:tcPr>
            <w:tcW w:w="1268" w:type="dxa"/>
            <w:tcBorders>
              <w:top w:val="nil"/>
              <w:left w:val="nil"/>
              <w:bottom w:val="single" w:color="auto" w:sz="8" w:space="0"/>
              <w:right w:val="single" w:color="auto" w:sz="8" w:space="0"/>
            </w:tcBorders>
            <w:shd w:val="clear" w:color="auto" w:fill="auto"/>
            <w:vAlign w:val="center"/>
            <w:hideMark/>
          </w:tcPr>
          <w:p w:rsidRPr="0025330A" w:rsidR="0025330A" w:rsidRDefault="0025330A" w14:paraId="2691604C" w14:textId="77777777">
            <w:pPr>
              <w:jc w:val="center"/>
              <w:rPr>
                <w:rFonts w:ascii="Arial" w:hAnsi="Arial" w:cs="Arial"/>
                <w:color w:val="000000"/>
                <w:sz w:val="18"/>
                <w:szCs w:val="18"/>
              </w:rPr>
            </w:pPr>
            <w:r w:rsidRPr="0025330A">
              <w:rPr>
                <w:rFonts w:ascii="Arial" w:hAnsi="Arial" w:cs="Arial"/>
                <w:color w:val="000000"/>
                <w:sz w:val="18"/>
                <w:szCs w:val="18"/>
              </w:rPr>
              <w:t>2</w:t>
            </w:r>
          </w:p>
        </w:tc>
        <w:tc>
          <w:tcPr>
            <w:tcW w:w="1240" w:type="dxa"/>
            <w:tcBorders>
              <w:top w:val="nil"/>
              <w:left w:val="nil"/>
              <w:bottom w:val="single" w:color="auto" w:sz="8" w:space="0"/>
              <w:right w:val="single" w:color="auto" w:sz="8" w:space="0"/>
            </w:tcBorders>
            <w:shd w:val="clear" w:color="auto" w:fill="auto"/>
            <w:vAlign w:val="center"/>
            <w:hideMark/>
          </w:tcPr>
          <w:p w:rsidRPr="0025330A" w:rsidR="0025330A" w:rsidRDefault="0025330A" w14:paraId="3227F91C" w14:textId="77777777">
            <w:pPr>
              <w:jc w:val="center"/>
              <w:rPr>
                <w:rFonts w:ascii="Arial" w:hAnsi="Arial" w:cs="Arial"/>
                <w:color w:val="000000"/>
                <w:sz w:val="18"/>
                <w:szCs w:val="18"/>
              </w:rPr>
            </w:pPr>
            <w:r w:rsidRPr="0025330A">
              <w:rPr>
                <w:rFonts w:ascii="Arial" w:hAnsi="Arial" w:cs="Arial"/>
                <w:color w:val="000000"/>
                <w:sz w:val="18"/>
                <w:szCs w:val="18"/>
              </w:rPr>
              <w:t>96</w:t>
            </w:r>
          </w:p>
        </w:tc>
        <w:tc>
          <w:tcPr>
            <w:tcW w:w="1395"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428C752C" w14:textId="77777777">
            <w:pPr>
              <w:jc w:val="center"/>
              <w:rPr>
                <w:rFonts w:ascii="Arial" w:hAnsi="Arial" w:cs="Arial"/>
                <w:color w:val="000000"/>
                <w:sz w:val="18"/>
                <w:szCs w:val="18"/>
              </w:rPr>
            </w:pPr>
            <w:r w:rsidRPr="0025330A">
              <w:rPr>
                <w:rFonts w:ascii="Arial" w:hAnsi="Arial" w:cs="Arial"/>
                <w:color w:val="000000"/>
                <w:sz w:val="18"/>
                <w:szCs w:val="18"/>
              </w:rPr>
              <w:t xml:space="preserve">$4,608 </w:t>
            </w:r>
          </w:p>
        </w:tc>
      </w:tr>
      <w:tr w:rsidR="0025330A" w:rsidTr="00F561A0" w14:paraId="5E5251EA" w14:textId="77777777">
        <w:trPr>
          <w:trHeight w:val="367"/>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25330A" w:rsidR="0025330A" w:rsidRDefault="0025330A" w14:paraId="122CB482" w14:textId="77777777">
            <w:pPr>
              <w:rPr>
                <w:rFonts w:ascii="Arial" w:hAnsi="Arial" w:cs="Arial"/>
                <w:color w:val="000000"/>
                <w:sz w:val="18"/>
                <w:szCs w:val="18"/>
              </w:rPr>
            </w:pPr>
            <w:r w:rsidRPr="0025330A">
              <w:rPr>
                <w:rFonts w:ascii="Arial" w:hAnsi="Arial" w:cs="Arial"/>
                <w:color w:val="000000"/>
                <w:sz w:val="18"/>
                <w:szCs w:val="18"/>
              </w:rPr>
              <w:t>Multiyear Plans</w:t>
            </w:r>
          </w:p>
        </w:tc>
        <w:tc>
          <w:tcPr>
            <w:tcW w:w="1437" w:type="dxa"/>
            <w:tcBorders>
              <w:top w:val="nil"/>
              <w:left w:val="nil"/>
              <w:bottom w:val="single" w:color="auto" w:sz="8" w:space="0"/>
              <w:right w:val="single" w:color="auto" w:sz="8" w:space="0"/>
            </w:tcBorders>
            <w:shd w:val="clear" w:color="auto" w:fill="auto"/>
            <w:vAlign w:val="center"/>
            <w:hideMark/>
          </w:tcPr>
          <w:p w:rsidRPr="0025330A" w:rsidR="0025330A" w:rsidRDefault="0025330A" w14:paraId="5815989F" w14:textId="77777777">
            <w:pPr>
              <w:jc w:val="center"/>
              <w:rPr>
                <w:rFonts w:ascii="Arial" w:hAnsi="Arial" w:cs="Arial"/>
                <w:color w:val="000000"/>
                <w:sz w:val="18"/>
                <w:szCs w:val="18"/>
              </w:rPr>
            </w:pPr>
            <w:r w:rsidRPr="0025330A">
              <w:rPr>
                <w:rFonts w:ascii="Arial" w:hAnsi="Arial" w:cs="Arial"/>
                <w:color w:val="000000"/>
                <w:sz w:val="18"/>
                <w:szCs w:val="18"/>
              </w:rPr>
              <w:t>47</w:t>
            </w:r>
          </w:p>
        </w:tc>
        <w:tc>
          <w:tcPr>
            <w:tcW w:w="1240" w:type="dxa"/>
            <w:tcBorders>
              <w:top w:val="nil"/>
              <w:left w:val="nil"/>
              <w:bottom w:val="single" w:color="auto" w:sz="8" w:space="0"/>
              <w:right w:val="single" w:color="auto" w:sz="8" w:space="0"/>
            </w:tcBorders>
            <w:shd w:val="clear" w:color="auto" w:fill="auto"/>
            <w:vAlign w:val="center"/>
            <w:hideMark/>
          </w:tcPr>
          <w:p w:rsidRPr="0025330A" w:rsidR="0025330A" w:rsidRDefault="0025330A" w14:paraId="4F8CEAD8" w14:textId="77777777">
            <w:pPr>
              <w:jc w:val="center"/>
              <w:rPr>
                <w:rFonts w:ascii="Arial" w:hAnsi="Arial" w:cs="Arial"/>
                <w:color w:val="000000"/>
                <w:sz w:val="18"/>
                <w:szCs w:val="18"/>
              </w:rPr>
            </w:pPr>
            <w:r w:rsidRPr="0025330A">
              <w:rPr>
                <w:rFonts w:ascii="Arial" w:hAnsi="Arial" w:cs="Arial"/>
                <w:color w:val="000000"/>
                <w:sz w:val="18"/>
                <w:szCs w:val="18"/>
              </w:rPr>
              <w:t>1</w:t>
            </w:r>
          </w:p>
        </w:tc>
        <w:tc>
          <w:tcPr>
            <w:tcW w:w="1240" w:type="dxa"/>
            <w:tcBorders>
              <w:top w:val="nil"/>
              <w:left w:val="nil"/>
              <w:bottom w:val="single" w:color="auto" w:sz="8" w:space="0"/>
              <w:right w:val="single" w:color="auto" w:sz="8" w:space="0"/>
            </w:tcBorders>
            <w:shd w:val="clear" w:color="auto" w:fill="auto"/>
            <w:vAlign w:val="center"/>
            <w:hideMark/>
          </w:tcPr>
          <w:p w:rsidRPr="0025330A" w:rsidR="0025330A" w:rsidRDefault="0025330A" w14:paraId="6C1A4D90" w14:textId="77777777">
            <w:pPr>
              <w:jc w:val="center"/>
              <w:rPr>
                <w:rFonts w:ascii="Arial" w:hAnsi="Arial" w:cs="Arial"/>
                <w:color w:val="000000"/>
                <w:sz w:val="18"/>
                <w:szCs w:val="18"/>
              </w:rPr>
            </w:pPr>
            <w:r w:rsidRPr="0025330A">
              <w:rPr>
                <w:rFonts w:ascii="Arial" w:hAnsi="Arial" w:cs="Arial"/>
                <w:color w:val="000000"/>
                <w:sz w:val="18"/>
                <w:szCs w:val="18"/>
              </w:rPr>
              <w:t>15</w:t>
            </w:r>
          </w:p>
        </w:tc>
        <w:tc>
          <w:tcPr>
            <w:tcW w:w="1268" w:type="dxa"/>
            <w:tcBorders>
              <w:top w:val="nil"/>
              <w:left w:val="nil"/>
              <w:bottom w:val="single" w:color="auto" w:sz="8" w:space="0"/>
              <w:right w:val="single" w:color="auto" w:sz="8" w:space="0"/>
            </w:tcBorders>
            <w:shd w:val="clear" w:color="auto" w:fill="auto"/>
            <w:vAlign w:val="center"/>
            <w:hideMark/>
          </w:tcPr>
          <w:p w:rsidRPr="0025330A" w:rsidR="0025330A" w:rsidRDefault="0025330A" w14:paraId="481E7922" w14:textId="77777777">
            <w:pPr>
              <w:jc w:val="center"/>
              <w:rPr>
                <w:rFonts w:ascii="Arial" w:hAnsi="Arial" w:cs="Arial"/>
                <w:color w:val="000000"/>
                <w:sz w:val="18"/>
                <w:szCs w:val="18"/>
              </w:rPr>
            </w:pPr>
            <w:r w:rsidRPr="0025330A">
              <w:rPr>
                <w:rFonts w:ascii="Arial" w:hAnsi="Arial" w:cs="Arial"/>
                <w:color w:val="000000"/>
                <w:sz w:val="18"/>
                <w:szCs w:val="18"/>
              </w:rPr>
              <w:t>5</w:t>
            </w:r>
          </w:p>
        </w:tc>
        <w:tc>
          <w:tcPr>
            <w:tcW w:w="1240" w:type="dxa"/>
            <w:tcBorders>
              <w:top w:val="nil"/>
              <w:left w:val="nil"/>
              <w:bottom w:val="single" w:color="auto" w:sz="8" w:space="0"/>
              <w:right w:val="single" w:color="auto" w:sz="8" w:space="0"/>
            </w:tcBorders>
            <w:shd w:val="clear" w:color="auto" w:fill="auto"/>
            <w:vAlign w:val="center"/>
            <w:hideMark/>
          </w:tcPr>
          <w:p w:rsidRPr="0025330A" w:rsidR="0025330A" w:rsidRDefault="0025330A" w14:paraId="5419F5E0" w14:textId="77777777">
            <w:pPr>
              <w:jc w:val="center"/>
              <w:rPr>
                <w:rFonts w:ascii="Arial" w:hAnsi="Arial" w:cs="Arial"/>
                <w:color w:val="000000"/>
                <w:sz w:val="18"/>
                <w:szCs w:val="18"/>
              </w:rPr>
            </w:pPr>
            <w:r w:rsidRPr="0025330A">
              <w:rPr>
                <w:rFonts w:ascii="Arial" w:hAnsi="Arial" w:cs="Arial"/>
                <w:color w:val="000000"/>
                <w:sz w:val="18"/>
                <w:szCs w:val="18"/>
              </w:rPr>
              <w:t>75</w:t>
            </w:r>
          </w:p>
        </w:tc>
        <w:tc>
          <w:tcPr>
            <w:tcW w:w="1395"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02FA7B21" w14:textId="77777777">
            <w:pPr>
              <w:jc w:val="center"/>
              <w:rPr>
                <w:rFonts w:ascii="Arial" w:hAnsi="Arial" w:cs="Arial"/>
                <w:color w:val="000000"/>
                <w:sz w:val="18"/>
                <w:szCs w:val="18"/>
              </w:rPr>
            </w:pPr>
            <w:r w:rsidRPr="0025330A">
              <w:rPr>
                <w:rFonts w:ascii="Arial" w:hAnsi="Arial" w:cs="Arial"/>
                <w:color w:val="000000"/>
                <w:sz w:val="18"/>
                <w:szCs w:val="18"/>
              </w:rPr>
              <w:t xml:space="preserve">$3,600 </w:t>
            </w:r>
          </w:p>
        </w:tc>
      </w:tr>
      <w:tr w:rsidR="0025330A" w:rsidTr="00F561A0" w14:paraId="5B01358E" w14:textId="77777777">
        <w:trPr>
          <w:trHeight w:val="585"/>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25330A" w:rsidR="0025330A" w:rsidRDefault="0025330A" w14:paraId="171D6F4E" w14:textId="77777777">
            <w:pPr>
              <w:rPr>
                <w:rFonts w:ascii="Arial" w:hAnsi="Arial" w:cs="Arial"/>
                <w:color w:val="000000"/>
                <w:sz w:val="18"/>
                <w:szCs w:val="18"/>
              </w:rPr>
            </w:pPr>
            <w:r w:rsidRPr="0025330A">
              <w:rPr>
                <w:rFonts w:ascii="Arial" w:hAnsi="Arial" w:cs="Arial"/>
                <w:color w:val="000000"/>
                <w:sz w:val="18"/>
                <w:szCs w:val="18"/>
              </w:rPr>
              <w:t>Application</w:t>
            </w:r>
            <w:r w:rsidRPr="0025330A">
              <w:rPr>
                <w:rFonts w:ascii="Arial" w:hAnsi="Arial" w:cs="Arial"/>
                <w:sz w:val="18"/>
                <w:szCs w:val="18"/>
              </w:rPr>
              <w:t>s</w:t>
            </w:r>
            <w:r w:rsidRPr="0025330A">
              <w:rPr>
                <w:rFonts w:ascii="Arial" w:hAnsi="Arial" w:cs="Arial"/>
                <w:color w:val="000000"/>
                <w:sz w:val="18"/>
                <w:szCs w:val="18"/>
              </w:rPr>
              <w:t xml:space="preserve"> - Direct Component</w:t>
            </w:r>
          </w:p>
        </w:tc>
        <w:tc>
          <w:tcPr>
            <w:tcW w:w="1437" w:type="dxa"/>
            <w:tcBorders>
              <w:top w:val="nil"/>
              <w:left w:val="nil"/>
              <w:bottom w:val="single" w:color="auto" w:sz="8" w:space="0"/>
              <w:right w:val="single" w:color="auto" w:sz="8" w:space="0"/>
            </w:tcBorders>
            <w:shd w:val="clear" w:color="auto" w:fill="auto"/>
            <w:vAlign w:val="center"/>
            <w:hideMark/>
          </w:tcPr>
          <w:p w:rsidRPr="0025330A" w:rsidR="0025330A" w:rsidRDefault="0025330A" w14:paraId="5F43C007" w14:textId="77777777">
            <w:pPr>
              <w:jc w:val="center"/>
              <w:rPr>
                <w:rFonts w:ascii="Arial" w:hAnsi="Arial" w:cs="Arial"/>
                <w:color w:val="000000"/>
                <w:sz w:val="18"/>
                <w:szCs w:val="18"/>
              </w:rPr>
            </w:pPr>
            <w:r w:rsidRPr="0025330A">
              <w:rPr>
                <w:rFonts w:ascii="Arial" w:hAnsi="Arial" w:cs="Arial"/>
                <w:color w:val="000000"/>
                <w:sz w:val="18"/>
                <w:szCs w:val="18"/>
              </w:rPr>
              <w:t>47</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452AAB54" w14:textId="77777777">
            <w:pPr>
              <w:jc w:val="center"/>
              <w:rPr>
                <w:rFonts w:ascii="Arial" w:hAnsi="Arial" w:cs="Arial"/>
                <w:color w:val="000000"/>
                <w:sz w:val="18"/>
                <w:szCs w:val="18"/>
              </w:rPr>
            </w:pPr>
            <w:r w:rsidRPr="0025330A">
              <w:rPr>
                <w:rFonts w:ascii="Arial" w:hAnsi="Arial" w:cs="Arial"/>
                <w:color w:val="000000"/>
                <w:sz w:val="18"/>
                <w:szCs w:val="18"/>
              </w:rPr>
              <w:t>2</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10FB86BE" w14:textId="77777777">
            <w:pPr>
              <w:jc w:val="center"/>
              <w:rPr>
                <w:rFonts w:ascii="Arial" w:hAnsi="Arial" w:cs="Arial"/>
                <w:color w:val="000000"/>
                <w:sz w:val="18"/>
                <w:szCs w:val="18"/>
              </w:rPr>
            </w:pPr>
            <w:r w:rsidRPr="0025330A">
              <w:rPr>
                <w:rFonts w:ascii="Arial" w:hAnsi="Arial" w:cs="Arial"/>
                <w:color w:val="000000"/>
                <w:sz w:val="18"/>
                <w:szCs w:val="18"/>
              </w:rPr>
              <w:t>27</w:t>
            </w:r>
          </w:p>
        </w:tc>
        <w:tc>
          <w:tcPr>
            <w:tcW w:w="1268"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1C6CD69B" w14:textId="77777777">
            <w:pPr>
              <w:jc w:val="center"/>
              <w:rPr>
                <w:rFonts w:ascii="Arial" w:hAnsi="Arial" w:cs="Arial"/>
                <w:color w:val="000000"/>
                <w:sz w:val="18"/>
                <w:szCs w:val="18"/>
              </w:rPr>
            </w:pPr>
            <w:r w:rsidRPr="0025330A">
              <w:rPr>
                <w:rFonts w:ascii="Arial" w:hAnsi="Arial" w:cs="Arial"/>
                <w:color w:val="000000"/>
                <w:sz w:val="18"/>
                <w:szCs w:val="18"/>
              </w:rPr>
              <w:t>9</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1671B8E6" w14:textId="77777777">
            <w:pPr>
              <w:jc w:val="center"/>
              <w:rPr>
                <w:rFonts w:ascii="Arial" w:hAnsi="Arial" w:cs="Arial"/>
                <w:color w:val="000000"/>
                <w:sz w:val="18"/>
                <w:szCs w:val="18"/>
              </w:rPr>
            </w:pPr>
            <w:r w:rsidRPr="0025330A">
              <w:rPr>
                <w:rFonts w:ascii="Arial" w:hAnsi="Arial" w:cs="Arial"/>
                <w:color w:val="000000"/>
                <w:sz w:val="18"/>
                <w:szCs w:val="18"/>
              </w:rPr>
              <w:t>243</w:t>
            </w:r>
          </w:p>
        </w:tc>
        <w:tc>
          <w:tcPr>
            <w:tcW w:w="1395"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23CF1910" w14:textId="77777777">
            <w:pPr>
              <w:jc w:val="center"/>
              <w:rPr>
                <w:rFonts w:ascii="Arial" w:hAnsi="Arial" w:cs="Arial"/>
                <w:color w:val="000000"/>
                <w:sz w:val="18"/>
                <w:szCs w:val="18"/>
              </w:rPr>
            </w:pPr>
            <w:r w:rsidRPr="0025330A">
              <w:rPr>
                <w:rFonts w:ascii="Arial" w:hAnsi="Arial" w:cs="Arial"/>
                <w:color w:val="000000"/>
                <w:sz w:val="18"/>
                <w:szCs w:val="18"/>
              </w:rPr>
              <w:t xml:space="preserve">$11,664 </w:t>
            </w:r>
          </w:p>
        </w:tc>
      </w:tr>
      <w:tr w:rsidR="0025330A" w:rsidTr="00F561A0" w14:paraId="78653AB8" w14:textId="77777777">
        <w:trPr>
          <w:trHeight w:val="925"/>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25330A" w:rsidR="0025330A" w:rsidRDefault="0025330A" w14:paraId="58707202" w14:textId="77777777">
            <w:pPr>
              <w:rPr>
                <w:rFonts w:ascii="Arial" w:hAnsi="Arial" w:cs="Arial"/>
                <w:color w:val="000000"/>
                <w:sz w:val="18"/>
                <w:szCs w:val="18"/>
              </w:rPr>
            </w:pPr>
            <w:r w:rsidRPr="0025330A">
              <w:rPr>
                <w:rFonts w:ascii="Arial" w:hAnsi="Arial" w:cs="Arial"/>
                <w:color w:val="000000"/>
                <w:sz w:val="18"/>
                <w:szCs w:val="18"/>
              </w:rPr>
              <w:t>Application - Centers of Excellence Research Grants Program</w:t>
            </w:r>
          </w:p>
        </w:tc>
        <w:tc>
          <w:tcPr>
            <w:tcW w:w="1437"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6CD2A65E" w14:textId="77777777">
            <w:pPr>
              <w:jc w:val="center"/>
              <w:rPr>
                <w:rFonts w:ascii="Arial" w:hAnsi="Arial" w:cs="Arial"/>
                <w:color w:val="000000"/>
                <w:sz w:val="18"/>
                <w:szCs w:val="18"/>
              </w:rPr>
            </w:pPr>
            <w:r w:rsidRPr="0025330A">
              <w:rPr>
                <w:rFonts w:ascii="Arial" w:hAnsi="Arial" w:cs="Arial"/>
                <w:color w:val="000000"/>
                <w:sz w:val="18"/>
                <w:szCs w:val="18"/>
              </w:rPr>
              <w:t>5</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684556B6" w14:textId="77777777">
            <w:pPr>
              <w:jc w:val="center"/>
              <w:rPr>
                <w:rFonts w:ascii="Arial" w:hAnsi="Arial" w:cs="Arial"/>
                <w:color w:val="000000"/>
                <w:sz w:val="18"/>
                <w:szCs w:val="18"/>
              </w:rPr>
            </w:pPr>
            <w:r w:rsidRPr="0025330A">
              <w:rPr>
                <w:rFonts w:ascii="Arial" w:hAnsi="Arial" w:cs="Arial"/>
                <w:color w:val="000000"/>
                <w:sz w:val="18"/>
                <w:szCs w:val="18"/>
              </w:rPr>
              <w:t>1</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471C79FB" w14:textId="77777777">
            <w:pPr>
              <w:jc w:val="center"/>
              <w:rPr>
                <w:rFonts w:ascii="Arial" w:hAnsi="Arial" w:cs="Arial"/>
                <w:color w:val="000000"/>
                <w:sz w:val="18"/>
                <w:szCs w:val="18"/>
              </w:rPr>
            </w:pPr>
            <w:r w:rsidRPr="0025330A">
              <w:rPr>
                <w:rFonts w:ascii="Arial" w:hAnsi="Arial" w:cs="Arial"/>
                <w:color w:val="000000"/>
                <w:sz w:val="18"/>
                <w:szCs w:val="18"/>
              </w:rPr>
              <w:t>3</w:t>
            </w:r>
          </w:p>
        </w:tc>
        <w:tc>
          <w:tcPr>
            <w:tcW w:w="1268"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2A80614F" w14:textId="77777777">
            <w:pPr>
              <w:jc w:val="center"/>
              <w:rPr>
                <w:rFonts w:ascii="Arial" w:hAnsi="Arial" w:cs="Arial"/>
                <w:color w:val="000000"/>
                <w:sz w:val="18"/>
                <w:szCs w:val="18"/>
              </w:rPr>
            </w:pPr>
            <w:r w:rsidRPr="0025330A">
              <w:rPr>
                <w:rFonts w:ascii="Arial" w:hAnsi="Arial" w:cs="Arial"/>
                <w:color w:val="000000"/>
                <w:sz w:val="18"/>
                <w:szCs w:val="18"/>
              </w:rPr>
              <w:t>8</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1A21E659" w14:textId="77777777">
            <w:pPr>
              <w:jc w:val="center"/>
              <w:rPr>
                <w:rFonts w:ascii="Arial" w:hAnsi="Arial" w:cs="Arial"/>
                <w:color w:val="000000"/>
                <w:sz w:val="18"/>
                <w:szCs w:val="18"/>
              </w:rPr>
            </w:pPr>
            <w:r w:rsidRPr="0025330A">
              <w:rPr>
                <w:rFonts w:ascii="Arial" w:hAnsi="Arial" w:cs="Arial"/>
                <w:color w:val="000000"/>
                <w:sz w:val="18"/>
                <w:szCs w:val="18"/>
              </w:rPr>
              <w:t>24</w:t>
            </w:r>
          </w:p>
        </w:tc>
        <w:tc>
          <w:tcPr>
            <w:tcW w:w="1395"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218EA539" w14:textId="77777777">
            <w:pPr>
              <w:jc w:val="center"/>
              <w:rPr>
                <w:rFonts w:ascii="Arial" w:hAnsi="Arial" w:cs="Arial"/>
                <w:color w:val="000000"/>
                <w:sz w:val="18"/>
                <w:szCs w:val="18"/>
              </w:rPr>
            </w:pPr>
            <w:r w:rsidRPr="0025330A">
              <w:rPr>
                <w:rFonts w:ascii="Arial" w:hAnsi="Arial" w:cs="Arial"/>
                <w:color w:val="000000"/>
                <w:sz w:val="18"/>
                <w:szCs w:val="18"/>
              </w:rPr>
              <w:t xml:space="preserve">$1,152 </w:t>
            </w:r>
          </w:p>
        </w:tc>
      </w:tr>
      <w:tr w:rsidR="0025330A" w:rsidTr="0025330A" w14:paraId="4928CE25" w14:textId="77777777">
        <w:trPr>
          <w:trHeight w:val="682"/>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25330A" w:rsidR="0025330A" w:rsidRDefault="0025330A" w14:paraId="5E8A9BD4" w14:textId="77777777">
            <w:pPr>
              <w:rPr>
                <w:rFonts w:ascii="Arial" w:hAnsi="Arial" w:cs="Arial"/>
                <w:color w:val="000000"/>
                <w:sz w:val="18"/>
                <w:szCs w:val="18"/>
              </w:rPr>
            </w:pPr>
            <w:r w:rsidRPr="0025330A">
              <w:rPr>
                <w:rFonts w:ascii="Arial" w:hAnsi="Arial" w:cs="Arial"/>
                <w:color w:val="000000"/>
                <w:sz w:val="18"/>
                <w:szCs w:val="18"/>
              </w:rPr>
              <w:t>Direct Component Activity Milestones Report</w:t>
            </w:r>
          </w:p>
        </w:tc>
        <w:tc>
          <w:tcPr>
            <w:tcW w:w="1437" w:type="dxa"/>
            <w:tcBorders>
              <w:top w:val="nil"/>
              <w:left w:val="nil"/>
              <w:bottom w:val="single" w:color="auto" w:sz="8" w:space="0"/>
              <w:right w:val="single" w:color="auto" w:sz="8" w:space="0"/>
            </w:tcBorders>
            <w:shd w:val="clear" w:color="auto" w:fill="auto"/>
            <w:vAlign w:val="center"/>
            <w:hideMark/>
          </w:tcPr>
          <w:p w:rsidRPr="0025330A" w:rsidR="0025330A" w:rsidRDefault="0025330A" w14:paraId="0688FEF1" w14:textId="77777777">
            <w:pPr>
              <w:jc w:val="center"/>
              <w:rPr>
                <w:rFonts w:ascii="Arial" w:hAnsi="Arial" w:cs="Arial"/>
                <w:color w:val="000000"/>
                <w:sz w:val="18"/>
                <w:szCs w:val="18"/>
              </w:rPr>
            </w:pPr>
            <w:r w:rsidRPr="0025330A">
              <w:rPr>
                <w:rFonts w:ascii="Arial" w:hAnsi="Arial" w:cs="Arial"/>
                <w:color w:val="000000"/>
                <w:sz w:val="18"/>
                <w:szCs w:val="18"/>
              </w:rPr>
              <w:t>47</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50A91EBE" w14:textId="77777777">
            <w:pPr>
              <w:jc w:val="center"/>
              <w:rPr>
                <w:rFonts w:ascii="Arial" w:hAnsi="Arial" w:cs="Arial"/>
                <w:color w:val="000000"/>
                <w:sz w:val="18"/>
                <w:szCs w:val="18"/>
              </w:rPr>
            </w:pPr>
            <w:r w:rsidRPr="0025330A">
              <w:rPr>
                <w:rFonts w:ascii="Arial" w:hAnsi="Arial" w:cs="Arial"/>
                <w:color w:val="000000"/>
                <w:sz w:val="18"/>
                <w:szCs w:val="18"/>
              </w:rPr>
              <w:t>4</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030D4BE6" w14:textId="77777777">
            <w:pPr>
              <w:jc w:val="center"/>
              <w:rPr>
                <w:rFonts w:ascii="Arial" w:hAnsi="Arial" w:cs="Arial"/>
                <w:color w:val="000000"/>
                <w:sz w:val="18"/>
                <w:szCs w:val="18"/>
              </w:rPr>
            </w:pPr>
            <w:r w:rsidRPr="0025330A">
              <w:rPr>
                <w:rFonts w:ascii="Arial" w:hAnsi="Arial" w:cs="Arial"/>
                <w:color w:val="000000"/>
                <w:sz w:val="18"/>
                <w:szCs w:val="18"/>
              </w:rPr>
              <w:t>94</w:t>
            </w:r>
          </w:p>
        </w:tc>
        <w:tc>
          <w:tcPr>
            <w:tcW w:w="1268"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3025671C" w14:textId="77777777">
            <w:pPr>
              <w:jc w:val="center"/>
              <w:rPr>
                <w:rFonts w:ascii="Arial" w:hAnsi="Arial" w:cs="Arial"/>
                <w:color w:val="000000"/>
                <w:sz w:val="18"/>
                <w:szCs w:val="18"/>
              </w:rPr>
            </w:pPr>
            <w:r w:rsidRPr="0025330A">
              <w:rPr>
                <w:rFonts w:ascii="Arial" w:hAnsi="Arial" w:cs="Arial"/>
                <w:color w:val="000000"/>
                <w:sz w:val="18"/>
                <w:szCs w:val="18"/>
              </w:rPr>
              <w:t>1</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25F16BA0" w14:textId="77777777">
            <w:pPr>
              <w:jc w:val="center"/>
              <w:rPr>
                <w:rFonts w:ascii="Arial" w:hAnsi="Arial" w:cs="Arial"/>
                <w:color w:val="000000"/>
                <w:sz w:val="18"/>
                <w:szCs w:val="18"/>
              </w:rPr>
            </w:pPr>
            <w:r w:rsidRPr="0025330A">
              <w:rPr>
                <w:rFonts w:ascii="Arial" w:hAnsi="Arial" w:cs="Arial"/>
                <w:color w:val="000000"/>
                <w:sz w:val="18"/>
                <w:szCs w:val="18"/>
              </w:rPr>
              <w:t>94</w:t>
            </w:r>
          </w:p>
        </w:tc>
        <w:tc>
          <w:tcPr>
            <w:tcW w:w="1395"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39BAAA6C" w14:textId="77777777">
            <w:pPr>
              <w:jc w:val="center"/>
              <w:rPr>
                <w:rFonts w:ascii="Arial" w:hAnsi="Arial" w:cs="Arial"/>
                <w:color w:val="000000"/>
                <w:sz w:val="18"/>
                <w:szCs w:val="18"/>
              </w:rPr>
            </w:pPr>
            <w:r w:rsidRPr="0025330A">
              <w:rPr>
                <w:rFonts w:ascii="Arial" w:hAnsi="Arial" w:cs="Arial"/>
                <w:color w:val="000000"/>
                <w:sz w:val="18"/>
                <w:szCs w:val="18"/>
              </w:rPr>
              <w:t xml:space="preserve">$4,512 </w:t>
            </w:r>
          </w:p>
        </w:tc>
      </w:tr>
      <w:tr w:rsidR="0025330A" w:rsidTr="00F561A0" w14:paraId="337378A8" w14:textId="77777777">
        <w:trPr>
          <w:trHeight w:val="780"/>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25330A" w:rsidR="0025330A" w:rsidRDefault="0025330A" w14:paraId="3D794446" w14:textId="77777777">
            <w:pPr>
              <w:rPr>
                <w:rFonts w:ascii="Arial" w:hAnsi="Arial" w:cs="Arial"/>
                <w:color w:val="000000"/>
                <w:sz w:val="18"/>
                <w:szCs w:val="18"/>
              </w:rPr>
            </w:pPr>
            <w:r w:rsidRPr="0025330A">
              <w:rPr>
                <w:rFonts w:ascii="Arial" w:hAnsi="Arial" w:cs="Arial"/>
                <w:color w:val="000000"/>
                <w:sz w:val="18"/>
                <w:szCs w:val="18"/>
              </w:rPr>
              <w:t>Direct Component Activity Status of Performance Report</w:t>
            </w:r>
          </w:p>
        </w:tc>
        <w:tc>
          <w:tcPr>
            <w:tcW w:w="1437"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703CFB4E" w14:textId="77777777">
            <w:pPr>
              <w:jc w:val="center"/>
              <w:rPr>
                <w:rFonts w:ascii="Arial" w:hAnsi="Arial" w:cs="Arial"/>
                <w:color w:val="000000"/>
                <w:sz w:val="18"/>
                <w:szCs w:val="18"/>
              </w:rPr>
            </w:pPr>
            <w:r w:rsidRPr="0025330A">
              <w:rPr>
                <w:rFonts w:ascii="Arial" w:hAnsi="Arial" w:cs="Arial"/>
                <w:color w:val="000000"/>
                <w:sz w:val="18"/>
                <w:szCs w:val="18"/>
              </w:rPr>
              <w:t>47</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6E81E348" w14:textId="77777777">
            <w:pPr>
              <w:jc w:val="center"/>
              <w:rPr>
                <w:rFonts w:ascii="Arial" w:hAnsi="Arial" w:cs="Arial"/>
                <w:color w:val="000000"/>
                <w:sz w:val="18"/>
                <w:szCs w:val="18"/>
              </w:rPr>
            </w:pPr>
            <w:r w:rsidRPr="0025330A">
              <w:rPr>
                <w:rFonts w:ascii="Arial" w:hAnsi="Arial" w:cs="Arial"/>
                <w:color w:val="000000"/>
                <w:sz w:val="18"/>
                <w:szCs w:val="18"/>
              </w:rPr>
              <w:t>4</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07F93C6B" w14:textId="77777777">
            <w:pPr>
              <w:jc w:val="center"/>
              <w:rPr>
                <w:rFonts w:ascii="Arial" w:hAnsi="Arial" w:cs="Arial"/>
                <w:color w:val="000000"/>
                <w:sz w:val="18"/>
                <w:szCs w:val="18"/>
              </w:rPr>
            </w:pPr>
            <w:r w:rsidRPr="0025330A">
              <w:rPr>
                <w:rFonts w:ascii="Arial" w:hAnsi="Arial" w:cs="Arial"/>
                <w:color w:val="000000"/>
                <w:sz w:val="18"/>
                <w:szCs w:val="18"/>
              </w:rPr>
              <w:t>94</w:t>
            </w:r>
          </w:p>
        </w:tc>
        <w:tc>
          <w:tcPr>
            <w:tcW w:w="1268"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7F8F80B3" w14:textId="77777777">
            <w:pPr>
              <w:jc w:val="center"/>
              <w:rPr>
                <w:rFonts w:ascii="Arial" w:hAnsi="Arial" w:cs="Arial"/>
                <w:color w:val="000000"/>
                <w:sz w:val="18"/>
                <w:szCs w:val="18"/>
              </w:rPr>
            </w:pPr>
            <w:r w:rsidRPr="0025330A">
              <w:rPr>
                <w:rFonts w:ascii="Arial" w:hAnsi="Arial" w:cs="Arial"/>
                <w:color w:val="000000"/>
                <w:sz w:val="18"/>
                <w:szCs w:val="18"/>
              </w:rPr>
              <w:t>1</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3F495D32" w14:textId="77777777">
            <w:pPr>
              <w:jc w:val="center"/>
              <w:rPr>
                <w:rFonts w:ascii="Arial" w:hAnsi="Arial" w:cs="Arial"/>
                <w:color w:val="000000"/>
                <w:sz w:val="18"/>
                <w:szCs w:val="18"/>
              </w:rPr>
            </w:pPr>
            <w:r w:rsidRPr="0025330A">
              <w:rPr>
                <w:rFonts w:ascii="Arial" w:hAnsi="Arial" w:cs="Arial"/>
                <w:color w:val="000000"/>
                <w:sz w:val="18"/>
                <w:szCs w:val="18"/>
              </w:rPr>
              <w:t>94</w:t>
            </w:r>
          </w:p>
        </w:tc>
        <w:tc>
          <w:tcPr>
            <w:tcW w:w="1395"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7C891EE7" w14:textId="77777777">
            <w:pPr>
              <w:jc w:val="center"/>
              <w:rPr>
                <w:rFonts w:ascii="Arial" w:hAnsi="Arial" w:cs="Arial"/>
                <w:color w:val="000000"/>
                <w:sz w:val="18"/>
                <w:szCs w:val="18"/>
              </w:rPr>
            </w:pPr>
            <w:r w:rsidRPr="0025330A">
              <w:rPr>
                <w:rFonts w:ascii="Arial" w:hAnsi="Arial" w:cs="Arial"/>
                <w:color w:val="000000"/>
                <w:sz w:val="18"/>
                <w:szCs w:val="18"/>
              </w:rPr>
              <w:t xml:space="preserve">$4,512 </w:t>
            </w:r>
          </w:p>
        </w:tc>
      </w:tr>
      <w:tr w:rsidR="0025330A" w:rsidTr="0025330A" w14:paraId="08588C97" w14:textId="77777777">
        <w:trPr>
          <w:trHeight w:val="898"/>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25330A" w:rsidR="0025330A" w:rsidRDefault="0025330A" w14:paraId="6FE89EDE" w14:textId="77777777">
            <w:pPr>
              <w:rPr>
                <w:rFonts w:ascii="Arial" w:hAnsi="Arial" w:cs="Arial"/>
                <w:color w:val="000000"/>
                <w:sz w:val="18"/>
                <w:szCs w:val="18"/>
              </w:rPr>
            </w:pPr>
            <w:r w:rsidRPr="0025330A">
              <w:rPr>
                <w:rFonts w:ascii="Arial" w:hAnsi="Arial" w:cs="Arial"/>
                <w:color w:val="000000"/>
                <w:sz w:val="18"/>
                <w:szCs w:val="18"/>
              </w:rPr>
              <w:t>Centers of Excellence Research Grants Program Activity Milestones Report</w:t>
            </w:r>
          </w:p>
        </w:tc>
        <w:tc>
          <w:tcPr>
            <w:tcW w:w="1437"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4A23A2AF" w14:textId="77777777">
            <w:pPr>
              <w:jc w:val="center"/>
              <w:rPr>
                <w:rFonts w:ascii="Arial" w:hAnsi="Arial" w:cs="Arial"/>
                <w:color w:val="000000"/>
                <w:sz w:val="18"/>
                <w:szCs w:val="18"/>
              </w:rPr>
            </w:pPr>
            <w:r w:rsidRPr="0025330A">
              <w:rPr>
                <w:rFonts w:ascii="Arial" w:hAnsi="Arial" w:cs="Arial"/>
                <w:color w:val="000000"/>
                <w:sz w:val="18"/>
                <w:szCs w:val="18"/>
              </w:rPr>
              <w:t>5</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5424ED1D" w14:textId="77777777">
            <w:pPr>
              <w:jc w:val="center"/>
              <w:rPr>
                <w:rFonts w:ascii="Arial" w:hAnsi="Arial" w:cs="Arial"/>
                <w:color w:val="000000"/>
                <w:sz w:val="18"/>
                <w:szCs w:val="18"/>
              </w:rPr>
            </w:pPr>
            <w:r w:rsidRPr="0025330A">
              <w:rPr>
                <w:rFonts w:ascii="Arial" w:hAnsi="Arial" w:cs="Arial"/>
                <w:color w:val="000000"/>
                <w:sz w:val="18"/>
                <w:szCs w:val="18"/>
              </w:rPr>
              <w:t>2</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27A94DB3" w14:textId="77777777">
            <w:pPr>
              <w:jc w:val="center"/>
              <w:rPr>
                <w:rFonts w:ascii="Arial" w:hAnsi="Arial" w:cs="Arial"/>
                <w:color w:val="000000"/>
                <w:sz w:val="18"/>
                <w:szCs w:val="18"/>
              </w:rPr>
            </w:pPr>
            <w:r w:rsidRPr="0025330A">
              <w:rPr>
                <w:rFonts w:ascii="Arial" w:hAnsi="Arial" w:cs="Arial"/>
                <w:color w:val="000000"/>
                <w:sz w:val="18"/>
                <w:szCs w:val="18"/>
              </w:rPr>
              <w:t>10</w:t>
            </w:r>
          </w:p>
        </w:tc>
        <w:tc>
          <w:tcPr>
            <w:tcW w:w="1268"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25168F8A" w14:textId="77777777">
            <w:pPr>
              <w:jc w:val="center"/>
              <w:rPr>
                <w:rFonts w:ascii="Arial" w:hAnsi="Arial" w:cs="Arial"/>
                <w:color w:val="000000"/>
                <w:sz w:val="18"/>
                <w:szCs w:val="18"/>
              </w:rPr>
            </w:pPr>
            <w:r w:rsidRPr="0025330A">
              <w:rPr>
                <w:rFonts w:ascii="Arial" w:hAnsi="Arial" w:cs="Arial"/>
                <w:color w:val="000000"/>
                <w:sz w:val="18"/>
                <w:szCs w:val="18"/>
              </w:rPr>
              <w:t>1</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6D8D6DDB" w14:textId="77777777">
            <w:pPr>
              <w:jc w:val="center"/>
              <w:rPr>
                <w:rFonts w:ascii="Arial" w:hAnsi="Arial" w:cs="Arial"/>
                <w:color w:val="000000"/>
                <w:sz w:val="18"/>
                <w:szCs w:val="18"/>
              </w:rPr>
            </w:pPr>
            <w:r w:rsidRPr="0025330A">
              <w:rPr>
                <w:rFonts w:ascii="Arial" w:hAnsi="Arial" w:cs="Arial"/>
                <w:color w:val="000000"/>
                <w:sz w:val="18"/>
                <w:szCs w:val="18"/>
              </w:rPr>
              <w:t>10</w:t>
            </w:r>
          </w:p>
        </w:tc>
        <w:tc>
          <w:tcPr>
            <w:tcW w:w="1395"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65BC6AC2" w14:textId="77777777">
            <w:pPr>
              <w:jc w:val="center"/>
              <w:rPr>
                <w:rFonts w:ascii="Arial" w:hAnsi="Arial" w:cs="Arial"/>
                <w:color w:val="000000"/>
                <w:sz w:val="18"/>
                <w:szCs w:val="18"/>
              </w:rPr>
            </w:pPr>
            <w:r w:rsidRPr="0025330A">
              <w:rPr>
                <w:rFonts w:ascii="Arial" w:hAnsi="Arial" w:cs="Arial"/>
                <w:color w:val="000000"/>
                <w:sz w:val="18"/>
                <w:szCs w:val="18"/>
              </w:rPr>
              <w:t xml:space="preserve">$480 </w:t>
            </w:r>
          </w:p>
        </w:tc>
      </w:tr>
      <w:tr w:rsidR="0025330A" w:rsidTr="00F561A0" w14:paraId="17273F03" w14:textId="77777777">
        <w:trPr>
          <w:trHeight w:val="997"/>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25330A" w:rsidR="0025330A" w:rsidRDefault="0025330A" w14:paraId="481636DA" w14:textId="77777777">
            <w:pPr>
              <w:rPr>
                <w:rFonts w:ascii="Arial" w:hAnsi="Arial" w:cs="Arial"/>
                <w:color w:val="000000"/>
                <w:sz w:val="18"/>
                <w:szCs w:val="18"/>
              </w:rPr>
            </w:pPr>
            <w:r w:rsidRPr="0025330A">
              <w:rPr>
                <w:rFonts w:ascii="Arial" w:hAnsi="Arial" w:cs="Arial"/>
                <w:color w:val="000000"/>
                <w:sz w:val="18"/>
                <w:szCs w:val="18"/>
              </w:rPr>
              <w:t>Centers of Excellence Research Grants Program Status of Performance Report</w:t>
            </w:r>
          </w:p>
        </w:tc>
        <w:tc>
          <w:tcPr>
            <w:tcW w:w="1437"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1743134D" w14:textId="77777777">
            <w:pPr>
              <w:jc w:val="center"/>
              <w:rPr>
                <w:rFonts w:ascii="Arial" w:hAnsi="Arial" w:cs="Arial"/>
                <w:color w:val="000000"/>
                <w:sz w:val="18"/>
                <w:szCs w:val="18"/>
              </w:rPr>
            </w:pPr>
            <w:r w:rsidRPr="0025330A">
              <w:rPr>
                <w:rFonts w:ascii="Arial" w:hAnsi="Arial" w:cs="Arial"/>
                <w:color w:val="000000"/>
                <w:sz w:val="18"/>
                <w:szCs w:val="18"/>
              </w:rPr>
              <w:t>5</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03483D1B" w14:textId="77777777">
            <w:pPr>
              <w:jc w:val="center"/>
              <w:rPr>
                <w:rFonts w:ascii="Arial" w:hAnsi="Arial" w:cs="Arial"/>
                <w:color w:val="000000"/>
                <w:sz w:val="18"/>
                <w:szCs w:val="18"/>
              </w:rPr>
            </w:pPr>
            <w:r w:rsidRPr="0025330A">
              <w:rPr>
                <w:rFonts w:ascii="Arial" w:hAnsi="Arial" w:cs="Arial"/>
                <w:color w:val="000000"/>
                <w:sz w:val="18"/>
                <w:szCs w:val="18"/>
              </w:rPr>
              <w:t>2</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055CD6E8" w14:textId="77777777">
            <w:pPr>
              <w:jc w:val="center"/>
              <w:rPr>
                <w:rFonts w:ascii="Arial" w:hAnsi="Arial" w:cs="Arial"/>
                <w:color w:val="000000"/>
                <w:sz w:val="18"/>
                <w:szCs w:val="18"/>
              </w:rPr>
            </w:pPr>
            <w:r w:rsidRPr="0025330A">
              <w:rPr>
                <w:rFonts w:ascii="Arial" w:hAnsi="Arial" w:cs="Arial"/>
                <w:color w:val="000000"/>
                <w:sz w:val="18"/>
                <w:szCs w:val="18"/>
              </w:rPr>
              <w:t>10</w:t>
            </w:r>
          </w:p>
        </w:tc>
        <w:tc>
          <w:tcPr>
            <w:tcW w:w="1268"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55AD2832" w14:textId="77777777">
            <w:pPr>
              <w:jc w:val="center"/>
              <w:rPr>
                <w:rFonts w:ascii="Arial" w:hAnsi="Arial" w:cs="Arial"/>
                <w:color w:val="000000"/>
                <w:sz w:val="18"/>
                <w:szCs w:val="18"/>
              </w:rPr>
            </w:pPr>
            <w:r w:rsidRPr="0025330A">
              <w:rPr>
                <w:rFonts w:ascii="Arial" w:hAnsi="Arial" w:cs="Arial"/>
                <w:color w:val="000000"/>
                <w:sz w:val="18"/>
                <w:szCs w:val="18"/>
              </w:rPr>
              <w:t>1</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6EEBF38C" w14:textId="77777777">
            <w:pPr>
              <w:jc w:val="center"/>
              <w:rPr>
                <w:rFonts w:ascii="Arial" w:hAnsi="Arial" w:cs="Arial"/>
                <w:color w:val="000000"/>
                <w:sz w:val="18"/>
                <w:szCs w:val="18"/>
              </w:rPr>
            </w:pPr>
            <w:r w:rsidRPr="0025330A">
              <w:rPr>
                <w:rFonts w:ascii="Arial" w:hAnsi="Arial" w:cs="Arial"/>
                <w:color w:val="000000"/>
                <w:sz w:val="18"/>
                <w:szCs w:val="18"/>
              </w:rPr>
              <w:t>10</w:t>
            </w:r>
          </w:p>
        </w:tc>
        <w:tc>
          <w:tcPr>
            <w:tcW w:w="1395"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6CEB3A44" w14:textId="77777777">
            <w:pPr>
              <w:jc w:val="center"/>
              <w:rPr>
                <w:rFonts w:ascii="Arial" w:hAnsi="Arial" w:cs="Arial"/>
                <w:color w:val="000000"/>
                <w:sz w:val="18"/>
                <w:szCs w:val="18"/>
              </w:rPr>
            </w:pPr>
            <w:r w:rsidRPr="0025330A">
              <w:rPr>
                <w:rFonts w:ascii="Arial" w:hAnsi="Arial" w:cs="Arial"/>
                <w:color w:val="000000"/>
                <w:sz w:val="18"/>
                <w:szCs w:val="18"/>
              </w:rPr>
              <w:t xml:space="preserve">$480 </w:t>
            </w:r>
          </w:p>
        </w:tc>
      </w:tr>
      <w:tr w:rsidR="00F561A0" w:rsidTr="00F561A0" w14:paraId="510897C4" w14:textId="77777777">
        <w:trPr>
          <w:trHeight w:val="700"/>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25330A" w:rsidR="0025330A" w:rsidRDefault="0025330A" w14:paraId="57A916C0" w14:textId="77777777">
            <w:pPr>
              <w:rPr>
                <w:rFonts w:ascii="Arial" w:hAnsi="Arial" w:cs="Arial"/>
                <w:color w:val="000000"/>
                <w:sz w:val="18"/>
                <w:szCs w:val="18"/>
              </w:rPr>
            </w:pPr>
            <w:r w:rsidRPr="0025330A">
              <w:rPr>
                <w:rFonts w:ascii="Arial" w:hAnsi="Arial" w:cs="Arial"/>
                <w:color w:val="000000"/>
                <w:sz w:val="18"/>
                <w:szCs w:val="18"/>
              </w:rPr>
              <w:t>Direct Component        Title VI Civil Rights Narrative</w:t>
            </w:r>
          </w:p>
        </w:tc>
        <w:tc>
          <w:tcPr>
            <w:tcW w:w="1437"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0CDABA97" w14:textId="77777777">
            <w:pPr>
              <w:jc w:val="center"/>
              <w:rPr>
                <w:rFonts w:ascii="Arial" w:hAnsi="Arial" w:cs="Arial"/>
                <w:color w:val="000000"/>
                <w:sz w:val="18"/>
                <w:szCs w:val="18"/>
              </w:rPr>
            </w:pPr>
            <w:r w:rsidRPr="0025330A">
              <w:rPr>
                <w:rFonts w:ascii="Arial" w:hAnsi="Arial" w:cs="Arial"/>
                <w:color w:val="000000"/>
                <w:sz w:val="18"/>
                <w:szCs w:val="18"/>
              </w:rPr>
              <w:t>47</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3E34E97B" w14:textId="77777777">
            <w:pPr>
              <w:jc w:val="center"/>
              <w:rPr>
                <w:rFonts w:ascii="Arial" w:hAnsi="Arial" w:cs="Arial"/>
                <w:color w:val="000000"/>
                <w:sz w:val="18"/>
                <w:szCs w:val="18"/>
              </w:rPr>
            </w:pPr>
            <w:r w:rsidRPr="0025330A">
              <w:rPr>
                <w:rFonts w:ascii="Arial" w:hAnsi="Arial" w:cs="Arial"/>
                <w:color w:val="000000"/>
                <w:sz w:val="18"/>
                <w:szCs w:val="18"/>
              </w:rPr>
              <w:t>2</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0EEDD71F" w14:textId="77777777">
            <w:pPr>
              <w:jc w:val="center"/>
              <w:rPr>
                <w:rFonts w:ascii="Arial" w:hAnsi="Arial" w:cs="Arial"/>
                <w:color w:val="000000"/>
                <w:sz w:val="18"/>
                <w:szCs w:val="18"/>
              </w:rPr>
            </w:pPr>
            <w:r w:rsidRPr="0025330A">
              <w:rPr>
                <w:rFonts w:ascii="Arial" w:hAnsi="Arial" w:cs="Arial"/>
                <w:color w:val="000000"/>
                <w:sz w:val="18"/>
                <w:szCs w:val="18"/>
              </w:rPr>
              <w:t>27</w:t>
            </w:r>
          </w:p>
        </w:tc>
        <w:tc>
          <w:tcPr>
            <w:tcW w:w="1268"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55628605" w14:textId="77777777">
            <w:pPr>
              <w:jc w:val="center"/>
              <w:rPr>
                <w:rFonts w:ascii="Arial" w:hAnsi="Arial" w:cs="Arial"/>
                <w:color w:val="000000"/>
                <w:sz w:val="18"/>
                <w:szCs w:val="18"/>
              </w:rPr>
            </w:pPr>
            <w:r w:rsidRPr="0025330A">
              <w:rPr>
                <w:rFonts w:ascii="Arial" w:hAnsi="Arial" w:cs="Arial"/>
                <w:color w:val="000000"/>
                <w:sz w:val="18"/>
                <w:szCs w:val="18"/>
              </w:rPr>
              <w:t>8</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3FBC4BC7" w14:textId="77777777">
            <w:pPr>
              <w:jc w:val="center"/>
              <w:rPr>
                <w:rFonts w:ascii="Arial" w:hAnsi="Arial" w:cs="Arial"/>
                <w:color w:val="000000"/>
                <w:sz w:val="18"/>
                <w:szCs w:val="18"/>
              </w:rPr>
            </w:pPr>
            <w:r w:rsidRPr="0025330A">
              <w:rPr>
                <w:rFonts w:ascii="Arial" w:hAnsi="Arial" w:cs="Arial"/>
                <w:color w:val="000000"/>
                <w:sz w:val="18"/>
                <w:szCs w:val="18"/>
              </w:rPr>
              <w:t>216</w:t>
            </w:r>
          </w:p>
        </w:tc>
        <w:tc>
          <w:tcPr>
            <w:tcW w:w="1395"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35B3E297" w14:textId="77777777">
            <w:pPr>
              <w:jc w:val="center"/>
              <w:rPr>
                <w:rFonts w:ascii="Arial" w:hAnsi="Arial" w:cs="Arial"/>
                <w:color w:val="000000"/>
                <w:sz w:val="18"/>
                <w:szCs w:val="18"/>
              </w:rPr>
            </w:pPr>
            <w:r w:rsidRPr="0025330A">
              <w:rPr>
                <w:rFonts w:ascii="Arial" w:hAnsi="Arial" w:cs="Arial"/>
                <w:color w:val="000000"/>
                <w:sz w:val="18"/>
                <w:szCs w:val="18"/>
              </w:rPr>
              <w:t xml:space="preserve">$10,368 </w:t>
            </w:r>
          </w:p>
        </w:tc>
      </w:tr>
      <w:tr w:rsidR="00F561A0" w:rsidTr="00F561A0" w14:paraId="36EFAFF9" w14:textId="77777777">
        <w:trPr>
          <w:trHeight w:val="763"/>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25330A" w:rsidR="0025330A" w:rsidRDefault="0025330A" w14:paraId="51B31D08" w14:textId="77777777">
            <w:pPr>
              <w:rPr>
                <w:rFonts w:ascii="Arial" w:hAnsi="Arial" w:cs="Arial"/>
                <w:color w:val="000000"/>
                <w:sz w:val="18"/>
                <w:szCs w:val="18"/>
              </w:rPr>
            </w:pPr>
            <w:r w:rsidRPr="0025330A">
              <w:rPr>
                <w:rFonts w:ascii="Arial" w:hAnsi="Arial" w:cs="Arial"/>
                <w:color w:val="000000"/>
                <w:sz w:val="18"/>
                <w:szCs w:val="18"/>
              </w:rPr>
              <w:t>Centers of Excellence Title VI Civil Rights Narrative</w:t>
            </w:r>
          </w:p>
        </w:tc>
        <w:tc>
          <w:tcPr>
            <w:tcW w:w="1437"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5F6DAC26" w14:textId="77777777">
            <w:pPr>
              <w:jc w:val="center"/>
              <w:rPr>
                <w:rFonts w:ascii="Arial" w:hAnsi="Arial" w:cs="Arial"/>
                <w:color w:val="000000"/>
                <w:sz w:val="18"/>
                <w:szCs w:val="18"/>
              </w:rPr>
            </w:pPr>
            <w:r w:rsidRPr="0025330A">
              <w:rPr>
                <w:rFonts w:ascii="Arial" w:hAnsi="Arial" w:cs="Arial"/>
                <w:color w:val="000000"/>
                <w:sz w:val="18"/>
                <w:szCs w:val="18"/>
              </w:rPr>
              <w:t>5</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0D720B65" w14:textId="77777777">
            <w:pPr>
              <w:jc w:val="center"/>
              <w:rPr>
                <w:rFonts w:ascii="Arial" w:hAnsi="Arial" w:cs="Arial"/>
                <w:color w:val="000000"/>
                <w:sz w:val="18"/>
                <w:szCs w:val="18"/>
              </w:rPr>
            </w:pPr>
            <w:r w:rsidRPr="0025330A">
              <w:rPr>
                <w:rFonts w:ascii="Arial" w:hAnsi="Arial" w:cs="Arial"/>
                <w:color w:val="000000"/>
                <w:sz w:val="18"/>
                <w:szCs w:val="18"/>
              </w:rPr>
              <w:t>1</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6B2BD025" w14:textId="77777777">
            <w:pPr>
              <w:jc w:val="center"/>
              <w:rPr>
                <w:rFonts w:ascii="Arial" w:hAnsi="Arial" w:cs="Arial"/>
                <w:color w:val="000000"/>
                <w:sz w:val="18"/>
                <w:szCs w:val="18"/>
              </w:rPr>
            </w:pPr>
            <w:r w:rsidRPr="0025330A">
              <w:rPr>
                <w:rFonts w:ascii="Arial" w:hAnsi="Arial" w:cs="Arial"/>
                <w:color w:val="000000"/>
                <w:sz w:val="18"/>
                <w:szCs w:val="18"/>
              </w:rPr>
              <w:t>3</w:t>
            </w:r>
          </w:p>
        </w:tc>
        <w:tc>
          <w:tcPr>
            <w:tcW w:w="1268"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0ADD0CF6" w14:textId="77777777">
            <w:pPr>
              <w:jc w:val="center"/>
              <w:rPr>
                <w:rFonts w:ascii="Arial" w:hAnsi="Arial" w:cs="Arial"/>
                <w:color w:val="000000"/>
                <w:sz w:val="18"/>
                <w:szCs w:val="18"/>
              </w:rPr>
            </w:pPr>
            <w:r w:rsidRPr="0025330A">
              <w:rPr>
                <w:rFonts w:ascii="Arial" w:hAnsi="Arial" w:cs="Arial"/>
                <w:color w:val="000000"/>
                <w:sz w:val="18"/>
                <w:szCs w:val="18"/>
              </w:rPr>
              <w:t>8</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5D46F409" w14:textId="77777777">
            <w:pPr>
              <w:jc w:val="center"/>
              <w:rPr>
                <w:rFonts w:ascii="Arial" w:hAnsi="Arial" w:cs="Arial"/>
                <w:color w:val="000000"/>
                <w:sz w:val="18"/>
                <w:szCs w:val="18"/>
              </w:rPr>
            </w:pPr>
            <w:r w:rsidRPr="0025330A">
              <w:rPr>
                <w:rFonts w:ascii="Arial" w:hAnsi="Arial" w:cs="Arial"/>
                <w:color w:val="000000"/>
                <w:sz w:val="18"/>
                <w:szCs w:val="18"/>
              </w:rPr>
              <w:t>24</w:t>
            </w:r>
          </w:p>
        </w:tc>
        <w:tc>
          <w:tcPr>
            <w:tcW w:w="1395"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060CDFBB" w14:textId="77777777">
            <w:pPr>
              <w:jc w:val="center"/>
              <w:rPr>
                <w:rFonts w:ascii="Arial" w:hAnsi="Arial" w:cs="Arial"/>
                <w:color w:val="000000"/>
                <w:sz w:val="18"/>
                <w:szCs w:val="18"/>
              </w:rPr>
            </w:pPr>
            <w:r w:rsidRPr="0025330A">
              <w:rPr>
                <w:rFonts w:ascii="Arial" w:hAnsi="Arial" w:cs="Arial"/>
                <w:color w:val="000000"/>
                <w:sz w:val="18"/>
                <w:szCs w:val="18"/>
              </w:rPr>
              <w:t xml:space="preserve">$1,152 </w:t>
            </w:r>
          </w:p>
        </w:tc>
      </w:tr>
      <w:tr w:rsidR="0025330A" w:rsidTr="00F561A0" w14:paraId="2D0CD805" w14:textId="77777777">
        <w:trPr>
          <w:trHeight w:val="403"/>
        </w:trPr>
        <w:tc>
          <w:tcPr>
            <w:tcW w:w="2080" w:type="dxa"/>
            <w:tcBorders>
              <w:top w:val="nil"/>
              <w:left w:val="single" w:color="auto" w:sz="8" w:space="0"/>
              <w:bottom w:val="single" w:color="auto" w:sz="8" w:space="0"/>
              <w:right w:val="single" w:color="auto" w:sz="8" w:space="0"/>
            </w:tcBorders>
            <w:shd w:val="clear" w:color="auto" w:fill="auto"/>
            <w:noWrap/>
            <w:vAlign w:val="center"/>
            <w:hideMark/>
          </w:tcPr>
          <w:p w:rsidRPr="0025330A" w:rsidR="0025330A" w:rsidP="00F561A0" w:rsidRDefault="0025330A" w14:paraId="243EAF49" w14:textId="724C3C17">
            <w:pPr>
              <w:rPr>
                <w:rFonts w:ascii="Arial" w:hAnsi="Arial" w:cs="Arial"/>
                <w:b/>
                <w:bCs/>
                <w:color w:val="000000"/>
                <w:sz w:val="18"/>
                <w:szCs w:val="18"/>
              </w:rPr>
            </w:pPr>
            <w:r>
              <w:rPr>
                <w:rFonts w:ascii="Arial" w:hAnsi="Arial" w:cs="Arial"/>
                <w:b/>
                <w:bCs/>
                <w:color w:val="000000"/>
                <w:sz w:val="18"/>
                <w:szCs w:val="18"/>
              </w:rPr>
              <w:t xml:space="preserve">  </w:t>
            </w:r>
            <w:r w:rsidRPr="0025330A">
              <w:rPr>
                <w:rFonts w:ascii="Arial" w:hAnsi="Arial" w:cs="Arial"/>
                <w:b/>
                <w:bCs/>
                <w:color w:val="000000"/>
                <w:sz w:val="18"/>
                <w:szCs w:val="18"/>
              </w:rPr>
              <w:t>Total Reporting</w:t>
            </w:r>
          </w:p>
        </w:tc>
        <w:tc>
          <w:tcPr>
            <w:tcW w:w="1437"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13D75678" w14:textId="77777777">
            <w:pPr>
              <w:jc w:val="center"/>
              <w:rPr>
                <w:rFonts w:ascii="Arial" w:hAnsi="Arial" w:cs="Arial"/>
                <w:color w:val="000000"/>
                <w:sz w:val="18"/>
                <w:szCs w:val="18"/>
              </w:rPr>
            </w:pPr>
            <w:r w:rsidRPr="0025330A">
              <w:rPr>
                <w:rFonts w:ascii="Arial" w:hAnsi="Arial" w:cs="Arial"/>
                <w:color w:val="000000"/>
                <w:sz w:val="18"/>
                <w:szCs w:val="18"/>
              </w:rPr>
              <w:t>52</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471CEFFE" w14:textId="77777777">
            <w:pPr>
              <w:jc w:val="center"/>
              <w:rPr>
                <w:rFonts w:ascii="Arial" w:hAnsi="Arial" w:cs="Arial"/>
                <w:color w:val="000000"/>
                <w:sz w:val="18"/>
                <w:szCs w:val="18"/>
              </w:rPr>
            </w:pPr>
            <w:r w:rsidRPr="0025330A">
              <w:rPr>
                <w:rFonts w:ascii="Arial" w:hAnsi="Arial" w:cs="Arial"/>
                <w:color w:val="000000"/>
                <w:sz w:val="18"/>
                <w:szCs w:val="18"/>
              </w:rPr>
              <w:t>6</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3C2FB82B" w14:textId="77777777">
            <w:pPr>
              <w:jc w:val="center"/>
              <w:rPr>
                <w:rFonts w:ascii="Arial" w:hAnsi="Arial" w:cs="Arial"/>
                <w:color w:val="000000"/>
                <w:sz w:val="18"/>
                <w:szCs w:val="18"/>
              </w:rPr>
            </w:pPr>
            <w:r w:rsidRPr="0025330A">
              <w:rPr>
                <w:rFonts w:ascii="Arial" w:hAnsi="Arial" w:cs="Arial"/>
                <w:color w:val="000000"/>
                <w:sz w:val="18"/>
                <w:szCs w:val="18"/>
              </w:rPr>
              <w:t>331</w:t>
            </w:r>
          </w:p>
        </w:tc>
        <w:tc>
          <w:tcPr>
            <w:tcW w:w="1268"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0DB91BBF" w14:textId="77777777">
            <w:pPr>
              <w:jc w:val="center"/>
              <w:rPr>
                <w:rFonts w:ascii="Arial" w:hAnsi="Arial" w:cs="Arial"/>
                <w:color w:val="000000"/>
                <w:sz w:val="18"/>
                <w:szCs w:val="18"/>
              </w:rPr>
            </w:pPr>
            <w:r w:rsidRPr="0025330A">
              <w:rPr>
                <w:rFonts w:ascii="Arial" w:hAnsi="Arial" w:cs="Arial"/>
                <w:color w:val="000000"/>
                <w:sz w:val="18"/>
                <w:szCs w:val="18"/>
              </w:rPr>
              <w:t>2.677</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116A24DD" w14:textId="77777777">
            <w:pPr>
              <w:jc w:val="center"/>
              <w:rPr>
                <w:rFonts w:ascii="Arial" w:hAnsi="Arial" w:cs="Arial"/>
                <w:color w:val="000000"/>
                <w:sz w:val="18"/>
                <w:szCs w:val="18"/>
              </w:rPr>
            </w:pPr>
            <w:r w:rsidRPr="0025330A">
              <w:rPr>
                <w:rFonts w:ascii="Arial" w:hAnsi="Arial" w:cs="Arial"/>
                <w:color w:val="000000"/>
                <w:sz w:val="18"/>
                <w:szCs w:val="18"/>
              </w:rPr>
              <w:t>886</w:t>
            </w:r>
          </w:p>
        </w:tc>
        <w:tc>
          <w:tcPr>
            <w:tcW w:w="1395"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3014E7C9" w14:textId="77777777">
            <w:pPr>
              <w:jc w:val="center"/>
              <w:rPr>
                <w:rFonts w:ascii="Arial" w:hAnsi="Arial" w:cs="Arial"/>
                <w:color w:val="000000"/>
                <w:sz w:val="18"/>
                <w:szCs w:val="18"/>
              </w:rPr>
            </w:pPr>
            <w:r w:rsidRPr="0025330A">
              <w:rPr>
                <w:rFonts w:ascii="Arial" w:hAnsi="Arial" w:cs="Arial"/>
                <w:color w:val="000000"/>
                <w:sz w:val="18"/>
                <w:szCs w:val="18"/>
              </w:rPr>
              <w:t xml:space="preserve">$42,528 </w:t>
            </w:r>
          </w:p>
        </w:tc>
      </w:tr>
      <w:tr w:rsidR="0025330A" w:rsidTr="0025330A" w14:paraId="02CF8C78" w14:textId="77777777">
        <w:trPr>
          <w:trHeight w:val="120"/>
        </w:trPr>
        <w:tc>
          <w:tcPr>
            <w:tcW w:w="2080" w:type="dxa"/>
            <w:tcBorders>
              <w:top w:val="nil"/>
              <w:left w:val="nil"/>
              <w:bottom w:val="nil"/>
              <w:right w:val="nil"/>
            </w:tcBorders>
            <w:shd w:val="clear" w:color="auto" w:fill="auto"/>
            <w:noWrap/>
            <w:vAlign w:val="bottom"/>
            <w:hideMark/>
          </w:tcPr>
          <w:p w:rsidRPr="0025330A" w:rsidR="0025330A" w:rsidRDefault="0025330A" w14:paraId="60C81507" w14:textId="77777777">
            <w:pPr>
              <w:jc w:val="center"/>
              <w:rPr>
                <w:rFonts w:ascii="Arial" w:hAnsi="Arial" w:cs="Arial"/>
                <w:color w:val="000000"/>
                <w:sz w:val="18"/>
                <w:szCs w:val="18"/>
              </w:rPr>
            </w:pPr>
          </w:p>
        </w:tc>
        <w:tc>
          <w:tcPr>
            <w:tcW w:w="1437" w:type="dxa"/>
            <w:tcBorders>
              <w:top w:val="nil"/>
              <w:left w:val="nil"/>
              <w:bottom w:val="nil"/>
              <w:right w:val="nil"/>
            </w:tcBorders>
            <w:shd w:val="clear" w:color="auto" w:fill="auto"/>
            <w:noWrap/>
            <w:vAlign w:val="bottom"/>
            <w:hideMark/>
          </w:tcPr>
          <w:p w:rsidRPr="0025330A" w:rsidR="0025330A" w:rsidRDefault="0025330A" w14:paraId="76DB85E1" w14:textId="77777777">
            <w:pPr>
              <w:rPr>
                <w:rFonts w:ascii="Arial" w:hAnsi="Arial" w:cs="Arial"/>
                <w:sz w:val="18"/>
                <w:szCs w:val="18"/>
              </w:rPr>
            </w:pPr>
          </w:p>
        </w:tc>
        <w:tc>
          <w:tcPr>
            <w:tcW w:w="1240" w:type="dxa"/>
            <w:tcBorders>
              <w:top w:val="nil"/>
              <w:left w:val="nil"/>
              <w:bottom w:val="nil"/>
              <w:right w:val="nil"/>
            </w:tcBorders>
            <w:shd w:val="clear" w:color="auto" w:fill="auto"/>
            <w:noWrap/>
            <w:vAlign w:val="bottom"/>
            <w:hideMark/>
          </w:tcPr>
          <w:p w:rsidRPr="0025330A" w:rsidR="0025330A" w:rsidRDefault="0025330A" w14:paraId="5EAC0EDC" w14:textId="77777777">
            <w:pPr>
              <w:rPr>
                <w:rFonts w:ascii="Arial" w:hAnsi="Arial" w:cs="Arial"/>
                <w:sz w:val="18"/>
                <w:szCs w:val="18"/>
              </w:rPr>
            </w:pPr>
          </w:p>
        </w:tc>
        <w:tc>
          <w:tcPr>
            <w:tcW w:w="1240" w:type="dxa"/>
            <w:tcBorders>
              <w:top w:val="nil"/>
              <w:left w:val="nil"/>
              <w:bottom w:val="nil"/>
              <w:right w:val="nil"/>
            </w:tcBorders>
            <w:shd w:val="clear" w:color="auto" w:fill="auto"/>
            <w:noWrap/>
            <w:vAlign w:val="bottom"/>
            <w:hideMark/>
          </w:tcPr>
          <w:p w:rsidRPr="0025330A" w:rsidR="0025330A" w:rsidRDefault="0025330A" w14:paraId="09C2ED29" w14:textId="77777777">
            <w:pPr>
              <w:rPr>
                <w:rFonts w:ascii="Arial" w:hAnsi="Arial" w:cs="Arial"/>
                <w:sz w:val="18"/>
                <w:szCs w:val="18"/>
              </w:rPr>
            </w:pPr>
          </w:p>
        </w:tc>
        <w:tc>
          <w:tcPr>
            <w:tcW w:w="1268" w:type="dxa"/>
            <w:tcBorders>
              <w:top w:val="nil"/>
              <w:left w:val="nil"/>
              <w:bottom w:val="nil"/>
              <w:right w:val="nil"/>
            </w:tcBorders>
            <w:shd w:val="clear" w:color="auto" w:fill="auto"/>
            <w:noWrap/>
            <w:vAlign w:val="bottom"/>
            <w:hideMark/>
          </w:tcPr>
          <w:p w:rsidRPr="0025330A" w:rsidR="0025330A" w:rsidRDefault="0025330A" w14:paraId="1610EC34" w14:textId="77777777">
            <w:pPr>
              <w:rPr>
                <w:rFonts w:ascii="Arial" w:hAnsi="Arial" w:cs="Arial"/>
                <w:sz w:val="18"/>
                <w:szCs w:val="18"/>
              </w:rPr>
            </w:pPr>
          </w:p>
        </w:tc>
        <w:tc>
          <w:tcPr>
            <w:tcW w:w="1240" w:type="dxa"/>
            <w:tcBorders>
              <w:top w:val="nil"/>
              <w:left w:val="nil"/>
              <w:bottom w:val="nil"/>
              <w:right w:val="nil"/>
            </w:tcBorders>
            <w:shd w:val="clear" w:color="auto" w:fill="auto"/>
            <w:noWrap/>
            <w:vAlign w:val="bottom"/>
            <w:hideMark/>
          </w:tcPr>
          <w:p w:rsidRPr="0025330A" w:rsidR="0025330A" w:rsidRDefault="0025330A" w14:paraId="2242441C" w14:textId="77777777">
            <w:pPr>
              <w:rPr>
                <w:rFonts w:ascii="Arial" w:hAnsi="Arial" w:cs="Arial"/>
                <w:sz w:val="18"/>
                <w:szCs w:val="18"/>
              </w:rPr>
            </w:pPr>
          </w:p>
        </w:tc>
        <w:tc>
          <w:tcPr>
            <w:tcW w:w="1395" w:type="dxa"/>
            <w:tcBorders>
              <w:top w:val="nil"/>
              <w:left w:val="nil"/>
              <w:bottom w:val="nil"/>
              <w:right w:val="nil"/>
            </w:tcBorders>
            <w:shd w:val="clear" w:color="auto" w:fill="auto"/>
            <w:noWrap/>
            <w:vAlign w:val="bottom"/>
            <w:hideMark/>
          </w:tcPr>
          <w:p w:rsidRPr="0025330A" w:rsidR="0025330A" w:rsidRDefault="0025330A" w14:paraId="633BA902" w14:textId="77777777">
            <w:pPr>
              <w:rPr>
                <w:rFonts w:ascii="Arial" w:hAnsi="Arial" w:cs="Arial"/>
                <w:sz w:val="18"/>
                <w:szCs w:val="18"/>
              </w:rPr>
            </w:pPr>
          </w:p>
        </w:tc>
      </w:tr>
      <w:tr w:rsidR="0025330A" w:rsidTr="0025330A" w14:paraId="5BB9E477" w14:textId="77777777">
        <w:trPr>
          <w:trHeight w:val="135"/>
        </w:trPr>
        <w:tc>
          <w:tcPr>
            <w:tcW w:w="2080" w:type="dxa"/>
            <w:tcBorders>
              <w:top w:val="nil"/>
              <w:left w:val="nil"/>
              <w:bottom w:val="nil"/>
              <w:right w:val="nil"/>
            </w:tcBorders>
            <w:shd w:val="clear" w:color="auto" w:fill="auto"/>
            <w:noWrap/>
            <w:vAlign w:val="bottom"/>
            <w:hideMark/>
          </w:tcPr>
          <w:p w:rsidRPr="0025330A" w:rsidR="0025330A" w:rsidRDefault="0025330A" w14:paraId="6F4C89CB" w14:textId="77777777">
            <w:pPr>
              <w:rPr>
                <w:rFonts w:ascii="Arial" w:hAnsi="Arial" w:cs="Arial"/>
                <w:sz w:val="18"/>
                <w:szCs w:val="18"/>
              </w:rPr>
            </w:pPr>
          </w:p>
        </w:tc>
        <w:tc>
          <w:tcPr>
            <w:tcW w:w="1437" w:type="dxa"/>
            <w:tcBorders>
              <w:top w:val="nil"/>
              <w:left w:val="nil"/>
              <w:bottom w:val="nil"/>
              <w:right w:val="nil"/>
            </w:tcBorders>
            <w:shd w:val="clear" w:color="auto" w:fill="auto"/>
            <w:noWrap/>
            <w:vAlign w:val="bottom"/>
            <w:hideMark/>
          </w:tcPr>
          <w:p w:rsidRPr="0025330A" w:rsidR="0025330A" w:rsidRDefault="0025330A" w14:paraId="664F2569" w14:textId="77777777">
            <w:pPr>
              <w:rPr>
                <w:rFonts w:ascii="Arial" w:hAnsi="Arial" w:cs="Arial"/>
                <w:sz w:val="18"/>
                <w:szCs w:val="18"/>
              </w:rPr>
            </w:pPr>
          </w:p>
        </w:tc>
        <w:tc>
          <w:tcPr>
            <w:tcW w:w="1240" w:type="dxa"/>
            <w:tcBorders>
              <w:top w:val="nil"/>
              <w:left w:val="nil"/>
              <w:bottom w:val="nil"/>
              <w:right w:val="nil"/>
            </w:tcBorders>
            <w:shd w:val="clear" w:color="auto" w:fill="auto"/>
            <w:noWrap/>
            <w:vAlign w:val="bottom"/>
            <w:hideMark/>
          </w:tcPr>
          <w:p w:rsidRPr="0025330A" w:rsidR="0025330A" w:rsidRDefault="0025330A" w14:paraId="055B16DF" w14:textId="77777777">
            <w:pPr>
              <w:rPr>
                <w:rFonts w:ascii="Arial" w:hAnsi="Arial" w:cs="Arial"/>
                <w:sz w:val="18"/>
                <w:szCs w:val="18"/>
              </w:rPr>
            </w:pPr>
          </w:p>
        </w:tc>
        <w:tc>
          <w:tcPr>
            <w:tcW w:w="1240" w:type="dxa"/>
            <w:tcBorders>
              <w:top w:val="nil"/>
              <w:left w:val="nil"/>
              <w:bottom w:val="nil"/>
              <w:right w:val="nil"/>
            </w:tcBorders>
            <w:shd w:val="clear" w:color="auto" w:fill="auto"/>
            <w:noWrap/>
            <w:vAlign w:val="bottom"/>
            <w:hideMark/>
          </w:tcPr>
          <w:p w:rsidRPr="0025330A" w:rsidR="0025330A" w:rsidRDefault="0025330A" w14:paraId="128927CE" w14:textId="77777777">
            <w:pPr>
              <w:rPr>
                <w:rFonts w:ascii="Arial" w:hAnsi="Arial" w:cs="Arial"/>
                <w:sz w:val="18"/>
                <w:szCs w:val="18"/>
              </w:rPr>
            </w:pPr>
          </w:p>
        </w:tc>
        <w:tc>
          <w:tcPr>
            <w:tcW w:w="1268" w:type="dxa"/>
            <w:tcBorders>
              <w:top w:val="nil"/>
              <w:left w:val="nil"/>
              <w:bottom w:val="nil"/>
              <w:right w:val="nil"/>
            </w:tcBorders>
            <w:shd w:val="clear" w:color="auto" w:fill="auto"/>
            <w:noWrap/>
            <w:vAlign w:val="bottom"/>
            <w:hideMark/>
          </w:tcPr>
          <w:p w:rsidRPr="0025330A" w:rsidR="0025330A" w:rsidRDefault="0025330A" w14:paraId="32C8C58E" w14:textId="77777777">
            <w:pPr>
              <w:rPr>
                <w:rFonts w:ascii="Arial" w:hAnsi="Arial" w:cs="Arial"/>
                <w:sz w:val="18"/>
                <w:szCs w:val="18"/>
              </w:rPr>
            </w:pPr>
          </w:p>
        </w:tc>
        <w:tc>
          <w:tcPr>
            <w:tcW w:w="1240" w:type="dxa"/>
            <w:tcBorders>
              <w:top w:val="nil"/>
              <w:left w:val="nil"/>
              <w:bottom w:val="nil"/>
              <w:right w:val="nil"/>
            </w:tcBorders>
            <w:shd w:val="clear" w:color="auto" w:fill="auto"/>
            <w:noWrap/>
            <w:vAlign w:val="bottom"/>
            <w:hideMark/>
          </w:tcPr>
          <w:p w:rsidRPr="0025330A" w:rsidR="0025330A" w:rsidRDefault="0025330A" w14:paraId="5B4FA982" w14:textId="77777777">
            <w:pPr>
              <w:rPr>
                <w:rFonts w:ascii="Arial" w:hAnsi="Arial" w:cs="Arial"/>
                <w:sz w:val="18"/>
                <w:szCs w:val="18"/>
              </w:rPr>
            </w:pPr>
          </w:p>
        </w:tc>
        <w:tc>
          <w:tcPr>
            <w:tcW w:w="1395" w:type="dxa"/>
            <w:tcBorders>
              <w:top w:val="nil"/>
              <w:left w:val="nil"/>
              <w:bottom w:val="nil"/>
              <w:right w:val="nil"/>
            </w:tcBorders>
            <w:shd w:val="clear" w:color="auto" w:fill="auto"/>
            <w:noWrap/>
            <w:vAlign w:val="bottom"/>
            <w:hideMark/>
          </w:tcPr>
          <w:p w:rsidRPr="0025330A" w:rsidR="0025330A" w:rsidRDefault="0025330A" w14:paraId="1A26C0A9" w14:textId="77777777">
            <w:pPr>
              <w:rPr>
                <w:rFonts w:ascii="Arial" w:hAnsi="Arial" w:cs="Arial"/>
                <w:sz w:val="18"/>
                <w:szCs w:val="18"/>
              </w:rPr>
            </w:pPr>
          </w:p>
        </w:tc>
      </w:tr>
      <w:tr w:rsidRPr="0025330A" w:rsidR="0025330A" w:rsidTr="0025330A" w14:paraId="198A90D1" w14:textId="77777777">
        <w:trPr>
          <w:trHeight w:val="700"/>
        </w:trPr>
        <w:tc>
          <w:tcPr>
            <w:tcW w:w="20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F561A0" w:rsidR="0025330A" w:rsidRDefault="0025330A" w14:paraId="057E979B" w14:textId="77777777">
            <w:pPr>
              <w:rPr>
                <w:rFonts w:ascii="Arial Narrow" w:hAnsi="Arial Narrow" w:cs="Arial"/>
                <w:b/>
                <w:bCs/>
                <w:color w:val="000000"/>
                <w:sz w:val="18"/>
                <w:szCs w:val="18"/>
              </w:rPr>
            </w:pPr>
            <w:r w:rsidRPr="00F561A0">
              <w:rPr>
                <w:rFonts w:ascii="Arial Narrow" w:hAnsi="Arial Narrow" w:cs="Arial"/>
                <w:b/>
                <w:bCs/>
                <w:color w:val="000000"/>
                <w:sz w:val="18"/>
                <w:szCs w:val="18"/>
              </w:rPr>
              <w:t xml:space="preserve">Recordkeeping </w:t>
            </w:r>
          </w:p>
        </w:tc>
        <w:tc>
          <w:tcPr>
            <w:tcW w:w="1437" w:type="dxa"/>
            <w:tcBorders>
              <w:top w:val="single" w:color="auto" w:sz="8" w:space="0"/>
              <w:left w:val="nil"/>
              <w:bottom w:val="single" w:color="auto" w:sz="8" w:space="0"/>
              <w:right w:val="single" w:color="auto" w:sz="8" w:space="0"/>
            </w:tcBorders>
            <w:shd w:val="clear" w:color="auto" w:fill="auto"/>
            <w:vAlign w:val="center"/>
            <w:hideMark/>
          </w:tcPr>
          <w:p w:rsidRPr="00F561A0" w:rsidR="0025330A" w:rsidRDefault="0025330A" w14:paraId="648AB7C6" w14:textId="77777777">
            <w:pPr>
              <w:jc w:val="center"/>
              <w:rPr>
                <w:rFonts w:ascii="Arial Narrow" w:hAnsi="Arial Narrow" w:cs="Arial"/>
                <w:b/>
                <w:color w:val="000000"/>
                <w:sz w:val="18"/>
                <w:szCs w:val="18"/>
              </w:rPr>
            </w:pPr>
            <w:r w:rsidRPr="00F561A0">
              <w:rPr>
                <w:rFonts w:ascii="Arial Narrow" w:hAnsi="Arial Narrow" w:cs="Arial"/>
                <w:b/>
                <w:color w:val="000000"/>
                <w:sz w:val="18"/>
                <w:szCs w:val="18"/>
              </w:rPr>
              <w:t xml:space="preserve"># </w:t>
            </w:r>
            <w:proofErr w:type="spellStart"/>
            <w:r w:rsidRPr="00F561A0">
              <w:rPr>
                <w:rFonts w:ascii="Arial Narrow" w:hAnsi="Arial Narrow" w:cs="Arial"/>
                <w:b/>
                <w:color w:val="000000"/>
                <w:sz w:val="18"/>
                <w:szCs w:val="18"/>
              </w:rPr>
              <w:t>Recordkeepers</w:t>
            </w:r>
            <w:proofErr w:type="spellEnd"/>
          </w:p>
        </w:tc>
        <w:tc>
          <w:tcPr>
            <w:tcW w:w="1240" w:type="dxa"/>
            <w:tcBorders>
              <w:top w:val="single" w:color="auto" w:sz="8" w:space="0"/>
              <w:left w:val="nil"/>
              <w:bottom w:val="single" w:color="auto" w:sz="8" w:space="0"/>
              <w:right w:val="single" w:color="auto" w:sz="8" w:space="0"/>
            </w:tcBorders>
            <w:shd w:val="clear" w:color="auto" w:fill="auto"/>
            <w:vAlign w:val="center"/>
            <w:hideMark/>
          </w:tcPr>
          <w:p w:rsidRPr="00F561A0" w:rsidR="0025330A" w:rsidRDefault="0025330A" w14:paraId="38B9160D" w14:textId="77777777">
            <w:pPr>
              <w:jc w:val="center"/>
              <w:rPr>
                <w:rFonts w:ascii="Arial Narrow" w:hAnsi="Arial Narrow" w:cs="Arial"/>
                <w:b/>
                <w:color w:val="000000"/>
                <w:sz w:val="18"/>
                <w:szCs w:val="18"/>
              </w:rPr>
            </w:pPr>
            <w:r w:rsidRPr="00F561A0">
              <w:rPr>
                <w:rFonts w:ascii="Arial Narrow" w:hAnsi="Arial Narrow" w:cs="Arial"/>
                <w:b/>
                <w:color w:val="000000"/>
                <w:sz w:val="18"/>
                <w:szCs w:val="18"/>
              </w:rPr>
              <w:t> </w:t>
            </w:r>
          </w:p>
        </w:tc>
        <w:tc>
          <w:tcPr>
            <w:tcW w:w="1240" w:type="dxa"/>
            <w:tcBorders>
              <w:top w:val="single" w:color="auto" w:sz="8" w:space="0"/>
              <w:left w:val="nil"/>
              <w:bottom w:val="single" w:color="auto" w:sz="8" w:space="0"/>
              <w:right w:val="single" w:color="auto" w:sz="8" w:space="0"/>
            </w:tcBorders>
            <w:shd w:val="clear" w:color="auto" w:fill="auto"/>
            <w:vAlign w:val="center"/>
            <w:hideMark/>
          </w:tcPr>
          <w:p w:rsidRPr="00F561A0" w:rsidR="0025330A" w:rsidRDefault="0025330A" w14:paraId="2F8FB283" w14:textId="77777777">
            <w:pPr>
              <w:jc w:val="center"/>
              <w:rPr>
                <w:rFonts w:ascii="Arial Narrow" w:hAnsi="Arial Narrow" w:cs="Arial"/>
                <w:b/>
                <w:color w:val="000000"/>
                <w:sz w:val="18"/>
                <w:szCs w:val="18"/>
              </w:rPr>
            </w:pPr>
            <w:r w:rsidRPr="00F561A0">
              <w:rPr>
                <w:rFonts w:ascii="Arial Narrow" w:hAnsi="Arial Narrow" w:cs="Arial"/>
                <w:b/>
                <w:color w:val="000000"/>
                <w:sz w:val="18"/>
                <w:szCs w:val="18"/>
              </w:rPr>
              <w:t> </w:t>
            </w:r>
          </w:p>
        </w:tc>
        <w:tc>
          <w:tcPr>
            <w:tcW w:w="1268" w:type="dxa"/>
            <w:tcBorders>
              <w:top w:val="single" w:color="auto" w:sz="8" w:space="0"/>
              <w:left w:val="nil"/>
              <w:bottom w:val="single" w:color="auto" w:sz="8" w:space="0"/>
              <w:right w:val="single" w:color="auto" w:sz="8" w:space="0"/>
            </w:tcBorders>
            <w:shd w:val="clear" w:color="auto" w:fill="auto"/>
            <w:vAlign w:val="center"/>
            <w:hideMark/>
          </w:tcPr>
          <w:p w:rsidRPr="00F561A0" w:rsidR="0025330A" w:rsidRDefault="0025330A" w14:paraId="36C01180" w14:textId="77777777">
            <w:pPr>
              <w:jc w:val="center"/>
              <w:rPr>
                <w:rFonts w:ascii="Arial Narrow" w:hAnsi="Arial Narrow" w:cs="Arial"/>
                <w:b/>
                <w:color w:val="000000"/>
                <w:sz w:val="18"/>
                <w:szCs w:val="18"/>
              </w:rPr>
            </w:pPr>
            <w:r w:rsidRPr="00F561A0">
              <w:rPr>
                <w:rFonts w:ascii="Arial Narrow" w:hAnsi="Arial Narrow" w:cs="Arial"/>
                <w:b/>
                <w:color w:val="000000"/>
                <w:sz w:val="18"/>
                <w:szCs w:val="18"/>
              </w:rPr>
              <w:t> </w:t>
            </w:r>
          </w:p>
        </w:tc>
        <w:tc>
          <w:tcPr>
            <w:tcW w:w="1240" w:type="dxa"/>
            <w:tcBorders>
              <w:top w:val="single" w:color="auto" w:sz="8" w:space="0"/>
              <w:left w:val="nil"/>
              <w:bottom w:val="single" w:color="auto" w:sz="8" w:space="0"/>
              <w:right w:val="single" w:color="auto" w:sz="8" w:space="0"/>
            </w:tcBorders>
            <w:shd w:val="clear" w:color="auto" w:fill="auto"/>
            <w:vAlign w:val="center"/>
            <w:hideMark/>
          </w:tcPr>
          <w:p w:rsidRPr="00F561A0" w:rsidR="0025330A" w:rsidRDefault="0025330A" w14:paraId="016C210A" w14:textId="77777777">
            <w:pPr>
              <w:jc w:val="center"/>
              <w:rPr>
                <w:rFonts w:ascii="Arial Narrow" w:hAnsi="Arial Narrow" w:cs="Arial"/>
                <w:b/>
                <w:color w:val="000000"/>
                <w:sz w:val="18"/>
                <w:szCs w:val="18"/>
              </w:rPr>
            </w:pPr>
            <w:r w:rsidRPr="00F561A0">
              <w:rPr>
                <w:rFonts w:ascii="Arial Narrow" w:hAnsi="Arial Narrow" w:cs="Arial"/>
                <w:b/>
                <w:color w:val="000000"/>
                <w:sz w:val="18"/>
                <w:szCs w:val="18"/>
              </w:rPr>
              <w:t>Total Burden</w:t>
            </w:r>
          </w:p>
        </w:tc>
        <w:tc>
          <w:tcPr>
            <w:tcW w:w="1395" w:type="dxa"/>
            <w:tcBorders>
              <w:top w:val="single" w:color="auto" w:sz="8" w:space="0"/>
              <w:left w:val="nil"/>
              <w:bottom w:val="single" w:color="auto" w:sz="8" w:space="0"/>
              <w:right w:val="single" w:color="auto" w:sz="8" w:space="0"/>
            </w:tcBorders>
            <w:shd w:val="clear" w:color="auto" w:fill="auto"/>
            <w:vAlign w:val="center"/>
            <w:hideMark/>
          </w:tcPr>
          <w:p w:rsidRPr="00F561A0" w:rsidR="0025330A" w:rsidRDefault="0025330A" w14:paraId="2C3C1F53" w14:textId="77777777">
            <w:pPr>
              <w:jc w:val="center"/>
              <w:rPr>
                <w:rFonts w:ascii="Arial Narrow" w:hAnsi="Arial Narrow" w:cs="Arial"/>
                <w:b/>
                <w:color w:val="000000"/>
                <w:sz w:val="18"/>
                <w:szCs w:val="18"/>
              </w:rPr>
            </w:pPr>
            <w:r w:rsidRPr="00F561A0">
              <w:rPr>
                <w:rFonts w:ascii="Arial Narrow" w:hAnsi="Arial Narrow" w:cs="Arial"/>
                <w:b/>
                <w:color w:val="000000"/>
                <w:sz w:val="18"/>
                <w:szCs w:val="18"/>
              </w:rPr>
              <w:t xml:space="preserve">Cost to Respondent </w:t>
            </w:r>
            <w:r w:rsidRPr="00F561A0">
              <w:rPr>
                <w:rFonts w:ascii="Arial Narrow" w:hAnsi="Arial Narrow" w:cs="Arial"/>
                <w:b/>
                <w:sz w:val="18"/>
                <w:szCs w:val="18"/>
              </w:rPr>
              <w:t xml:space="preserve">(@ $48 per </w:t>
            </w:r>
            <w:r w:rsidRPr="00F561A0">
              <w:rPr>
                <w:rFonts w:ascii="Arial Narrow" w:hAnsi="Arial Narrow" w:cs="Arial"/>
                <w:b/>
                <w:color w:val="000000"/>
                <w:sz w:val="18"/>
                <w:szCs w:val="18"/>
              </w:rPr>
              <w:t>hrs.)</w:t>
            </w:r>
          </w:p>
        </w:tc>
      </w:tr>
      <w:tr w:rsidRPr="0025330A" w:rsidR="0025330A" w:rsidTr="0025330A" w14:paraId="6C0CD901" w14:textId="77777777">
        <w:trPr>
          <w:trHeight w:val="525"/>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25330A" w:rsidR="0025330A" w:rsidRDefault="0025330A" w14:paraId="73E262D9" w14:textId="77777777">
            <w:pPr>
              <w:rPr>
                <w:rFonts w:ascii="Arial" w:hAnsi="Arial" w:cs="Arial"/>
                <w:color w:val="000000"/>
                <w:sz w:val="18"/>
                <w:szCs w:val="18"/>
              </w:rPr>
            </w:pPr>
            <w:r w:rsidRPr="0025330A">
              <w:rPr>
                <w:rFonts w:ascii="Arial" w:hAnsi="Arial" w:cs="Arial"/>
                <w:color w:val="000000"/>
                <w:sz w:val="18"/>
                <w:szCs w:val="18"/>
              </w:rPr>
              <w:t>Application</w:t>
            </w:r>
            <w:r w:rsidRPr="0025330A">
              <w:rPr>
                <w:rFonts w:ascii="Arial" w:hAnsi="Arial" w:cs="Arial"/>
                <w:sz w:val="18"/>
                <w:szCs w:val="18"/>
              </w:rPr>
              <w:t>s</w:t>
            </w:r>
            <w:r w:rsidRPr="0025330A">
              <w:rPr>
                <w:rFonts w:ascii="Arial" w:hAnsi="Arial" w:cs="Arial"/>
                <w:color w:val="000000"/>
                <w:sz w:val="18"/>
                <w:szCs w:val="18"/>
              </w:rPr>
              <w:t xml:space="preserve"> - Direct Component</w:t>
            </w:r>
          </w:p>
        </w:tc>
        <w:tc>
          <w:tcPr>
            <w:tcW w:w="1437" w:type="dxa"/>
            <w:tcBorders>
              <w:top w:val="nil"/>
              <w:left w:val="nil"/>
              <w:bottom w:val="single" w:color="auto" w:sz="8" w:space="0"/>
              <w:right w:val="single" w:color="auto" w:sz="8" w:space="0"/>
            </w:tcBorders>
            <w:shd w:val="clear" w:color="auto" w:fill="auto"/>
            <w:vAlign w:val="center"/>
            <w:hideMark/>
          </w:tcPr>
          <w:p w:rsidRPr="0025330A" w:rsidR="0025330A" w:rsidRDefault="0025330A" w14:paraId="4EF71AE0" w14:textId="77777777">
            <w:pPr>
              <w:jc w:val="center"/>
              <w:rPr>
                <w:rFonts w:ascii="Arial" w:hAnsi="Arial" w:cs="Arial"/>
                <w:color w:val="000000"/>
                <w:sz w:val="18"/>
                <w:szCs w:val="18"/>
              </w:rPr>
            </w:pPr>
            <w:r w:rsidRPr="0025330A">
              <w:rPr>
                <w:rFonts w:ascii="Arial" w:hAnsi="Arial" w:cs="Arial"/>
                <w:color w:val="000000"/>
                <w:sz w:val="18"/>
                <w:szCs w:val="18"/>
              </w:rPr>
              <w:t>47</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78CEE527" w14:textId="77777777">
            <w:pPr>
              <w:jc w:val="center"/>
              <w:rPr>
                <w:rFonts w:ascii="Arial" w:hAnsi="Arial" w:cs="Arial"/>
                <w:color w:val="000000"/>
                <w:sz w:val="18"/>
                <w:szCs w:val="18"/>
              </w:rPr>
            </w:pPr>
            <w:r w:rsidRPr="0025330A">
              <w:rPr>
                <w:rFonts w:ascii="Arial" w:hAnsi="Arial" w:cs="Arial"/>
                <w:color w:val="000000"/>
                <w:sz w:val="18"/>
                <w:szCs w:val="18"/>
              </w:rPr>
              <w:t> </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343A0AF2" w14:textId="77777777">
            <w:pPr>
              <w:jc w:val="center"/>
              <w:rPr>
                <w:rFonts w:ascii="Arial" w:hAnsi="Arial" w:cs="Arial"/>
                <w:color w:val="000000"/>
                <w:sz w:val="18"/>
                <w:szCs w:val="18"/>
              </w:rPr>
            </w:pPr>
            <w:r w:rsidRPr="0025330A">
              <w:rPr>
                <w:rFonts w:ascii="Arial" w:hAnsi="Arial" w:cs="Arial"/>
                <w:color w:val="000000"/>
                <w:sz w:val="18"/>
                <w:szCs w:val="18"/>
              </w:rPr>
              <w:t> </w:t>
            </w:r>
          </w:p>
        </w:tc>
        <w:tc>
          <w:tcPr>
            <w:tcW w:w="1268"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31C2B078" w14:textId="77777777">
            <w:pPr>
              <w:jc w:val="center"/>
              <w:rPr>
                <w:rFonts w:ascii="Arial" w:hAnsi="Arial" w:cs="Arial"/>
                <w:color w:val="000000"/>
                <w:sz w:val="18"/>
                <w:szCs w:val="18"/>
              </w:rPr>
            </w:pPr>
            <w:r w:rsidRPr="0025330A">
              <w:rPr>
                <w:rFonts w:ascii="Arial" w:hAnsi="Arial" w:cs="Arial"/>
                <w:color w:val="000000"/>
                <w:sz w:val="18"/>
                <w:szCs w:val="18"/>
              </w:rPr>
              <w:t> </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14F8BB2C" w14:textId="77777777">
            <w:pPr>
              <w:jc w:val="center"/>
              <w:rPr>
                <w:rFonts w:ascii="Arial" w:hAnsi="Arial" w:cs="Arial"/>
                <w:color w:val="000000"/>
                <w:sz w:val="18"/>
                <w:szCs w:val="18"/>
              </w:rPr>
            </w:pPr>
            <w:r w:rsidRPr="0025330A">
              <w:rPr>
                <w:rFonts w:ascii="Arial" w:hAnsi="Arial" w:cs="Arial"/>
                <w:color w:val="000000"/>
                <w:sz w:val="18"/>
                <w:szCs w:val="18"/>
              </w:rPr>
              <w:t>4,700</w:t>
            </w:r>
          </w:p>
        </w:tc>
        <w:tc>
          <w:tcPr>
            <w:tcW w:w="1395"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253136B7" w14:textId="77777777">
            <w:pPr>
              <w:jc w:val="center"/>
              <w:rPr>
                <w:rFonts w:ascii="Arial" w:hAnsi="Arial" w:cs="Arial"/>
                <w:color w:val="000000"/>
                <w:sz w:val="18"/>
                <w:szCs w:val="18"/>
              </w:rPr>
            </w:pPr>
            <w:r w:rsidRPr="0025330A">
              <w:rPr>
                <w:rFonts w:ascii="Arial" w:hAnsi="Arial" w:cs="Arial"/>
                <w:color w:val="000000"/>
                <w:sz w:val="18"/>
                <w:szCs w:val="18"/>
              </w:rPr>
              <w:t xml:space="preserve">$225,600 </w:t>
            </w:r>
          </w:p>
        </w:tc>
      </w:tr>
      <w:tr w:rsidRPr="0025330A" w:rsidR="0025330A" w:rsidTr="00F561A0" w14:paraId="2D96C0AE" w14:textId="77777777">
        <w:trPr>
          <w:trHeight w:val="898"/>
        </w:trPr>
        <w:tc>
          <w:tcPr>
            <w:tcW w:w="2080" w:type="dxa"/>
            <w:tcBorders>
              <w:top w:val="nil"/>
              <w:left w:val="single" w:color="auto" w:sz="8" w:space="0"/>
              <w:bottom w:val="double" w:color="auto" w:sz="6" w:space="0"/>
              <w:right w:val="single" w:color="auto" w:sz="8" w:space="0"/>
            </w:tcBorders>
            <w:shd w:val="clear" w:color="auto" w:fill="auto"/>
            <w:vAlign w:val="center"/>
            <w:hideMark/>
          </w:tcPr>
          <w:p w:rsidRPr="0025330A" w:rsidR="0025330A" w:rsidRDefault="0025330A" w14:paraId="43EDE2FD" w14:textId="77777777">
            <w:pPr>
              <w:rPr>
                <w:rFonts w:ascii="Arial" w:hAnsi="Arial" w:cs="Arial"/>
                <w:color w:val="000000"/>
                <w:sz w:val="18"/>
                <w:szCs w:val="18"/>
              </w:rPr>
            </w:pPr>
            <w:r w:rsidRPr="0025330A">
              <w:rPr>
                <w:rFonts w:ascii="Arial" w:hAnsi="Arial" w:cs="Arial"/>
                <w:color w:val="000000"/>
                <w:sz w:val="18"/>
                <w:szCs w:val="18"/>
              </w:rPr>
              <w:t>Application - Centers of Excellence Research Grants Program</w:t>
            </w:r>
          </w:p>
        </w:tc>
        <w:tc>
          <w:tcPr>
            <w:tcW w:w="1437" w:type="dxa"/>
            <w:tcBorders>
              <w:top w:val="nil"/>
              <w:left w:val="nil"/>
              <w:bottom w:val="double" w:color="auto" w:sz="6" w:space="0"/>
              <w:right w:val="single" w:color="auto" w:sz="8" w:space="0"/>
            </w:tcBorders>
            <w:shd w:val="clear" w:color="auto" w:fill="auto"/>
            <w:noWrap/>
            <w:vAlign w:val="center"/>
            <w:hideMark/>
          </w:tcPr>
          <w:p w:rsidRPr="0025330A" w:rsidR="0025330A" w:rsidRDefault="0025330A" w14:paraId="1829E5D8" w14:textId="77777777">
            <w:pPr>
              <w:jc w:val="center"/>
              <w:rPr>
                <w:rFonts w:ascii="Arial" w:hAnsi="Arial" w:cs="Arial"/>
                <w:color w:val="000000"/>
                <w:sz w:val="18"/>
                <w:szCs w:val="18"/>
              </w:rPr>
            </w:pPr>
            <w:r w:rsidRPr="0025330A">
              <w:rPr>
                <w:rFonts w:ascii="Arial" w:hAnsi="Arial" w:cs="Arial"/>
                <w:color w:val="000000"/>
                <w:sz w:val="18"/>
                <w:szCs w:val="18"/>
              </w:rPr>
              <w:t>5</w:t>
            </w:r>
          </w:p>
        </w:tc>
        <w:tc>
          <w:tcPr>
            <w:tcW w:w="1240" w:type="dxa"/>
            <w:tcBorders>
              <w:top w:val="nil"/>
              <w:left w:val="nil"/>
              <w:bottom w:val="double" w:color="auto" w:sz="6" w:space="0"/>
              <w:right w:val="single" w:color="auto" w:sz="8" w:space="0"/>
            </w:tcBorders>
            <w:shd w:val="clear" w:color="auto" w:fill="auto"/>
            <w:noWrap/>
            <w:vAlign w:val="center"/>
            <w:hideMark/>
          </w:tcPr>
          <w:p w:rsidRPr="0025330A" w:rsidR="0025330A" w:rsidRDefault="0025330A" w14:paraId="1A635275" w14:textId="77777777">
            <w:pPr>
              <w:jc w:val="center"/>
              <w:rPr>
                <w:rFonts w:ascii="Arial" w:hAnsi="Arial" w:cs="Arial"/>
                <w:color w:val="000000"/>
                <w:sz w:val="18"/>
                <w:szCs w:val="18"/>
              </w:rPr>
            </w:pPr>
            <w:r w:rsidRPr="0025330A">
              <w:rPr>
                <w:rFonts w:ascii="Arial" w:hAnsi="Arial" w:cs="Arial"/>
                <w:color w:val="000000"/>
                <w:sz w:val="18"/>
                <w:szCs w:val="18"/>
              </w:rPr>
              <w:t> </w:t>
            </w:r>
          </w:p>
        </w:tc>
        <w:tc>
          <w:tcPr>
            <w:tcW w:w="1240" w:type="dxa"/>
            <w:tcBorders>
              <w:top w:val="nil"/>
              <w:left w:val="nil"/>
              <w:bottom w:val="double" w:color="auto" w:sz="6" w:space="0"/>
              <w:right w:val="single" w:color="auto" w:sz="8" w:space="0"/>
            </w:tcBorders>
            <w:shd w:val="clear" w:color="auto" w:fill="auto"/>
            <w:noWrap/>
            <w:vAlign w:val="center"/>
            <w:hideMark/>
          </w:tcPr>
          <w:p w:rsidRPr="0025330A" w:rsidR="0025330A" w:rsidRDefault="0025330A" w14:paraId="6F5F14D0" w14:textId="77777777">
            <w:pPr>
              <w:jc w:val="center"/>
              <w:rPr>
                <w:rFonts w:ascii="Arial" w:hAnsi="Arial" w:cs="Arial"/>
                <w:color w:val="000000"/>
                <w:sz w:val="18"/>
                <w:szCs w:val="18"/>
              </w:rPr>
            </w:pPr>
            <w:r w:rsidRPr="0025330A">
              <w:rPr>
                <w:rFonts w:ascii="Arial" w:hAnsi="Arial" w:cs="Arial"/>
                <w:color w:val="000000"/>
                <w:sz w:val="18"/>
                <w:szCs w:val="18"/>
              </w:rPr>
              <w:t> </w:t>
            </w:r>
          </w:p>
        </w:tc>
        <w:tc>
          <w:tcPr>
            <w:tcW w:w="1268" w:type="dxa"/>
            <w:tcBorders>
              <w:top w:val="nil"/>
              <w:left w:val="nil"/>
              <w:bottom w:val="double" w:color="auto" w:sz="6" w:space="0"/>
              <w:right w:val="single" w:color="auto" w:sz="8" w:space="0"/>
            </w:tcBorders>
            <w:shd w:val="clear" w:color="auto" w:fill="auto"/>
            <w:noWrap/>
            <w:vAlign w:val="center"/>
            <w:hideMark/>
          </w:tcPr>
          <w:p w:rsidRPr="0025330A" w:rsidR="0025330A" w:rsidRDefault="0025330A" w14:paraId="2DAE6640" w14:textId="77777777">
            <w:pPr>
              <w:jc w:val="center"/>
              <w:rPr>
                <w:rFonts w:ascii="Arial" w:hAnsi="Arial" w:cs="Arial"/>
                <w:color w:val="000000"/>
                <w:sz w:val="18"/>
                <w:szCs w:val="18"/>
              </w:rPr>
            </w:pPr>
            <w:r w:rsidRPr="0025330A">
              <w:rPr>
                <w:rFonts w:ascii="Arial" w:hAnsi="Arial" w:cs="Arial"/>
                <w:color w:val="000000"/>
                <w:sz w:val="18"/>
                <w:szCs w:val="18"/>
              </w:rPr>
              <w:t> </w:t>
            </w:r>
          </w:p>
        </w:tc>
        <w:tc>
          <w:tcPr>
            <w:tcW w:w="1240" w:type="dxa"/>
            <w:tcBorders>
              <w:top w:val="nil"/>
              <w:left w:val="nil"/>
              <w:bottom w:val="double" w:color="auto" w:sz="6" w:space="0"/>
              <w:right w:val="single" w:color="auto" w:sz="8" w:space="0"/>
            </w:tcBorders>
            <w:shd w:val="clear" w:color="auto" w:fill="auto"/>
            <w:noWrap/>
            <w:vAlign w:val="center"/>
            <w:hideMark/>
          </w:tcPr>
          <w:p w:rsidRPr="0025330A" w:rsidR="0025330A" w:rsidRDefault="0025330A" w14:paraId="1695744D" w14:textId="77777777">
            <w:pPr>
              <w:jc w:val="center"/>
              <w:rPr>
                <w:rFonts w:ascii="Arial" w:hAnsi="Arial" w:cs="Arial"/>
                <w:color w:val="000000"/>
                <w:sz w:val="18"/>
                <w:szCs w:val="18"/>
              </w:rPr>
            </w:pPr>
            <w:r w:rsidRPr="0025330A">
              <w:rPr>
                <w:rFonts w:ascii="Arial" w:hAnsi="Arial" w:cs="Arial"/>
                <w:color w:val="000000"/>
                <w:sz w:val="18"/>
                <w:szCs w:val="18"/>
              </w:rPr>
              <w:t>500</w:t>
            </w:r>
          </w:p>
        </w:tc>
        <w:tc>
          <w:tcPr>
            <w:tcW w:w="1395" w:type="dxa"/>
            <w:tcBorders>
              <w:top w:val="nil"/>
              <w:left w:val="nil"/>
              <w:bottom w:val="double" w:color="auto" w:sz="6" w:space="0"/>
              <w:right w:val="single" w:color="auto" w:sz="8" w:space="0"/>
            </w:tcBorders>
            <w:shd w:val="clear" w:color="auto" w:fill="auto"/>
            <w:noWrap/>
            <w:vAlign w:val="center"/>
            <w:hideMark/>
          </w:tcPr>
          <w:p w:rsidRPr="0025330A" w:rsidR="0025330A" w:rsidRDefault="0025330A" w14:paraId="7E9B79A6" w14:textId="77777777">
            <w:pPr>
              <w:jc w:val="center"/>
              <w:rPr>
                <w:rFonts w:ascii="Arial" w:hAnsi="Arial" w:cs="Arial"/>
                <w:color w:val="000000"/>
                <w:sz w:val="18"/>
                <w:szCs w:val="18"/>
              </w:rPr>
            </w:pPr>
            <w:r w:rsidRPr="0025330A">
              <w:rPr>
                <w:rFonts w:ascii="Arial" w:hAnsi="Arial" w:cs="Arial"/>
                <w:color w:val="000000"/>
                <w:sz w:val="18"/>
                <w:szCs w:val="18"/>
              </w:rPr>
              <w:t xml:space="preserve">$24,000 </w:t>
            </w:r>
          </w:p>
        </w:tc>
      </w:tr>
      <w:tr w:rsidRPr="0025330A" w:rsidR="0025330A" w:rsidTr="0025330A" w14:paraId="214BE69B" w14:textId="77777777">
        <w:trPr>
          <w:trHeight w:val="330"/>
        </w:trPr>
        <w:tc>
          <w:tcPr>
            <w:tcW w:w="2080" w:type="dxa"/>
            <w:tcBorders>
              <w:top w:val="nil"/>
              <w:left w:val="single" w:color="auto" w:sz="8" w:space="0"/>
              <w:bottom w:val="single" w:color="auto" w:sz="8" w:space="0"/>
              <w:right w:val="single" w:color="auto" w:sz="8" w:space="0"/>
            </w:tcBorders>
            <w:shd w:val="clear" w:color="auto" w:fill="auto"/>
            <w:noWrap/>
            <w:vAlign w:val="center"/>
            <w:hideMark/>
          </w:tcPr>
          <w:p w:rsidRPr="0025330A" w:rsidR="0025330A" w:rsidRDefault="0025330A" w14:paraId="0B6A91EE" w14:textId="77777777">
            <w:pPr>
              <w:jc w:val="right"/>
              <w:rPr>
                <w:rFonts w:ascii="Arial" w:hAnsi="Arial" w:cs="Arial"/>
                <w:b/>
                <w:bCs/>
                <w:color w:val="000000"/>
                <w:sz w:val="18"/>
                <w:szCs w:val="18"/>
              </w:rPr>
            </w:pPr>
            <w:r w:rsidRPr="0025330A">
              <w:rPr>
                <w:rFonts w:ascii="Arial" w:hAnsi="Arial" w:cs="Arial"/>
                <w:b/>
                <w:bCs/>
                <w:color w:val="000000"/>
                <w:sz w:val="18"/>
                <w:szCs w:val="18"/>
              </w:rPr>
              <w:t>Total Recordkeeping</w:t>
            </w:r>
          </w:p>
        </w:tc>
        <w:tc>
          <w:tcPr>
            <w:tcW w:w="1437"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126D0C37" w14:textId="77777777">
            <w:pPr>
              <w:jc w:val="center"/>
              <w:rPr>
                <w:rFonts w:ascii="Arial" w:hAnsi="Arial" w:cs="Arial"/>
                <w:color w:val="000000"/>
                <w:sz w:val="18"/>
                <w:szCs w:val="18"/>
              </w:rPr>
            </w:pPr>
            <w:r w:rsidRPr="0025330A">
              <w:rPr>
                <w:rFonts w:ascii="Arial" w:hAnsi="Arial" w:cs="Arial"/>
                <w:color w:val="000000"/>
                <w:sz w:val="18"/>
                <w:szCs w:val="18"/>
              </w:rPr>
              <w:t>52</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7C7A48A8" w14:textId="77777777">
            <w:pPr>
              <w:jc w:val="center"/>
              <w:rPr>
                <w:rFonts w:ascii="Arial" w:hAnsi="Arial" w:cs="Arial"/>
                <w:color w:val="000000"/>
                <w:sz w:val="18"/>
                <w:szCs w:val="18"/>
              </w:rPr>
            </w:pPr>
            <w:r w:rsidRPr="0025330A">
              <w:rPr>
                <w:rFonts w:ascii="Arial" w:hAnsi="Arial" w:cs="Arial"/>
                <w:color w:val="000000"/>
                <w:sz w:val="18"/>
                <w:szCs w:val="18"/>
              </w:rPr>
              <w:t>1</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7A425B73" w14:textId="77777777">
            <w:pPr>
              <w:jc w:val="center"/>
              <w:rPr>
                <w:rFonts w:ascii="Arial" w:hAnsi="Arial" w:cs="Arial"/>
                <w:color w:val="000000"/>
                <w:sz w:val="18"/>
                <w:szCs w:val="18"/>
              </w:rPr>
            </w:pPr>
            <w:r w:rsidRPr="0025330A">
              <w:rPr>
                <w:rFonts w:ascii="Arial" w:hAnsi="Arial" w:cs="Arial"/>
                <w:color w:val="000000"/>
                <w:sz w:val="18"/>
                <w:szCs w:val="18"/>
              </w:rPr>
              <w:t>52</w:t>
            </w:r>
          </w:p>
        </w:tc>
        <w:tc>
          <w:tcPr>
            <w:tcW w:w="1268"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5EBB45E2" w14:textId="77777777">
            <w:pPr>
              <w:jc w:val="center"/>
              <w:rPr>
                <w:rFonts w:ascii="Arial" w:hAnsi="Arial" w:cs="Arial"/>
                <w:color w:val="000000"/>
                <w:sz w:val="18"/>
                <w:szCs w:val="18"/>
              </w:rPr>
            </w:pPr>
            <w:r w:rsidRPr="0025330A">
              <w:rPr>
                <w:rFonts w:ascii="Arial" w:hAnsi="Arial" w:cs="Arial"/>
                <w:color w:val="000000"/>
                <w:sz w:val="18"/>
                <w:szCs w:val="18"/>
              </w:rPr>
              <w:t>100</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5174D9B9" w14:textId="77777777">
            <w:pPr>
              <w:jc w:val="center"/>
              <w:rPr>
                <w:rFonts w:ascii="Arial" w:hAnsi="Arial" w:cs="Arial"/>
                <w:color w:val="000000"/>
                <w:sz w:val="18"/>
                <w:szCs w:val="18"/>
              </w:rPr>
            </w:pPr>
            <w:r w:rsidRPr="0025330A">
              <w:rPr>
                <w:rFonts w:ascii="Arial" w:hAnsi="Arial" w:cs="Arial"/>
                <w:color w:val="000000"/>
                <w:sz w:val="18"/>
                <w:szCs w:val="18"/>
              </w:rPr>
              <w:t>5,200</w:t>
            </w:r>
          </w:p>
        </w:tc>
        <w:tc>
          <w:tcPr>
            <w:tcW w:w="1395"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0AD17A42" w14:textId="77777777">
            <w:pPr>
              <w:jc w:val="center"/>
              <w:rPr>
                <w:rFonts w:ascii="Arial" w:hAnsi="Arial" w:cs="Arial"/>
                <w:color w:val="000000"/>
                <w:sz w:val="18"/>
                <w:szCs w:val="18"/>
              </w:rPr>
            </w:pPr>
            <w:r w:rsidRPr="0025330A">
              <w:rPr>
                <w:rFonts w:ascii="Arial" w:hAnsi="Arial" w:cs="Arial"/>
                <w:color w:val="000000"/>
                <w:sz w:val="18"/>
                <w:szCs w:val="18"/>
              </w:rPr>
              <w:t xml:space="preserve">$249,600 </w:t>
            </w:r>
          </w:p>
        </w:tc>
      </w:tr>
      <w:tr w:rsidR="0025330A" w:rsidTr="00F561A0" w14:paraId="4BB29CF7" w14:textId="77777777">
        <w:trPr>
          <w:trHeight w:val="403"/>
        </w:trPr>
        <w:tc>
          <w:tcPr>
            <w:tcW w:w="2080" w:type="dxa"/>
            <w:tcBorders>
              <w:top w:val="nil"/>
              <w:left w:val="single" w:color="auto" w:sz="8" w:space="0"/>
              <w:bottom w:val="single" w:color="auto" w:sz="8" w:space="0"/>
              <w:right w:val="single" w:color="auto" w:sz="8" w:space="0"/>
            </w:tcBorders>
            <w:shd w:val="clear" w:color="auto" w:fill="auto"/>
            <w:noWrap/>
            <w:vAlign w:val="center"/>
            <w:hideMark/>
          </w:tcPr>
          <w:p w:rsidRPr="0025330A" w:rsidR="0025330A" w:rsidRDefault="0025330A" w14:paraId="77DA9DB9" w14:textId="77777777">
            <w:pPr>
              <w:rPr>
                <w:rFonts w:ascii="Arial" w:hAnsi="Arial" w:cs="Arial"/>
                <w:b/>
                <w:bCs/>
                <w:color w:val="000000"/>
                <w:sz w:val="18"/>
                <w:szCs w:val="18"/>
              </w:rPr>
            </w:pPr>
            <w:r w:rsidRPr="0025330A">
              <w:rPr>
                <w:rFonts w:ascii="Arial" w:hAnsi="Arial" w:cs="Arial"/>
                <w:b/>
                <w:bCs/>
                <w:color w:val="000000"/>
                <w:sz w:val="18"/>
                <w:szCs w:val="18"/>
              </w:rPr>
              <w:t>Total Burden</w:t>
            </w:r>
          </w:p>
        </w:tc>
        <w:tc>
          <w:tcPr>
            <w:tcW w:w="1437"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18E1C51C" w14:textId="77777777">
            <w:pPr>
              <w:jc w:val="center"/>
              <w:rPr>
                <w:rFonts w:ascii="Arial" w:hAnsi="Arial" w:cs="Arial"/>
                <w:b/>
                <w:bCs/>
                <w:color w:val="000000"/>
                <w:sz w:val="18"/>
                <w:szCs w:val="18"/>
              </w:rPr>
            </w:pPr>
            <w:r w:rsidRPr="0025330A">
              <w:rPr>
                <w:rFonts w:ascii="Arial" w:hAnsi="Arial" w:cs="Arial"/>
                <w:b/>
                <w:bCs/>
                <w:color w:val="000000"/>
                <w:sz w:val="18"/>
                <w:szCs w:val="18"/>
              </w:rPr>
              <w:t>52</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2853833D" w14:textId="77777777">
            <w:pPr>
              <w:jc w:val="center"/>
              <w:rPr>
                <w:rFonts w:ascii="Arial" w:hAnsi="Arial" w:cs="Arial"/>
                <w:b/>
                <w:bCs/>
                <w:color w:val="000000"/>
                <w:sz w:val="18"/>
                <w:szCs w:val="18"/>
              </w:rPr>
            </w:pPr>
            <w:r w:rsidRPr="0025330A">
              <w:rPr>
                <w:rFonts w:ascii="Arial" w:hAnsi="Arial" w:cs="Arial"/>
                <w:b/>
                <w:bCs/>
                <w:color w:val="000000"/>
                <w:sz w:val="18"/>
                <w:szCs w:val="18"/>
              </w:rPr>
              <w:t>7</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26DE7A40" w14:textId="77777777">
            <w:pPr>
              <w:jc w:val="center"/>
              <w:rPr>
                <w:rFonts w:ascii="Arial" w:hAnsi="Arial" w:cs="Arial"/>
                <w:b/>
                <w:bCs/>
                <w:color w:val="000000"/>
                <w:sz w:val="18"/>
                <w:szCs w:val="18"/>
              </w:rPr>
            </w:pPr>
            <w:r w:rsidRPr="0025330A">
              <w:rPr>
                <w:rFonts w:ascii="Arial" w:hAnsi="Arial" w:cs="Arial"/>
                <w:b/>
                <w:bCs/>
                <w:color w:val="000000"/>
                <w:sz w:val="18"/>
                <w:szCs w:val="18"/>
              </w:rPr>
              <w:t>383</w:t>
            </w:r>
          </w:p>
        </w:tc>
        <w:tc>
          <w:tcPr>
            <w:tcW w:w="1268"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4004C0D7" w14:textId="77777777">
            <w:pPr>
              <w:jc w:val="center"/>
              <w:rPr>
                <w:rFonts w:ascii="Arial" w:hAnsi="Arial" w:cs="Arial"/>
                <w:b/>
                <w:bCs/>
                <w:color w:val="000000"/>
                <w:sz w:val="18"/>
                <w:szCs w:val="18"/>
              </w:rPr>
            </w:pPr>
            <w:r w:rsidRPr="0025330A">
              <w:rPr>
                <w:rFonts w:ascii="Arial" w:hAnsi="Arial" w:cs="Arial"/>
                <w:b/>
                <w:bCs/>
                <w:color w:val="000000"/>
                <w:sz w:val="18"/>
                <w:szCs w:val="18"/>
              </w:rPr>
              <w:t>15.89033943</w:t>
            </w:r>
          </w:p>
        </w:tc>
        <w:tc>
          <w:tcPr>
            <w:tcW w:w="1240"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1166DEE9" w14:textId="77777777">
            <w:pPr>
              <w:jc w:val="center"/>
              <w:rPr>
                <w:rFonts w:ascii="Arial" w:hAnsi="Arial" w:cs="Arial"/>
                <w:b/>
                <w:bCs/>
                <w:color w:val="000000"/>
                <w:sz w:val="18"/>
                <w:szCs w:val="18"/>
              </w:rPr>
            </w:pPr>
            <w:r w:rsidRPr="0025330A">
              <w:rPr>
                <w:rFonts w:ascii="Arial" w:hAnsi="Arial" w:cs="Arial"/>
                <w:b/>
                <w:bCs/>
                <w:color w:val="000000"/>
                <w:sz w:val="18"/>
                <w:szCs w:val="18"/>
              </w:rPr>
              <w:t>6,086</w:t>
            </w:r>
          </w:p>
        </w:tc>
        <w:tc>
          <w:tcPr>
            <w:tcW w:w="1395" w:type="dxa"/>
            <w:tcBorders>
              <w:top w:val="nil"/>
              <w:left w:val="nil"/>
              <w:bottom w:val="single" w:color="auto" w:sz="8" w:space="0"/>
              <w:right w:val="single" w:color="auto" w:sz="8" w:space="0"/>
            </w:tcBorders>
            <w:shd w:val="clear" w:color="auto" w:fill="auto"/>
            <w:noWrap/>
            <w:vAlign w:val="center"/>
            <w:hideMark/>
          </w:tcPr>
          <w:p w:rsidRPr="0025330A" w:rsidR="0025330A" w:rsidRDefault="0025330A" w14:paraId="32824C37" w14:textId="77777777">
            <w:pPr>
              <w:jc w:val="center"/>
              <w:rPr>
                <w:rFonts w:ascii="Arial" w:hAnsi="Arial" w:cs="Arial"/>
                <w:b/>
                <w:bCs/>
                <w:color w:val="000000"/>
                <w:sz w:val="18"/>
                <w:szCs w:val="18"/>
              </w:rPr>
            </w:pPr>
            <w:r w:rsidRPr="0025330A">
              <w:rPr>
                <w:rFonts w:ascii="Arial" w:hAnsi="Arial" w:cs="Arial"/>
                <w:b/>
                <w:bCs/>
                <w:color w:val="000000"/>
                <w:sz w:val="18"/>
                <w:szCs w:val="18"/>
              </w:rPr>
              <w:t xml:space="preserve">$292,128 </w:t>
            </w:r>
          </w:p>
        </w:tc>
      </w:tr>
    </w:tbl>
    <w:p w:rsidR="00F561A0" w:rsidP="00F561A0" w:rsidRDefault="0025330A" w14:paraId="04A2678E" w14:textId="77777777">
      <w:pPr>
        <w:rPr>
          <w:sz w:val="20"/>
          <w:szCs w:val="20"/>
        </w:rPr>
      </w:pPr>
      <w:r w:rsidRPr="00F561A0">
        <w:rPr>
          <w:sz w:val="20"/>
          <w:szCs w:val="20"/>
        </w:rPr>
        <w:t xml:space="preserve">* $48 per hour based on average Bureau of Labor Statistics Management Occupation for Gulf </w:t>
      </w:r>
      <w:r>
        <w:rPr>
          <w:sz w:val="20"/>
          <w:szCs w:val="20"/>
        </w:rPr>
        <w:t xml:space="preserve">Coast </w:t>
      </w:r>
      <w:r w:rsidRPr="00F561A0">
        <w:rPr>
          <w:sz w:val="20"/>
          <w:szCs w:val="20"/>
        </w:rPr>
        <w:t>states and select FL counties</w:t>
      </w:r>
      <w:r>
        <w:rPr>
          <w:sz w:val="20"/>
          <w:szCs w:val="20"/>
        </w:rPr>
        <w:t>.</w:t>
      </w:r>
    </w:p>
    <w:p w:rsidRPr="00F561A0" w:rsidR="00FB7F1C" w:rsidP="00F561A0" w:rsidRDefault="00961823" w14:paraId="3822291A" w14:textId="0D90BCA9">
      <w:pPr>
        <w:ind w:firstLine="720"/>
        <w:rPr>
          <w:sz w:val="20"/>
          <w:szCs w:val="20"/>
        </w:rPr>
      </w:pPr>
      <w:r w:rsidRPr="00B36755">
        <w:rPr>
          <w:b/>
        </w:rPr>
        <w:lastRenderedPageBreak/>
        <w:t xml:space="preserve">13.  </w:t>
      </w:r>
      <w:r w:rsidRPr="00B36755">
        <w:rPr>
          <w:b/>
          <w:u w:val="single"/>
        </w:rPr>
        <w:t>Estimated total annual cost burden to respondents</w:t>
      </w:r>
      <w:r w:rsidRPr="00C9704D" w:rsidR="00FB7F1C">
        <w:rPr>
          <w:b/>
          <w:u w:val="single"/>
        </w:rPr>
        <w:t> </w:t>
      </w:r>
      <w:r w:rsidRPr="00C9704D" w:rsidR="00FB7F1C">
        <w:rPr>
          <w:b/>
        </w:rPr>
        <w:t> </w:t>
      </w:r>
    </w:p>
    <w:p w:rsidR="00403DA0" w:rsidP="00CB003A" w:rsidRDefault="00403DA0" w14:paraId="118FAE07" w14:textId="77777777"/>
    <w:p w:rsidR="004B7407" w:rsidP="00B36755" w:rsidRDefault="004B7407" w14:paraId="2B1F34FA" w14:textId="286CB085">
      <w:r w:rsidRPr="00BC1BAC">
        <w:t xml:space="preserve">There </w:t>
      </w:r>
      <w:r w:rsidR="00A10CD2">
        <w:t>are</w:t>
      </w:r>
      <w:r w:rsidR="00E13A9C">
        <w:t xml:space="preserve"> </w:t>
      </w:r>
      <w:r w:rsidRPr="00BC1BAC">
        <w:t xml:space="preserve">no annualized capital/startup costs for the </w:t>
      </w:r>
      <w:r w:rsidR="00302265">
        <w:t xml:space="preserve">eligible recipients </w:t>
      </w:r>
      <w:r w:rsidRPr="00BC1BAC">
        <w:t>to provide this information</w:t>
      </w:r>
      <w:r w:rsidR="00302265">
        <w:t xml:space="preserve"> collection.</w:t>
      </w:r>
      <w:r w:rsidRPr="00302265" w:rsidR="00302265">
        <w:t xml:space="preserve">  Receiving grant awards under the RESTORE Act specifically does not require grantees to incur startup costs beyond those costs generally associated with receiving federal financial assistance.</w:t>
      </w:r>
      <w:r w:rsidR="001374B1">
        <w:t xml:space="preserve">  </w:t>
      </w:r>
    </w:p>
    <w:p w:rsidR="00E13A9C" w:rsidP="00CB003A" w:rsidRDefault="00E13A9C" w14:paraId="3DF2F5DD" w14:textId="77777777"/>
    <w:p w:rsidRPr="00C9704D" w:rsidR="00961823" w:rsidP="00F561A0" w:rsidRDefault="00961823" w14:paraId="25002B44" w14:textId="77777777">
      <w:pPr>
        <w:ind w:firstLine="360"/>
        <w:rPr>
          <w:b/>
        </w:rPr>
      </w:pPr>
      <w:r w:rsidRPr="00C9704D">
        <w:rPr>
          <w:b/>
        </w:rPr>
        <w:t xml:space="preserve">14.  </w:t>
      </w:r>
      <w:r w:rsidRPr="00C9704D">
        <w:rPr>
          <w:b/>
          <w:u w:val="single"/>
        </w:rPr>
        <w:t>Estimated cost to the federal government</w:t>
      </w:r>
      <w:r w:rsidRPr="00C9704D">
        <w:rPr>
          <w:b/>
        </w:rPr>
        <w:t>.</w:t>
      </w:r>
    </w:p>
    <w:p w:rsidRPr="00AA65FC" w:rsidR="00961823" w:rsidP="00CB003A" w:rsidRDefault="00961823" w14:paraId="1288A26D" w14:textId="77777777"/>
    <w:p w:rsidR="00265D6E" w:rsidP="00CB003A" w:rsidRDefault="00265D6E" w14:paraId="7E417508" w14:textId="77777777"/>
    <w:p w:rsidRPr="00110D39" w:rsidR="00961823" w:rsidP="00CB003A" w:rsidRDefault="00802F36" w14:paraId="1ECBF775" w14:textId="399FA02C">
      <w:proofErr w:type="spellStart"/>
      <w:r>
        <w:t>Ther</w:t>
      </w:r>
      <w:proofErr w:type="spellEnd"/>
      <w:r>
        <w:t xml:space="preserve"> additional costs incurred to the government </w:t>
      </w:r>
      <w:proofErr w:type="gramStart"/>
      <w:r>
        <w:t>as a result</w:t>
      </w:r>
      <w:proofErr w:type="gramEnd"/>
      <w:r>
        <w:t xml:space="preserve"> of implementing the information collection</w:t>
      </w:r>
      <w:r w:rsidR="00F92397">
        <w:t xml:space="preserve"> include the annual cost of the grants management system used for applications and post-award management and the personnel costs associated with the review of </w:t>
      </w:r>
      <w:r w:rsidR="007C1D59">
        <w:t xml:space="preserve">recipient risk, </w:t>
      </w:r>
      <w:r w:rsidR="00F92397">
        <w:t>applications</w:t>
      </w:r>
      <w:r w:rsidR="007C1D59">
        <w:t>,</w:t>
      </w:r>
      <w:r w:rsidR="00F92397">
        <w:t xml:space="preserve"> and post-award actions</w:t>
      </w:r>
      <w:r w:rsidRPr="00110D39" w:rsidR="00BA5A05">
        <w:t xml:space="preserve"> </w:t>
      </w:r>
    </w:p>
    <w:p w:rsidR="00272E50" w:rsidP="00CB003A" w:rsidRDefault="00272E50" w14:paraId="40D278C3" w14:textId="039F8B0C"/>
    <w:tbl>
      <w:tblPr>
        <w:tblW w:w="7580" w:type="dxa"/>
        <w:tblCellMar>
          <w:left w:w="0" w:type="dxa"/>
          <w:right w:w="0" w:type="dxa"/>
        </w:tblCellMar>
        <w:tblLook w:val="04A0" w:firstRow="1" w:lastRow="0" w:firstColumn="1" w:lastColumn="0" w:noHBand="0" w:noVBand="1"/>
      </w:tblPr>
      <w:tblGrid>
        <w:gridCol w:w="2177"/>
        <w:gridCol w:w="1843"/>
        <w:gridCol w:w="3560"/>
      </w:tblGrid>
      <w:tr w:rsidR="00272E50" w:rsidTr="00272E50" w14:paraId="5B39A19B" w14:textId="77777777">
        <w:trPr>
          <w:trHeight w:val="300"/>
        </w:trPr>
        <w:tc>
          <w:tcPr>
            <w:tcW w:w="4020" w:type="dxa"/>
            <w:gridSpan w:val="2"/>
            <w:noWrap/>
            <w:tcMar>
              <w:top w:w="0" w:type="dxa"/>
              <w:left w:w="108" w:type="dxa"/>
              <w:bottom w:w="0" w:type="dxa"/>
              <w:right w:w="108" w:type="dxa"/>
            </w:tcMar>
            <w:vAlign w:val="bottom"/>
            <w:hideMark/>
          </w:tcPr>
          <w:p w:rsidR="00272E50" w:rsidRDefault="00272E50" w14:paraId="2A6E6231" w14:textId="743B10B8">
            <w:pPr>
              <w:rPr>
                <w:color w:val="000000"/>
                <w:sz w:val="22"/>
                <w:szCs w:val="22"/>
              </w:rPr>
            </w:pPr>
          </w:p>
        </w:tc>
        <w:tc>
          <w:tcPr>
            <w:tcW w:w="3560" w:type="dxa"/>
            <w:noWrap/>
            <w:tcMar>
              <w:top w:w="0" w:type="dxa"/>
              <w:left w:w="108" w:type="dxa"/>
              <w:bottom w:w="0" w:type="dxa"/>
              <w:right w:w="108" w:type="dxa"/>
            </w:tcMar>
            <w:vAlign w:val="bottom"/>
            <w:hideMark/>
          </w:tcPr>
          <w:p w:rsidR="00272E50" w:rsidRDefault="00272E50" w14:paraId="67B9BAA1" w14:textId="77777777">
            <w:pPr>
              <w:rPr>
                <w:color w:val="000000"/>
              </w:rPr>
            </w:pPr>
          </w:p>
        </w:tc>
      </w:tr>
      <w:tr w:rsidR="00272E50" w:rsidTr="00272E50" w14:paraId="30B49812" w14:textId="77777777">
        <w:trPr>
          <w:trHeight w:val="300"/>
        </w:trPr>
        <w:tc>
          <w:tcPr>
            <w:tcW w:w="2177"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272E50" w:rsidR="00272E50" w:rsidRDefault="00272E50" w14:paraId="4CF99F75" w14:textId="77777777">
            <w:pPr>
              <w:rPr>
                <w:rFonts w:ascii="Calibri" w:hAnsi="Calibri" w:cs="Calibri" w:eastAsiaTheme="minorHAnsi"/>
                <w:b/>
                <w:bCs/>
                <w:color w:val="000000"/>
                <w:sz w:val="22"/>
                <w:szCs w:val="22"/>
              </w:rPr>
            </w:pPr>
            <w:r w:rsidRPr="00272E50">
              <w:rPr>
                <w:b/>
                <w:bCs/>
                <w:color w:val="000000"/>
              </w:rPr>
              <w:t>Item</w:t>
            </w:r>
          </w:p>
        </w:tc>
        <w:tc>
          <w:tcPr>
            <w:tcW w:w="1843"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272E50" w:rsidR="00272E50" w:rsidRDefault="00272E50" w14:paraId="1F6737C7" w14:textId="77777777">
            <w:pPr>
              <w:rPr>
                <w:b/>
                <w:bCs/>
                <w:color w:val="000000"/>
              </w:rPr>
            </w:pPr>
            <w:r w:rsidRPr="00272E50">
              <w:rPr>
                <w:b/>
                <w:bCs/>
                <w:color w:val="000000"/>
              </w:rPr>
              <w:t>Annual Cost</w:t>
            </w:r>
          </w:p>
        </w:tc>
        <w:tc>
          <w:tcPr>
            <w:tcW w:w="356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272E50" w:rsidR="00272E50" w:rsidRDefault="00272E50" w14:paraId="55D392D3" w14:textId="77777777">
            <w:pPr>
              <w:rPr>
                <w:b/>
                <w:bCs/>
                <w:color w:val="000000"/>
              </w:rPr>
            </w:pPr>
            <w:r w:rsidRPr="00272E50">
              <w:rPr>
                <w:b/>
                <w:bCs/>
                <w:color w:val="000000"/>
              </w:rPr>
              <w:t>Notes</w:t>
            </w:r>
          </w:p>
        </w:tc>
      </w:tr>
      <w:tr w:rsidR="00272E50" w:rsidTr="00272E50" w14:paraId="57E5D3D6" w14:textId="77777777">
        <w:trPr>
          <w:trHeight w:val="300"/>
        </w:trPr>
        <w:tc>
          <w:tcPr>
            <w:tcW w:w="21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272E50" w:rsidR="00272E50" w:rsidRDefault="00272E50" w14:paraId="1B3AC834" w14:textId="27379CFF">
            <w:pPr>
              <w:rPr>
                <w:color w:val="000000"/>
              </w:rPr>
            </w:pPr>
            <w:proofErr w:type="spellStart"/>
            <w:r w:rsidRPr="00272E50">
              <w:rPr>
                <w:color w:val="000000"/>
              </w:rPr>
              <w:t>Grantsolutions</w:t>
            </w:r>
            <w:proofErr w:type="spellEnd"/>
            <w:r w:rsidRPr="00272E50">
              <w:rPr>
                <w:color w:val="000000"/>
              </w:rPr>
              <w:t xml:space="preserve"> </w:t>
            </w:r>
            <w:r w:rsidRPr="00272E50">
              <w:rPr>
                <w:color w:val="000000"/>
              </w:rPr>
              <w:t>System</w:t>
            </w:r>
          </w:p>
        </w:tc>
        <w:tc>
          <w:tcPr>
            <w:tcW w:w="184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272E50" w:rsidR="00272E50" w:rsidRDefault="00272E50" w14:paraId="391F2851" w14:textId="12DBD1A1">
            <w:pPr>
              <w:jc w:val="right"/>
              <w:rPr>
                <w:color w:val="000000"/>
              </w:rPr>
            </w:pPr>
            <w:r w:rsidRPr="00272E50">
              <w:rPr>
                <w:color w:val="000000"/>
              </w:rPr>
              <w:t>$520,560</w:t>
            </w:r>
          </w:p>
        </w:tc>
        <w:tc>
          <w:tcPr>
            <w:tcW w:w="35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272E50" w:rsidR="00272E50" w:rsidRDefault="00272E50" w14:paraId="7B5A7274" w14:textId="77777777">
            <w:pPr>
              <w:rPr>
                <w:color w:val="000000"/>
              </w:rPr>
            </w:pPr>
            <w:r w:rsidRPr="00272E50">
              <w:rPr>
                <w:color w:val="000000"/>
              </w:rPr>
              <w:t>Annual IAA with HHS</w:t>
            </w:r>
          </w:p>
        </w:tc>
      </w:tr>
      <w:tr w:rsidR="00272E50" w:rsidTr="00272E50" w14:paraId="6947FBA4" w14:textId="77777777">
        <w:trPr>
          <w:trHeight w:val="165"/>
        </w:trPr>
        <w:tc>
          <w:tcPr>
            <w:tcW w:w="21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272E50" w:rsidR="00272E50" w:rsidRDefault="00272E50" w14:paraId="26FC90C9" w14:textId="77777777">
            <w:pPr>
              <w:rPr>
                <w:color w:val="000000"/>
              </w:rPr>
            </w:pPr>
            <w:r w:rsidRPr="00272E50">
              <w:rPr>
                <w:color w:val="000000"/>
              </w:rPr>
              <w:t> </w:t>
            </w:r>
          </w:p>
        </w:tc>
        <w:tc>
          <w:tcPr>
            <w:tcW w:w="184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272E50" w:rsidR="00272E50" w:rsidRDefault="00272E50" w14:paraId="424B32E8" w14:textId="77777777">
            <w:pPr>
              <w:rPr>
                <w:color w:val="000000"/>
              </w:rPr>
            </w:pPr>
            <w:r w:rsidRPr="00272E50">
              <w:rPr>
                <w:color w:val="000000"/>
              </w:rPr>
              <w:t> </w:t>
            </w:r>
          </w:p>
        </w:tc>
        <w:tc>
          <w:tcPr>
            <w:tcW w:w="35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272E50" w:rsidR="00272E50" w:rsidRDefault="00272E50" w14:paraId="59ECB77C" w14:textId="77777777">
            <w:pPr>
              <w:rPr>
                <w:color w:val="000000"/>
              </w:rPr>
            </w:pPr>
            <w:r w:rsidRPr="00272E50">
              <w:rPr>
                <w:color w:val="000000"/>
              </w:rPr>
              <w:t> </w:t>
            </w:r>
          </w:p>
        </w:tc>
      </w:tr>
      <w:tr w:rsidR="00272E50" w:rsidTr="00272E50" w14:paraId="1BEBF87A" w14:textId="77777777">
        <w:trPr>
          <w:trHeight w:val="300"/>
        </w:trPr>
        <w:tc>
          <w:tcPr>
            <w:tcW w:w="21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272E50" w:rsidR="00272E50" w:rsidRDefault="00272E50" w14:paraId="098DBC7D" w14:textId="77777777">
            <w:pPr>
              <w:rPr>
                <w:color w:val="000000"/>
              </w:rPr>
            </w:pPr>
            <w:r w:rsidRPr="00272E50">
              <w:rPr>
                <w:color w:val="000000"/>
              </w:rPr>
              <w:t>Personnel</w:t>
            </w:r>
          </w:p>
        </w:tc>
        <w:tc>
          <w:tcPr>
            <w:tcW w:w="184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272E50" w:rsidR="00272E50" w:rsidRDefault="00272E50" w14:paraId="1D84CF32" w14:textId="77777777">
            <w:pPr>
              <w:rPr>
                <w:color w:val="000000"/>
              </w:rPr>
            </w:pPr>
            <w:r w:rsidRPr="00272E50">
              <w:rPr>
                <w:color w:val="000000"/>
              </w:rPr>
              <w:t> </w:t>
            </w:r>
          </w:p>
        </w:tc>
        <w:tc>
          <w:tcPr>
            <w:tcW w:w="35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272E50" w:rsidR="00272E50" w:rsidRDefault="00272E50" w14:paraId="0B0D6518" w14:textId="77777777">
            <w:pPr>
              <w:rPr>
                <w:color w:val="000000"/>
              </w:rPr>
            </w:pPr>
            <w:r w:rsidRPr="00272E50">
              <w:rPr>
                <w:color w:val="000000"/>
              </w:rPr>
              <w:t> </w:t>
            </w:r>
          </w:p>
        </w:tc>
      </w:tr>
      <w:tr w:rsidR="00272E50" w:rsidTr="00272E50" w14:paraId="2C882246" w14:textId="77777777">
        <w:trPr>
          <w:trHeight w:val="300"/>
        </w:trPr>
        <w:tc>
          <w:tcPr>
            <w:tcW w:w="21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272E50" w:rsidR="00272E50" w:rsidRDefault="00272E50" w14:paraId="46A820FC" w14:textId="77777777">
            <w:pPr>
              <w:ind w:firstLine="220"/>
              <w:rPr>
                <w:color w:val="000000"/>
              </w:rPr>
            </w:pPr>
            <w:r w:rsidRPr="00272E50">
              <w:rPr>
                <w:color w:val="000000"/>
              </w:rPr>
              <w:t>OGCR staff</w:t>
            </w:r>
          </w:p>
        </w:tc>
        <w:tc>
          <w:tcPr>
            <w:tcW w:w="184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272E50" w:rsidR="00272E50" w:rsidP="00272E50" w:rsidRDefault="00272E50" w14:paraId="3B063405" w14:textId="4D69E204">
            <w:pPr>
              <w:jc w:val="right"/>
              <w:rPr>
                <w:color w:val="000000"/>
              </w:rPr>
            </w:pPr>
            <w:r w:rsidRPr="00272E50">
              <w:rPr>
                <w:color w:val="000000"/>
              </w:rPr>
              <w:t> </w:t>
            </w:r>
            <w:r w:rsidRPr="00272E50">
              <w:rPr>
                <w:color w:val="000000"/>
              </w:rPr>
              <w:t>$730,035</w:t>
            </w:r>
          </w:p>
        </w:tc>
        <w:tc>
          <w:tcPr>
            <w:tcW w:w="35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272E50" w:rsidR="00272E50" w:rsidRDefault="00272E50" w14:paraId="780680CD" w14:textId="7C38ECE9">
            <w:pPr>
              <w:rPr>
                <w:color w:val="000000"/>
              </w:rPr>
            </w:pPr>
            <w:r w:rsidRPr="00272E50">
              <w:rPr>
                <w:color w:val="000000"/>
              </w:rPr>
              <w:t>5 GS-14 FTEs @ 50% + 1 GS-15 50%</w:t>
            </w:r>
            <w:r w:rsidRPr="00272E50">
              <w:rPr>
                <w:color w:val="000000"/>
              </w:rPr>
              <w:t>*</w:t>
            </w:r>
          </w:p>
        </w:tc>
      </w:tr>
      <w:tr w:rsidR="00272E50" w:rsidTr="00272E50" w14:paraId="30A26359" w14:textId="77777777">
        <w:trPr>
          <w:trHeight w:val="300"/>
        </w:trPr>
        <w:tc>
          <w:tcPr>
            <w:tcW w:w="21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272E50" w:rsidR="00272E50" w:rsidRDefault="00272E50" w14:paraId="7D979D2F" w14:textId="77777777">
            <w:pPr>
              <w:ind w:firstLine="220"/>
              <w:rPr>
                <w:color w:val="000000"/>
              </w:rPr>
            </w:pPr>
            <w:r w:rsidRPr="00272E50">
              <w:rPr>
                <w:color w:val="000000"/>
              </w:rPr>
              <w:t>TRAC staff</w:t>
            </w:r>
          </w:p>
        </w:tc>
        <w:tc>
          <w:tcPr>
            <w:tcW w:w="184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272E50" w:rsidR="00272E50" w:rsidP="00272E50" w:rsidRDefault="00272E50" w14:paraId="3C761866" w14:textId="1E2604E4">
            <w:pPr>
              <w:jc w:val="right"/>
              <w:rPr>
                <w:color w:val="000000"/>
              </w:rPr>
            </w:pPr>
            <w:r w:rsidRPr="00272E50">
              <w:rPr>
                <w:color w:val="000000"/>
              </w:rPr>
              <w:t> </w:t>
            </w:r>
            <w:r w:rsidRPr="00272E50">
              <w:rPr>
                <w:color w:val="000000"/>
              </w:rPr>
              <w:t>$118,647</w:t>
            </w:r>
          </w:p>
        </w:tc>
        <w:tc>
          <w:tcPr>
            <w:tcW w:w="35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272E50" w:rsidR="00272E50" w:rsidRDefault="00272E50" w14:paraId="1992D281" w14:textId="04BC7701">
            <w:pPr>
              <w:rPr>
                <w:color w:val="000000"/>
              </w:rPr>
            </w:pPr>
            <w:r w:rsidRPr="00272E50">
              <w:rPr>
                <w:color w:val="000000"/>
              </w:rPr>
              <w:t>3 GS-14 @ 20%</w:t>
            </w:r>
            <w:r w:rsidRPr="00272E50">
              <w:rPr>
                <w:color w:val="000000"/>
              </w:rPr>
              <w:t>*</w:t>
            </w:r>
          </w:p>
        </w:tc>
      </w:tr>
      <w:tr w:rsidR="00272E50" w:rsidTr="00272E50" w14:paraId="22F9817D" w14:textId="77777777">
        <w:trPr>
          <w:trHeight w:val="300"/>
        </w:trPr>
        <w:tc>
          <w:tcPr>
            <w:tcW w:w="217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272E50" w:rsidR="00272E50" w:rsidRDefault="00272E50" w14:paraId="60CA27EB" w14:textId="77777777">
            <w:pPr>
              <w:rPr>
                <w:b/>
                <w:color w:val="000000"/>
              </w:rPr>
            </w:pPr>
            <w:r w:rsidRPr="00272E50">
              <w:rPr>
                <w:b/>
                <w:color w:val="000000"/>
              </w:rPr>
              <w:t>TOTAL</w:t>
            </w:r>
          </w:p>
        </w:tc>
        <w:tc>
          <w:tcPr>
            <w:tcW w:w="184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272E50" w:rsidR="00272E50" w:rsidP="00272E50" w:rsidRDefault="00272E50" w14:paraId="466A535D" w14:textId="65D80E81">
            <w:pPr>
              <w:jc w:val="right"/>
              <w:rPr>
                <w:b/>
                <w:color w:val="000000"/>
              </w:rPr>
            </w:pPr>
            <w:r w:rsidRPr="00272E50">
              <w:rPr>
                <w:b/>
                <w:color w:val="000000"/>
              </w:rPr>
              <w:t> </w:t>
            </w:r>
            <w:r w:rsidRPr="00272E50">
              <w:rPr>
                <w:b/>
                <w:color w:val="000000"/>
              </w:rPr>
              <w:t>$1,369,242</w:t>
            </w:r>
          </w:p>
        </w:tc>
        <w:tc>
          <w:tcPr>
            <w:tcW w:w="35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272E50" w:rsidR="00272E50" w:rsidRDefault="00272E50" w14:paraId="780CED53" w14:textId="77777777">
            <w:pPr>
              <w:rPr>
                <w:b/>
                <w:color w:val="000000"/>
              </w:rPr>
            </w:pPr>
            <w:r w:rsidRPr="00272E50">
              <w:rPr>
                <w:b/>
                <w:color w:val="000000"/>
              </w:rPr>
              <w:t> </w:t>
            </w:r>
          </w:p>
        </w:tc>
      </w:tr>
    </w:tbl>
    <w:p w:rsidRPr="00272E50" w:rsidR="00272E50" w:rsidP="00CB003A" w:rsidRDefault="00272E50" w14:paraId="1AA5F805" w14:textId="0134C95E">
      <w:pPr>
        <w:rPr>
          <w:sz w:val="20"/>
          <w:szCs w:val="20"/>
        </w:rPr>
      </w:pPr>
      <w:r w:rsidRPr="00272E50">
        <w:rPr>
          <w:sz w:val="20"/>
          <w:szCs w:val="20"/>
        </w:rPr>
        <w:t>*Calculated by taking the pro-rated annual salary for each grade level</w:t>
      </w:r>
      <w:r>
        <w:rPr>
          <w:sz w:val="20"/>
          <w:szCs w:val="20"/>
        </w:rPr>
        <w:t xml:space="preserve">, step </w:t>
      </w:r>
      <w:proofErr w:type="gramStart"/>
      <w:r>
        <w:rPr>
          <w:sz w:val="20"/>
          <w:szCs w:val="20"/>
        </w:rPr>
        <w:t>1</w:t>
      </w:r>
      <w:proofErr w:type="gramEnd"/>
      <w:r w:rsidRPr="00272E50">
        <w:rPr>
          <w:sz w:val="20"/>
          <w:szCs w:val="20"/>
        </w:rPr>
        <w:t xml:space="preserve"> in the Washington, DC locality area from the </w:t>
      </w:r>
      <w:hyperlink w:history="1" r:id="rId8">
        <w:r w:rsidRPr="00272E50">
          <w:rPr>
            <w:rStyle w:val="Hyperlink"/>
            <w:sz w:val="20"/>
            <w:szCs w:val="20"/>
          </w:rPr>
          <w:t>Office of Personnel Management</w:t>
        </w:r>
      </w:hyperlink>
      <w:r w:rsidRPr="00272E50">
        <w:rPr>
          <w:sz w:val="20"/>
          <w:szCs w:val="20"/>
        </w:rPr>
        <w:t xml:space="preserve">, plus an additional 63% to account for the cost of benefits. </w:t>
      </w:r>
    </w:p>
    <w:p w:rsidR="00272E50" w:rsidP="00CB003A" w:rsidRDefault="00272E50" w14:paraId="3DFE839A" w14:textId="7959B94B"/>
    <w:p w:rsidRPr="00110D39" w:rsidR="00272E50" w:rsidP="00CB003A" w:rsidRDefault="00272E50" w14:paraId="02266DF5" w14:textId="77777777"/>
    <w:p w:rsidRPr="00C9704D" w:rsidR="00961823" w:rsidP="00666B6D" w:rsidRDefault="00961823" w14:paraId="7F8C600C" w14:textId="77777777">
      <w:pPr>
        <w:keepNext/>
        <w:ind w:firstLine="360"/>
        <w:rPr>
          <w:b/>
        </w:rPr>
      </w:pPr>
      <w:r w:rsidRPr="00B36755">
        <w:rPr>
          <w:b/>
        </w:rPr>
        <w:t xml:space="preserve">15.  </w:t>
      </w:r>
      <w:r w:rsidRPr="00B36755">
        <w:rPr>
          <w:b/>
          <w:u w:val="single"/>
        </w:rPr>
        <w:t>Reasons for change in burden</w:t>
      </w:r>
    </w:p>
    <w:p w:rsidRPr="0025604D" w:rsidR="00961823" w:rsidP="00666B6D" w:rsidRDefault="00961823" w14:paraId="474DBA20" w14:textId="77777777">
      <w:pPr>
        <w:keepNext/>
      </w:pPr>
    </w:p>
    <w:p w:rsidR="00272E50" w:rsidP="00272E50" w:rsidRDefault="00272E50" w14:paraId="5161872E" w14:textId="5CCF9AF3">
      <w:r>
        <w:t xml:space="preserve">There is an increase of 16 responses and 240 hours due to agency discretion resulting from the addition of the Title VI Civil Rights Narratives. </w:t>
      </w:r>
      <w:proofErr w:type="gramStart"/>
      <w:r>
        <w:t>However</w:t>
      </w:r>
      <w:proofErr w:type="gramEnd"/>
      <w:r>
        <w:t xml:space="preserve"> there is a reduction of 18 responses and 296 hours due to revised agency estimates based on </w:t>
      </w:r>
      <w:r>
        <w:t>recent application data</w:t>
      </w:r>
      <w:r>
        <w:t>.</w:t>
      </w:r>
    </w:p>
    <w:p w:rsidR="00272E50" w:rsidP="00CB003A" w:rsidRDefault="00272E50" w14:paraId="5587367D" w14:textId="77777777"/>
    <w:p w:rsidRPr="0025604D" w:rsidR="00156E23" w:rsidP="00CB003A" w:rsidRDefault="00156E23" w14:paraId="0BEA2A94" w14:textId="6C996434"/>
    <w:p w:rsidRPr="0025604D" w:rsidR="00E13A9C" w:rsidP="00CB003A" w:rsidRDefault="00E13A9C" w14:paraId="1AB6B81E" w14:textId="77777777"/>
    <w:p w:rsidRPr="00C9704D" w:rsidR="00961823" w:rsidP="00181F21" w:rsidRDefault="00961823" w14:paraId="3926CF1D" w14:textId="77777777">
      <w:pPr>
        <w:keepNext/>
        <w:ind w:firstLine="360"/>
        <w:rPr>
          <w:b/>
        </w:rPr>
      </w:pPr>
      <w:r w:rsidRPr="00C9704D">
        <w:rPr>
          <w:b/>
        </w:rPr>
        <w:t xml:space="preserve">16.  </w:t>
      </w:r>
      <w:r w:rsidRPr="00C9704D">
        <w:rPr>
          <w:b/>
          <w:u w:val="single"/>
        </w:rPr>
        <w:t>Plans for tabulation, statistical analysis</w:t>
      </w:r>
      <w:r w:rsidRPr="00C9704D" w:rsidR="00A2596F">
        <w:rPr>
          <w:b/>
          <w:u w:val="single"/>
        </w:rPr>
        <w:t xml:space="preserve"> and publication</w:t>
      </w:r>
    </w:p>
    <w:p w:rsidRPr="00C9704D" w:rsidR="00A2596F" w:rsidP="00CB003A" w:rsidRDefault="00A2596F" w14:paraId="20E4660D" w14:textId="77777777"/>
    <w:p w:rsidRPr="00C9704D" w:rsidR="00A2596F" w:rsidP="00DA5F5B" w:rsidRDefault="00D97B1A" w14:paraId="752BC461" w14:textId="77777777">
      <w:r>
        <w:t xml:space="preserve">There are no plans for publication.  </w:t>
      </w:r>
      <w:r w:rsidRPr="00C9704D" w:rsidR="00BA5A05">
        <w:t xml:space="preserve">The Treasury Department will conduct numerous types of analysis on these data.  </w:t>
      </w:r>
      <w:r w:rsidRPr="00C9704D" w:rsidR="0064314F">
        <w:t xml:space="preserve">These analyses will include assessments of </w:t>
      </w:r>
      <w:r w:rsidR="00B64EA2">
        <w:t xml:space="preserve">eligibility and </w:t>
      </w:r>
      <w:r w:rsidRPr="00C9704D" w:rsidR="0064314F">
        <w:t>effectiveness of program</w:t>
      </w:r>
      <w:r w:rsidR="00B64EA2">
        <w:t xml:space="preserve"> activi</w:t>
      </w:r>
      <w:r w:rsidR="001819B9">
        <w:t>ti</w:t>
      </w:r>
      <w:r w:rsidR="00B64EA2">
        <w:t>es</w:t>
      </w:r>
      <w:r w:rsidRPr="00C9704D" w:rsidR="0064314F">
        <w:t xml:space="preserve"> (e.g. </w:t>
      </w:r>
      <w:r w:rsidR="00CF2CA4">
        <w:t>types of activities</w:t>
      </w:r>
      <w:r w:rsidRPr="00C9704D" w:rsidR="0064314F">
        <w:t xml:space="preserve">, </w:t>
      </w:r>
      <w:r w:rsidRPr="00C9704D" w:rsidR="00860267">
        <w:t>amounts funded</w:t>
      </w:r>
      <w:r w:rsidRPr="00C9704D" w:rsidR="005D099C">
        <w:t>)</w:t>
      </w:r>
      <w:r w:rsidRPr="00C9704D" w:rsidR="0064314F">
        <w:t xml:space="preserve"> as well as compliance checks.  </w:t>
      </w:r>
      <w:r w:rsidRPr="00C9704D" w:rsidR="00256911">
        <w:t xml:space="preserve"> </w:t>
      </w:r>
    </w:p>
    <w:p w:rsidR="00E13A9C" w:rsidP="00CB003A" w:rsidRDefault="00E13A9C" w14:paraId="6EC229EB" w14:textId="77777777"/>
    <w:p w:rsidRPr="00C9704D" w:rsidR="00A2596F" w:rsidP="00181F21" w:rsidRDefault="00A2596F" w14:paraId="15A5084E" w14:textId="77777777">
      <w:pPr>
        <w:ind w:firstLine="360"/>
        <w:rPr>
          <w:b/>
        </w:rPr>
      </w:pPr>
      <w:r w:rsidRPr="00C9704D">
        <w:rPr>
          <w:b/>
        </w:rPr>
        <w:t xml:space="preserve">17.  </w:t>
      </w:r>
      <w:r w:rsidRPr="00C9704D">
        <w:rPr>
          <w:b/>
          <w:u w:val="single"/>
        </w:rPr>
        <w:t>Reasons why displaying the OMB expiration date is inappropriate</w:t>
      </w:r>
    </w:p>
    <w:p w:rsidRPr="0025604D" w:rsidR="00A2596F" w:rsidP="00CB003A" w:rsidRDefault="00A2596F" w14:paraId="773C4464" w14:textId="77777777"/>
    <w:p w:rsidRPr="000C3C83" w:rsidR="00A2596F" w:rsidP="006B22D1" w:rsidRDefault="006B47EB" w14:paraId="5E18A909" w14:textId="77777777">
      <w:r>
        <w:lastRenderedPageBreak/>
        <w:t>Display of the expiration date may be confusing to respondents.  Non-display of expiration date is requested.</w:t>
      </w:r>
    </w:p>
    <w:p w:rsidRPr="0025604D" w:rsidR="00E13A9C" w:rsidP="00CB003A" w:rsidRDefault="00E13A9C" w14:paraId="29CF001A" w14:textId="77777777"/>
    <w:p w:rsidRPr="004B7407" w:rsidR="004B7407" w:rsidP="004B7407" w:rsidRDefault="004B7407" w14:paraId="3B851276" w14:textId="77777777">
      <w:pPr>
        <w:ind w:firstLine="360"/>
        <w:rPr>
          <w:b/>
        </w:rPr>
      </w:pPr>
      <w:r w:rsidRPr="004B7407">
        <w:rPr>
          <w:b/>
        </w:rPr>
        <w:t>1</w:t>
      </w:r>
      <w:r w:rsidR="00D97B1A">
        <w:rPr>
          <w:b/>
        </w:rPr>
        <w:t>8</w:t>
      </w:r>
      <w:r w:rsidRPr="004B7407">
        <w:rPr>
          <w:b/>
        </w:rPr>
        <w:t xml:space="preserve">. </w:t>
      </w:r>
      <w:r>
        <w:rPr>
          <w:b/>
        </w:rPr>
        <w:t xml:space="preserve"> </w:t>
      </w:r>
      <w:r>
        <w:rPr>
          <w:b/>
          <w:u w:val="single"/>
        </w:rPr>
        <w:t>Exceptions to c</w:t>
      </w:r>
      <w:r w:rsidR="00D97B1A">
        <w:rPr>
          <w:b/>
          <w:u w:val="single"/>
        </w:rPr>
        <w:t>er</w:t>
      </w:r>
      <w:r>
        <w:rPr>
          <w:b/>
          <w:u w:val="single"/>
        </w:rPr>
        <w:t>tifica</w:t>
      </w:r>
      <w:r w:rsidR="00D97B1A">
        <w:rPr>
          <w:b/>
          <w:u w:val="single"/>
        </w:rPr>
        <w:t>ti</w:t>
      </w:r>
      <w:r>
        <w:rPr>
          <w:b/>
          <w:u w:val="single"/>
        </w:rPr>
        <w:t>on requirement</w:t>
      </w:r>
    </w:p>
    <w:p w:rsidR="004B7407" w:rsidP="00A90BAB" w:rsidRDefault="004B7407" w14:paraId="7B2203DE" w14:textId="77777777"/>
    <w:p w:rsidRPr="0025604D" w:rsidR="00156E23" w:rsidP="00A90BAB" w:rsidRDefault="008D0548" w14:paraId="62FB5508" w14:textId="77777777">
      <w:r>
        <w:t>T</w:t>
      </w:r>
      <w:r w:rsidRPr="0025604D" w:rsidR="000E1F44">
        <w:t>here are no exceptions to the certification statement.</w:t>
      </w:r>
    </w:p>
    <w:sectPr w:rsidRPr="0025604D" w:rsidR="00156E23" w:rsidSect="00512B62">
      <w:headerReference w:type="default" r:id="rId9"/>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E8458" w14:textId="77777777" w:rsidR="006840AD" w:rsidRDefault="006840AD">
      <w:r>
        <w:separator/>
      </w:r>
    </w:p>
  </w:endnote>
  <w:endnote w:type="continuationSeparator" w:id="0">
    <w:p w14:paraId="5978BDBE" w14:textId="77777777" w:rsidR="006840AD" w:rsidRDefault="0068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9F7A2" w14:textId="77777777" w:rsidR="009F5937" w:rsidRDefault="009F5937"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9DF8FD" w14:textId="77777777" w:rsidR="009F5937" w:rsidRDefault="009F5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27319" w14:textId="3415B6EC" w:rsidR="009F5937" w:rsidRDefault="009F5937"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696F">
      <w:rPr>
        <w:rStyle w:val="PageNumber"/>
        <w:noProof/>
      </w:rPr>
      <w:t>7</w:t>
    </w:r>
    <w:r>
      <w:rPr>
        <w:rStyle w:val="PageNumber"/>
      </w:rPr>
      <w:fldChar w:fldCharType="end"/>
    </w:r>
  </w:p>
  <w:p w14:paraId="23564D57" w14:textId="77777777" w:rsidR="009F5937" w:rsidRDefault="009F5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14B6B" w14:textId="77777777" w:rsidR="006840AD" w:rsidRDefault="006840AD">
      <w:r>
        <w:separator/>
      </w:r>
    </w:p>
  </w:footnote>
  <w:footnote w:type="continuationSeparator" w:id="0">
    <w:p w14:paraId="6A6A989D" w14:textId="77777777" w:rsidR="006840AD" w:rsidRDefault="00684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83858" w14:textId="0CBD0C61" w:rsidR="002E171C" w:rsidRDefault="002E171C" w:rsidP="002E171C">
    <w:pPr>
      <w:pStyle w:val="Header"/>
      <w:jc w:val="right"/>
    </w:pPr>
    <w:r>
      <w:t xml:space="preserve">Draft </w:t>
    </w:r>
    <w:r w:rsidR="00F92397">
      <w:t>3</w:t>
    </w:r>
    <w:r>
      <w:t>-</w:t>
    </w:r>
    <w:r w:rsidR="00F92397">
      <w:t>16</w:t>
    </w:r>
    <w:r>
      <w:t>-20</w:t>
    </w:r>
  </w:p>
  <w:p w14:paraId="23F046C5" w14:textId="77777777" w:rsidR="002E171C" w:rsidRDefault="002E1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17"/>
  </w:num>
  <w:num w:numId="4">
    <w:abstractNumId w:val="6"/>
  </w:num>
  <w:num w:numId="5">
    <w:abstractNumId w:val="16"/>
  </w:num>
  <w:num w:numId="6">
    <w:abstractNumId w:val="5"/>
  </w:num>
  <w:num w:numId="7">
    <w:abstractNumId w:val="1"/>
  </w:num>
  <w:num w:numId="8">
    <w:abstractNumId w:val="10"/>
  </w:num>
  <w:num w:numId="9">
    <w:abstractNumId w:val="9"/>
  </w:num>
  <w:num w:numId="10">
    <w:abstractNumId w:val="12"/>
  </w:num>
  <w:num w:numId="11">
    <w:abstractNumId w:val="2"/>
  </w:num>
  <w:num w:numId="12">
    <w:abstractNumId w:val="7"/>
  </w:num>
  <w:num w:numId="13">
    <w:abstractNumId w:val="11"/>
  </w:num>
  <w:num w:numId="14">
    <w:abstractNumId w:val="14"/>
  </w:num>
  <w:num w:numId="15">
    <w:abstractNumId w:val="0"/>
  </w:num>
  <w:num w:numId="16">
    <w:abstractNumId w:val="8"/>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861"/>
    <w:rsid w:val="000047C3"/>
    <w:rsid w:val="000105BD"/>
    <w:rsid w:val="000141C3"/>
    <w:rsid w:val="0001560A"/>
    <w:rsid w:val="00017845"/>
    <w:rsid w:val="000204E2"/>
    <w:rsid w:val="00021D40"/>
    <w:rsid w:val="00022F56"/>
    <w:rsid w:val="00032DA3"/>
    <w:rsid w:val="00053EBD"/>
    <w:rsid w:val="00062B59"/>
    <w:rsid w:val="00073704"/>
    <w:rsid w:val="000762A9"/>
    <w:rsid w:val="00090033"/>
    <w:rsid w:val="000B0264"/>
    <w:rsid w:val="000C1553"/>
    <w:rsid w:val="000C3C83"/>
    <w:rsid w:val="000C7031"/>
    <w:rsid w:val="000E07A3"/>
    <w:rsid w:val="000E1D60"/>
    <w:rsid w:val="000E1F44"/>
    <w:rsid w:val="000E24F5"/>
    <w:rsid w:val="000F2AE6"/>
    <w:rsid w:val="000F53C2"/>
    <w:rsid w:val="001022FC"/>
    <w:rsid w:val="00105553"/>
    <w:rsid w:val="00106A18"/>
    <w:rsid w:val="00110D39"/>
    <w:rsid w:val="001110E6"/>
    <w:rsid w:val="00112D71"/>
    <w:rsid w:val="001139DB"/>
    <w:rsid w:val="00113C21"/>
    <w:rsid w:val="00114490"/>
    <w:rsid w:val="00122583"/>
    <w:rsid w:val="001374B1"/>
    <w:rsid w:val="0013796F"/>
    <w:rsid w:val="00146E55"/>
    <w:rsid w:val="00147A26"/>
    <w:rsid w:val="00156E23"/>
    <w:rsid w:val="00161711"/>
    <w:rsid w:val="001648D5"/>
    <w:rsid w:val="00165343"/>
    <w:rsid w:val="00166F8F"/>
    <w:rsid w:val="00170A86"/>
    <w:rsid w:val="00171230"/>
    <w:rsid w:val="001742C4"/>
    <w:rsid w:val="00174A47"/>
    <w:rsid w:val="001819B9"/>
    <w:rsid w:val="001819F2"/>
    <w:rsid w:val="00181F21"/>
    <w:rsid w:val="00182322"/>
    <w:rsid w:val="0018375D"/>
    <w:rsid w:val="00186409"/>
    <w:rsid w:val="00187672"/>
    <w:rsid w:val="001945CA"/>
    <w:rsid w:val="001A1B5B"/>
    <w:rsid w:val="001A71B7"/>
    <w:rsid w:val="001A7272"/>
    <w:rsid w:val="001B591E"/>
    <w:rsid w:val="001D4D0C"/>
    <w:rsid w:val="001E0C02"/>
    <w:rsid w:val="001E4BCF"/>
    <w:rsid w:val="001F31FB"/>
    <w:rsid w:val="002155B4"/>
    <w:rsid w:val="0022132A"/>
    <w:rsid w:val="00225E39"/>
    <w:rsid w:val="00237FAA"/>
    <w:rsid w:val="0024000F"/>
    <w:rsid w:val="002465AC"/>
    <w:rsid w:val="002465E2"/>
    <w:rsid w:val="00252599"/>
    <w:rsid w:val="0025330A"/>
    <w:rsid w:val="002551F6"/>
    <w:rsid w:val="0025604D"/>
    <w:rsid w:val="00256911"/>
    <w:rsid w:val="00260CEB"/>
    <w:rsid w:val="00265D6E"/>
    <w:rsid w:val="00271992"/>
    <w:rsid w:val="00272E50"/>
    <w:rsid w:val="00275D84"/>
    <w:rsid w:val="0027696F"/>
    <w:rsid w:val="00276E84"/>
    <w:rsid w:val="00277F1D"/>
    <w:rsid w:val="0028499E"/>
    <w:rsid w:val="002920BD"/>
    <w:rsid w:val="00293974"/>
    <w:rsid w:val="002B6FA7"/>
    <w:rsid w:val="002C1CB0"/>
    <w:rsid w:val="002C2A5D"/>
    <w:rsid w:val="002C3FA6"/>
    <w:rsid w:val="002D268B"/>
    <w:rsid w:val="002E171C"/>
    <w:rsid w:val="002E4398"/>
    <w:rsid w:val="002F2729"/>
    <w:rsid w:val="002F4085"/>
    <w:rsid w:val="00302265"/>
    <w:rsid w:val="00314168"/>
    <w:rsid w:val="003265D6"/>
    <w:rsid w:val="00341D1E"/>
    <w:rsid w:val="003506E7"/>
    <w:rsid w:val="00365005"/>
    <w:rsid w:val="00370853"/>
    <w:rsid w:val="00380639"/>
    <w:rsid w:val="00390A50"/>
    <w:rsid w:val="00394A61"/>
    <w:rsid w:val="003A0E21"/>
    <w:rsid w:val="003A59D2"/>
    <w:rsid w:val="003B6624"/>
    <w:rsid w:val="003B792F"/>
    <w:rsid w:val="003C068B"/>
    <w:rsid w:val="003C1AB8"/>
    <w:rsid w:val="003E59BE"/>
    <w:rsid w:val="003F3118"/>
    <w:rsid w:val="003F59C0"/>
    <w:rsid w:val="00403DA0"/>
    <w:rsid w:val="004063EA"/>
    <w:rsid w:val="00406DAA"/>
    <w:rsid w:val="00411121"/>
    <w:rsid w:val="0044510E"/>
    <w:rsid w:val="004564BB"/>
    <w:rsid w:val="00460B20"/>
    <w:rsid w:val="00474021"/>
    <w:rsid w:val="00475731"/>
    <w:rsid w:val="0048426A"/>
    <w:rsid w:val="004A7CC6"/>
    <w:rsid w:val="004B06B5"/>
    <w:rsid w:val="004B0AEF"/>
    <w:rsid w:val="004B1400"/>
    <w:rsid w:val="004B32A0"/>
    <w:rsid w:val="004B54E0"/>
    <w:rsid w:val="004B7407"/>
    <w:rsid w:val="004E3665"/>
    <w:rsid w:val="004E6996"/>
    <w:rsid w:val="004F09CA"/>
    <w:rsid w:val="004F5145"/>
    <w:rsid w:val="004F79CC"/>
    <w:rsid w:val="00512B62"/>
    <w:rsid w:val="0052662E"/>
    <w:rsid w:val="00534EA9"/>
    <w:rsid w:val="00535AD0"/>
    <w:rsid w:val="005366FC"/>
    <w:rsid w:val="0054191E"/>
    <w:rsid w:val="005678EC"/>
    <w:rsid w:val="00572D2C"/>
    <w:rsid w:val="005744E4"/>
    <w:rsid w:val="00577B83"/>
    <w:rsid w:val="0058262E"/>
    <w:rsid w:val="00587447"/>
    <w:rsid w:val="00587D50"/>
    <w:rsid w:val="00597B8E"/>
    <w:rsid w:val="005A1476"/>
    <w:rsid w:val="005A1D4B"/>
    <w:rsid w:val="005A5C1B"/>
    <w:rsid w:val="005B4124"/>
    <w:rsid w:val="005C533B"/>
    <w:rsid w:val="005C7887"/>
    <w:rsid w:val="005D099C"/>
    <w:rsid w:val="005E5A57"/>
    <w:rsid w:val="005F5202"/>
    <w:rsid w:val="0060168D"/>
    <w:rsid w:val="006049CB"/>
    <w:rsid w:val="00610580"/>
    <w:rsid w:val="00612025"/>
    <w:rsid w:val="006137E1"/>
    <w:rsid w:val="00616A24"/>
    <w:rsid w:val="0063065F"/>
    <w:rsid w:val="00633442"/>
    <w:rsid w:val="0064051D"/>
    <w:rsid w:val="0064314F"/>
    <w:rsid w:val="006536E9"/>
    <w:rsid w:val="00666B6D"/>
    <w:rsid w:val="006678F4"/>
    <w:rsid w:val="00680A45"/>
    <w:rsid w:val="00681FB6"/>
    <w:rsid w:val="006840AD"/>
    <w:rsid w:val="00685C0A"/>
    <w:rsid w:val="00686C1F"/>
    <w:rsid w:val="006929AD"/>
    <w:rsid w:val="00697481"/>
    <w:rsid w:val="006B22D1"/>
    <w:rsid w:val="006B3E5B"/>
    <w:rsid w:val="006B47EB"/>
    <w:rsid w:val="006B6DF9"/>
    <w:rsid w:val="006C101A"/>
    <w:rsid w:val="006E02EB"/>
    <w:rsid w:val="006F02DD"/>
    <w:rsid w:val="00707BDE"/>
    <w:rsid w:val="0072166B"/>
    <w:rsid w:val="007313DF"/>
    <w:rsid w:val="00741F3C"/>
    <w:rsid w:val="00744AC4"/>
    <w:rsid w:val="00756FAF"/>
    <w:rsid w:val="007614AA"/>
    <w:rsid w:val="00764D4B"/>
    <w:rsid w:val="00775C08"/>
    <w:rsid w:val="00780878"/>
    <w:rsid w:val="00781EF6"/>
    <w:rsid w:val="00786629"/>
    <w:rsid w:val="00795CCA"/>
    <w:rsid w:val="00795EFD"/>
    <w:rsid w:val="00797276"/>
    <w:rsid w:val="007A0410"/>
    <w:rsid w:val="007C1D59"/>
    <w:rsid w:val="007E596A"/>
    <w:rsid w:val="007E69B3"/>
    <w:rsid w:val="007F0335"/>
    <w:rsid w:val="007F0AC9"/>
    <w:rsid w:val="0080025A"/>
    <w:rsid w:val="00802F36"/>
    <w:rsid w:val="00810E73"/>
    <w:rsid w:val="00811E1F"/>
    <w:rsid w:val="0081495E"/>
    <w:rsid w:val="00821205"/>
    <w:rsid w:val="00856DD0"/>
    <w:rsid w:val="00860267"/>
    <w:rsid w:val="00861BDE"/>
    <w:rsid w:val="0087613A"/>
    <w:rsid w:val="008821EF"/>
    <w:rsid w:val="00891D3E"/>
    <w:rsid w:val="00896327"/>
    <w:rsid w:val="008A5AEA"/>
    <w:rsid w:val="008B64D0"/>
    <w:rsid w:val="008B7CB1"/>
    <w:rsid w:val="008C31DD"/>
    <w:rsid w:val="008D0548"/>
    <w:rsid w:val="008D211C"/>
    <w:rsid w:val="008D6002"/>
    <w:rsid w:val="00907541"/>
    <w:rsid w:val="00913A34"/>
    <w:rsid w:val="009175C3"/>
    <w:rsid w:val="00921EA8"/>
    <w:rsid w:val="009259D5"/>
    <w:rsid w:val="00925B03"/>
    <w:rsid w:val="00940B2A"/>
    <w:rsid w:val="00950A9E"/>
    <w:rsid w:val="00953166"/>
    <w:rsid w:val="00960D41"/>
    <w:rsid w:val="00961823"/>
    <w:rsid w:val="00963D0A"/>
    <w:rsid w:val="00970625"/>
    <w:rsid w:val="00977D3A"/>
    <w:rsid w:val="00983B56"/>
    <w:rsid w:val="00986077"/>
    <w:rsid w:val="00990870"/>
    <w:rsid w:val="009957B3"/>
    <w:rsid w:val="009A1A7C"/>
    <w:rsid w:val="009B6250"/>
    <w:rsid w:val="009B6FA0"/>
    <w:rsid w:val="009B7C7D"/>
    <w:rsid w:val="009D6D37"/>
    <w:rsid w:val="009E4CDC"/>
    <w:rsid w:val="009E5FD8"/>
    <w:rsid w:val="009F45CC"/>
    <w:rsid w:val="009F4D1C"/>
    <w:rsid w:val="009F5937"/>
    <w:rsid w:val="00A00740"/>
    <w:rsid w:val="00A014CE"/>
    <w:rsid w:val="00A10A09"/>
    <w:rsid w:val="00A10CD2"/>
    <w:rsid w:val="00A137BE"/>
    <w:rsid w:val="00A14618"/>
    <w:rsid w:val="00A22870"/>
    <w:rsid w:val="00A2596F"/>
    <w:rsid w:val="00A41E99"/>
    <w:rsid w:val="00A51E18"/>
    <w:rsid w:val="00A6381F"/>
    <w:rsid w:val="00A67505"/>
    <w:rsid w:val="00A70FB9"/>
    <w:rsid w:val="00A73817"/>
    <w:rsid w:val="00A73FE3"/>
    <w:rsid w:val="00A75336"/>
    <w:rsid w:val="00A81BCB"/>
    <w:rsid w:val="00A90BAB"/>
    <w:rsid w:val="00A91D99"/>
    <w:rsid w:val="00A95A75"/>
    <w:rsid w:val="00AA13C1"/>
    <w:rsid w:val="00AA65FC"/>
    <w:rsid w:val="00AE07D3"/>
    <w:rsid w:val="00AE7799"/>
    <w:rsid w:val="00AF0BF9"/>
    <w:rsid w:val="00AF115F"/>
    <w:rsid w:val="00B002FE"/>
    <w:rsid w:val="00B10AC2"/>
    <w:rsid w:val="00B21358"/>
    <w:rsid w:val="00B31CDA"/>
    <w:rsid w:val="00B36755"/>
    <w:rsid w:val="00B3747A"/>
    <w:rsid w:val="00B44DE1"/>
    <w:rsid w:val="00B50861"/>
    <w:rsid w:val="00B52D55"/>
    <w:rsid w:val="00B601FF"/>
    <w:rsid w:val="00B61494"/>
    <w:rsid w:val="00B64EA2"/>
    <w:rsid w:val="00B716A8"/>
    <w:rsid w:val="00BA0D32"/>
    <w:rsid w:val="00BA51F9"/>
    <w:rsid w:val="00BA59A6"/>
    <w:rsid w:val="00BA5A05"/>
    <w:rsid w:val="00BA67F9"/>
    <w:rsid w:val="00BB4BD8"/>
    <w:rsid w:val="00BB766F"/>
    <w:rsid w:val="00BC16C0"/>
    <w:rsid w:val="00BC1BAC"/>
    <w:rsid w:val="00BE34DF"/>
    <w:rsid w:val="00BE4F64"/>
    <w:rsid w:val="00BF7366"/>
    <w:rsid w:val="00C00259"/>
    <w:rsid w:val="00C0391A"/>
    <w:rsid w:val="00C06D3B"/>
    <w:rsid w:val="00C07AF0"/>
    <w:rsid w:val="00C27364"/>
    <w:rsid w:val="00C3022F"/>
    <w:rsid w:val="00C31808"/>
    <w:rsid w:val="00C34ABE"/>
    <w:rsid w:val="00C36F16"/>
    <w:rsid w:val="00C60DF5"/>
    <w:rsid w:val="00C632D7"/>
    <w:rsid w:val="00C75252"/>
    <w:rsid w:val="00C778FE"/>
    <w:rsid w:val="00C81F65"/>
    <w:rsid w:val="00C954EA"/>
    <w:rsid w:val="00C9704D"/>
    <w:rsid w:val="00CB003A"/>
    <w:rsid w:val="00CC0B33"/>
    <w:rsid w:val="00CC4534"/>
    <w:rsid w:val="00CD58CD"/>
    <w:rsid w:val="00CE2D06"/>
    <w:rsid w:val="00CE332E"/>
    <w:rsid w:val="00CF2CA4"/>
    <w:rsid w:val="00CF4A47"/>
    <w:rsid w:val="00D01021"/>
    <w:rsid w:val="00D12A06"/>
    <w:rsid w:val="00D24A88"/>
    <w:rsid w:val="00D367C2"/>
    <w:rsid w:val="00D77556"/>
    <w:rsid w:val="00D8477F"/>
    <w:rsid w:val="00D87D0B"/>
    <w:rsid w:val="00D905A2"/>
    <w:rsid w:val="00D97B1A"/>
    <w:rsid w:val="00DA033B"/>
    <w:rsid w:val="00DA35D5"/>
    <w:rsid w:val="00DA5F5B"/>
    <w:rsid w:val="00DB29A8"/>
    <w:rsid w:val="00DD050F"/>
    <w:rsid w:val="00DD6046"/>
    <w:rsid w:val="00DD6760"/>
    <w:rsid w:val="00DE7858"/>
    <w:rsid w:val="00DF17C1"/>
    <w:rsid w:val="00DF3373"/>
    <w:rsid w:val="00E03DE3"/>
    <w:rsid w:val="00E07A7C"/>
    <w:rsid w:val="00E11EDD"/>
    <w:rsid w:val="00E13A9C"/>
    <w:rsid w:val="00E146F2"/>
    <w:rsid w:val="00E20513"/>
    <w:rsid w:val="00E238E9"/>
    <w:rsid w:val="00E24973"/>
    <w:rsid w:val="00E45F6B"/>
    <w:rsid w:val="00E71397"/>
    <w:rsid w:val="00E77A64"/>
    <w:rsid w:val="00E8070F"/>
    <w:rsid w:val="00E80CE1"/>
    <w:rsid w:val="00E8245B"/>
    <w:rsid w:val="00E92231"/>
    <w:rsid w:val="00E96BF2"/>
    <w:rsid w:val="00EB5E62"/>
    <w:rsid w:val="00EC0DB0"/>
    <w:rsid w:val="00EC5FAF"/>
    <w:rsid w:val="00ED4EC9"/>
    <w:rsid w:val="00EE0B0E"/>
    <w:rsid w:val="00EF748D"/>
    <w:rsid w:val="00EF781C"/>
    <w:rsid w:val="00F02CD8"/>
    <w:rsid w:val="00F23B72"/>
    <w:rsid w:val="00F24F5A"/>
    <w:rsid w:val="00F27C5F"/>
    <w:rsid w:val="00F31337"/>
    <w:rsid w:val="00F3231F"/>
    <w:rsid w:val="00F41911"/>
    <w:rsid w:val="00F4591C"/>
    <w:rsid w:val="00F51DC7"/>
    <w:rsid w:val="00F561A0"/>
    <w:rsid w:val="00F56D95"/>
    <w:rsid w:val="00F6095F"/>
    <w:rsid w:val="00F72D0B"/>
    <w:rsid w:val="00F7395C"/>
    <w:rsid w:val="00F75F2D"/>
    <w:rsid w:val="00F77798"/>
    <w:rsid w:val="00F92397"/>
    <w:rsid w:val="00F9526D"/>
    <w:rsid w:val="00FA30DB"/>
    <w:rsid w:val="00FA49D0"/>
    <w:rsid w:val="00FA6B23"/>
    <w:rsid w:val="00FB0552"/>
    <w:rsid w:val="00FB7F1C"/>
    <w:rsid w:val="00FC174E"/>
    <w:rsid w:val="00FC2B60"/>
    <w:rsid w:val="00FD0BF8"/>
    <w:rsid w:val="00FD0D7E"/>
    <w:rsid w:val="00FE40CB"/>
    <w:rsid w:val="00FE5155"/>
    <w:rsid w:val="00FE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D5213"/>
  <w15:docId w15:val="{BF852222-8FC1-409A-B290-3D997168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link w:val="HeaderChar"/>
    <w:uiPriority w:val="99"/>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character" w:customStyle="1" w:styleId="HeaderChar">
    <w:name w:val="Header Char"/>
    <w:basedOn w:val="DefaultParagraphFont"/>
    <w:link w:val="Header"/>
    <w:uiPriority w:val="99"/>
    <w:rsid w:val="002E171C"/>
    <w:rPr>
      <w:sz w:val="24"/>
      <w:szCs w:val="24"/>
    </w:rPr>
  </w:style>
  <w:style w:type="character" w:styleId="Hyperlink">
    <w:name w:val="Hyperlink"/>
    <w:basedOn w:val="DefaultParagraphFont"/>
    <w:unhideWhenUsed/>
    <w:rsid w:val="00272E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855270355">
      <w:bodyDiv w:val="1"/>
      <w:marLeft w:val="0"/>
      <w:marRight w:val="0"/>
      <w:marTop w:val="0"/>
      <w:marBottom w:val="0"/>
      <w:divBdr>
        <w:top w:val="none" w:sz="0" w:space="0" w:color="auto"/>
        <w:left w:val="none" w:sz="0" w:space="0" w:color="auto"/>
        <w:bottom w:val="none" w:sz="0" w:space="0" w:color="auto"/>
        <w:right w:val="none" w:sz="0" w:space="0" w:color="auto"/>
      </w:divBdr>
    </w:div>
    <w:div w:id="1165828576">
      <w:bodyDiv w:val="1"/>
      <w:marLeft w:val="0"/>
      <w:marRight w:val="0"/>
      <w:marTop w:val="0"/>
      <w:marBottom w:val="0"/>
      <w:divBdr>
        <w:top w:val="none" w:sz="0" w:space="0" w:color="auto"/>
        <w:left w:val="none" w:sz="0" w:space="0" w:color="auto"/>
        <w:bottom w:val="none" w:sz="0" w:space="0" w:color="auto"/>
        <w:right w:val="none" w:sz="0" w:space="0" w:color="auto"/>
      </w:divBdr>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20Tables/html/DCB.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523AF-3058-4298-BBF0-5A1DF88D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1895</Words>
  <Characters>11360</Characters>
  <Application>Microsoft Office Word</Application>
  <DocSecurity>0</DocSecurity>
  <Lines>597</Lines>
  <Paragraphs>254</Paragraphs>
  <ScaleCrop>false</ScaleCrop>
  <HeadingPairs>
    <vt:vector size="2" baseType="variant">
      <vt:variant>
        <vt:lpstr>Title</vt:lpstr>
      </vt:variant>
      <vt:variant>
        <vt:i4>1</vt:i4>
      </vt:variant>
    </vt:vector>
  </HeadingPairs>
  <TitlesOfParts>
    <vt:vector size="1" baseType="lpstr">
      <vt:lpstr>#1505-0250 supporting statement</vt:lpstr>
    </vt:vector>
  </TitlesOfParts>
  <Company>U.S. Department of the Treasury</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#1505-0250 supporting statement</dc:title>
  <dc:creator>jev</dc:creator>
  <dc:description>Office of Gulf Coast Restoration information collection</dc:description>
  <cp:lastModifiedBy>Clark, Spencer</cp:lastModifiedBy>
  <cp:revision>3</cp:revision>
  <cp:lastPrinted>2020-02-25T19:25:00Z</cp:lastPrinted>
  <dcterms:created xsi:type="dcterms:W3CDTF">2020-03-17T19:12:00Z</dcterms:created>
  <dcterms:modified xsi:type="dcterms:W3CDTF">2020-03-17T19:13:00Z</dcterms:modified>
</cp:coreProperties>
</file>