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C5" w:rsidP="006466C5" w:rsidRDefault="006466C5" w14:paraId="748C77DB" w14:textId="77777777">
      <w:pPr>
        <w:widowControl/>
        <w:rPr>
          <w:rFonts w:ascii="Times New Roman" w:hAnsi="Times New Roman"/>
        </w:rPr>
      </w:pPr>
      <w:bookmarkStart w:name="QuickMark" w:id="0"/>
      <w:bookmarkEnd w:id="0"/>
      <w:r w:rsidRPr="00FA3AF2">
        <w:rPr>
          <w:rFonts w:ascii="Times New Roman" w:hAnsi="Times New Roman"/>
        </w:rPr>
        <w:t>SUPPORTING STATEMENT FOR PAPERWORK REDUCTION ACT OF 1995 SUBMISSIONS</w:t>
      </w:r>
    </w:p>
    <w:p w:rsidR="00962C5A" w:rsidP="00962C5A" w:rsidRDefault="00962C5A" w14:paraId="47F93B00" w14:textId="77777777">
      <w:pPr>
        <w:widowControl/>
        <w:rPr>
          <w:rFonts w:ascii="Times New Roman" w:hAnsi="Times New Roman"/>
        </w:rPr>
      </w:pPr>
    </w:p>
    <w:p w:rsidR="001B23F0" w:rsidP="00DC6B30" w:rsidRDefault="001B23F0" w14:paraId="3F595940" w14:textId="7D60BE7A">
      <w:pPr>
        <w:widowControl/>
        <w:rPr>
          <w:rFonts w:ascii="Times New Roman" w:hAnsi="Times New Roman"/>
        </w:rPr>
      </w:pPr>
      <w:r w:rsidRPr="001B23F0">
        <w:rPr>
          <w:rFonts w:ascii="Times New Roman" w:hAnsi="Times New Roman"/>
          <w:color w:val="000000"/>
        </w:rPr>
        <w:t xml:space="preserve">This ICR seeks to revise the </w:t>
      </w:r>
      <w:r>
        <w:rPr>
          <w:rFonts w:ascii="Times New Roman" w:hAnsi="Times New Roman"/>
          <w:color w:val="000000"/>
        </w:rPr>
        <w:t>Summary Plan Description Requirements</w:t>
      </w:r>
      <w:r w:rsidRPr="001B23F0">
        <w:rPr>
          <w:rFonts w:ascii="Times New Roman" w:hAnsi="Times New Roman"/>
          <w:color w:val="000000"/>
        </w:rPr>
        <w:t xml:space="preserve"> reflecting changes in the number of notices sent electronically due to </w:t>
      </w:r>
      <w:r w:rsidRPr="006F6521">
        <w:rPr>
          <w:rFonts w:ascii="Times New Roman" w:hAnsi="Times New Roman"/>
        </w:rPr>
        <w:t>the Department</w:t>
      </w:r>
      <w:r>
        <w:rPr>
          <w:rFonts w:ascii="Times New Roman" w:hAnsi="Times New Roman"/>
        </w:rPr>
        <w:t xml:space="preserve">’s </w:t>
      </w:r>
      <w:r w:rsidR="00CA22FA">
        <w:rPr>
          <w:rFonts w:ascii="Times New Roman" w:hAnsi="Times New Roman"/>
        </w:rPr>
        <w:t xml:space="preserve">finalized </w:t>
      </w:r>
      <w:r w:rsidRPr="006F6521">
        <w:rPr>
          <w:rFonts w:ascii="Times New Roman" w:hAnsi="Times New Roman"/>
        </w:rPr>
        <w:t>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rsidRPr="00FA3AF2" w:rsidR="006466C5" w:rsidP="006466C5" w:rsidRDefault="006466C5" w14:paraId="5F5B0EBC" w14:textId="77777777">
      <w:pPr>
        <w:widowControl/>
        <w:ind w:left="720"/>
        <w:rPr>
          <w:rFonts w:ascii="Times New Roman" w:hAnsi="Times New Roman"/>
        </w:rPr>
      </w:pPr>
    </w:p>
    <w:p w:rsidRPr="00FA3AF2" w:rsidR="006466C5" w:rsidP="006466C5" w:rsidRDefault="006466C5" w14:paraId="43513C35" w14:textId="77777777">
      <w:pPr>
        <w:widowControl/>
        <w:numPr>
          <w:ilvl w:val="0"/>
          <w:numId w:val="5"/>
        </w:numPr>
        <w:ind w:hanging="720"/>
        <w:rPr>
          <w:rFonts w:ascii="Times New Roman" w:hAnsi="Times New Roman"/>
          <w:b/>
          <w:bCs/>
        </w:rPr>
      </w:pPr>
      <w:r w:rsidRPr="00FA3AF2">
        <w:rPr>
          <w:rFonts w:ascii="Times New Roman" w:hAnsi="Times New Roman"/>
          <w:b/>
          <w:bCs/>
        </w:rPr>
        <w:t>Justification</w:t>
      </w:r>
    </w:p>
    <w:p w:rsidRPr="0094185B" w:rsidR="006466C5" w:rsidP="0094185B" w:rsidRDefault="006466C5" w14:paraId="1E7F850A" w14:textId="77777777">
      <w:pPr>
        <w:widowControl/>
        <w:ind w:left="720"/>
        <w:rPr>
          <w:rFonts w:ascii="Times New Roman" w:hAnsi="Times New Roman"/>
          <w:bCs/>
        </w:rPr>
      </w:pPr>
    </w:p>
    <w:p w:rsidRPr="00BE0012" w:rsidR="007732A6" w:rsidP="006751C9" w:rsidRDefault="007732A6" w14:paraId="1D1F8490"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1.</w:t>
      </w:r>
      <w:r w:rsidRPr="00BE0012">
        <w:rPr>
          <w:rFonts w:ascii="Times New Roman" w:hAnsi="Times New Roman"/>
          <w:color w:val="000000"/>
        </w:rPr>
        <w:tab/>
      </w:r>
      <w:r w:rsidRPr="00BE0012">
        <w:rPr>
          <w:rFonts w:ascii="Times New Roman" w:hAnsi="Times New Roman"/>
          <w:i/>
          <w:i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0012" w:rsidR="007732A6" w:rsidP="006751C9" w:rsidRDefault="007732A6" w14:paraId="5D2D3711" w14:textId="77777777">
      <w:pPr>
        <w:widowControl/>
        <w:ind w:left="720"/>
        <w:rPr>
          <w:rFonts w:ascii="Times New Roman" w:hAnsi="Times New Roman"/>
          <w:color w:val="000000"/>
        </w:rPr>
      </w:pPr>
    </w:p>
    <w:p w:rsidRPr="00BE0012" w:rsidR="009935E4" w:rsidP="006751C9" w:rsidRDefault="007732A6" w14:paraId="2AA66E34" w14:textId="77777777">
      <w:pPr>
        <w:widowControl/>
        <w:ind w:left="720"/>
        <w:rPr>
          <w:rFonts w:ascii="Times New Roman" w:hAnsi="Times New Roman"/>
          <w:color w:val="000000"/>
        </w:rPr>
      </w:pPr>
      <w:r w:rsidRPr="00BE0012">
        <w:rPr>
          <w:rFonts w:ascii="Times New Roman" w:hAnsi="Times New Roman"/>
          <w:color w:val="000000"/>
        </w:rPr>
        <w:t xml:space="preserve">Section 104(b)(1) of the Employee Retirement </w:t>
      </w:r>
      <w:r w:rsidRPr="00BE0012" w:rsidR="00215DD1">
        <w:rPr>
          <w:rFonts w:ascii="Times New Roman" w:hAnsi="Times New Roman"/>
          <w:color w:val="000000"/>
        </w:rPr>
        <w:t xml:space="preserve">Income </w:t>
      </w:r>
      <w:r w:rsidRPr="00BE0012">
        <w:rPr>
          <w:rFonts w:ascii="Times New Roman" w:hAnsi="Times New Roman"/>
          <w:color w:val="000000"/>
        </w:rPr>
        <w:t xml:space="preserve">Security Act of 1974 (ERISA) requires the administrator of an employee benefit plan </w:t>
      </w:r>
      <w:r w:rsidRPr="00BE0012" w:rsidR="00E502B0">
        <w:rPr>
          <w:rFonts w:ascii="Times New Roman" w:hAnsi="Times New Roman"/>
          <w:color w:val="000000"/>
        </w:rPr>
        <w:t xml:space="preserve">to </w:t>
      </w:r>
      <w:r w:rsidRPr="00BE0012">
        <w:rPr>
          <w:rFonts w:ascii="Times New Roman" w:hAnsi="Times New Roman"/>
          <w:color w:val="000000"/>
        </w:rPr>
        <w:t xml:space="preserve">furnish </w:t>
      </w:r>
      <w:r w:rsidRPr="00BE0012" w:rsidR="00E502B0">
        <w:rPr>
          <w:rFonts w:ascii="Times New Roman" w:hAnsi="Times New Roman"/>
          <w:color w:val="000000"/>
        </w:rPr>
        <w:t xml:space="preserve">each </w:t>
      </w:r>
      <w:r w:rsidRPr="00BE0012">
        <w:rPr>
          <w:rFonts w:ascii="Times New Roman" w:hAnsi="Times New Roman"/>
          <w:color w:val="000000"/>
        </w:rPr>
        <w:t>plan participa</w:t>
      </w:r>
      <w:r w:rsidRPr="00BE0012" w:rsidR="00E502B0">
        <w:rPr>
          <w:rFonts w:ascii="Times New Roman" w:hAnsi="Times New Roman"/>
          <w:color w:val="000000"/>
        </w:rPr>
        <w:t>nt</w:t>
      </w:r>
      <w:r w:rsidRPr="00BE0012">
        <w:rPr>
          <w:rFonts w:ascii="Times New Roman" w:hAnsi="Times New Roman"/>
          <w:color w:val="000000"/>
        </w:rPr>
        <w:t xml:space="preserve"> and </w:t>
      </w:r>
      <w:r w:rsidRPr="00BE0012" w:rsidR="00E502B0">
        <w:rPr>
          <w:rFonts w:ascii="Times New Roman" w:hAnsi="Times New Roman"/>
          <w:color w:val="000000"/>
        </w:rPr>
        <w:t>each beneficiary receiving benefits under the plan a</w:t>
      </w:r>
      <w:r w:rsidRPr="00BE0012">
        <w:rPr>
          <w:rFonts w:ascii="Times New Roman" w:hAnsi="Times New Roman"/>
          <w:color w:val="000000"/>
        </w:rPr>
        <w:t xml:space="preserve"> </w:t>
      </w:r>
      <w:r w:rsidRPr="00BE0012" w:rsidR="00E502B0">
        <w:rPr>
          <w:rFonts w:ascii="Times New Roman" w:hAnsi="Times New Roman"/>
          <w:color w:val="000000"/>
        </w:rPr>
        <w:t>copy of the plan’s s</w:t>
      </w:r>
      <w:r w:rsidRPr="00BE0012">
        <w:rPr>
          <w:rFonts w:ascii="Times New Roman" w:hAnsi="Times New Roman"/>
          <w:color w:val="000000"/>
        </w:rPr>
        <w:t xml:space="preserve">ummary </w:t>
      </w:r>
      <w:r w:rsidRPr="00BE0012" w:rsidR="00E502B0">
        <w:rPr>
          <w:rFonts w:ascii="Times New Roman" w:hAnsi="Times New Roman"/>
          <w:color w:val="000000"/>
        </w:rPr>
        <w:t>p</w:t>
      </w:r>
      <w:r w:rsidRPr="00BE0012">
        <w:rPr>
          <w:rFonts w:ascii="Times New Roman" w:hAnsi="Times New Roman"/>
          <w:color w:val="000000"/>
        </w:rPr>
        <w:t xml:space="preserve">lan </w:t>
      </w:r>
      <w:r w:rsidRPr="00BE0012" w:rsidR="00E502B0">
        <w:rPr>
          <w:rFonts w:ascii="Times New Roman" w:hAnsi="Times New Roman"/>
          <w:color w:val="000000"/>
        </w:rPr>
        <w:t>description (SPD</w:t>
      </w:r>
      <w:r w:rsidRPr="00BE0012">
        <w:rPr>
          <w:rFonts w:ascii="Times New Roman" w:hAnsi="Times New Roman"/>
          <w:color w:val="000000"/>
        </w:rPr>
        <w:t xml:space="preserve">) </w:t>
      </w:r>
      <w:r w:rsidRPr="00BE0012" w:rsidR="00E502B0">
        <w:rPr>
          <w:rFonts w:ascii="Times New Roman" w:hAnsi="Times New Roman"/>
          <w:color w:val="000000"/>
        </w:rPr>
        <w:t xml:space="preserve">within 90 days after an individual becomes a participant </w:t>
      </w:r>
      <w:r w:rsidRPr="00BE0012" w:rsidR="009935E4">
        <w:rPr>
          <w:rFonts w:ascii="Times New Roman" w:hAnsi="Times New Roman"/>
          <w:color w:val="000000"/>
        </w:rPr>
        <w:t>and</w:t>
      </w:r>
      <w:r w:rsidRPr="00BE0012" w:rsidR="00E502B0">
        <w:rPr>
          <w:rFonts w:ascii="Times New Roman" w:hAnsi="Times New Roman"/>
          <w:color w:val="000000"/>
        </w:rPr>
        <w:t xml:space="preserve"> (in the case of a beneficiary) within 90 days af</w:t>
      </w:r>
      <w:r w:rsidRPr="00BE0012" w:rsidR="00B238FA">
        <w:rPr>
          <w:rFonts w:ascii="Times New Roman" w:hAnsi="Times New Roman"/>
          <w:color w:val="000000"/>
        </w:rPr>
        <w:t>ter an individual first receives</w:t>
      </w:r>
      <w:r w:rsidRPr="00BE0012" w:rsidR="00E502B0">
        <w:rPr>
          <w:rFonts w:ascii="Times New Roman" w:hAnsi="Times New Roman"/>
          <w:color w:val="000000"/>
        </w:rPr>
        <w:t xml:space="preserve"> benefits</w:t>
      </w:r>
      <w:r w:rsidRPr="00BE0012" w:rsidR="009935E4">
        <w:rPr>
          <w:rFonts w:ascii="Times New Roman" w:hAnsi="Times New Roman"/>
          <w:color w:val="000000"/>
        </w:rPr>
        <w:t>, or, if later, within 120 days after the plan first becomes subject to Part 2 of Title I of ERISA</w:t>
      </w:r>
      <w:r w:rsidRPr="00BE0012" w:rsidR="00E502B0">
        <w:rPr>
          <w:rFonts w:ascii="Times New Roman" w:hAnsi="Times New Roman"/>
          <w:color w:val="000000"/>
        </w:rPr>
        <w:t xml:space="preserve">.  </w:t>
      </w:r>
      <w:r w:rsidRPr="00BE0012" w:rsidR="009935E4">
        <w:rPr>
          <w:rFonts w:ascii="Times New Roman" w:hAnsi="Times New Roman"/>
          <w:color w:val="000000"/>
        </w:rPr>
        <w:t>Section 104(b</w:t>
      </w:r>
      <w:proofErr w:type="gramStart"/>
      <w:r w:rsidRPr="00BE0012" w:rsidR="009935E4">
        <w:rPr>
          <w:rFonts w:ascii="Times New Roman" w:hAnsi="Times New Roman"/>
          <w:color w:val="000000"/>
        </w:rPr>
        <w:t>)(</w:t>
      </w:r>
      <w:proofErr w:type="gramEnd"/>
      <w:r w:rsidRPr="00BE0012" w:rsidR="009935E4">
        <w:rPr>
          <w:rFonts w:ascii="Times New Roman" w:hAnsi="Times New Roman"/>
          <w:color w:val="000000"/>
        </w:rPr>
        <w:t>1) further specifies that an updated SPD must be furnished subsequently every fifth year, integrating all plan amendments made within such five-year period.</w:t>
      </w:r>
      <w:r w:rsidRPr="00BE0012" w:rsidR="009935E4">
        <w:rPr>
          <w:rStyle w:val="FootnoteReference"/>
          <w:color w:val="000000"/>
          <w:sz w:val="24"/>
        </w:rPr>
        <w:footnoteReference w:id="1"/>
      </w:r>
      <w:r w:rsidRPr="00BE0012" w:rsidR="009935E4">
        <w:rPr>
          <w:rFonts w:ascii="Times New Roman" w:hAnsi="Times New Roman"/>
          <w:color w:val="000000"/>
        </w:rPr>
        <w:t xml:space="preserve">  </w:t>
      </w:r>
      <w:r w:rsidRPr="00BE0012">
        <w:rPr>
          <w:rFonts w:ascii="Times New Roman" w:hAnsi="Times New Roman"/>
          <w:color w:val="000000"/>
        </w:rPr>
        <w:t xml:space="preserve">The information required to be contained in the SPD is set forth in section 102(b) of </w:t>
      </w:r>
      <w:r w:rsidRPr="00BE0012" w:rsidR="00E502B0">
        <w:rPr>
          <w:rFonts w:ascii="Times New Roman" w:hAnsi="Times New Roman"/>
          <w:color w:val="000000"/>
        </w:rPr>
        <w:t>ERISA</w:t>
      </w:r>
      <w:r w:rsidRPr="00BE0012" w:rsidR="009935E4">
        <w:rPr>
          <w:rFonts w:ascii="Times New Roman" w:hAnsi="Times New Roman"/>
          <w:color w:val="000000"/>
        </w:rPr>
        <w:t>.</w:t>
      </w:r>
    </w:p>
    <w:p w:rsidRPr="00BE0012" w:rsidR="009935E4" w:rsidP="006751C9" w:rsidRDefault="009935E4" w14:paraId="4DDE915D" w14:textId="77777777">
      <w:pPr>
        <w:widowControl/>
        <w:ind w:left="720"/>
        <w:rPr>
          <w:rFonts w:ascii="Times New Roman" w:hAnsi="Times New Roman"/>
          <w:color w:val="000000"/>
        </w:rPr>
      </w:pPr>
    </w:p>
    <w:p w:rsidRPr="00BE0012" w:rsidR="007732A6" w:rsidP="006751C9" w:rsidRDefault="007668B3" w14:paraId="6E7B79C5" w14:textId="77777777">
      <w:pPr>
        <w:widowControl/>
        <w:ind w:left="720"/>
        <w:rPr>
          <w:rFonts w:ascii="Times New Roman" w:hAnsi="Times New Roman"/>
          <w:color w:val="000000"/>
        </w:rPr>
      </w:pPr>
      <w:r w:rsidRPr="00BE0012">
        <w:rPr>
          <w:rFonts w:ascii="Times New Roman" w:hAnsi="Times New Roman"/>
          <w:color w:val="000000"/>
        </w:rPr>
        <w:t>If a plan is amended to make a material modification in its terms or to change the information required to be contained in the SPD</w:t>
      </w:r>
      <w:r w:rsidRPr="00BE0012" w:rsidR="00B83AAD">
        <w:rPr>
          <w:rFonts w:ascii="Times New Roman" w:hAnsi="Times New Roman"/>
          <w:color w:val="000000"/>
        </w:rPr>
        <w:t xml:space="preserve"> (other than a material reduction in covered services or benefits under a group health plan)</w:t>
      </w:r>
      <w:r w:rsidRPr="00BE0012">
        <w:rPr>
          <w:rFonts w:ascii="Times New Roman" w:hAnsi="Times New Roman"/>
          <w:color w:val="000000"/>
        </w:rPr>
        <w:t xml:space="preserve">, </w:t>
      </w:r>
      <w:r w:rsidRPr="00BE0012" w:rsidR="00B83AAD">
        <w:rPr>
          <w:rFonts w:ascii="Times New Roman" w:hAnsi="Times New Roman"/>
          <w:color w:val="000000"/>
        </w:rPr>
        <w:t>s</w:t>
      </w:r>
      <w:r w:rsidRPr="00BE0012">
        <w:rPr>
          <w:rFonts w:ascii="Times New Roman" w:hAnsi="Times New Roman"/>
          <w:color w:val="000000"/>
        </w:rPr>
        <w:t>ection 104(b</w:t>
      </w:r>
      <w:proofErr w:type="gramStart"/>
      <w:r w:rsidRPr="00BE0012">
        <w:rPr>
          <w:rFonts w:ascii="Times New Roman" w:hAnsi="Times New Roman"/>
          <w:color w:val="000000"/>
        </w:rPr>
        <w:t>)(</w:t>
      </w:r>
      <w:proofErr w:type="gramEnd"/>
      <w:r w:rsidRPr="00BE0012">
        <w:rPr>
          <w:rFonts w:ascii="Times New Roman" w:hAnsi="Times New Roman"/>
          <w:color w:val="000000"/>
        </w:rPr>
        <w:t xml:space="preserve">1) requires </w:t>
      </w:r>
      <w:r w:rsidRPr="00BE0012" w:rsidR="00B83AAD">
        <w:rPr>
          <w:rFonts w:ascii="Times New Roman" w:hAnsi="Times New Roman"/>
          <w:color w:val="000000"/>
        </w:rPr>
        <w:t xml:space="preserve">the plan </w:t>
      </w:r>
      <w:r w:rsidRPr="00BE0012" w:rsidR="007732A6">
        <w:rPr>
          <w:rFonts w:ascii="Times New Roman" w:hAnsi="Times New Roman"/>
          <w:color w:val="000000"/>
        </w:rPr>
        <w:t xml:space="preserve">administrator </w:t>
      </w:r>
      <w:r w:rsidRPr="00BE0012" w:rsidR="00B83AAD">
        <w:rPr>
          <w:rFonts w:ascii="Times New Roman" w:hAnsi="Times New Roman"/>
          <w:color w:val="000000"/>
        </w:rPr>
        <w:t xml:space="preserve">to </w:t>
      </w:r>
      <w:r w:rsidRPr="00BE0012" w:rsidR="007732A6">
        <w:rPr>
          <w:rFonts w:ascii="Times New Roman" w:hAnsi="Times New Roman"/>
          <w:color w:val="000000"/>
        </w:rPr>
        <w:t xml:space="preserve">furnish participants and beneficiaries </w:t>
      </w:r>
      <w:r w:rsidRPr="00BE0012" w:rsidR="00E502B0">
        <w:rPr>
          <w:rFonts w:ascii="Times New Roman" w:hAnsi="Times New Roman"/>
          <w:color w:val="000000"/>
        </w:rPr>
        <w:t xml:space="preserve">receiving benefits </w:t>
      </w:r>
      <w:r w:rsidRPr="00BE0012" w:rsidR="007732A6">
        <w:rPr>
          <w:rFonts w:ascii="Times New Roman" w:hAnsi="Times New Roman"/>
          <w:color w:val="000000"/>
        </w:rPr>
        <w:t>a</w:t>
      </w:r>
      <w:r w:rsidRPr="00BE0012" w:rsidR="00B238FA">
        <w:rPr>
          <w:rFonts w:ascii="Times New Roman" w:hAnsi="Times New Roman"/>
          <w:color w:val="000000"/>
        </w:rPr>
        <w:t xml:space="preserve"> summary of </w:t>
      </w:r>
      <w:r w:rsidRPr="00BE0012" w:rsidR="00B83AAD">
        <w:rPr>
          <w:rFonts w:ascii="Times New Roman" w:hAnsi="Times New Roman"/>
          <w:color w:val="000000"/>
        </w:rPr>
        <w:t xml:space="preserve">the </w:t>
      </w:r>
      <w:r w:rsidRPr="00BE0012" w:rsidR="00B238FA">
        <w:rPr>
          <w:rFonts w:ascii="Times New Roman" w:hAnsi="Times New Roman"/>
          <w:color w:val="000000"/>
        </w:rPr>
        <w:t>material modifications (</w:t>
      </w:r>
      <w:r w:rsidRPr="00BE0012" w:rsidR="007732A6">
        <w:rPr>
          <w:rFonts w:ascii="Times New Roman" w:hAnsi="Times New Roman"/>
          <w:color w:val="000000"/>
        </w:rPr>
        <w:t>SMM</w:t>
      </w:r>
      <w:r w:rsidRPr="00BE0012" w:rsidR="00B238FA">
        <w:rPr>
          <w:rFonts w:ascii="Times New Roman" w:hAnsi="Times New Roman"/>
          <w:color w:val="000000"/>
        </w:rPr>
        <w:t>)</w:t>
      </w:r>
      <w:r w:rsidRPr="00BE0012" w:rsidR="007732A6">
        <w:rPr>
          <w:rFonts w:ascii="Times New Roman" w:hAnsi="Times New Roman"/>
          <w:color w:val="000000"/>
        </w:rPr>
        <w:t xml:space="preserve"> within 210 days following the end of the plan year in which the change was adopted.</w:t>
      </w:r>
      <w:r w:rsidRPr="00BE0012" w:rsidR="00AB5112">
        <w:rPr>
          <w:rFonts w:ascii="Times New Roman" w:hAnsi="Times New Roman"/>
          <w:color w:val="000000"/>
        </w:rPr>
        <w:t xml:space="preserve">  </w:t>
      </w:r>
      <w:r w:rsidRPr="00BE0012" w:rsidR="007732A6">
        <w:rPr>
          <w:rFonts w:ascii="Times New Roman" w:hAnsi="Times New Roman"/>
          <w:color w:val="000000"/>
        </w:rPr>
        <w:t>Section 104(b</w:t>
      </w:r>
      <w:proofErr w:type="gramStart"/>
      <w:r w:rsidRPr="00BE0012" w:rsidR="007732A6">
        <w:rPr>
          <w:rFonts w:ascii="Times New Roman" w:hAnsi="Times New Roman"/>
          <w:color w:val="000000"/>
        </w:rPr>
        <w:t>)(</w:t>
      </w:r>
      <w:proofErr w:type="gramEnd"/>
      <w:r w:rsidRPr="00BE0012" w:rsidR="007732A6">
        <w:rPr>
          <w:rFonts w:ascii="Times New Roman" w:hAnsi="Times New Roman"/>
          <w:color w:val="000000"/>
        </w:rPr>
        <w:t xml:space="preserve">1) </w:t>
      </w:r>
      <w:r w:rsidRPr="00BE0012" w:rsidR="00B238FA">
        <w:rPr>
          <w:rFonts w:ascii="Times New Roman" w:hAnsi="Times New Roman"/>
          <w:color w:val="000000"/>
        </w:rPr>
        <w:t>separately</w:t>
      </w:r>
      <w:r w:rsidRPr="00BE0012" w:rsidR="007732A6">
        <w:rPr>
          <w:rFonts w:ascii="Times New Roman" w:hAnsi="Times New Roman"/>
          <w:color w:val="000000"/>
        </w:rPr>
        <w:t xml:space="preserve"> provides that</w:t>
      </w:r>
      <w:r w:rsidRPr="00BE0012" w:rsidR="00B83AAD">
        <w:rPr>
          <w:rFonts w:ascii="Times New Roman" w:hAnsi="Times New Roman"/>
          <w:color w:val="000000"/>
        </w:rPr>
        <w:t>,</w:t>
      </w:r>
      <w:r w:rsidRPr="00BE0012" w:rsidR="007732A6">
        <w:rPr>
          <w:rFonts w:ascii="Times New Roman" w:hAnsi="Times New Roman"/>
          <w:color w:val="000000"/>
        </w:rPr>
        <w:t xml:space="preserve"> in the case of any modification or change that is a “material reduction in covered services or benefits provided under a group health plan,” </w:t>
      </w:r>
      <w:r w:rsidRPr="00BE0012" w:rsidR="00E502B0">
        <w:rPr>
          <w:rFonts w:ascii="Times New Roman" w:hAnsi="Times New Roman"/>
          <w:color w:val="000000"/>
        </w:rPr>
        <w:t xml:space="preserve">the plan must provide </w:t>
      </w:r>
      <w:r w:rsidRPr="00BE0012" w:rsidR="00B238FA">
        <w:rPr>
          <w:rFonts w:ascii="Times New Roman" w:hAnsi="Times New Roman"/>
          <w:color w:val="000000"/>
        </w:rPr>
        <w:t>a</w:t>
      </w:r>
      <w:r w:rsidRPr="00BE0012" w:rsidR="00E502B0">
        <w:rPr>
          <w:rFonts w:ascii="Times New Roman" w:hAnsi="Times New Roman"/>
          <w:color w:val="000000"/>
        </w:rPr>
        <w:t xml:space="preserve"> </w:t>
      </w:r>
      <w:r w:rsidRPr="00BE0012" w:rsidR="007732A6">
        <w:rPr>
          <w:rFonts w:ascii="Times New Roman" w:hAnsi="Times New Roman"/>
          <w:color w:val="000000"/>
        </w:rPr>
        <w:t xml:space="preserve">summary of </w:t>
      </w:r>
      <w:r w:rsidRPr="00BE0012" w:rsidR="00B238FA">
        <w:rPr>
          <w:rFonts w:ascii="Times New Roman" w:hAnsi="Times New Roman"/>
          <w:color w:val="000000"/>
        </w:rPr>
        <w:t>such material reduction</w:t>
      </w:r>
      <w:r w:rsidRPr="00BE0012" w:rsidR="007732A6">
        <w:rPr>
          <w:rFonts w:ascii="Times New Roman" w:hAnsi="Times New Roman"/>
          <w:color w:val="000000"/>
        </w:rPr>
        <w:t xml:space="preserve"> </w:t>
      </w:r>
      <w:r w:rsidRPr="00BE0012" w:rsidR="00B238FA">
        <w:rPr>
          <w:rFonts w:ascii="Times New Roman" w:hAnsi="Times New Roman"/>
          <w:color w:val="000000"/>
        </w:rPr>
        <w:t xml:space="preserve">(SMR) </w:t>
      </w:r>
      <w:r w:rsidRPr="00BE0012" w:rsidR="007732A6">
        <w:rPr>
          <w:rFonts w:ascii="Times New Roman" w:hAnsi="Times New Roman"/>
          <w:color w:val="000000"/>
        </w:rPr>
        <w:t xml:space="preserve">not later than 60 days after the adoption of the modification or change, </w:t>
      </w:r>
      <w:r w:rsidRPr="00BE0012" w:rsidR="007732A6">
        <w:rPr>
          <w:rFonts w:ascii="Times New Roman" w:hAnsi="Times New Roman"/>
          <w:color w:val="000000"/>
        </w:rPr>
        <w:lastRenderedPageBreak/>
        <w:t xml:space="preserve">unless </w:t>
      </w:r>
      <w:r w:rsidRPr="00BE0012" w:rsidR="00B238FA">
        <w:rPr>
          <w:rFonts w:ascii="Times New Roman" w:hAnsi="Times New Roman"/>
          <w:color w:val="000000"/>
        </w:rPr>
        <w:t xml:space="preserve">the </w:t>
      </w:r>
      <w:r w:rsidRPr="00BE0012" w:rsidR="007732A6">
        <w:rPr>
          <w:rFonts w:ascii="Times New Roman" w:hAnsi="Times New Roman"/>
          <w:color w:val="000000"/>
        </w:rPr>
        <w:t xml:space="preserve">plan </w:t>
      </w:r>
      <w:r w:rsidRPr="00BE0012" w:rsidR="00B238FA">
        <w:rPr>
          <w:rFonts w:ascii="Times New Roman" w:hAnsi="Times New Roman"/>
          <w:color w:val="000000"/>
        </w:rPr>
        <w:t xml:space="preserve">routinely </w:t>
      </w:r>
      <w:r w:rsidRPr="00BE0012" w:rsidR="007732A6">
        <w:rPr>
          <w:rFonts w:ascii="Times New Roman" w:hAnsi="Times New Roman"/>
          <w:color w:val="000000"/>
        </w:rPr>
        <w:t>provide</w:t>
      </w:r>
      <w:r w:rsidRPr="00BE0012" w:rsidR="00B238FA">
        <w:rPr>
          <w:rFonts w:ascii="Times New Roman" w:hAnsi="Times New Roman"/>
          <w:color w:val="000000"/>
        </w:rPr>
        <w:t>s</w:t>
      </w:r>
      <w:r w:rsidRPr="00BE0012" w:rsidR="007732A6">
        <w:rPr>
          <w:rFonts w:ascii="Times New Roman" w:hAnsi="Times New Roman"/>
          <w:color w:val="000000"/>
        </w:rPr>
        <w:t xml:space="preserve"> summaries of modifications or changes at regular intervals of not more than 90 days.</w:t>
      </w:r>
    </w:p>
    <w:p w:rsidRPr="00BE0012" w:rsidR="00AB5112" w:rsidP="006751C9" w:rsidRDefault="00AB5112" w14:paraId="11FB645E" w14:textId="77777777">
      <w:pPr>
        <w:widowControl/>
        <w:ind w:left="720"/>
        <w:rPr>
          <w:rFonts w:ascii="Times New Roman" w:hAnsi="Times New Roman"/>
          <w:color w:val="000000"/>
        </w:rPr>
      </w:pPr>
    </w:p>
    <w:p w:rsidRPr="00BE0012" w:rsidR="00AB5112" w:rsidP="006751C9" w:rsidRDefault="00AB5112" w14:paraId="74462FE7" w14:textId="77777777">
      <w:pPr>
        <w:widowControl/>
        <w:ind w:left="720"/>
        <w:rPr>
          <w:rFonts w:ascii="Times New Roman" w:hAnsi="Times New Roman"/>
          <w:color w:val="000000"/>
        </w:rPr>
      </w:pPr>
      <w:r w:rsidRPr="00BE0012">
        <w:rPr>
          <w:rFonts w:ascii="Times New Roman" w:hAnsi="Times New Roman"/>
          <w:color w:val="000000"/>
        </w:rPr>
        <w:t>Section 109(c) of ERISA grants the Secretary of Labor the authority to prescribe the form and content of the SPD, as well as other documents required to be furnished or made available to plan participants and beneficiaries re</w:t>
      </w:r>
      <w:r w:rsidR="006751C9">
        <w:rPr>
          <w:rFonts w:ascii="Times New Roman" w:hAnsi="Times New Roman"/>
          <w:color w:val="000000"/>
        </w:rPr>
        <w:t>ceiving benefits under a plan.</w:t>
      </w:r>
    </w:p>
    <w:p w:rsidRPr="00BE0012" w:rsidR="007732A6" w:rsidP="006751C9" w:rsidRDefault="007732A6" w14:paraId="43A8B53E" w14:textId="77777777">
      <w:pPr>
        <w:widowControl/>
        <w:ind w:left="720"/>
        <w:rPr>
          <w:rFonts w:ascii="Times New Roman" w:hAnsi="Times New Roman"/>
          <w:color w:val="000000"/>
        </w:rPr>
      </w:pPr>
    </w:p>
    <w:p w:rsidRPr="00BE0012" w:rsidR="00FF6B9B" w:rsidP="006751C9" w:rsidRDefault="00AB5112" w14:paraId="3A3DDCF9" w14:textId="77777777">
      <w:pPr>
        <w:widowControl/>
        <w:ind w:left="720"/>
        <w:rPr>
          <w:rFonts w:ascii="Times New Roman" w:hAnsi="Times New Roman"/>
          <w:color w:val="000000"/>
        </w:rPr>
      </w:pPr>
      <w:r w:rsidRPr="00BE0012">
        <w:rPr>
          <w:rFonts w:ascii="Times New Roman" w:hAnsi="Times New Roman"/>
          <w:color w:val="000000"/>
        </w:rPr>
        <w:t>The Department has promulgated regulations governing the content and furnishing of SPDs, SMMs, and SMRs at 29 CFR 10</w:t>
      </w:r>
      <w:r w:rsidRPr="00BE0012" w:rsidR="00082215">
        <w:rPr>
          <w:rFonts w:ascii="Times New Roman" w:hAnsi="Times New Roman"/>
          <w:color w:val="000000"/>
        </w:rPr>
        <w:t>2-2 (Style and Format of Summary Plan Descriptions); 29 CFR 2520.102-3 (Contents of Summary Plan Descriptions); 29 CFR 2520.102-4 (Option for Different Summary Plan Descriptions); 29 CFR 2520.2520.104b-1 (Disclosure); 29 CFR 2520.104b-2 (Summary Plan Descriptions); 29 CFR 104b-3 (Summary of Material Modifications to the Plan and Changes in the Information Required to be Included in the Summary Plan Description); and 29 CFR 104</w:t>
      </w:r>
      <w:r w:rsidRPr="00BE0012" w:rsidR="00C42F2F">
        <w:rPr>
          <w:rFonts w:ascii="Times New Roman" w:hAnsi="Times New Roman"/>
          <w:color w:val="000000"/>
        </w:rPr>
        <w:t>(</w:t>
      </w:r>
      <w:r w:rsidRPr="00BE0012" w:rsidR="00082215">
        <w:rPr>
          <w:rFonts w:ascii="Times New Roman" w:hAnsi="Times New Roman"/>
          <w:color w:val="000000"/>
        </w:rPr>
        <w:t>b</w:t>
      </w:r>
      <w:r w:rsidRPr="00BE0012" w:rsidR="00C42F2F">
        <w:rPr>
          <w:rFonts w:ascii="Times New Roman" w:hAnsi="Times New Roman"/>
          <w:color w:val="000000"/>
        </w:rPr>
        <w:t>)</w:t>
      </w:r>
      <w:r w:rsidRPr="00BE0012" w:rsidR="00082215">
        <w:rPr>
          <w:rFonts w:ascii="Times New Roman" w:hAnsi="Times New Roman"/>
          <w:color w:val="000000"/>
        </w:rPr>
        <w:t>-</w:t>
      </w:r>
      <w:r w:rsidRPr="00BE0012" w:rsidR="00C42F2F">
        <w:rPr>
          <w:rFonts w:ascii="Times New Roman" w:hAnsi="Times New Roman"/>
          <w:color w:val="000000"/>
        </w:rPr>
        <w:t>(</w:t>
      </w:r>
      <w:r w:rsidRPr="00BE0012" w:rsidR="00082215">
        <w:rPr>
          <w:rFonts w:ascii="Times New Roman" w:hAnsi="Times New Roman"/>
          <w:color w:val="000000"/>
        </w:rPr>
        <w:t>4</w:t>
      </w:r>
      <w:r w:rsidRPr="00BE0012" w:rsidR="00C42F2F">
        <w:rPr>
          <w:rFonts w:ascii="Times New Roman" w:hAnsi="Times New Roman"/>
          <w:color w:val="000000"/>
        </w:rPr>
        <w:t>)</w:t>
      </w:r>
      <w:r w:rsidRPr="00BE0012" w:rsidR="00082215">
        <w:rPr>
          <w:rFonts w:ascii="Times New Roman" w:hAnsi="Times New Roman"/>
          <w:color w:val="000000"/>
        </w:rPr>
        <w:t xml:space="preserve"> (Alternative Methods of Compliance for Furnishing the Summary Plan Description and Summaries of Material Modifications of a Pension Plan to a Retired Participant, a Separated Participant, and a Beneficiary Receiving Benefits).  These regulations </w:t>
      </w:r>
      <w:r w:rsidRPr="00BE0012" w:rsidR="00B83AAD">
        <w:rPr>
          <w:rFonts w:ascii="Times New Roman" w:hAnsi="Times New Roman"/>
          <w:color w:val="000000"/>
        </w:rPr>
        <w:t xml:space="preserve">set standards for the content of these disclosure documents, the methods of furnishing that will satisfy the statutory disclosure requirements, and alternative methods of compliance.  </w:t>
      </w:r>
      <w:r w:rsidRPr="00BE0012" w:rsidR="00FF6B9B">
        <w:rPr>
          <w:rFonts w:ascii="Times New Roman" w:hAnsi="Times New Roman"/>
          <w:color w:val="000000"/>
        </w:rPr>
        <w:t xml:space="preserve">In particular, </w:t>
      </w:r>
      <w:r w:rsidRPr="00BE0012" w:rsidR="00E07DE2">
        <w:rPr>
          <w:rFonts w:ascii="Times New Roman" w:hAnsi="Times New Roman"/>
          <w:color w:val="000000"/>
        </w:rPr>
        <w:t>r</w:t>
      </w:r>
      <w:r w:rsidRPr="00BE0012" w:rsidR="00FF6B9B">
        <w:rPr>
          <w:rFonts w:ascii="Times New Roman" w:hAnsi="Times New Roman"/>
          <w:color w:val="000000"/>
        </w:rPr>
        <w:t>egulations at 29 CFR 2520.104b-1(c) specifically describe the circumstances under which the administrator of an employee benefit plan may furnish required disclosure documents, including the SPD/SMM/SMR</w:t>
      </w:r>
      <w:r w:rsidRPr="00BE0012" w:rsidR="009B7CFB">
        <w:rPr>
          <w:rFonts w:ascii="Times New Roman" w:hAnsi="Times New Roman"/>
          <w:color w:val="000000"/>
        </w:rPr>
        <w:t>,</w:t>
      </w:r>
      <w:r w:rsidR="006751C9">
        <w:rPr>
          <w:rFonts w:ascii="Times New Roman" w:hAnsi="Times New Roman"/>
          <w:color w:val="000000"/>
        </w:rPr>
        <w:t xml:space="preserve"> through electronic media.</w:t>
      </w:r>
    </w:p>
    <w:p w:rsidRPr="00BE0012" w:rsidR="00FF6B9B" w:rsidP="006751C9" w:rsidRDefault="00FF6B9B" w14:paraId="725300F0" w14:textId="77777777">
      <w:pPr>
        <w:widowControl/>
        <w:ind w:left="720"/>
        <w:rPr>
          <w:rFonts w:ascii="Times New Roman" w:hAnsi="Times New Roman"/>
          <w:color w:val="000000"/>
        </w:rPr>
      </w:pPr>
    </w:p>
    <w:p w:rsidR="007732A6" w:rsidP="006751C9" w:rsidRDefault="00B83AAD" w14:paraId="7557F823" w14:textId="05D9A49C">
      <w:pPr>
        <w:widowControl/>
        <w:ind w:left="720"/>
        <w:rPr>
          <w:rFonts w:ascii="Times New Roman" w:hAnsi="Times New Roman"/>
          <w:color w:val="000000"/>
        </w:rPr>
      </w:pPr>
      <w:r w:rsidRPr="00BE0012">
        <w:rPr>
          <w:rFonts w:ascii="Times New Roman" w:hAnsi="Times New Roman"/>
          <w:color w:val="000000"/>
        </w:rPr>
        <w:t xml:space="preserve">The </w:t>
      </w:r>
      <w:r w:rsidRPr="00BE0012" w:rsidR="00FF6B9B">
        <w:rPr>
          <w:rFonts w:ascii="Times New Roman" w:hAnsi="Times New Roman"/>
          <w:color w:val="000000"/>
        </w:rPr>
        <w:t xml:space="preserve">Department’s </w:t>
      </w:r>
      <w:r w:rsidRPr="00BE0012">
        <w:rPr>
          <w:rFonts w:ascii="Times New Roman" w:hAnsi="Times New Roman"/>
          <w:color w:val="000000"/>
        </w:rPr>
        <w:t xml:space="preserve">regulations </w:t>
      </w:r>
      <w:r w:rsidRPr="00BE0012" w:rsidR="00082215">
        <w:rPr>
          <w:rFonts w:ascii="Times New Roman" w:hAnsi="Times New Roman"/>
          <w:color w:val="000000"/>
        </w:rPr>
        <w:t>contain information collections that constitute mandatory third-party disclosure requirements applicable to the majority of ERISA-covered pension and welfare benefit plans</w:t>
      </w:r>
      <w:r w:rsidRPr="00BE0012" w:rsidR="007217C9">
        <w:rPr>
          <w:rFonts w:ascii="Times New Roman" w:hAnsi="Times New Roman"/>
          <w:color w:val="000000"/>
        </w:rPr>
        <w:t xml:space="preserve">.  </w:t>
      </w:r>
      <w:r w:rsidRPr="00BE0012" w:rsidR="00082215">
        <w:rPr>
          <w:rFonts w:ascii="Times New Roman" w:hAnsi="Times New Roman"/>
          <w:color w:val="000000"/>
        </w:rPr>
        <w:t xml:space="preserve">The Department has determined that these information collections are necessary in order to ensure the participants and beneficiaries in </w:t>
      </w:r>
      <w:r w:rsidRPr="00BE0012" w:rsidR="00FF6B9B">
        <w:rPr>
          <w:rFonts w:ascii="Times New Roman" w:hAnsi="Times New Roman"/>
          <w:color w:val="000000"/>
        </w:rPr>
        <w:t xml:space="preserve">employee benefit </w:t>
      </w:r>
      <w:r w:rsidRPr="00BE0012" w:rsidR="00082215">
        <w:rPr>
          <w:rFonts w:ascii="Times New Roman" w:hAnsi="Times New Roman"/>
          <w:color w:val="000000"/>
        </w:rPr>
        <w:t xml:space="preserve">plans </w:t>
      </w:r>
      <w:r w:rsidRPr="00BE0012" w:rsidR="00FF6B9B">
        <w:rPr>
          <w:rFonts w:ascii="Times New Roman" w:hAnsi="Times New Roman"/>
          <w:color w:val="000000"/>
        </w:rPr>
        <w:t xml:space="preserve">covered under ERISA </w:t>
      </w:r>
      <w:r w:rsidRPr="00BE0012" w:rsidR="00082215">
        <w:rPr>
          <w:rFonts w:ascii="Times New Roman" w:hAnsi="Times New Roman"/>
          <w:color w:val="000000"/>
        </w:rPr>
        <w:t>receive adequate information about the benefits due to them and</w:t>
      </w:r>
      <w:r w:rsidR="006751C9">
        <w:rPr>
          <w:rFonts w:ascii="Times New Roman" w:hAnsi="Times New Roman"/>
          <w:color w:val="000000"/>
        </w:rPr>
        <w:t xml:space="preserve"> their rights under the plans.</w:t>
      </w:r>
    </w:p>
    <w:p w:rsidR="00A44714" w:rsidP="006751C9" w:rsidRDefault="00A44714" w14:paraId="4AD747C8" w14:textId="77777777">
      <w:pPr>
        <w:widowControl/>
        <w:ind w:left="720"/>
        <w:rPr>
          <w:rFonts w:ascii="Times New Roman" w:hAnsi="Times New Roman"/>
          <w:color w:val="000000"/>
        </w:rPr>
      </w:pPr>
    </w:p>
    <w:p w:rsidRPr="00E93BC3" w:rsidR="00A44714" w:rsidP="00A44714" w:rsidRDefault="00A44714" w14:paraId="3FE9A13E" w14:textId="76A80E1E">
      <w:pPr>
        <w:ind w:firstLine="720"/>
        <w:rPr>
          <w:rFonts w:ascii="Times New Roman" w:hAnsi="Times New Roman"/>
          <w:b/>
        </w:rPr>
      </w:pPr>
      <w:r>
        <w:rPr>
          <w:rFonts w:ascii="Times New Roman" w:hAnsi="Times New Roman"/>
          <w:b/>
        </w:rPr>
        <w:t xml:space="preserve">2019 </w:t>
      </w:r>
      <w:r w:rsidRPr="00E93BC3">
        <w:rPr>
          <w:rFonts w:ascii="Times New Roman" w:hAnsi="Times New Roman"/>
          <w:b/>
        </w:rPr>
        <w:t xml:space="preserve">Electronic Disclosure </w:t>
      </w:r>
      <w:r w:rsidR="001A00AA">
        <w:rPr>
          <w:rFonts w:ascii="Times New Roman" w:hAnsi="Times New Roman"/>
          <w:b/>
        </w:rPr>
        <w:t>Fina</w:t>
      </w:r>
      <w:r w:rsidR="001038DF">
        <w:rPr>
          <w:rFonts w:ascii="Times New Roman" w:hAnsi="Times New Roman"/>
          <w:b/>
        </w:rPr>
        <w:t>l</w:t>
      </w:r>
      <w:r w:rsidRPr="00E93BC3">
        <w:rPr>
          <w:rFonts w:ascii="Times New Roman" w:hAnsi="Times New Roman"/>
          <w:b/>
        </w:rPr>
        <w:t xml:space="preserve"> Regulation</w:t>
      </w:r>
    </w:p>
    <w:p w:rsidR="00863F5D" w:rsidP="00AA0DAD" w:rsidRDefault="00863F5D" w14:paraId="00DB9C59" w14:textId="77777777">
      <w:pPr>
        <w:widowControl/>
        <w:rPr>
          <w:rFonts w:ascii="Times New Roman" w:hAnsi="Times New Roman"/>
          <w:color w:val="000000"/>
        </w:rPr>
      </w:pPr>
    </w:p>
    <w:p w:rsidRPr="00730BBB" w:rsidR="00730BBB" w:rsidP="00C5545F" w:rsidRDefault="00730BBB" w14:paraId="0409A720" w14:textId="3547525F">
      <w:pPr>
        <w:widowControl/>
        <w:ind w:left="720"/>
        <w:rPr>
          <w:rFonts w:ascii="Times New Roman" w:hAnsi="Times New Roman" w:eastAsia="Calibri"/>
        </w:rPr>
      </w:pPr>
      <w:r w:rsidRPr="00730BBB">
        <w:rPr>
          <w:rFonts w:ascii="Times New Roman" w:hAnsi="Times New Roman" w:eastAsia="Calibri"/>
        </w:rPr>
        <w:t xml:space="preserve">In response to Executive Order 13847, entitled “Strengthening Retirement Security in America,” which was issued by President Trump on August 31, 2018, the Department is issuing a </w:t>
      </w:r>
      <w:r w:rsidR="001A00AA">
        <w:rPr>
          <w:rFonts w:ascii="Times New Roman" w:hAnsi="Times New Roman" w:eastAsia="Calibri"/>
        </w:rPr>
        <w:t>fi</w:t>
      </w:r>
      <w:r w:rsidR="001038DF">
        <w:rPr>
          <w:rFonts w:ascii="Times New Roman" w:hAnsi="Times New Roman" w:eastAsia="Calibri"/>
        </w:rPr>
        <w:t>nal</w:t>
      </w:r>
      <w:r w:rsidRPr="00730BBB" w:rsidR="001A00AA">
        <w:rPr>
          <w:rFonts w:ascii="Times New Roman" w:hAnsi="Times New Roman" w:eastAsia="Calibri"/>
        </w:rPr>
        <w:t xml:space="preserve"> </w:t>
      </w:r>
      <w:r w:rsidRPr="00730BBB">
        <w:rPr>
          <w:rFonts w:ascii="Times New Roman" w:hAnsi="Times New Roman" w:eastAsia="Calibri"/>
        </w:rPr>
        <w:t>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w:t>
      </w:r>
      <w:r w:rsidRPr="00730BBB" w:rsidR="007217C9">
        <w:rPr>
          <w:rFonts w:ascii="Times New Roman" w:hAnsi="Times New Roman" w:eastAsia="Calibri"/>
        </w:rPr>
        <w:t xml:space="preserve">.  </w:t>
      </w:r>
      <w:r w:rsidRPr="00730BBB">
        <w:rPr>
          <w:rFonts w:ascii="Times New Roman" w:hAnsi="Times New Roman" w:eastAsia="Calibri"/>
        </w:rPr>
        <w:t>The S</w:t>
      </w:r>
      <w:r w:rsidR="00236650">
        <w:rPr>
          <w:rFonts w:ascii="Times New Roman" w:hAnsi="Times New Roman" w:eastAsia="Calibri"/>
        </w:rPr>
        <w:t>P</w:t>
      </w:r>
      <w:r w:rsidR="00D2214C">
        <w:rPr>
          <w:rFonts w:ascii="Times New Roman" w:hAnsi="Times New Roman" w:eastAsia="Calibri"/>
        </w:rPr>
        <w:t>D</w:t>
      </w:r>
      <w:r w:rsidR="00236650">
        <w:rPr>
          <w:rFonts w:ascii="Times New Roman" w:hAnsi="Times New Roman" w:eastAsia="Calibri"/>
        </w:rPr>
        <w:t>/SMM/SMR</w:t>
      </w:r>
      <w:r w:rsidRPr="00730BBB">
        <w:rPr>
          <w:rFonts w:ascii="Times New Roman" w:hAnsi="Times New Roman" w:eastAsia="Calibri"/>
        </w:rPr>
        <w:t xml:space="preserve"> disclosures are among the disclosures plan administrations could furnish under the </w:t>
      </w:r>
      <w:r w:rsidR="001A00AA">
        <w:rPr>
          <w:rFonts w:ascii="Times New Roman" w:hAnsi="Times New Roman" w:eastAsia="Calibri"/>
        </w:rPr>
        <w:t>final</w:t>
      </w:r>
      <w:r w:rsidRPr="00730BBB" w:rsidR="001A00AA">
        <w:rPr>
          <w:rFonts w:ascii="Times New Roman" w:hAnsi="Times New Roman" w:eastAsia="Calibri"/>
        </w:rPr>
        <w:t xml:space="preserve"> </w:t>
      </w:r>
      <w:r w:rsidRPr="00730BBB">
        <w:rPr>
          <w:rFonts w:ascii="Times New Roman" w:hAnsi="Times New Roman" w:eastAsia="Calibri"/>
        </w:rPr>
        <w:t>safe harbor</w:t>
      </w:r>
      <w:r w:rsidR="001038DF">
        <w:rPr>
          <w:rFonts w:ascii="Times New Roman" w:hAnsi="Times New Roman" w:eastAsia="Calibri"/>
        </w:rPr>
        <w:t xml:space="preserve"> rule</w:t>
      </w:r>
      <w:r w:rsidRPr="00730BBB" w:rsidR="007217C9">
        <w:rPr>
          <w:rFonts w:ascii="Times New Roman" w:hAnsi="Times New Roman" w:eastAsia="Calibri"/>
        </w:rPr>
        <w:t>.</w:t>
      </w:r>
      <w:r w:rsidR="007217C9">
        <w:rPr>
          <w:rFonts w:ascii="Times New Roman" w:hAnsi="Times New Roman" w:eastAsia="Calibri"/>
        </w:rPr>
        <w:t xml:space="preserve">  </w:t>
      </w:r>
      <w:r w:rsidRPr="00730BBB">
        <w:rPr>
          <w:rFonts w:ascii="Times New Roman" w:hAnsi="Times New Roman" w:eastAsia="Calibri"/>
        </w:rPr>
        <w:t xml:space="preserve">The framework of the proposal is similar to the approach the Securities </w:t>
      </w:r>
      <w:r w:rsidRPr="00730BBB">
        <w:rPr>
          <w:rFonts w:ascii="Times New Roman" w:hAnsi="Times New Roman" w:eastAsia="Calibri"/>
        </w:rPr>
        <w:lastRenderedPageBreak/>
        <w:t>and Exchange Commission takes for certain investor disclosures and also aligns with Internal Revenue Service rules about delivering retirement plan disclosures electronically.</w:t>
      </w:r>
    </w:p>
    <w:p w:rsidRPr="00730BBB" w:rsidR="00730BBB" w:rsidP="00730BBB" w:rsidRDefault="00730BBB" w14:paraId="015D3139" w14:textId="77777777">
      <w:pPr>
        <w:widowControl/>
        <w:rPr>
          <w:rFonts w:ascii="Times New Roman" w:hAnsi="Times New Roman" w:eastAsia="Calibri"/>
        </w:rPr>
      </w:pPr>
    </w:p>
    <w:p w:rsidR="00730BBB" w:rsidP="00C5545F" w:rsidRDefault="00730BBB" w14:paraId="6F361853" w14:textId="77777777">
      <w:pPr>
        <w:widowControl/>
        <w:ind w:firstLine="720"/>
        <w:rPr>
          <w:rFonts w:ascii="Times New Roman" w:hAnsi="Times New Roman" w:eastAsia="Calibri"/>
        </w:rPr>
      </w:pPr>
      <w:r w:rsidRPr="00730BBB">
        <w:rPr>
          <w:rFonts w:ascii="Times New Roman" w:hAnsi="Times New Roman" w:eastAsia="Calibri"/>
        </w:rPr>
        <w:t xml:space="preserve">In order to use the safe harbor, retirement plan administrators must: </w:t>
      </w:r>
    </w:p>
    <w:p w:rsidR="00730BBB" w:rsidP="00C5545F" w:rsidRDefault="00730BBB" w14:paraId="09502710" w14:textId="77777777">
      <w:pPr>
        <w:widowControl/>
        <w:ind w:firstLine="720"/>
        <w:rPr>
          <w:rFonts w:ascii="Times New Roman" w:hAnsi="Times New Roman" w:eastAsia="Calibri"/>
        </w:rPr>
      </w:pPr>
    </w:p>
    <w:p w:rsidR="00730BBB" w:rsidP="00C5545F" w:rsidRDefault="00730BBB" w14:paraId="62F74496" w14:textId="77777777">
      <w:pPr>
        <w:widowControl/>
        <w:numPr>
          <w:ilvl w:val="0"/>
          <w:numId w:val="10"/>
        </w:numPr>
        <w:rPr>
          <w:rFonts w:ascii="Times New Roman" w:hAnsi="Times New Roman" w:eastAsia="Calibri"/>
        </w:rPr>
      </w:pPr>
      <w:r w:rsidRPr="00730BBB">
        <w:rPr>
          <w:rFonts w:ascii="Times New Roman" w:hAnsi="Times New Roman" w:eastAsia="Calibri"/>
        </w:rPr>
        <w:t>Furnish covered individuals with a notice of internet availability delivered to their electronic addresses, for example to the covered individual’s email address</w:t>
      </w:r>
      <w:r w:rsidRPr="00730BBB" w:rsidR="007217C9">
        <w:rPr>
          <w:rFonts w:ascii="Times New Roman" w:hAnsi="Times New Roman" w:eastAsia="Calibri"/>
        </w:rPr>
        <w:t xml:space="preserve">.  </w:t>
      </w:r>
      <w:r w:rsidRPr="00730BBB">
        <w:rPr>
          <w:rFonts w:ascii="Times New Roman" w:hAnsi="Times New Roman" w:eastAsia="Calibri"/>
        </w:rPr>
        <w:t>The notice must include, among other things, a brief description of the document being posted online, a website address where the document is posted, and instructions for requesting a free paper copy or electing paper delivery in the future</w:t>
      </w:r>
      <w:r w:rsidRPr="00730BBB" w:rsidR="007217C9">
        <w:rPr>
          <w:rFonts w:ascii="Times New Roman" w:hAnsi="Times New Roman" w:eastAsia="Calibri"/>
        </w:rPr>
        <w:t xml:space="preserve">.  </w:t>
      </w:r>
      <w:r w:rsidRPr="00730BBB">
        <w:rPr>
          <w:rFonts w:ascii="Times New Roman" w:hAnsi="Times New Roman" w:eastAsia="Calibri"/>
        </w:rPr>
        <w:t xml:space="preserve">It must sent each time a retirement plan disclosure is posted to the internet website.  To prevent “email overload,” the proposal allows a notice of internet availability to incorporate or combine other notices of internet availability in limited circumstances. </w:t>
      </w:r>
    </w:p>
    <w:p w:rsidR="00730BBB" w:rsidP="00C5545F" w:rsidRDefault="00730BBB" w14:paraId="430F1C0A" w14:textId="77777777">
      <w:pPr>
        <w:widowControl/>
        <w:ind w:left="1440"/>
        <w:rPr>
          <w:rFonts w:ascii="Times New Roman" w:hAnsi="Times New Roman" w:eastAsia="Calibri"/>
        </w:rPr>
      </w:pPr>
    </w:p>
    <w:p w:rsidR="00730BBB" w:rsidP="00C5545F" w:rsidRDefault="00730BBB" w14:paraId="35B3748A" w14:textId="77777777">
      <w:pPr>
        <w:widowControl/>
        <w:numPr>
          <w:ilvl w:val="0"/>
          <w:numId w:val="10"/>
        </w:numPr>
        <w:rPr>
          <w:rFonts w:ascii="Times New Roman" w:hAnsi="Times New Roman" w:eastAsia="Calibri"/>
        </w:rPr>
      </w:pPr>
      <w:r w:rsidRPr="00730BBB">
        <w:rPr>
          <w:rFonts w:ascii="Times New Roman" w:hAnsi="Times New Roman" w:eastAsia="Calibri"/>
        </w:rPr>
        <w:t xml:space="preserve">Furnish covered individuals, free of charge, with a paper copy of a covered document, as soon as possible after receiving the covered individual’s request (2520.104b-31(f)(1)).  </w:t>
      </w:r>
    </w:p>
    <w:p w:rsidR="00730BBB" w:rsidP="00D329B8" w:rsidRDefault="00730BBB" w14:paraId="408AA1DB" w14:textId="77777777">
      <w:pPr>
        <w:pStyle w:val="ListParagraph"/>
        <w:rPr>
          <w:rFonts w:ascii="Times New Roman" w:hAnsi="Times New Roman" w:eastAsia="Calibri"/>
        </w:rPr>
      </w:pPr>
    </w:p>
    <w:p w:rsidRPr="00730BBB" w:rsidR="00730BBB" w:rsidP="00D329B8" w:rsidRDefault="00730BBB" w14:paraId="21703297" w14:textId="77777777">
      <w:pPr>
        <w:widowControl/>
        <w:numPr>
          <w:ilvl w:val="0"/>
          <w:numId w:val="10"/>
        </w:numPr>
        <w:rPr>
          <w:rFonts w:ascii="Times New Roman" w:hAnsi="Times New Roman" w:eastAsia="Calibri"/>
        </w:rPr>
      </w:pPr>
      <w:r w:rsidRPr="00730BBB">
        <w:rPr>
          <w:rFonts w:ascii="Times New Roman" w:hAnsi="Times New Roman" w:eastAsia="Calibri"/>
        </w:rPr>
        <w:t>Provide covered individuals with the ability to opt out of electronic delivery and receive only paper versions of some or all covered documents (2520.104b-31(f</w:t>
      </w:r>
      <w:proofErr w:type="gramStart"/>
      <w:r w:rsidRPr="00730BBB">
        <w:rPr>
          <w:rFonts w:ascii="Times New Roman" w:hAnsi="Times New Roman" w:eastAsia="Calibri"/>
        </w:rPr>
        <w:t>)(</w:t>
      </w:r>
      <w:proofErr w:type="gramEnd"/>
      <w:r w:rsidRPr="00730BBB">
        <w:rPr>
          <w:rFonts w:ascii="Times New Roman" w:hAnsi="Times New Roman" w:eastAsia="Calibri"/>
        </w:rPr>
        <w:t>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w:t>
      </w:r>
      <w:r w:rsidRPr="00730BBB" w:rsidR="007217C9">
        <w:rPr>
          <w:rFonts w:ascii="Times New Roman" w:hAnsi="Times New Roman" w:eastAsia="Calibri"/>
        </w:rPr>
        <w:t xml:space="preserve">.  </w:t>
      </w:r>
      <w:r w:rsidRPr="00730BBB">
        <w:rPr>
          <w:rFonts w:ascii="Times New Roman" w:hAnsi="Times New Roman" w:eastAsia="Calibri"/>
        </w:rPr>
        <w:t>This provision is intended to ensure that covered individuals actually receive their pension documents by guarding against invalid or inoperable electronic addresses.</w:t>
      </w:r>
    </w:p>
    <w:p w:rsidRPr="00BE0012" w:rsidR="00FF6B9B" w:rsidP="006751C9" w:rsidRDefault="00FF6B9B" w14:paraId="68519123" w14:textId="77777777">
      <w:pPr>
        <w:widowControl/>
        <w:ind w:left="720"/>
        <w:rPr>
          <w:rFonts w:ascii="Times New Roman" w:hAnsi="Times New Roman"/>
          <w:color w:val="000000"/>
        </w:rPr>
      </w:pPr>
    </w:p>
    <w:p w:rsidRPr="00BE0012" w:rsidR="007732A6" w:rsidP="0038178F" w:rsidRDefault="007732A6" w14:paraId="1C39D418"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2.</w:t>
      </w:r>
      <w:r w:rsidRPr="00BE0012">
        <w:rPr>
          <w:rFonts w:ascii="Times New Roman" w:hAnsi="Times New Roman"/>
          <w:color w:val="000000"/>
        </w:rPr>
        <w:tab/>
      </w:r>
      <w:r w:rsidRPr="00BE0012">
        <w:rPr>
          <w:rFonts w:ascii="Times New Roman" w:hAnsi="Times New Roman"/>
          <w:i/>
          <w:iCs/>
          <w:color w:val="000000"/>
        </w:rPr>
        <w:t>Indicate how, by whom, and for what purpose the information is to be used.  Except for a new collection, indicate the actual use the agency has made of the information received from the current collection.</w:t>
      </w:r>
    </w:p>
    <w:p w:rsidRPr="00BE0012" w:rsidR="007732A6" w:rsidP="0038178F" w:rsidRDefault="007732A6" w14:paraId="718A512A" w14:textId="77777777">
      <w:pPr>
        <w:widowControl/>
        <w:ind w:left="720"/>
        <w:rPr>
          <w:rFonts w:ascii="Times New Roman" w:hAnsi="Times New Roman"/>
          <w:color w:val="000000"/>
        </w:rPr>
      </w:pPr>
    </w:p>
    <w:p w:rsidRPr="00BE0012" w:rsidR="007732A6" w:rsidP="0038178F" w:rsidRDefault="007732A6" w14:paraId="6258BE27" w14:textId="77777777">
      <w:pPr>
        <w:widowControl/>
        <w:ind w:left="720"/>
        <w:rPr>
          <w:rFonts w:ascii="Times New Roman" w:hAnsi="Times New Roman"/>
          <w:color w:val="000000"/>
        </w:rPr>
      </w:pPr>
      <w:r w:rsidRPr="00BE0012">
        <w:rPr>
          <w:rFonts w:ascii="Times New Roman" w:hAnsi="Times New Roman"/>
          <w:color w:val="000000"/>
        </w:rPr>
        <w:t xml:space="preserve">The </w:t>
      </w:r>
      <w:r w:rsidRPr="00BE0012" w:rsidR="00082215">
        <w:rPr>
          <w:rFonts w:ascii="Times New Roman" w:hAnsi="Times New Roman"/>
          <w:color w:val="000000"/>
        </w:rPr>
        <w:t xml:space="preserve">information collections covered by the subject regulations are necessary to ensure that </w:t>
      </w:r>
      <w:r w:rsidRPr="00BE0012">
        <w:rPr>
          <w:rFonts w:ascii="Times New Roman" w:hAnsi="Times New Roman"/>
          <w:color w:val="000000"/>
        </w:rPr>
        <w:t xml:space="preserve">participants and beneficiaries </w:t>
      </w:r>
      <w:r w:rsidRPr="00BE0012" w:rsidR="00082215">
        <w:rPr>
          <w:rFonts w:ascii="Times New Roman" w:hAnsi="Times New Roman"/>
          <w:color w:val="000000"/>
        </w:rPr>
        <w:t xml:space="preserve">are adequately and timely informed </w:t>
      </w:r>
      <w:r w:rsidRPr="00BE0012">
        <w:rPr>
          <w:rFonts w:ascii="Times New Roman" w:hAnsi="Times New Roman"/>
          <w:color w:val="000000"/>
        </w:rPr>
        <w:t>about their rights and benefits under the</w:t>
      </w:r>
      <w:r w:rsidRPr="00BE0012" w:rsidR="00B238FA">
        <w:rPr>
          <w:rFonts w:ascii="Times New Roman" w:hAnsi="Times New Roman"/>
          <w:color w:val="000000"/>
        </w:rPr>
        <w:t>ir plan</w:t>
      </w:r>
      <w:r w:rsidRPr="00BE0012" w:rsidR="00082215">
        <w:rPr>
          <w:rFonts w:ascii="Times New Roman" w:hAnsi="Times New Roman"/>
          <w:color w:val="000000"/>
        </w:rPr>
        <w:t>s</w:t>
      </w:r>
      <w:r w:rsidRPr="00BE0012" w:rsidR="00B238FA">
        <w:rPr>
          <w:rFonts w:ascii="Times New Roman" w:hAnsi="Times New Roman"/>
          <w:color w:val="000000"/>
        </w:rPr>
        <w:t>.  The SPD</w:t>
      </w:r>
      <w:r w:rsidRPr="00BE0012" w:rsidR="00E07DE2">
        <w:rPr>
          <w:rFonts w:ascii="Times New Roman" w:hAnsi="Times New Roman"/>
          <w:color w:val="000000"/>
        </w:rPr>
        <w:t>, together with the re</w:t>
      </w:r>
      <w:r w:rsidRPr="00BE0012" w:rsidR="00FB1F5F">
        <w:rPr>
          <w:rFonts w:ascii="Times New Roman" w:hAnsi="Times New Roman"/>
          <w:color w:val="000000"/>
        </w:rPr>
        <w:t>levant</w:t>
      </w:r>
      <w:r w:rsidRPr="00BE0012" w:rsidR="00E07DE2">
        <w:rPr>
          <w:rFonts w:ascii="Times New Roman" w:hAnsi="Times New Roman"/>
          <w:color w:val="000000"/>
        </w:rPr>
        <w:t xml:space="preserve"> SMMs and SMRs, constitutes</w:t>
      </w:r>
      <w:r w:rsidRPr="00BE0012" w:rsidR="00B238FA">
        <w:rPr>
          <w:rFonts w:ascii="Times New Roman" w:hAnsi="Times New Roman"/>
          <w:color w:val="000000"/>
        </w:rPr>
        <w:t xml:space="preserve"> the single most important </w:t>
      </w:r>
      <w:r w:rsidRPr="00BE0012" w:rsidR="00E07DE2">
        <w:rPr>
          <w:rFonts w:ascii="Times New Roman" w:hAnsi="Times New Roman"/>
          <w:color w:val="000000"/>
        </w:rPr>
        <w:t xml:space="preserve">source of information about a plan for the plan participants, and, </w:t>
      </w:r>
      <w:r w:rsidRPr="00BE0012" w:rsidR="00082215">
        <w:rPr>
          <w:rFonts w:ascii="Times New Roman" w:hAnsi="Times New Roman"/>
          <w:color w:val="000000"/>
        </w:rPr>
        <w:t>if properly updated through SMMs and SMRs,</w:t>
      </w:r>
      <w:r w:rsidRPr="00BE0012" w:rsidR="00B238FA">
        <w:rPr>
          <w:rFonts w:ascii="Times New Roman" w:hAnsi="Times New Roman"/>
          <w:color w:val="000000"/>
        </w:rPr>
        <w:t xml:space="preserve"> it </w:t>
      </w:r>
      <w:r w:rsidRPr="00BE0012">
        <w:rPr>
          <w:rFonts w:ascii="Times New Roman" w:hAnsi="Times New Roman"/>
          <w:color w:val="000000"/>
        </w:rPr>
        <w:t xml:space="preserve">provides participants and beneficiaries with </w:t>
      </w:r>
      <w:r w:rsidRPr="00BE0012" w:rsidR="00B238FA">
        <w:rPr>
          <w:rFonts w:ascii="Times New Roman" w:hAnsi="Times New Roman"/>
          <w:color w:val="000000"/>
        </w:rPr>
        <w:t xml:space="preserve">complete </w:t>
      </w:r>
      <w:r w:rsidRPr="00BE0012" w:rsidR="00E07DE2">
        <w:rPr>
          <w:rFonts w:ascii="Times New Roman" w:hAnsi="Times New Roman"/>
          <w:color w:val="000000"/>
        </w:rPr>
        <w:t xml:space="preserve">knowledge </w:t>
      </w:r>
      <w:r w:rsidRPr="00BE0012">
        <w:rPr>
          <w:rFonts w:ascii="Times New Roman" w:hAnsi="Times New Roman"/>
          <w:color w:val="000000"/>
        </w:rPr>
        <w:t xml:space="preserve">about </w:t>
      </w:r>
      <w:r w:rsidRPr="00BE0012" w:rsidR="00E07DE2">
        <w:rPr>
          <w:rFonts w:ascii="Times New Roman" w:hAnsi="Times New Roman"/>
          <w:color w:val="000000"/>
        </w:rPr>
        <w:t xml:space="preserve">how to manage </w:t>
      </w:r>
      <w:r w:rsidRPr="00BE0012">
        <w:rPr>
          <w:rFonts w:ascii="Times New Roman" w:hAnsi="Times New Roman"/>
          <w:color w:val="000000"/>
        </w:rPr>
        <w:t>their benefit</w:t>
      </w:r>
      <w:r w:rsidRPr="00BE0012" w:rsidR="00B238FA">
        <w:rPr>
          <w:rFonts w:ascii="Times New Roman" w:hAnsi="Times New Roman"/>
          <w:color w:val="000000"/>
        </w:rPr>
        <w:t>s</w:t>
      </w:r>
      <w:r w:rsidRPr="00BE0012">
        <w:rPr>
          <w:rFonts w:ascii="Times New Roman" w:hAnsi="Times New Roman"/>
          <w:color w:val="000000"/>
        </w:rPr>
        <w:t xml:space="preserve">, </w:t>
      </w:r>
      <w:r w:rsidRPr="00BE0012" w:rsidR="00B238FA">
        <w:rPr>
          <w:rFonts w:ascii="Times New Roman" w:hAnsi="Times New Roman"/>
          <w:color w:val="000000"/>
        </w:rPr>
        <w:t xml:space="preserve">including </w:t>
      </w:r>
      <w:r w:rsidRPr="00BE0012">
        <w:rPr>
          <w:rFonts w:ascii="Times New Roman" w:hAnsi="Times New Roman"/>
          <w:color w:val="000000"/>
        </w:rPr>
        <w:t xml:space="preserve">how to file benefit claims, </w:t>
      </w:r>
      <w:r w:rsidRPr="00BE0012" w:rsidR="00E07DE2">
        <w:rPr>
          <w:rFonts w:ascii="Times New Roman" w:hAnsi="Times New Roman"/>
          <w:color w:val="000000"/>
        </w:rPr>
        <w:t xml:space="preserve">what rights they may have under different situations, </w:t>
      </w:r>
      <w:r w:rsidRPr="00BE0012">
        <w:rPr>
          <w:rFonts w:ascii="Times New Roman" w:hAnsi="Times New Roman"/>
          <w:color w:val="000000"/>
        </w:rPr>
        <w:t xml:space="preserve">under </w:t>
      </w:r>
      <w:r w:rsidRPr="00BE0012">
        <w:rPr>
          <w:rFonts w:ascii="Times New Roman" w:hAnsi="Times New Roman"/>
          <w:color w:val="000000"/>
        </w:rPr>
        <w:lastRenderedPageBreak/>
        <w:t>what circumstances benefits can be lost, whom to contact about benefits, and many other essential</w:t>
      </w:r>
      <w:r w:rsidRPr="00BE0012" w:rsidR="00E07DE2">
        <w:rPr>
          <w:rFonts w:ascii="Times New Roman" w:hAnsi="Times New Roman"/>
          <w:color w:val="000000"/>
        </w:rPr>
        <w:t xml:space="preserve"> matters</w:t>
      </w:r>
      <w:r w:rsidRPr="00BE0012">
        <w:rPr>
          <w:rFonts w:ascii="Times New Roman" w:hAnsi="Times New Roman"/>
          <w:color w:val="000000"/>
        </w:rPr>
        <w:t xml:space="preserve">.  In order to insure that participants and beneficiaries receive this information, the </w:t>
      </w:r>
      <w:r w:rsidRPr="00BE0012" w:rsidR="00B23B75">
        <w:rPr>
          <w:rFonts w:ascii="Times New Roman" w:hAnsi="Times New Roman"/>
          <w:color w:val="000000"/>
        </w:rPr>
        <w:t>regulations require</w:t>
      </w:r>
      <w:r w:rsidRPr="00BE0012">
        <w:rPr>
          <w:rFonts w:ascii="Times New Roman" w:hAnsi="Times New Roman"/>
          <w:color w:val="000000"/>
        </w:rPr>
        <w:t xml:space="preserve"> </w:t>
      </w:r>
      <w:r w:rsidRPr="00BE0012" w:rsidR="00B238FA">
        <w:rPr>
          <w:rFonts w:ascii="Times New Roman" w:hAnsi="Times New Roman"/>
          <w:color w:val="000000"/>
        </w:rPr>
        <w:t>SPDs to b</w:t>
      </w:r>
      <w:r w:rsidRPr="00BE0012">
        <w:rPr>
          <w:rFonts w:ascii="Times New Roman" w:hAnsi="Times New Roman"/>
          <w:color w:val="000000"/>
        </w:rPr>
        <w:t>e written in language calculated to be understood by the average plan participant</w:t>
      </w:r>
      <w:r w:rsidRPr="00BE0012" w:rsidR="00B23B75">
        <w:rPr>
          <w:rFonts w:ascii="Times New Roman" w:hAnsi="Times New Roman"/>
          <w:color w:val="000000"/>
        </w:rPr>
        <w:t xml:space="preserve"> and to be provided through a method that ensures receipt</w:t>
      </w:r>
      <w:r w:rsidRPr="00BE0012">
        <w:rPr>
          <w:rFonts w:ascii="Times New Roman" w:hAnsi="Times New Roman"/>
          <w:color w:val="000000"/>
        </w:rPr>
        <w:t xml:space="preserve">.  ERISA also requires that the information in the SPD be kept current.  This is accomplished through the use of the SMM or SMR, which inform plan participants and beneficiaries about </w:t>
      </w:r>
      <w:r w:rsidRPr="00BE0012" w:rsidR="00B238FA">
        <w:rPr>
          <w:rFonts w:ascii="Times New Roman" w:hAnsi="Times New Roman"/>
          <w:color w:val="000000"/>
        </w:rPr>
        <w:t xml:space="preserve">material </w:t>
      </w:r>
      <w:r w:rsidRPr="00BE0012">
        <w:rPr>
          <w:rFonts w:ascii="Times New Roman" w:hAnsi="Times New Roman"/>
          <w:color w:val="000000"/>
        </w:rPr>
        <w:t>plan changes</w:t>
      </w:r>
      <w:r w:rsidRPr="00BE0012" w:rsidR="00E07DE2">
        <w:rPr>
          <w:rFonts w:ascii="Times New Roman" w:hAnsi="Times New Roman"/>
          <w:color w:val="000000"/>
        </w:rPr>
        <w:t>, and the requirement for periodic updated SPDs</w:t>
      </w:r>
      <w:r w:rsidRPr="00BE0012">
        <w:rPr>
          <w:rFonts w:ascii="Times New Roman" w:hAnsi="Times New Roman"/>
          <w:color w:val="000000"/>
        </w:rPr>
        <w:t>.</w:t>
      </w:r>
    </w:p>
    <w:p w:rsidRPr="00BE0012" w:rsidR="007732A6" w:rsidP="0038178F" w:rsidRDefault="007732A6" w14:paraId="0183CECA" w14:textId="77777777">
      <w:pPr>
        <w:widowControl/>
        <w:ind w:left="720"/>
        <w:rPr>
          <w:rFonts w:ascii="Times New Roman" w:hAnsi="Times New Roman"/>
          <w:color w:val="000000"/>
        </w:rPr>
      </w:pPr>
    </w:p>
    <w:p w:rsidR="007732A6" w:rsidP="0038178F" w:rsidRDefault="007732A6" w14:paraId="38A0CF16" w14:textId="77777777">
      <w:pPr>
        <w:widowControl/>
        <w:ind w:left="720"/>
        <w:rPr>
          <w:rFonts w:ascii="Times New Roman" w:hAnsi="Times New Roman"/>
          <w:color w:val="000000"/>
        </w:rPr>
      </w:pPr>
      <w:r w:rsidRPr="00BE0012">
        <w:rPr>
          <w:rFonts w:ascii="Times New Roman" w:hAnsi="Times New Roman"/>
          <w:color w:val="000000"/>
        </w:rPr>
        <w:t xml:space="preserve">The </w:t>
      </w:r>
      <w:r w:rsidRPr="00BE0012" w:rsidR="00B238FA">
        <w:rPr>
          <w:rFonts w:ascii="Times New Roman" w:hAnsi="Times New Roman"/>
          <w:color w:val="000000"/>
        </w:rPr>
        <w:t xml:space="preserve">current ICR relates exclusively to the third-party information collections </w:t>
      </w:r>
      <w:r w:rsidRPr="00BE0012" w:rsidR="00B23B75">
        <w:rPr>
          <w:rFonts w:ascii="Times New Roman" w:hAnsi="Times New Roman"/>
          <w:color w:val="000000"/>
        </w:rPr>
        <w:t>arising from regulations governing furnishing</w:t>
      </w:r>
      <w:r w:rsidRPr="00BE0012" w:rsidR="00B238FA">
        <w:rPr>
          <w:rFonts w:ascii="Times New Roman" w:hAnsi="Times New Roman"/>
          <w:color w:val="000000"/>
        </w:rPr>
        <w:t xml:space="preserve"> the SPD, SMM, and SMR</w:t>
      </w:r>
      <w:r w:rsidRPr="00BE0012" w:rsidR="00B23B75">
        <w:rPr>
          <w:rFonts w:ascii="Times New Roman" w:hAnsi="Times New Roman"/>
          <w:color w:val="000000"/>
        </w:rPr>
        <w:t xml:space="preserve"> to participants and beneficiaries</w:t>
      </w:r>
      <w:r w:rsidRPr="00BE0012">
        <w:rPr>
          <w:rFonts w:ascii="Times New Roman" w:hAnsi="Times New Roman"/>
          <w:color w:val="000000"/>
        </w:rPr>
        <w:t xml:space="preserve">.  </w:t>
      </w:r>
      <w:r w:rsidRPr="00BE0012" w:rsidR="00B238FA">
        <w:rPr>
          <w:rFonts w:ascii="Times New Roman" w:hAnsi="Times New Roman"/>
          <w:color w:val="000000"/>
        </w:rPr>
        <w:t>Under section 104(a</w:t>
      </w:r>
      <w:proofErr w:type="gramStart"/>
      <w:r w:rsidRPr="00BE0012" w:rsidR="00B238FA">
        <w:rPr>
          <w:rFonts w:ascii="Times New Roman" w:hAnsi="Times New Roman"/>
          <w:color w:val="000000"/>
        </w:rPr>
        <w:t>)(</w:t>
      </w:r>
      <w:proofErr w:type="gramEnd"/>
      <w:r w:rsidRPr="00BE0012" w:rsidR="00B238FA">
        <w:rPr>
          <w:rFonts w:ascii="Times New Roman" w:hAnsi="Times New Roman"/>
          <w:color w:val="000000"/>
        </w:rPr>
        <w:t>6) of ERISA, t</w:t>
      </w:r>
      <w:r w:rsidRPr="00BE0012">
        <w:rPr>
          <w:rFonts w:ascii="Times New Roman" w:hAnsi="Times New Roman"/>
          <w:color w:val="000000"/>
        </w:rPr>
        <w:t xml:space="preserve">he Department may request </w:t>
      </w:r>
      <w:r w:rsidRPr="00BE0012" w:rsidR="00B238FA">
        <w:rPr>
          <w:rFonts w:ascii="Times New Roman" w:hAnsi="Times New Roman"/>
          <w:color w:val="000000"/>
        </w:rPr>
        <w:t xml:space="preserve">plan administrators to furnish the Department copies of the plan’s SPD.  </w:t>
      </w:r>
      <w:r w:rsidRPr="00BE0012">
        <w:rPr>
          <w:rFonts w:ascii="Times New Roman" w:hAnsi="Times New Roman"/>
          <w:color w:val="000000"/>
        </w:rPr>
        <w:t xml:space="preserve">The information collection associated with </w:t>
      </w:r>
      <w:r w:rsidRPr="00BE0012" w:rsidR="00B238FA">
        <w:rPr>
          <w:rFonts w:ascii="Times New Roman" w:hAnsi="Times New Roman"/>
          <w:color w:val="000000"/>
        </w:rPr>
        <w:t xml:space="preserve">the Department’s </w:t>
      </w:r>
      <w:r w:rsidRPr="00BE0012">
        <w:rPr>
          <w:rFonts w:ascii="Times New Roman" w:hAnsi="Times New Roman"/>
          <w:color w:val="000000"/>
        </w:rPr>
        <w:t>regulations pertaining to section 104(a</w:t>
      </w:r>
      <w:proofErr w:type="gramStart"/>
      <w:r w:rsidRPr="00BE0012">
        <w:rPr>
          <w:rFonts w:ascii="Times New Roman" w:hAnsi="Times New Roman"/>
          <w:color w:val="000000"/>
        </w:rPr>
        <w:t>)(</w:t>
      </w:r>
      <w:proofErr w:type="gramEnd"/>
      <w:r w:rsidRPr="00BE0012">
        <w:rPr>
          <w:rFonts w:ascii="Times New Roman" w:hAnsi="Times New Roman"/>
          <w:color w:val="000000"/>
        </w:rPr>
        <w:t>6)</w:t>
      </w:r>
      <w:r w:rsidRPr="00BE0012" w:rsidR="00B238FA">
        <w:rPr>
          <w:rFonts w:ascii="Times New Roman" w:hAnsi="Times New Roman"/>
          <w:color w:val="000000"/>
        </w:rPr>
        <w:t xml:space="preserve"> and the Department’s right to request SPDs, however,</w:t>
      </w:r>
      <w:r w:rsidRPr="00BE0012">
        <w:rPr>
          <w:rFonts w:ascii="Times New Roman" w:hAnsi="Times New Roman"/>
          <w:color w:val="000000"/>
        </w:rPr>
        <w:t xml:space="preserve"> is approved under a separate OMB control number (1210-0112)</w:t>
      </w:r>
      <w:r w:rsidRPr="00BE0012" w:rsidR="00B238FA">
        <w:rPr>
          <w:rFonts w:ascii="Times New Roman" w:hAnsi="Times New Roman"/>
          <w:color w:val="000000"/>
        </w:rPr>
        <w:t xml:space="preserve"> and is not the subject of the current ICR</w:t>
      </w:r>
      <w:r w:rsidRPr="00BE0012">
        <w:rPr>
          <w:rFonts w:ascii="Times New Roman" w:hAnsi="Times New Roman"/>
          <w:color w:val="000000"/>
        </w:rPr>
        <w:t>.</w:t>
      </w:r>
    </w:p>
    <w:p w:rsidRPr="00BE0012" w:rsidR="0038178F" w:rsidP="0038178F" w:rsidRDefault="0038178F" w14:paraId="0C353F36" w14:textId="77777777">
      <w:pPr>
        <w:widowControl/>
        <w:ind w:left="720"/>
        <w:rPr>
          <w:rFonts w:ascii="Times New Roman" w:hAnsi="Times New Roman"/>
          <w:color w:val="000000"/>
        </w:rPr>
      </w:pPr>
    </w:p>
    <w:p w:rsidRPr="00BE0012" w:rsidR="007732A6" w:rsidP="0038178F" w:rsidRDefault="007732A6" w14:paraId="71C6ACBE"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3.</w:t>
      </w:r>
      <w:r w:rsidRPr="00BE0012">
        <w:rPr>
          <w:rFonts w:ascii="Times New Roman" w:hAnsi="Times New Roman"/>
          <w:i/>
          <w:iCs/>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BE0012" w:rsidR="007732A6" w:rsidP="0038178F" w:rsidRDefault="007732A6" w14:paraId="6DDDE2B7" w14:textId="77777777">
      <w:pPr>
        <w:widowControl/>
        <w:ind w:left="720"/>
        <w:rPr>
          <w:rFonts w:ascii="Times New Roman" w:hAnsi="Times New Roman"/>
          <w:color w:val="000000"/>
        </w:rPr>
      </w:pPr>
    </w:p>
    <w:p w:rsidRPr="00BE0012" w:rsidR="007732A6" w:rsidP="0038178F" w:rsidRDefault="007732A6" w14:paraId="744F83AF" w14:textId="77777777">
      <w:pPr>
        <w:widowControl/>
        <w:ind w:left="720"/>
        <w:rPr>
          <w:rFonts w:ascii="Times New Roman" w:hAnsi="Times New Roman"/>
          <w:color w:val="000000"/>
        </w:rPr>
      </w:pPr>
      <w:r w:rsidRPr="00BE0012">
        <w:rPr>
          <w:rFonts w:ascii="Times New Roman" w:hAnsi="Times New Roman"/>
          <w:color w:val="000000"/>
        </w:rPr>
        <w:t>The Department has published rules at 29 CFR 2520.104</w:t>
      </w:r>
      <w:r w:rsidRPr="00BE0012" w:rsidR="00B23B75">
        <w:rPr>
          <w:rFonts w:ascii="Times New Roman" w:hAnsi="Times New Roman"/>
          <w:color w:val="000000"/>
        </w:rPr>
        <w:t>b</w:t>
      </w:r>
      <w:r w:rsidRPr="00BE0012">
        <w:rPr>
          <w:rFonts w:ascii="Times New Roman" w:hAnsi="Times New Roman"/>
          <w:color w:val="000000"/>
        </w:rPr>
        <w:t xml:space="preserve">-1(c) that describe the circumstances under which </w:t>
      </w:r>
      <w:r w:rsidRPr="00BE0012" w:rsidR="00B23B75">
        <w:rPr>
          <w:rFonts w:ascii="Times New Roman" w:hAnsi="Times New Roman"/>
          <w:color w:val="000000"/>
        </w:rPr>
        <w:t xml:space="preserve">plan administrators may </w:t>
      </w:r>
      <w:r w:rsidRPr="00BE0012">
        <w:rPr>
          <w:rFonts w:ascii="Times New Roman" w:hAnsi="Times New Roman"/>
          <w:color w:val="000000"/>
        </w:rPr>
        <w:t xml:space="preserve">use electronic technologies </w:t>
      </w:r>
      <w:r w:rsidRPr="00BE0012" w:rsidR="00B23B75">
        <w:rPr>
          <w:rFonts w:ascii="Times New Roman" w:hAnsi="Times New Roman"/>
          <w:color w:val="000000"/>
        </w:rPr>
        <w:t>to satisfy disclosure requirements under</w:t>
      </w:r>
      <w:r w:rsidRPr="00BE0012">
        <w:rPr>
          <w:rFonts w:ascii="Times New Roman" w:hAnsi="Times New Roman"/>
          <w:color w:val="000000"/>
        </w:rPr>
        <w:t xml:space="preserve"> ERISA</w:t>
      </w:r>
      <w:r w:rsidRPr="00BE0012" w:rsidR="00AC6ABD">
        <w:rPr>
          <w:rFonts w:ascii="Times New Roman" w:hAnsi="Times New Roman"/>
          <w:color w:val="000000"/>
        </w:rPr>
        <w:t xml:space="preserve">, including the information collections </w:t>
      </w:r>
      <w:r w:rsidRPr="00BE0012" w:rsidR="00B23B75">
        <w:rPr>
          <w:rFonts w:ascii="Times New Roman" w:hAnsi="Times New Roman"/>
          <w:color w:val="000000"/>
        </w:rPr>
        <w:t>included in</w:t>
      </w:r>
      <w:r w:rsidRPr="00BE0012" w:rsidR="00AC6ABD">
        <w:rPr>
          <w:rFonts w:ascii="Times New Roman" w:hAnsi="Times New Roman"/>
          <w:color w:val="000000"/>
        </w:rPr>
        <w:t xml:space="preserve"> this ICR</w:t>
      </w:r>
      <w:r w:rsidRPr="00BE0012">
        <w:rPr>
          <w:rFonts w:ascii="Times New Roman" w:hAnsi="Times New Roman"/>
          <w:color w:val="000000"/>
        </w:rPr>
        <w:t xml:space="preserve">.  Plan administrators may </w:t>
      </w:r>
      <w:r w:rsidRPr="00BE0012" w:rsidR="00AC6ABD">
        <w:rPr>
          <w:rFonts w:ascii="Times New Roman" w:hAnsi="Times New Roman"/>
          <w:color w:val="000000"/>
        </w:rPr>
        <w:t xml:space="preserve">rely on that regulation to </w:t>
      </w:r>
      <w:r w:rsidRPr="00BE0012">
        <w:rPr>
          <w:rFonts w:ascii="Times New Roman" w:hAnsi="Times New Roman"/>
          <w:color w:val="000000"/>
        </w:rPr>
        <w:t xml:space="preserve">use electronic technologies to fulfill disclosure obligations with respect to the SPD and SMM/SMR so long as they comply with the conditions in the rule.  Assumptions as to the </w:t>
      </w:r>
      <w:r w:rsidRPr="00BE0012" w:rsidR="00B23B75">
        <w:rPr>
          <w:rFonts w:ascii="Times New Roman" w:hAnsi="Times New Roman"/>
          <w:color w:val="000000"/>
        </w:rPr>
        <w:t xml:space="preserve">extent to which plan administrators </w:t>
      </w:r>
      <w:r w:rsidRPr="00BE0012" w:rsidR="00E07DE2">
        <w:rPr>
          <w:rFonts w:ascii="Times New Roman" w:hAnsi="Times New Roman"/>
          <w:color w:val="000000"/>
        </w:rPr>
        <w:t xml:space="preserve">currently </w:t>
      </w:r>
      <w:r w:rsidRPr="00BE0012">
        <w:rPr>
          <w:rFonts w:ascii="Times New Roman" w:hAnsi="Times New Roman"/>
          <w:color w:val="000000"/>
        </w:rPr>
        <w:t xml:space="preserve">use electronic technology </w:t>
      </w:r>
      <w:r w:rsidRPr="00BE0012" w:rsidR="00B23B75">
        <w:rPr>
          <w:rFonts w:ascii="Times New Roman" w:hAnsi="Times New Roman"/>
          <w:color w:val="000000"/>
        </w:rPr>
        <w:t>to satisfy these information collections</w:t>
      </w:r>
      <w:r w:rsidRPr="00BE0012">
        <w:rPr>
          <w:rFonts w:ascii="Times New Roman" w:hAnsi="Times New Roman"/>
          <w:color w:val="000000"/>
        </w:rPr>
        <w:t xml:space="preserve"> are incorporated in </w:t>
      </w:r>
      <w:r w:rsidRPr="00BE0012" w:rsidR="00E07DE2">
        <w:rPr>
          <w:rFonts w:ascii="Times New Roman" w:hAnsi="Times New Roman"/>
          <w:color w:val="000000"/>
        </w:rPr>
        <w:t xml:space="preserve">the </w:t>
      </w:r>
      <w:r w:rsidRPr="00BE0012">
        <w:rPr>
          <w:rFonts w:ascii="Times New Roman" w:hAnsi="Times New Roman"/>
          <w:color w:val="000000"/>
        </w:rPr>
        <w:t>burden estimates</w:t>
      </w:r>
      <w:r w:rsidRPr="00BE0012" w:rsidR="00E07DE2">
        <w:rPr>
          <w:rFonts w:ascii="Times New Roman" w:hAnsi="Times New Roman"/>
          <w:color w:val="000000"/>
        </w:rPr>
        <w:t xml:space="preserve"> for this ICR</w:t>
      </w:r>
      <w:r w:rsidRPr="00BE0012">
        <w:rPr>
          <w:rFonts w:ascii="Times New Roman" w:hAnsi="Times New Roman"/>
          <w:color w:val="000000"/>
        </w:rPr>
        <w:t xml:space="preserve">, as described in </w:t>
      </w:r>
      <w:r w:rsidRPr="00BE0012" w:rsidR="00E07DE2">
        <w:rPr>
          <w:rFonts w:ascii="Times New Roman" w:hAnsi="Times New Roman"/>
          <w:color w:val="000000"/>
        </w:rPr>
        <w:t xml:space="preserve">the response to </w:t>
      </w:r>
      <w:r w:rsidRPr="00BE0012" w:rsidR="00C42F2F">
        <w:rPr>
          <w:rFonts w:ascii="Times New Roman" w:hAnsi="Times New Roman"/>
          <w:color w:val="000000"/>
        </w:rPr>
        <w:t>i</w:t>
      </w:r>
      <w:r w:rsidRPr="00BE0012">
        <w:rPr>
          <w:rFonts w:ascii="Times New Roman" w:hAnsi="Times New Roman"/>
          <w:color w:val="000000"/>
        </w:rPr>
        <w:t>tem 12</w:t>
      </w:r>
      <w:r w:rsidRPr="00BE0012" w:rsidR="00E07DE2">
        <w:rPr>
          <w:rFonts w:ascii="Times New Roman" w:hAnsi="Times New Roman"/>
          <w:color w:val="000000"/>
        </w:rPr>
        <w:t>, below</w:t>
      </w:r>
      <w:r w:rsidR="0038178F">
        <w:rPr>
          <w:rFonts w:ascii="Times New Roman" w:hAnsi="Times New Roman"/>
          <w:color w:val="000000"/>
        </w:rPr>
        <w:t>.</w:t>
      </w:r>
    </w:p>
    <w:p w:rsidRPr="00BE0012" w:rsidR="007732A6" w:rsidP="0038178F" w:rsidRDefault="007732A6" w14:paraId="297BBE7F" w14:textId="77777777">
      <w:pPr>
        <w:widowControl/>
        <w:ind w:left="720"/>
        <w:rPr>
          <w:rFonts w:ascii="Times New Roman" w:hAnsi="Times New Roman"/>
          <w:color w:val="000000"/>
        </w:rPr>
      </w:pPr>
    </w:p>
    <w:p w:rsidRPr="00BE0012" w:rsidR="007732A6" w:rsidP="0038178F" w:rsidRDefault="007732A6" w14:paraId="0B47D399"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4.</w:t>
      </w:r>
      <w:r w:rsidRPr="00BE0012">
        <w:rPr>
          <w:rFonts w:ascii="Times New Roman" w:hAnsi="Times New Roman"/>
          <w:color w:val="000000"/>
        </w:rPr>
        <w:tab/>
      </w:r>
      <w:r w:rsidRPr="00BE0012">
        <w:rPr>
          <w:rFonts w:ascii="Times New Roman" w:hAnsi="Times New Roman"/>
          <w:i/>
          <w:iCs/>
          <w:color w:val="000000"/>
        </w:rPr>
        <w:t>Describe efforts to identify duplication.  Show specifically why any similar information already available cannot be used or modified for use for the purposes described in Item 2 above</w:t>
      </w:r>
      <w:r w:rsidRPr="00BE0012">
        <w:rPr>
          <w:rFonts w:ascii="Times New Roman" w:hAnsi="Times New Roman"/>
          <w:color w:val="000000"/>
        </w:rPr>
        <w:t>.</w:t>
      </w:r>
    </w:p>
    <w:p w:rsidRPr="00BE0012" w:rsidR="007732A6" w:rsidP="007E51AA" w:rsidRDefault="007732A6" w14:paraId="5D8D56AB" w14:textId="77777777">
      <w:pPr>
        <w:widowControl/>
        <w:ind w:left="720"/>
        <w:rPr>
          <w:rFonts w:ascii="Times New Roman" w:hAnsi="Times New Roman"/>
          <w:color w:val="000000"/>
        </w:rPr>
      </w:pPr>
    </w:p>
    <w:p w:rsidRPr="00BE0012" w:rsidR="007732A6" w:rsidP="007E51AA" w:rsidRDefault="007732A6" w14:paraId="1242BFE8" w14:textId="77777777">
      <w:pPr>
        <w:widowControl/>
        <w:ind w:left="720"/>
        <w:rPr>
          <w:rFonts w:ascii="Times New Roman" w:hAnsi="Times New Roman"/>
          <w:color w:val="000000"/>
        </w:rPr>
      </w:pPr>
      <w:r w:rsidRPr="00BE0012">
        <w:rPr>
          <w:rFonts w:ascii="Times New Roman" w:hAnsi="Times New Roman"/>
          <w:color w:val="000000"/>
        </w:rPr>
        <w:t xml:space="preserve">These disclosure requirements are not duplicated in any other Federal statutes or regulations.  In some instances, </w:t>
      </w:r>
      <w:r w:rsidRPr="00BE0012" w:rsidR="00AC6ABD">
        <w:rPr>
          <w:rFonts w:ascii="Times New Roman" w:hAnsi="Times New Roman"/>
          <w:color w:val="000000"/>
        </w:rPr>
        <w:t>state statute</w:t>
      </w:r>
      <w:r w:rsidRPr="00BE0012" w:rsidR="00C42F2F">
        <w:rPr>
          <w:rFonts w:ascii="Times New Roman" w:hAnsi="Times New Roman"/>
          <w:color w:val="000000"/>
        </w:rPr>
        <w:t>s</w:t>
      </w:r>
      <w:r w:rsidRPr="00BE0012" w:rsidR="00AC6ABD">
        <w:rPr>
          <w:rFonts w:ascii="Times New Roman" w:hAnsi="Times New Roman"/>
          <w:color w:val="000000"/>
        </w:rPr>
        <w:t xml:space="preserve"> pertaining to insurance regulation may require insurers to provide </w:t>
      </w:r>
      <w:r w:rsidRPr="00BE0012">
        <w:rPr>
          <w:rFonts w:ascii="Times New Roman" w:hAnsi="Times New Roman"/>
          <w:color w:val="000000"/>
        </w:rPr>
        <w:t xml:space="preserve">certain similar information to policyholders.  However, </w:t>
      </w:r>
      <w:r w:rsidRPr="00BE0012" w:rsidR="00AC6ABD">
        <w:rPr>
          <w:rFonts w:ascii="Times New Roman" w:hAnsi="Times New Roman"/>
          <w:color w:val="000000"/>
        </w:rPr>
        <w:t xml:space="preserve">to the extent that state requirements may require disclosure of the same information, federal </w:t>
      </w:r>
      <w:r w:rsidRPr="00BE0012" w:rsidR="00AC6ABD">
        <w:rPr>
          <w:rFonts w:ascii="Times New Roman" w:hAnsi="Times New Roman"/>
          <w:color w:val="000000"/>
        </w:rPr>
        <w:lastRenderedPageBreak/>
        <w:t xml:space="preserve">requirements under this information collection may </w:t>
      </w:r>
      <w:r w:rsidRPr="00BE0012">
        <w:rPr>
          <w:rFonts w:ascii="Times New Roman" w:hAnsi="Times New Roman"/>
          <w:color w:val="000000"/>
        </w:rPr>
        <w:t xml:space="preserve">be </w:t>
      </w:r>
      <w:r w:rsidRPr="00BE0012" w:rsidR="00AC6ABD">
        <w:rPr>
          <w:rFonts w:ascii="Times New Roman" w:hAnsi="Times New Roman"/>
          <w:color w:val="000000"/>
        </w:rPr>
        <w:t>satisfied through the state-required disclosure, eliminating duplication.</w:t>
      </w:r>
      <w:r w:rsidRPr="00BE0012">
        <w:rPr>
          <w:rFonts w:ascii="Times New Roman" w:hAnsi="Times New Roman"/>
          <w:color w:val="000000"/>
        </w:rPr>
        <w:t xml:space="preserve"> </w:t>
      </w:r>
    </w:p>
    <w:p w:rsidRPr="00BE0012" w:rsidR="007732A6" w:rsidP="007E51AA" w:rsidRDefault="007732A6" w14:paraId="25C8DC55" w14:textId="77777777">
      <w:pPr>
        <w:widowControl/>
        <w:ind w:left="720"/>
        <w:rPr>
          <w:rFonts w:ascii="Times New Roman" w:hAnsi="Times New Roman"/>
          <w:color w:val="000000"/>
        </w:rPr>
      </w:pPr>
    </w:p>
    <w:p w:rsidRPr="00BE0012" w:rsidR="007732A6" w:rsidP="007E51AA" w:rsidRDefault="007732A6" w14:paraId="25B9736F"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5.</w:t>
      </w:r>
      <w:r w:rsidRPr="00BE0012">
        <w:rPr>
          <w:rFonts w:ascii="Times New Roman" w:hAnsi="Times New Roman"/>
          <w:color w:val="000000"/>
        </w:rPr>
        <w:tab/>
      </w:r>
      <w:r w:rsidRPr="00BE0012">
        <w:rPr>
          <w:rFonts w:ascii="Times New Roman" w:hAnsi="Times New Roman"/>
          <w:i/>
          <w:iCs/>
          <w:color w:val="000000"/>
        </w:rPr>
        <w:t>If the collection of information impacts small businesses or other small entities describe any methods used to minimize burden.</w:t>
      </w:r>
    </w:p>
    <w:p w:rsidRPr="00BE0012" w:rsidR="007732A6" w:rsidP="007E51AA" w:rsidRDefault="007732A6" w14:paraId="568E38E6" w14:textId="77777777">
      <w:pPr>
        <w:widowControl/>
        <w:ind w:left="720"/>
        <w:rPr>
          <w:rFonts w:ascii="Times New Roman" w:hAnsi="Times New Roman"/>
          <w:color w:val="000000"/>
        </w:rPr>
      </w:pPr>
    </w:p>
    <w:p w:rsidRPr="00BE0012" w:rsidR="007732A6" w:rsidP="007E51AA" w:rsidRDefault="00B23B75" w14:paraId="2929A5A6" w14:textId="77777777">
      <w:pPr>
        <w:widowControl/>
        <w:ind w:left="720"/>
        <w:rPr>
          <w:rFonts w:ascii="Times New Roman" w:hAnsi="Times New Roman"/>
          <w:color w:val="000000"/>
        </w:rPr>
      </w:pPr>
      <w:r w:rsidRPr="00BE0012">
        <w:rPr>
          <w:rFonts w:ascii="Times New Roman" w:hAnsi="Times New Roman"/>
          <w:color w:val="000000"/>
        </w:rPr>
        <w:t>T</w:t>
      </w:r>
      <w:r w:rsidRPr="00BE0012" w:rsidR="00AC6ABD">
        <w:rPr>
          <w:rFonts w:ascii="Times New Roman" w:hAnsi="Times New Roman"/>
          <w:color w:val="000000"/>
        </w:rPr>
        <w:t xml:space="preserve">he Department’s </w:t>
      </w:r>
      <w:r w:rsidRPr="00BE0012" w:rsidR="007732A6">
        <w:rPr>
          <w:rFonts w:ascii="Times New Roman" w:hAnsi="Times New Roman"/>
          <w:color w:val="000000"/>
        </w:rPr>
        <w:t xml:space="preserve">implementing regulations </w:t>
      </w:r>
      <w:r w:rsidRPr="00BE0012">
        <w:rPr>
          <w:rFonts w:ascii="Times New Roman" w:hAnsi="Times New Roman"/>
          <w:color w:val="000000"/>
        </w:rPr>
        <w:t>regarding furnishing</w:t>
      </w:r>
      <w:r w:rsidRPr="00BE0012" w:rsidR="007732A6">
        <w:rPr>
          <w:rFonts w:ascii="Times New Roman" w:hAnsi="Times New Roman"/>
          <w:color w:val="000000"/>
        </w:rPr>
        <w:t xml:space="preserve"> SPD</w:t>
      </w:r>
      <w:r w:rsidRPr="00BE0012">
        <w:rPr>
          <w:rFonts w:ascii="Times New Roman" w:hAnsi="Times New Roman"/>
          <w:color w:val="000000"/>
        </w:rPr>
        <w:t>s, SMMs, and SMRs do not distinguish</w:t>
      </w:r>
      <w:r w:rsidRPr="00BE0012" w:rsidR="007732A6">
        <w:rPr>
          <w:rFonts w:ascii="Times New Roman" w:hAnsi="Times New Roman"/>
          <w:color w:val="000000"/>
        </w:rPr>
        <w:t xml:space="preserve"> </w:t>
      </w:r>
      <w:r w:rsidRPr="00BE0012" w:rsidR="00AC6ABD">
        <w:rPr>
          <w:rFonts w:ascii="Times New Roman" w:hAnsi="Times New Roman"/>
          <w:color w:val="000000"/>
        </w:rPr>
        <w:t>between</w:t>
      </w:r>
      <w:r w:rsidRPr="00BE0012" w:rsidR="007732A6">
        <w:rPr>
          <w:rFonts w:ascii="Times New Roman" w:hAnsi="Times New Roman"/>
          <w:color w:val="000000"/>
        </w:rPr>
        <w:t xml:space="preserve"> small and large </w:t>
      </w:r>
      <w:r w:rsidRPr="00BE0012" w:rsidR="00AC6ABD">
        <w:rPr>
          <w:rFonts w:ascii="Times New Roman" w:hAnsi="Times New Roman"/>
          <w:color w:val="000000"/>
        </w:rPr>
        <w:t xml:space="preserve">entities, either employers or </w:t>
      </w:r>
      <w:r w:rsidRPr="00BE0012" w:rsidR="007732A6">
        <w:rPr>
          <w:rFonts w:ascii="Times New Roman" w:hAnsi="Times New Roman"/>
          <w:color w:val="000000"/>
        </w:rPr>
        <w:t>employee benefit plans</w:t>
      </w:r>
      <w:r w:rsidRPr="00BE0012" w:rsidR="00AC6ABD">
        <w:rPr>
          <w:rFonts w:ascii="Times New Roman" w:hAnsi="Times New Roman"/>
          <w:color w:val="000000"/>
        </w:rPr>
        <w:t xml:space="preserve">, inasmuch as </w:t>
      </w:r>
      <w:r w:rsidRPr="00BE0012">
        <w:rPr>
          <w:rFonts w:ascii="Times New Roman" w:hAnsi="Times New Roman"/>
          <w:color w:val="000000"/>
        </w:rPr>
        <w:t xml:space="preserve">the Department believes that </w:t>
      </w:r>
      <w:r w:rsidRPr="00BE0012" w:rsidR="00AC6ABD">
        <w:rPr>
          <w:rFonts w:ascii="Times New Roman" w:hAnsi="Times New Roman"/>
          <w:color w:val="000000"/>
        </w:rPr>
        <w:t>participants and beneficiaries need the same quality and quantity of information regardless of employer or plan size.</w:t>
      </w:r>
      <w:r w:rsidRPr="00BE0012" w:rsidR="007732A6">
        <w:rPr>
          <w:rFonts w:ascii="Times New Roman" w:hAnsi="Times New Roman"/>
          <w:color w:val="000000"/>
        </w:rPr>
        <w:t xml:space="preserve">  </w:t>
      </w:r>
      <w:r w:rsidRPr="00BE0012" w:rsidR="00AC6ABD">
        <w:rPr>
          <w:rFonts w:ascii="Times New Roman" w:hAnsi="Times New Roman"/>
          <w:color w:val="000000"/>
        </w:rPr>
        <w:t xml:space="preserve">However, the Department’s regulations </w:t>
      </w:r>
      <w:r w:rsidRPr="00BE0012">
        <w:rPr>
          <w:rFonts w:ascii="Times New Roman" w:hAnsi="Times New Roman"/>
          <w:color w:val="000000"/>
        </w:rPr>
        <w:t>do not mandate the specific format of the SPD, which provides</w:t>
      </w:r>
      <w:r w:rsidRPr="00BE0012" w:rsidR="00AC6ABD">
        <w:rPr>
          <w:rFonts w:ascii="Times New Roman" w:hAnsi="Times New Roman"/>
          <w:color w:val="000000"/>
        </w:rPr>
        <w:t xml:space="preserve"> </w:t>
      </w:r>
      <w:r w:rsidRPr="00BE0012">
        <w:rPr>
          <w:rFonts w:ascii="Times New Roman" w:hAnsi="Times New Roman"/>
          <w:color w:val="000000"/>
        </w:rPr>
        <w:t xml:space="preserve">plan sponsors with the </w:t>
      </w:r>
      <w:r w:rsidRPr="00BE0012" w:rsidR="00AC6ABD">
        <w:rPr>
          <w:rFonts w:ascii="Times New Roman" w:hAnsi="Times New Roman"/>
          <w:color w:val="000000"/>
        </w:rPr>
        <w:t xml:space="preserve">flexibility </w:t>
      </w:r>
      <w:r w:rsidRPr="00BE0012">
        <w:rPr>
          <w:rFonts w:ascii="Times New Roman" w:hAnsi="Times New Roman"/>
          <w:color w:val="000000"/>
        </w:rPr>
        <w:t xml:space="preserve">to design their specific SPDs to meet their own needs.  Small plans or employers may adopt suitable </w:t>
      </w:r>
      <w:r w:rsidRPr="00BE0012" w:rsidR="007732A6">
        <w:rPr>
          <w:rFonts w:ascii="Times New Roman" w:hAnsi="Times New Roman"/>
          <w:color w:val="000000"/>
        </w:rPr>
        <w:t>means of preparing the document</w:t>
      </w:r>
      <w:r w:rsidRPr="00BE0012">
        <w:rPr>
          <w:rFonts w:ascii="Times New Roman" w:hAnsi="Times New Roman"/>
          <w:color w:val="000000"/>
        </w:rPr>
        <w:t xml:space="preserve"> that fit within their resources and abilities</w:t>
      </w:r>
      <w:r w:rsidRPr="00BE0012" w:rsidR="007732A6">
        <w:rPr>
          <w:rFonts w:ascii="Times New Roman" w:hAnsi="Times New Roman"/>
          <w:color w:val="000000"/>
        </w:rPr>
        <w:t xml:space="preserve">.  Small plans also typically </w:t>
      </w:r>
      <w:r w:rsidRPr="00BE0012" w:rsidR="00AC6ABD">
        <w:rPr>
          <w:rFonts w:ascii="Times New Roman" w:hAnsi="Times New Roman"/>
          <w:color w:val="000000"/>
        </w:rPr>
        <w:t>hire</w:t>
      </w:r>
      <w:r w:rsidRPr="00BE0012" w:rsidR="007732A6">
        <w:rPr>
          <w:rFonts w:ascii="Times New Roman" w:hAnsi="Times New Roman"/>
          <w:color w:val="000000"/>
        </w:rPr>
        <w:t xml:space="preserve"> professional </w:t>
      </w:r>
      <w:r w:rsidRPr="00BE0012" w:rsidR="00AC6ABD">
        <w:rPr>
          <w:rFonts w:ascii="Times New Roman" w:hAnsi="Times New Roman"/>
          <w:color w:val="000000"/>
        </w:rPr>
        <w:t>service providers</w:t>
      </w:r>
      <w:r w:rsidRPr="00BE0012" w:rsidR="00E405AF">
        <w:rPr>
          <w:rFonts w:ascii="Times New Roman" w:hAnsi="Times New Roman"/>
          <w:color w:val="000000"/>
        </w:rPr>
        <w:t>, especially with regard to welfare benefits,</w:t>
      </w:r>
      <w:r w:rsidRPr="00BE0012" w:rsidR="00AC6ABD">
        <w:rPr>
          <w:rFonts w:ascii="Times New Roman" w:hAnsi="Times New Roman"/>
          <w:color w:val="000000"/>
        </w:rPr>
        <w:t xml:space="preserve"> to design and distribute SPDs, </w:t>
      </w:r>
      <w:r w:rsidRPr="00BE0012" w:rsidR="007732A6">
        <w:rPr>
          <w:rFonts w:ascii="Times New Roman" w:hAnsi="Times New Roman"/>
          <w:color w:val="000000"/>
        </w:rPr>
        <w:t xml:space="preserve">which generally </w:t>
      </w:r>
      <w:r w:rsidRPr="00BE0012" w:rsidR="00C42F2F">
        <w:rPr>
          <w:rFonts w:ascii="Times New Roman" w:hAnsi="Times New Roman"/>
          <w:color w:val="000000"/>
        </w:rPr>
        <w:t>reduces</w:t>
      </w:r>
      <w:r w:rsidRPr="00BE0012" w:rsidR="007732A6">
        <w:rPr>
          <w:rFonts w:ascii="Times New Roman" w:hAnsi="Times New Roman"/>
          <w:color w:val="000000"/>
        </w:rPr>
        <w:t xml:space="preserve"> overall costs due to economies of scale.</w:t>
      </w:r>
    </w:p>
    <w:p w:rsidRPr="00BE0012" w:rsidR="0010136E" w:rsidP="007E51AA" w:rsidRDefault="0010136E" w14:paraId="3DC49FD4" w14:textId="77777777">
      <w:pPr>
        <w:widowControl/>
        <w:ind w:left="720"/>
        <w:rPr>
          <w:rFonts w:ascii="Times New Roman" w:hAnsi="Times New Roman"/>
          <w:color w:val="000000"/>
        </w:rPr>
      </w:pPr>
    </w:p>
    <w:p w:rsidRPr="00BE0012" w:rsidR="007732A6" w:rsidP="007E51AA" w:rsidRDefault="007732A6" w14:paraId="3B346FA4"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6.</w:t>
      </w:r>
      <w:r w:rsidRPr="00BE0012">
        <w:rPr>
          <w:rFonts w:ascii="Times New Roman" w:hAnsi="Times New Roman"/>
          <w:color w:val="000000"/>
        </w:rPr>
        <w:tab/>
      </w:r>
      <w:r w:rsidRPr="00BE0012">
        <w:rPr>
          <w:rFonts w:ascii="Times New Roman" w:hAnsi="Times New Roman"/>
          <w:i/>
          <w:iCs/>
          <w:color w:val="000000"/>
        </w:rPr>
        <w:t>Describe the consequence to Federal program or policy activities if the collection is not conducted or is conducted less frequently, as well as any technical or legal obstacles to reducing burden</w:t>
      </w:r>
      <w:r w:rsidRPr="00BE0012">
        <w:rPr>
          <w:rFonts w:ascii="Times New Roman" w:hAnsi="Times New Roman"/>
          <w:color w:val="000000"/>
        </w:rPr>
        <w:t>.</w:t>
      </w:r>
    </w:p>
    <w:p w:rsidRPr="00BE0012" w:rsidR="007732A6" w:rsidP="007E51AA" w:rsidRDefault="007732A6" w14:paraId="65ABC86F" w14:textId="77777777">
      <w:pPr>
        <w:widowControl/>
        <w:ind w:left="720"/>
        <w:rPr>
          <w:rFonts w:ascii="Times New Roman" w:hAnsi="Times New Roman"/>
          <w:color w:val="000000"/>
        </w:rPr>
      </w:pPr>
    </w:p>
    <w:p w:rsidRPr="00BE0012" w:rsidR="007732A6" w:rsidP="007E51AA" w:rsidRDefault="007732A6" w14:paraId="0A352CB5" w14:textId="77777777">
      <w:pPr>
        <w:widowControl/>
        <w:ind w:left="720"/>
        <w:rPr>
          <w:rFonts w:ascii="Times New Roman" w:hAnsi="Times New Roman"/>
          <w:color w:val="000000"/>
        </w:rPr>
      </w:pPr>
      <w:r w:rsidRPr="00BE0012">
        <w:rPr>
          <w:rFonts w:ascii="Times New Roman" w:hAnsi="Times New Roman"/>
          <w:color w:val="000000"/>
        </w:rPr>
        <w:t xml:space="preserve">The purpose of </w:t>
      </w:r>
      <w:r w:rsidRPr="00BE0012" w:rsidR="00B23B75">
        <w:rPr>
          <w:rFonts w:ascii="Times New Roman" w:hAnsi="Times New Roman"/>
          <w:color w:val="000000"/>
        </w:rPr>
        <w:t>these information collections</w:t>
      </w:r>
      <w:r w:rsidRPr="00BE0012">
        <w:rPr>
          <w:rFonts w:ascii="Times New Roman" w:hAnsi="Times New Roman"/>
          <w:color w:val="000000"/>
        </w:rPr>
        <w:t xml:space="preserve"> is </w:t>
      </w:r>
      <w:r w:rsidRPr="00BE0012" w:rsidR="00C42F2F">
        <w:rPr>
          <w:rFonts w:ascii="Times New Roman" w:hAnsi="Times New Roman"/>
          <w:color w:val="000000"/>
        </w:rPr>
        <w:t xml:space="preserve">to ensure </w:t>
      </w:r>
      <w:r w:rsidRPr="00BE0012" w:rsidR="006D1E5D">
        <w:rPr>
          <w:rFonts w:ascii="Times New Roman" w:hAnsi="Times New Roman"/>
          <w:color w:val="000000"/>
        </w:rPr>
        <w:t>adequate</w:t>
      </w:r>
      <w:r w:rsidRPr="00BE0012">
        <w:rPr>
          <w:rFonts w:ascii="Times New Roman" w:hAnsi="Times New Roman"/>
          <w:color w:val="000000"/>
        </w:rPr>
        <w:t xml:space="preserve"> disclosure of plan provisions to plan participants and beneficiaries.  The collection is conducted in a manner that is consist</w:t>
      </w:r>
      <w:r w:rsidRPr="00BE0012" w:rsidR="006D1E5D">
        <w:rPr>
          <w:rFonts w:ascii="Times New Roman" w:hAnsi="Times New Roman"/>
          <w:color w:val="000000"/>
        </w:rPr>
        <w:t>ent with statutory requirements</w:t>
      </w:r>
      <w:r w:rsidRPr="00BE0012">
        <w:rPr>
          <w:rFonts w:ascii="Times New Roman" w:hAnsi="Times New Roman"/>
          <w:color w:val="000000"/>
        </w:rPr>
        <w:t xml:space="preserve"> and only frequently </w:t>
      </w:r>
      <w:r w:rsidRPr="00BE0012" w:rsidR="00AC6ABD">
        <w:rPr>
          <w:rFonts w:ascii="Times New Roman" w:hAnsi="Times New Roman"/>
          <w:color w:val="000000"/>
        </w:rPr>
        <w:t>enough to</w:t>
      </w:r>
      <w:r w:rsidRPr="00BE0012">
        <w:rPr>
          <w:rFonts w:ascii="Times New Roman" w:hAnsi="Times New Roman"/>
          <w:color w:val="000000"/>
        </w:rPr>
        <w:t xml:space="preserve"> insure that participants and beneficiaries are in possession of </w:t>
      </w:r>
      <w:r w:rsidRPr="00BE0012" w:rsidR="00AC6ABD">
        <w:rPr>
          <w:rFonts w:ascii="Times New Roman" w:hAnsi="Times New Roman"/>
          <w:color w:val="000000"/>
        </w:rPr>
        <w:t>relatively current</w:t>
      </w:r>
      <w:r w:rsidRPr="00BE0012">
        <w:rPr>
          <w:rFonts w:ascii="Times New Roman" w:hAnsi="Times New Roman"/>
          <w:color w:val="000000"/>
        </w:rPr>
        <w:t xml:space="preserve"> information about their benefit plans.</w:t>
      </w:r>
    </w:p>
    <w:p w:rsidRPr="00BE0012" w:rsidR="007732A6" w:rsidP="007E51AA" w:rsidRDefault="007732A6" w14:paraId="3500E230" w14:textId="77777777">
      <w:pPr>
        <w:widowControl/>
        <w:ind w:left="720"/>
        <w:rPr>
          <w:rFonts w:ascii="Times New Roman" w:hAnsi="Times New Roman"/>
          <w:color w:val="000000"/>
        </w:rPr>
      </w:pPr>
    </w:p>
    <w:p w:rsidRPr="00BE0012" w:rsidR="007732A6" w:rsidP="008C064F" w:rsidRDefault="007732A6" w14:paraId="7DF21B62"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7.</w:t>
      </w:r>
      <w:r w:rsidRPr="00BE0012">
        <w:rPr>
          <w:rFonts w:ascii="Times New Roman" w:hAnsi="Times New Roman"/>
          <w:color w:val="000000"/>
        </w:rPr>
        <w:tab/>
      </w:r>
      <w:r w:rsidRPr="00BE0012">
        <w:rPr>
          <w:rFonts w:ascii="Times New Roman" w:hAnsi="Times New Roman"/>
          <w:i/>
          <w:iCs/>
          <w:color w:val="000000"/>
        </w:rPr>
        <w:t>Explain any special circumstances that would cause an information collection to be conducted in a manner:</w:t>
      </w:r>
    </w:p>
    <w:p w:rsidRPr="00BE0012" w:rsidR="007732A6" w:rsidP="007E51AA" w:rsidRDefault="007732A6" w14:paraId="4C117789"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r>
      <w:proofErr w:type="gramStart"/>
      <w:r w:rsidRPr="00BE0012">
        <w:rPr>
          <w:rFonts w:ascii="Times New Roman" w:hAnsi="Times New Roman"/>
          <w:i/>
          <w:iCs/>
          <w:color w:val="000000"/>
        </w:rPr>
        <w:t>requiring</w:t>
      </w:r>
      <w:proofErr w:type="gramEnd"/>
      <w:r w:rsidRPr="00BE0012">
        <w:rPr>
          <w:rFonts w:ascii="Times New Roman" w:hAnsi="Times New Roman"/>
          <w:i/>
          <w:iCs/>
          <w:color w:val="000000"/>
        </w:rPr>
        <w:t xml:space="preserve"> respondents to report information to the agency more often than quarterly;</w:t>
      </w:r>
    </w:p>
    <w:p w:rsidRPr="00BE0012" w:rsidR="007732A6" w:rsidP="007E51AA" w:rsidRDefault="007732A6" w14:paraId="5523A334"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t>requiring respondents to prepare a written response to a collection of information in fewer than 30 days after receipt of it;</w:t>
      </w:r>
    </w:p>
    <w:p w:rsidRPr="00BE0012" w:rsidR="007732A6" w:rsidP="007E51AA" w:rsidRDefault="007732A6" w14:paraId="5338D2F6"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t>requiring respondents to submit more than an original and two copies of any document;</w:t>
      </w:r>
    </w:p>
    <w:p w:rsidRPr="00BE0012" w:rsidR="007732A6" w:rsidP="007E51AA" w:rsidRDefault="007732A6" w14:paraId="460215BD"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t>requiring respondents to retain records, other than health, medical, government contract, grant-in-aid, or tax records for more than three years;</w:t>
      </w:r>
    </w:p>
    <w:p w:rsidRPr="00BE0012" w:rsidR="007732A6" w:rsidP="007E51AA" w:rsidRDefault="007732A6" w14:paraId="5908BC7D"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r>
      <w:proofErr w:type="gramStart"/>
      <w:r w:rsidRPr="00BE0012">
        <w:rPr>
          <w:rFonts w:ascii="Times New Roman" w:hAnsi="Times New Roman"/>
          <w:i/>
          <w:iCs/>
          <w:color w:val="000000"/>
        </w:rPr>
        <w:t>in</w:t>
      </w:r>
      <w:proofErr w:type="gramEnd"/>
      <w:r w:rsidRPr="00BE0012">
        <w:rPr>
          <w:rFonts w:ascii="Times New Roman" w:hAnsi="Times New Roman"/>
          <w:i/>
          <w:iCs/>
          <w:color w:val="000000"/>
        </w:rPr>
        <w:t xml:space="preserve"> connection with a statistical survey, that is not designed to produce valid and reliable results that can be generalized to the universe of study;</w:t>
      </w:r>
    </w:p>
    <w:p w:rsidRPr="00BE0012" w:rsidR="007732A6" w:rsidP="007E51AA" w:rsidRDefault="007732A6" w14:paraId="3F33F687"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t>requiring the use of a statistical data classification that has not been reviewed and approved by OMB;</w:t>
      </w:r>
    </w:p>
    <w:p w:rsidRPr="00BE0012" w:rsidR="007732A6" w:rsidP="007E51AA" w:rsidRDefault="007732A6" w14:paraId="47858131"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lastRenderedPageBreak/>
        <w:t>•</w:t>
      </w:r>
      <w:r w:rsidRPr="00BE0012">
        <w:rPr>
          <w:rFonts w:ascii="Times New Roman" w:hAnsi="Times New Roman"/>
          <w:i/>
          <w:iCs/>
          <w:color w:val="00000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E0012" w:rsidR="007732A6" w:rsidP="007E51AA" w:rsidRDefault="007732A6" w14:paraId="67BA2112" w14:textId="77777777">
      <w:pPr>
        <w:widowControl/>
        <w:tabs>
          <w:tab w:val="left" w:pos="-1440"/>
        </w:tabs>
        <w:ind w:left="1440" w:hanging="720"/>
        <w:rPr>
          <w:rFonts w:ascii="Times New Roman" w:hAnsi="Times New Roman"/>
          <w:i/>
          <w:iCs/>
          <w:color w:val="000000"/>
        </w:rPr>
      </w:pPr>
      <w:r w:rsidRPr="00BE0012">
        <w:rPr>
          <w:rFonts w:ascii="Times New Roman" w:hAnsi="Times New Roman"/>
          <w:i/>
          <w:iCs/>
          <w:color w:val="000000"/>
        </w:rPr>
        <w:t>•</w:t>
      </w:r>
      <w:r w:rsidRPr="00BE0012">
        <w:rPr>
          <w:rFonts w:ascii="Times New Roman" w:hAnsi="Times New Roman"/>
          <w:i/>
          <w:iCs/>
          <w:color w:val="000000"/>
        </w:rPr>
        <w:tab/>
        <w:t>requiring respondents to submit proprietary trade secret, or other confidential information unless the agency can demonstrate that it has instituted procedures to protect the information's</w:t>
      </w:r>
      <w:r w:rsidRPr="00BE0012">
        <w:rPr>
          <w:rFonts w:ascii="Times New Roman" w:hAnsi="Times New Roman"/>
          <w:color w:val="000000"/>
        </w:rPr>
        <w:t xml:space="preserve"> </w:t>
      </w:r>
      <w:r w:rsidRPr="00BE0012">
        <w:rPr>
          <w:rFonts w:ascii="Times New Roman" w:hAnsi="Times New Roman"/>
          <w:i/>
          <w:iCs/>
          <w:color w:val="000000"/>
        </w:rPr>
        <w:t>confidentiality to the extent permitted by law.</w:t>
      </w:r>
    </w:p>
    <w:p w:rsidRPr="00BE0012" w:rsidR="007732A6" w:rsidP="007E51AA" w:rsidRDefault="007732A6" w14:paraId="6A939B6F" w14:textId="77777777">
      <w:pPr>
        <w:widowControl/>
        <w:ind w:left="720"/>
        <w:rPr>
          <w:rFonts w:ascii="Times New Roman" w:hAnsi="Times New Roman"/>
          <w:color w:val="000000"/>
        </w:rPr>
      </w:pPr>
    </w:p>
    <w:p w:rsidRPr="00274CF1" w:rsidR="00274CF1" w:rsidP="00274CF1" w:rsidRDefault="00274CF1" w14:paraId="3BBEE0BE" w14:textId="77777777">
      <w:pPr>
        <w:widowControl/>
        <w:ind w:left="720"/>
        <w:rPr>
          <w:rFonts w:ascii="Times New Roman" w:hAnsi="Times New Roman"/>
          <w:color w:val="000000"/>
        </w:rPr>
      </w:pPr>
      <w:r w:rsidRPr="00274CF1">
        <w:rPr>
          <w:rFonts w:ascii="Times New Roman" w:hAnsi="Times New Roman"/>
          <w:color w:val="000000"/>
        </w:rPr>
        <w:t>There are no special circumstances that require the collection to be conducted in a manner inconsistent with the guidelines in 5 CFR 1320.5.</w:t>
      </w:r>
    </w:p>
    <w:p w:rsidRPr="00BE0012" w:rsidR="007732A6" w:rsidP="007E51AA" w:rsidRDefault="007732A6" w14:paraId="24C0B6B0" w14:textId="77777777">
      <w:pPr>
        <w:widowControl/>
        <w:ind w:left="720"/>
        <w:rPr>
          <w:rFonts w:ascii="Times New Roman" w:hAnsi="Times New Roman"/>
          <w:color w:val="000000"/>
        </w:rPr>
      </w:pPr>
    </w:p>
    <w:p w:rsidRPr="00BE0012" w:rsidR="007732A6" w:rsidP="007E51AA" w:rsidRDefault="007732A6" w14:paraId="102D335D" w14:textId="77777777">
      <w:pPr>
        <w:widowControl/>
        <w:ind w:left="720"/>
        <w:rPr>
          <w:rFonts w:ascii="Times New Roman" w:hAnsi="Times New Roman"/>
          <w:color w:val="000000"/>
        </w:rPr>
      </w:pPr>
    </w:p>
    <w:p w:rsidRPr="00BE0012" w:rsidR="007732A6" w:rsidP="007E51AA" w:rsidRDefault="007732A6" w14:paraId="31183DD2"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8.</w:t>
      </w:r>
      <w:r w:rsidRPr="00BE0012">
        <w:rPr>
          <w:rFonts w:ascii="Times New Roman" w:hAnsi="Times New Roman"/>
          <w:color w:val="000000"/>
        </w:rPr>
        <w:tab/>
      </w:r>
      <w:r w:rsidRPr="00BE0012">
        <w:rPr>
          <w:rFonts w:ascii="Times New Roman" w:hAnsi="Times New Roman"/>
          <w:i/>
          <w:iCs/>
          <w:color w:val="00000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E0012" w:rsidR="007732A6" w:rsidP="007E51AA" w:rsidRDefault="007732A6" w14:paraId="0A085C43" w14:textId="77777777">
      <w:pPr>
        <w:widowControl/>
        <w:ind w:left="720"/>
        <w:rPr>
          <w:rFonts w:ascii="Times New Roman" w:hAnsi="Times New Roman"/>
          <w:i/>
          <w:iCs/>
          <w:color w:val="000000"/>
        </w:rPr>
      </w:pPr>
    </w:p>
    <w:p w:rsidRPr="00BE0012" w:rsidR="007732A6" w:rsidP="007E51AA" w:rsidRDefault="007732A6" w14:paraId="7DC827F0" w14:textId="77777777">
      <w:pPr>
        <w:widowControl/>
        <w:ind w:left="720"/>
        <w:rPr>
          <w:rFonts w:ascii="Times New Roman" w:hAnsi="Times New Roman"/>
          <w:i/>
          <w:iCs/>
          <w:color w:val="000000"/>
        </w:rPr>
      </w:pPr>
      <w:r w:rsidRPr="00BE0012">
        <w:rPr>
          <w:rFonts w:ascii="Times New Roman" w:hAnsi="Times New Roman"/>
          <w:i/>
          <w:iCs/>
          <w:color w:val="00000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BE0012" w:rsidR="007732A6" w:rsidP="007E51AA" w:rsidRDefault="007732A6" w14:paraId="02B12BD6" w14:textId="77777777">
      <w:pPr>
        <w:widowControl/>
        <w:ind w:left="720"/>
        <w:rPr>
          <w:rFonts w:ascii="Times New Roman" w:hAnsi="Times New Roman"/>
          <w:i/>
          <w:iCs/>
          <w:color w:val="000000"/>
        </w:rPr>
      </w:pPr>
    </w:p>
    <w:p w:rsidRPr="00BE0012" w:rsidR="007732A6" w:rsidP="007E51AA" w:rsidRDefault="007732A6" w14:paraId="61EB57C7" w14:textId="77777777">
      <w:pPr>
        <w:widowControl/>
        <w:ind w:left="720"/>
        <w:rPr>
          <w:rFonts w:ascii="Times New Roman" w:hAnsi="Times New Roman"/>
          <w:color w:val="000000"/>
        </w:rPr>
      </w:pPr>
      <w:r w:rsidRPr="00BE0012">
        <w:rPr>
          <w:rFonts w:ascii="Times New Roman" w:hAnsi="Times New Roman"/>
          <w:i/>
          <w:i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E0012" w:rsidR="007732A6" w:rsidP="007E51AA" w:rsidRDefault="007732A6" w14:paraId="1C935F7D" w14:textId="77777777">
      <w:pPr>
        <w:widowControl/>
        <w:ind w:left="720"/>
        <w:rPr>
          <w:rFonts w:ascii="Times New Roman" w:hAnsi="Times New Roman"/>
          <w:color w:val="000000"/>
        </w:rPr>
      </w:pPr>
    </w:p>
    <w:p w:rsidRPr="00643994" w:rsidR="00643994" w:rsidP="00643994" w:rsidRDefault="00643994" w14:paraId="5CC301FE" w14:textId="77777777">
      <w:pPr>
        <w:widowControl/>
        <w:ind w:left="720"/>
        <w:rPr>
          <w:rFonts w:ascii="Times New Roman" w:hAnsi="Times New Roman"/>
          <w:color w:val="000000"/>
        </w:rPr>
      </w:pPr>
      <w:r w:rsidRPr="00643994">
        <w:rPr>
          <w:rFonts w:ascii="Times New Roman" w:hAnsi="Times New Roman"/>
          <w:color w:val="000000"/>
        </w:rPr>
        <w:t>The Department’s Federal Register Notice required by 5 CFR 1320.8(d) soliciting comments on the information collection was published on October 23, 2019, 84 FR 56894.  No comments were received by the Department on the ICR.  Comments on the broader issue of changes to electronic disclosure requirements are addresse</w:t>
      </w:r>
      <w:r w:rsidR="00BE265F">
        <w:rPr>
          <w:rFonts w:ascii="Times New Roman" w:hAnsi="Times New Roman"/>
          <w:color w:val="000000"/>
        </w:rPr>
        <w:t>d</w:t>
      </w:r>
      <w:r w:rsidRPr="00643994">
        <w:rPr>
          <w:rFonts w:ascii="Times New Roman" w:hAnsi="Times New Roman"/>
          <w:color w:val="000000"/>
        </w:rPr>
        <w:t xml:space="preserve"> under OMB control number 1210-0121. </w:t>
      </w:r>
    </w:p>
    <w:p w:rsidRPr="00BE0012" w:rsidR="007732A6" w:rsidP="00DC6B30" w:rsidRDefault="007732A6" w14:paraId="1BF8FD99" w14:textId="77777777">
      <w:pPr>
        <w:widowControl/>
        <w:rPr>
          <w:rFonts w:ascii="Times New Roman" w:hAnsi="Times New Roman"/>
          <w:color w:val="000000"/>
        </w:rPr>
      </w:pPr>
    </w:p>
    <w:p w:rsidRPr="00BE0012" w:rsidR="007732A6" w:rsidP="000D29ED" w:rsidRDefault="007732A6" w14:paraId="3A25A8A1"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9.</w:t>
      </w:r>
      <w:r w:rsidRPr="00BE0012">
        <w:rPr>
          <w:rFonts w:ascii="Times New Roman" w:hAnsi="Times New Roman"/>
          <w:color w:val="000000"/>
        </w:rPr>
        <w:tab/>
      </w:r>
      <w:r w:rsidRPr="00BE0012">
        <w:rPr>
          <w:rFonts w:ascii="Times New Roman" w:hAnsi="Times New Roman"/>
          <w:i/>
          <w:iCs/>
          <w:color w:val="000000"/>
        </w:rPr>
        <w:t>Explain any decision to provide any payment or gift to respondents, other than remuneration of contractors or grantees.</w:t>
      </w:r>
    </w:p>
    <w:p w:rsidRPr="00BE0012" w:rsidR="007732A6" w:rsidP="000D29ED" w:rsidRDefault="007732A6" w14:paraId="51C2FE5B" w14:textId="77777777">
      <w:pPr>
        <w:widowControl/>
        <w:ind w:left="720"/>
        <w:rPr>
          <w:rFonts w:ascii="Times New Roman" w:hAnsi="Times New Roman"/>
          <w:color w:val="000000"/>
        </w:rPr>
      </w:pPr>
    </w:p>
    <w:p w:rsidRPr="007B74E5" w:rsidR="007B74E5" w:rsidP="007B74E5" w:rsidRDefault="007B74E5" w14:paraId="40A4C90B" w14:textId="77777777">
      <w:pPr>
        <w:ind w:left="720"/>
        <w:outlineLvl w:val="0"/>
        <w:rPr>
          <w:rFonts w:ascii="Times New Roman" w:hAnsi="Times New Roman"/>
        </w:rPr>
      </w:pPr>
      <w:r w:rsidRPr="007B74E5">
        <w:rPr>
          <w:rFonts w:ascii="Times New Roman" w:hAnsi="Times New Roman"/>
        </w:rPr>
        <w:t xml:space="preserve">No payments or gifts </w:t>
      </w:r>
      <w:r>
        <w:rPr>
          <w:rFonts w:ascii="Times New Roman" w:hAnsi="Times New Roman"/>
        </w:rPr>
        <w:t xml:space="preserve">were </w:t>
      </w:r>
      <w:r w:rsidRPr="007B74E5">
        <w:rPr>
          <w:rFonts w:ascii="Times New Roman" w:hAnsi="Times New Roman"/>
        </w:rPr>
        <w:t>provided to respondents.</w:t>
      </w:r>
    </w:p>
    <w:p w:rsidRPr="00BE0012" w:rsidR="007732A6" w:rsidP="000D29ED" w:rsidRDefault="007732A6" w14:paraId="0CC178A0" w14:textId="77777777">
      <w:pPr>
        <w:widowControl/>
        <w:ind w:left="720"/>
        <w:rPr>
          <w:rFonts w:ascii="Times New Roman" w:hAnsi="Times New Roman"/>
          <w:color w:val="000000"/>
        </w:rPr>
      </w:pPr>
    </w:p>
    <w:p w:rsidRPr="00BE0012" w:rsidR="007732A6" w:rsidP="000D29ED" w:rsidRDefault="007732A6" w14:paraId="753D4C7E" w14:textId="77777777">
      <w:pPr>
        <w:widowControl/>
        <w:ind w:left="720"/>
        <w:rPr>
          <w:rFonts w:ascii="Times New Roman" w:hAnsi="Times New Roman"/>
          <w:color w:val="000000"/>
        </w:rPr>
      </w:pPr>
    </w:p>
    <w:p w:rsidRPr="00BE0012" w:rsidR="007732A6" w:rsidP="000D29ED" w:rsidRDefault="007732A6" w14:paraId="4BAC6AB8"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10.</w:t>
      </w:r>
      <w:r w:rsidRPr="00BE0012">
        <w:rPr>
          <w:rFonts w:ascii="Times New Roman" w:hAnsi="Times New Roman"/>
          <w:color w:val="000000"/>
        </w:rPr>
        <w:tab/>
      </w:r>
      <w:r w:rsidRPr="00BE0012">
        <w:rPr>
          <w:rFonts w:ascii="Times New Roman" w:hAnsi="Times New Roman"/>
          <w:i/>
          <w:iCs/>
          <w:color w:val="000000"/>
        </w:rPr>
        <w:t>Describe any assurance of confidentiality provided to respondents and the basis for the assurance in statute, regulation, or agency policy.</w:t>
      </w:r>
    </w:p>
    <w:p w:rsidRPr="00BE0012" w:rsidR="007732A6" w:rsidP="000D29ED" w:rsidRDefault="007732A6" w14:paraId="3086F2E1" w14:textId="77777777">
      <w:pPr>
        <w:widowControl/>
        <w:ind w:left="720"/>
        <w:rPr>
          <w:rFonts w:ascii="Times New Roman" w:hAnsi="Times New Roman"/>
          <w:color w:val="000000"/>
        </w:rPr>
      </w:pPr>
    </w:p>
    <w:p w:rsidRPr="007B74E5" w:rsidR="007B74E5" w:rsidP="007B74E5" w:rsidRDefault="007B74E5" w14:paraId="44207A01" w14:textId="77777777">
      <w:pPr>
        <w:ind w:left="720"/>
        <w:rPr>
          <w:rFonts w:ascii="Times New Roman" w:hAnsi="Times New Roman"/>
        </w:rPr>
      </w:pPr>
      <w:r w:rsidRPr="007B74E5">
        <w:rPr>
          <w:rFonts w:ascii="Times New Roman" w:hAnsi="Times New Roman"/>
        </w:rPr>
        <w:t>There is no assurance of confidentiality provided to respondents.</w:t>
      </w:r>
    </w:p>
    <w:p w:rsidRPr="00BE0012" w:rsidR="007732A6" w:rsidP="003313BA" w:rsidRDefault="007732A6" w14:paraId="2CF55128" w14:textId="77777777">
      <w:pPr>
        <w:widowControl/>
        <w:rPr>
          <w:rFonts w:ascii="Times New Roman" w:hAnsi="Times New Roman"/>
          <w:color w:val="000000"/>
        </w:rPr>
      </w:pPr>
    </w:p>
    <w:p w:rsidRPr="00BE0012" w:rsidR="007732A6" w:rsidP="000D29ED" w:rsidRDefault="007732A6" w14:paraId="5A37285F" w14:textId="77777777">
      <w:pPr>
        <w:widowControl/>
        <w:ind w:left="720"/>
        <w:rPr>
          <w:rFonts w:ascii="Times New Roman" w:hAnsi="Times New Roman"/>
          <w:color w:val="000000"/>
        </w:rPr>
      </w:pPr>
    </w:p>
    <w:p w:rsidRPr="00BE0012" w:rsidR="007732A6" w:rsidP="000D29ED" w:rsidRDefault="007732A6" w14:paraId="1114B13C"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11.</w:t>
      </w:r>
      <w:r w:rsidRPr="00BE0012">
        <w:rPr>
          <w:rFonts w:ascii="Times New Roman" w:hAnsi="Times New Roman"/>
          <w:color w:val="000000"/>
        </w:rPr>
        <w:tab/>
      </w:r>
      <w:r w:rsidRPr="00BE0012">
        <w:rPr>
          <w:rFonts w:ascii="Times New Roman" w:hAnsi="Times New Roman"/>
          <w:i/>
          <w:iCs/>
          <w:color w:val="00000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E0012" w:rsidR="007732A6" w:rsidP="000D29ED" w:rsidRDefault="007732A6" w14:paraId="61E013C6" w14:textId="77777777">
      <w:pPr>
        <w:widowControl/>
        <w:ind w:left="720"/>
        <w:rPr>
          <w:rFonts w:ascii="Times New Roman" w:hAnsi="Times New Roman"/>
          <w:color w:val="000000"/>
        </w:rPr>
      </w:pPr>
    </w:p>
    <w:p w:rsidRPr="007B74E5" w:rsidR="007B74E5" w:rsidP="007B74E5" w:rsidRDefault="007B74E5" w14:paraId="6C638FFC" w14:textId="77777777">
      <w:pPr>
        <w:ind w:left="720"/>
        <w:rPr>
          <w:rFonts w:ascii="Times New Roman" w:hAnsi="Times New Roman"/>
        </w:rPr>
      </w:pPr>
      <w:r w:rsidRPr="007B74E5">
        <w:rPr>
          <w:rFonts w:ascii="Times New Roman" w:hAnsi="Times New Roman"/>
        </w:rPr>
        <w:t>There are no questions of a sensitive nature.</w:t>
      </w:r>
    </w:p>
    <w:p w:rsidRPr="00BE0012" w:rsidR="007732A6" w:rsidP="000D29ED" w:rsidRDefault="007732A6" w14:paraId="42979675" w14:textId="77777777">
      <w:pPr>
        <w:widowControl/>
        <w:ind w:left="720"/>
        <w:rPr>
          <w:rFonts w:ascii="Times New Roman" w:hAnsi="Times New Roman"/>
          <w:color w:val="000000"/>
        </w:rPr>
      </w:pPr>
    </w:p>
    <w:p w:rsidRPr="00BE0012" w:rsidR="007732A6" w:rsidP="000D29ED" w:rsidRDefault="007732A6" w14:paraId="4C73CD29" w14:textId="77777777">
      <w:pPr>
        <w:widowControl/>
        <w:ind w:left="720"/>
        <w:rPr>
          <w:rFonts w:ascii="Times New Roman" w:hAnsi="Times New Roman"/>
          <w:color w:val="000000"/>
        </w:rPr>
      </w:pPr>
    </w:p>
    <w:p w:rsidRPr="00BE0012" w:rsidR="007732A6" w:rsidP="008F384C" w:rsidRDefault="007732A6" w14:paraId="119282C0" w14:textId="77777777">
      <w:pPr>
        <w:widowControl/>
        <w:numPr>
          <w:ilvl w:val="0"/>
          <w:numId w:val="3"/>
        </w:numPr>
        <w:tabs>
          <w:tab w:val="clear" w:pos="1080"/>
        </w:tabs>
        <w:ind w:left="720"/>
        <w:rPr>
          <w:rFonts w:ascii="Times New Roman" w:hAnsi="Times New Roman"/>
          <w:i/>
          <w:iCs/>
          <w:color w:val="000000"/>
        </w:rPr>
      </w:pPr>
      <w:r w:rsidRPr="00BE0012">
        <w:rPr>
          <w:rFonts w:ascii="Times New Roman" w:hAnsi="Times New Roman"/>
          <w:i/>
          <w:iCs/>
          <w:color w:val="000000"/>
        </w:rPr>
        <w:t>Provide estimates of the hour burden of the collection of information.  The statement should:</w:t>
      </w:r>
    </w:p>
    <w:p w:rsidRPr="00BE0012" w:rsidR="007732A6" w:rsidP="008F384C" w:rsidRDefault="007732A6" w14:paraId="3CAEC5F5" w14:textId="77777777">
      <w:pPr>
        <w:pStyle w:val="a"/>
        <w:widowControl/>
        <w:numPr>
          <w:ilvl w:val="1"/>
          <w:numId w:val="3"/>
        </w:numPr>
        <w:tabs>
          <w:tab w:val="left" w:pos="-1440"/>
        </w:tabs>
        <w:ind w:hanging="720"/>
        <w:rPr>
          <w:rFonts w:ascii="Times New Roman" w:hAnsi="Times New Roman"/>
          <w:i/>
          <w:iCs/>
          <w:color w:val="000000"/>
        </w:rPr>
      </w:pPr>
      <w:r w:rsidRPr="00BE0012">
        <w:rPr>
          <w:rFonts w:ascii="Times New Roman" w:hAnsi="Times New Roman"/>
          <w:i/>
          <w:i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0012" w:rsidR="007732A6" w:rsidP="008F384C" w:rsidRDefault="007732A6" w14:paraId="17ED296A" w14:textId="77777777">
      <w:pPr>
        <w:pStyle w:val="a"/>
        <w:widowControl/>
        <w:numPr>
          <w:ilvl w:val="1"/>
          <w:numId w:val="3"/>
        </w:numPr>
        <w:tabs>
          <w:tab w:val="left" w:pos="-1440"/>
        </w:tabs>
        <w:ind w:hanging="720"/>
        <w:rPr>
          <w:rFonts w:ascii="Times New Roman" w:hAnsi="Times New Roman"/>
          <w:i/>
          <w:iCs/>
          <w:color w:val="000000"/>
        </w:rPr>
      </w:pPr>
      <w:r w:rsidRPr="00BE0012">
        <w:rPr>
          <w:rFonts w:ascii="Times New Roman" w:hAnsi="Times New Roman"/>
          <w:i/>
          <w:iCs/>
          <w:color w:val="000000"/>
        </w:rPr>
        <w:t>If this request for approval covers more than one form, provide separate hour burden estimates for each form and aggregate the hour burdens in Item 13.</w:t>
      </w:r>
    </w:p>
    <w:p w:rsidRPr="00BE0012" w:rsidR="007732A6" w:rsidP="008F384C" w:rsidRDefault="007732A6" w14:paraId="005A8015" w14:textId="77777777">
      <w:pPr>
        <w:pStyle w:val="a"/>
        <w:widowControl/>
        <w:numPr>
          <w:ilvl w:val="1"/>
          <w:numId w:val="3"/>
        </w:numPr>
        <w:tabs>
          <w:tab w:val="left" w:pos="-1440"/>
        </w:tabs>
        <w:ind w:hanging="720"/>
        <w:rPr>
          <w:rFonts w:ascii="Times New Roman" w:hAnsi="Times New Roman"/>
          <w:i/>
          <w:iCs/>
          <w:color w:val="000000"/>
        </w:rPr>
      </w:pPr>
      <w:r w:rsidRPr="00BE0012">
        <w:rPr>
          <w:rFonts w:ascii="Times New Roman" w:hAnsi="Times New Roman"/>
          <w:i/>
          <w:iCs/>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BE0012" w:rsidR="007732A6" w:rsidP="008F384C" w:rsidRDefault="007732A6" w14:paraId="2AF05E6D" w14:textId="77777777">
      <w:pPr>
        <w:pStyle w:val="Header"/>
        <w:widowControl/>
        <w:tabs>
          <w:tab w:val="clear" w:pos="4320"/>
          <w:tab w:val="clear" w:pos="8640"/>
        </w:tabs>
        <w:ind w:left="720"/>
        <w:rPr>
          <w:rFonts w:ascii="Times New Roman" w:hAnsi="Times New Roman"/>
          <w:color w:val="000000"/>
        </w:rPr>
      </w:pPr>
    </w:p>
    <w:p w:rsidRPr="00BE0012" w:rsidR="00155F07" w:rsidP="008F384C" w:rsidRDefault="00155F07" w14:paraId="6263494C" w14:textId="77777777">
      <w:pPr>
        <w:widowControl/>
        <w:ind w:left="720"/>
        <w:rPr>
          <w:rFonts w:ascii="Times New Roman" w:hAnsi="Times New Roman"/>
          <w:color w:val="000000"/>
        </w:rPr>
      </w:pPr>
      <w:r w:rsidRPr="00BE0012">
        <w:rPr>
          <w:rFonts w:ascii="Times New Roman" w:hAnsi="Times New Roman"/>
          <w:color w:val="000000"/>
        </w:rPr>
        <w:t xml:space="preserve">The Department’s regulations on SPDs, SMMs, and SMRs require employee benefit plans to provide certain disclosure documents, containing specified information, to specified individuals upon the occurrence of a variety of triggering events.  Some of the triggering events are periodic (e.g., at intervals of 5 or 10 years) and some are circumstance-based (e.g., when an individual first becomes covered under a plan).  The </w:t>
      </w:r>
      <w:r w:rsidRPr="00BE0012">
        <w:rPr>
          <w:rFonts w:ascii="Times New Roman" w:hAnsi="Times New Roman"/>
          <w:color w:val="000000"/>
        </w:rPr>
        <w:lastRenderedPageBreak/>
        <w:t>regulations differentiate as to the required recipients:  pension plans must make disclosures to each participant covered under the plan and to each beneficiary receiving benefits under the plan.  Welfare plans, in contrast, must provide the disclosure documents only to participants covered under the plan.  The specified triggering events for SPDs include (1) when a participant first becomes covered (and, for pension plans, when a beneficiary first begins to receive benefits) or, if later, when the plan first becomes subject to Part 1 of Title I; and (2) every fifth year thereafter (if the plan has been materially modified) or every 10</w:t>
      </w:r>
      <w:r w:rsidRPr="00BE0012">
        <w:rPr>
          <w:rFonts w:ascii="Times New Roman" w:hAnsi="Times New Roman"/>
          <w:color w:val="000000"/>
          <w:vertAlign w:val="superscript"/>
        </w:rPr>
        <w:t>th</w:t>
      </w:r>
      <w:r w:rsidRPr="00BE0012">
        <w:rPr>
          <w:rFonts w:ascii="Times New Roman" w:hAnsi="Times New Roman"/>
          <w:color w:val="000000"/>
        </w:rPr>
        <w:t xml:space="preserve"> year thereafter (if the plan has not been materially modified).  SMMs or SMRs must be provided in any year, other than a year in which an SPD is provided, in which the plan has been materially modified.  In addition, plans must furnish SPDs to participants (and pension plan beneficiaries receiving benefits) on request and must also make these and related documents available for inspection </w:t>
      </w:r>
      <w:r w:rsidR="00C87014">
        <w:rPr>
          <w:rFonts w:ascii="Times New Roman" w:hAnsi="Times New Roman"/>
          <w:color w:val="000000"/>
        </w:rPr>
        <w:t>at reasonable times and places.</w:t>
      </w:r>
    </w:p>
    <w:p w:rsidRPr="00BE0012" w:rsidR="00155F07" w:rsidP="008F384C" w:rsidRDefault="00155F07" w14:paraId="15FFDEB3" w14:textId="77777777">
      <w:pPr>
        <w:widowControl/>
        <w:ind w:left="720"/>
        <w:rPr>
          <w:rFonts w:ascii="Times New Roman" w:hAnsi="Times New Roman"/>
          <w:color w:val="000000"/>
        </w:rPr>
      </w:pPr>
    </w:p>
    <w:p w:rsidRPr="00BE0012" w:rsidR="00155F07" w:rsidP="008F384C" w:rsidRDefault="00155F07" w14:paraId="140F36B2" w14:textId="64A28C40">
      <w:pPr>
        <w:widowControl/>
        <w:ind w:left="720"/>
        <w:rPr>
          <w:rFonts w:ascii="Times New Roman" w:hAnsi="Times New Roman"/>
          <w:color w:val="000000"/>
        </w:rPr>
      </w:pPr>
      <w:r w:rsidRPr="00BE0012">
        <w:rPr>
          <w:rFonts w:ascii="Times New Roman" w:hAnsi="Times New Roman"/>
          <w:color w:val="000000"/>
        </w:rPr>
        <w:t xml:space="preserve">In order to estimate the burden of these information collection requirements, the Department had to establish basic estimates and assumptions.  To determine the number of respondents, the Department estimated the number of existing pension and welfare plans from data derived from Form 5500 filings for the </w:t>
      </w:r>
      <w:r w:rsidRPr="00DC6B30" w:rsidR="009F2916">
        <w:rPr>
          <w:rFonts w:ascii="Times New Roman" w:hAnsi="Times New Roman"/>
          <w:color w:val="000000"/>
        </w:rPr>
        <w:t>2017</w:t>
      </w:r>
      <w:r w:rsidRPr="00BE0012">
        <w:rPr>
          <w:rFonts w:ascii="Times New Roman" w:hAnsi="Times New Roman"/>
          <w:color w:val="000000"/>
        </w:rPr>
        <w:t xml:space="preserve"> plan year (latest available data) and certain other data pertaining to the incidence of employer-</w:t>
      </w:r>
      <w:r w:rsidRPr="009F4C1B">
        <w:rPr>
          <w:rFonts w:ascii="Times New Roman" w:hAnsi="Times New Roman"/>
          <w:color w:val="000000"/>
        </w:rPr>
        <w:t>provided group health coverage.</w:t>
      </w:r>
      <w:r w:rsidRPr="009F4C1B">
        <w:rPr>
          <w:rStyle w:val="FootnoteReference"/>
          <w:color w:val="000000"/>
          <w:sz w:val="24"/>
        </w:rPr>
        <w:footnoteReference w:id="2"/>
      </w:r>
      <w:r w:rsidRPr="009F4C1B">
        <w:rPr>
          <w:rFonts w:ascii="Times New Roman" w:hAnsi="Times New Roman"/>
          <w:color w:val="000000"/>
        </w:rPr>
        <w:t xml:space="preserve">  The available data support an estimate of approximately </w:t>
      </w:r>
      <w:r w:rsidRPr="009F4C1B" w:rsidR="00C77BCC">
        <w:rPr>
          <w:rFonts w:ascii="Times New Roman" w:hAnsi="Times New Roman"/>
          <w:color w:val="000000"/>
        </w:rPr>
        <w:t>710,000</w:t>
      </w:r>
      <w:r w:rsidRPr="009F4C1B">
        <w:rPr>
          <w:rStyle w:val="FootnoteReference"/>
          <w:color w:val="000000"/>
          <w:sz w:val="24"/>
        </w:rPr>
        <w:footnoteReference w:id="3"/>
      </w:r>
      <w:r w:rsidRPr="00BE0012">
        <w:rPr>
          <w:rFonts w:ascii="Times New Roman" w:hAnsi="Times New Roman"/>
          <w:color w:val="000000"/>
        </w:rPr>
        <w:t xml:space="preserve"> pension plans </w:t>
      </w:r>
      <w:r w:rsidRPr="009F4C1B">
        <w:rPr>
          <w:rFonts w:ascii="Times New Roman" w:hAnsi="Times New Roman"/>
          <w:color w:val="000000"/>
        </w:rPr>
        <w:t>and 2.</w:t>
      </w:r>
      <w:r w:rsidRPr="009F4C1B" w:rsidR="00DA6FF4">
        <w:rPr>
          <w:rFonts w:ascii="Times New Roman" w:hAnsi="Times New Roman"/>
          <w:color w:val="000000"/>
        </w:rPr>
        <w:t>33</w:t>
      </w:r>
      <w:r w:rsidRPr="009F4C1B">
        <w:rPr>
          <w:rFonts w:ascii="Times New Roman" w:hAnsi="Times New Roman"/>
          <w:color w:val="000000"/>
        </w:rPr>
        <w:t xml:space="preserve"> million</w:t>
      </w:r>
      <w:r w:rsidRPr="00BE0012">
        <w:rPr>
          <w:rFonts w:ascii="Times New Roman" w:hAnsi="Times New Roman"/>
          <w:color w:val="000000"/>
        </w:rPr>
        <w:t xml:space="preserve"> health plans.</w:t>
      </w:r>
      <w:r w:rsidRPr="00CA22FA" w:rsidR="00CA22FA">
        <w:rPr>
          <w:rStyle w:val="FootnoteReference"/>
          <w:color w:val="000000"/>
          <w:sz w:val="24"/>
        </w:rPr>
        <w:t xml:space="preserve"> </w:t>
      </w:r>
      <w:r w:rsidRPr="00BE0012" w:rsidR="00CA22FA">
        <w:rPr>
          <w:rStyle w:val="FootnoteReference"/>
          <w:color w:val="000000"/>
          <w:sz w:val="24"/>
        </w:rPr>
        <w:footnoteReference w:id="4"/>
      </w:r>
      <w:r w:rsidRPr="00BE0012" w:rsidR="00CA22FA">
        <w:rPr>
          <w:rFonts w:ascii="Times New Roman" w:hAnsi="Times New Roman"/>
          <w:color w:val="000000"/>
        </w:rPr>
        <w:t xml:space="preserve"> </w:t>
      </w:r>
      <w:r w:rsidRPr="00BE0012">
        <w:rPr>
          <w:rFonts w:ascii="Times New Roman" w:hAnsi="Times New Roman"/>
          <w:color w:val="000000"/>
        </w:rPr>
        <w:t xml:space="preserve">  Because of the variety of different triggering events for the disclosures and the fact that all plans must be prepared to respond to participant requests for disclosure, the Department considers all plans to be respondents to the information collection requirements in each year</w:t>
      </w:r>
      <w:r w:rsidRPr="00BE0012" w:rsidR="007217C9">
        <w:rPr>
          <w:rFonts w:ascii="Times New Roman" w:hAnsi="Times New Roman"/>
          <w:color w:val="000000"/>
        </w:rPr>
        <w:t xml:space="preserve">.  </w:t>
      </w:r>
      <w:r w:rsidRPr="00BE0012">
        <w:rPr>
          <w:rFonts w:ascii="Times New Roman" w:hAnsi="Times New Roman"/>
          <w:color w:val="000000"/>
        </w:rPr>
        <w:t xml:space="preserve">The Department therefore estimates a total of </w:t>
      </w:r>
      <w:r w:rsidRPr="009F4C1B" w:rsidR="00DA6FF4">
        <w:rPr>
          <w:rFonts w:ascii="Times New Roman" w:hAnsi="Times New Roman"/>
          <w:color w:val="000000"/>
        </w:rPr>
        <w:t>approximately</w:t>
      </w:r>
      <w:r w:rsidRPr="000E1C91">
        <w:rPr>
          <w:rFonts w:ascii="Times New Roman" w:hAnsi="Times New Roman"/>
          <w:color w:val="000000"/>
        </w:rPr>
        <w:t xml:space="preserve"> 3</w:t>
      </w:r>
      <w:r w:rsidRPr="000E1C91" w:rsidR="00DA6FF4">
        <w:rPr>
          <w:rFonts w:ascii="Times New Roman" w:hAnsi="Times New Roman"/>
          <w:color w:val="000000"/>
        </w:rPr>
        <w:t>.033</w:t>
      </w:r>
      <w:r w:rsidRPr="000E1C91">
        <w:rPr>
          <w:rFonts w:ascii="Times New Roman" w:hAnsi="Times New Roman"/>
          <w:color w:val="000000"/>
        </w:rPr>
        <w:t xml:space="preserve"> million</w:t>
      </w:r>
      <w:r w:rsidRPr="00BE0012">
        <w:rPr>
          <w:rFonts w:ascii="Times New Roman" w:hAnsi="Times New Roman"/>
          <w:color w:val="000000"/>
        </w:rPr>
        <w:t xml:space="preserve"> annual respondents for this ICR</w:t>
      </w:r>
      <w:proofErr w:type="gramStart"/>
      <w:r w:rsidRPr="00BE0012">
        <w:rPr>
          <w:rFonts w:ascii="Times New Roman" w:hAnsi="Times New Roman"/>
          <w:color w:val="000000"/>
        </w:rPr>
        <w:t>.</w:t>
      </w:r>
      <w:r w:rsidR="00D64551">
        <w:rPr>
          <w:rFonts w:ascii="Times New Roman" w:hAnsi="Times New Roman"/>
          <w:color w:val="000000"/>
        </w:rPr>
        <w:t xml:space="preserve"> </w:t>
      </w:r>
      <w:proofErr w:type="gramEnd"/>
      <w:r w:rsidRPr="00BE0012">
        <w:rPr>
          <w:rFonts w:ascii="Times New Roman" w:hAnsi="Times New Roman"/>
          <w:color w:val="000000"/>
        </w:rPr>
        <w:t xml:space="preserve">This ICR will impose no annual obligation other than being prepared to disclose SPDs on an </w:t>
      </w:r>
      <w:r w:rsidRPr="009F4C1B">
        <w:rPr>
          <w:rFonts w:ascii="Times New Roman" w:hAnsi="Times New Roman"/>
          <w:color w:val="000000"/>
        </w:rPr>
        <w:t>estimated 24</w:t>
      </w:r>
      <w:r w:rsidRPr="000E1C91">
        <w:rPr>
          <w:rFonts w:ascii="Times New Roman" w:hAnsi="Times New Roman"/>
          <w:color w:val="000000"/>
        </w:rPr>
        <w:t xml:space="preserve"> percent</w:t>
      </w:r>
      <w:r w:rsidRPr="00BE0012">
        <w:rPr>
          <w:rFonts w:ascii="Times New Roman" w:hAnsi="Times New Roman"/>
          <w:color w:val="000000"/>
        </w:rPr>
        <w:t xml:space="preserve"> of these plans, primarily small ones (see Table 6</w:t>
      </w:r>
      <w:r w:rsidRPr="00BE0012" w:rsidR="000300B2">
        <w:rPr>
          <w:rFonts w:ascii="Times New Roman" w:hAnsi="Times New Roman"/>
          <w:color w:val="000000"/>
        </w:rPr>
        <w:t xml:space="preserve"> of the supplemental document</w:t>
      </w:r>
      <w:r w:rsidRPr="00BE0012">
        <w:rPr>
          <w:rFonts w:ascii="Times New Roman" w:hAnsi="Times New Roman"/>
          <w:color w:val="000000"/>
        </w:rPr>
        <w:t>).</w:t>
      </w:r>
    </w:p>
    <w:p w:rsidRPr="00BE0012" w:rsidR="00155F07" w:rsidP="008F384C" w:rsidRDefault="00155F07" w14:paraId="26B210F3" w14:textId="77777777">
      <w:pPr>
        <w:widowControl/>
        <w:ind w:left="720"/>
        <w:rPr>
          <w:rFonts w:ascii="Times New Roman" w:hAnsi="Times New Roman"/>
          <w:color w:val="000000"/>
        </w:rPr>
      </w:pPr>
    </w:p>
    <w:p w:rsidRPr="00BE0012" w:rsidR="00155F07" w:rsidP="008F384C" w:rsidRDefault="00155F07" w14:paraId="1840FC4B" w14:textId="77777777">
      <w:pPr>
        <w:widowControl/>
        <w:ind w:left="720"/>
        <w:rPr>
          <w:rFonts w:ascii="Times New Roman" w:hAnsi="Times New Roman"/>
          <w:color w:val="000000"/>
        </w:rPr>
      </w:pPr>
      <w:r w:rsidRPr="00BE0012">
        <w:rPr>
          <w:rFonts w:ascii="Times New Roman" w:hAnsi="Times New Roman"/>
          <w:color w:val="000000"/>
        </w:rPr>
        <w:lastRenderedPageBreak/>
        <w:t>In order to determine annual frequency of response, the Department estimated the number of triggering events that would occur in any year, requiring any of the disclosures including new SPDs, updated SPDs, and SMMs/SMRs.  The estimate was derived based on data and assumptions regarding the frequency at which each of the triggering events would occur.  Empirical estimates include the rate of plan amendment, the rate of new participants becoming covered, and the rate of new plans’ being established</w:t>
      </w:r>
      <w:r w:rsidRPr="00BE0012" w:rsidR="007217C9">
        <w:rPr>
          <w:rFonts w:ascii="Times New Roman" w:hAnsi="Times New Roman"/>
          <w:color w:val="000000"/>
        </w:rPr>
        <w:t xml:space="preserve">.  </w:t>
      </w:r>
      <w:r w:rsidRPr="00BE0012">
        <w:rPr>
          <w:rFonts w:ascii="Times New Roman" w:hAnsi="Times New Roman"/>
          <w:color w:val="000000"/>
        </w:rPr>
        <w:t xml:space="preserve">Based on these </w:t>
      </w:r>
      <w:r w:rsidRPr="000E1C91">
        <w:rPr>
          <w:rFonts w:ascii="Times New Roman" w:hAnsi="Times New Roman"/>
          <w:color w:val="000000"/>
        </w:rPr>
        <w:t>assumptions, the Department’s calculations produced an estimate of approximately (</w:t>
      </w:r>
      <w:r w:rsidRPr="000E1C91" w:rsidR="007A7053">
        <w:rPr>
          <w:rFonts w:ascii="Times New Roman" w:hAnsi="Times New Roman"/>
          <w:color w:val="000000"/>
        </w:rPr>
        <w:t>112,733,00</w:t>
      </w:r>
      <w:r w:rsidRPr="00915BAE" w:rsidR="007A7053">
        <w:rPr>
          <w:rFonts w:ascii="Times New Roman" w:hAnsi="Times New Roman"/>
          <w:color w:val="000000"/>
        </w:rPr>
        <w:t>0</w:t>
      </w:r>
      <w:r w:rsidRPr="00915BAE">
        <w:rPr>
          <w:rFonts w:ascii="Times New Roman" w:hAnsi="Times New Roman"/>
          <w:color w:val="000000"/>
        </w:rPr>
        <w:t>) responses</w:t>
      </w:r>
      <w:r w:rsidRPr="00BE0012">
        <w:rPr>
          <w:rFonts w:ascii="Times New Roman" w:hAnsi="Times New Roman"/>
          <w:color w:val="000000"/>
        </w:rPr>
        <w:t xml:space="preserve"> annually.  Tables 4, </w:t>
      </w:r>
      <w:proofErr w:type="gramStart"/>
      <w:r w:rsidRPr="00BE0012">
        <w:rPr>
          <w:rFonts w:ascii="Times New Roman" w:hAnsi="Times New Roman"/>
          <w:color w:val="000000"/>
        </w:rPr>
        <w:t>5</w:t>
      </w:r>
      <w:proofErr w:type="gramEnd"/>
      <w:r w:rsidRPr="00BE0012">
        <w:rPr>
          <w:rFonts w:ascii="Times New Roman" w:hAnsi="Times New Roman"/>
          <w:color w:val="000000"/>
        </w:rPr>
        <w:t xml:space="preserve"> and 6 provide break-outs of this calculation by type of triggering event and type of plan.</w:t>
      </w:r>
    </w:p>
    <w:p w:rsidRPr="00BE0012" w:rsidR="00155F07" w:rsidP="008F384C" w:rsidRDefault="00155F07" w14:paraId="101B7DB3" w14:textId="77777777">
      <w:pPr>
        <w:widowControl/>
        <w:ind w:left="720"/>
        <w:rPr>
          <w:rFonts w:ascii="Times New Roman" w:hAnsi="Times New Roman"/>
          <w:color w:val="000000"/>
        </w:rPr>
      </w:pPr>
    </w:p>
    <w:p w:rsidRPr="00BE0012" w:rsidR="00155F07" w:rsidP="008F384C" w:rsidRDefault="00155F07" w14:paraId="09B1F534" w14:textId="77777777">
      <w:pPr>
        <w:widowControl/>
        <w:ind w:left="720"/>
        <w:rPr>
          <w:rFonts w:ascii="Times New Roman" w:hAnsi="Times New Roman"/>
          <w:color w:val="000000"/>
        </w:rPr>
      </w:pPr>
      <w:r w:rsidRPr="00BE0012">
        <w:rPr>
          <w:rFonts w:ascii="Times New Roman" w:hAnsi="Times New Roman"/>
          <w:color w:val="000000"/>
        </w:rPr>
        <w:t xml:space="preserve">The Department also allocated the burden of this ICR to hours or to cost based on assumptions regarding the extent to which respondents would either use their own in-house resources or would hire third-party service providers to perform the work.  Based on its expert knowledge and accumulated experience of employee benefit practices, the Department has assumed that most </w:t>
      </w:r>
      <w:r w:rsidRPr="000E1C91">
        <w:rPr>
          <w:rFonts w:ascii="Times New Roman" w:hAnsi="Times New Roman"/>
          <w:color w:val="000000"/>
        </w:rPr>
        <w:t>plans (95 percent) will hire outside third-party service providers to prepare and distribute these documents, rather than using in-house resources</w:t>
      </w:r>
      <w:r w:rsidRPr="00915BAE" w:rsidR="007217C9">
        <w:rPr>
          <w:rFonts w:ascii="Times New Roman" w:hAnsi="Times New Roman"/>
          <w:color w:val="000000"/>
        </w:rPr>
        <w:t xml:space="preserve">.  </w:t>
      </w:r>
      <w:r w:rsidRPr="009F2916">
        <w:rPr>
          <w:rFonts w:ascii="Times New Roman" w:hAnsi="Times New Roman"/>
          <w:color w:val="000000"/>
        </w:rPr>
        <w:t>The burden attributable to hiring third-party service providers for 95 percent of respondent plans is treated, in this ICR, as a cost burden and described in the response to Item 13, below, while the use of in-house resources by the remaining 5 percent of plans is treated as an hour burden described in this</w:t>
      </w:r>
      <w:r w:rsidRPr="009F2916" w:rsidR="00C87014">
        <w:rPr>
          <w:rFonts w:ascii="Times New Roman" w:hAnsi="Times New Roman"/>
          <w:color w:val="000000"/>
        </w:rPr>
        <w:t xml:space="preserve"> response to Item 12.</w:t>
      </w:r>
    </w:p>
    <w:p w:rsidRPr="00BE0012" w:rsidR="00155F07" w:rsidP="008F384C" w:rsidRDefault="00155F07" w14:paraId="0B186FB6" w14:textId="77777777">
      <w:pPr>
        <w:widowControl/>
        <w:ind w:left="720"/>
        <w:rPr>
          <w:rFonts w:ascii="Times New Roman" w:hAnsi="Times New Roman"/>
          <w:color w:val="000000"/>
        </w:rPr>
      </w:pPr>
      <w:bookmarkStart w:name="IDX" w:id="1"/>
      <w:bookmarkEnd w:id="1"/>
    </w:p>
    <w:p w:rsidRPr="00BE0012" w:rsidR="00155F07" w:rsidP="008F384C" w:rsidRDefault="00155F07" w14:paraId="438245D9" w14:textId="77777777">
      <w:pPr>
        <w:widowControl/>
        <w:ind w:left="720"/>
        <w:rPr>
          <w:rFonts w:ascii="Times New Roman" w:hAnsi="Times New Roman"/>
          <w:color w:val="000000"/>
        </w:rPr>
      </w:pPr>
      <w:r w:rsidRPr="00BE0012">
        <w:rPr>
          <w:rFonts w:ascii="Times New Roman" w:hAnsi="Times New Roman"/>
          <w:color w:val="000000"/>
        </w:rPr>
        <w:t xml:space="preserve">Under the Department’s regulation, an employer that uses an electronic method of communications at the worksite may choose, without the participant’s consent, to provide disclosures through the worksite computers, subject to certain conditions; use of electronic communications at a participant’s or beneficiary’s home requires the individual’s consent.  For the estimated </w:t>
      </w:r>
      <w:r w:rsidRPr="00BE0012" w:rsidR="00DC1DB9">
        <w:rPr>
          <w:rFonts w:ascii="Times New Roman" w:hAnsi="Times New Roman"/>
          <w:color w:val="000000"/>
        </w:rPr>
        <w:t>5</w:t>
      </w:r>
      <w:r w:rsidR="00507639">
        <w:rPr>
          <w:rFonts w:ascii="Times New Roman" w:hAnsi="Times New Roman"/>
          <w:color w:val="000000"/>
        </w:rPr>
        <w:t>6.4</w:t>
      </w:r>
      <w:r w:rsidRPr="00BE0012" w:rsidR="00DC1DB9">
        <w:rPr>
          <w:rFonts w:ascii="Times New Roman" w:hAnsi="Times New Roman"/>
          <w:color w:val="000000"/>
        </w:rPr>
        <w:t xml:space="preserve"> </w:t>
      </w:r>
      <w:r w:rsidRPr="00BE0012">
        <w:rPr>
          <w:rFonts w:ascii="Times New Roman" w:hAnsi="Times New Roman"/>
          <w:color w:val="000000"/>
        </w:rPr>
        <w:t>percent of disclosures made through electronic means, printing and postage costs are reduced accordingly (electronic communications are assumed to require zero additional distribution costs, since employers are assumed to have established the infrastructure for electronic communications for other business purposes).</w:t>
      </w:r>
      <w:r w:rsidRPr="009A2D2D" w:rsidR="00CC0858">
        <w:rPr>
          <w:rStyle w:val="FootnoteReference"/>
          <w:rFonts w:eastAsia="MS Mincho"/>
          <w:sz w:val="24"/>
        </w:rPr>
        <w:footnoteReference w:id="5"/>
      </w:r>
    </w:p>
    <w:p w:rsidRPr="00BE0012" w:rsidR="00155F07" w:rsidP="008F384C" w:rsidRDefault="00155F07" w14:paraId="77BE8087" w14:textId="77777777">
      <w:pPr>
        <w:widowControl/>
        <w:ind w:left="720"/>
        <w:rPr>
          <w:rFonts w:ascii="Times New Roman" w:hAnsi="Times New Roman"/>
          <w:color w:val="000000"/>
        </w:rPr>
      </w:pPr>
    </w:p>
    <w:p w:rsidRPr="00BE0012" w:rsidR="00155F07" w:rsidP="008F384C" w:rsidRDefault="00155F07" w14:paraId="6255AE0E" w14:textId="77777777">
      <w:pPr>
        <w:widowControl/>
        <w:ind w:left="720"/>
        <w:rPr>
          <w:rFonts w:ascii="Times New Roman" w:hAnsi="Times New Roman"/>
          <w:color w:val="000000"/>
        </w:rPr>
      </w:pPr>
      <w:r w:rsidRPr="00BE0012">
        <w:rPr>
          <w:rFonts w:ascii="Times New Roman" w:hAnsi="Times New Roman"/>
          <w:color w:val="000000"/>
        </w:rPr>
        <w:lastRenderedPageBreak/>
        <w:t xml:space="preserve">The burden estimate of this ICR derives from two distinct activities:  preparation of disclosure documents (SPDs, SMMs, </w:t>
      </w:r>
      <w:proofErr w:type="gramStart"/>
      <w:r w:rsidRPr="00BE0012">
        <w:rPr>
          <w:rFonts w:ascii="Times New Roman" w:hAnsi="Times New Roman"/>
          <w:color w:val="000000"/>
        </w:rPr>
        <w:t>SMRs</w:t>
      </w:r>
      <w:proofErr w:type="gramEnd"/>
      <w:r w:rsidRPr="00BE0012">
        <w:rPr>
          <w:rFonts w:ascii="Times New Roman" w:hAnsi="Times New Roman"/>
          <w:color w:val="000000"/>
        </w:rPr>
        <w:t>) and distribution of disclosure documents.  The burden analysis for each of these activities is described separately, below.  Because of the complexity of the calculations that bring together the various factors that comprise this burden analysis, the results are presented in table form in the supplemental document.  Table 3 sets out the total burden and provides break-outs of the burden according to cost, hour, type of plan, type of burden, and type of disclosure.  The narrative description below summarizes the Department’s approach to the burden analysis.</w:t>
      </w:r>
    </w:p>
    <w:p w:rsidRPr="00BE0012" w:rsidR="00155F07" w:rsidP="008F384C" w:rsidRDefault="00155F07" w14:paraId="0C034866" w14:textId="77777777">
      <w:pPr>
        <w:widowControl/>
        <w:ind w:left="720"/>
        <w:rPr>
          <w:rFonts w:ascii="Times New Roman" w:hAnsi="Times New Roman"/>
          <w:color w:val="000000"/>
        </w:rPr>
      </w:pPr>
    </w:p>
    <w:p w:rsidRPr="00BE0012" w:rsidR="00155F07" w:rsidP="008F384C" w:rsidRDefault="00155F07" w14:paraId="74FD2773" w14:textId="77777777">
      <w:pPr>
        <w:widowControl/>
        <w:ind w:left="720"/>
        <w:rPr>
          <w:rFonts w:ascii="Times New Roman" w:hAnsi="Times New Roman"/>
          <w:color w:val="000000"/>
        </w:rPr>
      </w:pPr>
      <w:r w:rsidRPr="00BE0012">
        <w:rPr>
          <w:rFonts w:ascii="Times New Roman" w:hAnsi="Times New Roman"/>
          <w:b/>
          <w:color w:val="000000"/>
          <w:u w:val="single"/>
        </w:rPr>
        <w:t>Preparation</w:t>
      </w:r>
    </w:p>
    <w:p w:rsidRPr="00BE0012" w:rsidR="00155F07" w:rsidP="008F384C" w:rsidRDefault="00155F07" w14:paraId="2EDF6209" w14:textId="77777777">
      <w:pPr>
        <w:widowControl/>
        <w:ind w:left="720"/>
        <w:rPr>
          <w:rFonts w:ascii="Times New Roman" w:hAnsi="Times New Roman"/>
          <w:color w:val="000000"/>
        </w:rPr>
      </w:pPr>
    </w:p>
    <w:p w:rsidRPr="00BE0012" w:rsidR="00155F07" w:rsidP="008F384C" w:rsidRDefault="00155F07" w14:paraId="4AC0C577" w14:textId="77777777">
      <w:pPr>
        <w:widowControl/>
        <w:ind w:left="720"/>
        <w:rPr>
          <w:rFonts w:ascii="Times New Roman" w:hAnsi="Times New Roman"/>
          <w:color w:val="000000"/>
        </w:rPr>
      </w:pPr>
      <w:r w:rsidRPr="00BE0012">
        <w:rPr>
          <w:rFonts w:ascii="Times New Roman" w:hAnsi="Times New Roman"/>
          <w:color w:val="000000"/>
        </w:rPr>
        <w:t>In any year, all new plans will prepare a new SPD, which is estimated to require ten hours of a legal professional</w:t>
      </w:r>
      <w:r w:rsidRPr="00BE0012" w:rsidR="007F4292">
        <w:rPr>
          <w:rFonts w:ascii="Times New Roman" w:hAnsi="Times New Roman"/>
          <w:color w:val="000000"/>
        </w:rPr>
        <w:t>’</w:t>
      </w:r>
      <w:r w:rsidRPr="00BE0012">
        <w:rPr>
          <w:rFonts w:ascii="Times New Roman" w:hAnsi="Times New Roman"/>
          <w:color w:val="000000"/>
        </w:rPr>
        <w:t>s time at a labor rate of $</w:t>
      </w:r>
      <w:r w:rsidRPr="00BE0012" w:rsidR="00EF66CB">
        <w:rPr>
          <w:rFonts w:ascii="Times New Roman" w:hAnsi="Times New Roman"/>
          <w:color w:val="000000"/>
        </w:rPr>
        <w:t>133.</w:t>
      </w:r>
      <w:r w:rsidR="00507639">
        <w:rPr>
          <w:rFonts w:ascii="Times New Roman" w:hAnsi="Times New Roman"/>
          <w:color w:val="000000"/>
        </w:rPr>
        <w:t>29</w:t>
      </w:r>
      <w:r w:rsidRPr="00BE0012">
        <w:rPr>
          <w:rFonts w:ascii="Times New Roman" w:hAnsi="Times New Roman"/>
          <w:color w:val="000000"/>
        </w:rPr>
        <w:t xml:space="preserve"> per hour.</w:t>
      </w:r>
      <w:r w:rsidR="0089287F">
        <w:rPr>
          <w:rStyle w:val="FootnoteReference"/>
          <w:color w:val="000000"/>
        </w:rPr>
        <w:footnoteReference w:id="6"/>
      </w:r>
      <w:r w:rsidRPr="00BE0012">
        <w:rPr>
          <w:rFonts w:ascii="Times New Roman" w:hAnsi="Times New Roman"/>
          <w:color w:val="000000"/>
        </w:rPr>
        <w:t xml:space="preserve">  All plans that have been materially modified in that year will prepare an SMM or SMR, which is estimated to require three hours of a legal professionals time, unless that plan is already required to produce an updated SPD (in the 5</w:t>
      </w:r>
      <w:r w:rsidRPr="00BE0012">
        <w:rPr>
          <w:rFonts w:ascii="Times New Roman" w:hAnsi="Times New Roman"/>
          <w:color w:val="000000"/>
          <w:vertAlign w:val="superscript"/>
        </w:rPr>
        <w:t>th</w:t>
      </w:r>
      <w:r w:rsidRPr="00BE0012">
        <w:rPr>
          <w:rFonts w:ascii="Times New Roman" w:hAnsi="Times New Roman"/>
          <w:color w:val="000000"/>
        </w:rPr>
        <w:t xml:space="preserve"> or 10</w:t>
      </w:r>
      <w:r w:rsidRPr="00BE0012">
        <w:rPr>
          <w:rFonts w:ascii="Times New Roman" w:hAnsi="Times New Roman"/>
          <w:color w:val="000000"/>
          <w:vertAlign w:val="superscript"/>
        </w:rPr>
        <w:t>th</w:t>
      </w:r>
      <w:r w:rsidRPr="00BE0012">
        <w:rPr>
          <w:rFonts w:ascii="Times New Roman" w:hAnsi="Times New Roman"/>
          <w:color w:val="000000"/>
        </w:rPr>
        <w:t xml:space="preserve"> year), which is estimate</w:t>
      </w:r>
      <w:r w:rsidRPr="00BE0012" w:rsidR="00CE0616">
        <w:rPr>
          <w:rFonts w:ascii="Times New Roman" w:hAnsi="Times New Roman"/>
          <w:color w:val="000000"/>
        </w:rPr>
        <w:t>d</w:t>
      </w:r>
      <w:r w:rsidRPr="00BE0012">
        <w:rPr>
          <w:rFonts w:ascii="Times New Roman" w:hAnsi="Times New Roman"/>
          <w:color w:val="000000"/>
        </w:rPr>
        <w:t xml:space="preserve"> to require 4 hours of a legal professional’s time</w:t>
      </w:r>
      <w:r w:rsidRPr="00BE0012" w:rsidR="007217C9">
        <w:rPr>
          <w:rFonts w:ascii="Times New Roman" w:hAnsi="Times New Roman"/>
          <w:color w:val="000000"/>
        </w:rPr>
        <w:t xml:space="preserve">.  </w:t>
      </w:r>
      <w:r w:rsidRPr="00BE0012">
        <w:rPr>
          <w:rFonts w:ascii="Times New Roman" w:hAnsi="Times New Roman"/>
          <w:color w:val="000000"/>
        </w:rPr>
        <w:t>Tables 1 and 2 in the supplemental document describe more of the Department’s assumptions regarding the time needed to prepare each type of document.</w:t>
      </w:r>
    </w:p>
    <w:p w:rsidRPr="00BE0012" w:rsidR="0010136E" w:rsidP="008F384C" w:rsidRDefault="0010136E" w14:paraId="60644A09" w14:textId="77777777">
      <w:pPr>
        <w:widowControl/>
        <w:ind w:left="720"/>
        <w:rPr>
          <w:rFonts w:ascii="Times New Roman" w:hAnsi="Times New Roman"/>
          <w:color w:val="000000"/>
        </w:rPr>
      </w:pPr>
    </w:p>
    <w:p w:rsidRPr="00BE0012" w:rsidR="00155F07" w:rsidP="008F384C" w:rsidRDefault="00155F07" w14:paraId="02791304" w14:textId="77777777">
      <w:pPr>
        <w:widowControl/>
        <w:ind w:left="720"/>
        <w:rPr>
          <w:rFonts w:ascii="Times New Roman" w:hAnsi="Times New Roman"/>
          <w:color w:val="000000"/>
        </w:rPr>
      </w:pPr>
      <w:r w:rsidRPr="00BE0012">
        <w:rPr>
          <w:rFonts w:ascii="Times New Roman" w:hAnsi="Times New Roman"/>
          <w:color w:val="000000"/>
        </w:rPr>
        <w:t>The Department’s aggregate estimate of the burden of preparing the disclosure documents is comprised of several elements.  First, for pension plans, the Department has assumed that each plan will prepare an individualized “customized” SPD or SMM when needed.  The preparation burden for these plans is based, therefore, on a count of the number of documents needed to be prepared and the time needed for that type of document.  For welfare plans, however, a composite approach was required.  The Department believes that many welfare plans are established and maintained under prototype “</w:t>
      </w:r>
      <w:proofErr w:type="spellStart"/>
      <w:r w:rsidRPr="00BE0012">
        <w:rPr>
          <w:rFonts w:ascii="Times New Roman" w:hAnsi="Times New Roman"/>
          <w:color w:val="000000"/>
        </w:rPr>
        <w:t>noncustomized</w:t>
      </w:r>
      <w:proofErr w:type="spellEnd"/>
      <w:r w:rsidRPr="00BE0012">
        <w:rPr>
          <w:rFonts w:ascii="Times New Roman" w:hAnsi="Times New Roman"/>
          <w:color w:val="000000"/>
        </w:rPr>
        <w:t>” plan documents prepared and marketed to plans by a small group of third-party benefit providers.  The use of “</w:t>
      </w:r>
      <w:proofErr w:type="spellStart"/>
      <w:r w:rsidRPr="00BE0012">
        <w:rPr>
          <w:rFonts w:ascii="Times New Roman" w:hAnsi="Times New Roman"/>
          <w:color w:val="000000"/>
        </w:rPr>
        <w:t>noncustomized</w:t>
      </w:r>
      <w:proofErr w:type="spellEnd"/>
      <w:r w:rsidRPr="00BE0012">
        <w:rPr>
          <w:rFonts w:ascii="Times New Roman" w:hAnsi="Times New Roman"/>
          <w:color w:val="000000"/>
        </w:rPr>
        <w:t>” SPDs and SMMs/SMRs by welfare plans will substantially reduce the cost of preparing these documents since a single benefit provider will take on the responsibility of developing and maintaining up-to-date documents for a large number of plans that are the provider’s customers, spreading the cost of document preparation am</w:t>
      </w:r>
      <w:r w:rsidR="00C87014">
        <w:rPr>
          <w:rFonts w:ascii="Times New Roman" w:hAnsi="Times New Roman"/>
          <w:color w:val="000000"/>
        </w:rPr>
        <w:t>ong the larger group of plans.</w:t>
      </w:r>
    </w:p>
    <w:p w:rsidRPr="00BE0012" w:rsidR="00155F07" w:rsidP="008F384C" w:rsidRDefault="00155F07" w14:paraId="79DB2876" w14:textId="77777777">
      <w:pPr>
        <w:widowControl/>
        <w:ind w:left="720"/>
        <w:rPr>
          <w:rFonts w:ascii="Times New Roman" w:hAnsi="Times New Roman"/>
          <w:color w:val="000000"/>
        </w:rPr>
      </w:pPr>
    </w:p>
    <w:p w:rsidR="00155F07" w:rsidP="008F384C" w:rsidRDefault="00155F07" w14:paraId="67AC36EB" w14:textId="597A8173">
      <w:pPr>
        <w:widowControl/>
        <w:ind w:left="720"/>
        <w:rPr>
          <w:rFonts w:ascii="Times New Roman" w:hAnsi="Times New Roman"/>
          <w:color w:val="000000"/>
        </w:rPr>
      </w:pPr>
      <w:r w:rsidRPr="00BE0012">
        <w:rPr>
          <w:rFonts w:ascii="Times New Roman" w:hAnsi="Times New Roman"/>
          <w:color w:val="000000"/>
        </w:rPr>
        <w:t xml:space="preserve">In developing this burden estimate, the Department has assumed that the </w:t>
      </w:r>
      <w:r w:rsidR="00541A36">
        <w:rPr>
          <w:rFonts w:ascii="Times New Roman" w:hAnsi="Times New Roman"/>
          <w:color w:val="000000"/>
        </w:rPr>
        <w:t>4,605</w:t>
      </w:r>
      <w:r w:rsidRPr="00BE0012">
        <w:rPr>
          <w:rFonts w:ascii="Times New Roman" w:hAnsi="Times New Roman"/>
          <w:color w:val="000000"/>
        </w:rPr>
        <w:t xml:space="preserve"> welfare plans that are either multiemployer plans or that have that more than 10,000 participants </w:t>
      </w:r>
      <w:r w:rsidRPr="00BE0012">
        <w:rPr>
          <w:rFonts w:ascii="Times New Roman" w:hAnsi="Times New Roman"/>
          <w:color w:val="000000"/>
        </w:rPr>
        <w:lastRenderedPageBreak/>
        <w:t>will develop “customized” SPDs and SMMs/SMRs.</w:t>
      </w:r>
      <w:r w:rsidRPr="00BE0012">
        <w:rPr>
          <w:rStyle w:val="FootnoteReference"/>
          <w:color w:val="000000"/>
          <w:sz w:val="24"/>
        </w:rPr>
        <w:footnoteReference w:id="7"/>
      </w:r>
      <w:r w:rsidRPr="00BE0012">
        <w:rPr>
          <w:rFonts w:ascii="Times New Roman" w:hAnsi="Times New Roman"/>
          <w:color w:val="000000"/>
        </w:rPr>
        <w:t xml:space="preserve">  For that group of welfare plans, therefore, the Department developed an estimate of the burden of preparation based on the actual number of documents such plans will need in a year.  All other welfare plans have been assumed to satisfy the information collection requirements of this ICR through use of “</w:t>
      </w:r>
      <w:proofErr w:type="spellStart"/>
      <w:r w:rsidRPr="00BE0012">
        <w:rPr>
          <w:rFonts w:ascii="Times New Roman" w:hAnsi="Times New Roman"/>
          <w:color w:val="000000"/>
        </w:rPr>
        <w:t>noncustomized</w:t>
      </w:r>
      <w:proofErr w:type="spellEnd"/>
      <w:r w:rsidRPr="00BE0012">
        <w:rPr>
          <w:rFonts w:ascii="Times New Roman" w:hAnsi="Times New Roman"/>
          <w:color w:val="000000"/>
        </w:rPr>
        <w:t>” SPDs and SMMs/SMRs.  To estimate the burden of preparation of the “</w:t>
      </w:r>
      <w:proofErr w:type="spellStart"/>
      <w:r w:rsidRPr="00BE0012">
        <w:rPr>
          <w:rFonts w:ascii="Times New Roman" w:hAnsi="Times New Roman"/>
          <w:color w:val="000000"/>
        </w:rPr>
        <w:t>noncustomized</w:t>
      </w:r>
      <w:proofErr w:type="spellEnd"/>
      <w:r w:rsidRPr="00BE0012">
        <w:rPr>
          <w:rFonts w:ascii="Times New Roman" w:hAnsi="Times New Roman"/>
          <w:color w:val="000000"/>
        </w:rPr>
        <w:t>” documents, therefore, the Department estimated the number of third-party benefit providers that contract with group health plans, multiplied that estimate by an assumption as to the average number (10) of distinct health benefit products each of these providers offer to group health plans, and applied the assumptions regarding number of hours of legal work required to prepare or modify these documents and the total labor cost of legal work (see first two tables in supplemental document) to the resulting aggregate number of products.</w:t>
      </w:r>
      <w:r w:rsidRPr="00BE0012">
        <w:rPr>
          <w:rStyle w:val="FootnoteReference"/>
          <w:color w:val="000000"/>
          <w:sz w:val="24"/>
        </w:rPr>
        <w:footnoteReference w:id="8"/>
      </w:r>
      <w:r w:rsidRPr="00BE0012">
        <w:rPr>
          <w:rFonts w:ascii="Times New Roman" w:hAnsi="Times New Roman"/>
          <w:color w:val="000000"/>
        </w:rPr>
        <w:t xml:space="preserve">  The total aggregate annual estimate for preparation represents the summing of these composite parts.  Table 3 in the supplemental document presents the results of the calculation of hour burden for preparation and a break-out of the preparation burden across types of plans and types of documents.</w:t>
      </w:r>
      <w:r w:rsidRPr="00BE0012">
        <w:rPr>
          <w:rStyle w:val="FootnoteReference"/>
          <w:color w:val="000000"/>
          <w:sz w:val="24"/>
        </w:rPr>
        <w:footnoteReference w:id="9"/>
      </w:r>
      <w:r w:rsidRPr="00BE0012" w:rsidR="00461185">
        <w:rPr>
          <w:rFonts w:ascii="Times New Roman" w:hAnsi="Times New Roman"/>
          <w:color w:val="000000"/>
        </w:rPr>
        <w:t xml:space="preserve">  </w:t>
      </w:r>
      <w:r w:rsidRPr="00BE0012">
        <w:rPr>
          <w:rFonts w:ascii="Times New Roman" w:hAnsi="Times New Roman"/>
          <w:color w:val="000000"/>
        </w:rPr>
        <w:t>Since the preparation of the documents is done primarily by outside service providers, only 5 percent of the time devoted to these documents is assigned to the hourly burden</w:t>
      </w:r>
      <w:r w:rsidRPr="00BE0012" w:rsidR="007217C9">
        <w:rPr>
          <w:rFonts w:ascii="Times New Roman" w:hAnsi="Times New Roman"/>
          <w:color w:val="000000"/>
        </w:rPr>
        <w:t xml:space="preserve">.  </w:t>
      </w:r>
      <w:r w:rsidRPr="00BE0012">
        <w:rPr>
          <w:rFonts w:ascii="Times New Roman" w:hAnsi="Times New Roman"/>
          <w:color w:val="000000"/>
        </w:rPr>
        <w:t xml:space="preserve">The total hour burden for the preparation of SPDs and SMMs/SMRs for plans is </w:t>
      </w:r>
      <w:r w:rsidR="00390CB3">
        <w:rPr>
          <w:rFonts w:ascii="Times New Roman" w:hAnsi="Times New Roman"/>
          <w:color w:val="000000"/>
        </w:rPr>
        <w:t>59,000</w:t>
      </w:r>
      <w:r w:rsidRPr="00BE0012">
        <w:rPr>
          <w:rFonts w:ascii="Times New Roman" w:hAnsi="Times New Roman"/>
          <w:color w:val="000000"/>
        </w:rPr>
        <w:t xml:space="preserve"> hours (</w:t>
      </w:r>
      <w:r w:rsidRPr="00915BAE">
        <w:rPr>
          <w:rFonts w:ascii="Times New Roman" w:hAnsi="Times New Roman"/>
          <w:color w:val="000000"/>
        </w:rPr>
        <w:t>roughly 6</w:t>
      </w:r>
      <w:r w:rsidRPr="00915BAE" w:rsidR="00507639">
        <w:rPr>
          <w:rFonts w:ascii="Times New Roman" w:hAnsi="Times New Roman"/>
          <w:color w:val="000000"/>
        </w:rPr>
        <w:t>9</w:t>
      </w:r>
      <w:r w:rsidRPr="00915BAE" w:rsidR="00C87014">
        <w:rPr>
          <w:rFonts w:ascii="Times New Roman" w:hAnsi="Times New Roman"/>
          <w:color w:val="000000"/>
        </w:rPr>
        <w:t>% of which</w:t>
      </w:r>
      <w:r w:rsidR="00C87014">
        <w:rPr>
          <w:rFonts w:ascii="Times New Roman" w:hAnsi="Times New Roman"/>
          <w:color w:val="000000"/>
        </w:rPr>
        <w:t xml:space="preserve"> is for SPDs).</w:t>
      </w:r>
    </w:p>
    <w:p w:rsidRPr="00BE0012" w:rsidR="00D46338" w:rsidP="008F384C" w:rsidRDefault="00D46338" w14:paraId="54C3D679" w14:textId="77777777">
      <w:pPr>
        <w:widowControl/>
        <w:ind w:left="720"/>
        <w:rPr>
          <w:rFonts w:ascii="Times New Roman" w:hAnsi="Times New Roman"/>
          <w:color w:val="000000"/>
        </w:rPr>
      </w:pPr>
    </w:p>
    <w:p w:rsidRPr="00BE0012" w:rsidR="00155F07" w:rsidP="008F384C" w:rsidRDefault="00155F07" w14:paraId="7807B885" w14:textId="77777777">
      <w:pPr>
        <w:widowControl/>
        <w:ind w:left="720"/>
        <w:rPr>
          <w:rFonts w:ascii="Times New Roman" w:hAnsi="Times New Roman"/>
          <w:color w:val="000000"/>
        </w:rPr>
      </w:pPr>
    </w:p>
    <w:p w:rsidRPr="00BE0012" w:rsidR="00155F07" w:rsidP="008F384C" w:rsidRDefault="00155F07" w14:paraId="5B3EBAFA" w14:textId="77777777">
      <w:pPr>
        <w:widowControl/>
        <w:ind w:left="720"/>
        <w:rPr>
          <w:rFonts w:ascii="Times New Roman" w:hAnsi="Times New Roman"/>
          <w:color w:val="000000"/>
        </w:rPr>
      </w:pPr>
      <w:r w:rsidRPr="00BE0012">
        <w:rPr>
          <w:rFonts w:ascii="Times New Roman" w:hAnsi="Times New Roman"/>
          <w:b/>
          <w:color w:val="000000"/>
          <w:u w:val="single"/>
        </w:rPr>
        <w:lastRenderedPageBreak/>
        <w:t>Distribution</w:t>
      </w:r>
    </w:p>
    <w:p w:rsidRPr="00BE0012" w:rsidR="00155F07" w:rsidP="008F384C" w:rsidRDefault="00155F07" w14:paraId="109801FC" w14:textId="77777777">
      <w:pPr>
        <w:widowControl/>
        <w:ind w:left="720"/>
        <w:rPr>
          <w:rFonts w:ascii="Times New Roman" w:hAnsi="Times New Roman"/>
          <w:color w:val="000000"/>
        </w:rPr>
      </w:pPr>
    </w:p>
    <w:p w:rsidRPr="00BE0012" w:rsidR="00155F07" w:rsidP="008F384C" w:rsidRDefault="00155F07" w14:paraId="3290C902" w14:textId="21F511FF">
      <w:pPr>
        <w:widowControl/>
        <w:ind w:left="720"/>
        <w:rPr>
          <w:rFonts w:ascii="Times New Roman" w:hAnsi="Times New Roman"/>
          <w:color w:val="000000"/>
        </w:rPr>
      </w:pPr>
      <w:r w:rsidRPr="00BE0012">
        <w:rPr>
          <w:rFonts w:ascii="Times New Roman" w:hAnsi="Times New Roman"/>
          <w:color w:val="000000"/>
        </w:rPr>
        <w:t>The results described in the preparation section are central in estimating the number of each type of document required to be distributed.  The distribution burden for this ICR was based on estimates of the number of participants and (for pension plans) beneficiaries receiving benefits, combined with assumptions concerning the rate at which these disclosures will need to be made in any year and the rate of electronic distributions, which was assumed to require negligible time and cost.  As described above, plan changes trigger the distribution of new SPDs or SMMs/SMRs</w:t>
      </w:r>
      <w:r w:rsidRPr="00BE0012" w:rsidR="007217C9">
        <w:rPr>
          <w:rFonts w:ascii="Times New Roman" w:hAnsi="Times New Roman"/>
          <w:color w:val="000000"/>
        </w:rPr>
        <w:t xml:space="preserve">.  </w:t>
      </w:r>
      <w:r w:rsidRPr="00BE0012">
        <w:rPr>
          <w:rFonts w:ascii="Times New Roman" w:hAnsi="Times New Roman"/>
          <w:color w:val="000000"/>
        </w:rPr>
        <w:t>Thus, all participants in a plan receive an SPD when a new plan is created or an existing plan updates its description</w:t>
      </w:r>
      <w:r w:rsidRPr="00BE0012" w:rsidR="007217C9">
        <w:rPr>
          <w:rFonts w:ascii="Times New Roman" w:hAnsi="Times New Roman"/>
          <w:color w:val="000000"/>
        </w:rPr>
        <w:t xml:space="preserve">.  </w:t>
      </w:r>
      <w:r w:rsidRPr="00BE0012">
        <w:rPr>
          <w:rFonts w:ascii="Times New Roman" w:hAnsi="Times New Roman"/>
          <w:color w:val="000000"/>
        </w:rPr>
        <w:t>Additionally, all participants receive an SMM when a plan is modified</w:t>
      </w:r>
      <w:r w:rsidRPr="00BE0012" w:rsidR="007217C9">
        <w:rPr>
          <w:rFonts w:ascii="Times New Roman" w:hAnsi="Times New Roman"/>
          <w:color w:val="000000"/>
        </w:rPr>
        <w:t xml:space="preserve">.  </w:t>
      </w:r>
      <w:r w:rsidRPr="00BE0012">
        <w:rPr>
          <w:rFonts w:ascii="Times New Roman" w:hAnsi="Times New Roman"/>
          <w:color w:val="000000"/>
        </w:rPr>
        <w:t>However, participants within plans may receive documents even if there is not a plan level trigger</w:t>
      </w:r>
      <w:r w:rsidRPr="00BE0012" w:rsidR="007217C9">
        <w:rPr>
          <w:rFonts w:ascii="Times New Roman" w:hAnsi="Times New Roman"/>
          <w:color w:val="000000"/>
        </w:rPr>
        <w:t xml:space="preserve">.  </w:t>
      </w:r>
      <w:r w:rsidRPr="00BE0012">
        <w:rPr>
          <w:rFonts w:ascii="Times New Roman" w:hAnsi="Times New Roman"/>
          <w:color w:val="000000"/>
        </w:rPr>
        <w:t>For example, plans are required to distribute SPDs to new entrants (</w:t>
      </w:r>
      <w:r w:rsidRPr="00E7374F">
        <w:rPr>
          <w:rFonts w:ascii="Times New Roman" w:hAnsi="Times New Roman"/>
          <w:color w:val="000000"/>
        </w:rPr>
        <w:t>estimated at 7% of participants) and participants separating and/or retiring from a plan.</w:t>
      </w:r>
      <w:r w:rsidRPr="00E7374F">
        <w:rPr>
          <w:rStyle w:val="FootnoteReference"/>
          <w:color w:val="000000"/>
          <w:sz w:val="24"/>
        </w:rPr>
        <w:footnoteReference w:id="10"/>
      </w:r>
      <w:proofErr w:type="gramStart"/>
      <w:r w:rsidRPr="00E7374F">
        <w:rPr>
          <w:rFonts w:ascii="Times New Roman" w:hAnsi="Times New Roman"/>
          <w:color w:val="000000"/>
        </w:rPr>
        <w:t xml:space="preserve"> </w:t>
      </w:r>
      <w:proofErr w:type="gramEnd"/>
      <w:r w:rsidRPr="00E7374F">
        <w:rPr>
          <w:rFonts w:ascii="Times New Roman" w:hAnsi="Times New Roman"/>
          <w:color w:val="000000"/>
        </w:rPr>
        <w:t>If an individual requests an SPD, then the plan is required to provide one.</w:t>
      </w:r>
      <w:r w:rsidRPr="00E7374F">
        <w:rPr>
          <w:rStyle w:val="FootnoteReference"/>
          <w:color w:val="000000"/>
          <w:sz w:val="24"/>
        </w:rPr>
        <w:footnoteReference w:id="11"/>
      </w:r>
      <w:proofErr w:type="gramStart"/>
      <w:r w:rsidRPr="00E7374F">
        <w:rPr>
          <w:rFonts w:ascii="Times New Roman" w:hAnsi="Times New Roman"/>
          <w:color w:val="000000"/>
        </w:rPr>
        <w:t xml:space="preserve"> </w:t>
      </w:r>
      <w:proofErr w:type="gramEnd"/>
      <w:r w:rsidRPr="00E7374F">
        <w:rPr>
          <w:rFonts w:ascii="Times New Roman" w:hAnsi="Times New Roman"/>
          <w:color w:val="000000"/>
        </w:rPr>
        <w:t>These assumptions are described in the Tables 1 and 2 of the supplemental document, attached to this supporting</w:t>
      </w:r>
      <w:r w:rsidRPr="00BE0012">
        <w:rPr>
          <w:rFonts w:ascii="Times New Roman" w:hAnsi="Times New Roman"/>
          <w:color w:val="000000"/>
        </w:rPr>
        <w:t xml:space="preserve"> statement</w:t>
      </w:r>
      <w:r w:rsidRPr="00BE0012" w:rsidR="007217C9">
        <w:rPr>
          <w:rFonts w:ascii="Times New Roman" w:hAnsi="Times New Roman"/>
          <w:color w:val="000000"/>
        </w:rPr>
        <w:t xml:space="preserve">.  </w:t>
      </w:r>
      <w:r w:rsidRPr="00BE0012">
        <w:rPr>
          <w:rFonts w:ascii="Times New Roman" w:hAnsi="Times New Roman"/>
          <w:color w:val="000000"/>
        </w:rPr>
        <w:t xml:space="preserve">For non-electronic distributions, the Department assumed that distribution of an SPD (new or updated) or an SMM/SMR in print for mailing or distribution by hand would require, on average, 0.5 minutes per document.  The methods employers use to implement disclosure for the </w:t>
      </w:r>
      <w:r w:rsidRPr="00BE0012" w:rsidR="00544169">
        <w:rPr>
          <w:rFonts w:ascii="Times New Roman" w:hAnsi="Times New Roman"/>
          <w:color w:val="000000"/>
        </w:rPr>
        <w:t>4</w:t>
      </w:r>
      <w:r w:rsidR="008674A2">
        <w:rPr>
          <w:rFonts w:ascii="Times New Roman" w:hAnsi="Times New Roman"/>
          <w:color w:val="000000"/>
        </w:rPr>
        <w:t>3.6</w:t>
      </w:r>
      <w:r w:rsidRPr="00BE0012">
        <w:rPr>
          <w:rFonts w:ascii="Times New Roman" w:hAnsi="Times New Roman"/>
          <w:color w:val="000000"/>
        </w:rPr>
        <w:t xml:space="preserve"> percent of participants estimated to receive non-electronic disclosures are assumed to be evenly divided between direct mail to home and workplace distribution</w:t>
      </w:r>
      <w:r w:rsidRPr="00BE0012" w:rsidR="007217C9">
        <w:rPr>
          <w:rFonts w:ascii="Times New Roman" w:hAnsi="Times New Roman"/>
          <w:color w:val="000000"/>
        </w:rPr>
        <w:t xml:space="preserve">.  </w:t>
      </w:r>
      <w:r w:rsidRPr="00BE0012">
        <w:rPr>
          <w:rFonts w:ascii="Times New Roman" w:hAnsi="Times New Roman"/>
          <w:color w:val="000000"/>
        </w:rPr>
        <w:t>It was assumed that clerical staff with a labor rate of $</w:t>
      </w:r>
      <w:r w:rsidRPr="009F2916" w:rsidR="00796977">
        <w:rPr>
          <w:rFonts w:ascii="Times New Roman" w:hAnsi="Times New Roman"/>
          <w:color w:val="000000"/>
        </w:rPr>
        <w:t>64.1</w:t>
      </w:r>
      <w:r w:rsidRPr="00DC6B30" w:rsidR="00402BF8">
        <w:rPr>
          <w:rFonts w:ascii="Times New Roman" w:hAnsi="Times New Roman"/>
          <w:color w:val="000000"/>
        </w:rPr>
        <w:t>1</w:t>
      </w:r>
      <w:r w:rsidRPr="00915BAE" w:rsidR="00796977">
        <w:rPr>
          <w:rFonts w:ascii="Times New Roman" w:hAnsi="Times New Roman"/>
          <w:color w:val="000000"/>
        </w:rPr>
        <w:t xml:space="preserve"> </w:t>
      </w:r>
      <w:r w:rsidRPr="009F2916">
        <w:rPr>
          <w:rFonts w:ascii="Times New Roman" w:hAnsi="Times New Roman"/>
          <w:color w:val="000000"/>
        </w:rPr>
        <w:t>per</w:t>
      </w:r>
      <w:r w:rsidRPr="00BE0012">
        <w:rPr>
          <w:rFonts w:ascii="Times New Roman" w:hAnsi="Times New Roman"/>
          <w:color w:val="000000"/>
        </w:rPr>
        <w:t xml:space="preserve"> hour will require 0.5 minutes per disclosure to distribute.</w:t>
      </w:r>
    </w:p>
    <w:p w:rsidRPr="00BE0012" w:rsidR="00155F07" w:rsidP="008F384C" w:rsidRDefault="00155F07" w14:paraId="777C2EDC" w14:textId="77777777">
      <w:pPr>
        <w:widowControl/>
        <w:ind w:left="720"/>
        <w:rPr>
          <w:rFonts w:ascii="Times New Roman" w:hAnsi="Times New Roman"/>
          <w:color w:val="000000"/>
        </w:rPr>
      </w:pPr>
    </w:p>
    <w:p w:rsidRPr="00BE0012" w:rsidR="00155F07" w:rsidP="008F384C" w:rsidRDefault="00155F07" w14:paraId="721EA5A8" w14:textId="6F1602B7">
      <w:pPr>
        <w:widowControl/>
        <w:ind w:left="720"/>
        <w:rPr>
          <w:rFonts w:ascii="Times New Roman" w:hAnsi="Times New Roman"/>
          <w:color w:val="000000"/>
        </w:rPr>
      </w:pPr>
      <w:r w:rsidRPr="00BE0012">
        <w:rPr>
          <w:rFonts w:ascii="Times New Roman" w:hAnsi="Times New Roman"/>
          <w:color w:val="000000"/>
        </w:rPr>
        <w:t xml:space="preserve">Table 3 in the supplemental document, presents the aggregate results of the calculation of hour burden for </w:t>
      </w:r>
      <w:r w:rsidRPr="00402BF8">
        <w:rPr>
          <w:rFonts w:ascii="Times New Roman" w:hAnsi="Times New Roman"/>
          <w:color w:val="000000"/>
        </w:rPr>
        <w:t>distribution and a break-out of the burden across types of plans and types of documents</w:t>
      </w:r>
      <w:r w:rsidRPr="00402BF8" w:rsidR="007217C9">
        <w:rPr>
          <w:rFonts w:ascii="Times New Roman" w:hAnsi="Times New Roman"/>
          <w:color w:val="000000"/>
        </w:rPr>
        <w:t xml:space="preserve">.  </w:t>
      </w:r>
      <w:r w:rsidRPr="00402BF8">
        <w:rPr>
          <w:rFonts w:ascii="Times New Roman" w:hAnsi="Times New Roman"/>
          <w:color w:val="000000"/>
        </w:rPr>
        <w:t xml:space="preserve">The hour burden for the distribution of these documents is </w:t>
      </w:r>
      <w:r w:rsidRPr="009F2916" w:rsidR="000E305F">
        <w:rPr>
          <w:rFonts w:ascii="Times New Roman" w:hAnsi="Times New Roman"/>
          <w:color w:val="000000"/>
        </w:rPr>
        <w:t>332,000</w:t>
      </w:r>
      <w:r w:rsidRPr="00D37618">
        <w:rPr>
          <w:rFonts w:ascii="Times New Roman" w:hAnsi="Times New Roman"/>
          <w:color w:val="000000"/>
        </w:rPr>
        <w:t xml:space="preserve"> hours (</w:t>
      </w:r>
      <w:r w:rsidRPr="00D37618" w:rsidR="00592EC7">
        <w:rPr>
          <w:rFonts w:ascii="Times New Roman" w:hAnsi="Times New Roman"/>
          <w:color w:val="000000"/>
        </w:rPr>
        <w:t>242,000</w:t>
      </w:r>
      <w:r w:rsidRPr="00541A36">
        <w:rPr>
          <w:rFonts w:ascii="Times New Roman" w:hAnsi="Times New Roman"/>
          <w:color w:val="000000"/>
        </w:rPr>
        <w:t xml:space="preserve"> for pension plans and </w:t>
      </w:r>
      <w:r w:rsidRPr="00541A36" w:rsidR="00592EC7">
        <w:rPr>
          <w:rFonts w:ascii="Times New Roman" w:hAnsi="Times New Roman"/>
          <w:color w:val="000000"/>
        </w:rPr>
        <w:t>91,000</w:t>
      </w:r>
      <w:r w:rsidRPr="00541A36" w:rsidR="00416D53">
        <w:rPr>
          <w:rFonts w:ascii="Times New Roman" w:hAnsi="Times New Roman"/>
          <w:color w:val="000000"/>
        </w:rPr>
        <w:t xml:space="preserve"> for welfare</w:t>
      </w:r>
      <w:r w:rsidR="00416D53">
        <w:rPr>
          <w:rFonts w:ascii="Times New Roman" w:hAnsi="Times New Roman"/>
          <w:color w:val="000000"/>
        </w:rPr>
        <w:t xml:space="preserve"> plans).</w:t>
      </w:r>
    </w:p>
    <w:p w:rsidRPr="00BE0012" w:rsidR="00155F07" w:rsidP="008F384C" w:rsidRDefault="00155F07" w14:paraId="1CC60210" w14:textId="77777777">
      <w:pPr>
        <w:widowControl/>
        <w:ind w:left="720"/>
        <w:rPr>
          <w:rFonts w:ascii="Times New Roman" w:hAnsi="Times New Roman"/>
          <w:color w:val="000000"/>
        </w:rPr>
      </w:pPr>
    </w:p>
    <w:p w:rsidR="00155F07" w:rsidP="008F384C" w:rsidRDefault="00155F07" w14:paraId="7349E62B" w14:textId="0C42F240">
      <w:pPr>
        <w:widowControl/>
        <w:ind w:left="720"/>
        <w:rPr>
          <w:rFonts w:ascii="Times New Roman" w:hAnsi="Times New Roman"/>
          <w:color w:val="000000"/>
        </w:rPr>
      </w:pPr>
      <w:r w:rsidRPr="00BE0012">
        <w:rPr>
          <w:rFonts w:ascii="Times New Roman" w:hAnsi="Times New Roman"/>
          <w:color w:val="000000"/>
        </w:rPr>
        <w:t xml:space="preserve">Table 3 also </w:t>
      </w:r>
      <w:r w:rsidRPr="00402BF8">
        <w:rPr>
          <w:rFonts w:ascii="Times New Roman" w:hAnsi="Times New Roman"/>
          <w:color w:val="000000"/>
        </w:rPr>
        <w:t xml:space="preserve">presents the overall total hour burden for this ICR and its dollar equivalent value.  Based on the assumptions and analysis described above, the estimated total annual hour burden for this ICR is </w:t>
      </w:r>
      <w:r w:rsidRPr="009F2916" w:rsidR="00EC234D">
        <w:rPr>
          <w:rFonts w:ascii="Times New Roman" w:hAnsi="Times New Roman"/>
          <w:color w:val="000000"/>
        </w:rPr>
        <w:t>392,000</w:t>
      </w:r>
      <w:r w:rsidRPr="00D37618">
        <w:rPr>
          <w:rFonts w:ascii="Times New Roman" w:hAnsi="Times New Roman"/>
          <w:color w:val="000000"/>
        </w:rPr>
        <w:t xml:space="preserve"> hours (</w:t>
      </w:r>
      <w:r w:rsidRPr="00541A36" w:rsidR="00AE0FBA">
        <w:rPr>
          <w:rFonts w:ascii="Times New Roman" w:hAnsi="Times New Roman"/>
          <w:color w:val="000000"/>
        </w:rPr>
        <w:t>233,000</w:t>
      </w:r>
      <w:r w:rsidRPr="00541A36">
        <w:rPr>
          <w:rFonts w:ascii="Times New Roman" w:hAnsi="Times New Roman"/>
          <w:color w:val="000000"/>
        </w:rPr>
        <w:t xml:space="preserve"> hours for large pension plans, </w:t>
      </w:r>
      <w:r w:rsidRPr="00541A36" w:rsidR="00AE0FBA">
        <w:rPr>
          <w:rFonts w:ascii="Times New Roman" w:hAnsi="Times New Roman"/>
          <w:color w:val="000000"/>
        </w:rPr>
        <w:t>67,000</w:t>
      </w:r>
      <w:r w:rsidRPr="00390CB3">
        <w:rPr>
          <w:rFonts w:ascii="Times New Roman" w:hAnsi="Times New Roman"/>
          <w:color w:val="000000"/>
        </w:rPr>
        <w:t xml:space="preserve"> hours for small pension plans and </w:t>
      </w:r>
      <w:r w:rsidRPr="009F3211" w:rsidR="00AE0FBA">
        <w:rPr>
          <w:rFonts w:ascii="Times New Roman" w:hAnsi="Times New Roman"/>
          <w:color w:val="000000"/>
        </w:rPr>
        <w:t>91,000</w:t>
      </w:r>
      <w:r w:rsidRPr="009F3211">
        <w:rPr>
          <w:rFonts w:ascii="Times New Roman" w:hAnsi="Times New Roman"/>
          <w:color w:val="000000"/>
        </w:rPr>
        <w:t xml:space="preserve"> hours for welfare plans).  The equivalent dollar value of this annual hour burden is estimated</w:t>
      </w:r>
      <w:r w:rsidRPr="00BE0012">
        <w:rPr>
          <w:rFonts w:ascii="Times New Roman" w:hAnsi="Times New Roman"/>
          <w:color w:val="000000"/>
        </w:rPr>
        <w:t xml:space="preserve"> at </w:t>
      </w:r>
      <w:r w:rsidRPr="00402BF8">
        <w:rPr>
          <w:rFonts w:ascii="Times New Roman" w:hAnsi="Times New Roman"/>
          <w:color w:val="000000"/>
        </w:rPr>
        <w:t>$</w:t>
      </w:r>
      <w:r w:rsidRPr="00402BF8" w:rsidR="00B64C71">
        <w:rPr>
          <w:rFonts w:ascii="Times New Roman" w:hAnsi="Times New Roman"/>
          <w:color w:val="000000"/>
        </w:rPr>
        <w:t>29,498,000</w:t>
      </w:r>
      <w:r w:rsidRPr="00915BAE" w:rsidR="00B64C71">
        <w:rPr>
          <w:rFonts w:ascii="Times New Roman" w:hAnsi="Times New Roman"/>
          <w:color w:val="000000"/>
        </w:rPr>
        <w:t xml:space="preserve"> </w:t>
      </w:r>
      <w:r w:rsidRPr="009F2916">
        <w:rPr>
          <w:rFonts w:ascii="Times New Roman" w:hAnsi="Times New Roman"/>
          <w:color w:val="000000"/>
        </w:rPr>
        <w:t>($</w:t>
      </w:r>
      <w:r w:rsidRPr="00D37618" w:rsidR="00C92136">
        <w:rPr>
          <w:rFonts w:ascii="Times New Roman" w:hAnsi="Times New Roman"/>
          <w:color w:val="000000"/>
        </w:rPr>
        <w:t>15,527,000</w:t>
      </w:r>
      <w:r w:rsidRPr="00541A36">
        <w:rPr>
          <w:rFonts w:ascii="Times New Roman" w:hAnsi="Times New Roman"/>
          <w:color w:val="000000"/>
        </w:rPr>
        <w:t xml:space="preserve"> for large pension plans, $</w:t>
      </w:r>
      <w:r w:rsidRPr="00541A36" w:rsidR="00C92136">
        <w:rPr>
          <w:rFonts w:ascii="Times New Roman" w:hAnsi="Times New Roman"/>
          <w:color w:val="000000"/>
        </w:rPr>
        <w:t>5,925,000</w:t>
      </w:r>
      <w:r w:rsidRPr="00541A36">
        <w:rPr>
          <w:rFonts w:ascii="Times New Roman" w:hAnsi="Times New Roman"/>
          <w:color w:val="000000"/>
        </w:rPr>
        <w:t xml:space="preserve"> for small pension plans and $</w:t>
      </w:r>
      <w:r w:rsidRPr="009F3211" w:rsidR="00C92136">
        <w:rPr>
          <w:rFonts w:ascii="Times New Roman" w:hAnsi="Times New Roman"/>
          <w:color w:val="000000"/>
        </w:rPr>
        <w:t>8,045,000</w:t>
      </w:r>
      <w:r w:rsidRPr="009F3211" w:rsidR="00416D53">
        <w:rPr>
          <w:rFonts w:ascii="Times New Roman" w:hAnsi="Times New Roman"/>
          <w:color w:val="000000"/>
        </w:rPr>
        <w:t xml:space="preserve"> for</w:t>
      </w:r>
      <w:r w:rsidR="00416D53">
        <w:rPr>
          <w:rFonts w:ascii="Times New Roman" w:hAnsi="Times New Roman"/>
          <w:color w:val="000000"/>
        </w:rPr>
        <w:t xml:space="preserve"> welfare plans)</w:t>
      </w:r>
      <w:r w:rsidRPr="00BE0012">
        <w:rPr>
          <w:rFonts w:ascii="Times New Roman" w:hAnsi="Times New Roman"/>
          <w:color w:val="000000"/>
        </w:rPr>
        <w:t>.</w:t>
      </w:r>
    </w:p>
    <w:p w:rsidR="003B55CB" w:rsidP="0028679F" w:rsidRDefault="003B55CB" w14:paraId="750FEEF6" w14:textId="77777777">
      <w:pPr>
        <w:widowControl/>
        <w:ind w:left="720"/>
        <w:rPr>
          <w:rFonts w:ascii="Times New Roman" w:hAnsi="Times New Roman"/>
          <w:b/>
          <w:color w:val="000000"/>
        </w:rPr>
      </w:pPr>
    </w:p>
    <w:p w:rsidRPr="0028679F" w:rsidR="0028679F" w:rsidP="0028679F" w:rsidRDefault="0028679F" w14:paraId="7F4F5092" w14:textId="21A0E6B3">
      <w:pPr>
        <w:widowControl/>
        <w:ind w:left="720"/>
        <w:rPr>
          <w:rFonts w:ascii="Times New Roman" w:hAnsi="Times New Roman"/>
          <w:b/>
          <w:color w:val="000000"/>
        </w:rPr>
      </w:pPr>
      <w:r w:rsidRPr="0028679F">
        <w:rPr>
          <w:rFonts w:ascii="Times New Roman" w:hAnsi="Times New Roman"/>
          <w:b/>
          <w:color w:val="000000"/>
        </w:rPr>
        <w:t xml:space="preserve">2019 Electronic Disclosure </w:t>
      </w:r>
      <w:r w:rsidR="00C92749">
        <w:rPr>
          <w:rFonts w:ascii="Times New Roman" w:hAnsi="Times New Roman"/>
          <w:b/>
          <w:color w:val="000000"/>
        </w:rPr>
        <w:t>Final</w:t>
      </w:r>
      <w:r w:rsidRPr="0028679F">
        <w:rPr>
          <w:rFonts w:ascii="Times New Roman" w:hAnsi="Times New Roman"/>
          <w:b/>
          <w:color w:val="000000"/>
        </w:rPr>
        <w:t xml:space="preserve"> Regulation</w:t>
      </w:r>
    </w:p>
    <w:p w:rsidR="0016387F" w:rsidP="00A443AE" w:rsidRDefault="0016387F" w14:paraId="24E74AE0" w14:textId="77777777">
      <w:pPr>
        <w:widowControl/>
        <w:rPr>
          <w:rFonts w:ascii="Times New Roman" w:hAnsi="Times New Roman"/>
          <w:color w:val="000000"/>
        </w:rPr>
      </w:pPr>
    </w:p>
    <w:p w:rsidRPr="0016387F" w:rsidR="0016387F" w:rsidP="0016387F" w:rsidRDefault="0016387F" w14:paraId="764576FE" w14:textId="7DCA16B7">
      <w:pPr>
        <w:widowControl/>
        <w:ind w:left="720"/>
        <w:rPr>
          <w:rFonts w:ascii="Times New Roman" w:hAnsi="Times New Roman"/>
          <w:color w:val="000000"/>
        </w:rPr>
      </w:pPr>
      <w:r w:rsidRPr="0016387F">
        <w:rPr>
          <w:rFonts w:ascii="Times New Roman" w:hAnsi="Times New Roman"/>
          <w:color w:val="000000"/>
        </w:rPr>
        <w:t xml:space="preserve">The finalized changes would provide plan administrators with more flexibility to deliver pension plan disclosures electronically.  Expanded electronic disclosure would lower the burden associated with delivering the </w:t>
      </w:r>
      <w:r>
        <w:rPr>
          <w:rFonts w:ascii="Times New Roman" w:hAnsi="Times New Roman"/>
          <w:color w:val="000000"/>
        </w:rPr>
        <w:t>SPD and SMM</w:t>
      </w:r>
      <w:r w:rsidRPr="0016387F">
        <w:rPr>
          <w:rFonts w:ascii="Times New Roman" w:hAnsi="Times New Roman"/>
          <w:color w:val="000000"/>
        </w:rPr>
        <w:t xml:space="preserve"> by mail, including burden to prepare the mailings.</w:t>
      </w:r>
    </w:p>
    <w:p w:rsidRPr="0016387F" w:rsidR="0016387F" w:rsidP="0016387F" w:rsidRDefault="0016387F" w14:paraId="61F2D61F" w14:textId="77777777">
      <w:pPr>
        <w:widowControl/>
        <w:ind w:left="720"/>
        <w:rPr>
          <w:rFonts w:ascii="Times New Roman" w:hAnsi="Times New Roman"/>
          <w:color w:val="000000"/>
        </w:rPr>
      </w:pPr>
    </w:p>
    <w:p w:rsidRPr="00BE0012" w:rsidR="0028679F" w:rsidP="0016387F" w:rsidRDefault="0016387F" w14:paraId="145A3E90" w14:textId="17F4385B">
      <w:pPr>
        <w:widowControl/>
        <w:ind w:left="720"/>
        <w:rPr>
          <w:rFonts w:ascii="Times New Roman" w:hAnsi="Times New Roman"/>
          <w:color w:val="000000"/>
        </w:rPr>
      </w:pPr>
      <w:r w:rsidRPr="0016387F">
        <w:rPr>
          <w:rFonts w:ascii="Times New Roman" w:hAnsi="Times New Roman"/>
          <w:color w:val="000000"/>
        </w:rPr>
        <w:t xml:space="preserve">The Department estimates that in the first year, 81.5 percent of participants and beneficiaries currently receiving the </w:t>
      </w:r>
      <w:r>
        <w:rPr>
          <w:rFonts w:ascii="Times New Roman" w:hAnsi="Times New Roman"/>
          <w:color w:val="000000"/>
        </w:rPr>
        <w:t>SPD and SMM</w:t>
      </w:r>
      <w:r w:rsidRPr="0016387F">
        <w:rPr>
          <w:rFonts w:ascii="Times New Roman" w:hAnsi="Times New Roman"/>
          <w:color w:val="000000"/>
        </w:rPr>
        <w:t xml:space="preserve"> by mail in the base year would begin receiving the </w:t>
      </w:r>
      <w:r>
        <w:rPr>
          <w:rFonts w:ascii="Times New Roman" w:hAnsi="Times New Roman"/>
          <w:color w:val="000000"/>
        </w:rPr>
        <w:t>SPD and SMM</w:t>
      </w:r>
      <w:r w:rsidRPr="0016387F">
        <w:rPr>
          <w:rFonts w:ascii="Times New Roman" w:hAnsi="Times New Roman"/>
          <w:color w:val="000000"/>
        </w:rPr>
        <w:t xml:space="preserve"> electronically.  The expanded electronic disclosure is estimated to lower the </w:t>
      </w:r>
      <w:r>
        <w:rPr>
          <w:rFonts w:ascii="Times New Roman" w:hAnsi="Times New Roman"/>
          <w:color w:val="000000"/>
        </w:rPr>
        <w:t>SPD and SMM</w:t>
      </w:r>
      <w:r w:rsidRPr="0016387F">
        <w:rPr>
          <w:rFonts w:ascii="Times New Roman" w:hAnsi="Times New Roman"/>
          <w:color w:val="000000"/>
        </w:rPr>
        <w:t xml:space="preserve"> average hour burden by </w:t>
      </w:r>
      <w:r w:rsidR="00040BB1">
        <w:rPr>
          <w:rFonts w:ascii="Times New Roman" w:hAnsi="Times New Roman"/>
          <w:color w:val="000000"/>
        </w:rPr>
        <w:t>229</w:t>
      </w:r>
      <w:r w:rsidR="008E1956">
        <w:rPr>
          <w:rFonts w:ascii="Times New Roman" w:hAnsi="Times New Roman"/>
          <w:color w:val="000000"/>
        </w:rPr>
        <w:t>,</w:t>
      </w:r>
      <w:r w:rsidR="00040BB1">
        <w:rPr>
          <w:rFonts w:ascii="Times New Roman" w:hAnsi="Times New Roman"/>
          <w:color w:val="000000"/>
        </w:rPr>
        <w:t>044</w:t>
      </w:r>
      <w:r w:rsidRPr="0016387F">
        <w:rPr>
          <w:rFonts w:ascii="Times New Roman" w:hAnsi="Times New Roman"/>
          <w:color w:val="000000"/>
        </w:rPr>
        <w:t xml:space="preserve">, resulting in a new three-year average hour burden of </w:t>
      </w:r>
      <w:r>
        <w:rPr>
          <w:rFonts w:ascii="Times New Roman" w:hAnsi="Times New Roman"/>
          <w:color w:val="000000"/>
        </w:rPr>
        <w:t>162,956</w:t>
      </w:r>
      <w:r w:rsidRPr="0016387F">
        <w:rPr>
          <w:rFonts w:ascii="Times New Roman" w:hAnsi="Times New Roman"/>
          <w:color w:val="000000"/>
        </w:rPr>
        <w:t xml:space="preserve"> hours.</w:t>
      </w:r>
    </w:p>
    <w:p w:rsidRPr="00BE0012" w:rsidR="00005554" w:rsidP="008F384C" w:rsidRDefault="00005554" w14:paraId="651EC578" w14:textId="77777777">
      <w:pPr>
        <w:widowControl/>
        <w:ind w:left="720"/>
        <w:rPr>
          <w:rFonts w:ascii="Times New Roman" w:hAnsi="Times New Roman"/>
          <w:color w:val="000000"/>
        </w:rPr>
      </w:pPr>
    </w:p>
    <w:p w:rsidRPr="00BE0012" w:rsidR="007732A6" w:rsidP="00416D53" w:rsidRDefault="007732A6" w14:paraId="688A7E68" w14:textId="77777777">
      <w:pPr>
        <w:widowControl/>
        <w:numPr>
          <w:ilvl w:val="0"/>
          <w:numId w:val="3"/>
        </w:numPr>
        <w:tabs>
          <w:tab w:val="clear" w:pos="1080"/>
        </w:tabs>
        <w:ind w:left="720"/>
        <w:rPr>
          <w:rFonts w:ascii="Times New Roman" w:hAnsi="Times New Roman"/>
          <w:color w:val="000000"/>
        </w:rPr>
      </w:pPr>
      <w:r w:rsidRPr="00BE0012">
        <w:rPr>
          <w:rFonts w:ascii="Times New Roman" w:hAnsi="Times New Roman"/>
          <w:i/>
          <w:iCs/>
          <w:color w:val="000000"/>
        </w:rPr>
        <w:t>Provide an estimate of the total annual cost burden to respondents or record-keepers resulting from the collection of information.  (Do not include the cost of any hour burden shown in Items 12.)</w:t>
      </w:r>
    </w:p>
    <w:p w:rsidRPr="00BE0012" w:rsidR="007732A6" w:rsidP="00416D53" w:rsidRDefault="007732A6" w14:paraId="2420589D" w14:textId="77777777">
      <w:pPr>
        <w:pStyle w:val="Header"/>
        <w:widowControl/>
        <w:tabs>
          <w:tab w:val="clear" w:pos="4320"/>
          <w:tab w:val="clear" w:pos="8640"/>
        </w:tabs>
        <w:ind w:left="720"/>
        <w:rPr>
          <w:rFonts w:ascii="Times New Roman" w:hAnsi="Times New Roman"/>
          <w:color w:val="000000"/>
        </w:rPr>
      </w:pPr>
    </w:p>
    <w:p w:rsidRPr="00246F01" w:rsidR="00246F01" w:rsidP="00246F01" w:rsidRDefault="00155F07" w14:paraId="07F44A0B" w14:textId="3087DE9D">
      <w:pPr>
        <w:widowControl/>
        <w:ind w:left="720"/>
        <w:rPr>
          <w:rFonts w:ascii="Times New Roman" w:hAnsi="Times New Roman"/>
          <w:color w:val="000000"/>
        </w:rPr>
      </w:pPr>
      <w:r w:rsidRPr="00BE0012">
        <w:rPr>
          <w:rFonts w:ascii="Times New Roman" w:hAnsi="Times New Roman"/>
          <w:color w:val="000000"/>
        </w:rPr>
        <w:t>The basic assumptions and estimates underlying the cost burden estimate for this ICR are described in the response to Item 12, above, and are further set out in Tables 1 and 2 of the supplemental document attached to this ICR.  The cost burden of this ICR derives principally from purchase of third-party service provider services, which it is assumed, as described further in response to Item 12, above, is undertaken by 95 percent of plans</w:t>
      </w:r>
      <w:r w:rsidRPr="00BE0012" w:rsidR="007217C9">
        <w:rPr>
          <w:rFonts w:ascii="Times New Roman" w:hAnsi="Times New Roman"/>
          <w:color w:val="000000"/>
        </w:rPr>
        <w:t xml:space="preserve">.  </w:t>
      </w:r>
      <w:r w:rsidRPr="00BE0012">
        <w:rPr>
          <w:rFonts w:ascii="Times New Roman" w:hAnsi="Times New Roman"/>
          <w:color w:val="000000"/>
        </w:rPr>
        <w:t xml:space="preserve">Thus, the same analysis used to generate the dollar equivalent cost burdens in question 12 are used to estimate the annual </w:t>
      </w:r>
      <w:r w:rsidRPr="00915BAE">
        <w:rPr>
          <w:rFonts w:ascii="Times New Roman" w:hAnsi="Times New Roman"/>
          <w:color w:val="000000"/>
        </w:rPr>
        <w:t xml:space="preserve">cost burden here; 95% of the cost is incorporated into the cost </w:t>
      </w:r>
      <w:r w:rsidRPr="00915BAE" w:rsidR="00C522C5">
        <w:rPr>
          <w:rFonts w:ascii="Times New Roman" w:hAnsi="Times New Roman"/>
          <w:color w:val="000000"/>
        </w:rPr>
        <w:t>burden</w:t>
      </w:r>
      <w:r w:rsidRPr="00915BAE" w:rsidR="007217C9">
        <w:rPr>
          <w:rFonts w:ascii="Times New Roman" w:hAnsi="Times New Roman"/>
          <w:color w:val="000000"/>
        </w:rPr>
        <w:t xml:space="preserve">.  </w:t>
      </w:r>
      <w:r w:rsidRPr="009F2916" w:rsidR="00C522C5">
        <w:rPr>
          <w:rFonts w:ascii="Times New Roman" w:hAnsi="Times New Roman"/>
          <w:color w:val="000000"/>
        </w:rPr>
        <w:t>The</w:t>
      </w:r>
      <w:r w:rsidRPr="009F2916">
        <w:rPr>
          <w:rFonts w:ascii="Times New Roman" w:hAnsi="Times New Roman"/>
          <w:color w:val="000000"/>
        </w:rPr>
        <w:t xml:space="preserve"> total cost burden stemming from preparation and distribution costs </w:t>
      </w:r>
      <w:r w:rsidRPr="009F2916" w:rsidR="00342328">
        <w:rPr>
          <w:rFonts w:ascii="Times New Roman" w:hAnsi="Times New Roman"/>
          <w:color w:val="000000"/>
        </w:rPr>
        <w:t xml:space="preserve">prior to the </w:t>
      </w:r>
      <w:r w:rsidR="001A00AA">
        <w:rPr>
          <w:rFonts w:ascii="Times New Roman" w:hAnsi="Times New Roman"/>
          <w:color w:val="000000"/>
        </w:rPr>
        <w:t>final</w:t>
      </w:r>
      <w:r w:rsidR="00864B19">
        <w:rPr>
          <w:rFonts w:ascii="Times New Roman" w:hAnsi="Times New Roman"/>
          <w:color w:val="000000"/>
        </w:rPr>
        <w:t xml:space="preserve"> rule</w:t>
      </w:r>
      <w:r w:rsidRPr="009F2916" w:rsidR="00342328">
        <w:rPr>
          <w:rFonts w:ascii="Times New Roman" w:hAnsi="Times New Roman"/>
          <w:color w:val="000000"/>
        </w:rPr>
        <w:t xml:space="preserve"> </w:t>
      </w:r>
      <w:r w:rsidRPr="009F2916">
        <w:rPr>
          <w:rFonts w:ascii="Times New Roman" w:hAnsi="Times New Roman"/>
          <w:color w:val="000000"/>
        </w:rPr>
        <w:t>is $</w:t>
      </w:r>
      <w:r w:rsidRPr="00D37618" w:rsidR="00731E89">
        <w:rPr>
          <w:rFonts w:ascii="Times New Roman" w:hAnsi="Times New Roman"/>
          <w:color w:val="000000"/>
        </w:rPr>
        <w:t>335,216</w:t>
      </w:r>
      <w:r w:rsidRPr="00D37618" w:rsidR="002976D7">
        <w:rPr>
          <w:rFonts w:ascii="Times New Roman" w:hAnsi="Times New Roman"/>
          <w:color w:val="000000"/>
        </w:rPr>
        <w:t>,</w:t>
      </w:r>
      <w:bookmarkStart w:name="_GoBack" w:id="2"/>
      <w:bookmarkEnd w:id="2"/>
      <w:r w:rsidRPr="00D37618" w:rsidR="002976D7">
        <w:rPr>
          <w:rFonts w:ascii="Times New Roman" w:hAnsi="Times New Roman"/>
          <w:color w:val="000000"/>
        </w:rPr>
        <w:t>000</w:t>
      </w:r>
      <w:r w:rsidRPr="00541A36">
        <w:rPr>
          <w:rFonts w:ascii="Times New Roman" w:hAnsi="Times New Roman"/>
          <w:color w:val="000000"/>
        </w:rPr>
        <w:t xml:space="preserve"> ($</w:t>
      </w:r>
      <w:r w:rsidRPr="00541A36" w:rsidR="00731E89">
        <w:rPr>
          <w:rFonts w:ascii="Times New Roman" w:hAnsi="Times New Roman"/>
          <w:color w:val="000000"/>
        </w:rPr>
        <w:t xml:space="preserve">121,462,000 </w:t>
      </w:r>
      <w:r w:rsidRPr="009F3211">
        <w:rPr>
          <w:rFonts w:ascii="Times New Roman" w:hAnsi="Times New Roman"/>
          <w:color w:val="000000"/>
        </w:rPr>
        <w:t>for large plans, $</w:t>
      </w:r>
      <w:r w:rsidRPr="009F3211" w:rsidR="00731E89">
        <w:rPr>
          <w:rFonts w:ascii="Times New Roman" w:hAnsi="Times New Roman"/>
          <w:color w:val="000000"/>
        </w:rPr>
        <w:t xml:space="preserve">140,254,000 </w:t>
      </w:r>
      <w:r w:rsidRPr="009F3211">
        <w:rPr>
          <w:rFonts w:ascii="Times New Roman" w:hAnsi="Times New Roman"/>
          <w:color w:val="000000"/>
        </w:rPr>
        <w:t>for small plans and $</w:t>
      </w:r>
      <w:r w:rsidRPr="009F3211" w:rsidR="00731E89">
        <w:rPr>
          <w:rFonts w:ascii="Times New Roman" w:hAnsi="Times New Roman"/>
          <w:color w:val="000000"/>
        </w:rPr>
        <w:t xml:space="preserve">73,499,000 </w:t>
      </w:r>
      <w:r w:rsidRPr="009F3211">
        <w:rPr>
          <w:rFonts w:ascii="Times New Roman" w:hAnsi="Times New Roman"/>
          <w:color w:val="000000"/>
        </w:rPr>
        <w:t>for welfare plans).  In addition to the preparation and distribution time burdens, the paper burden from printing and mailing are included here for all plans</w:t>
      </w:r>
      <w:r w:rsidRPr="009F3211" w:rsidR="007217C9">
        <w:rPr>
          <w:rFonts w:ascii="Times New Roman" w:hAnsi="Times New Roman"/>
          <w:color w:val="000000"/>
        </w:rPr>
        <w:t xml:space="preserve">.  </w:t>
      </w:r>
      <w:r w:rsidRPr="009C0CBA">
        <w:rPr>
          <w:rFonts w:ascii="Times New Roman" w:hAnsi="Times New Roman"/>
          <w:color w:val="000000"/>
        </w:rPr>
        <w:t>Overall, preparation time from legal professionals amounts to $</w:t>
      </w:r>
      <w:r w:rsidRPr="009C0CBA" w:rsidR="00342A1B">
        <w:rPr>
          <w:rFonts w:ascii="Times New Roman" w:hAnsi="Times New Roman"/>
          <w:color w:val="000000"/>
        </w:rPr>
        <w:t>155,450,000</w:t>
      </w:r>
      <w:r w:rsidRPr="009C0CBA">
        <w:rPr>
          <w:rFonts w:ascii="Times New Roman" w:hAnsi="Times New Roman"/>
          <w:color w:val="000000"/>
        </w:rPr>
        <w:t xml:space="preserve"> in costs and the distribution costs which account for clerical labor costs plus printing and mailing costs account for $</w:t>
      </w:r>
      <w:r w:rsidRPr="009C0CBA" w:rsidR="00342A1B">
        <w:rPr>
          <w:rFonts w:ascii="Times New Roman" w:hAnsi="Times New Roman"/>
          <w:color w:val="000000"/>
        </w:rPr>
        <w:t>179,765,000</w:t>
      </w:r>
      <w:r w:rsidRPr="009C0CBA" w:rsidR="00014DCD">
        <w:rPr>
          <w:rFonts w:ascii="Times New Roman" w:hAnsi="Times New Roman"/>
          <w:color w:val="000000"/>
        </w:rPr>
        <w:t>.</w:t>
      </w:r>
      <w:r w:rsidR="00246F01">
        <w:rPr>
          <w:rFonts w:ascii="Times New Roman" w:hAnsi="Times New Roman"/>
          <w:color w:val="000000"/>
        </w:rPr>
        <w:t xml:space="preserve"> </w:t>
      </w:r>
    </w:p>
    <w:p w:rsidR="00014DCD" w:rsidP="00B8349B" w:rsidRDefault="00014DCD" w14:paraId="41C934A7" w14:textId="77777777">
      <w:pPr>
        <w:widowControl/>
        <w:rPr>
          <w:rFonts w:ascii="Times New Roman" w:hAnsi="Times New Roman"/>
          <w:color w:val="000000"/>
        </w:rPr>
      </w:pPr>
    </w:p>
    <w:p w:rsidRPr="00E93BC3" w:rsidR="00A44714" w:rsidP="00A44714" w:rsidRDefault="00A44714" w14:paraId="5EF5CE65" w14:textId="772A8D14">
      <w:pPr>
        <w:ind w:firstLine="720"/>
        <w:rPr>
          <w:rFonts w:ascii="Times New Roman" w:hAnsi="Times New Roman"/>
          <w:b/>
        </w:rPr>
      </w:pPr>
      <w:r>
        <w:rPr>
          <w:rFonts w:ascii="Times New Roman" w:hAnsi="Times New Roman"/>
          <w:b/>
        </w:rPr>
        <w:t xml:space="preserve">2019 </w:t>
      </w:r>
      <w:r w:rsidRPr="00E93BC3">
        <w:rPr>
          <w:rFonts w:ascii="Times New Roman" w:hAnsi="Times New Roman"/>
          <w:b/>
        </w:rPr>
        <w:t xml:space="preserve">Electronic Disclosure </w:t>
      </w:r>
      <w:r w:rsidR="00E55F05">
        <w:rPr>
          <w:rFonts w:ascii="Times New Roman" w:hAnsi="Times New Roman"/>
          <w:b/>
        </w:rPr>
        <w:t>Final</w:t>
      </w:r>
      <w:r w:rsidRPr="00E93BC3">
        <w:rPr>
          <w:rFonts w:ascii="Times New Roman" w:hAnsi="Times New Roman"/>
          <w:b/>
        </w:rPr>
        <w:t xml:space="preserve"> Regulation</w:t>
      </w:r>
    </w:p>
    <w:p w:rsidR="00A443AE" w:rsidP="00A443AE" w:rsidRDefault="00A443AE" w14:paraId="144B0F68" w14:textId="77777777">
      <w:pPr>
        <w:ind w:firstLine="720"/>
        <w:rPr>
          <w:rFonts w:ascii="Times New Roman" w:hAnsi="Times New Roman"/>
          <w:color w:val="000000"/>
        </w:rPr>
      </w:pPr>
    </w:p>
    <w:p w:rsidRPr="00A443AE" w:rsidR="00A443AE" w:rsidP="00DC6B30" w:rsidRDefault="00A443AE" w14:paraId="7742D8A5" w14:textId="32854FA0">
      <w:pPr>
        <w:ind w:left="720"/>
        <w:rPr>
          <w:rFonts w:ascii="Times New Roman" w:hAnsi="Times New Roman"/>
          <w:color w:val="000000"/>
        </w:rPr>
      </w:pPr>
      <w:r w:rsidRPr="00A443AE">
        <w:rPr>
          <w:rFonts w:ascii="Times New Roman" w:hAnsi="Times New Roman"/>
          <w:color w:val="000000"/>
        </w:rPr>
        <w:t xml:space="preserve">The finalized changes would provide plan administrators with more flexibility to deliver pension plan disclosures electronically.  Expanded electronic disclosure would lower the cost associated with delivering the </w:t>
      </w:r>
      <w:r>
        <w:rPr>
          <w:rFonts w:ascii="Times New Roman" w:hAnsi="Times New Roman"/>
          <w:color w:val="000000"/>
        </w:rPr>
        <w:t>SPD and SMM</w:t>
      </w:r>
      <w:r w:rsidRPr="00A443AE">
        <w:rPr>
          <w:rFonts w:ascii="Times New Roman" w:hAnsi="Times New Roman"/>
          <w:color w:val="000000"/>
        </w:rPr>
        <w:t xml:space="preserve"> by mail.</w:t>
      </w:r>
    </w:p>
    <w:p w:rsidRPr="00A443AE" w:rsidR="00A443AE" w:rsidP="00A443AE" w:rsidRDefault="00A443AE" w14:paraId="5A7E1C0A" w14:textId="77777777">
      <w:pPr>
        <w:ind w:firstLine="720"/>
        <w:rPr>
          <w:rFonts w:ascii="Times New Roman" w:hAnsi="Times New Roman"/>
          <w:color w:val="000000"/>
        </w:rPr>
      </w:pPr>
    </w:p>
    <w:p w:rsidRPr="00A443AE" w:rsidR="00A443AE" w:rsidP="00DC6B30" w:rsidRDefault="00A443AE" w14:paraId="33068D44" w14:textId="3AF45F15">
      <w:pPr>
        <w:ind w:left="720"/>
        <w:rPr>
          <w:rFonts w:ascii="Times New Roman" w:hAnsi="Times New Roman"/>
          <w:color w:val="000000"/>
        </w:rPr>
      </w:pPr>
      <w:r w:rsidRPr="00A443AE">
        <w:rPr>
          <w:rFonts w:ascii="Times New Roman" w:hAnsi="Times New Roman"/>
          <w:color w:val="000000"/>
        </w:rPr>
        <w:t xml:space="preserve">The Department estimates that in the first year, 81.5 percent of participants and beneficiaries currently receiving the </w:t>
      </w:r>
      <w:r>
        <w:rPr>
          <w:rFonts w:ascii="Times New Roman" w:hAnsi="Times New Roman"/>
          <w:color w:val="000000"/>
        </w:rPr>
        <w:t>SPD and SMM</w:t>
      </w:r>
      <w:r w:rsidRPr="00A443AE">
        <w:rPr>
          <w:rFonts w:ascii="Times New Roman" w:hAnsi="Times New Roman"/>
          <w:color w:val="000000"/>
        </w:rPr>
        <w:t xml:space="preserve"> by mail in the base year would begin </w:t>
      </w:r>
      <w:r w:rsidRPr="00A443AE">
        <w:rPr>
          <w:rFonts w:ascii="Times New Roman" w:hAnsi="Times New Roman"/>
          <w:color w:val="000000"/>
        </w:rPr>
        <w:lastRenderedPageBreak/>
        <w:t xml:space="preserve">receiving the </w:t>
      </w:r>
      <w:r>
        <w:rPr>
          <w:rFonts w:ascii="Times New Roman" w:hAnsi="Times New Roman"/>
          <w:color w:val="000000"/>
        </w:rPr>
        <w:t>SPD and SMM</w:t>
      </w:r>
      <w:r w:rsidRPr="00A443AE">
        <w:rPr>
          <w:rFonts w:ascii="Times New Roman" w:hAnsi="Times New Roman"/>
          <w:color w:val="000000"/>
        </w:rPr>
        <w:t xml:space="preserve"> electronically.  The expanded electronic disclosure is estimated to lower the </w:t>
      </w:r>
      <w:r w:rsidR="0097054A">
        <w:rPr>
          <w:rFonts w:ascii="Times New Roman" w:hAnsi="Times New Roman"/>
          <w:color w:val="000000"/>
        </w:rPr>
        <w:t>SPD and SMM</w:t>
      </w:r>
      <w:r w:rsidRPr="00A443AE">
        <w:rPr>
          <w:rFonts w:ascii="Times New Roman" w:hAnsi="Times New Roman"/>
          <w:color w:val="000000"/>
        </w:rPr>
        <w:t xml:space="preserve"> average cost burden by </w:t>
      </w:r>
      <w:r w:rsidR="00DC6359">
        <w:rPr>
          <w:rFonts w:ascii="Times New Roman" w:hAnsi="Times New Roman"/>
          <w:color w:val="000000"/>
        </w:rPr>
        <w:t>$</w:t>
      </w:r>
      <w:r w:rsidRPr="00753BCD" w:rsidR="00753BCD">
        <w:rPr>
          <w:rFonts w:ascii="Times New Roman" w:hAnsi="Times New Roman"/>
          <w:color w:val="000000"/>
        </w:rPr>
        <w:t>99</w:t>
      </w:r>
      <w:r w:rsidR="00753BCD">
        <w:rPr>
          <w:rFonts w:ascii="Times New Roman" w:hAnsi="Times New Roman"/>
          <w:color w:val="000000"/>
        </w:rPr>
        <w:t>,</w:t>
      </w:r>
      <w:r w:rsidRPr="00753BCD" w:rsidR="00753BCD">
        <w:rPr>
          <w:rFonts w:ascii="Times New Roman" w:hAnsi="Times New Roman"/>
          <w:color w:val="000000"/>
        </w:rPr>
        <w:t>659</w:t>
      </w:r>
      <w:r w:rsidR="00753BCD">
        <w:rPr>
          <w:rFonts w:ascii="Times New Roman" w:hAnsi="Times New Roman"/>
          <w:color w:val="000000"/>
        </w:rPr>
        <w:t>,</w:t>
      </w:r>
      <w:r w:rsidRPr="00753BCD" w:rsidR="00753BCD">
        <w:rPr>
          <w:rFonts w:ascii="Times New Roman" w:hAnsi="Times New Roman"/>
          <w:color w:val="000000"/>
        </w:rPr>
        <w:t>859</w:t>
      </w:r>
      <w:r w:rsidRPr="00A443AE">
        <w:rPr>
          <w:rFonts w:ascii="Times New Roman" w:hAnsi="Times New Roman"/>
          <w:color w:val="000000"/>
        </w:rPr>
        <w:t>, resulting in a n</w:t>
      </w:r>
      <w:r w:rsidR="0097054A">
        <w:rPr>
          <w:rFonts w:ascii="Times New Roman" w:hAnsi="Times New Roman"/>
          <w:color w:val="000000"/>
        </w:rPr>
        <w:t xml:space="preserve">ew three-year average cost of </w:t>
      </w:r>
      <w:r w:rsidR="00782286">
        <w:rPr>
          <w:rFonts w:ascii="Times New Roman" w:hAnsi="Times New Roman"/>
          <w:color w:val="000000"/>
        </w:rPr>
        <w:t>$</w:t>
      </w:r>
      <w:r w:rsidR="00B85CB5">
        <w:rPr>
          <w:rFonts w:ascii="Times New Roman" w:hAnsi="Times New Roman"/>
          <w:color w:val="000000"/>
        </w:rPr>
        <w:t>235,556,141</w:t>
      </w:r>
      <w:r w:rsidRPr="00A443AE">
        <w:rPr>
          <w:rFonts w:ascii="Times New Roman" w:hAnsi="Times New Roman"/>
          <w:color w:val="000000"/>
        </w:rPr>
        <w:t>. </w:t>
      </w:r>
    </w:p>
    <w:p w:rsidRPr="00BE0012" w:rsidR="007732A6" w:rsidP="00AA0DAD" w:rsidRDefault="00405100" w14:paraId="15144198" w14:textId="5EC15DE0">
      <w:pPr>
        <w:widowControl/>
        <w:rPr>
          <w:rFonts w:ascii="Times New Roman" w:hAnsi="Times New Roman"/>
          <w:color w:val="000000"/>
        </w:rPr>
      </w:pPr>
      <w:r w:rsidRPr="00405100" w:rsidDel="00405100">
        <w:rPr>
          <w:rFonts w:ascii="Times New Roman" w:hAnsi="Times New Roman"/>
          <w:color w:val="000000"/>
        </w:rPr>
        <w:t xml:space="preserve"> </w:t>
      </w:r>
    </w:p>
    <w:p w:rsidRPr="00BE0012" w:rsidR="007732A6" w:rsidP="00416D53" w:rsidRDefault="007732A6" w14:paraId="45250E7A"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14.</w:t>
      </w:r>
      <w:r w:rsidRPr="00BE0012">
        <w:rPr>
          <w:rFonts w:ascii="Times New Roman" w:hAnsi="Times New Roman"/>
          <w:color w:val="000000"/>
        </w:rPr>
        <w:tab/>
      </w:r>
      <w:r w:rsidRPr="00BE0012">
        <w:rPr>
          <w:rFonts w:ascii="Times New Roman" w:hAnsi="Times New Roman"/>
          <w:i/>
          <w:i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E0012" w:rsidR="007732A6" w:rsidP="00416D53" w:rsidRDefault="007732A6" w14:paraId="39A9493E" w14:textId="77777777">
      <w:pPr>
        <w:widowControl/>
        <w:ind w:left="720"/>
        <w:rPr>
          <w:rFonts w:ascii="Times New Roman" w:hAnsi="Times New Roman"/>
          <w:color w:val="000000"/>
        </w:rPr>
      </w:pPr>
    </w:p>
    <w:p w:rsidRPr="00BE0012" w:rsidR="007732A6" w:rsidP="00416D53" w:rsidRDefault="007732A6" w14:paraId="2E6BB115" w14:textId="77777777">
      <w:pPr>
        <w:widowControl/>
        <w:ind w:left="720"/>
        <w:rPr>
          <w:rFonts w:ascii="Times New Roman" w:hAnsi="Times New Roman"/>
          <w:color w:val="000000"/>
        </w:rPr>
      </w:pPr>
      <w:r w:rsidRPr="00BE0012">
        <w:rPr>
          <w:rFonts w:ascii="Times New Roman" w:hAnsi="Times New Roman"/>
          <w:color w:val="000000"/>
        </w:rPr>
        <w:t xml:space="preserve">There is no cost to the Federal </w:t>
      </w:r>
      <w:r w:rsidRPr="00BE0012" w:rsidR="00E405AF">
        <w:rPr>
          <w:rFonts w:ascii="Times New Roman" w:hAnsi="Times New Roman"/>
          <w:color w:val="000000"/>
        </w:rPr>
        <w:t>g</w:t>
      </w:r>
      <w:r w:rsidRPr="00BE0012">
        <w:rPr>
          <w:rFonts w:ascii="Times New Roman" w:hAnsi="Times New Roman"/>
          <w:color w:val="000000"/>
        </w:rPr>
        <w:t>overnment associated with this information collection</w:t>
      </w:r>
      <w:r w:rsidRPr="00BE0012" w:rsidR="008B17C1">
        <w:rPr>
          <w:rFonts w:ascii="Times New Roman" w:hAnsi="Times New Roman"/>
          <w:color w:val="000000"/>
        </w:rPr>
        <w:t xml:space="preserve">, inasmuch as it </w:t>
      </w:r>
      <w:r w:rsidRPr="00BE0012" w:rsidR="00E405AF">
        <w:rPr>
          <w:rFonts w:ascii="Times New Roman" w:hAnsi="Times New Roman"/>
          <w:color w:val="000000"/>
        </w:rPr>
        <w:t xml:space="preserve">consists exclusively of </w:t>
      </w:r>
      <w:r w:rsidRPr="00BE0012" w:rsidR="008B17C1">
        <w:rPr>
          <w:rFonts w:ascii="Times New Roman" w:hAnsi="Times New Roman"/>
          <w:color w:val="000000"/>
        </w:rPr>
        <w:t>third-party disclosure</w:t>
      </w:r>
      <w:r w:rsidRPr="00BE0012" w:rsidR="00E405AF">
        <w:rPr>
          <w:rFonts w:ascii="Times New Roman" w:hAnsi="Times New Roman"/>
          <w:color w:val="000000"/>
        </w:rPr>
        <w:t>s</w:t>
      </w:r>
      <w:r w:rsidRPr="00BE0012">
        <w:rPr>
          <w:rFonts w:ascii="Times New Roman" w:hAnsi="Times New Roman"/>
          <w:color w:val="000000"/>
        </w:rPr>
        <w:t>.</w:t>
      </w:r>
    </w:p>
    <w:p w:rsidRPr="00BE0012" w:rsidR="007732A6" w:rsidP="00416D53" w:rsidRDefault="007732A6" w14:paraId="74753922" w14:textId="77777777">
      <w:pPr>
        <w:widowControl/>
        <w:ind w:left="720"/>
        <w:rPr>
          <w:rFonts w:ascii="Times New Roman" w:hAnsi="Times New Roman"/>
          <w:color w:val="000000"/>
        </w:rPr>
      </w:pPr>
    </w:p>
    <w:p w:rsidRPr="00BE0012" w:rsidR="00A61A7D" w:rsidP="00416D53" w:rsidRDefault="007732A6" w14:paraId="501DCAA2"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15.</w:t>
      </w:r>
      <w:r w:rsidRPr="00BE0012">
        <w:rPr>
          <w:rFonts w:ascii="Times New Roman" w:hAnsi="Times New Roman"/>
          <w:color w:val="000000"/>
        </w:rPr>
        <w:tab/>
      </w:r>
      <w:r w:rsidRPr="00BE0012">
        <w:rPr>
          <w:rFonts w:ascii="Times New Roman" w:hAnsi="Times New Roman"/>
          <w:i/>
          <w:iCs/>
          <w:color w:val="000000"/>
        </w:rPr>
        <w:t>Explain the reasons for any program changes or adjustments reported in Items 13 or 14.</w:t>
      </w:r>
    </w:p>
    <w:p w:rsidR="00863F5D" w:rsidP="00B8349B" w:rsidRDefault="00863F5D" w14:paraId="21F3774E" w14:textId="77777777">
      <w:pPr>
        <w:widowControl/>
        <w:tabs>
          <w:tab w:val="left" w:pos="-1440"/>
        </w:tabs>
        <w:ind w:left="720" w:hanging="720"/>
        <w:rPr>
          <w:rFonts w:ascii="Times New Roman" w:hAnsi="Times New Roman"/>
          <w:color w:val="000000"/>
        </w:rPr>
      </w:pPr>
    </w:p>
    <w:p w:rsidRPr="00863F5D" w:rsidR="00863F5D" w:rsidP="00863F5D" w:rsidRDefault="00863F5D" w14:paraId="1434A5A2" w14:textId="7153DDBB">
      <w:pPr>
        <w:widowControl/>
        <w:ind w:left="720"/>
        <w:rPr>
          <w:rFonts w:ascii="Times New Roman" w:hAnsi="Times New Roman"/>
          <w:color w:val="000000"/>
        </w:rPr>
      </w:pPr>
      <w:r w:rsidRPr="00863F5D">
        <w:rPr>
          <w:rFonts w:ascii="Times New Roman" w:hAnsi="Times New Roman"/>
          <w:color w:val="000000"/>
        </w:rPr>
        <w:t xml:space="preserve">In accordance with Executive Order 13847, the Department </w:t>
      </w:r>
      <w:r w:rsidR="001A00AA">
        <w:rPr>
          <w:rFonts w:ascii="Times New Roman" w:hAnsi="Times New Roman"/>
          <w:color w:val="000000"/>
        </w:rPr>
        <w:t>finalize</w:t>
      </w:r>
      <w:r w:rsidRPr="00863F5D">
        <w:rPr>
          <w:rFonts w:ascii="Times New Roman" w:hAnsi="Times New Roman"/>
          <w:color w:val="000000"/>
        </w:rPr>
        <w:t>d a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r w:rsidRPr="00863F5D" w:rsidR="007217C9">
        <w:rPr>
          <w:rFonts w:ascii="Times New Roman" w:hAnsi="Times New Roman"/>
          <w:color w:val="000000"/>
        </w:rPr>
        <w:t xml:space="preserve">.  </w:t>
      </w:r>
      <w:r w:rsidRPr="00863F5D">
        <w:rPr>
          <w:rFonts w:ascii="Times New Roman" w:hAnsi="Times New Roman"/>
          <w:color w:val="000000"/>
        </w:rPr>
        <w:t>This rule creates cost savings by increasing the number of electronically delivered documents, thereby reducing printing and mailing costs</w:t>
      </w:r>
      <w:r w:rsidRPr="00863F5D" w:rsidR="007217C9">
        <w:rPr>
          <w:rFonts w:ascii="Times New Roman" w:hAnsi="Times New Roman"/>
          <w:color w:val="000000"/>
        </w:rPr>
        <w:t xml:space="preserve">.  </w:t>
      </w:r>
      <w:r w:rsidRPr="00863F5D">
        <w:rPr>
          <w:rFonts w:ascii="Times New Roman" w:hAnsi="Times New Roman"/>
          <w:color w:val="000000"/>
        </w:rPr>
        <w:t>This cost savings is reflected in the lower estimated costs for materials and postage reflected in Item 13 above</w:t>
      </w:r>
      <w:r w:rsidRPr="00863F5D" w:rsidR="007217C9">
        <w:rPr>
          <w:rFonts w:ascii="Times New Roman" w:hAnsi="Times New Roman"/>
          <w:color w:val="000000"/>
        </w:rPr>
        <w:t>.</w:t>
      </w:r>
      <w:r w:rsidRPr="00904945" w:rsidR="007217C9">
        <w:rPr>
          <w:rFonts w:ascii="Times New Roman" w:hAnsi="Times New Roman"/>
          <w:color w:val="000000"/>
        </w:rPr>
        <w:t xml:space="preserve">  </w:t>
      </w:r>
      <w:r w:rsidR="00904945">
        <w:rPr>
          <w:rFonts w:ascii="Times New Roman" w:hAnsi="Times New Roman"/>
          <w:color w:val="000000"/>
        </w:rPr>
        <w:t>The</w:t>
      </w:r>
      <w:r w:rsidR="009074C9">
        <w:rPr>
          <w:rFonts w:ascii="Times New Roman" w:hAnsi="Times New Roman"/>
          <w:color w:val="000000"/>
        </w:rPr>
        <w:t xml:space="preserve"> total</w:t>
      </w:r>
      <w:r w:rsidR="00904945">
        <w:rPr>
          <w:rFonts w:ascii="Times New Roman" w:hAnsi="Times New Roman"/>
          <w:color w:val="000000"/>
        </w:rPr>
        <w:t xml:space="preserve"> cost burden for this ICR is </w:t>
      </w:r>
      <w:r w:rsidRPr="00E4273F" w:rsidR="00904945">
        <w:rPr>
          <w:rFonts w:ascii="Times New Roman" w:hAnsi="Times New Roman"/>
          <w:color w:val="000000"/>
        </w:rPr>
        <w:t>$</w:t>
      </w:r>
      <w:r w:rsidR="009B3C80">
        <w:rPr>
          <w:rFonts w:ascii="Times New Roman" w:hAnsi="Times New Roman"/>
          <w:color w:val="000000"/>
        </w:rPr>
        <w:t>237,979,629</w:t>
      </w:r>
      <w:r w:rsidRPr="009F2916" w:rsidR="00904945">
        <w:rPr>
          <w:rFonts w:ascii="Times New Roman" w:hAnsi="Times New Roman"/>
          <w:color w:val="000000"/>
        </w:rPr>
        <w:t>, which is a decrease f</w:t>
      </w:r>
      <w:r w:rsidRPr="009F2916" w:rsidR="00174037">
        <w:rPr>
          <w:rFonts w:ascii="Times New Roman" w:hAnsi="Times New Roman"/>
          <w:color w:val="000000"/>
        </w:rPr>
        <w:t>rom</w:t>
      </w:r>
      <w:r w:rsidRPr="009F2916" w:rsidR="00904945">
        <w:rPr>
          <w:rFonts w:ascii="Times New Roman" w:hAnsi="Times New Roman"/>
          <w:color w:val="000000"/>
        </w:rPr>
        <w:t xml:space="preserve"> the prior submission</w:t>
      </w:r>
      <w:r w:rsidRPr="009F2916" w:rsidR="002D3BE8">
        <w:rPr>
          <w:rFonts w:ascii="Times New Roman" w:hAnsi="Times New Roman"/>
          <w:color w:val="000000"/>
        </w:rPr>
        <w:t>, which</w:t>
      </w:r>
      <w:r w:rsidRPr="00D37618" w:rsidR="00904945">
        <w:rPr>
          <w:rFonts w:ascii="Times New Roman" w:hAnsi="Times New Roman"/>
          <w:color w:val="000000"/>
        </w:rPr>
        <w:t xml:space="preserve"> was $3</w:t>
      </w:r>
      <w:r w:rsidRPr="00D37618" w:rsidR="0002039F">
        <w:rPr>
          <w:rFonts w:ascii="Times New Roman" w:hAnsi="Times New Roman"/>
          <w:color w:val="000000"/>
        </w:rPr>
        <w:t>24,020</w:t>
      </w:r>
      <w:r w:rsidRPr="00D37618" w:rsidR="00904945">
        <w:rPr>
          <w:rFonts w:ascii="Times New Roman" w:hAnsi="Times New Roman"/>
          <w:color w:val="000000"/>
        </w:rPr>
        <w:t>,000.</w:t>
      </w:r>
      <w:r w:rsidR="00904945">
        <w:rPr>
          <w:rFonts w:ascii="Times New Roman" w:hAnsi="Times New Roman"/>
          <w:color w:val="000000"/>
        </w:rPr>
        <w:t xml:space="preserve"> </w:t>
      </w:r>
    </w:p>
    <w:p w:rsidRPr="00BE0012" w:rsidR="007732A6" w:rsidP="006C51B6" w:rsidRDefault="007732A6" w14:paraId="42C2F777" w14:textId="77777777">
      <w:pPr>
        <w:widowControl/>
        <w:rPr>
          <w:rFonts w:ascii="Times New Roman" w:hAnsi="Times New Roman"/>
          <w:color w:val="000000"/>
        </w:rPr>
      </w:pPr>
    </w:p>
    <w:p w:rsidRPr="00BE0012" w:rsidR="007732A6" w:rsidP="00416D53" w:rsidRDefault="007732A6" w14:paraId="4C9C723C"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16.</w:t>
      </w:r>
      <w:r w:rsidRPr="00BE0012">
        <w:rPr>
          <w:rFonts w:ascii="Times New Roman" w:hAnsi="Times New Roman"/>
          <w:color w:val="000000"/>
        </w:rPr>
        <w:tab/>
      </w:r>
      <w:r w:rsidRPr="00BE0012">
        <w:rPr>
          <w:rFonts w:ascii="Times New Roman" w:hAnsi="Times New Roman"/>
          <w:i/>
          <w:i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0012" w:rsidR="007732A6" w:rsidP="00416D53" w:rsidRDefault="007732A6" w14:paraId="28D7581E" w14:textId="77777777">
      <w:pPr>
        <w:widowControl/>
        <w:ind w:left="720"/>
        <w:rPr>
          <w:rFonts w:ascii="Times New Roman" w:hAnsi="Times New Roman"/>
          <w:color w:val="000000"/>
        </w:rPr>
      </w:pPr>
    </w:p>
    <w:p w:rsidRPr="00BE0012" w:rsidR="007732A6" w:rsidP="00416D53" w:rsidRDefault="005A41A7" w14:paraId="685C3516" w14:textId="77777777">
      <w:pPr>
        <w:widowControl/>
        <w:ind w:left="720"/>
        <w:rPr>
          <w:rFonts w:ascii="Times New Roman" w:hAnsi="Times New Roman"/>
          <w:color w:val="000000"/>
        </w:rPr>
      </w:pPr>
      <w:r>
        <w:rPr>
          <w:rFonts w:ascii="Times New Roman" w:hAnsi="Times New Roman"/>
          <w:color w:val="000000"/>
        </w:rPr>
        <w:t>There are no plans to publish the results of this collection.</w:t>
      </w:r>
    </w:p>
    <w:p w:rsidRPr="00BE0012" w:rsidR="007732A6" w:rsidP="00416D53" w:rsidRDefault="007732A6" w14:paraId="346D840E" w14:textId="77777777">
      <w:pPr>
        <w:widowControl/>
        <w:ind w:left="720"/>
        <w:rPr>
          <w:rFonts w:ascii="Times New Roman" w:hAnsi="Times New Roman"/>
          <w:color w:val="000000"/>
        </w:rPr>
      </w:pPr>
    </w:p>
    <w:p w:rsidRPr="00BE0012" w:rsidR="007732A6" w:rsidP="00416D53" w:rsidRDefault="007732A6" w14:paraId="686FD89D" w14:textId="77777777">
      <w:pPr>
        <w:widowControl/>
        <w:tabs>
          <w:tab w:val="left" w:pos="-1440"/>
        </w:tabs>
        <w:ind w:left="720" w:hanging="720"/>
        <w:rPr>
          <w:rFonts w:ascii="Times New Roman" w:hAnsi="Times New Roman"/>
          <w:color w:val="000000"/>
        </w:rPr>
      </w:pPr>
      <w:r w:rsidRPr="00BE0012">
        <w:rPr>
          <w:rFonts w:ascii="Times New Roman" w:hAnsi="Times New Roman"/>
          <w:color w:val="000000"/>
        </w:rPr>
        <w:t>17.</w:t>
      </w:r>
      <w:r w:rsidRPr="00BE0012">
        <w:rPr>
          <w:rFonts w:ascii="Times New Roman" w:hAnsi="Times New Roman"/>
          <w:color w:val="000000"/>
        </w:rPr>
        <w:tab/>
      </w:r>
      <w:r w:rsidRPr="00BE0012">
        <w:rPr>
          <w:rFonts w:ascii="Times New Roman" w:hAnsi="Times New Roman"/>
          <w:i/>
          <w:iCs/>
          <w:color w:val="000000"/>
        </w:rPr>
        <w:t>If seeking approval to not display the expiration date for OMB approval of the information collection, explain the reasons that display would be inappropriate.</w:t>
      </w:r>
    </w:p>
    <w:p w:rsidRPr="00BE0012" w:rsidR="007732A6" w:rsidP="008C064F" w:rsidRDefault="007732A6" w14:paraId="25D5DC79" w14:textId="77777777">
      <w:pPr>
        <w:widowControl/>
        <w:ind w:firstLine="720"/>
        <w:rPr>
          <w:rFonts w:ascii="Times New Roman" w:hAnsi="Times New Roman"/>
          <w:color w:val="000000"/>
        </w:rPr>
      </w:pPr>
    </w:p>
    <w:p w:rsidRPr="00BE0012" w:rsidR="007732A6" w:rsidP="008C064F" w:rsidRDefault="00814F68" w14:paraId="1877D4D8" w14:textId="77777777">
      <w:pPr>
        <w:pStyle w:val="Header"/>
        <w:widowControl/>
        <w:tabs>
          <w:tab w:val="clear" w:pos="4320"/>
          <w:tab w:val="clear" w:pos="8640"/>
        </w:tabs>
        <w:ind w:left="720"/>
        <w:rPr>
          <w:rFonts w:ascii="Times New Roman" w:hAnsi="Times New Roman"/>
          <w:color w:val="000000"/>
        </w:rPr>
      </w:pPr>
      <w:r w:rsidRPr="00BE0012">
        <w:rPr>
          <w:rFonts w:ascii="Times New Roman" w:hAnsi="Times New Roman"/>
          <w:color w:val="000000"/>
        </w:rPr>
        <w:t>The expiration date will be published in the Federal Register following OMB approval.</w:t>
      </w:r>
    </w:p>
    <w:p w:rsidRPr="00BE0012" w:rsidR="00814F68" w:rsidP="008C064F" w:rsidRDefault="00814F68" w14:paraId="482D0F80" w14:textId="77777777">
      <w:pPr>
        <w:pStyle w:val="Header"/>
        <w:widowControl/>
        <w:tabs>
          <w:tab w:val="clear" w:pos="4320"/>
          <w:tab w:val="clear" w:pos="8640"/>
        </w:tabs>
        <w:ind w:left="720"/>
        <w:rPr>
          <w:rFonts w:ascii="Times New Roman" w:hAnsi="Times New Roman"/>
          <w:color w:val="000000"/>
        </w:rPr>
      </w:pPr>
    </w:p>
    <w:p w:rsidRPr="00BE0012" w:rsidR="007732A6" w:rsidP="00803245" w:rsidRDefault="007732A6" w14:paraId="03B881B6" w14:textId="77777777">
      <w:pPr>
        <w:widowControl/>
        <w:tabs>
          <w:tab w:val="left" w:pos="-1440"/>
        </w:tabs>
        <w:ind w:left="720" w:hanging="720"/>
        <w:rPr>
          <w:rFonts w:ascii="Times New Roman" w:hAnsi="Times New Roman"/>
          <w:i/>
          <w:iCs/>
          <w:color w:val="000000"/>
        </w:rPr>
      </w:pPr>
      <w:r w:rsidRPr="00BE0012">
        <w:rPr>
          <w:rFonts w:ascii="Times New Roman" w:hAnsi="Times New Roman"/>
          <w:color w:val="000000"/>
        </w:rPr>
        <w:t>18.</w:t>
      </w:r>
      <w:r w:rsidRPr="00BE0012">
        <w:rPr>
          <w:rFonts w:ascii="Times New Roman" w:hAnsi="Times New Roman"/>
          <w:color w:val="000000"/>
        </w:rPr>
        <w:tab/>
      </w:r>
      <w:r w:rsidRPr="00BE0012">
        <w:rPr>
          <w:rFonts w:ascii="Times New Roman" w:hAnsi="Times New Roman"/>
          <w:i/>
          <w:iCs/>
          <w:color w:val="000000"/>
        </w:rPr>
        <w:t>Explain each exception to the certification statement identified in Item 19, "Certification for Paperwork Reduction Act Submission</w:t>
      </w:r>
      <w:r w:rsidR="00D325AA">
        <w:rPr>
          <w:rFonts w:ascii="Times New Roman" w:hAnsi="Times New Roman"/>
          <w:i/>
          <w:iCs/>
          <w:color w:val="000000"/>
        </w:rPr>
        <w:t>.</w:t>
      </w:r>
      <w:r w:rsidRPr="00BE0012">
        <w:rPr>
          <w:rFonts w:ascii="Times New Roman" w:hAnsi="Times New Roman"/>
          <w:i/>
          <w:iCs/>
          <w:color w:val="000000"/>
        </w:rPr>
        <w:t>"</w:t>
      </w:r>
    </w:p>
    <w:p w:rsidRPr="00BE0012" w:rsidR="007732A6" w:rsidP="00803245" w:rsidRDefault="007732A6" w14:paraId="5854DF49" w14:textId="77777777">
      <w:pPr>
        <w:widowControl/>
        <w:ind w:left="720"/>
        <w:rPr>
          <w:rFonts w:ascii="Times New Roman" w:hAnsi="Times New Roman"/>
          <w:color w:val="000000"/>
        </w:rPr>
      </w:pPr>
    </w:p>
    <w:p w:rsidRPr="00BE0012" w:rsidR="00D71D4E" w:rsidP="008674A2" w:rsidRDefault="005A41A7" w14:paraId="4B06C7E3" w14:textId="77777777">
      <w:pPr>
        <w:widowControl/>
        <w:ind w:left="720"/>
        <w:rPr>
          <w:rFonts w:ascii="Times New Roman" w:hAnsi="Times New Roman"/>
          <w:color w:val="000000"/>
        </w:rPr>
      </w:pPr>
      <w:r>
        <w:rPr>
          <w:rFonts w:ascii="Times New Roman" w:hAnsi="Times New Roman"/>
          <w:color w:val="000000"/>
        </w:rPr>
        <w:t>There are</w:t>
      </w:r>
      <w:r w:rsidRPr="00BE0012" w:rsidR="007732A6">
        <w:rPr>
          <w:rFonts w:ascii="Times New Roman" w:hAnsi="Times New Roman"/>
          <w:color w:val="000000"/>
        </w:rPr>
        <w:t xml:space="preserve"> no exceptions to the certification statement.</w:t>
      </w:r>
    </w:p>
    <w:sectPr w:rsidRPr="00BE0012" w:rsidR="00D71D4E">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2E9A4" w14:textId="77777777" w:rsidR="00641953" w:rsidRDefault="00641953">
      <w:r>
        <w:separator/>
      </w:r>
    </w:p>
  </w:endnote>
  <w:endnote w:type="continuationSeparator" w:id="0">
    <w:p w14:paraId="49DA0A4E" w14:textId="77777777" w:rsidR="00641953" w:rsidRDefault="0064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9B4C" w14:textId="77777777" w:rsidR="009F7184" w:rsidRDefault="009F7184">
    <w:pPr>
      <w:spacing w:line="240" w:lineRule="exact"/>
    </w:pPr>
  </w:p>
  <w:p w14:paraId="7DE7A505" w14:textId="7383EDD7" w:rsidR="009F7184" w:rsidRDefault="009F7184">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565EE0">
      <w:rPr>
        <w:rFonts w:ascii="Times New Roman" w:hAnsi="Times New Roman"/>
        <w:noProof/>
        <w:sz w:val="20"/>
      </w:rPr>
      <w:t>14</w:t>
    </w:r>
    <w:r>
      <w:rPr>
        <w:rFonts w:ascii="Times New Roman" w:hAnsi="Times New Roman"/>
        <w:sz w:val="20"/>
      </w:rPr>
      <w:fldChar w:fldCharType="end"/>
    </w:r>
  </w:p>
  <w:p w14:paraId="3AB2BF1B" w14:textId="77777777" w:rsidR="009F7184" w:rsidRDefault="009F71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B7A9" w14:textId="77777777" w:rsidR="00641953" w:rsidRDefault="00641953">
      <w:r>
        <w:separator/>
      </w:r>
    </w:p>
  </w:footnote>
  <w:footnote w:type="continuationSeparator" w:id="0">
    <w:p w14:paraId="1CFFD45E" w14:textId="77777777" w:rsidR="00641953" w:rsidRDefault="00641953">
      <w:r>
        <w:continuationSeparator/>
      </w:r>
    </w:p>
  </w:footnote>
  <w:footnote w:id="1">
    <w:p w14:paraId="1366E8DD" w14:textId="77777777" w:rsidR="009F7184" w:rsidRPr="009935E4" w:rsidRDefault="009F7184">
      <w:pPr>
        <w:pStyle w:val="FootnoteText"/>
      </w:pPr>
      <w:r w:rsidRPr="009935E4">
        <w:rPr>
          <w:rStyle w:val="FootnoteReference"/>
        </w:rPr>
        <w:footnoteRef/>
      </w:r>
      <w:r w:rsidRPr="009935E4">
        <w:rPr>
          <w:vertAlign w:val="superscript"/>
        </w:rPr>
        <w:t xml:space="preserve"> </w:t>
      </w:r>
      <w:r>
        <w:t>If the plan has not been amended during the five years after the SPD was first furnished, an updated SPD must be furnished every tenth year.</w:t>
      </w:r>
    </w:p>
  </w:footnote>
  <w:footnote w:id="2">
    <w:p w14:paraId="6E001018" w14:textId="77777777" w:rsidR="009F7184" w:rsidRDefault="009F7184" w:rsidP="00155F07">
      <w:pPr>
        <w:pStyle w:val="FootnoteText"/>
      </w:pPr>
      <w:r>
        <w:rPr>
          <w:rStyle w:val="FootnoteReference"/>
        </w:rPr>
        <w:footnoteRef/>
      </w:r>
      <w:r>
        <w:t xml:space="preserve"> </w:t>
      </w:r>
      <w:r w:rsidRPr="00F4486E">
        <w:t xml:space="preserve">Because many welfare benefit plans are not required to file </w:t>
      </w:r>
      <w:r>
        <w:t>Form 5500</w:t>
      </w:r>
      <w:r w:rsidRPr="00F4486E">
        <w:t xml:space="preserve">, the </w:t>
      </w:r>
      <w:r>
        <w:t xml:space="preserve">aggregate </w:t>
      </w:r>
      <w:r w:rsidRPr="00F4486E">
        <w:t xml:space="preserve">number of such plans </w:t>
      </w:r>
      <w:r>
        <w:t>had to</w:t>
      </w:r>
      <w:r w:rsidRPr="00F4486E">
        <w:t xml:space="preserve"> be derived from other sources.</w:t>
      </w:r>
      <w:r>
        <w:t xml:space="preserve">  Due to lack of more specific data, the Department based this estimate on data related to the incidence of employer-provided group health benefits.  Because many employers provide different types of welfare benefits through a single welfare benefit plan, and because group health coverage is the most frequently provided types of employer-based benefit, the Department deemed this approach the most likely to produce an accurate estimate.  Use of this approach is further supported by the fact that employer-based group health coverage is the most studied type of welfare benefit and therefore yields the most reliable data available.</w:t>
      </w:r>
    </w:p>
  </w:footnote>
  <w:footnote w:id="3">
    <w:p w14:paraId="13765E91" w14:textId="77777777" w:rsidR="009F7184" w:rsidRDefault="009F7184" w:rsidP="00155F07">
      <w:pPr>
        <w:pStyle w:val="FootnoteText"/>
      </w:pPr>
      <w:r>
        <w:rPr>
          <w:rStyle w:val="FootnoteReference"/>
        </w:rPr>
        <w:footnoteRef/>
      </w:r>
      <w:r>
        <w:t xml:space="preserve"> All estimates in this ICR have been rounded to the nearest thousand.</w:t>
      </w:r>
    </w:p>
  </w:footnote>
  <w:footnote w:id="4">
    <w:p w14:paraId="3F16914E" w14:textId="77777777" w:rsidR="00CA22FA" w:rsidRDefault="00CA22FA" w:rsidP="00CA22FA">
      <w:pPr>
        <w:pStyle w:val="FootnoteText"/>
      </w:pPr>
      <w:r>
        <w:rPr>
          <w:rStyle w:val="FootnoteReference"/>
        </w:rPr>
        <w:footnoteRef/>
      </w:r>
      <w:r>
        <w:t xml:space="preserve"> According to Departmental estimates using the 2017 Medical Expenditure Panel Survey-Insurance Component, there </w:t>
      </w:r>
      <w:r w:rsidRPr="009F4C1B">
        <w:t>are 2.33 million</w:t>
      </w:r>
      <w:r>
        <w:t xml:space="preserve"> health plans; the Department does not have comparable numbers for the other welfare plans in existence, such as those providing life or disability insurance, therefore the burden for these plans is not included, but could be nearly as large as for health plans.  </w:t>
      </w:r>
    </w:p>
  </w:footnote>
  <w:footnote w:id="5">
    <w:p w14:paraId="7794F2A6" w14:textId="77777777" w:rsidR="00CC0858" w:rsidRPr="00541BBA" w:rsidRDefault="00CC0858" w:rsidP="00CC0858">
      <w:pPr>
        <w:pStyle w:val="FootnoteText"/>
      </w:pPr>
      <w:r w:rsidRPr="00541BBA">
        <w:rPr>
          <w:rStyle w:val="FootnoteReference"/>
        </w:rPr>
        <w:footnoteRef/>
      </w:r>
      <w:r w:rsidRPr="00541BBA">
        <w:t xml:space="preserve"> </w:t>
      </w:r>
      <w:r w:rsidR="00507639" w:rsidRPr="00507639">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6">
    <w:p w14:paraId="282DB0A9" w14:textId="284F85DC" w:rsidR="0089287F" w:rsidRDefault="0089287F">
      <w:pPr>
        <w:pStyle w:val="FootnoteText"/>
      </w:pPr>
      <w:r>
        <w:rPr>
          <w:rStyle w:val="FootnoteReference"/>
        </w:rPr>
        <w:footnoteRef/>
      </w:r>
      <w:r>
        <w:t xml:space="preserve"> </w:t>
      </w:r>
      <w:r w:rsidRPr="0089287F">
        <w:t xml:space="preserve">For a description of the Department’s methodology for calculating wage rates, see </w:t>
      </w:r>
      <w:hyperlink r:id="rId1" w:history="1">
        <w:r w:rsidR="00C67971" w:rsidRPr="00C67971">
          <w:rPr>
            <w:rStyle w:val="Hyperlink"/>
          </w:rPr>
          <w:t>https://www.dol.gov/sites/dolgov/files/EBSA/laws-and-regulations/rules-and-regulations/technical-appendices/labor-cost-inputs-used-in-ebsa-opr-ria-and-pra-burden-calculations-june-2019.pdf</w:t>
        </w:r>
      </w:hyperlink>
      <w:r w:rsidR="00C67971" w:rsidRPr="00C67971">
        <w:t xml:space="preserve">                           </w:t>
      </w:r>
    </w:p>
  </w:footnote>
  <w:footnote w:id="7">
    <w:p w14:paraId="7BDEFBAA" w14:textId="77777777" w:rsidR="009F7184" w:rsidRPr="00915BAE" w:rsidRDefault="009F7184" w:rsidP="00155F07">
      <w:pPr>
        <w:pStyle w:val="FootnoteText"/>
      </w:pPr>
      <w:r>
        <w:rPr>
          <w:rStyle w:val="FootnoteReference"/>
        </w:rPr>
        <w:footnoteRef/>
      </w:r>
      <w:r>
        <w:t xml:space="preserve"> Using Form 5500 plan filings, the Department can make cross tabulations of the number of plans that have 10,000 or more participants as well as the </w:t>
      </w:r>
      <w:r w:rsidRPr="00915BAE">
        <w:t>number of plans that are multiemployer</w:t>
      </w:r>
      <w:r w:rsidR="007217C9" w:rsidRPr="00915BAE">
        <w:t xml:space="preserve">.  </w:t>
      </w:r>
      <w:r w:rsidRPr="00915BAE">
        <w:t>Those plans that fall into at least one of these categories are assumed to have prepared in house customized SPDs and distribute their own SMMs/SMRs.</w:t>
      </w:r>
    </w:p>
  </w:footnote>
  <w:footnote w:id="8">
    <w:p w14:paraId="34699268" w14:textId="77777777" w:rsidR="009F7184" w:rsidRPr="009F2916" w:rsidRDefault="009F7184" w:rsidP="00155F07">
      <w:pPr>
        <w:pStyle w:val="FootnoteText"/>
      </w:pPr>
      <w:r w:rsidRPr="00915BAE">
        <w:rPr>
          <w:rStyle w:val="FootnoteReference"/>
        </w:rPr>
        <w:footnoteRef/>
      </w:r>
      <w:r w:rsidRPr="00915BAE">
        <w:t xml:space="preserve"> Using NAIC figures, the Department estimates that 1,000 health and life plan service providers are established across the country</w:t>
      </w:r>
      <w:r w:rsidR="007217C9" w:rsidRPr="00915BAE">
        <w:t xml:space="preserve">.  </w:t>
      </w:r>
      <w:r w:rsidRPr="00915BAE">
        <w:t xml:space="preserve">If each of the </w:t>
      </w:r>
      <w:r w:rsidRPr="009F2916">
        <w:t xml:space="preserve">1,000 service providers has 10 distinct products, then the number of welfare SPDs that must be prepared would be 10,000.   </w:t>
      </w:r>
    </w:p>
  </w:footnote>
  <w:footnote w:id="9">
    <w:p w14:paraId="51227E1E" w14:textId="77777777" w:rsidR="009F7184" w:rsidRPr="00AE22EA" w:rsidRDefault="009F7184" w:rsidP="00155F07">
      <w:pPr>
        <w:widowControl/>
        <w:rPr>
          <w:rFonts w:ascii="Times New Roman" w:hAnsi="Times New Roman"/>
          <w:sz w:val="20"/>
          <w:szCs w:val="20"/>
        </w:rPr>
      </w:pPr>
      <w:r w:rsidRPr="00915BAE">
        <w:rPr>
          <w:rStyle w:val="FootnoteReference"/>
          <w:szCs w:val="20"/>
        </w:rPr>
        <w:footnoteRef/>
      </w:r>
      <w:r w:rsidRPr="00915BAE">
        <w:rPr>
          <w:sz w:val="20"/>
          <w:szCs w:val="20"/>
        </w:rPr>
        <w:t xml:space="preserve"> </w:t>
      </w:r>
      <w:r w:rsidRPr="00915BAE">
        <w:rPr>
          <w:rFonts w:ascii="Times New Roman" w:hAnsi="Times New Roman"/>
          <w:sz w:val="20"/>
          <w:szCs w:val="20"/>
        </w:rPr>
        <w:t>The analysis provided here stems from a rather complex algorithm</w:t>
      </w:r>
      <w:r w:rsidR="007217C9" w:rsidRPr="00915BAE">
        <w:rPr>
          <w:rFonts w:ascii="Times New Roman" w:hAnsi="Times New Roman"/>
          <w:sz w:val="20"/>
          <w:szCs w:val="20"/>
        </w:rPr>
        <w:t xml:space="preserve">.  </w:t>
      </w:r>
      <w:r w:rsidRPr="00915BAE">
        <w:rPr>
          <w:rFonts w:ascii="Times New Roman" w:hAnsi="Times New Roman"/>
          <w:sz w:val="20"/>
          <w:szCs w:val="20"/>
        </w:rPr>
        <w:t>However, looking at a subset of plans is a useful exercise in understanding the Department’s logic</w:t>
      </w:r>
      <w:r w:rsidR="007217C9" w:rsidRPr="00915BAE">
        <w:rPr>
          <w:rFonts w:ascii="Times New Roman" w:hAnsi="Times New Roman"/>
          <w:sz w:val="20"/>
          <w:szCs w:val="20"/>
        </w:rPr>
        <w:t xml:space="preserve">.  </w:t>
      </w:r>
      <w:r w:rsidRPr="009F2916">
        <w:rPr>
          <w:rFonts w:ascii="Times New Roman" w:hAnsi="Times New Roman"/>
          <w:sz w:val="20"/>
          <w:szCs w:val="20"/>
        </w:rPr>
        <w:t xml:space="preserve">The example given here will concentrate on large pension plans (&gt;100 participants), of which there are approximately </w:t>
      </w:r>
      <w:r w:rsidR="00507639" w:rsidRPr="009F2916">
        <w:rPr>
          <w:rFonts w:ascii="Times New Roman" w:hAnsi="Times New Roman"/>
          <w:sz w:val="20"/>
          <w:szCs w:val="20"/>
        </w:rPr>
        <w:t>90</w:t>
      </w:r>
      <w:r w:rsidRPr="009F2916">
        <w:rPr>
          <w:rFonts w:ascii="Times New Roman" w:hAnsi="Times New Roman"/>
          <w:sz w:val="20"/>
          <w:szCs w:val="20"/>
        </w:rPr>
        <w:t>,000</w:t>
      </w:r>
      <w:r w:rsidR="007217C9" w:rsidRPr="009F2916">
        <w:rPr>
          <w:rFonts w:ascii="Times New Roman" w:hAnsi="Times New Roman"/>
          <w:sz w:val="20"/>
          <w:szCs w:val="20"/>
        </w:rPr>
        <w:t xml:space="preserve">.  </w:t>
      </w:r>
      <w:r w:rsidRPr="00D37618">
        <w:rPr>
          <w:rFonts w:ascii="Times New Roman" w:hAnsi="Times New Roman"/>
          <w:sz w:val="20"/>
          <w:szCs w:val="20"/>
        </w:rPr>
        <w:t>Of this total, approximately 1.1% of the plans are new plans</w:t>
      </w:r>
      <w:r w:rsidR="007217C9" w:rsidRPr="00D37618">
        <w:rPr>
          <w:rFonts w:ascii="Times New Roman" w:hAnsi="Times New Roman"/>
          <w:sz w:val="20"/>
          <w:szCs w:val="20"/>
        </w:rPr>
        <w:t xml:space="preserve">.  </w:t>
      </w:r>
      <w:r w:rsidRPr="00D37618">
        <w:rPr>
          <w:rFonts w:ascii="Times New Roman" w:hAnsi="Times New Roman"/>
          <w:sz w:val="20"/>
          <w:szCs w:val="20"/>
        </w:rPr>
        <w:t>These new plans must prepare SPDs</w:t>
      </w:r>
      <w:r w:rsidR="007217C9" w:rsidRPr="00D37618">
        <w:rPr>
          <w:rFonts w:ascii="Times New Roman" w:hAnsi="Times New Roman"/>
          <w:sz w:val="20"/>
          <w:szCs w:val="20"/>
        </w:rPr>
        <w:t xml:space="preserve">.  </w:t>
      </w:r>
      <w:r w:rsidRPr="00D37618">
        <w:rPr>
          <w:rFonts w:ascii="Times New Roman" w:hAnsi="Times New Roman"/>
          <w:sz w:val="20"/>
          <w:szCs w:val="20"/>
        </w:rPr>
        <w:t>Of the remaining large plans (98.9%), 88.5% will have amended their plans in the last five years</w:t>
      </w:r>
      <w:r w:rsidR="007217C9" w:rsidRPr="00541A36">
        <w:rPr>
          <w:rFonts w:ascii="Times New Roman" w:hAnsi="Times New Roman"/>
          <w:sz w:val="20"/>
          <w:szCs w:val="20"/>
        </w:rPr>
        <w:t xml:space="preserve">.  </w:t>
      </w:r>
      <w:r w:rsidRPr="00541A36">
        <w:rPr>
          <w:rFonts w:ascii="Times New Roman" w:hAnsi="Times New Roman"/>
          <w:sz w:val="20"/>
          <w:szCs w:val="20"/>
        </w:rPr>
        <w:t>Thus, 87.5% of the plans fall in the category of plans that are not new this year but have been amended in the last 5 years.  Thus, if we assume that the year of these plans most recent SPD is evenly distributed over the last five years, approximately 17.5% (87.5%*20%) of the plans will be due for a new SPD and will have been amended in the last five years</w:t>
      </w:r>
      <w:r w:rsidR="007217C9" w:rsidRPr="00541A36">
        <w:rPr>
          <w:rFonts w:ascii="Times New Roman" w:hAnsi="Times New Roman"/>
          <w:sz w:val="20"/>
          <w:szCs w:val="20"/>
        </w:rPr>
        <w:t xml:space="preserve">.  </w:t>
      </w:r>
      <w:r w:rsidRPr="00390CB3">
        <w:rPr>
          <w:rFonts w:ascii="Times New Roman" w:hAnsi="Times New Roman"/>
          <w:sz w:val="20"/>
          <w:szCs w:val="20"/>
        </w:rPr>
        <w:t>This leaves approximately 70% of plans that have amended in the last five years but will not issue an SPD this year</w:t>
      </w:r>
      <w:r w:rsidR="007217C9" w:rsidRPr="00390CB3">
        <w:rPr>
          <w:rFonts w:ascii="Times New Roman" w:hAnsi="Times New Roman"/>
          <w:sz w:val="20"/>
          <w:szCs w:val="20"/>
        </w:rPr>
        <w:t xml:space="preserve">.  </w:t>
      </w:r>
      <w:r w:rsidRPr="00390CB3">
        <w:rPr>
          <w:rFonts w:ascii="Times New Roman" w:hAnsi="Times New Roman"/>
          <w:sz w:val="20"/>
          <w:szCs w:val="20"/>
        </w:rPr>
        <w:t>Making some additional assumptions, of the r</w:t>
      </w:r>
      <w:r w:rsidRPr="009F3211">
        <w:rPr>
          <w:rFonts w:ascii="Times New Roman" w:hAnsi="Times New Roman"/>
          <w:sz w:val="20"/>
          <w:szCs w:val="20"/>
        </w:rPr>
        <w:t>emaining SPDs that will be amended within a five year period, roughly 37.1% of them will have amended their plans within the last year</w:t>
      </w:r>
      <w:r w:rsidR="007217C9" w:rsidRPr="009F3211">
        <w:rPr>
          <w:rFonts w:ascii="Times New Roman" w:hAnsi="Times New Roman"/>
          <w:sz w:val="20"/>
          <w:szCs w:val="20"/>
        </w:rPr>
        <w:t xml:space="preserve">.  </w:t>
      </w:r>
      <w:r w:rsidRPr="009F3211">
        <w:rPr>
          <w:rFonts w:ascii="Times New Roman" w:hAnsi="Times New Roman"/>
          <w:sz w:val="20"/>
          <w:szCs w:val="20"/>
        </w:rPr>
        <w:t>Thus, 26% (70%*37.1%) of the overall plans will fall in the category of plans that have amended in the last five years that issue SMMs without issuing SPDs</w:t>
      </w:r>
      <w:r w:rsidR="007217C9" w:rsidRPr="009C0CBA">
        <w:rPr>
          <w:rFonts w:ascii="Times New Roman" w:hAnsi="Times New Roman"/>
          <w:sz w:val="20"/>
          <w:szCs w:val="20"/>
        </w:rPr>
        <w:t xml:space="preserve">.  </w:t>
      </w:r>
      <w:r w:rsidRPr="009B3C80">
        <w:rPr>
          <w:rFonts w:ascii="Times New Roman" w:hAnsi="Times New Roman"/>
          <w:sz w:val="20"/>
          <w:szCs w:val="20"/>
        </w:rPr>
        <w:t>Thus, 44% (87.5%-17.5%-26%) of the plans are recently amended not new plans that have not issued an SPD or an SMM in the past year</w:t>
      </w:r>
      <w:r w:rsidR="007217C9" w:rsidRPr="00662073">
        <w:rPr>
          <w:rFonts w:ascii="Times New Roman" w:hAnsi="Times New Roman"/>
          <w:sz w:val="20"/>
          <w:szCs w:val="20"/>
        </w:rPr>
        <w:t xml:space="preserve">.  </w:t>
      </w:r>
      <w:r w:rsidRPr="00662073">
        <w:rPr>
          <w:rFonts w:ascii="Times New Roman" w:hAnsi="Times New Roman"/>
          <w:sz w:val="20"/>
          <w:szCs w:val="20"/>
        </w:rPr>
        <w:t>The remaining 10.4% of plans have not amended in the last 5 years</w:t>
      </w:r>
      <w:r w:rsidR="007217C9" w:rsidRPr="00116008">
        <w:rPr>
          <w:rFonts w:ascii="Times New Roman" w:hAnsi="Times New Roman"/>
          <w:sz w:val="20"/>
          <w:szCs w:val="20"/>
        </w:rPr>
        <w:t xml:space="preserve">.  </w:t>
      </w:r>
      <w:r w:rsidRPr="00116008">
        <w:rPr>
          <w:rFonts w:ascii="Times New Roman" w:hAnsi="Times New Roman"/>
          <w:sz w:val="20"/>
          <w:szCs w:val="20"/>
        </w:rPr>
        <w:t>However, if the infrequently amended plans are evenly distributed over the last ten years, then another 1% of the overall plans will issue SPDs this year.  Additionally, some of these plans will issue an SMM without issuing an SPD</w:t>
      </w:r>
      <w:r w:rsidR="007217C9" w:rsidRPr="008C3CE1">
        <w:rPr>
          <w:rFonts w:ascii="Times New Roman" w:hAnsi="Times New Roman"/>
          <w:sz w:val="20"/>
          <w:szCs w:val="20"/>
        </w:rPr>
        <w:t xml:space="preserve">.  </w:t>
      </w:r>
      <w:r w:rsidRPr="00EB607A">
        <w:rPr>
          <w:rFonts w:ascii="Times New Roman" w:hAnsi="Times New Roman"/>
          <w:sz w:val="20"/>
          <w:szCs w:val="20"/>
        </w:rPr>
        <w:t>Thus, overall approximately 19.6% of these plans will issue an SPD this year and over 26% will issue an SMM without an SPD.</w:t>
      </w:r>
      <w:r w:rsidRPr="00BD3BB1">
        <w:rPr>
          <w:rFonts w:ascii="Times New Roman" w:hAnsi="Times New Roman"/>
          <w:sz w:val="20"/>
          <w:szCs w:val="20"/>
        </w:rPr>
        <w:t xml:space="preserve">   </w:t>
      </w:r>
      <w:r w:rsidRPr="00BD3BB1">
        <w:t xml:space="preserve"> </w:t>
      </w:r>
    </w:p>
  </w:footnote>
  <w:footnote w:id="10">
    <w:p w14:paraId="334D12AD" w14:textId="77777777" w:rsidR="009F7184" w:rsidRDefault="009F7184" w:rsidP="00155F07">
      <w:pPr>
        <w:pStyle w:val="FootnoteText"/>
      </w:pPr>
      <w:r w:rsidRPr="00402BF8">
        <w:rPr>
          <w:rStyle w:val="FootnoteReference"/>
        </w:rPr>
        <w:footnoteRef/>
      </w:r>
      <w:r w:rsidRPr="00402BF8">
        <w:t xml:space="preserve">Over 1 million participants are assumed to cash out their pension benefits in a given year and </w:t>
      </w:r>
      <w:r w:rsidR="00397BB6" w:rsidRPr="00402BF8">
        <w:t>almost 13</w:t>
      </w:r>
      <w:r w:rsidRPr="00402BF8">
        <w:t xml:space="preserve"> million are currently retired or separated participants receiving benefits; of the retirees, roughly </w:t>
      </w:r>
      <w:r w:rsidRPr="009F2916">
        <w:t>5 percent are estimated to have retired in the past year).</w:t>
      </w:r>
    </w:p>
  </w:footnote>
  <w:footnote w:id="11">
    <w:p w14:paraId="2ED23F28" w14:textId="77777777" w:rsidR="009F7184" w:rsidRDefault="009F7184" w:rsidP="00155F07">
      <w:pPr>
        <w:pStyle w:val="FootnoteText"/>
      </w:pPr>
      <w:r>
        <w:rPr>
          <w:rStyle w:val="FootnoteReference"/>
        </w:rPr>
        <w:footnoteRef/>
      </w:r>
      <w:r>
        <w:t xml:space="preserve"> The Department estimates that upon receiving an SMM, many participants will want to investigate more details about their plan</w:t>
      </w:r>
      <w:r w:rsidR="007217C9">
        <w:t xml:space="preserve">.  </w:t>
      </w:r>
      <w:r>
        <w:t>The Department assumes that 5 percent of participants request an SPD during non SMM years and 20 percent request one during an SMM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E522" w14:textId="77777777" w:rsidR="009F7184" w:rsidRPr="006B453D" w:rsidRDefault="009F7184">
    <w:pPr>
      <w:jc w:val="right"/>
      <w:rPr>
        <w:rFonts w:ascii="Times New Roman" w:hAnsi="Times New Roman"/>
        <w:b/>
        <w:bCs/>
      </w:rPr>
    </w:pPr>
    <w:r w:rsidRPr="006B453D">
      <w:rPr>
        <w:rFonts w:ascii="Times New Roman" w:hAnsi="Times New Roman"/>
        <w:b/>
        <w:bCs/>
      </w:rPr>
      <w:t>Summary Plan Description Requirements under ERISA</w:t>
    </w:r>
  </w:p>
  <w:p w14:paraId="083931E1" w14:textId="77777777" w:rsidR="009F7184" w:rsidRPr="006B453D" w:rsidRDefault="009F7184">
    <w:pPr>
      <w:jc w:val="right"/>
      <w:rPr>
        <w:rFonts w:ascii="Times New Roman" w:hAnsi="Times New Roman"/>
        <w:b/>
        <w:bCs/>
      </w:rPr>
    </w:pPr>
    <w:r w:rsidRPr="006B453D">
      <w:rPr>
        <w:rFonts w:ascii="Times New Roman" w:hAnsi="Times New Roman"/>
        <w:b/>
        <w:bCs/>
      </w:rPr>
      <w:t>OMB Number 1210-0039</w:t>
    </w:r>
  </w:p>
  <w:p w14:paraId="153B4721" w14:textId="54246E66" w:rsidR="009F7184" w:rsidRPr="001D600B" w:rsidRDefault="00055D99" w:rsidP="000D29ED">
    <w:pPr>
      <w:jc w:val="right"/>
      <w:rPr>
        <w:rFonts w:ascii="Times New Roman" w:hAnsi="Times New Roman"/>
        <w:b/>
      </w:rPr>
    </w:pPr>
    <w:r>
      <w:rPr>
        <w:rFonts w:ascii="Times New Roman" w:hAnsi="Times New Roman"/>
        <w:b/>
      </w:rPr>
      <w:t>March</w:t>
    </w:r>
    <w:r w:rsidR="009740A2">
      <w:rPr>
        <w:rFonts w:ascii="Times New Roman" w:hAnsi="Times New Roman"/>
        <w:b/>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7C6098"/>
    <w:lvl w:ilvl="0">
      <w:numFmt w:val="decimal"/>
      <w:lvlText w:val="*"/>
      <w:lvlJc w:val="left"/>
    </w:lvl>
  </w:abstractNum>
  <w:abstractNum w:abstractNumId="1" w15:restartNumberingAfterBreak="0">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A0DE1"/>
    <w:multiLevelType w:val="hybridMultilevel"/>
    <w:tmpl w:val="290AE8A6"/>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1BFE1078"/>
    <w:multiLevelType w:val="hybridMultilevel"/>
    <w:tmpl w:val="EFD20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74734"/>
    <w:multiLevelType w:val="hybridMultilevel"/>
    <w:tmpl w:val="C3BA5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81253D"/>
    <w:multiLevelType w:val="hybridMultilevel"/>
    <w:tmpl w:val="A44EE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6C161F"/>
    <w:multiLevelType w:val="hybridMultilevel"/>
    <w:tmpl w:val="CCA69C88"/>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695E09"/>
    <w:multiLevelType w:val="hybridMultilevel"/>
    <w:tmpl w:val="7922A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6"/>
  </w:num>
  <w:num w:numId="4">
    <w:abstractNumId w:val="2"/>
  </w:num>
  <w:num w:numId="5">
    <w:abstractNumId w:val="8"/>
  </w:num>
  <w:num w:numId="6">
    <w:abstractNumId w:val="3"/>
  </w:num>
  <w:num w:numId="7">
    <w:abstractNumId w:val="7"/>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5D"/>
    <w:rsid w:val="0000429C"/>
    <w:rsid w:val="00005554"/>
    <w:rsid w:val="000067E2"/>
    <w:rsid w:val="00014DCD"/>
    <w:rsid w:val="0002039F"/>
    <w:rsid w:val="00024CBF"/>
    <w:rsid w:val="00025741"/>
    <w:rsid w:val="000300B2"/>
    <w:rsid w:val="000320F6"/>
    <w:rsid w:val="00040BB1"/>
    <w:rsid w:val="00055D99"/>
    <w:rsid w:val="00064499"/>
    <w:rsid w:val="00082215"/>
    <w:rsid w:val="00090661"/>
    <w:rsid w:val="000A22CE"/>
    <w:rsid w:val="000B1E0F"/>
    <w:rsid w:val="000B5325"/>
    <w:rsid w:val="000B724A"/>
    <w:rsid w:val="000C6FA5"/>
    <w:rsid w:val="000D0367"/>
    <w:rsid w:val="000D29ED"/>
    <w:rsid w:val="000E1C91"/>
    <w:rsid w:val="000E305F"/>
    <w:rsid w:val="000F5C6D"/>
    <w:rsid w:val="000F777D"/>
    <w:rsid w:val="0010136E"/>
    <w:rsid w:val="001038DF"/>
    <w:rsid w:val="00116008"/>
    <w:rsid w:val="00132322"/>
    <w:rsid w:val="001353C5"/>
    <w:rsid w:val="00155F07"/>
    <w:rsid w:val="00157421"/>
    <w:rsid w:val="0016387F"/>
    <w:rsid w:val="00174037"/>
    <w:rsid w:val="001947F2"/>
    <w:rsid w:val="001A00AA"/>
    <w:rsid w:val="001A2BF6"/>
    <w:rsid w:val="001A7834"/>
    <w:rsid w:val="001B23F0"/>
    <w:rsid w:val="001B6552"/>
    <w:rsid w:val="001D600B"/>
    <w:rsid w:val="001D6849"/>
    <w:rsid w:val="001F4A03"/>
    <w:rsid w:val="001F59E7"/>
    <w:rsid w:val="00201B5B"/>
    <w:rsid w:val="0021107F"/>
    <w:rsid w:val="002158FC"/>
    <w:rsid w:val="00215DD1"/>
    <w:rsid w:val="00220BB0"/>
    <w:rsid w:val="002240C6"/>
    <w:rsid w:val="00233DC3"/>
    <w:rsid w:val="00236650"/>
    <w:rsid w:val="00246F01"/>
    <w:rsid w:val="0025212A"/>
    <w:rsid w:val="00264175"/>
    <w:rsid w:val="0026675B"/>
    <w:rsid w:val="002669F9"/>
    <w:rsid w:val="00273DD3"/>
    <w:rsid w:val="00274CF1"/>
    <w:rsid w:val="00284581"/>
    <w:rsid w:val="0028575F"/>
    <w:rsid w:val="0028679F"/>
    <w:rsid w:val="00296FE4"/>
    <w:rsid w:val="002976D7"/>
    <w:rsid w:val="002A0948"/>
    <w:rsid w:val="002B50CA"/>
    <w:rsid w:val="002D283A"/>
    <w:rsid w:val="002D3BE8"/>
    <w:rsid w:val="002E5FF9"/>
    <w:rsid w:val="002F7028"/>
    <w:rsid w:val="002F7F24"/>
    <w:rsid w:val="0030251F"/>
    <w:rsid w:val="00306866"/>
    <w:rsid w:val="00307265"/>
    <w:rsid w:val="0032171A"/>
    <w:rsid w:val="00322F6A"/>
    <w:rsid w:val="003313BA"/>
    <w:rsid w:val="0033438F"/>
    <w:rsid w:val="00334586"/>
    <w:rsid w:val="0034228D"/>
    <w:rsid w:val="00342328"/>
    <w:rsid w:val="00342A1B"/>
    <w:rsid w:val="00356A90"/>
    <w:rsid w:val="00357815"/>
    <w:rsid w:val="00357C07"/>
    <w:rsid w:val="0038178F"/>
    <w:rsid w:val="0038188D"/>
    <w:rsid w:val="003853A9"/>
    <w:rsid w:val="00390CB3"/>
    <w:rsid w:val="00397BB6"/>
    <w:rsid w:val="003A3D9A"/>
    <w:rsid w:val="003B0653"/>
    <w:rsid w:val="003B3014"/>
    <w:rsid w:val="003B55CB"/>
    <w:rsid w:val="003C4397"/>
    <w:rsid w:val="003C5EEF"/>
    <w:rsid w:val="003C73FB"/>
    <w:rsid w:val="003D782B"/>
    <w:rsid w:val="003F5E7D"/>
    <w:rsid w:val="0040285F"/>
    <w:rsid w:val="00402BF8"/>
    <w:rsid w:val="00405100"/>
    <w:rsid w:val="00416D53"/>
    <w:rsid w:val="00436DD1"/>
    <w:rsid w:val="00452119"/>
    <w:rsid w:val="00461185"/>
    <w:rsid w:val="00466567"/>
    <w:rsid w:val="004669E6"/>
    <w:rsid w:val="00474DA8"/>
    <w:rsid w:val="0048022B"/>
    <w:rsid w:val="00494B97"/>
    <w:rsid w:val="004B29EB"/>
    <w:rsid w:val="004D2D4F"/>
    <w:rsid w:val="004D6E29"/>
    <w:rsid w:val="004E5EFD"/>
    <w:rsid w:val="004F4ABF"/>
    <w:rsid w:val="00506AE1"/>
    <w:rsid w:val="00507639"/>
    <w:rsid w:val="00535343"/>
    <w:rsid w:val="00536736"/>
    <w:rsid w:val="005373A0"/>
    <w:rsid w:val="00537D91"/>
    <w:rsid w:val="005402AB"/>
    <w:rsid w:val="00541A36"/>
    <w:rsid w:val="005433D5"/>
    <w:rsid w:val="00544169"/>
    <w:rsid w:val="005610D8"/>
    <w:rsid w:val="00565EE0"/>
    <w:rsid w:val="00570F02"/>
    <w:rsid w:val="00582329"/>
    <w:rsid w:val="00592EC7"/>
    <w:rsid w:val="005964CA"/>
    <w:rsid w:val="005A41A7"/>
    <w:rsid w:val="005A5D06"/>
    <w:rsid w:val="005B4066"/>
    <w:rsid w:val="005C1779"/>
    <w:rsid w:val="005D2B0C"/>
    <w:rsid w:val="005F1BE5"/>
    <w:rsid w:val="005F20F3"/>
    <w:rsid w:val="005F2679"/>
    <w:rsid w:val="005F5FED"/>
    <w:rsid w:val="005F7E05"/>
    <w:rsid w:val="00610451"/>
    <w:rsid w:val="00626419"/>
    <w:rsid w:val="00641953"/>
    <w:rsid w:val="00643994"/>
    <w:rsid w:val="006466C5"/>
    <w:rsid w:val="00650284"/>
    <w:rsid w:val="00655235"/>
    <w:rsid w:val="00662073"/>
    <w:rsid w:val="00664183"/>
    <w:rsid w:val="006751C9"/>
    <w:rsid w:val="006928A3"/>
    <w:rsid w:val="006A3B3C"/>
    <w:rsid w:val="006A78BF"/>
    <w:rsid w:val="006B453D"/>
    <w:rsid w:val="006C33FC"/>
    <w:rsid w:val="006C35E8"/>
    <w:rsid w:val="006C51B6"/>
    <w:rsid w:val="006D1E5D"/>
    <w:rsid w:val="006D7C28"/>
    <w:rsid w:val="006E22DC"/>
    <w:rsid w:val="006E6EED"/>
    <w:rsid w:val="006E710C"/>
    <w:rsid w:val="006F4713"/>
    <w:rsid w:val="00703834"/>
    <w:rsid w:val="00706F99"/>
    <w:rsid w:val="007217C9"/>
    <w:rsid w:val="00721CA3"/>
    <w:rsid w:val="00730BBB"/>
    <w:rsid w:val="00731E89"/>
    <w:rsid w:val="00736D31"/>
    <w:rsid w:val="00742BDE"/>
    <w:rsid w:val="00753BCD"/>
    <w:rsid w:val="007565E5"/>
    <w:rsid w:val="007668B3"/>
    <w:rsid w:val="00772FED"/>
    <w:rsid w:val="007732A6"/>
    <w:rsid w:val="0078034A"/>
    <w:rsid w:val="00782286"/>
    <w:rsid w:val="00793FB7"/>
    <w:rsid w:val="00796977"/>
    <w:rsid w:val="007A66BF"/>
    <w:rsid w:val="007A7053"/>
    <w:rsid w:val="007B46ED"/>
    <w:rsid w:val="007B74E5"/>
    <w:rsid w:val="007E51AA"/>
    <w:rsid w:val="007E72E6"/>
    <w:rsid w:val="007F01EB"/>
    <w:rsid w:val="007F4292"/>
    <w:rsid w:val="00803245"/>
    <w:rsid w:val="00811ED2"/>
    <w:rsid w:val="00814F68"/>
    <w:rsid w:val="00820CB2"/>
    <w:rsid w:val="008314AB"/>
    <w:rsid w:val="00831AB5"/>
    <w:rsid w:val="008561F1"/>
    <w:rsid w:val="00863F5D"/>
    <w:rsid w:val="00864B19"/>
    <w:rsid w:val="00865C5B"/>
    <w:rsid w:val="008674A2"/>
    <w:rsid w:val="00870A5B"/>
    <w:rsid w:val="00874186"/>
    <w:rsid w:val="0087456F"/>
    <w:rsid w:val="00885474"/>
    <w:rsid w:val="00890519"/>
    <w:rsid w:val="008908CD"/>
    <w:rsid w:val="0089287F"/>
    <w:rsid w:val="00897186"/>
    <w:rsid w:val="008A0224"/>
    <w:rsid w:val="008B17C1"/>
    <w:rsid w:val="008C064F"/>
    <w:rsid w:val="008C3CE1"/>
    <w:rsid w:val="008D4B90"/>
    <w:rsid w:val="008E1956"/>
    <w:rsid w:val="008F384C"/>
    <w:rsid w:val="008F59F9"/>
    <w:rsid w:val="00904945"/>
    <w:rsid w:val="009074C9"/>
    <w:rsid w:val="00907686"/>
    <w:rsid w:val="00911EB6"/>
    <w:rsid w:val="00913DA5"/>
    <w:rsid w:val="00914231"/>
    <w:rsid w:val="00915BAE"/>
    <w:rsid w:val="00917650"/>
    <w:rsid w:val="00935555"/>
    <w:rsid w:val="00936235"/>
    <w:rsid w:val="0094076A"/>
    <w:rsid w:val="0094185B"/>
    <w:rsid w:val="00942087"/>
    <w:rsid w:val="00962C5A"/>
    <w:rsid w:val="00967D3B"/>
    <w:rsid w:val="0097054A"/>
    <w:rsid w:val="009705A4"/>
    <w:rsid w:val="009740A2"/>
    <w:rsid w:val="00975F7D"/>
    <w:rsid w:val="00976DE1"/>
    <w:rsid w:val="009806F6"/>
    <w:rsid w:val="009935E4"/>
    <w:rsid w:val="009A2D2D"/>
    <w:rsid w:val="009A64BC"/>
    <w:rsid w:val="009B3C80"/>
    <w:rsid w:val="009B495C"/>
    <w:rsid w:val="009B7CFB"/>
    <w:rsid w:val="009C0CBA"/>
    <w:rsid w:val="009C1F9C"/>
    <w:rsid w:val="009D1A74"/>
    <w:rsid w:val="009E1B46"/>
    <w:rsid w:val="009E3D5F"/>
    <w:rsid w:val="009E52E4"/>
    <w:rsid w:val="009F2916"/>
    <w:rsid w:val="009F3211"/>
    <w:rsid w:val="009F4C1B"/>
    <w:rsid w:val="009F5CF4"/>
    <w:rsid w:val="009F7184"/>
    <w:rsid w:val="00A04A5B"/>
    <w:rsid w:val="00A115BB"/>
    <w:rsid w:val="00A2692B"/>
    <w:rsid w:val="00A3691F"/>
    <w:rsid w:val="00A443AE"/>
    <w:rsid w:val="00A44714"/>
    <w:rsid w:val="00A61A7D"/>
    <w:rsid w:val="00A76FD2"/>
    <w:rsid w:val="00A775F9"/>
    <w:rsid w:val="00A8694F"/>
    <w:rsid w:val="00A87BD9"/>
    <w:rsid w:val="00A963FE"/>
    <w:rsid w:val="00AA03F4"/>
    <w:rsid w:val="00AA0DAD"/>
    <w:rsid w:val="00AA0E6A"/>
    <w:rsid w:val="00AA5160"/>
    <w:rsid w:val="00AA6F68"/>
    <w:rsid w:val="00AB153B"/>
    <w:rsid w:val="00AB5112"/>
    <w:rsid w:val="00AB5E4F"/>
    <w:rsid w:val="00AC0EA0"/>
    <w:rsid w:val="00AC582C"/>
    <w:rsid w:val="00AC6ABD"/>
    <w:rsid w:val="00AC7332"/>
    <w:rsid w:val="00AC7B02"/>
    <w:rsid w:val="00AD158D"/>
    <w:rsid w:val="00AD24A1"/>
    <w:rsid w:val="00AD4140"/>
    <w:rsid w:val="00AE0396"/>
    <w:rsid w:val="00AE0FBA"/>
    <w:rsid w:val="00AE60C3"/>
    <w:rsid w:val="00AF17CC"/>
    <w:rsid w:val="00B10B90"/>
    <w:rsid w:val="00B238FA"/>
    <w:rsid w:val="00B23B75"/>
    <w:rsid w:val="00B3497F"/>
    <w:rsid w:val="00B40026"/>
    <w:rsid w:val="00B41CD3"/>
    <w:rsid w:val="00B41EA5"/>
    <w:rsid w:val="00B421BC"/>
    <w:rsid w:val="00B5052D"/>
    <w:rsid w:val="00B64C71"/>
    <w:rsid w:val="00B8349B"/>
    <w:rsid w:val="00B83AAD"/>
    <w:rsid w:val="00B8439B"/>
    <w:rsid w:val="00B85CB5"/>
    <w:rsid w:val="00BA0117"/>
    <w:rsid w:val="00BA256F"/>
    <w:rsid w:val="00BC5A8B"/>
    <w:rsid w:val="00BD1996"/>
    <w:rsid w:val="00BD33A0"/>
    <w:rsid w:val="00BD575A"/>
    <w:rsid w:val="00BD6320"/>
    <w:rsid w:val="00BD7DF0"/>
    <w:rsid w:val="00BE0012"/>
    <w:rsid w:val="00BE265F"/>
    <w:rsid w:val="00BE6107"/>
    <w:rsid w:val="00BE79D3"/>
    <w:rsid w:val="00BF79A2"/>
    <w:rsid w:val="00C032EF"/>
    <w:rsid w:val="00C07502"/>
    <w:rsid w:val="00C237DD"/>
    <w:rsid w:val="00C26096"/>
    <w:rsid w:val="00C27CDE"/>
    <w:rsid w:val="00C333C9"/>
    <w:rsid w:val="00C42069"/>
    <w:rsid w:val="00C42F2F"/>
    <w:rsid w:val="00C522C5"/>
    <w:rsid w:val="00C5545F"/>
    <w:rsid w:val="00C560B8"/>
    <w:rsid w:val="00C67971"/>
    <w:rsid w:val="00C77BCC"/>
    <w:rsid w:val="00C8209C"/>
    <w:rsid w:val="00C87014"/>
    <w:rsid w:val="00C92136"/>
    <w:rsid w:val="00C92749"/>
    <w:rsid w:val="00C9595B"/>
    <w:rsid w:val="00C96C80"/>
    <w:rsid w:val="00CA22FA"/>
    <w:rsid w:val="00CA3837"/>
    <w:rsid w:val="00CA429E"/>
    <w:rsid w:val="00CA6DC9"/>
    <w:rsid w:val="00CC0858"/>
    <w:rsid w:val="00CE0616"/>
    <w:rsid w:val="00CE33C5"/>
    <w:rsid w:val="00CE50F0"/>
    <w:rsid w:val="00CF344F"/>
    <w:rsid w:val="00D00E9D"/>
    <w:rsid w:val="00D021E0"/>
    <w:rsid w:val="00D03B8D"/>
    <w:rsid w:val="00D162A8"/>
    <w:rsid w:val="00D21811"/>
    <w:rsid w:val="00D2214C"/>
    <w:rsid w:val="00D22275"/>
    <w:rsid w:val="00D2639F"/>
    <w:rsid w:val="00D273D8"/>
    <w:rsid w:val="00D30E43"/>
    <w:rsid w:val="00D325AA"/>
    <w:rsid w:val="00D329B8"/>
    <w:rsid w:val="00D37618"/>
    <w:rsid w:val="00D46338"/>
    <w:rsid w:val="00D51597"/>
    <w:rsid w:val="00D54139"/>
    <w:rsid w:val="00D54ED4"/>
    <w:rsid w:val="00D60BBC"/>
    <w:rsid w:val="00D62240"/>
    <w:rsid w:val="00D64551"/>
    <w:rsid w:val="00D67EDF"/>
    <w:rsid w:val="00D71D4E"/>
    <w:rsid w:val="00D73DB3"/>
    <w:rsid w:val="00D7663D"/>
    <w:rsid w:val="00D85265"/>
    <w:rsid w:val="00D91619"/>
    <w:rsid w:val="00D975AF"/>
    <w:rsid w:val="00DA089F"/>
    <w:rsid w:val="00DA5DB7"/>
    <w:rsid w:val="00DA6FF4"/>
    <w:rsid w:val="00DB390D"/>
    <w:rsid w:val="00DB514C"/>
    <w:rsid w:val="00DC1DB9"/>
    <w:rsid w:val="00DC2F38"/>
    <w:rsid w:val="00DC6359"/>
    <w:rsid w:val="00DC6B30"/>
    <w:rsid w:val="00DD41E1"/>
    <w:rsid w:val="00DF0912"/>
    <w:rsid w:val="00DF0EF1"/>
    <w:rsid w:val="00E01B3B"/>
    <w:rsid w:val="00E03344"/>
    <w:rsid w:val="00E05384"/>
    <w:rsid w:val="00E05580"/>
    <w:rsid w:val="00E06992"/>
    <w:rsid w:val="00E075B4"/>
    <w:rsid w:val="00E07DE2"/>
    <w:rsid w:val="00E27506"/>
    <w:rsid w:val="00E34278"/>
    <w:rsid w:val="00E405AF"/>
    <w:rsid w:val="00E4060E"/>
    <w:rsid w:val="00E4273F"/>
    <w:rsid w:val="00E502B0"/>
    <w:rsid w:val="00E55F05"/>
    <w:rsid w:val="00E7374F"/>
    <w:rsid w:val="00E86534"/>
    <w:rsid w:val="00E94962"/>
    <w:rsid w:val="00E94AD1"/>
    <w:rsid w:val="00E95F4F"/>
    <w:rsid w:val="00E9748C"/>
    <w:rsid w:val="00EA0DCF"/>
    <w:rsid w:val="00EA3C16"/>
    <w:rsid w:val="00EB2218"/>
    <w:rsid w:val="00EB2740"/>
    <w:rsid w:val="00EB3405"/>
    <w:rsid w:val="00EB34C7"/>
    <w:rsid w:val="00EB4FD5"/>
    <w:rsid w:val="00EB52C3"/>
    <w:rsid w:val="00EB607A"/>
    <w:rsid w:val="00EC234D"/>
    <w:rsid w:val="00ED539F"/>
    <w:rsid w:val="00ED612E"/>
    <w:rsid w:val="00ED7DA2"/>
    <w:rsid w:val="00EF66CB"/>
    <w:rsid w:val="00F03F97"/>
    <w:rsid w:val="00F210C1"/>
    <w:rsid w:val="00F22351"/>
    <w:rsid w:val="00F4486E"/>
    <w:rsid w:val="00F456DC"/>
    <w:rsid w:val="00F57EAF"/>
    <w:rsid w:val="00F64FC7"/>
    <w:rsid w:val="00F6536F"/>
    <w:rsid w:val="00F66D88"/>
    <w:rsid w:val="00F70172"/>
    <w:rsid w:val="00F71438"/>
    <w:rsid w:val="00F76DDF"/>
    <w:rsid w:val="00F81BA8"/>
    <w:rsid w:val="00F838C3"/>
    <w:rsid w:val="00F8785B"/>
    <w:rsid w:val="00FB1F5F"/>
    <w:rsid w:val="00FC1234"/>
    <w:rsid w:val="00FC1BCC"/>
    <w:rsid w:val="00FC4ACC"/>
    <w:rsid w:val="00FD7B14"/>
    <w:rsid w:val="00FE0A8A"/>
    <w:rsid w:val="00FE622A"/>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0FF97"/>
  <w15:chartTrackingRefBased/>
  <w15:docId w15:val="{E66E88E6-21DA-43C5-890D-871F4494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560B8"/>
    <w:rPr>
      <w:rFonts w:ascii="Times New Roman" w:hAnsi="Times New Roman"/>
      <w:sz w:val="20"/>
      <w:vertAlign w:val="superscript"/>
    </w:rPr>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FootnoteText">
    <w:name w:val="footnote text"/>
    <w:basedOn w:val="Normal"/>
    <w:link w:val="FootnoteTextChar"/>
    <w:uiPriority w:val="99"/>
    <w:semiHidden/>
    <w:rsid w:val="00C560B8"/>
    <w:rPr>
      <w:rFonts w:ascii="Times New Roman" w:hAnsi="Times New Roman"/>
      <w:sz w:val="20"/>
      <w:szCs w:val="20"/>
    </w:rPr>
  </w:style>
  <w:style w:type="paragraph" w:styleId="BalloonText">
    <w:name w:val="Balloon Text"/>
    <w:basedOn w:val="Normal"/>
    <w:semiHidden/>
    <w:rsid w:val="003853A9"/>
    <w:rPr>
      <w:rFonts w:ascii="Tahoma" w:hAnsi="Tahoma" w:cs="Tahoma"/>
      <w:sz w:val="16"/>
      <w:szCs w:val="16"/>
    </w:rPr>
  </w:style>
  <w:style w:type="character" w:styleId="CommentReference">
    <w:name w:val="annotation reference"/>
    <w:semiHidden/>
    <w:rsid w:val="001A2BF6"/>
    <w:rPr>
      <w:sz w:val="16"/>
      <w:szCs w:val="16"/>
    </w:rPr>
  </w:style>
  <w:style w:type="paragraph" w:styleId="CommentText">
    <w:name w:val="annotation text"/>
    <w:basedOn w:val="Normal"/>
    <w:semiHidden/>
    <w:rsid w:val="001A2BF6"/>
    <w:rPr>
      <w:sz w:val="20"/>
      <w:szCs w:val="20"/>
    </w:rPr>
  </w:style>
  <w:style w:type="paragraph" w:styleId="CommentSubject">
    <w:name w:val="annotation subject"/>
    <w:basedOn w:val="CommentText"/>
    <w:next w:val="CommentText"/>
    <w:semiHidden/>
    <w:rsid w:val="001A2BF6"/>
    <w:rPr>
      <w:b/>
      <w:bCs/>
    </w:rPr>
  </w:style>
  <w:style w:type="character" w:customStyle="1" w:styleId="FootnoteTextChar">
    <w:name w:val="Footnote Text Char"/>
    <w:link w:val="FootnoteText"/>
    <w:uiPriority w:val="99"/>
    <w:semiHidden/>
    <w:rsid w:val="00CC0858"/>
  </w:style>
  <w:style w:type="paragraph" w:styleId="ListParagraph">
    <w:name w:val="List Paragraph"/>
    <w:basedOn w:val="Normal"/>
    <w:uiPriority w:val="34"/>
    <w:qFormat/>
    <w:rsid w:val="00730BBB"/>
    <w:pPr>
      <w:ind w:left="720"/>
    </w:pPr>
  </w:style>
  <w:style w:type="character" w:styleId="Hyperlink">
    <w:name w:val="Hyperlink"/>
    <w:rsid w:val="00C67971"/>
    <w:rPr>
      <w:color w:val="0563C1"/>
      <w:u w:val="single"/>
    </w:rPr>
  </w:style>
  <w:style w:type="character" w:styleId="FollowedHyperlink">
    <w:name w:val="FollowedHyperlink"/>
    <w:rsid w:val="00402BF8"/>
    <w:rPr>
      <w:color w:val="954F72"/>
      <w:u w:val="single"/>
    </w:rPr>
  </w:style>
  <w:style w:type="paragraph" w:styleId="Revision">
    <w:name w:val="Revision"/>
    <w:hidden/>
    <w:uiPriority w:val="99"/>
    <w:semiHidden/>
    <w:rsid w:val="008F59F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55323">
      <w:bodyDiv w:val="1"/>
      <w:marLeft w:val="0"/>
      <w:marRight w:val="0"/>
      <w:marTop w:val="0"/>
      <w:marBottom w:val="0"/>
      <w:divBdr>
        <w:top w:val="none" w:sz="0" w:space="0" w:color="auto"/>
        <w:left w:val="none" w:sz="0" w:space="0" w:color="auto"/>
        <w:bottom w:val="none" w:sz="0" w:space="0" w:color="auto"/>
        <w:right w:val="none" w:sz="0" w:space="0" w:color="auto"/>
      </w:divBdr>
    </w:div>
    <w:div w:id="726075108">
      <w:bodyDiv w:val="1"/>
      <w:marLeft w:val="0"/>
      <w:marRight w:val="0"/>
      <w:marTop w:val="0"/>
      <w:marBottom w:val="0"/>
      <w:divBdr>
        <w:top w:val="none" w:sz="0" w:space="0" w:color="auto"/>
        <w:left w:val="none" w:sz="0" w:space="0" w:color="auto"/>
        <w:bottom w:val="none" w:sz="0" w:space="0" w:color="auto"/>
        <w:right w:val="none" w:sz="0" w:space="0" w:color="auto"/>
      </w:divBdr>
    </w:div>
    <w:div w:id="865218968">
      <w:bodyDiv w:val="1"/>
      <w:marLeft w:val="0"/>
      <w:marRight w:val="0"/>
      <w:marTop w:val="0"/>
      <w:marBottom w:val="0"/>
      <w:divBdr>
        <w:top w:val="none" w:sz="0" w:space="0" w:color="auto"/>
        <w:left w:val="none" w:sz="0" w:space="0" w:color="auto"/>
        <w:bottom w:val="none" w:sz="0" w:space="0" w:color="auto"/>
        <w:right w:val="none" w:sz="0" w:space="0" w:color="auto"/>
      </w:divBdr>
    </w:div>
    <w:div w:id="1044712586">
      <w:bodyDiv w:val="1"/>
      <w:marLeft w:val="0"/>
      <w:marRight w:val="0"/>
      <w:marTop w:val="0"/>
      <w:marBottom w:val="0"/>
      <w:divBdr>
        <w:top w:val="none" w:sz="0" w:space="0" w:color="auto"/>
        <w:left w:val="none" w:sz="0" w:space="0" w:color="auto"/>
        <w:bottom w:val="none" w:sz="0" w:space="0" w:color="auto"/>
        <w:right w:val="none" w:sz="0" w:space="0" w:color="auto"/>
      </w:divBdr>
    </w:div>
    <w:div w:id="1200168379">
      <w:bodyDiv w:val="1"/>
      <w:marLeft w:val="0"/>
      <w:marRight w:val="0"/>
      <w:marTop w:val="0"/>
      <w:marBottom w:val="0"/>
      <w:divBdr>
        <w:top w:val="none" w:sz="0" w:space="0" w:color="auto"/>
        <w:left w:val="none" w:sz="0" w:space="0" w:color="auto"/>
        <w:bottom w:val="none" w:sz="0" w:space="0" w:color="auto"/>
        <w:right w:val="none" w:sz="0" w:space="0" w:color="auto"/>
      </w:divBdr>
    </w:div>
    <w:div w:id="1294403134">
      <w:bodyDiv w:val="1"/>
      <w:marLeft w:val="0"/>
      <w:marRight w:val="0"/>
      <w:marTop w:val="0"/>
      <w:marBottom w:val="0"/>
      <w:divBdr>
        <w:top w:val="none" w:sz="0" w:space="0" w:color="auto"/>
        <w:left w:val="none" w:sz="0" w:space="0" w:color="auto"/>
        <w:bottom w:val="none" w:sz="0" w:space="0" w:color="auto"/>
        <w:right w:val="none" w:sz="0" w:space="0" w:color="auto"/>
      </w:divBdr>
    </w:div>
    <w:div w:id="1361469362">
      <w:bodyDiv w:val="1"/>
      <w:marLeft w:val="0"/>
      <w:marRight w:val="0"/>
      <w:marTop w:val="0"/>
      <w:marBottom w:val="0"/>
      <w:divBdr>
        <w:top w:val="none" w:sz="0" w:space="0" w:color="auto"/>
        <w:left w:val="none" w:sz="0" w:space="0" w:color="auto"/>
        <w:bottom w:val="none" w:sz="0" w:space="0" w:color="auto"/>
        <w:right w:val="none" w:sz="0" w:space="0" w:color="auto"/>
      </w:divBdr>
    </w:div>
    <w:div w:id="1673754329">
      <w:bodyDiv w:val="1"/>
      <w:marLeft w:val="0"/>
      <w:marRight w:val="0"/>
      <w:marTop w:val="0"/>
      <w:marBottom w:val="0"/>
      <w:divBdr>
        <w:top w:val="none" w:sz="0" w:space="0" w:color="auto"/>
        <w:left w:val="none" w:sz="0" w:space="0" w:color="auto"/>
        <w:bottom w:val="none" w:sz="0" w:space="0" w:color="auto"/>
        <w:right w:val="none" w:sz="0" w:space="0" w:color="auto"/>
      </w:divBdr>
    </w:div>
    <w:div w:id="17244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FFEB1-C96B-40D8-8E16-5CA53F92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34422</CharactersWithSpaces>
  <SharedDoc>false</SharedDoc>
  <HLinks>
    <vt:vector size="6" baseType="variant">
      <vt:variant>
        <vt:i4>5963860</vt:i4>
      </vt:variant>
      <vt:variant>
        <vt:i4>0</vt:i4>
      </vt:variant>
      <vt:variant>
        <vt:i4>0</vt:i4>
      </vt:variant>
      <vt:variant>
        <vt:i4>5</vt:i4>
      </vt:variant>
      <vt:variant>
        <vt:lpwstr>https://www.dol.gov/sites/dolgov/files/EBSA/laws-and-regulations/rules-and-regulations/technical-appendices/labor-cost-inputs-used-in-ebsa-opr-ria-and-pra-burden-calculations-june-2019.pdf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ridgwayc</dc:creator>
  <cp:keywords/>
  <cp:lastModifiedBy>Khan, Mariam - EBSA</cp:lastModifiedBy>
  <cp:revision>3</cp:revision>
  <cp:lastPrinted>2016-05-10T15:11:00Z</cp:lastPrinted>
  <dcterms:created xsi:type="dcterms:W3CDTF">2020-04-22T13:43:00Z</dcterms:created>
  <dcterms:modified xsi:type="dcterms:W3CDTF">2020-04-22T13:45:00Z</dcterms:modified>
</cp:coreProperties>
</file>