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5011" w:rsidR="00D33C4C" w:rsidP="00D55011" w:rsidRDefault="00D33C4C" w14:paraId="69ABCB61" w14:textId="5AAE5E40">
      <w:pPr>
        <w:pStyle w:val="Heading1"/>
        <w:keepNext w:val="0"/>
        <w:widowControl/>
        <w:rPr>
          <w:b w:val="0"/>
          <w:bCs w:val="0"/>
          <w:szCs w:val="24"/>
        </w:rPr>
      </w:pPr>
      <w:bookmarkStart w:name="_GoBack" w:id="0"/>
      <w:bookmarkEnd w:id="0"/>
      <w:r w:rsidRPr="00D55011">
        <w:rPr>
          <w:b w:val="0"/>
          <w:bCs w:val="0"/>
          <w:szCs w:val="24"/>
        </w:rPr>
        <w:t xml:space="preserve">SUPPORTING STATEMENT FOR PAPERWORK REDUCTION ACT </w:t>
      </w:r>
      <w:r w:rsidRPr="00D55011" w:rsidR="006E6CEF">
        <w:rPr>
          <w:b w:val="0"/>
          <w:bCs w:val="0"/>
          <w:szCs w:val="24"/>
        </w:rPr>
        <w:t xml:space="preserve">OF </w:t>
      </w:r>
      <w:r w:rsidRPr="00D55011">
        <w:rPr>
          <w:b w:val="0"/>
          <w:bCs w:val="0"/>
          <w:szCs w:val="24"/>
        </w:rPr>
        <w:t>1995 SUBMISSIONS</w:t>
      </w:r>
    </w:p>
    <w:p w:rsidR="00D33C4C" w:rsidP="00D55011" w:rsidRDefault="00D33C4C" w14:paraId="7EA62692" w14:textId="77777777">
      <w:pPr>
        <w:widowControl/>
        <w:ind w:left="720"/>
        <w:rPr>
          <w:b w:val="0"/>
          <w:bCs w:val="0"/>
          <w:sz w:val="24"/>
          <w:szCs w:val="24"/>
        </w:rPr>
      </w:pPr>
    </w:p>
    <w:p w:rsidR="00381C42" w:rsidP="00B43518" w:rsidRDefault="00033A89" w14:paraId="16DAE42B" w14:textId="20077886">
      <w:pPr>
        <w:widowControl/>
        <w:rPr>
          <w:b w:val="0"/>
          <w:bCs w:val="0"/>
          <w:sz w:val="24"/>
          <w:szCs w:val="24"/>
        </w:rPr>
      </w:pPr>
      <w:r w:rsidRPr="00033A89">
        <w:rPr>
          <w:b w:val="0"/>
          <w:color w:val="000000" w:themeColor="text1"/>
          <w:sz w:val="24"/>
          <w:szCs w:val="24"/>
        </w:rPr>
        <w:t>This ICR seeks to revise the Consent to Receive Employee Benefit Plan Disclosures Electronically reflecting an increase in the number of notices sent electronically due to the Department’s finalized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rsidRPr="00D55011" w:rsidR="00381C42" w:rsidP="00D55011" w:rsidRDefault="00381C42" w14:paraId="667011E5" w14:textId="77777777">
      <w:pPr>
        <w:widowControl/>
        <w:ind w:left="720"/>
        <w:rPr>
          <w:b w:val="0"/>
          <w:bCs w:val="0"/>
          <w:sz w:val="24"/>
          <w:szCs w:val="24"/>
        </w:rPr>
      </w:pPr>
    </w:p>
    <w:p w:rsidRPr="00D55011" w:rsidR="00D33C4C" w:rsidP="00D55011" w:rsidRDefault="00D33C4C" w14:paraId="746B7AF2" w14:textId="77777777">
      <w:pPr>
        <w:pStyle w:val="ListParagraph"/>
        <w:widowControl/>
        <w:numPr>
          <w:ilvl w:val="0"/>
          <w:numId w:val="7"/>
        </w:numPr>
        <w:ind w:hanging="720"/>
        <w:outlineLvl w:val="0"/>
        <w:rPr>
          <w:b w:val="0"/>
          <w:bCs w:val="0"/>
          <w:sz w:val="24"/>
          <w:szCs w:val="24"/>
        </w:rPr>
      </w:pPr>
      <w:r w:rsidRPr="00D55011">
        <w:rPr>
          <w:b w:val="0"/>
          <w:bCs w:val="0"/>
          <w:sz w:val="24"/>
          <w:szCs w:val="24"/>
        </w:rPr>
        <w:t>Justification</w:t>
      </w:r>
    </w:p>
    <w:p w:rsidRPr="00D55011" w:rsidR="00D33C4C" w:rsidP="00D55011" w:rsidRDefault="00D33C4C" w14:paraId="5A588050" w14:textId="77777777">
      <w:pPr>
        <w:widowControl/>
        <w:ind w:left="720"/>
        <w:rPr>
          <w:b w:val="0"/>
          <w:bCs w:val="0"/>
          <w:sz w:val="24"/>
          <w:szCs w:val="24"/>
        </w:rPr>
      </w:pPr>
    </w:p>
    <w:p w:rsidRPr="00D55011" w:rsidR="00D33C4C" w:rsidP="00D55011" w:rsidRDefault="00D33C4C" w14:paraId="103F5435" w14:textId="77777777">
      <w:pPr>
        <w:pStyle w:val="Quick1"/>
        <w:widowControl/>
        <w:numPr>
          <w:ilvl w:val="0"/>
          <w:numId w:val="1"/>
        </w:numPr>
        <w:tabs>
          <w:tab w:val="left" w:pos="-1440"/>
          <w:tab w:val="num" w:pos="720"/>
        </w:tabs>
        <w:rPr>
          <w:b w:val="0"/>
          <w:bCs w:val="0"/>
          <w:i/>
          <w:iCs/>
          <w:sz w:val="24"/>
          <w:szCs w:val="24"/>
        </w:rPr>
      </w:pPr>
      <w:r w:rsidRPr="00D55011">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55011" w:rsidR="00D33C4C" w:rsidP="00D55011" w:rsidRDefault="00D33C4C" w14:paraId="688E323E" w14:textId="77777777">
      <w:pPr>
        <w:pStyle w:val="Quick1"/>
        <w:widowControl/>
        <w:numPr>
          <w:ilvl w:val="0"/>
          <w:numId w:val="0"/>
        </w:numPr>
        <w:tabs>
          <w:tab w:val="left" w:pos="-1440"/>
        </w:tabs>
        <w:ind w:left="720"/>
        <w:rPr>
          <w:b w:val="0"/>
          <w:bCs w:val="0"/>
          <w:i/>
          <w:iCs/>
          <w:sz w:val="24"/>
          <w:szCs w:val="24"/>
        </w:rPr>
      </w:pPr>
    </w:p>
    <w:p w:rsidRPr="00D55011" w:rsidR="00D33C4C" w:rsidP="00D55011" w:rsidRDefault="00D33C4C" w14:paraId="322A6F2F" w14:textId="77777777">
      <w:pPr>
        <w:pStyle w:val="Quick1"/>
        <w:widowControl/>
        <w:numPr>
          <w:ilvl w:val="0"/>
          <w:numId w:val="0"/>
        </w:numPr>
        <w:tabs>
          <w:tab w:val="left" w:pos="-1440"/>
        </w:tabs>
        <w:ind w:left="720"/>
        <w:rPr>
          <w:b w:val="0"/>
          <w:bCs w:val="0"/>
          <w:sz w:val="24"/>
          <w:szCs w:val="24"/>
        </w:rPr>
      </w:pPr>
      <w:r w:rsidRPr="00D55011">
        <w:rPr>
          <w:b w:val="0"/>
          <w:bCs w:val="0"/>
          <w:sz w:val="24"/>
          <w:szCs w:val="24"/>
        </w:rPr>
        <w:t>Pursuant to section 1510(a) of the Taxpayer Relief Act of 1997 (TRA ’97), the Secretary of Labor and the Secretary of the Treasury were directed to issue guidance designed to interpret the notice, election, consent, disclosure, time requirements, and related recordkeeping requirements of the Employee Retirement Income Security Act of 1974 (ERISA) and the Internal Revenue Code, respectively, as applied to the use of new technologies by sponsors and administrators of retirement plans.</w:t>
      </w:r>
    </w:p>
    <w:p w:rsidRPr="00D55011" w:rsidR="00D33C4C" w:rsidP="00D55011" w:rsidRDefault="00D33C4C" w14:paraId="20F81ED1" w14:textId="77777777">
      <w:pPr>
        <w:pStyle w:val="Quick1"/>
        <w:widowControl/>
        <w:numPr>
          <w:ilvl w:val="0"/>
          <w:numId w:val="0"/>
        </w:numPr>
        <w:tabs>
          <w:tab w:val="left" w:pos="-1440"/>
        </w:tabs>
        <w:ind w:left="720"/>
        <w:rPr>
          <w:b w:val="0"/>
          <w:bCs w:val="0"/>
          <w:sz w:val="24"/>
          <w:szCs w:val="24"/>
        </w:rPr>
      </w:pPr>
    </w:p>
    <w:p w:rsidRPr="00D55011" w:rsidR="00D33C4C" w:rsidP="00D55011" w:rsidRDefault="00D33C4C" w14:paraId="69C2E900" w14:textId="77777777">
      <w:pPr>
        <w:pStyle w:val="Quick1"/>
        <w:widowControl/>
        <w:numPr>
          <w:ilvl w:val="0"/>
          <w:numId w:val="0"/>
        </w:numPr>
        <w:tabs>
          <w:tab w:val="left" w:pos="-1440"/>
        </w:tabs>
        <w:ind w:left="720"/>
        <w:rPr>
          <w:b w:val="0"/>
          <w:bCs w:val="0"/>
          <w:sz w:val="24"/>
          <w:szCs w:val="24"/>
        </w:rPr>
      </w:pPr>
      <w:r w:rsidRPr="00D55011">
        <w:rPr>
          <w:b w:val="0"/>
          <w:bCs w:val="0"/>
          <w:sz w:val="24"/>
          <w:szCs w:val="24"/>
        </w:rPr>
        <w:t xml:space="preserve">While electronic disclosure was not precluded by existing regulations, the Department </w:t>
      </w:r>
      <w:r w:rsidRPr="00D55011" w:rsidR="00785826">
        <w:rPr>
          <w:b w:val="0"/>
          <w:bCs w:val="0"/>
          <w:sz w:val="24"/>
          <w:szCs w:val="24"/>
        </w:rPr>
        <w:t xml:space="preserve">of Labor (the Department) </w:t>
      </w:r>
      <w:r w:rsidRPr="00D55011">
        <w:rPr>
          <w:b w:val="0"/>
          <w:bCs w:val="0"/>
          <w:sz w:val="24"/>
          <w:szCs w:val="24"/>
        </w:rPr>
        <w:t>had not previously issued guidance with respect to electronic delivery of disclosure documents.  On January 28, 1999, the Department published a notice of proposed rulemaking on electronic disclosure and recordkeeping issues (64 FR 4506).  Where</w:t>
      </w:r>
      <w:r w:rsidRPr="00D55011" w:rsidR="00785826">
        <w:rPr>
          <w:b w:val="0"/>
          <w:bCs w:val="0"/>
          <w:sz w:val="24"/>
          <w:szCs w:val="24"/>
        </w:rPr>
        <w:t>,</w:t>
      </w:r>
      <w:r w:rsidRPr="00D55011">
        <w:rPr>
          <w:b w:val="0"/>
          <w:bCs w:val="0"/>
          <w:sz w:val="24"/>
          <w:szCs w:val="24"/>
        </w:rPr>
        <w:t xml:space="preserve"> previously</w:t>
      </w:r>
      <w:r w:rsidRPr="00D55011" w:rsidR="00785826">
        <w:rPr>
          <w:b w:val="0"/>
          <w:bCs w:val="0"/>
          <w:sz w:val="24"/>
          <w:szCs w:val="24"/>
        </w:rPr>
        <w:t>,</w:t>
      </w:r>
      <w:r w:rsidRPr="00D55011">
        <w:rPr>
          <w:b w:val="0"/>
          <w:bCs w:val="0"/>
          <w:sz w:val="24"/>
          <w:szCs w:val="24"/>
        </w:rPr>
        <w:t xml:space="preserve"> only group health plans had specifically been provided with a safe harbor for electronic disclosure, the proposal expanded the use of electronic disclosure to include all pension and welfare benefit plans covered by Title I of ERISA.  In addition, the proposal added summary annual reports to the list of disclosure documents included in the safe harbor provisions.</w:t>
      </w:r>
    </w:p>
    <w:p w:rsidRPr="00D55011" w:rsidR="00D33C4C" w:rsidP="00D55011" w:rsidRDefault="00D33C4C" w14:paraId="7571A43A" w14:textId="77777777">
      <w:pPr>
        <w:pStyle w:val="Quick1"/>
        <w:widowControl/>
        <w:numPr>
          <w:ilvl w:val="0"/>
          <w:numId w:val="0"/>
        </w:numPr>
        <w:tabs>
          <w:tab w:val="left" w:pos="-1440"/>
        </w:tabs>
        <w:ind w:left="720"/>
        <w:rPr>
          <w:b w:val="0"/>
          <w:bCs w:val="0"/>
          <w:sz w:val="24"/>
          <w:szCs w:val="24"/>
        </w:rPr>
      </w:pPr>
    </w:p>
    <w:p w:rsidRPr="00D55011" w:rsidR="00D33C4C" w:rsidP="00D55011" w:rsidRDefault="00D33C4C" w14:paraId="23B62F3F" w14:textId="77777777">
      <w:pPr>
        <w:pStyle w:val="Quick1"/>
        <w:widowControl/>
        <w:numPr>
          <w:ilvl w:val="0"/>
          <w:numId w:val="0"/>
        </w:numPr>
        <w:tabs>
          <w:tab w:val="left" w:pos="-1440"/>
        </w:tabs>
        <w:ind w:left="720"/>
        <w:rPr>
          <w:b w:val="0"/>
          <w:bCs w:val="0"/>
          <w:sz w:val="24"/>
          <w:szCs w:val="24"/>
        </w:rPr>
      </w:pPr>
      <w:r w:rsidRPr="00D55011">
        <w:rPr>
          <w:b w:val="0"/>
          <w:bCs w:val="0"/>
          <w:sz w:val="24"/>
          <w:szCs w:val="24"/>
        </w:rPr>
        <w:t>On April 9, 2002, the Department published a notice of final rulemaking on electronic disclosure and recordkeeping issues (67 FR 17264)</w:t>
      </w:r>
      <w:r w:rsidRPr="00D55011" w:rsidR="00941844">
        <w:rPr>
          <w:b w:val="0"/>
          <w:bCs w:val="0"/>
          <w:sz w:val="24"/>
          <w:szCs w:val="24"/>
        </w:rPr>
        <w:t xml:space="preserve"> to establish a “safe harbor” for the use of electronic media to satisfy the general furnishing requirement</w:t>
      </w:r>
      <w:r w:rsidRPr="00D55011">
        <w:rPr>
          <w:b w:val="0"/>
          <w:bCs w:val="0"/>
          <w:sz w:val="24"/>
          <w:szCs w:val="24"/>
        </w:rPr>
        <w:t xml:space="preserve">.  Based on public comments, the final regulation expanded the list of disclosures addressed by the safe harbor to disclosures under Title I generally.  The final regulation also provided for the receipt of required disclosures at locations other than the workplace.  For those participants and beneficiaries offered the opportunity and wishing to receive disclosures via electronic information systems outside the workplace, the final regulation required advance affirmative consent on the part of the recipient.  This requirement is incorporated </w:t>
      </w:r>
      <w:r w:rsidRPr="00D55011">
        <w:rPr>
          <w:b w:val="0"/>
          <w:bCs w:val="0"/>
          <w:sz w:val="24"/>
          <w:szCs w:val="24"/>
        </w:rPr>
        <w:lastRenderedPageBreak/>
        <w:t>at 29 CFR 2520.104b-1(c)(2)(ii)(A), (B), and (C).  Prior to consenting, the plan administrator must provide a participant or beneficiary with a clear and conspicuous statement indicating:  the types of documents to which the consent would apply; that consent may be withdrawn at any time; the procedures for withdrawing consent and updating necessary information; the right to obtain a paper copy</w:t>
      </w:r>
      <w:r w:rsidRPr="00D55011" w:rsidR="00941844">
        <w:rPr>
          <w:b w:val="0"/>
          <w:bCs w:val="0"/>
          <w:sz w:val="24"/>
          <w:szCs w:val="24"/>
        </w:rPr>
        <w:t xml:space="preserve"> free of charge</w:t>
      </w:r>
      <w:r w:rsidRPr="00D55011">
        <w:rPr>
          <w:b w:val="0"/>
          <w:bCs w:val="0"/>
          <w:sz w:val="24"/>
          <w:szCs w:val="24"/>
        </w:rPr>
        <w:t xml:space="preserve">; and any hardware and software requirements. </w:t>
      </w:r>
    </w:p>
    <w:p w:rsidRPr="00D55011" w:rsidR="00D33C4C" w:rsidP="00D55011" w:rsidRDefault="00D33C4C" w14:paraId="1F3F4633" w14:textId="77777777">
      <w:pPr>
        <w:pStyle w:val="Quick1"/>
        <w:widowControl/>
        <w:numPr>
          <w:ilvl w:val="0"/>
          <w:numId w:val="0"/>
        </w:numPr>
        <w:tabs>
          <w:tab w:val="left" w:pos="-1440"/>
        </w:tabs>
        <w:ind w:left="720"/>
        <w:rPr>
          <w:b w:val="0"/>
          <w:bCs w:val="0"/>
          <w:sz w:val="24"/>
          <w:szCs w:val="24"/>
        </w:rPr>
      </w:pPr>
    </w:p>
    <w:p w:rsidRPr="00D55011" w:rsidR="00D33C4C" w:rsidP="00D55011" w:rsidRDefault="00D33C4C" w14:paraId="5974E2D9" w14:textId="77777777">
      <w:pPr>
        <w:pStyle w:val="Quick1"/>
        <w:widowControl/>
        <w:numPr>
          <w:ilvl w:val="0"/>
          <w:numId w:val="0"/>
        </w:numPr>
        <w:tabs>
          <w:tab w:val="left" w:pos="-1440"/>
        </w:tabs>
        <w:ind w:left="720"/>
        <w:rPr>
          <w:b w:val="0"/>
          <w:bCs w:val="0"/>
          <w:sz w:val="24"/>
          <w:szCs w:val="24"/>
        </w:rPr>
      </w:pPr>
      <w:r w:rsidRPr="00D55011">
        <w:rPr>
          <w:b w:val="0"/>
          <w:bCs w:val="0"/>
          <w:sz w:val="24"/>
          <w:szCs w:val="24"/>
        </w:rPr>
        <w:t>The final regulations under 29 CFR 2520.104b-1 and 2520.107-1 do not affect the substantive disclosure provisions of Title I and related regulations.  These regulations provide guidance on the circumstances in which the substantive requirements will be deemed met when electronic technologies are used.</w:t>
      </w:r>
    </w:p>
    <w:p w:rsidRPr="00D55011" w:rsidR="00D33C4C" w:rsidP="00D55011" w:rsidRDefault="00D33C4C" w14:paraId="742F943E" w14:textId="77777777">
      <w:pPr>
        <w:pStyle w:val="Quick1"/>
        <w:widowControl/>
        <w:numPr>
          <w:ilvl w:val="0"/>
          <w:numId w:val="0"/>
        </w:numPr>
        <w:tabs>
          <w:tab w:val="left" w:pos="-1440"/>
        </w:tabs>
        <w:ind w:left="720"/>
        <w:rPr>
          <w:b w:val="0"/>
          <w:bCs w:val="0"/>
          <w:sz w:val="24"/>
          <w:szCs w:val="24"/>
        </w:rPr>
      </w:pPr>
    </w:p>
    <w:p w:rsidR="00381C42" w:rsidP="00D55011" w:rsidRDefault="00381C42" w14:paraId="60570090" w14:textId="77777777">
      <w:pPr>
        <w:pStyle w:val="Quick1"/>
        <w:widowControl/>
        <w:numPr>
          <w:ilvl w:val="0"/>
          <w:numId w:val="0"/>
        </w:numPr>
        <w:tabs>
          <w:tab w:val="left" w:pos="-1440"/>
        </w:tabs>
        <w:ind w:left="720"/>
        <w:rPr>
          <w:b w:val="0"/>
          <w:bCs w:val="0"/>
          <w:sz w:val="24"/>
          <w:szCs w:val="24"/>
        </w:rPr>
      </w:pPr>
    </w:p>
    <w:p w:rsidRPr="002D73D8" w:rsidR="00381C42" w:rsidP="00381C42" w:rsidRDefault="00381C42" w14:paraId="04BD7FD7" w14:textId="59A76493">
      <w:pPr>
        <w:spacing w:line="276" w:lineRule="auto"/>
        <w:ind w:firstLine="720"/>
        <w:rPr>
          <w:b w:val="0"/>
          <w:sz w:val="24"/>
          <w:szCs w:val="24"/>
          <w:u w:val="single"/>
        </w:rPr>
      </w:pPr>
      <w:r w:rsidRPr="002D73D8">
        <w:rPr>
          <w:b w:val="0"/>
          <w:sz w:val="24"/>
          <w:szCs w:val="24"/>
          <w:u w:val="single"/>
        </w:rPr>
        <w:t xml:space="preserve">2019 </w:t>
      </w:r>
      <w:r w:rsidR="00804334">
        <w:rPr>
          <w:b w:val="0"/>
          <w:sz w:val="24"/>
          <w:szCs w:val="24"/>
          <w:u w:val="single"/>
        </w:rPr>
        <w:t>Final</w:t>
      </w:r>
      <w:r w:rsidRPr="002D73D8" w:rsidR="00804334">
        <w:rPr>
          <w:b w:val="0"/>
          <w:sz w:val="24"/>
          <w:szCs w:val="24"/>
          <w:u w:val="single"/>
        </w:rPr>
        <w:t xml:space="preserve"> </w:t>
      </w:r>
      <w:r w:rsidRPr="002D73D8">
        <w:rPr>
          <w:b w:val="0"/>
          <w:sz w:val="24"/>
          <w:szCs w:val="24"/>
          <w:u w:val="single"/>
        </w:rPr>
        <w:t>E-Disclosure Rule</w:t>
      </w:r>
    </w:p>
    <w:p w:rsidRPr="002D73D8" w:rsidR="00381C42" w:rsidP="00381C42" w:rsidRDefault="00381C42" w14:paraId="74DE0151" w14:textId="77777777">
      <w:pPr>
        <w:spacing w:line="276" w:lineRule="auto"/>
        <w:ind w:firstLine="720"/>
        <w:rPr>
          <w:b w:val="0"/>
          <w:sz w:val="24"/>
          <w:szCs w:val="24"/>
        </w:rPr>
      </w:pPr>
    </w:p>
    <w:p w:rsidR="009E0937" w:rsidP="00DC20FB" w:rsidRDefault="009E0937" w14:paraId="03E572B2" w14:textId="3B2536AE">
      <w:pPr>
        <w:autoSpaceDE/>
        <w:ind w:left="720"/>
        <w:rPr>
          <w:b w:val="0"/>
          <w:sz w:val="24"/>
          <w:szCs w:val="24"/>
        </w:rPr>
      </w:pPr>
      <w:r w:rsidRPr="009E0937">
        <w:rPr>
          <w:b w:val="0"/>
          <w:sz w:val="24"/>
          <w:szCs w:val="24"/>
        </w:rPr>
        <w:t xml:space="preserve">The </w:t>
      </w:r>
      <w:r>
        <w:rPr>
          <w:b w:val="0"/>
          <w:sz w:val="24"/>
          <w:szCs w:val="24"/>
        </w:rPr>
        <w:t xml:space="preserve">Department is issuing a </w:t>
      </w:r>
      <w:r w:rsidR="00B05027">
        <w:rPr>
          <w:b w:val="0"/>
          <w:sz w:val="24"/>
          <w:szCs w:val="24"/>
        </w:rPr>
        <w:t>final</w:t>
      </w:r>
      <w:r w:rsidRPr="009E0937" w:rsidR="00B05027">
        <w:rPr>
          <w:b w:val="0"/>
          <w:sz w:val="24"/>
          <w:szCs w:val="24"/>
        </w:rPr>
        <w:t xml:space="preserve"> </w:t>
      </w:r>
      <w:r w:rsidRPr="009E0937">
        <w:rPr>
          <w:b w:val="0"/>
          <w:sz w:val="24"/>
          <w:szCs w:val="24"/>
        </w:rPr>
        <w:t>rule provid</w:t>
      </w:r>
      <w:r>
        <w:rPr>
          <w:b w:val="0"/>
          <w:sz w:val="24"/>
          <w:szCs w:val="24"/>
        </w:rPr>
        <w:t xml:space="preserve">ing </w:t>
      </w:r>
      <w:r w:rsidRPr="009E0937">
        <w:rPr>
          <w:b w:val="0"/>
          <w:sz w:val="24"/>
          <w:szCs w:val="24"/>
        </w:rPr>
        <w:t>a new safe harbor for plan administrators who wish to satisfy ERISA’s delivery requirements for retirement plan documents by posting them on a website and notifying workers of the online availability of such documents.  The preamble to the proposal include</w:t>
      </w:r>
      <w:r w:rsidR="00AD7E7D">
        <w:rPr>
          <w:b w:val="0"/>
          <w:sz w:val="24"/>
          <w:szCs w:val="24"/>
        </w:rPr>
        <w:t>d</w:t>
      </w:r>
      <w:r w:rsidRPr="009E0937">
        <w:rPr>
          <w:b w:val="0"/>
          <w:sz w:val="24"/>
          <w:szCs w:val="24"/>
        </w:rPr>
        <w:t xml:space="preserve">, in a separate section, a request for information </w:t>
      </w:r>
      <w:r>
        <w:rPr>
          <w:b w:val="0"/>
          <w:sz w:val="24"/>
          <w:szCs w:val="24"/>
        </w:rPr>
        <w:t xml:space="preserve">(RFI) </w:t>
      </w:r>
      <w:r w:rsidRPr="009E0937">
        <w:rPr>
          <w:b w:val="0"/>
          <w:sz w:val="24"/>
          <w:szCs w:val="24"/>
        </w:rPr>
        <w:t xml:space="preserve">about whether, and how, any additional changes to the design, delivery, and content of ERISA disclosures could further improve their effectiveness.  The </w:t>
      </w:r>
      <w:r w:rsidR="00AD7E7D">
        <w:rPr>
          <w:b w:val="0"/>
          <w:sz w:val="24"/>
          <w:szCs w:val="24"/>
        </w:rPr>
        <w:t>final rule</w:t>
      </w:r>
      <w:r w:rsidRPr="009E0937">
        <w:rPr>
          <w:b w:val="0"/>
          <w:sz w:val="24"/>
          <w:szCs w:val="24"/>
        </w:rPr>
        <w:t xml:space="preserve"> respond</w:t>
      </w:r>
      <w:r w:rsidR="00AD7E7D">
        <w:rPr>
          <w:b w:val="0"/>
          <w:sz w:val="24"/>
          <w:szCs w:val="24"/>
        </w:rPr>
        <w:t>s</w:t>
      </w:r>
      <w:r w:rsidRPr="009E0937">
        <w:rPr>
          <w:b w:val="0"/>
          <w:sz w:val="24"/>
          <w:szCs w:val="24"/>
        </w:rPr>
        <w:t xml:space="preserve"> to Executive Order 13847, Strengthening Retirement Security in America, in which the Secretary of Labor is directed to explore the potential for broader use of electronic delivery as a way to improve the effectiveness of retirement documents and to reduce the costs and burdens they impose on employers and other plan fiduciaries responsible for their production and distribution.</w:t>
      </w:r>
    </w:p>
    <w:p w:rsidR="009E0937" w:rsidP="00DC20FB" w:rsidRDefault="009E0937" w14:paraId="146DCA4B" w14:textId="77777777">
      <w:pPr>
        <w:autoSpaceDE/>
        <w:ind w:left="720"/>
        <w:rPr>
          <w:b w:val="0"/>
          <w:sz w:val="24"/>
          <w:szCs w:val="24"/>
        </w:rPr>
      </w:pPr>
    </w:p>
    <w:p w:rsidRPr="002D73D8" w:rsidR="00DC20FB" w:rsidP="00DC20FB" w:rsidRDefault="00DC20FB" w14:paraId="52F6587E" w14:textId="77777777">
      <w:pPr>
        <w:autoSpaceDE/>
        <w:ind w:left="720"/>
        <w:rPr>
          <w:b w:val="0"/>
          <w:bCs w:val="0"/>
          <w:sz w:val="24"/>
          <w:szCs w:val="24"/>
        </w:rPr>
      </w:pPr>
      <w:r w:rsidRPr="002D73D8">
        <w:rPr>
          <w:b w:val="0"/>
          <w:sz w:val="24"/>
          <w:szCs w:val="24"/>
        </w:rPr>
        <w:t xml:space="preserve">In order to use the safe harbor, retirement plan administrators must: </w:t>
      </w:r>
    </w:p>
    <w:p w:rsidRPr="002D73D8" w:rsidR="00DC20FB" w:rsidP="00DC20FB" w:rsidRDefault="00DC20FB" w14:paraId="4FADAAEC" w14:textId="77777777">
      <w:pPr>
        <w:autoSpaceDE/>
        <w:ind w:left="720"/>
        <w:rPr>
          <w:b w:val="0"/>
          <w:sz w:val="24"/>
          <w:szCs w:val="24"/>
        </w:rPr>
      </w:pPr>
    </w:p>
    <w:p w:rsidRPr="002D73D8" w:rsidR="00DC20FB" w:rsidP="00DC20FB" w:rsidRDefault="00DC20FB" w14:paraId="5482EEB5" w14:textId="597E97B9">
      <w:pPr>
        <w:widowControl/>
        <w:numPr>
          <w:ilvl w:val="0"/>
          <w:numId w:val="10"/>
        </w:numPr>
        <w:autoSpaceDE/>
        <w:adjustRightInd/>
        <w:spacing w:after="160"/>
        <w:contextualSpacing/>
        <w:rPr>
          <w:b w:val="0"/>
          <w:sz w:val="24"/>
          <w:szCs w:val="24"/>
        </w:rPr>
      </w:pPr>
      <w:r w:rsidRPr="002D73D8">
        <w:rPr>
          <w:b w:val="0"/>
          <w:sz w:val="24"/>
          <w:szCs w:val="24"/>
        </w:rPr>
        <w:t xml:space="preserve">Furnish covered individuals with a notice of internet availability delivered to their electronic addresses, for example to the covered </w:t>
      </w:r>
      <w:r w:rsidRPr="00DC20FB">
        <w:rPr>
          <w:b w:val="0"/>
          <w:sz w:val="24"/>
          <w:szCs w:val="24"/>
        </w:rPr>
        <w:t>individual’s email</w:t>
      </w:r>
      <w:r w:rsidRPr="002D73D8">
        <w:rPr>
          <w:b w:val="0"/>
          <w:sz w:val="24"/>
          <w:szCs w:val="24"/>
        </w:rPr>
        <w:t xml:space="preserve"> address. The notice must include, among other things, a brief description of the document being posted online, a website address where the document is posted, and instructions for requesting a free paper copy or electing paper delivery in the future. It must sen</w:t>
      </w:r>
      <w:r w:rsidR="00AD7E7D">
        <w:rPr>
          <w:b w:val="0"/>
          <w:sz w:val="24"/>
          <w:szCs w:val="24"/>
        </w:rPr>
        <w:t xml:space="preserve">d </w:t>
      </w:r>
      <w:r w:rsidRPr="002D73D8">
        <w:rPr>
          <w:b w:val="0"/>
          <w:sz w:val="24"/>
          <w:szCs w:val="24"/>
        </w:rPr>
        <w:t xml:space="preserve">each time a retirement plan disclosure is posted to the internet website.  To prevent “email overload,” the </w:t>
      </w:r>
      <w:r w:rsidR="00AD7E7D">
        <w:rPr>
          <w:b w:val="0"/>
          <w:sz w:val="24"/>
          <w:szCs w:val="24"/>
        </w:rPr>
        <w:t>final rule</w:t>
      </w:r>
      <w:r w:rsidRPr="002D73D8" w:rsidR="00AD7E7D">
        <w:rPr>
          <w:b w:val="0"/>
          <w:sz w:val="24"/>
          <w:szCs w:val="24"/>
        </w:rPr>
        <w:t xml:space="preserve"> </w:t>
      </w:r>
      <w:r w:rsidRPr="002D73D8">
        <w:rPr>
          <w:b w:val="0"/>
          <w:sz w:val="24"/>
          <w:szCs w:val="24"/>
        </w:rPr>
        <w:t xml:space="preserve">allows a notice of internet availability to incorporate or combine other notices of internet availability in limited </w:t>
      </w:r>
      <w:r w:rsidRPr="00DC20FB">
        <w:rPr>
          <w:b w:val="0"/>
          <w:sz w:val="24"/>
          <w:szCs w:val="24"/>
        </w:rPr>
        <w:t xml:space="preserve">circumstances. </w:t>
      </w:r>
    </w:p>
    <w:p w:rsidRPr="002D73D8" w:rsidR="00DC20FB" w:rsidP="00DC20FB" w:rsidRDefault="00DC20FB" w14:paraId="3E0C80D4" w14:textId="77777777">
      <w:pPr>
        <w:pStyle w:val="ListParagraph"/>
        <w:widowControl/>
        <w:numPr>
          <w:ilvl w:val="0"/>
          <w:numId w:val="10"/>
        </w:numPr>
        <w:autoSpaceDE/>
        <w:adjustRightInd/>
        <w:spacing w:after="160"/>
        <w:rPr>
          <w:b w:val="0"/>
          <w:sz w:val="24"/>
          <w:szCs w:val="24"/>
        </w:rPr>
      </w:pPr>
      <w:r w:rsidRPr="002D73D8">
        <w:rPr>
          <w:b w:val="0"/>
          <w:sz w:val="24"/>
          <w:szCs w:val="24"/>
        </w:rPr>
        <w:t xml:space="preserve">Furnish covered individuals, free of charge, with a paper copy of a covered document, as soon as possible after receiving the covered individual’s request (2520.104b-31(f)(1)).  </w:t>
      </w:r>
    </w:p>
    <w:p w:rsidRPr="002D73D8" w:rsidR="00DC20FB" w:rsidP="00DC20FB" w:rsidRDefault="00DC20FB" w14:paraId="00B70E26" w14:textId="77777777">
      <w:pPr>
        <w:pStyle w:val="ListParagraph"/>
        <w:rPr>
          <w:b w:val="0"/>
          <w:sz w:val="24"/>
          <w:szCs w:val="24"/>
        </w:rPr>
      </w:pPr>
    </w:p>
    <w:p w:rsidRPr="002D73D8" w:rsidR="00DC20FB" w:rsidP="00DC20FB" w:rsidRDefault="00DC20FB" w14:paraId="09A68613" w14:textId="77777777">
      <w:pPr>
        <w:pStyle w:val="ListParagraph"/>
        <w:widowControl/>
        <w:numPr>
          <w:ilvl w:val="0"/>
          <w:numId w:val="10"/>
        </w:numPr>
        <w:autoSpaceDE/>
        <w:adjustRightInd/>
        <w:spacing w:after="160"/>
        <w:rPr>
          <w:b w:val="0"/>
          <w:sz w:val="24"/>
          <w:szCs w:val="24"/>
        </w:rPr>
      </w:pPr>
      <w:r w:rsidRPr="002D73D8">
        <w:rPr>
          <w:b w:val="0"/>
          <w:sz w:val="24"/>
          <w:szCs w:val="24"/>
        </w:rPr>
        <w:lastRenderedPageBreak/>
        <w:t>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rsidRPr="00D55011" w:rsidR="00381C42" w:rsidP="00D55011" w:rsidRDefault="00381C42" w14:paraId="54723835" w14:textId="77777777">
      <w:pPr>
        <w:pStyle w:val="Quick1"/>
        <w:widowControl/>
        <w:numPr>
          <w:ilvl w:val="0"/>
          <w:numId w:val="0"/>
        </w:numPr>
        <w:tabs>
          <w:tab w:val="left" w:pos="-1440"/>
        </w:tabs>
        <w:ind w:left="720"/>
        <w:rPr>
          <w:b w:val="0"/>
          <w:bCs w:val="0"/>
          <w:sz w:val="24"/>
          <w:szCs w:val="24"/>
        </w:rPr>
      </w:pPr>
    </w:p>
    <w:p w:rsidRPr="00D55011" w:rsidR="00D33C4C" w:rsidP="00D55011" w:rsidRDefault="00D33C4C" w14:paraId="3CE31C2A" w14:textId="77777777">
      <w:pPr>
        <w:pStyle w:val="Quick1"/>
        <w:widowControl/>
        <w:numPr>
          <w:ilvl w:val="0"/>
          <w:numId w:val="0"/>
        </w:numPr>
        <w:tabs>
          <w:tab w:val="left" w:pos="-1440"/>
        </w:tabs>
        <w:ind w:left="720"/>
        <w:rPr>
          <w:b w:val="0"/>
          <w:bCs w:val="0"/>
          <w:sz w:val="24"/>
          <w:szCs w:val="24"/>
        </w:rPr>
      </w:pPr>
    </w:p>
    <w:p w:rsidRPr="00D55011" w:rsidR="00D33C4C" w:rsidP="00D55011" w:rsidRDefault="00D33C4C" w14:paraId="6FBC3D63" w14:textId="77777777">
      <w:pPr>
        <w:pStyle w:val="Quick1"/>
        <w:widowControl/>
        <w:numPr>
          <w:ilvl w:val="0"/>
          <w:numId w:val="0"/>
        </w:numPr>
        <w:tabs>
          <w:tab w:val="left" w:pos="-1440"/>
        </w:tabs>
        <w:ind w:left="720" w:hanging="720"/>
        <w:rPr>
          <w:b w:val="0"/>
          <w:bCs w:val="0"/>
          <w:i/>
          <w:sz w:val="24"/>
          <w:szCs w:val="24"/>
        </w:rPr>
      </w:pPr>
      <w:r w:rsidRPr="00D55011">
        <w:rPr>
          <w:b w:val="0"/>
          <w:bCs w:val="0"/>
          <w:sz w:val="24"/>
          <w:szCs w:val="24"/>
        </w:rPr>
        <w:t>2.</w:t>
      </w:r>
      <w:r w:rsidRPr="00D55011">
        <w:rPr>
          <w:b w:val="0"/>
          <w:bCs w:val="0"/>
          <w:sz w:val="24"/>
          <w:szCs w:val="24"/>
        </w:rPr>
        <w:tab/>
      </w:r>
      <w:r w:rsidRPr="00D55011">
        <w:rPr>
          <w:b w:val="0"/>
          <w:bCs w:val="0"/>
          <w:i/>
          <w:iCs/>
          <w:sz w:val="24"/>
          <w:szCs w:val="24"/>
        </w:rPr>
        <w:t>Indicate how, by whom, and for what purpose the information is to be used.  Except for a new collection, indicate the actual use the agency has made of the information received from the current collection.</w:t>
      </w:r>
    </w:p>
    <w:p w:rsidRPr="00D55011" w:rsidR="00D33C4C" w:rsidP="00D55011" w:rsidRDefault="00D33C4C" w14:paraId="238BFFC5" w14:textId="77777777">
      <w:pPr>
        <w:pStyle w:val="Quick1"/>
        <w:widowControl/>
        <w:numPr>
          <w:ilvl w:val="0"/>
          <w:numId w:val="0"/>
        </w:numPr>
        <w:ind w:left="720"/>
        <w:rPr>
          <w:b w:val="0"/>
          <w:bCs w:val="0"/>
          <w:sz w:val="24"/>
          <w:szCs w:val="24"/>
        </w:rPr>
      </w:pPr>
    </w:p>
    <w:p w:rsidR="00D33C4C" w:rsidP="00D55011" w:rsidRDefault="00D33C4C" w14:paraId="4CDFE555" w14:textId="77777777">
      <w:pPr>
        <w:pStyle w:val="Quick1"/>
        <w:widowControl/>
        <w:numPr>
          <w:ilvl w:val="0"/>
          <w:numId w:val="0"/>
        </w:numPr>
        <w:ind w:left="720"/>
        <w:rPr>
          <w:b w:val="0"/>
          <w:bCs w:val="0"/>
          <w:sz w:val="24"/>
          <w:szCs w:val="24"/>
        </w:rPr>
      </w:pPr>
      <w:r w:rsidRPr="00D55011">
        <w:rPr>
          <w:b w:val="0"/>
          <w:bCs w:val="0"/>
          <w:sz w:val="24"/>
          <w:szCs w:val="24"/>
        </w:rPr>
        <w:t>The information is a third party disclosure.  The consent serves to demonstrate to the plan administrator that an individual has the ability to access information in the electronic form that will be used for disclosure purposes.  Such confirmation will ensure the compatibility of the hardware and software between the individual and the plan, and will also serve to demonstrate that the administrator has taken appropriate and necessary measures reasonably calculated to ensure that the system for furnishing documents results in actual receipt, as required under ERISA.  Lastly, where applicable, the consent provides a means for the individual to provide the plan with the correct e-mail address to facilitate the efficiencies that may arise from the use of electronic technologies where appropriate.</w:t>
      </w:r>
    </w:p>
    <w:p w:rsidR="00B619AD" w:rsidP="00D55011" w:rsidRDefault="00B619AD" w14:paraId="446DD3A2" w14:textId="77777777">
      <w:pPr>
        <w:pStyle w:val="Quick1"/>
        <w:widowControl/>
        <w:numPr>
          <w:ilvl w:val="0"/>
          <w:numId w:val="0"/>
        </w:numPr>
        <w:ind w:left="720"/>
        <w:rPr>
          <w:b w:val="0"/>
          <w:bCs w:val="0"/>
          <w:sz w:val="24"/>
          <w:szCs w:val="24"/>
        </w:rPr>
      </w:pPr>
    </w:p>
    <w:p w:rsidRPr="002D73D8" w:rsidR="00B619AD" w:rsidP="00B619AD" w:rsidRDefault="009E0937" w14:paraId="445CBAF4" w14:textId="688F74F0">
      <w:pPr>
        <w:spacing w:line="276" w:lineRule="auto"/>
        <w:ind w:firstLine="720"/>
        <w:rPr>
          <w:b w:val="0"/>
          <w:sz w:val="24"/>
          <w:szCs w:val="24"/>
          <w:u w:val="single"/>
        </w:rPr>
      </w:pPr>
      <w:r>
        <w:rPr>
          <w:b w:val="0"/>
          <w:sz w:val="24"/>
          <w:szCs w:val="24"/>
          <w:u w:val="single"/>
        </w:rPr>
        <w:t>2019</w:t>
      </w:r>
      <w:r w:rsidR="00F56FAC">
        <w:rPr>
          <w:b w:val="0"/>
          <w:sz w:val="24"/>
          <w:szCs w:val="24"/>
          <w:u w:val="single"/>
        </w:rPr>
        <w:t xml:space="preserve"> </w:t>
      </w:r>
      <w:r w:rsidR="00927467">
        <w:rPr>
          <w:b w:val="0"/>
          <w:sz w:val="24"/>
          <w:szCs w:val="24"/>
          <w:u w:val="single"/>
        </w:rPr>
        <w:t>Final</w:t>
      </w:r>
      <w:r w:rsidRPr="002D73D8" w:rsidR="00927467">
        <w:rPr>
          <w:b w:val="0"/>
          <w:sz w:val="24"/>
          <w:szCs w:val="24"/>
          <w:u w:val="single"/>
        </w:rPr>
        <w:t xml:space="preserve"> </w:t>
      </w:r>
      <w:r w:rsidRPr="002D73D8" w:rsidR="00B619AD">
        <w:rPr>
          <w:b w:val="0"/>
          <w:sz w:val="24"/>
          <w:szCs w:val="24"/>
          <w:u w:val="single"/>
        </w:rPr>
        <w:t xml:space="preserve">Rule </w:t>
      </w:r>
    </w:p>
    <w:p w:rsidR="00215336" w:rsidP="002D73D8" w:rsidRDefault="00215336" w14:paraId="347CF8F6" w14:textId="77777777">
      <w:pPr>
        <w:widowControl/>
        <w:autoSpaceDE/>
        <w:autoSpaceDN/>
        <w:adjustRightInd/>
        <w:spacing w:line="276" w:lineRule="auto"/>
        <w:ind w:left="720"/>
        <w:rPr>
          <w:b w:val="0"/>
          <w:sz w:val="24"/>
          <w:szCs w:val="24"/>
        </w:rPr>
      </w:pPr>
    </w:p>
    <w:p w:rsidRPr="002D73D8" w:rsidR="00B619AD" w:rsidP="002D73D8" w:rsidRDefault="00B619AD" w14:paraId="3967B26F" w14:textId="62EF95C7">
      <w:pPr>
        <w:widowControl/>
        <w:autoSpaceDE/>
        <w:autoSpaceDN/>
        <w:adjustRightInd/>
        <w:spacing w:line="276" w:lineRule="auto"/>
        <w:ind w:left="720"/>
        <w:rPr>
          <w:b w:val="0"/>
          <w:sz w:val="24"/>
          <w:szCs w:val="24"/>
        </w:rPr>
      </w:pPr>
      <w:r w:rsidRPr="002D73D8">
        <w:rPr>
          <w:b w:val="0"/>
          <w:sz w:val="24"/>
          <w:szCs w:val="24"/>
        </w:rPr>
        <w:t xml:space="preserve">Retirement plan administrators </w:t>
      </w:r>
      <w:r w:rsidR="009E0937">
        <w:rPr>
          <w:b w:val="0"/>
          <w:sz w:val="24"/>
          <w:szCs w:val="24"/>
        </w:rPr>
        <w:t>may</w:t>
      </w:r>
      <w:r w:rsidRPr="002D73D8">
        <w:rPr>
          <w:b w:val="0"/>
          <w:sz w:val="24"/>
          <w:szCs w:val="24"/>
        </w:rPr>
        <w:t xml:space="preserve"> satisfy their obligation to furnish ERISA-required disclosures </w:t>
      </w:r>
      <w:r w:rsidR="009E0937">
        <w:rPr>
          <w:b w:val="0"/>
          <w:sz w:val="24"/>
          <w:szCs w:val="24"/>
        </w:rPr>
        <w:t>by</w:t>
      </w:r>
      <w:r w:rsidRPr="00B619AD">
        <w:rPr>
          <w:b w:val="0"/>
          <w:sz w:val="24"/>
          <w:szCs w:val="24"/>
        </w:rPr>
        <w:t xml:space="preserve"> mak</w:t>
      </w:r>
      <w:r w:rsidR="009E0937">
        <w:rPr>
          <w:b w:val="0"/>
          <w:sz w:val="24"/>
          <w:szCs w:val="24"/>
        </w:rPr>
        <w:t>ing</w:t>
      </w:r>
      <w:r w:rsidRPr="002D73D8">
        <w:rPr>
          <w:b w:val="0"/>
          <w:sz w:val="24"/>
          <w:szCs w:val="24"/>
        </w:rPr>
        <w:t xml:space="preserve"> the information accessible online</w:t>
      </w:r>
      <w:r w:rsidR="009E0937">
        <w:rPr>
          <w:b w:val="0"/>
          <w:sz w:val="24"/>
          <w:szCs w:val="24"/>
        </w:rPr>
        <w:t xml:space="preserve"> and furnishing</w:t>
      </w:r>
      <w:r w:rsidRPr="002D73D8">
        <w:rPr>
          <w:b w:val="0"/>
          <w:sz w:val="24"/>
          <w:szCs w:val="24"/>
        </w:rPr>
        <w:t xml:space="preserve"> a notice of internet availability of these disclosures</w:t>
      </w:r>
      <w:r w:rsidR="009E0937">
        <w:rPr>
          <w:b w:val="0"/>
          <w:sz w:val="24"/>
          <w:szCs w:val="24"/>
        </w:rPr>
        <w:t xml:space="preserve"> to covered individuals</w:t>
      </w:r>
      <w:r w:rsidRPr="002D73D8">
        <w:rPr>
          <w:b w:val="0"/>
          <w:sz w:val="24"/>
          <w:szCs w:val="24"/>
        </w:rPr>
        <w:t xml:space="preserve">.  </w:t>
      </w:r>
      <w:r>
        <w:rPr>
          <w:b w:val="0"/>
          <w:sz w:val="24"/>
          <w:szCs w:val="24"/>
        </w:rPr>
        <w:t>The</w:t>
      </w:r>
      <w:r w:rsidRPr="002D73D8">
        <w:rPr>
          <w:b w:val="0"/>
          <w:sz w:val="24"/>
          <w:szCs w:val="24"/>
        </w:rPr>
        <w:t xml:space="preserve"> notice of internet availability </w:t>
      </w:r>
      <w:r w:rsidR="009E0937">
        <w:rPr>
          <w:b w:val="0"/>
          <w:sz w:val="24"/>
          <w:szCs w:val="24"/>
        </w:rPr>
        <w:t>must</w:t>
      </w:r>
      <w:r>
        <w:rPr>
          <w:b w:val="0"/>
          <w:sz w:val="24"/>
          <w:szCs w:val="24"/>
        </w:rPr>
        <w:t xml:space="preserve"> b</w:t>
      </w:r>
      <w:r w:rsidRPr="002D73D8">
        <w:rPr>
          <w:b w:val="0"/>
          <w:sz w:val="24"/>
          <w:szCs w:val="24"/>
        </w:rPr>
        <w:t>e sent to the electronic address of the participant, for example to the participant’s email address</w:t>
      </w:r>
      <w:r w:rsidR="009E0937">
        <w:rPr>
          <w:b w:val="0"/>
          <w:sz w:val="24"/>
          <w:szCs w:val="24"/>
        </w:rPr>
        <w:t xml:space="preserve"> and </w:t>
      </w:r>
      <w:r w:rsidRPr="002D73D8">
        <w:rPr>
          <w:b w:val="0"/>
          <w:sz w:val="24"/>
          <w:szCs w:val="24"/>
        </w:rPr>
        <w:t xml:space="preserve"> include, among other things, a brief description of the document being posted online, a website address where the document is posted, and instructions for requesting a free paper copy or electing paper delivery in the future. It must </w:t>
      </w:r>
      <w:r>
        <w:rPr>
          <w:b w:val="0"/>
          <w:sz w:val="24"/>
          <w:szCs w:val="24"/>
        </w:rPr>
        <w:t xml:space="preserve">be </w:t>
      </w:r>
      <w:r w:rsidRPr="002D73D8">
        <w:rPr>
          <w:b w:val="0"/>
          <w:sz w:val="24"/>
          <w:szCs w:val="24"/>
        </w:rPr>
        <w:t xml:space="preserve">sent each time a retirement plan disclosure is posted to the internet website.  To prevent “email overload,” the </w:t>
      </w:r>
      <w:r w:rsidR="00DF23DD">
        <w:rPr>
          <w:b w:val="0"/>
          <w:sz w:val="24"/>
          <w:szCs w:val="24"/>
        </w:rPr>
        <w:t>final rule</w:t>
      </w:r>
      <w:r w:rsidRPr="002D73D8">
        <w:rPr>
          <w:b w:val="0"/>
          <w:sz w:val="24"/>
          <w:szCs w:val="24"/>
        </w:rPr>
        <w:t xml:space="preserve"> allows a notice of internet availability to incorporate or combine other notices of internet availability in limited circumstances. </w:t>
      </w:r>
    </w:p>
    <w:p w:rsidRPr="00D55011" w:rsidR="00B619AD" w:rsidP="00D55011" w:rsidRDefault="00B619AD" w14:paraId="5A352796" w14:textId="77777777">
      <w:pPr>
        <w:pStyle w:val="Quick1"/>
        <w:widowControl/>
        <w:numPr>
          <w:ilvl w:val="0"/>
          <w:numId w:val="0"/>
        </w:numPr>
        <w:ind w:left="720"/>
        <w:rPr>
          <w:b w:val="0"/>
          <w:bCs w:val="0"/>
          <w:sz w:val="24"/>
          <w:szCs w:val="24"/>
        </w:rPr>
      </w:pPr>
    </w:p>
    <w:p w:rsidRPr="00D55011" w:rsidR="00D33C4C" w:rsidP="00D55011" w:rsidRDefault="00D33C4C" w14:paraId="443C8879" w14:textId="77777777">
      <w:pPr>
        <w:widowControl/>
        <w:ind w:left="720"/>
        <w:rPr>
          <w:b w:val="0"/>
          <w:bCs w:val="0"/>
          <w:sz w:val="24"/>
          <w:szCs w:val="24"/>
        </w:rPr>
      </w:pPr>
    </w:p>
    <w:p w:rsidRPr="00D55011" w:rsidR="00D33C4C" w:rsidP="00D55011" w:rsidRDefault="00D33C4C" w14:paraId="614C61C5" w14:textId="77777777">
      <w:pPr>
        <w:pStyle w:val="Quick1"/>
        <w:widowControl/>
        <w:numPr>
          <w:ilvl w:val="0"/>
          <w:numId w:val="3"/>
        </w:numPr>
        <w:rPr>
          <w:b w:val="0"/>
          <w:bCs w:val="0"/>
          <w:i/>
          <w:iCs/>
          <w:sz w:val="24"/>
          <w:szCs w:val="24"/>
        </w:rPr>
      </w:pPr>
      <w:r w:rsidRPr="00D55011">
        <w:rPr>
          <w:b w:val="0"/>
          <w:bCs w:val="0"/>
          <w:i/>
          <w:iCs/>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D55011" w:rsidR="00D33C4C" w:rsidP="00D55011" w:rsidRDefault="00D33C4C" w14:paraId="4A4FBE46" w14:textId="77777777">
      <w:pPr>
        <w:pStyle w:val="Quick1"/>
        <w:widowControl/>
        <w:numPr>
          <w:ilvl w:val="0"/>
          <w:numId w:val="0"/>
        </w:numPr>
        <w:ind w:left="720"/>
        <w:rPr>
          <w:b w:val="0"/>
          <w:bCs w:val="0"/>
          <w:sz w:val="24"/>
          <w:szCs w:val="24"/>
        </w:rPr>
      </w:pPr>
    </w:p>
    <w:p w:rsidR="00D33C4C" w:rsidP="00D55011" w:rsidRDefault="00D33C4C" w14:paraId="704358FF" w14:textId="77777777">
      <w:pPr>
        <w:pStyle w:val="BodyTextIndent"/>
        <w:tabs>
          <w:tab w:val="clear" w:pos="-1440"/>
        </w:tabs>
        <w:rPr>
          <w:b w:val="0"/>
          <w:bCs w:val="0"/>
          <w:szCs w:val="24"/>
        </w:rPr>
      </w:pPr>
      <w:r w:rsidRPr="00D55011">
        <w:rPr>
          <w:b w:val="0"/>
          <w:bCs w:val="0"/>
          <w:szCs w:val="24"/>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Pr="00D55011" w:rsidR="00E96269">
        <w:rPr>
          <w:b w:val="0"/>
          <w:bCs w:val="0"/>
          <w:szCs w:val="24"/>
        </w:rPr>
        <w:t>ubject to specific safeguards.</w:t>
      </w:r>
    </w:p>
    <w:p w:rsidR="00A211C9" w:rsidP="00D55011" w:rsidRDefault="00A211C9" w14:paraId="62BA191C" w14:textId="77777777">
      <w:pPr>
        <w:pStyle w:val="BodyTextIndent"/>
        <w:tabs>
          <w:tab w:val="clear" w:pos="-1440"/>
        </w:tabs>
        <w:rPr>
          <w:b w:val="0"/>
          <w:bCs w:val="0"/>
          <w:szCs w:val="24"/>
        </w:rPr>
      </w:pPr>
    </w:p>
    <w:p w:rsidRPr="002D73D8" w:rsidR="00A211C9" w:rsidP="00A211C9" w:rsidRDefault="00A211C9" w14:paraId="1862255C" w14:textId="1C51CD0F">
      <w:pPr>
        <w:spacing w:line="276" w:lineRule="auto"/>
        <w:ind w:firstLine="720"/>
        <w:rPr>
          <w:b w:val="0"/>
          <w:sz w:val="24"/>
          <w:szCs w:val="24"/>
          <w:u w:val="single"/>
        </w:rPr>
      </w:pPr>
      <w:r w:rsidRPr="002D73D8">
        <w:rPr>
          <w:b w:val="0"/>
          <w:sz w:val="24"/>
          <w:szCs w:val="24"/>
          <w:u w:val="single"/>
        </w:rPr>
        <w:t xml:space="preserve">2019 </w:t>
      </w:r>
      <w:r w:rsidR="000E5503">
        <w:rPr>
          <w:b w:val="0"/>
          <w:sz w:val="24"/>
          <w:szCs w:val="24"/>
          <w:u w:val="single"/>
        </w:rPr>
        <w:t>Final</w:t>
      </w:r>
      <w:r w:rsidRPr="002D73D8" w:rsidR="000E5503">
        <w:rPr>
          <w:b w:val="0"/>
          <w:sz w:val="24"/>
          <w:szCs w:val="24"/>
          <w:u w:val="single"/>
        </w:rPr>
        <w:t xml:space="preserve"> </w:t>
      </w:r>
      <w:r w:rsidRPr="002D73D8">
        <w:rPr>
          <w:b w:val="0"/>
          <w:sz w:val="24"/>
          <w:szCs w:val="24"/>
          <w:u w:val="single"/>
        </w:rPr>
        <w:t>E-Disclosure Rule</w:t>
      </w:r>
    </w:p>
    <w:p w:rsidRPr="00D363FE" w:rsidR="00A211C9" w:rsidP="00A211C9" w:rsidRDefault="00A211C9" w14:paraId="083FFA44" w14:textId="77777777">
      <w:pPr>
        <w:spacing w:line="276" w:lineRule="auto"/>
        <w:ind w:firstLine="720"/>
        <w:rPr>
          <w:b w:val="0"/>
          <w:sz w:val="24"/>
          <w:szCs w:val="24"/>
        </w:rPr>
      </w:pPr>
    </w:p>
    <w:p w:rsidRPr="00D55011" w:rsidR="00A211C9" w:rsidP="00A211C9" w:rsidRDefault="00A211C9" w14:paraId="1970ACE4" w14:textId="73C27D0F">
      <w:pPr>
        <w:pStyle w:val="BodyTextIndent"/>
        <w:tabs>
          <w:tab w:val="clear" w:pos="-1440"/>
        </w:tabs>
        <w:rPr>
          <w:b w:val="0"/>
          <w:bCs w:val="0"/>
          <w:szCs w:val="24"/>
        </w:rPr>
      </w:pPr>
      <w:r w:rsidRPr="00D363FE">
        <w:rPr>
          <w:b w:val="0"/>
          <w:szCs w:val="24"/>
        </w:rPr>
        <w:t xml:space="preserve">The </w:t>
      </w:r>
      <w:r w:rsidR="00DF23DD">
        <w:rPr>
          <w:b w:val="0"/>
          <w:szCs w:val="24"/>
        </w:rPr>
        <w:t>final rule</w:t>
      </w:r>
      <w:r w:rsidRPr="00D363FE">
        <w:rPr>
          <w:b w:val="0"/>
          <w:szCs w:val="24"/>
        </w:rPr>
        <w:t xml:space="preserve"> would allow plan administrators who satisfy specified conditions to provide </w:t>
      </w:r>
      <w:r w:rsidR="00215336">
        <w:rPr>
          <w:b w:val="0"/>
          <w:szCs w:val="24"/>
        </w:rPr>
        <w:t xml:space="preserve">covered individuals </w:t>
      </w:r>
      <w:r w:rsidRPr="00D363FE">
        <w:rPr>
          <w:b w:val="0"/>
          <w:szCs w:val="24"/>
        </w:rPr>
        <w:t xml:space="preserve">with a notice that </w:t>
      </w:r>
      <w:r w:rsidR="00215336">
        <w:rPr>
          <w:b w:val="0"/>
          <w:szCs w:val="24"/>
        </w:rPr>
        <w:t xml:space="preserve">required </w:t>
      </w:r>
      <w:r w:rsidRPr="00D363FE">
        <w:rPr>
          <w:b w:val="0"/>
          <w:szCs w:val="24"/>
        </w:rPr>
        <w:t>pension disclosures will be made available on a website. Individuals who prefer to receive disclosures on paper will be able to request paper copies and to opt out of electronic delivery entirely.</w:t>
      </w:r>
      <w:r>
        <w:rPr>
          <w:b w:val="0"/>
          <w:szCs w:val="24"/>
        </w:rPr>
        <w:t xml:space="preserve">  These changes reduce burden for pension plans by lowering the cost </w:t>
      </w:r>
      <w:r w:rsidR="009E0937">
        <w:rPr>
          <w:b w:val="0"/>
          <w:szCs w:val="24"/>
        </w:rPr>
        <w:t xml:space="preserve">to </w:t>
      </w:r>
      <w:r>
        <w:rPr>
          <w:b w:val="0"/>
          <w:szCs w:val="24"/>
        </w:rPr>
        <w:t>deliver required notices.</w:t>
      </w:r>
    </w:p>
    <w:p w:rsidRPr="00D55011" w:rsidR="00D33C4C" w:rsidP="00D55011" w:rsidRDefault="00D33C4C" w14:paraId="12A5646C" w14:textId="77777777">
      <w:pPr>
        <w:widowControl/>
        <w:ind w:left="720"/>
        <w:rPr>
          <w:b w:val="0"/>
          <w:bCs w:val="0"/>
          <w:iCs/>
          <w:sz w:val="24"/>
          <w:szCs w:val="24"/>
        </w:rPr>
      </w:pPr>
    </w:p>
    <w:p w:rsidRPr="00D55011" w:rsidR="00D33C4C" w:rsidP="00D55011" w:rsidRDefault="00D33C4C" w14:paraId="6E0A428C" w14:textId="77777777">
      <w:pPr>
        <w:widowControl/>
        <w:numPr>
          <w:ilvl w:val="0"/>
          <w:numId w:val="4"/>
        </w:numPr>
        <w:tabs>
          <w:tab w:val="left" w:pos="-1440"/>
        </w:tabs>
        <w:ind w:hanging="720"/>
        <w:rPr>
          <w:b w:val="0"/>
          <w:bCs w:val="0"/>
          <w:i/>
          <w:iCs/>
          <w:sz w:val="24"/>
          <w:szCs w:val="24"/>
        </w:rPr>
      </w:pPr>
      <w:r w:rsidRPr="00D55011">
        <w:rPr>
          <w:b w:val="0"/>
          <w:bCs w:val="0"/>
          <w:i/>
          <w:iCs/>
          <w:sz w:val="24"/>
          <w:szCs w:val="24"/>
        </w:rPr>
        <w:t>Describe efforts to identify duplication.  Show specifically why any similar information already available cannot be used or modified for use for the purposes described in Item 2 above.</w:t>
      </w:r>
    </w:p>
    <w:p w:rsidRPr="00D55011" w:rsidR="00D33C4C" w:rsidP="00D55011" w:rsidRDefault="00D33C4C" w14:paraId="1AA7E15C" w14:textId="77777777">
      <w:pPr>
        <w:widowControl/>
        <w:tabs>
          <w:tab w:val="left" w:pos="-1440"/>
        </w:tabs>
        <w:ind w:left="720"/>
        <w:rPr>
          <w:b w:val="0"/>
          <w:bCs w:val="0"/>
          <w:i/>
          <w:iCs/>
          <w:sz w:val="24"/>
          <w:szCs w:val="24"/>
        </w:rPr>
      </w:pPr>
    </w:p>
    <w:p w:rsidR="00D33C4C" w:rsidP="00D55011" w:rsidRDefault="00D33C4C" w14:paraId="357D3A7F" w14:textId="77777777">
      <w:pPr>
        <w:pStyle w:val="BodyTextIndent"/>
        <w:tabs>
          <w:tab w:val="clear" w:pos="-1440"/>
        </w:tabs>
        <w:rPr>
          <w:b w:val="0"/>
          <w:bCs w:val="0"/>
          <w:szCs w:val="24"/>
        </w:rPr>
      </w:pPr>
      <w:bookmarkStart w:name="OLE_LINK1" w:id="1"/>
      <w:r w:rsidRPr="00D55011">
        <w:rPr>
          <w:b w:val="0"/>
          <w:bCs w:val="0"/>
          <w:szCs w:val="24"/>
        </w:rPr>
        <w:t>Under these rules, all pension and welfare plans covered under Title I of ERISA may use electronic media to satisfy disclosure and recordkeeping obligations, s</w:t>
      </w:r>
      <w:r w:rsidRPr="00D55011" w:rsidR="00E96269">
        <w:rPr>
          <w:b w:val="0"/>
          <w:bCs w:val="0"/>
          <w:szCs w:val="24"/>
        </w:rPr>
        <w:t>ubject to specific safeguards.</w:t>
      </w:r>
      <w:r w:rsidRPr="00BC4A97" w:rsidR="00BC4A97">
        <w:t xml:space="preserve"> </w:t>
      </w:r>
      <w:r w:rsidR="00BC4A97">
        <w:t xml:space="preserve"> </w:t>
      </w:r>
      <w:r w:rsidRPr="00BC4A97" w:rsidR="00BC4A97">
        <w:rPr>
          <w:b w:val="0"/>
          <w:bCs w:val="0"/>
          <w:szCs w:val="24"/>
        </w:rPr>
        <w:t xml:space="preserve">ERISA establishes the manner in which disclosures made through electronic media will be deemed to satisfy the statutory disclosure requirements and the standards concerning the use of electronic media for maintenance and retention of records. There are no other rules that facilitate the use of electronic media </w:t>
      </w:r>
      <w:r w:rsidR="00BC4A97">
        <w:rPr>
          <w:b w:val="0"/>
          <w:bCs w:val="0"/>
          <w:szCs w:val="24"/>
        </w:rPr>
        <w:t xml:space="preserve">for ERISA plans. </w:t>
      </w:r>
    </w:p>
    <w:p w:rsidR="0088365F" w:rsidP="00D55011" w:rsidRDefault="0088365F" w14:paraId="2039FD32" w14:textId="77777777">
      <w:pPr>
        <w:pStyle w:val="BodyTextIndent"/>
        <w:tabs>
          <w:tab w:val="clear" w:pos="-1440"/>
        </w:tabs>
        <w:rPr>
          <w:b w:val="0"/>
          <w:bCs w:val="0"/>
          <w:szCs w:val="24"/>
        </w:rPr>
      </w:pPr>
    </w:p>
    <w:p w:rsidRPr="00D55011" w:rsidR="0088365F" w:rsidP="00D55011" w:rsidRDefault="0088365F" w14:paraId="6BB31F95" w14:textId="07449E17">
      <w:pPr>
        <w:pStyle w:val="BodyTextIndent"/>
        <w:tabs>
          <w:tab w:val="clear" w:pos="-1440"/>
        </w:tabs>
        <w:rPr>
          <w:b w:val="0"/>
          <w:bCs w:val="0"/>
          <w:szCs w:val="24"/>
        </w:rPr>
      </w:pPr>
      <w:r w:rsidRPr="007925C3">
        <w:rPr>
          <w:b w:val="0"/>
          <w:szCs w:val="24"/>
        </w:rPr>
        <w:t xml:space="preserve">The framework of the </w:t>
      </w:r>
      <w:r w:rsidR="005D419D">
        <w:rPr>
          <w:b w:val="0"/>
          <w:szCs w:val="24"/>
        </w:rPr>
        <w:t>final</w:t>
      </w:r>
      <w:r w:rsidRPr="007925C3" w:rsidR="005D419D">
        <w:rPr>
          <w:b w:val="0"/>
          <w:szCs w:val="24"/>
        </w:rPr>
        <w:t xml:space="preserve"> </w:t>
      </w:r>
      <w:r w:rsidRPr="007925C3">
        <w:rPr>
          <w:b w:val="0"/>
          <w:szCs w:val="24"/>
        </w:rPr>
        <w:t>is similar to the approach the Securities and Exchange Commission takes for certain investor disclosures and also aligns with Internal Revenue Service rules about delivering retirement plan disclosures electronically.</w:t>
      </w:r>
    </w:p>
    <w:bookmarkEnd w:id="1"/>
    <w:p w:rsidRPr="00D55011" w:rsidR="00D33C4C" w:rsidP="00D55011" w:rsidRDefault="00D33C4C" w14:paraId="51CF8EB7" w14:textId="77777777">
      <w:pPr>
        <w:widowControl/>
        <w:tabs>
          <w:tab w:val="left" w:pos="-1440"/>
        </w:tabs>
        <w:ind w:left="720"/>
        <w:rPr>
          <w:b w:val="0"/>
          <w:bCs w:val="0"/>
          <w:sz w:val="24"/>
          <w:szCs w:val="24"/>
        </w:rPr>
      </w:pPr>
    </w:p>
    <w:p w:rsidRPr="00D55011" w:rsidR="00D33C4C" w:rsidP="00D55011" w:rsidRDefault="00D33C4C" w14:paraId="22A2D86D" w14:textId="77777777">
      <w:pPr>
        <w:widowControl/>
        <w:numPr>
          <w:ilvl w:val="0"/>
          <w:numId w:val="4"/>
        </w:numPr>
        <w:tabs>
          <w:tab w:val="left" w:pos="-1440"/>
        </w:tabs>
        <w:ind w:hanging="720"/>
        <w:rPr>
          <w:b w:val="0"/>
          <w:bCs w:val="0"/>
          <w:i/>
          <w:iCs/>
          <w:sz w:val="24"/>
          <w:szCs w:val="24"/>
        </w:rPr>
      </w:pPr>
      <w:r w:rsidRPr="00D55011">
        <w:rPr>
          <w:b w:val="0"/>
          <w:bCs w:val="0"/>
          <w:i/>
          <w:iCs/>
          <w:sz w:val="24"/>
          <w:szCs w:val="24"/>
        </w:rPr>
        <w:lastRenderedPageBreak/>
        <w:t>If the collection of information impacts small businesses or other small entities, describe any methods used to minimize burden.</w:t>
      </w:r>
    </w:p>
    <w:p w:rsidRPr="00D55011" w:rsidR="00D33C4C" w:rsidP="00D55011" w:rsidRDefault="00D33C4C" w14:paraId="5C558E2F" w14:textId="77777777">
      <w:pPr>
        <w:widowControl/>
        <w:tabs>
          <w:tab w:val="left" w:pos="-1440"/>
        </w:tabs>
        <w:ind w:left="720"/>
        <w:rPr>
          <w:b w:val="0"/>
          <w:bCs w:val="0"/>
          <w:i/>
          <w:iCs/>
          <w:sz w:val="24"/>
          <w:szCs w:val="24"/>
        </w:rPr>
      </w:pPr>
    </w:p>
    <w:p w:rsidRPr="00D55011" w:rsidR="00D33C4C" w:rsidP="00D55011" w:rsidRDefault="00D33C4C" w14:paraId="593C90F1" w14:textId="77777777">
      <w:pPr>
        <w:pStyle w:val="Quick1"/>
        <w:widowControl/>
        <w:numPr>
          <w:ilvl w:val="0"/>
          <w:numId w:val="0"/>
        </w:numPr>
        <w:ind w:left="720"/>
        <w:rPr>
          <w:b w:val="0"/>
          <w:bCs w:val="0"/>
          <w:sz w:val="24"/>
          <w:szCs w:val="24"/>
        </w:rPr>
      </w:pPr>
      <w:r w:rsidRPr="00D55011">
        <w:rPr>
          <w:b w:val="0"/>
          <w:bCs w:val="0"/>
          <w:sz w:val="24"/>
          <w:szCs w:val="24"/>
        </w:rPr>
        <w:t xml:space="preserve">A plan administrator that manages several plans is considered likely to develop a single consent that will satisfy the requirements for all plans.  In addition, because a majority of small plans use a service provider for recordkeeping and disclosure purposes, it is likely that the service provider will develop a consent </w:t>
      </w:r>
      <w:r w:rsidRPr="00D55011" w:rsidR="00785826">
        <w:rPr>
          <w:b w:val="0"/>
          <w:bCs w:val="0"/>
          <w:sz w:val="24"/>
          <w:szCs w:val="24"/>
        </w:rPr>
        <w:t xml:space="preserve">process </w:t>
      </w:r>
      <w:r w:rsidRPr="00D55011">
        <w:rPr>
          <w:b w:val="0"/>
          <w:bCs w:val="0"/>
          <w:sz w:val="24"/>
          <w:szCs w:val="24"/>
        </w:rPr>
        <w:t>for all plan clients, thereby minimizing the cost to small plans.  The final rule does not require any plan or other entity to make use of electronic media for disclosure or recordkeeping; if the plan administrator chooses to provide electronic disclosures, obtaining consent is a one-time occurrence.  Finally, much of the information</w:t>
      </w:r>
      <w:r w:rsidRPr="00D55011" w:rsidR="00D63299">
        <w:rPr>
          <w:b w:val="0"/>
          <w:bCs w:val="0"/>
          <w:sz w:val="24"/>
          <w:szCs w:val="24"/>
        </w:rPr>
        <w:t xml:space="preserve"> required</w:t>
      </w:r>
      <w:r w:rsidRPr="00D55011">
        <w:rPr>
          <w:b w:val="0"/>
          <w:bCs w:val="0"/>
          <w:sz w:val="24"/>
          <w:szCs w:val="24"/>
        </w:rPr>
        <w:t xml:space="preserve"> to be included as part of the consent process is specifically outlined in the provisions of the rule.  For the foregoing reasons, the Department believes that the rule will not have a significant impact on small plans.</w:t>
      </w:r>
    </w:p>
    <w:p w:rsidR="00D33C4C" w:rsidP="00D55011" w:rsidRDefault="00D33C4C" w14:paraId="03914EA9" w14:textId="77777777">
      <w:pPr>
        <w:pStyle w:val="Quick1"/>
        <w:widowControl/>
        <w:numPr>
          <w:ilvl w:val="0"/>
          <w:numId w:val="0"/>
        </w:numPr>
        <w:ind w:left="720"/>
        <w:rPr>
          <w:b w:val="0"/>
          <w:bCs w:val="0"/>
          <w:sz w:val="24"/>
          <w:szCs w:val="24"/>
        </w:rPr>
      </w:pPr>
    </w:p>
    <w:p w:rsidRPr="002D73D8" w:rsidR="00A211C9" w:rsidP="00A211C9" w:rsidRDefault="00A211C9" w14:paraId="78836C74" w14:textId="1FA4F129">
      <w:pPr>
        <w:spacing w:line="276" w:lineRule="auto"/>
        <w:ind w:firstLine="720"/>
        <w:rPr>
          <w:b w:val="0"/>
          <w:sz w:val="24"/>
          <w:szCs w:val="24"/>
          <w:u w:val="single"/>
        </w:rPr>
      </w:pPr>
      <w:r w:rsidRPr="002D73D8">
        <w:rPr>
          <w:b w:val="0"/>
          <w:sz w:val="24"/>
          <w:szCs w:val="24"/>
          <w:u w:val="single"/>
        </w:rPr>
        <w:t xml:space="preserve">2019 </w:t>
      </w:r>
      <w:r w:rsidR="00927467">
        <w:rPr>
          <w:b w:val="0"/>
          <w:sz w:val="24"/>
          <w:szCs w:val="24"/>
          <w:u w:val="single"/>
        </w:rPr>
        <w:t>Final</w:t>
      </w:r>
      <w:r w:rsidRPr="002D73D8" w:rsidR="00927467">
        <w:rPr>
          <w:b w:val="0"/>
          <w:sz w:val="24"/>
          <w:szCs w:val="24"/>
          <w:u w:val="single"/>
        </w:rPr>
        <w:t xml:space="preserve"> </w:t>
      </w:r>
      <w:r w:rsidRPr="002D73D8">
        <w:rPr>
          <w:b w:val="0"/>
          <w:sz w:val="24"/>
          <w:szCs w:val="24"/>
          <w:u w:val="single"/>
        </w:rPr>
        <w:t>E-Disclosure Rule</w:t>
      </w:r>
    </w:p>
    <w:p w:rsidRPr="00D363FE" w:rsidR="00A211C9" w:rsidP="002D73D8" w:rsidRDefault="00A211C9" w14:paraId="64E48DC8" w14:textId="15C46479">
      <w:pPr>
        <w:spacing w:line="276" w:lineRule="auto"/>
        <w:ind w:left="720"/>
        <w:rPr>
          <w:b w:val="0"/>
          <w:sz w:val="24"/>
          <w:szCs w:val="24"/>
        </w:rPr>
      </w:pPr>
      <w:r>
        <w:rPr>
          <w:b w:val="0"/>
          <w:sz w:val="24"/>
          <w:szCs w:val="24"/>
        </w:rPr>
        <w:t xml:space="preserve">The </w:t>
      </w:r>
      <w:r w:rsidR="005D419D">
        <w:rPr>
          <w:b w:val="0"/>
          <w:sz w:val="24"/>
          <w:szCs w:val="24"/>
        </w:rPr>
        <w:t xml:space="preserve">final </w:t>
      </w:r>
      <w:r>
        <w:rPr>
          <w:b w:val="0"/>
          <w:sz w:val="24"/>
          <w:szCs w:val="24"/>
        </w:rPr>
        <w:t xml:space="preserve">lowers costs for small businesses and small plans by reducing the costs </w:t>
      </w:r>
      <w:r w:rsidR="009E0937">
        <w:rPr>
          <w:b w:val="0"/>
          <w:sz w:val="24"/>
          <w:szCs w:val="24"/>
        </w:rPr>
        <w:t>to</w:t>
      </w:r>
      <w:r w:rsidR="00F56FAC">
        <w:rPr>
          <w:b w:val="0"/>
          <w:sz w:val="24"/>
          <w:szCs w:val="24"/>
        </w:rPr>
        <w:t xml:space="preserve"> </w:t>
      </w:r>
      <w:r>
        <w:rPr>
          <w:b w:val="0"/>
          <w:sz w:val="24"/>
          <w:szCs w:val="24"/>
        </w:rPr>
        <w:t>delivery required notices.</w:t>
      </w:r>
    </w:p>
    <w:p w:rsidRPr="00D363FE" w:rsidR="00A211C9" w:rsidP="00A211C9" w:rsidRDefault="00A211C9" w14:paraId="2F20245F" w14:textId="77777777">
      <w:pPr>
        <w:spacing w:line="276" w:lineRule="auto"/>
        <w:ind w:firstLine="720"/>
        <w:rPr>
          <w:b w:val="0"/>
          <w:sz w:val="24"/>
          <w:szCs w:val="24"/>
        </w:rPr>
      </w:pPr>
    </w:p>
    <w:p w:rsidRPr="00D55011" w:rsidR="00D33C4C" w:rsidP="00D55011" w:rsidRDefault="00D33C4C" w14:paraId="7F202DDE" w14:textId="77777777">
      <w:pPr>
        <w:widowControl/>
        <w:tabs>
          <w:tab w:val="left" w:pos="-1440"/>
        </w:tabs>
        <w:ind w:left="720" w:hanging="720"/>
        <w:rPr>
          <w:b w:val="0"/>
          <w:bCs w:val="0"/>
          <w:sz w:val="24"/>
          <w:szCs w:val="24"/>
        </w:rPr>
      </w:pPr>
      <w:r w:rsidRPr="00D55011">
        <w:rPr>
          <w:b w:val="0"/>
          <w:bCs w:val="0"/>
          <w:sz w:val="24"/>
          <w:szCs w:val="24"/>
        </w:rPr>
        <w:t>6.</w:t>
      </w:r>
      <w:r w:rsidRPr="00D55011">
        <w:rPr>
          <w:b w:val="0"/>
          <w:bCs w:val="0"/>
          <w:sz w:val="24"/>
          <w:szCs w:val="24"/>
        </w:rPr>
        <w:tab/>
      </w:r>
      <w:r w:rsidRPr="00D55011">
        <w:rPr>
          <w:b w:val="0"/>
          <w:bCs w:val="0"/>
          <w:i/>
          <w:iCs/>
          <w:sz w:val="24"/>
          <w:szCs w:val="24"/>
        </w:rPr>
        <w:t>Describe the consequence to Federal program or policy activities if the collection is not conducted or is conducted less frequently, as well as any technical or legal obstacles to reducing burden.</w:t>
      </w:r>
    </w:p>
    <w:p w:rsidRPr="00D55011" w:rsidR="00D33C4C" w:rsidP="00D55011" w:rsidRDefault="00D33C4C" w14:paraId="108CAA4B" w14:textId="77777777">
      <w:pPr>
        <w:widowControl/>
        <w:ind w:left="720"/>
        <w:rPr>
          <w:b w:val="0"/>
          <w:bCs w:val="0"/>
          <w:sz w:val="24"/>
          <w:szCs w:val="24"/>
        </w:rPr>
      </w:pPr>
    </w:p>
    <w:p w:rsidR="00D33C4C" w:rsidP="00D55011" w:rsidRDefault="00D33C4C" w14:paraId="7F6DB078" w14:textId="77777777">
      <w:pPr>
        <w:widowControl/>
        <w:ind w:left="720"/>
        <w:rPr>
          <w:b w:val="0"/>
          <w:bCs w:val="0"/>
          <w:sz w:val="24"/>
          <w:szCs w:val="24"/>
        </w:rPr>
      </w:pPr>
      <w:r w:rsidRPr="00D55011">
        <w:rPr>
          <w:b w:val="0"/>
          <w:bCs w:val="0"/>
          <w:sz w:val="24"/>
          <w:szCs w:val="24"/>
        </w:rPr>
        <w:t>The purpose of the consent is to ensure that participants and beneficiaries have agreed to receive disclosures about their employee benefit plan(s) by electronic means and, if the information is to be disseminated outside the workplace, that they have the necessary hardware and software for receiving the disclosures.  The general purpose is to ensure that electronic dissemination is likely to result in actual receipt, as required by ERISA.  Offering electronic disclosure methods, and acceptance by participants and beneficiaries, are entirely voluntary, and consent generally needs to be obtained once unless specifically enumerated changes occur subsequently.</w:t>
      </w:r>
    </w:p>
    <w:p w:rsidR="00A211C9" w:rsidP="00D55011" w:rsidRDefault="00A211C9" w14:paraId="2E17F8C3" w14:textId="77777777">
      <w:pPr>
        <w:widowControl/>
        <w:ind w:left="720"/>
        <w:rPr>
          <w:b w:val="0"/>
          <w:bCs w:val="0"/>
          <w:sz w:val="24"/>
          <w:szCs w:val="24"/>
        </w:rPr>
      </w:pPr>
    </w:p>
    <w:p w:rsidRPr="002D73D8" w:rsidR="00A211C9" w:rsidP="00D55011" w:rsidRDefault="00A211C9" w14:paraId="68AF0C68" w14:textId="2A4F40BD">
      <w:pPr>
        <w:widowControl/>
        <w:ind w:left="720"/>
        <w:rPr>
          <w:b w:val="0"/>
          <w:bCs w:val="0"/>
          <w:sz w:val="24"/>
          <w:szCs w:val="24"/>
          <w:u w:val="single"/>
        </w:rPr>
      </w:pPr>
      <w:r w:rsidRPr="002D73D8">
        <w:rPr>
          <w:b w:val="0"/>
          <w:bCs w:val="0"/>
          <w:sz w:val="24"/>
          <w:szCs w:val="24"/>
          <w:u w:val="single"/>
        </w:rPr>
        <w:t xml:space="preserve">2019 </w:t>
      </w:r>
      <w:r w:rsidR="00927467">
        <w:rPr>
          <w:b w:val="0"/>
          <w:bCs w:val="0"/>
          <w:sz w:val="24"/>
          <w:szCs w:val="24"/>
          <w:u w:val="single"/>
        </w:rPr>
        <w:t>Final</w:t>
      </w:r>
      <w:r w:rsidRPr="002D73D8">
        <w:rPr>
          <w:b w:val="0"/>
          <w:bCs w:val="0"/>
          <w:sz w:val="24"/>
          <w:szCs w:val="24"/>
          <w:u w:val="single"/>
        </w:rPr>
        <w:t xml:space="preserve"> E-Disclosure Rule</w:t>
      </w:r>
    </w:p>
    <w:p w:rsidRPr="00E4440A" w:rsidR="00E4440A" w:rsidP="00D55011" w:rsidRDefault="00E4440A" w14:paraId="1E7BDB22" w14:textId="3D7350C7">
      <w:pPr>
        <w:widowControl/>
        <w:ind w:left="720"/>
        <w:rPr>
          <w:b w:val="0"/>
          <w:bCs w:val="0"/>
          <w:sz w:val="24"/>
          <w:szCs w:val="24"/>
        </w:rPr>
      </w:pPr>
      <w:r>
        <w:rPr>
          <w:b w:val="0"/>
          <w:bCs w:val="0"/>
          <w:sz w:val="24"/>
          <w:szCs w:val="24"/>
        </w:rPr>
        <w:t xml:space="preserve">The </w:t>
      </w:r>
      <w:r w:rsidR="00832E49">
        <w:rPr>
          <w:b w:val="0"/>
          <w:bCs w:val="0"/>
          <w:sz w:val="24"/>
          <w:szCs w:val="24"/>
        </w:rPr>
        <w:t xml:space="preserve">final </w:t>
      </w:r>
      <w:r>
        <w:rPr>
          <w:b w:val="0"/>
          <w:bCs w:val="0"/>
          <w:sz w:val="24"/>
          <w:szCs w:val="24"/>
        </w:rPr>
        <w:t xml:space="preserve">rule removes legal obstacles to electronic disclosure allowing pension plans to provide disclosures on a website after notifying </w:t>
      </w:r>
      <w:r w:rsidR="009E0937">
        <w:rPr>
          <w:b w:val="0"/>
          <w:bCs w:val="0"/>
          <w:sz w:val="24"/>
          <w:szCs w:val="24"/>
        </w:rPr>
        <w:t xml:space="preserve">covered individuals </w:t>
      </w:r>
      <w:r>
        <w:rPr>
          <w:b w:val="0"/>
          <w:bCs w:val="0"/>
          <w:sz w:val="24"/>
          <w:szCs w:val="24"/>
        </w:rPr>
        <w:t xml:space="preserve"> of the availability of the disclosure </w:t>
      </w:r>
      <w:r w:rsidR="009E0937">
        <w:rPr>
          <w:b w:val="0"/>
          <w:bCs w:val="0"/>
          <w:sz w:val="24"/>
          <w:szCs w:val="24"/>
        </w:rPr>
        <w:t xml:space="preserve">and providing them with the opportunity </w:t>
      </w:r>
      <w:r>
        <w:rPr>
          <w:b w:val="0"/>
          <w:bCs w:val="0"/>
          <w:sz w:val="24"/>
          <w:szCs w:val="24"/>
        </w:rPr>
        <w:t xml:space="preserve"> to request paper disclosures.   </w:t>
      </w:r>
    </w:p>
    <w:p w:rsidRPr="00D55011" w:rsidR="00A211C9" w:rsidP="00D55011" w:rsidRDefault="00A211C9" w14:paraId="109269AB" w14:textId="77777777">
      <w:pPr>
        <w:widowControl/>
        <w:ind w:left="720"/>
        <w:rPr>
          <w:b w:val="0"/>
          <w:bCs w:val="0"/>
          <w:sz w:val="24"/>
          <w:szCs w:val="24"/>
        </w:rPr>
      </w:pPr>
    </w:p>
    <w:p w:rsidRPr="00D55011" w:rsidR="00D33C4C" w:rsidP="00D55011" w:rsidRDefault="00D33C4C" w14:paraId="5BEC6F14" w14:textId="77777777">
      <w:pPr>
        <w:widowControl/>
        <w:ind w:left="720"/>
        <w:rPr>
          <w:b w:val="0"/>
          <w:bCs w:val="0"/>
          <w:sz w:val="24"/>
          <w:szCs w:val="24"/>
        </w:rPr>
      </w:pPr>
    </w:p>
    <w:p w:rsidRPr="00D55011" w:rsidR="00D33C4C" w:rsidP="00D55011" w:rsidRDefault="00D33C4C" w14:paraId="186E47AE" w14:textId="77777777">
      <w:pPr>
        <w:widowControl/>
        <w:tabs>
          <w:tab w:val="left" w:pos="-1440"/>
        </w:tabs>
        <w:ind w:left="720" w:hanging="720"/>
        <w:rPr>
          <w:b w:val="0"/>
          <w:bCs w:val="0"/>
          <w:i/>
          <w:iCs/>
          <w:sz w:val="24"/>
          <w:szCs w:val="24"/>
        </w:rPr>
      </w:pPr>
      <w:r w:rsidRPr="00D55011">
        <w:rPr>
          <w:b w:val="0"/>
          <w:bCs w:val="0"/>
          <w:sz w:val="24"/>
          <w:szCs w:val="24"/>
        </w:rPr>
        <w:t>7.</w:t>
      </w:r>
      <w:r w:rsidRPr="00D55011">
        <w:rPr>
          <w:b w:val="0"/>
          <w:bCs w:val="0"/>
          <w:sz w:val="24"/>
          <w:szCs w:val="24"/>
        </w:rPr>
        <w:tab/>
      </w:r>
      <w:r w:rsidRPr="00D55011">
        <w:rPr>
          <w:b w:val="0"/>
          <w:bCs w:val="0"/>
          <w:i/>
          <w:iCs/>
          <w:sz w:val="24"/>
          <w:szCs w:val="24"/>
        </w:rPr>
        <w:t>Explain any special circumstances that would cause an information collection to be conducted in a manner:</w:t>
      </w:r>
    </w:p>
    <w:p w:rsidRPr="00D55011" w:rsidR="00D33C4C" w:rsidP="00D55011" w:rsidRDefault="00D33C4C" w14:paraId="59C0A9E3"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report information to the agency more often than quarterly;</w:t>
      </w:r>
    </w:p>
    <w:p w:rsidRPr="00D55011" w:rsidR="00D33C4C" w:rsidP="00D55011" w:rsidRDefault="00D33C4C" w14:paraId="4F4254D6" w14:textId="77777777">
      <w:pPr>
        <w:widowControl/>
        <w:numPr>
          <w:ilvl w:val="0"/>
          <w:numId w:val="5"/>
        </w:numPr>
        <w:tabs>
          <w:tab w:val="left" w:pos="-1440"/>
        </w:tabs>
        <w:ind w:hanging="720"/>
        <w:rPr>
          <w:b w:val="0"/>
          <w:bCs w:val="0"/>
          <w:i/>
          <w:iCs/>
          <w:sz w:val="24"/>
          <w:szCs w:val="24"/>
        </w:rPr>
      </w:pPr>
      <w:r w:rsidRPr="00D55011">
        <w:rPr>
          <w:b w:val="0"/>
          <w:bCs w:val="0"/>
          <w:i/>
          <w:iCs/>
          <w:sz w:val="24"/>
          <w:szCs w:val="24"/>
        </w:rPr>
        <w:lastRenderedPageBreak/>
        <w:t>requiring respondents to prepare a written response to a collection of information in fewer than 30 days after receipt of it;</w:t>
      </w:r>
    </w:p>
    <w:p w:rsidRPr="00D55011" w:rsidR="00D33C4C" w:rsidP="00D55011" w:rsidRDefault="00D33C4C" w14:paraId="3EBD7ABF"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submit more than an original and two copies of any document;</w:t>
      </w:r>
    </w:p>
    <w:p w:rsidRPr="00D55011" w:rsidR="00D33C4C" w:rsidP="00D55011" w:rsidRDefault="00D33C4C" w14:paraId="061AC589"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retain records, other than health, medical, government contract, grant-in-aid, or tax records for more than three years;</w:t>
      </w:r>
    </w:p>
    <w:p w:rsidRPr="00D55011" w:rsidR="00D33C4C" w:rsidP="00D55011" w:rsidRDefault="00D33C4C" w14:paraId="4C18CB92"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in connection with a statistical survey, that is not designed to produce valid and reliable results that can be generalized to the universe of study;</w:t>
      </w:r>
    </w:p>
    <w:p w:rsidRPr="00D55011" w:rsidR="00D33C4C" w:rsidP="00D55011" w:rsidRDefault="00D33C4C" w14:paraId="6E467FB8"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requiring the use of a statistical data classification that has not been reviewed and approved by OMB;</w:t>
      </w:r>
    </w:p>
    <w:p w:rsidRPr="00D55011" w:rsidR="00D33C4C" w:rsidP="00D55011" w:rsidRDefault="00D33C4C" w14:paraId="219EB453"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5011" w:rsidR="00D33C4C" w:rsidP="00D55011" w:rsidRDefault="00D33C4C" w14:paraId="60789F01" w14:textId="77777777">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D55011" w:rsidR="00D33C4C" w:rsidP="00D55011" w:rsidRDefault="00D33C4C" w14:paraId="0E78D4D0" w14:textId="77777777">
      <w:pPr>
        <w:widowControl/>
        <w:tabs>
          <w:tab w:val="left" w:pos="-1440"/>
        </w:tabs>
        <w:ind w:left="720"/>
        <w:rPr>
          <w:b w:val="0"/>
          <w:bCs w:val="0"/>
          <w:i/>
          <w:iCs/>
          <w:sz w:val="24"/>
          <w:szCs w:val="24"/>
        </w:rPr>
      </w:pPr>
    </w:p>
    <w:p w:rsidRPr="00D55011" w:rsidR="00D33C4C" w:rsidP="00D55011" w:rsidRDefault="00D33C4C" w14:paraId="4C88F52C" w14:textId="77777777">
      <w:pPr>
        <w:pStyle w:val="BodyTextIndent2"/>
        <w:widowControl/>
        <w:ind w:left="720" w:firstLine="0"/>
        <w:rPr>
          <w:b w:val="0"/>
          <w:bCs w:val="0"/>
          <w:szCs w:val="24"/>
        </w:rPr>
      </w:pPr>
      <w:r w:rsidRPr="00D55011">
        <w:rPr>
          <w:b w:val="0"/>
          <w:bCs w:val="0"/>
          <w:szCs w:val="24"/>
        </w:rPr>
        <w:t>None.</w:t>
      </w:r>
    </w:p>
    <w:p w:rsidRPr="00D55011" w:rsidR="00D33C4C" w:rsidP="00D55011" w:rsidRDefault="00D33C4C" w14:paraId="3D326902" w14:textId="77777777">
      <w:pPr>
        <w:widowControl/>
        <w:tabs>
          <w:tab w:val="left" w:pos="-1440"/>
        </w:tabs>
        <w:ind w:left="720"/>
        <w:rPr>
          <w:b w:val="0"/>
          <w:bCs w:val="0"/>
          <w:sz w:val="24"/>
          <w:szCs w:val="24"/>
        </w:rPr>
      </w:pPr>
    </w:p>
    <w:p w:rsidRPr="00D55011" w:rsidR="00D33C4C" w:rsidP="00D55011" w:rsidRDefault="00D33C4C" w14:paraId="51F34B44" w14:textId="17B2BDD8">
      <w:pPr>
        <w:widowControl/>
        <w:tabs>
          <w:tab w:val="left" w:pos="-1440"/>
        </w:tabs>
        <w:ind w:left="720" w:hanging="720"/>
        <w:rPr>
          <w:b w:val="0"/>
          <w:bCs w:val="0"/>
          <w:i/>
          <w:iCs/>
          <w:sz w:val="24"/>
          <w:szCs w:val="24"/>
        </w:rPr>
      </w:pPr>
      <w:r w:rsidRPr="00D55011">
        <w:rPr>
          <w:b w:val="0"/>
          <w:bCs w:val="0"/>
          <w:sz w:val="24"/>
          <w:szCs w:val="24"/>
        </w:rPr>
        <w:t>8.</w:t>
      </w:r>
      <w:r w:rsidRPr="00D55011">
        <w:rPr>
          <w:b w:val="0"/>
          <w:bCs w:val="0"/>
          <w:sz w:val="24"/>
          <w:szCs w:val="24"/>
        </w:rPr>
        <w:tab/>
      </w:r>
      <w:r w:rsidRPr="00D55011">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55011" w:rsidR="00D33C4C" w:rsidP="00D55011" w:rsidRDefault="00D33C4C" w14:paraId="7D9B4BDD" w14:textId="77777777">
      <w:pPr>
        <w:widowControl/>
        <w:ind w:left="720"/>
        <w:rPr>
          <w:b w:val="0"/>
          <w:bCs w:val="0"/>
          <w:i/>
          <w:iCs/>
          <w:sz w:val="24"/>
          <w:szCs w:val="24"/>
        </w:rPr>
      </w:pPr>
    </w:p>
    <w:p w:rsidRPr="00D55011" w:rsidR="00D33C4C" w:rsidP="00D55011" w:rsidRDefault="00D33C4C" w14:paraId="49BA4729" w14:textId="77777777">
      <w:pPr>
        <w:widowControl/>
        <w:ind w:left="720"/>
        <w:rPr>
          <w:b w:val="0"/>
          <w:bCs w:val="0"/>
          <w:i/>
          <w:iCs/>
          <w:sz w:val="24"/>
          <w:szCs w:val="24"/>
        </w:rPr>
      </w:pPr>
      <w:r w:rsidRPr="00D55011">
        <w:rPr>
          <w:b w:val="0"/>
          <w:bCs w:val="0"/>
          <w:i/>
          <w:i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5011" w:rsidR="00D33C4C" w:rsidP="00D55011" w:rsidRDefault="00D33C4C" w14:paraId="0A48BCB3" w14:textId="77777777">
      <w:pPr>
        <w:widowControl/>
        <w:ind w:left="720"/>
        <w:rPr>
          <w:b w:val="0"/>
          <w:bCs w:val="0"/>
          <w:i/>
          <w:iCs/>
          <w:sz w:val="24"/>
          <w:szCs w:val="24"/>
        </w:rPr>
      </w:pPr>
    </w:p>
    <w:p w:rsidRPr="00D55011" w:rsidR="00D33C4C" w:rsidP="00D55011" w:rsidRDefault="00D33C4C" w14:paraId="237BD979" w14:textId="77777777">
      <w:pPr>
        <w:widowControl/>
        <w:ind w:left="720"/>
        <w:rPr>
          <w:b w:val="0"/>
          <w:bCs w:val="0"/>
          <w:i/>
          <w:iCs/>
          <w:sz w:val="24"/>
          <w:szCs w:val="24"/>
        </w:rPr>
      </w:pPr>
      <w:r w:rsidRPr="00D55011">
        <w:rPr>
          <w:b w:val="0"/>
          <w:bCs w:val="0"/>
          <w:i/>
          <w:i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55011" w:rsidR="00D33C4C" w:rsidP="00D55011" w:rsidRDefault="00D33C4C" w14:paraId="6152C482" w14:textId="77777777">
      <w:pPr>
        <w:widowControl/>
        <w:ind w:left="720"/>
        <w:rPr>
          <w:b w:val="0"/>
          <w:bCs w:val="0"/>
          <w:i/>
          <w:iCs/>
          <w:sz w:val="24"/>
          <w:szCs w:val="24"/>
        </w:rPr>
      </w:pPr>
    </w:p>
    <w:p w:rsidRPr="00675146" w:rsidR="00675146" w:rsidP="00675146" w:rsidRDefault="00675146" w14:paraId="3B2FBE9D" w14:textId="77777777">
      <w:pPr>
        <w:widowControl/>
        <w:ind w:left="720"/>
        <w:rPr>
          <w:b w:val="0"/>
          <w:sz w:val="24"/>
          <w:szCs w:val="24"/>
        </w:rPr>
      </w:pPr>
      <w:r w:rsidRPr="00675146">
        <w:rPr>
          <w:b w:val="0"/>
          <w:sz w:val="24"/>
          <w:szCs w:val="24"/>
        </w:rPr>
        <w:t xml:space="preserve">The notice of proposed rulemaking provided the public with thirty days to comment on the information collections contained therein and was published notice on October 23, 2019 (84 FR 56894). The proposed rule contained a new safe harbor for delivering pension plan documents under ERISA electronically.  The proposed safe harbor stood as </w:t>
      </w:r>
      <w:r w:rsidRPr="00675146">
        <w:rPr>
          <w:b w:val="0"/>
          <w:sz w:val="24"/>
          <w:szCs w:val="24"/>
        </w:rPr>
        <w:lastRenderedPageBreak/>
        <w:t xml:space="preserve">an alternative to the Department’s existing safe harbor for furnishing electronic documents under ERISA.  In 2002 the Department established a safe harbor for the use of electronic media to furnish disclosures (the 2002 safe harbor) that was generally limited to individuals who are “wired at work” and are required to use computers as part of their job, or who affirmatively consent to electronic delivery.  </w:t>
      </w:r>
    </w:p>
    <w:p w:rsidRPr="00675146" w:rsidR="00675146" w:rsidP="00675146" w:rsidRDefault="00675146" w14:paraId="31B06BE5" w14:textId="77777777">
      <w:pPr>
        <w:widowControl/>
        <w:ind w:left="720"/>
        <w:rPr>
          <w:b w:val="0"/>
          <w:sz w:val="24"/>
          <w:szCs w:val="24"/>
        </w:rPr>
      </w:pPr>
    </w:p>
    <w:p w:rsidRPr="00675146" w:rsidR="00675146" w:rsidP="00675146" w:rsidRDefault="00675146" w14:paraId="58280861" w14:textId="77777777">
      <w:pPr>
        <w:widowControl/>
        <w:ind w:left="720"/>
        <w:rPr>
          <w:b w:val="0"/>
          <w:sz w:val="24"/>
          <w:szCs w:val="24"/>
        </w:rPr>
      </w:pPr>
      <w:r w:rsidRPr="00675146">
        <w:rPr>
          <w:b w:val="0"/>
          <w:sz w:val="24"/>
          <w:szCs w:val="24"/>
        </w:rPr>
        <w:t xml:space="preserve">In response to the proposed regulation, the Department received 467 comment letters; 257 were unique comments and 210 were nearly identical comments from a coordinated petition.  These comment letters represented the views of, among others, employees, employers, pension plan administrators, and service providers to pension benefit plans.  An extensive discussion of and the Departments’ responses to those comments are contained in the preamble accompanying the final rule.  The comments can be found at: </w:t>
      </w:r>
      <w:hyperlink w:history="1" r:id="rId11">
        <w:r w:rsidRPr="00675146">
          <w:rPr>
            <w:rStyle w:val="Hyperlink"/>
            <w:b w:val="0"/>
            <w:sz w:val="24"/>
            <w:szCs w:val="24"/>
          </w:rPr>
          <w:t>https://www.dol.gov/agencies/ebsa/laws-and-regulations/rules-and-regulations/public-comments/1210-AB90</w:t>
        </w:r>
      </w:hyperlink>
      <w:r w:rsidRPr="00675146">
        <w:rPr>
          <w:b w:val="0"/>
          <w:sz w:val="24"/>
          <w:szCs w:val="24"/>
        </w:rPr>
        <w:t>.</w:t>
      </w:r>
    </w:p>
    <w:p w:rsidRPr="00675146" w:rsidR="00675146" w:rsidP="00675146" w:rsidRDefault="00675146" w14:paraId="12D6696D" w14:textId="77777777">
      <w:pPr>
        <w:widowControl/>
        <w:ind w:left="720"/>
        <w:rPr>
          <w:b w:val="0"/>
          <w:sz w:val="24"/>
          <w:szCs w:val="24"/>
        </w:rPr>
      </w:pPr>
    </w:p>
    <w:p w:rsidRPr="00675146" w:rsidR="00675146" w:rsidP="00675146" w:rsidRDefault="00675146" w14:paraId="46973B8F" w14:textId="77777777">
      <w:pPr>
        <w:widowControl/>
        <w:ind w:left="720"/>
        <w:rPr>
          <w:b w:val="0"/>
          <w:sz w:val="24"/>
          <w:szCs w:val="24"/>
        </w:rPr>
      </w:pPr>
      <w:r w:rsidRPr="00675146">
        <w:rPr>
          <w:b w:val="0"/>
          <w:sz w:val="24"/>
          <w:szCs w:val="24"/>
        </w:rPr>
        <w:t>In estimating costs associated with furnishing retirement plan documents under the 2002 safe harbor, the Department assumes that slightly more than half (56 percent) of disclosures are already delivered electronically.  According to one commenter, 40 to 50 percent of participants receive disclosures electronically, likely from plans relying on the Department’s 2002 safe harbor.  One service provider reported 62 percent of participants already elected for electronic delivery in 2018.</w:t>
      </w:r>
      <w:r w:rsidRPr="00675146">
        <w:rPr>
          <w:b w:val="0"/>
          <w:sz w:val="24"/>
          <w:szCs w:val="24"/>
          <w:vertAlign w:val="superscript"/>
        </w:rPr>
        <w:footnoteReference w:id="2"/>
      </w:r>
      <w:r w:rsidRPr="00675146">
        <w:rPr>
          <w:b w:val="0"/>
          <w:sz w:val="24"/>
          <w:szCs w:val="24"/>
        </w:rPr>
        <w:t xml:space="preserve">  Another commenter reported 58 percent of defined contribution (DC) plan participants accessed plan information, including legal notices, electronically. These comments are largely consistent with the assumption that the Department relied on for information collection purposes. In the proposal, the Department solicited comments regarding the share of recipients that would elect to opt out of the new safe harbor and request to receive print disclosures by mail, and received no comment on this issue. </w:t>
      </w:r>
    </w:p>
    <w:p w:rsidRPr="00675146" w:rsidR="00675146" w:rsidP="00675146" w:rsidRDefault="00675146" w14:paraId="32D4C94C" w14:textId="77777777">
      <w:pPr>
        <w:widowControl/>
        <w:ind w:left="720"/>
        <w:rPr>
          <w:b w:val="0"/>
          <w:sz w:val="24"/>
          <w:szCs w:val="24"/>
        </w:rPr>
      </w:pPr>
    </w:p>
    <w:p w:rsidRPr="00675146" w:rsidR="00675146" w:rsidP="00675146" w:rsidRDefault="00675146" w14:paraId="283B351D" w14:textId="77777777">
      <w:pPr>
        <w:widowControl/>
        <w:ind w:left="720"/>
        <w:rPr>
          <w:b w:val="0"/>
          <w:sz w:val="24"/>
          <w:szCs w:val="24"/>
        </w:rPr>
      </w:pPr>
      <w:r w:rsidRPr="00675146">
        <w:rPr>
          <w:b w:val="0"/>
          <w:sz w:val="24"/>
          <w:szCs w:val="24"/>
        </w:rPr>
        <w:t>Paragraph (e) of the final rule requires plan administrators to ensure the existence of a website at which plan participants can access covered disclosures.  In the proposed rule, the Department assumed this requirement would impose modest one-time costs.  However, the Department was particularly concerned about burdening small plans and so solicited comments regarding the fraction of plans, particularly small plans, that would need to develop or modify a website.  One commenter claimed that small plans have websites and not burdened by the proposed “notice and access” approach.  However, another commenter suggested that small plans are less likely to have their own websites.  A different commenter suggested that the burden of website requirement would vary by types of plans. The vast majority of participant-directed DC plans already have access to or actively maintain a website, while many defined benefit plans or nonparticipant-</w:t>
      </w:r>
      <w:r w:rsidRPr="00675146">
        <w:rPr>
          <w:b w:val="0"/>
          <w:sz w:val="24"/>
          <w:szCs w:val="24"/>
        </w:rPr>
        <w:lastRenderedPageBreak/>
        <w:t>directed DC plans may not.</w:t>
      </w:r>
      <w:r w:rsidRPr="00675146">
        <w:rPr>
          <w:b w:val="0"/>
          <w:sz w:val="24"/>
          <w:szCs w:val="24"/>
          <w:vertAlign w:val="superscript"/>
        </w:rPr>
        <w:footnoteReference w:id="3"/>
      </w:r>
      <w:r w:rsidRPr="00675146">
        <w:rPr>
          <w:b w:val="0"/>
          <w:sz w:val="24"/>
          <w:szCs w:val="24"/>
        </w:rPr>
        <w:t xml:space="preserve"> Another commenter made reference to a recent poll of plan sponsors. The poll results suggest the majority already have websites, in-house (70 percent) or via service providers (62.5 percent), and many have both.</w:t>
      </w:r>
      <w:r w:rsidRPr="00675146">
        <w:rPr>
          <w:b w:val="0"/>
          <w:sz w:val="24"/>
          <w:szCs w:val="24"/>
          <w:vertAlign w:val="superscript"/>
        </w:rPr>
        <w:footnoteReference w:id="4"/>
      </w:r>
      <w:r w:rsidRPr="00675146">
        <w:rPr>
          <w:b w:val="0"/>
          <w:sz w:val="24"/>
          <w:szCs w:val="24"/>
        </w:rPr>
        <w:t xml:space="preserve">  Although all these comments are useful to some degree, no commenter directly responded to the Department’s solicitation regarding the share of plans that currently lack websites. </w:t>
      </w:r>
    </w:p>
    <w:p w:rsidRPr="00675146" w:rsidR="00675146" w:rsidP="00675146" w:rsidRDefault="00675146" w14:paraId="02715E79" w14:textId="77777777">
      <w:pPr>
        <w:widowControl/>
        <w:ind w:left="720"/>
        <w:rPr>
          <w:b w:val="0"/>
          <w:sz w:val="24"/>
          <w:szCs w:val="24"/>
        </w:rPr>
      </w:pPr>
      <w:r w:rsidRPr="00675146">
        <w:rPr>
          <w:b w:val="0"/>
          <w:sz w:val="24"/>
          <w:szCs w:val="24"/>
        </w:rPr>
        <w:t>According to one study, approximately 18 percent of profit sharing and 401(k) plans did not provide any services via internet in 2017.</w:t>
      </w:r>
      <w:r w:rsidRPr="00675146">
        <w:rPr>
          <w:b w:val="0"/>
          <w:sz w:val="24"/>
          <w:szCs w:val="24"/>
          <w:vertAlign w:val="superscript"/>
        </w:rPr>
        <w:footnoteReference w:id="5"/>
      </w:r>
      <w:r w:rsidRPr="00675146">
        <w:rPr>
          <w:b w:val="0"/>
          <w:sz w:val="24"/>
          <w:szCs w:val="24"/>
        </w:rPr>
        <w:t xml:space="preserve">  Based on this study, the Department estimates that approximately 25,000 plans currently do not have, directly or indirectly through a plan service provider, a website where they can post the covered documents.</w:t>
      </w:r>
      <w:r w:rsidRPr="00675146">
        <w:rPr>
          <w:b w:val="0"/>
          <w:sz w:val="24"/>
          <w:szCs w:val="24"/>
          <w:vertAlign w:val="superscript"/>
        </w:rPr>
        <w:footnoteReference w:id="6"/>
      </w:r>
      <w:r w:rsidRPr="00675146">
        <w:rPr>
          <w:b w:val="0"/>
          <w:sz w:val="24"/>
          <w:szCs w:val="24"/>
        </w:rPr>
        <w:t xml:space="preserve"> </w:t>
      </w:r>
    </w:p>
    <w:p w:rsidRPr="00675146" w:rsidR="00675146" w:rsidP="00675146" w:rsidRDefault="00675146" w14:paraId="5241FFA1" w14:textId="77777777">
      <w:pPr>
        <w:widowControl/>
        <w:ind w:left="720"/>
        <w:rPr>
          <w:b w:val="0"/>
          <w:sz w:val="24"/>
          <w:szCs w:val="24"/>
        </w:rPr>
      </w:pPr>
    </w:p>
    <w:p w:rsidRPr="00675146" w:rsidR="00675146" w:rsidP="00675146" w:rsidRDefault="00675146" w14:paraId="48F89BC2" w14:textId="77777777">
      <w:pPr>
        <w:widowControl/>
        <w:ind w:left="720"/>
        <w:rPr>
          <w:b w:val="0"/>
          <w:sz w:val="24"/>
          <w:szCs w:val="24"/>
        </w:rPr>
      </w:pPr>
      <w:r w:rsidRPr="00675146">
        <w:rPr>
          <w:b w:val="0"/>
          <w:sz w:val="24"/>
          <w:szCs w:val="24"/>
        </w:rPr>
        <w:t>Although approximately 25,000 plans do not currently have a website, the Department expects the impact of paragraph (e) of the final rule to be minimal, in part, because paragraph (k) of the final rule allows plans to directly furnish covered documents by email as an attachment.  Commenters recommended the direct delivery approach in paragraph (k) for a number of reasons, one being that plans may not currently have a website.</w:t>
      </w:r>
      <w:r w:rsidRPr="00675146">
        <w:rPr>
          <w:b w:val="0"/>
          <w:sz w:val="24"/>
          <w:szCs w:val="24"/>
          <w:vertAlign w:val="superscript"/>
        </w:rPr>
        <w:footnoteReference w:id="7"/>
      </w:r>
      <w:r w:rsidRPr="00675146">
        <w:rPr>
          <w:b w:val="0"/>
          <w:sz w:val="24"/>
          <w:szCs w:val="24"/>
        </w:rPr>
        <w:t xml:space="preserve">  The Department assumes plans that do not currently have a website for posting the covered documents will most likely email the covered documents directly.  The direct delivery option will likely ease the burden on small plans, as they are less likely to have, or have access to, a website.  </w:t>
      </w:r>
    </w:p>
    <w:p w:rsidRPr="00D55011" w:rsidR="00D33C4C" w:rsidP="00D55011" w:rsidRDefault="00D33C4C" w14:paraId="031942FB" w14:textId="6D78D7E6">
      <w:pPr>
        <w:widowControl/>
        <w:ind w:left="720"/>
        <w:rPr>
          <w:b w:val="0"/>
          <w:bCs w:val="0"/>
          <w:sz w:val="24"/>
          <w:szCs w:val="24"/>
        </w:rPr>
      </w:pPr>
    </w:p>
    <w:p w:rsidRPr="00D55011" w:rsidR="00D33C4C" w:rsidP="00D55011" w:rsidRDefault="00D33C4C" w14:paraId="7B2B4E54" w14:textId="77777777">
      <w:pPr>
        <w:widowControl/>
        <w:tabs>
          <w:tab w:val="left" w:pos="-1440"/>
        </w:tabs>
        <w:ind w:left="720" w:hanging="720"/>
        <w:rPr>
          <w:b w:val="0"/>
          <w:bCs w:val="0"/>
          <w:i/>
          <w:iCs/>
          <w:sz w:val="24"/>
          <w:szCs w:val="24"/>
        </w:rPr>
      </w:pPr>
      <w:r w:rsidRPr="00D55011">
        <w:rPr>
          <w:b w:val="0"/>
          <w:bCs w:val="0"/>
          <w:sz w:val="24"/>
          <w:szCs w:val="24"/>
        </w:rPr>
        <w:t>9.</w:t>
      </w:r>
      <w:r w:rsidRPr="00D55011">
        <w:rPr>
          <w:b w:val="0"/>
          <w:bCs w:val="0"/>
          <w:sz w:val="24"/>
          <w:szCs w:val="24"/>
        </w:rPr>
        <w:tab/>
      </w:r>
      <w:r w:rsidRPr="00D55011">
        <w:rPr>
          <w:b w:val="0"/>
          <w:bCs w:val="0"/>
          <w:i/>
          <w:iCs/>
          <w:sz w:val="24"/>
          <w:szCs w:val="24"/>
        </w:rPr>
        <w:t>Explain any decision to provide any payment or gift to respondents, other than remuneration of contractors or grantees.</w:t>
      </w:r>
    </w:p>
    <w:p w:rsidRPr="00D55011" w:rsidR="00D33C4C" w:rsidP="00D55011" w:rsidRDefault="00D33C4C" w14:paraId="4768E0BB" w14:textId="77777777">
      <w:pPr>
        <w:widowControl/>
        <w:ind w:left="720"/>
        <w:rPr>
          <w:b w:val="0"/>
          <w:bCs w:val="0"/>
          <w:sz w:val="24"/>
          <w:szCs w:val="24"/>
        </w:rPr>
      </w:pPr>
    </w:p>
    <w:p w:rsidRPr="00D55011" w:rsidR="00D33C4C" w:rsidP="00D55011" w:rsidRDefault="00D33C4C" w14:paraId="1D824C37" w14:textId="77777777">
      <w:pPr>
        <w:widowControl/>
        <w:ind w:left="720"/>
        <w:rPr>
          <w:b w:val="0"/>
          <w:bCs w:val="0"/>
          <w:sz w:val="24"/>
          <w:szCs w:val="24"/>
        </w:rPr>
      </w:pPr>
      <w:r w:rsidRPr="00D55011">
        <w:rPr>
          <w:b w:val="0"/>
          <w:bCs w:val="0"/>
          <w:sz w:val="24"/>
          <w:szCs w:val="24"/>
        </w:rPr>
        <w:t>None.</w:t>
      </w:r>
    </w:p>
    <w:p w:rsidRPr="00D55011" w:rsidR="00D33C4C" w:rsidP="00D55011" w:rsidRDefault="00D33C4C" w14:paraId="2AB28B23" w14:textId="77777777">
      <w:pPr>
        <w:widowControl/>
        <w:ind w:left="720"/>
        <w:rPr>
          <w:b w:val="0"/>
          <w:bCs w:val="0"/>
          <w:sz w:val="24"/>
          <w:szCs w:val="24"/>
        </w:rPr>
      </w:pPr>
    </w:p>
    <w:p w:rsidRPr="00D55011" w:rsidR="00D33C4C" w:rsidP="00D55011" w:rsidRDefault="00D33C4C" w14:paraId="1E907730" w14:textId="77777777">
      <w:pPr>
        <w:widowControl/>
        <w:tabs>
          <w:tab w:val="left" w:pos="-1440"/>
        </w:tabs>
        <w:ind w:left="720" w:hanging="720"/>
        <w:rPr>
          <w:b w:val="0"/>
          <w:bCs w:val="0"/>
          <w:i/>
          <w:iCs/>
          <w:sz w:val="24"/>
          <w:szCs w:val="24"/>
        </w:rPr>
      </w:pPr>
      <w:r w:rsidRPr="00D55011">
        <w:rPr>
          <w:b w:val="0"/>
          <w:bCs w:val="0"/>
          <w:sz w:val="24"/>
          <w:szCs w:val="24"/>
        </w:rPr>
        <w:t>10.</w:t>
      </w:r>
      <w:r w:rsidRPr="00D55011">
        <w:rPr>
          <w:b w:val="0"/>
          <w:bCs w:val="0"/>
          <w:sz w:val="24"/>
          <w:szCs w:val="24"/>
        </w:rPr>
        <w:tab/>
      </w:r>
      <w:r w:rsidRPr="00D55011">
        <w:rPr>
          <w:b w:val="0"/>
          <w:bCs w:val="0"/>
          <w:i/>
          <w:iCs/>
          <w:sz w:val="24"/>
          <w:szCs w:val="24"/>
        </w:rPr>
        <w:t>Describe any assurance of confidentiality provided to respondents and the basis for the assurance in statute, regulation, or agency policy.</w:t>
      </w:r>
    </w:p>
    <w:p w:rsidRPr="00D55011" w:rsidR="00D33C4C" w:rsidP="00D55011" w:rsidRDefault="00D33C4C" w14:paraId="27392C21" w14:textId="77777777">
      <w:pPr>
        <w:widowControl/>
        <w:ind w:left="720"/>
        <w:rPr>
          <w:b w:val="0"/>
          <w:bCs w:val="0"/>
          <w:sz w:val="24"/>
          <w:szCs w:val="24"/>
        </w:rPr>
      </w:pPr>
    </w:p>
    <w:p w:rsidRPr="00D55011" w:rsidR="00D33C4C" w:rsidP="00D55011" w:rsidRDefault="00D33C4C" w14:paraId="575EB099" w14:textId="77777777">
      <w:pPr>
        <w:widowControl/>
        <w:ind w:left="720"/>
        <w:rPr>
          <w:b w:val="0"/>
          <w:bCs w:val="0"/>
          <w:sz w:val="24"/>
          <w:szCs w:val="24"/>
        </w:rPr>
      </w:pPr>
      <w:r w:rsidRPr="00D55011">
        <w:rPr>
          <w:b w:val="0"/>
          <w:bCs w:val="0"/>
          <w:sz w:val="24"/>
          <w:szCs w:val="24"/>
        </w:rPr>
        <w:t>None.</w:t>
      </w:r>
    </w:p>
    <w:p w:rsidRPr="00D55011" w:rsidR="00D33C4C" w:rsidP="00D55011" w:rsidRDefault="00D33C4C" w14:paraId="66A9C9C7" w14:textId="77777777">
      <w:pPr>
        <w:widowControl/>
        <w:ind w:left="720"/>
        <w:rPr>
          <w:b w:val="0"/>
          <w:bCs w:val="0"/>
          <w:sz w:val="24"/>
          <w:szCs w:val="24"/>
        </w:rPr>
      </w:pPr>
    </w:p>
    <w:p w:rsidRPr="00D55011" w:rsidR="00D33C4C" w:rsidP="00D55011" w:rsidRDefault="00D33C4C" w14:paraId="1AAEBC39" w14:textId="77777777">
      <w:pPr>
        <w:widowControl/>
        <w:tabs>
          <w:tab w:val="left" w:pos="-1440"/>
        </w:tabs>
        <w:ind w:left="720" w:hanging="720"/>
        <w:rPr>
          <w:b w:val="0"/>
          <w:bCs w:val="0"/>
          <w:i/>
          <w:iCs/>
          <w:sz w:val="24"/>
          <w:szCs w:val="24"/>
        </w:rPr>
      </w:pPr>
      <w:r w:rsidRPr="00D55011">
        <w:rPr>
          <w:b w:val="0"/>
          <w:bCs w:val="0"/>
          <w:sz w:val="24"/>
          <w:szCs w:val="24"/>
        </w:rPr>
        <w:lastRenderedPageBreak/>
        <w:t>11.</w:t>
      </w:r>
      <w:r w:rsidRPr="00D55011">
        <w:rPr>
          <w:b w:val="0"/>
          <w:bCs w:val="0"/>
          <w:sz w:val="24"/>
          <w:szCs w:val="24"/>
        </w:rPr>
        <w:tab/>
      </w:r>
      <w:r w:rsidRPr="00D55011">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55011" w:rsidR="00D33C4C" w:rsidP="00D55011" w:rsidRDefault="00D33C4C" w14:paraId="3C77A3E2" w14:textId="77777777">
      <w:pPr>
        <w:widowControl/>
        <w:ind w:left="720"/>
        <w:rPr>
          <w:b w:val="0"/>
          <w:bCs w:val="0"/>
          <w:i/>
          <w:iCs/>
          <w:sz w:val="24"/>
          <w:szCs w:val="24"/>
        </w:rPr>
      </w:pPr>
    </w:p>
    <w:p w:rsidRPr="00D55011" w:rsidR="00D33C4C" w:rsidP="00D55011" w:rsidRDefault="00D33C4C" w14:paraId="54D6F263" w14:textId="77777777">
      <w:pPr>
        <w:widowControl/>
        <w:ind w:left="720"/>
        <w:rPr>
          <w:b w:val="0"/>
          <w:bCs w:val="0"/>
          <w:sz w:val="24"/>
          <w:szCs w:val="24"/>
        </w:rPr>
      </w:pPr>
      <w:r w:rsidRPr="00D55011">
        <w:rPr>
          <w:b w:val="0"/>
          <w:bCs w:val="0"/>
          <w:sz w:val="24"/>
          <w:szCs w:val="24"/>
        </w:rPr>
        <w:t>Not applicable.</w:t>
      </w:r>
    </w:p>
    <w:p w:rsidRPr="00D55011" w:rsidR="00D33C4C" w:rsidP="00D55011" w:rsidRDefault="00D33C4C" w14:paraId="551D9F46" w14:textId="77777777">
      <w:pPr>
        <w:widowControl/>
        <w:ind w:left="720"/>
        <w:rPr>
          <w:b w:val="0"/>
          <w:bCs w:val="0"/>
          <w:sz w:val="24"/>
          <w:szCs w:val="24"/>
        </w:rPr>
      </w:pPr>
    </w:p>
    <w:p w:rsidRPr="00D55011" w:rsidR="00D33C4C" w:rsidP="00D55011" w:rsidRDefault="00D33C4C" w14:paraId="6C741C11" w14:textId="77777777">
      <w:pPr>
        <w:widowControl/>
        <w:tabs>
          <w:tab w:val="left" w:pos="-1440"/>
        </w:tabs>
        <w:ind w:left="720" w:hanging="720"/>
        <w:rPr>
          <w:b w:val="0"/>
          <w:bCs w:val="0"/>
          <w:i/>
          <w:iCs/>
          <w:sz w:val="24"/>
          <w:szCs w:val="24"/>
        </w:rPr>
      </w:pPr>
      <w:r w:rsidRPr="00D55011">
        <w:rPr>
          <w:b w:val="0"/>
          <w:bCs w:val="0"/>
          <w:sz w:val="24"/>
          <w:szCs w:val="24"/>
        </w:rPr>
        <w:t>12.</w:t>
      </w:r>
      <w:r w:rsidRPr="00D55011">
        <w:rPr>
          <w:b w:val="0"/>
          <w:bCs w:val="0"/>
          <w:sz w:val="24"/>
          <w:szCs w:val="24"/>
        </w:rPr>
        <w:tab/>
      </w:r>
      <w:r w:rsidRPr="00D55011">
        <w:rPr>
          <w:b w:val="0"/>
          <w:bCs w:val="0"/>
          <w:i/>
          <w:iCs/>
          <w:sz w:val="24"/>
          <w:szCs w:val="24"/>
        </w:rPr>
        <w:t>Provide estimates of the hour burden of the collection of information.  The statement should:</w:t>
      </w:r>
    </w:p>
    <w:p w:rsidRPr="00D55011" w:rsidR="00D33C4C" w:rsidP="00D55011" w:rsidRDefault="00D33C4C" w14:paraId="3D6597A3" w14:textId="77777777">
      <w:pPr>
        <w:widowControl/>
        <w:numPr>
          <w:ilvl w:val="0"/>
          <w:numId w:val="6"/>
        </w:numPr>
        <w:tabs>
          <w:tab w:val="left" w:pos="-1440"/>
        </w:tabs>
        <w:ind w:hanging="720"/>
        <w:rPr>
          <w:b w:val="0"/>
          <w:bCs w:val="0"/>
          <w:i/>
          <w:iCs/>
          <w:sz w:val="24"/>
          <w:szCs w:val="24"/>
        </w:rPr>
      </w:pPr>
      <w:r w:rsidRPr="00D55011">
        <w:rPr>
          <w:b w:val="0"/>
          <w:bCs w:val="0"/>
          <w:i/>
          <w:i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55011" w:rsidR="00D33C4C" w:rsidP="00D55011" w:rsidRDefault="00D33C4C" w14:paraId="7D770B92" w14:textId="77777777">
      <w:pPr>
        <w:widowControl/>
        <w:numPr>
          <w:ilvl w:val="0"/>
          <w:numId w:val="6"/>
        </w:numPr>
        <w:tabs>
          <w:tab w:val="left" w:pos="-1440"/>
        </w:tabs>
        <w:ind w:hanging="720"/>
        <w:rPr>
          <w:b w:val="0"/>
          <w:bCs w:val="0"/>
          <w:i/>
          <w:iCs/>
          <w:sz w:val="24"/>
          <w:szCs w:val="24"/>
        </w:rPr>
      </w:pPr>
      <w:r w:rsidRPr="00D55011">
        <w:rPr>
          <w:b w:val="0"/>
          <w:bCs w:val="0"/>
          <w:i/>
          <w:iCs/>
          <w:sz w:val="24"/>
          <w:szCs w:val="24"/>
        </w:rPr>
        <w:t>If this request for approval covers more than one form, provide separate hour burden estimates for each form and aggregate the hour burdens in Item 13.</w:t>
      </w:r>
    </w:p>
    <w:p w:rsidRPr="00D55011" w:rsidR="00D33C4C" w:rsidP="00D55011" w:rsidRDefault="00D33C4C" w14:paraId="5B03EB8E" w14:textId="77777777">
      <w:pPr>
        <w:widowControl/>
        <w:numPr>
          <w:ilvl w:val="0"/>
          <w:numId w:val="6"/>
        </w:numPr>
        <w:tabs>
          <w:tab w:val="left" w:pos="-1440"/>
        </w:tabs>
        <w:ind w:hanging="720"/>
        <w:rPr>
          <w:b w:val="0"/>
          <w:bCs w:val="0"/>
          <w:i/>
          <w:iCs/>
          <w:sz w:val="24"/>
          <w:szCs w:val="24"/>
        </w:rPr>
      </w:pPr>
      <w:r w:rsidRPr="00D55011">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55011" w:rsidR="00D33C4C" w:rsidP="00D55011" w:rsidRDefault="00D33C4C" w14:paraId="407088D1" w14:textId="77777777">
      <w:pPr>
        <w:widowControl/>
        <w:ind w:left="720"/>
        <w:rPr>
          <w:b w:val="0"/>
          <w:bCs w:val="0"/>
          <w:i/>
          <w:iCs/>
          <w:sz w:val="24"/>
          <w:szCs w:val="24"/>
        </w:rPr>
      </w:pPr>
    </w:p>
    <w:p w:rsidRPr="00D55011" w:rsidR="00D33C4C" w:rsidP="00D55011" w:rsidRDefault="00D33C4C" w14:paraId="383D98C9" w14:textId="77777777">
      <w:pPr>
        <w:widowControl/>
        <w:ind w:left="720"/>
        <w:rPr>
          <w:b w:val="0"/>
          <w:bCs w:val="0"/>
          <w:sz w:val="24"/>
          <w:szCs w:val="24"/>
          <w:vertAlign w:val="superscript"/>
        </w:rPr>
      </w:pPr>
      <w:r w:rsidRPr="00D55011">
        <w:rPr>
          <w:b w:val="0"/>
          <w:bCs w:val="0"/>
          <w:sz w:val="24"/>
          <w:szCs w:val="24"/>
        </w:rPr>
        <w:t>Employee benefit plan administrators will be deemed to satisfy their disclosure obligations when furnishing documents electronically only if a participant who does not have access to the employer’s electronic information system in the normal course of his duties, or a beneficiary or other person entitled to documents, affirmatively consents to receive the disclosure documents.  Prior to consenting, the participant or beneficiary must be provided with a clear and conspicuous statement indicating the types of documents to which the consent would apply and other information about procedures and obligations on the part of both the plan administrator and the recipient.  New plans are expected to incur a one-time start-up cost with regards to the acquisition of materials us</w:t>
      </w:r>
      <w:r w:rsidRPr="00D55011" w:rsidR="00607839">
        <w:rPr>
          <w:b w:val="0"/>
          <w:bCs w:val="0"/>
          <w:sz w:val="24"/>
          <w:szCs w:val="24"/>
        </w:rPr>
        <w:t>ed to seek and verify consent.</w:t>
      </w:r>
    </w:p>
    <w:p w:rsidRPr="00D55011" w:rsidR="00D33C4C" w:rsidP="00D55011" w:rsidRDefault="00D33C4C" w14:paraId="2E1B2F36" w14:textId="77777777">
      <w:pPr>
        <w:widowControl/>
        <w:ind w:left="720"/>
        <w:rPr>
          <w:b w:val="0"/>
          <w:bCs w:val="0"/>
          <w:sz w:val="24"/>
          <w:szCs w:val="24"/>
        </w:rPr>
      </w:pPr>
    </w:p>
    <w:p w:rsidRPr="00D55011" w:rsidR="00D33C4C" w:rsidP="00D55011" w:rsidRDefault="00D33C4C" w14:paraId="63EEFC70" w14:textId="4175A410">
      <w:pPr>
        <w:widowControl/>
        <w:ind w:left="720"/>
        <w:rPr>
          <w:b w:val="0"/>
          <w:bCs w:val="0"/>
          <w:sz w:val="24"/>
          <w:szCs w:val="24"/>
        </w:rPr>
      </w:pPr>
      <w:r w:rsidRPr="00D55011">
        <w:rPr>
          <w:b w:val="0"/>
          <w:bCs w:val="0"/>
          <w:sz w:val="24"/>
          <w:szCs w:val="24"/>
        </w:rPr>
        <w:t xml:space="preserve">The Department assumes that because significant cost savings can be achieved by limiting distribution expenses, most sponsors of new plans will choose to avail themselves of the opportunity to deliver plan documents electronically, and will therefore </w:t>
      </w:r>
      <w:r w:rsidRPr="00D55011">
        <w:rPr>
          <w:b w:val="0"/>
          <w:bCs w:val="0"/>
          <w:sz w:val="24"/>
          <w:szCs w:val="24"/>
        </w:rPr>
        <w:lastRenderedPageBreak/>
        <w:t xml:space="preserve">develop a procedure for consent and document delivery.  As noted above, a plan </w:t>
      </w:r>
      <w:r w:rsidRPr="00D55011" w:rsidR="008465D8">
        <w:rPr>
          <w:b w:val="0"/>
          <w:bCs w:val="0"/>
          <w:sz w:val="24"/>
          <w:szCs w:val="24"/>
        </w:rPr>
        <w:t>sponsor</w:t>
      </w:r>
      <w:r w:rsidRPr="00D55011">
        <w:rPr>
          <w:b w:val="0"/>
          <w:bCs w:val="0"/>
          <w:sz w:val="24"/>
          <w:szCs w:val="24"/>
        </w:rPr>
        <w:t xml:space="preserve"> that manages several plans is considered likely to develop a single consent that will satisfy the requirements for all plans.  Data from the </w:t>
      </w:r>
      <w:r w:rsidR="00B86691">
        <w:rPr>
          <w:b w:val="0"/>
          <w:bCs w:val="0"/>
          <w:sz w:val="24"/>
          <w:szCs w:val="24"/>
        </w:rPr>
        <w:t>2017</w:t>
      </w:r>
      <w:r w:rsidRPr="00D55011" w:rsidR="00B86691">
        <w:rPr>
          <w:b w:val="0"/>
          <w:bCs w:val="0"/>
          <w:sz w:val="24"/>
          <w:szCs w:val="24"/>
        </w:rPr>
        <w:t xml:space="preserve"> </w:t>
      </w:r>
      <w:r w:rsidRPr="00D55011">
        <w:rPr>
          <w:b w:val="0"/>
          <w:bCs w:val="0"/>
          <w:sz w:val="24"/>
          <w:szCs w:val="24"/>
        </w:rPr>
        <w:t>Form 5500</w:t>
      </w:r>
      <w:r w:rsidRPr="00D55011" w:rsidR="00547AF8">
        <w:rPr>
          <w:b w:val="0"/>
          <w:bCs w:val="0"/>
          <w:sz w:val="24"/>
          <w:szCs w:val="24"/>
        </w:rPr>
        <w:t>, the most recent year data are available,</w:t>
      </w:r>
      <w:r w:rsidRPr="00D55011">
        <w:rPr>
          <w:b w:val="0"/>
          <w:bCs w:val="0"/>
          <w:sz w:val="24"/>
          <w:szCs w:val="24"/>
        </w:rPr>
        <w:t xml:space="preserve"> indicate that there were approximately </w:t>
      </w:r>
      <w:r w:rsidR="00B86691">
        <w:rPr>
          <w:b w:val="0"/>
          <w:bCs w:val="0"/>
          <w:sz w:val="24"/>
          <w:szCs w:val="24"/>
        </w:rPr>
        <w:t>48,108</w:t>
      </w:r>
      <w:r w:rsidRPr="00D55011">
        <w:rPr>
          <w:b w:val="0"/>
          <w:bCs w:val="0"/>
          <w:sz w:val="24"/>
          <w:szCs w:val="24"/>
        </w:rPr>
        <w:t xml:space="preserve"> new plan sponsors that year.  We have taken the conservative view that each of these sponsors will seek </w:t>
      </w:r>
      <w:r w:rsidRPr="00D55011" w:rsidR="008465D8">
        <w:rPr>
          <w:b w:val="0"/>
          <w:bCs w:val="0"/>
          <w:sz w:val="24"/>
          <w:szCs w:val="24"/>
        </w:rPr>
        <w:t>to</w:t>
      </w:r>
      <w:r w:rsidRPr="00D55011" w:rsidR="00607839">
        <w:rPr>
          <w:b w:val="0"/>
          <w:bCs w:val="0"/>
          <w:sz w:val="24"/>
          <w:szCs w:val="24"/>
        </w:rPr>
        <w:t xml:space="preserve"> use the consent materials.</w:t>
      </w:r>
    </w:p>
    <w:p w:rsidRPr="00D55011" w:rsidR="0083559F" w:rsidP="00D55011" w:rsidRDefault="0083559F" w14:paraId="62573C03" w14:textId="77777777">
      <w:pPr>
        <w:widowControl/>
        <w:ind w:left="720"/>
        <w:rPr>
          <w:b w:val="0"/>
          <w:bCs w:val="0"/>
          <w:sz w:val="24"/>
          <w:szCs w:val="24"/>
        </w:rPr>
      </w:pPr>
    </w:p>
    <w:p w:rsidRPr="00D55011" w:rsidR="0083559F" w:rsidP="00D55011" w:rsidRDefault="0083559F" w14:paraId="47A62B70" w14:textId="58ED14CE">
      <w:pPr>
        <w:ind w:left="720"/>
        <w:rPr>
          <w:b w:val="0"/>
          <w:bCs w:val="0"/>
          <w:sz w:val="24"/>
          <w:szCs w:val="24"/>
        </w:rPr>
      </w:pPr>
      <w:r w:rsidRPr="00D55011">
        <w:rPr>
          <w:b w:val="0"/>
          <w:sz w:val="24"/>
          <w:szCs w:val="24"/>
        </w:rPr>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D55011">
        <w:rPr>
          <w:rStyle w:val="FootnoteReference"/>
          <w:b w:val="0"/>
          <w:sz w:val="24"/>
          <w:szCs w:val="24"/>
          <w:vertAlign w:val="superscript"/>
        </w:rPr>
        <w:footnoteReference w:id="8"/>
      </w:r>
      <w:r w:rsidRPr="00D55011">
        <w:rPr>
          <w:b w:val="0"/>
          <w:sz w:val="24"/>
          <w:szCs w:val="24"/>
        </w:rPr>
        <w:t xml:space="preserve">  Each sponsor is </w:t>
      </w:r>
      <w:r w:rsidRPr="00D55011">
        <w:rPr>
          <w:b w:val="0"/>
          <w:bCs w:val="0"/>
          <w:sz w:val="24"/>
          <w:szCs w:val="24"/>
        </w:rPr>
        <w:t xml:space="preserve">expected to use </w:t>
      </w:r>
      <w:r w:rsidRPr="00D55011" w:rsidR="00E627B0">
        <w:rPr>
          <w:b w:val="0"/>
          <w:bCs w:val="0"/>
          <w:sz w:val="24"/>
          <w:szCs w:val="24"/>
        </w:rPr>
        <w:t xml:space="preserve">on average </w:t>
      </w:r>
      <w:r w:rsidRPr="00D55011">
        <w:rPr>
          <w:b w:val="0"/>
          <w:bCs w:val="0"/>
          <w:sz w:val="24"/>
          <w:szCs w:val="24"/>
        </w:rPr>
        <w:t xml:space="preserve">ten minutes of in-house legal professional time to develop consent materials.  Thus the hour burden for the preparation of disclosure materials for this regulation is approximately </w:t>
      </w:r>
      <w:r w:rsidR="00046E13">
        <w:rPr>
          <w:b w:val="0"/>
          <w:bCs w:val="0"/>
          <w:sz w:val="24"/>
          <w:szCs w:val="24"/>
        </w:rPr>
        <w:t>8,018</w:t>
      </w:r>
      <w:r w:rsidRPr="00D55011" w:rsidR="00BA04D3">
        <w:rPr>
          <w:b w:val="0"/>
          <w:bCs w:val="0"/>
          <w:sz w:val="24"/>
          <w:szCs w:val="24"/>
        </w:rPr>
        <w:t xml:space="preserve"> </w:t>
      </w:r>
      <w:r w:rsidRPr="00D55011">
        <w:rPr>
          <w:b w:val="0"/>
          <w:bCs w:val="0"/>
          <w:sz w:val="24"/>
          <w:szCs w:val="24"/>
        </w:rPr>
        <w:t>hours</w:t>
      </w:r>
      <w:r w:rsidRPr="00D55011" w:rsidR="00E627B0">
        <w:rPr>
          <w:b w:val="0"/>
          <w:bCs w:val="0"/>
          <w:sz w:val="24"/>
          <w:szCs w:val="24"/>
        </w:rPr>
        <w:t xml:space="preserve">.  </w:t>
      </w:r>
      <w:r w:rsidRPr="00D55011" w:rsidR="00BA04D3">
        <w:rPr>
          <w:b w:val="0"/>
          <w:sz w:val="24"/>
          <w:szCs w:val="24"/>
        </w:rPr>
        <w:t>T</w:t>
      </w:r>
      <w:r w:rsidRPr="00D55011" w:rsidR="00E627B0">
        <w:rPr>
          <w:b w:val="0"/>
          <w:sz w:val="24"/>
          <w:szCs w:val="24"/>
        </w:rPr>
        <w:t xml:space="preserve">he Department assumes </w:t>
      </w:r>
      <w:r w:rsidRPr="00D55011" w:rsidR="00C01003">
        <w:rPr>
          <w:b w:val="0"/>
          <w:sz w:val="24"/>
          <w:szCs w:val="24"/>
        </w:rPr>
        <w:t xml:space="preserve">an </w:t>
      </w:r>
      <w:r w:rsidRPr="00D55011" w:rsidR="00E627B0">
        <w:rPr>
          <w:b w:val="0"/>
          <w:sz w:val="24"/>
          <w:szCs w:val="24"/>
        </w:rPr>
        <w:t>hourly wage rate of approximately $</w:t>
      </w:r>
      <w:r w:rsidR="00571C39">
        <w:rPr>
          <w:b w:val="0"/>
          <w:sz w:val="24"/>
          <w:szCs w:val="24"/>
        </w:rPr>
        <w:t>138.41</w:t>
      </w:r>
      <w:r w:rsidRPr="00D55011" w:rsidR="00BA04D3">
        <w:rPr>
          <w:b w:val="0"/>
          <w:sz w:val="24"/>
          <w:szCs w:val="24"/>
        </w:rPr>
        <w:t xml:space="preserve"> </w:t>
      </w:r>
      <w:r w:rsidRPr="00D55011" w:rsidR="00E627B0">
        <w:rPr>
          <w:b w:val="0"/>
          <w:sz w:val="24"/>
          <w:szCs w:val="24"/>
        </w:rPr>
        <w:t xml:space="preserve">for a </w:t>
      </w:r>
      <w:r w:rsidRPr="00D55011" w:rsidR="00FE7F6B">
        <w:rPr>
          <w:b w:val="0"/>
          <w:sz w:val="24"/>
          <w:szCs w:val="24"/>
        </w:rPr>
        <w:t>legal profess</w:t>
      </w:r>
      <w:r w:rsidRPr="00D55011" w:rsidR="00035A88">
        <w:rPr>
          <w:b w:val="0"/>
          <w:sz w:val="24"/>
          <w:szCs w:val="24"/>
        </w:rPr>
        <w:t>i</w:t>
      </w:r>
      <w:r w:rsidRPr="00D55011" w:rsidR="00FE7F6B">
        <w:rPr>
          <w:b w:val="0"/>
          <w:sz w:val="24"/>
          <w:szCs w:val="24"/>
        </w:rPr>
        <w:t>onal</w:t>
      </w:r>
      <w:r w:rsidRPr="00D55011" w:rsidR="008465D8">
        <w:rPr>
          <w:b w:val="0"/>
          <w:sz w:val="24"/>
          <w:szCs w:val="24"/>
        </w:rPr>
        <w:t>.</w:t>
      </w:r>
      <w:r w:rsidRPr="00D55011" w:rsidR="009C3114">
        <w:rPr>
          <w:rStyle w:val="FootnoteReference"/>
          <w:b w:val="0"/>
          <w:sz w:val="24"/>
          <w:szCs w:val="24"/>
          <w:vertAlign w:val="superscript"/>
        </w:rPr>
        <w:footnoteReference w:id="9"/>
      </w:r>
      <w:r w:rsidRPr="00D55011" w:rsidR="00FE7F6B">
        <w:rPr>
          <w:b w:val="0"/>
          <w:sz w:val="24"/>
          <w:szCs w:val="24"/>
        </w:rPr>
        <w:t xml:space="preserve"> </w:t>
      </w:r>
      <w:r w:rsidRPr="00D55011" w:rsidR="008465D8">
        <w:rPr>
          <w:b w:val="0"/>
          <w:sz w:val="24"/>
          <w:szCs w:val="24"/>
        </w:rPr>
        <w:t xml:space="preserve"> T</w:t>
      </w:r>
      <w:r w:rsidRPr="00D55011" w:rsidR="00FE7F6B">
        <w:rPr>
          <w:b w:val="0"/>
          <w:sz w:val="24"/>
          <w:szCs w:val="24"/>
        </w:rPr>
        <w:t>hus</w:t>
      </w:r>
      <w:r w:rsidRPr="00D55011" w:rsidR="00C01003">
        <w:rPr>
          <w:b w:val="0"/>
          <w:sz w:val="24"/>
          <w:szCs w:val="24"/>
        </w:rPr>
        <w:t>,</w:t>
      </w:r>
      <w:r w:rsidRPr="00D55011">
        <w:rPr>
          <w:b w:val="0"/>
          <w:bCs w:val="0"/>
          <w:sz w:val="24"/>
          <w:szCs w:val="24"/>
        </w:rPr>
        <w:t xml:space="preserve"> </w:t>
      </w:r>
      <w:r w:rsidRPr="00D55011" w:rsidR="00E627B0">
        <w:rPr>
          <w:b w:val="0"/>
          <w:bCs w:val="0"/>
          <w:sz w:val="24"/>
          <w:szCs w:val="24"/>
        </w:rPr>
        <w:t>the</w:t>
      </w:r>
      <w:r w:rsidRPr="00D55011">
        <w:rPr>
          <w:b w:val="0"/>
          <w:bCs w:val="0"/>
          <w:sz w:val="24"/>
          <w:szCs w:val="24"/>
        </w:rPr>
        <w:t xml:space="preserve"> equivalent cost of </w:t>
      </w:r>
      <w:r w:rsidRPr="00D55011" w:rsidR="00E627B0">
        <w:rPr>
          <w:b w:val="0"/>
          <w:bCs w:val="0"/>
          <w:sz w:val="24"/>
          <w:szCs w:val="24"/>
        </w:rPr>
        <w:t xml:space="preserve">the development hour burden is </w:t>
      </w:r>
      <w:r w:rsidRPr="00D55011">
        <w:rPr>
          <w:b w:val="0"/>
          <w:bCs w:val="0"/>
          <w:sz w:val="24"/>
          <w:szCs w:val="24"/>
        </w:rPr>
        <w:t>approximately $</w:t>
      </w:r>
      <w:r w:rsidR="002E3FC2">
        <w:rPr>
          <w:b w:val="0"/>
          <w:bCs w:val="0"/>
          <w:sz w:val="24"/>
          <w:szCs w:val="24"/>
        </w:rPr>
        <w:t>1,109,771</w:t>
      </w:r>
      <w:r w:rsidRPr="00D55011">
        <w:rPr>
          <w:b w:val="0"/>
          <w:bCs w:val="0"/>
          <w:sz w:val="24"/>
          <w:szCs w:val="24"/>
        </w:rPr>
        <w:t>.</w:t>
      </w:r>
    </w:p>
    <w:p w:rsidRPr="00D55011" w:rsidR="00D33C4C" w:rsidP="00D55011" w:rsidRDefault="00D33C4C" w14:paraId="4CDD3430" w14:textId="77777777">
      <w:pPr>
        <w:widowControl/>
        <w:ind w:left="720"/>
        <w:rPr>
          <w:b w:val="0"/>
          <w:bCs w:val="0"/>
          <w:sz w:val="24"/>
          <w:szCs w:val="24"/>
        </w:rPr>
      </w:pPr>
    </w:p>
    <w:p w:rsidRPr="00D55011" w:rsidR="00D33C4C" w:rsidP="00D55011" w:rsidRDefault="00D33C4C" w14:paraId="5D2800BC" w14:textId="2290066F">
      <w:pPr>
        <w:widowControl/>
        <w:ind w:left="720"/>
        <w:rPr>
          <w:b w:val="0"/>
          <w:bCs w:val="0"/>
          <w:sz w:val="24"/>
          <w:szCs w:val="24"/>
        </w:rPr>
      </w:pPr>
      <w:r w:rsidRPr="00D55011">
        <w:rPr>
          <w:b w:val="0"/>
          <w:bCs w:val="0"/>
          <w:sz w:val="24"/>
          <w:szCs w:val="24"/>
        </w:rPr>
        <w:t xml:space="preserve">Assuming that all of the </w:t>
      </w:r>
      <w:r w:rsidRPr="00046E13" w:rsidR="00046E13">
        <w:rPr>
          <w:b w:val="0"/>
          <w:bCs w:val="0"/>
          <w:sz w:val="24"/>
          <w:szCs w:val="24"/>
        </w:rPr>
        <w:t xml:space="preserve">48,108 </w:t>
      </w:r>
      <w:r w:rsidRPr="00D55011">
        <w:rPr>
          <w:b w:val="0"/>
          <w:bCs w:val="0"/>
          <w:sz w:val="24"/>
          <w:szCs w:val="24"/>
        </w:rPr>
        <w:t xml:space="preserve">respondents will require </w:t>
      </w:r>
      <w:r w:rsidRPr="00D55011" w:rsidR="00BC2727">
        <w:rPr>
          <w:b w:val="0"/>
          <w:bCs w:val="0"/>
          <w:sz w:val="24"/>
          <w:szCs w:val="24"/>
        </w:rPr>
        <w:t>fifteen</w:t>
      </w:r>
      <w:r w:rsidRPr="00D55011">
        <w:rPr>
          <w:b w:val="0"/>
          <w:bCs w:val="0"/>
          <w:sz w:val="24"/>
          <w:szCs w:val="24"/>
        </w:rPr>
        <w:t xml:space="preserve"> minute</w:t>
      </w:r>
      <w:r w:rsidRPr="00D55011" w:rsidR="00BC2727">
        <w:rPr>
          <w:b w:val="0"/>
          <w:bCs w:val="0"/>
          <w:sz w:val="24"/>
          <w:szCs w:val="24"/>
        </w:rPr>
        <w:t>s</w:t>
      </w:r>
      <w:r w:rsidRPr="00D55011">
        <w:rPr>
          <w:b w:val="0"/>
          <w:bCs w:val="0"/>
          <w:sz w:val="24"/>
          <w:szCs w:val="24"/>
        </w:rPr>
        <w:t xml:space="preserve"> for photocopying</w:t>
      </w:r>
      <w:r w:rsidRPr="00D55011" w:rsidR="00BC2727">
        <w:rPr>
          <w:b w:val="0"/>
          <w:bCs w:val="0"/>
          <w:sz w:val="24"/>
          <w:szCs w:val="24"/>
        </w:rPr>
        <w:t xml:space="preserve"> and organizing the materials</w:t>
      </w:r>
      <w:r w:rsidRPr="00D55011">
        <w:rPr>
          <w:b w:val="0"/>
          <w:bCs w:val="0"/>
          <w:sz w:val="24"/>
          <w:szCs w:val="24"/>
        </w:rPr>
        <w:t xml:space="preserve">, </w:t>
      </w:r>
      <w:r w:rsidR="00046E13">
        <w:rPr>
          <w:b w:val="0"/>
          <w:bCs w:val="0"/>
          <w:sz w:val="24"/>
          <w:szCs w:val="24"/>
        </w:rPr>
        <w:t>12,207</w:t>
      </w:r>
      <w:r w:rsidRPr="00D55011" w:rsidR="00BA04D3">
        <w:rPr>
          <w:b w:val="0"/>
          <w:bCs w:val="0"/>
          <w:sz w:val="24"/>
          <w:szCs w:val="24"/>
        </w:rPr>
        <w:t xml:space="preserve"> </w:t>
      </w:r>
      <w:r w:rsidRPr="00D55011">
        <w:rPr>
          <w:b w:val="0"/>
          <w:bCs w:val="0"/>
          <w:sz w:val="24"/>
          <w:szCs w:val="24"/>
        </w:rPr>
        <w:t xml:space="preserve">burden hours will be required for </w:t>
      </w:r>
      <w:r w:rsidRPr="00D55011" w:rsidR="005F0E8A">
        <w:rPr>
          <w:b w:val="0"/>
          <w:bCs w:val="0"/>
          <w:sz w:val="24"/>
          <w:szCs w:val="24"/>
        </w:rPr>
        <w:t>distributing the consent materials.</w:t>
      </w:r>
      <w:r w:rsidRPr="00D55011" w:rsidR="00E627B0">
        <w:rPr>
          <w:b w:val="0"/>
          <w:bCs w:val="0"/>
          <w:sz w:val="24"/>
          <w:szCs w:val="24"/>
        </w:rPr>
        <w:t xml:space="preserve"> </w:t>
      </w:r>
      <w:r w:rsidRPr="00D55011" w:rsidR="00B13C85">
        <w:rPr>
          <w:b w:val="0"/>
          <w:bCs w:val="0"/>
          <w:sz w:val="24"/>
          <w:szCs w:val="24"/>
        </w:rPr>
        <w:t xml:space="preserve"> </w:t>
      </w:r>
      <w:r w:rsidRPr="00D55011" w:rsidR="008465D8">
        <w:rPr>
          <w:b w:val="0"/>
          <w:bCs w:val="0"/>
          <w:sz w:val="24"/>
          <w:szCs w:val="24"/>
        </w:rPr>
        <w:t>A</w:t>
      </w:r>
      <w:r w:rsidRPr="00D55011" w:rsidR="00344DB8">
        <w:rPr>
          <w:b w:val="0"/>
          <w:bCs w:val="0"/>
          <w:sz w:val="24"/>
          <w:szCs w:val="24"/>
        </w:rPr>
        <w:t>ssuming an hourly rate of $</w:t>
      </w:r>
      <w:r w:rsidR="00571C39">
        <w:rPr>
          <w:b w:val="0"/>
          <w:bCs w:val="0"/>
          <w:sz w:val="24"/>
          <w:szCs w:val="24"/>
        </w:rPr>
        <w:t xml:space="preserve">55.14 </w:t>
      </w:r>
      <w:r w:rsidRPr="00D55011">
        <w:rPr>
          <w:b w:val="0"/>
          <w:bCs w:val="0"/>
          <w:sz w:val="24"/>
          <w:szCs w:val="24"/>
        </w:rPr>
        <w:t xml:space="preserve">per hour </w:t>
      </w:r>
      <w:r w:rsidRPr="00D55011" w:rsidR="00E627B0">
        <w:rPr>
          <w:b w:val="0"/>
          <w:bCs w:val="0"/>
          <w:sz w:val="24"/>
          <w:szCs w:val="24"/>
        </w:rPr>
        <w:t>for clerical time</w:t>
      </w:r>
      <w:r w:rsidRPr="00D55011" w:rsidR="0011314A">
        <w:rPr>
          <w:b w:val="0"/>
          <w:bCs w:val="0"/>
          <w:sz w:val="24"/>
          <w:szCs w:val="24"/>
        </w:rPr>
        <w:t>,</w:t>
      </w:r>
      <w:r w:rsidRPr="00D55011">
        <w:rPr>
          <w:b w:val="0"/>
          <w:bCs w:val="0"/>
          <w:sz w:val="24"/>
          <w:szCs w:val="24"/>
        </w:rPr>
        <w:t xml:space="preserve"> </w:t>
      </w:r>
      <w:r w:rsidRPr="00D55011" w:rsidR="00E627B0">
        <w:rPr>
          <w:b w:val="0"/>
          <w:bCs w:val="0"/>
          <w:sz w:val="24"/>
          <w:szCs w:val="24"/>
        </w:rPr>
        <w:t xml:space="preserve">the </w:t>
      </w:r>
      <w:r w:rsidRPr="00D55011" w:rsidR="008465D8">
        <w:rPr>
          <w:b w:val="0"/>
          <w:bCs w:val="0"/>
          <w:sz w:val="24"/>
          <w:szCs w:val="24"/>
        </w:rPr>
        <w:t xml:space="preserve">equivalent cost of the </w:t>
      </w:r>
      <w:r w:rsidRPr="00D55011" w:rsidR="00E627B0">
        <w:rPr>
          <w:b w:val="0"/>
          <w:bCs w:val="0"/>
          <w:sz w:val="24"/>
          <w:szCs w:val="24"/>
        </w:rPr>
        <w:t xml:space="preserve">distribution </w:t>
      </w:r>
      <w:r w:rsidRPr="00D55011" w:rsidR="008465D8">
        <w:rPr>
          <w:b w:val="0"/>
          <w:bCs w:val="0"/>
          <w:sz w:val="24"/>
          <w:szCs w:val="24"/>
        </w:rPr>
        <w:t xml:space="preserve">hour burden </w:t>
      </w:r>
      <w:r w:rsidRPr="00D55011">
        <w:rPr>
          <w:b w:val="0"/>
          <w:bCs w:val="0"/>
          <w:sz w:val="24"/>
          <w:szCs w:val="24"/>
        </w:rPr>
        <w:t>is approximately $</w:t>
      </w:r>
      <w:r w:rsidR="002E3FC2">
        <w:rPr>
          <w:b w:val="0"/>
          <w:bCs w:val="0"/>
          <w:sz w:val="24"/>
          <w:szCs w:val="24"/>
        </w:rPr>
        <w:t>663,169</w:t>
      </w:r>
      <w:r w:rsidRPr="00D55011" w:rsidR="00872160">
        <w:rPr>
          <w:b w:val="0"/>
          <w:bCs w:val="0"/>
          <w:sz w:val="24"/>
          <w:szCs w:val="24"/>
        </w:rPr>
        <w:t>.</w:t>
      </w:r>
    </w:p>
    <w:p w:rsidRPr="00D55011" w:rsidR="005F0E8A" w:rsidP="00D55011" w:rsidRDefault="005F0E8A" w14:paraId="62B10A55" w14:textId="77777777">
      <w:pPr>
        <w:widowControl/>
        <w:ind w:left="720"/>
        <w:rPr>
          <w:b w:val="0"/>
          <w:bCs w:val="0"/>
          <w:sz w:val="24"/>
          <w:szCs w:val="24"/>
        </w:rPr>
      </w:pPr>
    </w:p>
    <w:p w:rsidR="005F0E8A" w:rsidP="00D55011" w:rsidRDefault="00E627B0" w14:paraId="3CE63725" w14:textId="656CFF65">
      <w:pPr>
        <w:widowControl/>
        <w:ind w:left="720"/>
        <w:rPr>
          <w:b w:val="0"/>
          <w:bCs w:val="0"/>
          <w:sz w:val="24"/>
          <w:szCs w:val="24"/>
        </w:rPr>
      </w:pPr>
      <w:r w:rsidRPr="00D55011">
        <w:rPr>
          <w:b w:val="0"/>
          <w:bCs w:val="0"/>
          <w:sz w:val="24"/>
          <w:szCs w:val="24"/>
        </w:rPr>
        <w:t>Overall,</w:t>
      </w:r>
      <w:r w:rsidRPr="00D55011" w:rsidR="005F0E8A">
        <w:rPr>
          <w:b w:val="0"/>
          <w:bCs w:val="0"/>
          <w:sz w:val="24"/>
          <w:szCs w:val="24"/>
        </w:rPr>
        <w:t xml:space="preserve"> the </w:t>
      </w:r>
      <w:r w:rsidRPr="00D55011">
        <w:rPr>
          <w:b w:val="0"/>
          <w:bCs w:val="0"/>
          <w:sz w:val="24"/>
          <w:szCs w:val="24"/>
        </w:rPr>
        <w:t>total</w:t>
      </w:r>
      <w:r w:rsidR="00BF4D05">
        <w:rPr>
          <w:b w:val="0"/>
          <w:bCs w:val="0"/>
          <w:sz w:val="24"/>
          <w:szCs w:val="24"/>
        </w:rPr>
        <w:t xml:space="preserve"> </w:t>
      </w:r>
      <w:r w:rsidRPr="00D55011">
        <w:rPr>
          <w:b w:val="0"/>
          <w:bCs w:val="0"/>
          <w:sz w:val="24"/>
          <w:szCs w:val="24"/>
        </w:rPr>
        <w:t>hour burden</w:t>
      </w:r>
      <w:r w:rsidR="00BF4D05">
        <w:rPr>
          <w:b w:val="0"/>
          <w:bCs w:val="0"/>
          <w:sz w:val="24"/>
          <w:szCs w:val="24"/>
        </w:rPr>
        <w:t xml:space="preserve"> for the existing ICR</w:t>
      </w:r>
      <w:r w:rsidRPr="00D55011">
        <w:rPr>
          <w:b w:val="0"/>
          <w:bCs w:val="0"/>
          <w:sz w:val="24"/>
          <w:szCs w:val="24"/>
        </w:rPr>
        <w:t xml:space="preserve"> is approximately </w:t>
      </w:r>
      <w:r w:rsidR="00046E13">
        <w:rPr>
          <w:b w:val="0"/>
          <w:bCs w:val="0"/>
          <w:sz w:val="24"/>
          <w:szCs w:val="24"/>
        </w:rPr>
        <w:t>20,045</w:t>
      </w:r>
      <w:r w:rsidRPr="00D55011" w:rsidR="00BA04D3">
        <w:rPr>
          <w:b w:val="0"/>
          <w:bCs w:val="0"/>
          <w:sz w:val="24"/>
          <w:szCs w:val="24"/>
        </w:rPr>
        <w:t xml:space="preserve"> </w:t>
      </w:r>
      <w:r w:rsidRPr="00D55011">
        <w:rPr>
          <w:b w:val="0"/>
          <w:bCs w:val="0"/>
          <w:sz w:val="24"/>
          <w:szCs w:val="24"/>
        </w:rPr>
        <w:t>hours with an equivalent cost of approximately $</w:t>
      </w:r>
      <w:r w:rsidRPr="00D55011" w:rsidR="00BC2727">
        <w:rPr>
          <w:b w:val="0"/>
          <w:bCs w:val="0"/>
          <w:sz w:val="24"/>
          <w:szCs w:val="24"/>
        </w:rPr>
        <w:t>1</w:t>
      </w:r>
      <w:r w:rsidRPr="00D55011">
        <w:rPr>
          <w:b w:val="0"/>
          <w:bCs w:val="0"/>
          <w:sz w:val="24"/>
          <w:szCs w:val="24"/>
        </w:rPr>
        <w:t>,</w:t>
      </w:r>
      <w:r w:rsidR="002E3FC2">
        <w:rPr>
          <w:b w:val="0"/>
          <w:bCs w:val="0"/>
          <w:sz w:val="24"/>
          <w:szCs w:val="24"/>
        </w:rPr>
        <w:t>772,940</w:t>
      </w:r>
      <w:r w:rsidRPr="00D55011">
        <w:rPr>
          <w:b w:val="0"/>
          <w:bCs w:val="0"/>
          <w:sz w:val="24"/>
          <w:szCs w:val="24"/>
        </w:rPr>
        <w:t>.</w:t>
      </w:r>
    </w:p>
    <w:p w:rsidR="00BF4D05" w:rsidP="00D55011" w:rsidRDefault="00BF4D05" w14:paraId="66DE5F3B" w14:textId="77777777">
      <w:pPr>
        <w:widowControl/>
        <w:ind w:left="720"/>
        <w:rPr>
          <w:b w:val="0"/>
          <w:bCs w:val="0"/>
          <w:sz w:val="24"/>
          <w:szCs w:val="24"/>
        </w:rPr>
      </w:pPr>
    </w:p>
    <w:p w:rsidRPr="00BF4D05" w:rsidR="00BF4D05" w:rsidP="002D73D8" w:rsidRDefault="00BF4D05" w14:paraId="7BF83DA3" w14:textId="218EB350">
      <w:pPr>
        <w:widowControl/>
        <w:autoSpaceDE/>
        <w:autoSpaceDN/>
        <w:adjustRightInd/>
        <w:spacing w:after="160"/>
        <w:ind w:left="720"/>
        <w:rPr>
          <w:rFonts w:eastAsia="Calibri"/>
          <w:sz w:val="24"/>
          <w:szCs w:val="24"/>
        </w:rPr>
      </w:pPr>
      <w:r w:rsidRPr="00BF4D05">
        <w:rPr>
          <w:rFonts w:eastAsia="Calibri"/>
          <w:sz w:val="24"/>
          <w:szCs w:val="24"/>
        </w:rPr>
        <w:t xml:space="preserve">2019 Electronic Disclosure </w:t>
      </w:r>
      <w:r w:rsidR="00912580">
        <w:rPr>
          <w:rFonts w:eastAsia="Calibri"/>
          <w:sz w:val="24"/>
          <w:szCs w:val="24"/>
        </w:rPr>
        <w:t xml:space="preserve">Final </w:t>
      </w:r>
      <w:r w:rsidRPr="00BF4D05">
        <w:rPr>
          <w:rFonts w:eastAsia="Calibri"/>
          <w:sz w:val="24"/>
          <w:szCs w:val="24"/>
        </w:rPr>
        <w:t>Regulation</w:t>
      </w:r>
    </w:p>
    <w:p w:rsidRPr="00BF4D05" w:rsidR="00BF4D05" w:rsidP="002B491C" w:rsidRDefault="00BF4D05" w14:paraId="7D6182EF" w14:textId="2E634EDD">
      <w:pPr>
        <w:widowControl/>
        <w:autoSpaceDE/>
        <w:autoSpaceDN/>
        <w:adjustRightInd/>
        <w:ind w:left="720"/>
        <w:rPr>
          <w:rFonts w:eastAsia="Calibri"/>
          <w:b w:val="0"/>
          <w:bCs w:val="0"/>
          <w:sz w:val="24"/>
          <w:szCs w:val="24"/>
        </w:rPr>
      </w:pPr>
      <w:r w:rsidRPr="00BF4D05">
        <w:rPr>
          <w:b w:val="0"/>
          <w:bCs w:val="0"/>
          <w:sz w:val="24"/>
        </w:rPr>
        <w:t xml:space="preserve">While the Department expects the </w:t>
      </w:r>
      <w:r w:rsidR="00AF1D76">
        <w:rPr>
          <w:b w:val="0"/>
          <w:bCs w:val="0"/>
          <w:sz w:val="24"/>
        </w:rPr>
        <w:t>final</w:t>
      </w:r>
      <w:r w:rsidRPr="00BF4D05" w:rsidR="00AF1D76">
        <w:rPr>
          <w:b w:val="0"/>
          <w:bCs w:val="0"/>
          <w:sz w:val="24"/>
        </w:rPr>
        <w:t xml:space="preserve"> </w:t>
      </w:r>
      <w:r w:rsidRPr="00BF4D05">
        <w:rPr>
          <w:b w:val="0"/>
          <w:bCs w:val="0"/>
          <w:sz w:val="24"/>
        </w:rPr>
        <w:t xml:space="preserve">rule to reduce costs associated with distributing covered disclosures by eliminating material, printing, and mailing costs, these cost reductions are partly offset by costs incurred by administrators to meet the new safe harbor’s requirements to: (1) furnish a notice of internet availability to covered individuals ((paragraph (d) of the </w:t>
      </w:r>
      <w:r w:rsidR="005D419D">
        <w:rPr>
          <w:b w:val="0"/>
          <w:bCs w:val="0"/>
          <w:sz w:val="24"/>
        </w:rPr>
        <w:t>final</w:t>
      </w:r>
      <w:r w:rsidRPr="00BF4D05">
        <w:rPr>
          <w:b w:val="0"/>
          <w:bCs w:val="0"/>
          <w:sz w:val="24"/>
        </w:rPr>
        <w:t xml:space="preserve">); (2) </w:t>
      </w:r>
      <w:r w:rsidRPr="00BF4D05">
        <w:rPr>
          <w:rFonts w:eastAsia="Calibri"/>
          <w:b w:val="0"/>
          <w:bCs w:val="0"/>
          <w:sz w:val="24"/>
          <w:szCs w:val="24"/>
        </w:rPr>
        <w:t xml:space="preserve">ensure the existence of an website at which a covered individual is able to access, free of charge, one or more covered documents (paragraph (e) of the </w:t>
      </w:r>
      <w:r w:rsidR="005D419D">
        <w:rPr>
          <w:rFonts w:eastAsia="Calibri"/>
          <w:b w:val="0"/>
          <w:bCs w:val="0"/>
          <w:sz w:val="24"/>
          <w:szCs w:val="24"/>
        </w:rPr>
        <w:t>final</w:t>
      </w:r>
      <w:r w:rsidRPr="00BF4D05">
        <w:rPr>
          <w:rFonts w:eastAsia="Calibri"/>
          <w:b w:val="0"/>
          <w:bCs w:val="0"/>
          <w:sz w:val="24"/>
          <w:szCs w:val="24"/>
        </w:rPr>
        <w:t>);</w:t>
      </w:r>
      <w:r w:rsidRPr="00BF4D05">
        <w:rPr>
          <w:b w:val="0"/>
          <w:bCs w:val="0"/>
          <w:sz w:val="24"/>
        </w:rPr>
        <w:t xml:space="preserve"> and (3) </w:t>
      </w:r>
      <w:r w:rsidRPr="00BF4D05">
        <w:rPr>
          <w:rFonts w:eastAsia="Calibri"/>
          <w:b w:val="0"/>
          <w:bCs w:val="0"/>
          <w:sz w:val="24"/>
          <w:szCs w:val="24"/>
        </w:rPr>
        <w:t xml:space="preserve">furnish an </w:t>
      </w:r>
      <w:r w:rsidRPr="00BF4D05">
        <w:rPr>
          <w:b w:val="0"/>
          <w:bCs w:val="0"/>
          <w:sz w:val="24"/>
        </w:rPr>
        <w:t xml:space="preserve">initial notification of default electronic </w:t>
      </w:r>
      <w:r w:rsidRPr="00BF4D05">
        <w:rPr>
          <w:b w:val="0"/>
          <w:bCs w:val="0"/>
          <w:sz w:val="24"/>
        </w:rPr>
        <w:lastRenderedPageBreak/>
        <w:t>delivery and right to opt out</w:t>
      </w:r>
      <w:r w:rsidRPr="00BF4D05">
        <w:rPr>
          <w:rFonts w:eastAsia="Calibri"/>
          <w:b w:val="0"/>
          <w:bCs w:val="0"/>
          <w:sz w:val="24"/>
          <w:szCs w:val="24"/>
        </w:rPr>
        <w:t xml:space="preserve"> in paper to each person, before he or she becomes a covered individual (paragraph (g) of the proposal). </w:t>
      </w:r>
    </w:p>
    <w:p w:rsidRPr="00BF4D05" w:rsidR="00BF4D05" w:rsidP="002D73D8" w:rsidRDefault="00BF4D05" w14:paraId="20E8FA3F" w14:textId="77777777">
      <w:pPr>
        <w:widowControl/>
        <w:autoSpaceDE/>
        <w:autoSpaceDN/>
        <w:adjustRightInd/>
        <w:ind w:left="720" w:firstLine="720"/>
        <w:rPr>
          <w:rFonts w:eastAsia="Calibri"/>
          <w:b w:val="0"/>
          <w:bCs w:val="0"/>
          <w:sz w:val="24"/>
          <w:szCs w:val="24"/>
        </w:rPr>
      </w:pPr>
    </w:p>
    <w:p w:rsidRPr="00BF4D05" w:rsidR="00BF4D05" w:rsidP="002B491C" w:rsidRDefault="00BF4D05" w14:paraId="24D4FA43" w14:textId="39B8EF1A">
      <w:pPr>
        <w:widowControl/>
        <w:autoSpaceDE/>
        <w:autoSpaceDN/>
        <w:adjustRightInd/>
        <w:ind w:left="720"/>
        <w:rPr>
          <w:b w:val="0"/>
          <w:bCs w:val="0"/>
          <w:sz w:val="24"/>
        </w:rPr>
      </w:pPr>
      <w:r w:rsidRPr="00BF4D05">
        <w:rPr>
          <w:b w:val="0"/>
          <w:bCs w:val="0"/>
          <w:sz w:val="24"/>
        </w:rPr>
        <w:t>The Department assumes that plans will incur one-time start-up costs to develop systems and notices required by the</w:t>
      </w:r>
      <w:r w:rsidR="00684743">
        <w:rPr>
          <w:b w:val="0"/>
          <w:bCs w:val="0"/>
          <w:sz w:val="24"/>
        </w:rPr>
        <w:t xml:space="preserve"> rule</w:t>
      </w:r>
      <w:r w:rsidRPr="00BF4D05">
        <w:rPr>
          <w:b w:val="0"/>
          <w:bCs w:val="0"/>
          <w:sz w:val="24"/>
        </w:rPr>
        <w:t xml:space="preserve">, which would include time for the plan’s (or the plan service provider’s) legal counsel to prepare and review the notices to ensure compliance with the </w:t>
      </w:r>
      <w:r w:rsidR="00912580">
        <w:rPr>
          <w:b w:val="0"/>
          <w:bCs w:val="0"/>
          <w:sz w:val="24"/>
        </w:rPr>
        <w:t>final</w:t>
      </w:r>
      <w:r w:rsidRPr="00BF4D05">
        <w:rPr>
          <w:b w:val="0"/>
          <w:bCs w:val="0"/>
          <w:sz w:val="24"/>
        </w:rPr>
        <w:t xml:space="preserve"> regulatory requirements.  While the Department also assumes that the cost incurred by plans to distribute notices of internet availability would be negligible because they could be distributed electronically, the initial notification of default electronic delivery and right to opt out would impose material, printing, and postage costs on administrators, because they would be required to be furnished to covered individuals in a non-electronic format.</w:t>
      </w:r>
    </w:p>
    <w:p w:rsidRPr="00BF4D05" w:rsidR="00BF4D05" w:rsidP="002D73D8" w:rsidRDefault="00BF4D05" w14:paraId="199198BC" w14:textId="77777777">
      <w:pPr>
        <w:widowControl/>
        <w:autoSpaceDE/>
        <w:autoSpaceDN/>
        <w:adjustRightInd/>
        <w:ind w:left="720"/>
        <w:rPr>
          <w:b w:val="0"/>
          <w:bCs w:val="0"/>
          <w:sz w:val="24"/>
        </w:rPr>
      </w:pPr>
    </w:p>
    <w:p w:rsidRPr="00BF4D05" w:rsidR="00BF4D05" w:rsidP="002D73D8" w:rsidRDefault="00BF4D05" w14:paraId="019D2736" w14:textId="77777777">
      <w:pPr>
        <w:widowControl/>
        <w:autoSpaceDE/>
        <w:autoSpaceDN/>
        <w:adjustRightInd/>
        <w:ind w:left="720"/>
        <w:rPr>
          <w:bCs w:val="0"/>
          <w:sz w:val="24"/>
        </w:rPr>
      </w:pPr>
      <w:r w:rsidRPr="00BF4D05">
        <w:rPr>
          <w:bCs w:val="0"/>
          <w:sz w:val="24"/>
        </w:rPr>
        <w:t>Initial Notice</w:t>
      </w:r>
    </w:p>
    <w:p w:rsidR="009E0937" w:rsidP="002B491C" w:rsidRDefault="009E0937" w14:paraId="04F5FDF7" w14:textId="77777777">
      <w:pPr>
        <w:widowControl/>
        <w:autoSpaceDE/>
        <w:autoSpaceDN/>
        <w:adjustRightInd/>
        <w:ind w:left="720"/>
        <w:rPr>
          <w:b w:val="0"/>
          <w:bCs w:val="0"/>
          <w:sz w:val="24"/>
        </w:rPr>
      </w:pPr>
    </w:p>
    <w:p w:rsidRPr="00BF4D05" w:rsidR="00BF4D05" w:rsidP="002B491C" w:rsidRDefault="00BF4D05" w14:paraId="6C1C9ACF" w14:textId="7E613BB6">
      <w:pPr>
        <w:widowControl/>
        <w:autoSpaceDE/>
        <w:autoSpaceDN/>
        <w:adjustRightInd/>
        <w:ind w:left="720"/>
        <w:rPr>
          <w:rFonts w:eastAsia="Calibri"/>
          <w:b w:val="0"/>
          <w:bCs w:val="0"/>
          <w:sz w:val="24"/>
          <w:szCs w:val="24"/>
        </w:rPr>
      </w:pPr>
      <w:r w:rsidRPr="00BF4D05">
        <w:rPr>
          <w:b w:val="0"/>
          <w:bCs w:val="0"/>
          <w:sz w:val="24"/>
        </w:rPr>
        <w:t xml:space="preserve">The initial notification and right to opt out is a one-time transitional notice that informs </w:t>
      </w:r>
      <w:r w:rsidR="00215336">
        <w:rPr>
          <w:b w:val="0"/>
          <w:bCs w:val="0"/>
          <w:sz w:val="24"/>
        </w:rPr>
        <w:t xml:space="preserve">covered individuals </w:t>
      </w:r>
      <w:r w:rsidRPr="00BF4D05">
        <w:rPr>
          <w:b w:val="0"/>
          <w:bCs w:val="0"/>
          <w:sz w:val="24"/>
        </w:rPr>
        <w:t>who are existing employees of changes in default delivery system to e-delivery.</w:t>
      </w:r>
      <w:r w:rsidRPr="00BF4D05">
        <w:rPr>
          <w:b w:val="0"/>
          <w:bCs w:val="0"/>
          <w:sz w:val="24"/>
          <w:vertAlign w:val="superscript"/>
        </w:rPr>
        <w:footnoteReference w:id="10"/>
      </w:r>
      <w:r w:rsidRPr="00BF4D05">
        <w:rPr>
          <w:b w:val="0"/>
          <w:bCs w:val="0"/>
          <w:sz w:val="24"/>
        </w:rPr>
        <w:t xml:space="preserve">  A</w:t>
      </w:r>
      <w:r w:rsidRPr="00BF4D05">
        <w:rPr>
          <w:rFonts w:eastAsia="Calibri"/>
          <w:b w:val="0"/>
          <w:bCs w:val="0"/>
          <w:sz w:val="24"/>
          <w:szCs w:val="24"/>
        </w:rPr>
        <w:t xml:space="preserve">dministrators are required to furnish this notice in paper form to each person, prior to such person becoming a covered individual, informing them that some or all covered documents will be furnished electronically, that they have the right to request paper copies of some or all of the covered documents or to opt out of electronic delivery altogether, and of the procedures for exercising such rights.  For transition purposes, the </w:t>
      </w:r>
      <w:r w:rsidR="00912580">
        <w:rPr>
          <w:rFonts w:eastAsia="Calibri"/>
          <w:b w:val="0"/>
          <w:bCs w:val="0"/>
          <w:sz w:val="24"/>
          <w:szCs w:val="24"/>
        </w:rPr>
        <w:t>final</w:t>
      </w:r>
      <w:r w:rsidRPr="00BF4D05">
        <w:rPr>
          <w:rFonts w:eastAsia="Calibri"/>
          <w:b w:val="0"/>
          <w:bCs w:val="0"/>
          <w:sz w:val="24"/>
          <w:szCs w:val="24"/>
        </w:rPr>
        <w:t xml:space="preserve"> rule would require an administrator using the </w:t>
      </w:r>
      <w:r w:rsidRPr="00BF4D05" w:rsidR="00912580">
        <w:rPr>
          <w:rFonts w:eastAsia="Calibri"/>
          <w:b w:val="0"/>
          <w:bCs w:val="0"/>
          <w:sz w:val="24"/>
          <w:szCs w:val="24"/>
        </w:rPr>
        <w:t xml:space="preserve"> </w:t>
      </w:r>
      <w:r w:rsidRPr="00BF4D05">
        <w:rPr>
          <w:rFonts w:eastAsia="Calibri"/>
          <w:b w:val="0"/>
          <w:bCs w:val="0"/>
          <w:sz w:val="24"/>
          <w:szCs w:val="24"/>
        </w:rPr>
        <w:t>safe harbor to send this notification to all existing employees before any or all of them can become a “covered individual.”  Thereafter, an administrator must send this notification to all new employees and beneficiaries receiving benefits.  To minimize any unnecessary confusion and ensure smooth transitions from</w:t>
      </w:r>
      <w:r w:rsidR="00215336">
        <w:rPr>
          <w:rFonts w:eastAsia="Calibri"/>
          <w:b w:val="0"/>
          <w:bCs w:val="0"/>
          <w:sz w:val="24"/>
          <w:szCs w:val="24"/>
        </w:rPr>
        <w:t xml:space="preserve"> covered individuals</w:t>
      </w:r>
      <w:r w:rsidRPr="00BF4D05">
        <w:rPr>
          <w:rFonts w:eastAsia="Calibri"/>
          <w:b w:val="0"/>
          <w:bCs w:val="0"/>
          <w:sz w:val="24"/>
          <w:szCs w:val="24"/>
        </w:rPr>
        <w:t xml:space="preserve">’ perspectives, the </w:t>
      </w:r>
      <w:r w:rsidR="00684743">
        <w:rPr>
          <w:rFonts w:eastAsia="Calibri"/>
          <w:b w:val="0"/>
          <w:bCs w:val="0"/>
          <w:sz w:val="24"/>
          <w:szCs w:val="24"/>
        </w:rPr>
        <w:t xml:space="preserve">rule </w:t>
      </w:r>
      <w:r w:rsidRPr="00BF4D05">
        <w:rPr>
          <w:rFonts w:eastAsia="Calibri"/>
          <w:b w:val="0"/>
          <w:bCs w:val="0"/>
          <w:sz w:val="24"/>
          <w:szCs w:val="24"/>
        </w:rPr>
        <w:t xml:space="preserve">requires this notification to be sent to employees who have affirmatively consented to receiving electronic disclosures under the existing safe harbor if an administrator wishes to transition to providing electronic disclosures to such participants under the </w:t>
      </w:r>
      <w:r w:rsidR="00912580">
        <w:rPr>
          <w:rFonts w:eastAsia="Calibri"/>
          <w:b w:val="0"/>
          <w:bCs w:val="0"/>
          <w:sz w:val="24"/>
          <w:szCs w:val="24"/>
        </w:rPr>
        <w:t>finalized</w:t>
      </w:r>
      <w:r w:rsidRPr="00BF4D05" w:rsidR="00912580">
        <w:rPr>
          <w:rFonts w:eastAsia="Calibri"/>
          <w:b w:val="0"/>
          <w:bCs w:val="0"/>
          <w:sz w:val="24"/>
          <w:szCs w:val="24"/>
        </w:rPr>
        <w:t xml:space="preserve"> </w:t>
      </w:r>
      <w:r w:rsidRPr="00BF4D05">
        <w:rPr>
          <w:rFonts w:eastAsia="Calibri"/>
          <w:b w:val="0"/>
          <w:bCs w:val="0"/>
          <w:sz w:val="24"/>
          <w:szCs w:val="24"/>
        </w:rPr>
        <w:t xml:space="preserve">safe harbor. </w:t>
      </w:r>
    </w:p>
    <w:p w:rsidRPr="00BF4D05" w:rsidR="00BF4D05" w:rsidP="002D73D8" w:rsidRDefault="00BF4D05" w14:paraId="206BF7BC" w14:textId="77777777">
      <w:pPr>
        <w:widowControl/>
        <w:autoSpaceDE/>
        <w:autoSpaceDN/>
        <w:adjustRightInd/>
        <w:ind w:left="720" w:firstLine="720"/>
        <w:rPr>
          <w:b w:val="0"/>
          <w:bCs w:val="0"/>
          <w:sz w:val="24"/>
        </w:rPr>
      </w:pPr>
    </w:p>
    <w:p w:rsidRPr="00BF4D05" w:rsidR="00BF4D05" w:rsidP="002B491C" w:rsidRDefault="00BF4D05" w14:paraId="690BBD8A" w14:textId="60BB2EAE">
      <w:pPr>
        <w:widowControl/>
        <w:autoSpaceDE/>
        <w:autoSpaceDN/>
        <w:adjustRightInd/>
        <w:ind w:left="720"/>
        <w:rPr>
          <w:rFonts w:eastAsia="Calibri"/>
          <w:b w:val="0"/>
          <w:bCs w:val="0"/>
          <w:sz w:val="24"/>
          <w:szCs w:val="24"/>
        </w:rPr>
      </w:pPr>
      <w:r w:rsidRPr="00BF4D05">
        <w:rPr>
          <w:rFonts w:eastAsia="Calibri"/>
          <w:b w:val="0"/>
          <w:bCs w:val="0"/>
          <w:sz w:val="24"/>
          <w:szCs w:val="24"/>
        </w:rPr>
        <w:t xml:space="preserve">Retirement plans will incur one-time costs to develop and design an initial notice.  The </w:t>
      </w:r>
      <w:r w:rsidR="00912580">
        <w:rPr>
          <w:rFonts w:eastAsia="Calibri"/>
          <w:b w:val="0"/>
          <w:bCs w:val="0"/>
          <w:sz w:val="24"/>
          <w:szCs w:val="24"/>
        </w:rPr>
        <w:t>final</w:t>
      </w:r>
      <w:r w:rsidRPr="00BF4D05" w:rsidR="00912580">
        <w:rPr>
          <w:rFonts w:eastAsia="Calibri"/>
          <w:b w:val="0"/>
          <w:bCs w:val="0"/>
          <w:sz w:val="24"/>
          <w:szCs w:val="24"/>
        </w:rPr>
        <w:t xml:space="preserve"> </w:t>
      </w:r>
      <w:r w:rsidRPr="00BF4D05">
        <w:rPr>
          <w:rFonts w:eastAsia="Calibri"/>
          <w:b w:val="0"/>
          <w:bCs w:val="0"/>
          <w:sz w:val="24"/>
          <w:szCs w:val="24"/>
        </w:rPr>
        <w:t xml:space="preserve">rule clearly describes the specific information required to be included in this notice; therefore, the Department expects the costs to develop and design the notice would be modest, approximately </w:t>
      </w:r>
      <w:r w:rsidR="00A917CF">
        <w:rPr>
          <w:rFonts w:eastAsia="Calibri"/>
          <w:b w:val="0"/>
          <w:bCs w:val="0"/>
          <w:sz w:val="24"/>
          <w:szCs w:val="24"/>
        </w:rPr>
        <w:t>295,636</w:t>
      </w:r>
      <w:r w:rsidRPr="00BF4D05">
        <w:rPr>
          <w:rFonts w:eastAsia="Calibri"/>
          <w:b w:val="0"/>
          <w:bCs w:val="0"/>
          <w:sz w:val="24"/>
          <w:szCs w:val="24"/>
        </w:rPr>
        <w:t xml:space="preserve"> hours with an equivalent cost of $</w:t>
      </w:r>
      <w:r w:rsidR="00310B18">
        <w:rPr>
          <w:rFonts w:eastAsia="Calibri"/>
          <w:b w:val="0"/>
          <w:bCs w:val="0"/>
          <w:sz w:val="24"/>
          <w:szCs w:val="24"/>
        </w:rPr>
        <w:t>40,920,275</w:t>
      </w:r>
      <w:r w:rsidRPr="00BF4D05">
        <w:rPr>
          <w:rFonts w:eastAsia="Calibri"/>
          <w:b w:val="0"/>
          <w:bCs w:val="0"/>
          <w:sz w:val="24"/>
          <w:szCs w:val="24"/>
        </w:rPr>
        <w:t xml:space="preserve"> on aggregate assuming all retirement plans decide to rely on this </w:t>
      </w:r>
      <w:r w:rsidR="00912580">
        <w:rPr>
          <w:rFonts w:eastAsia="Calibri"/>
          <w:b w:val="0"/>
          <w:bCs w:val="0"/>
          <w:sz w:val="24"/>
          <w:szCs w:val="24"/>
        </w:rPr>
        <w:t>final rule</w:t>
      </w:r>
      <w:r w:rsidRPr="00BF4D05">
        <w:rPr>
          <w:rFonts w:eastAsia="Calibri"/>
          <w:b w:val="0"/>
          <w:bCs w:val="0"/>
          <w:sz w:val="24"/>
          <w:szCs w:val="24"/>
        </w:rPr>
        <w:t>.</w:t>
      </w:r>
      <w:r w:rsidRPr="00BF4D05">
        <w:rPr>
          <w:rFonts w:eastAsia="Calibri"/>
          <w:b w:val="0"/>
          <w:bCs w:val="0"/>
          <w:sz w:val="24"/>
          <w:szCs w:val="24"/>
          <w:vertAlign w:val="superscript"/>
        </w:rPr>
        <w:footnoteReference w:id="11"/>
      </w:r>
      <w:r w:rsidRPr="00BF4D05">
        <w:rPr>
          <w:rFonts w:eastAsia="Calibri"/>
          <w:b w:val="0"/>
          <w:bCs w:val="0"/>
          <w:sz w:val="24"/>
          <w:szCs w:val="24"/>
        </w:rPr>
        <w:t xml:space="preserve"> The burden to prepare the notices for distribution is </w:t>
      </w:r>
      <w:r w:rsidR="00534D23">
        <w:rPr>
          <w:rFonts w:eastAsia="Calibri"/>
          <w:b w:val="0"/>
          <w:bCs w:val="0"/>
          <w:sz w:val="24"/>
          <w:szCs w:val="24"/>
        </w:rPr>
        <w:t>11,825</w:t>
      </w:r>
      <w:r w:rsidRPr="00BF4D05">
        <w:rPr>
          <w:rFonts w:eastAsia="Calibri"/>
          <w:b w:val="0"/>
          <w:bCs w:val="0"/>
          <w:sz w:val="24"/>
          <w:szCs w:val="24"/>
        </w:rPr>
        <w:t xml:space="preserve"> hours with an equivalent cost of $</w:t>
      </w:r>
      <w:r w:rsidR="00534D23">
        <w:rPr>
          <w:rFonts w:eastAsia="Calibri"/>
          <w:b w:val="0"/>
          <w:bCs w:val="0"/>
          <w:sz w:val="24"/>
          <w:szCs w:val="24"/>
        </w:rPr>
        <w:t>758,148</w:t>
      </w:r>
      <w:r w:rsidRPr="00BF4D05">
        <w:rPr>
          <w:rFonts w:eastAsia="Calibri"/>
          <w:b w:val="0"/>
          <w:bCs w:val="0"/>
          <w:sz w:val="24"/>
          <w:szCs w:val="24"/>
        </w:rPr>
        <w:t>.</w:t>
      </w:r>
      <w:r w:rsidRPr="00BF4D05">
        <w:rPr>
          <w:rFonts w:eastAsia="Calibri"/>
          <w:b w:val="0"/>
          <w:bCs w:val="0"/>
          <w:sz w:val="24"/>
          <w:szCs w:val="24"/>
          <w:vertAlign w:val="superscript"/>
        </w:rPr>
        <w:footnoteReference w:id="12"/>
      </w:r>
    </w:p>
    <w:p w:rsidRPr="00BF4D05" w:rsidR="00BF4D05" w:rsidP="002D73D8" w:rsidRDefault="00BF4D05" w14:paraId="02733399" w14:textId="77777777">
      <w:pPr>
        <w:widowControl/>
        <w:autoSpaceDE/>
        <w:autoSpaceDN/>
        <w:adjustRightInd/>
        <w:ind w:left="720" w:firstLine="720"/>
        <w:rPr>
          <w:rFonts w:eastAsia="Calibri"/>
          <w:b w:val="0"/>
          <w:bCs w:val="0"/>
          <w:sz w:val="24"/>
          <w:szCs w:val="24"/>
        </w:rPr>
      </w:pPr>
    </w:p>
    <w:p w:rsidRPr="00BF4D05" w:rsidR="00BF4D05" w:rsidP="002B491C" w:rsidRDefault="00BF4D05" w14:paraId="188F2D9B" w14:textId="24E83457">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The Department estimates that approximately 60 million </w:t>
      </w:r>
      <w:r w:rsidR="00215336">
        <w:rPr>
          <w:rFonts w:eastAsia="Calibri"/>
          <w:b w:val="0"/>
          <w:bCs w:val="0"/>
          <w:sz w:val="24"/>
          <w:szCs w:val="24"/>
        </w:rPr>
        <w:t>covered individuals</w:t>
      </w:r>
      <w:r w:rsidR="002B491C">
        <w:rPr>
          <w:rFonts w:eastAsia="Calibri"/>
          <w:b w:val="0"/>
          <w:bCs w:val="0"/>
          <w:sz w:val="24"/>
          <w:szCs w:val="24"/>
        </w:rPr>
        <w:t xml:space="preserve"> in retirement plans</w:t>
      </w:r>
      <w:r w:rsidR="00215336">
        <w:rPr>
          <w:rFonts w:eastAsia="Calibri"/>
          <w:b w:val="0"/>
          <w:bCs w:val="0"/>
          <w:sz w:val="24"/>
          <w:szCs w:val="24"/>
        </w:rPr>
        <w:t xml:space="preserve"> </w:t>
      </w:r>
      <w:r w:rsidRPr="00BF4D05">
        <w:rPr>
          <w:rFonts w:eastAsia="Calibri"/>
          <w:b w:val="0"/>
          <w:bCs w:val="0"/>
          <w:sz w:val="24"/>
          <w:szCs w:val="24"/>
        </w:rPr>
        <w:t xml:space="preserve">received covered disclosures by mail in </w:t>
      </w:r>
      <w:r w:rsidRPr="00BF4D05" w:rsidR="003A317E">
        <w:rPr>
          <w:rFonts w:eastAsia="Calibri"/>
          <w:b w:val="0"/>
          <w:bCs w:val="0"/>
          <w:sz w:val="24"/>
          <w:szCs w:val="24"/>
        </w:rPr>
        <w:t>201</w:t>
      </w:r>
      <w:r w:rsidR="003A317E">
        <w:rPr>
          <w:rFonts w:eastAsia="Calibri"/>
          <w:b w:val="0"/>
          <w:bCs w:val="0"/>
          <w:sz w:val="24"/>
          <w:szCs w:val="24"/>
        </w:rPr>
        <w:t>7</w:t>
      </w:r>
      <w:r w:rsidRPr="00BF4D05">
        <w:rPr>
          <w:rFonts w:eastAsia="Calibri"/>
          <w:b w:val="0"/>
          <w:bCs w:val="0"/>
          <w:sz w:val="24"/>
          <w:szCs w:val="24"/>
        </w:rPr>
        <w:t>; and therefore, could potentially receive the initial notice from their plan administrators.  Assuming a one-page notice is mailed to these 60 million</w:t>
      </w:r>
      <w:r w:rsidR="00215336">
        <w:rPr>
          <w:rFonts w:eastAsia="Calibri"/>
          <w:b w:val="0"/>
          <w:bCs w:val="0"/>
          <w:sz w:val="24"/>
          <w:szCs w:val="24"/>
        </w:rPr>
        <w:t xml:space="preserve"> covered individuals</w:t>
      </w:r>
      <w:r w:rsidRPr="00BF4D05">
        <w:rPr>
          <w:rFonts w:eastAsia="Calibri"/>
          <w:b w:val="0"/>
          <w:bCs w:val="0"/>
          <w:sz w:val="24"/>
          <w:szCs w:val="24"/>
        </w:rPr>
        <w:t xml:space="preserve">, the Department estimates the hour burden to print the initial notice will be approximately </w:t>
      </w:r>
      <w:r w:rsidR="00D633BD">
        <w:rPr>
          <w:rFonts w:eastAsia="Calibri"/>
          <w:b w:val="0"/>
          <w:bCs w:val="0"/>
          <w:sz w:val="24"/>
          <w:szCs w:val="24"/>
        </w:rPr>
        <w:t>998,440</w:t>
      </w:r>
      <w:r w:rsidRPr="00BF4D05">
        <w:rPr>
          <w:rFonts w:eastAsia="Calibri"/>
          <w:b w:val="0"/>
          <w:bCs w:val="0"/>
          <w:sz w:val="24"/>
          <w:szCs w:val="24"/>
        </w:rPr>
        <w:t xml:space="preserve"> hours with an equivalent cost of $</w:t>
      </w:r>
      <w:r w:rsidR="00D633BD">
        <w:rPr>
          <w:rFonts w:eastAsia="Calibri"/>
          <w:b w:val="0"/>
          <w:bCs w:val="0"/>
          <w:sz w:val="24"/>
          <w:szCs w:val="24"/>
        </w:rPr>
        <w:t>64,011,534</w:t>
      </w:r>
      <w:r w:rsidRPr="00BF4D05">
        <w:rPr>
          <w:rFonts w:eastAsia="Calibri"/>
          <w:b w:val="0"/>
          <w:bCs w:val="0"/>
          <w:sz w:val="24"/>
          <w:szCs w:val="24"/>
        </w:rPr>
        <w:t>.</w:t>
      </w:r>
      <w:r w:rsidRPr="00BF4D05">
        <w:rPr>
          <w:rFonts w:eastAsia="Calibri"/>
          <w:b w:val="0"/>
          <w:bCs w:val="0"/>
          <w:sz w:val="24"/>
          <w:szCs w:val="24"/>
          <w:vertAlign w:val="superscript"/>
        </w:rPr>
        <w:footnoteReference w:id="13"/>
      </w:r>
      <w:r w:rsidRPr="00BF4D05">
        <w:rPr>
          <w:rFonts w:eastAsia="Calibri"/>
          <w:b w:val="0"/>
          <w:bCs w:val="0"/>
          <w:sz w:val="24"/>
          <w:szCs w:val="24"/>
        </w:rPr>
        <w:t xml:space="preserve">  </w:t>
      </w:r>
    </w:p>
    <w:p w:rsidRPr="00BF4D05" w:rsidR="00BF4D05" w:rsidP="002D73D8" w:rsidRDefault="00BF4D05" w14:paraId="47D54F8E" w14:textId="77777777">
      <w:pPr>
        <w:widowControl/>
        <w:autoSpaceDE/>
        <w:autoSpaceDN/>
        <w:adjustRightInd/>
        <w:ind w:left="720" w:firstLine="720"/>
        <w:rPr>
          <w:rFonts w:eastAsia="Calibri"/>
          <w:b w:val="0"/>
          <w:bCs w:val="0"/>
          <w:sz w:val="24"/>
          <w:szCs w:val="24"/>
        </w:rPr>
      </w:pPr>
    </w:p>
    <w:p w:rsidRPr="00BF4D05" w:rsidR="00BF4D05" w:rsidP="002B491C" w:rsidRDefault="00BF4D05" w14:paraId="5D59C690" w14:textId="7E5CA40F">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Therefore, the Department estimates that retirement plans would incur a total burden for this requirement of approximately </w:t>
      </w:r>
      <w:r w:rsidR="00B35563">
        <w:rPr>
          <w:rFonts w:eastAsia="Calibri"/>
          <w:b w:val="0"/>
          <w:bCs w:val="0"/>
          <w:sz w:val="24"/>
          <w:szCs w:val="24"/>
        </w:rPr>
        <w:t>1,305,902</w:t>
      </w:r>
      <w:r w:rsidRPr="00BF4D05">
        <w:rPr>
          <w:rFonts w:eastAsia="Calibri"/>
          <w:b w:val="0"/>
          <w:bCs w:val="0"/>
          <w:sz w:val="24"/>
          <w:szCs w:val="24"/>
        </w:rPr>
        <w:t xml:space="preserve"> hours with an equivalent cost of $</w:t>
      </w:r>
      <w:r w:rsidR="00B35563">
        <w:rPr>
          <w:rFonts w:eastAsia="Calibri"/>
          <w:b w:val="0"/>
          <w:bCs w:val="0"/>
          <w:sz w:val="24"/>
          <w:szCs w:val="24"/>
        </w:rPr>
        <w:t>105,689,957</w:t>
      </w:r>
      <w:r w:rsidRPr="00BF4D05">
        <w:rPr>
          <w:rFonts w:eastAsia="Calibri"/>
          <w:b w:val="0"/>
          <w:bCs w:val="0"/>
          <w:sz w:val="24"/>
          <w:szCs w:val="24"/>
        </w:rPr>
        <w:t xml:space="preserve"> one-time costs to develop and prepare the initial notice.  These are one-time transitional costs that would not be incurred in subsequent years.</w:t>
      </w:r>
      <w:r w:rsidRPr="00BF4D05">
        <w:rPr>
          <w:rFonts w:eastAsia="Calibri"/>
          <w:b w:val="0"/>
          <w:bCs w:val="0"/>
          <w:sz w:val="24"/>
          <w:szCs w:val="24"/>
          <w:vertAlign w:val="superscript"/>
        </w:rPr>
        <w:footnoteReference w:id="14"/>
      </w:r>
    </w:p>
    <w:p w:rsidRPr="00BF4D05" w:rsidR="00BF4D05" w:rsidP="002D73D8" w:rsidRDefault="00BF4D05" w14:paraId="58236332" w14:textId="77777777">
      <w:pPr>
        <w:widowControl/>
        <w:autoSpaceDE/>
        <w:autoSpaceDN/>
        <w:adjustRightInd/>
        <w:ind w:left="720" w:firstLine="720"/>
        <w:rPr>
          <w:rFonts w:eastAsia="Calibri"/>
          <w:b w:val="0"/>
          <w:bCs w:val="0"/>
          <w:sz w:val="24"/>
          <w:szCs w:val="24"/>
        </w:rPr>
      </w:pPr>
    </w:p>
    <w:p w:rsidR="00BF4D05" w:rsidP="002D73D8" w:rsidRDefault="00BF4D05" w14:paraId="60A149AE" w14:textId="77777777">
      <w:pPr>
        <w:widowControl/>
        <w:autoSpaceDE/>
        <w:autoSpaceDN/>
        <w:adjustRightInd/>
        <w:ind w:left="720"/>
        <w:rPr>
          <w:rFonts w:eastAsia="Calibri"/>
          <w:bCs w:val="0"/>
          <w:sz w:val="24"/>
          <w:szCs w:val="24"/>
        </w:rPr>
      </w:pPr>
      <w:r w:rsidRPr="00BF4D05">
        <w:rPr>
          <w:rFonts w:eastAsia="Calibri"/>
          <w:bCs w:val="0"/>
          <w:sz w:val="24"/>
          <w:szCs w:val="24"/>
        </w:rPr>
        <w:t>Notice of Internet Availability</w:t>
      </w:r>
    </w:p>
    <w:p w:rsidRPr="00BF4D05" w:rsidR="009E0937" w:rsidP="002D73D8" w:rsidRDefault="009E0937" w14:paraId="26949438" w14:textId="77777777">
      <w:pPr>
        <w:widowControl/>
        <w:autoSpaceDE/>
        <w:autoSpaceDN/>
        <w:adjustRightInd/>
        <w:ind w:left="720"/>
        <w:rPr>
          <w:rFonts w:eastAsia="Calibri"/>
          <w:bCs w:val="0"/>
          <w:sz w:val="24"/>
          <w:szCs w:val="24"/>
        </w:rPr>
      </w:pPr>
    </w:p>
    <w:p w:rsidRPr="00BF4D05" w:rsidR="00BF4D05" w:rsidP="002B491C" w:rsidRDefault="00BF4D05" w14:paraId="2D06F36C" w14:textId="6BD0B7A4">
      <w:pPr>
        <w:widowControl/>
        <w:autoSpaceDE/>
        <w:autoSpaceDN/>
        <w:adjustRightInd/>
        <w:ind w:left="720"/>
        <w:rPr>
          <w:rFonts w:eastAsia="Calibri"/>
          <w:b w:val="0"/>
          <w:bCs w:val="0"/>
          <w:sz w:val="24"/>
          <w:szCs w:val="24"/>
        </w:rPr>
      </w:pPr>
      <w:r w:rsidRPr="00BF4D05">
        <w:rPr>
          <w:rFonts w:eastAsia="Calibri"/>
          <w:b w:val="0"/>
          <w:bCs w:val="0"/>
          <w:sz w:val="24"/>
          <w:szCs w:val="24"/>
        </w:rPr>
        <w:t xml:space="preserve">Plan Administrators are generally required to send a notice of internet availability each time a retirement plan disclosure is posted to the internet website.  To prevent “email overload,” </w:t>
      </w:r>
      <w:r w:rsidR="009E0937">
        <w:rPr>
          <w:rFonts w:eastAsia="Calibri"/>
          <w:b w:val="0"/>
          <w:bCs w:val="0"/>
          <w:sz w:val="24"/>
          <w:szCs w:val="24"/>
        </w:rPr>
        <w:t xml:space="preserve">paragraph (k) of </w:t>
      </w:r>
      <w:r w:rsidRPr="00BF4D05">
        <w:rPr>
          <w:rFonts w:eastAsia="Calibri"/>
          <w:b w:val="0"/>
          <w:bCs w:val="0"/>
          <w:sz w:val="24"/>
          <w:szCs w:val="24"/>
        </w:rPr>
        <w:t xml:space="preserve">the proposal allows a notice of internet availability to incorporate or combine other notices of internet availability in limited circumstances. A notice of internet availability must include, among other things, a brief description of the document being posted online, a website address where the document is posted, and instructions for requesting a free paper copy or electing paper delivery in the future.  Plans will require a one-time burden in the first year </w:t>
      </w:r>
      <w:r w:rsidR="00F80253">
        <w:rPr>
          <w:rFonts w:eastAsia="Calibri"/>
          <w:b w:val="0"/>
          <w:bCs w:val="0"/>
          <w:sz w:val="24"/>
          <w:szCs w:val="24"/>
        </w:rPr>
        <w:t>177,382</w:t>
      </w:r>
      <w:r w:rsidRPr="00BF4D05">
        <w:rPr>
          <w:rFonts w:eastAsia="Calibri"/>
          <w:b w:val="0"/>
          <w:bCs w:val="0"/>
          <w:sz w:val="24"/>
          <w:szCs w:val="24"/>
        </w:rPr>
        <w:t xml:space="preserve"> hours with an equivalent costs of $</w:t>
      </w:r>
      <w:r w:rsidRPr="00F80253" w:rsidR="00F80253">
        <w:rPr>
          <w:rFonts w:eastAsia="Calibri"/>
          <w:b w:val="0"/>
          <w:sz w:val="24"/>
          <w:szCs w:val="24"/>
        </w:rPr>
        <w:t>24,552,165</w:t>
      </w:r>
      <w:r w:rsidR="00F80253">
        <w:rPr>
          <w:rFonts w:eastAsia="Calibri"/>
          <w:b w:val="0"/>
          <w:sz w:val="24"/>
          <w:szCs w:val="24"/>
        </w:rPr>
        <w:t xml:space="preserve"> </w:t>
      </w:r>
      <w:r w:rsidRPr="00BF4D05">
        <w:rPr>
          <w:rFonts w:eastAsia="Calibri"/>
          <w:b w:val="0"/>
          <w:bCs w:val="0"/>
          <w:sz w:val="24"/>
          <w:szCs w:val="24"/>
        </w:rPr>
        <w:t>to develop the notice.</w:t>
      </w:r>
      <w:r w:rsidRPr="00BF4D05">
        <w:rPr>
          <w:rFonts w:eastAsia="Calibri"/>
          <w:b w:val="0"/>
          <w:bCs w:val="0"/>
          <w:sz w:val="24"/>
          <w:szCs w:val="24"/>
          <w:vertAlign w:val="superscript"/>
        </w:rPr>
        <w:footnoteReference w:id="15"/>
      </w:r>
      <w:r w:rsidRPr="00BF4D05">
        <w:rPr>
          <w:rFonts w:eastAsia="Calibri"/>
          <w:b w:val="0"/>
          <w:bCs w:val="0"/>
          <w:sz w:val="24"/>
          <w:szCs w:val="24"/>
        </w:rPr>
        <w:t xml:space="preserve">  Plan administrators will also incurs in every year the burden of preparing the notice of </w:t>
      </w:r>
      <w:r w:rsidR="001F0B2C">
        <w:rPr>
          <w:rFonts w:eastAsia="Calibri"/>
          <w:b w:val="0"/>
          <w:bCs w:val="0"/>
          <w:sz w:val="24"/>
          <w:szCs w:val="24"/>
        </w:rPr>
        <w:t>259,747</w:t>
      </w:r>
      <w:r w:rsidRPr="00BF4D05">
        <w:rPr>
          <w:rFonts w:eastAsia="Calibri"/>
          <w:b w:val="0"/>
          <w:bCs w:val="0"/>
          <w:sz w:val="24"/>
          <w:szCs w:val="24"/>
        </w:rPr>
        <w:t xml:space="preserve"> hours with an equivalent cost of $</w:t>
      </w:r>
      <w:r w:rsidR="001F0B2C">
        <w:rPr>
          <w:rFonts w:eastAsia="Calibri"/>
          <w:b w:val="0"/>
          <w:bCs w:val="0"/>
          <w:sz w:val="24"/>
          <w:szCs w:val="24"/>
        </w:rPr>
        <w:t>14,323,054</w:t>
      </w:r>
      <w:r w:rsidRPr="00BF4D05">
        <w:rPr>
          <w:rFonts w:eastAsia="Calibri"/>
          <w:b w:val="0"/>
          <w:bCs w:val="0"/>
          <w:sz w:val="24"/>
          <w:szCs w:val="24"/>
        </w:rPr>
        <w:t>.</w:t>
      </w:r>
      <w:r w:rsidRPr="00BF4D05">
        <w:rPr>
          <w:rFonts w:eastAsia="Calibri"/>
          <w:b w:val="0"/>
          <w:bCs w:val="0"/>
          <w:sz w:val="24"/>
          <w:szCs w:val="24"/>
          <w:vertAlign w:val="superscript"/>
        </w:rPr>
        <w:footnoteReference w:id="16"/>
      </w:r>
    </w:p>
    <w:p w:rsidRPr="00BF4D05" w:rsidR="00BF4D05" w:rsidP="002D73D8" w:rsidRDefault="00BF4D05" w14:paraId="7EB55038" w14:textId="77777777">
      <w:pPr>
        <w:widowControl/>
        <w:autoSpaceDE/>
        <w:autoSpaceDN/>
        <w:adjustRightInd/>
        <w:ind w:left="720" w:firstLine="720"/>
        <w:rPr>
          <w:rFonts w:eastAsia="Calibri"/>
          <w:b w:val="0"/>
          <w:bCs w:val="0"/>
          <w:sz w:val="24"/>
          <w:szCs w:val="24"/>
        </w:rPr>
      </w:pPr>
    </w:p>
    <w:p w:rsidRPr="00BF4D05" w:rsidR="00BF4D05" w:rsidP="002B491C" w:rsidRDefault="00BF4D05" w14:paraId="0CD37A52" w14:textId="4099CE56">
      <w:pPr>
        <w:widowControl/>
        <w:autoSpaceDE/>
        <w:autoSpaceDN/>
        <w:adjustRightInd/>
        <w:ind w:left="720"/>
        <w:rPr>
          <w:b w:val="0"/>
          <w:bCs w:val="0"/>
          <w:sz w:val="24"/>
        </w:rPr>
      </w:pPr>
      <w:r w:rsidRPr="00BF4D05">
        <w:rPr>
          <w:b w:val="0"/>
          <w:bCs w:val="0"/>
          <w:sz w:val="24"/>
        </w:rPr>
        <w:t xml:space="preserve">Plan administrators also would incur costs to remedy failed delivery of internet availability notices. The Department assumes that before mailing out covered documents to the recipients of an undelivered notice of internet availability, plan administrators would chose the option of resolving issues that are relatively easier to fix such as attempting to redeliver bounced emails or reaching out to covered employees to obtain updated electronic addresses. However, it may be difficult for plan administrators to remedy failed delivery for certain covered individuals, such as those who have separated from service. Plan administrators consequently are likely to treat at least some such covered individuals as opting out of electronic delivery. Although the Department </w:t>
      </w:r>
      <w:r w:rsidRPr="00BF4D05">
        <w:rPr>
          <w:b w:val="0"/>
          <w:bCs w:val="0"/>
          <w:sz w:val="24"/>
        </w:rPr>
        <w:lastRenderedPageBreak/>
        <w:t xml:space="preserve">acknowledges that plan administrators would spend time attempting to correct failed delivery as provided in paragraph (f)(4) of the proposal, it does not have sufficient data to quantify associated costs. The Department, however, assumes that plan administrators always would select the least costly and most efficient option. Therefore, if locating </w:t>
      </w:r>
      <w:r w:rsidR="00215336">
        <w:rPr>
          <w:b w:val="0"/>
          <w:bCs w:val="0"/>
          <w:sz w:val="24"/>
        </w:rPr>
        <w:t xml:space="preserve">covered individuals </w:t>
      </w:r>
      <w:r w:rsidRPr="00BF4D05">
        <w:rPr>
          <w:b w:val="0"/>
          <w:bCs w:val="0"/>
          <w:sz w:val="24"/>
        </w:rPr>
        <w:t xml:space="preserve">and obtaining updated electronic addresses were too burdensome, the Department assumes that the plans would furnish covered documents identified in the undelivered notice of internet availability to those </w:t>
      </w:r>
      <w:r w:rsidR="00215336">
        <w:rPr>
          <w:b w:val="0"/>
          <w:bCs w:val="0"/>
          <w:sz w:val="24"/>
        </w:rPr>
        <w:t xml:space="preserve">covered individuals </w:t>
      </w:r>
      <w:r w:rsidRPr="00BF4D05">
        <w:rPr>
          <w:b w:val="0"/>
          <w:bCs w:val="0"/>
          <w:sz w:val="24"/>
        </w:rPr>
        <w:t xml:space="preserve"> by mail. The annual burden to prepare a list of bounced emails and include them in database for mailing would be </w:t>
      </w:r>
      <w:r w:rsidR="00860187">
        <w:rPr>
          <w:b w:val="0"/>
          <w:bCs w:val="0"/>
          <w:sz w:val="24"/>
        </w:rPr>
        <w:t>389,620</w:t>
      </w:r>
      <w:r w:rsidRPr="008F4FE4" w:rsidR="008F4FE4">
        <w:rPr>
          <w:b w:val="0"/>
          <w:sz w:val="24"/>
        </w:rPr>
        <w:t xml:space="preserve"> </w:t>
      </w:r>
      <w:r w:rsidRPr="00BF4D05">
        <w:rPr>
          <w:b w:val="0"/>
          <w:bCs w:val="0"/>
          <w:sz w:val="24"/>
        </w:rPr>
        <w:t>hours with an equivalent cost of $</w:t>
      </w:r>
      <w:r w:rsidRPr="00510B64" w:rsidR="00510B64">
        <w:rPr>
          <w:b w:val="0"/>
          <w:sz w:val="24"/>
        </w:rPr>
        <w:t>21,484,581</w:t>
      </w:r>
      <w:r w:rsidRPr="00BF4D05">
        <w:rPr>
          <w:b w:val="0"/>
          <w:bCs w:val="0"/>
          <w:sz w:val="24"/>
        </w:rPr>
        <w:t>.</w:t>
      </w:r>
      <w:r w:rsidRPr="00BF4D05">
        <w:rPr>
          <w:b w:val="0"/>
          <w:bCs w:val="0"/>
          <w:sz w:val="24"/>
          <w:vertAlign w:val="superscript"/>
        </w:rPr>
        <w:footnoteReference w:id="17"/>
      </w:r>
      <w:r w:rsidRPr="00BF4D05">
        <w:rPr>
          <w:b w:val="0"/>
          <w:bCs w:val="0"/>
          <w:sz w:val="24"/>
        </w:rPr>
        <w:t xml:space="preserve"> Actual costs for delivery are in included in the ICRs for the respective notices.</w:t>
      </w:r>
    </w:p>
    <w:p w:rsidRPr="00BF4D05" w:rsidR="00BF4D05" w:rsidP="002D73D8" w:rsidRDefault="00BF4D05" w14:paraId="28084693" w14:textId="77777777">
      <w:pPr>
        <w:widowControl/>
        <w:autoSpaceDE/>
        <w:autoSpaceDN/>
        <w:adjustRightInd/>
        <w:ind w:left="720" w:firstLine="720"/>
        <w:rPr>
          <w:b w:val="0"/>
          <w:bCs w:val="0"/>
          <w:sz w:val="24"/>
        </w:rPr>
      </w:pPr>
    </w:p>
    <w:p w:rsidRPr="00BF4D05" w:rsidR="00BF4D05" w:rsidP="002B491C" w:rsidRDefault="00BF4D05" w14:paraId="60884460" w14:textId="35CD03CE">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Therefore, the Department estimates that retirement plans would incur a total burden for this requirement of approximately </w:t>
      </w:r>
      <w:r w:rsidR="00A21CCB">
        <w:rPr>
          <w:rFonts w:eastAsia="Calibri"/>
          <w:b w:val="0"/>
          <w:bCs w:val="0"/>
          <w:sz w:val="24"/>
          <w:szCs w:val="24"/>
        </w:rPr>
        <w:t>826,749</w:t>
      </w:r>
      <w:r w:rsidRPr="00BF4D05">
        <w:rPr>
          <w:rFonts w:eastAsia="Calibri"/>
          <w:b w:val="0"/>
          <w:bCs w:val="0"/>
          <w:sz w:val="24"/>
          <w:szCs w:val="24"/>
        </w:rPr>
        <w:t xml:space="preserve"> hours with an equivalent cost of $</w:t>
      </w:r>
      <w:r w:rsidR="00A21CCB">
        <w:rPr>
          <w:rFonts w:eastAsia="Calibri"/>
          <w:b w:val="0"/>
          <w:bCs w:val="0"/>
          <w:sz w:val="24"/>
          <w:szCs w:val="24"/>
        </w:rPr>
        <w:t>60,359,851</w:t>
      </w:r>
      <w:r w:rsidRPr="00BF4D05">
        <w:rPr>
          <w:rFonts w:eastAsia="Calibri"/>
          <w:b w:val="0"/>
          <w:bCs w:val="0"/>
          <w:sz w:val="24"/>
          <w:szCs w:val="24"/>
        </w:rPr>
        <w:t xml:space="preserve"> in the first year and approximately </w:t>
      </w:r>
      <w:r w:rsidR="00A21CCB">
        <w:rPr>
          <w:rFonts w:eastAsia="Calibri"/>
          <w:b w:val="0"/>
          <w:bCs w:val="0"/>
          <w:sz w:val="24"/>
          <w:szCs w:val="24"/>
        </w:rPr>
        <w:t>649,367</w:t>
      </w:r>
      <w:r w:rsidRPr="00BF4D05">
        <w:rPr>
          <w:rFonts w:eastAsia="Calibri"/>
          <w:b w:val="0"/>
          <w:bCs w:val="0"/>
          <w:sz w:val="24"/>
          <w:szCs w:val="24"/>
        </w:rPr>
        <w:t xml:space="preserve"> hours with an equivalent cost of $</w:t>
      </w:r>
      <w:r w:rsidR="00A21CCB">
        <w:rPr>
          <w:rFonts w:eastAsia="Calibri"/>
          <w:b w:val="0"/>
          <w:bCs w:val="0"/>
          <w:sz w:val="24"/>
          <w:szCs w:val="24"/>
        </w:rPr>
        <w:t xml:space="preserve">35,807,636 </w:t>
      </w:r>
      <w:r w:rsidRPr="00BF4D05">
        <w:rPr>
          <w:rFonts w:eastAsia="Calibri"/>
          <w:b w:val="0"/>
          <w:bCs w:val="0"/>
          <w:sz w:val="24"/>
          <w:szCs w:val="24"/>
        </w:rPr>
        <w:t>in the subsequent years.</w:t>
      </w:r>
    </w:p>
    <w:p w:rsidRPr="00BF4D05" w:rsidR="00BF4D05" w:rsidP="002D73D8" w:rsidRDefault="00BF4D05" w14:paraId="66B401F2" w14:textId="77777777">
      <w:pPr>
        <w:widowControl/>
        <w:autoSpaceDE/>
        <w:autoSpaceDN/>
        <w:adjustRightInd/>
        <w:ind w:left="720" w:firstLine="720"/>
        <w:rPr>
          <w:rFonts w:eastAsia="Calibri"/>
          <w:b w:val="0"/>
          <w:bCs w:val="0"/>
          <w:sz w:val="24"/>
          <w:szCs w:val="24"/>
        </w:rPr>
      </w:pPr>
    </w:p>
    <w:p w:rsidRPr="00BF4D05" w:rsidR="00BF4D05" w:rsidP="002D73D8" w:rsidRDefault="00BF4D05" w14:paraId="22BB9069" w14:textId="77777777">
      <w:pPr>
        <w:widowControl/>
        <w:autoSpaceDE/>
        <w:autoSpaceDN/>
        <w:adjustRightInd/>
        <w:ind w:left="720"/>
        <w:rPr>
          <w:rFonts w:eastAsia="Calibri"/>
          <w:bCs w:val="0"/>
          <w:sz w:val="24"/>
          <w:szCs w:val="24"/>
        </w:rPr>
      </w:pPr>
      <w:r w:rsidRPr="00BF4D05">
        <w:rPr>
          <w:rFonts w:eastAsia="Calibri"/>
          <w:bCs w:val="0"/>
          <w:sz w:val="24"/>
          <w:szCs w:val="24"/>
        </w:rPr>
        <w:t>Website</w:t>
      </w:r>
    </w:p>
    <w:p w:rsidR="009E0937" w:rsidP="002B491C" w:rsidRDefault="009E0937" w14:paraId="109FCA6A" w14:textId="77777777">
      <w:pPr>
        <w:widowControl/>
        <w:autoSpaceDE/>
        <w:autoSpaceDN/>
        <w:adjustRightInd/>
        <w:ind w:left="720"/>
        <w:rPr>
          <w:rFonts w:eastAsia="Calibri"/>
          <w:b w:val="0"/>
          <w:bCs w:val="0"/>
          <w:sz w:val="24"/>
          <w:szCs w:val="24"/>
        </w:rPr>
      </w:pPr>
    </w:p>
    <w:p w:rsidRPr="00CD3B07" w:rsidR="00CD3B07" w:rsidP="00CD3B07" w:rsidRDefault="00BF4D05" w14:paraId="0671F1B7" w14:textId="4AC0FCED">
      <w:pPr>
        <w:widowControl/>
        <w:autoSpaceDE/>
        <w:autoSpaceDN/>
        <w:adjustRightInd/>
        <w:ind w:left="720"/>
        <w:rPr>
          <w:rFonts w:eastAsia="Calibri"/>
          <w:b w:val="0"/>
          <w:bCs w:val="0"/>
          <w:sz w:val="24"/>
          <w:szCs w:val="24"/>
        </w:rPr>
      </w:pPr>
      <w:r w:rsidRPr="00BF4D05">
        <w:rPr>
          <w:rFonts w:eastAsia="Calibri"/>
          <w:b w:val="0"/>
          <w:bCs w:val="0"/>
          <w:sz w:val="24"/>
          <w:szCs w:val="24"/>
        </w:rPr>
        <w:t xml:space="preserve">Paragraph (e) of the </w:t>
      </w:r>
      <w:r w:rsidR="00927467">
        <w:rPr>
          <w:rFonts w:eastAsia="Calibri"/>
          <w:b w:val="0"/>
          <w:bCs w:val="0"/>
          <w:sz w:val="24"/>
          <w:szCs w:val="24"/>
        </w:rPr>
        <w:t>final</w:t>
      </w:r>
      <w:r w:rsidRPr="00BF4D05" w:rsidR="00927467">
        <w:rPr>
          <w:rFonts w:eastAsia="Calibri"/>
          <w:b w:val="0"/>
          <w:bCs w:val="0"/>
          <w:sz w:val="24"/>
          <w:szCs w:val="24"/>
        </w:rPr>
        <w:t xml:space="preserve"> </w:t>
      </w:r>
      <w:r w:rsidRPr="00BF4D05">
        <w:rPr>
          <w:rFonts w:eastAsia="Calibri"/>
          <w:b w:val="0"/>
          <w:bCs w:val="0"/>
          <w:sz w:val="24"/>
          <w:szCs w:val="24"/>
        </w:rPr>
        <w:t xml:space="preserve">rule would require administrators to ensure the existence of a website at which plan </w:t>
      </w:r>
      <w:r w:rsidR="00215336">
        <w:rPr>
          <w:rFonts w:eastAsia="Calibri"/>
          <w:b w:val="0"/>
          <w:bCs w:val="0"/>
          <w:sz w:val="24"/>
          <w:szCs w:val="24"/>
        </w:rPr>
        <w:t>covered individuals</w:t>
      </w:r>
      <w:r w:rsidRPr="00BF4D05">
        <w:rPr>
          <w:rFonts w:eastAsia="Calibri"/>
          <w:b w:val="0"/>
          <w:bCs w:val="0"/>
          <w:sz w:val="24"/>
          <w:szCs w:val="24"/>
        </w:rPr>
        <w:t xml:space="preserve"> can access covered disclosures free of charge.  </w:t>
      </w:r>
      <w:r w:rsidRPr="00CD3B07" w:rsidR="00CD3B07">
        <w:rPr>
          <w:rFonts w:eastAsia="Calibri"/>
          <w:b w:val="0"/>
          <w:bCs w:val="0"/>
          <w:sz w:val="24"/>
          <w:szCs w:val="24"/>
        </w:rPr>
        <w:t xml:space="preserve">Based on these comments and study, the Department estimates that approximately </w:t>
      </w:r>
      <w:r w:rsidR="008508BC">
        <w:rPr>
          <w:rFonts w:eastAsia="Calibri"/>
          <w:b w:val="0"/>
          <w:bCs w:val="0"/>
          <w:sz w:val="24"/>
          <w:szCs w:val="24"/>
        </w:rPr>
        <w:t xml:space="preserve">26,000 </w:t>
      </w:r>
      <w:r w:rsidRPr="00CD3B07" w:rsidR="00CD3B07">
        <w:rPr>
          <w:rFonts w:eastAsia="Calibri"/>
          <w:b w:val="0"/>
          <w:bCs w:val="0"/>
          <w:sz w:val="24"/>
          <w:szCs w:val="24"/>
        </w:rPr>
        <w:t>plans currently do not have, directly or indirectly through a plan service provider, a website where they can post the covered documents.</w:t>
      </w:r>
      <w:r w:rsidRPr="00CD3B07" w:rsidR="00CD3B07">
        <w:rPr>
          <w:rFonts w:eastAsia="Calibri"/>
          <w:b w:val="0"/>
          <w:bCs w:val="0"/>
          <w:sz w:val="24"/>
          <w:szCs w:val="24"/>
          <w:vertAlign w:val="superscript"/>
        </w:rPr>
        <w:footnoteReference w:id="18"/>
      </w:r>
      <w:r w:rsidRPr="00CD3B07" w:rsidR="00CD3B07">
        <w:rPr>
          <w:rFonts w:eastAsia="Calibri"/>
          <w:b w:val="0"/>
          <w:bCs w:val="0"/>
          <w:sz w:val="24"/>
          <w:szCs w:val="24"/>
        </w:rPr>
        <w:t xml:space="preserve"> </w:t>
      </w:r>
    </w:p>
    <w:p w:rsidRPr="00CD3B07" w:rsidR="00E74B01" w:rsidP="00CD3B07" w:rsidRDefault="00E74B01" w14:paraId="7295538D" w14:textId="77777777">
      <w:pPr>
        <w:widowControl/>
        <w:autoSpaceDE/>
        <w:autoSpaceDN/>
        <w:adjustRightInd/>
        <w:ind w:left="720"/>
        <w:rPr>
          <w:rFonts w:eastAsia="Calibri"/>
          <w:b w:val="0"/>
          <w:bCs w:val="0"/>
          <w:sz w:val="24"/>
          <w:szCs w:val="24"/>
        </w:rPr>
      </w:pPr>
    </w:p>
    <w:p w:rsidRPr="00BF4D05" w:rsidR="00BF4D05" w:rsidP="00CD3B07" w:rsidRDefault="00CD3B07" w14:paraId="5D24F5CF" w14:textId="56C01A27">
      <w:pPr>
        <w:widowControl/>
        <w:autoSpaceDE/>
        <w:autoSpaceDN/>
        <w:adjustRightInd/>
        <w:ind w:left="720"/>
        <w:rPr>
          <w:rFonts w:eastAsia="Calibri"/>
          <w:b w:val="0"/>
          <w:bCs w:val="0"/>
          <w:sz w:val="24"/>
          <w:szCs w:val="24"/>
        </w:rPr>
      </w:pPr>
      <w:r w:rsidRPr="00CD3B07">
        <w:rPr>
          <w:rFonts w:eastAsia="Calibri"/>
          <w:b w:val="0"/>
          <w:bCs w:val="0"/>
          <w:sz w:val="24"/>
          <w:szCs w:val="24"/>
        </w:rPr>
        <w:t xml:space="preserve">Although approximately </w:t>
      </w:r>
      <w:r w:rsidR="0089196B">
        <w:rPr>
          <w:rFonts w:eastAsia="Calibri"/>
          <w:b w:val="0"/>
          <w:bCs w:val="0"/>
          <w:sz w:val="24"/>
          <w:szCs w:val="24"/>
        </w:rPr>
        <w:t>26,000</w:t>
      </w:r>
      <w:r w:rsidRPr="00CD3B07">
        <w:rPr>
          <w:rFonts w:eastAsia="Calibri"/>
          <w:b w:val="0"/>
          <w:bCs w:val="0"/>
          <w:sz w:val="24"/>
          <w:szCs w:val="24"/>
        </w:rPr>
        <w:t xml:space="preserve"> plans do not currently have a website, the Department expects the impact of paragraph (e) of the final rule to be minimal, in part, because paragraph (k) of the final rule allows plans to furnish covered documents by email.  </w:t>
      </w:r>
      <w:r w:rsidRPr="001663C5" w:rsidR="001663C5">
        <w:rPr>
          <w:rFonts w:eastAsia="Calibri"/>
          <w:b w:val="0"/>
          <w:bCs w:val="0"/>
          <w:sz w:val="24"/>
          <w:szCs w:val="24"/>
        </w:rPr>
        <w:t xml:space="preserve">The direct delivery option will likely ease the burden on small plans, as they are less likely to have, or have access to, a website.  </w:t>
      </w:r>
      <w:r w:rsidRPr="00BF4D05" w:rsidR="00BF4D05">
        <w:rPr>
          <w:rFonts w:eastAsia="Calibri"/>
          <w:b w:val="0"/>
          <w:bCs w:val="0"/>
          <w:sz w:val="24"/>
          <w:szCs w:val="24"/>
        </w:rPr>
        <w:t xml:space="preserve">The Department estimates that about </w:t>
      </w:r>
      <w:r w:rsidR="008508BC">
        <w:rPr>
          <w:rFonts w:eastAsia="Calibri"/>
          <w:b w:val="0"/>
          <w:bCs w:val="0"/>
          <w:sz w:val="24"/>
          <w:szCs w:val="24"/>
        </w:rPr>
        <w:t>25,984</w:t>
      </w:r>
      <w:r w:rsidRPr="00BF4D05" w:rsidR="00BF4D05">
        <w:rPr>
          <w:rFonts w:eastAsia="Calibri"/>
          <w:b w:val="0"/>
          <w:bCs w:val="0"/>
          <w:sz w:val="24"/>
          <w:szCs w:val="24"/>
        </w:rPr>
        <w:t xml:space="preserve"> plans do not have websites and will incur a burden of </w:t>
      </w:r>
      <w:r w:rsidR="00D17479">
        <w:rPr>
          <w:rFonts w:eastAsia="Calibri"/>
          <w:b w:val="0"/>
          <w:bCs w:val="0"/>
          <w:sz w:val="24"/>
          <w:szCs w:val="24"/>
        </w:rPr>
        <w:t>0</w:t>
      </w:r>
      <w:r w:rsidRPr="00BF4D05" w:rsidR="00BF4D05">
        <w:rPr>
          <w:rFonts w:eastAsia="Calibri"/>
          <w:b w:val="0"/>
          <w:bCs w:val="0"/>
          <w:sz w:val="24"/>
          <w:szCs w:val="24"/>
        </w:rPr>
        <w:t xml:space="preserve"> hours with an equivalent cost of $</w:t>
      </w:r>
      <w:r w:rsidR="00D17479">
        <w:rPr>
          <w:rFonts w:eastAsia="Calibri"/>
          <w:b w:val="0"/>
          <w:bCs w:val="0"/>
          <w:sz w:val="24"/>
          <w:szCs w:val="24"/>
        </w:rPr>
        <w:t>0</w:t>
      </w:r>
      <w:r w:rsidRPr="00BF4D05" w:rsidR="00BF4D05">
        <w:rPr>
          <w:rFonts w:eastAsia="Calibri"/>
          <w:b w:val="0"/>
          <w:bCs w:val="0"/>
          <w:sz w:val="24"/>
          <w:szCs w:val="24"/>
        </w:rPr>
        <w:t xml:space="preserve"> in the first year to develop a website.  All plans will incur a burden to post disclosures on the website.  This annual burden is </w:t>
      </w:r>
      <w:r w:rsidR="00EF6C5B">
        <w:rPr>
          <w:rFonts w:eastAsia="Calibri"/>
          <w:b w:val="0"/>
          <w:bCs w:val="0"/>
          <w:sz w:val="24"/>
          <w:szCs w:val="24"/>
        </w:rPr>
        <w:t>255,416</w:t>
      </w:r>
      <w:r w:rsidRPr="00BF4D05" w:rsidR="00BF4D05">
        <w:rPr>
          <w:rFonts w:eastAsia="Calibri"/>
          <w:b w:val="0"/>
          <w:bCs w:val="0"/>
          <w:sz w:val="24"/>
          <w:szCs w:val="24"/>
        </w:rPr>
        <w:t xml:space="preserve"> hours with an equivalent cost of $</w:t>
      </w:r>
      <w:r w:rsidR="00EF6C5B">
        <w:rPr>
          <w:rFonts w:eastAsia="Calibri"/>
          <w:b w:val="0"/>
          <w:bCs w:val="0"/>
          <w:sz w:val="24"/>
          <w:szCs w:val="24"/>
        </w:rPr>
        <w:t>28,182,611</w:t>
      </w:r>
      <w:r w:rsidRPr="00BF4D05" w:rsidR="00BF4D05">
        <w:rPr>
          <w:rFonts w:eastAsia="Calibri"/>
          <w:b w:val="0"/>
          <w:bCs w:val="0"/>
          <w:sz w:val="24"/>
          <w:szCs w:val="24"/>
        </w:rPr>
        <w:t>.</w:t>
      </w:r>
      <w:r w:rsidRPr="00BF4D05" w:rsidR="00BF4D05">
        <w:rPr>
          <w:rFonts w:eastAsia="Calibri"/>
          <w:b w:val="0"/>
          <w:bCs w:val="0"/>
          <w:sz w:val="24"/>
          <w:szCs w:val="24"/>
          <w:vertAlign w:val="superscript"/>
        </w:rPr>
        <w:footnoteReference w:id="19"/>
      </w:r>
    </w:p>
    <w:p w:rsidRPr="00BF4D05" w:rsidR="00BF4D05" w:rsidP="002D73D8" w:rsidRDefault="00BF4D05" w14:paraId="6DF6F3F7" w14:textId="77777777">
      <w:pPr>
        <w:widowControl/>
        <w:autoSpaceDE/>
        <w:autoSpaceDN/>
        <w:adjustRightInd/>
        <w:ind w:left="720" w:firstLine="720"/>
        <w:rPr>
          <w:rFonts w:eastAsia="Calibri"/>
          <w:b w:val="0"/>
          <w:bCs w:val="0"/>
          <w:sz w:val="24"/>
          <w:szCs w:val="24"/>
        </w:rPr>
      </w:pPr>
    </w:p>
    <w:p w:rsidRPr="00BF4D05" w:rsidR="00BF4D05" w:rsidP="002D73D8" w:rsidRDefault="00BF4D05" w14:paraId="35FA4EE8" w14:textId="0D9AAEC8">
      <w:pPr>
        <w:widowControl/>
        <w:autoSpaceDE/>
        <w:autoSpaceDN/>
        <w:adjustRightInd/>
        <w:ind w:left="720"/>
        <w:rPr>
          <w:rFonts w:eastAsia="Calibri"/>
          <w:b w:val="0"/>
          <w:bCs w:val="0"/>
          <w:sz w:val="24"/>
          <w:szCs w:val="24"/>
        </w:rPr>
      </w:pPr>
      <w:r w:rsidRPr="00BF4D05">
        <w:rPr>
          <w:rFonts w:eastAsia="Calibri"/>
          <w:b w:val="0"/>
          <w:bCs w:val="0"/>
          <w:sz w:val="24"/>
          <w:szCs w:val="24"/>
        </w:rPr>
        <w:lastRenderedPageBreak/>
        <w:t xml:space="preserve">This requirement results in an hour burden of </w:t>
      </w:r>
      <w:r w:rsidR="00311D2E">
        <w:rPr>
          <w:rFonts w:eastAsia="Calibri"/>
          <w:b w:val="0"/>
          <w:bCs w:val="0"/>
          <w:sz w:val="24"/>
          <w:szCs w:val="24"/>
        </w:rPr>
        <w:t>255,416</w:t>
      </w:r>
      <w:r w:rsidRPr="00BF4D05">
        <w:rPr>
          <w:rFonts w:eastAsia="Calibri"/>
          <w:b w:val="0"/>
          <w:bCs w:val="0"/>
          <w:sz w:val="24"/>
          <w:szCs w:val="24"/>
        </w:rPr>
        <w:t xml:space="preserve"> hours</w:t>
      </w:r>
      <w:r w:rsidR="0036196E">
        <w:rPr>
          <w:rFonts w:eastAsia="Calibri"/>
          <w:b w:val="0"/>
          <w:bCs w:val="0"/>
          <w:sz w:val="24"/>
          <w:szCs w:val="24"/>
        </w:rPr>
        <w:t xml:space="preserve"> with an equivalent cost of $28,182,611</w:t>
      </w:r>
      <w:r w:rsidRPr="00BF4D05">
        <w:rPr>
          <w:rFonts w:eastAsia="Calibri"/>
          <w:b w:val="0"/>
          <w:bCs w:val="0"/>
          <w:sz w:val="24"/>
          <w:szCs w:val="24"/>
        </w:rPr>
        <w:t xml:space="preserve"> in the first year and </w:t>
      </w:r>
      <w:r w:rsidR="00311D2E">
        <w:rPr>
          <w:rFonts w:eastAsia="Calibri"/>
          <w:b w:val="0"/>
          <w:bCs w:val="0"/>
          <w:sz w:val="24"/>
          <w:szCs w:val="24"/>
        </w:rPr>
        <w:t>255,416</w:t>
      </w:r>
      <w:r w:rsidRPr="00BF4D05">
        <w:rPr>
          <w:rFonts w:eastAsia="Calibri"/>
          <w:b w:val="0"/>
          <w:bCs w:val="0"/>
          <w:sz w:val="24"/>
          <w:szCs w:val="24"/>
        </w:rPr>
        <w:t xml:space="preserve"> hours in subsequent years</w:t>
      </w:r>
      <w:r w:rsidRPr="0036196E" w:rsidR="0036196E">
        <w:rPr>
          <w:rFonts w:eastAsia="Calibri"/>
          <w:b w:val="0"/>
          <w:bCs w:val="0"/>
          <w:sz w:val="24"/>
          <w:szCs w:val="24"/>
        </w:rPr>
        <w:t xml:space="preserve"> with an equivalent cost of $</w:t>
      </w:r>
      <w:r w:rsidR="00F704C1">
        <w:rPr>
          <w:rFonts w:eastAsia="Calibri"/>
          <w:b w:val="0"/>
          <w:bCs w:val="0"/>
          <w:sz w:val="24"/>
          <w:szCs w:val="24"/>
        </w:rPr>
        <w:t>28,</w:t>
      </w:r>
      <w:r w:rsidRPr="0036196E" w:rsidR="0036196E">
        <w:rPr>
          <w:rFonts w:eastAsia="Calibri"/>
          <w:b w:val="0"/>
          <w:bCs w:val="0"/>
          <w:sz w:val="24"/>
          <w:szCs w:val="24"/>
        </w:rPr>
        <w:t>182,611</w:t>
      </w:r>
      <w:r w:rsidRPr="00BF4D05">
        <w:rPr>
          <w:rFonts w:eastAsia="Calibri"/>
          <w:b w:val="0"/>
          <w:bCs w:val="0"/>
          <w:sz w:val="24"/>
          <w:szCs w:val="24"/>
        </w:rPr>
        <w:t xml:space="preserve">.  </w:t>
      </w:r>
    </w:p>
    <w:p w:rsidRPr="00BF4D05" w:rsidR="00BF4D05" w:rsidP="002D73D8" w:rsidRDefault="00BF4D05" w14:paraId="5EB1DDA4" w14:textId="77777777">
      <w:pPr>
        <w:widowControl/>
        <w:autoSpaceDE/>
        <w:autoSpaceDN/>
        <w:adjustRightInd/>
        <w:ind w:left="720"/>
        <w:rPr>
          <w:b w:val="0"/>
          <w:bCs w:val="0"/>
          <w:sz w:val="24"/>
        </w:rPr>
      </w:pPr>
    </w:p>
    <w:p w:rsidR="00BF4D05" w:rsidP="0036196E" w:rsidRDefault="00BF4D05" w14:paraId="6890C1BB" w14:textId="3BE35BC6">
      <w:pPr>
        <w:widowControl/>
        <w:autoSpaceDE/>
        <w:autoSpaceDN/>
        <w:adjustRightInd/>
        <w:ind w:left="720"/>
        <w:rPr>
          <w:b w:val="0"/>
          <w:bCs w:val="0"/>
          <w:sz w:val="24"/>
        </w:rPr>
      </w:pPr>
      <w:r w:rsidRPr="00BF4D05">
        <w:rPr>
          <w:b w:val="0"/>
          <w:bCs w:val="0"/>
          <w:sz w:val="24"/>
        </w:rPr>
        <w:t xml:space="preserve">In total the </w:t>
      </w:r>
      <w:r w:rsidR="007645CC">
        <w:rPr>
          <w:b w:val="0"/>
          <w:bCs w:val="0"/>
          <w:sz w:val="24"/>
        </w:rPr>
        <w:t>final</w:t>
      </w:r>
      <w:r w:rsidRPr="00BF4D05" w:rsidR="007645CC">
        <w:rPr>
          <w:b w:val="0"/>
          <w:bCs w:val="0"/>
          <w:sz w:val="24"/>
        </w:rPr>
        <w:t xml:space="preserve"> </w:t>
      </w:r>
      <w:r w:rsidRPr="00BF4D05">
        <w:rPr>
          <w:b w:val="0"/>
          <w:bCs w:val="0"/>
          <w:sz w:val="24"/>
        </w:rPr>
        <w:t xml:space="preserve">rule is expected to increase the burden </w:t>
      </w:r>
      <w:r w:rsidR="007645CC">
        <w:rPr>
          <w:b w:val="0"/>
          <w:bCs w:val="0"/>
          <w:sz w:val="24"/>
        </w:rPr>
        <w:t>2,388,066</w:t>
      </w:r>
      <w:r w:rsidRPr="00BF4D05">
        <w:rPr>
          <w:b w:val="0"/>
          <w:bCs w:val="0"/>
          <w:sz w:val="24"/>
        </w:rPr>
        <w:t xml:space="preserve"> hours with an equivalent cost of $</w:t>
      </w:r>
      <w:r w:rsidR="007645CC">
        <w:rPr>
          <w:b w:val="0"/>
          <w:bCs w:val="0"/>
          <w:sz w:val="24"/>
        </w:rPr>
        <w:t>194,232,368</w:t>
      </w:r>
      <w:r w:rsidRPr="00BF4D05">
        <w:rPr>
          <w:b w:val="0"/>
          <w:bCs w:val="0"/>
          <w:sz w:val="24"/>
        </w:rPr>
        <w:t xml:space="preserve"> in the first year, and </w:t>
      </w:r>
      <w:r w:rsidR="005B41EB">
        <w:rPr>
          <w:b w:val="0"/>
          <w:bCs w:val="0"/>
          <w:sz w:val="24"/>
        </w:rPr>
        <w:t>1,127,210</w:t>
      </w:r>
      <w:r w:rsidRPr="00BF4D05">
        <w:rPr>
          <w:b w:val="0"/>
          <w:bCs w:val="0"/>
          <w:sz w:val="24"/>
        </w:rPr>
        <w:t xml:space="preserve"> hours with an equivalent cost of $</w:t>
      </w:r>
      <w:r w:rsidR="00931A00">
        <w:rPr>
          <w:b w:val="0"/>
          <w:bCs w:val="0"/>
          <w:sz w:val="24"/>
        </w:rPr>
        <w:t>76,255,409</w:t>
      </w:r>
      <w:r w:rsidRPr="00BF4D05">
        <w:rPr>
          <w:b w:val="0"/>
          <w:bCs w:val="0"/>
          <w:sz w:val="24"/>
        </w:rPr>
        <w:t xml:space="preserve"> in subsequent years.</w:t>
      </w:r>
      <w:r w:rsidRPr="00992C3C" w:rsidR="00992C3C">
        <w:rPr>
          <w:rFonts w:eastAsia="Calibri"/>
          <w:b w:val="0"/>
          <w:bCs w:val="0"/>
          <w:sz w:val="24"/>
          <w:szCs w:val="24"/>
          <w:vertAlign w:val="superscript"/>
        </w:rPr>
        <w:t xml:space="preserve"> </w:t>
      </w:r>
      <w:r w:rsidRPr="00992C3C" w:rsidR="00992C3C">
        <w:rPr>
          <w:b w:val="0"/>
          <w:bCs w:val="0"/>
          <w:sz w:val="24"/>
          <w:vertAlign w:val="superscript"/>
        </w:rPr>
        <w:footnoteReference w:id="20"/>
      </w:r>
    </w:p>
    <w:p w:rsidRPr="00BF4D05" w:rsidR="006718C6" w:rsidP="002D73D8" w:rsidRDefault="006718C6" w14:paraId="14650505" w14:textId="216A45BC">
      <w:pPr>
        <w:widowControl/>
        <w:autoSpaceDE/>
        <w:autoSpaceDN/>
        <w:adjustRightInd/>
        <w:ind w:left="720"/>
        <w:rPr>
          <w:b w:val="0"/>
          <w:bCs w:val="0"/>
          <w:sz w:val="24"/>
        </w:rPr>
      </w:pPr>
    </w:p>
    <w:p w:rsidRPr="00BF4D05" w:rsidR="00BF4D05" w:rsidP="002D73D8" w:rsidRDefault="00BF4D05" w14:paraId="027E3B61" w14:textId="466D9521">
      <w:pPr>
        <w:widowControl/>
        <w:autoSpaceDE/>
        <w:autoSpaceDN/>
        <w:adjustRightInd/>
        <w:ind w:left="720"/>
        <w:rPr>
          <w:b w:val="0"/>
          <w:bCs w:val="0"/>
          <w:sz w:val="24"/>
          <w:u w:val="single"/>
        </w:rPr>
      </w:pPr>
      <w:r w:rsidRPr="00BF4D05">
        <w:rPr>
          <w:b w:val="0"/>
          <w:bCs w:val="0"/>
          <w:sz w:val="24"/>
          <w:u w:val="single"/>
        </w:rPr>
        <w:t xml:space="preserve">Total Cost of Existing and </w:t>
      </w:r>
      <w:r w:rsidR="0067177E">
        <w:rPr>
          <w:b w:val="0"/>
          <w:bCs w:val="0"/>
          <w:sz w:val="24"/>
          <w:u w:val="single"/>
        </w:rPr>
        <w:t>Final Rule</w:t>
      </w:r>
      <w:r w:rsidRPr="00BF4D05">
        <w:rPr>
          <w:b w:val="0"/>
          <w:bCs w:val="0"/>
          <w:sz w:val="24"/>
          <w:u w:val="single"/>
        </w:rPr>
        <w:t>.</w:t>
      </w:r>
    </w:p>
    <w:p w:rsidR="009E0937" w:rsidP="002D73D8" w:rsidRDefault="009E0937" w14:paraId="3FB8B24F" w14:textId="77777777">
      <w:pPr>
        <w:widowControl/>
        <w:autoSpaceDE/>
        <w:autoSpaceDN/>
        <w:adjustRightInd/>
        <w:ind w:left="720"/>
        <w:rPr>
          <w:b w:val="0"/>
          <w:bCs w:val="0"/>
          <w:sz w:val="24"/>
        </w:rPr>
      </w:pPr>
    </w:p>
    <w:p w:rsidRPr="00BF4D05" w:rsidR="00BF4D05" w:rsidP="002D73D8" w:rsidRDefault="00BF4D05" w14:paraId="2B9D51C7" w14:textId="07934D6D">
      <w:pPr>
        <w:widowControl/>
        <w:autoSpaceDE/>
        <w:autoSpaceDN/>
        <w:adjustRightInd/>
        <w:ind w:left="720"/>
        <w:rPr>
          <w:b w:val="0"/>
          <w:bCs w:val="0"/>
          <w:sz w:val="24"/>
        </w:rPr>
      </w:pPr>
      <w:r w:rsidRPr="00BF4D05">
        <w:rPr>
          <w:b w:val="0"/>
          <w:bCs w:val="0"/>
          <w:sz w:val="24"/>
        </w:rPr>
        <w:t>In total</w:t>
      </w:r>
      <w:r w:rsidR="000D6638">
        <w:rPr>
          <w:b w:val="0"/>
          <w:bCs w:val="0"/>
          <w:sz w:val="24"/>
        </w:rPr>
        <w:t>,</w:t>
      </w:r>
      <w:r w:rsidRPr="00BF4D05">
        <w:rPr>
          <w:b w:val="0"/>
          <w:bCs w:val="0"/>
          <w:sz w:val="24"/>
        </w:rPr>
        <w:t xml:space="preserve"> the ICR is estimated to have a burden of </w:t>
      </w:r>
      <w:r w:rsidR="00F9158F">
        <w:rPr>
          <w:b w:val="0"/>
          <w:bCs w:val="0"/>
          <w:sz w:val="24"/>
        </w:rPr>
        <w:t xml:space="preserve">2,408,111 </w:t>
      </w:r>
      <w:r w:rsidRPr="00BF4D05">
        <w:rPr>
          <w:b w:val="0"/>
          <w:bCs w:val="0"/>
          <w:sz w:val="24"/>
        </w:rPr>
        <w:t>hours with an equivalent cost of $</w:t>
      </w:r>
      <w:r w:rsidR="00F9158F">
        <w:rPr>
          <w:b w:val="0"/>
          <w:bCs w:val="0"/>
          <w:sz w:val="24"/>
        </w:rPr>
        <w:t xml:space="preserve">196,005,309 </w:t>
      </w:r>
      <w:r w:rsidRPr="00BF4D05">
        <w:rPr>
          <w:b w:val="0"/>
          <w:bCs w:val="0"/>
          <w:sz w:val="24"/>
        </w:rPr>
        <w:t xml:space="preserve">in the first year, and </w:t>
      </w:r>
      <w:r w:rsidR="000C7FCA">
        <w:rPr>
          <w:b w:val="0"/>
          <w:bCs w:val="0"/>
          <w:sz w:val="24"/>
        </w:rPr>
        <w:t>1,147,255</w:t>
      </w:r>
      <w:r w:rsidRPr="00CD7A4B" w:rsidR="00CD7A4B">
        <w:rPr>
          <w:b w:val="0"/>
          <w:bCs w:val="0"/>
          <w:sz w:val="24"/>
        </w:rPr>
        <w:t xml:space="preserve"> </w:t>
      </w:r>
      <w:r w:rsidRPr="00BF4D05">
        <w:rPr>
          <w:b w:val="0"/>
          <w:bCs w:val="0"/>
          <w:sz w:val="24"/>
        </w:rPr>
        <w:t>hours with an equivalent cost of $</w:t>
      </w:r>
      <w:r w:rsidR="000C7FCA">
        <w:rPr>
          <w:b w:val="0"/>
          <w:bCs w:val="0"/>
          <w:sz w:val="24"/>
        </w:rPr>
        <w:t>78,028,350</w:t>
      </w:r>
      <w:r w:rsidRPr="00CD7A4B" w:rsidR="00CD7A4B">
        <w:rPr>
          <w:b w:val="0"/>
          <w:bCs w:val="0"/>
          <w:sz w:val="24"/>
        </w:rPr>
        <w:t xml:space="preserve"> </w:t>
      </w:r>
      <w:r w:rsidRPr="00BF4D05">
        <w:rPr>
          <w:b w:val="0"/>
          <w:bCs w:val="0"/>
          <w:sz w:val="24"/>
        </w:rPr>
        <w:t xml:space="preserve">in subsequent years.  The three-year average burden is </w:t>
      </w:r>
      <w:r w:rsidR="000C7FCA">
        <w:rPr>
          <w:b w:val="0"/>
          <w:bCs w:val="0"/>
          <w:sz w:val="24"/>
        </w:rPr>
        <w:t>1,567,541 hours with an equivalent cost of $117,354,003</w:t>
      </w:r>
      <w:r w:rsidRPr="00BF4D05">
        <w:rPr>
          <w:b w:val="0"/>
          <w:bCs w:val="0"/>
          <w:sz w:val="24"/>
        </w:rPr>
        <w:t>.</w:t>
      </w:r>
    </w:p>
    <w:p w:rsidRPr="00D55011" w:rsidR="009A7E89" w:rsidP="00CF3E31" w:rsidRDefault="009A7E89" w14:paraId="1C729851" w14:textId="77777777">
      <w:pPr>
        <w:widowControl/>
        <w:rPr>
          <w:b w:val="0"/>
          <w:bCs w:val="0"/>
          <w:sz w:val="24"/>
          <w:szCs w:val="24"/>
        </w:rPr>
      </w:pPr>
    </w:p>
    <w:p w:rsidRPr="00D55011" w:rsidR="009A7E89" w:rsidP="00D55011" w:rsidRDefault="009A7E89" w14:paraId="734A2501" w14:textId="77777777">
      <w:pPr>
        <w:pStyle w:val="BodyTextIndent3"/>
        <w:widowControl/>
        <w:ind w:firstLine="0"/>
        <w:rPr>
          <w:b w:val="0"/>
          <w:bCs w:val="0"/>
          <w:szCs w:val="24"/>
        </w:rPr>
      </w:pPr>
    </w:p>
    <w:p w:rsidRPr="00D55011" w:rsidR="00D33C4C" w:rsidP="00D55011" w:rsidRDefault="00D33C4C" w14:paraId="7E7A7F6F" w14:textId="77777777">
      <w:pPr>
        <w:pStyle w:val="BodyTextIndent3"/>
        <w:widowControl/>
        <w:rPr>
          <w:b w:val="0"/>
          <w:bCs w:val="0"/>
          <w:szCs w:val="24"/>
        </w:rPr>
      </w:pPr>
      <w:r w:rsidRPr="00D55011">
        <w:rPr>
          <w:b w:val="0"/>
          <w:bCs w:val="0"/>
          <w:i w:val="0"/>
          <w:szCs w:val="24"/>
        </w:rPr>
        <w:t>13.</w:t>
      </w:r>
      <w:r w:rsidRPr="00D55011">
        <w:rPr>
          <w:b w:val="0"/>
          <w:bCs w:val="0"/>
          <w:i w:val="0"/>
          <w:szCs w:val="24"/>
        </w:rPr>
        <w:tab/>
      </w:r>
      <w:r w:rsidRPr="00D55011">
        <w:rPr>
          <w:b w:val="0"/>
          <w:bCs w:val="0"/>
          <w:szCs w:val="24"/>
        </w:rPr>
        <w:t>Provide an estimate of the total annual cost burden to respondents or recordkeepers resulting from the collection of information.  (Do not include the cost of any hour burden shown in Items 12 or 14).</w:t>
      </w:r>
    </w:p>
    <w:p w:rsidRPr="00D55011" w:rsidR="00D33C4C" w:rsidP="00D55011" w:rsidRDefault="00D33C4C" w14:paraId="3C77D111" w14:textId="77777777">
      <w:pPr>
        <w:widowControl/>
        <w:ind w:left="720"/>
        <w:rPr>
          <w:b w:val="0"/>
          <w:bCs w:val="0"/>
          <w:sz w:val="24"/>
          <w:szCs w:val="24"/>
        </w:rPr>
      </w:pPr>
    </w:p>
    <w:p w:rsidR="00E627B0" w:rsidP="00D55011" w:rsidRDefault="00E627B0" w14:paraId="5B9C49DF" w14:textId="78B26C31">
      <w:pPr>
        <w:ind w:left="720"/>
        <w:rPr>
          <w:b w:val="0"/>
          <w:sz w:val="24"/>
          <w:szCs w:val="24"/>
        </w:rPr>
      </w:pPr>
      <w:r w:rsidRPr="00D55011">
        <w:rPr>
          <w:b w:val="0"/>
          <w:sz w:val="24"/>
          <w:szCs w:val="24"/>
        </w:rPr>
        <w:t>The Department assumes that all of the participants and beneficiaries will receive paper consent materials either on their job site or as an insertion into other material received through the mail, thus there are no mailing costs associated with delivery of the opt-out notifications.  The</w:t>
      </w:r>
      <w:r w:rsidR="009E0937">
        <w:rPr>
          <w:b w:val="0"/>
          <w:sz w:val="24"/>
          <w:szCs w:val="24"/>
        </w:rPr>
        <w:t xml:space="preserve"> </w:t>
      </w:r>
      <w:r w:rsidRPr="00D55011">
        <w:rPr>
          <w:b w:val="0"/>
          <w:sz w:val="24"/>
          <w:szCs w:val="24"/>
        </w:rPr>
        <w:t xml:space="preserve">per page photocopy costs are assumed to be five cents.  </w:t>
      </w:r>
      <w:r w:rsidRPr="00D55011" w:rsidR="00D01A45">
        <w:rPr>
          <w:b w:val="0"/>
          <w:sz w:val="24"/>
          <w:szCs w:val="24"/>
        </w:rPr>
        <w:t>Form 5500 data from 201</w:t>
      </w:r>
      <w:r w:rsidRPr="00D55011" w:rsidR="00BA04D3">
        <w:rPr>
          <w:b w:val="0"/>
          <w:sz w:val="24"/>
          <w:szCs w:val="24"/>
        </w:rPr>
        <w:t>4</w:t>
      </w:r>
      <w:r w:rsidRPr="00D55011" w:rsidR="00D01A45">
        <w:rPr>
          <w:b w:val="0"/>
          <w:sz w:val="24"/>
          <w:szCs w:val="24"/>
        </w:rPr>
        <w:t xml:space="preserve"> </w:t>
      </w:r>
      <w:r w:rsidR="009E0937">
        <w:rPr>
          <w:b w:val="0"/>
          <w:sz w:val="24"/>
          <w:szCs w:val="24"/>
        </w:rPr>
        <w:t>indicate</w:t>
      </w:r>
      <w:r w:rsidRPr="00D55011" w:rsidR="00D01A45">
        <w:rPr>
          <w:b w:val="0"/>
          <w:sz w:val="24"/>
          <w:szCs w:val="24"/>
        </w:rPr>
        <w:t xml:space="preserve"> that there are</w:t>
      </w:r>
      <w:r w:rsidRPr="00D55011">
        <w:rPr>
          <w:b w:val="0"/>
          <w:sz w:val="24"/>
          <w:szCs w:val="24"/>
        </w:rPr>
        <w:t xml:space="preserve"> </w:t>
      </w:r>
      <w:r w:rsidR="00474054">
        <w:rPr>
          <w:b w:val="0"/>
          <w:sz w:val="24"/>
          <w:szCs w:val="24"/>
        </w:rPr>
        <w:t>4,454,703</w:t>
      </w:r>
      <w:r w:rsidRPr="00D55011" w:rsidR="009867B8">
        <w:rPr>
          <w:b w:val="0"/>
          <w:sz w:val="24"/>
          <w:szCs w:val="24"/>
        </w:rPr>
        <w:t xml:space="preserve"> </w:t>
      </w:r>
      <w:r w:rsidRPr="00D55011">
        <w:rPr>
          <w:b w:val="0"/>
          <w:sz w:val="24"/>
          <w:szCs w:val="24"/>
        </w:rPr>
        <w:t xml:space="preserve">participants </w:t>
      </w:r>
      <w:r w:rsidRPr="00D55011" w:rsidR="0099608F">
        <w:rPr>
          <w:b w:val="0"/>
          <w:sz w:val="24"/>
          <w:szCs w:val="24"/>
        </w:rPr>
        <w:t xml:space="preserve">in </w:t>
      </w:r>
      <w:r w:rsidRPr="00D55011" w:rsidR="00D01A45">
        <w:rPr>
          <w:b w:val="0"/>
          <w:sz w:val="24"/>
          <w:szCs w:val="24"/>
        </w:rPr>
        <w:t>new</w:t>
      </w:r>
      <w:r w:rsidRPr="00D55011" w:rsidR="0099608F">
        <w:rPr>
          <w:b w:val="0"/>
          <w:sz w:val="24"/>
          <w:szCs w:val="24"/>
        </w:rPr>
        <w:t xml:space="preserve"> plans, who will</w:t>
      </w:r>
      <w:r w:rsidRPr="00D55011">
        <w:rPr>
          <w:b w:val="0"/>
          <w:sz w:val="24"/>
          <w:szCs w:val="24"/>
        </w:rPr>
        <w:t xml:space="preserve"> receiv</w:t>
      </w:r>
      <w:r w:rsidRPr="00D55011" w:rsidR="0099608F">
        <w:rPr>
          <w:b w:val="0"/>
          <w:sz w:val="24"/>
          <w:szCs w:val="24"/>
        </w:rPr>
        <w:t>e</w:t>
      </w:r>
      <w:r w:rsidRPr="00D55011">
        <w:rPr>
          <w:b w:val="0"/>
          <w:sz w:val="24"/>
          <w:szCs w:val="24"/>
        </w:rPr>
        <w:t xml:space="preserve"> paper opt-out notifications</w:t>
      </w:r>
      <w:r w:rsidRPr="00D55011" w:rsidR="00D01A45">
        <w:rPr>
          <w:b w:val="0"/>
          <w:sz w:val="24"/>
          <w:szCs w:val="24"/>
        </w:rPr>
        <w:t>.  T</w:t>
      </w:r>
      <w:r w:rsidRPr="00D55011">
        <w:rPr>
          <w:b w:val="0"/>
          <w:sz w:val="24"/>
          <w:szCs w:val="24"/>
        </w:rPr>
        <w:t xml:space="preserve">he associated cost burden for generating paper copies of the opt-out notification to participants under the regulation is estimated to be </w:t>
      </w:r>
      <w:r w:rsidRPr="00D55011" w:rsidR="00B924F9">
        <w:rPr>
          <w:b w:val="0"/>
          <w:sz w:val="24"/>
          <w:szCs w:val="24"/>
        </w:rPr>
        <w:t xml:space="preserve">approximately </w:t>
      </w:r>
      <w:r w:rsidRPr="00D55011">
        <w:rPr>
          <w:b w:val="0"/>
          <w:sz w:val="24"/>
          <w:szCs w:val="24"/>
        </w:rPr>
        <w:t>$</w:t>
      </w:r>
      <w:r w:rsidR="00F65A6F">
        <w:rPr>
          <w:b w:val="0"/>
          <w:sz w:val="24"/>
          <w:szCs w:val="24"/>
        </w:rPr>
        <w:t>222,735</w:t>
      </w:r>
      <w:r w:rsidRPr="00D55011" w:rsidR="009867B8">
        <w:rPr>
          <w:b w:val="0"/>
          <w:sz w:val="24"/>
          <w:szCs w:val="24"/>
        </w:rPr>
        <w:t xml:space="preserve"> </w:t>
      </w:r>
      <w:r w:rsidRPr="00D55011">
        <w:rPr>
          <w:b w:val="0"/>
          <w:sz w:val="24"/>
          <w:szCs w:val="24"/>
        </w:rPr>
        <w:t>in the first year.</w:t>
      </w:r>
    </w:p>
    <w:p w:rsidR="00BF4D05" w:rsidP="00D55011" w:rsidRDefault="00BF4D05" w14:paraId="15CAE1E8" w14:textId="77777777">
      <w:pPr>
        <w:ind w:left="720"/>
        <w:rPr>
          <w:b w:val="0"/>
          <w:sz w:val="24"/>
          <w:szCs w:val="24"/>
        </w:rPr>
      </w:pPr>
    </w:p>
    <w:p w:rsidRPr="00BF4D05" w:rsidR="00BF4D05" w:rsidP="002D73D8" w:rsidRDefault="00BF4D05" w14:paraId="2349385B" w14:textId="6FED8564">
      <w:pPr>
        <w:widowControl/>
        <w:autoSpaceDE/>
        <w:autoSpaceDN/>
        <w:adjustRightInd/>
        <w:spacing w:after="160"/>
        <w:ind w:left="720"/>
        <w:rPr>
          <w:rFonts w:eastAsia="Calibri"/>
          <w:sz w:val="24"/>
          <w:szCs w:val="24"/>
        </w:rPr>
      </w:pPr>
      <w:r w:rsidRPr="00BF4D05">
        <w:rPr>
          <w:rFonts w:eastAsia="Calibri"/>
          <w:sz w:val="24"/>
          <w:szCs w:val="24"/>
        </w:rPr>
        <w:t xml:space="preserve">2019 Electronic Disclosure </w:t>
      </w:r>
      <w:r w:rsidR="00F04CD2">
        <w:rPr>
          <w:rFonts w:eastAsia="Calibri"/>
          <w:sz w:val="24"/>
          <w:szCs w:val="24"/>
        </w:rPr>
        <w:t>Final</w:t>
      </w:r>
      <w:r w:rsidRPr="00BF4D05" w:rsidR="00F04CD2">
        <w:rPr>
          <w:rFonts w:eastAsia="Calibri"/>
          <w:sz w:val="24"/>
          <w:szCs w:val="24"/>
        </w:rPr>
        <w:t xml:space="preserve"> </w:t>
      </w:r>
      <w:r w:rsidRPr="00BF4D05">
        <w:rPr>
          <w:rFonts w:eastAsia="Calibri"/>
          <w:sz w:val="24"/>
          <w:szCs w:val="24"/>
        </w:rPr>
        <w:t>Regulation</w:t>
      </w:r>
    </w:p>
    <w:p w:rsidRPr="00BF4D05" w:rsidR="00BF4D05" w:rsidP="002D73D8" w:rsidRDefault="00BF4D05" w14:paraId="4B03C1F1" w14:textId="77777777">
      <w:pPr>
        <w:widowControl/>
        <w:autoSpaceDE/>
        <w:autoSpaceDN/>
        <w:adjustRightInd/>
        <w:ind w:left="720"/>
        <w:rPr>
          <w:bCs w:val="0"/>
          <w:sz w:val="24"/>
        </w:rPr>
      </w:pPr>
      <w:r w:rsidRPr="00BF4D05">
        <w:rPr>
          <w:bCs w:val="0"/>
          <w:sz w:val="24"/>
        </w:rPr>
        <w:t>Initial Notice</w:t>
      </w:r>
    </w:p>
    <w:p w:rsidR="009E0937" w:rsidP="002B491C" w:rsidRDefault="009E0937" w14:paraId="6A340DF2" w14:textId="77777777">
      <w:pPr>
        <w:widowControl/>
        <w:autoSpaceDE/>
        <w:autoSpaceDN/>
        <w:adjustRightInd/>
        <w:ind w:left="720"/>
        <w:rPr>
          <w:rFonts w:eastAsia="Calibri"/>
          <w:b w:val="0"/>
          <w:bCs w:val="0"/>
          <w:sz w:val="24"/>
          <w:szCs w:val="24"/>
        </w:rPr>
      </w:pPr>
    </w:p>
    <w:p w:rsidRPr="00BF4D05" w:rsidR="00BF4D05" w:rsidP="002B491C" w:rsidRDefault="00BF4D05" w14:paraId="6A07DD1F" w14:textId="77777777">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The Department estimates that approximately 60 million </w:t>
      </w:r>
      <w:r w:rsidR="00215336">
        <w:rPr>
          <w:rFonts w:eastAsia="Calibri"/>
          <w:b w:val="0"/>
          <w:bCs w:val="0"/>
          <w:sz w:val="24"/>
          <w:szCs w:val="24"/>
        </w:rPr>
        <w:t xml:space="preserve">covered individuals </w:t>
      </w:r>
      <w:r w:rsidRPr="00BF4D05">
        <w:rPr>
          <w:rFonts w:eastAsia="Calibri"/>
          <w:b w:val="0"/>
          <w:bCs w:val="0"/>
          <w:sz w:val="24"/>
          <w:szCs w:val="24"/>
        </w:rPr>
        <w:t xml:space="preserve">received covered disclosures by mail in 2016; and therefore, could potentially receive the initial notice from their plan administrators.  Assuming a one-page notice is mailed to these 60 million participants, the Department estimates the costs of mailing the initial notice will </w:t>
      </w:r>
      <w:r w:rsidRPr="00BF4D05">
        <w:rPr>
          <w:rFonts w:eastAsia="Calibri"/>
          <w:b w:val="0"/>
          <w:bCs w:val="0"/>
          <w:sz w:val="24"/>
          <w:szCs w:val="24"/>
        </w:rPr>
        <w:lastRenderedPageBreak/>
        <w:t>be approximately $36 million.</w:t>
      </w:r>
      <w:r w:rsidRPr="00BF4D05">
        <w:rPr>
          <w:rFonts w:eastAsia="Calibri"/>
          <w:b w:val="0"/>
          <w:bCs w:val="0"/>
          <w:sz w:val="24"/>
          <w:szCs w:val="24"/>
          <w:vertAlign w:val="superscript"/>
        </w:rPr>
        <w:footnoteReference w:id="21"/>
      </w:r>
      <w:r w:rsidRPr="00BF4D05">
        <w:rPr>
          <w:rFonts w:eastAsia="Calibri"/>
          <w:b w:val="0"/>
          <w:bCs w:val="0"/>
          <w:sz w:val="24"/>
          <w:szCs w:val="24"/>
        </w:rPr>
        <w:t xml:space="preserve">    The Department assumes that these are one-time transitional costs that would not be incurred in subsequent years.</w:t>
      </w:r>
      <w:r w:rsidRPr="00BF4D05">
        <w:rPr>
          <w:rFonts w:eastAsia="Calibri"/>
          <w:b w:val="0"/>
          <w:bCs w:val="0"/>
          <w:sz w:val="24"/>
          <w:szCs w:val="24"/>
          <w:vertAlign w:val="superscript"/>
        </w:rPr>
        <w:footnoteReference w:id="22"/>
      </w:r>
    </w:p>
    <w:p w:rsidRPr="00BF4D05" w:rsidR="00BF4D05" w:rsidP="002D73D8" w:rsidRDefault="00BF4D05" w14:paraId="4ABAD0CB" w14:textId="77777777">
      <w:pPr>
        <w:widowControl/>
        <w:autoSpaceDE/>
        <w:autoSpaceDN/>
        <w:adjustRightInd/>
        <w:ind w:left="720" w:firstLine="720"/>
        <w:rPr>
          <w:rFonts w:eastAsia="Calibri"/>
          <w:b w:val="0"/>
          <w:bCs w:val="0"/>
          <w:sz w:val="24"/>
          <w:szCs w:val="24"/>
        </w:rPr>
      </w:pPr>
    </w:p>
    <w:p w:rsidRPr="00BF4D05" w:rsidR="00BF4D05" w:rsidP="002D73D8" w:rsidRDefault="00BF4D05" w14:paraId="7BE8D01D" w14:textId="77777777">
      <w:pPr>
        <w:widowControl/>
        <w:autoSpaceDE/>
        <w:autoSpaceDN/>
        <w:adjustRightInd/>
        <w:ind w:left="720"/>
        <w:rPr>
          <w:rFonts w:eastAsia="Calibri"/>
          <w:bCs w:val="0"/>
          <w:sz w:val="24"/>
          <w:szCs w:val="24"/>
        </w:rPr>
      </w:pPr>
      <w:r w:rsidRPr="00BF4D05">
        <w:rPr>
          <w:rFonts w:eastAsia="Calibri"/>
          <w:bCs w:val="0"/>
          <w:sz w:val="24"/>
          <w:szCs w:val="24"/>
        </w:rPr>
        <w:t>Notice of Internet Availability</w:t>
      </w:r>
    </w:p>
    <w:p w:rsidR="009E0937" w:rsidP="002B491C" w:rsidRDefault="009E0937" w14:paraId="2D84D69B" w14:textId="77777777">
      <w:pPr>
        <w:widowControl/>
        <w:autoSpaceDE/>
        <w:autoSpaceDN/>
        <w:adjustRightInd/>
        <w:ind w:left="720"/>
        <w:rPr>
          <w:b w:val="0"/>
          <w:bCs w:val="0"/>
          <w:sz w:val="24"/>
        </w:rPr>
      </w:pPr>
    </w:p>
    <w:p w:rsidRPr="00BF4D05" w:rsidR="00BF4D05" w:rsidP="002B491C" w:rsidRDefault="00BF4D05" w14:paraId="5C29CBB4" w14:textId="77777777">
      <w:pPr>
        <w:widowControl/>
        <w:autoSpaceDE/>
        <w:autoSpaceDN/>
        <w:adjustRightInd/>
        <w:ind w:left="720"/>
        <w:rPr>
          <w:rFonts w:eastAsia="Calibri"/>
          <w:b w:val="0"/>
          <w:bCs w:val="0"/>
          <w:color w:val="000000"/>
          <w:sz w:val="24"/>
          <w:szCs w:val="24"/>
        </w:rPr>
      </w:pPr>
      <w:r w:rsidRPr="00BF4D05">
        <w:rPr>
          <w:b w:val="0"/>
          <w:bCs w:val="0"/>
          <w:sz w:val="24"/>
        </w:rPr>
        <w:t xml:space="preserve">Paragraph (f)(4) of the proposal requires </w:t>
      </w:r>
      <w:r w:rsidRPr="00BF4D05">
        <w:rPr>
          <w:rFonts w:eastAsia="Calibri"/>
          <w:b w:val="0"/>
          <w:bCs w:val="0"/>
          <w:color w:val="000000"/>
          <w:sz w:val="24"/>
          <w:szCs w:val="24"/>
        </w:rPr>
        <w:t xml:space="preserve">plan administrators to take certain actions if they are alerted that a covered individual’s electronic address has become invalid or inoperable, such as if a notice of internet availability sent to that address is returned as undeliverable. In such circumstances, the administrator must (1) promptly take reasonable steps to cure the problem (for example, by furnishing a notice of internet availability to the covered individual’s secondary electronic address that is valid and operable, if available, or obtaining a new valid and operable electronic address for the covered individual), or (2) treat the covered individual as if he or she made an election to opt out of electronic disclosure under paragraph (f)(2) of the proposal.  </w:t>
      </w:r>
    </w:p>
    <w:p w:rsidRPr="00BF4D05" w:rsidR="00BF4D05" w:rsidP="002B491C" w:rsidRDefault="00BF4D05" w14:paraId="4A789899" w14:textId="1238E774">
      <w:pPr>
        <w:widowControl/>
        <w:autoSpaceDE/>
        <w:autoSpaceDN/>
        <w:adjustRightInd/>
        <w:ind w:left="720"/>
        <w:rPr>
          <w:b w:val="0"/>
          <w:bCs w:val="0"/>
          <w:sz w:val="24"/>
        </w:rPr>
      </w:pPr>
      <w:r w:rsidRPr="00BF4D05">
        <w:rPr>
          <w:b w:val="0"/>
          <w:bCs w:val="0"/>
          <w:sz w:val="24"/>
        </w:rPr>
        <w:t xml:space="preserve">To satisfy this requirement, plan administrators would incur costs associated with monitoring for invalid or inoperable electronic addresses. The Department believes, however, that most plan administrators already have such features built into their electronic delivery systems. The Department assumes that </w:t>
      </w:r>
      <w:r w:rsidR="00637D16">
        <w:rPr>
          <w:b w:val="0"/>
          <w:bCs w:val="0"/>
          <w:sz w:val="24"/>
        </w:rPr>
        <w:t>approximately 2</w:t>
      </w:r>
      <w:r w:rsidR="00834EAB">
        <w:rPr>
          <w:b w:val="0"/>
          <w:bCs w:val="0"/>
          <w:sz w:val="24"/>
        </w:rPr>
        <w:t>6</w:t>
      </w:r>
      <w:r w:rsidR="00637D16">
        <w:rPr>
          <w:b w:val="0"/>
          <w:bCs w:val="0"/>
          <w:sz w:val="24"/>
        </w:rPr>
        <w:t xml:space="preserve">,000 </w:t>
      </w:r>
      <w:r w:rsidRPr="00BF4D05">
        <w:rPr>
          <w:b w:val="0"/>
          <w:bCs w:val="0"/>
          <w:sz w:val="24"/>
        </w:rPr>
        <w:t>plans currently do not have such features built in to their systems, and thus, would incur costs to  purchased software to allow them to monitor whether electronic notices are delivered, bounced back, opened, and clicked through.</w:t>
      </w:r>
      <w:r w:rsidRPr="00BF4D05">
        <w:rPr>
          <w:b w:val="0"/>
          <w:bCs w:val="0"/>
          <w:sz w:val="24"/>
          <w:szCs w:val="22"/>
          <w:vertAlign w:val="superscript"/>
        </w:rPr>
        <w:footnoteReference w:id="23"/>
      </w:r>
      <w:r w:rsidRPr="00BF4D05">
        <w:rPr>
          <w:b w:val="0"/>
          <w:bCs w:val="0"/>
          <w:sz w:val="24"/>
        </w:rPr>
        <w:t xml:space="preserve"> The Department estimates these plan administrators would incur approximately $</w:t>
      </w:r>
      <w:r w:rsidR="00637D16">
        <w:rPr>
          <w:b w:val="0"/>
          <w:bCs w:val="0"/>
          <w:sz w:val="24"/>
        </w:rPr>
        <w:t>8</w:t>
      </w:r>
      <w:r w:rsidRPr="00BF4D05">
        <w:rPr>
          <w:b w:val="0"/>
          <w:bCs w:val="0"/>
          <w:sz w:val="24"/>
        </w:rPr>
        <w:t>.</w:t>
      </w:r>
      <w:r w:rsidR="00637D16">
        <w:rPr>
          <w:b w:val="0"/>
          <w:bCs w:val="0"/>
          <w:sz w:val="24"/>
        </w:rPr>
        <w:t>8</w:t>
      </w:r>
      <w:r w:rsidRPr="00BF4D05">
        <w:rPr>
          <w:b w:val="0"/>
          <w:bCs w:val="0"/>
          <w:sz w:val="24"/>
        </w:rPr>
        <w:t xml:space="preserve"> million in aggregate annual costs to purchase such software.</w:t>
      </w:r>
      <w:r w:rsidRPr="00BF4D05">
        <w:rPr>
          <w:b w:val="0"/>
          <w:bCs w:val="0"/>
          <w:sz w:val="24"/>
          <w:szCs w:val="22"/>
          <w:vertAlign w:val="superscript"/>
        </w:rPr>
        <w:footnoteReference w:id="24"/>
      </w:r>
      <w:r w:rsidRPr="00BF4D05">
        <w:rPr>
          <w:b w:val="0"/>
          <w:bCs w:val="0"/>
          <w:sz w:val="24"/>
        </w:rPr>
        <w:t xml:space="preserve"> </w:t>
      </w:r>
    </w:p>
    <w:p w:rsidRPr="00BF4D05" w:rsidR="00BF4D05" w:rsidP="002D73D8" w:rsidRDefault="00BF4D05" w14:paraId="0F83081E" w14:textId="77777777">
      <w:pPr>
        <w:widowControl/>
        <w:autoSpaceDE/>
        <w:autoSpaceDN/>
        <w:adjustRightInd/>
        <w:ind w:left="720"/>
        <w:rPr>
          <w:bCs w:val="0"/>
          <w:sz w:val="24"/>
        </w:rPr>
      </w:pPr>
    </w:p>
    <w:p w:rsidRPr="00BF4D05" w:rsidR="00BF4D05" w:rsidP="002D73D8" w:rsidRDefault="00BF4D05" w14:paraId="30DB14E8" w14:textId="77777777">
      <w:pPr>
        <w:widowControl/>
        <w:autoSpaceDE/>
        <w:autoSpaceDN/>
        <w:adjustRightInd/>
        <w:ind w:left="720"/>
        <w:rPr>
          <w:bCs w:val="0"/>
          <w:sz w:val="24"/>
        </w:rPr>
      </w:pPr>
      <w:r w:rsidRPr="00BF4D05">
        <w:rPr>
          <w:bCs w:val="0"/>
          <w:sz w:val="24"/>
        </w:rPr>
        <w:t>Website</w:t>
      </w:r>
    </w:p>
    <w:p w:rsidR="009E0937" w:rsidP="002B491C" w:rsidRDefault="009E0937" w14:paraId="5FBDCFFC" w14:textId="77777777">
      <w:pPr>
        <w:widowControl/>
        <w:autoSpaceDE/>
        <w:autoSpaceDN/>
        <w:adjustRightInd/>
        <w:ind w:left="720"/>
        <w:rPr>
          <w:rFonts w:eastAsia="Calibri"/>
          <w:b w:val="0"/>
          <w:bCs w:val="0"/>
          <w:sz w:val="24"/>
          <w:szCs w:val="24"/>
        </w:rPr>
      </w:pPr>
    </w:p>
    <w:p w:rsidRPr="00BF4D05" w:rsidR="00BF4D05" w:rsidP="002B491C" w:rsidRDefault="00637D16" w14:paraId="0FE0F03C" w14:textId="0DD5B7DC">
      <w:pPr>
        <w:widowControl/>
        <w:autoSpaceDE/>
        <w:autoSpaceDN/>
        <w:adjustRightInd/>
        <w:ind w:left="720"/>
        <w:rPr>
          <w:b w:val="0"/>
          <w:bCs w:val="0"/>
          <w:sz w:val="24"/>
        </w:rPr>
      </w:pPr>
      <w:r>
        <w:rPr>
          <w:rFonts w:eastAsia="Calibri"/>
          <w:b w:val="0"/>
          <w:bCs w:val="0"/>
          <w:sz w:val="24"/>
          <w:szCs w:val="24"/>
        </w:rPr>
        <w:t>Although t</w:t>
      </w:r>
      <w:r w:rsidRPr="00BF4D05" w:rsidR="00BF4D05">
        <w:rPr>
          <w:rFonts w:eastAsia="Calibri"/>
          <w:b w:val="0"/>
          <w:bCs w:val="0"/>
          <w:sz w:val="24"/>
          <w:szCs w:val="24"/>
        </w:rPr>
        <w:t xml:space="preserve">he Department estimates that about </w:t>
      </w:r>
      <w:r>
        <w:rPr>
          <w:rFonts w:eastAsia="Calibri"/>
          <w:b w:val="0"/>
          <w:bCs w:val="0"/>
          <w:sz w:val="24"/>
          <w:szCs w:val="24"/>
        </w:rPr>
        <w:t>2</w:t>
      </w:r>
      <w:r w:rsidR="00834EAB">
        <w:rPr>
          <w:rFonts w:eastAsia="Calibri"/>
          <w:b w:val="0"/>
          <w:bCs w:val="0"/>
          <w:sz w:val="24"/>
          <w:szCs w:val="24"/>
        </w:rPr>
        <w:t>6</w:t>
      </w:r>
      <w:r w:rsidRPr="00BF4D05" w:rsidR="00BF4D05">
        <w:rPr>
          <w:rFonts w:eastAsia="Calibri"/>
          <w:b w:val="0"/>
          <w:bCs w:val="0"/>
          <w:sz w:val="24"/>
          <w:szCs w:val="24"/>
        </w:rPr>
        <w:t>,</w:t>
      </w:r>
      <w:r>
        <w:rPr>
          <w:rFonts w:eastAsia="Calibri"/>
          <w:b w:val="0"/>
          <w:bCs w:val="0"/>
          <w:sz w:val="24"/>
          <w:szCs w:val="24"/>
        </w:rPr>
        <w:t>0</w:t>
      </w:r>
      <w:r w:rsidRPr="00BF4D05" w:rsidR="00BF4D05">
        <w:rPr>
          <w:rFonts w:eastAsia="Calibri"/>
          <w:b w:val="0"/>
          <w:bCs w:val="0"/>
          <w:sz w:val="24"/>
          <w:szCs w:val="24"/>
        </w:rPr>
        <w:t>00 plans do not have websites</w:t>
      </w:r>
      <w:r>
        <w:rPr>
          <w:rFonts w:eastAsia="Calibri"/>
          <w:b w:val="0"/>
          <w:bCs w:val="0"/>
          <w:sz w:val="24"/>
          <w:szCs w:val="24"/>
        </w:rPr>
        <w:t>,</w:t>
      </w:r>
      <w:r w:rsidRPr="00BF4D05" w:rsidR="00BF4D05">
        <w:rPr>
          <w:rFonts w:eastAsia="Calibri"/>
          <w:b w:val="0"/>
          <w:bCs w:val="0"/>
          <w:sz w:val="24"/>
          <w:szCs w:val="24"/>
        </w:rPr>
        <w:t xml:space="preserve"> </w:t>
      </w:r>
      <w:r w:rsidRPr="00637D16">
        <w:rPr>
          <w:rFonts w:eastAsia="Calibri"/>
          <w:b w:val="0"/>
          <w:bCs w:val="0"/>
          <w:sz w:val="24"/>
          <w:szCs w:val="24"/>
        </w:rPr>
        <w:t>the Department expects the impact of paragraph (e) of the final rule to be minimal, in part, because paragraph (k) of the final rule allows plans to furnish covered documents by email.</w:t>
      </w:r>
      <w:r>
        <w:rPr>
          <w:rFonts w:eastAsia="Calibri"/>
          <w:b w:val="0"/>
          <w:bCs w:val="0"/>
          <w:sz w:val="24"/>
          <w:szCs w:val="24"/>
        </w:rPr>
        <w:t xml:space="preserve"> </w:t>
      </w:r>
    </w:p>
    <w:p w:rsidRPr="00BF4D05" w:rsidR="00BF4D05" w:rsidP="002D73D8" w:rsidRDefault="00BF4D05" w14:paraId="436CE0AC" w14:textId="77777777">
      <w:pPr>
        <w:widowControl/>
        <w:autoSpaceDE/>
        <w:autoSpaceDN/>
        <w:adjustRightInd/>
        <w:ind w:left="720" w:firstLine="720"/>
        <w:rPr>
          <w:b w:val="0"/>
          <w:bCs w:val="0"/>
          <w:sz w:val="24"/>
        </w:rPr>
      </w:pPr>
    </w:p>
    <w:p w:rsidRPr="00BF4D05" w:rsidR="00BF4D05" w:rsidP="002B491C" w:rsidRDefault="00BF4D05" w14:paraId="42F40D23" w14:textId="4FBF23F2">
      <w:pPr>
        <w:widowControl/>
        <w:autoSpaceDE/>
        <w:autoSpaceDN/>
        <w:adjustRightInd/>
        <w:ind w:left="720"/>
        <w:rPr>
          <w:b w:val="0"/>
          <w:bCs w:val="0"/>
          <w:sz w:val="24"/>
        </w:rPr>
      </w:pPr>
      <w:r w:rsidRPr="00BF4D05">
        <w:rPr>
          <w:b w:val="0"/>
          <w:bCs w:val="0"/>
          <w:sz w:val="24"/>
        </w:rPr>
        <w:t xml:space="preserve">The total cost burden for the </w:t>
      </w:r>
      <w:r w:rsidR="00A541D2">
        <w:rPr>
          <w:b w:val="0"/>
          <w:bCs w:val="0"/>
          <w:sz w:val="24"/>
        </w:rPr>
        <w:t>final</w:t>
      </w:r>
      <w:r w:rsidRPr="00BF4D05" w:rsidR="00A541D2">
        <w:rPr>
          <w:b w:val="0"/>
          <w:bCs w:val="0"/>
          <w:sz w:val="24"/>
        </w:rPr>
        <w:t xml:space="preserve"> </w:t>
      </w:r>
      <w:r w:rsidRPr="00BF4D05">
        <w:rPr>
          <w:b w:val="0"/>
          <w:bCs w:val="0"/>
          <w:sz w:val="24"/>
        </w:rPr>
        <w:t xml:space="preserve">rule in the first year would be </w:t>
      </w:r>
      <w:r w:rsidRPr="00A334A3" w:rsidR="00A334A3">
        <w:rPr>
          <w:b w:val="0"/>
          <w:bCs w:val="0"/>
          <w:sz w:val="24"/>
        </w:rPr>
        <w:t>$44,736,825</w:t>
      </w:r>
      <w:r w:rsidR="00A334A3">
        <w:rPr>
          <w:b w:val="0"/>
          <w:bCs w:val="0"/>
          <w:sz w:val="24"/>
        </w:rPr>
        <w:t xml:space="preserve"> </w:t>
      </w:r>
      <w:r w:rsidRPr="00BF4D05">
        <w:rPr>
          <w:b w:val="0"/>
          <w:bCs w:val="0"/>
          <w:sz w:val="24"/>
        </w:rPr>
        <w:t>and in the subsequent years the costs would be $</w:t>
      </w:r>
      <w:r w:rsidR="00E90765">
        <w:rPr>
          <w:b w:val="0"/>
          <w:bCs w:val="0"/>
          <w:sz w:val="24"/>
        </w:rPr>
        <w:t>9,460,266</w:t>
      </w:r>
      <w:r w:rsidRPr="00BF4D05">
        <w:rPr>
          <w:b w:val="0"/>
          <w:bCs w:val="0"/>
          <w:sz w:val="24"/>
        </w:rPr>
        <w:t xml:space="preserve"> a year.  </w:t>
      </w:r>
    </w:p>
    <w:p w:rsidRPr="00BF4D05" w:rsidR="00BF4D05" w:rsidP="00B43518" w:rsidRDefault="00BF4D05" w14:paraId="27A8CBB6" w14:textId="77777777">
      <w:pPr>
        <w:widowControl/>
        <w:autoSpaceDE/>
        <w:autoSpaceDN/>
        <w:adjustRightInd/>
        <w:rPr>
          <w:b w:val="0"/>
          <w:bCs w:val="0"/>
          <w:sz w:val="24"/>
        </w:rPr>
      </w:pPr>
    </w:p>
    <w:p w:rsidRPr="00BF4D05" w:rsidR="00BF4D05" w:rsidP="002D73D8" w:rsidRDefault="00BF4D05" w14:paraId="119BD059" w14:textId="72D2DD98">
      <w:pPr>
        <w:widowControl/>
        <w:autoSpaceDE/>
        <w:autoSpaceDN/>
        <w:adjustRightInd/>
        <w:ind w:left="720"/>
        <w:rPr>
          <w:b w:val="0"/>
          <w:bCs w:val="0"/>
          <w:sz w:val="24"/>
          <w:u w:val="single"/>
        </w:rPr>
      </w:pPr>
      <w:r w:rsidRPr="00BF4D05">
        <w:rPr>
          <w:b w:val="0"/>
          <w:bCs w:val="0"/>
          <w:sz w:val="24"/>
          <w:u w:val="single"/>
        </w:rPr>
        <w:lastRenderedPageBreak/>
        <w:t xml:space="preserve">Total Cost of Existing and </w:t>
      </w:r>
      <w:r w:rsidR="00A46685">
        <w:rPr>
          <w:b w:val="0"/>
          <w:bCs w:val="0"/>
          <w:sz w:val="24"/>
          <w:u w:val="single"/>
        </w:rPr>
        <w:t>Final</w:t>
      </w:r>
      <w:r w:rsidRPr="00BF4D05">
        <w:rPr>
          <w:b w:val="0"/>
          <w:bCs w:val="0"/>
          <w:sz w:val="24"/>
          <w:u w:val="single"/>
        </w:rPr>
        <w:t xml:space="preserve"> Rules.</w:t>
      </w:r>
    </w:p>
    <w:p w:rsidR="00215336" w:rsidP="002B491C" w:rsidRDefault="00215336" w14:paraId="2194A7E5" w14:textId="0D339EA2">
      <w:pPr>
        <w:widowControl/>
        <w:autoSpaceDE/>
        <w:autoSpaceDN/>
        <w:adjustRightInd/>
        <w:ind w:left="720"/>
        <w:rPr>
          <w:b w:val="0"/>
          <w:bCs w:val="0"/>
          <w:sz w:val="24"/>
        </w:rPr>
      </w:pPr>
    </w:p>
    <w:p w:rsidRPr="00D55011" w:rsidR="005F1142" w:rsidP="00B43518" w:rsidRDefault="00BF4D05" w14:paraId="7BE5DAC3" w14:textId="5009F3ED">
      <w:pPr>
        <w:widowControl/>
        <w:autoSpaceDE/>
        <w:autoSpaceDN/>
        <w:adjustRightInd/>
        <w:ind w:left="720"/>
        <w:rPr>
          <w:b w:val="0"/>
          <w:bCs w:val="0"/>
          <w:sz w:val="24"/>
          <w:szCs w:val="24"/>
        </w:rPr>
      </w:pPr>
      <w:r w:rsidRPr="00BF4D05">
        <w:rPr>
          <w:b w:val="0"/>
          <w:bCs w:val="0"/>
          <w:sz w:val="24"/>
        </w:rPr>
        <w:t xml:space="preserve">The total cost burden for the ICR </w:t>
      </w:r>
      <w:r w:rsidR="00F33A3D">
        <w:rPr>
          <w:b w:val="0"/>
          <w:bCs w:val="0"/>
          <w:sz w:val="24"/>
        </w:rPr>
        <w:t xml:space="preserve">in </w:t>
      </w:r>
      <w:r w:rsidRPr="00BF4D05">
        <w:rPr>
          <w:b w:val="0"/>
          <w:bCs w:val="0"/>
          <w:sz w:val="24"/>
        </w:rPr>
        <w:t>the first year would be $</w:t>
      </w:r>
      <w:r w:rsidR="00AE6220">
        <w:rPr>
          <w:b w:val="0"/>
          <w:bCs w:val="0"/>
          <w:sz w:val="24"/>
        </w:rPr>
        <w:t>44,</w:t>
      </w:r>
      <w:r w:rsidR="00F9158F">
        <w:rPr>
          <w:b w:val="0"/>
          <w:bCs w:val="0"/>
          <w:sz w:val="24"/>
        </w:rPr>
        <w:t>959,560</w:t>
      </w:r>
      <w:r w:rsidR="001D4D0A">
        <w:rPr>
          <w:b w:val="0"/>
          <w:bCs w:val="0"/>
          <w:sz w:val="24"/>
        </w:rPr>
        <w:t xml:space="preserve"> and $9,683,001 in subsequent years with a 3-year average of $21,441,854</w:t>
      </w:r>
      <w:r w:rsidR="00F34341">
        <w:rPr>
          <w:b w:val="0"/>
          <w:bCs w:val="0"/>
          <w:sz w:val="24"/>
        </w:rPr>
        <w:t>.</w:t>
      </w:r>
      <w:r w:rsidRPr="00ED7F19" w:rsidR="00ED7F19">
        <w:rPr>
          <w:b w:val="0"/>
          <w:bCs w:val="0"/>
          <w:sz w:val="24"/>
          <w:szCs w:val="22"/>
          <w:vertAlign w:val="superscript"/>
        </w:rPr>
        <w:t xml:space="preserve"> </w:t>
      </w:r>
      <w:r w:rsidRPr="00ED7F19" w:rsidR="00ED7F19">
        <w:rPr>
          <w:b w:val="0"/>
          <w:bCs w:val="0"/>
          <w:sz w:val="24"/>
          <w:vertAlign w:val="superscript"/>
        </w:rPr>
        <w:footnoteReference w:id="25"/>
      </w:r>
    </w:p>
    <w:p w:rsidRPr="00D55011" w:rsidR="0040475B" w:rsidP="00D55011" w:rsidRDefault="0040475B" w14:paraId="3C065311" w14:textId="77777777">
      <w:pPr>
        <w:widowControl/>
        <w:ind w:left="720"/>
        <w:rPr>
          <w:b w:val="0"/>
          <w:bCs w:val="0"/>
          <w:sz w:val="24"/>
          <w:szCs w:val="24"/>
        </w:rPr>
      </w:pPr>
    </w:p>
    <w:p w:rsidRPr="00D55011" w:rsidR="00D33C4C" w:rsidP="00D55011" w:rsidRDefault="00D33C4C" w14:paraId="59AD8020" w14:textId="77777777">
      <w:pPr>
        <w:widowControl/>
        <w:tabs>
          <w:tab w:val="left" w:pos="-1440"/>
        </w:tabs>
        <w:ind w:left="720" w:hanging="720"/>
        <w:rPr>
          <w:b w:val="0"/>
          <w:bCs w:val="0"/>
          <w:i/>
          <w:iCs/>
          <w:sz w:val="24"/>
          <w:szCs w:val="24"/>
        </w:rPr>
      </w:pPr>
      <w:r w:rsidRPr="00D55011">
        <w:rPr>
          <w:b w:val="0"/>
          <w:bCs w:val="0"/>
          <w:sz w:val="24"/>
          <w:szCs w:val="24"/>
        </w:rPr>
        <w:t>14.</w:t>
      </w:r>
      <w:r w:rsidRPr="00D55011">
        <w:rPr>
          <w:b w:val="0"/>
          <w:bCs w:val="0"/>
          <w:sz w:val="24"/>
          <w:szCs w:val="24"/>
        </w:rPr>
        <w:tab/>
      </w:r>
      <w:r w:rsidRPr="00D55011">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55011" w:rsidR="00D33C4C" w:rsidP="00D55011" w:rsidRDefault="00D33C4C" w14:paraId="70193A5E" w14:textId="77777777">
      <w:pPr>
        <w:widowControl/>
        <w:ind w:left="720"/>
        <w:rPr>
          <w:b w:val="0"/>
          <w:bCs w:val="0"/>
          <w:sz w:val="24"/>
          <w:szCs w:val="24"/>
        </w:rPr>
      </w:pPr>
    </w:p>
    <w:p w:rsidRPr="00D55011" w:rsidR="00D33C4C" w:rsidP="00D55011" w:rsidRDefault="00D33C4C" w14:paraId="12E113D3" w14:textId="77777777">
      <w:pPr>
        <w:widowControl/>
        <w:ind w:left="720"/>
        <w:rPr>
          <w:b w:val="0"/>
          <w:bCs w:val="0"/>
          <w:sz w:val="24"/>
          <w:szCs w:val="24"/>
        </w:rPr>
      </w:pPr>
      <w:r w:rsidRPr="00D55011">
        <w:rPr>
          <w:b w:val="0"/>
          <w:bCs w:val="0"/>
          <w:sz w:val="24"/>
          <w:szCs w:val="24"/>
        </w:rPr>
        <w:t>There is no cost to the Federal government associated with this information collection.</w:t>
      </w:r>
    </w:p>
    <w:p w:rsidRPr="00D55011" w:rsidR="00D33C4C" w:rsidP="00D55011" w:rsidRDefault="00D33C4C" w14:paraId="5FC239E0" w14:textId="77777777">
      <w:pPr>
        <w:widowControl/>
        <w:ind w:left="720"/>
        <w:rPr>
          <w:b w:val="0"/>
          <w:bCs w:val="0"/>
          <w:sz w:val="24"/>
          <w:szCs w:val="24"/>
        </w:rPr>
      </w:pPr>
    </w:p>
    <w:p w:rsidRPr="00D55011" w:rsidR="00D33C4C" w:rsidP="00D55011" w:rsidRDefault="00D33C4C" w14:paraId="3933375E" w14:textId="77777777">
      <w:pPr>
        <w:widowControl/>
        <w:tabs>
          <w:tab w:val="left" w:pos="-1440"/>
        </w:tabs>
        <w:ind w:left="720" w:hanging="720"/>
        <w:rPr>
          <w:b w:val="0"/>
          <w:bCs w:val="0"/>
          <w:i/>
          <w:iCs/>
          <w:sz w:val="24"/>
          <w:szCs w:val="24"/>
        </w:rPr>
      </w:pPr>
      <w:r w:rsidRPr="00D55011">
        <w:rPr>
          <w:b w:val="0"/>
          <w:bCs w:val="0"/>
          <w:sz w:val="24"/>
          <w:szCs w:val="24"/>
        </w:rPr>
        <w:t>15.</w:t>
      </w:r>
      <w:r w:rsidRPr="00D55011">
        <w:rPr>
          <w:b w:val="0"/>
          <w:bCs w:val="0"/>
          <w:sz w:val="24"/>
          <w:szCs w:val="24"/>
        </w:rPr>
        <w:tab/>
      </w:r>
      <w:r w:rsidRPr="00D55011">
        <w:rPr>
          <w:b w:val="0"/>
          <w:bCs w:val="0"/>
          <w:i/>
          <w:iCs/>
          <w:sz w:val="24"/>
          <w:szCs w:val="24"/>
        </w:rPr>
        <w:t>Explain the reasons for any program changes or adjustments reporting in Items 13 or 14</w:t>
      </w:r>
    </w:p>
    <w:p w:rsidRPr="00D55011" w:rsidR="00D33C4C" w:rsidP="00D55011" w:rsidRDefault="00D33C4C" w14:paraId="7CDFE7B0" w14:textId="77777777">
      <w:pPr>
        <w:widowControl/>
        <w:tabs>
          <w:tab w:val="left" w:pos="-1440"/>
        </w:tabs>
        <w:ind w:left="720"/>
        <w:rPr>
          <w:b w:val="0"/>
          <w:bCs w:val="0"/>
          <w:sz w:val="24"/>
          <w:szCs w:val="24"/>
        </w:rPr>
      </w:pPr>
    </w:p>
    <w:p w:rsidR="00381C42" w:rsidP="00D55011" w:rsidRDefault="00381C42" w14:paraId="34C84346" w14:textId="77777777">
      <w:pPr>
        <w:widowControl/>
        <w:tabs>
          <w:tab w:val="left" w:pos="-1440"/>
        </w:tabs>
        <w:ind w:left="720"/>
        <w:rPr>
          <w:b w:val="0"/>
          <w:bCs w:val="0"/>
          <w:sz w:val="24"/>
          <w:szCs w:val="24"/>
        </w:rPr>
      </w:pPr>
    </w:p>
    <w:p w:rsidR="00381C42" w:rsidP="00381C42" w:rsidRDefault="00381C42" w14:paraId="01C9A37C" w14:textId="57634098">
      <w:pPr>
        <w:ind w:left="720"/>
        <w:rPr>
          <w:b w:val="0"/>
          <w:sz w:val="24"/>
          <w:szCs w:val="24"/>
        </w:rPr>
      </w:pPr>
      <w:r w:rsidRPr="002D73D8">
        <w:rPr>
          <w:b w:val="0"/>
          <w:sz w:val="24"/>
          <w:szCs w:val="24"/>
        </w:rPr>
        <w:t xml:space="preserve">In accordance with Executive Order 13847, the Department </w:t>
      </w:r>
      <w:r w:rsidR="006F5DB0">
        <w:rPr>
          <w:b w:val="0"/>
          <w:sz w:val="24"/>
          <w:szCs w:val="24"/>
        </w:rPr>
        <w:t>finalize</w:t>
      </w:r>
      <w:r w:rsidRPr="002D73D8" w:rsidR="006F5DB0">
        <w:rPr>
          <w:b w:val="0"/>
          <w:sz w:val="24"/>
          <w:szCs w:val="24"/>
        </w:rPr>
        <w:t xml:space="preserve">d </w:t>
      </w:r>
      <w:r w:rsidRPr="002D73D8">
        <w:rPr>
          <w:b w:val="0"/>
          <w:sz w:val="24"/>
          <w:szCs w:val="24"/>
        </w:rPr>
        <w:t xml:space="preserve">a new safe harbor for the use of electronic media by administrators of retirement plans covered by ERISA.  This amendment enables plan administrators to furnish </w:t>
      </w:r>
      <w:r w:rsidR="009E0937">
        <w:rPr>
          <w:b w:val="0"/>
          <w:sz w:val="24"/>
          <w:szCs w:val="24"/>
        </w:rPr>
        <w:t xml:space="preserve">covered </w:t>
      </w:r>
      <w:r w:rsidRPr="002D73D8">
        <w:rPr>
          <w:b w:val="0"/>
          <w:sz w:val="24"/>
          <w:szCs w:val="24"/>
        </w:rPr>
        <w:t xml:space="preserve">documents to </w:t>
      </w:r>
      <w:r w:rsidR="009E0937">
        <w:rPr>
          <w:b w:val="0"/>
          <w:sz w:val="24"/>
          <w:szCs w:val="24"/>
        </w:rPr>
        <w:t xml:space="preserve">covered individuals </w:t>
      </w:r>
      <w:r w:rsidRPr="002D73D8">
        <w:rPr>
          <w:b w:val="0"/>
          <w:sz w:val="24"/>
          <w:szCs w:val="24"/>
        </w:rPr>
        <w:t xml:space="preserve">by means of electronic delivery if they have electronic addresses and if they do not opt out of electronic delivery. </w:t>
      </w:r>
      <w:r w:rsidR="002D73D8">
        <w:rPr>
          <w:b w:val="0"/>
          <w:sz w:val="24"/>
          <w:szCs w:val="24"/>
        </w:rPr>
        <w:t xml:space="preserve">Cost increases reflect the creation a website by some plans and the creation and distribution of notices to notify participants of the changes.  </w:t>
      </w:r>
      <w:r w:rsidRPr="002D73D8">
        <w:rPr>
          <w:b w:val="0"/>
          <w:sz w:val="24"/>
          <w:szCs w:val="24"/>
        </w:rPr>
        <w:t>This rule creates cost savings by increasing the number of electronically delivered documents, thereby reducing printing</w:t>
      </w:r>
      <w:r w:rsidR="00215336">
        <w:rPr>
          <w:b w:val="0"/>
          <w:sz w:val="24"/>
          <w:szCs w:val="24"/>
        </w:rPr>
        <w:t>,</w:t>
      </w:r>
      <w:r w:rsidRPr="002D73D8">
        <w:rPr>
          <w:b w:val="0"/>
          <w:sz w:val="24"/>
          <w:szCs w:val="24"/>
        </w:rPr>
        <w:t xml:space="preserve"> mailing</w:t>
      </w:r>
      <w:r w:rsidR="00215336">
        <w:rPr>
          <w:b w:val="0"/>
          <w:sz w:val="24"/>
          <w:szCs w:val="24"/>
        </w:rPr>
        <w:t>, and postage</w:t>
      </w:r>
      <w:r w:rsidRPr="002D73D8">
        <w:rPr>
          <w:b w:val="0"/>
          <w:sz w:val="24"/>
          <w:szCs w:val="24"/>
        </w:rPr>
        <w:t xml:space="preserve"> costs. This cost savings is reflected in the lower estimated costs for materials and postage reflected in Item 13 </w:t>
      </w:r>
      <w:r w:rsidR="004D756F">
        <w:rPr>
          <w:b w:val="0"/>
          <w:sz w:val="24"/>
          <w:szCs w:val="24"/>
        </w:rPr>
        <w:t xml:space="preserve">of </w:t>
      </w:r>
      <w:r w:rsidR="00215336">
        <w:rPr>
          <w:b w:val="0"/>
          <w:sz w:val="24"/>
          <w:szCs w:val="24"/>
        </w:rPr>
        <w:t xml:space="preserve">documents covered under the related </w:t>
      </w:r>
      <w:r w:rsidR="004D756F">
        <w:rPr>
          <w:b w:val="0"/>
          <w:sz w:val="24"/>
          <w:szCs w:val="24"/>
        </w:rPr>
        <w:t>ICRs</w:t>
      </w:r>
      <w:r w:rsidRPr="002D73D8">
        <w:rPr>
          <w:b w:val="0"/>
          <w:sz w:val="24"/>
          <w:szCs w:val="24"/>
        </w:rPr>
        <w:t>.</w:t>
      </w:r>
    </w:p>
    <w:p w:rsidR="004D756F" w:rsidP="00381C42" w:rsidRDefault="004D756F" w14:paraId="2F91715D" w14:textId="77777777">
      <w:pPr>
        <w:ind w:left="720"/>
        <w:rPr>
          <w:b w:val="0"/>
          <w:sz w:val="24"/>
          <w:szCs w:val="24"/>
        </w:rPr>
      </w:pPr>
    </w:p>
    <w:p w:rsidRPr="007925C3" w:rsidR="004D756F" w:rsidP="004D756F" w:rsidRDefault="004D756F" w14:paraId="79B6C1CB" w14:textId="77777777">
      <w:pPr>
        <w:widowControl/>
        <w:autoSpaceDE/>
        <w:autoSpaceDN/>
        <w:adjustRightInd/>
        <w:spacing w:line="276" w:lineRule="auto"/>
        <w:ind w:left="720"/>
        <w:rPr>
          <w:b w:val="0"/>
          <w:sz w:val="24"/>
          <w:szCs w:val="24"/>
        </w:rPr>
      </w:pPr>
      <w:r>
        <w:rPr>
          <w:b w:val="0"/>
          <w:sz w:val="24"/>
          <w:szCs w:val="24"/>
        </w:rPr>
        <w:t>The requirement for r</w:t>
      </w:r>
      <w:r w:rsidRPr="007925C3">
        <w:rPr>
          <w:b w:val="0"/>
          <w:sz w:val="24"/>
          <w:szCs w:val="24"/>
        </w:rPr>
        <w:t xml:space="preserve">etirement plan administrators to </w:t>
      </w:r>
      <w:r w:rsidRPr="00B619AD">
        <w:rPr>
          <w:b w:val="0"/>
          <w:sz w:val="24"/>
          <w:szCs w:val="24"/>
        </w:rPr>
        <w:t>furnish</w:t>
      </w:r>
      <w:r w:rsidRPr="007925C3">
        <w:rPr>
          <w:b w:val="0"/>
          <w:sz w:val="24"/>
          <w:szCs w:val="24"/>
        </w:rPr>
        <w:t xml:space="preserve"> to participants and beneficiaries </w:t>
      </w:r>
      <w:r w:rsidR="000D6638">
        <w:rPr>
          <w:b w:val="0"/>
          <w:sz w:val="24"/>
          <w:szCs w:val="24"/>
        </w:rPr>
        <w:t xml:space="preserve">with </w:t>
      </w:r>
      <w:r w:rsidRPr="007925C3">
        <w:rPr>
          <w:b w:val="0"/>
          <w:sz w:val="24"/>
          <w:szCs w:val="24"/>
        </w:rPr>
        <w:t>a notice of internet availability of these disclosures</w:t>
      </w:r>
      <w:r>
        <w:rPr>
          <w:b w:val="0"/>
          <w:sz w:val="24"/>
          <w:szCs w:val="24"/>
        </w:rPr>
        <w:t xml:space="preserve"> </w:t>
      </w:r>
      <w:r w:rsidR="00215336">
        <w:rPr>
          <w:b w:val="0"/>
          <w:sz w:val="24"/>
          <w:szCs w:val="24"/>
        </w:rPr>
        <w:t>increases</w:t>
      </w:r>
      <w:r>
        <w:rPr>
          <w:b w:val="0"/>
          <w:sz w:val="24"/>
          <w:szCs w:val="24"/>
        </w:rPr>
        <w:t xml:space="preserve"> the costs of this ICR</w:t>
      </w:r>
      <w:r w:rsidRPr="007925C3">
        <w:rPr>
          <w:b w:val="0"/>
          <w:sz w:val="24"/>
          <w:szCs w:val="24"/>
        </w:rPr>
        <w:t xml:space="preserve">.  </w:t>
      </w:r>
    </w:p>
    <w:p w:rsidRPr="00D55011" w:rsidR="00D33C4C" w:rsidP="00B43518" w:rsidRDefault="00D33C4C" w14:paraId="63177EC0" w14:textId="77777777">
      <w:pPr>
        <w:widowControl/>
        <w:tabs>
          <w:tab w:val="left" w:pos="-1440"/>
        </w:tabs>
        <w:rPr>
          <w:b w:val="0"/>
          <w:bCs w:val="0"/>
          <w:sz w:val="24"/>
          <w:szCs w:val="24"/>
        </w:rPr>
      </w:pPr>
    </w:p>
    <w:p w:rsidRPr="00D55011" w:rsidR="00D33C4C" w:rsidP="00D55011" w:rsidRDefault="00D33C4C" w14:paraId="17667F84" w14:textId="77777777">
      <w:pPr>
        <w:widowControl/>
        <w:tabs>
          <w:tab w:val="left" w:pos="-1440"/>
        </w:tabs>
        <w:ind w:left="720" w:hanging="720"/>
        <w:rPr>
          <w:b w:val="0"/>
          <w:bCs w:val="0"/>
          <w:i/>
          <w:iCs/>
          <w:sz w:val="24"/>
          <w:szCs w:val="24"/>
        </w:rPr>
      </w:pPr>
      <w:r w:rsidRPr="00D55011">
        <w:rPr>
          <w:b w:val="0"/>
          <w:bCs w:val="0"/>
          <w:sz w:val="24"/>
          <w:szCs w:val="24"/>
        </w:rPr>
        <w:t>16.</w:t>
      </w:r>
      <w:r w:rsidRPr="00D55011">
        <w:rPr>
          <w:b w:val="0"/>
          <w:bCs w:val="0"/>
          <w:sz w:val="24"/>
          <w:szCs w:val="24"/>
        </w:rPr>
        <w:tab/>
      </w:r>
      <w:r w:rsidRPr="00D55011">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55011" w:rsidR="00D33C4C" w:rsidP="00D55011" w:rsidRDefault="00D33C4C" w14:paraId="5236B6C8" w14:textId="77777777">
      <w:pPr>
        <w:widowControl/>
        <w:ind w:left="720"/>
        <w:rPr>
          <w:b w:val="0"/>
          <w:bCs w:val="0"/>
          <w:sz w:val="24"/>
          <w:szCs w:val="24"/>
        </w:rPr>
      </w:pPr>
    </w:p>
    <w:p w:rsidRPr="00D55011" w:rsidR="00D33C4C" w:rsidP="00D55011" w:rsidRDefault="00D33C4C" w14:paraId="180EE99B" w14:textId="77777777">
      <w:pPr>
        <w:widowControl/>
        <w:ind w:left="720"/>
        <w:rPr>
          <w:b w:val="0"/>
          <w:bCs w:val="0"/>
          <w:sz w:val="24"/>
          <w:szCs w:val="24"/>
        </w:rPr>
      </w:pPr>
      <w:r w:rsidRPr="00D55011">
        <w:rPr>
          <w:b w:val="0"/>
          <w:bCs w:val="0"/>
          <w:sz w:val="24"/>
          <w:szCs w:val="24"/>
        </w:rPr>
        <w:t>There are no plans to publish the results of this collection of information.</w:t>
      </w:r>
    </w:p>
    <w:p w:rsidRPr="00D55011" w:rsidR="00D33C4C" w:rsidP="00D55011" w:rsidRDefault="00D33C4C" w14:paraId="0F2495B6" w14:textId="77777777">
      <w:pPr>
        <w:widowControl/>
        <w:ind w:left="720"/>
        <w:rPr>
          <w:b w:val="0"/>
          <w:bCs w:val="0"/>
          <w:sz w:val="24"/>
          <w:szCs w:val="24"/>
        </w:rPr>
      </w:pPr>
    </w:p>
    <w:p w:rsidRPr="00D55011" w:rsidR="00D33C4C" w:rsidP="00D55011" w:rsidRDefault="00D33C4C" w14:paraId="099015A7" w14:textId="77777777">
      <w:pPr>
        <w:widowControl/>
        <w:tabs>
          <w:tab w:val="left" w:pos="-1440"/>
        </w:tabs>
        <w:ind w:left="720" w:hanging="720"/>
        <w:rPr>
          <w:b w:val="0"/>
          <w:bCs w:val="0"/>
          <w:i/>
          <w:iCs/>
          <w:sz w:val="24"/>
          <w:szCs w:val="24"/>
        </w:rPr>
      </w:pPr>
      <w:r w:rsidRPr="00D55011">
        <w:rPr>
          <w:b w:val="0"/>
          <w:bCs w:val="0"/>
          <w:sz w:val="24"/>
          <w:szCs w:val="24"/>
        </w:rPr>
        <w:lastRenderedPageBreak/>
        <w:t>17.</w:t>
      </w:r>
      <w:r w:rsidRPr="00D55011">
        <w:rPr>
          <w:b w:val="0"/>
          <w:bCs w:val="0"/>
          <w:sz w:val="24"/>
          <w:szCs w:val="24"/>
        </w:rPr>
        <w:tab/>
      </w:r>
      <w:r w:rsidRPr="00D55011">
        <w:rPr>
          <w:b w:val="0"/>
          <w:bCs w:val="0"/>
          <w:i/>
          <w:iCs/>
          <w:sz w:val="24"/>
          <w:szCs w:val="24"/>
        </w:rPr>
        <w:t>If seeking approval to not display the expiration date for OMB approval of the information collection, explain the reasons that display would be inappropriate.</w:t>
      </w:r>
    </w:p>
    <w:p w:rsidRPr="00D55011" w:rsidR="00D33C4C" w:rsidP="00D55011" w:rsidRDefault="00D33C4C" w14:paraId="779B536C" w14:textId="77777777">
      <w:pPr>
        <w:widowControl/>
        <w:ind w:left="720"/>
        <w:rPr>
          <w:b w:val="0"/>
          <w:bCs w:val="0"/>
          <w:sz w:val="24"/>
          <w:szCs w:val="24"/>
        </w:rPr>
      </w:pPr>
    </w:p>
    <w:p w:rsidRPr="00D55011" w:rsidR="00D33C4C" w:rsidP="00D55011" w:rsidRDefault="00D33C4C" w14:paraId="1CDC5970" w14:textId="77777777">
      <w:pPr>
        <w:widowControl/>
        <w:ind w:left="720"/>
        <w:rPr>
          <w:b w:val="0"/>
          <w:bCs w:val="0"/>
          <w:sz w:val="24"/>
          <w:szCs w:val="24"/>
        </w:rPr>
      </w:pPr>
      <w:r w:rsidRPr="00D55011">
        <w:rPr>
          <w:b w:val="0"/>
          <w:bCs w:val="0"/>
          <w:sz w:val="24"/>
          <w:szCs w:val="24"/>
        </w:rPr>
        <w:t>The collection of information will display a currently valid OMB control number.</w:t>
      </w:r>
    </w:p>
    <w:p w:rsidRPr="00D55011" w:rsidR="00D33C4C" w:rsidP="00D55011" w:rsidRDefault="00D33C4C" w14:paraId="4C5FD343" w14:textId="77777777">
      <w:pPr>
        <w:widowControl/>
        <w:ind w:left="720"/>
        <w:rPr>
          <w:b w:val="0"/>
          <w:bCs w:val="0"/>
          <w:sz w:val="24"/>
          <w:szCs w:val="24"/>
        </w:rPr>
      </w:pPr>
    </w:p>
    <w:p w:rsidRPr="00D55011" w:rsidR="00D33C4C" w:rsidP="00D55011" w:rsidRDefault="00D33C4C" w14:paraId="13388650" w14:textId="77777777">
      <w:pPr>
        <w:widowControl/>
        <w:tabs>
          <w:tab w:val="left" w:pos="-1440"/>
        </w:tabs>
        <w:ind w:left="720" w:hanging="720"/>
        <w:rPr>
          <w:b w:val="0"/>
          <w:bCs w:val="0"/>
          <w:i/>
          <w:iCs/>
          <w:sz w:val="24"/>
          <w:szCs w:val="24"/>
        </w:rPr>
      </w:pPr>
      <w:r w:rsidRPr="00D55011">
        <w:rPr>
          <w:b w:val="0"/>
          <w:bCs w:val="0"/>
          <w:sz w:val="24"/>
          <w:szCs w:val="24"/>
        </w:rPr>
        <w:t>18.</w:t>
      </w:r>
      <w:r w:rsidRPr="00D55011">
        <w:rPr>
          <w:b w:val="0"/>
          <w:bCs w:val="0"/>
          <w:sz w:val="24"/>
          <w:szCs w:val="24"/>
        </w:rPr>
        <w:tab/>
      </w:r>
      <w:r w:rsidRPr="00D55011">
        <w:rPr>
          <w:b w:val="0"/>
          <w:bCs w:val="0"/>
          <w:i/>
          <w:iCs/>
          <w:sz w:val="24"/>
          <w:szCs w:val="24"/>
        </w:rPr>
        <w:t>Explain each exception to the certification statement identified in Item 19, "Certification for Paperwork Reduction Act Submission</w:t>
      </w:r>
      <w:r w:rsidRPr="00D55011" w:rsidR="000D6607">
        <w:rPr>
          <w:b w:val="0"/>
          <w:bCs w:val="0"/>
          <w:i/>
          <w:iCs/>
          <w:sz w:val="24"/>
          <w:szCs w:val="24"/>
        </w:rPr>
        <w:t>.</w:t>
      </w:r>
      <w:r w:rsidRPr="00D55011">
        <w:rPr>
          <w:b w:val="0"/>
          <w:bCs w:val="0"/>
          <w:i/>
          <w:iCs/>
          <w:sz w:val="24"/>
          <w:szCs w:val="24"/>
        </w:rPr>
        <w:t>"</w:t>
      </w:r>
    </w:p>
    <w:p w:rsidRPr="00D55011" w:rsidR="00D33C4C" w:rsidP="00D55011" w:rsidRDefault="00D33C4C" w14:paraId="7A855DC9" w14:textId="77777777">
      <w:pPr>
        <w:widowControl/>
        <w:ind w:left="720"/>
        <w:rPr>
          <w:b w:val="0"/>
          <w:bCs w:val="0"/>
          <w:sz w:val="24"/>
          <w:szCs w:val="24"/>
        </w:rPr>
      </w:pPr>
    </w:p>
    <w:p w:rsidRPr="00D55011" w:rsidR="00D33C4C" w:rsidP="00D55011" w:rsidRDefault="00D33C4C" w14:paraId="696BE719" w14:textId="77777777">
      <w:pPr>
        <w:widowControl/>
        <w:ind w:left="720"/>
        <w:rPr>
          <w:b w:val="0"/>
          <w:bCs w:val="0"/>
          <w:sz w:val="24"/>
          <w:szCs w:val="24"/>
        </w:rPr>
      </w:pPr>
      <w:r w:rsidRPr="00D55011">
        <w:rPr>
          <w:b w:val="0"/>
          <w:bCs w:val="0"/>
          <w:sz w:val="24"/>
          <w:szCs w:val="24"/>
        </w:rPr>
        <w:t>Not applicable.</w:t>
      </w:r>
    </w:p>
    <w:p w:rsidRPr="00D55011" w:rsidR="00D33C4C" w:rsidP="00D55011" w:rsidRDefault="00D33C4C" w14:paraId="6B8D8651" w14:textId="77777777">
      <w:pPr>
        <w:widowControl/>
        <w:ind w:left="720"/>
        <w:rPr>
          <w:b w:val="0"/>
          <w:bCs w:val="0"/>
          <w:sz w:val="24"/>
          <w:szCs w:val="24"/>
        </w:rPr>
      </w:pPr>
    </w:p>
    <w:p w:rsidRPr="00D55011" w:rsidR="00D33C4C" w:rsidP="00D55011" w:rsidRDefault="00D33C4C" w14:paraId="2F66C245" w14:textId="77777777">
      <w:pPr>
        <w:widowControl/>
        <w:tabs>
          <w:tab w:val="left" w:pos="-1440"/>
        </w:tabs>
        <w:ind w:left="720" w:hanging="720"/>
        <w:outlineLvl w:val="0"/>
        <w:rPr>
          <w:b w:val="0"/>
          <w:bCs w:val="0"/>
          <w:sz w:val="24"/>
          <w:szCs w:val="24"/>
        </w:rPr>
      </w:pPr>
      <w:r w:rsidRPr="00D55011">
        <w:rPr>
          <w:b w:val="0"/>
          <w:bCs w:val="0"/>
          <w:sz w:val="24"/>
          <w:szCs w:val="24"/>
        </w:rPr>
        <w:t>B.</w:t>
      </w:r>
      <w:r w:rsidRPr="00D55011">
        <w:rPr>
          <w:b w:val="0"/>
          <w:bCs w:val="0"/>
          <w:sz w:val="24"/>
          <w:szCs w:val="24"/>
        </w:rPr>
        <w:tab/>
        <w:t>Collections of Information Employing Statistical Methods</w:t>
      </w:r>
    </w:p>
    <w:p w:rsidRPr="00D55011" w:rsidR="00D33C4C" w:rsidP="00D55011" w:rsidRDefault="00D33C4C" w14:paraId="143799D3" w14:textId="77777777">
      <w:pPr>
        <w:widowControl/>
        <w:ind w:left="720"/>
        <w:rPr>
          <w:b w:val="0"/>
          <w:bCs w:val="0"/>
          <w:sz w:val="24"/>
          <w:szCs w:val="24"/>
        </w:rPr>
      </w:pPr>
    </w:p>
    <w:p w:rsidRPr="00D55011" w:rsidR="00D33C4C" w:rsidP="00D55011" w:rsidRDefault="00D33C4C" w14:paraId="3414F571" w14:textId="77777777">
      <w:pPr>
        <w:widowControl/>
        <w:ind w:left="720"/>
        <w:rPr>
          <w:b w:val="0"/>
          <w:bCs w:val="0"/>
          <w:sz w:val="24"/>
          <w:szCs w:val="24"/>
        </w:rPr>
      </w:pPr>
      <w:r w:rsidRPr="00D55011">
        <w:rPr>
          <w:b w:val="0"/>
          <w:bCs w:val="0"/>
          <w:sz w:val="24"/>
          <w:szCs w:val="24"/>
        </w:rPr>
        <w:t>Not applicable.</w:t>
      </w:r>
    </w:p>
    <w:sectPr w:rsidRPr="00D55011" w:rsidR="00D33C4C" w:rsidSect="001F16EB">
      <w:headerReference w:type="default" r:id="rId12"/>
      <w:footerReference w:type="even" r:id="rId13"/>
      <w:footerReference w:type="default" r:id="rId14"/>
      <w:headerReference w:type="first" r:id="rId15"/>
      <w:endnotePr>
        <w:numFmt w:val="decimal"/>
      </w:endnotePr>
      <w:type w:val="continuous"/>
      <w:pgSz w:w="12240" w:h="15840"/>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068F" w14:textId="77777777" w:rsidR="00D43B1C" w:rsidRDefault="00D43B1C">
      <w:r>
        <w:separator/>
      </w:r>
    </w:p>
  </w:endnote>
  <w:endnote w:type="continuationSeparator" w:id="0">
    <w:p w14:paraId="0C1F3694" w14:textId="77777777" w:rsidR="00D43B1C" w:rsidRDefault="00D43B1C">
      <w:r>
        <w:continuationSeparator/>
      </w:r>
    </w:p>
  </w:endnote>
  <w:endnote w:type="continuationNotice" w:id="1">
    <w:p w14:paraId="7F7B68B0" w14:textId="77777777" w:rsidR="00D43B1C" w:rsidRDefault="00D43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4198" w14:textId="77777777" w:rsidR="00C96D3D" w:rsidRDefault="00C96D3D" w:rsidP="001F1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C39A2" w14:textId="77777777" w:rsidR="00C96D3D" w:rsidRDefault="00C96D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F22C" w14:textId="51FEEDAC" w:rsidR="00C96D3D" w:rsidRDefault="00C96D3D" w:rsidP="001F1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E6E">
      <w:rPr>
        <w:rStyle w:val="PageNumber"/>
        <w:noProof/>
      </w:rPr>
      <w:t>15</w:t>
    </w:r>
    <w:r>
      <w:rPr>
        <w:rStyle w:val="PageNumber"/>
      </w:rPr>
      <w:fldChar w:fldCharType="end"/>
    </w:r>
  </w:p>
  <w:p w14:paraId="7B8F8DDF" w14:textId="77777777" w:rsidR="00C96D3D" w:rsidRDefault="00C96D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307C2" w14:textId="77777777" w:rsidR="00D43B1C" w:rsidRDefault="00D43B1C">
      <w:r>
        <w:separator/>
      </w:r>
    </w:p>
  </w:footnote>
  <w:footnote w:type="continuationSeparator" w:id="0">
    <w:p w14:paraId="2BF17AC3" w14:textId="77777777" w:rsidR="00D43B1C" w:rsidRDefault="00D43B1C">
      <w:r>
        <w:continuationSeparator/>
      </w:r>
    </w:p>
  </w:footnote>
  <w:footnote w:type="continuationNotice" w:id="1">
    <w:p w14:paraId="018A89A5" w14:textId="77777777" w:rsidR="00D43B1C" w:rsidRDefault="00D43B1C"/>
  </w:footnote>
  <w:footnote w:id="2">
    <w:p w14:paraId="047C2AE9" w14:textId="77777777" w:rsidR="00675146" w:rsidRPr="00B43518" w:rsidRDefault="00675146" w:rsidP="00675146">
      <w:pPr>
        <w:pStyle w:val="FootnoteText"/>
        <w:rPr>
          <w:b w:val="0"/>
        </w:rPr>
      </w:pPr>
      <w:r w:rsidRPr="00B43518">
        <w:rPr>
          <w:rStyle w:val="FootnoteReference"/>
          <w:b w:val="0"/>
        </w:rPr>
        <w:footnoteRef/>
      </w:r>
      <w:r w:rsidRPr="00B43518">
        <w:rPr>
          <w:b w:val="0"/>
        </w:rPr>
        <w:t xml:space="preserve"> </w:t>
      </w:r>
      <w:r w:rsidRPr="00B43518">
        <w:rPr>
          <w:b w:val="0"/>
          <w:i/>
        </w:rPr>
        <w:t>Default Electronic Delivery Works: Evidence of Improved Participant Outcomes form Electronic Delivery of Retirement Plan Documents</w:t>
      </w:r>
      <w:r w:rsidRPr="00B43518">
        <w:rPr>
          <w:b w:val="0"/>
        </w:rPr>
        <w:t>, Quantria Strategies</w:t>
      </w:r>
      <w:r w:rsidRPr="00B43518">
        <w:rPr>
          <w:b w:val="0"/>
          <w:i/>
        </w:rPr>
        <w:t xml:space="preserve">, </w:t>
      </w:r>
      <w:r w:rsidRPr="00B43518">
        <w:rPr>
          <w:b w:val="0"/>
        </w:rPr>
        <w:t xml:space="preserve">prepared for The SPARK Institute, November 2019, at 25, </w:t>
      </w:r>
      <w:hyperlink r:id="rId1" w:history="1">
        <w:r w:rsidRPr="00B43518">
          <w:rPr>
            <w:rStyle w:val="Hyperlink"/>
            <w:b w:val="0"/>
          </w:rPr>
          <w:t>https://www.sparkinstitute.org/wp-content/uploads/2019/12/SPARK-Institute-Default-Electronic-Delivery-Works.pdf</w:t>
        </w:r>
      </w:hyperlink>
      <w:r w:rsidRPr="00B43518">
        <w:rPr>
          <w:b w:val="0"/>
        </w:rPr>
        <w:t xml:space="preserve">. </w:t>
      </w:r>
    </w:p>
  </w:footnote>
  <w:footnote w:id="3">
    <w:p w14:paraId="2A86E06C" w14:textId="77777777" w:rsidR="00675146" w:rsidRPr="00B43518" w:rsidRDefault="00675146" w:rsidP="00675146">
      <w:pPr>
        <w:pStyle w:val="FootnoteText"/>
        <w:rPr>
          <w:b w:val="0"/>
        </w:rPr>
      </w:pPr>
      <w:r w:rsidRPr="00B43518">
        <w:rPr>
          <w:rStyle w:val="FootnoteReference"/>
          <w:b w:val="0"/>
        </w:rPr>
        <w:footnoteRef/>
      </w:r>
      <w:r w:rsidRPr="00B43518">
        <w:rPr>
          <w:b w:val="0"/>
        </w:rPr>
        <w:t xml:space="preserve"> According to a commenter, this is because 29 C.F.R. § 2550.404a-5 currently requires that participant-directed individual account plans maintain a website to provide certain information to participants and beneficiaries.  Defined benefit and nonparticipant-directed DC plans are not subject to 29 C.F.R. § 2550.404a-5. </w:t>
      </w:r>
    </w:p>
  </w:footnote>
  <w:footnote w:id="4">
    <w:p w14:paraId="135C566B" w14:textId="77777777" w:rsidR="00675146" w:rsidRPr="00B43518" w:rsidRDefault="00675146" w:rsidP="00675146">
      <w:pPr>
        <w:pStyle w:val="FootnoteText"/>
        <w:rPr>
          <w:b w:val="0"/>
        </w:rPr>
      </w:pPr>
      <w:r w:rsidRPr="00B43518">
        <w:rPr>
          <w:rStyle w:val="FootnoteReference"/>
          <w:b w:val="0"/>
        </w:rPr>
        <w:footnoteRef/>
      </w:r>
      <w:r w:rsidRPr="00B43518">
        <w:rPr>
          <w:b w:val="0"/>
        </w:rPr>
        <w:t xml:space="preserve"> Plan Sponsor Council of America (PSCA) conducted a poll to plan sponsors in November 2019 to obtain the plan sponsors’ perspectives on the proposed rule and received responses from 56 plan sponsors.</w:t>
      </w:r>
    </w:p>
  </w:footnote>
  <w:footnote w:id="5">
    <w:p w14:paraId="586C0FC6" w14:textId="77777777" w:rsidR="00675146" w:rsidRPr="00B43518" w:rsidRDefault="00675146" w:rsidP="00675146">
      <w:pPr>
        <w:pStyle w:val="FootnoteText"/>
        <w:rPr>
          <w:b w:val="0"/>
        </w:rPr>
      </w:pPr>
      <w:r w:rsidRPr="00B43518">
        <w:rPr>
          <w:rStyle w:val="FootnoteReference"/>
          <w:b w:val="0"/>
        </w:rPr>
        <w:footnoteRef/>
      </w:r>
      <w:r w:rsidRPr="00B43518">
        <w:rPr>
          <w:b w:val="0"/>
        </w:rPr>
        <w:t xml:space="preserve"> </w:t>
      </w:r>
      <w:r w:rsidRPr="00B43518">
        <w:rPr>
          <w:b w:val="0"/>
          <w:i/>
        </w:rPr>
        <w:t>61</w:t>
      </w:r>
      <w:r w:rsidRPr="00B43518">
        <w:rPr>
          <w:b w:val="0"/>
          <w:i/>
          <w:vertAlign w:val="superscript"/>
        </w:rPr>
        <w:t>st</w:t>
      </w:r>
      <w:r w:rsidRPr="00B43518">
        <w:rPr>
          <w:b w:val="0"/>
          <w:i/>
        </w:rPr>
        <w:t xml:space="preserve"> Annual Survey, Reflecting 2017 Plan Experience</w:t>
      </w:r>
      <w:r w:rsidRPr="00B43518">
        <w:rPr>
          <w:b w:val="0"/>
        </w:rPr>
        <w:t xml:space="preserve">, Plan Sponsor Council of America, 2018. </w:t>
      </w:r>
      <w:r w:rsidRPr="00B43518">
        <w:rPr>
          <w:b w:val="0"/>
          <w:sz w:val="18"/>
        </w:rPr>
        <w:t xml:space="preserve"> (</w:t>
      </w:r>
      <w:r w:rsidRPr="00B43518">
        <w:rPr>
          <w:b w:val="0"/>
        </w:rPr>
        <w:t xml:space="preserve">In this survey, plan sponsors were asked to indicate if any services – enrollment, plan inquiries, contribution changes, balance inquiries, investment changes, loans, hardship distribution, retirement distributions, or no services – were provided to participants via internet.  Responding to this question, about 18 percent of plan sponsors indicated they did not provide any services to participants through internet.  The Department used this as a proxy for plans that do not have a website.) </w:t>
      </w:r>
    </w:p>
  </w:footnote>
  <w:footnote w:id="6">
    <w:p w14:paraId="44A61504" w14:textId="77777777" w:rsidR="00675146" w:rsidRPr="00B43518" w:rsidRDefault="00675146" w:rsidP="00675146">
      <w:pPr>
        <w:pStyle w:val="FootnoteText"/>
        <w:rPr>
          <w:b w:val="0"/>
        </w:rPr>
      </w:pPr>
      <w:r w:rsidRPr="00B43518">
        <w:rPr>
          <w:rStyle w:val="FootnoteReference"/>
          <w:b w:val="0"/>
        </w:rPr>
        <w:footnoteRef/>
      </w:r>
      <w:r w:rsidRPr="00B43518">
        <w:rPr>
          <w:b w:val="0"/>
        </w:rPr>
        <w:t xml:space="preserve"> According to Private Pension Plan Bulletin 2017, there were over 143,000 defined benefit plans and nonparticipant-directed defined contribution plans.  Applying an assumption of 18 percent, the Department estimates approximately 25,984 (143,558 * 0.181) plans currently lack websites.  This estimate may understate the total number of plans that lack websites because the PSCA study examined profit-sharing plans and 401(k) plans.  As discussed, most 401(k) plans are expected to have their own websites.  Therefore, the fraction of defined benefit plans and nonparticipant-directed DC plans that lack websites would be likely higher than 18 percent.  </w:t>
      </w:r>
    </w:p>
  </w:footnote>
  <w:footnote w:id="7">
    <w:p w14:paraId="32811E7C" w14:textId="77777777" w:rsidR="00675146" w:rsidRPr="00840397" w:rsidRDefault="00675146" w:rsidP="00675146">
      <w:pPr>
        <w:pStyle w:val="FootnoteText"/>
      </w:pPr>
      <w:r w:rsidRPr="00B43518">
        <w:rPr>
          <w:rStyle w:val="FootnoteReference"/>
          <w:b w:val="0"/>
        </w:rPr>
        <w:footnoteRef/>
      </w:r>
      <w:r w:rsidRPr="00B43518">
        <w:rPr>
          <w:b w:val="0"/>
        </w:rPr>
        <w:t xml:space="preserve"> The direct delivery provision in paragraph (k) is not subject to the website standards in paragraph (e) of the safe harbor.</w:t>
      </w:r>
    </w:p>
  </w:footnote>
  <w:footnote w:id="8">
    <w:p w14:paraId="6A977A05" w14:textId="77777777" w:rsidR="00C96D3D" w:rsidRPr="00E357E8" w:rsidRDefault="00C96D3D">
      <w:pPr>
        <w:pStyle w:val="FootnoteText"/>
        <w:rPr>
          <w:b w:val="0"/>
        </w:rPr>
      </w:pPr>
      <w:r w:rsidRPr="009C3114">
        <w:rPr>
          <w:rStyle w:val="FootnoteReference"/>
          <w:b w:val="0"/>
        </w:rPr>
        <w:footnoteRef/>
      </w:r>
      <w:r w:rsidRPr="009C3114">
        <w:rPr>
          <w:b w:val="0"/>
        </w:rPr>
        <w:t xml:space="preserve"> Th</w:t>
      </w:r>
      <w:r w:rsidRPr="00344DB8">
        <w:rPr>
          <w:b w:val="0"/>
        </w:rPr>
        <w:t>is method has been chosen for several reasons.  First</w:t>
      </w:r>
      <w:smartTag w:uri="urn:schemas-microsoft-com:office:smarttags" w:element="PersonName">
        <w:r w:rsidRPr="00344DB8">
          <w:rPr>
            <w:b w:val="0"/>
          </w:rPr>
          <w:t xml:space="preserve">, </w:t>
        </w:r>
      </w:smartTag>
      <w:r w:rsidRPr="00344DB8">
        <w:rPr>
          <w:b w:val="0"/>
        </w:rPr>
        <w:t>the Department does not presently have a reliable source of information for an estimate of how many plans may hire service providers for this purpose.  Second</w:t>
      </w:r>
      <w:smartTag w:uri="urn:schemas-microsoft-com:office:smarttags" w:element="PersonName">
        <w:r w:rsidRPr="00344DB8">
          <w:rPr>
            <w:b w:val="0"/>
          </w:rPr>
          <w:t xml:space="preserve">, </w:t>
        </w:r>
      </w:smartTag>
      <w:r w:rsidRPr="00134518">
        <w:rPr>
          <w:b w:val="0"/>
        </w:rPr>
        <w:t>the Department does not have adequate information on which to base an estimate of the cost to plans of purchasing these services</w:t>
      </w:r>
      <w:smartTag w:uri="urn:schemas-microsoft-com:office:smarttags" w:element="PersonName">
        <w:r w:rsidRPr="00134518">
          <w:rPr>
            <w:b w:val="0"/>
          </w:rPr>
          <w:t xml:space="preserve">, </w:t>
        </w:r>
      </w:smartTag>
      <w:r w:rsidRPr="00134518">
        <w:rPr>
          <w:b w:val="0"/>
        </w:rPr>
        <w:t>particularly since the Department has reason to believe that the pricing of such services will be based on competitive factors</w:t>
      </w:r>
      <w:r w:rsidRPr="00E357E8">
        <w:rPr>
          <w:b w:val="0"/>
        </w:rPr>
        <w:t xml:space="preserve"> and bundling with other related services.  Finally</w:t>
      </w:r>
      <w:smartTag w:uri="urn:schemas-microsoft-com:office:smarttags" w:element="PersonName">
        <w:r w:rsidRPr="00E357E8">
          <w:rPr>
            <w:b w:val="0"/>
          </w:rPr>
          <w:t xml:space="preserve">, </w:t>
        </w:r>
      </w:smartTag>
      <w:r w:rsidRPr="00E357E8">
        <w:rPr>
          <w:b w:val="0"/>
        </w:rPr>
        <w:t>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respondents and tasks performed by a service provider.  Translation of the total hour burden into dollars</w:t>
      </w:r>
      <w:smartTag w:uri="urn:schemas-microsoft-com:office:smarttags" w:element="PersonName">
        <w:r w:rsidRPr="00E357E8">
          <w:rPr>
            <w:b w:val="0"/>
          </w:rPr>
          <w:t xml:space="preserve">, </w:t>
        </w:r>
      </w:smartTag>
      <w:r w:rsidRPr="00E357E8">
        <w:rPr>
          <w:b w:val="0"/>
        </w:rPr>
        <w:t>with appropriate allocation between professional and clerical time</w:t>
      </w:r>
      <w:smartTag w:uri="urn:schemas-microsoft-com:office:smarttags" w:element="PersonName">
        <w:r w:rsidRPr="00E357E8">
          <w:rPr>
            <w:b w:val="0"/>
          </w:rPr>
          <w:t xml:space="preserve">, </w:t>
        </w:r>
      </w:smartTag>
      <w:r w:rsidRPr="00E357E8">
        <w:rPr>
          <w:b w:val="0"/>
        </w:rPr>
        <w:t>provides a reliable cost comparison.</w:t>
      </w:r>
    </w:p>
  </w:footnote>
  <w:footnote w:id="9">
    <w:p w14:paraId="2E13D271" w14:textId="77777777" w:rsidR="003B3F10" w:rsidRPr="003B3F10" w:rsidRDefault="009C3114" w:rsidP="003B3F10">
      <w:pPr>
        <w:pStyle w:val="FootnoteText"/>
      </w:pPr>
      <w:r w:rsidRPr="00313CE3">
        <w:rPr>
          <w:rStyle w:val="FootnoteReference"/>
          <w:b w:val="0"/>
        </w:rPr>
        <w:footnoteRef/>
      </w:r>
      <w:r w:rsidRPr="00313CE3">
        <w:rPr>
          <w:b w:val="0"/>
        </w:rPr>
        <w:t xml:space="preserve"> </w:t>
      </w:r>
      <w:r w:rsidR="00BA04D3">
        <w:rPr>
          <w:b w:val="0"/>
        </w:rPr>
        <w:t>For more</w:t>
      </w:r>
      <w:r w:rsidR="00D63299">
        <w:rPr>
          <w:b w:val="0"/>
        </w:rPr>
        <w:t xml:space="preserve"> information regarding </w:t>
      </w:r>
      <w:r w:rsidR="00BA04D3">
        <w:rPr>
          <w:b w:val="0"/>
        </w:rPr>
        <w:t>how the Department estimates labor costs</w:t>
      </w:r>
      <w:r w:rsidR="00D63299">
        <w:rPr>
          <w:b w:val="0"/>
        </w:rPr>
        <w:t>,</w:t>
      </w:r>
      <w:r w:rsidR="00BA04D3">
        <w:rPr>
          <w:b w:val="0"/>
        </w:rPr>
        <w:t xml:space="preserve"> see </w:t>
      </w:r>
    </w:p>
    <w:p w14:paraId="5030FCE3" w14:textId="31D667A0" w:rsidR="009C3114" w:rsidRPr="00313CE3" w:rsidRDefault="00D43B1C">
      <w:pPr>
        <w:pStyle w:val="FootnoteText"/>
        <w:rPr>
          <w:b w:val="0"/>
        </w:rPr>
      </w:pPr>
      <w:hyperlink r:id="rId2" w:history="1">
        <w:r w:rsidR="003B3F10" w:rsidRPr="003B3F10">
          <w:rPr>
            <w:rStyle w:val="Hyperlink"/>
            <w:b w:val="0"/>
          </w:rPr>
          <w:t>https://www.dol.gov/sites/dolgov/files/EBSA/laws-and-regulations/rules-and-regulations/technical-appendices/labor-cost-inputs-used-in-ebsa-opr-ria-and-pra-burden-calculations-june-2019.pdf</w:t>
        </w:r>
      </w:hyperlink>
    </w:p>
  </w:footnote>
  <w:footnote w:id="10">
    <w:p w14:paraId="02627FF6"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For newly hired employees, it is assumed that they will receive the Initial Notice and Right to Opt-out in their new employee packets, as it will be incorporated into a part of new employee intake process, thus employers incur only negligible costs in subsequent years.</w:t>
      </w:r>
    </w:p>
  </w:footnote>
  <w:footnote w:id="11">
    <w:p w14:paraId="17D3BEA3" w14:textId="26846F94" w:rsidR="00BF4D05" w:rsidRPr="002D73D8" w:rsidRDefault="00BF4D05" w:rsidP="00BF4D05">
      <w:pPr>
        <w:pStyle w:val="FootnoteText"/>
        <w:rPr>
          <w:b w:val="0"/>
        </w:rPr>
      </w:pPr>
      <w:r w:rsidRPr="002D73D8">
        <w:rPr>
          <w:rStyle w:val="FootnoteReference"/>
          <w:b w:val="0"/>
        </w:rPr>
        <w:footnoteRef/>
      </w:r>
      <w:r w:rsidRPr="002D73D8">
        <w:rPr>
          <w:b w:val="0"/>
        </w:rPr>
        <w:t xml:space="preserve"> The Department estimates there were over </w:t>
      </w:r>
      <w:r w:rsidR="00BB5A7A">
        <w:rPr>
          <w:b w:val="0"/>
        </w:rPr>
        <w:t>709,527</w:t>
      </w:r>
      <w:r w:rsidRPr="002D73D8">
        <w:rPr>
          <w:b w:val="0"/>
        </w:rPr>
        <w:t xml:space="preserve"> retirement plans in </w:t>
      </w:r>
      <w:r w:rsidR="00BB5A7A">
        <w:rPr>
          <w:b w:val="0"/>
        </w:rPr>
        <w:t>2017</w:t>
      </w:r>
      <w:r w:rsidRPr="002D73D8">
        <w:rPr>
          <w:b w:val="0"/>
        </w:rPr>
        <w:t xml:space="preserve">.  The Department estimates that attorneys will take approximately </w:t>
      </w:r>
      <w:r w:rsidR="0036465E">
        <w:rPr>
          <w:b w:val="0"/>
        </w:rPr>
        <w:t>296,000</w:t>
      </w:r>
      <w:r w:rsidRPr="002D73D8">
        <w:rPr>
          <w:b w:val="0"/>
        </w:rPr>
        <w:t xml:space="preserve"> hours to develop and review the Initial Notice.  Assuming the hourly rate for in-house attorneys was $</w:t>
      </w:r>
      <w:r w:rsidR="00DC73B5">
        <w:rPr>
          <w:b w:val="0"/>
        </w:rPr>
        <w:t>138.41</w:t>
      </w:r>
      <w:r w:rsidRPr="002D73D8">
        <w:rPr>
          <w:b w:val="0"/>
        </w:rPr>
        <w:t xml:space="preserve"> in </w:t>
      </w:r>
      <w:r w:rsidR="00A917CF" w:rsidRPr="002D73D8">
        <w:rPr>
          <w:b w:val="0"/>
        </w:rPr>
        <w:t>201</w:t>
      </w:r>
      <w:r w:rsidR="000402D8">
        <w:rPr>
          <w:b w:val="0"/>
        </w:rPr>
        <w:t>7</w:t>
      </w:r>
      <w:r w:rsidRPr="002D73D8">
        <w:rPr>
          <w:b w:val="0"/>
        </w:rPr>
        <w:t>, the costs of developing the Initial Notice are estimated approximately $</w:t>
      </w:r>
      <w:r w:rsidR="00CE7C22">
        <w:rPr>
          <w:b w:val="0"/>
        </w:rPr>
        <w:t>41</w:t>
      </w:r>
      <w:r w:rsidRPr="002D73D8">
        <w:rPr>
          <w:b w:val="0"/>
        </w:rPr>
        <w:t xml:space="preserve"> million (</w:t>
      </w:r>
      <w:r w:rsidR="000402D8">
        <w:rPr>
          <w:b w:val="0"/>
        </w:rPr>
        <w:t xml:space="preserve">295,636 </w:t>
      </w:r>
      <w:r w:rsidRPr="002D73D8">
        <w:rPr>
          <w:b w:val="0"/>
        </w:rPr>
        <w:t>hours * $</w:t>
      </w:r>
      <w:r w:rsidR="000402D8">
        <w:rPr>
          <w:b w:val="0"/>
        </w:rPr>
        <w:t>138.41</w:t>
      </w:r>
      <w:r w:rsidRPr="002D73D8">
        <w:rPr>
          <w:b w:val="0"/>
        </w:rPr>
        <w:t>).</w:t>
      </w:r>
    </w:p>
  </w:footnote>
  <w:footnote w:id="12">
    <w:p w14:paraId="31452485" w14:textId="547C1245" w:rsidR="00BF4D05" w:rsidRPr="002D73D8" w:rsidRDefault="00BF4D05" w:rsidP="00BF4D05">
      <w:pPr>
        <w:pStyle w:val="FootnoteText"/>
        <w:rPr>
          <w:b w:val="0"/>
        </w:rPr>
      </w:pPr>
      <w:r w:rsidRPr="002D73D8">
        <w:rPr>
          <w:rStyle w:val="FootnoteReference"/>
          <w:b w:val="0"/>
        </w:rPr>
        <w:footnoteRef/>
      </w:r>
      <w:r w:rsidRPr="002D73D8">
        <w:rPr>
          <w:b w:val="0"/>
        </w:rPr>
        <w:t xml:space="preserve"> </w:t>
      </w:r>
      <w:r w:rsidR="004B0C74" w:rsidRPr="004B0C74">
        <w:rPr>
          <w:b w:val="0"/>
        </w:rPr>
        <w:t xml:space="preserve">709,527 </w:t>
      </w:r>
      <w:r w:rsidRPr="002D73D8">
        <w:rPr>
          <w:b w:val="0"/>
        </w:rPr>
        <w:t xml:space="preserve">plans * 1 minutes per plan= </w:t>
      </w:r>
      <w:r w:rsidR="004B0C74" w:rsidRPr="004B0C74">
        <w:rPr>
          <w:b w:val="0"/>
        </w:rPr>
        <w:t xml:space="preserve">11,825 </w:t>
      </w:r>
      <w:r w:rsidRPr="002D73D8">
        <w:rPr>
          <w:b w:val="0"/>
        </w:rPr>
        <w:t xml:space="preserve">hours.  </w:t>
      </w:r>
      <w:r w:rsidR="004B0C74" w:rsidRPr="004B0C74">
        <w:rPr>
          <w:b w:val="0"/>
        </w:rPr>
        <w:t xml:space="preserve">11,825 </w:t>
      </w:r>
      <w:r w:rsidRPr="002D73D8">
        <w:rPr>
          <w:b w:val="0"/>
        </w:rPr>
        <w:t>hours * $</w:t>
      </w:r>
      <w:r w:rsidR="00C2741A">
        <w:rPr>
          <w:b w:val="0"/>
        </w:rPr>
        <w:t>64.11</w:t>
      </w:r>
      <w:r w:rsidRPr="002D73D8">
        <w:rPr>
          <w:b w:val="0"/>
        </w:rPr>
        <w:t xml:space="preserve"> for a</w:t>
      </w:r>
      <w:r w:rsidR="001D16ED">
        <w:rPr>
          <w:b w:val="0"/>
        </w:rPr>
        <w:t xml:space="preserve"> mailing clerk</w:t>
      </w:r>
      <w:r w:rsidRPr="002D73D8">
        <w:rPr>
          <w:b w:val="0"/>
        </w:rPr>
        <w:t>= $</w:t>
      </w:r>
      <w:r w:rsidR="00BD7197" w:rsidRPr="00BD7197">
        <w:rPr>
          <w:b w:val="0"/>
        </w:rPr>
        <w:t>758,148</w:t>
      </w:r>
      <w:r w:rsidRPr="002D73D8">
        <w:rPr>
          <w:b w:val="0"/>
        </w:rPr>
        <w:t>.</w:t>
      </w:r>
    </w:p>
  </w:footnote>
  <w:footnote w:id="13">
    <w:p w14:paraId="4496E0BA" w14:textId="36D5CB04" w:rsidR="00BF4D05" w:rsidRPr="002D73D8" w:rsidRDefault="00BF4D05" w:rsidP="00BF4D05">
      <w:pPr>
        <w:pStyle w:val="FootnoteText"/>
        <w:rPr>
          <w:b w:val="0"/>
        </w:rPr>
      </w:pPr>
      <w:r w:rsidRPr="002D73D8">
        <w:rPr>
          <w:rStyle w:val="FootnoteReference"/>
          <w:b w:val="0"/>
        </w:rPr>
        <w:footnoteRef/>
      </w:r>
      <w:r w:rsidRPr="002D73D8">
        <w:rPr>
          <w:b w:val="0"/>
        </w:rPr>
        <w:t xml:space="preserve"> This estimate is based on $14 million preparation costs incorporating an in-house clerk’s time to prepare for mailing (approximately 330 hours * $64.</w:t>
      </w:r>
      <w:r w:rsidR="00BF0A87">
        <w:rPr>
          <w:b w:val="0"/>
        </w:rPr>
        <w:t>11</w:t>
      </w:r>
      <w:r w:rsidR="00BF0A87" w:rsidRPr="002D73D8">
        <w:rPr>
          <w:b w:val="0"/>
        </w:rPr>
        <w:t xml:space="preserve"> </w:t>
      </w:r>
      <w:r w:rsidRPr="002D73D8">
        <w:rPr>
          <w:b w:val="0"/>
        </w:rPr>
        <w:t>hourly rate of mailing clerk).</w:t>
      </w:r>
    </w:p>
  </w:footnote>
  <w:footnote w:id="14">
    <w:p w14:paraId="6B381450"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For newly hired employees, the Department assumes that they will receive the Initial Notice in their new employee packets, as it will be incorporated into a part of new employee intake process, thus employers incur only negligible costs in subsequent years.</w:t>
      </w:r>
    </w:p>
  </w:footnote>
  <w:footnote w:id="15">
    <w:p w14:paraId="61702B9C" w14:textId="07842A1D" w:rsidR="00BF4D05" w:rsidRPr="002D73D8" w:rsidRDefault="00BF4D05" w:rsidP="00BF4D05">
      <w:pPr>
        <w:pStyle w:val="FootnoteText"/>
        <w:rPr>
          <w:b w:val="0"/>
        </w:rPr>
      </w:pPr>
      <w:r w:rsidRPr="002D73D8">
        <w:rPr>
          <w:rStyle w:val="FootnoteReference"/>
          <w:b w:val="0"/>
        </w:rPr>
        <w:footnoteRef/>
      </w:r>
      <w:r w:rsidRPr="002D73D8">
        <w:rPr>
          <w:b w:val="0"/>
        </w:rPr>
        <w:t xml:space="preserve"> </w:t>
      </w:r>
      <w:r w:rsidR="007747B7">
        <w:rPr>
          <w:b w:val="0"/>
        </w:rPr>
        <w:t xml:space="preserve">709,527 </w:t>
      </w:r>
      <w:r w:rsidRPr="002D73D8">
        <w:rPr>
          <w:b w:val="0"/>
        </w:rPr>
        <w:t xml:space="preserve">plans * </w:t>
      </w:r>
      <w:r w:rsidR="00F80253">
        <w:rPr>
          <w:b w:val="0"/>
        </w:rPr>
        <w:t>15</w:t>
      </w:r>
      <w:r w:rsidR="00F80253" w:rsidRPr="002D73D8">
        <w:rPr>
          <w:b w:val="0"/>
        </w:rPr>
        <w:t xml:space="preserve"> </w:t>
      </w:r>
      <w:r w:rsidRPr="002D73D8">
        <w:rPr>
          <w:b w:val="0"/>
        </w:rPr>
        <w:t xml:space="preserve">minutes per plan= </w:t>
      </w:r>
      <w:r w:rsidR="00F80253">
        <w:rPr>
          <w:b w:val="0"/>
        </w:rPr>
        <w:t>177,382</w:t>
      </w:r>
      <w:r w:rsidRPr="002D73D8">
        <w:rPr>
          <w:b w:val="0"/>
        </w:rPr>
        <w:t xml:space="preserve"> hours.  </w:t>
      </w:r>
      <w:r w:rsidR="00F80253" w:rsidRPr="00F80253">
        <w:rPr>
          <w:b w:val="0"/>
        </w:rPr>
        <w:t xml:space="preserve">177,382 </w:t>
      </w:r>
      <w:r w:rsidRPr="002D73D8">
        <w:rPr>
          <w:b w:val="0"/>
        </w:rPr>
        <w:t>hours * $</w:t>
      </w:r>
      <w:r w:rsidR="00F80253">
        <w:rPr>
          <w:b w:val="0"/>
        </w:rPr>
        <w:t>138,41</w:t>
      </w:r>
      <w:r w:rsidRPr="002D73D8">
        <w:rPr>
          <w:b w:val="0"/>
        </w:rPr>
        <w:t xml:space="preserve"> for a legal professional = $</w:t>
      </w:r>
      <w:r w:rsidR="00F80253">
        <w:rPr>
          <w:b w:val="0"/>
        </w:rPr>
        <w:t>24,552,165</w:t>
      </w:r>
      <w:r w:rsidRPr="002D73D8">
        <w:rPr>
          <w:b w:val="0"/>
        </w:rPr>
        <w:t>.</w:t>
      </w:r>
    </w:p>
  </w:footnote>
  <w:footnote w:id="16">
    <w:p w14:paraId="2745E4E7" w14:textId="65DB3072" w:rsidR="00BF4D05" w:rsidRPr="002D73D8" w:rsidRDefault="00BF4D05" w:rsidP="00BF4D05">
      <w:pPr>
        <w:pStyle w:val="FootnoteText"/>
        <w:rPr>
          <w:b w:val="0"/>
        </w:rPr>
      </w:pPr>
      <w:r w:rsidRPr="002D73D8">
        <w:rPr>
          <w:rStyle w:val="FootnoteReference"/>
          <w:b w:val="0"/>
        </w:rPr>
        <w:footnoteRef/>
      </w:r>
      <w:r w:rsidRPr="002D73D8">
        <w:rPr>
          <w:b w:val="0"/>
        </w:rPr>
        <w:t xml:space="preserve"> </w:t>
      </w:r>
      <w:r w:rsidR="005E79FF">
        <w:rPr>
          <w:b w:val="0"/>
        </w:rPr>
        <w:t>(Plans without a website—on average email twice a year: 25,984</w:t>
      </w:r>
      <w:r w:rsidR="007747B7">
        <w:rPr>
          <w:b w:val="0"/>
        </w:rPr>
        <w:t xml:space="preserve"> </w:t>
      </w:r>
      <w:r w:rsidRPr="002D73D8">
        <w:rPr>
          <w:b w:val="0"/>
        </w:rPr>
        <w:t xml:space="preserve">plans * </w:t>
      </w:r>
      <w:r w:rsidR="005E79FF">
        <w:rPr>
          <w:b w:val="0"/>
        </w:rPr>
        <w:t>10</w:t>
      </w:r>
      <w:r w:rsidR="005E79FF" w:rsidRPr="002D73D8">
        <w:rPr>
          <w:b w:val="0"/>
        </w:rPr>
        <w:t xml:space="preserve"> </w:t>
      </w:r>
      <w:r w:rsidRPr="002D73D8">
        <w:rPr>
          <w:b w:val="0"/>
        </w:rPr>
        <w:t>minutes per plan * $</w:t>
      </w:r>
      <w:r w:rsidR="005E79FF">
        <w:rPr>
          <w:b w:val="0"/>
        </w:rPr>
        <w:t>55.14</w:t>
      </w:r>
      <w:r w:rsidRPr="002D73D8">
        <w:rPr>
          <w:b w:val="0"/>
        </w:rPr>
        <w:t xml:space="preserve"> for </w:t>
      </w:r>
      <w:r w:rsidR="005E79FF">
        <w:rPr>
          <w:b w:val="0"/>
        </w:rPr>
        <w:t xml:space="preserve">a </w:t>
      </w:r>
      <w:r w:rsidR="009768B7">
        <w:rPr>
          <w:b w:val="0"/>
        </w:rPr>
        <w:t>clerical worker</w:t>
      </w:r>
      <w:r w:rsidRPr="002D73D8">
        <w:rPr>
          <w:b w:val="0"/>
        </w:rPr>
        <w:t>= $</w:t>
      </w:r>
      <w:r w:rsidR="00E64F1A">
        <w:rPr>
          <w:b w:val="0"/>
        </w:rPr>
        <w:t>238,803</w:t>
      </w:r>
      <w:r w:rsidR="005E79FF">
        <w:rPr>
          <w:b w:val="0"/>
        </w:rPr>
        <w:t>) + (</w:t>
      </w:r>
      <w:r w:rsidR="008E6B73">
        <w:rPr>
          <w:b w:val="0"/>
        </w:rPr>
        <w:t xml:space="preserve">Plans already have a website- on average post twice a year: 117,574 plans * </w:t>
      </w:r>
      <w:r w:rsidR="00E64F1A">
        <w:rPr>
          <w:b w:val="0"/>
        </w:rPr>
        <w:t xml:space="preserve">10 minutes per plan </w:t>
      </w:r>
      <w:r w:rsidR="00E90C28">
        <w:rPr>
          <w:b w:val="0"/>
        </w:rPr>
        <w:t xml:space="preserve">* $55.14 for a </w:t>
      </w:r>
      <w:r w:rsidR="009768B7">
        <w:rPr>
          <w:b w:val="0"/>
        </w:rPr>
        <w:t>clerical worker</w:t>
      </w:r>
      <w:r w:rsidR="00E90C28">
        <w:rPr>
          <w:b w:val="0"/>
        </w:rPr>
        <w:t>= $1</w:t>
      </w:r>
      <w:r w:rsidR="00BA7F16">
        <w:rPr>
          <w:b w:val="0"/>
        </w:rPr>
        <w:t>,080,552</w:t>
      </w:r>
      <w:r w:rsidR="00E90C28">
        <w:rPr>
          <w:b w:val="0"/>
        </w:rPr>
        <w:t>) + (Plans already have a website- on average post five times a year: 595,</w:t>
      </w:r>
      <w:r w:rsidR="00A474E7">
        <w:rPr>
          <w:b w:val="0"/>
        </w:rPr>
        <w:t>969</w:t>
      </w:r>
      <w:r w:rsidR="00E90C28">
        <w:rPr>
          <w:b w:val="0"/>
        </w:rPr>
        <w:t xml:space="preserve"> hours * </w:t>
      </w:r>
      <w:r w:rsidR="00671A01">
        <w:rPr>
          <w:b w:val="0"/>
        </w:rPr>
        <w:t>25</w:t>
      </w:r>
      <w:r w:rsidR="00E90C28">
        <w:rPr>
          <w:b w:val="0"/>
        </w:rPr>
        <w:t xml:space="preserve"> minu</w:t>
      </w:r>
      <w:r w:rsidR="00671A01">
        <w:rPr>
          <w:b w:val="0"/>
        </w:rPr>
        <w:t>tes</w:t>
      </w:r>
      <w:r w:rsidR="00E64F1A">
        <w:rPr>
          <w:b w:val="0"/>
        </w:rPr>
        <w:t xml:space="preserve"> </w:t>
      </w:r>
      <w:r w:rsidR="00671A01">
        <w:rPr>
          <w:b w:val="0"/>
        </w:rPr>
        <w:t>* 55.14</w:t>
      </w:r>
      <w:r w:rsidR="00371865">
        <w:rPr>
          <w:b w:val="0"/>
        </w:rPr>
        <w:t xml:space="preserve"> for a </w:t>
      </w:r>
      <w:r w:rsidR="009768B7">
        <w:rPr>
          <w:b w:val="0"/>
        </w:rPr>
        <w:t>clerical worker</w:t>
      </w:r>
      <w:r w:rsidR="00671A01">
        <w:rPr>
          <w:b w:val="0"/>
        </w:rPr>
        <w:t xml:space="preserve"> =$13,003,699) = $14,323,054 </w:t>
      </w:r>
    </w:p>
  </w:footnote>
  <w:footnote w:id="17">
    <w:p w14:paraId="3F6B349B" w14:textId="0E519D44" w:rsidR="00BF4D05" w:rsidRPr="002D73D8" w:rsidRDefault="00BF4D05" w:rsidP="00BF4D05">
      <w:pPr>
        <w:pStyle w:val="FootnoteText"/>
        <w:rPr>
          <w:b w:val="0"/>
        </w:rPr>
      </w:pPr>
      <w:r w:rsidRPr="002D73D8">
        <w:rPr>
          <w:rStyle w:val="FootnoteReference"/>
          <w:b w:val="0"/>
        </w:rPr>
        <w:footnoteRef/>
      </w:r>
      <w:r w:rsidRPr="002D73D8">
        <w:rPr>
          <w:b w:val="0"/>
        </w:rPr>
        <w:t xml:space="preserve"> </w:t>
      </w:r>
      <w:r w:rsidR="0080765F" w:rsidRPr="0080765F">
        <w:rPr>
          <w:b w:val="0"/>
        </w:rPr>
        <w:t>(Plans without a website—on average email twice a year: 25,984 plans * 1</w:t>
      </w:r>
      <w:r w:rsidR="0080765F">
        <w:rPr>
          <w:b w:val="0"/>
        </w:rPr>
        <w:t>5</w:t>
      </w:r>
      <w:r w:rsidR="0080765F" w:rsidRPr="0080765F">
        <w:rPr>
          <w:b w:val="0"/>
        </w:rPr>
        <w:t xml:space="preserve"> minutes per plan * $55.14 for a </w:t>
      </w:r>
      <w:r w:rsidR="00360635">
        <w:rPr>
          <w:b w:val="0"/>
        </w:rPr>
        <w:t>clerical worker</w:t>
      </w:r>
      <w:r w:rsidR="0080765F" w:rsidRPr="0080765F">
        <w:rPr>
          <w:b w:val="0"/>
        </w:rPr>
        <w:t>= $</w:t>
      </w:r>
      <w:r w:rsidR="0080765F">
        <w:rPr>
          <w:b w:val="0"/>
        </w:rPr>
        <w:t>358,205</w:t>
      </w:r>
      <w:r w:rsidR="0080765F" w:rsidRPr="0080765F">
        <w:rPr>
          <w:b w:val="0"/>
        </w:rPr>
        <w:t>) + (Plans already have a website- on average post twice a year: 117,574 plans * 1</w:t>
      </w:r>
      <w:r w:rsidR="0080765F">
        <w:rPr>
          <w:b w:val="0"/>
        </w:rPr>
        <w:t>5</w:t>
      </w:r>
      <w:r w:rsidR="0080765F" w:rsidRPr="0080765F">
        <w:rPr>
          <w:b w:val="0"/>
        </w:rPr>
        <w:t xml:space="preserve"> minutes per plan * $55.14 for a </w:t>
      </w:r>
      <w:r w:rsidR="00360635">
        <w:rPr>
          <w:b w:val="0"/>
        </w:rPr>
        <w:t>clerical worker</w:t>
      </w:r>
      <w:r w:rsidR="0080765F" w:rsidRPr="0080765F">
        <w:rPr>
          <w:b w:val="0"/>
        </w:rPr>
        <w:t xml:space="preserve"> = $1,620,828) + (Plans already have a website- on average post five times a year: 595,969 hours * </w:t>
      </w:r>
      <w:r w:rsidR="0080765F">
        <w:rPr>
          <w:b w:val="0"/>
        </w:rPr>
        <w:t>37.5</w:t>
      </w:r>
      <w:r w:rsidR="0080765F" w:rsidRPr="0080765F">
        <w:rPr>
          <w:b w:val="0"/>
        </w:rPr>
        <w:t xml:space="preserve"> minutes * 55.14 for a </w:t>
      </w:r>
      <w:r w:rsidR="00360635">
        <w:rPr>
          <w:b w:val="0"/>
        </w:rPr>
        <w:t>clerical worker</w:t>
      </w:r>
      <w:r w:rsidR="0080765F" w:rsidRPr="0080765F">
        <w:rPr>
          <w:b w:val="0"/>
        </w:rPr>
        <w:t xml:space="preserve"> =$</w:t>
      </w:r>
      <w:r w:rsidR="0080765F">
        <w:rPr>
          <w:b w:val="0"/>
        </w:rPr>
        <w:t>19,505,549</w:t>
      </w:r>
      <w:r w:rsidR="0080765F" w:rsidRPr="0080765F">
        <w:rPr>
          <w:b w:val="0"/>
        </w:rPr>
        <w:t>) = $</w:t>
      </w:r>
      <w:r w:rsidR="0080765F">
        <w:rPr>
          <w:b w:val="0"/>
        </w:rPr>
        <w:t>21,484,581</w:t>
      </w:r>
      <w:r w:rsidR="0080765F" w:rsidRPr="0080765F">
        <w:rPr>
          <w:b w:val="0"/>
        </w:rPr>
        <w:t xml:space="preserve"> </w:t>
      </w:r>
    </w:p>
  </w:footnote>
  <w:footnote w:id="18">
    <w:p w14:paraId="6888DE48" w14:textId="77777777" w:rsidR="00CD3B07" w:rsidRDefault="00CD3B07" w:rsidP="00CD3B07">
      <w:pPr>
        <w:pStyle w:val="FootnoteText"/>
      </w:pPr>
      <w:r w:rsidRPr="00B43518">
        <w:rPr>
          <w:rStyle w:val="FootnoteReference"/>
          <w:b w:val="0"/>
        </w:rPr>
        <w:footnoteRef/>
      </w:r>
      <w:r w:rsidRPr="00B43518">
        <w:rPr>
          <w:b w:val="0"/>
        </w:rPr>
        <w:t xml:space="preserve"> According to Private Pension Plan Bulletin 2017, there were over 143,000 defined benefit plans and nonparticipant-directed defined contribution plans.  Applying an assumption of 18 percent, the Department estimates approximately 25,984 (143,558 * 0.181) plans currently lack websites.  This estimate may understate the total number of plans that lack websites because the PSCA study examined profit-sharing plans and 401(k) plans.  As discussed, most 401(k) plans are expected to have their own websites.  Therefore, the fraction of defined benefit plans and nonparticipant-directed DC plans that lack websites would be likely higher than 18 percent.  </w:t>
      </w:r>
    </w:p>
  </w:footnote>
  <w:footnote w:id="19">
    <w:p w14:paraId="0CC171FC" w14:textId="6C0AFD83" w:rsidR="00BF4D05" w:rsidRPr="002D73D8" w:rsidRDefault="00BF4D05" w:rsidP="00BF4D05">
      <w:pPr>
        <w:pStyle w:val="FootnoteText"/>
        <w:rPr>
          <w:b w:val="0"/>
        </w:rPr>
      </w:pPr>
      <w:r w:rsidRPr="002D73D8">
        <w:rPr>
          <w:rStyle w:val="FootnoteReference"/>
          <w:b w:val="0"/>
        </w:rPr>
        <w:footnoteRef/>
      </w:r>
      <w:r w:rsidRPr="002D73D8">
        <w:rPr>
          <w:b w:val="0"/>
        </w:rPr>
        <w:t xml:space="preserve"> </w:t>
      </w:r>
      <w:r w:rsidR="008116B4" w:rsidRPr="008116B4">
        <w:rPr>
          <w:b w:val="0"/>
        </w:rPr>
        <w:t>(Plans already have a website- on average post twice a year: 117,574 plans * 10 minutes per plan * $110.34 for a computer programmer = $2,162,186) + (Plans already have a website- on av</w:t>
      </w:r>
      <w:r w:rsidR="00D515C2">
        <w:rPr>
          <w:b w:val="0"/>
        </w:rPr>
        <w:t>erage post five times a year: 56</w:t>
      </w:r>
      <w:r w:rsidR="008116B4" w:rsidRPr="008116B4">
        <w:rPr>
          <w:b w:val="0"/>
        </w:rPr>
        <w:t>5,969 hours * 25 minutes * 110.34 for a computer programmer =$26,020,425) = $28,182,425</w:t>
      </w:r>
    </w:p>
  </w:footnote>
  <w:footnote w:id="20">
    <w:p w14:paraId="1094EA0B" w14:textId="5F20C974" w:rsidR="00992C3C" w:rsidRPr="002D73D8" w:rsidRDefault="00992C3C" w:rsidP="00992C3C">
      <w:pPr>
        <w:pStyle w:val="FootnoteText"/>
        <w:rPr>
          <w:b w:val="0"/>
        </w:rPr>
      </w:pPr>
      <w:r w:rsidRPr="002D73D8">
        <w:rPr>
          <w:rStyle w:val="FootnoteReference"/>
          <w:b w:val="0"/>
        </w:rPr>
        <w:footnoteRef/>
      </w:r>
      <w:r w:rsidRPr="002D73D8">
        <w:rPr>
          <w:b w:val="0"/>
        </w:rPr>
        <w:t xml:space="preserve"> </w:t>
      </w:r>
      <w:r>
        <w:rPr>
          <w:b w:val="0"/>
        </w:rPr>
        <w:t xml:space="preserve">The three-year average </w:t>
      </w:r>
      <w:r w:rsidR="004218B8">
        <w:rPr>
          <w:b w:val="0"/>
        </w:rPr>
        <w:t>hour burden</w:t>
      </w:r>
      <w:r>
        <w:rPr>
          <w:b w:val="0"/>
        </w:rPr>
        <w:t xml:space="preserve"> was calculated in the following manner: ($196,005,309 + $78,028,350 + $72,028,350) / 3 = $117</w:t>
      </w:r>
      <w:r w:rsidR="0080409A">
        <w:rPr>
          <w:b w:val="0"/>
        </w:rPr>
        <w:t>,354,00</w:t>
      </w:r>
      <w:r>
        <w:rPr>
          <w:b w:val="0"/>
        </w:rPr>
        <w:t>3</w:t>
      </w:r>
      <w:r w:rsidR="00120269">
        <w:rPr>
          <w:b w:val="0"/>
        </w:rPr>
        <w:t xml:space="preserve">.  </w:t>
      </w:r>
      <w:r w:rsidRPr="00992C3C">
        <w:rPr>
          <w:b w:val="0"/>
        </w:rPr>
        <w:t xml:space="preserve">The three-year average for the </w:t>
      </w:r>
      <w:r>
        <w:rPr>
          <w:b w:val="0"/>
        </w:rPr>
        <w:t xml:space="preserve">equivalent cost of the </w:t>
      </w:r>
      <w:r w:rsidRPr="00992C3C">
        <w:rPr>
          <w:b w:val="0"/>
        </w:rPr>
        <w:t>hour burden was calculated in the following manner</w:t>
      </w:r>
      <w:r>
        <w:rPr>
          <w:b w:val="0"/>
        </w:rPr>
        <w:t>: (2,408,111 + 1,147,255 + 1,147,255)</w:t>
      </w:r>
      <w:r w:rsidR="005B6A8B">
        <w:rPr>
          <w:b w:val="0"/>
        </w:rPr>
        <w:t xml:space="preserve"> </w:t>
      </w:r>
      <w:r w:rsidR="00120269">
        <w:rPr>
          <w:b w:val="0"/>
        </w:rPr>
        <w:t>/</w:t>
      </w:r>
      <w:r w:rsidR="005B6A8B">
        <w:rPr>
          <w:b w:val="0"/>
        </w:rPr>
        <w:t xml:space="preserve"> </w:t>
      </w:r>
      <w:r w:rsidR="00120269">
        <w:rPr>
          <w:b w:val="0"/>
        </w:rPr>
        <w:t>3</w:t>
      </w:r>
      <w:r>
        <w:rPr>
          <w:b w:val="0"/>
        </w:rPr>
        <w:t xml:space="preserve"> = 1,567,541 hours</w:t>
      </w:r>
      <w:r w:rsidR="00120269">
        <w:rPr>
          <w:b w:val="0"/>
        </w:rPr>
        <w:t>.</w:t>
      </w:r>
      <w:r>
        <w:rPr>
          <w:b w:val="0"/>
        </w:rPr>
        <w:t xml:space="preserve"> </w:t>
      </w:r>
    </w:p>
  </w:footnote>
  <w:footnote w:id="21">
    <w:p w14:paraId="743E77BB"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This estimate is based on $36 million mailing costs (approximately 60 million notices * $0.60) </w:t>
      </w:r>
    </w:p>
  </w:footnote>
  <w:footnote w:id="22">
    <w:p w14:paraId="1B844110" w14:textId="77777777" w:rsidR="00BF4D05" w:rsidRPr="0080105E" w:rsidRDefault="00BF4D05" w:rsidP="00BF4D05">
      <w:pPr>
        <w:pStyle w:val="FootnoteText"/>
      </w:pPr>
      <w:r w:rsidRPr="002D73D8">
        <w:rPr>
          <w:rStyle w:val="FootnoteReference"/>
          <w:b w:val="0"/>
        </w:rPr>
        <w:footnoteRef/>
      </w:r>
      <w:r w:rsidRPr="002D73D8">
        <w:rPr>
          <w:b w:val="0"/>
        </w:rPr>
        <w:t xml:space="preserve"> For newly hired employees, the Department assumes that they will receive the Initial Notice in their new employee packets, as it will be incorporated into a part of new employee intake process, thus employers incur only negligible costs in subsequent years.</w:t>
      </w:r>
    </w:p>
  </w:footnote>
  <w:footnote w:id="23">
    <w:p w14:paraId="3BC0CDAB"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The Department understands that software is commercially available to monitor emails to produce a list of email addresses that have bounced back with the owners’ name, export the list into different formats, and, in certain circumstances, remove invalid email addresses from the list. Such software also generates and reports relevant statistics such as bounce rate, open rate and click-through rate. Some software has the capability to automatically re-attempt delivery depending on the reasons of failed delivery. </w:t>
      </w:r>
    </w:p>
  </w:footnote>
  <w:footnote w:id="24">
    <w:p w14:paraId="6E9EDE34" w14:textId="6F9619C6" w:rsidR="00BF4D05" w:rsidRPr="002D73D8" w:rsidRDefault="00BF4D05" w:rsidP="00BF4D05">
      <w:pPr>
        <w:pStyle w:val="FootnoteText"/>
        <w:rPr>
          <w:b w:val="0"/>
        </w:rPr>
      </w:pPr>
      <w:r w:rsidRPr="002D73D8">
        <w:rPr>
          <w:rStyle w:val="FootnoteReference"/>
          <w:b w:val="0"/>
        </w:rPr>
        <w:footnoteRef/>
      </w:r>
      <w:r w:rsidRPr="002D73D8">
        <w:rPr>
          <w:b w:val="0"/>
        </w:rPr>
        <w:t xml:space="preserve"> </w:t>
      </w:r>
      <w:r w:rsidR="00637D16" w:rsidRPr="00B43518">
        <w:rPr>
          <w:b w:val="0"/>
        </w:rPr>
        <w:t>The Department gathered pricing information for five commercial software packages that ranged from $10 per month to $320 per month, depending on the volume and sophistication of features available.  Taking the average of basic level price of these five products, the Department assumes that it would cost $28.20 per month ($338.40 per year) to subscribe.  Assuming 25,984 plans would purchase this type of product, the Department estimates that the aggregate costs will total $8.8 million (25,984 plans * $338.40).</w:t>
      </w:r>
      <w:r w:rsidRPr="00344E37">
        <w:rPr>
          <w:b w:val="0"/>
        </w:rPr>
        <w:t xml:space="preserve"> </w:t>
      </w:r>
    </w:p>
  </w:footnote>
  <w:footnote w:id="25">
    <w:p w14:paraId="46B43849" w14:textId="02123E17" w:rsidR="00ED7F19" w:rsidRPr="002D73D8" w:rsidRDefault="00ED7F19" w:rsidP="00ED7F19">
      <w:pPr>
        <w:pStyle w:val="FootnoteText"/>
        <w:rPr>
          <w:b w:val="0"/>
        </w:rPr>
      </w:pPr>
      <w:r w:rsidRPr="002D73D8">
        <w:rPr>
          <w:rStyle w:val="FootnoteReference"/>
          <w:b w:val="0"/>
        </w:rPr>
        <w:footnoteRef/>
      </w:r>
      <w:r w:rsidRPr="002D73D8">
        <w:rPr>
          <w:b w:val="0"/>
        </w:rPr>
        <w:t xml:space="preserve"> </w:t>
      </w:r>
      <w:r w:rsidR="00266B5B" w:rsidRPr="00266B5B">
        <w:rPr>
          <w:b w:val="0"/>
        </w:rPr>
        <w:t xml:space="preserve">The three-year average </w:t>
      </w:r>
      <w:r w:rsidR="00266B5B">
        <w:rPr>
          <w:b w:val="0"/>
        </w:rPr>
        <w:t>cost</w:t>
      </w:r>
      <w:r w:rsidR="00266B5B" w:rsidRPr="00266B5B">
        <w:rPr>
          <w:b w:val="0"/>
        </w:rPr>
        <w:t xml:space="preserve"> burden was calculated in the following manner</w:t>
      </w:r>
      <w:r w:rsidR="00266B5B">
        <w:rPr>
          <w:b w:val="0"/>
        </w:rPr>
        <w:t>:</w:t>
      </w:r>
      <w:r w:rsidR="00266B5B" w:rsidRPr="00266B5B">
        <w:rPr>
          <w:b w:val="0"/>
        </w:rPr>
        <w:t xml:space="preserve"> </w:t>
      </w:r>
      <w:r>
        <w:rPr>
          <w:b w:val="0"/>
        </w:rPr>
        <w:t xml:space="preserve">($44,959,560 + 9,683,001 + 9,683,001) / 3 </w:t>
      </w:r>
      <w:r w:rsidR="0080409A">
        <w:rPr>
          <w:b w:val="0"/>
        </w:rPr>
        <w:t xml:space="preserve">= </w:t>
      </w:r>
      <w:r w:rsidR="0080409A" w:rsidRPr="002D73D8">
        <w:rPr>
          <w:b w:val="0"/>
        </w:rPr>
        <w:t>$</w:t>
      </w:r>
      <w:r w:rsidRPr="00ED7F19">
        <w:rPr>
          <w:b w:val="0"/>
        </w:rPr>
        <w:t>21,441,854</w:t>
      </w:r>
      <w:r w:rsidR="00474485">
        <w:rPr>
          <w:b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B1C4F" w14:textId="77777777" w:rsidR="00C96D3D" w:rsidRDefault="00C96D3D">
    <w:pPr>
      <w:jc w:val="right"/>
      <w:rPr>
        <w:b w:val="0"/>
        <w:bCs w:val="0"/>
      </w:rPr>
    </w:pPr>
    <w:r>
      <w:rPr>
        <w:b w:val="0"/>
        <w:bCs w:val="0"/>
      </w:rPr>
      <w:t>Consent To Receive Employee Benefit Plan Disclosures Electronically</w:t>
    </w:r>
  </w:p>
  <w:p w14:paraId="5B09C3D0" w14:textId="77777777" w:rsidR="00C96D3D" w:rsidRDefault="00C96D3D">
    <w:pPr>
      <w:jc w:val="right"/>
      <w:rPr>
        <w:b w:val="0"/>
        <w:bCs w:val="0"/>
      </w:rPr>
    </w:pPr>
    <w:r>
      <w:rPr>
        <w:b w:val="0"/>
        <w:bCs w:val="0"/>
      </w:rPr>
      <w:t xml:space="preserve">OMB </w:t>
    </w:r>
    <w:r w:rsidR="00170276">
      <w:rPr>
        <w:b w:val="0"/>
        <w:bCs w:val="0"/>
      </w:rPr>
      <w:t xml:space="preserve">Control Number </w:t>
    </w:r>
    <w:r>
      <w:rPr>
        <w:b w:val="0"/>
        <w:bCs w:val="0"/>
      </w:rPr>
      <w:t>1210-0121</w:t>
    </w:r>
  </w:p>
  <w:p w14:paraId="20A9D67C" w14:textId="527C32CB" w:rsidR="00C96D3D" w:rsidRDefault="002C2A5A">
    <w:pPr>
      <w:pStyle w:val="Header"/>
      <w:jc w:val="right"/>
      <w:rPr>
        <w:b w:val="0"/>
        <w:bCs w:val="0"/>
      </w:rPr>
    </w:pPr>
    <w:r>
      <w:rPr>
        <w:b w:val="0"/>
        <w:bCs w:val="0"/>
      </w:rPr>
      <w:t>March 2020</w:t>
    </w:r>
  </w:p>
  <w:p w14:paraId="2E96174F" w14:textId="77777777" w:rsidR="00D55011" w:rsidRDefault="00D5501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B74" w14:textId="77777777" w:rsidR="00C96D3D" w:rsidRDefault="00C96D3D" w:rsidP="00C96D3D">
    <w:pPr>
      <w:jc w:val="right"/>
      <w:rPr>
        <w:b w:val="0"/>
        <w:bCs w:val="0"/>
      </w:rPr>
    </w:pPr>
    <w:r>
      <w:rPr>
        <w:b w:val="0"/>
        <w:bCs w:val="0"/>
      </w:rPr>
      <w:t>Consent To Receive Employee Benefit Plan Disclosures Electronically</w:t>
    </w:r>
  </w:p>
  <w:p w14:paraId="5C0A6FEE" w14:textId="77777777" w:rsidR="00C96D3D" w:rsidRDefault="00C96D3D" w:rsidP="00C96D3D">
    <w:pPr>
      <w:jc w:val="right"/>
      <w:rPr>
        <w:b w:val="0"/>
        <w:bCs w:val="0"/>
      </w:rPr>
    </w:pPr>
    <w:r>
      <w:rPr>
        <w:b w:val="0"/>
        <w:bCs w:val="0"/>
      </w:rPr>
      <w:t xml:space="preserve">OMB </w:t>
    </w:r>
    <w:r w:rsidR="00170276">
      <w:rPr>
        <w:b w:val="0"/>
        <w:bCs w:val="0"/>
      </w:rPr>
      <w:t xml:space="preserve">Control Number </w:t>
    </w:r>
    <w:r>
      <w:rPr>
        <w:b w:val="0"/>
        <w:bCs w:val="0"/>
      </w:rPr>
      <w:t>1210-0121</w:t>
    </w:r>
  </w:p>
  <w:p w14:paraId="1774DF8B" w14:textId="01B577D5" w:rsidR="00C96D3D" w:rsidRDefault="00D25115" w:rsidP="00113FDD">
    <w:pPr>
      <w:pStyle w:val="Header"/>
      <w:jc w:val="right"/>
      <w:rPr>
        <w:b w:val="0"/>
        <w:bCs w:val="0"/>
      </w:rPr>
    </w:pPr>
    <w:r>
      <w:rPr>
        <w:b w:val="0"/>
        <w:bCs w:val="0"/>
      </w:rPr>
      <w:t>March 2020</w:t>
    </w:r>
  </w:p>
  <w:p w14:paraId="79B0A86A" w14:textId="77777777" w:rsidR="00D55011" w:rsidRDefault="00D55011" w:rsidP="00113F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5889F2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91B1252"/>
    <w:multiLevelType w:val="hybridMultilevel"/>
    <w:tmpl w:val="AC060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E1078"/>
    <w:multiLevelType w:val="hybridMultilevel"/>
    <w:tmpl w:val="EFD20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rPr>
          <w:i w:val="0"/>
        </w:rPr>
      </w:lvl>
    </w:lvlOverride>
  </w:num>
  <w:num w:numId="4">
    <w:abstractNumId w:val="5"/>
  </w:num>
  <w:num w:numId="5">
    <w:abstractNumId w:val="3"/>
  </w:num>
  <w:num w:numId="6">
    <w:abstractNumId w:val="6"/>
  </w:num>
  <w:num w:numId="7">
    <w:abstractNumId w:val="1"/>
  </w:num>
  <w:num w:numId="8">
    <w:abstractNumId w:val="2"/>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36"/>
    <w:rsid w:val="00012794"/>
    <w:rsid w:val="00033A89"/>
    <w:rsid w:val="00035A88"/>
    <w:rsid w:val="000402D8"/>
    <w:rsid w:val="00046E13"/>
    <w:rsid w:val="000700AF"/>
    <w:rsid w:val="00070B67"/>
    <w:rsid w:val="000965E1"/>
    <w:rsid w:val="000A618A"/>
    <w:rsid w:val="000C7FCA"/>
    <w:rsid w:val="000D375B"/>
    <w:rsid w:val="000D6607"/>
    <w:rsid w:val="000D6638"/>
    <w:rsid w:val="000E5503"/>
    <w:rsid w:val="000F3954"/>
    <w:rsid w:val="000F5FA9"/>
    <w:rsid w:val="0010689A"/>
    <w:rsid w:val="0011314A"/>
    <w:rsid w:val="00113FDD"/>
    <w:rsid w:val="00120269"/>
    <w:rsid w:val="00124974"/>
    <w:rsid w:val="00134518"/>
    <w:rsid w:val="0013623C"/>
    <w:rsid w:val="00152FB1"/>
    <w:rsid w:val="001663C5"/>
    <w:rsid w:val="00170276"/>
    <w:rsid w:val="00195BE1"/>
    <w:rsid w:val="001C04DD"/>
    <w:rsid w:val="001C0B89"/>
    <w:rsid w:val="001C460B"/>
    <w:rsid w:val="001D16ED"/>
    <w:rsid w:val="001D4D0A"/>
    <w:rsid w:val="001E275E"/>
    <w:rsid w:val="001E4B64"/>
    <w:rsid w:val="001F0B2C"/>
    <w:rsid w:val="001F16EB"/>
    <w:rsid w:val="00205708"/>
    <w:rsid w:val="002065C0"/>
    <w:rsid w:val="00215336"/>
    <w:rsid w:val="00216982"/>
    <w:rsid w:val="00225756"/>
    <w:rsid w:val="00245558"/>
    <w:rsid w:val="00265E16"/>
    <w:rsid w:val="00266B5B"/>
    <w:rsid w:val="0027272C"/>
    <w:rsid w:val="00297EBC"/>
    <w:rsid w:val="002B491C"/>
    <w:rsid w:val="002C0AEC"/>
    <w:rsid w:val="002C2A5A"/>
    <w:rsid w:val="002D73D8"/>
    <w:rsid w:val="002E08A3"/>
    <w:rsid w:val="002E3FC2"/>
    <w:rsid w:val="002F1023"/>
    <w:rsid w:val="002F4032"/>
    <w:rsid w:val="002F66A1"/>
    <w:rsid w:val="002F6E3A"/>
    <w:rsid w:val="00310B18"/>
    <w:rsid w:val="00310D36"/>
    <w:rsid w:val="00311D2E"/>
    <w:rsid w:val="00313CE3"/>
    <w:rsid w:val="00344DB8"/>
    <w:rsid w:val="00344E37"/>
    <w:rsid w:val="00360635"/>
    <w:rsid w:val="0036196E"/>
    <w:rsid w:val="0036465E"/>
    <w:rsid w:val="00371865"/>
    <w:rsid w:val="00381C42"/>
    <w:rsid w:val="0038424E"/>
    <w:rsid w:val="00385527"/>
    <w:rsid w:val="00387164"/>
    <w:rsid w:val="003A317E"/>
    <w:rsid w:val="003A6582"/>
    <w:rsid w:val="003B3F10"/>
    <w:rsid w:val="003E6745"/>
    <w:rsid w:val="0040475B"/>
    <w:rsid w:val="004218B8"/>
    <w:rsid w:val="00424A6A"/>
    <w:rsid w:val="004501D1"/>
    <w:rsid w:val="00467152"/>
    <w:rsid w:val="00474054"/>
    <w:rsid w:val="00474485"/>
    <w:rsid w:val="004768D6"/>
    <w:rsid w:val="00493861"/>
    <w:rsid w:val="004939EE"/>
    <w:rsid w:val="00495FFF"/>
    <w:rsid w:val="00496D46"/>
    <w:rsid w:val="00497734"/>
    <w:rsid w:val="004A6A9B"/>
    <w:rsid w:val="004B0C74"/>
    <w:rsid w:val="004C7DEC"/>
    <w:rsid w:val="004D46BC"/>
    <w:rsid w:val="004D756F"/>
    <w:rsid w:val="004F604A"/>
    <w:rsid w:val="004F6CEE"/>
    <w:rsid w:val="00504518"/>
    <w:rsid w:val="00510B64"/>
    <w:rsid w:val="00534D23"/>
    <w:rsid w:val="00547AF8"/>
    <w:rsid w:val="005561FD"/>
    <w:rsid w:val="0055784D"/>
    <w:rsid w:val="00571C39"/>
    <w:rsid w:val="00581864"/>
    <w:rsid w:val="0058540A"/>
    <w:rsid w:val="00592121"/>
    <w:rsid w:val="005B41EB"/>
    <w:rsid w:val="005B6A8B"/>
    <w:rsid w:val="005C6121"/>
    <w:rsid w:val="005D419D"/>
    <w:rsid w:val="005E614F"/>
    <w:rsid w:val="005E79FF"/>
    <w:rsid w:val="005F0E8A"/>
    <w:rsid w:val="005F1142"/>
    <w:rsid w:val="0060364E"/>
    <w:rsid w:val="00607839"/>
    <w:rsid w:val="00633818"/>
    <w:rsid w:val="00637D16"/>
    <w:rsid w:val="0067177E"/>
    <w:rsid w:val="006718C6"/>
    <w:rsid w:val="006718CC"/>
    <w:rsid w:val="00671A01"/>
    <w:rsid w:val="0067270F"/>
    <w:rsid w:val="00675146"/>
    <w:rsid w:val="00684743"/>
    <w:rsid w:val="0068616F"/>
    <w:rsid w:val="006A1BDE"/>
    <w:rsid w:val="006C1B66"/>
    <w:rsid w:val="006E6CEF"/>
    <w:rsid w:val="006F5DB0"/>
    <w:rsid w:val="007174C6"/>
    <w:rsid w:val="00720D12"/>
    <w:rsid w:val="007216AC"/>
    <w:rsid w:val="007461D4"/>
    <w:rsid w:val="007645CC"/>
    <w:rsid w:val="007747B7"/>
    <w:rsid w:val="00785826"/>
    <w:rsid w:val="007A7EB8"/>
    <w:rsid w:val="007B58EC"/>
    <w:rsid w:val="007C0204"/>
    <w:rsid w:val="007D1B35"/>
    <w:rsid w:val="007F7D95"/>
    <w:rsid w:val="0080409A"/>
    <w:rsid w:val="00804334"/>
    <w:rsid w:val="0080765F"/>
    <w:rsid w:val="008116B4"/>
    <w:rsid w:val="00832E49"/>
    <w:rsid w:val="00834EAB"/>
    <w:rsid w:val="0083559F"/>
    <w:rsid w:val="008432CE"/>
    <w:rsid w:val="008465D8"/>
    <w:rsid w:val="0084767E"/>
    <w:rsid w:val="008508BC"/>
    <w:rsid w:val="00860187"/>
    <w:rsid w:val="00872160"/>
    <w:rsid w:val="0087251D"/>
    <w:rsid w:val="00880EC6"/>
    <w:rsid w:val="00881F2F"/>
    <w:rsid w:val="0088365F"/>
    <w:rsid w:val="008907FF"/>
    <w:rsid w:val="0089196B"/>
    <w:rsid w:val="008A403B"/>
    <w:rsid w:val="008A63B1"/>
    <w:rsid w:val="008B7141"/>
    <w:rsid w:val="008E6B73"/>
    <w:rsid w:val="008F2FBF"/>
    <w:rsid w:val="008F4FE4"/>
    <w:rsid w:val="008F5A18"/>
    <w:rsid w:val="0090161E"/>
    <w:rsid w:val="009031C9"/>
    <w:rsid w:val="00912580"/>
    <w:rsid w:val="00913CFE"/>
    <w:rsid w:val="00927467"/>
    <w:rsid w:val="00931A00"/>
    <w:rsid w:val="00935A50"/>
    <w:rsid w:val="00941844"/>
    <w:rsid w:val="009446DE"/>
    <w:rsid w:val="009464FC"/>
    <w:rsid w:val="009559E6"/>
    <w:rsid w:val="00976215"/>
    <w:rsid w:val="009768B7"/>
    <w:rsid w:val="009867B8"/>
    <w:rsid w:val="00992C3C"/>
    <w:rsid w:val="0099608F"/>
    <w:rsid w:val="009A7E89"/>
    <w:rsid w:val="009B317B"/>
    <w:rsid w:val="009C06EF"/>
    <w:rsid w:val="009C3114"/>
    <w:rsid w:val="009D78DE"/>
    <w:rsid w:val="009E0937"/>
    <w:rsid w:val="009F5892"/>
    <w:rsid w:val="00A211C9"/>
    <w:rsid w:val="00A21CCB"/>
    <w:rsid w:val="00A2612E"/>
    <w:rsid w:val="00A334A3"/>
    <w:rsid w:val="00A4242E"/>
    <w:rsid w:val="00A45A84"/>
    <w:rsid w:val="00A46685"/>
    <w:rsid w:val="00A474E7"/>
    <w:rsid w:val="00A541D2"/>
    <w:rsid w:val="00A5487C"/>
    <w:rsid w:val="00A90BE3"/>
    <w:rsid w:val="00A917CF"/>
    <w:rsid w:val="00AA5BC0"/>
    <w:rsid w:val="00AB2BE0"/>
    <w:rsid w:val="00AB65DF"/>
    <w:rsid w:val="00AD7E7D"/>
    <w:rsid w:val="00AE6220"/>
    <w:rsid w:val="00AF1D76"/>
    <w:rsid w:val="00AF4632"/>
    <w:rsid w:val="00B0304D"/>
    <w:rsid w:val="00B05027"/>
    <w:rsid w:val="00B13C85"/>
    <w:rsid w:val="00B3179B"/>
    <w:rsid w:val="00B318BE"/>
    <w:rsid w:val="00B35563"/>
    <w:rsid w:val="00B42F8D"/>
    <w:rsid w:val="00B43518"/>
    <w:rsid w:val="00B54421"/>
    <w:rsid w:val="00B56D43"/>
    <w:rsid w:val="00B619AD"/>
    <w:rsid w:val="00B63479"/>
    <w:rsid w:val="00B86691"/>
    <w:rsid w:val="00B90CF4"/>
    <w:rsid w:val="00B924F9"/>
    <w:rsid w:val="00BA04D3"/>
    <w:rsid w:val="00BA58AA"/>
    <w:rsid w:val="00BA7F16"/>
    <w:rsid w:val="00BB40FF"/>
    <w:rsid w:val="00BB5A7A"/>
    <w:rsid w:val="00BC1721"/>
    <w:rsid w:val="00BC2727"/>
    <w:rsid w:val="00BC4A97"/>
    <w:rsid w:val="00BC6847"/>
    <w:rsid w:val="00BD0B16"/>
    <w:rsid w:val="00BD248C"/>
    <w:rsid w:val="00BD7197"/>
    <w:rsid w:val="00BE1EA9"/>
    <w:rsid w:val="00BE58F6"/>
    <w:rsid w:val="00BF0A87"/>
    <w:rsid w:val="00BF4D05"/>
    <w:rsid w:val="00C01003"/>
    <w:rsid w:val="00C11BDB"/>
    <w:rsid w:val="00C13234"/>
    <w:rsid w:val="00C223BD"/>
    <w:rsid w:val="00C26D65"/>
    <w:rsid w:val="00C2741A"/>
    <w:rsid w:val="00C61B42"/>
    <w:rsid w:val="00C77E18"/>
    <w:rsid w:val="00C81F1F"/>
    <w:rsid w:val="00C878B3"/>
    <w:rsid w:val="00C9591F"/>
    <w:rsid w:val="00C96D3D"/>
    <w:rsid w:val="00CA2B07"/>
    <w:rsid w:val="00CA2E23"/>
    <w:rsid w:val="00CB259E"/>
    <w:rsid w:val="00CD3B07"/>
    <w:rsid w:val="00CD7A4B"/>
    <w:rsid w:val="00CE6603"/>
    <w:rsid w:val="00CE7C22"/>
    <w:rsid w:val="00CF3E31"/>
    <w:rsid w:val="00D01A45"/>
    <w:rsid w:val="00D17479"/>
    <w:rsid w:val="00D25115"/>
    <w:rsid w:val="00D3141A"/>
    <w:rsid w:val="00D33C4C"/>
    <w:rsid w:val="00D34737"/>
    <w:rsid w:val="00D4038B"/>
    <w:rsid w:val="00D43B1C"/>
    <w:rsid w:val="00D46DE2"/>
    <w:rsid w:val="00D50D6B"/>
    <w:rsid w:val="00D515C2"/>
    <w:rsid w:val="00D5492E"/>
    <w:rsid w:val="00D55011"/>
    <w:rsid w:val="00D63299"/>
    <w:rsid w:val="00D633BD"/>
    <w:rsid w:val="00D85BB7"/>
    <w:rsid w:val="00DB4A6E"/>
    <w:rsid w:val="00DC20FB"/>
    <w:rsid w:val="00DC73B5"/>
    <w:rsid w:val="00DF23DD"/>
    <w:rsid w:val="00E11211"/>
    <w:rsid w:val="00E25A06"/>
    <w:rsid w:val="00E357E8"/>
    <w:rsid w:val="00E4265C"/>
    <w:rsid w:val="00E43F6B"/>
    <w:rsid w:val="00E4440A"/>
    <w:rsid w:val="00E55B09"/>
    <w:rsid w:val="00E627B0"/>
    <w:rsid w:val="00E64F1A"/>
    <w:rsid w:val="00E74B01"/>
    <w:rsid w:val="00E764D7"/>
    <w:rsid w:val="00E855A9"/>
    <w:rsid w:val="00E90765"/>
    <w:rsid w:val="00E90C28"/>
    <w:rsid w:val="00E91E6E"/>
    <w:rsid w:val="00E92198"/>
    <w:rsid w:val="00E96269"/>
    <w:rsid w:val="00EA4A80"/>
    <w:rsid w:val="00EA7250"/>
    <w:rsid w:val="00EB46D8"/>
    <w:rsid w:val="00EC4C86"/>
    <w:rsid w:val="00ED7F19"/>
    <w:rsid w:val="00EF6C5B"/>
    <w:rsid w:val="00F04CD2"/>
    <w:rsid w:val="00F33830"/>
    <w:rsid w:val="00F33A3D"/>
    <w:rsid w:val="00F34341"/>
    <w:rsid w:val="00F365CF"/>
    <w:rsid w:val="00F43667"/>
    <w:rsid w:val="00F47E4B"/>
    <w:rsid w:val="00F551B9"/>
    <w:rsid w:val="00F56FAC"/>
    <w:rsid w:val="00F5762A"/>
    <w:rsid w:val="00F65A6F"/>
    <w:rsid w:val="00F704C1"/>
    <w:rsid w:val="00F709B0"/>
    <w:rsid w:val="00F7588B"/>
    <w:rsid w:val="00F77E0E"/>
    <w:rsid w:val="00F80253"/>
    <w:rsid w:val="00F839B7"/>
    <w:rsid w:val="00F83F63"/>
    <w:rsid w:val="00F9134C"/>
    <w:rsid w:val="00F9158F"/>
    <w:rsid w:val="00FC65CB"/>
    <w:rsid w:val="00FC7F34"/>
    <w:rsid w:val="00FD78B4"/>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D70437"/>
  <w15:docId w15:val="{C719A86F-0A91-4C10-8268-BB741B01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semiHidden/>
    <w:unhideWhenUsed/>
    <w:rsid w:val="00D55011"/>
  </w:style>
  <w:style w:type="character" w:customStyle="1" w:styleId="CommentTextChar">
    <w:name w:val="Comment Text Char"/>
    <w:basedOn w:val="DefaultParagraphFont"/>
    <w:link w:val="CommentText"/>
    <w:semiHidden/>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 w:type="character" w:styleId="Hyperlink">
    <w:name w:val="Hyperlink"/>
    <w:basedOn w:val="DefaultParagraphFont"/>
    <w:uiPriority w:val="99"/>
    <w:unhideWhenUsed/>
    <w:rsid w:val="00675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9200">
      <w:bodyDiv w:val="1"/>
      <w:marLeft w:val="0"/>
      <w:marRight w:val="0"/>
      <w:marTop w:val="0"/>
      <w:marBottom w:val="0"/>
      <w:divBdr>
        <w:top w:val="none" w:sz="0" w:space="0" w:color="auto"/>
        <w:left w:val="none" w:sz="0" w:space="0" w:color="auto"/>
        <w:bottom w:val="none" w:sz="0" w:space="0" w:color="auto"/>
        <w:right w:val="none" w:sz="0" w:space="0" w:color="auto"/>
      </w:divBdr>
    </w:div>
    <w:div w:id="76756542">
      <w:bodyDiv w:val="1"/>
      <w:marLeft w:val="0"/>
      <w:marRight w:val="0"/>
      <w:marTop w:val="0"/>
      <w:marBottom w:val="0"/>
      <w:divBdr>
        <w:top w:val="none" w:sz="0" w:space="0" w:color="auto"/>
        <w:left w:val="none" w:sz="0" w:space="0" w:color="auto"/>
        <w:bottom w:val="none" w:sz="0" w:space="0" w:color="auto"/>
        <w:right w:val="none" w:sz="0" w:space="0" w:color="auto"/>
      </w:divBdr>
    </w:div>
    <w:div w:id="211158391">
      <w:bodyDiv w:val="1"/>
      <w:marLeft w:val="0"/>
      <w:marRight w:val="0"/>
      <w:marTop w:val="0"/>
      <w:marBottom w:val="0"/>
      <w:divBdr>
        <w:top w:val="none" w:sz="0" w:space="0" w:color="auto"/>
        <w:left w:val="none" w:sz="0" w:space="0" w:color="auto"/>
        <w:bottom w:val="none" w:sz="0" w:space="0" w:color="auto"/>
        <w:right w:val="none" w:sz="0" w:space="0" w:color="auto"/>
      </w:divBdr>
    </w:div>
    <w:div w:id="259335666">
      <w:bodyDiv w:val="1"/>
      <w:marLeft w:val="0"/>
      <w:marRight w:val="0"/>
      <w:marTop w:val="0"/>
      <w:marBottom w:val="0"/>
      <w:divBdr>
        <w:top w:val="none" w:sz="0" w:space="0" w:color="auto"/>
        <w:left w:val="none" w:sz="0" w:space="0" w:color="auto"/>
        <w:bottom w:val="none" w:sz="0" w:space="0" w:color="auto"/>
        <w:right w:val="none" w:sz="0" w:space="0" w:color="auto"/>
      </w:divBdr>
    </w:div>
    <w:div w:id="564223723">
      <w:bodyDiv w:val="1"/>
      <w:marLeft w:val="0"/>
      <w:marRight w:val="0"/>
      <w:marTop w:val="0"/>
      <w:marBottom w:val="0"/>
      <w:divBdr>
        <w:top w:val="none" w:sz="0" w:space="0" w:color="auto"/>
        <w:left w:val="none" w:sz="0" w:space="0" w:color="auto"/>
        <w:bottom w:val="none" w:sz="0" w:space="0" w:color="auto"/>
        <w:right w:val="none" w:sz="0" w:space="0" w:color="auto"/>
      </w:divBdr>
    </w:div>
    <w:div w:id="596408466">
      <w:bodyDiv w:val="1"/>
      <w:marLeft w:val="0"/>
      <w:marRight w:val="0"/>
      <w:marTop w:val="0"/>
      <w:marBottom w:val="0"/>
      <w:divBdr>
        <w:top w:val="none" w:sz="0" w:space="0" w:color="auto"/>
        <w:left w:val="none" w:sz="0" w:space="0" w:color="auto"/>
        <w:bottom w:val="none" w:sz="0" w:space="0" w:color="auto"/>
        <w:right w:val="none" w:sz="0" w:space="0" w:color="auto"/>
      </w:divBdr>
    </w:div>
    <w:div w:id="760951756">
      <w:bodyDiv w:val="1"/>
      <w:marLeft w:val="0"/>
      <w:marRight w:val="0"/>
      <w:marTop w:val="0"/>
      <w:marBottom w:val="0"/>
      <w:divBdr>
        <w:top w:val="none" w:sz="0" w:space="0" w:color="auto"/>
        <w:left w:val="none" w:sz="0" w:space="0" w:color="auto"/>
        <w:bottom w:val="none" w:sz="0" w:space="0" w:color="auto"/>
        <w:right w:val="none" w:sz="0" w:space="0" w:color="auto"/>
      </w:divBdr>
    </w:div>
    <w:div w:id="908542934">
      <w:bodyDiv w:val="1"/>
      <w:marLeft w:val="0"/>
      <w:marRight w:val="0"/>
      <w:marTop w:val="0"/>
      <w:marBottom w:val="0"/>
      <w:divBdr>
        <w:top w:val="none" w:sz="0" w:space="0" w:color="auto"/>
        <w:left w:val="none" w:sz="0" w:space="0" w:color="auto"/>
        <w:bottom w:val="none" w:sz="0" w:space="0" w:color="auto"/>
        <w:right w:val="none" w:sz="0" w:space="0" w:color="auto"/>
      </w:divBdr>
    </w:div>
    <w:div w:id="921719099">
      <w:bodyDiv w:val="1"/>
      <w:marLeft w:val="0"/>
      <w:marRight w:val="0"/>
      <w:marTop w:val="0"/>
      <w:marBottom w:val="0"/>
      <w:divBdr>
        <w:top w:val="none" w:sz="0" w:space="0" w:color="auto"/>
        <w:left w:val="none" w:sz="0" w:space="0" w:color="auto"/>
        <w:bottom w:val="none" w:sz="0" w:space="0" w:color="auto"/>
        <w:right w:val="none" w:sz="0" w:space="0" w:color="auto"/>
      </w:divBdr>
    </w:div>
    <w:div w:id="1056660453">
      <w:bodyDiv w:val="1"/>
      <w:marLeft w:val="0"/>
      <w:marRight w:val="0"/>
      <w:marTop w:val="0"/>
      <w:marBottom w:val="0"/>
      <w:divBdr>
        <w:top w:val="none" w:sz="0" w:space="0" w:color="auto"/>
        <w:left w:val="none" w:sz="0" w:space="0" w:color="auto"/>
        <w:bottom w:val="none" w:sz="0" w:space="0" w:color="auto"/>
        <w:right w:val="none" w:sz="0" w:space="0" w:color="auto"/>
      </w:divBdr>
    </w:div>
    <w:div w:id="1099566810">
      <w:bodyDiv w:val="1"/>
      <w:marLeft w:val="0"/>
      <w:marRight w:val="0"/>
      <w:marTop w:val="0"/>
      <w:marBottom w:val="0"/>
      <w:divBdr>
        <w:top w:val="none" w:sz="0" w:space="0" w:color="auto"/>
        <w:left w:val="none" w:sz="0" w:space="0" w:color="auto"/>
        <w:bottom w:val="none" w:sz="0" w:space="0" w:color="auto"/>
        <w:right w:val="none" w:sz="0" w:space="0" w:color="auto"/>
      </w:divBdr>
    </w:div>
    <w:div w:id="1350524740">
      <w:bodyDiv w:val="1"/>
      <w:marLeft w:val="0"/>
      <w:marRight w:val="0"/>
      <w:marTop w:val="0"/>
      <w:marBottom w:val="0"/>
      <w:divBdr>
        <w:top w:val="none" w:sz="0" w:space="0" w:color="auto"/>
        <w:left w:val="none" w:sz="0" w:space="0" w:color="auto"/>
        <w:bottom w:val="none" w:sz="0" w:space="0" w:color="auto"/>
        <w:right w:val="none" w:sz="0" w:space="0" w:color="auto"/>
      </w:divBdr>
    </w:div>
    <w:div w:id="1421678703">
      <w:bodyDiv w:val="1"/>
      <w:marLeft w:val="0"/>
      <w:marRight w:val="0"/>
      <w:marTop w:val="0"/>
      <w:marBottom w:val="0"/>
      <w:divBdr>
        <w:top w:val="none" w:sz="0" w:space="0" w:color="auto"/>
        <w:left w:val="none" w:sz="0" w:space="0" w:color="auto"/>
        <w:bottom w:val="none" w:sz="0" w:space="0" w:color="auto"/>
        <w:right w:val="none" w:sz="0" w:space="0" w:color="auto"/>
      </w:divBdr>
    </w:div>
    <w:div w:id="1627539767">
      <w:bodyDiv w:val="1"/>
      <w:marLeft w:val="0"/>
      <w:marRight w:val="0"/>
      <w:marTop w:val="0"/>
      <w:marBottom w:val="0"/>
      <w:divBdr>
        <w:top w:val="none" w:sz="0" w:space="0" w:color="auto"/>
        <w:left w:val="none" w:sz="0" w:space="0" w:color="auto"/>
        <w:bottom w:val="none" w:sz="0" w:space="0" w:color="auto"/>
        <w:right w:val="none" w:sz="0" w:space="0" w:color="auto"/>
      </w:divBdr>
    </w:div>
    <w:div w:id="20089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rules-and-regulations/public-comments/1210-AB9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olgov/files/EBSA/laws-and-regulations/rules-and-regulations/technical-appendices/labor-cost-inputs-used-in-ebsa-opr-ria-and-pra-burden-calculations-june-2019.pdf" TargetMode="External"/><Relationship Id="rId1" Type="http://schemas.openxmlformats.org/officeDocument/2006/relationships/hyperlink" Target="https://www.sparkinstitute.org/wp-content/uploads/2019/12/SPARK-Institute-Default-Electronic-Delivery-Wor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1DF6-7850-4476-B701-E1BC32C8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89C40-51A3-44BF-AB16-5C7885737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6F4089-DE80-42C1-91F4-C32AA7DAA9CD}">
  <ds:schemaRefs>
    <ds:schemaRef ds:uri="http://schemas.microsoft.com/sharepoint/v3/contenttype/forms"/>
  </ds:schemaRefs>
</ds:datastoreItem>
</file>

<file path=customXml/itemProps4.xml><?xml version="1.0" encoding="utf-8"?>
<ds:datastoreItem xmlns:ds="http://schemas.openxmlformats.org/officeDocument/2006/customXml" ds:itemID="{F1B2FDD0-CF94-45EB-9823-219F4A61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6031</Words>
  <Characters>34379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2</cp:revision>
  <cp:lastPrinted>2019-09-25T16:29:00Z</cp:lastPrinted>
  <dcterms:created xsi:type="dcterms:W3CDTF">2020-04-22T13:58:00Z</dcterms:created>
  <dcterms:modified xsi:type="dcterms:W3CDTF">2020-04-22T13:58:00Z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