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286" w:rsidP="008C0286" w:rsidRDefault="008C0286">
      <w:pPr>
        <w:autoSpaceDE w:val="0"/>
        <w:autoSpaceDN w:val="0"/>
        <w:adjustRightInd w:val="0"/>
        <w:spacing w:after="0" w:line="240" w:lineRule="auto"/>
        <w:rPr>
          <w:rFonts w:ascii="ArialNarrow,Bold" w:hAnsi="ArialNarrow,Bold" w:cs="ArialNarrow,Bold"/>
          <w:b/>
          <w:bCs/>
          <w:sz w:val="24"/>
          <w:szCs w:val="24"/>
        </w:rPr>
      </w:pPr>
      <w:bookmarkStart w:name="_GoBack" w:id="0"/>
      <w:bookmarkEnd w:id="0"/>
      <w:r>
        <w:rPr>
          <w:rFonts w:ascii="ArialNarrow,Bold" w:hAnsi="ArialNarrow,Bold" w:cs="ArialNarrow,Bold"/>
          <w:b/>
          <w:bCs/>
          <w:sz w:val="24"/>
          <w:szCs w:val="24"/>
        </w:rPr>
        <w:t>Supporting Statement for Paperwork Reduction Act Submissions</w:t>
      </w:r>
    </w:p>
    <w:p w:rsidR="008C0286" w:rsidP="008C0286" w:rsidRDefault="008C0286">
      <w:pPr>
        <w:autoSpaceDE w:val="0"/>
        <w:autoSpaceDN w:val="0"/>
        <w:adjustRightInd w:val="0"/>
        <w:spacing w:after="0" w:line="240" w:lineRule="auto"/>
        <w:rPr>
          <w:rFonts w:ascii="ArialNarrow,Bold" w:hAnsi="ArialNarrow,Bold" w:cs="ArialNarrow,Bold"/>
          <w:b/>
          <w:bCs/>
          <w:sz w:val="24"/>
          <w:szCs w:val="24"/>
        </w:rPr>
      </w:pPr>
    </w:p>
    <w:p w:rsidRPr="007D72EB" w:rsidR="00D86798" w:rsidP="00D86798" w:rsidRDefault="00D86798">
      <w:pPr>
        <w:rPr>
          <w:sz w:val="24"/>
          <w:szCs w:val="24"/>
        </w:rPr>
      </w:pPr>
      <w:r w:rsidRPr="007D72EB">
        <w:rPr>
          <w:sz w:val="24"/>
          <w:szCs w:val="24"/>
        </w:rPr>
        <w:t xml:space="preserve">Each information collection </w:t>
      </w:r>
      <w:r>
        <w:rPr>
          <w:sz w:val="24"/>
          <w:szCs w:val="24"/>
        </w:rPr>
        <w:t>r</w:t>
      </w:r>
      <w:r w:rsidRPr="007D72EB">
        <w:rPr>
          <w:sz w:val="24"/>
          <w:szCs w:val="24"/>
        </w:rPr>
        <w:t>equest must include a supporting statement outlining the justification for the proposed collection. Completed supporting statement documents must include both the questions below and the component’s answers</w:t>
      </w:r>
      <w:r>
        <w:rPr>
          <w:sz w:val="24"/>
          <w:szCs w:val="24"/>
        </w:rPr>
        <w:t>, even if a question is not applicable</w:t>
      </w:r>
      <w:r w:rsidRPr="007D72EB">
        <w:rPr>
          <w:sz w:val="24"/>
          <w:szCs w:val="24"/>
        </w:rPr>
        <w:t>. If selecting “Yes” on question 17 of OMB Form 83-I</w:t>
      </w:r>
      <w:r>
        <w:rPr>
          <w:sz w:val="24"/>
          <w:szCs w:val="24"/>
        </w:rPr>
        <w:t xml:space="preserve"> or if selecting in </w:t>
      </w:r>
      <w:proofErr w:type="spellStart"/>
      <w:r>
        <w:rPr>
          <w:sz w:val="24"/>
          <w:szCs w:val="24"/>
        </w:rPr>
        <w:t>ROCIS</w:t>
      </w:r>
      <w:proofErr w:type="spellEnd"/>
      <w:r>
        <w:rPr>
          <w:sz w:val="24"/>
          <w:szCs w:val="24"/>
        </w:rPr>
        <w:t xml:space="preserve"> that the collection will employ statistical methods</w:t>
      </w:r>
      <w:r w:rsidRPr="007D72EB">
        <w:rPr>
          <w:sz w:val="24"/>
          <w:szCs w:val="24"/>
        </w:rPr>
        <w:t>, then Part B of the Supporting Statement must also be completed.</w:t>
      </w:r>
    </w:p>
    <w:p w:rsidRPr="00A22A3D" w:rsidR="00F23428" w:rsidP="00566E26" w:rsidRDefault="00D86798">
      <w:pPr>
        <w:pStyle w:val="ListParagraph"/>
        <w:numPr>
          <w:ilvl w:val="0"/>
          <w:numId w:val="4"/>
        </w:numPr>
        <w:spacing w:after="0" w:line="264" w:lineRule="auto"/>
        <w:rPr>
          <w:sz w:val="24"/>
          <w:szCs w:val="24"/>
        </w:rPr>
      </w:pPr>
      <w:r w:rsidRPr="00A22A3D">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328D1" w:rsidP="00F23428" w:rsidRDefault="001328D1">
      <w:pPr>
        <w:pStyle w:val="ListParagraph"/>
        <w:spacing w:after="0" w:line="264" w:lineRule="auto"/>
        <w:rPr>
          <w:sz w:val="24"/>
          <w:szCs w:val="24"/>
        </w:rPr>
      </w:pPr>
    </w:p>
    <w:p w:rsidRPr="00566E26" w:rsidR="00F23428" w:rsidP="000069D7" w:rsidRDefault="000069D7">
      <w:pPr>
        <w:autoSpaceDE w:val="0"/>
        <w:autoSpaceDN w:val="0"/>
        <w:spacing w:before="40" w:after="40" w:line="240" w:lineRule="auto"/>
        <w:ind w:left="720"/>
        <w:rPr>
          <w:color w:val="1F4E79"/>
          <w:highlight w:val="yellow"/>
        </w:rPr>
      </w:pPr>
      <w:r w:rsidRPr="00566E26">
        <w:rPr>
          <w:rFonts w:ascii="Times New Roman" w:hAnsi="Times New Roman"/>
          <w:color w:val="1F4E79"/>
          <w:sz w:val="24"/>
          <w:szCs w:val="24"/>
        </w:rPr>
        <w:t xml:space="preserve">The Director of the </w:t>
      </w:r>
      <w:r w:rsidR="00CF134B">
        <w:rPr>
          <w:rFonts w:ascii="Times New Roman" w:hAnsi="Times New Roman"/>
          <w:color w:val="1F4E79"/>
          <w:sz w:val="24"/>
          <w:szCs w:val="24"/>
        </w:rPr>
        <w:t>U.S. Marshals Service (</w:t>
      </w:r>
      <w:r w:rsidRPr="00566E26">
        <w:rPr>
          <w:rFonts w:ascii="Times New Roman" w:hAnsi="Times New Roman"/>
          <w:color w:val="1F4E79"/>
          <w:sz w:val="24"/>
          <w:szCs w:val="24"/>
        </w:rPr>
        <w:t>USMS</w:t>
      </w:r>
      <w:r w:rsidR="00CF134B">
        <w:rPr>
          <w:rFonts w:ascii="Times New Roman" w:hAnsi="Times New Roman"/>
          <w:color w:val="1F4E79"/>
          <w:sz w:val="24"/>
          <w:szCs w:val="24"/>
        </w:rPr>
        <w:t>)</w:t>
      </w:r>
      <w:r w:rsidRPr="00566E26">
        <w:rPr>
          <w:rFonts w:ascii="Times New Roman" w:hAnsi="Times New Roman"/>
          <w:color w:val="1F4E79"/>
          <w:sz w:val="24"/>
          <w:szCs w:val="24"/>
        </w:rPr>
        <w:t xml:space="preserve"> is granted authority to issue a policy directive concerning misconduct investigations by 28 </w:t>
      </w:r>
      <w:proofErr w:type="spellStart"/>
      <w:r w:rsidRPr="00566E26">
        <w:rPr>
          <w:rFonts w:ascii="Times New Roman" w:hAnsi="Times New Roman"/>
          <w:color w:val="1F4E79"/>
          <w:sz w:val="24"/>
          <w:szCs w:val="24"/>
        </w:rPr>
        <w:t>C.F.R</w:t>
      </w:r>
      <w:proofErr w:type="spellEnd"/>
      <w:r w:rsidRPr="00566E26">
        <w:rPr>
          <w:rFonts w:ascii="Times New Roman" w:hAnsi="Times New Roman"/>
          <w:color w:val="1F4E79"/>
          <w:sz w:val="24"/>
          <w:szCs w:val="24"/>
        </w:rPr>
        <w:t xml:space="preserve">. § 0.111(n) and 28 </w:t>
      </w:r>
      <w:proofErr w:type="spellStart"/>
      <w:r w:rsidRPr="00566E26">
        <w:rPr>
          <w:rFonts w:ascii="Times New Roman" w:hAnsi="Times New Roman"/>
          <w:color w:val="1F4E79"/>
          <w:sz w:val="24"/>
          <w:szCs w:val="24"/>
        </w:rPr>
        <w:t>C.F.R</w:t>
      </w:r>
      <w:proofErr w:type="spellEnd"/>
      <w:r w:rsidRPr="00566E26">
        <w:rPr>
          <w:rFonts w:ascii="Times New Roman" w:hAnsi="Times New Roman"/>
          <w:color w:val="1F4E79"/>
          <w:sz w:val="24"/>
          <w:szCs w:val="24"/>
        </w:rPr>
        <w:t>. § 0.113.  USMS Policy Directive 2.3 Misconduct Investigations requires all allegations of employee misconduct be investigated thoroughly.  The introduction of this web-based form creates a portal for any USMS personnel or member of the public to submit information to the agency for revie</w:t>
      </w:r>
      <w:r w:rsidRPr="00566E26">
        <w:rPr>
          <w:rFonts w:ascii="Arial" w:hAnsi="Arial" w:cs="Arial"/>
          <w:color w:val="1F4E79"/>
          <w:sz w:val="20"/>
          <w:szCs w:val="20"/>
        </w:rPr>
        <w:t xml:space="preserve">w. </w:t>
      </w:r>
      <w:r w:rsidRPr="00566E26">
        <w:rPr>
          <w:rFonts w:ascii="Segoe UI" w:hAnsi="Segoe UI" w:cs="Segoe UI"/>
          <w:color w:val="1F4E79"/>
          <w:sz w:val="20"/>
          <w:szCs w:val="20"/>
        </w:rPr>
        <w:t>  </w:t>
      </w:r>
    </w:p>
    <w:p w:rsidRPr="007D72EB" w:rsidR="00FD6A7D" w:rsidP="00FD6A7D" w:rsidRDefault="00FD6A7D">
      <w:pPr>
        <w:pStyle w:val="ListParagraph"/>
        <w:spacing w:after="0" w:line="264" w:lineRule="auto"/>
        <w:ind w:left="0"/>
        <w:rPr>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Indicate how, by whom, and for what purpose the information is to be used. Except for</w:t>
      </w:r>
      <w:r>
        <w:rPr>
          <w:sz w:val="24"/>
          <w:szCs w:val="24"/>
        </w:rPr>
        <w:t xml:space="preserve"> </w:t>
      </w:r>
      <w:r w:rsidRPr="007D72EB">
        <w:rPr>
          <w:sz w:val="24"/>
          <w:szCs w:val="24"/>
        </w:rPr>
        <w:t>a new collection, indicate the actual use the agency has made of the information received from the current collection.</w:t>
      </w:r>
    </w:p>
    <w:p w:rsidRPr="000069D7" w:rsidR="00F23428" w:rsidP="00F23428" w:rsidRDefault="00F23428">
      <w:pPr>
        <w:pStyle w:val="ListParagraph"/>
        <w:spacing w:after="0" w:line="264" w:lineRule="auto"/>
        <w:rPr>
          <w:rFonts w:ascii="Times New Roman" w:hAnsi="Times New Roman"/>
          <w:sz w:val="24"/>
          <w:szCs w:val="24"/>
        </w:rPr>
      </w:pPr>
    </w:p>
    <w:p w:rsidRPr="00566E26" w:rsidR="000069D7" w:rsidP="000069D7" w:rsidRDefault="000069D7">
      <w:pPr>
        <w:autoSpaceDE w:val="0"/>
        <w:autoSpaceDN w:val="0"/>
        <w:spacing w:after="0" w:line="240" w:lineRule="auto"/>
        <w:ind w:left="720"/>
        <w:rPr>
          <w:color w:val="1F4E79"/>
        </w:rPr>
      </w:pPr>
      <w:r w:rsidRPr="00566E26">
        <w:rPr>
          <w:rFonts w:ascii="Times New Roman" w:hAnsi="Times New Roman"/>
          <w:color w:val="1F4E79"/>
          <w:sz w:val="24"/>
          <w:szCs w:val="24"/>
        </w:rPr>
        <w:t xml:space="preserve">Allegations of misconduct will be reviewed and a determination will be made by </w:t>
      </w:r>
      <w:r w:rsidR="00CF134B">
        <w:rPr>
          <w:rFonts w:ascii="Times New Roman" w:hAnsi="Times New Roman"/>
          <w:color w:val="1F4E79"/>
          <w:sz w:val="24"/>
          <w:szCs w:val="24"/>
        </w:rPr>
        <w:t>the USMS Office of Professional Responsibility, Internal Affairs (</w:t>
      </w:r>
      <w:proofErr w:type="spellStart"/>
      <w:r w:rsidRPr="00566E26">
        <w:rPr>
          <w:rFonts w:ascii="Times New Roman" w:hAnsi="Times New Roman"/>
          <w:color w:val="1F4E79"/>
          <w:sz w:val="24"/>
          <w:szCs w:val="24"/>
        </w:rPr>
        <w:t>OPR</w:t>
      </w:r>
      <w:proofErr w:type="spellEnd"/>
      <w:r w:rsidRPr="00566E26">
        <w:rPr>
          <w:rFonts w:ascii="Times New Roman" w:hAnsi="Times New Roman"/>
          <w:color w:val="1F4E79"/>
          <w:sz w:val="24"/>
          <w:szCs w:val="24"/>
        </w:rPr>
        <w:t>-IA</w:t>
      </w:r>
      <w:r w:rsidR="00CF134B">
        <w:rPr>
          <w:rFonts w:ascii="Times New Roman" w:hAnsi="Times New Roman"/>
          <w:color w:val="1F4E79"/>
          <w:sz w:val="24"/>
          <w:szCs w:val="24"/>
        </w:rPr>
        <w:t>)</w:t>
      </w:r>
      <w:r w:rsidRPr="00566E26">
        <w:rPr>
          <w:rFonts w:ascii="Times New Roman" w:hAnsi="Times New Roman"/>
          <w:color w:val="1F4E79"/>
          <w:sz w:val="24"/>
          <w:szCs w:val="24"/>
        </w:rPr>
        <w:t xml:space="preserve"> if further investigation will be required. Non-frivolous information will become the basis for administrative investigations conducted by OPR-IA.  </w:t>
      </w:r>
      <w:r w:rsidRPr="00566E26">
        <w:rPr>
          <w:rFonts w:ascii="Segoe UI" w:hAnsi="Segoe UI" w:cs="Segoe UI"/>
          <w:color w:val="1F4E79"/>
          <w:sz w:val="20"/>
          <w:szCs w:val="20"/>
        </w:rPr>
        <w:t> </w:t>
      </w:r>
    </w:p>
    <w:p w:rsidRPr="007D72EB" w:rsidR="00F23428" w:rsidP="00F23428" w:rsidRDefault="00F23428">
      <w:pPr>
        <w:pStyle w:val="ListParagraph"/>
        <w:spacing w:after="0" w:line="264" w:lineRule="auto"/>
        <w:rPr>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Describe whether, and to what extent, the collection of information involves the use of automated, electronic, mechanical, or other technological collection techniques or other forms of information technology.</w:t>
      </w:r>
    </w:p>
    <w:p w:rsidR="00F23428" w:rsidP="00F23428" w:rsidRDefault="00F23428">
      <w:pPr>
        <w:pStyle w:val="ListParagraph"/>
        <w:spacing w:after="0" w:line="264" w:lineRule="auto"/>
        <w:rPr>
          <w:sz w:val="24"/>
          <w:szCs w:val="24"/>
        </w:rPr>
      </w:pPr>
    </w:p>
    <w:p w:rsidRPr="00566E26" w:rsidR="00A22A3D" w:rsidP="00A22A3D" w:rsidRDefault="00FD6A7D">
      <w:pPr>
        <w:pStyle w:val="ListParagraph"/>
        <w:spacing w:after="0" w:line="264" w:lineRule="auto"/>
        <w:rPr>
          <w:rFonts w:ascii="Times New Roman" w:hAnsi="Times New Roman"/>
          <w:color w:val="1F4E79"/>
          <w:sz w:val="24"/>
          <w:szCs w:val="24"/>
        </w:rPr>
      </w:pPr>
      <w:r w:rsidRPr="00566E26">
        <w:rPr>
          <w:rFonts w:ascii="Times New Roman" w:hAnsi="Times New Roman"/>
          <w:color w:val="1F4E79"/>
          <w:sz w:val="24"/>
          <w:szCs w:val="24"/>
        </w:rPr>
        <w:t xml:space="preserve">The </w:t>
      </w:r>
      <w:r w:rsidR="00CF134B">
        <w:rPr>
          <w:rFonts w:ascii="Times New Roman" w:hAnsi="Times New Roman"/>
          <w:color w:val="1F4E79"/>
          <w:sz w:val="24"/>
          <w:szCs w:val="24"/>
        </w:rPr>
        <w:t>form will be a PDF that is able to</w:t>
      </w:r>
      <w:r w:rsidRPr="00566E26" w:rsidR="00A22A3D">
        <w:rPr>
          <w:rFonts w:ascii="Times New Roman" w:hAnsi="Times New Roman"/>
          <w:color w:val="1F4E79"/>
          <w:sz w:val="24"/>
          <w:szCs w:val="24"/>
        </w:rPr>
        <w:t xml:space="preserve"> be accessed </w:t>
      </w:r>
      <w:r w:rsidRPr="00566E26">
        <w:rPr>
          <w:rFonts w:ascii="Times New Roman" w:hAnsi="Times New Roman"/>
          <w:color w:val="1F4E79"/>
          <w:sz w:val="24"/>
          <w:szCs w:val="24"/>
        </w:rPr>
        <w:t>from any computer or mobile device</w:t>
      </w:r>
      <w:r w:rsidR="00CF134B">
        <w:rPr>
          <w:rFonts w:ascii="Times New Roman" w:hAnsi="Times New Roman"/>
          <w:color w:val="1F4E79"/>
          <w:sz w:val="24"/>
          <w:szCs w:val="24"/>
        </w:rPr>
        <w:t xml:space="preserve"> and completed if the user downloads the free Adobe Acrobat Reader software</w:t>
      </w:r>
      <w:r w:rsidRPr="00566E26">
        <w:rPr>
          <w:rFonts w:ascii="Times New Roman" w:hAnsi="Times New Roman"/>
          <w:color w:val="1F4E79"/>
          <w:sz w:val="24"/>
          <w:szCs w:val="24"/>
        </w:rPr>
        <w:t>.</w:t>
      </w:r>
      <w:r w:rsidRPr="00566E26" w:rsidR="00F40267">
        <w:rPr>
          <w:rFonts w:ascii="Times New Roman" w:hAnsi="Times New Roman"/>
          <w:color w:val="1F4E79"/>
          <w:sz w:val="24"/>
          <w:szCs w:val="24"/>
        </w:rPr>
        <w:t xml:space="preserve"> </w:t>
      </w:r>
      <w:r w:rsidR="00CF134B">
        <w:rPr>
          <w:rFonts w:ascii="Times New Roman" w:hAnsi="Times New Roman"/>
          <w:color w:val="1F4E79"/>
          <w:sz w:val="24"/>
          <w:szCs w:val="24"/>
        </w:rPr>
        <w:t>The user may attach photographs and/or video to their submission to USMS, by email.</w:t>
      </w:r>
      <w:r w:rsidRPr="00566E26" w:rsidR="00A22A3D">
        <w:rPr>
          <w:rFonts w:ascii="Times New Roman" w:hAnsi="Times New Roman"/>
          <w:color w:val="1F4E79"/>
          <w:sz w:val="24"/>
          <w:szCs w:val="24"/>
        </w:rPr>
        <w:t xml:space="preserve"> Information submitted to the collection will be transmitted to </w:t>
      </w:r>
      <w:proofErr w:type="spellStart"/>
      <w:r w:rsidRPr="00566E26" w:rsidR="00A22A3D">
        <w:rPr>
          <w:rFonts w:ascii="Times New Roman" w:hAnsi="Times New Roman"/>
          <w:color w:val="1F4E79"/>
          <w:sz w:val="24"/>
          <w:szCs w:val="24"/>
        </w:rPr>
        <w:t>OPR</w:t>
      </w:r>
      <w:proofErr w:type="spellEnd"/>
      <w:r w:rsidRPr="00566E26" w:rsidR="00A22A3D">
        <w:rPr>
          <w:rFonts w:ascii="Times New Roman" w:hAnsi="Times New Roman"/>
          <w:color w:val="1F4E79"/>
          <w:sz w:val="24"/>
          <w:szCs w:val="24"/>
        </w:rPr>
        <w:t>-IA for review and processing. The data will be stored in the OPR-IA electronic case management system and may be referred to the United States Department of Justice, Office of the Inspec</w:t>
      </w:r>
      <w:r w:rsidR="00CF134B">
        <w:rPr>
          <w:rFonts w:ascii="Times New Roman" w:hAnsi="Times New Roman"/>
          <w:color w:val="1F4E79"/>
          <w:sz w:val="24"/>
          <w:szCs w:val="24"/>
        </w:rPr>
        <w:t>tor General for consideration. </w:t>
      </w:r>
      <w:r w:rsidRPr="00566E26" w:rsidR="00A22A3D">
        <w:rPr>
          <w:rFonts w:ascii="Times New Roman" w:hAnsi="Times New Roman"/>
          <w:color w:val="1F4E79"/>
          <w:sz w:val="24"/>
          <w:szCs w:val="24"/>
        </w:rPr>
        <w:t>The information will be managed by subject matter experts and will not be modified or distributed by any automated processes.</w:t>
      </w:r>
    </w:p>
    <w:p w:rsidRPr="007D72EB" w:rsidR="00F23428" w:rsidP="00F23428" w:rsidRDefault="00F23428">
      <w:pPr>
        <w:pStyle w:val="ListParagraph"/>
        <w:spacing w:after="0" w:line="264" w:lineRule="auto"/>
        <w:rPr>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Describe efforts to identify duplication. Show specifically why any similar information already available cannot be used or modified for use for the purposes described in Item 2 above.</w:t>
      </w:r>
    </w:p>
    <w:p w:rsidR="00F23428" w:rsidP="00F23428" w:rsidRDefault="00F23428">
      <w:pPr>
        <w:pStyle w:val="ListParagraph"/>
        <w:spacing w:after="0" w:line="264" w:lineRule="auto"/>
        <w:rPr>
          <w:sz w:val="24"/>
          <w:szCs w:val="24"/>
        </w:rPr>
      </w:pPr>
    </w:p>
    <w:p w:rsidRPr="00566E26" w:rsidR="00A22A3D" w:rsidP="00A22A3D" w:rsidRDefault="00A22A3D">
      <w:pPr>
        <w:autoSpaceDE w:val="0"/>
        <w:autoSpaceDN w:val="0"/>
        <w:spacing w:after="0" w:line="240" w:lineRule="auto"/>
        <w:ind w:left="720"/>
        <w:rPr>
          <w:rFonts w:ascii="Times New Roman" w:hAnsi="Times New Roman" w:eastAsia="Times New Roman"/>
          <w:color w:val="1F4E79"/>
          <w:sz w:val="24"/>
          <w:szCs w:val="24"/>
        </w:rPr>
      </w:pPr>
      <w:r w:rsidRPr="00566E26">
        <w:rPr>
          <w:rFonts w:ascii="Times New Roman" w:hAnsi="Times New Roman" w:eastAsia="Times New Roman"/>
          <w:color w:val="1F4E79"/>
          <w:sz w:val="24"/>
          <w:szCs w:val="24"/>
        </w:rPr>
        <w:t>Inbound information is vetted against the existing data set to screen for duplication. Duplicate information will become supplemental and added to the existing case file if relevant</w:t>
      </w:r>
    </w:p>
    <w:p w:rsidRPr="00FD6A7D" w:rsidR="00A22A3D" w:rsidP="00F23428" w:rsidRDefault="00A22A3D">
      <w:pPr>
        <w:pStyle w:val="ListParagraph"/>
        <w:spacing w:after="0" w:line="264" w:lineRule="auto"/>
        <w:rPr>
          <w:color w:val="0070C0"/>
          <w:sz w:val="24"/>
          <w:szCs w:val="24"/>
        </w:rPr>
      </w:pPr>
    </w:p>
    <w:p w:rsidRPr="007D72EB" w:rsidR="00F23428" w:rsidP="00D54F22" w:rsidRDefault="00F23428">
      <w:pPr>
        <w:pStyle w:val="ListParagraph"/>
        <w:spacing w:after="0" w:line="264" w:lineRule="auto"/>
        <w:ind w:left="0"/>
        <w:rPr>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If the collection of information impacts small businesses or other small entities (Item 5 of OMB Form 83-I), describe any methods used to minimize burden.</w:t>
      </w:r>
    </w:p>
    <w:p w:rsidR="00FD6A7D" w:rsidP="00FD6A7D" w:rsidRDefault="00FD6A7D">
      <w:pPr>
        <w:pStyle w:val="ListParagraph"/>
        <w:spacing w:after="0" w:line="264" w:lineRule="auto"/>
        <w:rPr>
          <w:sz w:val="24"/>
          <w:szCs w:val="24"/>
        </w:rPr>
      </w:pPr>
    </w:p>
    <w:p w:rsidRPr="00BF3048" w:rsidR="00FD6A7D" w:rsidP="00FD6A7D" w:rsidRDefault="00113722">
      <w:pPr>
        <w:pStyle w:val="ListParagraph"/>
        <w:spacing w:after="0" w:line="264" w:lineRule="auto"/>
        <w:rPr>
          <w:color w:val="1F4E79"/>
          <w:sz w:val="24"/>
          <w:szCs w:val="24"/>
        </w:rPr>
      </w:pPr>
      <w:r w:rsidRPr="00BF3048">
        <w:rPr>
          <w:color w:val="1F4E79"/>
          <w:sz w:val="24"/>
          <w:szCs w:val="24"/>
        </w:rPr>
        <w:t>Does not apply.</w:t>
      </w:r>
    </w:p>
    <w:p w:rsidRPr="007D72EB" w:rsidR="00113722" w:rsidP="00FD6A7D" w:rsidRDefault="00113722">
      <w:pPr>
        <w:pStyle w:val="ListParagraph"/>
        <w:spacing w:after="0" w:line="264" w:lineRule="auto"/>
        <w:rPr>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Describe the consequence to</w:t>
      </w:r>
      <w:r>
        <w:rPr>
          <w:sz w:val="24"/>
          <w:szCs w:val="24"/>
        </w:rPr>
        <w:t xml:space="preserve"> the</w:t>
      </w:r>
      <w:r w:rsidRPr="007D72EB">
        <w:rPr>
          <w:sz w:val="24"/>
          <w:szCs w:val="24"/>
        </w:rPr>
        <w:t xml:space="preserve"> Federal program or policy activities if the collection is not conducted or is conducted less frequently, as well as any technical or legal obstacles to reducing burden.</w:t>
      </w:r>
    </w:p>
    <w:p w:rsidR="00FD6A7D" w:rsidP="00FD6A7D" w:rsidRDefault="00FD6A7D">
      <w:pPr>
        <w:pStyle w:val="ListParagraph"/>
        <w:spacing w:after="0" w:line="264" w:lineRule="auto"/>
        <w:rPr>
          <w:sz w:val="24"/>
          <w:szCs w:val="24"/>
        </w:rPr>
      </w:pPr>
    </w:p>
    <w:p w:rsidRPr="00566E26" w:rsidR="00113722" w:rsidP="00113722" w:rsidRDefault="00113722">
      <w:pPr>
        <w:autoSpaceDE w:val="0"/>
        <w:autoSpaceDN w:val="0"/>
        <w:spacing w:after="0" w:line="240" w:lineRule="auto"/>
        <w:ind w:left="720"/>
        <w:rPr>
          <w:rFonts w:ascii="Times New Roman" w:hAnsi="Times New Roman"/>
          <w:color w:val="1F4E79"/>
          <w:sz w:val="24"/>
          <w:szCs w:val="24"/>
        </w:rPr>
      </w:pPr>
      <w:r w:rsidRPr="00566E26">
        <w:rPr>
          <w:rFonts w:ascii="Times New Roman" w:hAnsi="Times New Roman"/>
          <w:color w:val="1F4E79"/>
          <w:sz w:val="24"/>
          <w:szCs w:val="24"/>
        </w:rPr>
        <w:t xml:space="preserve">USMS personnel and the general public would be limited in their ability to submit information to the USMS for review and in their ability to do so anonymously.  Online submission of information is without cost to the general public and the most contemporary and widely used method of collection.  </w:t>
      </w:r>
    </w:p>
    <w:p w:rsidRPr="007D72EB" w:rsidR="00FD6A7D" w:rsidP="00FD6A7D" w:rsidRDefault="00FD6A7D">
      <w:pPr>
        <w:pStyle w:val="ListParagraph"/>
        <w:spacing w:after="0" w:line="264" w:lineRule="auto"/>
        <w:rPr>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Explain any special circumstances that require the collection to be conducted in a manner inconsistent with OMB guidelines</w:t>
      </w:r>
      <w:r>
        <w:rPr>
          <w:sz w:val="24"/>
          <w:szCs w:val="24"/>
        </w:rPr>
        <w:t>:</w:t>
      </w:r>
      <w:r w:rsidRPr="007D72EB">
        <w:rPr>
          <w:sz w:val="24"/>
          <w:szCs w:val="24"/>
        </w:rPr>
        <w:t xml:space="preserve">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w:t>
      </w:r>
      <w:r>
        <w:rPr>
          <w:sz w:val="24"/>
          <w:szCs w:val="24"/>
        </w:rPr>
        <w:t>e</w:t>
      </w:r>
      <w:r w:rsidRPr="007D72EB">
        <w:rPr>
          <w:sz w:val="24"/>
          <w:szCs w:val="24"/>
        </w:rPr>
        <w:t xml:space="preserv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FD6A7D" w:rsidP="00FD6A7D" w:rsidRDefault="00FD6A7D">
      <w:pPr>
        <w:pStyle w:val="ListParagraph"/>
        <w:spacing w:after="0" w:line="264" w:lineRule="auto"/>
        <w:rPr>
          <w:sz w:val="24"/>
          <w:szCs w:val="24"/>
        </w:rPr>
      </w:pPr>
    </w:p>
    <w:p w:rsidRPr="00BF3048" w:rsidR="00FD6A7D" w:rsidP="00FD6A7D" w:rsidRDefault="00FD6A7D">
      <w:pPr>
        <w:pStyle w:val="ListParagraph"/>
        <w:spacing w:after="0" w:line="264" w:lineRule="auto"/>
        <w:rPr>
          <w:color w:val="1F4E79"/>
          <w:sz w:val="24"/>
          <w:szCs w:val="24"/>
        </w:rPr>
      </w:pPr>
      <w:r w:rsidRPr="00BF3048">
        <w:rPr>
          <w:color w:val="1F4E79"/>
          <w:sz w:val="24"/>
          <w:szCs w:val="24"/>
        </w:rPr>
        <w:t>Information will not be collected in a way that is inconsistent with OMB guidelines.</w:t>
      </w:r>
    </w:p>
    <w:p w:rsidRPr="007D72EB" w:rsidR="00FD6A7D" w:rsidP="00FD6A7D" w:rsidRDefault="00FD6A7D">
      <w:pPr>
        <w:pStyle w:val="ListParagraph"/>
        <w:spacing w:after="0" w:line="264" w:lineRule="auto"/>
        <w:rPr>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D6A7D" w:rsidP="00FD6A7D" w:rsidRDefault="00FD6A7D">
      <w:pPr>
        <w:pStyle w:val="ListParagraph"/>
        <w:spacing w:after="0" w:line="264" w:lineRule="auto"/>
        <w:rPr>
          <w:sz w:val="24"/>
          <w:szCs w:val="24"/>
        </w:rPr>
      </w:pPr>
    </w:p>
    <w:p w:rsidRPr="00D04855" w:rsidR="00E4443E" w:rsidP="00FD6A7D" w:rsidRDefault="003F5E71">
      <w:pPr>
        <w:pStyle w:val="ListParagraph"/>
        <w:spacing w:after="0" w:line="264" w:lineRule="auto"/>
        <w:rPr>
          <w:color w:val="1F3864"/>
          <w:sz w:val="24"/>
          <w:szCs w:val="24"/>
        </w:rPr>
      </w:pPr>
      <w:r w:rsidRPr="00D04855">
        <w:rPr>
          <w:color w:val="1F3864"/>
          <w:sz w:val="24"/>
          <w:szCs w:val="24"/>
        </w:rPr>
        <w:t xml:space="preserve">60 Day Federal Register Notice was published on February 20, 2020 (Vol. 85, No. 34, page 9809). </w:t>
      </w:r>
    </w:p>
    <w:p w:rsidRPr="00D04855" w:rsidR="003F5E71" w:rsidP="00FD6A7D" w:rsidRDefault="003F5E71">
      <w:pPr>
        <w:pStyle w:val="ListParagraph"/>
        <w:spacing w:after="0" w:line="264" w:lineRule="auto"/>
        <w:rPr>
          <w:color w:val="1F3864"/>
          <w:sz w:val="24"/>
          <w:szCs w:val="24"/>
        </w:rPr>
      </w:pPr>
    </w:p>
    <w:p w:rsidRPr="00D04855" w:rsidR="003F5E71" w:rsidP="00FD6A7D" w:rsidRDefault="003F5E71">
      <w:pPr>
        <w:pStyle w:val="ListParagraph"/>
        <w:spacing w:after="0" w:line="264" w:lineRule="auto"/>
        <w:rPr>
          <w:color w:val="1F3864"/>
          <w:sz w:val="24"/>
          <w:szCs w:val="24"/>
        </w:rPr>
      </w:pPr>
      <w:r w:rsidRPr="00722F77">
        <w:rPr>
          <w:color w:val="1F3864"/>
          <w:sz w:val="24"/>
          <w:szCs w:val="24"/>
        </w:rPr>
        <w:t xml:space="preserve">30 Day Federal Register Notice was published on </w:t>
      </w:r>
      <w:r w:rsidR="00722F77">
        <w:rPr>
          <w:color w:val="1F3864"/>
          <w:sz w:val="24"/>
          <w:szCs w:val="24"/>
        </w:rPr>
        <w:t>April 24, 2020 (Vol. 85, No. 80, page 23067).</w:t>
      </w:r>
    </w:p>
    <w:p w:rsidRPr="00D04855" w:rsidR="003F5E71" w:rsidP="00FD6A7D" w:rsidRDefault="003F5E71">
      <w:pPr>
        <w:pStyle w:val="ListParagraph"/>
        <w:spacing w:after="0" w:line="264" w:lineRule="auto"/>
        <w:rPr>
          <w:color w:val="1F3864"/>
          <w:sz w:val="24"/>
          <w:szCs w:val="24"/>
        </w:rPr>
      </w:pPr>
    </w:p>
    <w:p w:rsidRPr="00D04855" w:rsidR="003F5E71" w:rsidP="00FD6A7D" w:rsidRDefault="003F5E71">
      <w:pPr>
        <w:pStyle w:val="ListParagraph"/>
        <w:spacing w:after="0" w:line="264" w:lineRule="auto"/>
        <w:rPr>
          <w:color w:val="1F3864"/>
          <w:sz w:val="24"/>
          <w:szCs w:val="24"/>
        </w:rPr>
      </w:pPr>
      <w:r w:rsidRPr="00D04855">
        <w:rPr>
          <w:color w:val="1F3864"/>
          <w:sz w:val="24"/>
          <w:szCs w:val="24"/>
        </w:rPr>
        <w:t>No public comments were received.</w:t>
      </w:r>
    </w:p>
    <w:p w:rsidRPr="007D72EB" w:rsidR="00FD6A7D" w:rsidP="00FD6A7D" w:rsidRDefault="00FD6A7D">
      <w:pPr>
        <w:pStyle w:val="ListParagraph"/>
        <w:spacing w:after="0" w:line="264" w:lineRule="auto"/>
        <w:rPr>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Explain any decision to provide any payment or gift to respondents, other than remuneration of contractors or grantees.</w:t>
      </w:r>
    </w:p>
    <w:p w:rsidR="00FD6A7D" w:rsidP="00FD6A7D" w:rsidRDefault="00FD6A7D">
      <w:pPr>
        <w:pStyle w:val="ListParagraph"/>
        <w:spacing w:after="0" w:line="264" w:lineRule="auto"/>
        <w:rPr>
          <w:sz w:val="24"/>
          <w:szCs w:val="24"/>
        </w:rPr>
      </w:pPr>
    </w:p>
    <w:p w:rsidRPr="00D54F22" w:rsidR="00D54F22" w:rsidP="00D54F22" w:rsidRDefault="00113722">
      <w:pPr>
        <w:pStyle w:val="ListParagraph"/>
        <w:spacing w:after="0" w:line="264" w:lineRule="auto"/>
        <w:rPr>
          <w:color w:val="0070C0"/>
          <w:sz w:val="24"/>
          <w:szCs w:val="24"/>
        </w:rPr>
      </w:pPr>
      <w:r w:rsidRPr="00BF3048">
        <w:rPr>
          <w:color w:val="1F4E79"/>
          <w:sz w:val="24"/>
          <w:szCs w:val="24"/>
        </w:rPr>
        <w:t>Does not apply</w:t>
      </w:r>
      <w:r>
        <w:rPr>
          <w:color w:val="0070C0"/>
          <w:sz w:val="24"/>
          <w:szCs w:val="24"/>
        </w:rPr>
        <w:t>.</w:t>
      </w:r>
      <w:r w:rsidR="007F0E52">
        <w:rPr>
          <w:color w:val="0070C0"/>
          <w:sz w:val="24"/>
          <w:szCs w:val="24"/>
        </w:rPr>
        <w:t xml:space="preserve">  </w:t>
      </w:r>
    </w:p>
    <w:p w:rsidRPr="007D72EB" w:rsidR="00FD6A7D" w:rsidP="00D54F22" w:rsidRDefault="00FD6A7D">
      <w:pPr>
        <w:pStyle w:val="ListParagraph"/>
        <w:spacing w:after="0" w:line="264" w:lineRule="auto"/>
        <w:ind w:left="0"/>
        <w:rPr>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Describe any assurance of confidentiality provided to respondents and the basis for the assurance in statute, regulation, or agency policy.</w:t>
      </w:r>
    </w:p>
    <w:p w:rsidR="000A52D4" w:rsidP="000A52D4" w:rsidRDefault="000A52D4">
      <w:pPr>
        <w:pStyle w:val="ListParagraph"/>
        <w:spacing w:after="0" w:line="264" w:lineRule="auto"/>
        <w:rPr>
          <w:rFonts w:ascii="Segoe UI" w:hAnsi="Segoe UI" w:cs="Segoe UI"/>
          <w:color w:val="000000"/>
          <w:sz w:val="20"/>
          <w:szCs w:val="20"/>
        </w:rPr>
      </w:pPr>
    </w:p>
    <w:p w:rsidRPr="00566E26" w:rsidR="000A52D4" w:rsidP="000A52D4" w:rsidRDefault="000A52D4">
      <w:pPr>
        <w:pStyle w:val="ListParagraph"/>
        <w:spacing w:after="0" w:line="264" w:lineRule="auto"/>
        <w:rPr>
          <w:rFonts w:ascii="Times New Roman" w:hAnsi="Times New Roman"/>
          <w:color w:val="1F4E79"/>
          <w:sz w:val="24"/>
          <w:szCs w:val="24"/>
        </w:rPr>
      </w:pPr>
      <w:r w:rsidRPr="00566E26">
        <w:rPr>
          <w:rFonts w:ascii="Times New Roman" w:hAnsi="Times New Roman"/>
          <w:color w:val="1F4E79"/>
          <w:sz w:val="24"/>
          <w:szCs w:val="24"/>
        </w:rPr>
        <w:t>Information submitted will not be published in any public venue, however, it will be subject to Freedom of Information Act (FOIA) and disciplinary adjudication discovery.</w:t>
      </w:r>
    </w:p>
    <w:p w:rsidRPr="007D72EB" w:rsidR="00FD6A7D" w:rsidP="00D54F22" w:rsidRDefault="00FD6A7D">
      <w:pPr>
        <w:pStyle w:val="ListParagraph"/>
        <w:spacing w:after="0" w:line="264" w:lineRule="auto"/>
        <w:ind w:left="0"/>
        <w:rPr>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007D72EB">
        <w:rPr>
          <w:sz w:val="24"/>
          <w:szCs w:val="24"/>
        </w:rPr>
        <w:lastRenderedPageBreak/>
        <w:t>explanation to be given to persons from whom the information is requested, and any steps to be taken to obtain their consent.</w:t>
      </w:r>
    </w:p>
    <w:p w:rsidR="00FD6A7D" w:rsidP="00FD6A7D" w:rsidRDefault="00FD6A7D">
      <w:pPr>
        <w:pStyle w:val="ListParagraph"/>
        <w:spacing w:after="0" w:line="264" w:lineRule="auto"/>
        <w:rPr>
          <w:sz w:val="24"/>
          <w:szCs w:val="24"/>
        </w:rPr>
      </w:pPr>
    </w:p>
    <w:p w:rsidRPr="00BF3048" w:rsidR="00FD6A7D" w:rsidP="00D54F22" w:rsidRDefault="000A52D4">
      <w:pPr>
        <w:pStyle w:val="ListParagraph"/>
        <w:spacing w:after="0" w:line="264" w:lineRule="auto"/>
        <w:rPr>
          <w:color w:val="1F4E79"/>
          <w:sz w:val="24"/>
          <w:szCs w:val="24"/>
        </w:rPr>
      </w:pPr>
      <w:r w:rsidRPr="00BF3048">
        <w:rPr>
          <w:color w:val="1F4E79"/>
          <w:sz w:val="24"/>
          <w:szCs w:val="24"/>
        </w:rPr>
        <w:t xml:space="preserve">Does not apply. </w:t>
      </w:r>
    </w:p>
    <w:p w:rsidRPr="007D72EB" w:rsidR="00FD6A7D" w:rsidP="00FD6A7D" w:rsidRDefault="00FD6A7D">
      <w:pPr>
        <w:pStyle w:val="ListParagraph"/>
        <w:spacing w:after="0" w:line="264" w:lineRule="auto"/>
        <w:rPr>
          <w:sz w:val="24"/>
          <w:szCs w:val="24"/>
        </w:rPr>
      </w:pPr>
    </w:p>
    <w:p w:rsidRPr="007D72EB" w:rsidR="00D86798" w:rsidP="00D86798" w:rsidRDefault="00D86798">
      <w:pPr>
        <w:pStyle w:val="ListParagraph"/>
        <w:numPr>
          <w:ilvl w:val="0"/>
          <w:numId w:val="4"/>
        </w:numPr>
        <w:spacing w:after="0" w:line="264" w:lineRule="auto"/>
      </w:pPr>
      <w:r w:rsidRPr="007D72EB">
        <w:rPr>
          <w:sz w:val="24"/>
          <w:szCs w:val="24"/>
        </w:rPr>
        <w:t>Provide estimates of the hour burden of the collection of inf</w:t>
      </w:r>
      <w:r>
        <w:rPr>
          <w:sz w:val="24"/>
          <w:szCs w:val="24"/>
        </w:rPr>
        <w:t>ormation. The statement should:</w:t>
      </w:r>
    </w:p>
    <w:p w:rsidRPr="007D72EB" w:rsidR="00D86798" w:rsidP="00D86798" w:rsidRDefault="00D86798">
      <w:pPr>
        <w:pStyle w:val="ListParagraph"/>
        <w:numPr>
          <w:ilvl w:val="1"/>
          <w:numId w:val="6"/>
        </w:numPr>
        <w:spacing w:after="0" w:line="264" w:lineRule="auto"/>
        <w:rPr>
          <w:sz w:val="24"/>
          <w:szCs w:val="24"/>
        </w:rPr>
      </w:pPr>
      <w:r w:rsidRPr="007D72EB">
        <w:rPr>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D72EB" w:rsidR="00D86798" w:rsidP="00D86798" w:rsidRDefault="00D86798">
      <w:pPr>
        <w:pStyle w:val="ListParagraph"/>
        <w:numPr>
          <w:ilvl w:val="1"/>
          <w:numId w:val="6"/>
        </w:numPr>
        <w:spacing w:after="0" w:line="264" w:lineRule="auto"/>
        <w:rPr>
          <w:sz w:val="24"/>
          <w:szCs w:val="24"/>
        </w:rPr>
      </w:pPr>
      <w:r w:rsidRPr="007D72EB">
        <w:rPr>
          <w:sz w:val="24"/>
          <w:szCs w:val="24"/>
        </w:rPr>
        <w:t>If this request for approval covers more than one form, provide separate hour burden estimates for each form and aggregate the hour burdens in Item 13 of OMB Form 83-I.</w:t>
      </w:r>
    </w:p>
    <w:p w:rsidR="00D86798" w:rsidP="00D86798" w:rsidRDefault="00D86798">
      <w:pPr>
        <w:pStyle w:val="ListParagraph"/>
        <w:numPr>
          <w:ilvl w:val="1"/>
          <w:numId w:val="6"/>
        </w:numPr>
        <w:spacing w:after="0" w:line="264" w:lineRule="auto"/>
        <w:rPr>
          <w:sz w:val="24"/>
          <w:szCs w:val="24"/>
        </w:rPr>
      </w:pPr>
      <w:r w:rsidRPr="007D72EB">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D6A7D" w:rsidP="00FD6A7D" w:rsidRDefault="00FD6A7D">
      <w:pPr>
        <w:pStyle w:val="ListParagraph"/>
        <w:spacing w:after="0" w:line="264" w:lineRule="auto"/>
        <w:rPr>
          <w:sz w:val="24"/>
          <w:szCs w:val="24"/>
        </w:rPr>
      </w:pPr>
    </w:p>
    <w:p w:rsidRPr="00BF3048" w:rsidR="00D54F22" w:rsidP="00D54F22" w:rsidRDefault="000A52D4">
      <w:pPr>
        <w:pStyle w:val="ListParagraph"/>
        <w:widowControl w:val="0"/>
        <w:autoSpaceDE w:val="0"/>
        <w:autoSpaceDN w:val="0"/>
        <w:spacing w:after="0" w:line="240" w:lineRule="auto"/>
        <w:contextualSpacing w:val="0"/>
        <w:rPr>
          <w:color w:val="1F4E79"/>
          <w:sz w:val="24"/>
          <w:szCs w:val="24"/>
        </w:rPr>
      </w:pPr>
      <w:r w:rsidRPr="00BF3048">
        <w:rPr>
          <w:color w:val="1F4E79"/>
          <w:sz w:val="24"/>
          <w:szCs w:val="24"/>
        </w:rPr>
        <w:t>We anticipate 1</w:t>
      </w:r>
      <w:r w:rsidR="003F5E71">
        <w:rPr>
          <w:color w:val="1F4E79"/>
          <w:sz w:val="24"/>
          <w:szCs w:val="24"/>
        </w:rPr>
        <w:t>,</w:t>
      </w:r>
      <w:r w:rsidRPr="00BF3048">
        <w:rPr>
          <w:color w:val="1F4E79"/>
          <w:sz w:val="24"/>
          <w:szCs w:val="24"/>
        </w:rPr>
        <w:t xml:space="preserve">000 </w:t>
      </w:r>
      <w:r w:rsidRPr="00BF3048" w:rsidR="00042E1C">
        <w:rPr>
          <w:color w:val="1F4E79"/>
          <w:sz w:val="24"/>
          <w:szCs w:val="24"/>
        </w:rPr>
        <w:t>submissions</w:t>
      </w:r>
      <w:r w:rsidRPr="00BF3048">
        <w:rPr>
          <w:color w:val="1F4E79"/>
          <w:sz w:val="24"/>
          <w:szCs w:val="24"/>
        </w:rPr>
        <w:t xml:space="preserve"> received per year.</w:t>
      </w:r>
      <w:r w:rsidR="003F5E71">
        <w:rPr>
          <w:color w:val="1F4E79"/>
          <w:sz w:val="24"/>
          <w:szCs w:val="24"/>
        </w:rPr>
        <w:t xml:space="preserve"> The time to submit the complaint will vary based on the length of the user's complaint but the average time estimated is 5 minutes per complaint.</w:t>
      </w:r>
    </w:p>
    <w:p w:rsidRPr="007D72EB" w:rsidR="00FD6A7D" w:rsidP="00D54F22" w:rsidRDefault="00FD6A7D">
      <w:pPr>
        <w:pStyle w:val="ListParagraph"/>
        <w:spacing w:after="0" w:line="264" w:lineRule="auto"/>
        <w:ind w:left="0"/>
        <w:rPr>
          <w:sz w:val="24"/>
          <w:szCs w:val="24"/>
        </w:rPr>
      </w:pPr>
    </w:p>
    <w:p w:rsidR="00D86798" w:rsidP="00D86798" w:rsidRDefault="00D86798">
      <w:pPr>
        <w:pStyle w:val="ListParagraph"/>
        <w:widowControl w:val="0"/>
        <w:numPr>
          <w:ilvl w:val="0"/>
          <w:numId w:val="4"/>
        </w:numPr>
        <w:autoSpaceDE w:val="0"/>
        <w:autoSpaceDN w:val="0"/>
        <w:spacing w:after="0" w:line="240" w:lineRule="auto"/>
        <w:contextualSpacing w:val="0"/>
        <w:rPr>
          <w:sz w:val="24"/>
          <w:szCs w:val="24"/>
        </w:rPr>
      </w:pPr>
      <w:r w:rsidRPr="007D72EB">
        <w:rPr>
          <w:sz w:val="24"/>
          <w:szCs w:val="24"/>
        </w:rPr>
        <w:t>Provide an estimate for the total annual cost burden to respondents or record-keepers resulting from the collection of information. (Do not include the cost of any hour burden shown in Items 12 and</w:t>
      </w:r>
      <w:r>
        <w:rPr>
          <w:sz w:val="24"/>
          <w:szCs w:val="24"/>
        </w:rPr>
        <w:t xml:space="preserve"> 14)</w:t>
      </w:r>
    </w:p>
    <w:p w:rsidR="00FD6A7D" w:rsidP="00FD6A7D" w:rsidRDefault="00FD6A7D">
      <w:pPr>
        <w:pStyle w:val="ListParagraph"/>
        <w:widowControl w:val="0"/>
        <w:autoSpaceDE w:val="0"/>
        <w:autoSpaceDN w:val="0"/>
        <w:spacing w:after="0" w:line="240" w:lineRule="auto"/>
        <w:contextualSpacing w:val="0"/>
        <w:rPr>
          <w:sz w:val="24"/>
          <w:szCs w:val="24"/>
        </w:rPr>
      </w:pPr>
    </w:p>
    <w:p w:rsidRPr="00BF3048" w:rsidR="00FD6A7D" w:rsidP="00D54F22" w:rsidRDefault="00D54F22">
      <w:pPr>
        <w:pStyle w:val="ListParagraph"/>
        <w:widowControl w:val="0"/>
        <w:autoSpaceDE w:val="0"/>
        <w:autoSpaceDN w:val="0"/>
        <w:spacing w:after="0" w:line="240" w:lineRule="auto"/>
        <w:contextualSpacing w:val="0"/>
        <w:rPr>
          <w:color w:val="1F4E79"/>
          <w:sz w:val="24"/>
          <w:szCs w:val="24"/>
        </w:rPr>
      </w:pPr>
      <w:r w:rsidRPr="00BF3048">
        <w:rPr>
          <w:color w:val="1F4E79"/>
          <w:sz w:val="24"/>
          <w:szCs w:val="24"/>
        </w:rPr>
        <w:t xml:space="preserve">There </w:t>
      </w:r>
      <w:r w:rsidRPr="00BF3048" w:rsidR="00042E1C">
        <w:rPr>
          <w:color w:val="1F4E79"/>
          <w:sz w:val="24"/>
          <w:szCs w:val="24"/>
        </w:rPr>
        <w:t>will</w:t>
      </w:r>
      <w:r w:rsidRPr="00BF3048">
        <w:rPr>
          <w:color w:val="1F4E79"/>
          <w:sz w:val="24"/>
          <w:szCs w:val="24"/>
        </w:rPr>
        <w:t xml:space="preserve"> be no cost burden on the respondent to complete this request.</w:t>
      </w:r>
    </w:p>
    <w:p w:rsidRPr="007D72EB" w:rsidR="00FD6A7D" w:rsidP="00FD6A7D" w:rsidRDefault="00FD6A7D">
      <w:pPr>
        <w:pStyle w:val="ListParagraph"/>
        <w:widowControl w:val="0"/>
        <w:autoSpaceDE w:val="0"/>
        <w:autoSpaceDN w:val="0"/>
        <w:spacing w:after="0" w:line="240" w:lineRule="auto"/>
        <w:contextualSpacing w:val="0"/>
        <w:rPr>
          <w:sz w:val="24"/>
          <w:szCs w:val="24"/>
        </w:rPr>
      </w:pPr>
    </w:p>
    <w:p w:rsidRPr="007D72EB" w:rsidR="00D86798" w:rsidP="00D86798" w:rsidRDefault="00D86798">
      <w:pPr>
        <w:pStyle w:val="ListParagraph"/>
        <w:widowControl w:val="0"/>
        <w:numPr>
          <w:ilvl w:val="0"/>
          <w:numId w:val="4"/>
        </w:numPr>
        <w:autoSpaceDE w:val="0"/>
        <w:autoSpaceDN w:val="0"/>
        <w:spacing w:after="0" w:line="240" w:lineRule="auto"/>
        <w:contextualSpacing w:val="0"/>
        <w:rPr>
          <w:sz w:val="24"/>
          <w:szCs w:val="24"/>
        </w:rPr>
      </w:pPr>
      <w:r w:rsidRPr="007D72EB">
        <w:rPr>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w:t>
      </w:r>
      <w:r w:rsidRPr="007D72EB">
        <w:rPr>
          <w:sz w:val="24"/>
          <w:szCs w:val="24"/>
        </w:rPr>
        <w:lastRenderedPageBreak/>
        <w:t>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D72EB" w:rsidR="00D86798" w:rsidP="00D86798" w:rsidRDefault="00D86798">
      <w:pPr>
        <w:pStyle w:val="ListParagraph"/>
        <w:widowControl w:val="0"/>
        <w:numPr>
          <w:ilvl w:val="1"/>
          <w:numId w:val="5"/>
        </w:numPr>
        <w:autoSpaceDE w:val="0"/>
        <w:autoSpaceDN w:val="0"/>
        <w:spacing w:after="0" w:line="240" w:lineRule="auto"/>
        <w:contextualSpacing w:val="0"/>
        <w:rPr>
          <w:sz w:val="24"/>
          <w:szCs w:val="24"/>
        </w:rPr>
      </w:pPr>
      <w:r w:rsidRPr="007D72EB">
        <w:rPr>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86798" w:rsidP="00D86798" w:rsidRDefault="00D86798">
      <w:pPr>
        <w:pStyle w:val="ListParagraph"/>
        <w:widowControl w:val="0"/>
        <w:numPr>
          <w:ilvl w:val="1"/>
          <w:numId w:val="5"/>
        </w:numPr>
        <w:autoSpaceDE w:val="0"/>
        <w:autoSpaceDN w:val="0"/>
        <w:spacing w:after="0" w:line="240" w:lineRule="auto"/>
        <w:contextualSpacing w:val="0"/>
        <w:rPr>
          <w:sz w:val="24"/>
          <w:szCs w:val="24"/>
        </w:rPr>
      </w:pPr>
      <w:r w:rsidRPr="007D72EB">
        <w:rPr>
          <w:sz w:val="24"/>
          <w:szCs w:val="24"/>
        </w:rPr>
        <w:t>Generally, estimates should not include purchases of equipment or services, or portions thereof, made:</w:t>
      </w:r>
    </w:p>
    <w:p w:rsidR="00D86798" w:rsidP="00D86798" w:rsidRDefault="00D86798">
      <w:pPr>
        <w:pStyle w:val="ListParagraph"/>
        <w:widowControl w:val="0"/>
        <w:numPr>
          <w:ilvl w:val="2"/>
          <w:numId w:val="4"/>
        </w:numPr>
        <w:autoSpaceDE w:val="0"/>
        <w:autoSpaceDN w:val="0"/>
        <w:spacing w:after="0" w:line="240" w:lineRule="auto"/>
        <w:contextualSpacing w:val="0"/>
        <w:rPr>
          <w:sz w:val="24"/>
          <w:szCs w:val="24"/>
        </w:rPr>
      </w:pPr>
      <w:r w:rsidRPr="007D72EB">
        <w:rPr>
          <w:sz w:val="24"/>
          <w:szCs w:val="24"/>
        </w:rPr>
        <w:t>Prior to October 1, 1995,</w:t>
      </w:r>
    </w:p>
    <w:p w:rsidR="00D86798" w:rsidP="00D86798" w:rsidRDefault="00D86798">
      <w:pPr>
        <w:pStyle w:val="ListParagraph"/>
        <w:widowControl w:val="0"/>
        <w:numPr>
          <w:ilvl w:val="2"/>
          <w:numId w:val="4"/>
        </w:numPr>
        <w:autoSpaceDE w:val="0"/>
        <w:autoSpaceDN w:val="0"/>
        <w:spacing w:after="0" w:line="240" w:lineRule="auto"/>
        <w:contextualSpacing w:val="0"/>
        <w:rPr>
          <w:sz w:val="24"/>
          <w:szCs w:val="24"/>
        </w:rPr>
      </w:pPr>
      <w:r w:rsidRPr="007D72EB">
        <w:rPr>
          <w:sz w:val="24"/>
          <w:szCs w:val="24"/>
        </w:rPr>
        <w:t>To achieve regulatory compliance with requirements not associated with the information collection,</w:t>
      </w:r>
    </w:p>
    <w:p w:rsidR="00D86798" w:rsidP="00D86798" w:rsidRDefault="00D86798">
      <w:pPr>
        <w:pStyle w:val="ListParagraph"/>
        <w:widowControl w:val="0"/>
        <w:numPr>
          <w:ilvl w:val="2"/>
          <w:numId w:val="4"/>
        </w:numPr>
        <w:autoSpaceDE w:val="0"/>
        <w:autoSpaceDN w:val="0"/>
        <w:spacing w:after="0" w:line="240" w:lineRule="auto"/>
        <w:contextualSpacing w:val="0"/>
        <w:rPr>
          <w:sz w:val="24"/>
          <w:szCs w:val="24"/>
        </w:rPr>
      </w:pPr>
      <w:r w:rsidRPr="007D72EB">
        <w:rPr>
          <w:sz w:val="24"/>
          <w:szCs w:val="24"/>
        </w:rPr>
        <w:t>For reasons other than to provide information or keep records for the government, or</w:t>
      </w:r>
    </w:p>
    <w:p w:rsidR="00D86798" w:rsidP="00D86798" w:rsidRDefault="00D86798">
      <w:pPr>
        <w:pStyle w:val="ListParagraph"/>
        <w:widowControl w:val="0"/>
        <w:numPr>
          <w:ilvl w:val="2"/>
          <w:numId w:val="4"/>
        </w:numPr>
        <w:autoSpaceDE w:val="0"/>
        <w:autoSpaceDN w:val="0"/>
        <w:spacing w:after="0" w:line="240" w:lineRule="auto"/>
        <w:contextualSpacing w:val="0"/>
        <w:rPr>
          <w:sz w:val="24"/>
          <w:szCs w:val="24"/>
        </w:rPr>
      </w:pPr>
      <w:r w:rsidRPr="007D72EB">
        <w:rPr>
          <w:sz w:val="24"/>
          <w:szCs w:val="24"/>
        </w:rPr>
        <w:t>As part of customary and usual business or private practices.</w:t>
      </w:r>
    </w:p>
    <w:p w:rsidR="00FD6A7D" w:rsidP="00FD6A7D" w:rsidRDefault="00FD6A7D">
      <w:pPr>
        <w:pStyle w:val="ListParagraph"/>
        <w:widowControl w:val="0"/>
        <w:autoSpaceDE w:val="0"/>
        <w:autoSpaceDN w:val="0"/>
        <w:spacing w:after="0" w:line="240" w:lineRule="auto"/>
        <w:contextualSpacing w:val="0"/>
        <w:rPr>
          <w:sz w:val="24"/>
          <w:szCs w:val="24"/>
        </w:rPr>
      </w:pPr>
    </w:p>
    <w:p w:rsidRPr="00BF3048" w:rsidR="00FD6A7D" w:rsidP="00D54F22" w:rsidRDefault="00D54F22">
      <w:pPr>
        <w:pStyle w:val="ListParagraph"/>
        <w:spacing w:after="0" w:line="264" w:lineRule="auto"/>
        <w:rPr>
          <w:color w:val="1F4E79"/>
          <w:sz w:val="24"/>
          <w:szCs w:val="24"/>
        </w:rPr>
      </w:pPr>
      <w:r w:rsidRPr="00BF3048">
        <w:rPr>
          <w:color w:val="1F4E79"/>
          <w:sz w:val="24"/>
          <w:szCs w:val="24"/>
        </w:rPr>
        <w:t>No such costs are associated with this collection.</w:t>
      </w:r>
    </w:p>
    <w:p w:rsidRPr="00FD6A7D" w:rsidR="00D54F22" w:rsidP="00FD6A7D" w:rsidRDefault="00D54F22">
      <w:pPr>
        <w:pStyle w:val="ListParagraph"/>
        <w:widowControl w:val="0"/>
        <w:autoSpaceDE w:val="0"/>
        <w:autoSpaceDN w:val="0"/>
        <w:spacing w:after="0" w:line="240" w:lineRule="auto"/>
        <w:contextualSpacing w:val="0"/>
        <w:rPr>
          <w:color w:val="0070C0"/>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D6A7D" w:rsidP="00FD6A7D" w:rsidRDefault="00FD6A7D">
      <w:pPr>
        <w:pStyle w:val="ListParagraph"/>
        <w:spacing w:after="0" w:line="264" w:lineRule="auto"/>
        <w:rPr>
          <w:sz w:val="24"/>
          <w:szCs w:val="24"/>
        </w:rPr>
      </w:pPr>
    </w:p>
    <w:p w:rsidRPr="00BF3048" w:rsidR="00FD6A7D" w:rsidP="00D54F22" w:rsidRDefault="00042E1C">
      <w:pPr>
        <w:pStyle w:val="ListParagraph"/>
        <w:spacing w:after="0" w:line="264" w:lineRule="auto"/>
        <w:rPr>
          <w:color w:val="1F4E79"/>
          <w:sz w:val="24"/>
          <w:szCs w:val="24"/>
          <w:highlight w:val="yellow"/>
        </w:rPr>
      </w:pPr>
      <w:r w:rsidRPr="00BF3048">
        <w:rPr>
          <w:color w:val="1F4E79"/>
          <w:sz w:val="24"/>
          <w:szCs w:val="24"/>
        </w:rPr>
        <w:t xml:space="preserve">The purpose of this process is to alleviate burden of frivolous and irrelevant information and will not result in any additional cost to the agency.  </w:t>
      </w:r>
    </w:p>
    <w:p w:rsidRPr="007D72EB" w:rsidR="00FD6A7D" w:rsidP="00FD6A7D" w:rsidRDefault="00FD6A7D">
      <w:pPr>
        <w:pStyle w:val="ListParagraph"/>
        <w:spacing w:after="0" w:line="264" w:lineRule="auto"/>
        <w:rPr>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Explain the reasons for any program changes or adjustments reported in Items 13 or 14 of the OMB Form 83-I.</w:t>
      </w:r>
    </w:p>
    <w:p w:rsidR="00FD6A7D" w:rsidP="00FD6A7D" w:rsidRDefault="00FD6A7D">
      <w:pPr>
        <w:pStyle w:val="ListParagraph"/>
        <w:spacing w:after="0" w:line="264" w:lineRule="auto"/>
        <w:rPr>
          <w:sz w:val="24"/>
          <w:szCs w:val="24"/>
        </w:rPr>
      </w:pPr>
    </w:p>
    <w:p w:rsidRPr="00BF3048" w:rsidR="00FD6A7D" w:rsidP="00FD6A7D" w:rsidRDefault="00D54F22">
      <w:pPr>
        <w:pStyle w:val="ListParagraph"/>
        <w:spacing w:after="0" w:line="264" w:lineRule="auto"/>
        <w:rPr>
          <w:color w:val="1F4E79"/>
          <w:sz w:val="24"/>
          <w:szCs w:val="24"/>
        </w:rPr>
      </w:pPr>
      <w:r w:rsidRPr="00BF3048">
        <w:rPr>
          <w:color w:val="1F4E79"/>
          <w:sz w:val="24"/>
          <w:szCs w:val="24"/>
        </w:rPr>
        <w:t>N/A</w:t>
      </w:r>
    </w:p>
    <w:p w:rsidRPr="007D72EB" w:rsidR="00FD6A7D" w:rsidP="00FD6A7D" w:rsidRDefault="00FD6A7D">
      <w:pPr>
        <w:pStyle w:val="ListParagraph"/>
        <w:spacing w:after="0" w:line="264" w:lineRule="auto"/>
        <w:rPr>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w:t>
      </w:r>
      <w:r w:rsidRPr="007D72EB">
        <w:rPr>
          <w:sz w:val="24"/>
          <w:szCs w:val="24"/>
        </w:rPr>
        <w:lastRenderedPageBreak/>
        <w:t>of the collection of information, completion of report, publication dates, and other actions.</w:t>
      </w:r>
    </w:p>
    <w:p w:rsidR="00FD6A7D" w:rsidP="00FD6A7D" w:rsidRDefault="00FD6A7D">
      <w:pPr>
        <w:pStyle w:val="ListParagraph"/>
        <w:spacing w:after="0" w:line="264" w:lineRule="auto"/>
        <w:rPr>
          <w:sz w:val="24"/>
          <w:szCs w:val="24"/>
        </w:rPr>
      </w:pPr>
    </w:p>
    <w:p w:rsidRPr="00BF3048" w:rsidR="00D54F22" w:rsidP="00D54F22" w:rsidRDefault="00D54F22">
      <w:pPr>
        <w:pStyle w:val="ListParagraph"/>
        <w:spacing w:after="0" w:line="264" w:lineRule="auto"/>
        <w:rPr>
          <w:color w:val="1F4E79"/>
          <w:sz w:val="24"/>
          <w:szCs w:val="24"/>
        </w:rPr>
      </w:pPr>
      <w:r w:rsidRPr="00BF3048">
        <w:rPr>
          <w:color w:val="1F4E79"/>
          <w:sz w:val="24"/>
          <w:szCs w:val="24"/>
        </w:rPr>
        <w:t>N/A</w:t>
      </w:r>
    </w:p>
    <w:p w:rsidRPr="007D72EB" w:rsidR="00FD6A7D" w:rsidP="00D54F22" w:rsidRDefault="00FD6A7D">
      <w:pPr>
        <w:pStyle w:val="ListParagraph"/>
        <w:spacing w:after="0" w:line="264" w:lineRule="auto"/>
        <w:ind w:left="0"/>
        <w:rPr>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If seeking approval to not display the expiration date for OMB approval of the information collection, explain the reasons that display would be inappropriate.</w:t>
      </w:r>
    </w:p>
    <w:p w:rsidR="00FD6A7D" w:rsidP="00FD6A7D" w:rsidRDefault="00FD6A7D">
      <w:pPr>
        <w:pStyle w:val="ListParagraph"/>
        <w:spacing w:after="0" w:line="264" w:lineRule="auto"/>
        <w:rPr>
          <w:sz w:val="24"/>
          <w:szCs w:val="24"/>
        </w:rPr>
      </w:pPr>
    </w:p>
    <w:p w:rsidRPr="00BF3048" w:rsidR="00D54F22" w:rsidP="00D54F22" w:rsidRDefault="00D54F22">
      <w:pPr>
        <w:pStyle w:val="ListParagraph"/>
        <w:spacing w:after="0" w:line="264" w:lineRule="auto"/>
        <w:rPr>
          <w:color w:val="1F4E79"/>
          <w:sz w:val="24"/>
          <w:szCs w:val="24"/>
        </w:rPr>
      </w:pPr>
      <w:r w:rsidRPr="00BF3048">
        <w:rPr>
          <w:color w:val="1F4E79"/>
          <w:sz w:val="24"/>
          <w:szCs w:val="24"/>
        </w:rPr>
        <w:t>N/A</w:t>
      </w:r>
    </w:p>
    <w:p w:rsidRPr="007D72EB" w:rsidR="00FD6A7D" w:rsidP="00D54F22" w:rsidRDefault="00FD6A7D">
      <w:pPr>
        <w:pStyle w:val="ListParagraph"/>
        <w:spacing w:after="0" w:line="264" w:lineRule="auto"/>
        <w:ind w:left="0"/>
        <w:rPr>
          <w:sz w:val="24"/>
          <w:szCs w:val="24"/>
        </w:rPr>
      </w:pPr>
    </w:p>
    <w:p w:rsidR="00D86798" w:rsidP="00D86798" w:rsidRDefault="00D86798">
      <w:pPr>
        <w:pStyle w:val="ListParagraph"/>
        <w:numPr>
          <w:ilvl w:val="0"/>
          <w:numId w:val="4"/>
        </w:numPr>
        <w:spacing w:after="0" w:line="264" w:lineRule="auto"/>
        <w:rPr>
          <w:sz w:val="24"/>
          <w:szCs w:val="24"/>
        </w:rPr>
      </w:pPr>
      <w:r w:rsidRPr="007D72EB">
        <w:rPr>
          <w:sz w:val="24"/>
          <w:szCs w:val="24"/>
        </w:rPr>
        <w:t>Explain each exception to the certification statement identified in Item 19,"Certification for Paperwork Reduction Act Submissions," of OMB Form 83-I.</w:t>
      </w:r>
    </w:p>
    <w:p w:rsidRPr="00FD6A7D" w:rsidR="00FD6A7D" w:rsidP="00D54F22" w:rsidRDefault="00FD6A7D">
      <w:pPr>
        <w:pStyle w:val="ListParagraph"/>
        <w:spacing w:after="0" w:line="264" w:lineRule="auto"/>
        <w:ind w:left="0"/>
        <w:rPr>
          <w:color w:val="0070C0"/>
          <w:sz w:val="24"/>
          <w:szCs w:val="24"/>
        </w:rPr>
      </w:pPr>
    </w:p>
    <w:p w:rsidRPr="00BF3048" w:rsidR="00D54F22" w:rsidP="00D54F22" w:rsidRDefault="00D54F22">
      <w:pPr>
        <w:pStyle w:val="ListParagraph"/>
        <w:spacing w:after="0" w:line="264" w:lineRule="auto"/>
        <w:rPr>
          <w:color w:val="1F4E79"/>
          <w:sz w:val="24"/>
          <w:szCs w:val="24"/>
        </w:rPr>
      </w:pPr>
      <w:r w:rsidRPr="00BF3048">
        <w:rPr>
          <w:color w:val="1F4E79"/>
          <w:sz w:val="24"/>
          <w:szCs w:val="24"/>
        </w:rPr>
        <w:t>N/A</w:t>
      </w:r>
    </w:p>
    <w:p w:rsidRPr="003C732C" w:rsidR="003C732C" w:rsidP="00D86798" w:rsidRDefault="003C732C">
      <w:pPr>
        <w:autoSpaceDE w:val="0"/>
        <w:autoSpaceDN w:val="0"/>
        <w:adjustRightInd w:val="0"/>
        <w:spacing w:after="0" w:line="240" w:lineRule="auto"/>
        <w:rPr>
          <w:rFonts w:ascii="Times New Roman" w:hAnsi="Times New Roman"/>
          <w:sz w:val="24"/>
          <w:szCs w:val="24"/>
        </w:rPr>
      </w:pPr>
    </w:p>
    <w:sectPr w:rsidRPr="003C732C" w:rsidR="003C732C" w:rsidSect="00AA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1BDF"/>
    <w:multiLevelType w:val="hybridMultilevel"/>
    <w:tmpl w:val="250A6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A0F31"/>
    <w:multiLevelType w:val="hybridMultilevel"/>
    <w:tmpl w:val="768C3AD6"/>
    <w:lvl w:ilvl="0" w:tplc="41B65210">
      <w:start w:val="1"/>
      <w:numFmt w:val="decimal"/>
      <w:lvlText w:val="%1."/>
      <w:lvlJc w:val="left"/>
      <w:pPr>
        <w:ind w:left="720" w:hanging="360"/>
      </w:pPr>
      <w:rPr>
        <w:rFonts w:hint="default"/>
        <w:b w:val="0"/>
      </w:rPr>
    </w:lvl>
    <w:lvl w:ilvl="1" w:tplc="8856EB7E">
      <w:numFmt w:val="bullet"/>
      <w:lvlText w:val="-"/>
      <w:lvlJc w:val="left"/>
      <w:pPr>
        <w:ind w:left="1440" w:hanging="360"/>
      </w:pPr>
      <w:rPr>
        <w:rFonts w:ascii="Times New Roman" w:eastAsia="Times New Roman" w:hAnsi="Times New Roman" w:cs="Times New Roman" w:hint="default"/>
        <w:spacing w:val="-10"/>
        <w:w w:val="99"/>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03925"/>
    <w:multiLevelType w:val="hybridMultilevel"/>
    <w:tmpl w:val="744E4BF4"/>
    <w:lvl w:ilvl="0" w:tplc="41B6521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spacing w:val="-10"/>
        <w:w w:val="99"/>
        <w:sz w:val="24"/>
        <w:szCs w:val="24"/>
      </w:rPr>
    </w:lvl>
    <w:lvl w:ilvl="2" w:tplc="04090003">
      <w:start w:val="1"/>
      <w:numFmt w:val="bullet"/>
      <w:lvlText w:val="o"/>
      <w:lvlJc w:val="left"/>
      <w:pPr>
        <w:ind w:left="2160" w:hanging="180"/>
      </w:pPr>
      <w:rPr>
        <w:rFonts w:ascii="Courier New" w:hAnsi="Courier New" w:cs="Courier New" w:hint="default"/>
      </w:rPr>
    </w:lvl>
    <w:lvl w:ilvl="3" w:tplc="4A9EEB3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1090E"/>
    <w:multiLevelType w:val="hybridMultilevel"/>
    <w:tmpl w:val="BFF0E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D3AA7"/>
    <w:multiLevelType w:val="hybridMultilevel"/>
    <w:tmpl w:val="D996D1E8"/>
    <w:lvl w:ilvl="0" w:tplc="FA145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7E45BC"/>
    <w:multiLevelType w:val="hybridMultilevel"/>
    <w:tmpl w:val="221A83A4"/>
    <w:lvl w:ilvl="0" w:tplc="41B65210">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spacing w:val="-10"/>
        <w:w w:val="99"/>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86"/>
    <w:rsid w:val="000069D7"/>
    <w:rsid w:val="00042E1C"/>
    <w:rsid w:val="000947E5"/>
    <w:rsid w:val="000A52D4"/>
    <w:rsid w:val="000C2160"/>
    <w:rsid w:val="00113722"/>
    <w:rsid w:val="001328D1"/>
    <w:rsid w:val="001E11B6"/>
    <w:rsid w:val="00237077"/>
    <w:rsid w:val="002B7B32"/>
    <w:rsid w:val="0031011E"/>
    <w:rsid w:val="00335211"/>
    <w:rsid w:val="003C732C"/>
    <w:rsid w:val="003C7364"/>
    <w:rsid w:val="003F5E71"/>
    <w:rsid w:val="004268FB"/>
    <w:rsid w:val="0046789E"/>
    <w:rsid w:val="004C1A24"/>
    <w:rsid w:val="004E4D3D"/>
    <w:rsid w:val="00566E26"/>
    <w:rsid w:val="005906CD"/>
    <w:rsid w:val="006502E0"/>
    <w:rsid w:val="00677767"/>
    <w:rsid w:val="006C6A9A"/>
    <w:rsid w:val="00722F77"/>
    <w:rsid w:val="007F0E52"/>
    <w:rsid w:val="008A6285"/>
    <w:rsid w:val="008B4E64"/>
    <w:rsid w:val="008C0286"/>
    <w:rsid w:val="009631D8"/>
    <w:rsid w:val="00A22A3D"/>
    <w:rsid w:val="00A6633F"/>
    <w:rsid w:val="00A66A91"/>
    <w:rsid w:val="00A74B18"/>
    <w:rsid w:val="00AA3EDE"/>
    <w:rsid w:val="00AB17E0"/>
    <w:rsid w:val="00BF3048"/>
    <w:rsid w:val="00C375CA"/>
    <w:rsid w:val="00CF134B"/>
    <w:rsid w:val="00D04855"/>
    <w:rsid w:val="00D54F22"/>
    <w:rsid w:val="00D86798"/>
    <w:rsid w:val="00D94FF8"/>
    <w:rsid w:val="00DF67DC"/>
    <w:rsid w:val="00E4443E"/>
    <w:rsid w:val="00E53BD1"/>
    <w:rsid w:val="00ED3D68"/>
    <w:rsid w:val="00F17009"/>
    <w:rsid w:val="00F23428"/>
    <w:rsid w:val="00F40267"/>
    <w:rsid w:val="00FA7456"/>
    <w:rsid w:val="00FB1FA3"/>
    <w:rsid w:val="00FD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B1A9BEE-902B-4752-92BE-CCB91FE2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E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86"/>
    <w:pPr>
      <w:ind w:left="720"/>
      <w:contextualSpacing/>
    </w:pPr>
  </w:style>
  <w:style w:type="paragraph" w:customStyle="1" w:styleId="Default">
    <w:name w:val="Default"/>
    <w:rsid w:val="001328D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50821">
      <w:bodyDiv w:val="1"/>
      <w:marLeft w:val="0"/>
      <w:marRight w:val="0"/>
      <w:marTop w:val="0"/>
      <w:marBottom w:val="0"/>
      <w:divBdr>
        <w:top w:val="none" w:sz="0" w:space="0" w:color="auto"/>
        <w:left w:val="none" w:sz="0" w:space="0" w:color="auto"/>
        <w:bottom w:val="none" w:sz="0" w:space="0" w:color="auto"/>
        <w:right w:val="none" w:sz="0" w:space="0" w:color="auto"/>
      </w:divBdr>
    </w:div>
    <w:div w:id="524052620">
      <w:bodyDiv w:val="1"/>
      <w:marLeft w:val="0"/>
      <w:marRight w:val="0"/>
      <w:marTop w:val="0"/>
      <w:marBottom w:val="0"/>
      <w:divBdr>
        <w:top w:val="none" w:sz="0" w:space="0" w:color="auto"/>
        <w:left w:val="none" w:sz="0" w:space="0" w:color="auto"/>
        <w:bottom w:val="none" w:sz="0" w:space="0" w:color="auto"/>
        <w:right w:val="none" w:sz="0" w:space="0" w:color="auto"/>
      </w:divBdr>
    </w:div>
    <w:div w:id="1151021063">
      <w:bodyDiv w:val="1"/>
      <w:marLeft w:val="0"/>
      <w:marRight w:val="0"/>
      <w:marTop w:val="0"/>
      <w:marBottom w:val="0"/>
      <w:divBdr>
        <w:top w:val="none" w:sz="0" w:space="0" w:color="auto"/>
        <w:left w:val="none" w:sz="0" w:space="0" w:color="auto"/>
        <w:bottom w:val="none" w:sz="0" w:space="0" w:color="auto"/>
        <w:right w:val="none" w:sz="0" w:space="0" w:color="auto"/>
      </w:divBdr>
    </w:div>
    <w:div w:id="1273712091">
      <w:bodyDiv w:val="1"/>
      <w:marLeft w:val="0"/>
      <w:marRight w:val="0"/>
      <w:marTop w:val="0"/>
      <w:marBottom w:val="0"/>
      <w:divBdr>
        <w:top w:val="none" w:sz="0" w:space="0" w:color="auto"/>
        <w:left w:val="none" w:sz="0" w:space="0" w:color="auto"/>
        <w:bottom w:val="none" w:sz="0" w:space="0" w:color="auto"/>
        <w:right w:val="none" w:sz="0" w:space="0" w:color="auto"/>
      </w:divBdr>
    </w:div>
    <w:div w:id="1325014492">
      <w:bodyDiv w:val="1"/>
      <w:marLeft w:val="0"/>
      <w:marRight w:val="0"/>
      <w:marTop w:val="0"/>
      <w:marBottom w:val="0"/>
      <w:divBdr>
        <w:top w:val="none" w:sz="0" w:space="0" w:color="auto"/>
        <w:left w:val="none" w:sz="0" w:space="0" w:color="auto"/>
        <w:bottom w:val="none" w:sz="0" w:space="0" w:color="auto"/>
        <w:right w:val="none" w:sz="0" w:space="0" w:color="auto"/>
      </w:divBdr>
    </w:div>
    <w:div w:id="1518084105">
      <w:bodyDiv w:val="1"/>
      <w:marLeft w:val="0"/>
      <w:marRight w:val="0"/>
      <w:marTop w:val="0"/>
      <w:marBottom w:val="0"/>
      <w:divBdr>
        <w:top w:val="none" w:sz="0" w:space="0" w:color="auto"/>
        <w:left w:val="none" w:sz="0" w:space="0" w:color="auto"/>
        <w:bottom w:val="none" w:sz="0" w:space="0" w:color="auto"/>
        <w:right w:val="none" w:sz="0" w:space="0" w:color="auto"/>
      </w:divBdr>
    </w:div>
    <w:div w:id="1553081477">
      <w:bodyDiv w:val="1"/>
      <w:marLeft w:val="0"/>
      <w:marRight w:val="0"/>
      <w:marTop w:val="0"/>
      <w:marBottom w:val="0"/>
      <w:divBdr>
        <w:top w:val="none" w:sz="0" w:space="0" w:color="auto"/>
        <w:left w:val="none" w:sz="0" w:space="0" w:color="auto"/>
        <w:bottom w:val="none" w:sz="0" w:space="0" w:color="auto"/>
        <w:right w:val="none" w:sz="0" w:space="0" w:color="auto"/>
      </w:divBdr>
    </w:div>
    <w:div w:id="1634677507">
      <w:bodyDiv w:val="1"/>
      <w:marLeft w:val="0"/>
      <w:marRight w:val="0"/>
      <w:marTop w:val="0"/>
      <w:marBottom w:val="0"/>
      <w:divBdr>
        <w:top w:val="none" w:sz="0" w:space="0" w:color="auto"/>
        <w:left w:val="none" w:sz="0" w:space="0" w:color="auto"/>
        <w:bottom w:val="none" w:sz="0" w:space="0" w:color="auto"/>
        <w:right w:val="none" w:sz="0" w:space="0" w:color="auto"/>
      </w:divBdr>
    </w:div>
    <w:div w:id="167807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12330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Bryant</dc:creator>
  <cp:keywords/>
  <cp:lastModifiedBy>Timmons, Nicole (USMS)</cp:lastModifiedBy>
  <cp:revision>2</cp:revision>
  <dcterms:created xsi:type="dcterms:W3CDTF">2020-04-27T17:12:00Z</dcterms:created>
  <dcterms:modified xsi:type="dcterms:W3CDTF">2020-04-27T17:12:00Z</dcterms:modified>
</cp:coreProperties>
</file>