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667420" w:rsidP="00667420" w:rsidRDefault="00667420">
      <w:pPr>
        <w:pStyle w:val="ReportCover-Title"/>
        <w:spacing w:before="480"/>
        <w:jc w:val="center"/>
        <w:rPr>
          <w:rFonts w:ascii="Arial" w:hAnsi="Arial" w:cs="Arial"/>
          <w:color w:val="auto"/>
        </w:rPr>
      </w:pPr>
      <w:bookmarkStart w:name="_GoBack" w:id="0"/>
      <w:bookmarkEnd w:id="0"/>
      <w:r>
        <w:rPr>
          <w:rFonts w:ascii="Arial" w:hAnsi="Arial" w:eastAsia="Arial Unicode MS" w:cs="Arial"/>
          <w:noProof/>
          <w:color w:val="auto"/>
        </w:rPr>
        <w:t>Sexual Risk Avoidance Education</w:t>
      </w:r>
      <w:r>
        <w:rPr>
          <w:rFonts w:ascii="Arial" w:hAnsi="Arial" w:eastAsia="Arial Unicode MS" w:cs="Arial"/>
          <w:noProof/>
          <w:color w:val="auto"/>
        </w:rPr>
        <w:br/>
        <w:t>National Descriptive Study—Early Implementation Study (NDS-EIS)</w:t>
      </w:r>
    </w:p>
    <w:p w:rsidRPr="002C4F75" w:rsidR="000F5D39" w:rsidP="00AE0FD5" w:rsidRDefault="000F5D39">
      <w:pPr>
        <w:pStyle w:val="ReportCover-Title"/>
        <w:spacing w:before="800"/>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0F5D39" w:rsidP="000F5D39" w:rsidRDefault="00D00DC2">
      <w:pPr>
        <w:pStyle w:val="ReportCover-Title"/>
        <w:jc w:val="center"/>
        <w:rPr>
          <w:rFonts w:ascii="Arial" w:hAnsi="Arial" w:cs="Arial"/>
          <w:color w:val="auto"/>
          <w:sz w:val="32"/>
          <w:szCs w:val="32"/>
        </w:rPr>
      </w:pPr>
      <w:r>
        <w:rPr>
          <w:rFonts w:ascii="Arial" w:hAnsi="Arial" w:cs="Arial"/>
          <w:color w:val="auto"/>
          <w:sz w:val="32"/>
          <w:szCs w:val="32"/>
        </w:rPr>
        <w:t>0970-</w:t>
      </w:r>
      <w:r w:rsidRPr="00796772" w:rsidR="00F73F18">
        <w:rPr>
          <w:rFonts w:ascii="Arial" w:hAnsi="Arial" w:cs="Arial"/>
          <w:color w:val="auto"/>
          <w:sz w:val="32"/>
          <w:szCs w:val="32"/>
        </w:rPr>
        <w:t>New Collection</w:t>
      </w:r>
    </w:p>
    <w:p w:rsidRPr="002C4F75" w:rsidR="000F5D39" w:rsidP="00AE0FD5" w:rsidRDefault="000F5D39">
      <w:pPr>
        <w:pStyle w:val="ReportCover-Date"/>
        <w:spacing w:before="800"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F5D39" w:rsidP="000F5D39" w:rsidRDefault="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Pr="002C4F75" w:rsidR="000F5D39" w:rsidP="000F5D39" w:rsidRDefault="00A769F6">
      <w:pPr>
        <w:pStyle w:val="ReportCover-Date"/>
        <w:jc w:val="center"/>
        <w:rPr>
          <w:rFonts w:ascii="Arial" w:hAnsi="Arial" w:cs="Arial"/>
          <w:color w:val="auto"/>
        </w:rPr>
      </w:pPr>
      <w:r>
        <w:rPr>
          <w:rFonts w:ascii="Arial" w:hAnsi="Arial" w:cs="Arial"/>
          <w:color w:val="auto"/>
        </w:rPr>
        <w:t>March 2020</w:t>
      </w:r>
    </w:p>
    <w:p w:rsidRPr="002C4F75" w:rsidR="000F5D39" w:rsidP="000F5D39" w:rsidRDefault="000F5D39">
      <w:pPr>
        <w:jc w:val="center"/>
        <w:rPr>
          <w:rFonts w:ascii="Arial" w:hAnsi="Arial" w:cs="Arial"/>
        </w:rPr>
      </w:pPr>
      <w:r w:rsidRPr="002C4F75">
        <w:rPr>
          <w:rFonts w:ascii="Arial" w:hAnsi="Arial" w:cs="Arial"/>
        </w:rPr>
        <w:t>Submitted By:</w:t>
      </w:r>
    </w:p>
    <w:p w:rsidRPr="002C4F75" w:rsidR="000F5D39" w:rsidP="000F5D39" w:rsidRDefault="004F1FFA">
      <w:pPr>
        <w:jc w:val="center"/>
        <w:rPr>
          <w:rFonts w:ascii="Arial" w:hAnsi="Arial" w:cs="Arial"/>
        </w:rPr>
      </w:pPr>
      <w:r>
        <w:rPr>
          <w:rFonts w:ascii="Arial" w:hAnsi="Arial" w:cs="Arial"/>
        </w:rPr>
        <w:t>The Family and Youth Services Bureau</w:t>
      </w:r>
      <w:r>
        <w:rPr>
          <w:rFonts w:ascii="Arial" w:hAnsi="Arial" w:cs="Arial"/>
        </w:rPr>
        <w:br/>
        <w:t>and</w:t>
      </w:r>
      <w:r>
        <w:rPr>
          <w:rFonts w:ascii="Arial" w:hAnsi="Arial" w:cs="Arial"/>
        </w:rPr>
        <w:br/>
        <w:t xml:space="preserve">The </w:t>
      </w:r>
      <w:r w:rsidRPr="002C4F75" w:rsidR="000F5D39">
        <w:rPr>
          <w:rFonts w:ascii="Arial" w:hAnsi="Arial" w:cs="Arial"/>
        </w:rPr>
        <w:t>Office of Planning, Research</w:t>
      </w:r>
      <w:r w:rsidR="00084217">
        <w:rPr>
          <w:rFonts w:ascii="Arial" w:hAnsi="Arial" w:cs="Arial"/>
        </w:rPr>
        <w:t>,</w:t>
      </w:r>
      <w:r w:rsidRPr="002C4F75" w:rsidR="000F5D39">
        <w:rPr>
          <w:rFonts w:ascii="Arial" w:hAnsi="Arial" w:cs="Arial"/>
        </w:rPr>
        <w:t xml:space="preserve"> and Evaluation</w:t>
      </w:r>
    </w:p>
    <w:p w:rsidRPr="002C4F75" w:rsidR="000F5D39" w:rsidP="000F5D39" w:rsidRDefault="004F1FFA">
      <w:pPr>
        <w:jc w:val="center"/>
        <w:rPr>
          <w:rFonts w:ascii="Arial" w:hAnsi="Arial" w:cs="Arial"/>
        </w:rPr>
      </w:pPr>
      <w:r>
        <w:rPr>
          <w:rFonts w:ascii="Arial" w:hAnsi="Arial" w:cs="Arial"/>
        </w:rPr>
        <w:br/>
      </w:r>
      <w:r w:rsidRPr="002C4F75" w:rsidR="000F5D39">
        <w:rPr>
          <w:rFonts w:ascii="Arial" w:hAnsi="Arial" w:cs="Arial"/>
        </w:rPr>
        <w:t>Administration for Children and Families</w:t>
      </w:r>
    </w:p>
    <w:p w:rsidRPr="002C4F75" w:rsidR="000F5D39" w:rsidP="00AE0FD5" w:rsidRDefault="000F5D39">
      <w:pPr>
        <w:spacing w:after="240"/>
        <w:jc w:val="center"/>
        <w:rPr>
          <w:rFonts w:ascii="Arial" w:hAnsi="Arial" w:cs="Arial"/>
        </w:rPr>
      </w:pPr>
      <w:r w:rsidRPr="002C4F75">
        <w:rPr>
          <w:rFonts w:ascii="Arial" w:hAnsi="Arial" w:cs="Arial"/>
        </w:rPr>
        <w:t>U.S. Department of Health and Human Services</w:t>
      </w:r>
    </w:p>
    <w:p w:rsidR="007A6EEC" w:rsidP="007A6EEC" w:rsidRDefault="007A6EEC">
      <w:pPr>
        <w:jc w:val="center"/>
        <w:rPr>
          <w:rFonts w:ascii="Arial" w:hAnsi="Arial" w:cs="Arial"/>
        </w:rPr>
      </w:pPr>
      <w:r>
        <w:rPr>
          <w:rFonts w:ascii="Arial" w:hAnsi="Arial" w:cs="Arial"/>
        </w:rPr>
        <w:t>4</w:t>
      </w:r>
      <w:r w:rsidRPr="00AF33C2">
        <w:rPr>
          <w:rFonts w:ascii="Arial" w:hAnsi="Arial" w:cs="Arial"/>
        </w:rPr>
        <w:t>th</w:t>
      </w:r>
      <w:r>
        <w:rPr>
          <w:rFonts w:ascii="Arial" w:hAnsi="Arial" w:cs="Arial"/>
        </w:rPr>
        <w:t xml:space="preserve"> Floor, Mary E. Switzer Building</w:t>
      </w:r>
    </w:p>
    <w:p w:rsidR="007A6EEC" w:rsidP="007A6EEC" w:rsidRDefault="007A6EEC">
      <w:pPr>
        <w:jc w:val="center"/>
        <w:rPr>
          <w:rFonts w:ascii="Arial" w:hAnsi="Arial" w:cs="Arial"/>
        </w:rPr>
      </w:pPr>
      <w:r>
        <w:rPr>
          <w:rFonts w:ascii="Arial" w:hAnsi="Arial" w:cs="Arial"/>
        </w:rPr>
        <w:t>330 C Street, SW</w:t>
      </w:r>
    </w:p>
    <w:p w:rsidR="007A6EEC" w:rsidP="007A6EEC" w:rsidRDefault="007A6EEC">
      <w:pPr>
        <w:jc w:val="center"/>
        <w:rPr>
          <w:rFonts w:ascii="Arial" w:hAnsi="Arial" w:cs="Arial"/>
        </w:rPr>
      </w:pPr>
      <w:r>
        <w:rPr>
          <w:rFonts w:ascii="Arial" w:hAnsi="Arial" w:cs="Arial"/>
        </w:rPr>
        <w:t>Washington, DC 20201</w:t>
      </w:r>
    </w:p>
    <w:p w:rsidRPr="002C4F75" w:rsidR="000F5D39" w:rsidP="00AE0FD5" w:rsidRDefault="000F5D39">
      <w:pPr>
        <w:spacing w:before="240"/>
        <w:jc w:val="center"/>
        <w:rPr>
          <w:rFonts w:ascii="Arial" w:hAnsi="Arial" w:cs="Arial"/>
        </w:rPr>
      </w:pPr>
      <w:r w:rsidRPr="00796772">
        <w:rPr>
          <w:rFonts w:ascii="Arial" w:hAnsi="Arial" w:cs="Arial"/>
        </w:rPr>
        <w:t>Project Officers:</w:t>
      </w:r>
      <w:r w:rsidRPr="00796772" w:rsidR="00796772">
        <w:rPr>
          <w:rFonts w:ascii="Arial" w:hAnsi="Arial" w:cs="Arial"/>
        </w:rPr>
        <w:t xml:space="preserve"> </w:t>
      </w:r>
      <w:r w:rsidR="004F1FFA">
        <w:rPr>
          <w:rFonts w:ascii="Arial" w:hAnsi="Arial" w:cs="Arial"/>
        </w:rPr>
        <w:br/>
      </w:r>
      <w:r w:rsidRPr="00796772" w:rsidR="004F1FFA">
        <w:rPr>
          <w:rFonts w:ascii="Arial" w:hAnsi="Arial" w:cs="Arial"/>
        </w:rPr>
        <w:t>Jessica Johnson</w:t>
      </w:r>
      <w:r w:rsidR="004F1FFA">
        <w:rPr>
          <w:rFonts w:ascii="Arial" w:hAnsi="Arial" w:cs="Arial"/>
        </w:rPr>
        <w:br/>
      </w:r>
      <w:r w:rsidR="00A769F6">
        <w:rPr>
          <w:rFonts w:ascii="Arial" w:hAnsi="Arial" w:cs="Arial"/>
        </w:rPr>
        <w:t>Calonie Gray</w:t>
      </w:r>
    </w:p>
    <w:p w:rsidR="008518D9" w:rsidP="008518D9" w:rsidRDefault="008518D9">
      <w:pPr>
        <w:spacing w:before="120" w:after="120"/>
      </w:pPr>
      <w:r>
        <w:br w:type="page"/>
      </w:r>
    </w:p>
    <w:p w:rsidRPr="008518D9" w:rsidR="008518D9" w:rsidRDefault="008518D9">
      <w:pPr>
        <w:pStyle w:val="TOCHeading"/>
        <w:rPr>
          <w:rFonts w:ascii="Times New Roman" w:hAnsi="Times New Roman"/>
          <w:b/>
          <w:color w:val="auto"/>
        </w:rPr>
      </w:pPr>
      <w:r w:rsidRPr="008518D9">
        <w:rPr>
          <w:rFonts w:ascii="Times New Roman" w:hAnsi="Times New Roman"/>
          <w:b/>
          <w:color w:val="auto"/>
        </w:rPr>
        <w:lastRenderedPageBreak/>
        <w:t>Contents</w:t>
      </w:r>
    </w:p>
    <w:p w:rsidRPr="008518D9" w:rsidR="008518D9" w:rsidP="008518D9" w:rsidRDefault="008518D9">
      <w:pPr>
        <w:pStyle w:val="TOC1"/>
        <w:rPr>
          <w:noProof/>
        </w:rPr>
      </w:pPr>
      <w:r w:rsidRPr="008518D9">
        <w:rPr>
          <w:b/>
          <w:bCs/>
          <w:noProof/>
        </w:rPr>
        <w:fldChar w:fldCharType="begin"/>
      </w:r>
      <w:r w:rsidRPr="008518D9">
        <w:rPr>
          <w:b/>
          <w:bCs/>
          <w:noProof/>
        </w:rPr>
        <w:instrText xml:space="preserve"> TOC \o "1-3" \h \z \u </w:instrText>
      </w:r>
      <w:r w:rsidRPr="008518D9">
        <w:rPr>
          <w:b/>
          <w:bCs/>
          <w:noProof/>
        </w:rPr>
        <w:fldChar w:fldCharType="separate"/>
      </w:r>
      <w:hyperlink w:history="1" w:anchor="_Toc534363779">
        <w:r w:rsidRPr="008518D9">
          <w:rPr>
            <w:rStyle w:val="Hyperlink"/>
            <w:noProof/>
          </w:rPr>
          <w:t>Introduction</w:t>
        </w:r>
        <w:r w:rsidRPr="008518D9">
          <w:rPr>
            <w:noProof/>
            <w:webHidden/>
          </w:rPr>
          <w:tab/>
        </w:r>
        <w:r w:rsidRPr="008518D9">
          <w:rPr>
            <w:noProof/>
            <w:webHidden/>
          </w:rPr>
          <w:fldChar w:fldCharType="begin"/>
        </w:r>
        <w:r w:rsidRPr="008518D9">
          <w:rPr>
            <w:noProof/>
            <w:webHidden/>
          </w:rPr>
          <w:instrText xml:space="preserve"> PAGEREF _Toc534363779 \h </w:instrText>
        </w:r>
        <w:r w:rsidRPr="008518D9">
          <w:rPr>
            <w:noProof/>
            <w:webHidden/>
          </w:rPr>
        </w:r>
        <w:r w:rsidRPr="008518D9">
          <w:rPr>
            <w:noProof/>
            <w:webHidden/>
          </w:rPr>
          <w:fldChar w:fldCharType="separate"/>
        </w:r>
        <w:r w:rsidRPr="008518D9">
          <w:rPr>
            <w:noProof/>
            <w:webHidden/>
          </w:rPr>
          <w:t>3</w:t>
        </w:r>
        <w:r w:rsidRPr="008518D9">
          <w:rPr>
            <w:noProof/>
            <w:webHidden/>
          </w:rPr>
          <w:fldChar w:fldCharType="end"/>
        </w:r>
      </w:hyperlink>
    </w:p>
    <w:p w:rsidRPr="008518D9" w:rsidR="008518D9" w:rsidP="008518D9" w:rsidRDefault="008518D9">
      <w:pPr>
        <w:pStyle w:val="TOC1"/>
        <w:rPr>
          <w:noProof/>
        </w:rPr>
      </w:pPr>
      <w:hyperlink w:history="1" w:anchor="_Toc534363780">
        <w:r w:rsidRPr="008518D9">
          <w:rPr>
            <w:rStyle w:val="Hyperlink"/>
            <w:noProof/>
          </w:rPr>
          <w:t xml:space="preserve">B1. </w:t>
        </w:r>
        <w:r>
          <w:rPr>
            <w:rStyle w:val="Hyperlink"/>
            <w:noProof/>
          </w:rPr>
          <w:tab/>
        </w:r>
        <w:r w:rsidRPr="008518D9">
          <w:rPr>
            <w:rStyle w:val="Hyperlink"/>
            <w:noProof/>
          </w:rPr>
          <w:t>Respondent Universe and Sampling Methods</w:t>
        </w:r>
        <w:r w:rsidRPr="008518D9">
          <w:rPr>
            <w:noProof/>
            <w:webHidden/>
          </w:rPr>
          <w:tab/>
        </w:r>
        <w:r w:rsidRPr="008518D9">
          <w:rPr>
            <w:noProof/>
            <w:webHidden/>
          </w:rPr>
          <w:fldChar w:fldCharType="begin"/>
        </w:r>
        <w:r w:rsidRPr="008518D9">
          <w:rPr>
            <w:noProof/>
            <w:webHidden/>
          </w:rPr>
          <w:instrText xml:space="preserve"> PAGEREF _Toc534363780 \h </w:instrText>
        </w:r>
        <w:r w:rsidRPr="008518D9">
          <w:rPr>
            <w:noProof/>
            <w:webHidden/>
          </w:rPr>
        </w:r>
        <w:r w:rsidRPr="008518D9">
          <w:rPr>
            <w:noProof/>
            <w:webHidden/>
          </w:rPr>
          <w:fldChar w:fldCharType="separate"/>
        </w:r>
        <w:r w:rsidRPr="008518D9">
          <w:rPr>
            <w:noProof/>
            <w:webHidden/>
          </w:rPr>
          <w:t>4</w:t>
        </w:r>
        <w:r w:rsidRPr="008518D9">
          <w:rPr>
            <w:noProof/>
            <w:webHidden/>
          </w:rPr>
          <w:fldChar w:fldCharType="end"/>
        </w:r>
      </w:hyperlink>
    </w:p>
    <w:p w:rsidRPr="008518D9" w:rsidR="008518D9" w:rsidP="008518D9" w:rsidRDefault="008518D9">
      <w:pPr>
        <w:pStyle w:val="TOC1"/>
        <w:rPr>
          <w:noProof/>
        </w:rPr>
      </w:pPr>
      <w:hyperlink w:history="1" w:anchor="_Toc534363781">
        <w:r w:rsidRPr="008518D9">
          <w:rPr>
            <w:rStyle w:val="Hyperlink"/>
            <w:noProof/>
          </w:rPr>
          <w:t xml:space="preserve">B2. </w:t>
        </w:r>
        <w:r>
          <w:rPr>
            <w:rStyle w:val="Hyperlink"/>
            <w:noProof/>
          </w:rPr>
          <w:tab/>
        </w:r>
        <w:r w:rsidRPr="008518D9">
          <w:rPr>
            <w:rStyle w:val="Hyperlink"/>
            <w:noProof/>
          </w:rPr>
          <w:t>Procedures for Collection of Information</w:t>
        </w:r>
        <w:r w:rsidRPr="008518D9">
          <w:rPr>
            <w:noProof/>
            <w:webHidden/>
          </w:rPr>
          <w:tab/>
        </w:r>
        <w:r w:rsidRPr="008518D9">
          <w:rPr>
            <w:noProof/>
            <w:webHidden/>
          </w:rPr>
          <w:fldChar w:fldCharType="begin"/>
        </w:r>
        <w:r w:rsidRPr="008518D9">
          <w:rPr>
            <w:noProof/>
            <w:webHidden/>
          </w:rPr>
          <w:instrText xml:space="preserve"> PAGEREF _Toc534363781 \h </w:instrText>
        </w:r>
        <w:r w:rsidRPr="008518D9">
          <w:rPr>
            <w:noProof/>
            <w:webHidden/>
          </w:rPr>
        </w:r>
        <w:r w:rsidRPr="008518D9">
          <w:rPr>
            <w:noProof/>
            <w:webHidden/>
          </w:rPr>
          <w:fldChar w:fldCharType="separate"/>
        </w:r>
        <w:r w:rsidRPr="008518D9">
          <w:rPr>
            <w:noProof/>
            <w:webHidden/>
          </w:rPr>
          <w:t>5</w:t>
        </w:r>
        <w:r w:rsidRPr="008518D9">
          <w:rPr>
            <w:noProof/>
            <w:webHidden/>
          </w:rPr>
          <w:fldChar w:fldCharType="end"/>
        </w:r>
      </w:hyperlink>
    </w:p>
    <w:p w:rsidRPr="008518D9" w:rsidR="008518D9" w:rsidP="008518D9" w:rsidRDefault="008518D9">
      <w:pPr>
        <w:pStyle w:val="TOC1"/>
        <w:rPr>
          <w:noProof/>
        </w:rPr>
      </w:pPr>
      <w:hyperlink w:history="1" w:anchor="_Toc534363782">
        <w:r w:rsidRPr="008518D9">
          <w:rPr>
            <w:rStyle w:val="Hyperlink"/>
            <w:noProof/>
          </w:rPr>
          <w:t xml:space="preserve">B3. </w:t>
        </w:r>
        <w:r>
          <w:rPr>
            <w:rStyle w:val="Hyperlink"/>
            <w:noProof/>
          </w:rPr>
          <w:tab/>
        </w:r>
        <w:r w:rsidRPr="008518D9">
          <w:rPr>
            <w:rStyle w:val="Hyperlink"/>
            <w:noProof/>
          </w:rPr>
          <w:t>Methods to Maximize Response Rates and Deal with Nonresponse</w:t>
        </w:r>
        <w:r w:rsidRPr="008518D9">
          <w:rPr>
            <w:noProof/>
            <w:webHidden/>
          </w:rPr>
          <w:tab/>
        </w:r>
        <w:r w:rsidRPr="008518D9">
          <w:rPr>
            <w:noProof/>
            <w:webHidden/>
          </w:rPr>
          <w:fldChar w:fldCharType="begin"/>
        </w:r>
        <w:r w:rsidRPr="008518D9">
          <w:rPr>
            <w:noProof/>
            <w:webHidden/>
          </w:rPr>
          <w:instrText xml:space="preserve"> PAGEREF _Toc534363782 \h </w:instrText>
        </w:r>
        <w:r w:rsidRPr="008518D9">
          <w:rPr>
            <w:noProof/>
            <w:webHidden/>
          </w:rPr>
        </w:r>
        <w:r w:rsidRPr="008518D9">
          <w:rPr>
            <w:noProof/>
            <w:webHidden/>
          </w:rPr>
          <w:fldChar w:fldCharType="separate"/>
        </w:r>
        <w:r w:rsidRPr="008518D9">
          <w:rPr>
            <w:noProof/>
            <w:webHidden/>
          </w:rPr>
          <w:t>6</w:t>
        </w:r>
        <w:r w:rsidRPr="008518D9">
          <w:rPr>
            <w:noProof/>
            <w:webHidden/>
          </w:rPr>
          <w:fldChar w:fldCharType="end"/>
        </w:r>
      </w:hyperlink>
    </w:p>
    <w:p w:rsidRPr="008518D9" w:rsidR="008518D9" w:rsidP="008518D9" w:rsidRDefault="008518D9">
      <w:pPr>
        <w:pStyle w:val="TOC1"/>
        <w:rPr>
          <w:noProof/>
        </w:rPr>
      </w:pPr>
      <w:hyperlink w:history="1" w:anchor="_Toc534363783">
        <w:r w:rsidRPr="008518D9">
          <w:rPr>
            <w:rStyle w:val="Hyperlink"/>
            <w:noProof/>
          </w:rPr>
          <w:t xml:space="preserve">B4. </w:t>
        </w:r>
        <w:r>
          <w:rPr>
            <w:rStyle w:val="Hyperlink"/>
            <w:noProof/>
          </w:rPr>
          <w:tab/>
        </w:r>
        <w:r w:rsidRPr="008518D9">
          <w:rPr>
            <w:rStyle w:val="Hyperlink"/>
            <w:noProof/>
          </w:rPr>
          <w:t>Tests of Procedures or Methods to Be Undertaken</w:t>
        </w:r>
        <w:r w:rsidRPr="008518D9">
          <w:rPr>
            <w:noProof/>
            <w:webHidden/>
          </w:rPr>
          <w:tab/>
        </w:r>
        <w:r w:rsidRPr="008518D9">
          <w:rPr>
            <w:noProof/>
            <w:webHidden/>
          </w:rPr>
          <w:fldChar w:fldCharType="begin"/>
        </w:r>
        <w:r w:rsidRPr="008518D9">
          <w:rPr>
            <w:noProof/>
            <w:webHidden/>
          </w:rPr>
          <w:instrText xml:space="preserve"> PAGEREF _Toc534363783 \h </w:instrText>
        </w:r>
        <w:r w:rsidRPr="008518D9">
          <w:rPr>
            <w:noProof/>
            <w:webHidden/>
          </w:rPr>
        </w:r>
        <w:r w:rsidRPr="008518D9">
          <w:rPr>
            <w:noProof/>
            <w:webHidden/>
          </w:rPr>
          <w:fldChar w:fldCharType="separate"/>
        </w:r>
        <w:r w:rsidRPr="008518D9">
          <w:rPr>
            <w:noProof/>
            <w:webHidden/>
          </w:rPr>
          <w:t>7</w:t>
        </w:r>
        <w:r w:rsidRPr="008518D9">
          <w:rPr>
            <w:noProof/>
            <w:webHidden/>
          </w:rPr>
          <w:fldChar w:fldCharType="end"/>
        </w:r>
      </w:hyperlink>
    </w:p>
    <w:p w:rsidR="008518D9" w:rsidP="008518D9" w:rsidRDefault="008518D9">
      <w:pPr>
        <w:pStyle w:val="TOC1"/>
        <w:rPr>
          <w:rStyle w:val="Hyperlink"/>
          <w:noProof/>
        </w:rPr>
      </w:pPr>
      <w:hyperlink w:history="1" w:anchor="_Toc534363784">
        <w:r w:rsidRPr="008518D9">
          <w:rPr>
            <w:rStyle w:val="Hyperlink"/>
            <w:noProof/>
          </w:rPr>
          <w:t xml:space="preserve">B5. </w:t>
        </w:r>
        <w:r>
          <w:rPr>
            <w:rStyle w:val="Hyperlink"/>
            <w:noProof/>
          </w:rPr>
          <w:tab/>
        </w:r>
        <w:r w:rsidRPr="008518D9">
          <w:rPr>
            <w:rStyle w:val="Hyperlink"/>
            <w:noProof/>
          </w:rPr>
          <w:t>Individual(s) Consulted on Statistical Aspects and Individuals Collecting and/or Analyzing Data</w:t>
        </w:r>
        <w:r w:rsidRPr="008518D9">
          <w:rPr>
            <w:noProof/>
            <w:webHidden/>
          </w:rPr>
          <w:tab/>
        </w:r>
        <w:r w:rsidRPr="008518D9">
          <w:rPr>
            <w:noProof/>
            <w:webHidden/>
          </w:rPr>
          <w:fldChar w:fldCharType="begin"/>
        </w:r>
        <w:r w:rsidRPr="008518D9">
          <w:rPr>
            <w:noProof/>
            <w:webHidden/>
          </w:rPr>
          <w:instrText xml:space="preserve"> PAGEREF _Toc534363784 \h </w:instrText>
        </w:r>
        <w:r w:rsidRPr="008518D9">
          <w:rPr>
            <w:noProof/>
            <w:webHidden/>
          </w:rPr>
        </w:r>
        <w:r w:rsidRPr="008518D9">
          <w:rPr>
            <w:noProof/>
            <w:webHidden/>
          </w:rPr>
          <w:fldChar w:fldCharType="separate"/>
        </w:r>
        <w:r w:rsidRPr="008518D9">
          <w:rPr>
            <w:noProof/>
            <w:webHidden/>
          </w:rPr>
          <w:t>7</w:t>
        </w:r>
        <w:r w:rsidRPr="008518D9">
          <w:rPr>
            <w:noProof/>
            <w:webHidden/>
          </w:rPr>
          <w:fldChar w:fldCharType="end"/>
        </w:r>
      </w:hyperlink>
    </w:p>
    <w:p w:rsidR="00DA464D" w:rsidP="00DA464D" w:rsidRDefault="00DA464D"/>
    <w:p w:rsidR="00DA464D" w:rsidP="00DA464D" w:rsidRDefault="00DA464D"/>
    <w:p w:rsidRPr="00D43620" w:rsidR="0066151F" w:rsidP="0066151F" w:rsidRDefault="0066151F">
      <w:pPr>
        <w:spacing w:before="480" w:after="240"/>
        <w:jc w:val="center"/>
        <w:rPr>
          <w:b/>
        </w:rPr>
      </w:pPr>
      <w:r w:rsidRPr="00D43620">
        <w:rPr>
          <w:b/>
        </w:rPr>
        <w:t>INSTRUMENTS</w:t>
      </w:r>
    </w:p>
    <w:p w:rsidR="0066151F" w:rsidP="0066151F" w:rsidRDefault="0066151F">
      <w:pPr>
        <w:tabs>
          <w:tab w:val="left" w:pos="1710"/>
        </w:tabs>
        <w:spacing w:before="60" w:after="60"/>
      </w:pPr>
      <w:r>
        <w:t>Instrument #1 - Grantee Web Survey</w:t>
      </w:r>
    </w:p>
    <w:p w:rsidR="0066151F" w:rsidP="0066151F" w:rsidRDefault="0066151F">
      <w:pPr>
        <w:tabs>
          <w:tab w:val="left" w:pos="1710"/>
        </w:tabs>
        <w:spacing w:before="60" w:after="60"/>
      </w:pPr>
      <w:r>
        <w:t>Instrument #2 - Grantee Telephone Interview Protocol</w:t>
      </w:r>
    </w:p>
    <w:p w:rsidRPr="00D43620" w:rsidR="0066151F" w:rsidP="0066151F" w:rsidRDefault="0066151F">
      <w:pPr>
        <w:spacing w:before="480" w:after="240"/>
        <w:jc w:val="center"/>
        <w:rPr>
          <w:b/>
        </w:rPr>
      </w:pPr>
      <w:r>
        <w:rPr>
          <w:b/>
        </w:rPr>
        <w:t>ATTACHMENTS</w:t>
      </w:r>
    </w:p>
    <w:p w:rsidR="0066151F" w:rsidP="0066151F" w:rsidRDefault="0066151F">
      <w:pPr>
        <w:tabs>
          <w:tab w:val="left" w:pos="1530"/>
        </w:tabs>
        <w:spacing w:before="60" w:after="60"/>
      </w:pPr>
      <w:r>
        <w:t>Attachment A</w:t>
      </w:r>
      <w:r>
        <w:tab/>
        <w:t>Research Question-Instrument Crosswalk</w:t>
      </w:r>
    </w:p>
    <w:p w:rsidR="0066151F" w:rsidP="0066151F" w:rsidRDefault="0066151F">
      <w:pPr>
        <w:tabs>
          <w:tab w:val="left" w:pos="1530"/>
        </w:tabs>
        <w:spacing w:before="60" w:after="60"/>
      </w:pPr>
      <w:r>
        <w:t>Attachment B</w:t>
      </w:r>
      <w:r>
        <w:tab/>
        <w:t xml:space="preserve">Web Survey Advance Email </w:t>
      </w:r>
    </w:p>
    <w:p w:rsidR="0066151F" w:rsidP="0066151F" w:rsidRDefault="0066151F">
      <w:pPr>
        <w:tabs>
          <w:tab w:val="left" w:pos="1530"/>
        </w:tabs>
        <w:spacing w:before="60" w:after="60"/>
      </w:pPr>
      <w:r>
        <w:t>Attachment C</w:t>
      </w:r>
      <w:r>
        <w:tab/>
        <w:t>FAQ</w:t>
      </w:r>
    </w:p>
    <w:p w:rsidR="0066151F" w:rsidP="0066151F" w:rsidRDefault="0066151F">
      <w:pPr>
        <w:tabs>
          <w:tab w:val="left" w:pos="1530"/>
        </w:tabs>
        <w:spacing w:before="60" w:after="60"/>
      </w:pPr>
      <w:r>
        <w:t>Attachment D</w:t>
      </w:r>
      <w:r>
        <w:tab/>
        <w:t xml:space="preserve">Web Survey Invitation Email </w:t>
      </w:r>
    </w:p>
    <w:p w:rsidR="0066151F" w:rsidP="0066151F" w:rsidRDefault="0066151F">
      <w:pPr>
        <w:tabs>
          <w:tab w:val="left" w:pos="1530"/>
        </w:tabs>
        <w:spacing w:before="60" w:after="60"/>
      </w:pPr>
      <w:r>
        <w:t>Attachment E</w:t>
      </w:r>
      <w:r>
        <w:tab/>
        <w:t xml:space="preserve">Web Survey Reminder Email </w:t>
      </w:r>
    </w:p>
    <w:p w:rsidR="0066151F" w:rsidP="0066151F" w:rsidRDefault="0066151F">
      <w:pPr>
        <w:tabs>
          <w:tab w:val="left" w:pos="1530"/>
        </w:tabs>
        <w:spacing w:before="60" w:after="60"/>
      </w:pPr>
      <w:r>
        <w:t>Attachment F</w:t>
      </w:r>
      <w:r>
        <w:tab/>
        <w:t xml:space="preserve">Telephone Interview Invitation Email </w:t>
      </w:r>
    </w:p>
    <w:p w:rsidRPr="006110C8" w:rsidR="006110C8" w:rsidP="00084217" w:rsidRDefault="0066151F">
      <w:pPr>
        <w:rPr>
          <w:sz w:val="22"/>
          <w:szCs w:val="22"/>
        </w:rPr>
      </w:pPr>
      <w:r>
        <w:t>Attachment G</w:t>
      </w:r>
      <w:r>
        <w:tab/>
      </w:r>
      <w:r w:rsidR="008952AE">
        <w:t xml:space="preserve"> </w:t>
      </w:r>
      <w:r>
        <w:t>60-Day Federal Register Notice</w:t>
      </w:r>
      <w:r w:rsidRPr="00515E04">
        <w:br w:type="page"/>
      </w:r>
      <w:r w:rsidRPr="008518D9" w:rsidR="008518D9">
        <w:rPr>
          <w:noProof/>
        </w:rPr>
        <w:fldChar w:fldCharType="end"/>
      </w:r>
    </w:p>
    <w:p w:rsidRPr="006110C8" w:rsidR="006110C8" w:rsidP="006110C8" w:rsidRDefault="006110C8">
      <w:pPr>
        <w:contextualSpacing/>
        <w:rPr>
          <w:rFonts w:eastAsia="Calibri"/>
        </w:rPr>
      </w:pPr>
      <w:r w:rsidRPr="006110C8">
        <w:rPr>
          <w:rFonts w:eastAsia="Calibri"/>
        </w:rPr>
        <w:lastRenderedPageBreak/>
        <w:t xml:space="preserve">This information collection request (ICR) focuses on the </w:t>
      </w:r>
      <w:r w:rsidRPr="006110C8">
        <w:rPr>
          <w:rFonts w:eastAsia="Calibri"/>
          <w:i/>
        </w:rPr>
        <w:t>National Descriptive Study</w:t>
      </w:r>
      <w:r w:rsidR="004F1FFA">
        <w:rPr>
          <w:rFonts w:eastAsia="Calibri"/>
          <w:i/>
        </w:rPr>
        <w:t>’s</w:t>
      </w:r>
      <w:r w:rsidRPr="006110C8">
        <w:rPr>
          <w:rFonts w:eastAsia="Calibri"/>
          <w:i/>
        </w:rPr>
        <w:t xml:space="preserve"> Early Implementation Study (NDS-EIS)</w:t>
      </w:r>
      <w:r w:rsidRPr="006110C8">
        <w:rPr>
          <w:rFonts w:eastAsia="Calibri"/>
        </w:rPr>
        <w:t>. This is a new ICR.</w:t>
      </w:r>
      <w:r w:rsidR="00084217">
        <w:rPr>
          <w:rFonts w:eastAsia="Calibri"/>
        </w:rPr>
        <w:t xml:space="preserve"> See Supporting Statement A for background information. </w:t>
      </w:r>
    </w:p>
    <w:p w:rsidR="00796772" w:rsidP="00796772" w:rsidRDefault="00796772">
      <w:pPr>
        <w:rPr>
          <w:b/>
        </w:rPr>
      </w:pPr>
    </w:p>
    <w:p w:rsidRPr="00012161" w:rsidR="00E05A0A" w:rsidP="00012161" w:rsidRDefault="00E05A0A">
      <w:pPr>
        <w:pStyle w:val="Heading1"/>
        <w:spacing w:before="0" w:after="120"/>
        <w:rPr>
          <w:rFonts w:ascii="Times New Roman" w:hAnsi="Times New Roman"/>
          <w:sz w:val="24"/>
          <w:szCs w:val="24"/>
        </w:rPr>
      </w:pPr>
      <w:bookmarkStart w:name="_Toc534363780" w:id="1"/>
      <w:r w:rsidRPr="00012161">
        <w:rPr>
          <w:rFonts w:ascii="Times New Roman" w:hAnsi="Times New Roman"/>
          <w:sz w:val="24"/>
          <w:szCs w:val="24"/>
        </w:rPr>
        <w:t>B1. Respondent Universe and Sampling Methods</w:t>
      </w:r>
      <w:bookmarkEnd w:id="1"/>
    </w:p>
    <w:p w:rsidRPr="00D7620F" w:rsidR="00764270" w:rsidP="00012161" w:rsidRDefault="005D5AAE">
      <w:r>
        <w:t>The respondent universe for the</w:t>
      </w:r>
      <w:r w:rsidR="006110C8">
        <w:t xml:space="preserve"> NDS-EIS</w:t>
      </w:r>
      <w:r>
        <w:t xml:space="preserve"> is all </w:t>
      </w:r>
      <w:r w:rsidR="00A769F6">
        <w:t xml:space="preserve">122 </w:t>
      </w:r>
      <w:r>
        <w:t>SRAE grantees—</w:t>
      </w:r>
      <w:r w:rsidR="00A769F6">
        <w:t xml:space="preserve">39 </w:t>
      </w:r>
      <w:r>
        <w:t>State</w:t>
      </w:r>
      <w:r w:rsidR="009A344E">
        <w:t xml:space="preserve"> grantees</w:t>
      </w:r>
      <w:r>
        <w:t xml:space="preserve">, </w:t>
      </w:r>
      <w:r w:rsidR="00A769F6">
        <w:t xml:space="preserve">26 </w:t>
      </w:r>
      <w:r>
        <w:t>Competitive</w:t>
      </w:r>
      <w:r w:rsidR="009A344E">
        <w:t xml:space="preserve"> grantees</w:t>
      </w:r>
      <w:r w:rsidR="00764270">
        <w:t>,</w:t>
      </w:r>
      <w:r>
        <w:t xml:space="preserve"> and </w:t>
      </w:r>
      <w:r w:rsidR="00A769F6">
        <w:t xml:space="preserve">57 </w:t>
      </w:r>
      <w:r>
        <w:t>Departmental</w:t>
      </w:r>
      <w:r w:rsidR="009A344E">
        <w:t xml:space="preserve"> grantees</w:t>
      </w:r>
      <w:r>
        <w:t>.</w:t>
      </w:r>
      <w:r w:rsidR="00BA27E9">
        <w:t xml:space="preserve"> </w:t>
      </w:r>
      <w:r w:rsidR="002C6500">
        <w:t xml:space="preserve">The target respondents for the web survey and telephone follow-up interviews are </w:t>
      </w:r>
      <w:r w:rsidRPr="00306E45" w:rsidR="002C6500">
        <w:t xml:space="preserve">the </w:t>
      </w:r>
      <w:r w:rsidR="009A344E">
        <w:t xml:space="preserve">state grantee </w:t>
      </w:r>
      <w:r w:rsidRPr="00306E45" w:rsidR="00847CDE">
        <w:t xml:space="preserve">administrators </w:t>
      </w:r>
      <w:r w:rsidR="009A344E">
        <w:t xml:space="preserve">(State SRAE) </w:t>
      </w:r>
      <w:r w:rsidRPr="00306E45" w:rsidR="00847CDE">
        <w:t xml:space="preserve">or </w:t>
      </w:r>
      <w:r w:rsidR="009A344E">
        <w:t xml:space="preserve">organization grantee administrators (Competitive and Departmental SRAE). </w:t>
      </w:r>
      <w:r w:rsidRPr="00F97509" w:rsidR="00F97509">
        <w:t>ACF will supply the contractor</w:t>
      </w:r>
      <w:r w:rsidR="00F97509">
        <w:t xml:space="preserve">, </w:t>
      </w:r>
      <w:r w:rsidRPr="00D7620F" w:rsidR="00F97509">
        <w:t xml:space="preserve">Mathematica Policy Research, with the contact information of the grant administrators. </w:t>
      </w:r>
      <w:r w:rsidRPr="00D7620F" w:rsidR="002C6500">
        <w:t>The contractor</w:t>
      </w:r>
      <w:r w:rsidRPr="00D7620F" w:rsidR="00764270">
        <w:t xml:space="preserve"> </w:t>
      </w:r>
      <w:r w:rsidRPr="00D7620F" w:rsidR="002C6500">
        <w:t xml:space="preserve">will </w:t>
      </w:r>
      <w:r w:rsidRPr="00D7620F" w:rsidR="007379C8">
        <w:t xml:space="preserve">conduct the document review and </w:t>
      </w:r>
      <w:r w:rsidRPr="00D7620F" w:rsidR="002C6500">
        <w:t xml:space="preserve">field the </w:t>
      </w:r>
      <w:r w:rsidRPr="00D7620F" w:rsidR="00012161">
        <w:t xml:space="preserve">Grantee </w:t>
      </w:r>
      <w:r w:rsidRPr="00D7620F" w:rsidR="00D70F5B">
        <w:t xml:space="preserve">Web </w:t>
      </w:r>
      <w:r w:rsidRPr="00D7620F" w:rsidR="00012161">
        <w:t>Survey</w:t>
      </w:r>
      <w:r w:rsidRPr="00D7620F" w:rsidR="002C6500">
        <w:t xml:space="preserve"> </w:t>
      </w:r>
      <w:r w:rsidRPr="00D7620F" w:rsidR="00306E45">
        <w:t xml:space="preserve">(Instrument 1) </w:t>
      </w:r>
      <w:r w:rsidRPr="00D7620F" w:rsidR="002C6500">
        <w:t xml:space="preserve">as a census </w:t>
      </w:r>
      <w:r w:rsidRPr="00D7620F" w:rsidR="001A233C">
        <w:t>of the grantees</w:t>
      </w:r>
      <w:r w:rsidRPr="00D7620F" w:rsidR="007379C8">
        <w:t>. A census is appropriate</w:t>
      </w:r>
      <w:r w:rsidRPr="00D7620F" w:rsidR="001A233C">
        <w:t xml:space="preserve"> </w:t>
      </w:r>
      <w:r w:rsidRPr="00D7620F" w:rsidR="002C6500">
        <w:t>because the population is small</w:t>
      </w:r>
      <w:r w:rsidRPr="00D7620F" w:rsidR="0063031C">
        <w:t>,</w:t>
      </w:r>
      <w:r w:rsidRPr="00D7620F" w:rsidR="006334A2">
        <w:t xml:space="preserve"> each grantee is unique</w:t>
      </w:r>
      <w:r w:rsidRPr="00D7620F" w:rsidR="001A233C">
        <w:t>, and a sample of the grantees m</w:t>
      </w:r>
      <w:r w:rsidRPr="00D7620F" w:rsidR="0063031C">
        <w:t>ight</w:t>
      </w:r>
      <w:r w:rsidRPr="00D7620F" w:rsidR="001A233C">
        <w:t xml:space="preserve"> miss some key practices. In addition, it would be more costly to design and implement a sampling strategy rather than attemp</w:t>
      </w:r>
      <w:r w:rsidRPr="00D7620F" w:rsidR="00764270">
        <w:t>t to reach all of the grantees.</w:t>
      </w:r>
    </w:p>
    <w:p w:rsidRPr="00D7620F" w:rsidR="00764270" w:rsidP="00012161" w:rsidRDefault="00764270"/>
    <w:p w:rsidR="00253148" w:rsidP="00012161" w:rsidRDefault="00835598">
      <w:r>
        <w:t>The overall response rate to the</w:t>
      </w:r>
      <w:r w:rsidRPr="00D7620F" w:rsidR="00F571C4">
        <w:t xml:space="preserve"> web survey </w:t>
      </w:r>
      <w:r>
        <w:t>is expected to be greater than</w:t>
      </w:r>
      <w:r w:rsidRPr="00D7620F" w:rsidR="0056596E">
        <w:t xml:space="preserve"> </w:t>
      </w:r>
      <w:r w:rsidRPr="00D7620F" w:rsidR="00D70F5B">
        <w:t xml:space="preserve">90 </w:t>
      </w:r>
      <w:r w:rsidRPr="00D7620F" w:rsidR="0056596E">
        <w:t xml:space="preserve">percent. The </w:t>
      </w:r>
      <w:r w:rsidR="00A769F6">
        <w:t>6</w:t>
      </w:r>
      <w:r w:rsidRPr="00D7620F" w:rsidR="0056596E">
        <w:t>5 State and Competitive grantees are required to participate in evaluation activities</w:t>
      </w:r>
      <w:r w:rsidRPr="00D7620F" w:rsidR="00D70F5B">
        <w:t xml:space="preserve">. </w:t>
      </w:r>
      <w:r w:rsidRPr="00D7620F" w:rsidR="00764270">
        <w:t>Although</w:t>
      </w:r>
      <w:r w:rsidRPr="00D7620F" w:rsidR="00D70F5B">
        <w:t xml:space="preserve"> the </w:t>
      </w:r>
      <w:r w:rsidR="00797EA0">
        <w:t xml:space="preserve">Funding Opportunity Announcement for the </w:t>
      </w:r>
      <w:r w:rsidR="00A769F6">
        <w:t>57</w:t>
      </w:r>
      <w:r w:rsidRPr="00D7620F" w:rsidR="00A769F6">
        <w:t xml:space="preserve"> </w:t>
      </w:r>
      <w:r w:rsidRPr="00D7620F" w:rsidR="00D70F5B">
        <w:t xml:space="preserve">Departmental grantees </w:t>
      </w:r>
      <w:r w:rsidR="00797EA0">
        <w:t xml:space="preserve">did </w:t>
      </w:r>
      <w:r w:rsidRPr="00D7620F" w:rsidR="00D70F5B">
        <w:t>not require</w:t>
      </w:r>
      <w:r w:rsidR="00797EA0">
        <w:t xml:space="preserve"> them</w:t>
      </w:r>
      <w:r w:rsidRPr="00D7620F" w:rsidR="00D70F5B">
        <w:t xml:space="preserve"> to participate in evaluation activities, </w:t>
      </w:r>
      <w:r w:rsidR="00797EA0">
        <w:t>we will make several efforts to encourage grantees to take part in the data collection effort</w:t>
      </w:r>
      <w:r w:rsidR="00A35683">
        <w:t xml:space="preserve"> (see Section B3)</w:t>
      </w:r>
      <w:r w:rsidR="00797EA0">
        <w:t xml:space="preserve">. </w:t>
      </w:r>
    </w:p>
    <w:p w:rsidR="0056596E" w:rsidP="00012161" w:rsidRDefault="0056596E"/>
    <w:p w:rsidR="006F30E0" w:rsidP="00012161" w:rsidRDefault="007379C8">
      <w:r w:rsidRPr="00D7620F">
        <w:t xml:space="preserve">After grantees have completed the </w:t>
      </w:r>
      <w:r w:rsidRPr="00D7620F" w:rsidR="00D70F5B">
        <w:t>Grantee Web Survey</w:t>
      </w:r>
      <w:r w:rsidRPr="00D7620F">
        <w:t xml:space="preserve">, the contractor will follow up with in-depth telephone interviews with </w:t>
      </w:r>
      <w:r w:rsidR="00DC4164">
        <w:t xml:space="preserve">grantees </w:t>
      </w:r>
      <w:r w:rsidRPr="00D7620F" w:rsidR="00306E45">
        <w:t xml:space="preserve">using the Grantee </w:t>
      </w:r>
      <w:r w:rsidRPr="00D7620F" w:rsidR="00D70F5B">
        <w:t xml:space="preserve">Telephone </w:t>
      </w:r>
      <w:r w:rsidRPr="00D7620F" w:rsidR="00306E45">
        <w:t>Interview Protocol (Instrument 2)</w:t>
      </w:r>
      <w:r w:rsidRPr="00D7620F">
        <w:t xml:space="preserve">. </w:t>
      </w:r>
      <w:r w:rsidR="00D601F0">
        <w:t>Given contract resources at that time</w:t>
      </w:r>
      <w:r w:rsidRPr="00D7620F" w:rsidR="00D601F0">
        <w:t xml:space="preserve">, </w:t>
      </w:r>
      <w:r w:rsidR="00D601F0">
        <w:t xml:space="preserve">we may select a subset of grantees. </w:t>
      </w:r>
      <w:r w:rsidR="00E60D83">
        <w:t xml:space="preserve">If a sample is selected, </w:t>
      </w:r>
      <w:r w:rsidRPr="00D7620F" w:rsidR="000E02DD">
        <w:t>ACF will purposefully select the respondents</w:t>
      </w:r>
      <w:r w:rsidRPr="00D7620F">
        <w:t xml:space="preserve">. </w:t>
      </w:r>
      <w:r w:rsidRPr="00D7620F" w:rsidR="008719E3">
        <w:t>K</w:t>
      </w:r>
      <w:r w:rsidRPr="00D7620F">
        <w:t xml:space="preserve">ey themes and questions that emerge from </w:t>
      </w:r>
      <w:r w:rsidRPr="00D7620F" w:rsidR="000E02DD">
        <w:t>analysis of the web survey findings</w:t>
      </w:r>
      <w:r w:rsidRPr="00D7620F" w:rsidR="008719E3">
        <w:t xml:space="preserve"> will, in part, inform the selection strategy</w:t>
      </w:r>
      <w:r w:rsidRPr="00D7620F" w:rsidR="00265F5A">
        <w:t>.</w:t>
      </w:r>
      <w:r w:rsidRPr="00D7620F" w:rsidR="006A63ED">
        <w:t xml:space="preserve"> For instance, the </w:t>
      </w:r>
      <w:r w:rsidRPr="00D7620F" w:rsidR="008719E3">
        <w:t>contractor</w:t>
      </w:r>
      <w:r w:rsidR="008719E3">
        <w:t xml:space="preserve"> could use </w:t>
      </w:r>
      <w:r w:rsidR="006A63ED">
        <w:t xml:space="preserve">telephone interviews to clarify exactly how </w:t>
      </w:r>
      <w:r w:rsidR="00951EDD">
        <w:t xml:space="preserve">Title V </w:t>
      </w:r>
      <w:r w:rsidR="008C6B3A">
        <w:t xml:space="preserve">State and Competitive SRAE </w:t>
      </w:r>
      <w:r w:rsidR="006A63ED">
        <w:t xml:space="preserve">grantees plan to meet the </w:t>
      </w:r>
      <w:r w:rsidR="00951EDD">
        <w:t>requirements</w:t>
      </w:r>
      <w:r w:rsidR="006A63ED">
        <w:t xml:space="preserve">, such as providing education on the “A–F” topics specified in the </w:t>
      </w:r>
      <w:r w:rsidR="00951EDD">
        <w:t xml:space="preserve">Title V </w:t>
      </w:r>
      <w:r w:rsidR="006A63ED">
        <w:t>legislation</w:t>
      </w:r>
      <w:r w:rsidR="00951EDD">
        <w:t>. In this case, only State and Competitive SRAE grantees would be chosen.</w:t>
      </w:r>
      <w:r w:rsidR="006A63ED">
        <w:t xml:space="preserve"> </w:t>
      </w:r>
      <w:r w:rsidR="00951EDD">
        <w:t xml:space="preserve">Instead, ACF may instead elect to learn more about how grantees are integrating multiple program components – for example SRAE curricula with additional content modules, activities, and parent engagement strategies.  In this case, the interview sample would be just those grantees that are implementing multiple components.  </w:t>
      </w:r>
    </w:p>
    <w:p w:rsidRPr="00F571C4" w:rsidR="00F20419" w:rsidP="00FD1B70" w:rsidRDefault="00F20419"/>
    <w:p w:rsidRPr="00012161" w:rsidR="00E05A0A" w:rsidP="00012161" w:rsidRDefault="00E05A0A">
      <w:pPr>
        <w:pStyle w:val="Heading1"/>
        <w:spacing w:before="0" w:after="120"/>
        <w:rPr>
          <w:rFonts w:ascii="Times New Roman" w:hAnsi="Times New Roman"/>
          <w:sz w:val="24"/>
          <w:szCs w:val="24"/>
        </w:rPr>
      </w:pPr>
      <w:bookmarkStart w:name="_Toc534363781" w:id="2"/>
      <w:r w:rsidRPr="00012161">
        <w:rPr>
          <w:rFonts w:ascii="Times New Roman" w:hAnsi="Times New Roman"/>
          <w:sz w:val="24"/>
          <w:szCs w:val="24"/>
        </w:rPr>
        <w:t>B2. Procedures for Collection of Information</w:t>
      </w:r>
      <w:bookmarkEnd w:id="2"/>
    </w:p>
    <w:p w:rsidRPr="00012161" w:rsidR="00FE1C8E" w:rsidP="00012161" w:rsidRDefault="007379C8">
      <w:pPr>
        <w:pStyle w:val="Heading4"/>
        <w:tabs>
          <w:tab w:val="num" w:pos="180"/>
        </w:tabs>
        <w:spacing w:before="60" w:line="264" w:lineRule="auto"/>
        <w:rPr>
          <w:rFonts w:ascii="Times New Roman" w:hAnsi="Times New Roman"/>
          <w:i/>
          <w:sz w:val="24"/>
          <w:szCs w:val="24"/>
        </w:rPr>
      </w:pPr>
      <w:r w:rsidRPr="00012161">
        <w:rPr>
          <w:rFonts w:ascii="Times New Roman" w:hAnsi="Times New Roman"/>
          <w:i/>
          <w:sz w:val="24"/>
          <w:szCs w:val="24"/>
        </w:rPr>
        <w:t xml:space="preserve">Document </w:t>
      </w:r>
      <w:r w:rsidRPr="00012161" w:rsidR="00F571C4">
        <w:rPr>
          <w:rFonts w:ascii="Times New Roman" w:hAnsi="Times New Roman"/>
          <w:i/>
          <w:sz w:val="24"/>
          <w:szCs w:val="24"/>
        </w:rPr>
        <w:t>R</w:t>
      </w:r>
      <w:r w:rsidRPr="00012161">
        <w:rPr>
          <w:rFonts w:ascii="Times New Roman" w:hAnsi="Times New Roman"/>
          <w:i/>
          <w:sz w:val="24"/>
          <w:szCs w:val="24"/>
        </w:rPr>
        <w:t>eview</w:t>
      </w:r>
    </w:p>
    <w:p w:rsidR="007379C8" w:rsidP="00012161" w:rsidRDefault="008719E3">
      <w:r>
        <w:t>The contractor will collect m</w:t>
      </w:r>
      <w:r w:rsidRPr="006B7DEA" w:rsidR="00831216">
        <w:t xml:space="preserve">uch of the needed information on </w:t>
      </w:r>
      <w:r w:rsidR="00831216">
        <w:t>grant structure, target populations</w:t>
      </w:r>
      <w:r w:rsidRPr="006B7DEA" w:rsidR="00831216">
        <w:t xml:space="preserve">, </w:t>
      </w:r>
      <w:r w:rsidR="00831216">
        <w:t>geographic location and context, and program components through a review of the grant applications and post-award plans of each SRAE grantee. The contractor will also review the first semiannual reports if they are available</w:t>
      </w:r>
      <w:r w:rsidRPr="006B7DEA" w:rsidR="00831216">
        <w:t xml:space="preserve">. </w:t>
      </w:r>
      <w:r w:rsidR="00831216">
        <w:t>Because the document review relies upon extant sources that ACF will provide to the contractor, no burden is associated with this activity.</w:t>
      </w:r>
    </w:p>
    <w:p w:rsidR="00F571C4" w:rsidP="00012161" w:rsidRDefault="00F571C4"/>
    <w:p w:rsidR="00831216" w:rsidP="002F01B8" w:rsidRDefault="00764270">
      <w:pPr>
        <w:pStyle w:val="Heading4"/>
        <w:tabs>
          <w:tab w:val="num" w:pos="180"/>
        </w:tabs>
        <w:spacing w:before="60" w:line="264" w:lineRule="auto"/>
      </w:pPr>
      <w:r>
        <w:rPr>
          <w:rFonts w:ascii="Times New Roman" w:hAnsi="Times New Roman"/>
          <w:i/>
          <w:sz w:val="24"/>
          <w:szCs w:val="24"/>
        </w:rPr>
        <w:lastRenderedPageBreak/>
        <w:t xml:space="preserve">Grantee </w:t>
      </w:r>
      <w:r w:rsidRPr="00012161" w:rsidR="007379C8">
        <w:rPr>
          <w:rFonts w:ascii="Times New Roman" w:hAnsi="Times New Roman"/>
          <w:i/>
          <w:sz w:val="24"/>
          <w:szCs w:val="24"/>
        </w:rPr>
        <w:t>Web</w:t>
      </w:r>
      <w:r w:rsidRPr="00012161" w:rsidR="00F571C4">
        <w:rPr>
          <w:rFonts w:ascii="Times New Roman" w:hAnsi="Times New Roman"/>
          <w:i/>
          <w:sz w:val="24"/>
          <w:szCs w:val="24"/>
        </w:rPr>
        <w:t xml:space="preserve"> S</w:t>
      </w:r>
      <w:r w:rsidRPr="00012161" w:rsidR="007379C8">
        <w:rPr>
          <w:rFonts w:ascii="Times New Roman" w:hAnsi="Times New Roman"/>
          <w:i/>
          <w:sz w:val="24"/>
          <w:szCs w:val="24"/>
        </w:rPr>
        <w:t>urvey</w:t>
      </w:r>
      <w:r w:rsidDel="00D87995" w:rsidR="00D87995">
        <w:t xml:space="preserve"> </w:t>
      </w:r>
    </w:p>
    <w:p w:rsidR="00F853D2" w:rsidP="00012161" w:rsidRDefault="00D87995">
      <w:r>
        <w:t>Prior to the survey, t</w:t>
      </w:r>
      <w:r w:rsidR="00C8341D">
        <w:t xml:space="preserve">he contractor will send each </w:t>
      </w:r>
      <w:r w:rsidR="000E02DD">
        <w:t>grant administrator</w:t>
      </w:r>
      <w:r w:rsidR="00C8341D">
        <w:t xml:space="preserve"> a</w:t>
      </w:r>
      <w:r w:rsidR="0088194A">
        <w:t xml:space="preserve"> </w:t>
      </w:r>
      <w:r w:rsidR="00C8341D">
        <w:t>n</w:t>
      </w:r>
      <w:r w:rsidR="0088194A">
        <w:t>otification</w:t>
      </w:r>
      <w:r w:rsidR="00C8341D">
        <w:t xml:space="preserve"> email that briefly describes the NDS</w:t>
      </w:r>
      <w:r w:rsidR="00265F5A">
        <w:t xml:space="preserve">-EIS and </w:t>
      </w:r>
      <w:r w:rsidR="00C8341D">
        <w:t xml:space="preserve">the </w:t>
      </w:r>
      <w:r w:rsidR="00265F5A">
        <w:t>Grantee Web Survey</w:t>
      </w:r>
      <w:r w:rsidR="00C8341D">
        <w:t xml:space="preserve">, and how </w:t>
      </w:r>
      <w:r w:rsidR="00265F5A">
        <w:t>the survey r</w:t>
      </w:r>
      <w:r w:rsidR="00C8341D">
        <w:t>elates to the broader SRAE</w:t>
      </w:r>
      <w:r w:rsidR="00E60D83">
        <w:t xml:space="preserve"> National Evaluation efforts</w:t>
      </w:r>
      <w:r w:rsidR="00265F5A">
        <w:t xml:space="preserve"> (</w:t>
      </w:r>
      <w:r w:rsidR="00D7620F">
        <w:t>Attachment B</w:t>
      </w:r>
      <w:r w:rsidR="00265F5A">
        <w:t xml:space="preserve">). The email will </w:t>
      </w:r>
      <w:r w:rsidR="0088194A">
        <w:t xml:space="preserve">attach the FAQ </w:t>
      </w:r>
      <w:r w:rsidR="00D7620F">
        <w:t xml:space="preserve">(Attachment C) </w:t>
      </w:r>
      <w:r w:rsidR="0088194A">
        <w:t xml:space="preserve">and </w:t>
      </w:r>
      <w:r w:rsidR="00C8341D">
        <w:t xml:space="preserve">provide </w:t>
      </w:r>
      <w:r w:rsidR="00800C77">
        <w:t xml:space="preserve">the </w:t>
      </w:r>
      <w:r w:rsidR="00F97509">
        <w:t>contractor</w:t>
      </w:r>
      <w:r w:rsidR="00800C77">
        <w:t>’s</w:t>
      </w:r>
      <w:r w:rsidR="00F97509">
        <w:t xml:space="preserve"> </w:t>
      </w:r>
      <w:r w:rsidR="00C8341D">
        <w:t xml:space="preserve">contact information in case grantees have any questions. </w:t>
      </w:r>
      <w:r w:rsidR="00800C77">
        <w:t xml:space="preserve">The email will remind </w:t>
      </w:r>
      <w:r w:rsidR="00097BB6">
        <w:t xml:space="preserve">State and Competitive grantees that their participation is required, and </w:t>
      </w:r>
      <w:r w:rsidR="00800C77">
        <w:t xml:space="preserve">it will inform </w:t>
      </w:r>
      <w:r w:rsidR="00097BB6">
        <w:t xml:space="preserve">Departmental grantees that although their participation is not required, it is highly valuable to ACF. </w:t>
      </w:r>
      <w:r w:rsidR="0005251B">
        <w:t xml:space="preserve">The email will also </w:t>
      </w:r>
      <w:r w:rsidR="0088194A">
        <w:t>describe t</w:t>
      </w:r>
      <w:r w:rsidR="000E02DD">
        <w:t xml:space="preserve">he </w:t>
      </w:r>
      <w:r w:rsidR="0088194A">
        <w:t xml:space="preserve">time needed to complete the survey, and provide the deadline for </w:t>
      </w:r>
      <w:r w:rsidR="00800C77">
        <w:t xml:space="preserve">completing </w:t>
      </w:r>
      <w:r w:rsidR="0088194A">
        <w:t>it</w:t>
      </w:r>
      <w:r w:rsidR="0005251B">
        <w:t xml:space="preserve">. </w:t>
      </w:r>
      <w:r w:rsidR="00C8341D">
        <w:t xml:space="preserve">The contractor will follow up by email with step-by-step instructions for </w:t>
      </w:r>
      <w:r w:rsidR="00F97509">
        <w:t xml:space="preserve">accessing and </w:t>
      </w:r>
      <w:r w:rsidR="00C8341D">
        <w:t xml:space="preserve">completing </w:t>
      </w:r>
      <w:r w:rsidR="00F97509">
        <w:t>the survey</w:t>
      </w:r>
      <w:r w:rsidR="00C8341D">
        <w:t xml:space="preserve"> (</w:t>
      </w:r>
      <w:r w:rsidR="00D7620F">
        <w:t>Attachment D</w:t>
      </w:r>
      <w:r w:rsidR="00C8341D">
        <w:t xml:space="preserve">). </w:t>
      </w:r>
      <w:r>
        <w:t xml:space="preserve">The contractor will field the survey for six weeks. </w:t>
      </w:r>
      <w:r w:rsidR="004402D9">
        <w:t>Non</w:t>
      </w:r>
      <w:r w:rsidR="009C5ABA">
        <w:t>respondents will receive periodic reminders to complete the survey (</w:t>
      </w:r>
      <w:r w:rsidR="00D7620F">
        <w:t>Attachment E</w:t>
      </w:r>
      <w:r w:rsidR="009C5ABA">
        <w:t>)</w:t>
      </w:r>
      <w:r w:rsidR="00476EE0">
        <w:t xml:space="preserve">, and the contractor will inform ACF about the response rates so that federal project officers can </w:t>
      </w:r>
      <w:r w:rsidR="004402D9">
        <w:t>follow up with non</w:t>
      </w:r>
      <w:r w:rsidR="00280221">
        <w:t>respondents.</w:t>
      </w:r>
      <w:r>
        <w:t xml:space="preserve"> The survey will take about ninety minutes to complete.</w:t>
      </w:r>
    </w:p>
    <w:p w:rsidR="009C5ABA" w:rsidP="00012161" w:rsidRDefault="009C5ABA"/>
    <w:p w:rsidR="00D87995" w:rsidP="00012161" w:rsidRDefault="009C5ABA">
      <w:r>
        <w:t xml:space="preserve">The </w:t>
      </w:r>
      <w:r w:rsidR="00280221">
        <w:t xml:space="preserve">contractor will field the </w:t>
      </w:r>
      <w:r>
        <w:t xml:space="preserve">survey on the web </w:t>
      </w:r>
      <w:r w:rsidR="00295ED4">
        <w:t xml:space="preserve">to </w:t>
      </w:r>
      <w:r w:rsidR="00800C77">
        <w:t xml:space="preserve">enable </w:t>
      </w:r>
      <w:r w:rsidR="00295ED4">
        <w:t>grantees to respond to the survey on their own time using their preferred electronic device</w:t>
      </w:r>
      <w:r w:rsidR="00800C77">
        <w:t>s</w:t>
      </w:r>
      <w:r w:rsidR="00295ED4">
        <w:t>, such as a smartphone, tablet, laptop, or desktop</w:t>
      </w:r>
      <w:r w:rsidR="00800C77">
        <w:t xml:space="preserve"> computer</w:t>
      </w:r>
      <w:r w:rsidRPr="003D7E60" w:rsidR="00295ED4">
        <w:t xml:space="preserve">. </w:t>
      </w:r>
      <w:r w:rsidR="00295ED4">
        <w:t>R</w:t>
      </w:r>
      <w:r w:rsidRPr="003D7E60" w:rsidR="00295ED4">
        <w:t>espondents can pause</w:t>
      </w:r>
      <w:r w:rsidR="00295ED4">
        <w:t>, with their responses saved,</w:t>
      </w:r>
      <w:r w:rsidRPr="003D7E60" w:rsidR="00295ED4">
        <w:t xml:space="preserve"> and restart the su</w:t>
      </w:r>
      <w:r w:rsidR="00295ED4">
        <w:t>rvey using a different device</w:t>
      </w:r>
      <w:r w:rsidRPr="003D7E60" w:rsidR="00295ED4">
        <w:t>. They can also go back and change responses, if needed</w:t>
      </w:r>
      <w:r w:rsidR="00295ED4">
        <w:t>, before final submission</w:t>
      </w:r>
      <w:r w:rsidRPr="003D7E60" w:rsidR="00295ED4">
        <w:t xml:space="preserve">. </w:t>
      </w:r>
      <w:r w:rsidR="00295ED4">
        <w:t xml:space="preserve">These features will be particularly useful if respondents </w:t>
      </w:r>
      <w:r w:rsidR="00800C77">
        <w:t xml:space="preserve">have </w:t>
      </w:r>
      <w:r w:rsidR="00295ED4">
        <w:t xml:space="preserve">to delegate some parts of the survey to other staff. </w:t>
      </w:r>
      <w:r w:rsidR="00097BB6">
        <w:t xml:space="preserve">The </w:t>
      </w:r>
      <w:r w:rsidR="00800C77">
        <w:t xml:space="preserve">contractor will program the </w:t>
      </w:r>
      <w:r w:rsidR="00097BB6">
        <w:t xml:space="preserve">survey </w:t>
      </w:r>
      <w:r w:rsidR="00097BB6">
        <w:rPr>
          <w:spacing w:val="-1"/>
        </w:rPr>
        <w:t xml:space="preserve">with checks to prevent missing, </w:t>
      </w:r>
      <w:r w:rsidRPr="000B1540" w:rsidR="00295ED4">
        <w:rPr>
          <w:spacing w:val="-1"/>
        </w:rPr>
        <w:t>inconsistent</w:t>
      </w:r>
      <w:r w:rsidR="00097BB6">
        <w:rPr>
          <w:spacing w:val="-1"/>
        </w:rPr>
        <w:t>,</w:t>
      </w:r>
      <w:r w:rsidRPr="003D7E60" w:rsidR="00295ED4">
        <w:t xml:space="preserve"> or implausible responses</w:t>
      </w:r>
      <w:r w:rsidR="00097BB6">
        <w:t>.</w:t>
      </w:r>
    </w:p>
    <w:p w:rsidR="00F571C4" w:rsidP="00012161" w:rsidRDefault="00F571C4"/>
    <w:p w:rsidRPr="00F571C4" w:rsidR="007379C8" w:rsidP="00012161" w:rsidRDefault="00F571C4">
      <w:pPr>
        <w:pStyle w:val="Heading4"/>
        <w:tabs>
          <w:tab w:val="num" w:pos="180"/>
        </w:tabs>
        <w:spacing w:before="60" w:line="264" w:lineRule="auto"/>
        <w:rPr>
          <w:b w:val="0"/>
        </w:rPr>
      </w:pPr>
      <w:r w:rsidRPr="00012161">
        <w:rPr>
          <w:rFonts w:ascii="Times New Roman" w:hAnsi="Times New Roman"/>
          <w:i/>
          <w:sz w:val="24"/>
          <w:szCs w:val="24"/>
        </w:rPr>
        <w:t>In-</w:t>
      </w:r>
      <w:r w:rsidR="00800C77">
        <w:rPr>
          <w:rFonts w:ascii="Times New Roman" w:hAnsi="Times New Roman"/>
          <w:i/>
          <w:sz w:val="24"/>
          <w:szCs w:val="24"/>
        </w:rPr>
        <w:t>D</w:t>
      </w:r>
      <w:r w:rsidRPr="00012161">
        <w:rPr>
          <w:rFonts w:ascii="Times New Roman" w:hAnsi="Times New Roman"/>
          <w:i/>
          <w:sz w:val="24"/>
          <w:szCs w:val="24"/>
        </w:rPr>
        <w:t>epth Telephone Interviews</w:t>
      </w:r>
    </w:p>
    <w:p w:rsidR="00103DBE" w:rsidP="00012161" w:rsidRDefault="009C5ABA">
      <w:r>
        <w:t xml:space="preserve">After </w:t>
      </w:r>
      <w:r w:rsidR="00097BB6">
        <w:t xml:space="preserve">the web survey is closed, </w:t>
      </w:r>
      <w:r w:rsidR="00800C77">
        <w:t xml:space="preserve">ACF will </w:t>
      </w:r>
      <w:r w:rsidR="00F30FFE">
        <w:t xml:space="preserve">conduct </w:t>
      </w:r>
      <w:r w:rsidR="00103DBE">
        <w:t>i</w:t>
      </w:r>
      <w:r w:rsidR="0088194A">
        <w:t>n-depth i</w:t>
      </w:r>
      <w:r w:rsidR="00103DBE">
        <w:t xml:space="preserve">nterviews </w:t>
      </w:r>
      <w:r w:rsidR="00F30FFE">
        <w:t xml:space="preserve">with grantees </w:t>
      </w:r>
      <w:r w:rsidR="00103DBE">
        <w:t xml:space="preserve">that </w:t>
      </w:r>
      <w:r w:rsidR="00800C77">
        <w:t xml:space="preserve">could </w:t>
      </w:r>
      <w:r w:rsidR="00103DBE">
        <w:t>last up to</w:t>
      </w:r>
      <w:r w:rsidR="003D0821">
        <w:t xml:space="preserve"> 1.5 hours</w:t>
      </w:r>
      <w:r w:rsidR="00103DBE">
        <w:t xml:space="preserve">. </w:t>
      </w:r>
    </w:p>
    <w:p w:rsidR="00103DBE" w:rsidP="00012161" w:rsidRDefault="00103DBE"/>
    <w:p w:rsidR="00FC24A8" w:rsidP="00012161" w:rsidRDefault="00F30FFE">
      <w:r>
        <w:t>T</w:t>
      </w:r>
      <w:r w:rsidRPr="00764F9A" w:rsidR="00764F9A">
        <w:t xml:space="preserve">he </w:t>
      </w:r>
      <w:r w:rsidR="00D7620F">
        <w:t xml:space="preserve">contractor will send an email inviting </w:t>
      </w:r>
      <w:r w:rsidRPr="00764F9A" w:rsidR="00764F9A">
        <w:t xml:space="preserve">administrators or program directors </w:t>
      </w:r>
      <w:r w:rsidR="00764F9A">
        <w:t>of selected grantees to participate in an interview (</w:t>
      </w:r>
      <w:r w:rsidR="00D7620F">
        <w:t>Attachment F</w:t>
      </w:r>
      <w:r w:rsidR="00764F9A">
        <w:t xml:space="preserve">). The invitation will describe the purpose of the interview and suggest some potential dates and times for the call. </w:t>
      </w:r>
      <w:r w:rsidR="00FC24A8">
        <w:t xml:space="preserve">The contractor </w:t>
      </w:r>
      <w:r w:rsidR="00764F9A">
        <w:t>will then follow up by telephone to schedule the interview</w:t>
      </w:r>
      <w:r w:rsidR="009D51A0">
        <w:t xml:space="preserve"> at a time that is convenient to the respondent</w:t>
      </w:r>
      <w:r w:rsidR="00764F9A">
        <w:t>.</w:t>
      </w:r>
      <w:r w:rsidR="00FC24A8">
        <w:t xml:space="preserve"> </w:t>
      </w:r>
    </w:p>
    <w:p w:rsidRPr="00F571C4" w:rsidR="00253148" w:rsidP="00FD1B70" w:rsidRDefault="00253148"/>
    <w:p w:rsidR="00E05A0A" w:rsidP="00012161" w:rsidRDefault="00E05A0A">
      <w:pPr>
        <w:pStyle w:val="Heading1"/>
        <w:spacing w:before="0" w:after="120"/>
        <w:rPr>
          <w:b w:val="0"/>
        </w:rPr>
      </w:pPr>
      <w:bookmarkStart w:name="_Toc534363782" w:id="3"/>
      <w:r w:rsidRPr="00012161">
        <w:rPr>
          <w:rFonts w:ascii="Times New Roman" w:hAnsi="Times New Roman"/>
          <w:sz w:val="24"/>
          <w:szCs w:val="24"/>
        </w:rPr>
        <w:t>B3. Methods to Maximize Response Rates and Deal with Nonresponse</w:t>
      </w:r>
      <w:bookmarkEnd w:id="3"/>
    </w:p>
    <w:p w:rsidRPr="00012161" w:rsidR="00EC6101" w:rsidP="00012161" w:rsidRDefault="00EC6101">
      <w:pPr>
        <w:pStyle w:val="Heading4"/>
        <w:tabs>
          <w:tab w:val="num" w:pos="180"/>
        </w:tabs>
        <w:spacing w:before="60" w:line="264" w:lineRule="auto"/>
        <w:rPr>
          <w:rFonts w:ascii="Times New Roman" w:hAnsi="Times New Roman"/>
          <w:i/>
          <w:sz w:val="24"/>
          <w:szCs w:val="24"/>
        </w:rPr>
      </w:pPr>
      <w:r w:rsidRPr="00012161">
        <w:rPr>
          <w:rFonts w:ascii="Times New Roman" w:hAnsi="Times New Roman"/>
          <w:i/>
          <w:sz w:val="24"/>
          <w:szCs w:val="24"/>
        </w:rPr>
        <w:t>Expected Response Rates</w:t>
      </w:r>
    </w:p>
    <w:p w:rsidR="003558F2" w:rsidP="00012161" w:rsidRDefault="00765A5B">
      <w:r>
        <w:t>ACF expects a</w:t>
      </w:r>
      <w:r w:rsidR="0015215F">
        <w:t xml:space="preserve"> </w:t>
      </w:r>
      <w:r w:rsidRPr="00A10233" w:rsidR="00A10233">
        <w:t xml:space="preserve">high </w:t>
      </w:r>
      <w:r w:rsidR="00663042">
        <w:t xml:space="preserve">web </w:t>
      </w:r>
      <w:r w:rsidR="0015215F">
        <w:t xml:space="preserve">survey </w:t>
      </w:r>
      <w:r w:rsidRPr="00A10233" w:rsidR="00A10233">
        <w:t>response rate</w:t>
      </w:r>
      <w:r w:rsidR="001D31E5">
        <w:t xml:space="preserve">, </w:t>
      </w:r>
      <w:r w:rsidR="00A10233">
        <w:t>greater than</w:t>
      </w:r>
      <w:r w:rsidR="00476EE0">
        <w:t xml:space="preserve"> 90</w:t>
      </w:r>
      <w:r w:rsidR="00A10233">
        <w:t xml:space="preserve"> percent</w:t>
      </w:r>
      <w:r w:rsidR="001D31E5">
        <w:t>,</w:t>
      </w:r>
      <w:r w:rsidR="0015215F">
        <w:t xml:space="preserve"> for several reasons. </w:t>
      </w:r>
      <w:r w:rsidRPr="00A10233" w:rsidR="00A10233">
        <w:t xml:space="preserve">First, </w:t>
      </w:r>
      <w:r w:rsidR="0015215F">
        <w:t xml:space="preserve">the </w:t>
      </w:r>
      <w:r w:rsidR="00A769F6">
        <w:t>6</w:t>
      </w:r>
      <w:r w:rsidR="0015215F">
        <w:t xml:space="preserve">5 State and Competitive </w:t>
      </w:r>
      <w:r w:rsidRPr="00A10233" w:rsidR="00A10233">
        <w:t xml:space="preserve">grantees are required to participate in evaluation activities per the </w:t>
      </w:r>
      <w:r w:rsidR="006A66F2">
        <w:t xml:space="preserve">conditions </w:t>
      </w:r>
      <w:r w:rsidRPr="00A10233" w:rsidR="00A10233">
        <w:t xml:space="preserve">of their grant award. Second, the </w:t>
      </w:r>
      <w:r w:rsidR="0015215F">
        <w:t xml:space="preserve">administrators and program directors who will </w:t>
      </w:r>
      <w:r w:rsidR="00D21CFA">
        <w:t xml:space="preserve">respond to the </w:t>
      </w:r>
      <w:r w:rsidR="0015215F">
        <w:t xml:space="preserve">survey </w:t>
      </w:r>
      <w:r w:rsidRPr="00A10233" w:rsidR="00A10233">
        <w:t xml:space="preserve">are heavily invested in the issues surrounding </w:t>
      </w:r>
      <w:r w:rsidR="0015215F">
        <w:t>sexual risk avoidance education</w:t>
      </w:r>
      <w:r w:rsidRPr="00A10233" w:rsidR="00A10233">
        <w:t xml:space="preserve"> and thus</w:t>
      </w:r>
      <w:r w:rsidR="001E7FFC">
        <w:t xml:space="preserve"> we expect that they will</w:t>
      </w:r>
      <w:r w:rsidRPr="00A10233" w:rsidR="00A10233">
        <w:t xml:space="preserve"> be motivated to participate</w:t>
      </w:r>
      <w:r w:rsidR="0015215F">
        <w:t xml:space="preserve">. </w:t>
      </w:r>
      <w:r w:rsidRPr="00A10233" w:rsidR="00A10233">
        <w:t xml:space="preserve">Third, </w:t>
      </w:r>
      <w:r w:rsidR="0015215F">
        <w:t>the contractor will use several strategies to contact nonrespondents and encourage their p</w:t>
      </w:r>
      <w:r w:rsidR="003E507A">
        <w:t xml:space="preserve">articipation (see </w:t>
      </w:r>
      <w:r w:rsidR="00D21CFA">
        <w:t xml:space="preserve">the section on </w:t>
      </w:r>
      <w:r w:rsidR="003E507A">
        <w:t>maximizing response rates</w:t>
      </w:r>
      <w:r w:rsidR="00B126F2">
        <w:t>)</w:t>
      </w:r>
      <w:r w:rsidR="0015215F">
        <w:t>.</w:t>
      </w:r>
      <w:r w:rsidR="00B126F2">
        <w:t xml:space="preserve"> </w:t>
      </w:r>
      <w:r w:rsidRPr="00E85286" w:rsidR="003558F2">
        <w:t>The expected response rate is adequate for the survey purpose of describing SRAE grantees’ plans.</w:t>
      </w:r>
      <w:r w:rsidRPr="002F01B8" w:rsidR="00E85286">
        <w:t xml:space="preserve"> W</w:t>
      </w:r>
      <w:r w:rsidRPr="00E85286" w:rsidR="00663042">
        <w:t>e expect that grantees asked to participate in subsequent interviews wi</w:t>
      </w:r>
      <w:r w:rsidR="00E85286">
        <w:t>ll</w:t>
      </w:r>
      <w:r w:rsidRPr="00E85286" w:rsidR="00663042">
        <w:t xml:space="preserve"> respond similarly, and for similar reasons. </w:t>
      </w:r>
      <w:r w:rsidRPr="001632A0" w:rsidR="00663042">
        <w:t>The</w:t>
      </w:r>
      <w:r w:rsidR="00663042">
        <w:t xml:space="preserve"> State and Competit</w:t>
      </w:r>
      <w:r w:rsidR="000C41D7">
        <w:t>i</w:t>
      </w:r>
      <w:r w:rsidR="00663042">
        <w:t xml:space="preserve">ve grantees are required to participate in the national evaluation activities.  Furthermore, the interviews are designed to allow grantees to share more details about their program plans than the web survey </w:t>
      </w:r>
      <w:r w:rsidR="00663042">
        <w:lastRenderedPageBreak/>
        <w:t xml:space="preserve">can capture, and their specific program plans will be viewed as a contribution to the field of SRAE programming. </w:t>
      </w:r>
    </w:p>
    <w:p w:rsidRPr="00155FB0" w:rsidR="00F56220" w:rsidP="00155FB0" w:rsidRDefault="00F56220"/>
    <w:p w:rsidRPr="00012161" w:rsidR="00EC6101" w:rsidP="00012161" w:rsidRDefault="00EC6101">
      <w:pPr>
        <w:pStyle w:val="Heading4"/>
        <w:tabs>
          <w:tab w:val="num" w:pos="180"/>
        </w:tabs>
        <w:spacing w:before="60" w:line="264" w:lineRule="auto"/>
        <w:rPr>
          <w:rFonts w:ascii="Times New Roman" w:hAnsi="Times New Roman"/>
          <w:i/>
          <w:sz w:val="24"/>
          <w:szCs w:val="24"/>
        </w:rPr>
      </w:pPr>
      <w:r w:rsidRPr="00012161">
        <w:rPr>
          <w:rFonts w:ascii="Times New Roman" w:hAnsi="Times New Roman"/>
          <w:i/>
          <w:sz w:val="24"/>
          <w:szCs w:val="24"/>
        </w:rPr>
        <w:t>Dealing with Nonresponse</w:t>
      </w:r>
    </w:p>
    <w:p w:rsidR="00253148" w:rsidP="00012161" w:rsidRDefault="00D21CFA">
      <w:r>
        <w:t>M</w:t>
      </w:r>
      <w:r w:rsidR="003558F2">
        <w:t>aximizing participation and implementing checks in the web survey to prompt respondents to enter answers to critical questions before proceeding</w:t>
      </w:r>
      <w:r>
        <w:t xml:space="preserve"> will help to minimize unit and item nonresponse</w:t>
      </w:r>
      <w:r w:rsidR="003558F2">
        <w:t xml:space="preserve">. If the survey response rate is below </w:t>
      </w:r>
      <w:r w:rsidR="00476EE0">
        <w:t xml:space="preserve">90 </w:t>
      </w:r>
      <w:r w:rsidR="003558F2">
        <w:t>percent, the contractor will conduct a nonresponse analysis to identify any systematic differences between respondents and nonrespondents.</w:t>
      </w:r>
    </w:p>
    <w:p w:rsidR="00341B84" w:rsidP="00012161" w:rsidRDefault="00341B84"/>
    <w:p w:rsidRPr="00012161" w:rsidR="00EC6101" w:rsidP="00012161" w:rsidRDefault="00EC6101">
      <w:pPr>
        <w:pStyle w:val="Heading4"/>
        <w:tabs>
          <w:tab w:val="num" w:pos="180"/>
        </w:tabs>
        <w:spacing w:before="60" w:line="264" w:lineRule="auto"/>
        <w:rPr>
          <w:rFonts w:ascii="Times New Roman" w:hAnsi="Times New Roman"/>
          <w:i/>
          <w:sz w:val="24"/>
          <w:szCs w:val="24"/>
        </w:rPr>
      </w:pPr>
      <w:r w:rsidRPr="00012161">
        <w:rPr>
          <w:rFonts w:ascii="Times New Roman" w:hAnsi="Times New Roman"/>
          <w:i/>
          <w:sz w:val="24"/>
          <w:szCs w:val="24"/>
        </w:rPr>
        <w:t>Maximizing Response Rates</w:t>
      </w:r>
    </w:p>
    <w:p w:rsidR="00726535" w:rsidP="00726535" w:rsidRDefault="005C7897">
      <w:r>
        <w:t xml:space="preserve">The contractor </w:t>
      </w:r>
      <w:r w:rsidRPr="009C5ABA" w:rsidR="009C5ABA">
        <w:t>will use several strategies to achieve a high response rate</w:t>
      </w:r>
      <w:r w:rsidR="0005251B">
        <w:t xml:space="preserve"> to the survey</w:t>
      </w:r>
      <w:r w:rsidRPr="009C5ABA" w:rsidR="009C5ABA">
        <w:t>.</w:t>
      </w:r>
      <w:r w:rsidR="0005251B">
        <w:t xml:space="preserve"> </w:t>
      </w:r>
      <w:r w:rsidR="008758B3">
        <w:t xml:space="preserve">An email </w:t>
      </w:r>
      <w:r w:rsidR="000F65FD">
        <w:t xml:space="preserve">(Attachment D) </w:t>
      </w:r>
      <w:r w:rsidR="008758B3">
        <w:t xml:space="preserve">will remind </w:t>
      </w:r>
      <w:r w:rsidR="0005251B">
        <w:t>State and Competitive grantees that their participation is required</w:t>
      </w:r>
      <w:r w:rsidR="001E7FFC">
        <w:t>, per the</w:t>
      </w:r>
      <w:r w:rsidR="00ED6A93">
        <w:t xml:space="preserve"> </w:t>
      </w:r>
      <w:r w:rsidRPr="00772C76" w:rsidR="00ED6A93">
        <w:t>Funding Opportunity Announcement</w:t>
      </w:r>
      <w:r w:rsidR="00ED6A93">
        <w:rPr>
          <w:rFonts w:ascii="Calibri" w:hAnsi="Calibri" w:cs="Calibri"/>
          <w:sz w:val="22"/>
          <w:szCs w:val="22"/>
        </w:rPr>
        <w:t xml:space="preserve">. </w:t>
      </w:r>
      <w:r w:rsidRPr="00D7620F" w:rsidR="00726535">
        <w:t xml:space="preserve">Although the </w:t>
      </w:r>
      <w:r w:rsidR="00726535">
        <w:t xml:space="preserve">Funding Opportunity Announcement for the </w:t>
      </w:r>
      <w:r w:rsidR="00A769F6">
        <w:t>57</w:t>
      </w:r>
      <w:r w:rsidRPr="00D7620F" w:rsidR="00A769F6">
        <w:t xml:space="preserve"> </w:t>
      </w:r>
      <w:r w:rsidRPr="00D7620F" w:rsidR="00726535">
        <w:t xml:space="preserve">Departmental grantees </w:t>
      </w:r>
      <w:r w:rsidR="00726535">
        <w:t xml:space="preserve">did </w:t>
      </w:r>
      <w:r w:rsidRPr="00D7620F" w:rsidR="00726535">
        <w:t>not require</w:t>
      </w:r>
      <w:r w:rsidR="00726535">
        <w:t xml:space="preserve"> them</w:t>
      </w:r>
      <w:r w:rsidRPr="00D7620F" w:rsidR="00726535">
        <w:t xml:space="preserve"> to participate in evaluation activities, </w:t>
      </w:r>
      <w:r w:rsidR="00726535">
        <w:t xml:space="preserve">we will make several efforts to encourage grantees to take part in the data collection effort. </w:t>
      </w:r>
      <w:r w:rsidR="0028620C">
        <w:t>After publication of the 60-Day FRN, w</w:t>
      </w:r>
      <w:r w:rsidR="00726535">
        <w:t>e introduce</w:t>
      </w:r>
      <w:r w:rsidR="0028620C">
        <w:t>d</w:t>
      </w:r>
      <w:r w:rsidR="00726535">
        <w:t xml:space="preserve"> </w:t>
      </w:r>
      <w:r w:rsidRPr="00D7620F" w:rsidR="00726535">
        <w:t xml:space="preserve">the </w:t>
      </w:r>
      <w:r w:rsidR="00A35683">
        <w:t xml:space="preserve">proposed </w:t>
      </w:r>
      <w:r w:rsidRPr="00D7620F" w:rsidR="00726535">
        <w:t xml:space="preserve">EIS data collection effort to all grantees, including the Departmental grantees, during </w:t>
      </w:r>
      <w:r w:rsidR="00A769F6">
        <w:t>the</w:t>
      </w:r>
      <w:r w:rsidRPr="00D7620F" w:rsidR="00A769F6">
        <w:t xml:space="preserve"> </w:t>
      </w:r>
      <w:r w:rsidRPr="00D7620F" w:rsidR="00726535">
        <w:t xml:space="preserve">January 2019 </w:t>
      </w:r>
      <w:r w:rsidR="00A769F6">
        <w:t xml:space="preserve">and October 2019 </w:t>
      </w:r>
      <w:r w:rsidRPr="00D7620F" w:rsidR="00726535">
        <w:t>SRAE grantee orientation meeting</w:t>
      </w:r>
      <w:r w:rsidR="00A769F6">
        <w:t>s</w:t>
      </w:r>
      <w:r w:rsidR="00726535">
        <w:t>, and include</w:t>
      </w:r>
      <w:r w:rsidR="00A35683">
        <w:t>d</w:t>
      </w:r>
      <w:r w:rsidR="00726535">
        <w:t xml:space="preserve"> a discussion on why </w:t>
      </w:r>
      <w:r w:rsidR="00A35683">
        <w:t xml:space="preserve">potential </w:t>
      </w:r>
      <w:r w:rsidR="00726535">
        <w:t xml:space="preserve">participation </w:t>
      </w:r>
      <w:r w:rsidR="00A35683">
        <w:t xml:space="preserve">would </w:t>
      </w:r>
      <w:r w:rsidR="00726535">
        <w:t>matter for each grantee and the larger field</w:t>
      </w:r>
      <w:r w:rsidRPr="00D7620F" w:rsidR="00726535">
        <w:t>. The federal project officers and t</w:t>
      </w:r>
      <w:r w:rsidR="00726535">
        <w:t xml:space="preserve">he contractor will also disseminate </w:t>
      </w:r>
      <w:r w:rsidR="001D7BE2">
        <w:t xml:space="preserve">a </w:t>
      </w:r>
      <w:r w:rsidR="00726535">
        <w:t>frequently asked questions document (FAQ) about evaluation efforts</w:t>
      </w:r>
      <w:r w:rsidR="00ED6A93">
        <w:t xml:space="preserve"> (Attachment C)</w:t>
      </w:r>
      <w:r w:rsidR="00726535">
        <w:t>, and reminder emails</w:t>
      </w:r>
      <w:r w:rsidR="00ED6A93">
        <w:t xml:space="preserve"> (Attachment E)</w:t>
      </w:r>
      <w:r w:rsidR="00A35683">
        <w:t xml:space="preserve"> after approval if this ICR</w:t>
      </w:r>
      <w:r w:rsidR="00726535">
        <w:t>. These efforts should maximize participation among the Departmental grantees. To minimize item nonresponse on critical questions, the contractor will program the web survey with prompts to ensure respondents enter answers before proceeding.</w:t>
      </w:r>
    </w:p>
    <w:p w:rsidR="004402D9" w:rsidP="002F2BBF" w:rsidRDefault="004402D9"/>
    <w:p w:rsidR="00EC6101" w:rsidP="00012161" w:rsidRDefault="002F2BBF">
      <w:r>
        <w:t>T</w:t>
      </w:r>
      <w:r w:rsidR="0005251B">
        <w:t xml:space="preserve">he contractor will follow up with nonrespondents to encourage their participation by highlighting the importance of the survey. </w:t>
      </w:r>
      <w:r>
        <w:t xml:space="preserve">Federal project officers </w:t>
      </w:r>
      <w:r w:rsidRPr="0005251B" w:rsidR="0005251B">
        <w:t xml:space="preserve">may </w:t>
      </w:r>
      <w:r>
        <w:t xml:space="preserve">also </w:t>
      </w:r>
      <w:r w:rsidRPr="0005251B" w:rsidR="0005251B">
        <w:t xml:space="preserve">contact nonrespondents </w:t>
      </w:r>
      <w:r w:rsidR="0005251B">
        <w:t xml:space="preserve">to </w:t>
      </w:r>
      <w:r w:rsidR="006A66F2">
        <w:t xml:space="preserve">encourage </w:t>
      </w:r>
      <w:r w:rsidR="0005251B">
        <w:t xml:space="preserve">their </w:t>
      </w:r>
      <w:r w:rsidRPr="0005251B" w:rsidR="0005251B">
        <w:t>participat</w:t>
      </w:r>
      <w:r w:rsidR="0005251B">
        <w:t>ion</w:t>
      </w:r>
      <w:r w:rsidRPr="0005251B" w:rsidR="0005251B">
        <w:t>.</w:t>
      </w:r>
    </w:p>
    <w:p w:rsidR="00F20419" w:rsidP="00FD1B70" w:rsidRDefault="00F20419"/>
    <w:p w:rsidRPr="00012161" w:rsidR="00E05A0A" w:rsidP="00012161" w:rsidRDefault="00E05A0A">
      <w:pPr>
        <w:pStyle w:val="Heading1"/>
        <w:spacing w:before="0" w:after="120"/>
        <w:rPr>
          <w:rFonts w:ascii="Times New Roman" w:hAnsi="Times New Roman"/>
          <w:sz w:val="24"/>
          <w:szCs w:val="24"/>
        </w:rPr>
      </w:pPr>
      <w:bookmarkStart w:name="_Toc534363783" w:id="4"/>
      <w:r w:rsidRPr="00012161">
        <w:rPr>
          <w:rFonts w:ascii="Times New Roman" w:hAnsi="Times New Roman"/>
          <w:sz w:val="24"/>
          <w:szCs w:val="24"/>
        </w:rPr>
        <w:t xml:space="preserve">B4. Tests of Procedures or Methods to </w:t>
      </w:r>
      <w:r w:rsidR="008758B3">
        <w:rPr>
          <w:rFonts w:ascii="Times New Roman" w:hAnsi="Times New Roman"/>
          <w:sz w:val="24"/>
          <w:szCs w:val="24"/>
        </w:rPr>
        <w:t>B</w:t>
      </w:r>
      <w:r w:rsidRPr="00012161">
        <w:rPr>
          <w:rFonts w:ascii="Times New Roman" w:hAnsi="Times New Roman"/>
          <w:sz w:val="24"/>
          <w:szCs w:val="24"/>
        </w:rPr>
        <w:t>e Undertaken</w:t>
      </w:r>
      <w:bookmarkEnd w:id="4"/>
    </w:p>
    <w:p w:rsidR="00F20419" w:rsidP="00012161" w:rsidRDefault="003558F2">
      <w:r w:rsidRPr="003558F2">
        <w:t xml:space="preserve">The information collection instruments are similar to </w:t>
      </w:r>
      <w:r>
        <w:t>surveys and interview</w:t>
      </w:r>
      <w:r w:rsidRPr="003558F2">
        <w:t xml:space="preserve"> protocols that </w:t>
      </w:r>
      <w:r w:rsidRPr="003558F2" w:rsidR="008758B3">
        <w:t xml:space="preserve">prior studies </w:t>
      </w:r>
      <w:r w:rsidRPr="003558F2">
        <w:t xml:space="preserve">have used successfully </w:t>
      </w:r>
      <w:r w:rsidR="003444A8">
        <w:t>with similar populations</w:t>
      </w:r>
      <w:r w:rsidR="0049692E">
        <w:t xml:space="preserve">, including </w:t>
      </w:r>
      <w:r w:rsidR="00080FD3">
        <w:t xml:space="preserve">the </w:t>
      </w:r>
      <w:r w:rsidR="0049692E">
        <w:t>PREP</w:t>
      </w:r>
      <w:r w:rsidR="00080FD3">
        <w:t xml:space="preserve"> Multi-Component Evaluation</w:t>
      </w:r>
      <w:r w:rsidRPr="003558F2">
        <w:t>.</w:t>
      </w:r>
    </w:p>
    <w:p w:rsidRPr="00FD1B70" w:rsidR="00F20419" w:rsidP="00F20419" w:rsidRDefault="00F20419"/>
    <w:p w:rsidRPr="00012161" w:rsidR="00E05A0A" w:rsidP="00012161" w:rsidRDefault="00E05A0A">
      <w:pPr>
        <w:pStyle w:val="Heading1"/>
        <w:spacing w:before="0" w:after="120"/>
        <w:rPr>
          <w:rFonts w:ascii="Times New Roman" w:hAnsi="Times New Roman"/>
          <w:sz w:val="24"/>
          <w:szCs w:val="24"/>
        </w:rPr>
      </w:pPr>
      <w:bookmarkStart w:name="_Toc534363784" w:id="5"/>
      <w:r w:rsidRPr="00012161">
        <w:rPr>
          <w:rFonts w:ascii="Times New Roman" w:hAnsi="Times New Roman"/>
          <w:sz w:val="24"/>
          <w:szCs w:val="24"/>
        </w:rPr>
        <w:t xml:space="preserve">B5. </w:t>
      </w:r>
      <w:r w:rsidRPr="00012161" w:rsidR="0008315A">
        <w:rPr>
          <w:rFonts w:ascii="Times New Roman" w:hAnsi="Times New Roman"/>
          <w:sz w:val="24"/>
          <w:szCs w:val="24"/>
        </w:rPr>
        <w:t>Individual(s)</w:t>
      </w:r>
      <w:r w:rsidRPr="00012161">
        <w:rPr>
          <w:rFonts w:ascii="Times New Roman" w:hAnsi="Times New Roman"/>
          <w:sz w:val="24"/>
          <w:szCs w:val="24"/>
        </w:rPr>
        <w:t xml:space="preserve"> Consulted on Statistical Aspects and Individuals Collecting and/or Analyzing Data</w:t>
      </w:r>
      <w:bookmarkEnd w:id="5"/>
    </w:p>
    <w:p w:rsidR="00F571C4" w:rsidP="00012161" w:rsidRDefault="00F571C4">
      <w:r>
        <w:t xml:space="preserve">Mathematica Policy Research, the contractor for this study, </w:t>
      </w:r>
      <w:r w:rsidR="008758B3">
        <w:t xml:space="preserve">will collect the information for </w:t>
      </w:r>
      <w:r w:rsidR="001D31E5">
        <w:t>the NDS-EIS</w:t>
      </w:r>
      <w:r w:rsidR="008758B3">
        <w:t xml:space="preserve">, </w:t>
      </w:r>
      <w:r>
        <w:t xml:space="preserve">on behalf of ACF. </w:t>
      </w:r>
      <w:r w:rsidR="00DD7E53">
        <w:t>The following individuals provided k</w:t>
      </w:r>
      <w:r>
        <w:t>ey input o</w:t>
      </w:r>
      <w:r w:rsidR="00DD7E53">
        <w:t>n</w:t>
      </w:r>
      <w:r>
        <w:t xml:space="preserve"> the current data collection instruments:</w:t>
      </w:r>
    </w:p>
    <w:p w:rsidR="00F571C4" w:rsidP="00012161" w:rsidRDefault="00F571C4"/>
    <w:p w:rsidR="0083506C" w:rsidP="0083506C" w:rsidRDefault="0083506C">
      <w:r>
        <w:t>Seth Chamberlain</w:t>
      </w:r>
    </w:p>
    <w:p w:rsidR="0083506C" w:rsidP="0083506C" w:rsidRDefault="00A769F6">
      <w:r>
        <w:t xml:space="preserve">Branch Chief (Formerly </w:t>
      </w:r>
      <w:r w:rsidR="0083506C">
        <w:t>Project Officer</w:t>
      </w:r>
      <w:r w:rsidR="0081504E">
        <w:t xml:space="preserve"> in the Office of Planning, Research, and Evaluation</w:t>
      </w:r>
      <w:r>
        <w:t>)</w:t>
      </w:r>
    </w:p>
    <w:p w:rsidR="0083506C" w:rsidP="0083506C" w:rsidRDefault="00A769F6">
      <w:r>
        <w:t xml:space="preserve">Office </w:t>
      </w:r>
      <w:r w:rsidR="0081504E">
        <w:t>of Family Assistance</w:t>
      </w:r>
    </w:p>
    <w:p w:rsidR="0083506C" w:rsidP="0083506C" w:rsidRDefault="0083506C">
      <w:r>
        <w:lastRenderedPageBreak/>
        <w:t>Administration for Children and Families</w:t>
      </w:r>
    </w:p>
    <w:p w:rsidR="0083506C" w:rsidP="0083506C" w:rsidRDefault="0083506C">
      <w:r>
        <w:t>U.S. Department of Health and Human Services</w:t>
      </w:r>
    </w:p>
    <w:p w:rsidR="0083506C" w:rsidP="0083506C" w:rsidRDefault="0083506C"/>
    <w:p w:rsidR="0083506C" w:rsidP="0083506C" w:rsidRDefault="0083506C">
      <w:r>
        <w:t>Jessica Johnson</w:t>
      </w:r>
    </w:p>
    <w:p w:rsidR="0083506C" w:rsidP="0083506C" w:rsidRDefault="0083506C">
      <w:r>
        <w:t>Project Officer</w:t>
      </w:r>
    </w:p>
    <w:p w:rsidR="0083506C" w:rsidP="0083506C" w:rsidRDefault="0083506C">
      <w:r>
        <w:t>Family Youth &amp; Services Bureau</w:t>
      </w:r>
    </w:p>
    <w:p w:rsidR="0083506C" w:rsidP="0083506C" w:rsidRDefault="0083506C">
      <w:r>
        <w:t>Administration for Children and Families</w:t>
      </w:r>
    </w:p>
    <w:p w:rsidR="0083506C" w:rsidP="0083506C" w:rsidRDefault="0083506C">
      <w:r>
        <w:t>U.S. Department of Health and Human Services</w:t>
      </w:r>
    </w:p>
    <w:p w:rsidR="00835598" w:rsidP="0083506C" w:rsidRDefault="00835598"/>
    <w:p w:rsidR="00835598" w:rsidP="0083506C" w:rsidRDefault="00835598">
      <w:r>
        <w:t>Calonie Gray</w:t>
      </w:r>
    </w:p>
    <w:p w:rsidR="00835598" w:rsidP="0083506C" w:rsidRDefault="002B7FC3">
      <w:r>
        <w:t>Senior Social Science Research Analyst</w:t>
      </w:r>
    </w:p>
    <w:p w:rsidR="00835598" w:rsidP="00835598" w:rsidRDefault="00835598">
      <w:r>
        <w:t>Office of Planning, Research, and Evaluation</w:t>
      </w:r>
    </w:p>
    <w:p w:rsidR="00835598" w:rsidP="00835598" w:rsidRDefault="00835598">
      <w:r>
        <w:t>Administration for Children and Families</w:t>
      </w:r>
    </w:p>
    <w:p w:rsidR="00835598" w:rsidP="00835598" w:rsidRDefault="00835598">
      <w:r>
        <w:t>U.S. Department of Health and Human Services</w:t>
      </w:r>
    </w:p>
    <w:p w:rsidR="0083506C" w:rsidP="0083506C" w:rsidRDefault="0083506C"/>
    <w:p w:rsidR="0083506C" w:rsidP="0083506C" w:rsidRDefault="0083506C"/>
    <w:p w:rsidR="0083506C" w:rsidP="0083506C" w:rsidRDefault="0083506C">
      <w:r>
        <w:t>Sarah Forrestal</w:t>
      </w:r>
    </w:p>
    <w:p w:rsidR="0083506C" w:rsidP="0083506C" w:rsidRDefault="0083506C">
      <w:r>
        <w:t>Senior Survey Researcher</w:t>
      </w:r>
    </w:p>
    <w:p w:rsidR="0083506C" w:rsidP="0083506C" w:rsidRDefault="0083506C">
      <w:r>
        <w:t>Mathematica Policy Research</w:t>
      </w:r>
    </w:p>
    <w:p w:rsidR="0083506C" w:rsidP="0083506C" w:rsidRDefault="0083506C"/>
    <w:p w:rsidR="0083506C" w:rsidP="00AE0FD5" w:rsidRDefault="0083506C">
      <w:pPr>
        <w:keepNext/>
      </w:pPr>
      <w:r>
        <w:t>Brian Goesling</w:t>
      </w:r>
    </w:p>
    <w:p w:rsidR="0083506C" w:rsidP="00AE0FD5" w:rsidRDefault="0083506C">
      <w:pPr>
        <w:keepNext/>
      </w:pPr>
      <w:r>
        <w:t>Senior Researcher</w:t>
      </w:r>
    </w:p>
    <w:p w:rsidR="0083506C" w:rsidP="00AE0FD5" w:rsidRDefault="0083506C">
      <w:r>
        <w:t>Mathematica Policy Research</w:t>
      </w:r>
    </w:p>
    <w:p w:rsidR="0083506C" w:rsidP="0083506C" w:rsidRDefault="0083506C"/>
    <w:p w:rsidR="0083506C" w:rsidP="0083506C" w:rsidRDefault="0083506C">
      <w:r>
        <w:t>Kimberly McDonald</w:t>
      </w:r>
    </w:p>
    <w:p w:rsidR="0083506C" w:rsidP="0083506C" w:rsidRDefault="0083506C">
      <w:r>
        <w:t>Survey Researcher</w:t>
      </w:r>
    </w:p>
    <w:p w:rsidR="0083506C" w:rsidP="0083506C" w:rsidRDefault="0083506C">
      <w:r>
        <w:t>Mathematica Policy Research</w:t>
      </w:r>
    </w:p>
    <w:p w:rsidR="0083506C" w:rsidP="0083506C" w:rsidRDefault="0083506C"/>
    <w:p w:rsidR="0083506C" w:rsidP="0083506C" w:rsidRDefault="0083506C">
      <w:r>
        <w:t>Alicia Meckstroth</w:t>
      </w:r>
    </w:p>
    <w:p w:rsidR="0083506C" w:rsidP="0083506C" w:rsidRDefault="0083506C">
      <w:r>
        <w:t>Senior Researcher</w:t>
      </w:r>
    </w:p>
    <w:p w:rsidR="0083506C" w:rsidP="0083506C" w:rsidRDefault="0083506C">
      <w:r>
        <w:t>Mathematica Policy Research</w:t>
      </w:r>
    </w:p>
    <w:p w:rsidR="0083506C" w:rsidP="0083506C" w:rsidRDefault="0083506C"/>
    <w:p w:rsidR="0083506C" w:rsidP="0083506C" w:rsidRDefault="0083506C">
      <w:r>
        <w:t>Matthew Stagner</w:t>
      </w:r>
    </w:p>
    <w:p w:rsidR="0083506C" w:rsidP="0083506C" w:rsidRDefault="0083506C">
      <w:r>
        <w:t>Vice President</w:t>
      </w:r>
    </w:p>
    <w:p w:rsidR="0083506C" w:rsidP="0083506C" w:rsidRDefault="0083506C">
      <w:r>
        <w:t>Mathematica Policy Research</w:t>
      </w:r>
    </w:p>
    <w:p w:rsidR="0083506C" w:rsidP="0083506C" w:rsidRDefault="0083506C"/>
    <w:p w:rsidR="0083506C" w:rsidP="0083506C" w:rsidRDefault="0083506C">
      <w:r>
        <w:t>Melissa Thomas</w:t>
      </w:r>
    </w:p>
    <w:p w:rsidR="0083506C" w:rsidP="0083506C" w:rsidRDefault="0083506C">
      <w:r>
        <w:t>Senior Survey Researcher</w:t>
      </w:r>
    </w:p>
    <w:p w:rsidR="0083506C" w:rsidP="0083506C" w:rsidRDefault="0083506C">
      <w:r>
        <w:t xml:space="preserve">Mathematica Policy Research </w:t>
      </w:r>
    </w:p>
    <w:p w:rsidR="0083506C" w:rsidP="0083506C" w:rsidRDefault="0083506C"/>
    <w:p w:rsidR="0083506C" w:rsidP="0083506C" w:rsidRDefault="0083506C">
      <w:r>
        <w:t>Susan Zief</w:t>
      </w:r>
    </w:p>
    <w:p w:rsidR="0083506C" w:rsidP="0083506C" w:rsidRDefault="0083506C">
      <w:r>
        <w:t>Senior Researcher</w:t>
      </w:r>
    </w:p>
    <w:p w:rsidR="0083506C" w:rsidRDefault="0083506C">
      <w:r>
        <w:t>Mathematica Policy Research</w:t>
      </w:r>
    </w:p>
    <w:sectPr w:rsidR="0083506C" w:rsidSect="005207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6B0" w:rsidRDefault="003A26B0">
      <w:r>
        <w:separator/>
      </w:r>
    </w:p>
  </w:endnote>
  <w:endnote w:type="continuationSeparator" w:id="0">
    <w:p w:rsidR="003A26B0" w:rsidRDefault="003A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01" w:rsidRDefault="00EC6101" w:rsidP="00AE0FD5">
    <w:pPr>
      <w:pStyle w:val="Footer"/>
      <w:jc w:val="center"/>
    </w:pPr>
    <w:r>
      <w:fldChar w:fldCharType="begin"/>
    </w:r>
    <w:r>
      <w:instrText xml:space="preserve"> PAGE   \* MERGEFORMAT </w:instrText>
    </w:r>
    <w:r>
      <w:fldChar w:fldCharType="separate"/>
    </w:r>
    <w:r w:rsidR="007A66A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6B0" w:rsidRDefault="003A26B0">
      <w:r>
        <w:separator/>
      </w:r>
    </w:p>
  </w:footnote>
  <w:footnote w:type="continuationSeparator" w:id="0">
    <w:p w:rsidR="003A26B0" w:rsidRDefault="003A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01" w:rsidRDefault="00EC6101"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8"/>
  </w:num>
  <w:num w:numId="5">
    <w:abstractNumId w:val="9"/>
  </w:num>
  <w:num w:numId="6">
    <w:abstractNumId w:val="14"/>
  </w:num>
  <w:num w:numId="7">
    <w:abstractNumId w:val="13"/>
  </w:num>
  <w:num w:numId="8">
    <w:abstractNumId w:val="10"/>
  </w:num>
  <w:num w:numId="9">
    <w:abstractNumId w:val="11"/>
  </w:num>
  <w:num w:numId="10">
    <w:abstractNumId w:val="2"/>
  </w:num>
  <w:num w:numId="11">
    <w:abstractNumId w:val="0"/>
  </w:num>
  <w:num w:numId="12">
    <w:abstractNumId w:val="3"/>
  </w:num>
  <w:num w:numId="13">
    <w:abstractNumId w:val="15"/>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2161"/>
    <w:rsid w:val="0001290D"/>
    <w:rsid w:val="0005251B"/>
    <w:rsid w:val="0005715C"/>
    <w:rsid w:val="000628A3"/>
    <w:rsid w:val="00080FD3"/>
    <w:rsid w:val="0008315A"/>
    <w:rsid w:val="00084217"/>
    <w:rsid w:val="00084A54"/>
    <w:rsid w:val="00091C59"/>
    <w:rsid w:val="00092757"/>
    <w:rsid w:val="00097BB6"/>
    <w:rsid w:val="000B5EA8"/>
    <w:rsid w:val="000C41D7"/>
    <w:rsid w:val="000D53DF"/>
    <w:rsid w:val="000E02DD"/>
    <w:rsid w:val="000E57B0"/>
    <w:rsid w:val="000E5E1D"/>
    <w:rsid w:val="000F5D39"/>
    <w:rsid w:val="000F65FD"/>
    <w:rsid w:val="00103DBE"/>
    <w:rsid w:val="00116274"/>
    <w:rsid w:val="001479A0"/>
    <w:rsid w:val="0015215F"/>
    <w:rsid w:val="0015452C"/>
    <w:rsid w:val="00154A47"/>
    <w:rsid w:val="00155FB0"/>
    <w:rsid w:val="0015615A"/>
    <w:rsid w:val="0016012E"/>
    <w:rsid w:val="0016283A"/>
    <w:rsid w:val="00162E53"/>
    <w:rsid w:val="001632A0"/>
    <w:rsid w:val="001779C2"/>
    <w:rsid w:val="00183C0F"/>
    <w:rsid w:val="001A233C"/>
    <w:rsid w:val="001A790C"/>
    <w:rsid w:val="001B4CB8"/>
    <w:rsid w:val="001B513C"/>
    <w:rsid w:val="001C4D60"/>
    <w:rsid w:val="001D31E5"/>
    <w:rsid w:val="001D7BE2"/>
    <w:rsid w:val="001E7FFC"/>
    <w:rsid w:val="0020382F"/>
    <w:rsid w:val="00211FA8"/>
    <w:rsid w:val="002231FA"/>
    <w:rsid w:val="00224C4B"/>
    <w:rsid w:val="00234E8D"/>
    <w:rsid w:val="00235706"/>
    <w:rsid w:val="00235A6D"/>
    <w:rsid w:val="00253148"/>
    <w:rsid w:val="00253859"/>
    <w:rsid w:val="00265CA2"/>
    <w:rsid w:val="00265F5A"/>
    <w:rsid w:val="00280221"/>
    <w:rsid w:val="002808BB"/>
    <w:rsid w:val="0028620C"/>
    <w:rsid w:val="00292B70"/>
    <w:rsid w:val="00295ED4"/>
    <w:rsid w:val="002A1F68"/>
    <w:rsid w:val="002B02E4"/>
    <w:rsid w:val="002B4DBE"/>
    <w:rsid w:val="002B7FC3"/>
    <w:rsid w:val="002C1DBB"/>
    <w:rsid w:val="002C6500"/>
    <w:rsid w:val="002D1B66"/>
    <w:rsid w:val="002D3B73"/>
    <w:rsid w:val="002F01B8"/>
    <w:rsid w:val="002F2BBF"/>
    <w:rsid w:val="00306E45"/>
    <w:rsid w:val="00332A0B"/>
    <w:rsid w:val="00341B84"/>
    <w:rsid w:val="003444A8"/>
    <w:rsid w:val="00351D5C"/>
    <w:rsid w:val="003558F2"/>
    <w:rsid w:val="0037156C"/>
    <w:rsid w:val="00374DAB"/>
    <w:rsid w:val="003A26B0"/>
    <w:rsid w:val="003B37C3"/>
    <w:rsid w:val="003C45D4"/>
    <w:rsid w:val="003D0821"/>
    <w:rsid w:val="003D3306"/>
    <w:rsid w:val="003D5231"/>
    <w:rsid w:val="003D68E5"/>
    <w:rsid w:val="003E507A"/>
    <w:rsid w:val="003F02C4"/>
    <w:rsid w:val="003F7D21"/>
    <w:rsid w:val="00412F0F"/>
    <w:rsid w:val="00422D8E"/>
    <w:rsid w:val="004402D9"/>
    <w:rsid w:val="00444165"/>
    <w:rsid w:val="004554B1"/>
    <w:rsid w:val="00456E2F"/>
    <w:rsid w:val="004768DF"/>
    <w:rsid w:val="00476EE0"/>
    <w:rsid w:val="00482DDE"/>
    <w:rsid w:val="00484332"/>
    <w:rsid w:val="0049692E"/>
    <w:rsid w:val="004A1D99"/>
    <w:rsid w:val="004B587E"/>
    <w:rsid w:val="004D2720"/>
    <w:rsid w:val="004D6CA9"/>
    <w:rsid w:val="004E439C"/>
    <w:rsid w:val="004E6453"/>
    <w:rsid w:val="004E6781"/>
    <w:rsid w:val="004F1FFA"/>
    <w:rsid w:val="004F4E1D"/>
    <w:rsid w:val="005045C0"/>
    <w:rsid w:val="005046F0"/>
    <w:rsid w:val="00517B05"/>
    <w:rsid w:val="00520737"/>
    <w:rsid w:val="005353B7"/>
    <w:rsid w:val="00537A91"/>
    <w:rsid w:val="00541024"/>
    <w:rsid w:val="00557857"/>
    <w:rsid w:val="0056596E"/>
    <w:rsid w:val="005A64C5"/>
    <w:rsid w:val="005B134D"/>
    <w:rsid w:val="005C7897"/>
    <w:rsid w:val="005D5AAE"/>
    <w:rsid w:val="005E17E2"/>
    <w:rsid w:val="005F2061"/>
    <w:rsid w:val="005F4D9C"/>
    <w:rsid w:val="005F589E"/>
    <w:rsid w:val="00607351"/>
    <w:rsid w:val="00610D12"/>
    <w:rsid w:val="006110C8"/>
    <w:rsid w:val="00625915"/>
    <w:rsid w:val="0063031C"/>
    <w:rsid w:val="0063231B"/>
    <w:rsid w:val="006334A2"/>
    <w:rsid w:val="00651DBA"/>
    <w:rsid w:val="00654E90"/>
    <w:rsid w:val="00657424"/>
    <w:rsid w:val="0066151F"/>
    <w:rsid w:val="00663042"/>
    <w:rsid w:val="006646CE"/>
    <w:rsid w:val="00667420"/>
    <w:rsid w:val="006906C0"/>
    <w:rsid w:val="006A25EA"/>
    <w:rsid w:val="006A63ED"/>
    <w:rsid w:val="006A66F2"/>
    <w:rsid w:val="006A6EC0"/>
    <w:rsid w:val="006B4F5C"/>
    <w:rsid w:val="006B6845"/>
    <w:rsid w:val="006D6140"/>
    <w:rsid w:val="006E758B"/>
    <w:rsid w:val="006F30E0"/>
    <w:rsid w:val="00700D63"/>
    <w:rsid w:val="00701045"/>
    <w:rsid w:val="00712D7D"/>
    <w:rsid w:val="00717906"/>
    <w:rsid w:val="0072204D"/>
    <w:rsid w:val="00726535"/>
    <w:rsid w:val="007274F9"/>
    <w:rsid w:val="00735EBE"/>
    <w:rsid w:val="007379C8"/>
    <w:rsid w:val="00764270"/>
    <w:rsid w:val="00764F9A"/>
    <w:rsid w:val="00765A5B"/>
    <w:rsid w:val="00772457"/>
    <w:rsid w:val="00772C76"/>
    <w:rsid w:val="00784137"/>
    <w:rsid w:val="00784AAC"/>
    <w:rsid w:val="00795860"/>
    <w:rsid w:val="00796772"/>
    <w:rsid w:val="00797EA0"/>
    <w:rsid w:val="007A1C32"/>
    <w:rsid w:val="007A66A3"/>
    <w:rsid w:val="007A6EEC"/>
    <w:rsid w:val="007A7E97"/>
    <w:rsid w:val="007F1746"/>
    <w:rsid w:val="00800C77"/>
    <w:rsid w:val="008031AF"/>
    <w:rsid w:val="008061BB"/>
    <w:rsid w:val="0080720B"/>
    <w:rsid w:val="0081504E"/>
    <w:rsid w:val="008172E0"/>
    <w:rsid w:val="00831216"/>
    <w:rsid w:val="00834BD3"/>
    <w:rsid w:val="0083506C"/>
    <w:rsid w:val="00835598"/>
    <w:rsid w:val="00840650"/>
    <w:rsid w:val="00841C7B"/>
    <w:rsid w:val="00843437"/>
    <w:rsid w:val="00847CDE"/>
    <w:rsid w:val="00847D68"/>
    <w:rsid w:val="008518D9"/>
    <w:rsid w:val="00863EAD"/>
    <w:rsid w:val="008719E3"/>
    <w:rsid w:val="0087234E"/>
    <w:rsid w:val="008758B3"/>
    <w:rsid w:val="0088194A"/>
    <w:rsid w:val="008821D9"/>
    <w:rsid w:val="008952AE"/>
    <w:rsid w:val="008A0533"/>
    <w:rsid w:val="008A0577"/>
    <w:rsid w:val="008A4E6F"/>
    <w:rsid w:val="008A732F"/>
    <w:rsid w:val="008B7F2C"/>
    <w:rsid w:val="008C114F"/>
    <w:rsid w:val="008C6B3A"/>
    <w:rsid w:val="008D5642"/>
    <w:rsid w:val="00903164"/>
    <w:rsid w:val="00932D71"/>
    <w:rsid w:val="00936325"/>
    <w:rsid w:val="00945CD6"/>
    <w:rsid w:val="00951EDD"/>
    <w:rsid w:val="009648CE"/>
    <w:rsid w:val="00987B8B"/>
    <w:rsid w:val="009A20D2"/>
    <w:rsid w:val="009A344E"/>
    <w:rsid w:val="009B75B8"/>
    <w:rsid w:val="009C5ABA"/>
    <w:rsid w:val="009D2443"/>
    <w:rsid w:val="009D47D2"/>
    <w:rsid w:val="009D51A0"/>
    <w:rsid w:val="009D6E63"/>
    <w:rsid w:val="009F0A8F"/>
    <w:rsid w:val="00A10233"/>
    <w:rsid w:val="00A35683"/>
    <w:rsid w:val="00A35E23"/>
    <w:rsid w:val="00A5646F"/>
    <w:rsid w:val="00A769F6"/>
    <w:rsid w:val="00A938F3"/>
    <w:rsid w:val="00AA02E1"/>
    <w:rsid w:val="00AA29C0"/>
    <w:rsid w:val="00AA410D"/>
    <w:rsid w:val="00AB3656"/>
    <w:rsid w:val="00AC4338"/>
    <w:rsid w:val="00AD0309"/>
    <w:rsid w:val="00AD11DD"/>
    <w:rsid w:val="00AE0FD5"/>
    <w:rsid w:val="00AF30DC"/>
    <w:rsid w:val="00AF33C2"/>
    <w:rsid w:val="00B126F2"/>
    <w:rsid w:val="00B14396"/>
    <w:rsid w:val="00B603E3"/>
    <w:rsid w:val="00BA27E9"/>
    <w:rsid w:val="00BB6573"/>
    <w:rsid w:val="00BD4CFB"/>
    <w:rsid w:val="00BD6300"/>
    <w:rsid w:val="00BE17F5"/>
    <w:rsid w:val="00BF21DB"/>
    <w:rsid w:val="00C02F19"/>
    <w:rsid w:val="00C12B95"/>
    <w:rsid w:val="00C204C8"/>
    <w:rsid w:val="00C56EA9"/>
    <w:rsid w:val="00C77172"/>
    <w:rsid w:val="00C8341D"/>
    <w:rsid w:val="00CC5FEE"/>
    <w:rsid w:val="00CE15CC"/>
    <w:rsid w:val="00CE6EFF"/>
    <w:rsid w:val="00CF22E9"/>
    <w:rsid w:val="00D00DC2"/>
    <w:rsid w:val="00D012A6"/>
    <w:rsid w:val="00D06D5F"/>
    <w:rsid w:val="00D11527"/>
    <w:rsid w:val="00D21CFA"/>
    <w:rsid w:val="00D3289D"/>
    <w:rsid w:val="00D45CE1"/>
    <w:rsid w:val="00D50FB3"/>
    <w:rsid w:val="00D519D9"/>
    <w:rsid w:val="00D54678"/>
    <w:rsid w:val="00D601F0"/>
    <w:rsid w:val="00D67880"/>
    <w:rsid w:val="00D70F5B"/>
    <w:rsid w:val="00D7620F"/>
    <w:rsid w:val="00D87995"/>
    <w:rsid w:val="00DA464D"/>
    <w:rsid w:val="00DC04D6"/>
    <w:rsid w:val="00DC4164"/>
    <w:rsid w:val="00DD08C2"/>
    <w:rsid w:val="00DD6997"/>
    <w:rsid w:val="00DD7E53"/>
    <w:rsid w:val="00DE12A6"/>
    <w:rsid w:val="00E05A0A"/>
    <w:rsid w:val="00E16D0B"/>
    <w:rsid w:val="00E41D46"/>
    <w:rsid w:val="00E50265"/>
    <w:rsid w:val="00E60D83"/>
    <w:rsid w:val="00E6430A"/>
    <w:rsid w:val="00E72E9A"/>
    <w:rsid w:val="00E7522E"/>
    <w:rsid w:val="00E839EB"/>
    <w:rsid w:val="00E85286"/>
    <w:rsid w:val="00E95BCB"/>
    <w:rsid w:val="00EA1760"/>
    <w:rsid w:val="00EB0C42"/>
    <w:rsid w:val="00EB5B54"/>
    <w:rsid w:val="00EC329F"/>
    <w:rsid w:val="00EC6101"/>
    <w:rsid w:val="00EC67CB"/>
    <w:rsid w:val="00ED6A93"/>
    <w:rsid w:val="00EE04DC"/>
    <w:rsid w:val="00EE19D7"/>
    <w:rsid w:val="00EE49E6"/>
    <w:rsid w:val="00F05654"/>
    <w:rsid w:val="00F20419"/>
    <w:rsid w:val="00F30FFE"/>
    <w:rsid w:val="00F358D8"/>
    <w:rsid w:val="00F56220"/>
    <w:rsid w:val="00F571C4"/>
    <w:rsid w:val="00F73374"/>
    <w:rsid w:val="00F73F18"/>
    <w:rsid w:val="00F81944"/>
    <w:rsid w:val="00F853D2"/>
    <w:rsid w:val="00F93449"/>
    <w:rsid w:val="00F95F02"/>
    <w:rsid w:val="00F97509"/>
    <w:rsid w:val="00FB2E45"/>
    <w:rsid w:val="00FC04C5"/>
    <w:rsid w:val="00FC24A8"/>
    <w:rsid w:val="00FC47B5"/>
    <w:rsid w:val="00FD1B70"/>
    <w:rsid w:val="00FD7600"/>
    <w:rsid w:val="00FD7A89"/>
    <w:rsid w:val="00FE1C8E"/>
    <w:rsid w:val="00FE663D"/>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AC0D8-9CF2-4A2C-B0A1-39940894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12161"/>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012161"/>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012161"/>
    <w:rPr>
      <w:rFonts w:ascii="Cambria" w:hAnsi="Cambria"/>
      <w:b/>
      <w:bCs/>
      <w:kern w:val="32"/>
      <w:sz w:val="32"/>
      <w:szCs w:val="32"/>
    </w:rPr>
  </w:style>
  <w:style w:type="character" w:customStyle="1" w:styleId="Heading4Char">
    <w:name w:val="Heading 4 Char"/>
    <w:link w:val="Heading4"/>
    <w:rsid w:val="00012161"/>
    <w:rPr>
      <w:rFonts w:ascii="Calibri" w:hAnsi="Calibri"/>
      <w:b/>
      <w:bCs/>
      <w:sz w:val="28"/>
      <w:szCs w:val="28"/>
    </w:rPr>
  </w:style>
  <w:style w:type="paragraph" w:styleId="Revision">
    <w:name w:val="Revision"/>
    <w:hidden/>
    <w:uiPriority w:val="99"/>
    <w:semiHidden/>
    <w:rsid w:val="0063031C"/>
    <w:rPr>
      <w:sz w:val="24"/>
      <w:szCs w:val="24"/>
    </w:rPr>
  </w:style>
  <w:style w:type="paragraph" w:styleId="FootnoteText">
    <w:name w:val="footnote text"/>
    <w:basedOn w:val="Normal"/>
    <w:link w:val="FootnoteTextChar"/>
    <w:rsid w:val="006110C8"/>
    <w:rPr>
      <w:sz w:val="20"/>
      <w:szCs w:val="20"/>
    </w:rPr>
  </w:style>
  <w:style w:type="character" w:customStyle="1" w:styleId="FootnoteTextChar">
    <w:name w:val="Footnote Text Char"/>
    <w:basedOn w:val="DefaultParagraphFont"/>
    <w:link w:val="FootnoteText"/>
    <w:rsid w:val="006110C8"/>
  </w:style>
  <w:style w:type="character" w:styleId="FootnoteReference">
    <w:name w:val="footnote reference"/>
    <w:rsid w:val="006110C8"/>
    <w:rPr>
      <w:vertAlign w:val="superscript"/>
    </w:rPr>
  </w:style>
  <w:style w:type="paragraph" w:styleId="TOCHeading">
    <w:name w:val="TOC Heading"/>
    <w:basedOn w:val="Heading1"/>
    <w:next w:val="Normal"/>
    <w:uiPriority w:val="39"/>
    <w:unhideWhenUsed/>
    <w:qFormat/>
    <w:rsid w:val="008518D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8518D9"/>
    <w:pPr>
      <w:tabs>
        <w:tab w:val="right" w:leader="dot" w:pos="8910"/>
      </w:tabs>
      <w:spacing w:before="120" w:after="120"/>
      <w:ind w:left="540" w:right="450" w:hanging="540"/>
    </w:pPr>
  </w:style>
  <w:style w:type="paragraph" w:customStyle="1" w:styleId="NormalSS">
    <w:name w:val="NormalSS"/>
    <w:basedOn w:val="Normal"/>
    <w:link w:val="NormalSSChar"/>
    <w:qFormat/>
    <w:rsid w:val="00D45CE1"/>
    <w:pPr>
      <w:spacing w:after="240"/>
      <w:ind w:firstLine="432"/>
    </w:pPr>
    <w:rPr>
      <w:szCs w:val="20"/>
    </w:rPr>
  </w:style>
  <w:style w:type="character" w:customStyle="1" w:styleId="NormalSSChar">
    <w:name w:val="NormalSS Char"/>
    <w:link w:val="NormalSS"/>
    <w:rsid w:val="00D45C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2749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ABD2F-A02B-4581-ABA0-0CDAFECFC2A8}">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D5D4D135-EBBD-462A-9012-F9613C81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11883</CharactersWithSpaces>
  <SharedDoc>false</SharedDoc>
  <HLinks>
    <vt:vector size="36" baseType="variant">
      <vt:variant>
        <vt:i4>1835056</vt:i4>
      </vt:variant>
      <vt:variant>
        <vt:i4>32</vt:i4>
      </vt:variant>
      <vt:variant>
        <vt:i4>0</vt:i4>
      </vt:variant>
      <vt:variant>
        <vt:i4>5</vt:i4>
      </vt:variant>
      <vt:variant>
        <vt:lpwstr/>
      </vt:variant>
      <vt:variant>
        <vt:lpwstr>_Toc534363784</vt:lpwstr>
      </vt:variant>
      <vt:variant>
        <vt:i4>1835056</vt:i4>
      </vt:variant>
      <vt:variant>
        <vt:i4>26</vt:i4>
      </vt:variant>
      <vt:variant>
        <vt:i4>0</vt:i4>
      </vt:variant>
      <vt:variant>
        <vt:i4>5</vt:i4>
      </vt:variant>
      <vt:variant>
        <vt:lpwstr/>
      </vt:variant>
      <vt:variant>
        <vt:lpwstr>_Toc534363783</vt:lpwstr>
      </vt:variant>
      <vt:variant>
        <vt:i4>1835056</vt:i4>
      </vt:variant>
      <vt:variant>
        <vt:i4>20</vt:i4>
      </vt:variant>
      <vt:variant>
        <vt:i4>0</vt:i4>
      </vt:variant>
      <vt:variant>
        <vt:i4>5</vt:i4>
      </vt:variant>
      <vt:variant>
        <vt:lpwstr/>
      </vt:variant>
      <vt:variant>
        <vt:lpwstr>_Toc534363782</vt:lpwstr>
      </vt:variant>
      <vt:variant>
        <vt:i4>1835056</vt:i4>
      </vt:variant>
      <vt:variant>
        <vt:i4>14</vt:i4>
      </vt:variant>
      <vt:variant>
        <vt:i4>0</vt:i4>
      </vt:variant>
      <vt:variant>
        <vt:i4>5</vt:i4>
      </vt:variant>
      <vt:variant>
        <vt:lpwstr/>
      </vt:variant>
      <vt:variant>
        <vt:lpwstr>_Toc534363781</vt:lpwstr>
      </vt:variant>
      <vt:variant>
        <vt:i4>1835056</vt:i4>
      </vt:variant>
      <vt:variant>
        <vt:i4>8</vt:i4>
      </vt:variant>
      <vt:variant>
        <vt:i4>0</vt:i4>
      </vt:variant>
      <vt:variant>
        <vt:i4>5</vt:i4>
      </vt:variant>
      <vt:variant>
        <vt:lpwstr/>
      </vt:variant>
      <vt:variant>
        <vt:lpwstr>_Toc534363780</vt:lpwstr>
      </vt:variant>
      <vt:variant>
        <vt:i4>1245232</vt:i4>
      </vt:variant>
      <vt:variant>
        <vt:i4>2</vt:i4>
      </vt:variant>
      <vt:variant>
        <vt:i4>0</vt:i4>
      </vt:variant>
      <vt:variant>
        <vt:i4>5</vt:i4>
      </vt:variant>
      <vt:variant>
        <vt:lpwstr/>
      </vt:variant>
      <vt:variant>
        <vt:lpwstr>_Toc534363779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2</cp:revision>
  <cp:lastPrinted>2009-01-26T16:35:00Z</cp:lastPrinted>
  <dcterms:created xsi:type="dcterms:W3CDTF">2020-03-16T15:06:00Z</dcterms:created>
  <dcterms:modified xsi:type="dcterms:W3CDTF">2020-03-16T15:06:00Z</dcterms:modified>
</cp:coreProperties>
</file>