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7E9" w:rsidP="00203CE3" w:rsidRDefault="009457E9">
      <w:pPr>
        <w:jc w:val="center"/>
        <w:rPr>
          <w:rFonts w:ascii="Arial" w:hAnsi="Arial" w:cs="Arial"/>
          <w:sz w:val="32"/>
          <w:szCs w:val="32"/>
        </w:rPr>
      </w:pPr>
      <w:bookmarkStart w:name="_GoBack" w:id="0"/>
      <w:bookmarkEnd w:id="0"/>
    </w:p>
    <w:p w:rsidR="003324A8" w:rsidP="00203CE3" w:rsidRDefault="003324A8">
      <w:pPr>
        <w:jc w:val="center"/>
        <w:rPr>
          <w:rFonts w:ascii="Arial" w:hAnsi="Arial" w:cs="Arial"/>
          <w:sz w:val="32"/>
          <w:szCs w:val="32"/>
        </w:rPr>
      </w:pPr>
    </w:p>
    <w:p w:rsidRPr="0073789C" w:rsidR="005C3DC2" w:rsidP="0073789C" w:rsidRDefault="005C3DC2">
      <w:pPr>
        <w:jc w:val="center"/>
        <w:rPr>
          <w:sz w:val="32"/>
        </w:rPr>
      </w:pPr>
      <w:r w:rsidRPr="0073789C">
        <w:rPr>
          <w:sz w:val="32"/>
        </w:rPr>
        <w:t xml:space="preserve">Supporting </w:t>
      </w:r>
      <w:proofErr w:type="gramStart"/>
      <w:r w:rsidRPr="0073789C">
        <w:rPr>
          <w:sz w:val="32"/>
        </w:rPr>
        <w:t>Statement</w:t>
      </w:r>
      <w:proofErr w:type="gramEnd"/>
      <w:r w:rsidRPr="0073789C">
        <w:rPr>
          <w:sz w:val="32"/>
        </w:rPr>
        <w:t xml:space="preserve"> A for</w:t>
      </w:r>
    </w:p>
    <w:p w:rsidRPr="0073789C" w:rsidR="00AC6BCB" w:rsidP="0073789C" w:rsidRDefault="00AC6BCB">
      <w:pPr>
        <w:jc w:val="center"/>
        <w:rPr>
          <w:sz w:val="32"/>
        </w:rPr>
      </w:pPr>
    </w:p>
    <w:p w:rsidRPr="0073789C" w:rsidR="009457E9" w:rsidP="0073789C" w:rsidRDefault="009457E9">
      <w:pPr>
        <w:jc w:val="center"/>
        <w:rPr>
          <w:b/>
          <w:sz w:val="32"/>
        </w:rPr>
      </w:pPr>
    </w:p>
    <w:p w:rsidRPr="0073789C" w:rsidR="003324A8" w:rsidP="00F61E22" w:rsidRDefault="003324A8">
      <w:pPr>
        <w:rPr>
          <w:b/>
          <w:sz w:val="32"/>
        </w:rPr>
      </w:pPr>
    </w:p>
    <w:p w:rsidRPr="0073789C" w:rsidR="00182FAD" w:rsidP="00341311" w:rsidRDefault="004723BF">
      <w:pPr>
        <w:jc w:val="center"/>
        <w:rPr>
          <w:b/>
          <w:sz w:val="32"/>
        </w:rPr>
      </w:pPr>
      <w:r w:rsidRPr="0073789C">
        <w:rPr>
          <w:b/>
          <w:sz w:val="32"/>
        </w:rPr>
        <w:t xml:space="preserve">Early Career Reviewer Program Application </w:t>
      </w:r>
      <w:r w:rsidRPr="0073789C" w:rsidR="00182FAD">
        <w:rPr>
          <w:b/>
          <w:sz w:val="32"/>
        </w:rPr>
        <w:t xml:space="preserve">and Vetting </w:t>
      </w:r>
      <w:r w:rsidRPr="0073789C">
        <w:rPr>
          <w:b/>
          <w:sz w:val="32"/>
        </w:rPr>
        <w:t xml:space="preserve">System </w:t>
      </w:r>
      <w:r w:rsidRPr="0073789C" w:rsidR="00182FAD">
        <w:rPr>
          <w:b/>
          <w:sz w:val="32"/>
        </w:rPr>
        <w:t>(EAVS)</w:t>
      </w:r>
    </w:p>
    <w:p w:rsidRPr="0073789C" w:rsidR="00182FAD" w:rsidP="00341311" w:rsidRDefault="00182FAD">
      <w:pPr>
        <w:jc w:val="center"/>
        <w:rPr>
          <w:b/>
          <w:sz w:val="32"/>
        </w:rPr>
      </w:pPr>
      <w:r w:rsidRPr="0073789C">
        <w:rPr>
          <w:b/>
          <w:sz w:val="32"/>
        </w:rPr>
        <w:t>National Institutes of Health</w:t>
      </w:r>
    </w:p>
    <w:p w:rsidR="005C3DC2" w:rsidP="00341311" w:rsidRDefault="004723BF">
      <w:pPr>
        <w:jc w:val="center"/>
        <w:rPr>
          <w:b/>
          <w:sz w:val="32"/>
        </w:rPr>
      </w:pPr>
      <w:r w:rsidRPr="0073789C">
        <w:rPr>
          <w:b/>
          <w:sz w:val="32"/>
        </w:rPr>
        <w:t>Center for Scientific Review (CSR)</w:t>
      </w:r>
    </w:p>
    <w:p w:rsidR="00D950C6" w:rsidP="0073789C" w:rsidRDefault="00D950C6">
      <w:pPr>
        <w:jc w:val="center"/>
        <w:rPr>
          <w:b/>
          <w:sz w:val="32"/>
        </w:rPr>
      </w:pPr>
    </w:p>
    <w:p w:rsidRPr="0073789C" w:rsidR="00D950C6" w:rsidP="0073789C" w:rsidRDefault="00D950C6">
      <w:pPr>
        <w:jc w:val="center"/>
        <w:rPr>
          <w:b/>
          <w:sz w:val="32"/>
        </w:rPr>
      </w:pPr>
    </w:p>
    <w:p w:rsidR="00D950C6" w:rsidP="00F61E22" w:rsidRDefault="009457E9">
      <w:pPr>
        <w:jc w:val="center"/>
        <w:rPr>
          <w:b/>
          <w:sz w:val="32"/>
        </w:rPr>
      </w:pPr>
      <w:r w:rsidRPr="0073789C">
        <w:rPr>
          <w:b/>
          <w:sz w:val="32"/>
        </w:rPr>
        <w:t>OMB</w:t>
      </w:r>
      <w:r w:rsidR="00D950C6">
        <w:rPr>
          <w:b/>
          <w:sz w:val="32"/>
        </w:rPr>
        <w:t>:</w:t>
      </w:r>
      <w:r w:rsidRPr="0073789C">
        <w:rPr>
          <w:b/>
          <w:sz w:val="32"/>
        </w:rPr>
        <w:t xml:space="preserve">  0925-0695</w:t>
      </w:r>
    </w:p>
    <w:p w:rsidR="00D950C6" w:rsidP="00F61E22" w:rsidRDefault="00D950C6">
      <w:pPr>
        <w:jc w:val="center"/>
        <w:rPr>
          <w:b/>
          <w:sz w:val="32"/>
        </w:rPr>
      </w:pPr>
      <w:r>
        <w:rPr>
          <w:b/>
          <w:sz w:val="32"/>
        </w:rPr>
        <w:t>Expiration Date: 0</w:t>
      </w:r>
      <w:r w:rsidR="00CC7199">
        <w:rPr>
          <w:b/>
          <w:sz w:val="32"/>
        </w:rPr>
        <w:t>5</w:t>
      </w:r>
      <w:r>
        <w:rPr>
          <w:b/>
          <w:sz w:val="32"/>
        </w:rPr>
        <w:t>/3</w:t>
      </w:r>
      <w:r w:rsidR="00CC7199">
        <w:rPr>
          <w:b/>
          <w:sz w:val="32"/>
        </w:rPr>
        <w:t>1</w:t>
      </w:r>
      <w:r>
        <w:rPr>
          <w:b/>
          <w:sz w:val="32"/>
        </w:rPr>
        <w:t>/20</w:t>
      </w:r>
      <w:r w:rsidR="00CC7199">
        <w:rPr>
          <w:b/>
          <w:sz w:val="32"/>
        </w:rPr>
        <w:t>20</w:t>
      </w:r>
    </w:p>
    <w:p w:rsidRPr="0073789C" w:rsidR="00AC6BCB" w:rsidP="00341311" w:rsidRDefault="00AC6BCB">
      <w:pPr>
        <w:rPr>
          <w:b/>
        </w:rPr>
      </w:pPr>
    </w:p>
    <w:p w:rsidRPr="0073789C" w:rsidR="00B44925" w:rsidP="00341311" w:rsidRDefault="00B44925">
      <w:pPr>
        <w:rPr>
          <w:color w:val="FF0000"/>
        </w:rPr>
      </w:pPr>
    </w:p>
    <w:p w:rsidRPr="0073789C" w:rsidR="009457E9" w:rsidP="0073789C" w:rsidRDefault="009457E9">
      <w:pPr>
        <w:jc w:val="center"/>
        <w:rPr>
          <w:color w:val="FF0000"/>
        </w:rPr>
      </w:pPr>
    </w:p>
    <w:p w:rsidRPr="0073789C" w:rsidR="00F13CCC" w:rsidP="0073789C" w:rsidRDefault="00F13CCC">
      <w:pPr>
        <w:rPr>
          <w:color w:val="000000"/>
          <w:sz w:val="32"/>
        </w:rPr>
      </w:pPr>
      <w:r w:rsidRPr="0073789C">
        <w:rPr>
          <w:color w:val="000000"/>
          <w:sz w:val="32"/>
        </w:rPr>
        <w:t xml:space="preserve">Date: </w:t>
      </w:r>
      <w:r w:rsidR="00CC7199">
        <w:rPr>
          <w:color w:val="000000"/>
          <w:sz w:val="32"/>
        </w:rPr>
        <w:t xml:space="preserve"> </w:t>
      </w:r>
      <w:r w:rsidR="00CE752F">
        <w:rPr>
          <w:color w:val="000000"/>
          <w:sz w:val="32"/>
        </w:rPr>
        <w:t>March</w:t>
      </w:r>
      <w:r w:rsidR="00555F3F">
        <w:rPr>
          <w:color w:val="000000"/>
          <w:sz w:val="32"/>
        </w:rPr>
        <w:t xml:space="preserve"> </w:t>
      </w:r>
      <w:r w:rsidR="007C7A4D">
        <w:rPr>
          <w:color w:val="000000"/>
          <w:sz w:val="32"/>
        </w:rPr>
        <w:t>27</w:t>
      </w:r>
      <w:r w:rsidR="00555F3F">
        <w:rPr>
          <w:color w:val="000000"/>
          <w:sz w:val="32"/>
        </w:rPr>
        <w:t>, 2020</w:t>
      </w:r>
    </w:p>
    <w:p w:rsidRPr="0073789C" w:rsidR="009457E9" w:rsidP="0073789C" w:rsidRDefault="009457E9">
      <w:pPr>
        <w:rPr>
          <w:sz w:val="32"/>
        </w:rPr>
      </w:pPr>
    </w:p>
    <w:p w:rsidRPr="008942E9" w:rsidR="00F61E22" w:rsidP="00F61E22" w:rsidRDefault="00F61E22">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F61E22" w:rsidP="00F61E22" w:rsidRDefault="00F61E22">
      <w:pPr>
        <w:pStyle w:val="ListParagraph"/>
        <w:numPr>
          <w:ilvl w:val="0"/>
          <w:numId w:val="6"/>
        </w:numPr>
        <w:contextualSpacing/>
      </w:pPr>
      <w:r>
        <w:t xml:space="preserve">New </w:t>
      </w:r>
    </w:p>
    <w:p w:rsidR="00F61E22" w:rsidP="00F61E22" w:rsidRDefault="00F61E22">
      <w:pPr>
        <w:ind w:left="360"/>
      </w:pPr>
      <w:r>
        <w:t>X   Revision</w:t>
      </w:r>
      <w:r>
        <w:tab/>
      </w:r>
      <w:r>
        <w:tab/>
      </w:r>
      <w:r>
        <w:tab/>
      </w:r>
    </w:p>
    <w:p w:rsidR="00F61E22" w:rsidP="00F61E22" w:rsidRDefault="00F61E22">
      <w:pPr>
        <w:numPr>
          <w:ilvl w:val="0"/>
          <w:numId w:val="6"/>
        </w:numPr>
      </w:pPr>
      <w:r>
        <w:t>Reinstatement with Change</w:t>
      </w:r>
    </w:p>
    <w:p w:rsidR="00F61E22" w:rsidP="00F61E22" w:rsidRDefault="00F61E22">
      <w:pPr>
        <w:numPr>
          <w:ilvl w:val="0"/>
          <w:numId w:val="6"/>
        </w:numPr>
      </w:pPr>
      <w:r>
        <w:t>Reinstatement without Change</w:t>
      </w:r>
    </w:p>
    <w:p w:rsidR="00F61E22" w:rsidP="00F61E22" w:rsidRDefault="00F61E22">
      <w:pPr>
        <w:numPr>
          <w:ilvl w:val="0"/>
          <w:numId w:val="6"/>
        </w:numPr>
      </w:pPr>
      <w:r>
        <w:t>Extension</w:t>
      </w:r>
    </w:p>
    <w:p w:rsidR="00F61E22" w:rsidP="00F61E22" w:rsidRDefault="00F61E22">
      <w:pPr>
        <w:numPr>
          <w:ilvl w:val="0"/>
          <w:numId w:val="6"/>
        </w:numPr>
      </w:pPr>
      <w:r>
        <w:t>Emergency</w:t>
      </w:r>
    </w:p>
    <w:p w:rsidR="00F61E22" w:rsidP="00F61E22" w:rsidRDefault="00F61E22">
      <w:pPr>
        <w:numPr>
          <w:ilvl w:val="0"/>
          <w:numId w:val="6"/>
        </w:numPr>
      </w:pPr>
      <w:r>
        <w:t>Existing w/o OMB approval</w:t>
      </w:r>
    </w:p>
    <w:p w:rsidR="00F61E22" w:rsidP="0073789C" w:rsidRDefault="00F61E22">
      <w:pPr>
        <w:rPr>
          <w:sz w:val="32"/>
        </w:rPr>
      </w:pPr>
    </w:p>
    <w:p w:rsidR="00F61E22" w:rsidP="0073789C" w:rsidRDefault="00F61E22">
      <w:pPr>
        <w:rPr>
          <w:sz w:val="32"/>
        </w:rPr>
      </w:pPr>
    </w:p>
    <w:p w:rsidRPr="0073789C" w:rsidR="009457E9" w:rsidP="0073789C" w:rsidRDefault="009457E9">
      <w:pPr>
        <w:rPr>
          <w:sz w:val="32"/>
        </w:rPr>
      </w:pPr>
      <w:r w:rsidRPr="0073789C">
        <w:rPr>
          <w:sz w:val="32"/>
        </w:rPr>
        <w:t xml:space="preserve">Name: </w:t>
      </w:r>
      <w:r w:rsidR="00992E82">
        <w:rPr>
          <w:sz w:val="32"/>
        </w:rPr>
        <w:t>Hope Cummings</w:t>
      </w:r>
      <w:r w:rsidRPr="0073789C">
        <w:rPr>
          <w:sz w:val="32"/>
        </w:rPr>
        <w:t>, Ph.D.</w:t>
      </w:r>
    </w:p>
    <w:p w:rsidRPr="0073789C" w:rsidR="009457E9" w:rsidP="0073789C" w:rsidRDefault="009457E9">
      <w:pPr>
        <w:rPr>
          <w:sz w:val="32"/>
        </w:rPr>
      </w:pPr>
      <w:r w:rsidRPr="0073789C">
        <w:rPr>
          <w:sz w:val="32"/>
        </w:rPr>
        <w:t xml:space="preserve">Address: 6701 Rockledge Drive, Room </w:t>
      </w:r>
      <w:r w:rsidR="00992E82">
        <w:rPr>
          <w:sz w:val="32"/>
        </w:rPr>
        <w:t>4134</w:t>
      </w:r>
      <w:r w:rsidRPr="0073789C">
        <w:rPr>
          <w:sz w:val="32"/>
        </w:rPr>
        <w:t>, Bethesda, MD, 20892-7776</w:t>
      </w:r>
    </w:p>
    <w:p w:rsidRPr="0073789C" w:rsidR="009457E9" w:rsidP="0073789C" w:rsidRDefault="009457E9">
      <w:pPr>
        <w:rPr>
          <w:sz w:val="32"/>
        </w:rPr>
      </w:pPr>
      <w:r w:rsidRPr="0073789C">
        <w:rPr>
          <w:sz w:val="32"/>
        </w:rPr>
        <w:t>Telephone: 301-4</w:t>
      </w:r>
      <w:r w:rsidR="00992E82">
        <w:rPr>
          <w:sz w:val="32"/>
        </w:rPr>
        <w:t>02</w:t>
      </w:r>
      <w:r w:rsidRPr="0073789C">
        <w:rPr>
          <w:sz w:val="32"/>
        </w:rPr>
        <w:t>-</w:t>
      </w:r>
      <w:r w:rsidR="00992E82">
        <w:rPr>
          <w:sz w:val="32"/>
        </w:rPr>
        <w:t>4706</w:t>
      </w:r>
    </w:p>
    <w:p w:rsidR="009457E9" w:rsidP="0073789C" w:rsidRDefault="009457E9">
      <w:pPr>
        <w:rPr>
          <w:sz w:val="32"/>
        </w:rPr>
      </w:pPr>
      <w:r w:rsidRPr="0073789C">
        <w:rPr>
          <w:sz w:val="32"/>
        </w:rPr>
        <w:t xml:space="preserve">Email:  </w:t>
      </w:r>
      <w:hyperlink w:history="1" r:id="rId8">
        <w:r w:rsidR="00992E82">
          <w:rPr>
            <w:rStyle w:val="Hyperlink"/>
            <w:sz w:val="32"/>
          </w:rPr>
          <w:t>hope.cummings</w:t>
        </w:r>
        <w:r w:rsidRPr="00412D5D" w:rsidR="0061213B">
          <w:rPr>
            <w:rStyle w:val="Hyperlink"/>
            <w:sz w:val="32"/>
          </w:rPr>
          <w:t>.nih.gov</w:t>
        </w:r>
      </w:hyperlink>
    </w:p>
    <w:p w:rsidRPr="0073789C" w:rsidR="0061213B" w:rsidP="0073789C" w:rsidRDefault="0061213B">
      <w:pPr>
        <w:rPr>
          <w:sz w:val="32"/>
        </w:rPr>
      </w:pPr>
    </w:p>
    <w:p w:rsidR="000953AC" w:rsidP="00556696" w:rsidRDefault="000953AC">
      <w:pPr>
        <w:tabs>
          <w:tab w:val="left" w:pos="3510"/>
        </w:tabs>
      </w:pPr>
    </w:p>
    <w:p w:rsidRPr="0073789C" w:rsidR="00253C78" w:rsidP="00203CE3" w:rsidRDefault="00253C78">
      <w:pPr>
        <w:tabs>
          <w:tab w:val="left" w:pos="3510"/>
        </w:tabs>
        <w:jc w:val="center"/>
      </w:pPr>
      <w:r w:rsidRPr="0073789C">
        <w:lastRenderedPageBreak/>
        <w:t xml:space="preserve">Table of </w:t>
      </w:r>
      <w:r w:rsidRPr="0073789C" w:rsidR="00A9767B">
        <w:t>C</w:t>
      </w:r>
      <w:r w:rsidRPr="0073789C">
        <w:t>ontents</w:t>
      </w:r>
    </w:p>
    <w:p w:rsidRPr="0073789C" w:rsidR="003324A8" w:rsidP="00203CE3" w:rsidRDefault="003324A8">
      <w:pPr>
        <w:tabs>
          <w:tab w:val="left" w:pos="3510"/>
        </w:tabs>
        <w:jc w:val="center"/>
      </w:pPr>
    </w:p>
    <w:p w:rsidRPr="0073789C" w:rsidR="00253C78" w:rsidP="006879EB" w:rsidRDefault="00253C78">
      <w:pPr>
        <w:pStyle w:val="TOC1"/>
        <w:jc w:val="left"/>
        <w:rPr>
          <w:rFonts w:ascii="Calibri" w:hAnsi="Calibri"/>
        </w:rPr>
      </w:pPr>
      <w:r w:rsidRPr="0073789C">
        <w:rPr>
          <w:rFonts w:ascii="Calibri" w:hAnsi="Calibri"/>
        </w:rPr>
        <w:fldChar w:fldCharType="begin"/>
      </w:r>
      <w:r w:rsidRPr="0073789C">
        <w:rPr>
          <w:rFonts w:ascii="Calibri" w:hAnsi="Calibri"/>
        </w:rPr>
        <w:instrText xml:space="preserve"> TOC \o "1-2" \u </w:instrText>
      </w:r>
      <w:r w:rsidRPr="0073789C">
        <w:rPr>
          <w:rFonts w:ascii="Calibri" w:hAnsi="Calibri"/>
        </w:rPr>
        <w:fldChar w:fldCharType="separate"/>
      </w:r>
      <w:r w:rsidRPr="0073789C">
        <w:rPr>
          <w:rFonts w:ascii="Calibri" w:hAnsi="Calibri"/>
        </w:rPr>
        <w:t>A.</w:t>
      </w:r>
      <w:r w:rsidRPr="0073789C">
        <w:rPr>
          <w:rFonts w:ascii="Calibri" w:hAnsi="Calibri"/>
        </w:rPr>
        <w:tab/>
      </w:r>
      <w:r w:rsidR="00FE24EE">
        <w:rPr>
          <w:caps w:val="0"/>
        </w:rPr>
        <w:t>ABSTRACT</w:t>
      </w:r>
      <w:r w:rsidRPr="0073789C">
        <w:rPr>
          <w:rFonts w:ascii="Calibri" w:hAnsi="Calibri"/>
        </w:rPr>
        <w:tab/>
      </w:r>
      <w:r w:rsidRPr="0073789C" w:rsidR="00BE6E7E">
        <w:rPr>
          <w:rFonts w:ascii="Calibri" w:hAnsi="Calibri"/>
        </w:rPr>
        <w:t>4</w:t>
      </w:r>
    </w:p>
    <w:p w:rsidRPr="0073789C" w:rsidR="00253C78" w:rsidP="006879EB" w:rsidRDefault="00253C78">
      <w:pPr>
        <w:pStyle w:val="TOC2"/>
        <w:rPr>
          <w:noProof/>
          <w:sz w:val="24"/>
          <w:szCs w:val="24"/>
        </w:rPr>
      </w:pPr>
      <w:r w:rsidRPr="0073789C">
        <w:rPr>
          <w:noProof/>
          <w:sz w:val="24"/>
          <w:szCs w:val="24"/>
        </w:rPr>
        <w:t>A.1</w:t>
      </w:r>
      <w:r w:rsidRPr="0073789C">
        <w:rPr>
          <w:noProof/>
          <w:sz w:val="24"/>
          <w:szCs w:val="24"/>
        </w:rPr>
        <w:tab/>
        <w:t>Circumstances Making the Collection of Information Necessary</w:t>
      </w:r>
      <w:r w:rsidRPr="0073789C">
        <w:rPr>
          <w:noProof/>
          <w:sz w:val="24"/>
          <w:szCs w:val="24"/>
        </w:rPr>
        <w:tab/>
      </w:r>
      <w:r w:rsidRPr="0073789C" w:rsidR="00BE6E7E">
        <w:rPr>
          <w:noProof/>
          <w:sz w:val="24"/>
          <w:szCs w:val="24"/>
        </w:rPr>
        <w:t>4</w:t>
      </w:r>
    </w:p>
    <w:p w:rsidRPr="0073789C" w:rsidR="00253C78" w:rsidP="006879EB" w:rsidRDefault="00253C78">
      <w:pPr>
        <w:pStyle w:val="TOC2"/>
        <w:rPr>
          <w:noProof/>
          <w:sz w:val="24"/>
          <w:szCs w:val="24"/>
        </w:rPr>
      </w:pPr>
      <w:r w:rsidRPr="0073789C">
        <w:rPr>
          <w:noProof/>
          <w:sz w:val="24"/>
          <w:szCs w:val="24"/>
        </w:rPr>
        <w:t>A.2.</w:t>
      </w:r>
      <w:r w:rsidRPr="0073789C">
        <w:rPr>
          <w:noProof/>
          <w:sz w:val="24"/>
          <w:szCs w:val="24"/>
        </w:rPr>
        <w:tab/>
        <w:t>Purpose and Use of the Information C</w:t>
      </w:r>
      <w:r w:rsidRPr="0073789C" w:rsidR="00786D86">
        <w:rPr>
          <w:noProof/>
          <w:sz w:val="24"/>
          <w:szCs w:val="24"/>
        </w:rPr>
        <w:t>ollection</w:t>
      </w:r>
      <w:r w:rsidRPr="0073789C">
        <w:rPr>
          <w:noProof/>
          <w:sz w:val="24"/>
          <w:szCs w:val="24"/>
        </w:rPr>
        <w:tab/>
      </w:r>
      <w:r w:rsidRPr="0073789C" w:rsidR="00BE6E7E">
        <w:rPr>
          <w:noProof/>
          <w:sz w:val="24"/>
          <w:szCs w:val="24"/>
        </w:rPr>
        <w:t>5</w:t>
      </w:r>
    </w:p>
    <w:p w:rsidRPr="0073789C" w:rsidR="00253C78" w:rsidP="006879EB" w:rsidRDefault="00253C78">
      <w:pPr>
        <w:pStyle w:val="TOC2"/>
        <w:rPr>
          <w:noProof/>
          <w:sz w:val="24"/>
          <w:szCs w:val="24"/>
        </w:rPr>
      </w:pPr>
      <w:r w:rsidRPr="0073789C">
        <w:rPr>
          <w:noProof/>
          <w:sz w:val="24"/>
          <w:szCs w:val="24"/>
        </w:rPr>
        <w:t>A.3</w:t>
      </w:r>
      <w:r w:rsidRPr="0073789C">
        <w:rPr>
          <w:noProof/>
          <w:sz w:val="24"/>
          <w:szCs w:val="24"/>
        </w:rPr>
        <w:tab/>
        <w:t>Use of Information Technology and Burden Reduction</w:t>
      </w:r>
      <w:r w:rsidRPr="0073789C">
        <w:rPr>
          <w:noProof/>
          <w:sz w:val="24"/>
          <w:szCs w:val="24"/>
        </w:rPr>
        <w:tab/>
      </w:r>
      <w:r w:rsidRPr="0073789C" w:rsidR="00BE6E7E">
        <w:rPr>
          <w:noProof/>
          <w:sz w:val="24"/>
          <w:szCs w:val="24"/>
        </w:rPr>
        <w:t>6</w:t>
      </w:r>
    </w:p>
    <w:p w:rsidRPr="0073789C" w:rsidR="00253C78" w:rsidP="006879EB" w:rsidRDefault="00253C78">
      <w:pPr>
        <w:pStyle w:val="TOC2"/>
        <w:rPr>
          <w:noProof/>
          <w:sz w:val="24"/>
          <w:szCs w:val="24"/>
        </w:rPr>
      </w:pPr>
      <w:r w:rsidRPr="0073789C">
        <w:rPr>
          <w:noProof/>
          <w:sz w:val="24"/>
          <w:szCs w:val="24"/>
        </w:rPr>
        <w:t>A.4</w:t>
      </w:r>
      <w:r w:rsidRPr="0073789C">
        <w:rPr>
          <w:noProof/>
          <w:sz w:val="24"/>
          <w:szCs w:val="24"/>
        </w:rPr>
        <w:tab/>
        <w:t>Efforts to Identify Duplication and Use of Similar Information</w:t>
      </w:r>
      <w:r w:rsidRPr="0073789C">
        <w:rPr>
          <w:noProof/>
          <w:sz w:val="24"/>
          <w:szCs w:val="24"/>
        </w:rPr>
        <w:tab/>
      </w:r>
      <w:r w:rsidRPr="0073789C" w:rsidR="00422200">
        <w:rPr>
          <w:noProof/>
          <w:sz w:val="24"/>
          <w:szCs w:val="24"/>
        </w:rPr>
        <w:t>7</w:t>
      </w:r>
    </w:p>
    <w:p w:rsidRPr="0073789C" w:rsidR="00253C78" w:rsidP="006879EB" w:rsidRDefault="00253C78">
      <w:pPr>
        <w:pStyle w:val="TOC2"/>
        <w:rPr>
          <w:noProof/>
          <w:sz w:val="24"/>
          <w:szCs w:val="24"/>
        </w:rPr>
      </w:pPr>
      <w:r w:rsidRPr="0073789C">
        <w:rPr>
          <w:noProof/>
          <w:sz w:val="24"/>
          <w:szCs w:val="24"/>
        </w:rPr>
        <w:t>A.5</w:t>
      </w:r>
      <w:r w:rsidRPr="0073789C">
        <w:rPr>
          <w:noProof/>
          <w:sz w:val="24"/>
          <w:szCs w:val="24"/>
        </w:rPr>
        <w:tab/>
        <w:t>Impact on Small Businesses or Other Small Entities</w:t>
      </w:r>
      <w:r w:rsidRPr="0073789C">
        <w:rPr>
          <w:noProof/>
          <w:sz w:val="24"/>
          <w:szCs w:val="24"/>
        </w:rPr>
        <w:tab/>
      </w:r>
      <w:r w:rsidRPr="0073789C" w:rsidR="00422200">
        <w:rPr>
          <w:noProof/>
          <w:sz w:val="24"/>
          <w:szCs w:val="24"/>
        </w:rPr>
        <w:t>7</w:t>
      </w:r>
    </w:p>
    <w:p w:rsidRPr="0073789C" w:rsidR="00253C78" w:rsidP="006879EB" w:rsidRDefault="00253C78">
      <w:pPr>
        <w:pStyle w:val="TOC2"/>
        <w:rPr>
          <w:noProof/>
          <w:sz w:val="24"/>
          <w:szCs w:val="24"/>
        </w:rPr>
      </w:pPr>
      <w:r w:rsidRPr="0073789C">
        <w:rPr>
          <w:noProof/>
          <w:sz w:val="24"/>
          <w:szCs w:val="24"/>
        </w:rPr>
        <w:t>A.6</w:t>
      </w:r>
      <w:r w:rsidRPr="0073789C">
        <w:rPr>
          <w:noProof/>
          <w:sz w:val="24"/>
          <w:szCs w:val="24"/>
        </w:rPr>
        <w:tab/>
        <w:t>Consequences of Collecting the Information Less Frequently</w:t>
      </w:r>
      <w:r w:rsidRPr="0073789C">
        <w:rPr>
          <w:noProof/>
          <w:sz w:val="24"/>
          <w:szCs w:val="24"/>
        </w:rPr>
        <w:tab/>
      </w:r>
      <w:r w:rsidRPr="0073789C" w:rsidR="00422200">
        <w:rPr>
          <w:noProof/>
          <w:sz w:val="24"/>
          <w:szCs w:val="24"/>
        </w:rPr>
        <w:t>7</w:t>
      </w:r>
    </w:p>
    <w:p w:rsidRPr="0073789C" w:rsidR="00253C78" w:rsidP="006879EB" w:rsidRDefault="00253C78">
      <w:pPr>
        <w:pStyle w:val="TOC2"/>
        <w:rPr>
          <w:noProof/>
          <w:sz w:val="24"/>
          <w:szCs w:val="24"/>
        </w:rPr>
      </w:pPr>
      <w:r w:rsidRPr="0073789C">
        <w:rPr>
          <w:noProof/>
          <w:sz w:val="24"/>
          <w:szCs w:val="24"/>
        </w:rPr>
        <w:t>A.7</w:t>
      </w:r>
      <w:r w:rsidRPr="0073789C">
        <w:rPr>
          <w:noProof/>
          <w:sz w:val="24"/>
          <w:szCs w:val="24"/>
        </w:rPr>
        <w:tab/>
        <w:t>Special Circumstances Relating to the Guidelines of 5 CFR 1320.5</w:t>
      </w:r>
      <w:r w:rsidRPr="0073789C">
        <w:rPr>
          <w:noProof/>
          <w:sz w:val="24"/>
          <w:szCs w:val="24"/>
        </w:rPr>
        <w:tab/>
      </w:r>
      <w:r w:rsidRPr="0073789C" w:rsidR="00422200">
        <w:rPr>
          <w:noProof/>
          <w:sz w:val="24"/>
          <w:szCs w:val="24"/>
        </w:rPr>
        <w:t>8</w:t>
      </w:r>
    </w:p>
    <w:p w:rsidRPr="0073789C" w:rsidR="00253C78" w:rsidP="006879EB" w:rsidRDefault="00253C78">
      <w:pPr>
        <w:pStyle w:val="TOC2"/>
        <w:rPr>
          <w:noProof/>
          <w:sz w:val="24"/>
          <w:szCs w:val="24"/>
        </w:rPr>
      </w:pPr>
      <w:r w:rsidRPr="0073789C">
        <w:rPr>
          <w:noProof/>
          <w:sz w:val="24"/>
          <w:szCs w:val="24"/>
        </w:rPr>
        <w:t>A.8</w:t>
      </w:r>
      <w:r w:rsidRPr="0073789C">
        <w:rPr>
          <w:noProof/>
          <w:sz w:val="24"/>
          <w:szCs w:val="24"/>
        </w:rPr>
        <w:tab/>
        <w:t xml:space="preserve">Comments in Response to the Federal Register Notice and Efforts to Consult Outside </w:t>
      </w:r>
      <w:r w:rsidRPr="0073789C">
        <w:rPr>
          <w:noProof/>
          <w:sz w:val="24"/>
          <w:szCs w:val="24"/>
        </w:rPr>
        <w:tab/>
      </w:r>
      <w:r w:rsidRPr="0073789C" w:rsidR="00422200">
        <w:rPr>
          <w:noProof/>
          <w:sz w:val="24"/>
          <w:szCs w:val="24"/>
        </w:rPr>
        <w:t>8</w:t>
      </w:r>
    </w:p>
    <w:p w:rsidRPr="0073789C" w:rsidR="00253C78" w:rsidP="006879EB" w:rsidRDefault="00253C78">
      <w:pPr>
        <w:pStyle w:val="TOC2"/>
        <w:rPr>
          <w:noProof/>
          <w:sz w:val="24"/>
          <w:szCs w:val="24"/>
        </w:rPr>
      </w:pPr>
      <w:r w:rsidRPr="0073789C">
        <w:rPr>
          <w:noProof/>
          <w:sz w:val="24"/>
          <w:szCs w:val="24"/>
        </w:rPr>
        <w:t>A.9</w:t>
      </w:r>
      <w:r w:rsidRPr="0073789C">
        <w:rPr>
          <w:noProof/>
          <w:sz w:val="24"/>
          <w:szCs w:val="24"/>
        </w:rPr>
        <w:tab/>
        <w:t>Explanation of Any Payment of Gift to Respondents</w:t>
      </w:r>
      <w:r w:rsidRPr="0073789C">
        <w:rPr>
          <w:noProof/>
          <w:sz w:val="24"/>
          <w:szCs w:val="24"/>
        </w:rPr>
        <w:tab/>
      </w:r>
      <w:r w:rsidRPr="0073789C" w:rsidR="00644869">
        <w:rPr>
          <w:noProof/>
          <w:sz w:val="24"/>
          <w:szCs w:val="24"/>
        </w:rPr>
        <w:t>9</w:t>
      </w:r>
    </w:p>
    <w:p w:rsidRPr="0073789C" w:rsidR="00253C78" w:rsidP="006879EB" w:rsidRDefault="00253C78">
      <w:pPr>
        <w:pStyle w:val="TOC2"/>
        <w:rPr>
          <w:noProof/>
          <w:sz w:val="24"/>
          <w:szCs w:val="24"/>
        </w:rPr>
      </w:pPr>
      <w:r w:rsidRPr="0073789C">
        <w:rPr>
          <w:noProof/>
          <w:sz w:val="24"/>
          <w:szCs w:val="24"/>
        </w:rPr>
        <w:t>A.10</w:t>
      </w:r>
      <w:r w:rsidRPr="0073789C">
        <w:rPr>
          <w:noProof/>
          <w:sz w:val="24"/>
          <w:szCs w:val="24"/>
        </w:rPr>
        <w:tab/>
        <w:t>Assurance of Confidentiality Provided to Respondents</w:t>
      </w:r>
      <w:r w:rsidRPr="0073789C">
        <w:rPr>
          <w:noProof/>
          <w:sz w:val="24"/>
          <w:szCs w:val="24"/>
        </w:rPr>
        <w:tab/>
      </w:r>
      <w:r w:rsidRPr="0073789C" w:rsidR="00644869">
        <w:rPr>
          <w:noProof/>
          <w:sz w:val="24"/>
          <w:szCs w:val="24"/>
        </w:rPr>
        <w:t>9</w:t>
      </w:r>
    </w:p>
    <w:p w:rsidRPr="0073789C" w:rsidR="00253C78" w:rsidP="006879EB" w:rsidRDefault="00253C78">
      <w:pPr>
        <w:pStyle w:val="TOC2"/>
        <w:rPr>
          <w:noProof/>
          <w:sz w:val="24"/>
          <w:szCs w:val="24"/>
        </w:rPr>
      </w:pPr>
      <w:r w:rsidRPr="0073789C">
        <w:rPr>
          <w:noProof/>
          <w:sz w:val="24"/>
          <w:szCs w:val="24"/>
        </w:rPr>
        <w:t>A.11</w:t>
      </w:r>
      <w:r w:rsidRPr="0073789C">
        <w:rPr>
          <w:noProof/>
          <w:sz w:val="24"/>
          <w:szCs w:val="24"/>
        </w:rPr>
        <w:tab/>
        <w:t>Justification for Sensitive Questions</w:t>
      </w:r>
      <w:r w:rsidRPr="0073789C">
        <w:rPr>
          <w:noProof/>
          <w:sz w:val="24"/>
          <w:szCs w:val="24"/>
        </w:rPr>
        <w:tab/>
      </w:r>
      <w:r w:rsidRPr="0073789C" w:rsidR="00644869">
        <w:rPr>
          <w:noProof/>
          <w:sz w:val="24"/>
          <w:szCs w:val="24"/>
        </w:rPr>
        <w:t>11</w:t>
      </w:r>
    </w:p>
    <w:p w:rsidRPr="0073789C" w:rsidR="00253C78" w:rsidP="006879EB" w:rsidRDefault="00253C78">
      <w:pPr>
        <w:pStyle w:val="TOC2"/>
        <w:rPr>
          <w:noProof/>
          <w:sz w:val="24"/>
          <w:szCs w:val="24"/>
        </w:rPr>
      </w:pPr>
      <w:r w:rsidRPr="0073789C">
        <w:rPr>
          <w:noProof/>
          <w:sz w:val="24"/>
          <w:szCs w:val="24"/>
        </w:rPr>
        <w:t>A.12</w:t>
      </w:r>
      <w:r w:rsidRPr="0073789C">
        <w:rPr>
          <w:noProof/>
          <w:sz w:val="24"/>
          <w:szCs w:val="24"/>
        </w:rPr>
        <w:tab/>
        <w:t>Estimates of Hour Burden Including Annualized Hourly Costs</w:t>
      </w:r>
      <w:r w:rsidRPr="0073789C">
        <w:rPr>
          <w:noProof/>
          <w:sz w:val="24"/>
          <w:szCs w:val="24"/>
        </w:rPr>
        <w:tab/>
      </w:r>
      <w:r w:rsidRPr="0073789C" w:rsidR="00644869">
        <w:rPr>
          <w:noProof/>
          <w:sz w:val="24"/>
          <w:szCs w:val="24"/>
        </w:rPr>
        <w:t>11</w:t>
      </w:r>
    </w:p>
    <w:p w:rsidRPr="0073789C" w:rsidR="00253C78" w:rsidP="006879EB" w:rsidRDefault="00253C78">
      <w:pPr>
        <w:pStyle w:val="TOC2"/>
        <w:rPr>
          <w:noProof/>
          <w:sz w:val="24"/>
          <w:szCs w:val="24"/>
        </w:rPr>
      </w:pPr>
      <w:r w:rsidRPr="0073789C">
        <w:rPr>
          <w:noProof/>
          <w:sz w:val="24"/>
          <w:szCs w:val="24"/>
        </w:rPr>
        <w:t>A.13</w:t>
      </w:r>
      <w:r w:rsidRPr="0073789C">
        <w:rPr>
          <w:noProof/>
          <w:sz w:val="24"/>
          <w:szCs w:val="24"/>
        </w:rPr>
        <w:tab/>
        <w:t>Estimate of Other Total Annual Cost Burden to Respondents or Record</w:t>
      </w:r>
    </w:p>
    <w:p w:rsidRPr="0073789C" w:rsidR="00253C78" w:rsidP="006879EB" w:rsidRDefault="00253C78">
      <w:pPr>
        <w:pStyle w:val="TOC2"/>
        <w:rPr>
          <w:noProof/>
          <w:sz w:val="24"/>
          <w:szCs w:val="24"/>
        </w:rPr>
      </w:pPr>
      <w:r w:rsidRPr="0073789C">
        <w:rPr>
          <w:noProof/>
          <w:sz w:val="24"/>
          <w:szCs w:val="24"/>
        </w:rPr>
        <w:tab/>
        <w:t xml:space="preserve"> keepers</w:t>
      </w:r>
      <w:r w:rsidRPr="0073789C">
        <w:rPr>
          <w:noProof/>
          <w:sz w:val="24"/>
          <w:szCs w:val="24"/>
        </w:rPr>
        <w:tab/>
      </w:r>
      <w:r w:rsidRPr="0073789C" w:rsidR="00644869">
        <w:rPr>
          <w:noProof/>
          <w:sz w:val="24"/>
          <w:szCs w:val="24"/>
        </w:rPr>
        <w:t>13</w:t>
      </w:r>
    </w:p>
    <w:p w:rsidRPr="0073789C" w:rsidR="00253C78" w:rsidP="006879EB" w:rsidRDefault="00253C78">
      <w:pPr>
        <w:pStyle w:val="TOC2"/>
        <w:rPr>
          <w:noProof/>
          <w:sz w:val="24"/>
          <w:szCs w:val="24"/>
        </w:rPr>
      </w:pPr>
      <w:r w:rsidRPr="0073789C">
        <w:rPr>
          <w:noProof/>
          <w:sz w:val="24"/>
          <w:szCs w:val="24"/>
        </w:rPr>
        <w:t>A.14</w:t>
      </w:r>
      <w:r w:rsidRPr="0073789C">
        <w:rPr>
          <w:noProof/>
          <w:sz w:val="24"/>
          <w:szCs w:val="24"/>
        </w:rPr>
        <w:tab/>
        <w:t>Annualized Cost to the Federal Government</w:t>
      </w:r>
      <w:r w:rsidRPr="0073789C">
        <w:rPr>
          <w:noProof/>
          <w:sz w:val="24"/>
          <w:szCs w:val="24"/>
        </w:rPr>
        <w:tab/>
      </w:r>
      <w:r w:rsidRPr="0073789C" w:rsidR="00644869">
        <w:rPr>
          <w:noProof/>
          <w:sz w:val="24"/>
          <w:szCs w:val="24"/>
        </w:rPr>
        <w:t>13</w:t>
      </w:r>
    </w:p>
    <w:p w:rsidRPr="0073789C" w:rsidR="00253C78" w:rsidP="006879EB" w:rsidRDefault="00253C78">
      <w:pPr>
        <w:pStyle w:val="TOC2"/>
        <w:rPr>
          <w:noProof/>
          <w:sz w:val="24"/>
          <w:szCs w:val="24"/>
        </w:rPr>
      </w:pPr>
      <w:r w:rsidRPr="0073789C">
        <w:rPr>
          <w:noProof/>
          <w:sz w:val="24"/>
          <w:szCs w:val="24"/>
        </w:rPr>
        <w:t>A.15</w:t>
      </w:r>
      <w:r w:rsidRPr="0073789C">
        <w:rPr>
          <w:noProof/>
          <w:sz w:val="24"/>
          <w:szCs w:val="24"/>
        </w:rPr>
        <w:tab/>
        <w:t>Explanation for Program Changes or Adjustments</w:t>
      </w:r>
      <w:r w:rsidRPr="0073789C">
        <w:rPr>
          <w:noProof/>
          <w:sz w:val="24"/>
          <w:szCs w:val="24"/>
        </w:rPr>
        <w:tab/>
      </w:r>
      <w:r w:rsidRPr="0073789C" w:rsidR="00644869">
        <w:rPr>
          <w:noProof/>
          <w:sz w:val="24"/>
          <w:szCs w:val="24"/>
        </w:rPr>
        <w:t>13</w:t>
      </w:r>
    </w:p>
    <w:p w:rsidRPr="0073789C" w:rsidR="00253C78" w:rsidP="006879EB" w:rsidRDefault="00253C78">
      <w:pPr>
        <w:pStyle w:val="TOC2"/>
        <w:rPr>
          <w:noProof/>
          <w:sz w:val="24"/>
          <w:szCs w:val="24"/>
        </w:rPr>
      </w:pPr>
      <w:r w:rsidRPr="0073789C">
        <w:rPr>
          <w:noProof/>
          <w:sz w:val="24"/>
          <w:szCs w:val="24"/>
        </w:rPr>
        <w:t>A.16</w:t>
      </w:r>
      <w:r w:rsidRPr="0073789C">
        <w:rPr>
          <w:noProof/>
          <w:sz w:val="24"/>
          <w:szCs w:val="24"/>
        </w:rPr>
        <w:tab/>
        <w:t>Plans for Tabulation and Publication and Project Time Schedule</w:t>
      </w:r>
      <w:r w:rsidRPr="0073789C">
        <w:rPr>
          <w:noProof/>
          <w:sz w:val="24"/>
          <w:szCs w:val="24"/>
        </w:rPr>
        <w:tab/>
      </w:r>
      <w:r w:rsidRPr="0073789C" w:rsidR="00644869">
        <w:rPr>
          <w:noProof/>
          <w:sz w:val="24"/>
          <w:szCs w:val="24"/>
        </w:rPr>
        <w:t>14</w:t>
      </w:r>
    </w:p>
    <w:p w:rsidRPr="0073789C" w:rsidR="00253C78" w:rsidP="006879EB" w:rsidRDefault="00253C78">
      <w:pPr>
        <w:pStyle w:val="TOC2"/>
        <w:rPr>
          <w:noProof/>
          <w:sz w:val="24"/>
          <w:szCs w:val="24"/>
        </w:rPr>
      </w:pPr>
      <w:r w:rsidRPr="0073789C">
        <w:rPr>
          <w:noProof/>
          <w:sz w:val="24"/>
          <w:szCs w:val="24"/>
        </w:rPr>
        <w:t>A.17</w:t>
      </w:r>
      <w:r w:rsidRPr="0073789C">
        <w:rPr>
          <w:noProof/>
          <w:sz w:val="24"/>
          <w:szCs w:val="24"/>
        </w:rPr>
        <w:tab/>
        <w:t>Reason(s) Display of OMB Expiration Date is Inappropriate</w:t>
      </w:r>
      <w:r w:rsidRPr="0073789C">
        <w:rPr>
          <w:noProof/>
          <w:sz w:val="24"/>
          <w:szCs w:val="24"/>
        </w:rPr>
        <w:tab/>
      </w:r>
      <w:r w:rsidRPr="0073789C" w:rsidR="00644869">
        <w:rPr>
          <w:noProof/>
          <w:sz w:val="24"/>
          <w:szCs w:val="24"/>
        </w:rPr>
        <w:t>14</w:t>
      </w:r>
    </w:p>
    <w:p w:rsidRPr="0073789C" w:rsidR="00253C78" w:rsidP="006879EB" w:rsidRDefault="00253C78">
      <w:pPr>
        <w:pStyle w:val="TOC2"/>
        <w:rPr>
          <w:noProof/>
          <w:sz w:val="24"/>
          <w:szCs w:val="24"/>
        </w:rPr>
      </w:pPr>
      <w:r w:rsidRPr="0073789C">
        <w:rPr>
          <w:noProof/>
          <w:sz w:val="24"/>
          <w:szCs w:val="24"/>
        </w:rPr>
        <w:t>A.18</w:t>
      </w:r>
      <w:r w:rsidRPr="0073789C">
        <w:rPr>
          <w:noProof/>
          <w:sz w:val="24"/>
          <w:szCs w:val="24"/>
        </w:rPr>
        <w:tab/>
        <w:t>Exceptions to Certification for Paperwork Reduction Act Submissions</w:t>
      </w:r>
      <w:r w:rsidRPr="0073789C">
        <w:rPr>
          <w:noProof/>
          <w:sz w:val="24"/>
          <w:szCs w:val="24"/>
        </w:rPr>
        <w:tab/>
      </w:r>
      <w:r w:rsidRPr="0073789C" w:rsidR="00644869">
        <w:rPr>
          <w:noProof/>
          <w:sz w:val="24"/>
          <w:szCs w:val="24"/>
        </w:rPr>
        <w:t>14</w:t>
      </w:r>
    </w:p>
    <w:p w:rsidR="00DC3428" w:rsidP="00203CE3" w:rsidRDefault="00253C78">
      <w:pPr>
        <w:rPr>
          <w:caps/>
          <w:noProof/>
        </w:rPr>
      </w:pPr>
      <w:r w:rsidRPr="0073789C">
        <w:rPr>
          <w:rFonts w:ascii="Calibri" w:hAnsi="Calibri"/>
          <w:caps/>
          <w:noProof/>
        </w:rPr>
        <w:fldChar w:fldCharType="end"/>
      </w:r>
    </w:p>
    <w:p w:rsidRPr="00053193" w:rsidR="004A70E1" w:rsidP="0061213B" w:rsidRDefault="00DC3428">
      <w:pPr>
        <w:jc w:val="center"/>
      </w:pPr>
      <w:r>
        <w:rPr>
          <w:caps/>
          <w:noProof/>
        </w:rPr>
        <w:br w:type="page"/>
      </w:r>
      <w:r w:rsidRPr="00053193" w:rsidR="004A70E1">
        <w:rPr>
          <w:b/>
          <w:caps/>
          <w:noProof/>
        </w:rPr>
        <w:lastRenderedPageBreak/>
        <w:t>List of Attachments</w:t>
      </w:r>
      <w:r w:rsidRPr="00053193" w:rsidR="004A70E1">
        <w:t>:</w:t>
      </w:r>
    </w:p>
    <w:p w:rsidR="00053193" w:rsidP="00203CE3" w:rsidRDefault="00053193">
      <w:pPr>
        <w:pStyle w:val="P1-StandPara"/>
        <w:spacing w:line="240" w:lineRule="auto"/>
        <w:ind w:right="-216" w:firstLine="0"/>
        <w:jc w:val="center"/>
        <w:rPr>
          <w:sz w:val="24"/>
          <w:szCs w:val="24"/>
        </w:rPr>
      </w:pPr>
    </w:p>
    <w:p w:rsidRPr="00053193" w:rsidR="003324A8" w:rsidP="00203CE3" w:rsidRDefault="003324A8">
      <w:pPr>
        <w:pStyle w:val="P1-StandPara"/>
        <w:spacing w:line="240" w:lineRule="auto"/>
        <w:ind w:right="-216" w:firstLine="0"/>
        <w:jc w:val="center"/>
        <w:rPr>
          <w:sz w:val="24"/>
          <w:szCs w:val="24"/>
        </w:rPr>
      </w:pPr>
    </w:p>
    <w:p w:rsidR="007C22DD" w:rsidP="00053193" w:rsidRDefault="00163A84">
      <w:pPr>
        <w:pStyle w:val="P1-StandPara"/>
        <w:spacing w:line="240" w:lineRule="auto"/>
        <w:ind w:firstLine="0"/>
        <w:rPr>
          <w:sz w:val="24"/>
          <w:szCs w:val="24"/>
        </w:rPr>
      </w:pPr>
      <w:r>
        <w:rPr>
          <w:sz w:val="24"/>
          <w:szCs w:val="24"/>
        </w:rPr>
        <w:t>Attachment 1</w:t>
      </w:r>
      <w:r w:rsidRPr="00053193" w:rsidR="00053193">
        <w:rPr>
          <w:sz w:val="24"/>
          <w:szCs w:val="24"/>
        </w:rPr>
        <w:t>: Screen Shots of Onlin</w:t>
      </w:r>
      <w:r w:rsidR="00053193">
        <w:rPr>
          <w:sz w:val="24"/>
          <w:szCs w:val="24"/>
        </w:rPr>
        <w:t xml:space="preserve">e Application </w:t>
      </w:r>
    </w:p>
    <w:p w:rsidRPr="00053193" w:rsidR="00053193" w:rsidP="00053193" w:rsidRDefault="00163A84">
      <w:pPr>
        <w:pStyle w:val="P1-StandPara"/>
        <w:spacing w:line="240" w:lineRule="auto"/>
        <w:ind w:firstLine="0"/>
        <w:rPr>
          <w:sz w:val="24"/>
          <w:szCs w:val="24"/>
        </w:rPr>
      </w:pPr>
      <w:r>
        <w:rPr>
          <w:sz w:val="24"/>
          <w:szCs w:val="24"/>
        </w:rPr>
        <w:t>Attachment 2</w:t>
      </w:r>
      <w:r w:rsidRPr="00053193" w:rsidR="00053193">
        <w:rPr>
          <w:sz w:val="24"/>
          <w:szCs w:val="24"/>
        </w:rPr>
        <w:t xml:space="preserve">: </w:t>
      </w:r>
      <w:r w:rsidRPr="00F042FF" w:rsidR="00F042FF">
        <w:rPr>
          <w:sz w:val="24"/>
          <w:szCs w:val="24"/>
        </w:rPr>
        <w:t xml:space="preserve">Sample Letters to Applicants </w:t>
      </w:r>
    </w:p>
    <w:p w:rsidRPr="00053193" w:rsidR="00053193" w:rsidP="00053193" w:rsidRDefault="00163A84">
      <w:pPr>
        <w:pStyle w:val="P1-StandPara"/>
        <w:spacing w:line="240" w:lineRule="auto"/>
        <w:ind w:firstLine="0"/>
        <w:rPr>
          <w:sz w:val="24"/>
          <w:szCs w:val="24"/>
        </w:rPr>
      </w:pPr>
      <w:r>
        <w:rPr>
          <w:sz w:val="24"/>
          <w:szCs w:val="24"/>
        </w:rPr>
        <w:t>Attachment 3</w:t>
      </w:r>
      <w:r w:rsidRPr="00053193" w:rsidR="00053193">
        <w:rPr>
          <w:sz w:val="24"/>
          <w:szCs w:val="24"/>
        </w:rPr>
        <w:t xml:space="preserve">: ECR Website - www.csr.nih.gov/ECR </w:t>
      </w:r>
    </w:p>
    <w:p w:rsidR="00FD5FA2" w:rsidP="00053193" w:rsidRDefault="00163A84">
      <w:pPr>
        <w:pStyle w:val="P1-StandPara"/>
        <w:spacing w:line="240" w:lineRule="auto"/>
        <w:ind w:firstLine="0"/>
        <w:rPr>
          <w:sz w:val="24"/>
          <w:szCs w:val="24"/>
        </w:rPr>
      </w:pPr>
      <w:r w:rsidRPr="00D83A7F">
        <w:rPr>
          <w:sz w:val="24"/>
          <w:szCs w:val="24"/>
        </w:rPr>
        <w:t xml:space="preserve">Attachment </w:t>
      </w:r>
      <w:r w:rsidRPr="00D83A7F" w:rsidR="00244CD8">
        <w:rPr>
          <w:sz w:val="24"/>
          <w:szCs w:val="24"/>
        </w:rPr>
        <w:t>4</w:t>
      </w:r>
      <w:r w:rsidRPr="00D83A7F" w:rsidR="00053193">
        <w:rPr>
          <w:sz w:val="24"/>
          <w:szCs w:val="24"/>
        </w:rPr>
        <w:t>:</w:t>
      </w:r>
      <w:r w:rsidRPr="00D83A7F" w:rsidR="00F042FF">
        <w:t xml:space="preserve"> </w:t>
      </w:r>
      <w:r w:rsidRPr="00D83A7F" w:rsidR="00F042FF">
        <w:rPr>
          <w:sz w:val="24"/>
          <w:szCs w:val="24"/>
        </w:rPr>
        <w:t>Privacy</w:t>
      </w:r>
      <w:r w:rsidR="00FD5FA2">
        <w:rPr>
          <w:sz w:val="24"/>
          <w:szCs w:val="24"/>
        </w:rPr>
        <w:t xml:space="preserve"> Impact Assessment (PIA)</w:t>
      </w:r>
    </w:p>
    <w:p w:rsidR="00053193" w:rsidP="00053193" w:rsidRDefault="00FD5FA2">
      <w:pPr>
        <w:pStyle w:val="P1-StandPara"/>
        <w:spacing w:line="240" w:lineRule="auto"/>
        <w:ind w:firstLine="0"/>
        <w:rPr>
          <w:sz w:val="24"/>
          <w:szCs w:val="24"/>
        </w:rPr>
      </w:pPr>
      <w:r>
        <w:rPr>
          <w:sz w:val="24"/>
          <w:szCs w:val="24"/>
        </w:rPr>
        <w:t>Attachment 5: Privacy Act</w:t>
      </w:r>
      <w:r w:rsidRPr="00D83A7F" w:rsidR="00F042FF">
        <w:rPr>
          <w:sz w:val="24"/>
          <w:szCs w:val="24"/>
        </w:rPr>
        <w:t xml:space="preserve"> </w:t>
      </w:r>
      <w:r w:rsidRPr="00D83A7F" w:rsidR="00555F3F">
        <w:rPr>
          <w:sz w:val="24"/>
          <w:szCs w:val="24"/>
        </w:rPr>
        <w:t>Memo</w:t>
      </w:r>
    </w:p>
    <w:p w:rsidRPr="00053193" w:rsidR="004A0204" w:rsidP="00053193" w:rsidRDefault="004A0204">
      <w:pPr>
        <w:pStyle w:val="P1-StandPara"/>
        <w:spacing w:line="240" w:lineRule="auto"/>
        <w:ind w:firstLine="0"/>
        <w:rPr>
          <w:sz w:val="24"/>
          <w:szCs w:val="24"/>
        </w:rPr>
      </w:pPr>
      <w:r>
        <w:rPr>
          <w:sz w:val="24"/>
          <w:szCs w:val="24"/>
        </w:rPr>
        <w:t xml:space="preserve">Attachment </w:t>
      </w:r>
      <w:r w:rsidR="00FD5FA2">
        <w:rPr>
          <w:sz w:val="24"/>
          <w:szCs w:val="24"/>
        </w:rPr>
        <w:t>6</w:t>
      </w:r>
      <w:r>
        <w:rPr>
          <w:sz w:val="24"/>
          <w:szCs w:val="24"/>
        </w:rPr>
        <w:t>: N</w:t>
      </w:r>
      <w:r w:rsidR="0069777B">
        <w:rPr>
          <w:sz w:val="24"/>
          <w:szCs w:val="24"/>
        </w:rPr>
        <w:t xml:space="preserve">otice of NIH’s Interest in Diversity (NOT-OD-031) </w:t>
      </w:r>
    </w:p>
    <w:p w:rsidRPr="00053193" w:rsidR="00053193" w:rsidP="00053193" w:rsidRDefault="00053193">
      <w:pPr>
        <w:pStyle w:val="P1-StandPara"/>
        <w:spacing w:line="240" w:lineRule="auto"/>
        <w:ind w:firstLine="0"/>
        <w:rPr>
          <w:sz w:val="24"/>
          <w:szCs w:val="24"/>
        </w:rPr>
      </w:pPr>
    </w:p>
    <w:p w:rsidRPr="00862752" w:rsidR="00D57FFB" w:rsidP="00862752" w:rsidRDefault="00DC3428">
      <w:pPr>
        <w:pStyle w:val="P1-StandPara"/>
        <w:spacing w:line="240" w:lineRule="auto"/>
        <w:ind w:right="-216" w:firstLine="0"/>
        <w:rPr>
          <w:sz w:val="24"/>
          <w:szCs w:val="24"/>
          <w:u w:val="single"/>
        </w:rPr>
      </w:pPr>
      <w:r>
        <w:rPr>
          <w:color w:val="FF0000"/>
          <w:sz w:val="24"/>
          <w:szCs w:val="24"/>
        </w:rPr>
        <w:br w:type="page"/>
      </w:r>
      <w:r w:rsidR="00FE24EE">
        <w:rPr>
          <w:sz w:val="24"/>
          <w:szCs w:val="24"/>
          <w:u w:val="single"/>
        </w:rPr>
        <w:lastRenderedPageBreak/>
        <w:t>Abstract</w:t>
      </w:r>
      <w:r w:rsidR="0081276D">
        <w:rPr>
          <w:sz w:val="24"/>
          <w:szCs w:val="24"/>
          <w:u w:val="single"/>
        </w:rPr>
        <w:t xml:space="preserve"> </w:t>
      </w:r>
    </w:p>
    <w:p w:rsidR="00C33D86" w:rsidP="00C33D86" w:rsidRDefault="00C33D86">
      <w:pPr>
        <w:spacing w:after="120"/>
      </w:pPr>
      <w:r w:rsidRPr="003B5225">
        <w:t xml:space="preserve">The Center for Scientific Review (CSR) is the portal for NIH </w:t>
      </w:r>
      <w:r w:rsidR="0081276D">
        <w:t xml:space="preserve">research </w:t>
      </w:r>
      <w:r w:rsidRPr="003B5225">
        <w:t>grant applications and their review for scientific merit.</w:t>
      </w:r>
      <w:r w:rsidRPr="00E42EE3">
        <w:t xml:space="preserve"> </w:t>
      </w:r>
      <w:r w:rsidRPr="003B5225">
        <w:t>Our mission is to see that NIH grant applications receive fair, independent, expert, and timely reviews – free from inappropriate influences – so NIH can fund the most promising research</w:t>
      </w:r>
      <w:r>
        <w:t>.</w:t>
      </w:r>
      <w:r w:rsidRPr="00E42EE3">
        <w:t xml:space="preserve"> </w:t>
      </w:r>
      <w:r w:rsidRPr="008F76B2">
        <w:t>To accomplish this goal, Scientific Review Officers (SRO) form study sections consisting of scientists who have the technical and scientific expertise to evaluate the merit of grant applications</w:t>
      </w:r>
      <w:r>
        <w:t>.  The</w:t>
      </w:r>
      <w:r w:rsidRPr="007255C6">
        <w:t xml:space="preserve"> </w:t>
      </w:r>
      <w:r>
        <w:t>CSR</w:t>
      </w:r>
      <w:r w:rsidRPr="007255C6">
        <w:t xml:space="preserve"> </w:t>
      </w:r>
      <w:r>
        <w:t xml:space="preserve">Early Career Reviewer (ECR) program was developed to identify and </w:t>
      </w:r>
      <w:r w:rsidRPr="007255C6">
        <w:t xml:space="preserve">train qualified scientists </w:t>
      </w:r>
      <w:r>
        <w:t xml:space="preserve">who are early in their scientific careers and who have not had </w:t>
      </w:r>
      <w:r w:rsidRPr="007255C6">
        <w:t xml:space="preserve">prior </w:t>
      </w:r>
      <w:r>
        <w:t>CSR</w:t>
      </w:r>
      <w:r w:rsidRPr="007255C6">
        <w:t xml:space="preserve"> review experience</w:t>
      </w:r>
      <w:r>
        <w:t xml:space="preserve">. Currently, </w:t>
      </w:r>
      <w:r w:rsidR="006B4825">
        <w:t xml:space="preserve">the </w:t>
      </w:r>
      <w:r>
        <w:t>online application software</w:t>
      </w:r>
      <w:r w:rsidR="00973AC3">
        <w:t>,</w:t>
      </w:r>
      <w:r w:rsidRPr="00973AC3" w:rsidR="00973AC3">
        <w:t xml:space="preserve"> </w:t>
      </w:r>
      <w:r w:rsidR="00973AC3">
        <w:t xml:space="preserve">the </w:t>
      </w:r>
      <w:r w:rsidRPr="006B4825" w:rsidR="00973AC3">
        <w:rPr>
          <w:i/>
          <w:iCs/>
        </w:rPr>
        <w:t>ECR Application and Vetting System</w:t>
      </w:r>
      <w:r w:rsidRPr="00973AC3" w:rsidR="00973AC3">
        <w:t xml:space="preserve"> </w:t>
      </w:r>
      <w:r w:rsidR="006B4825">
        <w:t>(</w:t>
      </w:r>
      <w:r w:rsidRPr="006B4825" w:rsidR="00973AC3">
        <w:rPr>
          <w:i/>
          <w:iCs/>
        </w:rPr>
        <w:t>EAVS</w:t>
      </w:r>
      <w:r w:rsidR="006B4825">
        <w:t xml:space="preserve">, </w:t>
      </w:r>
      <w:r w:rsidR="00F042FF">
        <w:t>see Attachment 1)</w:t>
      </w:r>
      <w:r w:rsidR="00973AC3">
        <w:t>,</w:t>
      </w:r>
      <w:r>
        <w:t xml:space="preserve"> </w:t>
      </w:r>
      <w:r w:rsidR="007215DA">
        <w:t>is accessed by ECR program applicants who provide</w:t>
      </w:r>
      <w:r>
        <w:t xml:space="preserve"> </w:t>
      </w:r>
      <w:r w:rsidR="007215DA">
        <w:t xml:space="preserve">their </w:t>
      </w:r>
      <w:r>
        <w:t xml:space="preserve">names, contact information, </w:t>
      </w:r>
      <w:r w:rsidR="007215DA">
        <w:t xml:space="preserve">a description of their areas of expertise, </w:t>
      </w:r>
      <w:r>
        <w:t xml:space="preserve">and </w:t>
      </w:r>
      <w:r w:rsidR="006B4825">
        <w:t xml:space="preserve">their </w:t>
      </w:r>
      <w:r>
        <w:t xml:space="preserve">professional CV. </w:t>
      </w:r>
      <w:r w:rsidR="00973AC3">
        <w:t xml:space="preserve"> The information is transmitted to SROs who vet </w:t>
      </w:r>
      <w:r w:rsidR="006B4825">
        <w:t xml:space="preserve">the </w:t>
      </w:r>
      <w:r w:rsidR="00973AC3">
        <w:t>applications</w:t>
      </w:r>
      <w:r w:rsidR="006B4825">
        <w:t xml:space="preserve"> to determine if reviewers are </w:t>
      </w:r>
      <w:r w:rsidR="002C1AF5">
        <w:t xml:space="preserve">an </w:t>
      </w:r>
      <w:r w:rsidR="006B4825">
        <w:t>appropriate</w:t>
      </w:r>
      <w:r w:rsidR="002C1AF5">
        <w:t xml:space="preserve"> fit</w:t>
      </w:r>
      <w:r w:rsidR="006B4825">
        <w:t xml:space="preserve"> for their review panels</w:t>
      </w:r>
      <w:r w:rsidR="00973AC3">
        <w:t xml:space="preserve">. </w:t>
      </w:r>
      <w:r w:rsidRPr="00FF5F7C">
        <w:t xml:space="preserve">This </w:t>
      </w:r>
      <w:r w:rsidR="007215DA">
        <w:t>information collection</w:t>
      </w:r>
      <w:r>
        <w:t xml:space="preserve"> request </w:t>
      </w:r>
      <w:r w:rsidR="007215DA">
        <w:t xml:space="preserve">(ICR) </w:t>
      </w:r>
      <w:r>
        <w:t>is to</w:t>
      </w:r>
      <w:r w:rsidR="003315F4">
        <w:t xml:space="preserve"> </w:t>
      </w:r>
      <w:r w:rsidR="006B4825">
        <w:t>revise</w:t>
      </w:r>
      <w:r w:rsidR="007215DA">
        <w:t xml:space="preserve"> </w:t>
      </w:r>
      <w:r w:rsidR="006B4825">
        <w:t>the</w:t>
      </w:r>
      <w:r w:rsidR="007215DA">
        <w:t xml:space="preserve"> </w:t>
      </w:r>
      <w:r w:rsidR="00973AC3">
        <w:t>EAVS</w:t>
      </w:r>
      <w:r w:rsidRPr="00FF5F7C">
        <w:t xml:space="preserve"> </w:t>
      </w:r>
      <w:r>
        <w:t>software</w:t>
      </w:r>
      <w:r w:rsidR="002C1AF5">
        <w:t xml:space="preserve"> by including additional questions and to make it more user-friendly.</w:t>
      </w:r>
      <w:r w:rsidR="00973AC3">
        <w:t xml:space="preserve"> </w:t>
      </w:r>
    </w:p>
    <w:p w:rsidR="00C33D86" w:rsidP="004D2EB5" w:rsidRDefault="00C33D86">
      <w:pPr>
        <w:pStyle w:val="P1-StandPara"/>
        <w:spacing w:line="240" w:lineRule="auto"/>
        <w:ind w:right="-216" w:firstLine="0"/>
        <w:rPr>
          <w:color w:val="FF0000"/>
          <w:sz w:val="24"/>
          <w:szCs w:val="24"/>
        </w:rPr>
      </w:pPr>
    </w:p>
    <w:p w:rsidR="00BF4042" w:rsidP="00D57FFB" w:rsidRDefault="00BF4042">
      <w:pPr>
        <w:pStyle w:val="P1-StandPara"/>
        <w:tabs>
          <w:tab w:val="left" w:pos="720"/>
          <w:tab w:val="right" w:leader="dot" w:pos="9504"/>
        </w:tabs>
        <w:spacing w:line="240" w:lineRule="auto"/>
        <w:ind w:firstLine="0"/>
        <w:rPr>
          <w:b/>
          <w:sz w:val="24"/>
          <w:szCs w:val="24"/>
        </w:rPr>
      </w:pPr>
      <w:r w:rsidRPr="00D57FFB">
        <w:rPr>
          <w:b/>
          <w:sz w:val="24"/>
          <w:szCs w:val="24"/>
          <w:highlight w:val="lightGray"/>
        </w:rPr>
        <w:t>A.1</w:t>
      </w:r>
      <w:r w:rsidRPr="00D57FFB">
        <w:rPr>
          <w:b/>
          <w:sz w:val="24"/>
          <w:szCs w:val="24"/>
          <w:highlight w:val="lightGray"/>
        </w:rPr>
        <w:tab/>
        <w:t>Circumstances Making the Collection of Information Necessary</w:t>
      </w:r>
    </w:p>
    <w:p w:rsidRPr="00203CE3" w:rsidR="00203CE3" w:rsidP="00203CE3" w:rsidRDefault="00203CE3">
      <w:pPr>
        <w:rPr>
          <w:u w:val="single"/>
        </w:rPr>
      </w:pPr>
      <w:r>
        <w:rPr>
          <w:u w:val="single"/>
        </w:rPr>
        <w:t xml:space="preserve">NIH </w:t>
      </w:r>
      <w:r w:rsidRPr="00203CE3">
        <w:rPr>
          <w:u w:val="single"/>
        </w:rPr>
        <w:t>Center for Scientific Review</w:t>
      </w:r>
      <w:r>
        <w:rPr>
          <w:u w:val="single"/>
        </w:rPr>
        <w:t xml:space="preserve">: Overview </w:t>
      </w:r>
    </w:p>
    <w:p w:rsidR="00B16B93" w:rsidP="00203CE3" w:rsidRDefault="00B16B93">
      <w:pPr>
        <w:spacing w:after="120"/>
      </w:pPr>
      <w:r>
        <w:t xml:space="preserve">This is a request for </w:t>
      </w:r>
      <w:r w:rsidR="00C54482">
        <w:t>a revision</w:t>
      </w:r>
      <w:r>
        <w:t xml:space="preserve"> of an Office of Management and Budget (OMB) approval, under the Paperwork Reduction Act of 1995</w:t>
      </w:r>
      <w:r w:rsidR="00620D61">
        <w:t xml:space="preserve"> </w:t>
      </w:r>
      <w:r>
        <w:t>(OMB No. 0925-0695</w:t>
      </w:r>
      <w:r w:rsidRPr="00555F3F" w:rsidR="00D950C6">
        <w:rPr>
          <w:highlight w:val="yellow"/>
        </w:rPr>
        <w:t xml:space="preserve">, Expiration Date: </w:t>
      </w:r>
      <w:r w:rsidRPr="00555F3F" w:rsidR="001504DB">
        <w:rPr>
          <w:highlight w:val="yellow"/>
        </w:rPr>
        <w:t xml:space="preserve"> </w:t>
      </w:r>
      <w:r w:rsidRPr="00555F3F" w:rsidR="00DA25AF">
        <w:rPr>
          <w:highlight w:val="yellow"/>
        </w:rPr>
        <w:t>05/31/2020</w:t>
      </w:r>
      <w:r>
        <w:t>). This clearance approves an information collection request (ICR) to use</w:t>
      </w:r>
      <w:r w:rsidR="00C54482">
        <w:t xml:space="preserve"> the</w:t>
      </w:r>
      <w:r>
        <w:t xml:space="preserve"> EAVS software to process applications for the ECR program.</w:t>
      </w:r>
    </w:p>
    <w:p w:rsidR="003B5225" w:rsidP="00203CE3" w:rsidRDefault="003B5225">
      <w:pPr>
        <w:spacing w:after="120"/>
      </w:pPr>
      <w:r w:rsidRPr="003B5225">
        <w:t>The Center for Scientific Review (CSR) is the portal for NIH grant applications and their review for scientific merit. We receive all research grant applications sent to NIH and handle the review of more than 7</w:t>
      </w:r>
      <w:r w:rsidR="00B81C9D">
        <w:t>5</w:t>
      </w:r>
      <w:r w:rsidRPr="003B5225">
        <w:t>% of those by organizing peer review groups (</w:t>
      </w:r>
      <w:r w:rsidR="00C54482">
        <w:t xml:space="preserve">referred to as </w:t>
      </w:r>
      <w:r w:rsidRPr="003B5225">
        <w:t>study sections</w:t>
      </w:r>
      <w:r w:rsidR="00C54482">
        <w:t xml:space="preserve"> or review panels</w:t>
      </w:r>
      <w:r w:rsidRPr="003B5225">
        <w:t>) to evaluate research grant applications. Our mission is to see that NIH grant applications receive fair, independent, expert, and timely reviews – free from inappropriate influences – so NIH can fund the most promising research</w:t>
      </w:r>
      <w:r>
        <w:t>.</w:t>
      </w:r>
    </w:p>
    <w:p w:rsidRPr="00535B72" w:rsidR="007E44F5" w:rsidP="00203CE3" w:rsidRDefault="007E44F5">
      <w:pPr>
        <w:pStyle w:val="ListParagraph"/>
        <w:ind w:left="0"/>
        <w:rPr>
          <w:rFonts w:ascii="Times New Roman" w:hAnsi="Times New Roman"/>
          <w:b/>
          <w:sz w:val="24"/>
          <w:szCs w:val="24"/>
        </w:rPr>
      </w:pPr>
      <w:r w:rsidRPr="008F76B2">
        <w:rPr>
          <w:rFonts w:ascii="Times New Roman" w:hAnsi="Times New Roman"/>
          <w:sz w:val="24"/>
          <w:szCs w:val="24"/>
        </w:rPr>
        <w:t xml:space="preserve">To accomplish this goal, </w:t>
      </w:r>
      <w:r w:rsidRPr="008F76B2" w:rsidR="003367FE">
        <w:rPr>
          <w:rFonts w:ascii="Times New Roman" w:hAnsi="Times New Roman"/>
          <w:sz w:val="24"/>
          <w:szCs w:val="24"/>
        </w:rPr>
        <w:t>Scientific Review Officers (</w:t>
      </w:r>
      <w:r w:rsidRPr="008F76B2">
        <w:rPr>
          <w:rFonts w:ascii="Times New Roman" w:hAnsi="Times New Roman"/>
          <w:sz w:val="24"/>
          <w:szCs w:val="24"/>
        </w:rPr>
        <w:t>SRO</w:t>
      </w:r>
      <w:r w:rsidRPr="008F76B2" w:rsidR="003367FE">
        <w:rPr>
          <w:rFonts w:ascii="Times New Roman" w:hAnsi="Times New Roman"/>
          <w:sz w:val="24"/>
          <w:szCs w:val="24"/>
        </w:rPr>
        <w:t>)</w:t>
      </w:r>
      <w:r w:rsidRPr="008F76B2">
        <w:rPr>
          <w:rFonts w:ascii="Times New Roman" w:hAnsi="Times New Roman"/>
          <w:sz w:val="24"/>
          <w:szCs w:val="24"/>
        </w:rPr>
        <w:t xml:space="preserve"> form study section</w:t>
      </w:r>
      <w:r w:rsidRPr="008F76B2" w:rsidR="003367FE">
        <w:rPr>
          <w:rFonts w:ascii="Times New Roman" w:hAnsi="Times New Roman"/>
          <w:sz w:val="24"/>
          <w:szCs w:val="24"/>
        </w:rPr>
        <w:t>s</w:t>
      </w:r>
      <w:r w:rsidRPr="008F76B2">
        <w:rPr>
          <w:rFonts w:ascii="Times New Roman" w:hAnsi="Times New Roman"/>
          <w:sz w:val="24"/>
          <w:szCs w:val="24"/>
        </w:rPr>
        <w:t xml:space="preserve"> consisting of </w:t>
      </w:r>
      <w:r w:rsidRPr="008F76B2" w:rsidR="003367FE">
        <w:rPr>
          <w:rFonts w:ascii="Times New Roman" w:hAnsi="Times New Roman"/>
          <w:sz w:val="24"/>
          <w:szCs w:val="24"/>
        </w:rPr>
        <w:t>scientists</w:t>
      </w:r>
      <w:r w:rsidRPr="008F76B2">
        <w:rPr>
          <w:rFonts w:ascii="Times New Roman" w:hAnsi="Times New Roman"/>
          <w:sz w:val="24"/>
          <w:szCs w:val="24"/>
        </w:rPr>
        <w:t xml:space="preserve"> who have the technical and scientific expertise to evaluate the merit of grant applications. </w:t>
      </w:r>
      <w:r w:rsidRPr="008F76B2" w:rsidR="00FF5F7C">
        <w:rPr>
          <w:rFonts w:ascii="Times New Roman" w:hAnsi="Times New Roman"/>
          <w:sz w:val="24"/>
          <w:szCs w:val="24"/>
        </w:rPr>
        <w:t>Potential st</w:t>
      </w:r>
      <w:r w:rsidRPr="008F76B2" w:rsidR="003367FE">
        <w:rPr>
          <w:rFonts w:ascii="Times New Roman" w:hAnsi="Times New Roman"/>
          <w:sz w:val="24"/>
          <w:szCs w:val="24"/>
        </w:rPr>
        <w:t>udy section members</w:t>
      </w:r>
      <w:r w:rsidRPr="008F76B2">
        <w:rPr>
          <w:rFonts w:ascii="Times New Roman" w:hAnsi="Times New Roman"/>
          <w:sz w:val="24"/>
          <w:szCs w:val="24"/>
        </w:rPr>
        <w:t xml:space="preserve"> are identified </w:t>
      </w:r>
      <w:r w:rsidRPr="008F76B2" w:rsidR="003367FE">
        <w:rPr>
          <w:rFonts w:ascii="Times New Roman" w:hAnsi="Times New Roman"/>
          <w:sz w:val="24"/>
          <w:szCs w:val="24"/>
        </w:rPr>
        <w:t>by SROs by</w:t>
      </w:r>
      <w:r w:rsidRPr="008F76B2">
        <w:rPr>
          <w:rFonts w:ascii="Times New Roman" w:hAnsi="Times New Roman"/>
          <w:sz w:val="24"/>
          <w:szCs w:val="24"/>
        </w:rPr>
        <w:t xml:space="preserve"> canvassing the scientific literature, </w:t>
      </w:r>
      <w:r w:rsidRPr="008F76B2" w:rsidR="003367FE">
        <w:rPr>
          <w:rFonts w:ascii="Times New Roman" w:hAnsi="Times New Roman"/>
          <w:sz w:val="24"/>
          <w:szCs w:val="24"/>
        </w:rPr>
        <w:t xml:space="preserve">outreach at </w:t>
      </w:r>
      <w:r w:rsidRPr="008F76B2">
        <w:rPr>
          <w:rFonts w:ascii="Times New Roman" w:hAnsi="Times New Roman"/>
          <w:sz w:val="24"/>
          <w:szCs w:val="24"/>
        </w:rPr>
        <w:t xml:space="preserve">national scientific meetings, </w:t>
      </w:r>
      <w:r w:rsidRPr="008F76B2" w:rsidR="003367FE">
        <w:rPr>
          <w:rFonts w:ascii="Times New Roman" w:hAnsi="Times New Roman"/>
          <w:sz w:val="24"/>
          <w:szCs w:val="24"/>
        </w:rPr>
        <w:t>review of successfully funded</w:t>
      </w:r>
      <w:r w:rsidR="00B86B0A">
        <w:rPr>
          <w:rFonts w:ascii="Times New Roman" w:hAnsi="Times New Roman"/>
          <w:sz w:val="24"/>
          <w:szCs w:val="24"/>
        </w:rPr>
        <w:t xml:space="preserve"> applications</w:t>
      </w:r>
      <w:r w:rsidRPr="008F76B2" w:rsidR="003367FE">
        <w:rPr>
          <w:rFonts w:ascii="Times New Roman" w:hAnsi="Times New Roman"/>
          <w:sz w:val="24"/>
          <w:szCs w:val="24"/>
        </w:rPr>
        <w:t>, and by referral from other scientists</w:t>
      </w:r>
      <w:r w:rsidRPr="00535B72" w:rsidR="003367FE">
        <w:rPr>
          <w:rFonts w:ascii="Times New Roman" w:hAnsi="Times New Roman"/>
          <w:b/>
          <w:sz w:val="24"/>
          <w:szCs w:val="24"/>
        </w:rPr>
        <w:t>.</w:t>
      </w:r>
      <w:r w:rsidRPr="00535B72" w:rsidR="006535C0">
        <w:rPr>
          <w:rFonts w:ascii="Times New Roman" w:hAnsi="Times New Roman"/>
          <w:b/>
          <w:sz w:val="24"/>
          <w:szCs w:val="24"/>
        </w:rPr>
        <w:t xml:space="preserve"> The legislative authority to collect information from potential reviewers to determine their appropriateness to serve on grant application review panels is </w:t>
      </w:r>
      <w:r w:rsidR="004A25D6">
        <w:rPr>
          <w:rFonts w:ascii="Times New Roman" w:hAnsi="Times New Roman"/>
          <w:b/>
          <w:sz w:val="24"/>
          <w:szCs w:val="24"/>
        </w:rPr>
        <w:t xml:space="preserve">42 </w:t>
      </w:r>
      <w:r w:rsidRPr="00535B72" w:rsidR="006535C0">
        <w:rPr>
          <w:rFonts w:ascii="Times New Roman" w:hAnsi="Times New Roman"/>
          <w:b/>
          <w:sz w:val="24"/>
          <w:szCs w:val="24"/>
        </w:rPr>
        <w:t>USC</w:t>
      </w:r>
      <w:r w:rsidR="004A25D6">
        <w:rPr>
          <w:rFonts w:ascii="Times New Roman" w:hAnsi="Times New Roman"/>
          <w:b/>
          <w:sz w:val="24"/>
          <w:szCs w:val="24"/>
        </w:rPr>
        <w:t xml:space="preserve"> Section 241: Research and Investigations General</w:t>
      </w:r>
      <w:r w:rsidRPr="00535B72" w:rsidR="006535C0">
        <w:rPr>
          <w:rFonts w:ascii="Times New Roman" w:hAnsi="Times New Roman"/>
          <w:b/>
          <w:sz w:val="24"/>
          <w:szCs w:val="24"/>
        </w:rPr>
        <w:t>.</w:t>
      </w:r>
    </w:p>
    <w:p w:rsidRPr="008F76B2" w:rsidR="008F76B2" w:rsidP="00203CE3" w:rsidRDefault="008F76B2">
      <w:pPr>
        <w:pStyle w:val="ListParagraph"/>
        <w:ind w:left="0"/>
        <w:rPr>
          <w:rFonts w:ascii="Times New Roman" w:hAnsi="Times New Roman"/>
          <w:sz w:val="24"/>
          <w:szCs w:val="24"/>
        </w:rPr>
      </w:pPr>
    </w:p>
    <w:p w:rsidRPr="00203CE3" w:rsidR="00203CE3" w:rsidP="00203CE3" w:rsidRDefault="00203CE3">
      <w:pPr>
        <w:rPr>
          <w:u w:val="single"/>
        </w:rPr>
      </w:pPr>
      <w:r w:rsidRPr="00203CE3">
        <w:rPr>
          <w:u w:val="single"/>
        </w:rPr>
        <w:t>Early Career Reviewer Program</w:t>
      </w:r>
    </w:p>
    <w:p w:rsidR="00E93BF2" w:rsidP="00203CE3" w:rsidRDefault="00E93BF2">
      <w:r>
        <w:t>The</w:t>
      </w:r>
      <w:r w:rsidRPr="007255C6">
        <w:t xml:space="preserve"> NIH Center for Scientific Review</w:t>
      </w:r>
      <w:r>
        <w:t xml:space="preserve"> (CSR)</w:t>
      </w:r>
      <w:r w:rsidRPr="007255C6">
        <w:t xml:space="preserve"> </w:t>
      </w:r>
      <w:r>
        <w:t xml:space="preserve">Early Career Reviewer (ECR) program was developed </w:t>
      </w:r>
      <w:r w:rsidRPr="007255C6">
        <w:t xml:space="preserve">to (1) </w:t>
      </w:r>
      <w:r w:rsidR="003367FE">
        <w:t xml:space="preserve">identify and </w:t>
      </w:r>
      <w:r w:rsidRPr="007255C6">
        <w:t xml:space="preserve">train qualified scientists </w:t>
      </w:r>
      <w:r w:rsidR="00FF5F7C">
        <w:t xml:space="preserve">who are early in their scientific careers and who have not had </w:t>
      </w:r>
      <w:r w:rsidRPr="007255C6">
        <w:t xml:space="preserve">prior </w:t>
      </w:r>
      <w:r>
        <w:t>CSR</w:t>
      </w:r>
      <w:r w:rsidRPr="007255C6">
        <w:t xml:space="preserve"> review experience </w:t>
      </w:r>
      <w:r w:rsidR="00FF5F7C">
        <w:t>to</w:t>
      </w:r>
      <w:r w:rsidRPr="007255C6">
        <w:t xml:space="preserve"> become effective reviewers, (2) help emerging researchers advance their careers by exposing them to </w:t>
      </w:r>
      <w:r>
        <w:t xml:space="preserve">peer </w:t>
      </w:r>
      <w:r w:rsidRPr="007255C6">
        <w:t>review, and (3) enrich the existing pool of NIH reviewers by including scientists from less research-intensive institutions as well as those from traditionally research</w:t>
      </w:r>
      <w:r>
        <w:t>-</w:t>
      </w:r>
      <w:r w:rsidRPr="007255C6">
        <w:t xml:space="preserve">intensive </w:t>
      </w:r>
      <w:r w:rsidRPr="007255C6">
        <w:lastRenderedPageBreak/>
        <w:t xml:space="preserve">institutions. </w:t>
      </w:r>
      <w:r w:rsidRPr="00FF5F7C" w:rsidR="00FF5F7C">
        <w:t>This PRA cl</w:t>
      </w:r>
      <w:r w:rsidR="00862752">
        <w:t xml:space="preserve">earance request is to </w:t>
      </w:r>
      <w:r w:rsidRPr="00555F3F" w:rsidR="00555F3F">
        <w:rPr>
          <w:highlight w:val="yellow"/>
        </w:rPr>
        <w:t>revise</w:t>
      </w:r>
      <w:r w:rsidR="002F442F">
        <w:t xml:space="preserve"> our</w:t>
      </w:r>
      <w:r w:rsidRPr="00FF5F7C" w:rsidR="00FF5F7C">
        <w:t xml:space="preserve"> online application </w:t>
      </w:r>
      <w:r w:rsidR="00DC3428">
        <w:t>software</w:t>
      </w:r>
      <w:r w:rsidRPr="00FF5F7C" w:rsidR="00DC3428">
        <w:t xml:space="preserve"> </w:t>
      </w:r>
      <w:r w:rsidRPr="00FF5F7C" w:rsidR="00FF5F7C">
        <w:t xml:space="preserve">for ECR program applicants. </w:t>
      </w:r>
    </w:p>
    <w:p w:rsidRPr="00FF5F7C" w:rsidR="00203CE3" w:rsidP="00203CE3" w:rsidRDefault="00203CE3"/>
    <w:p w:rsidRPr="00203CE3" w:rsidR="00203CE3" w:rsidP="00203CE3" w:rsidRDefault="00203CE3">
      <w:pPr>
        <w:rPr>
          <w:u w:val="single"/>
        </w:rPr>
      </w:pPr>
      <w:r>
        <w:rPr>
          <w:u w:val="single"/>
        </w:rPr>
        <w:t xml:space="preserve">ECR </w:t>
      </w:r>
      <w:r w:rsidRPr="00203CE3">
        <w:rPr>
          <w:u w:val="single"/>
        </w:rPr>
        <w:t>Application Process</w:t>
      </w:r>
    </w:p>
    <w:p w:rsidR="008D0667" w:rsidP="00203CE3" w:rsidRDefault="00203CE3">
      <w:r>
        <w:t xml:space="preserve">To apply for inclusion in the ECR Program, </w:t>
      </w:r>
      <w:r w:rsidR="00B86B0A">
        <w:t>a</w:t>
      </w:r>
      <w:r w:rsidR="009C4881">
        <w:t xml:space="preserve">pplicants </w:t>
      </w:r>
      <w:r w:rsidR="002F442F">
        <w:t xml:space="preserve">provide </w:t>
      </w:r>
      <w:r w:rsidR="009C4881">
        <w:t xml:space="preserve">their </w:t>
      </w:r>
      <w:r w:rsidR="000F3094">
        <w:t>Curriculum Vitae (CV)</w:t>
      </w:r>
      <w:r w:rsidR="009C4881">
        <w:t xml:space="preserve"> </w:t>
      </w:r>
      <w:r w:rsidR="000F3094">
        <w:t xml:space="preserve">or professional resumes </w:t>
      </w:r>
      <w:r w:rsidR="009C4881">
        <w:t xml:space="preserve">and provide some identifying information, areas of expertise, and selection of preferred study sections via an online application. They </w:t>
      </w:r>
      <w:r>
        <w:t>are</w:t>
      </w:r>
      <w:r w:rsidR="009C4881">
        <w:t xml:space="preserve"> vetted</w:t>
      </w:r>
      <w:r w:rsidR="00DA6A02">
        <w:t xml:space="preserve"> </w:t>
      </w:r>
      <w:r w:rsidR="003367FE">
        <w:t xml:space="preserve">for </w:t>
      </w:r>
      <w:r w:rsidR="009C4881">
        <w:t xml:space="preserve">inclusion in </w:t>
      </w:r>
      <w:r w:rsidR="003367FE">
        <w:t xml:space="preserve">the ECR program </w:t>
      </w:r>
      <w:r w:rsidR="007106A9">
        <w:t xml:space="preserve">primarily </w:t>
      </w:r>
      <w:r w:rsidR="00DA6A02">
        <w:t xml:space="preserve">based on </w:t>
      </w:r>
      <w:r w:rsidR="009C4881">
        <w:t xml:space="preserve">the information provided in </w:t>
      </w:r>
      <w:r w:rsidR="00DA6A02">
        <w:t xml:space="preserve">their CVs.  </w:t>
      </w:r>
      <w:r w:rsidR="007106A9">
        <w:t>CVs provide substantial information regarding current employment, publication history, grants received, and other professional achievements, all of which are very useful in evaluating applicants’ eligibility to serve on study sections as reviewers.</w:t>
      </w:r>
      <w:r w:rsidR="000F3094">
        <w:t xml:space="preserve"> </w:t>
      </w:r>
      <w:r>
        <w:t xml:space="preserve">A customary practice of </w:t>
      </w:r>
      <w:r w:rsidR="003367FE">
        <w:t>SROs</w:t>
      </w:r>
      <w:r w:rsidR="008D0667">
        <w:t xml:space="preserve"> </w:t>
      </w:r>
      <w:r>
        <w:t xml:space="preserve">in the course of their duties at CSR is to review the </w:t>
      </w:r>
      <w:r w:rsidR="008D0667">
        <w:t xml:space="preserve">CVs </w:t>
      </w:r>
      <w:r>
        <w:t xml:space="preserve">of potential reviewers.  </w:t>
      </w:r>
    </w:p>
    <w:p w:rsidR="003367FE" w:rsidP="00203CE3" w:rsidRDefault="003367FE"/>
    <w:p w:rsidR="003367FE" w:rsidP="00203CE3" w:rsidRDefault="003367FE">
      <w:r>
        <w:t xml:space="preserve">To facilitate vetting of ECR applicants, CVs and information regarding </w:t>
      </w:r>
      <w:r w:rsidR="009C4881">
        <w:t>their</w:t>
      </w:r>
      <w:r>
        <w:t xml:space="preserve"> areas of </w:t>
      </w:r>
      <w:r w:rsidR="00FF5F7C">
        <w:t xml:space="preserve">scientific and technical </w:t>
      </w:r>
      <w:r>
        <w:t xml:space="preserve">expertise </w:t>
      </w:r>
      <w:r w:rsidR="00B86B0A">
        <w:t>are</w:t>
      </w:r>
      <w:r>
        <w:t xml:space="preserve"> forwarded </w:t>
      </w:r>
      <w:r w:rsidR="000F3094">
        <w:t xml:space="preserve">through an interface from the online application </w:t>
      </w:r>
      <w:r>
        <w:t>to SRO</w:t>
      </w:r>
      <w:r w:rsidR="00FF5F7C">
        <w:t>s</w:t>
      </w:r>
      <w:r>
        <w:t xml:space="preserve"> </w:t>
      </w:r>
      <w:r w:rsidR="00FF5F7C">
        <w:t>of the</w:t>
      </w:r>
      <w:r>
        <w:t xml:space="preserve"> study sections </w:t>
      </w:r>
      <w:r w:rsidR="00FF5F7C">
        <w:t>selected by applicants</w:t>
      </w:r>
      <w:r>
        <w:t xml:space="preserve">.  </w:t>
      </w:r>
      <w:r w:rsidR="00FF5F7C">
        <w:t xml:space="preserve">SROs evaluate </w:t>
      </w:r>
      <w:r w:rsidR="009C4881">
        <w:t>applicants’</w:t>
      </w:r>
      <w:r w:rsidR="00FF5F7C">
        <w:t xml:space="preserve"> eligibility and respond electronically to the ECR </w:t>
      </w:r>
      <w:r w:rsidR="009C4881">
        <w:t>program</w:t>
      </w:r>
      <w:r w:rsidR="00DC3428">
        <w:t xml:space="preserve"> staff</w:t>
      </w:r>
      <w:r w:rsidR="009C4881">
        <w:t xml:space="preserve"> </w:t>
      </w:r>
      <w:r w:rsidR="00FF5F7C">
        <w:t xml:space="preserve">regarding the vetting outcome.  Letters </w:t>
      </w:r>
      <w:r w:rsidR="00203CE3">
        <w:t>are</w:t>
      </w:r>
      <w:r w:rsidR="00FF5F7C">
        <w:t xml:space="preserve"> sent via email to applicants informing </w:t>
      </w:r>
      <w:r w:rsidR="009C4881">
        <w:t xml:space="preserve">them </w:t>
      </w:r>
      <w:r w:rsidR="00FF5F7C">
        <w:t xml:space="preserve">of their acceptance in the ECR program or providing them with feedback as to why they did not </w:t>
      </w:r>
      <w:r w:rsidRPr="00555F3F" w:rsidR="00FF5F7C">
        <w:t>qualify</w:t>
      </w:r>
      <w:r w:rsidRPr="00555F3F" w:rsidR="00244CD8">
        <w:t xml:space="preserve"> (</w:t>
      </w:r>
      <w:r w:rsidRPr="00555F3F" w:rsidR="009367AC">
        <w:t>s</w:t>
      </w:r>
      <w:r w:rsidRPr="00555F3F" w:rsidR="00244CD8">
        <w:t>ee Attachment</w:t>
      </w:r>
      <w:r w:rsidRPr="00555F3F" w:rsidR="00550381">
        <w:t xml:space="preserve"> </w:t>
      </w:r>
      <w:r w:rsidRPr="00555F3F" w:rsidR="00F042FF">
        <w:t>2</w:t>
      </w:r>
      <w:r w:rsidRPr="00555F3F" w:rsidR="00244CD8">
        <w:t>: Sample Letters to Applicants).</w:t>
      </w:r>
      <w:r w:rsidRPr="00555F3F" w:rsidR="00FF5F7C">
        <w:t xml:space="preserve"> The</w:t>
      </w:r>
      <w:r w:rsidR="00FF5F7C">
        <w:t xml:space="preserve"> latter group </w:t>
      </w:r>
      <w:r w:rsidR="00900E0B">
        <w:t>is</w:t>
      </w:r>
      <w:r w:rsidR="00FF5F7C">
        <w:t xml:space="preserve"> encouraged to strengthen their CV and reapply </w:t>
      </w:r>
      <w:r w:rsidR="009C4881">
        <w:t>at a later date</w:t>
      </w:r>
      <w:r w:rsidR="00FF5F7C">
        <w:t xml:space="preserve">.  </w:t>
      </w:r>
    </w:p>
    <w:p w:rsidR="003D40DC" w:rsidP="00203CE3" w:rsidRDefault="003D40DC"/>
    <w:p w:rsidR="00246F0F" w:rsidP="00203CE3" w:rsidRDefault="003D40DC">
      <w:r w:rsidRPr="003D40DC">
        <w:t xml:space="preserve">Since the initiation of the OMB approved Early Career Reviewer Application and Vetting System (EAVS), we have received more than </w:t>
      </w:r>
      <w:r w:rsidR="001345F5">
        <w:t>6</w:t>
      </w:r>
      <w:r w:rsidR="00FE0E53">
        <w:t>,</w:t>
      </w:r>
      <w:r w:rsidR="001345F5">
        <w:t xml:space="preserve">595 </w:t>
      </w:r>
      <w:r w:rsidRPr="003D40DC">
        <w:t xml:space="preserve">registrations to use the system and more than </w:t>
      </w:r>
      <w:r w:rsidR="001345F5">
        <w:t>6</w:t>
      </w:r>
      <w:r w:rsidR="00FE0E53">
        <w:t>,</w:t>
      </w:r>
      <w:r w:rsidR="001345F5">
        <w:t>401</w:t>
      </w:r>
      <w:r w:rsidR="00FE0E53">
        <w:t xml:space="preserve"> </w:t>
      </w:r>
      <w:r w:rsidRPr="003D40DC">
        <w:t xml:space="preserve">applications.  We currently average approximately </w:t>
      </w:r>
      <w:r w:rsidR="001345F5">
        <w:t xml:space="preserve">101 </w:t>
      </w:r>
      <w:r w:rsidRPr="003D40DC">
        <w:t xml:space="preserve">applications per month.  The vetting component of the system refers applications to Scientific Review Officers who review approximately </w:t>
      </w:r>
      <w:r w:rsidR="001345F5">
        <w:t>98</w:t>
      </w:r>
      <w:r w:rsidRPr="003D40DC" w:rsidR="001345F5">
        <w:t xml:space="preserve"> </w:t>
      </w:r>
      <w:r w:rsidRPr="003D40DC">
        <w:t xml:space="preserve">applications per month.  </w:t>
      </w:r>
    </w:p>
    <w:p w:rsidR="00FE0E53" w:rsidP="00203CE3" w:rsidRDefault="00FE0E53"/>
    <w:p w:rsidRPr="00862752" w:rsidR="00246F0F" w:rsidP="00203CE3" w:rsidRDefault="00246F0F">
      <w:r w:rsidRPr="00862752">
        <w:t xml:space="preserve">In summary, </w:t>
      </w:r>
      <w:r w:rsidRPr="00862752" w:rsidR="00203CE3">
        <w:t xml:space="preserve">ECR </w:t>
      </w:r>
      <w:r w:rsidRPr="00862752">
        <w:t xml:space="preserve">applicants’ contact information, CV, and areas of expertise must be collected to appropriately evaluate them for inclusion in the ECR program.  An online application system is more cost-effective and efficient than transmitting information between applicants and ECR staff by mail. </w:t>
      </w:r>
      <w:r w:rsidR="00900E0B">
        <w:t>The software program (EAVS) has been developed</w:t>
      </w:r>
      <w:r w:rsidR="00AC6646">
        <w:t xml:space="preserve"> to assist with this effort</w:t>
      </w:r>
      <w:r w:rsidR="00900E0B">
        <w:t xml:space="preserve">. </w:t>
      </w:r>
      <w:r w:rsidRPr="00705097" w:rsidR="002F442F">
        <w:rPr>
          <w:highlight w:val="yellow"/>
        </w:rPr>
        <w:t>A</w:t>
      </w:r>
      <w:r w:rsidRPr="00705097" w:rsidR="00555F3F">
        <w:rPr>
          <w:highlight w:val="yellow"/>
        </w:rPr>
        <w:t xml:space="preserve"> revision</w:t>
      </w:r>
      <w:r w:rsidRPr="00705097" w:rsidR="002F442F">
        <w:rPr>
          <w:highlight w:val="yellow"/>
        </w:rPr>
        <w:t xml:space="preserve"> of our </w:t>
      </w:r>
      <w:r w:rsidRPr="00705097" w:rsidR="00900E0B">
        <w:rPr>
          <w:highlight w:val="yellow"/>
        </w:rPr>
        <w:t xml:space="preserve">OMB clearance is being sought to </w:t>
      </w:r>
      <w:r w:rsidRPr="00705097" w:rsidR="002F442F">
        <w:rPr>
          <w:highlight w:val="yellow"/>
        </w:rPr>
        <w:t xml:space="preserve">continue our use of </w:t>
      </w:r>
      <w:r w:rsidRPr="00705097" w:rsidR="00900E0B">
        <w:rPr>
          <w:highlight w:val="yellow"/>
        </w:rPr>
        <w:t>the software</w:t>
      </w:r>
      <w:r w:rsidRPr="00705097" w:rsidR="00555F3F">
        <w:rPr>
          <w:highlight w:val="yellow"/>
        </w:rPr>
        <w:t xml:space="preserve"> with some revisions that </w:t>
      </w:r>
      <w:r w:rsidRPr="00B9756A" w:rsidR="00555F3F">
        <w:rPr>
          <w:highlight w:val="yellow"/>
        </w:rPr>
        <w:t>include</w:t>
      </w:r>
      <w:r w:rsidRPr="00B9756A" w:rsidR="00B9756A">
        <w:rPr>
          <w:highlight w:val="yellow"/>
        </w:rPr>
        <w:t xml:space="preserve"> </w:t>
      </w:r>
      <w:r w:rsidR="00AC6646">
        <w:rPr>
          <w:highlight w:val="yellow"/>
        </w:rPr>
        <w:t xml:space="preserve">minor </w:t>
      </w:r>
      <w:r w:rsidRPr="00B9756A" w:rsidR="00B9756A">
        <w:rPr>
          <w:highlight w:val="yellow"/>
        </w:rPr>
        <w:t>aesthetic enhancement</w:t>
      </w:r>
      <w:r w:rsidR="00B9756A">
        <w:rPr>
          <w:highlight w:val="yellow"/>
        </w:rPr>
        <w:t xml:space="preserve">s and </w:t>
      </w:r>
      <w:r w:rsidRPr="00705097" w:rsidR="00555F3F">
        <w:rPr>
          <w:highlight w:val="yellow"/>
        </w:rPr>
        <w:t xml:space="preserve">additional questions to capture </w:t>
      </w:r>
      <w:r w:rsidRPr="00705097" w:rsidR="00705097">
        <w:rPr>
          <w:highlight w:val="yellow"/>
        </w:rPr>
        <w:t>applicant</w:t>
      </w:r>
      <w:r w:rsidR="00705097">
        <w:rPr>
          <w:highlight w:val="yellow"/>
        </w:rPr>
        <w:t>’</w:t>
      </w:r>
      <w:r w:rsidRPr="00705097" w:rsidR="00705097">
        <w:rPr>
          <w:highlight w:val="yellow"/>
        </w:rPr>
        <w:t>s</w:t>
      </w:r>
      <w:r w:rsidRPr="00705097" w:rsidR="00555F3F">
        <w:rPr>
          <w:highlight w:val="yellow"/>
        </w:rPr>
        <w:t xml:space="preserve"> </w:t>
      </w:r>
      <w:r w:rsidRPr="00705097" w:rsidR="00705097">
        <w:rPr>
          <w:highlight w:val="yellow"/>
        </w:rPr>
        <w:t xml:space="preserve">program </w:t>
      </w:r>
      <w:r w:rsidRPr="00705097" w:rsidR="00555F3F">
        <w:rPr>
          <w:highlight w:val="yellow"/>
        </w:rPr>
        <w:t>eligibility</w:t>
      </w:r>
      <w:r w:rsidR="00B9756A">
        <w:rPr>
          <w:highlight w:val="yellow"/>
        </w:rPr>
        <w:t xml:space="preserve"> as well as</w:t>
      </w:r>
      <w:r w:rsidRPr="00705097" w:rsidR="00705097">
        <w:rPr>
          <w:highlight w:val="yellow"/>
        </w:rPr>
        <w:t xml:space="preserve"> </w:t>
      </w:r>
      <w:r w:rsidRPr="00705097" w:rsidR="00225ED9">
        <w:rPr>
          <w:highlight w:val="yellow"/>
        </w:rPr>
        <w:t>applicants</w:t>
      </w:r>
      <w:r w:rsidR="00AC6646">
        <w:rPr>
          <w:highlight w:val="yellow"/>
        </w:rPr>
        <w:t>’</w:t>
      </w:r>
      <w:r w:rsidRPr="00705097" w:rsidR="00705097">
        <w:rPr>
          <w:highlight w:val="yellow"/>
        </w:rPr>
        <w:t xml:space="preserve"> </w:t>
      </w:r>
      <w:r w:rsidRPr="00705097" w:rsidR="00555F3F">
        <w:rPr>
          <w:highlight w:val="yellow"/>
        </w:rPr>
        <w:t>socio</w:t>
      </w:r>
      <w:r w:rsidRPr="00705097" w:rsidR="00705097">
        <w:rPr>
          <w:highlight w:val="yellow"/>
        </w:rPr>
        <w:t>-demographic and socio-economic</w:t>
      </w:r>
      <w:r w:rsidRPr="00705097" w:rsidR="00555F3F">
        <w:rPr>
          <w:highlight w:val="yellow"/>
        </w:rPr>
        <w:t xml:space="preserve"> characteristics</w:t>
      </w:r>
      <w:r w:rsidRPr="00705097" w:rsidR="00705097">
        <w:rPr>
          <w:highlight w:val="yellow"/>
        </w:rPr>
        <w:t xml:space="preserve"> to support NIH’s renewed Interest in Diversity (NOT-OD-20-031)</w:t>
      </w:r>
      <w:r w:rsidRPr="00705097" w:rsidR="00900E0B">
        <w:rPr>
          <w:highlight w:val="yellow"/>
        </w:rPr>
        <w:t>.</w:t>
      </w:r>
    </w:p>
    <w:p w:rsidRPr="00D14F23" w:rsidR="0032638E" w:rsidP="00D14F23" w:rsidRDefault="00DA6A02">
      <w:r w:rsidRPr="00862752">
        <w:t>   </w:t>
      </w:r>
      <w:bookmarkStart w:name="_Toc443881743" w:id="1"/>
      <w:bookmarkStart w:name="_Toc451592232" w:id="2"/>
      <w:bookmarkStart w:name="_Toc5610273" w:id="3"/>
      <w:bookmarkStart w:name="_Toc99178779" w:id="4"/>
    </w:p>
    <w:p w:rsidRPr="00D14F23" w:rsidR="00FA332F" w:rsidP="00D14F23" w:rsidRDefault="006E557B">
      <w:pPr>
        <w:pStyle w:val="Heading2"/>
        <w:spacing w:after="0" w:line="240" w:lineRule="auto"/>
        <w:ind w:left="0" w:firstLine="0"/>
        <w:rPr>
          <w:sz w:val="24"/>
          <w:szCs w:val="24"/>
        </w:rPr>
      </w:pPr>
      <w:r w:rsidRPr="009939F8">
        <w:rPr>
          <w:sz w:val="24"/>
          <w:szCs w:val="24"/>
          <w:highlight w:val="lightGray"/>
        </w:rPr>
        <w:t>A.2    Purpose and Use of the Information</w:t>
      </w:r>
      <w:bookmarkEnd w:id="1"/>
      <w:bookmarkEnd w:id="2"/>
      <w:bookmarkEnd w:id="3"/>
      <w:bookmarkEnd w:id="4"/>
      <w:r w:rsidRPr="009939F8">
        <w:rPr>
          <w:sz w:val="24"/>
          <w:szCs w:val="24"/>
          <w:highlight w:val="lightGray"/>
        </w:rPr>
        <w:t xml:space="preserve"> Collection</w:t>
      </w:r>
    </w:p>
    <w:p w:rsidRPr="00203CE3" w:rsidR="00203CE3" w:rsidP="00203CE3" w:rsidRDefault="00203CE3">
      <w:pPr>
        <w:rPr>
          <w:u w:val="single"/>
        </w:rPr>
      </w:pPr>
      <w:r w:rsidRPr="00203CE3">
        <w:rPr>
          <w:u w:val="single"/>
        </w:rPr>
        <w:t>ECR Application</w:t>
      </w:r>
      <w:r w:rsidR="00DC3428">
        <w:rPr>
          <w:u w:val="single"/>
        </w:rPr>
        <w:t xml:space="preserve"> </w:t>
      </w:r>
      <w:r w:rsidR="00182FAD">
        <w:rPr>
          <w:u w:val="single"/>
        </w:rPr>
        <w:t xml:space="preserve">and Vetting System (EAVS) </w:t>
      </w:r>
      <w:r w:rsidR="00D01337">
        <w:rPr>
          <w:u w:val="single"/>
        </w:rPr>
        <w:t>Application</w:t>
      </w:r>
    </w:p>
    <w:p w:rsidR="006E557B" w:rsidP="006E0329" w:rsidRDefault="00655B64">
      <w:r w:rsidRPr="00655B64">
        <w:rPr>
          <w:highlight w:val="yellow"/>
        </w:rPr>
        <w:t>This is a Revision application</w:t>
      </w:r>
      <w:r>
        <w:t xml:space="preserve">. The primary purpose of this ICR is to continue to gather information from ECR program applicants via an online application in a systematic way that reduces burden on the applicants and governmental costs associated with processing. </w:t>
      </w:r>
      <w:r w:rsidR="00157072">
        <w:t xml:space="preserve">ECR applicant information </w:t>
      </w:r>
      <w:r w:rsidR="00203CE3">
        <w:t>is</w:t>
      </w:r>
      <w:r w:rsidR="00157072">
        <w:t xml:space="preserve"> provided for the purpose of evaluating qualifications to serve on </w:t>
      </w:r>
      <w:r w:rsidR="00050AE1">
        <w:t>review panels</w:t>
      </w:r>
      <w:r w:rsidR="00157072">
        <w:t xml:space="preserve"> at </w:t>
      </w:r>
      <w:r w:rsidR="000F3094">
        <w:t>CSR</w:t>
      </w:r>
      <w:r w:rsidR="00050AE1">
        <w:t xml:space="preserve">. </w:t>
      </w:r>
      <w:r w:rsidR="00B9756A">
        <w:t>I</w:t>
      </w:r>
      <w:r w:rsidR="00D23D39">
        <w:t>nformation</w:t>
      </w:r>
      <w:r w:rsidR="00B9756A">
        <w:t xml:space="preserve"> gathered to determine eligibility</w:t>
      </w:r>
      <w:r w:rsidR="00D23D39">
        <w:t xml:space="preserve"> </w:t>
      </w:r>
      <w:r w:rsidRPr="00837059" w:rsidR="00AD06C5">
        <w:t>will</w:t>
      </w:r>
      <w:r w:rsidRPr="00837059" w:rsidR="000864C9">
        <w:t xml:space="preserve"> </w:t>
      </w:r>
      <w:r w:rsidRPr="00837059" w:rsidR="00AD06C5">
        <w:t>include</w:t>
      </w:r>
      <w:r w:rsidRPr="00837059" w:rsidR="000864C9">
        <w:t xml:space="preserve"> </w:t>
      </w:r>
      <w:r w:rsidRPr="00837059" w:rsidR="00AD06C5">
        <w:lastRenderedPageBreak/>
        <w:t xml:space="preserve">the </w:t>
      </w:r>
      <w:r w:rsidRPr="00837059" w:rsidR="00D23D39">
        <w:t>ECR applicant</w:t>
      </w:r>
      <w:r w:rsidRPr="00837059" w:rsidR="008D0667">
        <w:t>s</w:t>
      </w:r>
      <w:r w:rsidRPr="00837059" w:rsidR="00D23D39">
        <w:t>’ names and institution</w:t>
      </w:r>
      <w:r w:rsidRPr="00837059" w:rsidR="00D36523">
        <w:t>s</w:t>
      </w:r>
      <w:r w:rsidRPr="00837059" w:rsidR="00D23D39">
        <w:t>,</w:t>
      </w:r>
      <w:r w:rsidRPr="00837059" w:rsidR="008D0667">
        <w:t xml:space="preserve"> areas of expert</w:t>
      </w:r>
      <w:r w:rsidR="008D0667">
        <w:t>ise, training credentials, professional accomplishments</w:t>
      </w:r>
      <w:r w:rsidR="00900E0B">
        <w:t>, email address</w:t>
      </w:r>
      <w:r w:rsidR="00550381">
        <w:t>es</w:t>
      </w:r>
      <w:r w:rsidR="00900E0B">
        <w:t xml:space="preserve">, </w:t>
      </w:r>
      <w:r w:rsidR="001345F5">
        <w:t xml:space="preserve">ORCID </w:t>
      </w:r>
      <w:r w:rsidR="00AD06C5">
        <w:t>and NIH Commons name</w:t>
      </w:r>
      <w:r w:rsidR="00550381">
        <w:t>s</w:t>
      </w:r>
      <w:r w:rsidR="00AD06C5">
        <w:t xml:space="preserve">, </w:t>
      </w:r>
      <w:r w:rsidR="000F3094">
        <w:t xml:space="preserve">most of which </w:t>
      </w:r>
      <w:r w:rsidR="000864C9">
        <w:t>is</w:t>
      </w:r>
      <w:r w:rsidR="000F3094">
        <w:t xml:space="preserve"> provided in </w:t>
      </w:r>
      <w:r w:rsidR="00AD06C5">
        <w:t>their</w:t>
      </w:r>
      <w:r w:rsidR="000F3094">
        <w:t xml:space="preserve"> </w:t>
      </w:r>
      <w:r w:rsidRPr="00837059" w:rsidR="000F3094">
        <w:t>CV</w:t>
      </w:r>
      <w:r w:rsidRPr="00837059" w:rsidR="00D36523">
        <w:t>s</w:t>
      </w:r>
      <w:r w:rsidRPr="00837059" w:rsidR="00266399">
        <w:t xml:space="preserve"> (see Attachment 1: Screen Shots of Online Application Format). </w:t>
      </w:r>
      <w:r w:rsidRPr="00837059" w:rsidR="000F3094">
        <w:t xml:space="preserve">Applicants will </w:t>
      </w:r>
      <w:r w:rsidRPr="00837059" w:rsidR="000864C9">
        <w:t>continue to</w:t>
      </w:r>
      <w:r w:rsidR="000864C9">
        <w:t xml:space="preserve"> </w:t>
      </w:r>
      <w:r w:rsidR="000F3094">
        <w:t xml:space="preserve">be </w:t>
      </w:r>
      <w:r w:rsidR="00D23D39">
        <w:t>asked to select up to four study sections that match their areas of expertise</w:t>
      </w:r>
      <w:r w:rsidR="007A50DB">
        <w:t xml:space="preserve">. This information will be used to help SROs identify applicants that </w:t>
      </w:r>
      <w:r w:rsidR="002D5B56">
        <w:t xml:space="preserve">are appropriate </w:t>
      </w:r>
      <w:r w:rsidR="007A50DB">
        <w:t>match</w:t>
      </w:r>
      <w:r w:rsidR="002D5B56">
        <w:t>es for</w:t>
      </w:r>
      <w:r w:rsidR="007A50DB">
        <w:t xml:space="preserve"> their</w:t>
      </w:r>
      <w:r w:rsidR="00050AE1">
        <w:t xml:space="preserve"> </w:t>
      </w:r>
      <w:r w:rsidR="00797751">
        <w:t>review panels</w:t>
      </w:r>
      <w:r w:rsidR="002D5B56">
        <w:t>.</w:t>
      </w:r>
      <w:r w:rsidRPr="002D5B56" w:rsidR="002D5B56">
        <w:t xml:space="preserve"> </w:t>
      </w:r>
      <w:r w:rsidR="002D5B56">
        <w:t xml:space="preserve">The provision of a Commons ID and the ORCID allows staff members to more easily add selected ECRs to study section rosters via NIH data systems (IMPACII). </w:t>
      </w:r>
      <w:r w:rsidRPr="00705097" w:rsidR="00CE2BCD">
        <w:t xml:space="preserve">The ECR website </w:t>
      </w:r>
      <w:r w:rsidRPr="00705097" w:rsidR="00F042FF">
        <w:t>(Attachment 3</w:t>
      </w:r>
      <w:r w:rsidRPr="00705097" w:rsidR="006C0FDD">
        <w:t xml:space="preserve">) </w:t>
      </w:r>
      <w:r w:rsidRPr="00705097" w:rsidR="00CE2BCD">
        <w:t>provide</w:t>
      </w:r>
      <w:r w:rsidRPr="00705097" w:rsidR="00D942B1">
        <w:t>s</w:t>
      </w:r>
      <w:r w:rsidRPr="00705097" w:rsidR="00CE2BCD">
        <w:t xml:space="preserve"> a link to the </w:t>
      </w:r>
      <w:r w:rsidR="00FA332F">
        <w:t xml:space="preserve">EAVS </w:t>
      </w:r>
      <w:r w:rsidRPr="00705097" w:rsidR="006E0329">
        <w:t xml:space="preserve">online </w:t>
      </w:r>
      <w:r w:rsidRPr="00705097" w:rsidR="00CE2BCD">
        <w:t>application.</w:t>
      </w:r>
      <w:r w:rsidR="006C4BF7">
        <w:t xml:space="preserve"> The application </w:t>
      </w:r>
      <w:r w:rsidR="00550381">
        <w:t xml:space="preserve">software </w:t>
      </w:r>
      <w:r w:rsidR="00300CF8">
        <w:t>was</w:t>
      </w:r>
      <w:r w:rsidR="006C4BF7">
        <w:t xml:space="preserve"> developed by the CSR’s Information Management Branch (IMB) in collaboration with CSR ECR staff</w:t>
      </w:r>
      <w:r w:rsidR="00E31169">
        <w:t xml:space="preserve"> for use by </w:t>
      </w:r>
      <w:r w:rsidR="00FA332F">
        <w:t xml:space="preserve">ECR </w:t>
      </w:r>
      <w:r w:rsidR="00300CF8">
        <w:t xml:space="preserve">applicants and for </w:t>
      </w:r>
      <w:r w:rsidR="00E31169">
        <w:t xml:space="preserve">CSR SROs.  </w:t>
      </w:r>
    </w:p>
    <w:p w:rsidR="00655B64" w:rsidP="006E0329" w:rsidRDefault="00655B64"/>
    <w:p w:rsidRPr="00B7090B" w:rsidR="00655B64" w:rsidP="00655B64" w:rsidRDefault="00655B64">
      <w:pPr>
        <w:rPr>
          <w:highlight w:val="yellow"/>
        </w:rPr>
      </w:pPr>
      <w:r w:rsidRPr="00B7090B">
        <w:rPr>
          <w:highlight w:val="yellow"/>
        </w:rPr>
        <w:t xml:space="preserve">The request to revise the application to add sensitive questions are in line with NIH’s renewed Interest in Diversity (i.e. NOT-OD-20-031). These sensitive questions include applicants’ race, ethnicity, </w:t>
      </w:r>
      <w:r w:rsidR="009B7744">
        <w:rPr>
          <w:highlight w:val="yellow"/>
        </w:rPr>
        <w:t>sex</w:t>
      </w:r>
      <w:r w:rsidRPr="00B7090B">
        <w:rPr>
          <w:highlight w:val="yellow"/>
        </w:rPr>
        <w:t>, disability and disadvantage background.</w:t>
      </w:r>
      <w:r w:rsidRPr="00B7090B" w:rsidR="00F81516">
        <w:rPr>
          <w:highlight w:val="yellow"/>
        </w:rPr>
        <w:t xml:space="preserve"> Applicants can choose if they would like to answer these sensitive questions (i.e. optional).</w:t>
      </w:r>
      <w:r w:rsidRPr="00B7090B">
        <w:rPr>
          <w:highlight w:val="yellow"/>
        </w:rPr>
        <w:t xml:space="preserve"> Periodic summaries of the information collected (e.g. number of applicants by institution or state, applicants’ socio-demographic characteristics) will be generated and used to help assess </w:t>
      </w:r>
      <w:r w:rsidRPr="00B7090B" w:rsidR="000E7758">
        <w:rPr>
          <w:highlight w:val="yellow"/>
        </w:rPr>
        <w:t xml:space="preserve">interest and acceptance in the ECR program as it relates to </w:t>
      </w:r>
      <w:r w:rsidRPr="00B7090B">
        <w:rPr>
          <w:highlight w:val="yellow"/>
        </w:rPr>
        <w:t xml:space="preserve">applicants’ characteristics. These summaries will help with program evaluation and may be used to improve current processes (e.g. outreach efforts). Information will continue to be reported in aggregate form without individual identifiers. The ECR program is not a systematic investigation and the data gathered will not produce any generalizable knowledge. </w:t>
      </w:r>
    </w:p>
    <w:p w:rsidRPr="00B7090B" w:rsidR="006221EC" w:rsidP="00655B64" w:rsidRDefault="006221EC">
      <w:pPr>
        <w:rPr>
          <w:highlight w:val="yellow"/>
        </w:rPr>
      </w:pPr>
    </w:p>
    <w:p w:rsidR="006221EC" w:rsidP="00655B64" w:rsidRDefault="006221EC">
      <w:r w:rsidRPr="00B7090B">
        <w:rPr>
          <w:highlight w:val="yellow"/>
        </w:rPr>
        <w:t xml:space="preserve">Other revisions include aesthetic enhancements to the online interface and additional questions to </w:t>
      </w:r>
      <w:r w:rsidRPr="00B7090B" w:rsidR="00266376">
        <w:rPr>
          <w:highlight w:val="yellow"/>
        </w:rPr>
        <w:t>assess</w:t>
      </w:r>
      <w:r w:rsidRPr="00B7090B">
        <w:rPr>
          <w:highlight w:val="yellow"/>
        </w:rPr>
        <w:t xml:space="preserve"> applicant’s program eligibility. If an applicant is ineligible for participation in the program</w:t>
      </w:r>
      <w:r w:rsidR="009B7744">
        <w:rPr>
          <w:highlight w:val="yellow"/>
        </w:rPr>
        <w:t xml:space="preserve"> based on the general qualifications (e.g. prior NIH reviewer)</w:t>
      </w:r>
      <w:r w:rsidRPr="00B7090B">
        <w:rPr>
          <w:highlight w:val="yellow"/>
        </w:rPr>
        <w:t>, the system immediately informs the applicant the reasons for disqualification.</w:t>
      </w:r>
      <w:r>
        <w:t xml:space="preserve"> </w:t>
      </w:r>
    </w:p>
    <w:p w:rsidR="006E557B" w:rsidP="00203CE3" w:rsidRDefault="006E557B">
      <w:pPr>
        <w:pStyle w:val="Heading2"/>
        <w:spacing w:after="0" w:line="240" w:lineRule="auto"/>
        <w:ind w:left="0" w:firstLine="0"/>
        <w:rPr>
          <w:b w:val="0"/>
          <w:color w:val="FF0000"/>
          <w:sz w:val="24"/>
          <w:szCs w:val="24"/>
        </w:rPr>
      </w:pPr>
      <w:bookmarkStart w:name="_Toc443881744" w:id="5"/>
      <w:bookmarkStart w:name="_Toc451592233" w:id="6"/>
      <w:bookmarkStart w:name="_Toc5610274" w:id="7"/>
      <w:bookmarkStart w:name="_Toc99178780" w:id="8"/>
    </w:p>
    <w:p w:rsidRPr="00D14F23" w:rsidR="00862752" w:rsidP="00D14F23" w:rsidRDefault="006E557B">
      <w:pPr>
        <w:pStyle w:val="Heading2"/>
        <w:spacing w:after="0" w:line="240" w:lineRule="auto"/>
        <w:ind w:left="0" w:firstLine="0"/>
        <w:rPr>
          <w:sz w:val="24"/>
          <w:szCs w:val="24"/>
        </w:rPr>
      </w:pPr>
      <w:r w:rsidRPr="009939F8">
        <w:rPr>
          <w:sz w:val="24"/>
          <w:szCs w:val="24"/>
          <w:highlight w:val="lightGray"/>
        </w:rPr>
        <w:t>A.3     Use of Information Technology and Burden Reductio</w:t>
      </w:r>
      <w:bookmarkEnd w:id="5"/>
      <w:bookmarkEnd w:id="6"/>
      <w:bookmarkEnd w:id="7"/>
      <w:bookmarkEnd w:id="8"/>
      <w:r w:rsidRPr="009939F8" w:rsidR="00D57FFB">
        <w:rPr>
          <w:sz w:val="24"/>
          <w:szCs w:val="24"/>
          <w:highlight w:val="lightGray"/>
        </w:rPr>
        <w:t>n</w:t>
      </w:r>
    </w:p>
    <w:p w:rsidRPr="00705097" w:rsidR="0073481B" w:rsidP="0073481B" w:rsidRDefault="00182FAD">
      <w:pPr>
        <w:rPr>
          <w:u w:val="single"/>
        </w:rPr>
      </w:pPr>
      <w:r w:rsidRPr="00705097">
        <w:rPr>
          <w:u w:val="single"/>
        </w:rPr>
        <w:t>ECR Application and Vetting</w:t>
      </w:r>
      <w:r w:rsidRPr="00705097" w:rsidR="0073481B">
        <w:rPr>
          <w:u w:val="single"/>
        </w:rPr>
        <w:t xml:space="preserve"> </w:t>
      </w:r>
      <w:r w:rsidRPr="00705097" w:rsidR="00A61565">
        <w:rPr>
          <w:u w:val="single"/>
        </w:rPr>
        <w:t xml:space="preserve">System </w:t>
      </w:r>
      <w:r w:rsidRPr="00705097">
        <w:rPr>
          <w:u w:val="single"/>
        </w:rPr>
        <w:t xml:space="preserve">(EAVS) </w:t>
      </w:r>
      <w:r w:rsidRPr="00705097" w:rsidR="00A61565">
        <w:rPr>
          <w:u w:val="single"/>
        </w:rPr>
        <w:t>-</w:t>
      </w:r>
      <w:r w:rsidRPr="00705097" w:rsidR="0073481B">
        <w:rPr>
          <w:u w:val="single"/>
        </w:rPr>
        <w:t xml:space="preserve"> Burden for Applicants</w:t>
      </w:r>
    </w:p>
    <w:p w:rsidR="00034485" w:rsidP="00203CE3" w:rsidRDefault="00641321">
      <w:r w:rsidRPr="00705097">
        <w:t>EAVS</w:t>
      </w:r>
      <w:r w:rsidRPr="00705097" w:rsidR="00B05ED1">
        <w:t xml:space="preserve"> allow</w:t>
      </w:r>
      <w:r w:rsidRPr="00705097" w:rsidR="007758B7">
        <w:t>s</w:t>
      </w:r>
      <w:r w:rsidRPr="00705097" w:rsidR="00B05ED1">
        <w:t xml:space="preserve"> applicants to access an application form through our ECR website and provide </w:t>
      </w:r>
      <w:r w:rsidRPr="00705097" w:rsidR="0065757B">
        <w:t xml:space="preserve">all </w:t>
      </w:r>
      <w:r w:rsidRPr="00705097" w:rsidR="00B05ED1">
        <w:t xml:space="preserve">the information needed for vetting the </w:t>
      </w:r>
      <w:r w:rsidRPr="00705097" w:rsidR="00B86B0A">
        <w:t>applicant</w:t>
      </w:r>
      <w:r w:rsidRPr="00705097" w:rsidR="0065757B">
        <w:t xml:space="preserve"> for inclusion in the ECR program</w:t>
      </w:r>
      <w:r w:rsidRPr="00705097" w:rsidR="00B05ED1">
        <w:t>.</w:t>
      </w:r>
      <w:r w:rsidR="00FA332F">
        <w:t xml:space="preserve"> This has reduced burden on the applicant and is more efficient and cost-effective for CSR. This online system reduces staff time to process applications and increases the speed of transmission of applications for the ECR program to SROs who are in the best position to evaluate applicants’ appropriateness to serve as reviewers.  It also allows for seamless provision of feedback to applicants regarding their eligibility and places those accepted into a pool of applicants who will be invited to participate in future study sections. </w:t>
      </w:r>
      <w:r w:rsidRPr="00705097" w:rsidR="0025796B">
        <w:t>Attachment 1</w:t>
      </w:r>
      <w:r w:rsidRPr="00705097" w:rsidR="00B05ED1">
        <w:t xml:space="preserve"> provides screenshots of </w:t>
      </w:r>
      <w:r w:rsidRPr="00705097">
        <w:t>EAVS</w:t>
      </w:r>
      <w:r w:rsidRPr="00705097" w:rsidR="00B05ED1">
        <w:t xml:space="preserve">.  </w:t>
      </w:r>
      <w:r w:rsidRPr="00705097">
        <w:t xml:space="preserve">Completion of the online application </w:t>
      </w:r>
      <w:r w:rsidRPr="00705097" w:rsidR="00B05ED1">
        <w:t xml:space="preserve">should take no longer than </w:t>
      </w:r>
      <w:r w:rsidRPr="00705097" w:rsidR="0065757B">
        <w:t>25</w:t>
      </w:r>
      <w:r w:rsidRPr="00705097" w:rsidR="00B05ED1">
        <w:t xml:space="preserve"> minutes per applicant</w:t>
      </w:r>
      <w:r w:rsidRPr="00705097" w:rsidR="00921337">
        <w:t>.</w:t>
      </w:r>
      <w:r w:rsidR="00921337">
        <w:t xml:space="preserve"> </w:t>
      </w:r>
    </w:p>
    <w:p w:rsidR="00034485" w:rsidP="00203CE3" w:rsidRDefault="00034485"/>
    <w:p w:rsidRPr="00705097" w:rsidR="00034485" w:rsidP="00034485" w:rsidRDefault="00034485">
      <w:pPr>
        <w:rPr>
          <w:u w:val="single"/>
        </w:rPr>
      </w:pPr>
      <w:r w:rsidRPr="00705097">
        <w:rPr>
          <w:u w:val="single"/>
        </w:rPr>
        <w:t>Privacy Impact Assessment</w:t>
      </w:r>
    </w:p>
    <w:p w:rsidR="004574D7" w:rsidP="00203CE3" w:rsidRDefault="0013550A">
      <w:r>
        <w:t>A</w:t>
      </w:r>
      <w:r w:rsidRPr="00705097" w:rsidR="00034485">
        <w:t xml:space="preserve"> Privacy Impact Assessment was completed for the </w:t>
      </w:r>
      <w:bookmarkStart w:name="OLE_LINK1" w:id="9"/>
      <w:bookmarkStart w:name="OLE_LINK2" w:id="10"/>
      <w:r w:rsidRPr="00705097" w:rsidR="00034485">
        <w:t>NIH CSR Early Career Reviewers Database</w:t>
      </w:r>
      <w:bookmarkEnd w:id="9"/>
      <w:bookmarkEnd w:id="10"/>
      <w:r w:rsidR="00344DB8">
        <w:t xml:space="preserve">. </w:t>
      </w:r>
      <w:r>
        <w:t xml:space="preserve">This is renewed annually. </w:t>
      </w:r>
      <w:r w:rsidR="00FD5FA2">
        <w:t xml:space="preserve">(see Attachment 4) </w:t>
      </w:r>
      <w:r w:rsidRPr="00705097" w:rsidR="00034485">
        <w:t xml:space="preserve">The most recent PIA is for the continued maintenance of </w:t>
      </w:r>
      <w:r>
        <w:t>the</w:t>
      </w:r>
      <w:r w:rsidRPr="00705097" w:rsidR="00034485">
        <w:t xml:space="preserve"> database of applicants for the ECR program. The online </w:t>
      </w:r>
      <w:r w:rsidRPr="00705097" w:rsidR="00034485">
        <w:lastRenderedPageBreak/>
        <w:t xml:space="preserve">application software directs information into the NIH CSR Early Career </w:t>
      </w:r>
      <w:r w:rsidRPr="00344DB8" w:rsidR="00034485">
        <w:t>Reviewers</w:t>
      </w:r>
      <w:r w:rsidRPr="00705097" w:rsidR="00034485">
        <w:t xml:space="preserve"> Database. It was determined by the CSR Privacy Officer that a Confidentiality Agreement would not be necessary for this proposed project. The existing protections afforded to all reviewers who serve on committees apply to applicants for the ECR program. </w:t>
      </w:r>
      <w:r w:rsidRPr="00344DB8" w:rsidR="00344DB8">
        <w:rPr>
          <w:highlight w:val="yellow"/>
        </w:rPr>
        <w:t xml:space="preserve">See Attachment </w:t>
      </w:r>
      <w:r w:rsidR="00FD5FA2">
        <w:rPr>
          <w:highlight w:val="yellow"/>
        </w:rPr>
        <w:t>5</w:t>
      </w:r>
      <w:r w:rsidRPr="00344DB8" w:rsidR="00344DB8">
        <w:rPr>
          <w:highlight w:val="yellow"/>
        </w:rPr>
        <w:t>: Privacy Memo</w:t>
      </w:r>
      <w:r w:rsidR="00344DB8">
        <w:t>.</w:t>
      </w:r>
    </w:p>
    <w:p w:rsidR="0065757B" w:rsidP="00203CE3" w:rsidRDefault="00034485">
      <w:r w:rsidRPr="00705097">
        <w:t xml:space="preserve"> </w:t>
      </w:r>
    </w:p>
    <w:p w:rsidRPr="00D61E21" w:rsidR="006E557B" w:rsidP="00203CE3" w:rsidRDefault="006E557B">
      <w:pPr>
        <w:pStyle w:val="Heading2"/>
        <w:spacing w:after="0" w:line="240" w:lineRule="auto"/>
        <w:ind w:left="720" w:hanging="720"/>
        <w:rPr>
          <w:sz w:val="24"/>
          <w:szCs w:val="24"/>
        </w:rPr>
      </w:pPr>
      <w:bookmarkStart w:name="_Toc443881745" w:id="11"/>
      <w:bookmarkStart w:name="_Toc451592234" w:id="12"/>
      <w:bookmarkStart w:name="_Toc5610275" w:id="13"/>
      <w:bookmarkStart w:name="_Toc99178781" w:id="14"/>
      <w:r w:rsidRPr="00D57FFB">
        <w:rPr>
          <w:sz w:val="24"/>
          <w:szCs w:val="24"/>
          <w:highlight w:val="lightGray"/>
        </w:rPr>
        <w:t>A.4</w:t>
      </w:r>
      <w:r w:rsidRPr="00D57FFB">
        <w:rPr>
          <w:sz w:val="24"/>
          <w:szCs w:val="24"/>
          <w:highlight w:val="lightGray"/>
        </w:rPr>
        <w:tab/>
        <w:t>Efforts to Identify Duplication and Use of Similar Information</w:t>
      </w:r>
      <w:bookmarkEnd w:id="11"/>
      <w:bookmarkEnd w:id="12"/>
      <w:bookmarkEnd w:id="13"/>
      <w:bookmarkEnd w:id="14"/>
    </w:p>
    <w:p w:rsidR="001D66A3" w:rsidP="00203CE3" w:rsidRDefault="00652F0B">
      <w:pPr>
        <w:rPr>
          <w:color w:val="000000"/>
        </w:rPr>
      </w:pPr>
      <w:r>
        <w:rPr>
          <w:color w:val="000000"/>
        </w:rPr>
        <w:t>Most of the</w:t>
      </w:r>
      <w:r w:rsidR="00045B36">
        <w:rPr>
          <w:color w:val="000000"/>
        </w:rPr>
        <w:t xml:space="preserve"> information that </w:t>
      </w:r>
      <w:r w:rsidR="007758B7">
        <w:rPr>
          <w:color w:val="000000"/>
        </w:rPr>
        <w:t>is</w:t>
      </w:r>
      <w:r w:rsidR="00045B36">
        <w:rPr>
          <w:color w:val="000000"/>
        </w:rPr>
        <w:t xml:space="preserve"> gathered through </w:t>
      </w:r>
      <w:r>
        <w:rPr>
          <w:color w:val="000000"/>
        </w:rPr>
        <w:t xml:space="preserve">the </w:t>
      </w:r>
      <w:r w:rsidR="00182FAD">
        <w:rPr>
          <w:color w:val="000000"/>
        </w:rPr>
        <w:t>EAVS</w:t>
      </w:r>
      <w:r w:rsidR="00045B36">
        <w:rPr>
          <w:color w:val="000000"/>
        </w:rPr>
        <w:t xml:space="preserve"> </w:t>
      </w:r>
      <w:r w:rsidR="007758B7">
        <w:rPr>
          <w:color w:val="000000"/>
        </w:rPr>
        <w:t xml:space="preserve">application </w:t>
      </w:r>
      <w:r w:rsidR="00045B36">
        <w:rPr>
          <w:color w:val="000000"/>
        </w:rPr>
        <w:t xml:space="preserve">is </w:t>
      </w:r>
      <w:r w:rsidR="000334DF">
        <w:rPr>
          <w:color w:val="000000"/>
        </w:rPr>
        <w:t xml:space="preserve">not available from any other source or agency. </w:t>
      </w:r>
      <w:r>
        <w:rPr>
          <w:color w:val="000000"/>
        </w:rPr>
        <w:t>S</w:t>
      </w:r>
      <w:r>
        <w:t>ome of the eligibility information gleaned from applicants’ CVs might also be available through university websites, IMPACII, social media sites, professional association websites or via telephone or email contact with the applicant. These sources are used inconsistently by applicants and may include outdated or incomplete information, all of which introduce the potential for inconsistency in the manner in which applicants are evaluated.</w:t>
      </w:r>
    </w:p>
    <w:p w:rsidR="00056F87" w:rsidP="00203CE3" w:rsidRDefault="00056F87"/>
    <w:p w:rsidRPr="00862752" w:rsidR="00862752" w:rsidP="00862752" w:rsidRDefault="00B41EC6">
      <w:pPr>
        <w:pStyle w:val="Heading2"/>
        <w:spacing w:after="0" w:line="240" w:lineRule="auto"/>
        <w:ind w:left="720" w:hanging="720"/>
        <w:rPr>
          <w:sz w:val="24"/>
          <w:szCs w:val="24"/>
        </w:rPr>
      </w:pPr>
      <w:bookmarkStart w:name="_Toc443881746" w:id="15"/>
      <w:bookmarkStart w:name="_Toc451592235" w:id="16"/>
      <w:bookmarkStart w:name="_Toc5610276" w:id="17"/>
      <w:bookmarkStart w:name="_Toc99178782" w:id="18"/>
      <w:r w:rsidRPr="00D57FFB">
        <w:rPr>
          <w:sz w:val="24"/>
          <w:szCs w:val="24"/>
          <w:highlight w:val="lightGray"/>
        </w:rPr>
        <w:t>A.5</w:t>
      </w:r>
      <w:r w:rsidRPr="00D57FFB">
        <w:rPr>
          <w:sz w:val="24"/>
          <w:szCs w:val="24"/>
          <w:highlight w:val="lightGray"/>
        </w:rPr>
        <w:tab/>
        <w:t>Impact on Small Businesses or Other Small Entities</w:t>
      </w:r>
      <w:bookmarkEnd w:id="15"/>
      <w:bookmarkEnd w:id="16"/>
      <w:bookmarkEnd w:id="17"/>
      <w:bookmarkEnd w:id="18"/>
    </w:p>
    <w:p w:rsidR="000334DF" w:rsidP="00203CE3" w:rsidRDefault="00150C37">
      <w:r>
        <w:t xml:space="preserve">Researchers from small </w:t>
      </w:r>
      <w:r w:rsidR="00967E60">
        <w:t>organizations</w:t>
      </w:r>
      <w:r>
        <w:t xml:space="preserve"> </w:t>
      </w:r>
      <w:r w:rsidR="007758B7">
        <w:t>are</w:t>
      </w:r>
      <w:r>
        <w:t xml:space="preserve"> eligible to </w:t>
      </w:r>
      <w:r w:rsidR="00967E60">
        <w:t xml:space="preserve">apply for the ECR program using </w:t>
      </w:r>
      <w:r w:rsidR="007758B7">
        <w:t>EAVS</w:t>
      </w:r>
      <w:r w:rsidR="00967E60">
        <w:t>.  The time estimate</w:t>
      </w:r>
      <w:r w:rsidR="00034440">
        <w:t>d</w:t>
      </w:r>
      <w:r w:rsidR="00967E60">
        <w:t xml:space="preserve"> for completion of the online application </w:t>
      </w:r>
      <w:r w:rsidR="000864C9">
        <w:t>is</w:t>
      </w:r>
      <w:r w:rsidR="00967E60">
        <w:t xml:space="preserve"> the same for all applicants, including those from small </w:t>
      </w:r>
      <w:r w:rsidRPr="00705097" w:rsidR="00967E60">
        <w:t xml:space="preserve">businesses.  </w:t>
      </w:r>
    </w:p>
    <w:p w:rsidR="00056F87" w:rsidP="00203CE3" w:rsidRDefault="00056F87"/>
    <w:p w:rsidR="00D57FFB" w:rsidP="00D57FFB" w:rsidRDefault="00B41EC6">
      <w:pPr>
        <w:pStyle w:val="Heading2"/>
        <w:spacing w:after="0" w:line="240" w:lineRule="auto"/>
        <w:ind w:left="720" w:hanging="720"/>
        <w:rPr>
          <w:sz w:val="24"/>
          <w:szCs w:val="24"/>
        </w:rPr>
      </w:pPr>
      <w:bookmarkStart w:name="_Toc443881747" w:id="19"/>
      <w:bookmarkStart w:name="_Toc451592236" w:id="20"/>
      <w:bookmarkStart w:name="_Toc5610277" w:id="21"/>
      <w:bookmarkStart w:name="_Toc99178783" w:id="22"/>
      <w:r w:rsidRPr="00D57FFB">
        <w:rPr>
          <w:sz w:val="24"/>
          <w:szCs w:val="24"/>
          <w:highlight w:val="lightGray"/>
        </w:rPr>
        <w:t>A.6</w:t>
      </w:r>
      <w:r w:rsidRPr="00D57FFB">
        <w:rPr>
          <w:sz w:val="24"/>
          <w:szCs w:val="24"/>
          <w:highlight w:val="lightGray"/>
        </w:rPr>
        <w:tab/>
        <w:t>Consequences of Collecting the Information Less Frequently</w:t>
      </w:r>
      <w:bookmarkEnd w:id="19"/>
      <w:bookmarkEnd w:id="20"/>
      <w:bookmarkEnd w:id="21"/>
      <w:bookmarkEnd w:id="22"/>
    </w:p>
    <w:p w:rsidRPr="004E1559" w:rsidR="004E1559" w:rsidP="00203CE3" w:rsidRDefault="004E1559">
      <w:pPr>
        <w:rPr>
          <w:u w:val="single"/>
        </w:rPr>
      </w:pPr>
      <w:r w:rsidRPr="004E1559">
        <w:rPr>
          <w:u w:val="single"/>
        </w:rPr>
        <w:t>Frequency of Application</w:t>
      </w:r>
    </w:p>
    <w:p w:rsidR="00236689" w:rsidP="00203CE3" w:rsidRDefault="00236689">
      <w:r>
        <w:t>Applicants for the ECR program complete the application and upload their CVs only once after selecting the “</w:t>
      </w:r>
      <w:r w:rsidR="00641321">
        <w:t>Apply for the ECR Program</w:t>
      </w:r>
      <w:r>
        <w:t>” option</w:t>
      </w:r>
      <w:r w:rsidR="00952638">
        <w:t xml:space="preserve"> </w:t>
      </w:r>
      <w:r w:rsidR="00182FAD">
        <w:t>in EAVS</w:t>
      </w:r>
      <w:r>
        <w:t xml:space="preserve">. Applicants who do not meet the minimum requirements for inclusion in the ECR program </w:t>
      </w:r>
      <w:r w:rsidRPr="003B7862" w:rsidR="007758B7">
        <w:t>are</w:t>
      </w:r>
      <w:r w:rsidRPr="003B7862">
        <w:t xml:space="preserve"> provided with feedback on why they were not accepted.  All of those not accep</w:t>
      </w:r>
      <w:r>
        <w:t>ted have the option to reapply after they have ha</w:t>
      </w:r>
      <w:r w:rsidR="00BE2306">
        <w:t>d</w:t>
      </w:r>
      <w:r>
        <w:t xml:space="preserve"> time to strengthen their qualifications.  Reapplication can occur at any time and consists of repeating the original application steps.  Applicants can </w:t>
      </w:r>
      <w:r w:rsidR="00952638">
        <w:t xml:space="preserve">apply </w:t>
      </w:r>
      <w:r w:rsidR="004E1559">
        <w:t xml:space="preserve">more than </w:t>
      </w:r>
      <w:r w:rsidR="0083280D">
        <w:t>twice</w:t>
      </w:r>
      <w:r w:rsidR="004E1559">
        <w:t xml:space="preserve"> if needed</w:t>
      </w:r>
      <w:r>
        <w:t>. It is possible that those accepted into the ECR program will change jobs and/or contact information</w:t>
      </w:r>
      <w:r w:rsidR="0083280D">
        <w:t xml:space="preserve"> during their time of participation in the ECR program</w:t>
      </w:r>
      <w:r>
        <w:t>.  These individuals can update their information usi</w:t>
      </w:r>
      <w:r w:rsidR="004E1559">
        <w:t xml:space="preserve">ng the same online application </w:t>
      </w:r>
      <w:r>
        <w:t>by selec</w:t>
      </w:r>
      <w:r w:rsidR="004E1559">
        <w:t>ting the “update</w:t>
      </w:r>
      <w:r w:rsidR="00641321">
        <w:t xml:space="preserve"> your</w:t>
      </w:r>
      <w:r w:rsidR="004E1559">
        <w:t xml:space="preserve"> information” </w:t>
      </w:r>
      <w:r w:rsidRPr="003B7862">
        <w:t>option</w:t>
      </w:r>
      <w:r w:rsidRPr="003B7862" w:rsidR="00641321">
        <w:t xml:space="preserve"> (</w:t>
      </w:r>
      <w:r w:rsidRPr="003B7862" w:rsidR="009367AC">
        <w:t>s</w:t>
      </w:r>
      <w:r w:rsidRPr="003B7862" w:rsidR="006C0FDD">
        <w:t>ee A</w:t>
      </w:r>
      <w:r w:rsidRPr="003B7862" w:rsidR="00641321">
        <w:t>ttachment 1)</w:t>
      </w:r>
      <w:r w:rsidRPr="003B7862">
        <w:t xml:space="preserve">. </w:t>
      </w:r>
      <w:r w:rsidRPr="003B7862" w:rsidR="006A090A">
        <w:t>Annual queries will be made to those who are eligible, but not ye</w:t>
      </w:r>
      <w:r w:rsidRPr="006A090A" w:rsidR="006A090A">
        <w:t>t recruited to a panel, to determine continued interest</w:t>
      </w:r>
      <w:r w:rsidR="00E0680A">
        <w:t xml:space="preserve"> in the ECR program</w:t>
      </w:r>
      <w:r w:rsidRPr="006A090A" w:rsidR="006A090A">
        <w:t>. If the response is in the negative or no response is received, their information will be archived or removed from the database.</w:t>
      </w:r>
      <w:r>
        <w:t xml:space="preserve"> </w:t>
      </w:r>
    </w:p>
    <w:p w:rsidR="004E1559" w:rsidP="00203CE3" w:rsidRDefault="004E1559"/>
    <w:p w:rsidRPr="004E1559" w:rsidR="004E1559" w:rsidP="00203CE3" w:rsidRDefault="004E1559">
      <w:pPr>
        <w:rPr>
          <w:u w:val="single"/>
        </w:rPr>
      </w:pPr>
      <w:r w:rsidRPr="004E1559">
        <w:rPr>
          <w:u w:val="single"/>
        </w:rPr>
        <w:t xml:space="preserve">Consequence of not collecting applicant information </w:t>
      </w:r>
    </w:p>
    <w:p w:rsidR="00056F87" w:rsidP="00800392" w:rsidRDefault="004E1559">
      <w:r w:rsidRPr="006C731A">
        <w:t>As described in Section A</w:t>
      </w:r>
      <w:r w:rsidRPr="006C731A" w:rsidR="00DF1DC6">
        <w:t>.</w:t>
      </w:r>
      <w:r w:rsidRPr="006C731A">
        <w:t>4,</w:t>
      </w:r>
      <w:r>
        <w:t xml:space="preserve"> </w:t>
      </w:r>
      <w:bookmarkStart w:name="_Hlk33101590" w:id="23"/>
      <w:r>
        <w:t xml:space="preserve">some of the eligibility information </w:t>
      </w:r>
      <w:r w:rsidR="00DF1DC6">
        <w:t>gleaned</w:t>
      </w:r>
      <w:r>
        <w:t xml:space="preserve"> from applicants</w:t>
      </w:r>
      <w:r w:rsidR="00DF1DC6">
        <w:t>’ CVs</w:t>
      </w:r>
      <w:r>
        <w:t xml:space="preserve"> might </w:t>
      </w:r>
      <w:r w:rsidR="00DF1DC6">
        <w:t xml:space="preserve">also </w:t>
      </w:r>
      <w:r>
        <w:t>be available through</w:t>
      </w:r>
      <w:r w:rsidR="00652F0B">
        <w:t xml:space="preserve"> other sources, but these sources are </w:t>
      </w:r>
      <w:r>
        <w:t xml:space="preserve">used inconsistently by </w:t>
      </w:r>
      <w:r w:rsidR="00DF1DC6">
        <w:t>applicants</w:t>
      </w:r>
      <w:r w:rsidR="00652F0B">
        <w:t xml:space="preserve"> and </w:t>
      </w:r>
      <w:r>
        <w:t xml:space="preserve">may </w:t>
      </w:r>
      <w:r w:rsidR="00DF1DC6">
        <w:t>include</w:t>
      </w:r>
      <w:r>
        <w:t xml:space="preserve"> outdated </w:t>
      </w:r>
      <w:r w:rsidR="00DF1DC6">
        <w:t>or incomplete information</w:t>
      </w:r>
      <w:r w:rsidR="00652F0B">
        <w:t>—</w:t>
      </w:r>
      <w:r>
        <w:t xml:space="preserve"> </w:t>
      </w:r>
      <w:r w:rsidR="00DF1DC6">
        <w:t>all of which</w:t>
      </w:r>
      <w:r>
        <w:t xml:space="preserve"> introduce the potential for inconsistency in the manner in which applicants are evaluated.</w:t>
      </w:r>
      <w:bookmarkEnd w:id="23"/>
      <w:r>
        <w:t xml:space="preserve"> Completing the online application and uploading a CV standardizes the process</w:t>
      </w:r>
      <w:r w:rsidR="006C731A">
        <w:t xml:space="preserve"> and helps ensure that all applicants are evaluated based on the same criteria</w:t>
      </w:r>
      <w:r w:rsidR="00477041">
        <w:t>. The online application and CV also greatly</w:t>
      </w:r>
      <w:r>
        <w:t xml:space="preserve"> </w:t>
      </w:r>
      <w:r w:rsidR="00800392">
        <w:t>reduce</w:t>
      </w:r>
      <w:r>
        <w:t xml:space="preserve"> staff time </w:t>
      </w:r>
      <w:r w:rsidR="00477041">
        <w:t xml:space="preserve">that would be </w:t>
      </w:r>
      <w:r>
        <w:t xml:space="preserve">needed to conduct detailed online searches for information on each applicant. </w:t>
      </w:r>
      <w:r w:rsidR="00477041">
        <w:t>Given the high volume of applicants, it is more cost-effective to ask applicants to provide their CVs and</w:t>
      </w:r>
      <w:r w:rsidR="00E0680A">
        <w:t xml:space="preserve"> other</w:t>
      </w:r>
      <w:r w:rsidR="00477041">
        <w:t xml:space="preserve"> </w:t>
      </w:r>
      <w:r w:rsidR="00477041">
        <w:lastRenderedPageBreak/>
        <w:t>information</w:t>
      </w:r>
      <w:r w:rsidR="00E0680A">
        <w:t xml:space="preserve"> (e.g. degrees, training, study section preferences)</w:t>
      </w:r>
      <w:r w:rsidR="00477041">
        <w:t xml:space="preserve"> than to hire staff to conduct individualized </w:t>
      </w:r>
      <w:r w:rsidR="00DF1DC6">
        <w:t xml:space="preserve">online </w:t>
      </w:r>
      <w:r w:rsidR="00477041">
        <w:t xml:space="preserve">searches to verify the qualifications of each applicant. </w:t>
      </w:r>
      <w:r w:rsidR="00150D9F">
        <w:t xml:space="preserve">It also prevents the problem of misidentifying information online as </w:t>
      </w:r>
      <w:r w:rsidR="00E0680A">
        <w:t>belonging</w:t>
      </w:r>
      <w:r w:rsidR="00150D9F">
        <w:t xml:space="preserve"> to applicants when it may belong to another person with a similar name. Finally, providing all information at the time of application reduces the number of times that CSR staff </w:t>
      </w:r>
      <w:r w:rsidR="00E0680A">
        <w:t xml:space="preserve">will have to </w:t>
      </w:r>
      <w:r w:rsidR="00150D9F">
        <w:t xml:space="preserve">contact the applicant to verify or request additional information.  </w:t>
      </w:r>
      <w:bookmarkStart w:name="_Toc443881748" w:id="24"/>
      <w:bookmarkStart w:name="_Toc451592237" w:id="25"/>
      <w:bookmarkStart w:name="_Toc5610278" w:id="26"/>
      <w:bookmarkStart w:name="_Toc99178784" w:id="27"/>
    </w:p>
    <w:p w:rsidRPr="00800392" w:rsidR="00800392" w:rsidP="00800392" w:rsidRDefault="00800392"/>
    <w:p w:rsidR="00B41EC6" w:rsidP="00203CE3" w:rsidRDefault="00800392">
      <w:pPr>
        <w:pStyle w:val="Heading2"/>
        <w:spacing w:after="0" w:line="240" w:lineRule="auto"/>
        <w:ind w:left="0" w:firstLine="0"/>
        <w:rPr>
          <w:sz w:val="24"/>
          <w:szCs w:val="24"/>
        </w:rPr>
      </w:pPr>
      <w:r w:rsidRPr="00D57FFB">
        <w:rPr>
          <w:sz w:val="24"/>
          <w:szCs w:val="24"/>
          <w:highlight w:val="lightGray"/>
        </w:rPr>
        <w:t>A.7</w:t>
      </w:r>
      <w:r>
        <w:rPr>
          <w:sz w:val="24"/>
          <w:szCs w:val="24"/>
          <w:highlight w:val="lightGray"/>
        </w:rPr>
        <w:t xml:space="preserve"> Special</w:t>
      </w:r>
      <w:r w:rsidRPr="00D57FFB" w:rsidR="00B41EC6">
        <w:rPr>
          <w:sz w:val="24"/>
          <w:szCs w:val="24"/>
          <w:highlight w:val="lightGray"/>
        </w:rPr>
        <w:t xml:space="preserve"> Circumstances Relating to the Guidelines of 5 CFR 1320.5</w:t>
      </w:r>
      <w:bookmarkEnd w:id="24"/>
      <w:bookmarkEnd w:id="25"/>
      <w:bookmarkEnd w:id="26"/>
      <w:bookmarkEnd w:id="27"/>
    </w:p>
    <w:p w:rsidR="00116D91" w:rsidP="00D549D6" w:rsidRDefault="00056F87">
      <w:r>
        <w:t>T</w:t>
      </w:r>
      <w:r w:rsidR="008117DE">
        <w:t xml:space="preserve">he </w:t>
      </w:r>
      <w:r w:rsidR="00182FAD">
        <w:t>ECR Application and Vetting System (EAVS)</w:t>
      </w:r>
      <w:r w:rsidR="008117DE">
        <w:t xml:space="preserve"> fully compl</w:t>
      </w:r>
      <w:r w:rsidR="009A1198">
        <w:t>ies</w:t>
      </w:r>
      <w:r w:rsidR="008117DE">
        <w:t xml:space="preserve"> with all guidelines stated in 5 CFR 1320.5.  </w:t>
      </w:r>
    </w:p>
    <w:p w:rsidR="00C94EE3" w:rsidP="00203CE3" w:rsidRDefault="00C94EE3"/>
    <w:p w:rsidR="001E7CB7" w:rsidP="00203CE3" w:rsidRDefault="0005035B">
      <w:pPr>
        <w:pStyle w:val="Heading2"/>
        <w:spacing w:after="0" w:line="240" w:lineRule="auto"/>
        <w:ind w:left="720" w:hanging="720"/>
        <w:rPr>
          <w:sz w:val="24"/>
          <w:szCs w:val="24"/>
          <w:highlight w:val="lightGray"/>
        </w:rPr>
      </w:pPr>
      <w:bookmarkStart w:name="_Toc443881749" w:id="28"/>
      <w:bookmarkStart w:name="_Toc451592238" w:id="29"/>
      <w:bookmarkStart w:name="_Toc5610279" w:id="30"/>
      <w:bookmarkStart w:name="_Toc99178785" w:id="31"/>
      <w:r w:rsidRPr="00D57FFB">
        <w:rPr>
          <w:sz w:val="24"/>
          <w:szCs w:val="24"/>
          <w:highlight w:val="lightGray"/>
        </w:rPr>
        <w:t>A.8</w:t>
      </w:r>
      <w:r w:rsidR="001E7CB7">
        <w:rPr>
          <w:sz w:val="24"/>
          <w:szCs w:val="24"/>
          <w:highlight w:val="lightGray"/>
        </w:rPr>
        <w:t>.1</w:t>
      </w:r>
      <w:r w:rsidRPr="00D57FFB">
        <w:rPr>
          <w:sz w:val="24"/>
          <w:szCs w:val="24"/>
          <w:highlight w:val="lightGray"/>
        </w:rPr>
        <w:tab/>
        <w:t xml:space="preserve">Comments in Response to the Federal Register Notice </w:t>
      </w:r>
    </w:p>
    <w:p w:rsidR="001E7CB7" w:rsidP="001E7CB7" w:rsidRDefault="00E20802">
      <w:r>
        <w:t>January</w:t>
      </w:r>
      <w:r w:rsidRPr="006E26C2" w:rsidR="001E7CB7">
        <w:t xml:space="preserve"> </w:t>
      </w:r>
      <w:r>
        <w:t>31</w:t>
      </w:r>
      <w:r w:rsidRPr="006E26C2" w:rsidR="001E7CB7">
        <w:t>, 20</w:t>
      </w:r>
      <w:r>
        <w:t>20</w:t>
      </w:r>
      <w:r w:rsidRPr="006E26C2" w:rsidR="001E7CB7">
        <w:t xml:space="preserve">, </w:t>
      </w:r>
      <w:r w:rsidRPr="00E20802" w:rsidR="001E7CB7">
        <w:t>Volume 8</w:t>
      </w:r>
      <w:r w:rsidRPr="00E20802">
        <w:t>5</w:t>
      </w:r>
      <w:r w:rsidRPr="00E20802" w:rsidR="001E7CB7">
        <w:t>, Number 2</w:t>
      </w:r>
      <w:r w:rsidRPr="00E20802">
        <w:t>1</w:t>
      </w:r>
      <w:r w:rsidRPr="006E26C2" w:rsidR="001E7CB7">
        <w:t xml:space="preserve">, Pages </w:t>
      </w:r>
      <w:r>
        <w:t>5677</w:t>
      </w:r>
      <w:r w:rsidRPr="006E26C2" w:rsidR="001E7CB7">
        <w:t>-</w:t>
      </w:r>
      <w:r>
        <w:t>5678</w:t>
      </w:r>
      <w:r w:rsidRPr="006E26C2" w:rsidR="001E7CB7">
        <w:t>. There were no public comments in response to this Federal Register Notice.</w:t>
      </w:r>
      <w:r w:rsidR="001E7CB7">
        <w:t xml:space="preserve">  </w:t>
      </w:r>
    </w:p>
    <w:p w:rsidR="001E7CB7" w:rsidP="004D2EB5" w:rsidRDefault="001E7CB7">
      <w:pPr>
        <w:pStyle w:val="Heading2"/>
        <w:spacing w:after="0" w:line="240" w:lineRule="auto"/>
        <w:ind w:left="0" w:firstLine="0"/>
        <w:rPr>
          <w:sz w:val="24"/>
          <w:szCs w:val="24"/>
          <w:highlight w:val="lightGray"/>
        </w:rPr>
      </w:pPr>
    </w:p>
    <w:p w:rsidRPr="001E7CB7" w:rsidR="005834D3" w:rsidP="001E7CB7" w:rsidRDefault="001E7CB7">
      <w:pPr>
        <w:pStyle w:val="Heading2"/>
        <w:spacing w:after="0" w:line="240" w:lineRule="auto"/>
        <w:ind w:left="720" w:hanging="720"/>
        <w:rPr>
          <w:sz w:val="24"/>
          <w:szCs w:val="24"/>
        </w:rPr>
      </w:pPr>
      <w:r>
        <w:rPr>
          <w:sz w:val="24"/>
          <w:szCs w:val="24"/>
          <w:highlight w:val="lightGray"/>
        </w:rPr>
        <w:t>A.</w:t>
      </w:r>
      <w:r w:rsidR="00800392">
        <w:rPr>
          <w:sz w:val="24"/>
          <w:szCs w:val="24"/>
          <w:highlight w:val="lightGray"/>
        </w:rPr>
        <w:t>8.2 Efforts</w:t>
      </w:r>
      <w:r w:rsidRPr="00D57FFB" w:rsidR="0005035B">
        <w:rPr>
          <w:sz w:val="24"/>
          <w:szCs w:val="24"/>
          <w:highlight w:val="lightGray"/>
        </w:rPr>
        <w:t xml:space="preserve"> to Consult Outside Agency</w:t>
      </w:r>
      <w:bookmarkEnd w:id="28"/>
      <w:bookmarkEnd w:id="29"/>
      <w:bookmarkEnd w:id="30"/>
      <w:bookmarkEnd w:id="31"/>
    </w:p>
    <w:p w:rsidRPr="00D26E88" w:rsidR="00D26E88" w:rsidP="00D26E88" w:rsidRDefault="00D26E88">
      <w:pPr>
        <w:rPr>
          <w:u w:val="single"/>
        </w:rPr>
      </w:pPr>
      <w:r w:rsidRPr="00D26E88">
        <w:rPr>
          <w:u w:val="single"/>
        </w:rPr>
        <w:t>Consultation with advisors regarding the program</w:t>
      </w:r>
    </w:p>
    <w:p w:rsidRPr="00125BAD" w:rsidR="00D26E88" w:rsidP="00D26E88" w:rsidRDefault="00D26E88">
      <w:r w:rsidRPr="00125BAD">
        <w:t xml:space="preserve">The plan to </w:t>
      </w:r>
      <w:r w:rsidR="009A1198">
        <w:t>continue to use</w:t>
      </w:r>
      <w:r w:rsidRPr="00125BAD" w:rsidR="009A1198">
        <w:t xml:space="preserve"> </w:t>
      </w:r>
      <w:r w:rsidR="00182FAD">
        <w:t>EAVS was</w:t>
      </w:r>
      <w:r w:rsidRPr="00125BAD">
        <w:t xml:space="preserve"> discussed with and approved by the Director of CSR, </w:t>
      </w:r>
      <w:r w:rsidR="006A090A">
        <w:t>Noni Byrnes</w:t>
      </w:r>
      <w:r w:rsidRPr="00125BAD">
        <w:t xml:space="preserve">; </w:t>
      </w:r>
      <w:r w:rsidR="00300CF8">
        <w:t xml:space="preserve">Associate </w:t>
      </w:r>
      <w:r w:rsidRPr="00125BAD">
        <w:t xml:space="preserve">Director </w:t>
      </w:r>
      <w:r w:rsidR="00300CF8">
        <w:t>for Diversity and Workforce Development</w:t>
      </w:r>
      <w:r w:rsidRPr="00125BAD">
        <w:t xml:space="preserve">, </w:t>
      </w:r>
      <w:r w:rsidR="006A090A">
        <w:t>Gabriel Fosu</w:t>
      </w:r>
      <w:r w:rsidR="008D68CF">
        <w:t>;</w:t>
      </w:r>
      <w:r w:rsidR="006A090A">
        <w:t xml:space="preserve"> Senior Advisor to the Director</w:t>
      </w:r>
      <w:r w:rsidR="008D68CF">
        <w:t>,</w:t>
      </w:r>
      <w:r w:rsidR="006A090A">
        <w:t xml:space="preserve"> Christine Melchior</w:t>
      </w:r>
      <w:r w:rsidRPr="00125BAD">
        <w:t>, who</w:t>
      </w:r>
      <w:r w:rsidR="008D68CF">
        <w:t xml:space="preserve"> also</w:t>
      </w:r>
      <w:r w:rsidRPr="00125BAD">
        <w:t xml:space="preserve"> directs the ECR program;</w:t>
      </w:r>
      <w:r w:rsidR="006A090A">
        <w:t xml:space="preserve"> and </w:t>
      </w:r>
      <w:r w:rsidRPr="00125BAD">
        <w:t>the staff of the Information Management Branch of CSR who develop</w:t>
      </w:r>
      <w:r w:rsidR="00641321">
        <w:t>ed</w:t>
      </w:r>
      <w:r w:rsidRPr="00125BAD">
        <w:t xml:space="preserve"> the online application</w:t>
      </w:r>
      <w:r w:rsidR="00E67F02">
        <w:t xml:space="preserve"> software</w:t>
      </w:r>
      <w:r w:rsidR="00F72E44">
        <w:t xml:space="preserve">. </w:t>
      </w:r>
      <w:r w:rsidR="00E47899">
        <w:t xml:space="preserve">Feedback received from Scientific Review Officers at CSR have led to minor improvements in EAVS that have either simplified or added greater clarity to instructions.  In addition, as the qualifications for acceptance to the ECR program have been updated, corresponding changes have been made in EAVS.  </w:t>
      </w:r>
    </w:p>
    <w:p w:rsidR="00D26E88" w:rsidP="00203CE3" w:rsidRDefault="00D26E88">
      <w:pPr>
        <w:rPr>
          <w:u w:val="single"/>
        </w:rPr>
      </w:pPr>
    </w:p>
    <w:p w:rsidRPr="00E74E49" w:rsidR="00E74E49" w:rsidP="00203CE3" w:rsidRDefault="00E74E49">
      <w:pPr>
        <w:rPr>
          <w:u w:val="single"/>
        </w:rPr>
      </w:pPr>
      <w:r w:rsidRPr="00E74E49">
        <w:rPr>
          <w:u w:val="single"/>
        </w:rPr>
        <w:t>Feedback from persons outside the agency</w:t>
      </w:r>
    </w:p>
    <w:p w:rsidR="00080CD8" w:rsidP="006C125E" w:rsidRDefault="00E74E49">
      <w:r>
        <w:t>This application is not for a research project.</w:t>
      </w:r>
      <w:r w:rsidR="008D68CF">
        <w:t xml:space="preserve"> Eight hundred</w:t>
      </w:r>
      <w:r w:rsidR="00E47899">
        <w:t xml:space="preserve"> ECRs were surveyed in May 2016 regarding the ECR program and suggestions were solicited for improvements in the program. No recommendations were received to discontinue or to modify EAVS.  </w:t>
      </w:r>
    </w:p>
    <w:p w:rsidR="00080CD8" w:rsidP="00203CE3" w:rsidRDefault="00080CD8"/>
    <w:p w:rsidRPr="00B46FC4" w:rsidR="00182FAD" w:rsidP="00203CE3" w:rsidRDefault="008664C2">
      <w:pPr>
        <w:rPr>
          <w:u w:val="single"/>
        </w:rPr>
      </w:pPr>
      <w:r>
        <w:rPr>
          <w:u w:val="single"/>
        </w:rPr>
        <w:t xml:space="preserve">Internal </w:t>
      </w:r>
      <w:r w:rsidRPr="00B46FC4" w:rsidR="00182FAD">
        <w:rPr>
          <w:u w:val="single"/>
        </w:rPr>
        <w:t>Testing of EAVS</w:t>
      </w:r>
    </w:p>
    <w:p w:rsidR="007629FA" w:rsidP="008854EC" w:rsidRDefault="00E47899">
      <w:r>
        <w:t>The ECR program staff have engaged in continuous quality control of all processes related to the application and vetting of applicants with EAVS.</w:t>
      </w:r>
      <w:r w:rsidR="00E0680A">
        <w:t xml:space="preserve"> </w:t>
      </w:r>
      <w:r>
        <w:t xml:space="preserve">They have worked with IMB staff to make minor adjustments to the software to facilitate all processes. </w:t>
      </w:r>
      <w:r w:rsidR="008854EC">
        <w:t xml:space="preserve">Since the original OMB approval of EAVS, the requirements for participation in the ECR program have </w:t>
      </w:r>
      <w:r w:rsidR="00FD7280">
        <w:t xml:space="preserve">slightly </w:t>
      </w:r>
      <w:r w:rsidR="008854EC">
        <w:t xml:space="preserve">changed. Corresponding changes have been made in EAVS and tested internally by ECR Program staff and CSR review staff.  </w:t>
      </w:r>
    </w:p>
    <w:p w:rsidR="00D950C6" w:rsidP="00203CE3" w:rsidRDefault="00D950C6">
      <w:pPr>
        <w:rPr>
          <w:u w:val="single"/>
        </w:rPr>
      </w:pPr>
    </w:p>
    <w:p w:rsidR="00326471" w:rsidP="00203CE3" w:rsidRDefault="00A25F76">
      <w:pPr>
        <w:rPr>
          <w:u w:val="single"/>
        </w:rPr>
      </w:pPr>
      <w:r>
        <w:rPr>
          <w:u w:val="single"/>
        </w:rPr>
        <w:t xml:space="preserve">NIH </w:t>
      </w:r>
      <w:r w:rsidRPr="00E74E49" w:rsidR="00E74E49">
        <w:rPr>
          <w:u w:val="single"/>
        </w:rPr>
        <w:t>Agency consultation</w:t>
      </w:r>
    </w:p>
    <w:p w:rsidRPr="00F72E44" w:rsidR="00F72E44" w:rsidP="00203CE3" w:rsidRDefault="00F72E44">
      <w:r>
        <w:t>Scientific Review Officers at the Center</w:t>
      </w:r>
      <w:r w:rsidR="00713203">
        <w:t xml:space="preserve"> for Scientific Review with experience u</w:t>
      </w:r>
      <w:r w:rsidR="00F4776C">
        <w:t>sing</w:t>
      </w:r>
      <w:r w:rsidR="00713203">
        <w:t xml:space="preserve"> EAVS have </w:t>
      </w:r>
      <w:r w:rsidR="00F4776C">
        <w:t xml:space="preserve">also </w:t>
      </w:r>
      <w:r w:rsidR="00713203">
        <w:t>provided feedback on</w:t>
      </w:r>
      <w:r w:rsidR="00F4776C">
        <w:t xml:space="preserve"> EAVS. </w:t>
      </w:r>
      <w:r w:rsidR="00713203">
        <w:t xml:space="preserve">They described the use of EAVS for processing applications to the ECR program as easy to use, straightforward and essential to the successful implementation of the ECR program.  </w:t>
      </w:r>
    </w:p>
    <w:p w:rsidRPr="004D2EB5" w:rsidR="004A70E1" w:rsidP="00203CE3" w:rsidRDefault="004A70E1"/>
    <w:p w:rsidR="00E959C7" w:rsidP="00203CE3" w:rsidRDefault="0005035B">
      <w:pPr>
        <w:pStyle w:val="Heading2"/>
        <w:spacing w:after="0" w:line="240" w:lineRule="auto"/>
        <w:ind w:left="720" w:hanging="720"/>
        <w:rPr>
          <w:sz w:val="24"/>
          <w:szCs w:val="24"/>
        </w:rPr>
      </w:pPr>
      <w:bookmarkStart w:name="_Toc443881750" w:id="32"/>
      <w:bookmarkStart w:name="_Toc451592239" w:id="33"/>
      <w:bookmarkStart w:name="_Toc5610280" w:id="34"/>
      <w:bookmarkStart w:name="_Toc99178786" w:id="35"/>
      <w:r w:rsidRPr="00F042E0">
        <w:rPr>
          <w:sz w:val="24"/>
          <w:szCs w:val="24"/>
          <w:highlight w:val="lightGray"/>
        </w:rPr>
        <w:lastRenderedPageBreak/>
        <w:t>A.9</w:t>
      </w:r>
      <w:r w:rsidRPr="00F042E0">
        <w:rPr>
          <w:sz w:val="24"/>
          <w:szCs w:val="24"/>
          <w:highlight w:val="lightGray"/>
        </w:rPr>
        <w:tab/>
        <w:t>Explanation of Any Payment of Gift to Respondents</w:t>
      </w:r>
      <w:bookmarkEnd w:id="32"/>
      <w:bookmarkEnd w:id="33"/>
      <w:bookmarkEnd w:id="34"/>
      <w:bookmarkEnd w:id="35"/>
    </w:p>
    <w:p w:rsidR="00E959C7" w:rsidP="00203CE3" w:rsidRDefault="00824565">
      <w:r>
        <w:t>P</w:t>
      </w:r>
      <w:r w:rsidR="00E959C7">
        <w:t>articipat</w:t>
      </w:r>
      <w:r>
        <w:t>ion</w:t>
      </w:r>
      <w:r w:rsidR="00E959C7">
        <w:t xml:space="preserve"> in the ECR program is voluntary.  No compensation is provided for applying to the pro</w:t>
      </w:r>
      <w:r w:rsidR="00C16F37">
        <w:t xml:space="preserve">gram. </w:t>
      </w:r>
      <w:r w:rsidR="00E959C7">
        <w:t xml:space="preserve">Those selected </w:t>
      </w:r>
      <w:r w:rsidR="00C16F37">
        <w:t>to be part of the ECR program</w:t>
      </w:r>
      <w:r w:rsidR="00E959C7">
        <w:t xml:space="preserve"> have the opportunity to serve on review panels. </w:t>
      </w:r>
      <w:r w:rsidR="00C16F37">
        <w:t xml:space="preserve">All reviewers on study sections are paid an honorarium for their reviews. No additional compensation is paid to ECRs.   </w:t>
      </w:r>
      <w:r w:rsidR="00E959C7">
        <w:t xml:space="preserve"> </w:t>
      </w:r>
    </w:p>
    <w:p w:rsidR="00056F87" w:rsidP="004D2EB5" w:rsidRDefault="00056F87">
      <w:pPr>
        <w:pStyle w:val="Heading2"/>
        <w:spacing w:after="0" w:line="240" w:lineRule="auto"/>
        <w:ind w:left="0" w:firstLine="0"/>
        <w:rPr>
          <w:sz w:val="24"/>
          <w:szCs w:val="24"/>
          <w:highlight w:val="lightGray"/>
        </w:rPr>
      </w:pPr>
      <w:bookmarkStart w:name="_Toc443881751" w:id="36"/>
      <w:bookmarkStart w:name="_Toc451592240" w:id="37"/>
      <w:bookmarkStart w:name="_Toc5610281" w:id="38"/>
      <w:bookmarkStart w:name="_Toc99178787" w:id="39"/>
    </w:p>
    <w:p w:rsidR="0005035B" w:rsidP="00203CE3" w:rsidRDefault="0005035B">
      <w:pPr>
        <w:pStyle w:val="Heading2"/>
        <w:spacing w:after="0" w:line="240" w:lineRule="auto"/>
        <w:ind w:left="720" w:hanging="720"/>
        <w:rPr>
          <w:sz w:val="24"/>
          <w:szCs w:val="24"/>
        </w:rPr>
      </w:pPr>
      <w:r w:rsidRPr="00F042E0">
        <w:rPr>
          <w:sz w:val="24"/>
          <w:szCs w:val="24"/>
          <w:highlight w:val="lightGray"/>
        </w:rPr>
        <w:t>A.10</w:t>
      </w:r>
      <w:r w:rsidRPr="00F042E0">
        <w:rPr>
          <w:sz w:val="24"/>
          <w:szCs w:val="24"/>
          <w:highlight w:val="lightGray"/>
        </w:rPr>
        <w:tab/>
        <w:t>Assurance of Confidentiality Provided to Respondents</w:t>
      </w:r>
      <w:bookmarkEnd w:id="36"/>
      <w:bookmarkEnd w:id="37"/>
      <w:bookmarkEnd w:id="38"/>
      <w:bookmarkEnd w:id="39"/>
    </w:p>
    <w:p w:rsidRPr="00112D7A" w:rsidR="00E60031" w:rsidP="00203CE3" w:rsidRDefault="00E60031">
      <w:pPr>
        <w:rPr>
          <w:u w:val="single"/>
        </w:rPr>
      </w:pPr>
      <w:r w:rsidRPr="00112D7A">
        <w:rPr>
          <w:u w:val="single"/>
        </w:rPr>
        <w:t>System of Record</w:t>
      </w:r>
    </w:p>
    <w:p w:rsidR="00786D86" w:rsidP="00786D86" w:rsidRDefault="00786D86">
      <w:r w:rsidRPr="00112D7A">
        <w:t xml:space="preserve">The IT system in which information is stored is titled the NIH CSR Early Career Reviewers Database. The system was assessed with a Privacy Impact Assessment.  The date of the completion of the PIA was </w:t>
      </w:r>
      <w:r w:rsidRPr="00112D7A" w:rsidR="00513031">
        <w:t>12/16/16</w:t>
      </w:r>
      <w:r w:rsidRPr="00112D7A">
        <w:t>. The Privacy Act applies to this activity. The number of the Privacy Act Systems of Record Notice that covers the information collection is 09-25-0036</w:t>
      </w:r>
      <w:r w:rsidRPr="00112D7A" w:rsidR="002722E6">
        <w:t xml:space="preserve"> “NIH Extramural Awards and Chartered Advisory Committee (IMPAC II), Contract Information (DCIS), and Cooperative Agreement Information, HHS/NIH</w:t>
      </w:r>
      <w:r w:rsidRPr="00112D7A">
        <w:t>.</w:t>
      </w:r>
      <w:r w:rsidRPr="00112D7A" w:rsidR="002722E6">
        <w:t>”</w:t>
      </w:r>
      <w:r w:rsidRPr="00112D7A">
        <w:t>  The date of publication in the Federal Register was September 26, 2002</w:t>
      </w:r>
      <w:r w:rsidRPr="00112D7A" w:rsidR="00112D7A">
        <w:t xml:space="preserve"> (</w:t>
      </w:r>
      <w:r w:rsidRPr="003B7862" w:rsidR="00112D7A">
        <w:t xml:space="preserve">see Attachment </w:t>
      </w:r>
      <w:r w:rsidR="00FD5FA2">
        <w:t>5</w:t>
      </w:r>
      <w:r w:rsidRPr="003B7862" w:rsidR="00112D7A">
        <w:t>)</w:t>
      </w:r>
      <w:r w:rsidRPr="003B7862">
        <w:t xml:space="preserve">.  </w:t>
      </w:r>
    </w:p>
    <w:p w:rsidR="004574D7" w:rsidP="004574D7" w:rsidRDefault="004574D7">
      <w:pPr>
        <w:rPr>
          <w:color w:val="000000"/>
          <w:u w:val="single"/>
        </w:rPr>
      </w:pPr>
    </w:p>
    <w:p w:rsidRPr="00A16BF9" w:rsidR="004574D7" w:rsidP="004574D7" w:rsidRDefault="004574D7">
      <w:pPr>
        <w:rPr>
          <w:color w:val="000000"/>
          <w:u w:val="single"/>
        </w:rPr>
      </w:pPr>
      <w:r w:rsidRPr="00A16BF9">
        <w:rPr>
          <w:color w:val="000000"/>
          <w:u w:val="single"/>
        </w:rPr>
        <w:t>Privacy</w:t>
      </w:r>
    </w:p>
    <w:p w:rsidRPr="005F3DCD" w:rsidR="004574D7" w:rsidP="004574D7" w:rsidRDefault="004574D7">
      <w:r w:rsidRPr="00705097">
        <w:t>It was determined by the CSR Privacy Officer that a Confidentiality Agreement would not be necessary for this project. The existing protections afforded to all reviewers who serve on committees apply to applicants for the ECR program</w:t>
      </w:r>
      <w:r w:rsidR="005F3DCD">
        <w:t xml:space="preserve"> and all information will be private to the extent permitted by law</w:t>
      </w:r>
      <w:r w:rsidRPr="00705097">
        <w:t xml:space="preserve">. </w:t>
      </w:r>
      <w:proofErr w:type="gramStart"/>
      <w:r w:rsidR="005F3DCD">
        <w:t>Personally</w:t>
      </w:r>
      <w:proofErr w:type="gramEnd"/>
      <w:r w:rsidR="005F3DCD">
        <w:t xml:space="preserve"> identifiable information</w:t>
      </w:r>
      <w:r w:rsidR="00510EDD">
        <w:t xml:space="preserve"> (PII)</w:t>
      </w:r>
      <w:r w:rsidR="005F3DCD">
        <w:t xml:space="preserve"> will </w:t>
      </w:r>
      <w:r w:rsidR="00936247">
        <w:t xml:space="preserve">continue to </w:t>
      </w:r>
      <w:r w:rsidR="005F3DCD">
        <w:t xml:space="preserve">be collected (see A.2) </w:t>
      </w:r>
      <w:r w:rsidR="005F3DCD">
        <w:rPr>
          <w:color w:val="000000"/>
        </w:rPr>
        <w:t>Also, a</w:t>
      </w:r>
      <w:r>
        <w:rPr>
          <w:color w:val="000000"/>
        </w:rPr>
        <w:t>pplicants will maintain control of the location from which they complete the online application. This allows applicants to maintain control over the privacy of their data during the application process.</w:t>
      </w:r>
    </w:p>
    <w:p w:rsidR="004574D7" w:rsidP="004574D7" w:rsidRDefault="004574D7">
      <w:pPr>
        <w:rPr>
          <w:color w:val="000000"/>
          <w:u w:val="single"/>
        </w:rPr>
      </w:pPr>
    </w:p>
    <w:p w:rsidRPr="005F6B8F" w:rsidR="004574D7" w:rsidP="004574D7" w:rsidRDefault="004574D7">
      <w:pPr>
        <w:rPr>
          <w:color w:val="000000"/>
          <w:u w:val="single"/>
        </w:rPr>
      </w:pPr>
      <w:r w:rsidRPr="005F6B8F">
        <w:rPr>
          <w:color w:val="000000"/>
          <w:u w:val="single"/>
        </w:rPr>
        <w:t>Disclosures to Applicants</w:t>
      </w:r>
    </w:p>
    <w:p w:rsidRPr="00B92292" w:rsidR="004574D7" w:rsidP="004574D7" w:rsidRDefault="004574D7">
      <w:pPr>
        <w:rPr>
          <w:color w:val="000000"/>
        </w:rPr>
      </w:pPr>
      <w:r>
        <w:rPr>
          <w:color w:val="000000"/>
        </w:rPr>
        <w:t xml:space="preserve">The ECR website </w:t>
      </w:r>
      <w:r w:rsidRPr="00C103D5">
        <w:rPr>
          <w:color w:val="000000"/>
        </w:rPr>
        <w:t>(see Attachment 3)</w:t>
      </w:r>
      <w:r w:rsidRPr="00266399">
        <w:rPr>
          <w:color w:val="000000"/>
        </w:rPr>
        <w:t xml:space="preserve"> currently</w:t>
      </w:r>
      <w:r>
        <w:rPr>
          <w:color w:val="000000"/>
        </w:rPr>
        <w:t xml:space="preserve"> includes information regarding the nature of the ECR program, benefits of participation in the ECR program, eligibility requirements, and what can be expected to occur following application.  Details have been included regarding the online application process, a clear statement that participation is voluntary, and confidentiality assurances. Applicants who do not wish to or are unable to complete an online application can contact the ECR office by email to apply for the program.  </w:t>
      </w:r>
    </w:p>
    <w:p w:rsidR="00056F87" w:rsidP="00203CE3" w:rsidRDefault="00056F87"/>
    <w:p w:rsidRPr="000953AC" w:rsidR="008C1B26" w:rsidP="00D14F23" w:rsidRDefault="004D1BC7">
      <w:pPr>
        <w:pStyle w:val="Heading2"/>
        <w:spacing w:after="0" w:line="240" w:lineRule="auto"/>
        <w:ind w:left="0" w:firstLine="0"/>
        <w:rPr>
          <w:sz w:val="24"/>
          <w:szCs w:val="24"/>
        </w:rPr>
      </w:pPr>
      <w:bookmarkStart w:name="_Toc443881752" w:id="40"/>
      <w:bookmarkStart w:name="_Toc451592241" w:id="41"/>
      <w:bookmarkStart w:name="_Toc5610282" w:id="42"/>
      <w:bookmarkStart w:name="_Toc99178788" w:id="43"/>
      <w:r w:rsidRPr="009939F8">
        <w:rPr>
          <w:sz w:val="24"/>
          <w:szCs w:val="24"/>
          <w:highlight w:val="lightGray"/>
        </w:rPr>
        <w:t>A.11 Justification</w:t>
      </w:r>
      <w:r w:rsidRPr="009939F8" w:rsidR="0005035B">
        <w:rPr>
          <w:sz w:val="24"/>
          <w:szCs w:val="24"/>
          <w:highlight w:val="lightGray"/>
        </w:rPr>
        <w:t xml:space="preserve"> for Sensitive Questions</w:t>
      </w:r>
      <w:bookmarkEnd w:id="40"/>
      <w:bookmarkEnd w:id="41"/>
      <w:bookmarkEnd w:id="42"/>
      <w:bookmarkEnd w:id="43"/>
    </w:p>
    <w:p w:rsidRPr="00864F03" w:rsidR="00B867CD" w:rsidP="00B867CD" w:rsidRDefault="008C1B26">
      <w:pPr>
        <w:rPr>
          <w:color w:val="000000"/>
          <w:highlight w:val="yellow"/>
        </w:rPr>
      </w:pPr>
      <w:r w:rsidRPr="00864F03">
        <w:rPr>
          <w:color w:val="000000"/>
          <w:highlight w:val="yellow"/>
        </w:rPr>
        <w:t xml:space="preserve">This revision includes capturing sensitive information from </w:t>
      </w:r>
      <w:r w:rsidRPr="00864F03" w:rsidR="00B867CD">
        <w:rPr>
          <w:color w:val="000000"/>
          <w:highlight w:val="yellow"/>
        </w:rPr>
        <w:t>applicants.</w:t>
      </w:r>
      <w:r w:rsidRPr="00864F03" w:rsidR="00B867CD">
        <w:rPr>
          <w:highlight w:val="yellow"/>
        </w:rPr>
        <w:t xml:space="preserve"> The request to revise the application to add sensitive questions are in line with NIH’s renewed Interest in Diversity (i.e. NOT-OD-20-031). These sensitive questions include applicants’ race, ethnicity, </w:t>
      </w:r>
      <w:r w:rsidR="009B7744">
        <w:rPr>
          <w:highlight w:val="yellow"/>
        </w:rPr>
        <w:t>sex</w:t>
      </w:r>
      <w:r w:rsidRPr="00864F03" w:rsidR="00B867CD">
        <w:rPr>
          <w:highlight w:val="yellow"/>
        </w:rPr>
        <w:t xml:space="preserve">, disability and disadvantage background. Applicants can choose if they would like to answer these sensitive questions (i.e. optional). </w:t>
      </w:r>
      <w:r w:rsidRPr="00864F03" w:rsidR="00B867CD">
        <w:rPr>
          <w:color w:val="000000"/>
          <w:highlight w:val="yellow"/>
        </w:rPr>
        <w:t xml:space="preserve">Providing this information </w:t>
      </w:r>
    </w:p>
    <w:p w:rsidRPr="00864F03" w:rsidR="00B867CD" w:rsidP="00B867CD" w:rsidRDefault="00B867CD">
      <w:pPr>
        <w:rPr>
          <w:highlight w:val="yellow"/>
        </w:rPr>
      </w:pPr>
      <w:r w:rsidRPr="00864F03">
        <w:rPr>
          <w:highlight w:val="yellow"/>
        </w:rPr>
        <w:t xml:space="preserve">is not required for a complete </w:t>
      </w:r>
      <w:r w:rsidRPr="00864F03">
        <w:rPr>
          <w:color w:val="000000"/>
          <w:highlight w:val="yellow"/>
        </w:rPr>
        <w:t>application, acceptance into the program, or for recruitment as a reviewer.</w:t>
      </w:r>
      <w:r w:rsidRPr="00864F03" w:rsidR="00DB5371">
        <w:rPr>
          <w:color w:val="000000"/>
          <w:highlight w:val="yellow"/>
        </w:rPr>
        <w:t xml:space="preserve"> Applicants will be told that this sensitive information is optional and will be given a web link to learn more about NIH’s Interest in Diversity Notice (see Attachment </w:t>
      </w:r>
      <w:r w:rsidR="00FD5FA2">
        <w:rPr>
          <w:color w:val="000000"/>
          <w:highlight w:val="yellow"/>
        </w:rPr>
        <w:t>6</w:t>
      </w:r>
      <w:r w:rsidRPr="00864F03" w:rsidR="00DB5371">
        <w:rPr>
          <w:color w:val="000000"/>
          <w:highlight w:val="yellow"/>
        </w:rPr>
        <w:t xml:space="preserve">). </w:t>
      </w:r>
      <w:r w:rsidRPr="00864F03">
        <w:rPr>
          <w:highlight w:val="yellow"/>
        </w:rPr>
        <w:t xml:space="preserve">Periodic summaries of the sensitive information will be generated and used to help assess interest </w:t>
      </w:r>
      <w:r w:rsidRPr="00864F03" w:rsidR="007564E4">
        <w:rPr>
          <w:highlight w:val="yellow"/>
        </w:rPr>
        <w:t xml:space="preserve">in </w:t>
      </w:r>
      <w:r w:rsidRPr="00864F03">
        <w:rPr>
          <w:highlight w:val="yellow"/>
        </w:rPr>
        <w:t>and acceptance in</w:t>
      </w:r>
      <w:r w:rsidRPr="00864F03" w:rsidR="007564E4">
        <w:rPr>
          <w:highlight w:val="yellow"/>
        </w:rPr>
        <w:t>to</w:t>
      </w:r>
      <w:r w:rsidRPr="00864F03">
        <w:rPr>
          <w:highlight w:val="yellow"/>
        </w:rPr>
        <w:t xml:space="preserve"> the ECR program. These summaries</w:t>
      </w:r>
      <w:r w:rsidRPr="00864F03" w:rsidR="00606A80">
        <w:rPr>
          <w:highlight w:val="yellow"/>
        </w:rPr>
        <w:t xml:space="preserve"> </w:t>
      </w:r>
      <w:r w:rsidRPr="00864F03">
        <w:rPr>
          <w:highlight w:val="yellow"/>
        </w:rPr>
        <w:lastRenderedPageBreak/>
        <w:t xml:space="preserve">will help with program evaluation and may be used to improve current </w:t>
      </w:r>
      <w:r w:rsidRPr="00864F03" w:rsidR="007564E4">
        <w:rPr>
          <w:highlight w:val="yellow"/>
        </w:rPr>
        <w:t xml:space="preserve">program </w:t>
      </w:r>
      <w:r w:rsidRPr="00864F03">
        <w:rPr>
          <w:highlight w:val="yellow"/>
        </w:rPr>
        <w:t>processes (e.g. outreach efforts). Summaries will be reported in aggregate form</w:t>
      </w:r>
      <w:r w:rsidRPr="00864F03" w:rsidR="00606A80">
        <w:rPr>
          <w:highlight w:val="yellow"/>
        </w:rPr>
        <w:t xml:space="preserve">, </w:t>
      </w:r>
      <w:r w:rsidRPr="00864F03">
        <w:rPr>
          <w:highlight w:val="yellow"/>
        </w:rPr>
        <w:t>without individual identifiers</w:t>
      </w:r>
      <w:r w:rsidRPr="00864F03" w:rsidR="00606A80">
        <w:rPr>
          <w:highlight w:val="yellow"/>
        </w:rPr>
        <w:t xml:space="preserve">, and </w:t>
      </w:r>
      <w:r w:rsidRPr="00864F03">
        <w:rPr>
          <w:highlight w:val="yellow"/>
        </w:rPr>
        <w:t xml:space="preserve">will not produce any generalizable knowledge. </w:t>
      </w:r>
    </w:p>
    <w:p w:rsidRPr="00864F03" w:rsidR="00B867CD" w:rsidP="00203CE3" w:rsidRDefault="00B867CD">
      <w:pPr>
        <w:rPr>
          <w:color w:val="000000"/>
          <w:highlight w:val="yellow"/>
        </w:rPr>
      </w:pPr>
    </w:p>
    <w:p w:rsidRPr="00746142" w:rsidR="003E5D3E" w:rsidP="00203CE3" w:rsidRDefault="00BF76C6">
      <w:pPr>
        <w:rPr>
          <w:color w:val="000000"/>
        </w:rPr>
      </w:pPr>
      <w:r w:rsidRPr="00864F03">
        <w:rPr>
          <w:color w:val="000000"/>
          <w:highlight w:val="yellow"/>
        </w:rPr>
        <w:t xml:space="preserve">Also, </w:t>
      </w:r>
      <w:r w:rsidRPr="00864F03" w:rsidR="00B867CD">
        <w:rPr>
          <w:color w:val="000000"/>
          <w:highlight w:val="yellow"/>
        </w:rPr>
        <w:t xml:space="preserve">applicants’ CVs will continue to be collected as part of the online application. </w:t>
      </w:r>
      <w:r w:rsidRPr="00864F03">
        <w:rPr>
          <w:color w:val="000000"/>
          <w:highlight w:val="yellow"/>
        </w:rPr>
        <w:t>While t</w:t>
      </w:r>
      <w:r w:rsidRPr="00864F03" w:rsidR="00B867CD">
        <w:rPr>
          <w:color w:val="000000"/>
          <w:highlight w:val="yellow"/>
        </w:rPr>
        <w:t>he CV</w:t>
      </w:r>
      <w:r w:rsidRPr="00864F03">
        <w:rPr>
          <w:color w:val="000000"/>
          <w:highlight w:val="yellow"/>
        </w:rPr>
        <w:t xml:space="preserve"> typically </w:t>
      </w:r>
      <w:r w:rsidRPr="00864F03" w:rsidR="00B867CD">
        <w:rPr>
          <w:color w:val="000000"/>
          <w:highlight w:val="yellow"/>
        </w:rPr>
        <w:t>contains</w:t>
      </w:r>
      <w:r w:rsidRPr="00864F03">
        <w:rPr>
          <w:color w:val="000000"/>
          <w:highlight w:val="yellow"/>
        </w:rPr>
        <w:t xml:space="preserve"> only academic achievements and credentials,</w:t>
      </w:r>
      <w:r w:rsidRPr="00864F03" w:rsidR="00B867CD">
        <w:rPr>
          <w:color w:val="000000"/>
          <w:highlight w:val="yellow"/>
        </w:rPr>
        <w:t xml:space="preserve"> it is possible for applicants to include sensitive information in their CVs. All CVs are stored in a password protected shared filed that is only accessible by ECR Program Staff and SROs at CSR.</w:t>
      </w:r>
      <w:r w:rsidRPr="004E22F7" w:rsidR="00B867CD">
        <w:rPr>
          <w:color w:val="000000"/>
        </w:rPr>
        <w:t xml:space="preserve">  </w:t>
      </w:r>
    </w:p>
    <w:p w:rsidRPr="004D2EB5" w:rsidR="00B040E4" w:rsidP="00203CE3" w:rsidRDefault="00B040E4">
      <w:pPr>
        <w:rPr>
          <w:color w:val="FF0000"/>
        </w:rPr>
      </w:pPr>
    </w:p>
    <w:p w:rsidR="007C16BD" w:rsidP="00203CE3" w:rsidRDefault="007C16BD">
      <w:pPr>
        <w:pStyle w:val="Heading2"/>
        <w:tabs>
          <w:tab w:val="clear" w:pos="1152"/>
          <w:tab w:val="left" w:pos="450"/>
        </w:tabs>
        <w:spacing w:after="0" w:line="240" w:lineRule="auto"/>
        <w:ind w:left="720" w:hanging="720"/>
        <w:jc w:val="left"/>
      </w:pPr>
      <w:r w:rsidRPr="00F042E0">
        <w:rPr>
          <w:sz w:val="24"/>
          <w:szCs w:val="24"/>
          <w:highlight w:val="lightGray"/>
        </w:rPr>
        <w:t>A.12</w:t>
      </w:r>
      <w:r w:rsidR="001E7CB7">
        <w:rPr>
          <w:sz w:val="24"/>
          <w:szCs w:val="24"/>
          <w:highlight w:val="lightGray"/>
        </w:rPr>
        <w:t>.1</w:t>
      </w:r>
      <w:r w:rsidRPr="00F042E0">
        <w:rPr>
          <w:sz w:val="24"/>
          <w:szCs w:val="24"/>
          <w:highlight w:val="lightGray"/>
        </w:rPr>
        <w:tab/>
        <w:t>Estimates of Hour Burden Including Annualized Hourly Costs</w:t>
      </w:r>
    </w:p>
    <w:p w:rsidRPr="00864F03" w:rsidR="002B3250" w:rsidP="00203CE3" w:rsidRDefault="002B3250">
      <w:pPr>
        <w:pStyle w:val="P1-StandPara"/>
        <w:spacing w:line="240" w:lineRule="auto"/>
        <w:ind w:firstLine="0"/>
        <w:rPr>
          <w:sz w:val="24"/>
          <w:szCs w:val="24"/>
          <w:u w:val="single"/>
        </w:rPr>
      </w:pPr>
      <w:r w:rsidRPr="00864F03">
        <w:rPr>
          <w:sz w:val="24"/>
          <w:szCs w:val="24"/>
          <w:u w:val="single"/>
        </w:rPr>
        <w:t>Annual Hour Burden</w:t>
      </w:r>
    </w:p>
    <w:p w:rsidRPr="00864F03" w:rsidR="0061213B" w:rsidP="004D2EB5" w:rsidRDefault="00B710E5">
      <w:pPr>
        <w:pStyle w:val="P1-StandPara"/>
        <w:spacing w:line="240" w:lineRule="auto"/>
        <w:ind w:firstLine="0"/>
        <w:rPr>
          <w:color w:val="FF0000"/>
          <w:sz w:val="24"/>
          <w:szCs w:val="24"/>
        </w:rPr>
      </w:pPr>
      <w:r w:rsidRPr="00864F03">
        <w:rPr>
          <w:sz w:val="24"/>
          <w:szCs w:val="24"/>
        </w:rPr>
        <w:t>T</w:t>
      </w:r>
      <w:r w:rsidRPr="00864F03" w:rsidR="00C103B5">
        <w:rPr>
          <w:sz w:val="24"/>
          <w:szCs w:val="24"/>
        </w:rPr>
        <w:t xml:space="preserve">he </w:t>
      </w:r>
      <w:r w:rsidRPr="00864F03">
        <w:rPr>
          <w:sz w:val="24"/>
          <w:szCs w:val="24"/>
        </w:rPr>
        <w:t xml:space="preserve">current </w:t>
      </w:r>
      <w:r w:rsidRPr="00864F03" w:rsidR="00C103B5">
        <w:rPr>
          <w:sz w:val="24"/>
          <w:szCs w:val="24"/>
        </w:rPr>
        <w:t>flow of applicants is approximately</w:t>
      </w:r>
      <w:r w:rsidRPr="00864F03" w:rsidR="00DA67C5">
        <w:rPr>
          <w:sz w:val="24"/>
          <w:szCs w:val="24"/>
        </w:rPr>
        <w:t xml:space="preserve"> </w:t>
      </w:r>
      <w:r w:rsidRPr="00864F03" w:rsidR="004B5BCB">
        <w:rPr>
          <w:sz w:val="24"/>
          <w:szCs w:val="24"/>
        </w:rPr>
        <w:t xml:space="preserve">101 </w:t>
      </w:r>
      <w:r w:rsidRPr="00864F03" w:rsidR="00C103B5">
        <w:rPr>
          <w:sz w:val="24"/>
          <w:szCs w:val="24"/>
        </w:rPr>
        <w:t xml:space="preserve">per </w:t>
      </w:r>
      <w:r w:rsidRPr="00864F03">
        <w:rPr>
          <w:sz w:val="24"/>
          <w:szCs w:val="24"/>
        </w:rPr>
        <w:t>month</w:t>
      </w:r>
      <w:r w:rsidRPr="00864F03" w:rsidR="00C103B5">
        <w:rPr>
          <w:sz w:val="24"/>
          <w:szCs w:val="24"/>
        </w:rPr>
        <w:t xml:space="preserve">.  Assuming a constant rate, the ECR program should receive approximately </w:t>
      </w:r>
      <w:r w:rsidRPr="00864F03" w:rsidR="004B5BCB">
        <w:rPr>
          <w:b/>
          <w:sz w:val="24"/>
          <w:szCs w:val="24"/>
        </w:rPr>
        <w:t xml:space="preserve">1212 </w:t>
      </w:r>
      <w:r w:rsidRPr="00864F03" w:rsidR="00C103B5">
        <w:rPr>
          <w:b/>
          <w:sz w:val="24"/>
          <w:szCs w:val="24"/>
        </w:rPr>
        <w:t>applications per year</w:t>
      </w:r>
      <w:r w:rsidRPr="00864F03" w:rsidR="00C103B5">
        <w:rPr>
          <w:sz w:val="24"/>
          <w:szCs w:val="24"/>
        </w:rPr>
        <w:t xml:space="preserve">.  Using an estimated response time of </w:t>
      </w:r>
      <w:r w:rsidRPr="00864F03" w:rsidR="00C103B5">
        <w:rPr>
          <w:b/>
          <w:sz w:val="24"/>
          <w:szCs w:val="24"/>
        </w:rPr>
        <w:t>25 minutes per application</w:t>
      </w:r>
      <w:r w:rsidRPr="00864F03" w:rsidR="00C103B5">
        <w:rPr>
          <w:sz w:val="24"/>
          <w:szCs w:val="24"/>
        </w:rPr>
        <w:t xml:space="preserve">, the </w:t>
      </w:r>
      <w:r w:rsidRPr="00864F03" w:rsidR="00C103B5">
        <w:rPr>
          <w:b/>
          <w:sz w:val="24"/>
          <w:szCs w:val="24"/>
        </w:rPr>
        <w:t xml:space="preserve">annual burden for applicants is </w:t>
      </w:r>
      <w:r w:rsidRPr="00864F03" w:rsidR="004B5BCB">
        <w:rPr>
          <w:b/>
          <w:sz w:val="24"/>
          <w:szCs w:val="24"/>
        </w:rPr>
        <w:t xml:space="preserve">505 </w:t>
      </w:r>
      <w:r w:rsidRPr="00864F03" w:rsidR="00C103B5">
        <w:rPr>
          <w:b/>
          <w:sz w:val="24"/>
          <w:szCs w:val="24"/>
        </w:rPr>
        <w:t>hours</w:t>
      </w:r>
      <w:r w:rsidRPr="00864F03" w:rsidR="00C103B5">
        <w:rPr>
          <w:sz w:val="24"/>
          <w:szCs w:val="24"/>
        </w:rPr>
        <w:t xml:space="preserve">.  </w:t>
      </w:r>
    </w:p>
    <w:p w:rsidR="0061213B" w:rsidP="00203CE3" w:rsidRDefault="0061213B">
      <w:pPr>
        <w:rPr>
          <w:color w:val="FF0000"/>
        </w:rPr>
      </w:pPr>
    </w:p>
    <w:tbl>
      <w:tblPr>
        <w:tblW w:w="0" w:type="auto"/>
        <w:jc w:val="center"/>
        <w:tblBorders>
          <w:top w:val="single" w:color="auto" w:sz="12" w:space="0"/>
          <w:left w:val="single" w:color="auto" w:sz="12" w:space="0"/>
          <w:bottom w:val="single" w:color="auto" w:sz="24" w:space="0"/>
          <w:right w:val="single" w:color="auto" w:sz="12" w:space="0"/>
          <w:insideH w:val="single" w:color="auto" w:sz="12" w:space="0"/>
          <w:insideV w:val="single" w:color="auto" w:sz="6" w:space="0"/>
        </w:tblBorders>
        <w:tblLayout w:type="fixed"/>
        <w:tblCellMar>
          <w:left w:w="120" w:type="dxa"/>
          <w:right w:w="120" w:type="dxa"/>
        </w:tblCellMar>
        <w:tblLook w:val="0000" w:firstRow="0" w:lastRow="0" w:firstColumn="0" w:lastColumn="0" w:noHBand="0" w:noVBand="0"/>
      </w:tblPr>
      <w:tblGrid>
        <w:gridCol w:w="2340"/>
        <w:gridCol w:w="1620"/>
        <w:gridCol w:w="1620"/>
        <w:gridCol w:w="1681"/>
        <w:gridCol w:w="1080"/>
      </w:tblGrid>
      <w:tr w:rsidRPr="004E22F7" w:rsidR="00D51BF9" w:rsidTr="00872A78">
        <w:tblPrEx>
          <w:tblCellMar>
            <w:top w:w="0" w:type="dxa"/>
            <w:bottom w:w="0" w:type="dxa"/>
          </w:tblCellMar>
        </w:tblPrEx>
        <w:trPr>
          <w:cantSplit/>
          <w:jc w:val="center"/>
        </w:trPr>
        <w:tc>
          <w:tcPr>
            <w:tcW w:w="8341" w:type="dxa"/>
            <w:gridSpan w:val="5"/>
            <w:shd w:val="pct10" w:color="auto" w:fill="FFFFFF"/>
          </w:tcPr>
          <w:p w:rsidRPr="004E22F7" w:rsidR="00B25E6A" w:rsidP="00203CE3" w:rsidRDefault="00B25E6A">
            <w:pPr>
              <w:jc w:val="center"/>
              <w:rPr>
                <w:b/>
                <w:color w:val="000000"/>
              </w:rPr>
            </w:pPr>
          </w:p>
          <w:p w:rsidRPr="004E22F7" w:rsidR="00B25E6A" w:rsidP="00203CE3" w:rsidRDefault="002B3250">
            <w:pPr>
              <w:jc w:val="center"/>
              <w:rPr>
                <w:b/>
                <w:color w:val="000000"/>
              </w:rPr>
            </w:pPr>
            <w:r w:rsidRPr="004E22F7">
              <w:rPr>
                <w:b/>
                <w:color w:val="000000"/>
              </w:rPr>
              <w:t xml:space="preserve">A.12 - 1    </w:t>
            </w:r>
            <w:r w:rsidRPr="004E22F7" w:rsidR="00821B60">
              <w:rPr>
                <w:b/>
                <w:smallCaps/>
                <w:color w:val="000000"/>
              </w:rPr>
              <w:t>ESTIMATES OF ANNUALIZED</w:t>
            </w:r>
            <w:r w:rsidR="00CB2470">
              <w:rPr>
                <w:b/>
                <w:smallCaps/>
                <w:color w:val="000000"/>
              </w:rPr>
              <w:t xml:space="preserve"> </w:t>
            </w:r>
            <w:r w:rsidRPr="004E22F7">
              <w:rPr>
                <w:b/>
                <w:smallCaps/>
                <w:color w:val="000000"/>
              </w:rPr>
              <w:t>BURDEN</w:t>
            </w:r>
            <w:r w:rsidR="00CB2470">
              <w:rPr>
                <w:b/>
                <w:smallCaps/>
                <w:color w:val="000000"/>
              </w:rPr>
              <w:t xml:space="preserve"> HOURS</w:t>
            </w:r>
          </w:p>
          <w:p w:rsidRPr="004E22F7" w:rsidR="00B25E6A" w:rsidP="00203CE3" w:rsidRDefault="00B25E6A">
            <w:pPr>
              <w:jc w:val="center"/>
              <w:rPr>
                <w:color w:val="000000"/>
              </w:rPr>
            </w:pPr>
          </w:p>
        </w:tc>
      </w:tr>
      <w:tr w:rsidRPr="004E22F7" w:rsidR="00D51BF9" w:rsidTr="00872A78">
        <w:tblPrEx>
          <w:tblCellMar>
            <w:top w:w="0" w:type="dxa"/>
            <w:bottom w:w="0" w:type="dxa"/>
          </w:tblCellMar>
        </w:tblPrEx>
        <w:trPr>
          <w:cantSplit/>
          <w:trHeight w:val="403"/>
          <w:jc w:val="center"/>
        </w:trPr>
        <w:tc>
          <w:tcPr>
            <w:tcW w:w="2340" w:type="dxa"/>
            <w:shd w:val="clear" w:color="auto" w:fill="FFFFFF"/>
          </w:tcPr>
          <w:p w:rsidRPr="004E22F7" w:rsidR="00B25E6A" w:rsidP="00203CE3" w:rsidRDefault="00B25E6A">
            <w:pPr>
              <w:rPr>
                <w:b/>
                <w:color w:val="000000"/>
              </w:rPr>
            </w:pPr>
            <w:r w:rsidRPr="004E22F7">
              <w:rPr>
                <w:b/>
                <w:color w:val="000000"/>
              </w:rPr>
              <w:t xml:space="preserve">Type of </w:t>
            </w:r>
          </w:p>
          <w:p w:rsidRPr="004E22F7" w:rsidR="00B25E6A" w:rsidP="00203CE3" w:rsidRDefault="00B25E6A">
            <w:pPr>
              <w:rPr>
                <w:color w:val="000000"/>
              </w:rPr>
            </w:pPr>
            <w:r w:rsidRPr="004E22F7">
              <w:rPr>
                <w:b/>
                <w:color w:val="000000"/>
              </w:rPr>
              <w:t>Respondents</w:t>
            </w:r>
          </w:p>
        </w:tc>
        <w:tc>
          <w:tcPr>
            <w:tcW w:w="1620" w:type="dxa"/>
          </w:tcPr>
          <w:p w:rsidRPr="004E22F7" w:rsidR="00B25E6A" w:rsidP="00203CE3" w:rsidRDefault="00B25E6A">
            <w:pPr>
              <w:rPr>
                <w:b/>
                <w:color w:val="000000"/>
              </w:rPr>
            </w:pPr>
            <w:r w:rsidRPr="004E22F7">
              <w:rPr>
                <w:b/>
                <w:color w:val="000000"/>
              </w:rPr>
              <w:t xml:space="preserve">Number of </w:t>
            </w:r>
          </w:p>
          <w:p w:rsidRPr="004E22F7" w:rsidR="00B25E6A" w:rsidP="00203CE3" w:rsidRDefault="00B25E6A">
            <w:pPr>
              <w:rPr>
                <w:color w:val="000000"/>
              </w:rPr>
            </w:pPr>
            <w:r w:rsidRPr="004E22F7">
              <w:rPr>
                <w:b/>
                <w:color w:val="000000"/>
              </w:rPr>
              <w:t>Respondents</w:t>
            </w:r>
          </w:p>
        </w:tc>
        <w:tc>
          <w:tcPr>
            <w:tcW w:w="1620" w:type="dxa"/>
          </w:tcPr>
          <w:p w:rsidRPr="001E7CB7" w:rsidR="00B25E6A" w:rsidP="001E7CB7" w:rsidRDefault="001E7CB7">
            <w:pPr>
              <w:rPr>
                <w:b/>
                <w:color w:val="000000"/>
              </w:rPr>
            </w:pPr>
            <w:r>
              <w:rPr>
                <w:b/>
                <w:color w:val="000000"/>
              </w:rPr>
              <w:t>Number of Responses per Respondent</w:t>
            </w:r>
          </w:p>
        </w:tc>
        <w:tc>
          <w:tcPr>
            <w:tcW w:w="1681" w:type="dxa"/>
          </w:tcPr>
          <w:p w:rsidRPr="001E7CB7" w:rsidR="00B25E6A" w:rsidP="00203CE3" w:rsidRDefault="00B25E6A">
            <w:pPr>
              <w:rPr>
                <w:b/>
                <w:color w:val="000000"/>
              </w:rPr>
            </w:pPr>
            <w:r w:rsidRPr="004E22F7">
              <w:rPr>
                <w:b/>
                <w:color w:val="000000"/>
              </w:rPr>
              <w:t>Average</w:t>
            </w:r>
            <w:r w:rsidR="001E7CB7">
              <w:rPr>
                <w:b/>
                <w:color w:val="000000"/>
              </w:rPr>
              <w:t xml:space="preserve"> Burden Per Response (in hours)</w:t>
            </w:r>
          </w:p>
        </w:tc>
        <w:tc>
          <w:tcPr>
            <w:tcW w:w="1080" w:type="dxa"/>
          </w:tcPr>
          <w:p w:rsidRPr="004E22F7" w:rsidR="00B25E6A" w:rsidP="00203CE3" w:rsidRDefault="001E7CB7">
            <w:pPr>
              <w:jc w:val="center"/>
              <w:rPr>
                <w:b/>
                <w:color w:val="000000"/>
              </w:rPr>
            </w:pPr>
            <w:r>
              <w:rPr>
                <w:b/>
                <w:color w:val="000000"/>
              </w:rPr>
              <w:t xml:space="preserve">Total </w:t>
            </w:r>
            <w:r w:rsidRPr="004E22F7" w:rsidR="00B25E6A">
              <w:rPr>
                <w:b/>
                <w:color w:val="000000"/>
              </w:rPr>
              <w:t xml:space="preserve">Annual </w:t>
            </w:r>
          </w:p>
          <w:p w:rsidRPr="004E22F7" w:rsidR="00B25E6A" w:rsidP="00203CE3" w:rsidRDefault="00B25E6A">
            <w:pPr>
              <w:jc w:val="center"/>
              <w:rPr>
                <w:color w:val="000000"/>
              </w:rPr>
            </w:pPr>
            <w:r w:rsidRPr="004E22F7">
              <w:rPr>
                <w:b/>
                <w:color w:val="000000"/>
              </w:rPr>
              <w:t>Burden</w:t>
            </w:r>
            <w:r w:rsidR="001E7CB7">
              <w:rPr>
                <w:b/>
                <w:color w:val="000000"/>
              </w:rPr>
              <w:t xml:space="preserve"> Hours</w:t>
            </w:r>
          </w:p>
        </w:tc>
      </w:tr>
      <w:tr w:rsidRPr="004E22F7" w:rsidR="00D51BF9" w:rsidTr="00872A78">
        <w:tblPrEx>
          <w:tblCellMar>
            <w:top w:w="0" w:type="dxa"/>
            <w:bottom w:w="0" w:type="dxa"/>
          </w:tblCellMar>
        </w:tblPrEx>
        <w:trPr>
          <w:cantSplit/>
          <w:trHeight w:val="403"/>
          <w:jc w:val="center"/>
        </w:trPr>
        <w:tc>
          <w:tcPr>
            <w:tcW w:w="2340" w:type="dxa"/>
            <w:shd w:val="clear" w:color="auto" w:fill="FFFFFF"/>
          </w:tcPr>
          <w:p w:rsidRPr="004E22F7" w:rsidR="00B25E6A" w:rsidP="00203CE3" w:rsidRDefault="005136D5">
            <w:pPr>
              <w:rPr>
                <w:color w:val="000000"/>
              </w:rPr>
            </w:pPr>
            <w:r>
              <w:rPr>
                <w:color w:val="000000"/>
              </w:rPr>
              <w:t>Research scientists</w:t>
            </w:r>
          </w:p>
        </w:tc>
        <w:tc>
          <w:tcPr>
            <w:tcW w:w="1620" w:type="dxa"/>
          </w:tcPr>
          <w:p w:rsidRPr="004E22F7" w:rsidR="00B25E6A" w:rsidP="00821B60" w:rsidRDefault="004B5BCB">
            <w:pPr>
              <w:jc w:val="center"/>
              <w:rPr>
                <w:color w:val="000000"/>
              </w:rPr>
            </w:pPr>
            <w:r>
              <w:rPr>
                <w:smallCaps/>
                <w:color w:val="000000"/>
              </w:rPr>
              <w:t>1212</w:t>
            </w:r>
          </w:p>
        </w:tc>
        <w:tc>
          <w:tcPr>
            <w:tcW w:w="1620" w:type="dxa"/>
          </w:tcPr>
          <w:p w:rsidRPr="004E22F7" w:rsidR="00B25E6A" w:rsidP="00203CE3" w:rsidRDefault="00B25E6A">
            <w:pPr>
              <w:jc w:val="center"/>
              <w:rPr>
                <w:color w:val="000000"/>
              </w:rPr>
            </w:pPr>
            <w:r w:rsidRPr="004E22F7">
              <w:rPr>
                <w:smallCaps/>
                <w:color w:val="000000"/>
              </w:rPr>
              <w:t>1</w:t>
            </w:r>
          </w:p>
        </w:tc>
        <w:tc>
          <w:tcPr>
            <w:tcW w:w="1681" w:type="dxa"/>
          </w:tcPr>
          <w:p w:rsidRPr="004E22F7" w:rsidR="00B25E6A" w:rsidP="00821B60" w:rsidRDefault="00D549D6">
            <w:pPr>
              <w:jc w:val="center"/>
              <w:rPr>
                <w:color w:val="000000"/>
              </w:rPr>
            </w:pPr>
            <w:r>
              <w:rPr>
                <w:smallCaps/>
                <w:color w:val="000000"/>
              </w:rPr>
              <w:t>25</w:t>
            </w:r>
            <w:r w:rsidR="001C25F2">
              <w:rPr>
                <w:smallCaps/>
                <w:color w:val="000000"/>
              </w:rPr>
              <w:t>/60</w:t>
            </w:r>
          </w:p>
        </w:tc>
        <w:tc>
          <w:tcPr>
            <w:tcW w:w="1080" w:type="dxa"/>
          </w:tcPr>
          <w:p w:rsidRPr="004E22F7" w:rsidR="00B25E6A" w:rsidP="00821B60" w:rsidRDefault="004B5BCB">
            <w:pPr>
              <w:jc w:val="center"/>
              <w:rPr>
                <w:color w:val="000000"/>
              </w:rPr>
            </w:pPr>
            <w:r>
              <w:rPr>
                <w:color w:val="000000"/>
              </w:rPr>
              <w:t>505</w:t>
            </w:r>
          </w:p>
        </w:tc>
      </w:tr>
      <w:tr w:rsidRPr="004E22F7" w:rsidR="00D51BF9" w:rsidTr="00872A78">
        <w:tblPrEx>
          <w:tblCellMar>
            <w:top w:w="0" w:type="dxa"/>
            <w:bottom w:w="0" w:type="dxa"/>
          </w:tblCellMar>
        </w:tblPrEx>
        <w:trPr>
          <w:cantSplit/>
          <w:trHeight w:val="403"/>
          <w:jc w:val="center"/>
        </w:trPr>
        <w:tc>
          <w:tcPr>
            <w:tcW w:w="2340" w:type="dxa"/>
            <w:shd w:val="clear" w:color="auto" w:fill="FFFFFF"/>
          </w:tcPr>
          <w:p w:rsidRPr="004E22F7" w:rsidR="00D51BF9" w:rsidP="00203CE3" w:rsidRDefault="00D51BF9">
            <w:pPr>
              <w:rPr>
                <w:color w:val="000000"/>
              </w:rPr>
            </w:pPr>
            <w:r w:rsidRPr="004E22F7">
              <w:rPr>
                <w:color w:val="000000"/>
              </w:rPr>
              <w:t>Totals</w:t>
            </w:r>
          </w:p>
        </w:tc>
        <w:tc>
          <w:tcPr>
            <w:tcW w:w="1620" w:type="dxa"/>
          </w:tcPr>
          <w:p w:rsidRPr="004E22F7" w:rsidR="00D51BF9" w:rsidP="00821B60" w:rsidRDefault="00D51BF9">
            <w:pPr>
              <w:jc w:val="center"/>
              <w:rPr>
                <w:color w:val="000000"/>
              </w:rPr>
            </w:pPr>
          </w:p>
        </w:tc>
        <w:tc>
          <w:tcPr>
            <w:tcW w:w="1620" w:type="dxa"/>
            <w:shd w:val="pct10" w:color="auto" w:fill="FFFFFF"/>
          </w:tcPr>
          <w:p w:rsidRPr="004E22F7" w:rsidR="00D51BF9" w:rsidP="00203CE3" w:rsidRDefault="004B5BCB">
            <w:pPr>
              <w:jc w:val="center"/>
              <w:rPr>
                <w:color w:val="000000"/>
              </w:rPr>
            </w:pPr>
            <w:r>
              <w:rPr>
                <w:color w:val="000000"/>
              </w:rPr>
              <w:t>1212</w:t>
            </w:r>
          </w:p>
        </w:tc>
        <w:tc>
          <w:tcPr>
            <w:tcW w:w="1681" w:type="dxa"/>
            <w:shd w:val="pct10" w:color="auto" w:fill="FFFFFF"/>
          </w:tcPr>
          <w:p w:rsidRPr="004E22F7" w:rsidR="00D51BF9" w:rsidP="00821B60" w:rsidRDefault="00D51BF9">
            <w:pPr>
              <w:jc w:val="center"/>
              <w:rPr>
                <w:color w:val="000000"/>
              </w:rPr>
            </w:pPr>
          </w:p>
        </w:tc>
        <w:tc>
          <w:tcPr>
            <w:tcW w:w="1080" w:type="dxa"/>
          </w:tcPr>
          <w:p w:rsidRPr="004E22F7" w:rsidR="00D51BF9" w:rsidP="00821B60" w:rsidRDefault="004B5BCB">
            <w:pPr>
              <w:jc w:val="center"/>
              <w:rPr>
                <w:color w:val="000000"/>
              </w:rPr>
            </w:pPr>
            <w:r>
              <w:rPr>
                <w:color w:val="000000"/>
              </w:rPr>
              <w:t>505</w:t>
            </w:r>
          </w:p>
        </w:tc>
      </w:tr>
    </w:tbl>
    <w:p w:rsidR="001E7CB7" w:rsidP="00203CE3" w:rsidRDefault="001E7CB7">
      <w:pPr>
        <w:rPr>
          <w:b/>
        </w:rPr>
      </w:pPr>
    </w:p>
    <w:p w:rsidRPr="00D14F23" w:rsidR="00293EB9" w:rsidP="006C125E" w:rsidRDefault="001E7CB7">
      <w:pPr>
        <w:rPr>
          <w:b/>
        </w:rPr>
      </w:pPr>
      <w:r w:rsidRPr="009939F8">
        <w:rPr>
          <w:b/>
          <w:highlight w:val="lightGray"/>
        </w:rPr>
        <w:t xml:space="preserve">A.12.2 </w:t>
      </w:r>
      <w:r w:rsidRPr="009939F8" w:rsidR="002B3250">
        <w:rPr>
          <w:b/>
          <w:highlight w:val="lightGray"/>
        </w:rPr>
        <w:t>Annualized Cost to Respondents</w:t>
      </w:r>
    </w:p>
    <w:p w:rsidRPr="00BD40E0" w:rsidR="00315507" w:rsidP="00315507" w:rsidRDefault="00315507">
      <w:r w:rsidRPr="00BD40E0">
        <w:t xml:space="preserve">A survey of </w:t>
      </w:r>
      <w:r w:rsidRPr="00BD40E0" w:rsidR="00821B60">
        <w:t>171</w:t>
      </w:r>
      <w:r w:rsidRPr="00BD40E0">
        <w:t>,4</w:t>
      </w:r>
      <w:r w:rsidRPr="00BD40E0" w:rsidR="00821B60">
        <w:t>87</w:t>
      </w:r>
      <w:r w:rsidRPr="00BD40E0">
        <w:t xml:space="preserve"> full-time faculty from </w:t>
      </w:r>
      <w:r w:rsidRPr="00BD40E0" w:rsidR="00821B60">
        <w:t>847</w:t>
      </w:r>
      <w:r w:rsidRPr="00BD40E0">
        <w:t xml:space="preserve"> institutions published in the 201</w:t>
      </w:r>
      <w:r w:rsidRPr="00BD40E0" w:rsidR="00821B60">
        <w:t>9</w:t>
      </w:r>
      <w:r w:rsidRPr="00BD40E0">
        <w:t xml:space="preserve"> College </w:t>
      </w:r>
      <w:proofErr w:type="gramStart"/>
      <w:r w:rsidRPr="00BD40E0">
        <w:t>And</w:t>
      </w:r>
      <w:proofErr w:type="gramEnd"/>
      <w:r w:rsidRPr="00BD40E0">
        <w:t xml:space="preserve"> University Professional Association for Human Resources (CUPA-HR) (https://www.higheredjobs.com/salary/salaryDisplay.cfm?SurveyID=</w:t>
      </w:r>
      <w:r w:rsidRPr="00BD40E0" w:rsidR="00821B60">
        <w:t>51</w:t>
      </w:r>
      <w:r w:rsidRPr="00BD40E0">
        <w:t>) showed that assistant professors across disciplines are earning an average of $</w:t>
      </w:r>
      <w:r w:rsidRPr="00BD40E0" w:rsidR="0080030C">
        <w:t>70</w:t>
      </w:r>
      <w:r w:rsidRPr="00BD40E0">
        <w:t>,</w:t>
      </w:r>
      <w:r w:rsidRPr="00BD40E0" w:rsidR="0080030C">
        <w:t>028</w:t>
      </w:r>
      <w:r w:rsidRPr="00BD40E0">
        <w:t xml:space="preserve"> per year for 4 year public and private schools based on a 9</w:t>
      </w:r>
      <w:r w:rsidRPr="00BD40E0" w:rsidR="00E64E5C">
        <w:t>-</w:t>
      </w:r>
      <w:r w:rsidRPr="00BD40E0">
        <w:t>month work year. This can be extrapolated to an average of $9</w:t>
      </w:r>
      <w:r w:rsidRPr="00BD40E0" w:rsidR="0080030C">
        <w:t>3</w:t>
      </w:r>
      <w:r w:rsidRPr="00BD40E0">
        <w:t>,</w:t>
      </w:r>
      <w:r w:rsidRPr="00BD40E0" w:rsidR="0080030C">
        <w:t>372</w:t>
      </w:r>
      <w:r w:rsidRPr="00BD40E0">
        <w:t xml:space="preserve"> per year based on a </w:t>
      </w:r>
      <w:r w:rsidRPr="00BD40E0" w:rsidR="00E64E5C">
        <w:t>12-month</w:t>
      </w:r>
      <w:r w:rsidRPr="00BD40E0">
        <w:t xml:space="preserve"> work year and $4</w:t>
      </w:r>
      <w:r w:rsidRPr="00BD40E0" w:rsidR="00E77944">
        <w:t>8</w:t>
      </w:r>
      <w:r w:rsidRPr="00BD40E0">
        <w:t>.</w:t>
      </w:r>
      <w:r w:rsidRPr="00BD40E0" w:rsidR="00E77944">
        <w:t>63</w:t>
      </w:r>
      <w:r w:rsidRPr="00BD40E0">
        <w:t xml:space="preserve"> per hour based on a 40</w:t>
      </w:r>
      <w:r w:rsidR="001E7CB7">
        <w:t>-</w:t>
      </w:r>
      <w:r w:rsidRPr="00BD40E0">
        <w:t>hour work week. The vast majority of New Investigators are Assistant Professors.  Therefore, this number was used to calculate the annualized costs to respondents.</w:t>
      </w:r>
    </w:p>
    <w:p w:rsidRPr="00BD40E0" w:rsidR="00EF0332" w:rsidP="00315507" w:rsidRDefault="00EF0332"/>
    <w:p w:rsidR="00D51BF9" w:rsidP="00203CE3" w:rsidRDefault="00AB6E83">
      <w:r w:rsidRPr="00BD40E0">
        <w:t xml:space="preserve">Based on an estimate of </w:t>
      </w:r>
      <w:r w:rsidRPr="00BD40E0" w:rsidR="00293EB9">
        <w:t>1,</w:t>
      </w:r>
      <w:r w:rsidRPr="00BD40E0" w:rsidR="00857F36">
        <w:t>212</w:t>
      </w:r>
      <w:r w:rsidRPr="00BD40E0" w:rsidR="00293EB9">
        <w:t xml:space="preserve"> </w:t>
      </w:r>
      <w:r w:rsidRPr="00BD40E0">
        <w:t>applications per year, each taking 25 minutes to complete, t</w:t>
      </w:r>
      <w:r w:rsidRPr="00BD40E0" w:rsidR="000B5FB2">
        <w:t xml:space="preserve">he anticipated </w:t>
      </w:r>
      <w:r w:rsidRPr="00BD40E0" w:rsidR="00620E33">
        <w:t xml:space="preserve">average </w:t>
      </w:r>
      <w:r w:rsidRPr="00BD40E0" w:rsidR="000B5FB2">
        <w:t>annual respondent cost of the ECR online application is $</w:t>
      </w:r>
      <w:r w:rsidRPr="00BD40E0" w:rsidR="00315507">
        <w:t>2</w:t>
      </w:r>
      <w:r w:rsidRPr="00BD40E0" w:rsidR="00BD40E0">
        <w:t>4</w:t>
      </w:r>
      <w:r w:rsidRPr="00BD40E0" w:rsidR="00315507">
        <w:t>,</w:t>
      </w:r>
      <w:r w:rsidRPr="00BD40E0" w:rsidR="00BD40E0">
        <w:t>558.15</w:t>
      </w:r>
      <w:r w:rsidRPr="00BD40E0" w:rsidR="000B5FB2">
        <w:t xml:space="preserve">.  </w:t>
      </w:r>
    </w:p>
    <w:p w:rsidR="00857F36" w:rsidP="00203CE3" w:rsidRDefault="00857F36"/>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2182"/>
        <w:gridCol w:w="2182"/>
        <w:gridCol w:w="1972"/>
        <w:gridCol w:w="2424"/>
      </w:tblGrid>
      <w:tr w:rsidRPr="004E22F7" w:rsidR="001E7CB7" w:rsidTr="001E7CB7">
        <w:trPr>
          <w:trHeight w:val="1130"/>
        </w:trPr>
        <w:tc>
          <w:tcPr>
            <w:tcW w:w="2182" w:type="dxa"/>
          </w:tcPr>
          <w:p w:rsidRPr="004E22F7" w:rsidR="001E7CB7" w:rsidP="00203CE3" w:rsidRDefault="001E7CB7">
            <w:pPr>
              <w:rPr>
                <w:color w:val="000000"/>
              </w:rPr>
            </w:pPr>
            <w:r w:rsidRPr="004E22F7">
              <w:rPr>
                <w:color w:val="000000"/>
              </w:rPr>
              <w:lastRenderedPageBreak/>
              <w:t>Type of Respondents</w:t>
            </w:r>
          </w:p>
        </w:tc>
        <w:tc>
          <w:tcPr>
            <w:tcW w:w="2182" w:type="dxa"/>
          </w:tcPr>
          <w:p w:rsidRPr="004E22F7" w:rsidR="001E7CB7" w:rsidP="00203CE3" w:rsidRDefault="001E7CB7">
            <w:pPr>
              <w:rPr>
                <w:color w:val="000000"/>
              </w:rPr>
            </w:pPr>
            <w:r>
              <w:rPr>
                <w:color w:val="000000"/>
              </w:rPr>
              <w:t>Total Annual Burden Hours</w:t>
            </w:r>
          </w:p>
        </w:tc>
        <w:tc>
          <w:tcPr>
            <w:tcW w:w="1972" w:type="dxa"/>
          </w:tcPr>
          <w:p w:rsidRPr="004E22F7" w:rsidR="001E7CB7" w:rsidP="00203CE3" w:rsidRDefault="001E7CB7">
            <w:pPr>
              <w:rPr>
                <w:color w:val="000000"/>
              </w:rPr>
            </w:pPr>
            <w:r w:rsidRPr="004E22F7">
              <w:rPr>
                <w:color w:val="000000"/>
              </w:rPr>
              <w:t>Hourly</w:t>
            </w:r>
            <w:r>
              <w:rPr>
                <w:color w:val="000000"/>
              </w:rPr>
              <w:t xml:space="preserve"> Respondent </w:t>
            </w:r>
            <w:r w:rsidRPr="004E22F7">
              <w:rPr>
                <w:color w:val="000000"/>
              </w:rPr>
              <w:t>Wage Rate</w:t>
            </w:r>
            <w:r>
              <w:rPr>
                <w:color w:val="000000"/>
              </w:rPr>
              <w:t>*</w:t>
            </w:r>
          </w:p>
        </w:tc>
        <w:tc>
          <w:tcPr>
            <w:tcW w:w="2424" w:type="dxa"/>
          </w:tcPr>
          <w:p w:rsidRPr="004E22F7" w:rsidR="001E7CB7" w:rsidP="00203CE3" w:rsidRDefault="001E7CB7">
            <w:pPr>
              <w:rPr>
                <w:color w:val="000000"/>
              </w:rPr>
            </w:pPr>
            <w:r w:rsidRPr="004E22F7">
              <w:rPr>
                <w:color w:val="000000"/>
              </w:rPr>
              <w:t>Respondent</w:t>
            </w:r>
          </w:p>
          <w:p w:rsidRPr="004E22F7" w:rsidR="001E7CB7" w:rsidP="00203CE3" w:rsidRDefault="001E7CB7">
            <w:pPr>
              <w:rPr>
                <w:color w:val="000000"/>
              </w:rPr>
            </w:pPr>
            <w:r w:rsidRPr="004E22F7">
              <w:rPr>
                <w:color w:val="000000"/>
              </w:rPr>
              <w:t>Cost</w:t>
            </w:r>
          </w:p>
        </w:tc>
      </w:tr>
      <w:tr w:rsidRPr="004E22F7" w:rsidR="001E7CB7" w:rsidTr="001E7CB7">
        <w:trPr>
          <w:trHeight w:val="570"/>
        </w:trPr>
        <w:tc>
          <w:tcPr>
            <w:tcW w:w="2182" w:type="dxa"/>
          </w:tcPr>
          <w:p w:rsidRPr="004E22F7" w:rsidR="001E7CB7" w:rsidP="00203CE3" w:rsidRDefault="001E7CB7">
            <w:pPr>
              <w:rPr>
                <w:color w:val="000000"/>
              </w:rPr>
            </w:pPr>
          </w:p>
          <w:p w:rsidRPr="004E22F7" w:rsidR="001E7CB7" w:rsidP="00203CE3" w:rsidRDefault="00C73A40">
            <w:pPr>
              <w:rPr>
                <w:color w:val="000000"/>
              </w:rPr>
            </w:pPr>
            <w:r>
              <w:rPr>
                <w:color w:val="000000"/>
              </w:rPr>
              <w:t>Research Scientists</w:t>
            </w:r>
          </w:p>
        </w:tc>
        <w:tc>
          <w:tcPr>
            <w:tcW w:w="2182" w:type="dxa"/>
          </w:tcPr>
          <w:p w:rsidRPr="004E22F7" w:rsidR="001E7CB7" w:rsidP="00857F36" w:rsidRDefault="001E7CB7">
            <w:pPr>
              <w:jc w:val="center"/>
              <w:rPr>
                <w:color w:val="000000"/>
              </w:rPr>
            </w:pPr>
            <w:r>
              <w:rPr>
                <w:color w:val="000000"/>
              </w:rPr>
              <w:t>505</w:t>
            </w:r>
          </w:p>
        </w:tc>
        <w:tc>
          <w:tcPr>
            <w:tcW w:w="1972" w:type="dxa"/>
          </w:tcPr>
          <w:p w:rsidRPr="004E22F7" w:rsidR="001E7CB7" w:rsidP="006C125E" w:rsidRDefault="001E7CB7">
            <w:pPr>
              <w:rPr>
                <w:color w:val="000000"/>
              </w:rPr>
            </w:pPr>
            <w:r>
              <w:rPr>
                <w:color w:val="000000"/>
              </w:rPr>
              <w:t xml:space="preserve"> </w:t>
            </w:r>
            <w:r w:rsidRPr="00857F36">
              <w:rPr>
                <w:color w:val="000000"/>
              </w:rPr>
              <w:t>$48.63</w:t>
            </w:r>
          </w:p>
        </w:tc>
        <w:tc>
          <w:tcPr>
            <w:tcW w:w="2424" w:type="dxa"/>
          </w:tcPr>
          <w:p w:rsidRPr="00BD40E0" w:rsidR="001E7CB7" w:rsidP="00315507" w:rsidRDefault="001E7CB7">
            <w:r w:rsidRPr="00BD40E0">
              <w:t>$24,558.15</w:t>
            </w:r>
          </w:p>
        </w:tc>
      </w:tr>
      <w:tr w:rsidRPr="004E22F7" w:rsidR="001E7CB7" w:rsidTr="001E7CB7">
        <w:trPr>
          <w:trHeight w:val="272"/>
        </w:trPr>
        <w:tc>
          <w:tcPr>
            <w:tcW w:w="2182" w:type="dxa"/>
          </w:tcPr>
          <w:p w:rsidRPr="004E22F7" w:rsidR="001E7CB7" w:rsidP="00203CE3" w:rsidRDefault="001E7CB7">
            <w:pPr>
              <w:rPr>
                <w:color w:val="000000"/>
              </w:rPr>
            </w:pPr>
            <w:r w:rsidRPr="004E22F7">
              <w:rPr>
                <w:color w:val="000000"/>
              </w:rPr>
              <w:t>Totals</w:t>
            </w:r>
          </w:p>
        </w:tc>
        <w:tc>
          <w:tcPr>
            <w:tcW w:w="2182" w:type="dxa"/>
          </w:tcPr>
          <w:p w:rsidRPr="004E22F7" w:rsidR="001E7CB7" w:rsidP="00857F36" w:rsidRDefault="001E7CB7">
            <w:pPr>
              <w:jc w:val="center"/>
              <w:rPr>
                <w:color w:val="000000"/>
              </w:rPr>
            </w:pPr>
            <w:r>
              <w:rPr>
                <w:color w:val="000000"/>
              </w:rPr>
              <w:t>505</w:t>
            </w:r>
          </w:p>
        </w:tc>
        <w:tc>
          <w:tcPr>
            <w:tcW w:w="1972" w:type="dxa"/>
          </w:tcPr>
          <w:p w:rsidRPr="004E22F7" w:rsidR="001E7CB7" w:rsidP="00203CE3" w:rsidRDefault="001E7CB7">
            <w:pPr>
              <w:rPr>
                <w:color w:val="000000"/>
              </w:rPr>
            </w:pPr>
          </w:p>
        </w:tc>
        <w:tc>
          <w:tcPr>
            <w:tcW w:w="2424" w:type="dxa"/>
          </w:tcPr>
          <w:p w:rsidRPr="00BD40E0" w:rsidR="001E7CB7" w:rsidP="00315507" w:rsidRDefault="001E7CB7">
            <w:r w:rsidRPr="00BD40E0">
              <w:t>$24,558.15</w:t>
            </w:r>
          </w:p>
        </w:tc>
      </w:tr>
    </w:tbl>
    <w:p w:rsidR="00AB6E83" w:rsidP="00203CE3" w:rsidRDefault="00AB6E83">
      <w:r w:rsidRPr="00AB6E83">
        <w:t xml:space="preserve">* </w:t>
      </w:r>
      <w:hyperlink w:history="1" r:id="rId9">
        <w:r w:rsidRPr="00310E6E" w:rsidR="00315507">
          <w:rPr>
            <w:rStyle w:val="Hyperlink"/>
          </w:rPr>
          <w:t>-</w:t>
        </w:r>
      </w:hyperlink>
      <w:r w:rsidR="00315507">
        <w:t xml:space="preserve"> Source of estimate: (</w:t>
      </w:r>
      <w:hyperlink w:history="1" r:id="rId10">
        <w:r w:rsidRPr="00D71000" w:rsidR="00E64E5C">
          <w:rPr>
            <w:rStyle w:val="Hyperlink"/>
          </w:rPr>
          <w:t>https://www.higheredjobs.com/salary/salaryDisplay.cfm?SurveyID=51</w:t>
        </w:r>
      </w:hyperlink>
    </w:p>
    <w:p w:rsidRPr="00AB6E83" w:rsidR="00E64E5C" w:rsidP="00203CE3" w:rsidRDefault="00E64E5C"/>
    <w:p w:rsidR="009D7EC6" w:rsidP="00203CE3" w:rsidRDefault="0093431F">
      <w:pPr>
        <w:pStyle w:val="Heading2"/>
        <w:tabs>
          <w:tab w:val="clear" w:pos="1152"/>
          <w:tab w:val="left" w:pos="720"/>
        </w:tabs>
        <w:spacing w:after="0" w:line="240" w:lineRule="auto"/>
        <w:ind w:left="0" w:firstLine="0"/>
        <w:rPr>
          <w:sz w:val="24"/>
          <w:szCs w:val="24"/>
        </w:rPr>
      </w:pPr>
      <w:bookmarkStart w:name="_Toc443881756" w:id="44"/>
      <w:bookmarkStart w:name="_Toc451592243" w:id="45"/>
      <w:bookmarkStart w:name="_Toc5610284" w:id="46"/>
      <w:bookmarkStart w:name="_Toc99178790" w:id="47"/>
      <w:r w:rsidRPr="00F042E0">
        <w:rPr>
          <w:sz w:val="24"/>
          <w:szCs w:val="24"/>
          <w:highlight w:val="lightGray"/>
        </w:rPr>
        <w:t>A.13</w:t>
      </w:r>
      <w:r w:rsidRPr="00F042E0">
        <w:rPr>
          <w:sz w:val="24"/>
          <w:szCs w:val="24"/>
          <w:highlight w:val="lightGray"/>
        </w:rPr>
        <w:tab/>
        <w:t>Estimate of Other Total Annual Cost</w:t>
      </w:r>
      <w:r w:rsidRPr="00F042E0" w:rsidR="00BC4E67">
        <w:rPr>
          <w:sz w:val="24"/>
          <w:szCs w:val="24"/>
          <w:highlight w:val="lightGray"/>
        </w:rPr>
        <w:t xml:space="preserve"> </w:t>
      </w:r>
      <w:r w:rsidRPr="00F042E0" w:rsidR="00F042E0">
        <w:rPr>
          <w:sz w:val="24"/>
          <w:szCs w:val="24"/>
          <w:highlight w:val="lightGray"/>
        </w:rPr>
        <w:t>Burden to Respondents or Recor</w:t>
      </w:r>
      <w:r w:rsidR="001E7CB7">
        <w:rPr>
          <w:sz w:val="24"/>
          <w:szCs w:val="24"/>
        </w:rPr>
        <w:t>d Keepers</w:t>
      </w:r>
    </w:p>
    <w:p w:rsidRPr="009D7EC6" w:rsidR="009D7EC6" w:rsidP="00203CE3" w:rsidRDefault="009D7EC6">
      <w:pPr>
        <w:pStyle w:val="Heading2"/>
        <w:tabs>
          <w:tab w:val="clear" w:pos="1152"/>
          <w:tab w:val="left" w:pos="720"/>
        </w:tabs>
        <w:spacing w:after="0" w:line="240" w:lineRule="auto"/>
        <w:ind w:left="0" w:firstLine="0"/>
        <w:jc w:val="left"/>
        <w:rPr>
          <w:b w:val="0"/>
          <w:sz w:val="24"/>
          <w:szCs w:val="24"/>
        </w:rPr>
      </w:pPr>
      <w:r w:rsidRPr="009D7EC6">
        <w:rPr>
          <w:b w:val="0"/>
          <w:sz w:val="24"/>
          <w:szCs w:val="24"/>
        </w:rPr>
        <w:t xml:space="preserve">There are no additional cost burdens to respondents other than those described in section </w:t>
      </w:r>
    </w:p>
    <w:p w:rsidR="004D2EB5" w:rsidP="00203CE3" w:rsidRDefault="004D2EB5">
      <w:pPr>
        <w:pStyle w:val="Heading2"/>
        <w:tabs>
          <w:tab w:val="clear" w:pos="1152"/>
          <w:tab w:val="left" w:pos="720"/>
        </w:tabs>
        <w:spacing w:after="0" w:line="240" w:lineRule="auto"/>
        <w:ind w:left="0" w:firstLine="0"/>
        <w:rPr>
          <w:sz w:val="24"/>
          <w:szCs w:val="24"/>
          <w:highlight w:val="cyan"/>
        </w:rPr>
      </w:pPr>
      <w:bookmarkStart w:name="_Toc443881757" w:id="48"/>
      <w:bookmarkStart w:name="_Toc451592244" w:id="49"/>
      <w:bookmarkStart w:name="_Toc5610285" w:id="50"/>
      <w:bookmarkStart w:name="_Toc99178791" w:id="51"/>
      <w:bookmarkEnd w:id="44"/>
      <w:bookmarkEnd w:id="45"/>
      <w:bookmarkEnd w:id="46"/>
      <w:bookmarkEnd w:id="47"/>
    </w:p>
    <w:p w:rsidR="00E36A07" w:rsidP="00203CE3" w:rsidRDefault="00E36A07">
      <w:pPr>
        <w:pStyle w:val="Heading2"/>
        <w:tabs>
          <w:tab w:val="clear" w:pos="1152"/>
          <w:tab w:val="left" w:pos="720"/>
        </w:tabs>
        <w:spacing w:after="0" w:line="240" w:lineRule="auto"/>
        <w:ind w:left="0" w:firstLine="0"/>
        <w:rPr>
          <w:sz w:val="24"/>
          <w:szCs w:val="24"/>
        </w:rPr>
      </w:pPr>
      <w:r w:rsidRPr="00F9179D">
        <w:rPr>
          <w:sz w:val="24"/>
          <w:szCs w:val="24"/>
          <w:highlight w:val="lightGray"/>
        </w:rPr>
        <w:t>A.14</w:t>
      </w:r>
      <w:r w:rsidRPr="00F9179D">
        <w:rPr>
          <w:sz w:val="24"/>
          <w:szCs w:val="24"/>
          <w:highlight w:val="lightGray"/>
        </w:rPr>
        <w:tab/>
        <w:t>Annualized Cost to the Federal Government</w:t>
      </w:r>
      <w:bookmarkEnd w:id="48"/>
      <w:bookmarkEnd w:id="49"/>
      <w:bookmarkEnd w:id="50"/>
      <w:bookmarkEnd w:id="51"/>
      <w:r w:rsidR="00F042E0">
        <w:rPr>
          <w:sz w:val="24"/>
          <w:szCs w:val="24"/>
        </w:rPr>
        <w:t xml:space="preserve"> </w:t>
      </w:r>
    </w:p>
    <w:p w:rsidR="00CE0570" w:rsidP="00203CE3" w:rsidRDefault="00CE0570">
      <w:r w:rsidRPr="00655A73">
        <w:t xml:space="preserve">As described in Section A.3 on Burden Reduction, NIH/CSR staff members are involved in </w:t>
      </w:r>
      <w:r w:rsidR="00F9179D">
        <w:t xml:space="preserve">maintaining the software application and in the </w:t>
      </w:r>
      <w:r w:rsidRPr="00655A73">
        <w:t xml:space="preserve">processing of applications for the ECR program. </w:t>
      </w:r>
      <w:r w:rsidR="000B7405">
        <w:t>EAVS</w:t>
      </w:r>
      <w:r w:rsidRPr="00655A73">
        <w:t xml:space="preserve"> greatly reduce</w:t>
      </w:r>
      <w:r w:rsidR="000B7405">
        <w:t>s</w:t>
      </w:r>
      <w:r w:rsidRPr="00655A73">
        <w:t xml:space="preserve"> the staffing resources needed to proces</w:t>
      </w:r>
      <w:r w:rsidRPr="00655A73" w:rsidR="003C0325">
        <w:t xml:space="preserve">s applications, </w:t>
      </w:r>
      <w:r w:rsidRPr="00655A73">
        <w:t>provide feedback to applicants</w:t>
      </w:r>
      <w:r w:rsidRPr="00655A73" w:rsidR="003C0325">
        <w:t>, and manage application data.</w:t>
      </w:r>
      <w:r w:rsidRPr="00655A73">
        <w:t xml:space="preserve"> </w:t>
      </w:r>
      <w:r w:rsidRPr="00655A73" w:rsidR="003C0325">
        <w:t>ECR personnel costs related to the processing of applications include</w:t>
      </w:r>
      <w:r w:rsidR="00573E45">
        <w:t>s</w:t>
      </w:r>
      <w:r w:rsidRPr="00655A73" w:rsidR="003C0325">
        <w:t xml:space="preserve"> </w:t>
      </w:r>
      <w:r w:rsidRPr="00593E56" w:rsidR="003C0325">
        <w:t>2% Program Director time</w:t>
      </w:r>
      <w:r w:rsidRPr="00593E56" w:rsidR="00593E56">
        <w:t xml:space="preserve"> </w:t>
      </w:r>
      <w:r w:rsidRPr="00593E56" w:rsidR="003C0325">
        <w:t xml:space="preserve">and </w:t>
      </w:r>
      <w:r w:rsidR="00514994">
        <w:t>15</w:t>
      </w:r>
      <w:r w:rsidRPr="00593E56" w:rsidR="003C0325">
        <w:t xml:space="preserve">% </w:t>
      </w:r>
      <w:r w:rsidR="00514994">
        <w:t>Sof</w:t>
      </w:r>
      <w:r w:rsidRPr="00593E56" w:rsidR="00F82433">
        <w:t>t</w:t>
      </w:r>
      <w:r w:rsidR="00514994">
        <w:t>ware Developer</w:t>
      </w:r>
      <w:r w:rsidRPr="00593E56" w:rsidR="003C0325">
        <w:t xml:space="preserve"> </w:t>
      </w:r>
      <w:r w:rsidRPr="00E3289C" w:rsidR="003C0325">
        <w:t xml:space="preserve">time. The estimated annual cost to the federal government for is </w:t>
      </w:r>
      <w:r w:rsidRPr="00462548" w:rsidR="003C0325">
        <w:t>$</w:t>
      </w:r>
      <w:r w:rsidRPr="00462548" w:rsidR="00462548">
        <w:t>25</w:t>
      </w:r>
      <w:r w:rsidRPr="00462548" w:rsidR="00DF5522">
        <w:t>,</w:t>
      </w:r>
      <w:r w:rsidRPr="00462548" w:rsidR="00462548">
        <w:t>256.00</w:t>
      </w:r>
      <w:r w:rsidRPr="00462548" w:rsidR="003C0325">
        <w:t>.</w:t>
      </w:r>
      <w:r w:rsidRPr="00637249" w:rsidR="003C0325">
        <w:t xml:space="preserve">  </w:t>
      </w:r>
    </w:p>
    <w:p w:rsidR="002722E6" w:rsidP="00203CE3" w:rsidRDefault="002722E6"/>
    <w:tbl>
      <w:tblPr>
        <w:tblW w:w="8799" w:type="dxa"/>
        <w:jc w:val="center"/>
        <w:tblCellMar>
          <w:left w:w="0" w:type="dxa"/>
          <w:right w:w="0" w:type="dxa"/>
        </w:tblCellMar>
        <w:tblLook w:val="04A0" w:firstRow="1" w:lastRow="0" w:firstColumn="1" w:lastColumn="0" w:noHBand="0" w:noVBand="1"/>
      </w:tblPr>
      <w:tblGrid>
        <w:gridCol w:w="2612"/>
        <w:gridCol w:w="1194"/>
        <w:gridCol w:w="996"/>
        <w:gridCol w:w="1078"/>
        <w:gridCol w:w="1563"/>
        <w:gridCol w:w="17"/>
        <w:gridCol w:w="1339"/>
      </w:tblGrid>
      <w:tr w:rsidRPr="0037291F" w:rsidR="00656BCE" w:rsidTr="00F7030B">
        <w:trPr>
          <w:trHeight w:val="685"/>
          <w:jc w:val="center"/>
        </w:trPr>
        <w:tc>
          <w:tcPr>
            <w:tcW w:w="2612"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37291F" w:rsidR="00656BCE" w:rsidP="002F77F4" w:rsidRDefault="00656BCE">
            <w:pPr>
              <w:jc w:val="center"/>
              <w:rPr>
                <w:rFonts w:eastAsia="Calibri"/>
                <w:b/>
                <w:bCs/>
                <w:color w:val="000000"/>
              </w:rPr>
            </w:pPr>
            <w:bookmarkStart w:name="_Hlk25326660" w:id="52"/>
            <w:r>
              <w:rPr>
                <w:b/>
                <w:bCs/>
                <w:color w:val="000000"/>
              </w:rPr>
              <w:t>Cost Descriptions</w:t>
            </w:r>
          </w:p>
        </w:tc>
        <w:tc>
          <w:tcPr>
            <w:tcW w:w="1031" w:type="dxa"/>
            <w:tcBorders>
              <w:top w:val="single" w:color="auto" w:sz="8" w:space="0"/>
              <w:left w:val="nil"/>
              <w:bottom w:val="single" w:color="auto" w:sz="8" w:space="0"/>
              <w:right w:val="single" w:color="auto" w:sz="8" w:space="0"/>
            </w:tcBorders>
            <w:shd w:val="clear" w:color="auto" w:fill="auto"/>
            <w:vAlign w:val="bottom"/>
          </w:tcPr>
          <w:p w:rsidRPr="0037291F" w:rsidR="00656BCE" w:rsidP="002F77F4" w:rsidRDefault="00656BCE">
            <w:pPr>
              <w:jc w:val="center"/>
              <w:rPr>
                <w:rFonts w:eastAsia="Calibri"/>
                <w:b/>
                <w:bCs/>
                <w:color w:val="1F497D"/>
              </w:rPr>
            </w:pPr>
          </w:p>
          <w:p w:rsidRPr="0037291F" w:rsidR="00656BCE" w:rsidP="002F77F4" w:rsidRDefault="00656BCE">
            <w:pPr>
              <w:jc w:val="center"/>
              <w:rPr>
                <w:rFonts w:eastAsia="Calibri"/>
                <w:b/>
                <w:bCs/>
                <w:color w:val="000000"/>
              </w:rPr>
            </w:pPr>
            <w:r w:rsidRPr="0037291F">
              <w:rPr>
                <w:b/>
                <w:bCs/>
                <w:color w:val="000000"/>
              </w:rPr>
              <w:t>Grade/Step</w:t>
            </w:r>
          </w:p>
        </w:tc>
        <w:tc>
          <w:tcPr>
            <w:tcW w:w="9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37291F" w:rsidR="00656BCE" w:rsidP="002F77F4" w:rsidRDefault="00656BCE">
            <w:pPr>
              <w:jc w:val="center"/>
              <w:rPr>
                <w:rFonts w:eastAsia="Calibri"/>
                <w:b/>
                <w:bCs/>
              </w:rPr>
            </w:pPr>
            <w:r w:rsidRPr="0037291F">
              <w:rPr>
                <w:b/>
                <w:bCs/>
              </w:rPr>
              <w:t>Salary</w:t>
            </w:r>
          </w:p>
        </w:tc>
        <w:tc>
          <w:tcPr>
            <w:tcW w:w="107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37291F" w:rsidR="00656BCE" w:rsidP="002F77F4" w:rsidRDefault="00656BCE">
            <w:pPr>
              <w:jc w:val="center"/>
              <w:rPr>
                <w:rFonts w:eastAsia="Calibri"/>
                <w:b/>
                <w:bCs/>
              </w:rPr>
            </w:pPr>
            <w:r w:rsidRPr="0037291F">
              <w:rPr>
                <w:b/>
                <w:bCs/>
              </w:rPr>
              <w:t>% of Effort</w:t>
            </w:r>
          </w:p>
        </w:tc>
        <w:tc>
          <w:tcPr>
            <w:tcW w:w="1649" w:type="dxa"/>
            <w:tcBorders>
              <w:top w:val="single" w:color="auto" w:sz="8" w:space="0"/>
              <w:left w:val="nil"/>
              <w:bottom w:val="single" w:color="auto" w:sz="8" w:space="0"/>
              <w:right w:val="single" w:color="auto" w:sz="8" w:space="0"/>
            </w:tcBorders>
            <w:shd w:val="clear" w:color="auto" w:fill="auto"/>
          </w:tcPr>
          <w:p w:rsidRPr="0037291F" w:rsidR="00656BCE" w:rsidP="002F77F4" w:rsidRDefault="00656BCE">
            <w:pPr>
              <w:jc w:val="center"/>
              <w:rPr>
                <w:b/>
                <w:bCs/>
              </w:rPr>
            </w:pPr>
            <w:r w:rsidRPr="0037291F">
              <w:rPr>
                <w:b/>
                <w:bCs/>
              </w:rPr>
              <w:t>Fringe (if applicable)</w:t>
            </w:r>
          </w:p>
        </w:tc>
        <w:tc>
          <w:tcPr>
            <w:tcW w:w="17" w:type="dxa"/>
            <w:tcBorders>
              <w:top w:val="single" w:color="auto" w:sz="8" w:space="0"/>
              <w:left w:val="nil"/>
              <w:bottom w:val="single" w:color="auto" w:sz="8" w:space="0"/>
              <w:right w:val="nil"/>
            </w:tcBorders>
          </w:tcPr>
          <w:p w:rsidRPr="0037291F" w:rsidR="00656BCE" w:rsidP="002F77F4" w:rsidRDefault="00656BCE">
            <w:pPr>
              <w:jc w:val="center"/>
              <w:rPr>
                <w:b/>
                <w:bCs/>
              </w:rPr>
            </w:pPr>
          </w:p>
        </w:tc>
        <w:tc>
          <w:tcPr>
            <w:tcW w:w="1416" w:type="dxa"/>
            <w:tcBorders>
              <w:top w:val="single" w:color="auto" w:sz="8" w:space="0"/>
              <w:left w:val="nil"/>
              <w:bottom w:val="single" w:color="auto" w:sz="8" w:space="0"/>
              <w:right w:val="single" w:color="auto" w:sz="8" w:space="0"/>
            </w:tcBorders>
            <w:shd w:val="clear" w:color="auto" w:fill="auto"/>
          </w:tcPr>
          <w:p w:rsidRPr="0037291F" w:rsidR="00656BCE" w:rsidP="002F77F4" w:rsidRDefault="00656BCE">
            <w:pPr>
              <w:jc w:val="center"/>
              <w:rPr>
                <w:b/>
                <w:bCs/>
              </w:rPr>
            </w:pPr>
            <w:r w:rsidRPr="0037291F">
              <w:rPr>
                <w:b/>
                <w:bCs/>
              </w:rPr>
              <w:t>Total Cost to Gov’t</w:t>
            </w:r>
          </w:p>
        </w:tc>
      </w:tr>
      <w:tr w:rsidRPr="0037291F" w:rsidR="00656BCE" w:rsidTr="00F7030B">
        <w:trPr>
          <w:trHeight w:val="228"/>
          <w:jc w:val="center"/>
        </w:trPr>
        <w:tc>
          <w:tcPr>
            <w:tcW w:w="261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7291F" w:rsidR="00656BCE" w:rsidP="002F77F4" w:rsidRDefault="00656BCE">
            <w:pPr>
              <w:rPr>
                <w:rFonts w:eastAsia="Calibri"/>
                <w:b/>
                <w:color w:val="000000"/>
                <w:highlight w:val="yellow"/>
              </w:rPr>
            </w:pPr>
            <w:r w:rsidRPr="0037291F">
              <w:rPr>
                <w:rFonts w:eastAsia="Calibri"/>
                <w:b/>
                <w:color w:val="000000"/>
              </w:rPr>
              <w:t>Federal Oversight</w:t>
            </w:r>
          </w:p>
        </w:tc>
        <w:tc>
          <w:tcPr>
            <w:tcW w:w="1031" w:type="dxa"/>
            <w:tcBorders>
              <w:top w:val="nil"/>
              <w:left w:val="nil"/>
              <w:bottom w:val="single" w:color="auto" w:sz="8" w:space="0"/>
              <w:right w:val="single" w:color="auto" w:sz="8" w:space="0"/>
            </w:tcBorders>
          </w:tcPr>
          <w:p w:rsidRPr="0037291F" w:rsidR="00656BCE" w:rsidP="002F77F4" w:rsidRDefault="00656BCE">
            <w:pPr>
              <w:jc w:val="right"/>
              <w:rPr>
                <w:rFonts w:eastAsia="Calibri"/>
                <w:color w:val="000000"/>
                <w:highlight w:val="yellow"/>
              </w:rPr>
            </w:pPr>
          </w:p>
        </w:tc>
        <w:tc>
          <w:tcPr>
            <w:tcW w:w="9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C375A" w:rsidR="00656BCE" w:rsidP="002F77F4" w:rsidRDefault="00656BCE"/>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C375A" w:rsidR="00656BCE" w:rsidP="002F77F4" w:rsidRDefault="00656BCE"/>
        </w:tc>
        <w:tc>
          <w:tcPr>
            <w:tcW w:w="1649" w:type="dxa"/>
            <w:tcBorders>
              <w:top w:val="nil"/>
              <w:left w:val="nil"/>
              <w:bottom w:val="single" w:color="auto" w:sz="8" w:space="0"/>
              <w:right w:val="single" w:color="auto" w:sz="8" w:space="0"/>
            </w:tcBorders>
            <w:shd w:val="clear" w:color="auto" w:fill="BFBFBF"/>
          </w:tcPr>
          <w:p w:rsidRPr="0037291F" w:rsidR="00656BCE" w:rsidP="002F77F4" w:rsidRDefault="00656BCE"/>
        </w:tc>
        <w:tc>
          <w:tcPr>
            <w:tcW w:w="17" w:type="dxa"/>
            <w:tcBorders>
              <w:top w:val="nil"/>
              <w:left w:val="nil"/>
              <w:bottom w:val="single" w:color="auto" w:sz="8" w:space="0"/>
              <w:right w:val="nil"/>
            </w:tcBorders>
          </w:tcPr>
          <w:p w:rsidRPr="0037291F" w:rsidR="00656BCE" w:rsidP="002F77F4" w:rsidRDefault="00656BCE"/>
        </w:tc>
        <w:tc>
          <w:tcPr>
            <w:tcW w:w="1416" w:type="dxa"/>
            <w:tcBorders>
              <w:top w:val="nil"/>
              <w:left w:val="nil"/>
              <w:bottom w:val="single" w:color="auto" w:sz="8" w:space="0"/>
              <w:right w:val="single" w:color="auto" w:sz="8" w:space="0"/>
            </w:tcBorders>
          </w:tcPr>
          <w:p w:rsidRPr="0037291F" w:rsidR="00656BCE" w:rsidP="002F77F4" w:rsidRDefault="00656BCE"/>
        </w:tc>
      </w:tr>
      <w:tr w:rsidRPr="0037291F" w:rsidR="00656BCE" w:rsidTr="00F7030B">
        <w:trPr>
          <w:trHeight w:val="228"/>
          <w:jc w:val="center"/>
        </w:trPr>
        <w:tc>
          <w:tcPr>
            <w:tcW w:w="261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7291F" w:rsidR="00656BCE" w:rsidP="002F77F4" w:rsidRDefault="00656BCE">
            <w:pPr>
              <w:rPr>
                <w:rFonts w:eastAsia="Calibri"/>
              </w:rPr>
            </w:pPr>
            <w:r>
              <w:t>Program Director</w:t>
            </w:r>
          </w:p>
        </w:tc>
        <w:tc>
          <w:tcPr>
            <w:tcW w:w="1031" w:type="dxa"/>
            <w:tcBorders>
              <w:top w:val="nil"/>
              <w:left w:val="nil"/>
              <w:bottom w:val="single" w:color="auto" w:sz="8" w:space="0"/>
              <w:right w:val="single" w:color="auto" w:sz="8" w:space="0"/>
            </w:tcBorders>
          </w:tcPr>
          <w:p w:rsidRPr="00593E56" w:rsidR="00656BCE" w:rsidP="00593E56" w:rsidRDefault="007B781B">
            <w:pPr>
              <w:jc w:val="center"/>
              <w:rPr>
                <w:rFonts w:eastAsia="Calibri"/>
                <w:highlight w:val="yellow"/>
              </w:rPr>
            </w:pPr>
            <w:r w:rsidRPr="007B781B">
              <w:rPr>
                <w:rFonts w:eastAsia="Calibri"/>
              </w:rPr>
              <w:t>15/8</w:t>
            </w:r>
          </w:p>
        </w:tc>
        <w:tc>
          <w:tcPr>
            <w:tcW w:w="9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7291F" w:rsidR="00656BCE" w:rsidP="002F77F4" w:rsidRDefault="007B781B">
            <w:pPr>
              <w:rPr>
                <w:rFonts w:eastAsia="Calibri"/>
              </w:rPr>
            </w:pPr>
            <w:r>
              <w:rPr>
                <w:rFonts w:eastAsia="Calibri"/>
              </w:rPr>
              <w:t>170,800</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7291F" w:rsidR="00656BCE" w:rsidP="00593E56" w:rsidRDefault="00656BCE">
            <w:pPr>
              <w:jc w:val="center"/>
              <w:rPr>
                <w:rFonts w:eastAsia="Calibri"/>
              </w:rPr>
            </w:pPr>
            <w:r w:rsidRPr="002C375A">
              <w:t>2%</w:t>
            </w:r>
          </w:p>
        </w:tc>
        <w:tc>
          <w:tcPr>
            <w:tcW w:w="1649" w:type="dxa"/>
            <w:tcBorders>
              <w:top w:val="nil"/>
              <w:left w:val="nil"/>
              <w:bottom w:val="single" w:color="auto" w:sz="8" w:space="0"/>
              <w:right w:val="single" w:color="auto" w:sz="8" w:space="0"/>
            </w:tcBorders>
            <w:shd w:val="clear" w:color="auto" w:fill="BFBFBF"/>
          </w:tcPr>
          <w:p w:rsidRPr="0037291F" w:rsidR="00656BCE" w:rsidP="002F77F4" w:rsidRDefault="00656BCE"/>
        </w:tc>
        <w:tc>
          <w:tcPr>
            <w:tcW w:w="17" w:type="dxa"/>
            <w:tcBorders>
              <w:top w:val="nil"/>
              <w:left w:val="nil"/>
              <w:bottom w:val="single" w:color="auto" w:sz="8" w:space="0"/>
              <w:right w:val="nil"/>
            </w:tcBorders>
          </w:tcPr>
          <w:p w:rsidRPr="0037291F" w:rsidR="00656BCE" w:rsidP="002F77F4" w:rsidRDefault="00656BCE"/>
        </w:tc>
        <w:tc>
          <w:tcPr>
            <w:tcW w:w="1416" w:type="dxa"/>
            <w:tcBorders>
              <w:top w:val="nil"/>
              <w:left w:val="nil"/>
              <w:bottom w:val="single" w:color="auto" w:sz="8" w:space="0"/>
              <w:right w:val="single" w:color="auto" w:sz="8" w:space="0"/>
            </w:tcBorders>
          </w:tcPr>
          <w:p w:rsidRPr="0037291F" w:rsidR="00656BCE" w:rsidP="00504847" w:rsidRDefault="00343E4A">
            <w:pPr>
              <w:jc w:val="center"/>
            </w:pPr>
            <w:r>
              <w:t>3</w:t>
            </w:r>
            <w:r w:rsidR="00504847">
              <w:t>,</w:t>
            </w:r>
            <w:r>
              <w:t>416</w:t>
            </w:r>
            <w:r w:rsidR="00504847">
              <w:t>.00</w:t>
            </w:r>
          </w:p>
        </w:tc>
      </w:tr>
      <w:tr w:rsidRPr="0037291F" w:rsidR="00656BCE" w:rsidTr="00F7030B">
        <w:trPr>
          <w:trHeight w:val="228"/>
          <w:jc w:val="center"/>
        </w:trPr>
        <w:tc>
          <w:tcPr>
            <w:tcW w:w="261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7291F" w:rsidR="00656BCE" w:rsidP="002F77F4" w:rsidRDefault="00656BCE">
            <w:pPr>
              <w:rPr>
                <w:rFonts w:eastAsia="Calibri"/>
                <w:b/>
              </w:rPr>
            </w:pPr>
            <w:r w:rsidRPr="0037291F">
              <w:rPr>
                <w:rFonts w:eastAsia="Calibri"/>
                <w:b/>
              </w:rPr>
              <w:t>Contractor Cost</w:t>
            </w:r>
          </w:p>
        </w:tc>
        <w:tc>
          <w:tcPr>
            <w:tcW w:w="1031" w:type="dxa"/>
            <w:tcBorders>
              <w:top w:val="nil"/>
              <w:left w:val="nil"/>
              <w:bottom w:val="single" w:color="auto" w:sz="8" w:space="0"/>
              <w:right w:val="single" w:color="auto" w:sz="8" w:space="0"/>
            </w:tcBorders>
            <w:shd w:val="clear" w:color="auto" w:fill="BFBFBF"/>
          </w:tcPr>
          <w:p w:rsidRPr="007B781B" w:rsidR="00656BCE" w:rsidP="002F77F4" w:rsidRDefault="00656BCE">
            <w:pPr>
              <w:rPr>
                <w:rFonts w:eastAsia="Calibri"/>
              </w:rPr>
            </w:pPr>
          </w:p>
        </w:tc>
        <w:tc>
          <w:tcPr>
            <w:tcW w:w="9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7291F" w:rsidR="00656BCE" w:rsidP="002F77F4" w:rsidRDefault="00656BCE">
            <w:pPr>
              <w:rPr>
                <w:rFonts w:eastAsia="Calibri"/>
              </w:rPr>
            </w:pP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7291F" w:rsidR="00656BCE" w:rsidP="002F77F4" w:rsidRDefault="00656BCE">
            <w:pPr>
              <w:rPr>
                <w:rFonts w:eastAsia="Calibri"/>
              </w:rPr>
            </w:pPr>
          </w:p>
        </w:tc>
        <w:tc>
          <w:tcPr>
            <w:tcW w:w="1649" w:type="dxa"/>
            <w:tcBorders>
              <w:top w:val="nil"/>
              <w:left w:val="nil"/>
              <w:bottom w:val="single" w:color="auto" w:sz="8" w:space="0"/>
              <w:right w:val="single" w:color="auto" w:sz="8" w:space="0"/>
            </w:tcBorders>
          </w:tcPr>
          <w:p w:rsidRPr="0037291F" w:rsidR="00656BCE" w:rsidP="002F77F4" w:rsidRDefault="00656BCE"/>
        </w:tc>
        <w:tc>
          <w:tcPr>
            <w:tcW w:w="17" w:type="dxa"/>
            <w:tcBorders>
              <w:top w:val="nil"/>
              <w:left w:val="nil"/>
              <w:bottom w:val="single" w:color="auto" w:sz="8" w:space="0"/>
              <w:right w:val="nil"/>
            </w:tcBorders>
          </w:tcPr>
          <w:p w:rsidRPr="0037291F" w:rsidR="00656BCE" w:rsidP="002F77F4" w:rsidRDefault="00656BCE"/>
        </w:tc>
        <w:tc>
          <w:tcPr>
            <w:tcW w:w="1416" w:type="dxa"/>
            <w:tcBorders>
              <w:top w:val="nil"/>
              <w:left w:val="nil"/>
              <w:bottom w:val="single" w:color="auto" w:sz="8" w:space="0"/>
              <w:right w:val="single" w:color="auto" w:sz="8" w:space="0"/>
            </w:tcBorders>
          </w:tcPr>
          <w:p w:rsidRPr="0037291F" w:rsidR="00656BCE" w:rsidP="002F77F4" w:rsidRDefault="00656BCE"/>
        </w:tc>
      </w:tr>
      <w:tr w:rsidRPr="0037291F" w:rsidR="00656BCE" w:rsidTr="00F96B70">
        <w:trPr>
          <w:trHeight w:val="228"/>
          <w:jc w:val="center"/>
        </w:trPr>
        <w:tc>
          <w:tcPr>
            <w:tcW w:w="261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B781B" w:rsidR="00656BCE" w:rsidP="002F77F4" w:rsidRDefault="007B781B">
            <w:pPr>
              <w:rPr>
                <w:rFonts w:eastAsia="Calibri"/>
              </w:rPr>
            </w:pPr>
            <w:r w:rsidRPr="007B781B">
              <w:rPr>
                <w:rFonts w:eastAsia="Calibri"/>
              </w:rPr>
              <w:t>Senior Software Developer</w:t>
            </w:r>
          </w:p>
        </w:tc>
        <w:tc>
          <w:tcPr>
            <w:tcW w:w="1031" w:type="dxa"/>
            <w:tcBorders>
              <w:top w:val="nil"/>
              <w:left w:val="nil"/>
              <w:bottom w:val="single" w:color="auto" w:sz="8" w:space="0"/>
              <w:right w:val="single" w:color="auto" w:sz="8" w:space="0"/>
            </w:tcBorders>
            <w:shd w:val="clear" w:color="auto" w:fill="BFBFBF"/>
          </w:tcPr>
          <w:p w:rsidRPr="007B781B" w:rsidR="00656BCE" w:rsidP="007B781B" w:rsidRDefault="00656BCE">
            <w:pPr>
              <w:jc w:val="center"/>
              <w:rPr>
                <w:rFonts w:eastAsia="Calibri"/>
              </w:rPr>
            </w:pPr>
          </w:p>
        </w:tc>
        <w:tc>
          <w:tcPr>
            <w:tcW w:w="9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B781B" w:rsidR="00656BCE" w:rsidP="007B781B" w:rsidRDefault="007B781B">
            <w:pPr>
              <w:jc w:val="center"/>
              <w:rPr>
                <w:rFonts w:eastAsia="Calibri"/>
              </w:rPr>
            </w:pPr>
            <w:r>
              <w:rPr>
                <w:rFonts w:eastAsia="Calibri"/>
              </w:rPr>
              <w:t>130,000</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B781B" w:rsidR="00656BCE" w:rsidP="007B781B" w:rsidRDefault="007B781B">
            <w:pPr>
              <w:jc w:val="center"/>
              <w:rPr>
                <w:rFonts w:eastAsia="Calibri"/>
              </w:rPr>
            </w:pPr>
            <w:r>
              <w:rPr>
                <w:rFonts w:eastAsia="Calibri"/>
              </w:rPr>
              <w:t>15%</w:t>
            </w:r>
          </w:p>
        </w:tc>
        <w:tc>
          <w:tcPr>
            <w:tcW w:w="1649" w:type="dxa"/>
            <w:tcBorders>
              <w:top w:val="nil"/>
              <w:left w:val="nil"/>
              <w:bottom w:val="single" w:color="auto" w:sz="8" w:space="0"/>
              <w:right w:val="single" w:color="auto" w:sz="8" w:space="0"/>
            </w:tcBorders>
          </w:tcPr>
          <w:p w:rsidRPr="007B781B" w:rsidR="00656BCE" w:rsidP="007B781B" w:rsidRDefault="007B781B">
            <w:pPr>
              <w:jc w:val="center"/>
            </w:pPr>
            <w:r>
              <w:t>12%</w:t>
            </w:r>
          </w:p>
        </w:tc>
        <w:tc>
          <w:tcPr>
            <w:tcW w:w="17" w:type="dxa"/>
            <w:tcBorders>
              <w:top w:val="nil"/>
              <w:left w:val="nil"/>
              <w:bottom w:val="single" w:color="auto" w:sz="8" w:space="0"/>
              <w:right w:val="nil"/>
            </w:tcBorders>
          </w:tcPr>
          <w:p w:rsidRPr="007B781B" w:rsidR="00656BCE" w:rsidP="002F77F4" w:rsidRDefault="00656BCE"/>
        </w:tc>
        <w:tc>
          <w:tcPr>
            <w:tcW w:w="1416" w:type="dxa"/>
            <w:tcBorders>
              <w:top w:val="nil"/>
              <w:left w:val="nil"/>
              <w:bottom w:val="single" w:color="auto" w:sz="8" w:space="0"/>
              <w:right w:val="single" w:color="auto" w:sz="8" w:space="0"/>
            </w:tcBorders>
          </w:tcPr>
          <w:p w:rsidRPr="007B781B" w:rsidR="00656BCE" w:rsidP="00462548" w:rsidRDefault="00462548">
            <w:pPr>
              <w:jc w:val="center"/>
            </w:pPr>
            <w:r>
              <w:t>21,840.00</w:t>
            </w:r>
          </w:p>
        </w:tc>
      </w:tr>
      <w:tr w:rsidRPr="0037291F" w:rsidR="00656BCE" w:rsidTr="00F7030B">
        <w:trPr>
          <w:trHeight w:val="228"/>
          <w:jc w:val="center"/>
        </w:trPr>
        <w:tc>
          <w:tcPr>
            <w:tcW w:w="261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7291F" w:rsidR="00656BCE" w:rsidP="002F77F4" w:rsidRDefault="00656BCE">
            <w:pPr>
              <w:rPr>
                <w:rFonts w:eastAsia="Calibri"/>
              </w:rPr>
            </w:pPr>
            <w:r w:rsidRPr="0037291F">
              <w:rPr>
                <w:rFonts w:eastAsia="Calibri"/>
              </w:rPr>
              <w:t>Travel</w:t>
            </w:r>
          </w:p>
        </w:tc>
        <w:tc>
          <w:tcPr>
            <w:tcW w:w="1031" w:type="dxa"/>
            <w:tcBorders>
              <w:top w:val="nil"/>
              <w:left w:val="nil"/>
              <w:bottom w:val="single" w:color="auto" w:sz="8" w:space="0"/>
              <w:right w:val="single" w:color="auto" w:sz="8" w:space="0"/>
            </w:tcBorders>
            <w:shd w:val="clear" w:color="auto" w:fill="BFBFBF"/>
          </w:tcPr>
          <w:p w:rsidRPr="00107764" w:rsidR="00656BCE" w:rsidP="002F77F4" w:rsidRDefault="00656BCE">
            <w:pPr>
              <w:rPr>
                <w:rFonts w:eastAsia="Calibri"/>
                <w:highlight w:val="yellow"/>
              </w:rPr>
            </w:pPr>
          </w:p>
        </w:tc>
        <w:tc>
          <w:tcPr>
            <w:tcW w:w="99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107764" w:rsidR="00656BCE" w:rsidP="002F77F4" w:rsidRDefault="00656BCE">
            <w:pPr>
              <w:rPr>
                <w:rFonts w:eastAsia="Calibri"/>
                <w:highlight w:val="yellow"/>
              </w:rPr>
            </w:pPr>
          </w:p>
        </w:tc>
        <w:tc>
          <w:tcPr>
            <w:tcW w:w="107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107764" w:rsidR="00656BCE" w:rsidP="002F77F4" w:rsidRDefault="00656BCE">
            <w:pPr>
              <w:rPr>
                <w:rFonts w:eastAsia="Calibri"/>
                <w:highlight w:val="yellow"/>
              </w:rPr>
            </w:pPr>
          </w:p>
        </w:tc>
        <w:tc>
          <w:tcPr>
            <w:tcW w:w="1649" w:type="dxa"/>
            <w:tcBorders>
              <w:top w:val="nil"/>
              <w:left w:val="nil"/>
              <w:bottom w:val="single" w:color="auto" w:sz="8" w:space="0"/>
              <w:right w:val="single" w:color="auto" w:sz="8" w:space="0"/>
            </w:tcBorders>
            <w:shd w:val="clear" w:color="auto" w:fill="BFBFBF"/>
          </w:tcPr>
          <w:p w:rsidRPr="00107764" w:rsidR="00656BCE" w:rsidP="002F77F4" w:rsidRDefault="00656BCE">
            <w:pPr>
              <w:rPr>
                <w:highlight w:val="yellow"/>
              </w:rPr>
            </w:pPr>
          </w:p>
        </w:tc>
        <w:tc>
          <w:tcPr>
            <w:tcW w:w="17" w:type="dxa"/>
            <w:tcBorders>
              <w:top w:val="nil"/>
              <w:left w:val="nil"/>
              <w:bottom w:val="single" w:color="auto" w:sz="8" w:space="0"/>
              <w:right w:val="nil"/>
            </w:tcBorders>
          </w:tcPr>
          <w:p w:rsidRPr="0037291F" w:rsidR="00656BCE" w:rsidP="002F77F4" w:rsidRDefault="00656BCE"/>
        </w:tc>
        <w:tc>
          <w:tcPr>
            <w:tcW w:w="1416" w:type="dxa"/>
            <w:tcBorders>
              <w:top w:val="nil"/>
              <w:left w:val="nil"/>
              <w:bottom w:val="single" w:color="auto" w:sz="8" w:space="0"/>
              <w:right w:val="single" w:color="auto" w:sz="8" w:space="0"/>
            </w:tcBorders>
          </w:tcPr>
          <w:p w:rsidRPr="0037291F" w:rsidR="00656BCE" w:rsidP="002F77F4" w:rsidRDefault="00656BCE"/>
        </w:tc>
      </w:tr>
      <w:tr w:rsidRPr="0037291F" w:rsidR="00656BCE" w:rsidTr="00F7030B">
        <w:trPr>
          <w:trHeight w:val="228"/>
          <w:jc w:val="center"/>
        </w:trPr>
        <w:tc>
          <w:tcPr>
            <w:tcW w:w="261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07764" w:rsidR="00656BCE" w:rsidP="002F77F4" w:rsidRDefault="00656BCE">
            <w:pPr>
              <w:rPr>
                <w:rFonts w:eastAsia="Calibri"/>
                <w:highlight w:val="yellow"/>
              </w:rPr>
            </w:pPr>
            <w:r w:rsidRPr="00107764">
              <w:rPr>
                <w:rFonts w:eastAsia="Calibri"/>
              </w:rPr>
              <w:t>Other Cost</w:t>
            </w:r>
          </w:p>
        </w:tc>
        <w:tc>
          <w:tcPr>
            <w:tcW w:w="1031" w:type="dxa"/>
            <w:tcBorders>
              <w:top w:val="nil"/>
              <w:left w:val="nil"/>
              <w:bottom w:val="single" w:color="auto" w:sz="8" w:space="0"/>
              <w:right w:val="single" w:color="auto" w:sz="8" w:space="0"/>
            </w:tcBorders>
            <w:shd w:val="clear" w:color="auto" w:fill="BFBFBF"/>
          </w:tcPr>
          <w:p w:rsidRPr="0037291F" w:rsidR="00656BCE" w:rsidP="002F77F4" w:rsidRDefault="00656BCE">
            <w:pPr>
              <w:rPr>
                <w:rFonts w:eastAsia="Calibri"/>
                <w:color w:val="000000"/>
              </w:rPr>
            </w:pPr>
          </w:p>
        </w:tc>
        <w:tc>
          <w:tcPr>
            <w:tcW w:w="99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37291F" w:rsidR="00656BCE" w:rsidP="002F77F4" w:rsidRDefault="00656BCE">
            <w:pPr>
              <w:rPr>
                <w:rFonts w:eastAsia="Calibri"/>
              </w:rPr>
            </w:pPr>
          </w:p>
        </w:tc>
        <w:tc>
          <w:tcPr>
            <w:tcW w:w="107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37291F" w:rsidR="00656BCE" w:rsidP="002F77F4" w:rsidRDefault="00656BCE">
            <w:pPr>
              <w:rPr>
                <w:rFonts w:eastAsia="Calibri"/>
              </w:rPr>
            </w:pPr>
          </w:p>
        </w:tc>
        <w:tc>
          <w:tcPr>
            <w:tcW w:w="1649" w:type="dxa"/>
            <w:tcBorders>
              <w:top w:val="nil"/>
              <w:left w:val="nil"/>
              <w:bottom w:val="single" w:color="auto" w:sz="8" w:space="0"/>
              <w:right w:val="single" w:color="auto" w:sz="8" w:space="0"/>
            </w:tcBorders>
            <w:shd w:val="clear" w:color="auto" w:fill="BFBFBF"/>
          </w:tcPr>
          <w:p w:rsidRPr="0037291F" w:rsidR="00656BCE" w:rsidP="002F77F4" w:rsidRDefault="00656BCE">
            <w:pPr>
              <w:rPr>
                <w:rFonts w:eastAsia="Calibri"/>
              </w:rPr>
            </w:pPr>
          </w:p>
        </w:tc>
        <w:tc>
          <w:tcPr>
            <w:tcW w:w="17" w:type="dxa"/>
            <w:tcBorders>
              <w:top w:val="nil"/>
              <w:left w:val="nil"/>
              <w:bottom w:val="single" w:color="auto" w:sz="8" w:space="0"/>
              <w:right w:val="nil"/>
            </w:tcBorders>
          </w:tcPr>
          <w:p w:rsidRPr="0037291F" w:rsidR="00656BCE" w:rsidP="002F77F4" w:rsidRDefault="00656BCE">
            <w:pPr>
              <w:rPr>
                <w:rFonts w:eastAsia="Calibri"/>
              </w:rPr>
            </w:pPr>
          </w:p>
        </w:tc>
        <w:tc>
          <w:tcPr>
            <w:tcW w:w="1416" w:type="dxa"/>
            <w:tcBorders>
              <w:top w:val="nil"/>
              <w:left w:val="nil"/>
              <w:bottom w:val="single" w:color="auto" w:sz="8" w:space="0"/>
              <w:right w:val="single" w:color="auto" w:sz="8" w:space="0"/>
            </w:tcBorders>
          </w:tcPr>
          <w:p w:rsidRPr="0037291F" w:rsidR="00656BCE" w:rsidP="002F77F4" w:rsidRDefault="00656BCE">
            <w:pPr>
              <w:rPr>
                <w:rFonts w:eastAsia="Calibri"/>
              </w:rPr>
            </w:pPr>
          </w:p>
        </w:tc>
      </w:tr>
      <w:tr w:rsidRPr="0037291F" w:rsidR="00656BCE" w:rsidTr="00F7030B">
        <w:trPr>
          <w:trHeight w:val="228"/>
          <w:jc w:val="center"/>
        </w:trPr>
        <w:tc>
          <w:tcPr>
            <w:tcW w:w="261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37291F" w:rsidR="00656BCE" w:rsidP="002F77F4" w:rsidRDefault="00656BCE">
            <w:pPr>
              <w:rPr>
                <w:rFonts w:eastAsia="Calibri"/>
                <w:bCs/>
                <w:color w:val="000000"/>
              </w:rPr>
            </w:pPr>
          </w:p>
        </w:tc>
        <w:tc>
          <w:tcPr>
            <w:tcW w:w="1031" w:type="dxa"/>
            <w:tcBorders>
              <w:top w:val="nil"/>
              <w:left w:val="nil"/>
              <w:bottom w:val="single" w:color="auto" w:sz="8" w:space="0"/>
              <w:right w:val="single" w:color="auto" w:sz="8" w:space="0"/>
            </w:tcBorders>
            <w:shd w:val="clear" w:color="auto" w:fill="BFBFBF"/>
          </w:tcPr>
          <w:p w:rsidRPr="0037291F" w:rsidR="00656BCE" w:rsidP="002F77F4" w:rsidRDefault="00656BCE">
            <w:pPr>
              <w:rPr>
                <w:rFonts w:eastAsia="Calibri"/>
              </w:rPr>
            </w:pPr>
          </w:p>
        </w:tc>
        <w:tc>
          <w:tcPr>
            <w:tcW w:w="99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37291F" w:rsidR="00656BCE" w:rsidP="002F77F4" w:rsidRDefault="00656BCE"/>
        </w:tc>
        <w:tc>
          <w:tcPr>
            <w:tcW w:w="107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37291F" w:rsidR="00656BCE" w:rsidP="002F77F4" w:rsidRDefault="00656BCE">
            <w:pPr>
              <w:rPr>
                <w:rFonts w:eastAsia="Calibri"/>
                <w:b/>
              </w:rPr>
            </w:pPr>
          </w:p>
        </w:tc>
        <w:tc>
          <w:tcPr>
            <w:tcW w:w="1649" w:type="dxa"/>
            <w:tcBorders>
              <w:top w:val="nil"/>
              <w:left w:val="nil"/>
              <w:bottom w:val="single" w:color="auto" w:sz="8" w:space="0"/>
              <w:right w:val="single" w:color="auto" w:sz="8" w:space="0"/>
            </w:tcBorders>
            <w:shd w:val="clear" w:color="auto" w:fill="BFBFBF"/>
          </w:tcPr>
          <w:p w:rsidRPr="0037291F" w:rsidR="00656BCE" w:rsidP="002F77F4" w:rsidRDefault="00656BCE">
            <w:pPr>
              <w:rPr>
                <w:b/>
              </w:rPr>
            </w:pPr>
          </w:p>
        </w:tc>
        <w:tc>
          <w:tcPr>
            <w:tcW w:w="17" w:type="dxa"/>
            <w:tcBorders>
              <w:top w:val="nil"/>
              <w:left w:val="nil"/>
              <w:bottom w:val="single" w:color="auto" w:sz="8" w:space="0"/>
              <w:right w:val="nil"/>
            </w:tcBorders>
          </w:tcPr>
          <w:p w:rsidRPr="0037291F" w:rsidR="00656BCE" w:rsidP="002F77F4" w:rsidRDefault="00656BCE">
            <w:pPr>
              <w:rPr>
                <w:b/>
              </w:rPr>
            </w:pPr>
          </w:p>
        </w:tc>
        <w:tc>
          <w:tcPr>
            <w:tcW w:w="1416" w:type="dxa"/>
            <w:tcBorders>
              <w:top w:val="nil"/>
              <w:left w:val="nil"/>
              <w:bottom w:val="single" w:color="auto" w:sz="8" w:space="0"/>
              <w:right w:val="single" w:color="auto" w:sz="8" w:space="0"/>
            </w:tcBorders>
          </w:tcPr>
          <w:p w:rsidRPr="0037291F" w:rsidR="00656BCE" w:rsidP="002F77F4" w:rsidRDefault="00656BCE">
            <w:pPr>
              <w:rPr>
                <w:b/>
              </w:rPr>
            </w:pPr>
          </w:p>
        </w:tc>
      </w:tr>
      <w:tr w:rsidRPr="0037291F" w:rsidR="00656BCE" w:rsidTr="00F7030B">
        <w:trPr>
          <w:trHeight w:val="228"/>
          <w:jc w:val="center"/>
        </w:trPr>
        <w:tc>
          <w:tcPr>
            <w:tcW w:w="261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62548" w:rsidR="00656BCE" w:rsidP="002F77F4" w:rsidRDefault="00656BCE">
            <w:pPr>
              <w:rPr>
                <w:b/>
              </w:rPr>
            </w:pPr>
            <w:r w:rsidRPr="00462548">
              <w:rPr>
                <w:b/>
              </w:rPr>
              <w:t>Total</w:t>
            </w:r>
          </w:p>
        </w:tc>
        <w:tc>
          <w:tcPr>
            <w:tcW w:w="1031" w:type="dxa"/>
            <w:tcBorders>
              <w:top w:val="nil"/>
              <w:left w:val="nil"/>
              <w:bottom w:val="single" w:color="auto" w:sz="8" w:space="0"/>
              <w:right w:val="single" w:color="auto" w:sz="8" w:space="0"/>
            </w:tcBorders>
          </w:tcPr>
          <w:p w:rsidRPr="00462548" w:rsidR="00656BCE" w:rsidP="002F77F4" w:rsidRDefault="00656BCE">
            <w:pPr>
              <w:rPr>
                <w:rFonts w:eastAsia="Calibri"/>
              </w:rPr>
            </w:pPr>
          </w:p>
        </w:tc>
        <w:tc>
          <w:tcPr>
            <w:tcW w:w="9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62548" w:rsidR="00656BCE" w:rsidP="002F77F4" w:rsidRDefault="00656BCE"/>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62548" w:rsidR="00656BCE" w:rsidP="002F77F4" w:rsidRDefault="00656BCE"/>
        </w:tc>
        <w:tc>
          <w:tcPr>
            <w:tcW w:w="1649" w:type="dxa"/>
            <w:tcBorders>
              <w:top w:val="nil"/>
              <w:left w:val="nil"/>
              <w:bottom w:val="single" w:color="auto" w:sz="8" w:space="0"/>
              <w:right w:val="single" w:color="auto" w:sz="8" w:space="0"/>
            </w:tcBorders>
          </w:tcPr>
          <w:p w:rsidRPr="00462548" w:rsidR="00656BCE" w:rsidP="002F77F4" w:rsidRDefault="00656BCE"/>
        </w:tc>
        <w:tc>
          <w:tcPr>
            <w:tcW w:w="17" w:type="dxa"/>
            <w:tcBorders>
              <w:top w:val="nil"/>
              <w:left w:val="nil"/>
              <w:bottom w:val="single" w:color="auto" w:sz="8" w:space="0"/>
              <w:right w:val="nil"/>
            </w:tcBorders>
          </w:tcPr>
          <w:p w:rsidRPr="00462548" w:rsidR="00656BCE" w:rsidP="002F77F4" w:rsidRDefault="00656BCE"/>
        </w:tc>
        <w:tc>
          <w:tcPr>
            <w:tcW w:w="1416" w:type="dxa"/>
            <w:tcBorders>
              <w:top w:val="nil"/>
              <w:left w:val="nil"/>
              <w:bottom w:val="single" w:color="auto" w:sz="8" w:space="0"/>
              <w:right w:val="single" w:color="auto" w:sz="8" w:space="0"/>
            </w:tcBorders>
          </w:tcPr>
          <w:p w:rsidRPr="00462548" w:rsidR="00656BCE" w:rsidP="00462548" w:rsidRDefault="00462548">
            <w:pPr>
              <w:jc w:val="center"/>
            </w:pPr>
            <w:r w:rsidRPr="00462548">
              <w:t>25</w:t>
            </w:r>
            <w:r>
              <w:t>,</w:t>
            </w:r>
            <w:r w:rsidRPr="00462548">
              <w:t>256.00</w:t>
            </w:r>
          </w:p>
        </w:tc>
      </w:tr>
    </w:tbl>
    <w:p w:rsidR="00AC7962" w:rsidP="00203CE3" w:rsidRDefault="006353DD">
      <w:pPr>
        <w:pStyle w:val="Heading2"/>
        <w:tabs>
          <w:tab w:val="clear" w:pos="1152"/>
          <w:tab w:val="left" w:pos="720"/>
        </w:tabs>
        <w:spacing w:after="0" w:line="240" w:lineRule="auto"/>
        <w:ind w:left="0" w:firstLine="0"/>
        <w:rPr>
          <w:sz w:val="24"/>
          <w:szCs w:val="24"/>
          <w:highlight w:val="lightGray"/>
        </w:rPr>
      </w:pPr>
      <w:bookmarkStart w:name="_Toc443881758" w:id="53"/>
      <w:bookmarkStart w:name="_Toc451592245" w:id="54"/>
      <w:bookmarkStart w:name="_Toc5610286" w:id="55"/>
      <w:bookmarkStart w:name="_Toc99178792" w:id="56"/>
      <w:bookmarkEnd w:id="52"/>
      <w:r>
        <w:rPr>
          <w:b w:val="0"/>
          <w:sz w:val="18"/>
          <w:szCs w:val="18"/>
        </w:rPr>
        <w:t>*</w:t>
      </w:r>
      <w:r w:rsidRPr="006353DD">
        <w:rPr>
          <w:b w:val="0"/>
          <w:sz w:val="18"/>
          <w:szCs w:val="18"/>
        </w:rPr>
        <w:t>the</w:t>
      </w:r>
      <w:r w:rsidRPr="006353DD">
        <w:rPr>
          <w:b w:val="0"/>
          <w:sz w:val="24"/>
          <w:szCs w:val="24"/>
        </w:rPr>
        <w:t xml:space="preserve"> </w:t>
      </w:r>
      <w:r w:rsidRPr="006353DD">
        <w:rPr>
          <w:b w:val="0"/>
          <w:sz w:val="18"/>
          <w:szCs w:val="18"/>
        </w:rPr>
        <w:t xml:space="preserve">Salary in table above is cited from </w:t>
      </w:r>
      <w:hyperlink w:history="1" r:id="rId11">
        <w:r w:rsidRPr="00E51790">
          <w:rPr>
            <w:rStyle w:val="Hyperlink"/>
            <w:b w:val="0"/>
            <w:sz w:val="18"/>
            <w:szCs w:val="18"/>
          </w:rPr>
          <w:t>https://www.opm.gov/policy-data-oversight/pay-leave/salaries-wages/salary-tables/pdf/2020/D</w:t>
        </w:r>
        <w:r w:rsidRPr="00E51790">
          <w:rPr>
            <w:rStyle w:val="Hyperlink"/>
            <w:b w:val="0"/>
            <w:sz w:val="18"/>
            <w:szCs w:val="18"/>
          </w:rPr>
          <w:t>CB.pdf</w:t>
        </w:r>
      </w:hyperlink>
    </w:p>
    <w:p w:rsidRPr="00EC3E43" w:rsidR="00EC3E43" w:rsidP="00F7030B" w:rsidRDefault="00EC3E43">
      <w:pPr>
        <w:pStyle w:val="P1-StandPara"/>
        <w:ind w:firstLine="0"/>
        <w:rPr>
          <w:highlight w:val="lightGray"/>
        </w:rPr>
      </w:pPr>
    </w:p>
    <w:p w:rsidR="00E36A07" w:rsidP="00203CE3" w:rsidRDefault="00E36A07">
      <w:pPr>
        <w:pStyle w:val="Heading2"/>
        <w:tabs>
          <w:tab w:val="clear" w:pos="1152"/>
          <w:tab w:val="left" w:pos="720"/>
        </w:tabs>
        <w:spacing w:after="0" w:line="240" w:lineRule="auto"/>
        <w:ind w:left="0" w:firstLine="0"/>
        <w:rPr>
          <w:sz w:val="24"/>
          <w:szCs w:val="24"/>
        </w:rPr>
      </w:pPr>
      <w:r w:rsidRPr="00F042E0">
        <w:rPr>
          <w:sz w:val="24"/>
          <w:szCs w:val="24"/>
          <w:highlight w:val="lightGray"/>
        </w:rPr>
        <w:t>A.15</w:t>
      </w:r>
      <w:r w:rsidRPr="00F042E0">
        <w:rPr>
          <w:sz w:val="24"/>
          <w:szCs w:val="24"/>
          <w:highlight w:val="lightGray"/>
        </w:rPr>
        <w:tab/>
        <w:t>Explanation for Program Changes or Adjustments</w:t>
      </w:r>
      <w:bookmarkEnd w:id="53"/>
      <w:bookmarkEnd w:id="54"/>
      <w:bookmarkEnd w:id="55"/>
      <w:bookmarkEnd w:id="56"/>
    </w:p>
    <w:p w:rsidR="0006388E" w:rsidP="00422088" w:rsidRDefault="00573E45">
      <w:r w:rsidRPr="00864F03">
        <w:rPr>
          <w:highlight w:val="yellow"/>
        </w:rPr>
        <w:t xml:space="preserve">Minor adjustments have been made in the ECR program requirements and to the EAVS application that correspond to these changes. </w:t>
      </w:r>
      <w:r w:rsidRPr="00864F03" w:rsidR="0006388E">
        <w:rPr>
          <w:highlight w:val="yellow"/>
        </w:rPr>
        <w:t>Additional changes</w:t>
      </w:r>
      <w:r w:rsidRPr="00864F03" w:rsidR="008050DB">
        <w:rPr>
          <w:highlight w:val="yellow"/>
        </w:rPr>
        <w:t xml:space="preserve"> to EAVS</w:t>
      </w:r>
      <w:r w:rsidRPr="00864F03" w:rsidR="0006388E">
        <w:rPr>
          <w:highlight w:val="yellow"/>
        </w:rPr>
        <w:t xml:space="preserve"> include 1) minor aesthetic enhancements to the online interface, 2) </w:t>
      </w:r>
      <w:r w:rsidRPr="00864F03" w:rsidR="008050DB">
        <w:rPr>
          <w:highlight w:val="yellow"/>
        </w:rPr>
        <w:t xml:space="preserve">sensitive questions that capture applicants socio-demographic and background characteristics (see A.11 for explanation) and 3) </w:t>
      </w:r>
      <w:r w:rsidRPr="00864F03" w:rsidR="0006388E">
        <w:rPr>
          <w:highlight w:val="yellow"/>
        </w:rPr>
        <w:t>an additional question to check applicant’s eligibility for the program</w:t>
      </w:r>
      <w:r w:rsidR="00A65E16">
        <w:rPr>
          <w:highlight w:val="yellow"/>
        </w:rPr>
        <w:t xml:space="preserve"> and</w:t>
      </w:r>
      <w:r w:rsidRPr="00864F03" w:rsidR="0006388E">
        <w:rPr>
          <w:highlight w:val="yellow"/>
        </w:rPr>
        <w:t xml:space="preserve"> immediate system feedback </w:t>
      </w:r>
      <w:r w:rsidR="00101706">
        <w:rPr>
          <w:highlight w:val="yellow"/>
        </w:rPr>
        <w:t>with</w:t>
      </w:r>
      <w:r w:rsidRPr="00864F03" w:rsidR="0006388E">
        <w:rPr>
          <w:highlight w:val="yellow"/>
        </w:rPr>
        <w:t xml:space="preserve"> reasons for disqualification from the program</w:t>
      </w:r>
      <w:r w:rsidRPr="00864F03" w:rsidR="008050DB">
        <w:rPr>
          <w:highlight w:val="yellow"/>
        </w:rPr>
        <w:t>.</w:t>
      </w:r>
      <w:r w:rsidR="0006388E">
        <w:t xml:space="preserve"> </w:t>
      </w:r>
    </w:p>
    <w:p w:rsidR="00A61565" w:rsidP="00203CE3" w:rsidRDefault="00A61565">
      <w:pPr>
        <w:pStyle w:val="Heading2"/>
        <w:tabs>
          <w:tab w:val="clear" w:pos="1152"/>
          <w:tab w:val="left" w:pos="720"/>
        </w:tabs>
        <w:spacing w:after="0" w:line="240" w:lineRule="auto"/>
        <w:ind w:left="0" w:firstLine="0"/>
        <w:rPr>
          <w:sz w:val="24"/>
          <w:szCs w:val="24"/>
          <w:highlight w:val="lightGray"/>
        </w:rPr>
      </w:pPr>
      <w:bookmarkStart w:name="_Toc443881759" w:id="57"/>
      <w:bookmarkStart w:name="_Toc451592246" w:id="58"/>
      <w:bookmarkStart w:name="_Toc5610287" w:id="59"/>
      <w:bookmarkStart w:name="_Toc99178793" w:id="60"/>
    </w:p>
    <w:p w:rsidR="00807E31" w:rsidP="00203CE3" w:rsidRDefault="00807E31">
      <w:pPr>
        <w:pStyle w:val="Heading2"/>
        <w:tabs>
          <w:tab w:val="clear" w:pos="1152"/>
          <w:tab w:val="left" w:pos="720"/>
        </w:tabs>
        <w:spacing w:after="0" w:line="240" w:lineRule="auto"/>
        <w:ind w:left="0" w:firstLine="0"/>
        <w:rPr>
          <w:sz w:val="24"/>
          <w:szCs w:val="24"/>
        </w:rPr>
      </w:pPr>
      <w:r w:rsidRPr="00F042E0">
        <w:rPr>
          <w:sz w:val="24"/>
          <w:szCs w:val="24"/>
          <w:highlight w:val="lightGray"/>
        </w:rPr>
        <w:t>A.16</w:t>
      </w:r>
      <w:r w:rsidRPr="00F042E0">
        <w:rPr>
          <w:sz w:val="24"/>
          <w:szCs w:val="24"/>
          <w:highlight w:val="lightGray"/>
        </w:rPr>
        <w:tab/>
        <w:t>Plans for Tabulation and Publication and Project Time Schedule</w:t>
      </w:r>
      <w:bookmarkEnd w:id="57"/>
      <w:bookmarkEnd w:id="58"/>
      <w:bookmarkEnd w:id="59"/>
      <w:bookmarkEnd w:id="60"/>
    </w:p>
    <w:p w:rsidRPr="00D93D01" w:rsidR="003F7F90" w:rsidP="00203CE3" w:rsidRDefault="00D93D01">
      <w:pPr>
        <w:pStyle w:val="Heading2"/>
        <w:tabs>
          <w:tab w:val="clear" w:pos="1152"/>
          <w:tab w:val="left" w:pos="720"/>
        </w:tabs>
        <w:spacing w:after="0" w:line="240" w:lineRule="auto"/>
        <w:ind w:left="0" w:firstLine="0"/>
        <w:rPr>
          <w:b w:val="0"/>
          <w:sz w:val="24"/>
          <w:szCs w:val="24"/>
        </w:rPr>
      </w:pPr>
      <w:bookmarkStart w:name="_Toc443881760" w:id="61"/>
      <w:bookmarkStart w:name="_Toc451592247" w:id="62"/>
      <w:bookmarkStart w:name="_Toc5610288" w:id="63"/>
      <w:bookmarkStart w:name="_Toc99178794" w:id="64"/>
      <w:r>
        <w:rPr>
          <w:b w:val="0"/>
          <w:sz w:val="24"/>
          <w:szCs w:val="24"/>
        </w:rPr>
        <w:t xml:space="preserve">We do not intend to publish information derived from applications submitted through EAVS. </w:t>
      </w:r>
      <w:r w:rsidR="00EA251A">
        <w:rPr>
          <w:b w:val="0"/>
          <w:sz w:val="24"/>
          <w:szCs w:val="24"/>
        </w:rPr>
        <w:t>The ECR program is ongoing and there are no plans to terminate the program in the near future.</w:t>
      </w:r>
      <w:r w:rsidR="006152CE">
        <w:rPr>
          <w:b w:val="0"/>
          <w:sz w:val="24"/>
          <w:szCs w:val="24"/>
        </w:rPr>
        <w:t xml:space="preserve"> The EAVS system will be immediately revis</w:t>
      </w:r>
      <w:r w:rsidR="00D83A7F">
        <w:rPr>
          <w:b w:val="0"/>
          <w:sz w:val="24"/>
          <w:szCs w:val="24"/>
        </w:rPr>
        <w:t>ed</w:t>
      </w:r>
      <w:r w:rsidR="006152CE">
        <w:rPr>
          <w:b w:val="0"/>
          <w:sz w:val="24"/>
          <w:szCs w:val="24"/>
        </w:rPr>
        <w:t xml:space="preserve"> after OMB approval (if granted) and d</w:t>
      </w:r>
      <w:r w:rsidR="00EA251A">
        <w:rPr>
          <w:b w:val="0"/>
          <w:sz w:val="24"/>
          <w:szCs w:val="24"/>
        </w:rPr>
        <w:t>ata collection will end with the expiration date of the OMB control number listed on the application</w:t>
      </w:r>
      <w:r w:rsidR="00D83A7F">
        <w:rPr>
          <w:b w:val="0"/>
          <w:sz w:val="24"/>
          <w:szCs w:val="24"/>
        </w:rPr>
        <w:t xml:space="preserve"> unless the application is renewed</w:t>
      </w:r>
      <w:r w:rsidR="00EA251A">
        <w:rPr>
          <w:b w:val="0"/>
          <w:sz w:val="24"/>
          <w:szCs w:val="24"/>
        </w:rPr>
        <w:t>.</w:t>
      </w:r>
      <w:r>
        <w:rPr>
          <w:b w:val="0"/>
          <w:sz w:val="24"/>
          <w:szCs w:val="24"/>
        </w:rPr>
        <w:t xml:space="preserve">  </w:t>
      </w:r>
    </w:p>
    <w:p w:rsidR="003F7F90" w:rsidP="00203CE3" w:rsidRDefault="003F7F90">
      <w:pPr>
        <w:pStyle w:val="Heading2"/>
        <w:tabs>
          <w:tab w:val="clear" w:pos="1152"/>
          <w:tab w:val="left" w:pos="720"/>
        </w:tabs>
        <w:spacing w:after="0" w:line="240" w:lineRule="auto"/>
        <w:ind w:left="0" w:firstLine="0"/>
        <w:rPr>
          <w:sz w:val="24"/>
          <w:szCs w:val="24"/>
        </w:rPr>
      </w:pPr>
    </w:p>
    <w:p w:rsidR="003F7F90" w:rsidP="00203CE3" w:rsidRDefault="00807E31">
      <w:pPr>
        <w:pStyle w:val="Heading2"/>
        <w:tabs>
          <w:tab w:val="clear" w:pos="1152"/>
          <w:tab w:val="left" w:pos="720"/>
        </w:tabs>
        <w:spacing w:after="0" w:line="240" w:lineRule="auto"/>
        <w:ind w:left="0" w:firstLine="0"/>
        <w:rPr>
          <w:sz w:val="24"/>
          <w:szCs w:val="24"/>
        </w:rPr>
      </w:pPr>
      <w:r w:rsidRPr="00F042E0">
        <w:rPr>
          <w:sz w:val="24"/>
          <w:szCs w:val="24"/>
          <w:highlight w:val="lightGray"/>
        </w:rPr>
        <w:t>A.17</w:t>
      </w:r>
      <w:r w:rsidRPr="00F042E0">
        <w:rPr>
          <w:sz w:val="24"/>
          <w:szCs w:val="24"/>
          <w:highlight w:val="lightGray"/>
        </w:rPr>
        <w:tab/>
        <w:t>Reason(s) Display of OMB Expiration Date is Inappropriate</w:t>
      </w:r>
      <w:bookmarkEnd w:id="61"/>
      <w:bookmarkEnd w:id="62"/>
      <w:bookmarkEnd w:id="63"/>
      <w:bookmarkEnd w:id="64"/>
    </w:p>
    <w:p w:rsidR="003F7F90" w:rsidP="00203CE3" w:rsidRDefault="003F7F90">
      <w:r>
        <w:t xml:space="preserve">We are not requesting approval to not display the expiration date for OMB approval.  Therefore, </w:t>
      </w:r>
      <w:r w:rsidR="001F4F83">
        <w:t>S</w:t>
      </w:r>
      <w:r>
        <w:t>ection A.17 is not applicable.</w:t>
      </w:r>
    </w:p>
    <w:p w:rsidR="00A61565" w:rsidP="00203CE3" w:rsidRDefault="00A61565"/>
    <w:p w:rsidR="00807E31" w:rsidP="00203CE3" w:rsidRDefault="00807E31">
      <w:pPr>
        <w:pStyle w:val="Heading2"/>
        <w:tabs>
          <w:tab w:val="clear" w:pos="1152"/>
          <w:tab w:val="left" w:pos="720"/>
        </w:tabs>
        <w:spacing w:after="0" w:line="240" w:lineRule="auto"/>
        <w:ind w:left="0" w:firstLine="0"/>
        <w:rPr>
          <w:sz w:val="24"/>
          <w:szCs w:val="24"/>
        </w:rPr>
      </w:pPr>
      <w:bookmarkStart w:name="_Toc443881761" w:id="65"/>
      <w:bookmarkStart w:name="_Toc451592248" w:id="66"/>
      <w:bookmarkStart w:name="_Toc5610289" w:id="67"/>
      <w:bookmarkStart w:name="_Toc99178795" w:id="68"/>
      <w:r w:rsidRPr="00F042E0">
        <w:rPr>
          <w:sz w:val="24"/>
          <w:szCs w:val="24"/>
          <w:highlight w:val="lightGray"/>
        </w:rPr>
        <w:t>A.18</w:t>
      </w:r>
      <w:r w:rsidRPr="00F042E0">
        <w:rPr>
          <w:sz w:val="24"/>
          <w:szCs w:val="24"/>
          <w:highlight w:val="lightGray"/>
        </w:rPr>
        <w:tab/>
        <w:t>Exceptions to Certification for Paperwork Reduction Act Submissions</w:t>
      </w:r>
      <w:bookmarkEnd w:id="65"/>
      <w:bookmarkEnd w:id="66"/>
      <w:bookmarkEnd w:id="67"/>
      <w:bookmarkEnd w:id="68"/>
    </w:p>
    <w:p w:rsidR="0093431F" w:rsidP="00D761B7" w:rsidRDefault="00033E2D">
      <w:pPr>
        <w:pStyle w:val="P1-StandPara"/>
        <w:spacing w:line="240" w:lineRule="auto"/>
        <w:ind w:firstLine="0"/>
        <w:rPr>
          <w:sz w:val="24"/>
          <w:szCs w:val="24"/>
        </w:rPr>
      </w:pPr>
      <w:r w:rsidRPr="00A51C6E">
        <w:rPr>
          <w:sz w:val="24"/>
          <w:szCs w:val="24"/>
        </w:rPr>
        <w:t>We are not requesting an exception to certification for the Paperwork Reduction Act. Therefore, Section A.18 is not applicable.</w:t>
      </w:r>
    </w:p>
    <w:p w:rsidR="00656BCE" w:rsidP="00D761B7" w:rsidRDefault="00656BCE">
      <w:pPr>
        <w:pStyle w:val="P1-StandPara"/>
        <w:spacing w:line="240" w:lineRule="auto"/>
        <w:ind w:firstLine="0"/>
        <w:rPr>
          <w:sz w:val="24"/>
          <w:szCs w:val="24"/>
        </w:rPr>
      </w:pPr>
    </w:p>
    <w:p w:rsidR="00656BCE" w:rsidP="00D761B7" w:rsidRDefault="00656BCE">
      <w:pPr>
        <w:pStyle w:val="P1-StandPara"/>
        <w:spacing w:line="240" w:lineRule="auto"/>
        <w:ind w:firstLine="0"/>
        <w:rPr>
          <w:sz w:val="24"/>
          <w:szCs w:val="24"/>
        </w:rPr>
      </w:pPr>
    </w:p>
    <w:p w:rsidR="00656BCE" w:rsidP="00D761B7" w:rsidRDefault="00656BCE">
      <w:pPr>
        <w:pStyle w:val="P1-StandPara"/>
        <w:spacing w:line="240" w:lineRule="auto"/>
        <w:ind w:firstLine="0"/>
        <w:rPr>
          <w:sz w:val="24"/>
          <w:szCs w:val="24"/>
        </w:rPr>
      </w:pPr>
    </w:p>
    <w:p w:rsidRPr="00A51C6E" w:rsidR="00656BCE" w:rsidP="00D761B7" w:rsidRDefault="00656BCE">
      <w:pPr>
        <w:pStyle w:val="P1-StandPara"/>
        <w:spacing w:line="240" w:lineRule="auto"/>
        <w:ind w:firstLine="0"/>
        <w:rPr>
          <w:sz w:val="24"/>
          <w:szCs w:val="24"/>
        </w:rPr>
      </w:pPr>
    </w:p>
    <w:sectPr w:rsidRPr="00A51C6E" w:rsidR="00656BCE">
      <w:headerReference w:type="default" r:id="rId12"/>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217" w:rsidRDefault="00694217">
      <w:r>
        <w:separator/>
      </w:r>
    </w:p>
  </w:endnote>
  <w:endnote w:type="continuationSeparator" w:id="0">
    <w:p w:rsidR="00694217" w:rsidRDefault="0069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BFF" w:rsidRDefault="00657BFF"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7BFF" w:rsidRDefault="00657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BFF" w:rsidRDefault="00657BFF"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5522">
      <w:rPr>
        <w:rStyle w:val="PageNumber"/>
        <w:noProof/>
      </w:rPr>
      <w:t>14</w:t>
    </w:r>
    <w:r>
      <w:rPr>
        <w:rStyle w:val="PageNumber"/>
      </w:rPr>
      <w:fldChar w:fldCharType="end"/>
    </w:r>
  </w:p>
  <w:p w:rsidR="00657BFF" w:rsidRDefault="00657BFF" w:rsidP="004A70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217" w:rsidRDefault="00694217">
      <w:r>
        <w:separator/>
      </w:r>
    </w:p>
  </w:footnote>
  <w:footnote w:type="continuationSeparator" w:id="0">
    <w:p w:rsidR="00694217" w:rsidRDefault="00694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BFF" w:rsidRDefault="00657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16BB4"/>
    <w:multiLevelType w:val="hybridMultilevel"/>
    <w:tmpl w:val="E0C692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6B1B2B"/>
    <w:multiLevelType w:val="hybridMultilevel"/>
    <w:tmpl w:val="3DF6693C"/>
    <w:lvl w:ilvl="0" w:tplc="32486F2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A756B8"/>
    <w:multiLevelType w:val="hybridMultilevel"/>
    <w:tmpl w:val="20DE5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5"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310E"/>
    <w:rsid w:val="00000DD6"/>
    <w:rsid w:val="00031518"/>
    <w:rsid w:val="000334DF"/>
    <w:rsid w:val="00033E2D"/>
    <w:rsid w:val="00034440"/>
    <w:rsid w:val="00034485"/>
    <w:rsid w:val="00041715"/>
    <w:rsid w:val="000434A4"/>
    <w:rsid w:val="00045B36"/>
    <w:rsid w:val="0005035B"/>
    <w:rsid w:val="00050AE1"/>
    <w:rsid w:val="00053193"/>
    <w:rsid w:val="00053D8D"/>
    <w:rsid w:val="000553D1"/>
    <w:rsid w:val="00056F87"/>
    <w:rsid w:val="0006388E"/>
    <w:rsid w:val="00067402"/>
    <w:rsid w:val="00075CC9"/>
    <w:rsid w:val="00080CD8"/>
    <w:rsid w:val="00082F0A"/>
    <w:rsid w:val="000864C9"/>
    <w:rsid w:val="00092440"/>
    <w:rsid w:val="000953AC"/>
    <w:rsid w:val="000A6C72"/>
    <w:rsid w:val="000B5FB2"/>
    <w:rsid w:val="000B7405"/>
    <w:rsid w:val="000D1977"/>
    <w:rsid w:val="000D2761"/>
    <w:rsid w:val="000E21CF"/>
    <w:rsid w:val="000E2B9C"/>
    <w:rsid w:val="000E7758"/>
    <w:rsid w:val="000E7E04"/>
    <w:rsid w:val="000F3094"/>
    <w:rsid w:val="000F5CCD"/>
    <w:rsid w:val="00101706"/>
    <w:rsid w:val="00101EB4"/>
    <w:rsid w:val="001023FD"/>
    <w:rsid w:val="00107764"/>
    <w:rsid w:val="00107FC3"/>
    <w:rsid w:val="00112D7A"/>
    <w:rsid w:val="001133EF"/>
    <w:rsid w:val="00113731"/>
    <w:rsid w:val="00113D8A"/>
    <w:rsid w:val="00116D91"/>
    <w:rsid w:val="00117418"/>
    <w:rsid w:val="00122388"/>
    <w:rsid w:val="00125784"/>
    <w:rsid w:val="00125B1E"/>
    <w:rsid w:val="00125BAD"/>
    <w:rsid w:val="001345F5"/>
    <w:rsid w:val="0013550A"/>
    <w:rsid w:val="00135971"/>
    <w:rsid w:val="00145C4B"/>
    <w:rsid w:val="001504DB"/>
    <w:rsid w:val="00150C37"/>
    <w:rsid w:val="00150D9F"/>
    <w:rsid w:val="0015640E"/>
    <w:rsid w:val="00156455"/>
    <w:rsid w:val="00157072"/>
    <w:rsid w:val="00161562"/>
    <w:rsid w:val="0016182C"/>
    <w:rsid w:val="00163A84"/>
    <w:rsid w:val="0016481D"/>
    <w:rsid w:val="001705FE"/>
    <w:rsid w:val="00182FAD"/>
    <w:rsid w:val="001830BC"/>
    <w:rsid w:val="00183F43"/>
    <w:rsid w:val="001852AD"/>
    <w:rsid w:val="00186BDB"/>
    <w:rsid w:val="001A3958"/>
    <w:rsid w:val="001A58B8"/>
    <w:rsid w:val="001B6F9F"/>
    <w:rsid w:val="001C142B"/>
    <w:rsid w:val="001C25F2"/>
    <w:rsid w:val="001C6D1B"/>
    <w:rsid w:val="001D66A3"/>
    <w:rsid w:val="001E0265"/>
    <w:rsid w:val="001E0B57"/>
    <w:rsid w:val="001E2C04"/>
    <w:rsid w:val="001E42EF"/>
    <w:rsid w:val="001E7CB7"/>
    <w:rsid w:val="001F055C"/>
    <w:rsid w:val="001F4F83"/>
    <w:rsid w:val="00203334"/>
    <w:rsid w:val="00203CE3"/>
    <w:rsid w:val="00215843"/>
    <w:rsid w:val="00223F3F"/>
    <w:rsid w:val="00225E89"/>
    <w:rsid w:val="00225ED9"/>
    <w:rsid w:val="00226227"/>
    <w:rsid w:val="00226950"/>
    <w:rsid w:val="00236689"/>
    <w:rsid w:val="0024029C"/>
    <w:rsid w:val="002445D0"/>
    <w:rsid w:val="00244CD8"/>
    <w:rsid w:val="00246B64"/>
    <w:rsid w:val="00246F0F"/>
    <w:rsid w:val="00253C78"/>
    <w:rsid w:val="00256B23"/>
    <w:rsid w:val="0025796B"/>
    <w:rsid w:val="0026021E"/>
    <w:rsid w:val="00266376"/>
    <w:rsid w:val="00266399"/>
    <w:rsid w:val="00267468"/>
    <w:rsid w:val="0027009B"/>
    <w:rsid w:val="002722E6"/>
    <w:rsid w:val="002758E6"/>
    <w:rsid w:val="002834B3"/>
    <w:rsid w:val="00292728"/>
    <w:rsid w:val="00293EB9"/>
    <w:rsid w:val="002A09CF"/>
    <w:rsid w:val="002A176D"/>
    <w:rsid w:val="002A5B21"/>
    <w:rsid w:val="002A7E43"/>
    <w:rsid w:val="002B3250"/>
    <w:rsid w:val="002B705F"/>
    <w:rsid w:val="002B7685"/>
    <w:rsid w:val="002B7846"/>
    <w:rsid w:val="002C1AF5"/>
    <w:rsid w:val="002C375A"/>
    <w:rsid w:val="002C638C"/>
    <w:rsid w:val="002D1199"/>
    <w:rsid w:val="002D2CA0"/>
    <w:rsid w:val="002D5B56"/>
    <w:rsid w:val="002D600F"/>
    <w:rsid w:val="002E1650"/>
    <w:rsid w:val="002E2992"/>
    <w:rsid w:val="002E3B5D"/>
    <w:rsid w:val="002E4742"/>
    <w:rsid w:val="002F3AC6"/>
    <w:rsid w:val="002F442F"/>
    <w:rsid w:val="002F77F4"/>
    <w:rsid w:val="002F7A60"/>
    <w:rsid w:val="00300CF8"/>
    <w:rsid w:val="00301FCD"/>
    <w:rsid w:val="0030470E"/>
    <w:rsid w:val="00307342"/>
    <w:rsid w:val="00311CEE"/>
    <w:rsid w:val="00315507"/>
    <w:rsid w:val="0031779F"/>
    <w:rsid w:val="003209BA"/>
    <w:rsid w:val="00321C36"/>
    <w:rsid w:val="00323766"/>
    <w:rsid w:val="0032638E"/>
    <w:rsid w:val="00326471"/>
    <w:rsid w:val="00326840"/>
    <w:rsid w:val="003315F4"/>
    <w:rsid w:val="003324A8"/>
    <w:rsid w:val="003353F4"/>
    <w:rsid w:val="003367FE"/>
    <w:rsid w:val="00341311"/>
    <w:rsid w:val="00343E4A"/>
    <w:rsid w:val="00344DB8"/>
    <w:rsid w:val="00345184"/>
    <w:rsid w:val="0036153D"/>
    <w:rsid w:val="00367EE2"/>
    <w:rsid w:val="00371EE3"/>
    <w:rsid w:val="003764C7"/>
    <w:rsid w:val="00376523"/>
    <w:rsid w:val="0038462D"/>
    <w:rsid w:val="00397272"/>
    <w:rsid w:val="003A6709"/>
    <w:rsid w:val="003B2CFF"/>
    <w:rsid w:val="003B3547"/>
    <w:rsid w:val="003B3F1C"/>
    <w:rsid w:val="003B5083"/>
    <w:rsid w:val="003B5225"/>
    <w:rsid w:val="003B6474"/>
    <w:rsid w:val="003B7862"/>
    <w:rsid w:val="003C0325"/>
    <w:rsid w:val="003C18BC"/>
    <w:rsid w:val="003C27A0"/>
    <w:rsid w:val="003C505C"/>
    <w:rsid w:val="003D1C09"/>
    <w:rsid w:val="003D40DC"/>
    <w:rsid w:val="003D503C"/>
    <w:rsid w:val="003D6AED"/>
    <w:rsid w:val="003E5D3E"/>
    <w:rsid w:val="003F4EDD"/>
    <w:rsid w:val="003F665C"/>
    <w:rsid w:val="003F7A4F"/>
    <w:rsid w:val="003F7F90"/>
    <w:rsid w:val="00414AE6"/>
    <w:rsid w:val="0041502E"/>
    <w:rsid w:val="004161DD"/>
    <w:rsid w:val="004200F2"/>
    <w:rsid w:val="00421497"/>
    <w:rsid w:val="00422088"/>
    <w:rsid w:val="00422200"/>
    <w:rsid w:val="00423FB9"/>
    <w:rsid w:val="00424850"/>
    <w:rsid w:val="004440BA"/>
    <w:rsid w:val="00450B6C"/>
    <w:rsid w:val="00455527"/>
    <w:rsid w:val="004574D7"/>
    <w:rsid w:val="00460BCD"/>
    <w:rsid w:val="00462548"/>
    <w:rsid w:val="004644EB"/>
    <w:rsid w:val="004712F2"/>
    <w:rsid w:val="004723BF"/>
    <w:rsid w:val="004745BC"/>
    <w:rsid w:val="00474DCC"/>
    <w:rsid w:val="00477041"/>
    <w:rsid w:val="00494FE7"/>
    <w:rsid w:val="0049574B"/>
    <w:rsid w:val="0049790D"/>
    <w:rsid w:val="004A0204"/>
    <w:rsid w:val="004A1933"/>
    <w:rsid w:val="004A25D6"/>
    <w:rsid w:val="004A2ABA"/>
    <w:rsid w:val="004A429F"/>
    <w:rsid w:val="004A45A2"/>
    <w:rsid w:val="004A70C8"/>
    <w:rsid w:val="004A70E1"/>
    <w:rsid w:val="004B03E6"/>
    <w:rsid w:val="004B3CA2"/>
    <w:rsid w:val="004B5BCB"/>
    <w:rsid w:val="004B66F3"/>
    <w:rsid w:val="004C16AD"/>
    <w:rsid w:val="004C52E8"/>
    <w:rsid w:val="004C667E"/>
    <w:rsid w:val="004C714F"/>
    <w:rsid w:val="004D1BC7"/>
    <w:rsid w:val="004D2EB5"/>
    <w:rsid w:val="004D6B95"/>
    <w:rsid w:val="004E1559"/>
    <w:rsid w:val="004E22F7"/>
    <w:rsid w:val="004F6E1E"/>
    <w:rsid w:val="004F6ED3"/>
    <w:rsid w:val="00504847"/>
    <w:rsid w:val="00504E2E"/>
    <w:rsid w:val="00510EDD"/>
    <w:rsid w:val="00513031"/>
    <w:rsid w:val="005136D5"/>
    <w:rsid w:val="00514994"/>
    <w:rsid w:val="00514A2A"/>
    <w:rsid w:val="00517A4E"/>
    <w:rsid w:val="005213C0"/>
    <w:rsid w:val="00530EBF"/>
    <w:rsid w:val="00534BB0"/>
    <w:rsid w:val="00535B72"/>
    <w:rsid w:val="00541FDD"/>
    <w:rsid w:val="00550381"/>
    <w:rsid w:val="00555F3F"/>
    <w:rsid w:val="00556696"/>
    <w:rsid w:val="005579E5"/>
    <w:rsid w:val="0056155B"/>
    <w:rsid w:val="00563174"/>
    <w:rsid w:val="00563255"/>
    <w:rsid w:val="00570AA1"/>
    <w:rsid w:val="0057271F"/>
    <w:rsid w:val="005737DD"/>
    <w:rsid w:val="00573E45"/>
    <w:rsid w:val="005760A4"/>
    <w:rsid w:val="005834D3"/>
    <w:rsid w:val="005839CA"/>
    <w:rsid w:val="00593E56"/>
    <w:rsid w:val="005974BD"/>
    <w:rsid w:val="005A003A"/>
    <w:rsid w:val="005B48CE"/>
    <w:rsid w:val="005B6509"/>
    <w:rsid w:val="005C254D"/>
    <w:rsid w:val="005C3DC2"/>
    <w:rsid w:val="005C47D2"/>
    <w:rsid w:val="005C6A62"/>
    <w:rsid w:val="005D17BF"/>
    <w:rsid w:val="005D25AF"/>
    <w:rsid w:val="005D3103"/>
    <w:rsid w:val="005E35D6"/>
    <w:rsid w:val="005E3E8D"/>
    <w:rsid w:val="005E47BC"/>
    <w:rsid w:val="005F3DCD"/>
    <w:rsid w:val="005F3EBC"/>
    <w:rsid w:val="005F61C8"/>
    <w:rsid w:val="005F6B8F"/>
    <w:rsid w:val="00604D9C"/>
    <w:rsid w:val="00606A80"/>
    <w:rsid w:val="00607305"/>
    <w:rsid w:val="0061213B"/>
    <w:rsid w:val="0061493B"/>
    <w:rsid w:val="006152CE"/>
    <w:rsid w:val="00617DAE"/>
    <w:rsid w:val="00620D61"/>
    <w:rsid w:val="00620E33"/>
    <w:rsid w:val="006221EC"/>
    <w:rsid w:val="00625225"/>
    <w:rsid w:val="00634FE0"/>
    <w:rsid w:val="006353DD"/>
    <w:rsid w:val="00637249"/>
    <w:rsid w:val="00641321"/>
    <w:rsid w:val="00644869"/>
    <w:rsid w:val="00652F0B"/>
    <w:rsid w:val="006535C0"/>
    <w:rsid w:val="0065461E"/>
    <w:rsid w:val="00655A73"/>
    <w:rsid w:val="00655B64"/>
    <w:rsid w:val="00656BCE"/>
    <w:rsid w:val="0065757B"/>
    <w:rsid w:val="00657BFF"/>
    <w:rsid w:val="00675CBB"/>
    <w:rsid w:val="00680E77"/>
    <w:rsid w:val="00685F45"/>
    <w:rsid w:val="006879EB"/>
    <w:rsid w:val="00691844"/>
    <w:rsid w:val="00692DA4"/>
    <w:rsid w:val="00694217"/>
    <w:rsid w:val="00694C0E"/>
    <w:rsid w:val="0069777B"/>
    <w:rsid w:val="006A090A"/>
    <w:rsid w:val="006B4825"/>
    <w:rsid w:val="006C0FDD"/>
    <w:rsid w:val="006C125E"/>
    <w:rsid w:val="006C4BF7"/>
    <w:rsid w:val="006C715D"/>
    <w:rsid w:val="006C731A"/>
    <w:rsid w:val="006D40C6"/>
    <w:rsid w:val="006D5B65"/>
    <w:rsid w:val="006E0329"/>
    <w:rsid w:val="006E26C2"/>
    <w:rsid w:val="006E299C"/>
    <w:rsid w:val="006E4609"/>
    <w:rsid w:val="006E5555"/>
    <w:rsid w:val="006E557B"/>
    <w:rsid w:val="00703E19"/>
    <w:rsid w:val="00704C35"/>
    <w:rsid w:val="00705097"/>
    <w:rsid w:val="007079A7"/>
    <w:rsid w:val="007106A9"/>
    <w:rsid w:val="00713203"/>
    <w:rsid w:val="00714849"/>
    <w:rsid w:val="007215DA"/>
    <w:rsid w:val="007344E8"/>
    <w:rsid w:val="0073481B"/>
    <w:rsid w:val="0073789C"/>
    <w:rsid w:val="00741EE3"/>
    <w:rsid w:val="00746142"/>
    <w:rsid w:val="007564E4"/>
    <w:rsid w:val="00757106"/>
    <w:rsid w:val="00757BD7"/>
    <w:rsid w:val="00757CD6"/>
    <w:rsid w:val="007607A6"/>
    <w:rsid w:val="00761CC2"/>
    <w:rsid w:val="007629FA"/>
    <w:rsid w:val="0076628E"/>
    <w:rsid w:val="00771EA8"/>
    <w:rsid w:val="007758B7"/>
    <w:rsid w:val="00782143"/>
    <w:rsid w:val="00786D86"/>
    <w:rsid w:val="00787B14"/>
    <w:rsid w:val="00787C42"/>
    <w:rsid w:val="00791BCA"/>
    <w:rsid w:val="00797751"/>
    <w:rsid w:val="007A4AE1"/>
    <w:rsid w:val="007A50DB"/>
    <w:rsid w:val="007A66A6"/>
    <w:rsid w:val="007B0EA0"/>
    <w:rsid w:val="007B34E4"/>
    <w:rsid w:val="007B4BC2"/>
    <w:rsid w:val="007B549F"/>
    <w:rsid w:val="007B781B"/>
    <w:rsid w:val="007C16BD"/>
    <w:rsid w:val="007C22DD"/>
    <w:rsid w:val="007C6CFB"/>
    <w:rsid w:val="007C7A4D"/>
    <w:rsid w:val="007D230A"/>
    <w:rsid w:val="007D3882"/>
    <w:rsid w:val="007D5244"/>
    <w:rsid w:val="007E01CF"/>
    <w:rsid w:val="007E44F5"/>
    <w:rsid w:val="007E65F4"/>
    <w:rsid w:val="007F23D7"/>
    <w:rsid w:val="007F2AB0"/>
    <w:rsid w:val="0080030C"/>
    <w:rsid w:val="00800392"/>
    <w:rsid w:val="008038F5"/>
    <w:rsid w:val="008044A4"/>
    <w:rsid w:val="00804849"/>
    <w:rsid w:val="008050DB"/>
    <w:rsid w:val="00807E31"/>
    <w:rsid w:val="008117DE"/>
    <w:rsid w:val="0081276D"/>
    <w:rsid w:val="008218D9"/>
    <w:rsid w:val="00821B60"/>
    <w:rsid w:val="00824565"/>
    <w:rsid w:val="0083280D"/>
    <w:rsid w:val="00835A43"/>
    <w:rsid w:val="00835F82"/>
    <w:rsid w:val="00837059"/>
    <w:rsid w:val="008409A5"/>
    <w:rsid w:val="0084330F"/>
    <w:rsid w:val="0085671F"/>
    <w:rsid w:val="00856E5B"/>
    <w:rsid w:val="00857175"/>
    <w:rsid w:val="00857F36"/>
    <w:rsid w:val="00862752"/>
    <w:rsid w:val="00864F03"/>
    <w:rsid w:val="008664C2"/>
    <w:rsid w:val="00866AA6"/>
    <w:rsid w:val="00872A78"/>
    <w:rsid w:val="00873E09"/>
    <w:rsid w:val="00877443"/>
    <w:rsid w:val="00882765"/>
    <w:rsid w:val="008854EC"/>
    <w:rsid w:val="0089657D"/>
    <w:rsid w:val="00896D20"/>
    <w:rsid w:val="008A34F9"/>
    <w:rsid w:val="008A3990"/>
    <w:rsid w:val="008B2E8B"/>
    <w:rsid w:val="008B4FB1"/>
    <w:rsid w:val="008B6B38"/>
    <w:rsid w:val="008C1B26"/>
    <w:rsid w:val="008C310E"/>
    <w:rsid w:val="008D0667"/>
    <w:rsid w:val="008D4AA6"/>
    <w:rsid w:val="008D68CF"/>
    <w:rsid w:val="008E37C6"/>
    <w:rsid w:val="008E3A39"/>
    <w:rsid w:val="008F048F"/>
    <w:rsid w:val="008F3027"/>
    <w:rsid w:val="008F76B2"/>
    <w:rsid w:val="009008CD"/>
    <w:rsid w:val="00900E0B"/>
    <w:rsid w:val="00903C1B"/>
    <w:rsid w:val="00903D4E"/>
    <w:rsid w:val="00904697"/>
    <w:rsid w:val="00912E37"/>
    <w:rsid w:val="00921337"/>
    <w:rsid w:val="00926F15"/>
    <w:rsid w:val="0093431F"/>
    <w:rsid w:val="00936247"/>
    <w:rsid w:val="009367AC"/>
    <w:rsid w:val="00945114"/>
    <w:rsid w:val="009457E9"/>
    <w:rsid w:val="00946166"/>
    <w:rsid w:val="00946C63"/>
    <w:rsid w:val="00951908"/>
    <w:rsid w:val="00952638"/>
    <w:rsid w:val="009538C7"/>
    <w:rsid w:val="009541A4"/>
    <w:rsid w:val="00962071"/>
    <w:rsid w:val="0096272A"/>
    <w:rsid w:val="0096401D"/>
    <w:rsid w:val="00967AAE"/>
    <w:rsid w:val="00967E60"/>
    <w:rsid w:val="00973AC3"/>
    <w:rsid w:val="009814EE"/>
    <w:rsid w:val="00992E82"/>
    <w:rsid w:val="009939F8"/>
    <w:rsid w:val="009965F7"/>
    <w:rsid w:val="009A1198"/>
    <w:rsid w:val="009A1334"/>
    <w:rsid w:val="009A5590"/>
    <w:rsid w:val="009A6403"/>
    <w:rsid w:val="009A7725"/>
    <w:rsid w:val="009A7CAC"/>
    <w:rsid w:val="009B01FB"/>
    <w:rsid w:val="009B2D30"/>
    <w:rsid w:val="009B3A49"/>
    <w:rsid w:val="009B46FF"/>
    <w:rsid w:val="009B6E86"/>
    <w:rsid w:val="009B7744"/>
    <w:rsid w:val="009B798C"/>
    <w:rsid w:val="009C2538"/>
    <w:rsid w:val="009C4881"/>
    <w:rsid w:val="009C6355"/>
    <w:rsid w:val="009D0525"/>
    <w:rsid w:val="009D6580"/>
    <w:rsid w:val="009D7EC6"/>
    <w:rsid w:val="009E0734"/>
    <w:rsid w:val="009E48AC"/>
    <w:rsid w:val="009F0954"/>
    <w:rsid w:val="009F55A4"/>
    <w:rsid w:val="00A05F49"/>
    <w:rsid w:val="00A10AC6"/>
    <w:rsid w:val="00A11A31"/>
    <w:rsid w:val="00A147E4"/>
    <w:rsid w:val="00A16BF9"/>
    <w:rsid w:val="00A1728C"/>
    <w:rsid w:val="00A25F76"/>
    <w:rsid w:val="00A26C8F"/>
    <w:rsid w:val="00A27EF1"/>
    <w:rsid w:val="00A40625"/>
    <w:rsid w:val="00A40C4B"/>
    <w:rsid w:val="00A51C6E"/>
    <w:rsid w:val="00A51F05"/>
    <w:rsid w:val="00A61212"/>
    <w:rsid w:val="00A61565"/>
    <w:rsid w:val="00A63A43"/>
    <w:rsid w:val="00A65E16"/>
    <w:rsid w:val="00A71760"/>
    <w:rsid w:val="00A73D25"/>
    <w:rsid w:val="00A76684"/>
    <w:rsid w:val="00A81DCB"/>
    <w:rsid w:val="00A91F35"/>
    <w:rsid w:val="00A9767B"/>
    <w:rsid w:val="00AA0A3B"/>
    <w:rsid w:val="00AA5D9F"/>
    <w:rsid w:val="00AB1122"/>
    <w:rsid w:val="00AB59DF"/>
    <w:rsid w:val="00AB6E83"/>
    <w:rsid w:val="00AC02C5"/>
    <w:rsid w:val="00AC5F21"/>
    <w:rsid w:val="00AC64BD"/>
    <w:rsid w:val="00AC6646"/>
    <w:rsid w:val="00AC6BCB"/>
    <w:rsid w:val="00AC7962"/>
    <w:rsid w:val="00AD06C5"/>
    <w:rsid w:val="00AF5537"/>
    <w:rsid w:val="00B040E4"/>
    <w:rsid w:val="00B047A7"/>
    <w:rsid w:val="00B05ED1"/>
    <w:rsid w:val="00B05FC9"/>
    <w:rsid w:val="00B06047"/>
    <w:rsid w:val="00B06089"/>
    <w:rsid w:val="00B06E5D"/>
    <w:rsid w:val="00B079F2"/>
    <w:rsid w:val="00B07EF9"/>
    <w:rsid w:val="00B15FA7"/>
    <w:rsid w:val="00B16B93"/>
    <w:rsid w:val="00B204AC"/>
    <w:rsid w:val="00B22BA2"/>
    <w:rsid w:val="00B258AA"/>
    <w:rsid w:val="00B25E6A"/>
    <w:rsid w:val="00B270D8"/>
    <w:rsid w:val="00B41EC6"/>
    <w:rsid w:val="00B42B28"/>
    <w:rsid w:val="00B44925"/>
    <w:rsid w:val="00B46FC4"/>
    <w:rsid w:val="00B4700F"/>
    <w:rsid w:val="00B47540"/>
    <w:rsid w:val="00B553A5"/>
    <w:rsid w:val="00B56401"/>
    <w:rsid w:val="00B6212C"/>
    <w:rsid w:val="00B7090B"/>
    <w:rsid w:val="00B710E5"/>
    <w:rsid w:val="00B7308E"/>
    <w:rsid w:val="00B76BB4"/>
    <w:rsid w:val="00B81C9D"/>
    <w:rsid w:val="00B81FC0"/>
    <w:rsid w:val="00B82A5A"/>
    <w:rsid w:val="00B83FEA"/>
    <w:rsid w:val="00B84833"/>
    <w:rsid w:val="00B867CD"/>
    <w:rsid w:val="00B86B0A"/>
    <w:rsid w:val="00B92292"/>
    <w:rsid w:val="00B94E36"/>
    <w:rsid w:val="00B96252"/>
    <w:rsid w:val="00B9756A"/>
    <w:rsid w:val="00BA4D69"/>
    <w:rsid w:val="00BA7946"/>
    <w:rsid w:val="00BB1A6E"/>
    <w:rsid w:val="00BB3C8E"/>
    <w:rsid w:val="00BC47F9"/>
    <w:rsid w:val="00BC4E67"/>
    <w:rsid w:val="00BD0DF7"/>
    <w:rsid w:val="00BD40E0"/>
    <w:rsid w:val="00BD4752"/>
    <w:rsid w:val="00BD6179"/>
    <w:rsid w:val="00BE2306"/>
    <w:rsid w:val="00BE6E7E"/>
    <w:rsid w:val="00BF371E"/>
    <w:rsid w:val="00BF3B66"/>
    <w:rsid w:val="00BF4042"/>
    <w:rsid w:val="00BF4ED9"/>
    <w:rsid w:val="00BF5485"/>
    <w:rsid w:val="00BF76C6"/>
    <w:rsid w:val="00C031AE"/>
    <w:rsid w:val="00C04017"/>
    <w:rsid w:val="00C103B5"/>
    <w:rsid w:val="00C103D5"/>
    <w:rsid w:val="00C16F37"/>
    <w:rsid w:val="00C33D86"/>
    <w:rsid w:val="00C342A2"/>
    <w:rsid w:val="00C36534"/>
    <w:rsid w:val="00C36934"/>
    <w:rsid w:val="00C37CEA"/>
    <w:rsid w:val="00C40962"/>
    <w:rsid w:val="00C41769"/>
    <w:rsid w:val="00C4521B"/>
    <w:rsid w:val="00C54482"/>
    <w:rsid w:val="00C55698"/>
    <w:rsid w:val="00C60D91"/>
    <w:rsid w:val="00C65647"/>
    <w:rsid w:val="00C65D5B"/>
    <w:rsid w:val="00C668BE"/>
    <w:rsid w:val="00C71F76"/>
    <w:rsid w:val="00C72A82"/>
    <w:rsid w:val="00C73A40"/>
    <w:rsid w:val="00C7571A"/>
    <w:rsid w:val="00C800A3"/>
    <w:rsid w:val="00C8167E"/>
    <w:rsid w:val="00C8354A"/>
    <w:rsid w:val="00C847A2"/>
    <w:rsid w:val="00C94EE3"/>
    <w:rsid w:val="00CA02BF"/>
    <w:rsid w:val="00CA20D5"/>
    <w:rsid w:val="00CA5E71"/>
    <w:rsid w:val="00CB2470"/>
    <w:rsid w:val="00CB532A"/>
    <w:rsid w:val="00CB6EFF"/>
    <w:rsid w:val="00CB7125"/>
    <w:rsid w:val="00CC2ABB"/>
    <w:rsid w:val="00CC36E8"/>
    <w:rsid w:val="00CC464F"/>
    <w:rsid w:val="00CC7199"/>
    <w:rsid w:val="00CD4392"/>
    <w:rsid w:val="00CD51A6"/>
    <w:rsid w:val="00CD565C"/>
    <w:rsid w:val="00CD679B"/>
    <w:rsid w:val="00CE0570"/>
    <w:rsid w:val="00CE2BCD"/>
    <w:rsid w:val="00CE4810"/>
    <w:rsid w:val="00CE5C38"/>
    <w:rsid w:val="00CE752F"/>
    <w:rsid w:val="00CF30E2"/>
    <w:rsid w:val="00CF55FF"/>
    <w:rsid w:val="00D01337"/>
    <w:rsid w:val="00D05880"/>
    <w:rsid w:val="00D13DE6"/>
    <w:rsid w:val="00D14F23"/>
    <w:rsid w:val="00D15162"/>
    <w:rsid w:val="00D158D9"/>
    <w:rsid w:val="00D1748A"/>
    <w:rsid w:val="00D23882"/>
    <w:rsid w:val="00D23D39"/>
    <w:rsid w:val="00D26E88"/>
    <w:rsid w:val="00D317CB"/>
    <w:rsid w:val="00D32A30"/>
    <w:rsid w:val="00D34187"/>
    <w:rsid w:val="00D36523"/>
    <w:rsid w:val="00D41D8A"/>
    <w:rsid w:val="00D5053E"/>
    <w:rsid w:val="00D506FE"/>
    <w:rsid w:val="00D50A5A"/>
    <w:rsid w:val="00D51699"/>
    <w:rsid w:val="00D51BF9"/>
    <w:rsid w:val="00D523A4"/>
    <w:rsid w:val="00D549D6"/>
    <w:rsid w:val="00D576BA"/>
    <w:rsid w:val="00D57FFB"/>
    <w:rsid w:val="00D653C0"/>
    <w:rsid w:val="00D74B8A"/>
    <w:rsid w:val="00D761B7"/>
    <w:rsid w:val="00D8176D"/>
    <w:rsid w:val="00D83A7F"/>
    <w:rsid w:val="00D93D01"/>
    <w:rsid w:val="00D942B1"/>
    <w:rsid w:val="00D950C6"/>
    <w:rsid w:val="00D96BB1"/>
    <w:rsid w:val="00DA25AF"/>
    <w:rsid w:val="00DA67C5"/>
    <w:rsid w:val="00DA6A02"/>
    <w:rsid w:val="00DB5371"/>
    <w:rsid w:val="00DB7F1A"/>
    <w:rsid w:val="00DC3428"/>
    <w:rsid w:val="00DD268A"/>
    <w:rsid w:val="00DE1F8D"/>
    <w:rsid w:val="00DF0C00"/>
    <w:rsid w:val="00DF1DC6"/>
    <w:rsid w:val="00DF5522"/>
    <w:rsid w:val="00E06236"/>
    <w:rsid w:val="00E0624D"/>
    <w:rsid w:val="00E0680A"/>
    <w:rsid w:val="00E13182"/>
    <w:rsid w:val="00E20802"/>
    <w:rsid w:val="00E21DB5"/>
    <w:rsid w:val="00E27C71"/>
    <w:rsid w:val="00E3066D"/>
    <w:rsid w:val="00E30C98"/>
    <w:rsid w:val="00E31169"/>
    <w:rsid w:val="00E3289C"/>
    <w:rsid w:val="00E35DE8"/>
    <w:rsid w:val="00E36A07"/>
    <w:rsid w:val="00E43BE9"/>
    <w:rsid w:val="00E47899"/>
    <w:rsid w:val="00E51AF8"/>
    <w:rsid w:val="00E60031"/>
    <w:rsid w:val="00E64E5C"/>
    <w:rsid w:val="00E659F7"/>
    <w:rsid w:val="00E67F02"/>
    <w:rsid w:val="00E74E49"/>
    <w:rsid w:val="00E77944"/>
    <w:rsid w:val="00E93BF2"/>
    <w:rsid w:val="00E959C7"/>
    <w:rsid w:val="00EA22D8"/>
    <w:rsid w:val="00EA251A"/>
    <w:rsid w:val="00EA5FA6"/>
    <w:rsid w:val="00EB0FA8"/>
    <w:rsid w:val="00EB1A67"/>
    <w:rsid w:val="00EB315E"/>
    <w:rsid w:val="00EB3175"/>
    <w:rsid w:val="00EB76F1"/>
    <w:rsid w:val="00EC1230"/>
    <w:rsid w:val="00EC3569"/>
    <w:rsid w:val="00EC3E43"/>
    <w:rsid w:val="00ED2CC3"/>
    <w:rsid w:val="00EE2CCE"/>
    <w:rsid w:val="00EF0332"/>
    <w:rsid w:val="00EF5CAC"/>
    <w:rsid w:val="00F042E0"/>
    <w:rsid w:val="00F042FF"/>
    <w:rsid w:val="00F04624"/>
    <w:rsid w:val="00F13CCC"/>
    <w:rsid w:val="00F22153"/>
    <w:rsid w:val="00F23A50"/>
    <w:rsid w:val="00F253C0"/>
    <w:rsid w:val="00F31DEB"/>
    <w:rsid w:val="00F33D5B"/>
    <w:rsid w:val="00F460A8"/>
    <w:rsid w:val="00F4776C"/>
    <w:rsid w:val="00F47C51"/>
    <w:rsid w:val="00F575B4"/>
    <w:rsid w:val="00F61E22"/>
    <w:rsid w:val="00F62334"/>
    <w:rsid w:val="00F7030B"/>
    <w:rsid w:val="00F7198E"/>
    <w:rsid w:val="00F72E44"/>
    <w:rsid w:val="00F81516"/>
    <w:rsid w:val="00F82433"/>
    <w:rsid w:val="00F83E63"/>
    <w:rsid w:val="00F84AFE"/>
    <w:rsid w:val="00F90522"/>
    <w:rsid w:val="00F9179D"/>
    <w:rsid w:val="00F9208B"/>
    <w:rsid w:val="00F9356F"/>
    <w:rsid w:val="00F96B70"/>
    <w:rsid w:val="00FA12A8"/>
    <w:rsid w:val="00FA20A8"/>
    <w:rsid w:val="00FA332F"/>
    <w:rsid w:val="00FB1EEE"/>
    <w:rsid w:val="00FB3FCF"/>
    <w:rsid w:val="00FB45A1"/>
    <w:rsid w:val="00FD0744"/>
    <w:rsid w:val="00FD11FD"/>
    <w:rsid w:val="00FD3B20"/>
    <w:rsid w:val="00FD54DC"/>
    <w:rsid w:val="00FD591F"/>
    <w:rsid w:val="00FD5FA2"/>
    <w:rsid w:val="00FD7280"/>
    <w:rsid w:val="00FD7B7A"/>
    <w:rsid w:val="00FE0E53"/>
    <w:rsid w:val="00FE24EE"/>
    <w:rsid w:val="00FF5F7C"/>
    <w:rsid w:val="00FF7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C6616F-5798-4171-92F5-0C4A6FF8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autoRedefine/>
    <w:semiHidden/>
    <w:rsid w:val="00A9767B"/>
    <w:pPr>
      <w:tabs>
        <w:tab w:val="left" w:pos="0"/>
        <w:tab w:val="left" w:pos="720"/>
        <w:tab w:val="right" w:leader="dot" w:pos="9494"/>
      </w:tabs>
      <w:spacing w:before="120" w:after="120"/>
      <w:jc w:val="both"/>
    </w:pPr>
    <w:rPr>
      <w:caps/>
      <w:noProof/>
      <w:sz w:val="24"/>
      <w:szCs w:val="24"/>
    </w:rPr>
  </w:style>
  <w:style w:type="paragraph" w:styleId="TOC2">
    <w:name w:val="toc 2"/>
    <w:autoRedefine/>
    <w:uiPriority w:val="39"/>
    <w:rsid w:val="006879EB"/>
    <w:pPr>
      <w:tabs>
        <w:tab w:val="left" w:pos="720"/>
        <w:tab w:val="right" w:leader="dot" w:pos="9494"/>
      </w:tabs>
      <w:spacing w:before="120" w:after="1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sz w:val="20"/>
      <w:szCs w:val="20"/>
      <w:lang w:val="x-none" w:eastAsia="x-none"/>
    </w:rPr>
  </w:style>
  <w:style w:type="character" w:customStyle="1" w:styleId="PlainTextChar">
    <w:name w:val="Plain Text Char"/>
    <w:link w:val="PlainText"/>
    <w:uiPriority w:val="99"/>
    <w:rsid w:val="00F23A50"/>
    <w:rPr>
      <w:rFonts w:ascii="Courier New" w:eastAsia="Calibri" w:hAnsi="Courier New" w:cs="Courier New"/>
    </w:rPr>
  </w:style>
  <w:style w:type="paragraph" w:styleId="ListParagraph">
    <w:name w:val="List Paragraph"/>
    <w:basedOn w:val="Normal"/>
    <w:uiPriority w:val="34"/>
    <w:qFormat/>
    <w:rsid w:val="006535C0"/>
    <w:pPr>
      <w:ind w:left="720"/>
    </w:pPr>
    <w:rPr>
      <w:rFonts w:ascii="Calibri" w:eastAsia="Calibri" w:hAnsi="Calibri"/>
      <w:sz w:val="22"/>
      <w:szCs w:val="22"/>
    </w:rPr>
  </w:style>
  <w:style w:type="character" w:styleId="FollowedHyperlink">
    <w:name w:val="FollowedHyperlink"/>
    <w:rsid w:val="000B5FB2"/>
    <w:rPr>
      <w:color w:val="800080"/>
      <w:u w:val="single"/>
    </w:rPr>
  </w:style>
  <w:style w:type="paragraph" w:styleId="Header">
    <w:name w:val="header"/>
    <w:basedOn w:val="Normal"/>
    <w:link w:val="HeaderChar"/>
    <w:uiPriority w:val="99"/>
    <w:rsid w:val="007A4AE1"/>
    <w:pPr>
      <w:tabs>
        <w:tab w:val="center" w:pos="4680"/>
        <w:tab w:val="right" w:pos="9360"/>
      </w:tabs>
    </w:pPr>
    <w:rPr>
      <w:lang w:val="x-none" w:eastAsia="x-none"/>
    </w:rPr>
  </w:style>
  <w:style w:type="character" w:customStyle="1" w:styleId="HeaderChar">
    <w:name w:val="Header Char"/>
    <w:link w:val="Header"/>
    <w:uiPriority w:val="99"/>
    <w:rsid w:val="007A4AE1"/>
    <w:rPr>
      <w:sz w:val="24"/>
      <w:szCs w:val="24"/>
    </w:rPr>
  </w:style>
  <w:style w:type="paragraph" w:styleId="BalloonText">
    <w:name w:val="Balloon Text"/>
    <w:basedOn w:val="Normal"/>
    <w:link w:val="BalloonTextChar"/>
    <w:rsid w:val="007A4AE1"/>
    <w:rPr>
      <w:rFonts w:ascii="Tahoma" w:hAnsi="Tahoma"/>
      <w:sz w:val="16"/>
      <w:szCs w:val="16"/>
      <w:lang w:val="x-none" w:eastAsia="x-none"/>
    </w:rPr>
  </w:style>
  <w:style w:type="character" w:customStyle="1" w:styleId="BalloonTextChar">
    <w:name w:val="Balloon Text Char"/>
    <w:link w:val="BalloonText"/>
    <w:rsid w:val="007A4AE1"/>
    <w:rPr>
      <w:rFonts w:ascii="Tahoma" w:hAnsi="Tahoma" w:cs="Tahoma"/>
      <w:sz w:val="16"/>
      <w:szCs w:val="16"/>
    </w:rPr>
  </w:style>
  <w:style w:type="character" w:styleId="CommentReference">
    <w:name w:val="annotation reference"/>
    <w:rsid w:val="007B549F"/>
    <w:rPr>
      <w:sz w:val="16"/>
      <w:szCs w:val="16"/>
    </w:rPr>
  </w:style>
  <w:style w:type="paragraph" w:styleId="CommentText">
    <w:name w:val="annotation text"/>
    <w:basedOn w:val="Normal"/>
    <w:link w:val="CommentTextChar"/>
    <w:rsid w:val="007B549F"/>
    <w:rPr>
      <w:sz w:val="20"/>
      <w:szCs w:val="20"/>
    </w:rPr>
  </w:style>
  <w:style w:type="character" w:customStyle="1" w:styleId="CommentTextChar">
    <w:name w:val="Comment Text Char"/>
    <w:basedOn w:val="DefaultParagraphFont"/>
    <w:link w:val="CommentText"/>
    <w:rsid w:val="007B549F"/>
  </w:style>
  <w:style w:type="paragraph" w:styleId="CommentSubject">
    <w:name w:val="annotation subject"/>
    <w:basedOn w:val="CommentText"/>
    <w:next w:val="CommentText"/>
    <w:link w:val="CommentSubjectChar"/>
    <w:rsid w:val="007B549F"/>
    <w:rPr>
      <w:b/>
      <w:bCs/>
      <w:lang w:val="x-none" w:eastAsia="x-none"/>
    </w:rPr>
  </w:style>
  <w:style w:type="character" w:customStyle="1" w:styleId="CommentSubjectChar">
    <w:name w:val="Comment Subject Char"/>
    <w:link w:val="CommentSubject"/>
    <w:rsid w:val="007B549F"/>
    <w:rPr>
      <w:b/>
      <w:bCs/>
    </w:rPr>
  </w:style>
  <w:style w:type="paragraph" w:styleId="Revision">
    <w:name w:val="Revision"/>
    <w:hidden/>
    <w:uiPriority w:val="99"/>
    <w:semiHidden/>
    <w:rsid w:val="00182FAD"/>
    <w:rPr>
      <w:sz w:val="24"/>
      <w:szCs w:val="24"/>
    </w:rPr>
  </w:style>
  <w:style w:type="character" w:styleId="Emphasis">
    <w:name w:val="Emphasis"/>
    <w:qFormat/>
    <w:rsid w:val="00F13CCC"/>
    <w:rPr>
      <w:i/>
      <w:iCs/>
    </w:rPr>
  </w:style>
  <w:style w:type="character" w:styleId="UnresolvedMention">
    <w:name w:val="Unresolved Mention"/>
    <w:uiPriority w:val="99"/>
    <w:semiHidden/>
    <w:unhideWhenUsed/>
    <w:rsid w:val="00E64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2877">
      <w:bodyDiv w:val="1"/>
      <w:marLeft w:val="0"/>
      <w:marRight w:val="0"/>
      <w:marTop w:val="0"/>
      <w:marBottom w:val="0"/>
      <w:divBdr>
        <w:top w:val="none" w:sz="0" w:space="0" w:color="auto"/>
        <w:left w:val="none" w:sz="0" w:space="0" w:color="auto"/>
        <w:bottom w:val="none" w:sz="0" w:space="0" w:color="auto"/>
        <w:right w:val="none" w:sz="0" w:space="0" w:color="auto"/>
      </w:divBdr>
    </w:div>
    <w:div w:id="101805213">
      <w:bodyDiv w:val="1"/>
      <w:marLeft w:val="0"/>
      <w:marRight w:val="0"/>
      <w:marTop w:val="0"/>
      <w:marBottom w:val="0"/>
      <w:divBdr>
        <w:top w:val="none" w:sz="0" w:space="0" w:color="auto"/>
        <w:left w:val="none" w:sz="0" w:space="0" w:color="auto"/>
        <w:bottom w:val="none" w:sz="0" w:space="0" w:color="auto"/>
        <w:right w:val="none" w:sz="0" w:space="0" w:color="auto"/>
      </w:divBdr>
    </w:div>
    <w:div w:id="359165731">
      <w:bodyDiv w:val="1"/>
      <w:marLeft w:val="0"/>
      <w:marRight w:val="0"/>
      <w:marTop w:val="0"/>
      <w:marBottom w:val="0"/>
      <w:divBdr>
        <w:top w:val="none" w:sz="0" w:space="0" w:color="auto"/>
        <w:left w:val="none" w:sz="0" w:space="0" w:color="auto"/>
        <w:bottom w:val="none" w:sz="0" w:space="0" w:color="auto"/>
        <w:right w:val="none" w:sz="0" w:space="0" w:color="auto"/>
      </w:divBdr>
    </w:div>
    <w:div w:id="593166644">
      <w:bodyDiv w:val="1"/>
      <w:marLeft w:val="0"/>
      <w:marRight w:val="0"/>
      <w:marTop w:val="0"/>
      <w:marBottom w:val="0"/>
      <w:divBdr>
        <w:top w:val="none" w:sz="0" w:space="0" w:color="auto"/>
        <w:left w:val="none" w:sz="0" w:space="0" w:color="auto"/>
        <w:bottom w:val="none" w:sz="0" w:space="0" w:color="auto"/>
        <w:right w:val="none" w:sz="0" w:space="0" w:color="auto"/>
      </w:divBdr>
    </w:div>
    <w:div w:id="661079395">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266116448">
      <w:bodyDiv w:val="1"/>
      <w:marLeft w:val="0"/>
      <w:marRight w:val="0"/>
      <w:marTop w:val="0"/>
      <w:marBottom w:val="0"/>
      <w:divBdr>
        <w:top w:val="none" w:sz="0" w:space="0" w:color="auto"/>
        <w:left w:val="none" w:sz="0" w:space="0" w:color="auto"/>
        <w:bottom w:val="none" w:sz="0" w:space="0" w:color="auto"/>
        <w:right w:val="none" w:sz="0" w:space="0" w:color="auto"/>
      </w:divBdr>
    </w:div>
    <w:div w:id="1769735279">
      <w:bodyDiv w:val="1"/>
      <w:marLeft w:val="0"/>
      <w:marRight w:val="0"/>
      <w:marTop w:val="0"/>
      <w:marBottom w:val="0"/>
      <w:divBdr>
        <w:top w:val="none" w:sz="0" w:space="0" w:color="auto"/>
        <w:left w:val="none" w:sz="0" w:space="0" w:color="auto"/>
        <w:bottom w:val="none" w:sz="0" w:space="0" w:color="auto"/>
        <w:right w:val="none" w:sz="0" w:space="0" w:color="auto"/>
      </w:divBdr>
    </w:div>
    <w:div w:id="1825393728">
      <w:bodyDiv w:val="1"/>
      <w:marLeft w:val="0"/>
      <w:marRight w:val="0"/>
      <w:marTop w:val="0"/>
      <w:marBottom w:val="0"/>
      <w:divBdr>
        <w:top w:val="none" w:sz="0" w:space="0" w:color="auto"/>
        <w:left w:val="none" w:sz="0" w:space="0" w:color="auto"/>
        <w:bottom w:val="none" w:sz="0" w:space="0" w:color="auto"/>
        <w:right w:val="none" w:sz="0" w:space="0" w:color="auto"/>
      </w:divBdr>
    </w:div>
    <w:div w:id="1935896288">
      <w:bodyDiv w:val="1"/>
      <w:marLeft w:val="0"/>
      <w:marRight w:val="0"/>
      <w:marTop w:val="0"/>
      <w:marBottom w:val="0"/>
      <w:divBdr>
        <w:top w:val="none" w:sz="0" w:space="0" w:color="auto"/>
        <w:left w:val="none" w:sz="0" w:space="0" w:color="auto"/>
        <w:bottom w:val="none" w:sz="0" w:space="0" w:color="auto"/>
        <w:right w:val="none" w:sz="0" w:space="0" w:color="auto"/>
      </w:divBdr>
    </w:div>
    <w:div w:id="2022656833">
      <w:bodyDiv w:val="1"/>
      <w:marLeft w:val="0"/>
      <w:marRight w:val="0"/>
      <w:marTop w:val="0"/>
      <w:marBottom w:val="0"/>
      <w:divBdr>
        <w:top w:val="none" w:sz="0" w:space="0" w:color="auto"/>
        <w:left w:val="none" w:sz="0" w:space="0" w:color="auto"/>
        <w:bottom w:val="none" w:sz="0" w:space="0" w:color="auto"/>
        <w:right w:val="none" w:sz="0" w:space="0" w:color="auto"/>
      </w:divBdr>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uadagma@csr.nih.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0/DCB.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igheredjobs.com/salary/salaryDisplay.cfm?SurveyID=5157" TargetMode="External"/><Relationship Id="rId4" Type="http://schemas.openxmlformats.org/officeDocument/2006/relationships/settings" Target="settings.xml"/><Relationship Id="rId9" Type="http://schemas.openxmlformats.org/officeDocument/2006/relationships/hyperlink" Target="file:///\\nih.gov\csrns\SHARES\CSRDIR\Early%20Career%20Reviewer\AppData\Local\Microsoft\Windows\bennd\AppData\Local\Microsoft\Windows\Temporary%20Internet%20Files\Content.Outlook\DXQCQAO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A6364-923A-49E0-868E-65605B30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3995</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CSR</Company>
  <LinksUpToDate>false</LinksUpToDate>
  <CharactersWithSpaces>26720</CharactersWithSpaces>
  <SharedDoc>false</SharedDoc>
  <HLinks>
    <vt:vector size="24" baseType="variant">
      <vt:variant>
        <vt:i4>1638428</vt:i4>
      </vt:variant>
      <vt:variant>
        <vt:i4>12</vt:i4>
      </vt:variant>
      <vt:variant>
        <vt:i4>0</vt:i4>
      </vt:variant>
      <vt:variant>
        <vt:i4>5</vt:i4>
      </vt:variant>
      <vt:variant>
        <vt:lpwstr>https://www.opm.gov/policy-data-oversight/pay-leave/salaries-wages/salary-tables/pdf/2020/DCB.pdf</vt:lpwstr>
      </vt:variant>
      <vt:variant>
        <vt:lpwstr/>
      </vt:variant>
      <vt:variant>
        <vt:i4>6750256</vt:i4>
      </vt:variant>
      <vt:variant>
        <vt:i4>9</vt:i4>
      </vt:variant>
      <vt:variant>
        <vt:i4>0</vt:i4>
      </vt:variant>
      <vt:variant>
        <vt:i4>5</vt:i4>
      </vt:variant>
      <vt:variant>
        <vt:lpwstr>https://www.higheredjobs.com/salary/salaryDisplay.cfm?SurveyID=5157</vt:lpwstr>
      </vt:variant>
      <vt:variant>
        <vt:lpwstr/>
      </vt:variant>
      <vt:variant>
        <vt:i4>7929873</vt:i4>
      </vt:variant>
      <vt:variant>
        <vt:i4>6</vt:i4>
      </vt:variant>
      <vt:variant>
        <vt:i4>0</vt:i4>
      </vt:variant>
      <vt:variant>
        <vt:i4>5</vt:i4>
      </vt:variant>
      <vt:variant>
        <vt:lpwstr>\\nih.gov\csrns\SHARES\CSRDIR\Early Career Reviewer\AppData\Local\Microsoft\Windows\bennd\AppData\Local\Microsoft\Windows\Temporary Internet Files\Content.Outlook\DXQCQAO2\-</vt:lpwstr>
      </vt:variant>
      <vt:variant>
        <vt:lpwstr/>
      </vt:variant>
      <vt:variant>
        <vt:i4>6094893</vt:i4>
      </vt:variant>
      <vt:variant>
        <vt:i4>0</vt:i4>
      </vt:variant>
      <vt:variant>
        <vt:i4>0</vt:i4>
      </vt:variant>
      <vt:variant>
        <vt:i4>5</vt:i4>
      </vt:variant>
      <vt:variant>
        <vt:lpwstr>mailto:guadagma@csr.nih.gov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Abdelmouti, Tawanda (NIH/OD) [E]</cp:lastModifiedBy>
  <cp:revision>2</cp:revision>
  <cp:lastPrinted>2020-01-08T19:27:00Z</cp:lastPrinted>
  <dcterms:created xsi:type="dcterms:W3CDTF">2020-03-31T17:11:00Z</dcterms:created>
  <dcterms:modified xsi:type="dcterms:W3CDTF">2020-03-31T17:11:00Z</dcterms:modified>
</cp:coreProperties>
</file>