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0596" w:rsidP="001A57A4" w:rsidRDefault="00380596" w14:paraId="3F7D581D" w14:textId="18D0F28E">
      <w:pPr>
        <w:rPr>
          <w:rFonts w:ascii="Times New Roman" w:hAnsi="Times New Roman" w:cs="Times New Roman"/>
        </w:rPr>
      </w:pPr>
      <w:bookmarkStart w:name="_GoBack" w:id="0"/>
      <w:bookmarkEnd w:id="0"/>
    </w:p>
    <w:sdt>
      <w:sdtPr>
        <w:rPr>
          <w:rFonts w:ascii="Times New Roman" w:hAnsi="Times New Roman" w:cs="Times New Roman"/>
        </w:rPr>
        <w:id w:val="1141393971"/>
        <w:docPartObj>
          <w:docPartGallery w:val="Cover Pages"/>
          <w:docPartUnique/>
        </w:docPartObj>
      </w:sdtPr>
      <w:sdtEndPr/>
      <w:sdtContent>
        <w:p w:rsidRPr="00E57D5E" w:rsidR="001A57A4" w:rsidP="001A57A4" w:rsidRDefault="001A57A4" w14:paraId="5A17A647" w14:textId="5CA19FD3">
          <w:pPr>
            <w:rPr>
              <w:rFonts w:ascii="Times New Roman" w:hAnsi="Times New Roman" w:cs="Times New Roman"/>
            </w:rPr>
          </w:pPr>
        </w:p>
        <w:p w:rsidRPr="00E57D5E" w:rsidR="001A57A4" w:rsidP="001A57A4" w:rsidRDefault="008C5A43" w14:paraId="5852E40F" w14:textId="77777777">
          <w:pPr>
            <w:rPr>
              <w:rFonts w:ascii="Times New Roman" w:hAnsi="Times New Roman" w:cs="Times New Roman"/>
            </w:rPr>
          </w:pPr>
        </w:p>
      </w:sdtContent>
    </w:sdt>
    <w:p w:rsidR="001A57A4" w:rsidP="001A57A4" w:rsidRDefault="001A57A4" w14:paraId="7F03ED5C" w14:textId="634A31C4">
      <w:pPr>
        <w:ind w:left="2880" w:firstLine="720"/>
        <w:rPr>
          <w:rFonts w:ascii="Times New Roman" w:hAnsi="Times New Roman" w:cs="Times New Roman"/>
        </w:rPr>
      </w:pPr>
      <w:r w:rsidRPr="00E57D5E">
        <w:rPr>
          <w:rFonts w:ascii="Times New Roman" w:hAnsi="Times New Roman" w:cs="Times New Roman"/>
        </w:rPr>
        <w:t xml:space="preserve">Supporting </w:t>
      </w:r>
      <w:proofErr w:type="gramStart"/>
      <w:r w:rsidRPr="00E57D5E">
        <w:rPr>
          <w:rFonts w:ascii="Times New Roman" w:hAnsi="Times New Roman" w:cs="Times New Roman"/>
        </w:rPr>
        <w:t>Statement</w:t>
      </w:r>
      <w:proofErr w:type="gramEnd"/>
      <w:r w:rsidRPr="00E57D5E">
        <w:rPr>
          <w:rFonts w:ascii="Times New Roman" w:hAnsi="Times New Roman" w:cs="Times New Roman"/>
        </w:rPr>
        <w:t xml:space="preserve"> A for</w:t>
      </w:r>
    </w:p>
    <w:p w:rsidRPr="00E57D5E" w:rsidR="00405C48" w:rsidP="001A57A4" w:rsidRDefault="00405C48" w14:paraId="30641614" w14:textId="77777777">
      <w:pPr>
        <w:ind w:left="2880" w:firstLine="720"/>
        <w:rPr>
          <w:rFonts w:ascii="Times New Roman" w:hAnsi="Times New Roman" w:eastAsia="Times New Roman" w:cs="Times New Roman"/>
        </w:rPr>
      </w:pPr>
    </w:p>
    <w:p w:rsidRPr="00104577" w:rsidR="00405C48" w:rsidP="00405C48" w:rsidRDefault="00405C48" w14:paraId="24E759B3" w14:textId="77777777">
      <w:pPr>
        <w:spacing w:after="0" w:line="480" w:lineRule="auto"/>
        <w:rPr>
          <w:rFonts w:ascii="Times New Roman" w:hAnsi="Times New Roman" w:cs="Times New Roman"/>
          <w:b/>
          <w:bCs/>
          <w:sz w:val="24"/>
          <w:szCs w:val="24"/>
        </w:rPr>
      </w:pPr>
      <w:bookmarkStart w:name="_Hlk22543040" w:id="1"/>
      <w:r w:rsidRPr="00104577">
        <w:rPr>
          <w:rFonts w:ascii="Times New Roman" w:hAnsi="Times New Roman" w:cs="Times New Roman"/>
          <w:b/>
          <w:bCs/>
          <w:sz w:val="24"/>
          <w:szCs w:val="24"/>
        </w:rPr>
        <w:t>Bench to Bedside: Integrating Sex and Gender to Improve Human Health</w:t>
      </w:r>
      <w:bookmarkEnd w:id="1"/>
      <w:r w:rsidRPr="00104577">
        <w:rPr>
          <w:rFonts w:ascii="Times New Roman" w:hAnsi="Times New Roman" w:cs="Times New Roman"/>
          <w:b/>
          <w:bCs/>
          <w:sz w:val="24"/>
          <w:szCs w:val="24"/>
        </w:rPr>
        <w:t xml:space="preserve"> &amp; Sex as a Biological Variable: A Primer (Office of the Director)</w:t>
      </w:r>
    </w:p>
    <w:p w:rsidRPr="00E57D5E" w:rsidR="00405C48" w:rsidP="001A57A4" w:rsidRDefault="00443930" w14:paraId="7D991487" w14:textId="5E4569D6">
      <w:pPr>
        <w:pStyle w:val="P1-StandPara"/>
        <w:tabs>
          <w:tab w:val="left" w:pos="720"/>
          <w:tab w:val="right" w:leader="dot" w:pos="9504"/>
        </w:tabs>
        <w:spacing w:before="120" w:after="120"/>
        <w:ind w:firstLine="0"/>
        <w:jc w:val="center"/>
        <w:rPr>
          <w:szCs w:val="22"/>
        </w:rPr>
      </w:pPr>
      <w:r w:rsidRPr="00443930">
        <w:rPr>
          <w:szCs w:val="22"/>
        </w:rPr>
        <w:t>0925-New – expiration date</w:t>
      </w:r>
    </w:p>
    <w:p w:rsidR="001A57A4" w:rsidP="001A57A4" w:rsidRDefault="001A57A4" w14:paraId="7C38D431" w14:textId="67E46C5F">
      <w:pPr>
        <w:pStyle w:val="P1-StandPara"/>
        <w:tabs>
          <w:tab w:val="left" w:pos="720"/>
          <w:tab w:val="right" w:leader="dot" w:pos="9504"/>
        </w:tabs>
        <w:spacing w:before="120" w:after="120"/>
        <w:ind w:firstLine="0"/>
        <w:rPr>
          <w:szCs w:val="22"/>
        </w:rPr>
      </w:pPr>
      <w:r w:rsidRPr="00E57D5E">
        <w:rPr>
          <w:szCs w:val="22"/>
        </w:rPr>
        <w:t xml:space="preserve">Date: </w:t>
      </w:r>
      <w:r w:rsidR="00FC0A0D">
        <w:rPr>
          <w:szCs w:val="22"/>
        </w:rPr>
        <w:t>November 17, 2020</w:t>
      </w:r>
      <w:r w:rsidRPr="00E57D5E">
        <w:rPr>
          <w:szCs w:val="22"/>
        </w:rPr>
        <w:t xml:space="preserve"> </w:t>
      </w:r>
    </w:p>
    <w:p w:rsidR="00405C48" w:rsidP="001A57A4" w:rsidRDefault="00405C48" w14:paraId="72861E21" w14:textId="1E3ED5F2">
      <w:pPr>
        <w:pStyle w:val="P1-StandPara"/>
        <w:tabs>
          <w:tab w:val="left" w:pos="720"/>
          <w:tab w:val="right" w:leader="dot" w:pos="9504"/>
        </w:tabs>
        <w:spacing w:before="120" w:after="120"/>
        <w:ind w:firstLine="0"/>
        <w:rPr>
          <w:szCs w:val="22"/>
        </w:rPr>
      </w:pPr>
    </w:p>
    <w:p w:rsidRPr="00E57D5E" w:rsidR="00405C48" w:rsidP="001A57A4" w:rsidRDefault="00405C48" w14:paraId="6BA2656D" w14:textId="77777777">
      <w:pPr>
        <w:pStyle w:val="P1-StandPara"/>
        <w:tabs>
          <w:tab w:val="left" w:pos="720"/>
          <w:tab w:val="right" w:leader="dot" w:pos="9504"/>
        </w:tabs>
        <w:spacing w:before="120" w:after="120"/>
        <w:ind w:firstLine="0"/>
        <w:rPr>
          <w:szCs w:val="22"/>
        </w:rPr>
      </w:pPr>
    </w:p>
    <w:p w:rsidRPr="00E57D5E" w:rsidR="001A57A4" w:rsidP="001A57A4" w:rsidRDefault="001A57A4" w14:paraId="2B31661F" w14:textId="77777777">
      <w:pPr>
        <w:pStyle w:val="P1-StandPara"/>
        <w:tabs>
          <w:tab w:val="left" w:pos="720"/>
          <w:tab w:val="right" w:leader="dot" w:pos="9504"/>
        </w:tabs>
        <w:spacing w:before="120" w:line="240" w:lineRule="auto"/>
        <w:ind w:firstLine="0"/>
        <w:rPr>
          <w:szCs w:val="22"/>
        </w:rPr>
      </w:pPr>
      <w:r w:rsidRPr="00E57D5E">
        <w:rPr>
          <w:szCs w:val="22"/>
        </w:rPr>
        <w:t>Check off which applies:</w:t>
      </w:r>
    </w:p>
    <w:p w:rsidRPr="00E57D5E" w:rsidR="001A57A4" w:rsidP="001A57A4" w:rsidRDefault="001A57A4" w14:paraId="212772BA" w14:textId="77777777">
      <w:pPr>
        <w:pStyle w:val="ListParagraph"/>
        <w:numPr>
          <w:ilvl w:val="0"/>
          <w:numId w:val="29"/>
        </w:numPr>
        <w:spacing w:after="0" w:line="240" w:lineRule="auto"/>
        <w:rPr>
          <w:rFonts w:ascii="Times New Roman" w:hAnsi="Times New Roman" w:cs="Times New Roman"/>
        </w:rPr>
      </w:pPr>
      <w:r w:rsidRPr="00E57D5E">
        <w:rPr>
          <w:rFonts w:ascii="Times New Roman" w:hAnsi="Times New Roman" w:cs="Times New Roman"/>
        </w:rPr>
        <w:t xml:space="preserve">New </w:t>
      </w:r>
    </w:p>
    <w:p w:rsidRPr="00E57D5E" w:rsidR="001A57A4" w:rsidP="001A57A4" w:rsidRDefault="001A57A4" w14:paraId="01691DA5" w14:textId="77777777">
      <w:pPr>
        <w:numPr>
          <w:ilvl w:val="0"/>
          <w:numId w:val="30"/>
        </w:numPr>
        <w:spacing w:after="0" w:line="240" w:lineRule="auto"/>
        <w:rPr>
          <w:rFonts w:ascii="Times New Roman" w:hAnsi="Times New Roman" w:cs="Times New Roman"/>
        </w:rPr>
      </w:pPr>
      <w:r w:rsidRPr="00E57D5E">
        <w:rPr>
          <w:rFonts w:ascii="Times New Roman" w:hAnsi="Times New Roman" w:cs="Times New Roman"/>
        </w:rPr>
        <w:t>Revision</w:t>
      </w:r>
      <w:r w:rsidRPr="00E57D5E">
        <w:rPr>
          <w:rFonts w:ascii="Times New Roman" w:hAnsi="Times New Roman" w:cs="Times New Roman"/>
        </w:rPr>
        <w:tab/>
      </w:r>
      <w:r w:rsidRPr="00E57D5E">
        <w:rPr>
          <w:rFonts w:ascii="Times New Roman" w:hAnsi="Times New Roman" w:cs="Times New Roman"/>
        </w:rPr>
        <w:tab/>
      </w:r>
      <w:r w:rsidRPr="00E57D5E">
        <w:rPr>
          <w:rFonts w:ascii="Times New Roman" w:hAnsi="Times New Roman" w:cs="Times New Roman"/>
        </w:rPr>
        <w:tab/>
      </w:r>
    </w:p>
    <w:p w:rsidRPr="00E57D5E" w:rsidR="001A57A4" w:rsidP="001A57A4" w:rsidRDefault="001A57A4" w14:paraId="38A2EEC6" w14:textId="77777777">
      <w:pPr>
        <w:numPr>
          <w:ilvl w:val="0"/>
          <w:numId w:val="30"/>
        </w:numPr>
        <w:spacing w:after="0" w:line="240" w:lineRule="auto"/>
        <w:rPr>
          <w:rFonts w:ascii="Times New Roman" w:hAnsi="Times New Roman" w:cs="Times New Roman"/>
        </w:rPr>
      </w:pPr>
      <w:r w:rsidRPr="00E57D5E">
        <w:rPr>
          <w:rFonts w:ascii="Times New Roman" w:hAnsi="Times New Roman" w:cs="Times New Roman"/>
        </w:rPr>
        <w:t>Reinstatement with Change</w:t>
      </w:r>
    </w:p>
    <w:p w:rsidRPr="00E57D5E" w:rsidR="001A57A4" w:rsidP="001A57A4" w:rsidRDefault="001A57A4" w14:paraId="5DAF05BC" w14:textId="77777777">
      <w:pPr>
        <w:numPr>
          <w:ilvl w:val="0"/>
          <w:numId w:val="30"/>
        </w:numPr>
        <w:spacing w:after="0" w:line="240" w:lineRule="auto"/>
        <w:rPr>
          <w:rFonts w:ascii="Times New Roman" w:hAnsi="Times New Roman" w:cs="Times New Roman"/>
        </w:rPr>
      </w:pPr>
      <w:r w:rsidRPr="00E57D5E">
        <w:rPr>
          <w:rFonts w:ascii="Times New Roman" w:hAnsi="Times New Roman" w:cs="Times New Roman"/>
        </w:rPr>
        <w:t>Reinstatement without Change</w:t>
      </w:r>
    </w:p>
    <w:p w:rsidRPr="00E57D5E" w:rsidR="001A57A4" w:rsidP="001A57A4" w:rsidRDefault="001A57A4" w14:paraId="1E7BE081" w14:textId="77777777">
      <w:pPr>
        <w:numPr>
          <w:ilvl w:val="0"/>
          <w:numId w:val="30"/>
        </w:numPr>
        <w:spacing w:after="0" w:line="240" w:lineRule="auto"/>
        <w:rPr>
          <w:rFonts w:ascii="Times New Roman" w:hAnsi="Times New Roman" w:cs="Times New Roman"/>
        </w:rPr>
      </w:pPr>
      <w:r w:rsidRPr="00E57D5E">
        <w:rPr>
          <w:rFonts w:ascii="Times New Roman" w:hAnsi="Times New Roman" w:cs="Times New Roman"/>
        </w:rPr>
        <w:t>Extension</w:t>
      </w:r>
    </w:p>
    <w:p w:rsidRPr="00E57D5E" w:rsidR="001A57A4" w:rsidP="001A57A4" w:rsidRDefault="001A57A4" w14:paraId="11607B39" w14:textId="77777777">
      <w:pPr>
        <w:numPr>
          <w:ilvl w:val="0"/>
          <w:numId w:val="30"/>
        </w:numPr>
        <w:spacing w:after="0" w:line="240" w:lineRule="auto"/>
        <w:rPr>
          <w:rFonts w:ascii="Times New Roman" w:hAnsi="Times New Roman" w:cs="Times New Roman"/>
        </w:rPr>
      </w:pPr>
      <w:r w:rsidRPr="00E57D5E">
        <w:rPr>
          <w:rFonts w:ascii="Times New Roman" w:hAnsi="Times New Roman" w:cs="Times New Roman"/>
        </w:rPr>
        <w:t>Emergency</w:t>
      </w:r>
    </w:p>
    <w:p w:rsidRPr="00E57D5E" w:rsidR="001A57A4" w:rsidP="001A57A4" w:rsidRDefault="001A57A4" w14:paraId="3D6402B0" w14:textId="77777777">
      <w:pPr>
        <w:numPr>
          <w:ilvl w:val="0"/>
          <w:numId w:val="30"/>
        </w:numPr>
        <w:spacing w:after="0" w:line="240" w:lineRule="auto"/>
        <w:rPr>
          <w:rFonts w:ascii="Times New Roman" w:hAnsi="Times New Roman" w:cs="Times New Roman"/>
        </w:rPr>
      </w:pPr>
      <w:r w:rsidRPr="00E57D5E">
        <w:rPr>
          <w:rFonts w:ascii="Times New Roman" w:hAnsi="Times New Roman" w:cs="Times New Roman"/>
        </w:rPr>
        <w:t>Existing w/o OMB approval</w:t>
      </w:r>
    </w:p>
    <w:p w:rsidRPr="00E57D5E" w:rsidR="001A57A4" w:rsidP="001A57A4" w:rsidRDefault="001A57A4" w14:paraId="40C7F0A1" w14:textId="77777777">
      <w:pPr>
        <w:pStyle w:val="P1-StandPara"/>
        <w:tabs>
          <w:tab w:val="left" w:pos="720"/>
          <w:tab w:val="right" w:leader="dot" w:pos="9504"/>
        </w:tabs>
        <w:spacing w:before="120" w:after="120"/>
        <w:rPr>
          <w:szCs w:val="22"/>
        </w:rPr>
      </w:pPr>
      <w:r w:rsidRPr="00E57D5E">
        <w:rPr>
          <w:szCs w:val="22"/>
        </w:rPr>
        <w:t xml:space="preserve">                        </w:t>
      </w:r>
    </w:p>
    <w:p w:rsidRPr="00E57D5E" w:rsidR="001A57A4" w:rsidP="001A57A4" w:rsidRDefault="001A57A4" w14:paraId="51673065" w14:textId="77777777">
      <w:pPr>
        <w:pStyle w:val="P1-StandPara"/>
        <w:tabs>
          <w:tab w:val="left" w:pos="720"/>
          <w:tab w:val="right" w:leader="dot" w:pos="9504"/>
        </w:tabs>
        <w:spacing w:before="120" w:after="120"/>
        <w:rPr>
          <w:szCs w:val="22"/>
        </w:rPr>
      </w:pPr>
    </w:p>
    <w:p w:rsidRPr="006F15EB" w:rsidR="001A57A4" w:rsidP="001A57A4" w:rsidRDefault="001A57A4" w14:paraId="7EB87FB5" w14:textId="77777777">
      <w:pPr>
        <w:pStyle w:val="P1-StandPara"/>
        <w:tabs>
          <w:tab w:val="left" w:pos="720"/>
          <w:tab w:val="right" w:leader="dot" w:pos="9504"/>
        </w:tabs>
        <w:spacing w:before="120" w:after="120" w:line="240" w:lineRule="auto"/>
        <w:ind w:firstLine="0"/>
        <w:rPr>
          <w:szCs w:val="22"/>
        </w:rPr>
      </w:pPr>
      <w:r w:rsidRPr="006F15EB">
        <w:rPr>
          <w:szCs w:val="22"/>
        </w:rPr>
        <w:t>Federal Government Employee Information:</w:t>
      </w:r>
    </w:p>
    <w:p w:rsidRPr="006F15EB" w:rsidR="001A57A4" w:rsidP="00380596" w:rsidRDefault="00380596" w14:paraId="04FF8DE9" w14:textId="3FB492D9">
      <w:pPr>
        <w:spacing w:after="0" w:line="240" w:lineRule="auto"/>
        <w:rPr>
          <w:rFonts w:ascii="Times New Roman" w:hAnsi="Times New Roman" w:cs="Times New Roman"/>
        </w:rPr>
      </w:pPr>
      <w:r w:rsidRPr="006F15EB">
        <w:rPr>
          <w:rFonts w:ascii="Times New Roman" w:hAnsi="Times New Roman" w:cs="Times New Roman"/>
        </w:rPr>
        <w:t>Dr. Chyren Hunter</w:t>
      </w:r>
      <w:r w:rsidRPr="006F15EB">
        <w:rPr>
          <w:rFonts w:ascii="Times New Roman" w:hAnsi="Times New Roman" w:cs="Times New Roman"/>
        </w:rPr>
        <w:br/>
        <w:t xml:space="preserve">Associate Director for Basic and Translational Research </w:t>
      </w:r>
    </w:p>
    <w:p w:rsidRPr="006F15EB" w:rsidR="001A57A4" w:rsidP="001A57A4" w:rsidRDefault="001A57A4" w14:paraId="5AF3D3F9" w14:textId="36A13BD2">
      <w:pPr>
        <w:pStyle w:val="NoSpacing"/>
        <w:rPr>
          <w:rFonts w:ascii="Times New Roman" w:hAnsi="Times New Roman" w:cs="Times New Roman"/>
        </w:rPr>
      </w:pPr>
      <w:r w:rsidRPr="006F15EB">
        <w:rPr>
          <w:rFonts w:ascii="Times New Roman" w:hAnsi="Times New Roman" w:cs="Times New Roman"/>
        </w:rPr>
        <w:t xml:space="preserve">6707 Democracy Blvd, </w:t>
      </w:r>
      <w:r w:rsidR="00405C48">
        <w:rPr>
          <w:rFonts w:ascii="Times New Roman" w:hAnsi="Times New Roman" w:cs="Times New Roman"/>
        </w:rPr>
        <w:t>Room 437</w:t>
      </w:r>
      <w:r w:rsidRPr="006F15EB">
        <w:rPr>
          <w:rFonts w:ascii="Times New Roman" w:hAnsi="Times New Roman" w:cs="Times New Roman"/>
        </w:rPr>
        <w:t>, Bethesda, MD 20817</w:t>
      </w:r>
    </w:p>
    <w:p w:rsidRPr="006F15EB" w:rsidR="001A57A4" w:rsidP="001A57A4" w:rsidRDefault="001A57A4" w14:paraId="5717D75D" w14:textId="3CB5AE2B">
      <w:pPr>
        <w:pStyle w:val="NoSpacing"/>
        <w:rPr>
          <w:rFonts w:ascii="Times New Roman" w:hAnsi="Times New Roman" w:cs="Times New Roman"/>
        </w:rPr>
      </w:pPr>
      <w:r w:rsidRPr="006F15EB">
        <w:rPr>
          <w:rFonts w:ascii="Times New Roman" w:hAnsi="Times New Roman" w:cs="Times New Roman"/>
        </w:rPr>
        <w:t>Telephone</w:t>
      </w:r>
      <w:proofErr w:type="gramStart"/>
      <w:r w:rsidRPr="006F15EB">
        <w:rPr>
          <w:rFonts w:ascii="Times New Roman" w:hAnsi="Times New Roman" w:cs="Times New Roman"/>
        </w:rPr>
        <w:t xml:space="preserve">:  </w:t>
      </w:r>
      <w:r w:rsidRPr="006F15EB" w:rsidR="006F15EB">
        <w:rPr>
          <w:rFonts w:ascii="Times New Roman" w:hAnsi="Times New Roman" w:cs="Times New Roman"/>
        </w:rPr>
        <w:t>(</w:t>
      </w:r>
      <w:proofErr w:type="gramEnd"/>
      <w:r w:rsidRPr="006F15EB" w:rsidR="006F15EB">
        <w:rPr>
          <w:rFonts w:ascii="Times New Roman" w:hAnsi="Times New Roman" w:cs="Times New Roman"/>
        </w:rPr>
        <w:t>301) 402-1770</w:t>
      </w:r>
    </w:p>
    <w:p w:rsidRPr="006F15EB" w:rsidR="001A57A4" w:rsidP="001A57A4" w:rsidRDefault="001A57A4" w14:paraId="48ADF7CE" w14:textId="77777777">
      <w:pPr>
        <w:pStyle w:val="NoSpacing"/>
        <w:rPr>
          <w:rFonts w:ascii="Times New Roman" w:hAnsi="Times New Roman" w:cs="Times New Roman"/>
        </w:rPr>
      </w:pPr>
      <w:r w:rsidRPr="006F15EB">
        <w:rPr>
          <w:rFonts w:ascii="Times New Roman" w:hAnsi="Times New Roman" w:cs="Times New Roman"/>
        </w:rPr>
        <w:t>Fax: N/A</w:t>
      </w:r>
    </w:p>
    <w:p w:rsidRPr="00405C48" w:rsidR="00867FE2" w:rsidP="00405C48" w:rsidRDefault="001A57A4" w14:paraId="39543B3E" w14:textId="5019EF7F">
      <w:pPr>
        <w:pStyle w:val="NoSpacing"/>
        <w:rPr>
          <w:rFonts w:ascii="Times New Roman" w:hAnsi="Times New Roman" w:cs="Times New Roman"/>
        </w:rPr>
      </w:pPr>
      <w:r w:rsidRPr="006F15EB">
        <w:rPr>
          <w:rFonts w:ascii="Times New Roman" w:hAnsi="Times New Roman" w:cs="Times New Roman"/>
        </w:rPr>
        <w:t xml:space="preserve">Email:  </w:t>
      </w:r>
      <w:hyperlink w:history="1" r:id="rId10">
        <w:r w:rsidRPr="006F15EB" w:rsidR="006F15EB">
          <w:rPr>
            <w:rStyle w:val="Hyperlink"/>
            <w:rFonts w:ascii="Times New Roman" w:hAnsi="Times New Roman" w:cs="Times New Roman"/>
          </w:rPr>
          <w:t>hunterc@mail.nih.gov</w:t>
        </w:r>
      </w:hyperlink>
      <w:r w:rsidR="006F15EB">
        <w:t xml:space="preserve"> </w:t>
      </w:r>
      <w:r w:rsidRPr="00E57D5E">
        <w:rPr>
          <w:rFonts w:ascii="Times New Roman" w:hAnsi="Times New Roman" w:cs="Times New Roman"/>
        </w:rPr>
        <w:tab/>
      </w:r>
    </w:p>
    <w:p w:rsidRPr="00E57D5E" w:rsidR="001A57A4" w:rsidP="00443930" w:rsidRDefault="00443930" w14:paraId="41F11282" w14:textId="643E39CF">
      <w:pPr>
        <w:pStyle w:val="P1-StandPara"/>
        <w:tabs>
          <w:tab w:val="left" w:pos="720"/>
          <w:tab w:val="right" w:leader="dot" w:pos="9504"/>
        </w:tabs>
        <w:spacing w:before="120" w:after="120"/>
        <w:ind w:firstLine="0"/>
        <w:rPr>
          <w:b/>
          <w:szCs w:val="22"/>
          <w:u w:val="single"/>
        </w:rPr>
      </w:pPr>
      <w:r>
        <w:rPr>
          <w:b/>
          <w:szCs w:val="22"/>
          <w:u w:val="single"/>
        </w:rPr>
        <w:br w:type="column"/>
      </w:r>
      <w:r w:rsidRPr="00E57D5E" w:rsidR="001A57A4">
        <w:rPr>
          <w:b/>
          <w:szCs w:val="22"/>
          <w:u w:val="single"/>
        </w:rPr>
        <w:lastRenderedPageBreak/>
        <w:t>Table of contents</w:t>
      </w:r>
    </w:p>
    <w:p w:rsidRPr="00E57D5E" w:rsidR="001A57A4" w:rsidP="001A57A4" w:rsidRDefault="001A57A4" w14:paraId="585FE6A2" w14:textId="77777777">
      <w:pPr>
        <w:pStyle w:val="P1-StandPara"/>
        <w:tabs>
          <w:tab w:val="left" w:pos="720"/>
        </w:tabs>
        <w:ind w:firstLine="0"/>
        <w:rPr>
          <w:szCs w:val="22"/>
        </w:rPr>
      </w:pPr>
      <w:r w:rsidRPr="00E57D5E">
        <w:rPr>
          <w:szCs w:val="22"/>
        </w:rPr>
        <w:fldChar w:fldCharType="begin"/>
      </w:r>
      <w:r w:rsidRPr="00E57D5E">
        <w:rPr>
          <w:szCs w:val="22"/>
        </w:rPr>
        <w:instrText xml:space="preserve"> TOC \o "1-2" \u </w:instrText>
      </w:r>
      <w:r w:rsidRPr="00E57D5E">
        <w:rPr>
          <w:szCs w:val="22"/>
        </w:rPr>
        <w:fldChar w:fldCharType="separate"/>
      </w:r>
      <w:r w:rsidRPr="00E57D5E">
        <w:rPr>
          <w:szCs w:val="22"/>
        </w:rPr>
        <w:t>A.</w:t>
      </w:r>
      <w:r w:rsidRPr="00E57D5E">
        <w:rPr>
          <w:szCs w:val="22"/>
        </w:rPr>
        <w:tab/>
        <w:t>ABSTRACT</w:t>
      </w:r>
      <w:r w:rsidRPr="00E57D5E">
        <w:rPr>
          <w:szCs w:val="22"/>
        </w:rPr>
        <w:tab/>
      </w:r>
    </w:p>
    <w:p w:rsidRPr="00E57D5E" w:rsidR="001A57A4" w:rsidP="001A57A4" w:rsidRDefault="001A57A4" w14:paraId="721FB3C8" w14:textId="77777777">
      <w:pPr>
        <w:pStyle w:val="P1-StandPara"/>
        <w:ind w:firstLine="0"/>
        <w:rPr>
          <w:szCs w:val="22"/>
        </w:rPr>
      </w:pPr>
      <w:r w:rsidRPr="00E57D5E">
        <w:rPr>
          <w:szCs w:val="22"/>
        </w:rPr>
        <w:t>A.1</w:t>
      </w:r>
      <w:r w:rsidRPr="00E57D5E">
        <w:rPr>
          <w:szCs w:val="22"/>
        </w:rPr>
        <w:tab/>
        <w:t>Circumstances Making the Collection of Information Necessary</w:t>
      </w:r>
      <w:r w:rsidRPr="00E57D5E">
        <w:rPr>
          <w:szCs w:val="22"/>
        </w:rPr>
        <w:tab/>
      </w:r>
    </w:p>
    <w:p w:rsidRPr="00E57D5E" w:rsidR="001A57A4" w:rsidP="001A57A4" w:rsidRDefault="001A57A4" w14:paraId="4541052E" w14:textId="78F88474">
      <w:pPr>
        <w:pStyle w:val="P1-StandPara"/>
        <w:ind w:firstLine="0"/>
        <w:rPr>
          <w:szCs w:val="22"/>
        </w:rPr>
      </w:pPr>
      <w:r w:rsidRPr="00E57D5E">
        <w:rPr>
          <w:szCs w:val="22"/>
        </w:rPr>
        <w:t>A.2.</w:t>
      </w:r>
      <w:r w:rsidRPr="00E57D5E">
        <w:rPr>
          <w:szCs w:val="22"/>
        </w:rPr>
        <w:tab/>
        <w:t xml:space="preserve">Purpose and Use of the Information </w:t>
      </w:r>
      <w:r w:rsidR="006F15EB">
        <w:rPr>
          <w:szCs w:val="22"/>
        </w:rPr>
        <w:t>Collection</w:t>
      </w:r>
      <w:r w:rsidRPr="00E57D5E">
        <w:rPr>
          <w:szCs w:val="22"/>
        </w:rPr>
        <w:tab/>
      </w:r>
    </w:p>
    <w:p w:rsidRPr="00E57D5E" w:rsidR="001A57A4" w:rsidP="001A57A4" w:rsidRDefault="001A57A4" w14:paraId="6A70838F" w14:textId="77777777">
      <w:pPr>
        <w:pStyle w:val="P1-StandPara"/>
        <w:ind w:firstLine="0"/>
        <w:rPr>
          <w:szCs w:val="22"/>
        </w:rPr>
      </w:pPr>
      <w:r w:rsidRPr="00E57D5E">
        <w:rPr>
          <w:szCs w:val="22"/>
        </w:rPr>
        <w:t>A.3</w:t>
      </w:r>
      <w:r w:rsidRPr="00E57D5E">
        <w:rPr>
          <w:szCs w:val="22"/>
        </w:rPr>
        <w:tab/>
        <w:t>Use of Information Technology and Burden Reduction</w:t>
      </w:r>
      <w:r w:rsidRPr="00E57D5E">
        <w:rPr>
          <w:szCs w:val="22"/>
        </w:rPr>
        <w:tab/>
      </w:r>
    </w:p>
    <w:p w:rsidRPr="00E57D5E" w:rsidR="001A57A4" w:rsidP="001A57A4" w:rsidRDefault="001A57A4" w14:paraId="7973FA95" w14:textId="77777777">
      <w:pPr>
        <w:pStyle w:val="P1-StandPara"/>
        <w:ind w:firstLine="0"/>
        <w:rPr>
          <w:szCs w:val="22"/>
        </w:rPr>
      </w:pPr>
      <w:r w:rsidRPr="00E57D5E">
        <w:rPr>
          <w:szCs w:val="22"/>
        </w:rPr>
        <w:t>A.4</w:t>
      </w:r>
      <w:r w:rsidRPr="00E57D5E">
        <w:rPr>
          <w:szCs w:val="22"/>
        </w:rPr>
        <w:tab/>
        <w:t>Efforts to Identify Duplication and Use of Similar Information</w:t>
      </w:r>
      <w:r w:rsidRPr="00E57D5E">
        <w:rPr>
          <w:szCs w:val="22"/>
        </w:rPr>
        <w:tab/>
      </w:r>
    </w:p>
    <w:p w:rsidRPr="00E57D5E" w:rsidR="001A57A4" w:rsidP="001A57A4" w:rsidRDefault="001A57A4" w14:paraId="71612D12" w14:textId="77777777">
      <w:pPr>
        <w:pStyle w:val="P1-StandPara"/>
        <w:ind w:firstLine="0"/>
        <w:rPr>
          <w:szCs w:val="22"/>
        </w:rPr>
      </w:pPr>
      <w:r w:rsidRPr="00E57D5E">
        <w:rPr>
          <w:szCs w:val="22"/>
        </w:rPr>
        <w:t>A.5</w:t>
      </w:r>
      <w:r w:rsidRPr="00E57D5E">
        <w:rPr>
          <w:szCs w:val="22"/>
        </w:rPr>
        <w:tab/>
        <w:t>Impact on Small Businesses or Other Small Entities</w:t>
      </w:r>
      <w:r w:rsidRPr="00E57D5E">
        <w:rPr>
          <w:szCs w:val="22"/>
        </w:rPr>
        <w:tab/>
      </w:r>
    </w:p>
    <w:p w:rsidRPr="00E57D5E" w:rsidR="001A57A4" w:rsidP="001A57A4" w:rsidRDefault="001A57A4" w14:paraId="380B10FD" w14:textId="77777777">
      <w:pPr>
        <w:pStyle w:val="P1-StandPara"/>
        <w:ind w:firstLine="0"/>
        <w:rPr>
          <w:szCs w:val="22"/>
        </w:rPr>
      </w:pPr>
      <w:r w:rsidRPr="00E57D5E">
        <w:rPr>
          <w:szCs w:val="22"/>
        </w:rPr>
        <w:t>A.6</w:t>
      </w:r>
      <w:r w:rsidRPr="00E57D5E">
        <w:rPr>
          <w:szCs w:val="22"/>
        </w:rPr>
        <w:tab/>
        <w:t>Consequences of Collecting the Information Less Frequently</w:t>
      </w:r>
      <w:r w:rsidRPr="00E57D5E">
        <w:rPr>
          <w:szCs w:val="22"/>
        </w:rPr>
        <w:tab/>
      </w:r>
    </w:p>
    <w:p w:rsidRPr="00E57D5E" w:rsidR="001A57A4" w:rsidP="001A57A4" w:rsidRDefault="001A57A4" w14:paraId="1B9780B8" w14:textId="77777777">
      <w:pPr>
        <w:pStyle w:val="P1-StandPara"/>
        <w:ind w:firstLine="0"/>
        <w:rPr>
          <w:szCs w:val="22"/>
        </w:rPr>
      </w:pPr>
      <w:r w:rsidRPr="00E57D5E">
        <w:rPr>
          <w:szCs w:val="22"/>
        </w:rPr>
        <w:t>A.7</w:t>
      </w:r>
      <w:r w:rsidRPr="00E57D5E">
        <w:rPr>
          <w:szCs w:val="22"/>
        </w:rPr>
        <w:tab/>
        <w:t>Special Circumstances Relating to the Guidelines of 5 CFR 1320.5</w:t>
      </w:r>
      <w:r w:rsidRPr="00E57D5E">
        <w:rPr>
          <w:szCs w:val="22"/>
        </w:rPr>
        <w:tab/>
      </w:r>
    </w:p>
    <w:p w:rsidRPr="00E57D5E" w:rsidR="001A57A4" w:rsidP="001A57A4" w:rsidRDefault="001A57A4" w14:paraId="1E31DF46" w14:textId="77777777">
      <w:pPr>
        <w:pStyle w:val="P1-StandPara"/>
        <w:ind w:firstLine="0"/>
        <w:rPr>
          <w:szCs w:val="22"/>
        </w:rPr>
      </w:pPr>
      <w:r w:rsidRPr="00E57D5E">
        <w:rPr>
          <w:szCs w:val="22"/>
        </w:rPr>
        <w:t>A.8</w:t>
      </w:r>
      <w:r w:rsidRPr="00E57D5E">
        <w:rPr>
          <w:szCs w:val="22"/>
        </w:rPr>
        <w:tab/>
        <w:t>Comments in Response to the Federal Register Notice and Efforts to Consult Outside Agency</w:t>
      </w:r>
      <w:r w:rsidRPr="00E57D5E">
        <w:rPr>
          <w:szCs w:val="22"/>
        </w:rPr>
        <w:tab/>
      </w:r>
    </w:p>
    <w:p w:rsidRPr="00E57D5E" w:rsidR="001A57A4" w:rsidP="001A57A4" w:rsidRDefault="001A57A4" w14:paraId="7A4F3E64" w14:textId="77777777">
      <w:pPr>
        <w:pStyle w:val="P1-StandPara"/>
        <w:ind w:firstLine="0"/>
        <w:rPr>
          <w:szCs w:val="22"/>
        </w:rPr>
      </w:pPr>
      <w:r w:rsidRPr="00E57D5E">
        <w:rPr>
          <w:szCs w:val="22"/>
        </w:rPr>
        <w:t>A.9</w:t>
      </w:r>
      <w:r w:rsidRPr="00E57D5E">
        <w:rPr>
          <w:szCs w:val="22"/>
        </w:rPr>
        <w:tab/>
        <w:t>Explanation of Any Payment of Gift to Respondents</w:t>
      </w:r>
      <w:r w:rsidRPr="00E57D5E">
        <w:rPr>
          <w:szCs w:val="22"/>
        </w:rPr>
        <w:tab/>
      </w:r>
    </w:p>
    <w:p w:rsidRPr="00E57D5E" w:rsidR="001A57A4" w:rsidP="001A57A4" w:rsidRDefault="001A57A4" w14:paraId="4D198AD9" w14:textId="77777777">
      <w:pPr>
        <w:pStyle w:val="P1-StandPara"/>
        <w:ind w:firstLine="0"/>
        <w:rPr>
          <w:szCs w:val="22"/>
        </w:rPr>
      </w:pPr>
      <w:r w:rsidRPr="00E57D5E">
        <w:rPr>
          <w:szCs w:val="22"/>
        </w:rPr>
        <w:t>A.10</w:t>
      </w:r>
      <w:r w:rsidRPr="00E57D5E">
        <w:rPr>
          <w:szCs w:val="22"/>
        </w:rPr>
        <w:tab/>
        <w:t>Assurance of Confidentiality Provided to Respondents</w:t>
      </w:r>
      <w:r w:rsidRPr="00E57D5E">
        <w:rPr>
          <w:szCs w:val="22"/>
        </w:rPr>
        <w:tab/>
      </w:r>
    </w:p>
    <w:p w:rsidRPr="00E57D5E" w:rsidR="001A57A4" w:rsidP="001A57A4" w:rsidRDefault="001A57A4" w14:paraId="67F07EDF" w14:textId="77777777">
      <w:pPr>
        <w:pStyle w:val="P1-StandPara"/>
        <w:ind w:firstLine="0"/>
        <w:rPr>
          <w:szCs w:val="22"/>
        </w:rPr>
      </w:pPr>
      <w:r w:rsidRPr="00E57D5E">
        <w:rPr>
          <w:szCs w:val="22"/>
        </w:rPr>
        <w:t>A.11</w:t>
      </w:r>
      <w:r w:rsidRPr="00E57D5E">
        <w:rPr>
          <w:szCs w:val="22"/>
        </w:rPr>
        <w:tab/>
        <w:t>Justification for Sensitive Questions</w:t>
      </w:r>
      <w:r w:rsidRPr="00E57D5E">
        <w:rPr>
          <w:szCs w:val="22"/>
        </w:rPr>
        <w:tab/>
      </w:r>
    </w:p>
    <w:p w:rsidRPr="00E57D5E" w:rsidR="001A57A4" w:rsidP="001A57A4" w:rsidRDefault="001A57A4" w14:paraId="10401B43" w14:textId="77777777">
      <w:pPr>
        <w:pStyle w:val="P1-StandPara"/>
        <w:ind w:firstLine="0"/>
        <w:rPr>
          <w:szCs w:val="22"/>
        </w:rPr>
      </w:pPr>
      <w:r w:rsidRPr="00E57D5E">
        <w:rPr>
          <w:szCs w:val="22"/>
        </w:rPr>
        <w:t>A.12</w:t>
      </w:r>
      <w:r w:rsidRPr="00E57D5E">
        <w:rPr>
          <w:szCs w:val="22"/>
        </w:rPr>
        <w:tab/>
        <w:t>Estimates of Hour Burden Including Annualized Hourly Costs</w:t>
      </w:r>
      <w:r w:rsidRPr="00E57D5E">
        <w:rPr>
          <w:szCs w:val="22"/>
        </w:rPr>
        <w:tab/>
      </w:r>
    </w:p>
    <w:p w:rsidRPr="00E57D5E" w:rsidR="001A57A4" w:rsidP="001A57A4" w:rsidRDefault="001A57A4" w14:paraId="0662A28C" w14:textId="77777777">
      <w:pPr>
        <w:pStyle w:val="P1-StandPara"/>
        <w:ind w:firstLine="0"/>
        <w:rPr>
          <w:szCs w:val="22"/>
        </w:rPr>
      </w:pPr>
      <w:r w:rsidRPr="00E57D5E">
        <w:rPr>
          <w:szCs w:val="22"/>
        </w:rPr>
        <w:t>A.13</w:t>
      </w:r>
      <w:r w:rsidRPr="00E57D5E">
        <w:rPr>
          <w:szCs w:val="22"/>
        </w:rPr>
        <w:tab/>
        <w:t>Estimate of Other Total Annual Cost Burden to Respondents or Record  keepers</w:t>
      </w:r>
      <w:r w:rsidRPr="00E57D5E">
        <w:rPr>
          <w:szCs w:val="22"/>
        </w:rPr>
        <w:tab/>
      </w:r>
    </w:p>
    <w:p w:rsidRPr="00E57D5E" w:rsidR="001A57A4" w:rsidP="001A57A4" w:rsidRDefault="001A57A4" w14:paraId="11029A19" w14:textId="77777777">
      <w:pPr>
        <w:pStyle w:val="P1-StandPara"/>
        <w:ind w:firstLine="0"/>
        <w:rPr>
          <w:szCs w:val="22"/>
        </w:rPr>
      </w:pPr>
      <w:r w:rsidRPr="00E57D5E">
        <w:rPr>
          <w:szCs w:val="22"/>
        </w:rPr>
        <w:t>A.14</w:t>
      </w:r>
      <w:r w:rsidRPr="00E57D5E">
        <w:rPr>
          <w:szCs w:val="22"/>
        </w:rPr>
        <w:tab/>
        <w:t>Annualized Cost to the Federal Government</w:t>
      </w:r>
      <w:r w:rsidRPr="00E57D5E">
        <w:rPr>
          <w:szCs w:val="22"/>
        </w:rPr>
        <w:tab/>
      </w:r>
    </w:p>
    <w:p w:rsidRPr="00E57D5E" w:rsidR="001A57A4" w:rsidP="001A57A4" w:rsidRDefault="001A57A4" w14:paraId="2BDE5E44" w14:textId="77777777">
      <w:pPr>
        <w:pStyle w:val="P1-StandPara"/>
        <w:ind w:firstLine="0"/>
        <w:rPr>
          <w:szCs w:val="22"/>
        </w:rPr>
      </w:pPr>
      <w:r w:rsidRPr="00E57D5E">
        <w:rPr>
          <w:szCs w:val="22"/>
        </w:rPr>
        <w:t>A.15</w:t>
      </w:r>
      <w:r w:rsidRPr="00E57D5E">
        <w:rPr>
          <w:szCs w:val="22"/>
        </w:rPr>
        <w:tab/>
        <w:t>Explanation for Program Changes or Adjustments</w:t>
      </w:r>
      <w:r w:rsidRPr="00E57D5E">
        <w:rPr>
          <w:szCs w:val="22"/>
        </w:rPr>
        <w:tab/>
      </w:r>
    </w:p>
    <w:p w:rsidRPr="00E57D5E" w:rsidR="001A57A4" w:rsidP="001A57A4" w:rsidRDefault="001A57A4" w14:paraId="0CD31E7D" w14:textId="77777777">
      <w:pPr>
        <w:pStyle w:val="P1-StandPara"/>
        <w:ind w:firstLine="0"/>
        <w:rPr>
          <w:szCs w:val="22"/>
        </w:rPr>
      </w:pPr>
      <w:r w:rsidRPr="00E57D5E">
        <w:rPr>
          <w:szCs w:val="22"/>
        </w:rPr>
        <w:t>A.16</w:t>
      </w:r>
      <w:r w:rsidRPr="00E57D5E">
        <w:rPr>
          <w:szCs w:val="22"/>
        </w:rPr>
        <w:tab/>
        <w:t>Plans for Tabulation and Publication and Project Time Schedule</w:t>
      </w:r>
      <w:r w:rsidRPr="00E57D5E">
        <w:rPr>
          <w:szCs w:val="22"/>
        </w:rPr>
        <w:tab/>
      </w:r>
    </w:p>
    <w:p w:rsidRPr="00E57D5E" w:rsidR="001A57A4" w:rsidP="001A57A4" w:rsidRDefault="001A57A4" w14:paraId="1A455557" w14:textId="77777777">
      <w:pPr>
        <w:pStyle w:val="P1-StandPara"/>
        <w:ind w:firstLine="0"/>
        <w:rPr>
          <w:szCs w:val="22"/>
        </w:rPr>
      </w:pPr>
      <w:r w:rsidRPr="00E57D5E">
        <w:rPr>
          <w:szCs w:val="22"/>
        </w:rPr>
        <w:t>A.17</w:t>
      </w:r>
      <w:r w:rsidRPr="00E57D5E">
        <w:rPr>
          <w:szCs w:val="22"/>
        </w:rPr>
        <w:tab/>
        <w:t>Reason(s) Display of OMB Expiration Date is Inappropriate</w:t>
      </w:r>
      <w:r w:rsidRPr="00E57D5E">
        <w:rPr>
          <w:szCs w:val="22"/>
        </w:rPr>
        <w:tab/>
      </w:r>
    </w:p>
    <w:p w:rsidRPr="00E57D5E" w:rsidR="001A57A4" w:rsidP="001A57A4" w:rsidRDefault="001A57A4" w14:paraId="70E7995C" w14:textId="77777777">
      <w:pPr>
        <w:pStyle w:val="P1-StandPara"/>
        <w:ind w:firstLine="0"/>
        <w:rPr>
          <w:szCs w:val="22"/>
        </w:rPr>
      </w:pPr>
      <w:r w:rsidRPr="00E57D5E">
        <w:rPr>
          <w:szCs w:val="22"/>
        </w:rPr>
        <w:t>A.18</w:t>
      </w:r>
      <w:r w:rsidRPr="00E57D5E">
        <w:rPr>
          <w:szCs w:val="22"/>
        </w:rPr>
        <w:tab/>
        <w:t>Exceptions to Certification for Paperwork Reduction Act Submissions</w:t>
      </w:r>
      <w:r w:rsidRPr="00E57D5E">
        <w:rPr>
          <w:szCs w:val="22"/>
        </w:rPr>
        <w:tab/>
      </w:r>
    </w:p>
    <w:p w:rsidR="001A57A4" w:rsidP="001A57A4" w:rsidRDefault="006F15EB" w14:paraId="7FF34572" w14:textId="5D713A32">
      <w:pPr>
        <w:pStyle w:val="P1-StandPara"/>
        <w:ind w:firstLine="0"/>
        <w:rPr>
          <w:b/>
          <w:i/>
          <w:szCs w:val="22"/>
        </w:rPr>
      </w:pPr>
      <w:r>
        <w:rPr>
          <w:b/>
          <w:i/>
          <w:szCs w:val="22"/>
        </w:rPr>
        <w:br w:type="column"/>
      </w:r>
      <w:r w:rsidRPr="00E57D5E" w:rsidR="001A57A4">
        <w:rPr>
          <w:b/>
          <w:i/>
          <w:szCs w:val="22"/>
        </w:rPr>
        <w:lastRenderedPageBreak/>
        <w:t xml:space="preserve">Attachments </w:t>
      </w:r>
    </w:p>
    <w:p w:rsidR="00405C48" w:rsidP="00405C48" w:rsidRDefault="00405C48" w14:paraId="20FE0B0A" w14:textId="2FB7232F">
      <w:pPr>
        <w:pStyle w:val="P1-StandPara"/>
        <w:numPr>
          <w:ilvl w:val="0"/>
          <w:numId w:val="42"/>
        </w:numPr>
        <w:rPr>
          <w:b/>
          <w:i/>
          <w:szCs w:val="22"/>
        </w:rPr>
      </w:pPr>
      <w:r>
        <w:rPr>
          <w:b/>
          <w:i/>
          <w:szCs w:val="22"/>
        </w:rPr>
        <w:t xml:space="preserve">Attitude </w:t>
      </w:r>
      <w:r w:rsidR="00434FA6">
        <w:rPr>
          <w:b/>
          <w:i/>
          <w:szCs w:val="22"/>
        </w:rPr>
        <w:t>pre- and post-</w:t>
      </w:r>
      <w:r>
        <w:rPr>
          <w:b/>
          <w:i/>
          <w:szCs w:val="22"/>
        </w:rPr>
        <w:t>assessment</w:t>
      </w:r>
    </w:p>
    <w:p w:rsidR="004C085F" w:rsidP="00405C48" w:rsidRDefault="004C085F" w14:paraId="1FCD84C3" w14:textId="34A8F0DE">
      <w:pPr>
        <w:pStyle w:val="P1-StandPara"/>
        <w:numPr>
          <w:ilvl w:val="0"/>
          <w:numId w:val="42"/>
        </w:numPr>
        <w:rPr>
          <w:b/>
          <w:i/>
          <w:szCs w:val="22"/>
        </w:rPr>
      </w:pPr>
      <w:r>
        <w:rPr>
          <w:b/>
          <w:i/>
          <w:szCs w:val="22"/>
        </w:rPr>
        <w:t>Course content [screenshot]</w:t>
      </w:r>
    </w:p>
    <w:p w:rsidR="00405C48" w:rsidP="00405C48" w:rsidRDefault="00405C48" w14:paraId="5DC26402" w14:textId="002CA1FE">
      <w:pPr>
        <w:pStyle w:val="P1-StandPara"/>
        <w:numPr>
          <w:ilvl w:val="0"/>
          <w:numId w:val="42"/>
        </w:numPr>
        <w:rPr>
          <w:b/>
          <w:i/>
          <w:szCs w:val="22"/>
        </w:rPr>
      </w:pPr>
      <w:r>
        <w:rPr>
          <w:b/>
          <w:i/>
          <w:szCs w:val="22"/>
        </w:rPr>
        <w:t>Module evaluation</w:t>
      </w:r>
    </w:p>
    <w:p w:rsidR="004C085F" w:rsidP="00405C48" w:rsidRDefault="004C085F" w14:paraId="34C385F4" w14:textId="1C03FB4F">
      <w:pPr>
        <w:pStyle w:val="P1-StandPara"/>
        <w:numPr>
          <w:ilvl w:val="0"/>
          <w:numId w:val="42"/>
        </w:numPr>
        <w:rPr>
          <w:b/>
          <w:i/>
          <w:szCs w:val="22"/>
        </w:rPr>
      </w:pPr>
      <w:r>
        <w:rPr>
          <w:b/>
          <w:i/>
          <w:szCs w:val="22"/>
        </w:rPr>
        <w:t>Outcomes Assessment</w:t>
      </w:r>
    </w:p>
    <w:p w:rsidR="004040A3" w:rsidP="00405C48" w:rsidRDefault="004040A3" w14:paraId="050AE156" w14:textId="0E8238A3">
      <w:pPr>
        <w:pStyle w:val="P1-StandPara"/>
        <w:numPr>
          <w:ilvl w:val="0"/>
          <w:numId w:val="42"/>
        </w:numPr>
        <w:rPr>
          <w:b/>
          <w:i/>
          <w:szCs w:val="22"/>
        </w:rPr>
      </w:pPr>
      <w:r>
        <w:rPr>
          <w:b/>
          <w:i/>
          <w:szCs w:val="22"/>
        </w:rPr>
        <w:t>Immunology knowledge check</w:t>
      </w:r>
    </w:p>
    <w:p w:rsidR="004040A3" w:rsidP="00405C48" w:rsidRDefault="00405C48" w14:paraId="12ACC244" w14:textId="0AE1E14D">
      <w:pPr>
        <w:pStyle w:val="P1-StandPara"/>
        <w:numPr>
          <w:ilvl w:val="0"/>
          <w:numId w:val="42"/>
        </w:numPr>
        <w:rPr>
          <w:b/>
          <w:i/>
          <w:szCs w:val="22"/>
        </w:rPr>
      </w:pPr>
      <w:r>
        <w:rPr>
          <w:b/>
          <w:i/>
          <w:szCs w:val="22"/>
        </w:rPr>
        <w:t>Pulmonary</w:t>
      </w:r>
      <w:r w:rsidR="004040A3">
        <w:rPr>
          <w:b/>
          <w:i/>
          <w:szCs w:val="22"/>
        </w:rPr>
        <w:t xml:space="preserve"> disease module knowledge check</w:t>
      </w:r>
    </w:p>
    <w:p w:rsidR="004040A3" w:rsidP="00405C48" w:rsidRDefault="00405C48" w14:paraId="7B58E4CE" w14:textId="07D3A518">
      <w:pPr>
        <w:pStyle w:val="P1-StandPara"/>
        <w:numPr>
          <w:ilvl w:val="0"/>
          <w:numId w:val="42"/>
        </w:numPr>
        <w:rPr>
          <w:b/>
          <w:i/>
          <w:szCs w:val="22"/>
        </w:rPr>
      </w:pPr>
      <w:r>
        <w:rPr>
          <w:b/>
          <w:i/>
          <w:szCs w:val="22"/>
        </w:rPr>
        <w:t>Cardiovascular</w:t>
      </w:r>
      <w:r w:rsidR="004040A3">
        <w:rPr>
          <w:b/>
          <w:i/>
          <w:szCs w:val="22"/>
        </w:rPr>
        <w:t xml:space="preserve"> disease module knowledge check</w:t>
      </w:r>
    </w:p>
    <w:p w:rsidR="004040A3" w:rsidP="00405C48" w:rsidRDefault="004040A3" w14:paraId="2389D005" w14:textId="3B96F55D">
      <w:pPr>
        <w:pStyle w:val="P1-StandPara"/>
        <w:numPr>
          <w:ilvl w:val="0"/>
          <w:numId w:val="42"/>
        </w:numPr>
        <w:rPr>
          <w:b/>
          <w:i/>
          <w:szCs w:val="22"/>
        </w:rPr>
      </w:pPr>
      <w:r>
        <w:rPr>
          <w:b/>
          <w:i/>
          <w:szCs w:val="22"/>
        </w:rPr>
        <w:t>Neurology module knowledge check</w:t>
      </w:r>
    </w:p>
    <w:p w:rsidR="004040A3" w:rsidP="00405C48" w:rsidRDefault="004040A3" w14:paraId="294FD3B1" w14:textId="0D262857">
      <w:pPr>
        <w:pStyle w:val="P1-StandPara"/>
        <w:numPr>
          <w:ilvl w:val="0"/>
          <w:numId w:val="42"/>
        </w:numPr>
        <w:rPr>
          <w:b/>
          <w:i/>
          <w:szCs w:val="22"/>
        </w:rPr>
      </w:pPr>
      <w:r>
        <w:rPr>
          <w:b/>
          <w:i/>
          <w:szCs w:val="22"/>
        </w:rPr>
        <w:t>Endocrinology module knowledge check</w:t>
      </w:r>
    </w:p>
    <w:p w:rsidR="004040A3" w:rsidP="00405C48" w:rsidRDefault="004040A3" w14:paraId="0BE64FE0" w14:textId="507C85DB">
      <w:pPr>
        <w:pStyle w:val="P1-StandPara"/>
        <w:numPr>
          <w:ilvl w:val="0"/>
          <w:numId w:val="42"/>
        </w:numPr>
        <w:rPr>
          <w:b/>
          <w:i/>
          <w:szCs w:val="22"/>
        </w:rPr>
      </w:pPr>
      <w:r>
        <w:rPr>
          <w:b/>
          <w:i/>
          <w:szCs w:val="22"/>
        </w:rPr>
        <w:t>Mental health module knowledge check</w:t>
      </w:r>
    </w:p>
    <w:p w:rsidR="00405C48" w:rsidP="00405C48" w:rsidRDefault="00405C48" w14:paraId="36CACC62" w14:textId="77777777">
      <w:pPr>
        <w:pStyle w:val="P1-StandPara"/>
        <w:numPr>
          <w:ilvl w:val="0"/>
          <w:numId w:val="42"/>
        </w:numPr>
        <w:rPr>
          <w:b/>
          <w:i/>
          <w:szCs w:val="22"/>
        </w:rPr>
      </w:pPr>
      <w:r>
        <w:rPr>
          <w:b/>
          <w:i/>
          <w:szCs w:val="22"/>
        </w:rPr>
        <w:t>Privacy Impact Assessment</w:t>
      </w:r>
    </w:p>
    <w:p w:rsidRPr="00D564E8" w:rsidR="00434FA6" w:rsidP="00D564E8" w:rsidRDefault="00405C48" w14:paraId="6960C14D" w14:textId="38FDA2ED">
      <w:pPr>
        <w:pStyle w:val="P1-StandPara"/>
        <w:numPr>
          <w:ilvl w:val="0"/>
          <w:numId w:val="42"/>
        </w:numPr>
        <w:rPr>
          <w:b/>
          <w:i/>
          <w:szCs w:val="22"/>
        </w:rPr>
      </w:pPr>
      <w:r>
        <w:rPr>
          <w:b/>
          <w:i/>
          <w:szCs w:val="22"/>
        </w:rPr>
        <w:t>Privacy Memo</w:t>
      </w:r>
    </w:p>
    <w:p w:rsidR="00D564E8" w:rsidP="00D564E8" w:rsidRDefault="00D564E8" w14:paraId="75602E7E" w14:textId="6A9472AD">
      <w:pPr>
        <w:pStyle w:val="P1-StandPara"/>
        <w:numPr>
          <w:ilvl w:val="0"/>
          <w:numId w:val="42"/>
        </w:numPr>
        <w:rPr>
          <w:b/>
          <w:i/>
          <w:szCs w:val="22"/>
        </w:rPr>
      </w:pPr>
      <w:r>
        <w:rPr>
          <w:b/>
          <w:i/>
          <w:szCs w:val="22"/>
        </w:rPr>
        <w:t>SABV and the Health of Women and Men knowledge check</w:t>
      </w:r>
    </w:p>
    <w:p w:rsidR="00D564E8" w:rsidP="00D564E8" w:rsidRDefault="00D564E8" w14:paraId="5C00485D" w14:textId="0CF65745">
      <w:pPr>
        <w:pStyle w:val="P1-StandPara"/>
        <w:numPr>
          <w:ilvl w:val="0"/>
          <w:numId w:val="42"/>
        </w:numPr>
        <w:rPr>
          <w:b/>
          <w:i/>
          <w:szCs w:val="22"/>
        </w:rPr>
      </w:pPr>
      <w:r>
        <w:rPr>
          <w:b/>
          <w:i/>
          <w:szCs w:val="22"/>
        </w:rPr>
        <w:t>SABV and Experimental Design knowledge check</w:t>
      </w:r>
    </w:p>
    <w:p w:rsidR="00D564E8" w:rsidP="00D564E8" w:rsidRDefault="00D564E8" w14:paraId="617EB8DF" w14:textId="70E1F605">
      <w:pPr>
        <w:pStyle w:val="P1-StandPara"/>
        <w:numPr>
          <w:ilvl w:val="0"/>
          <w:numId w:val="42"/>
        </w:numPr>
        <w:rPr>
          <w:b/>
          <w:i/>
          <w:szCs w:val="22"/>
        </w:rPr>
      </w:pPr>
      <w:r>
        <w:rPr>
          <w:b/>
          <w:i/>
          <w:szCs w:val="22"/>
        </w:rPr>
        <w:t>SABV and Analyses knowledge check</w:t>
      </w:r>
    </w:p>
    <w:p w:rsidR="00D564E8" w:rsidP="00D564E8" w:rsidRDefault="00D564E8" w14:paraId="27A80059" w14:textId="7B847E94">
      <w:pPr>
        <w:pStyle w:val="P1-StandPara"/>
        <w:numPr>
          <w:ilvl w:val="0"/>
          <w:numId w:val="42"/>
        </w:numPr>
        <w:rPr>
          <w:b/>
          <w:i/>
          <w:szCs w:val="22"/>
        </w:rPr>
      </w:pPr>
      <w:r>
        <w:rPr>
          <w:b/>
          <w:i/>
          <w:szCs w:val="22"/>
        </w:rPr>
        <w:t>SABV and Reporting knowledge check</w:t>
      </w:r>
    </w:p>
    <w:p w:rsidR="00D85690" w:rsidP="00D564E8" w:rsidRDefault="00D85690" w14:paraId="24F8EC07" w14:textId="4761FA97">
      <w:pPr>
        <w:pStyle w:val="P1-StandPara"/>
        <w:numPr>
          <w:ilvl w:val="0"/>
          <w:numId w:val="42"/>
        </w:numPr>
        <w:rPr>
          <w:b/>
          <w:i/>
          <w:szCs w:val="22"/>
        </w:rPr>
      </w:pPr>
      <w:r>
        <w:rPr>
          <w:b/>
          <w:i/>
          <w:szCs w:val="22"/>
        </w:rPr>
        <w:t>Public comment log</w:t>
      </w:r>
    </w:p>
    <w:p w:rsidRPr="00D564E8" w:rsidR="002633AA" w:rsidP="00D564E8" w:rsidRDefault="002633AA" w14:paraId="14D75CF5" w14:textId="503D2494">
      <w:pPr>
        <w:pStyle w:val="P1-StandPara"/>
        <w:numPr>
          <w:ilvl w:val="0"/>
          <w:numId w:val="42"/>
        </w:numPr>
        <w:rPr>
          <w:b/>
          <w:i/>
          <w:szCs w:val="22"/>
        </w:rPr>
      </w:pPr>
      <w:r>
        <w:rPr>
          <w:b/>
          <w:i/>
          <w:szCs w:val="22"/>
        </w:rPr>
        <w:t>Efforts to consult outside agency</w:t>
      </w:r>
    </w:p>
    <w:p w:rsidRPr="00E57D5E" w:rsidR="004040A3" w:rsidP="00405C48" w:rsidRDefault="004040A3" w14:paraId="288AFA53" w14:textId="1F41C12D">
      <w:pPr>
        <w:pStyle w:val="P1-StandPara"/>
        <w:ind w:left="720" w:firstLine="0"/>
        <w:rPr>
          <w:b/>
          <w:i/>
          <w:szCs w:val="22"/>
        </w:rPr>
      </w:pPr>
    </w:p>
    <w:p w:rsidRPr="004040A3" w:rsidR="001A57A4" w:rsidP="004040A3" w:rsidRDefault="001A57A4" w14:paraId="0FDB1A5C" w14:textId="7BFC6282">
      <w:pPr>
        <w:pStyle w:val="P1-StandPara"/>
        <w:tabs>
          <w:tab w:val="left" w:pos="720"/>
          <w:tab w:val="right" w:leader="dot" w:pos="9504"/>
        </w:tabs>
        <w:spacing w:before="120" w:after="120"/>
        <w:rPr>
          <w:rFonts w:asciiTheme="minorHAnsi" w:hAnsiTheme="minorHAnsi"/>
          <w:szCs w:val="22"/>
        </w:rPr>
      </w:pPr>
      <w:r w:rsidRPr="00E57D5E">
        <w:rPr>
          <w:szCs w:val="22"/>
        </w:rPr>
        <w:fldChar w:fldCharType="end"/>
      </w:r>
    </w:p>
    <w:p w:rsidR="001A57A4" w:rsidP="001A57A4" w:rsidRDefault="001A57A4" w14:paraId="638EFD95" w14:textId="77777777">
      <w:pPr>
        <w:pStyle w:val="P1-StandPara"/>
        <w:tabs>
          <w:tab w:val="left" w:pos="720"/>
          <w:tab w:val="right" w:leader="dot" w:pos="9504"/>
        </w:tabs>
        <w:spacing w:before="120" w:after="120" w:line="240" w:lineRule="auto"/>
        <w:ind w:firstLine="0"/>
        <w:rPr>
          <w:rFonts w:asciiTheme="minorHAnsi" w:hAnsiTheme="minorHAnsi"/>
          <w:b/>
          <w:szCs w:val="22"/>
        </w:rPr>
      </w:pPr>
    </w:p>
    <w:p w:rsidR="00405C48" w:rsidP="004040A3" w:rsidRDefault="006F15EB" w14:paraId="3538F782" w14:textId="0F0D68D8">
      <w:pPr>
        <w:pStyle w:val="P1-StandPara"/>
        <w:tabs>
          <w:tab w:val="left" w:pos="720"/>
          <w:tab w:val="right" w:leader="dot" w:pos="9504"/>
        </w:tabs>
        <w:spacing w:before="120" w:after="120"/>
        <w:ind w:firstLine="0"/>
        <w:rPr>
          <w:b/>
          <w:szCs w:val="22"/>
        </w:rPr>
      </w:pPr>
      <w:r>
        <w:rPr>
          <w:b/>
          <w:szCs w:val="22"/>
        </w:rPr>
        <w:br w:type="column"/>
      </w:r>
      <w:r w:rsidRPr="004040A3" w:rsidR="001A57A4">
        <w:rPr>
          <w:b/>
          <w:szCs w:val="22"/>
        </w:rPr>
        <w:lastRenderedPageBreak/>
        <w:t xml:space="preserve">A. </w:t>
      </w:r>
      <w:r w:rsidR="00405C48">
        <w:rPr>
          <w:b/>
          <w:szCs w:val="22"/>
        </w:rPr>
        <w:t>Justification</w:t>
      </w:r>
    </w:p>
    <w:p w:rsidRPr="004040A3" w:rsidR="001A57A4" w:rsidP="004040A3" w:rsidRDefault="001A57A4" w14:paraId="7FA325E0" w14:textId="5BD27E02">
      <w:pPr>
        <w:pStyle w:val="P1-StandPara"/>
        <w:tabs>
          <w:tab w:val="left" w:pos="720"/>
          <w:tab w:val="right" w:leader="dot" w:pos="9504"/>
        </w:tabs>
        <w:spacing w:before="120" w:after="120"/>
        <w:ind w:firstLine="0"/>
        <w:rPr>
          <w:szCs w:val="22"/>
        </w:rPr>
      </w:pPr>
      <w:r w:rsidRPr="004040A3">
        <w:rPr>
          <w:b/>
          <w:szCs w:val="22"/>
        </w:rPr>
        <w:t>Abstract</w:t>
      </w:r>
    </w:p>
    <w:p w:rsidRPr="004040A3" w:rsidR="00867FE2" w:rsidP="004040A3" w:rsidRDefault="00867FE2" w14:paraId="26F61094" w14:textId="77777777">
      <w:pPr>
        <w:spacing w:after="0" w:line="480" w:lineRule="auto"/>
        <w:ind w:firstLine="720"/>
        <w:rPr>
          <w:rFonts w:ascii="Times New Roman" w:hAnsi="Times New Roman" w:cs="Times New Roman"/>
          <w:noProof/>
          <w:color w:val="000000" w:themeColor="text1"/>
        </w:rPr>
      </w:pPr>
      <w:r w:rsidRPr="004040A3">
        <w:rPr>
          <w:rFonts w:ascii="Times New Roman" w:hAnsi="Times New Roman" w:cs="Times New Roman"/>
        </w:rPr>
        <w:t xml:space="preserve">“Bench to Bedside: Integrating Sex and Gender to Improve Human Health” is an online course developed by ORWH, the FDA Office of Women’s Health, and other non-federal subject matter experts. “Sex as a Biological Variable: A Primer” is an online course developed by ORWH, NIGMS, and other non-federal subject matter experts. </w:t>
      </w:r>
      <w:r w:rsidRPr="004040A3">
        <w:rPr>
          <w:rFonts w:ascii="Times New Roman" w:hAnsi="Times New Roman" w:cs="Times New Roman"/>
          <w:noProof/>
          <w:color w:val="000000" w:themeColor="text1"/>
        </w:rPr>
        <w:t xml:space="preserve"> </w:t>
      </w:r>
      <w:r w:rsidRPr="004040A3">
        <w:rPr>
          <w:rFonts w:ascii="Times New Roman" w:hAnsi="Times New Roman" w:cs="Times New Roman"/>
        </w:rPr>
        <w:t xml:space="preserve">Together, these two courses </w:t>
      </w:r>
      <w:r w:rsidRPr="004040A3">
        <w:rPr>
          <w:rFonts w:ascii="Times New Roman" w:hAnsi="Times New Roman" w:cs="Times New Roman"/>
          <w:noProof/>
          <w:color w:val="000000" w:themeColor="text1"/>
        </w:rPr>
        <w:t xml:space="preserve">will provide learners a rationale for the study of biological differences between the sexes, the impact of sex and gender difference on illness, guidance on incorporating the NIH policy on sex as a biological variable (SABV) into studies, and an exploration of sex- and gender-related differences in key disease areas.  The Bench to Bedside course will also offer </w:t>
      </w:r>
      <w:bookmarkStart w:name="_Hlk36544961" w:id="2"/>
      <w:r w:rsidRPr="004040A3">
        <w:rPr>
          <w:rFonts w:ascii="Times New Roman" w:hAnsi="Times New Roman" w:cs="Times New Roman"/>
          <w:noProof/>
          <w:color w:val="000000" w:themeColor="text1"/>
        </w:rPr>
        <w:t>free continuing medical education credits</w:t>
      </w:r>
      <w:bookmarkEnd w:id="2"/>
      <w:r w:rsidRPr="004040A3">
        <w:rPr>
          <w:rFonts w:ascii="Times New Roman" w:hAnsi="Times New Roman" w:cs="Times New Roman"/>
          <w:noProof/>
          <w:color w:val="000000" w:themeColor="text1"/>
        </w:rPr>
        <w:t xml:space="preserve">.  </w:t>
      </w:r>
    </w:p>
    <w:p w:rsidRPr="004040A3" w:rsidR="001A57A4" w:rsidP="004040A3" w:rsidRDefault="00867FE2" w14:paraId="30F10008" w14:textId="516D34EC">
      <w:pPr>
        <w:spacing w:after="0" w:line="480" w:lineRule="auto"/>
        <w:ind w:firstLine="720"/>
        <w:rPr>
          <w:rFonts w:ascii="Times New Roman" w:hAnsi="Times New Roman" w:cs="Times New Roman"/>
          <w:b/>
          <w:noProof/>
          <w:color w:val="000000" w:themeColor="text1"/>
        </w:rPr>
      </w:pPr>
      <w:r w:rsidRPr="004040A3">
        <w:rPr>
          <w:rFonts w:ascii="Times New Roman" w:hAnsi="Times New Roman" w:cs="Times New Roman"/>
          <w:noProof/>
          <w:color w:val="000000" w:themeColor="text1"/>
        </w:rPr>
        <w:t>In conjunction with these courses, ORWH will collect information through knowledge checks</w:t>
      </w:r>
      <w:r w:rsidRPr="004040A3" w:rsidR="001531DF">
        <w:rPr>
          <w:rFonts w:ascii="Times New Roman" w:hAnsi="Times New Roman" w:cs="Times New Roman"/>
          <w:noProof/>
          <w:color w:val="000000" w:themeColor="text1"/>
        </w:rPr>
        <w:t xml:space="preserve">, </w:t>
      </w:r>
      <w:r w:rsidRPr="004040A3" w:rsidR="0061581A">
        <w:rPr>
          <w:rFonts w:ascii="Times New Roman" w:hAnsi="Times New Roman" w:cs="Times New Roman"/>
          <w:noProof/>
          <w:color w:val="000000" w:themeColor="text1"/>
        </w:rPr>
        <w:t>pre-/post-</w:t>
      </w:r>
      <w:r w:rsidRPr="004040A3">
        <w:rPr>
          <w:rFonts w:ascii="Times New Roman" w:hAnsi="Times New Roman" w:cs="Times New Roman"/>
          <w:noProof/>
          <w:color w:val="000000" w:themeColor="text1"/>
        </w:rPr>
        <w:t>attitude assessments</w:t>
      </w:r>
      <w:r w:rsidRPr="004040A3" w:rsidR="001531DF">
        <w:rPr>
          <w:rFonts w:ascii="Times New Roman" w:hAnsi="Times New Roman" w:cs="Times New Roman"/>
          <w:noProof/>
          <w:color w:val="000000" w:themeColor="text1"/>
        </w:rPr>
        <w:t>, and course/module evaluation</w:t>
      </w:r>
      <w:r w:rsidR="00405C48">
        <w:rPr>
          <w:rFonts w:ascii="Times New Roman" w:hAnsi="Times New Roman" w:cs="Times New Roman"/>
          <w:noProof/>
          <w:color w:val="000000" w:themeColor="text1"/>
        </w:rPr>
        <w:t>s</w:t>
      </w:r>
      <w:r w:rsidRPr="004040A3">
        <w:rPr>
          <w:rFonts w:ascii="Times New Roman" w:hAnsi="Times New Roman" w:cs="Times New Roman"/>
          <w:noProof/>
          <w:color w:val="000000" w:themeColor="text1"/>
        </w:rPr>
        <w:t xml:space="preserve">. The information collected will be used in the following ways:  1. To assess uptake and learning of concepts in each </w:t>
      </w:r>
      <w:r w:rsidR="00B03C5A">
        <w:rPr>
          <w:rFonts w:ascii="Times New Roman" w:hAnsi="Times New Roman" w:cs="Times New Roman"/>
          <w:noProof/>
          <w:color w:val="000000" w:themeColor="text1"/>
        </w:rPr>
        <w:t>module</w:t>
      </w:r>
      <w:r w:rsidRPr="004040A3">
        <w:rPr>
          <w:rFonts w:ascii="Times New Roman" w:hAnsi="Times New Roman" w:cs="Times New Roman"/>
          <w:noProof/>
          <w:color w:val="000000" w:themeColor="text1"/>
        </w:rPr>
        <w:t>; 2. To identify demographic trends across learners in order to inform targeted outreach 3. To assess effectiveness of course materials; and 4. To identify areas of focus for future course improvement, modifications, and expansion</w:t>
      </w:r>
      <w:r w:rsidRPr="004040A3" w:rsidR="001A57A4">
        <w:rPr>
          <w:rFonts w:ascii="Times New Roman" w:hAnsi="Times New Roman" w:cs="Times New Roman"/>
        </w:rPr>
        <w:t xml:space="preserve">. </w:t>
      </w:r>
      <w:r w:rsidR="00405C48">
        <w:rPr>
          <w:rFonts w:ascii="Times New Roman" w:hAnsi="Times New Roman" w:cs="Times New Roman"/>
          <w:szCs w:val="24"/>
        </w:rPr>
        <w:t xml:space="preserve">The information collection will </w:t>
      </w:r>
      <w:r w:rsidRPr="00B22A74" w:rsidR="00405C48">
        <w:rPr>
          <w:rFonts w:ascii="Times New Roman" w:hAnsi="Times New Roman" w:cs="Times New Roman"/>
          <w:szCs w:val="24"/>
        </w:rPr>
        <w:t xml:space="preserve">provide </w:t>
      </w:r>
      <w:r w:rsidR="00405C48">
        <w:rPr>
          <w:rFonts w:ascii="Times New Roman" w:hAnsi="Times New Roman" w:cs="Times New Roman"/>
          <w:szCs w:val="24"/>
        </w:rPr>
        <w:t xml:space="preserve">a valuable measure of the degree to which ORWH e-learning courses are furthering </w:t>
      </w:r>
      <w:r w:rsidRPr="00B22A74" w:rsidR="00405C48">
        <w:rPr>
          <w:rFonts w:ascii="Times New Roman" w:hAnsi="Times New Roman" w:cs="Times New Roman"/>
          <w:szCs w:val="24"/>
        </w:rPr>
        <w:t>the ORWH mission to promote women's health research within and beyond the NIH scientific community.</w:t>
      </w:r>
    </w:p>
    <w:p w:rsidRPr="00E57D5E" w:rsidR="001A57A4" w:rsidP="001A57A4" w:rsidRDefault="001A57A4" w14:paraId="289AFDE9" w14:textId="77777777">
      <w:pPr>
        <w:pStyle w:val="P1-StandPara"/>
        <w:tabs>
          <w:tab w:val="left" w:pos="720"/>
          <w:tab w:val="right" w:leader="dot" w:pos="9504"/>
        </w:tabs>
        <w:spacing w:before="120" w:after="120"/>
        <w:ind w:firstLine="0"/>
        <w:rPr>
          <w:b/>
          <w:szCs w:val="22"/>
        </w:rPr>
      </w:pPr>
      <w:r w:rsidRPr="00E57D5E">
        <w:rPr>
          <w:b/>
          <w:szCs w:val="22"/>
        </w:rPr>
        <w:t>A.1</w:t>
      </w:r>
      <w:r w:rsidRPr="00E57D5E">
        <w:rPr>
          <w:b/>
          <w:szCs w:val="22"/>
        </w:rPr>
        <w:tab/>
        <w:t>Circumstances Making the Collection of Information Necessary</w:t>
      </w:r>
    </w:p>
    <w:p w:rsidR="00DE081E" w:rsidP="008B5E85" w:rsidRDefault="00DE081E" w14:paraId="2C216E47" w14:textId="3CA85B8B">
      <w:pPr>
        <w:spacing w:after="0" w:line="480" w:lineRule="auto"/>
        <w:ind w:firstLine="720"/>
        <w:rPr>
          <w:rFonts w:ascii="Times New Roman" w:hAnsi="Times New Roman" w:cs="Times New Roman"/>
        </w:rPr>
      </w:pPr>
      <w:bookmarkStart w:name="_Toc443881743" w:id="3"/>
      <w:bookmarkStart w:name="_Toc451592232" w:id="4"/>
      <w:bookmarkStart w:name="_Toc5610273" w:id="5"/>
      <w:bookmarkStart w:name="_Toc99178779" w:id="6"/>
      <w:bookmarkStart w:name="_Toc22307621" w:id="7"/>
      <w:bookmarkStart w:name="_Toc22825122" w:id="8"/>
      <w:r w:rsidRPr="00DE081E">
        <w:rPr>
          <w:rFonts w:ascii="Times New Roman" w:hAnsi="Times New Roman" w:cs="Times New Roman"/>
        </w:rPr>
        <w:t>ORWH serves as the focal point for women's health research at the NIH, reporting directly to the NIH Director, and working in a collaborative partnership with the Institutes, Centers, and Offices.</w:t>
      </w:r>
      <w:r>
        <w:rPr>
          <w:rFonts w:ascii="Times New Roman" w:hAnsi="Times New Roman" w:cs="Times New Roman"/>
        </w:rPr>
        <w:t xml:space="preserve"> </w:t>
      </w:r>
      <w:r w:rsidRPr="00DE081E">
        <w:rPr>
          <w:rFonts w:ascii="Times New Roman" w:hAnsi="Times New Roman" w:cs="Times New Roman"/>
        </w:rPr>
        <w:t xml:space="preserve">The ORWH legislative mandate includes </w:t>
      </w:r>
      <w:r w:rsidRPr="00DE081E">
        <w:rPr>
          <w:rFonts w:ascii="Times New Roman" w:hAnsi="Times New Roman" w:cs="Times New Roman"/>
          <w:color w:val="3D3D3D"/>
          <w:shd w:val="clear" w:color="auto" w:fill="FFFFFF"/>
        </w:rPr>
        <w:t xml:space="preserve">ensuring that research conducted and supported by NIH adequately addresses issues regarding women's health and ensuring that women are appropriately represented in biomedical and biobehavioral research studies supported </w:t>
      </w:r>
      <w:r w:rsidRPr="00DE081E">
        <w:rPr>
          <w:rFonts w:ascii="Times New Roman" w:hAnsi="Times New Roman" w:cs="Times New Roman"/>
          <w:color w:val="3D3D3D"/>
          <w:shd w:val="clear" w:color="auto" w:fill="FFFFFF"/>
        </w:rPr>
        <w:lastRenderedPageBreak/>
        <w:t>by the NIH.</w:t>
      </w:r>
      <w:r w:rsidRPr="00DE081E">
        <w:rPr>
          <w:rFonts w:ascii="Times New Roman" w:hAnsi="Times New Roman" w:cs="Times New Roman"/>
        </w:rPr>
        <w:t xml:space="preserve"> </w:t>
      </w:r>
      <w:r>
        <w:rPr>
          <w:rFonts w:ascii="Times New Roman" w:hAnsi="Times New Roman" w:cs="Times New Roman"/>
        </w:rPr>
        <w:t>In partial fulfillment of that mandate, ORWH is expanding its interprofessional education efforts to include online courses.</w:t>
      </w:r>
      <w:r w:rsidR="004C085F">
        <w:rPr>
          <w:rFonts w:ascii="Times New Roman" w:hAnsi="Times New Roman" w:cs="Times New Roman"/>
        </w:rPr>
        <w:t xml:space="preserve"> </w:t>
      </w:r>
    </w:p>
    <w:p w:rsidR="004C085F" w:rsidP="008B5E85" w:rsidRDefault="004C085F" w14:paraId="21CCC01C" w14:textId="2B057784">
      <w:pPr>
        <w:spacing w:after="0" w:line="480" w:lineRule="auto"/>
        <w:ind w:firstLine="720"/>
        <w:rPr>
          <w:rFonts w:ascii="Times New Roman" w:hAnsi="Times New Roman" w:cs="Times New Roman"/>
        </w:rPr>
      </w:pPr>
      <w:r>
        <w:rPr>
          <w:rFonts w:ascii="Times New Roman" w:hAnsi="Times New Roman" w:cs="Times New Roman"/>
        </w:rPr>
        <w:t xml:space="preserve">One of these courses, “Bench to Bedside: Integrating Sex and Gender to Improve Human Health,” (“Bench to Bedside”) will provide an opportunity for learners to earn free Continuing Education (CE) credits upon successful completion of the course. The CE provider requires ORWH to collect and provide certain information from those learners, including scores on module-specific knowledge checks, an overall evaluation, and an outcomes assessment to be administered </w:t>
      </w:r>
      <w:r w:rsidR="007B23EC">
        <w:rPr>
          <w:rFonts w:ascii="Times New Roman" w:hAnsi="Times New Roman" w:cs="Times New Roman"/>
        </w:rPr>
        <w:t xml:space="preserve">4-6 weeks after completing a module. </w:t>
      </w:r>
    </w:p>
    <w:p w:rsidRPr="00B22A74" w:rsidR="001A57A4" w:rsidP="0061581A" w:rsidRDefault="001A57A4" w14:paraId="2305AB7D" w14:textId="4C370C42">
      <w:pPr>
        <w:spacing w:after="0" w:line="480" w:lineRule="auto"/>
        <w:rPr>
          <w:rFonts w:ascii="Times New Roman" w:hAnsi="Times New Roman" w:cs="Times New Roman"/>
          <w:noProof/>
          <w:color w:val="000000" w:themeColor="text1"/>
          <w:szCs w:val="24"/>
        </w:rPr>
      </w:pPr>
      <w:r w:rsidRPr="00B22A74">
        <w:rPr>
          <w:rFonts w:ascii="Times New Roman" w:hAnsi="Times New Roman" w:cs="Times New Roman"/>
          <w:b/>
          <w:szCs w:val="24"/>
        </w:rPr>
        <w:t>A.2    Purpose and Use of the Information</w:t>
      </w:r>
      <w:bookmarkEnd w:id="3"/>
      <w:bookmarkEnd w:id="4"/>
      <w:bookmarkEnd w:id="5"/>
      <w:bookmarkEnd w:id="6"/>
      <w:r w:rsidRPr="00B22A74">
        <w:rPr>
          <w:rFonts w:ascii="Times New Roman" w:hAnsi="Times New Roman" w:cs="Times New Roman"/>
          <w:b/>
          <w:szCs w:val="24"/>
        </w:rPr>
        <w:t xml:space="preserve"> Collection</w:t>
      </w:r>
      <w:bookmarkEnd w:id="7"/>
      <w:bookmarkEnd w:id="8"/>
      <w:r w:rsidRPr="00B22A74">
        <w:rPr>
          <w:rFonts w:ascii="Times New Roman" w:hAnsi="Times New Roman" w:cs="Times New Roman"/>
          <w:noProof/>
          <w:color w:val="000000" w:themeColor="text1"/>
          <w:szCs w:val="24"/>
        </w:rPr>
        <w:t xml:space="preserve"> </w:t>
      </w:r>
    </w:p>
    <w:p w:rsidRPr="004040A3" w:rsidR="004C085F" w:rsidP="004C085F" w:rsidRDefault="004C085F" w14:paraId="2FD18511" w14:textId="77777777">
      <w:pPr>
        <w:spacing w:after="0" w:line="480" w:lineRule="auto"/>
        <w:ind w:firstLine="720"/>
        <w:rPr>
          <w:rFonts w:ascii="Times New Roman" w:hAnsi="Times New Roman" w:cs="Times New Roman"/>
          <w:noProof/>
          <w:color w:val="000000" w:themeColor="text1"/>
        </w:rPr>
      </w:pPr>
      <w:bookmarkStart w:name="_Hlk22543222" w:id="9"/>
      <w:bookmarkStart w:name="_Hlk36044434" w:id="10"/>
      <w:r w:rsidRPr="004040A3">
        <w:rPr>
          <w:rFonts w:ascii="Times New Roman" w:hAnsi="Times New Roman" w:cs="Times New Roman"/>
        </w:rPr>
        <w:t xml:space="preserve">“Bench to Bedside: Integrating Sex and Gender to Improve Human Health” is an online course developed by ORWH, the FDA Office of Women’s Health, and other non-federal subject matter experts. “Sex as a Biological Variable: A Primer” is an online course developed by ORWH, NIGMS, and other non-federal subject matter experts. </w:t>
      </w:r>
      <w:r w:rsidRPr="004040A3">
        <w:rPr>
          <w:rFonts w:ascii="Times New Roman" w:hAnsi="Times New Roman" w:cs="Times New Roman"/>
          <w:noProof/>
          <w:color w:val="000000" w:themeColor="text1"/>
        </w:rPr>
        <w:t xml:space="preserve"> </w:t>
      </w:r>
      <w:r w:rsidRPr="004040A3">
        <w:rPr>
          <w:rFonts w:ascii="Times New Roman" w:hAnsi="Times New Roman" w:cs="Times New Roman"/>
        </w:rPr>
        <w:t xml:space="preserve">Together, these courses </w:t>
      </w:r>
      <w:r w:rsidRPr="004040A3">
        <w:rPr>
          <w:rFonts w:ascii="Times New Roman" w:hAnsi="Times New Roman" w:cs="Times New Roman"/>
          <w:noProof/>
          <w:color w:val="000000" w:themeColor="text1"/>
        </w:rPr>
        <w:t xml:space="preserve">will provide learners a rationale for the study of biological differences between the sexes, the impact of sex and gender difference on illness, guidance on incorporating the NIH policy on sex as a bioloigcal variable (SABV) into studies, and an exploration of sex- and gender-related differences in key disease areas.  The Bench to Bedside course will also offer free continuing medical education credits.  </w:t>
      </w:r>
    </w:p>
    <w:p w:rsidR="007B23EC" w:rsidP="00100484" w:rsidRDefault="00364434" w14:paraId="6BD1B951" w14:textId="214FAB5E">
      <w:pPr>
        <w:spacing w:after="0" w:line="480" w:lineRule="auto"/>
        <w:ind w:firstLine="720"/>
        <w:rPr>
          <w:rFonts w:ascii="Times New Roman" w:hAnsi="Times New Roman" w:cs="Times New Roman"/>
          <w:noProof/>
          <w:color w:val="000000" w:themeColor="text1"/>
        </w:rPr>
      </w:pPr>
      <w:r>
        <w:rPr>
          <w:rFonts w:ascii="Times New Roman" w:hAnsi="Times New Roman" w:cs="Times New Roman"/>
          <w:noProof/>
          <w:color w:val="000000" w:themeColor="text1"/>
        </w:rPr>
        <w:t xml:space="preserve">The Bench to Bedside course contains six modules, and the SABV course contains 4 modules. In both courses, modules can be taken in any order, and learners are not required to complete more than one module. </w:t>
      </w:r>
      <w:r w:rsidRPr="004040A3" w:rsidR="004C085F">
        <w:rPr>
          <w:rFonts w:ascii="Times New Roman" w:hAnsi="Times New Roman" w:cs="Times New Roman"/>
          <w:noProof/>
          <w:color w:val="000000" w:themeColor="text1"/>
        </w:rPr>
        <w:t xml:space="preserve">ORWH will collect information </w:t>
      </w:r>
      <w:r w:rsidR="007B23EC">
        <w:rPr>
          <w:rFonts w:ascii="Times New Roman" w:hAnsi="Times New Roman" w:cs="Times New Roman"/>
          <w:noProof/>
          <w:color w:val="000000" w:themeColor="text1"/>
        </w:rPr>
        <w:t xml:space="preserve">from learners </w:t>
      </w:r>
      <w:r w:rsidRPr="004040A3" w:rsidR="004C085F">
        <w:rPr>
          <w:rFonts w:ascii="Times New Roman" w:hAnsi="Times New Roman" w:cs="Times New Roman"/>
          <w:noProof/>
          <w:color w:val="000000" w:themeColor="text1"/>
        </w:rPr>
        <w:t xml:space="preserve">through </w:t>
      </w:r>
      <w:r>
        <w:rPr>
          <w:rFonts w:ascii="Times New Roman" w:hAnsi="Times New Roman" w:cs="Times New Roman"/>
          <w:noProof/>
          <w:color w:val="000000" w:themeColor="text1"/>
        </w:rPr>
        <w:t xml:space="preserve">a pre-/post- attitude assessment (Attachment 1) which will be taken before learners begin </w:t>
      </w:r>
      <w:r w:rsidR="00787141">
        <w:rPr>
          <w:rFonts w:ascii="Times New Roman" w:hAnsi="Times New Roman" w:cs="Times New Roman"/>
          <w:noProof/>
          <w:color w:val="000000" w:themeColor="text1"/>
        </w:rPr>
        <w:t>a</w:t>
      </w:r>
      <w:r>
        <w:rPr>
          <w:rFonts w:ascii="Times New Roman" w:hAnsi="Times New Roman" w:cs="Times New Roman"/>
          <w:noProof/>
          <w:color w:val="000000" w:themeColor="text1"/>
        </w:rPr>
        <w:t xml:space="preserve"> module. Each module of the Bench to Bedside course (Attachment 2</w:t>
      </w:r>
      <w:r w:rsidR="00BD4706">
        <w:rPr>
          <w:rFonts w:ascii="Times New Roman" w:hAnsi="Times New Roman" w:cs="Times New Roman"/>
          <w:noProof/>
          <w:color w:val="000000" w:themeColor="text1"/>
        </w:rPr>
        <w:t>-Module/Course Completion</w:t>
      </w:r>
      <w:r>
        <w:rPr>
          <w:rFonts w:ascii="Times New Roman" w:hAnsi="Times New Roman" w:cs="Times New Roman"/>
          <w:noProof/>
          <w:color w:val="000000" w:themeColor="text1"/>
        </w:rPr>
        <w:t xml:space="preserve">) is self-paced and expected to take one hour to complete. </w:t>
      </w:r>
      <w:r w:rsidR="00100484">
        <w:rPr>
          <w:rFonts w:ascii="Times New Roman" w:hAnsi="Times New Roman" w:cs="Times New Roman"/>
          <w:noProof/>
          <w:color w:val="000000" w:themeColor="text1"/>
        </w:rPr>
        <w:t xml:space="preserve">After completion of each Bench to Bedside module, learners will complete a module-specific knowledge check (Attachments 5-10). Learners should be able to complete </w:t>
      </w:r>
      <w:r>
        <w:rPr>
          <w:rFonts w:ascii="Times New Roman" w:hAnsi="Times New Roman" w:cs="Times New Roman"/>
          <w:noProof/>
          <w:color w:val="000000" w:themeColor="text1"/>
        </w:rPr>
        <w:t xml:space="preserve">the SABV course </w:t>
      </w:r>
      <w:r w:rsidR="00100484">
        <w:rPr>
          <w:rFonts w:ascii="Times New Roman" w:hAnsi="Times New Roman" w:cs="Times New Roman"/>
          <w:noProof/>
          <w:color w:val="000000" w:themeColor="text1"/>
        </w:rPr>
        <w:t xml:space="preserve">within </w:t>
      </w:r>
      <w:r>
        <w:rPr>
          <w:rFonts w:ascii="Times New Roman" w:hAnsi="Times New Roman" w:cs="Times New Roman"/>
          <w:noProof/>
          <w:color w:val="000000" w:themeColor="text1"/>
        </w:rPr>
        <w:t>one hour</w:t>
      </w:r>
      <w:r w:rsidR="00BD4706">
        <w:rPr>
          <w:rFonts w:ascii="Times New Roman" w:hAnsi="Times New Roman" w:cs="Times New Roman"/>
          <w:noProof/>
          <w:color w:val="000000" w:themeColor="text1"/>
        </w:rPr>
        <w:t xml:space="preserve"> (Attachment 2-Module/Course </w:t>
      </w:r>
      <w:r w:rsidR="00BD4706">
        <w:rPr>
          <w:rFonts w:ascii="Times New Roman" w:hAnsi="Times New Roman" w:cs="Times New Roman"/>
          <w:noProof/>
          <w:color w:val="000000" w:themeColor="text1"/>
        </w:rPr>
        <w:lastRenderedPageBreak/>
        <w:t>Completion)</w:t>
      </w:r>
      <w:r>
        <w:rPr>
          <w:rFonts w:ascii="Times New Roman" w:hAnsi="Times New Roman" w:cs="Times New Roman"/>
          <w:noProof/>
          <w:color w:val="000000" w:themeColor="text1"/>
        </w:rPr>
        <w:t xml:space="preserve">. </w:t>
      </w:r>
      <w:r w:rsidRPr="00787141" w:rsidR="00D564E8">
        <w:rPr>
          <w:rFonts w:ascii="Times New Roman" w:hAnsi="Times New Roman" w:cs="Times New Roman"/>
          <w:noProof/>
          <w:color w:val="000000" w:themeColor="text1"/>
        </w:rPr>
        <w:t xml:space="preserve">Each </w:t>
      </w:r>
      <w:r w:rsidR="009E22A0">
        <w:rPr>
          <w:rFonts w:ascii="Times New Roman" w:hAnsi="Times New Roman" w:cs="Times New Roman"/>
          <w:noProof/>
          <w:color w:val="000000" w:themeColor="text1"/>
        </w:rPr>
        <w:t>module</w:t>
      </w:r>
      <w:r w:rsidRPr="00787141" w:rsidR="009E22A0">
        <w:rPr>
          <w:rFonts w:ascii="Times New Roman" w:hAnsi="Times New Roman" w:cs="Times New Roman"/>
          <w:noProof/>
          <w:color w:val="000000" w:themeColor="text1"/>
        </w:rPr>
        <w:t xml:space="preserve"> </w:t>
      </w:r>
      <w:r w:rsidRPr="00787141" w:rsidR="00D564E8">
        <w:rPr>
          <w:rFonts w:ascii="Times New Roman" w:hAnsi="Times New Roman" w:cs="Times New Roman"/>
          <w:noProof/>
          <w:color w:val="000000" w:themeColor="text1"/>
        </w:rPr>
        <w:t>of the</w:t>
      </w:r>
      <w:r w:rsidRPr="00787141">
        <w:rPr>
          <w:rFonts w:ascii="Times New Roman" w:hAnsi="Times New Roman" w:cs="Times New Roman"/>
          <w:noProof/>
          <w:color w:val="000000" w:themeColor="text1"/>
        </w:rPr>
        <w:t xml:space="preserve"> SABV course </w:t>
      </w:r>
      <w:r w:rsidRPr="00787141" w:rsidR="00D564E8">
        <w:rPr>
          <w:rFonts w:ascii="Times New Roman" w:hAnsi="Times New Roman" w:cs="Times New Roman"/>
          <w:noProof/>
          <w:color w:val="000000" w:themeColor="text1"/>
        </w:rPr>
        <w:t xml:space="preserve">includes </w:t>
      </w:r>
      <w:r w:rsidRPr="00787141">
        <w:rPr>
          <w:rFonts w:ascii="Times New Roman" w:hAnsi="Times New Roman" w:cs="Times New Roman"/>
          <w:noProof/>
          <w:color w:val="000000" w:themeColor="text1"/>
        </w:rPr>
        <w:t>knowledge checks</w:t>
      </w:r>
      <w:r w:rsidRPr="00787141" w:rsidR="00D564E8">
        <w:rPr>
          <w:rFonts w:ascii="Times New Roman" w:hAnsi="Times New Roman" w:cs="Times New Roman"/>
          <w:noProof/>
          <w:color w:val="000000" w:themeColor="text1"/>
        </w:rPr>
        <w:t xml:space="preserve"> (Attachments 13-16)</w:t>
      </w:r>
      <w:r w:rsidRPr="00787141">
        <w:rPr>
          <w:rFonts w:ascii="Times New Roman" w:hAnsi="Times New Roman" w:cs="Times New Roman"/>
          <w:noProof/>
          <w:color w:val="000000" w:themeColor="text1"/>
        </w:rPr>
        <w:t>.</w:t>
      </w:r>
      <w:r>
        <w:rPr>
          <w:rFonts w:ascii="Times New Roman" w:hAnsi="Times New Roman" w:cs="Times New Roman"/>
          <w:noProof/>
          <w:color w:val="000000" w:themeColor="text1"/>
        </w:rPr>
        <w:t xml:space="preserve"> </w:t>
      </w:r>
      <w:r w:rsidR="00100484">
        <w:rPr>
          <w:rFonts w:ascii="Times New Roman" w:hAnsi="Times New Roman" w:cs="Times New Roman"/>
          <w:noProof/>
          <w:color w:val="000000" w:themeColor="text1"/>
        </w:rPr>
        <w:t>For both Bench to Bedside and the SABV course</w:t>
      </w:r>
      <w:r>
        <w:rPr>
          <w:rFonts w:ascii="Times New Roman" w:hAnsi="Times New Roman" w:cs="Times New Roman"/>
          <w:noProof/>
          <w:color w:val="000000" w:themeColor="text1"/>
        </w:rPr>
        <w:t xml:space="preserve">, learners will </w:t>
      </w:r>
      <w:r w:rsidR="00100484">
        <w:rPr>
          <w:rFonts w:ascii="Times New Roman" w:hAnsi="Times New Roman" w:cs="Times New Roman"/>
          <w:noProof/>
          <w:color w:val="000000" w:themeColor="text1"/>
        </w:rPr>
        <w:t xml:space="preserve">retake </w:t>
      </w:r>
      <w:r>
        <w:rPr>
          <w:rFonts w:ascii="Times New Roman" w:hAnsi="Times New Roman" w:cs="Times New Roman"/>
          <w:noProof/>
          <w:color w:val="000000" w:themeColor="text1"/>
        </w:rPr>
        <w:t>the pre-/post-attitude assessment (Attachment 1)</w:t>
      </w:r>
      <w:r w:rsidR="00100484">
        <w:rPr>
          <w:rFonts w:ascii="Times New Roman" w:hAnsi="Times New Roman" w:cs="Times New Roman"/>
          <w:noProof/>
          <w:color w:val="000000" w:themeColor="text1"/>
        </w:rPr>
        <w:t xml:space="preserve"> after they’ve completed </w:t>
      </w:r>
      <w:r w:rsidR="00787141">
        <w:rPr>
          <w:rFonts w:ascii="Times New Roman" w:hAnsi="Times New Roman" w:cs="Times New Roman"/>
          <w:noProof/>
          <w:color w:val="000000" w:themeColor="text1"/>
        </w:rPr>
        <w:t>each module</w:t>
      </w:r>
      <w:r w:rsidR="00100484">
        <w:rPr>
          <w:rFonts w:ascii="Times New Roman" w:hAnsi="Times New Roman" w:cs="Times New Roman"/>
          <w:noProof/>
          <w:color w:val="000000" w:themeColor="text1"/>
        </w:rPr>
        <w:t>. Learners taking the Bench to Bedside course for CE credits will</w:t>
      </w:r>
      <w:r w:rsidR="00D564E8">
        <w:rPr>
          <w:rFonts w:ascii="Times New Roman" w:hAnsi="Times New Roman" w:cs="Times New Roman"/>
          <w:noProof/>
          <w:color w:val="000000" w:themeColor="text1"/>
        </w:rPr>
        <w:t xml:space="preserve"> complete a module evaluation form after each module (Attachment 3). Continuing education learners will also</w:t>
      </w:r>
      <w:r w:rsidR="00100484">
        <w:rPr>
          <w:rFonts w:ascii="Times New Roman" w:hAnsi="Times New Roman" w:cs="Times New Roman"/>
          <w:noProof/>
          <w:color w:val="000000" w:themeColor="text1"/>
        </w:rPr>
        <w:t xml:space="preserve"> receive a link to complete an outcomes assessment 4-6 weeks after successfully completing the module (Attachment 4). Together, these assessments, knowledge checks, and evaluations </w:t>
      </w:r>
      <w:r w:rsidR="007B23EC">
        <w:rPr>
          <w:rFonts w:ascii="Times New Roman" w:hAnsi="Times New Roman" w:cs="Times New Roman"/>
          <w:szCs w:val="24"/>
        </w:rPr>
        <w:t xml:space="preserve">will </w:t>
      </w:r>
      <w:r w:rsidRPr="00B22A74" w:rsidR="007B23EC">
        <w:rPr>
          <w:rFonts w:ascii="Times New Roman" w:hAnsi="Times New Roman" w:cs="Times New Roman"/>
          <w:szCs w:val="24"/>
        </w:rPr>
        <w:t xml:space="preserve">provide </w:t>
      </w:r>
      <w:r w:rsidR="007B23EC">
        <w:rPr>
          <w:rFonts w:ascii="Times New Roman" w:hAnsi="Times New Roman" w:cs="Times New Roman"/>
          <w:szCs w:val="24"/>
        </w:rPr>
        <w:t xml:space="preserve">a valuable measure of the degree to which ORWH e-learning courses are furthering </w:t>
      </w:r>
      <w:r w:rsidRPr="00B22A74" w:rsidR="007B23EC">
        <w:rPr>
          <w:rFonts w:ascii="Times New Roman" w:hAnsi="Times New Roman" w:cs="Times New Roman"/>
          <w:szCs w:val="24"/>
        </w:rPr>
        <w:t>the ORWH mission to promote women's health research within and beyond the NIH scientific community.</w:t>
      </w:r>
      <w:r w:rsidR="00100484">
        <w:rPr>
          <w:rFonts w:ascii="Times New Roman" w:hAnsi="Times New Roman" w:cs="Times New Roman"/>
          <w:szCs w:val="24"/>
        </w:rPr>
        <w:t xml:space="preserve"> </w:t>
      </w:r>
    </w:p>
    <w:p w:rsidR="00100484" w:rsidP="00100484" w:rsidRDefault="00100484" w14:paraId="5F12D1C8" w14:textId="48401EA2">
      <w:pPr>
        <w:spacing w:line="480" w:lineRule="auto"/>
        <w:ind w:firstLine="720"/>
        <w:rPr>
          <w:rFonts w:ascii="Times New Roman" w:hAnsi="Times New Roman" w:cs="Times New Roman"/>
          <w:noProof/>
          <w:color w:val="000000" w:themeColor="text1"/>
        </w:rPr>
      </w:pPr>
      <w:r>
        <w:rPr>
          <w:rFonts w:ascii="Times New Roman" w:hAnsi="Times New Roman" w:cs="Times New Roman"/>
          <w:szCs w:val="24"/>
        </w:rPr>
        <w:t>This i</w:t>
      </w:r>
      <w:r w:rsidR="007B23EC">
        <w:rPr>
          <w:rFonts w:ascii="Times New Roman" w:hAnsi="Times New Roman" w:cs="Times New Roman"/>
          <w:szCs w:val="24"/>
        </w:rPr>
        <w:t>nformation collection will help ORWH track progress toward achieving its strategic goals as outlined in the Trans-NIH Strategic Plan for Women’s Health Research, especially</w:t>
      </w:r>
      <w:r w:rsidRPr="00C83F22" w:rsidR="007B23EC">
        <w:rPr>
          <w:rFonts w:ascii="Times New Roman" w:hAnsi="Times New Roman" w:cs="Times New Roman"/>
        </w:rPr>
        <w:t xml:space="preserve"> Strategic Goal 4, to promote training and careers to develop a well-trained, diverse, and robust workforce to advance science for the health of women. </w:t>
      </w:r>
      <w:r w:rsidRPr="00100484">
        <w:rPr>
          <w:rFonts w:ascii="Times New Roman" w:hAnsi="Times New Roman" w:cs="Times New Roman"/>
          <w:szCs w:val="24"/>
        </w:rPr>
        <w:t>Information collected will be used to assess individual course effectiveness, to analyze user engagement, and to inform course development moving forward</w:t>
      </w:r>
      <w:r>
        <w:rPr>
          <w:rFonts w:ascii="Times New Roman" w:hAnsi="Times New Roman" w:cs="Times New Roman"/>
          <w:szCs w:val="24"/>
        </w:rPr>
        <w:t>. Specifically, ORWH plans include:</w:t>
      </w:r>
    </w:p>
    <w:p w:rsidR="00100484" w:rsidP="00100484" w:rsidRDefault="004C085F" w14:paraId="7DDDE57A" w14:textId="55327033">
      <w:pPr>
        <w:pStyle w:val="ListParagraph"/>
        <w:numPr>
          <w:ilvl w:val="0"/>
          <w:numId w:val="44"/>
        </w:numPr>
        <w:spacing w:line="480" w:lineRule="auto"/>
        <w:rPr>
          <w:rFonts w:ascii="Times New Roman" w:hAnsi="Times New Roman" w:cs="Times New Roman"/>
          <w:noProof/>
          <w:color w:val="000000" w:themeColor="text1"/>
        </w:rPr>
      </w:pPr>
      <w:r w:rsidRPr="00100484">
        <w:rPr>
          <w:rFonts w:ascii="Times New Roman" w:hAnsi="Times New Roman" w:cs="Times New Roman"/>
          <w:noProof/>
          <w:color w:val="000000" w:themeColor="text1"/>
        </w:rPr>
        <w:t xml:space="preserve">To assess uptake and learning of concepts in each </w:t>
      </w:r>
      <w:r w:rsidR="00B03C5A">
        <w:rPr>
          <w:rFonts w:ascii="Times New Roman" w:hAnsi="Times New Roman" w:cs="Times New Roman"/>
          <w:noProof/>
          <w:color w:val="000000" w:themeColor="text1"/>
        </w:rPr>
        <w:t>module</w:t>
      </w:r>
      <w:r w:rsidRPr="00100484">
        <w:rPr>
          <w:rFonts w:ascii="Times New Roman" w:hAnsi="Times New Roman" w:cs="Times New Roman"/>
          <w:noProof/>
          <w:color w:val="000000" w:themeColor="text1"/>
        </w:rPr>
        <w:t xml:space="preserve">; </w:t>
      </w:r>
    </w:p>
    <w:p w:rsidR="00100484" w:rsidP="00100484" w:rsidRDefault="004C085F" w14:paraId="3495445F" w14:textId="77777777">
      <w:pPr>
        <w:pStyle w:val="ListParagraph"/>
        <w:numPr>
          <w:ilvl w:val="0"/>
          <w:numId w:val="44"/>
        </w:numPr>
        <w:spacing w:line="480" w:lineRule="auto"/>
        <w:rPr>
          <w:rFonts w:ascii="Times New Roman" w:hAnsi="Times New Roman" w:cs="Times New Roman"/>
          <w:noProof/>
          <w:color w:val="000000" w:themeColor="text1"/>
        </w:rPr>
      </w:pPr>
      <w:r w:rsidRPr="00100484">
        <w:rPr>
          <w:rFonts w:ascii="Times New Roman" w:hAnsi="Times New Roman" w:cs="Times New Roman"/>
          <w:noProof/>
          <w:color w:val="000000" w:themeColor="text1"/>
        </w:rPr>
        <w:t>To identify demographic trends across learners in order to inform targeted outreach</w:t>
      </w:r>
      <w:r w:rsidR="00100484">
        <w:rPr>
          <w:rFonts w:ascii="Times New Roman" w:hAnsi="Times New Roman" w:cs="Times New Roman"/>
          <w:noProof/>
          <w:color w:val="000000" w:themeColor="text1"/>
        </w:rPr>
        <w:t>;</w:t>
      </w:r>
    </w:p>
    <w:p w:rsidR="00100484" w:rsidP="00100484" w:rsidRDefault="004C085F" w14:paraId="5DE7666B" w14:textId="77777777">
      <w:pPr>
        <w:pStyle w:val="ListParagraph"/>
        <w:numPr>
          <w:ilvl w:val="0"/>
          <w:numId w:val="44"/>
        </w:numPr>
        <w:spacing w:line="480" w:lineRule="auto"/>
        <w:rPr>
          <w:rFonts w:ascii="Times New Roman" w:hAnsi="Times New Roman" w:cs="Times New Roman"/>
          <w:noProof/>
          <w:color w:val="000000" w:themeColor="text1"/>
        </w:rPr>
      </w:pPr>
      <w:r w:rsidRPr="00100484">
        <w:rPr>
          <w:rFonts w:ascii="Times New Roman" w:hAnsi="Times New Roman" w:cs="Times New Roman"/>
          <w:noProof/>
          <w:color w:val="000000" w:themeColor="text1"/>
        </w:rPr>
        <w:t xml:space="preserve">To assess effectiveness of course materials; and </w:t>
      </w:r>
    </w:p>
    <w:p w:rsidRPr="00100484" w:rsidR="004C085F" w:rsidP="00100484" w:rsidRDefault="004C085F" w14:paraId="13EAAA6E" w14:textId="689DDE44">
      <w:pPr>
        <w:pStyle w:val="ListParagraph"/>
        <w:numPr>
          <w:ilvl w:val="0"/>
          <w:numId w:val="44"/>
        </w:numPr>
        <w:spacing w:line="480" w:lineRule="auto"/>
        <w:rPr>
          <w:rFonts w:ascii="Times New Roman" w:hAnsi="Times New Roman" w:cs="Times New Roman"/>
          <w:noProof/>
          <w:color w:val="000000" w:themeColor="text1"/>
        </w:rPr>
      </w:pPr>
      <w:r w:rsidRPr="00100484">
        <w:rPr>
          <w:rFonts w:ascii="Times New Roman" w:hAnsi="Times New Roman" w:cs="Times New Roman"/>
          <w:noProof/>
          <w:color w:val="000000" w:themeColor="text1"/>
        </w:rPr>
        <w:t>To identify areas of focus for future course improvement, modifications, and expansion.</w:t>
      </w:r>
    </w:p>
    <w:bookmarkEnd w:id="9"/>
    <w:p w:rsidR="001A57A4" w:rsidP="00100484" w:rsidRDefault="00100484" w14:paraId="6803FC91" w14:textId="171FBC17">
      <w:pPr>
        <w:spacing w:line="480" w:lineRule="auto"/>
        <w:rPr>
          <w:rFonts w:ascii="Times New Roman" w:hAnsi="Times New Roman" w:cs="Times New Roman"/>
          <w:szCs w:val="24"/>
        </w:rPr>
      </w:pPr>
      <w:r>
        <w:rPr>
          <w:rFonts w:ascii="Times New Roman" w:hAnsi="Times New Roman" w:cs="Times New Roman"/>
          <w:szCs w:val="24"/>
        </w:rPr>
        <w:t xml:space="preserve">Analyses of the information collection will </w:t>
      </w:r>
      <w:r w:rsidRPr="00B22A74" w:rsidR="001A57A4">
        <w:rPr>
          <w:rFonts w:ascii="Times New Roman" w:hAnsi="Times New Roman" w:cs="Times New Roman"/>
          <w:szCs w:val="24"/>
        </w:rPr>
        <w:t>include: a characterization of baseline understandings of the scientific basis of sex and gender-related differences among health professionals, the general public, and health educators</w:t>
      </w:r>
      <w:r w:rsidR="001A57A4">
        <w:rPr>
          <w:rFonts w:ascii="Times New Roman" w:hAnsi="Times New Roman" w:cs="Times New Roman"/>
          <w:szCs w:val="24"/>
        </w:rPr>
        <w:t>; measures of SABV awareness and understanding in NIH stakeholders;</w:t>
      </w:r>
      <w:r w:rsidRPr="00B22A74" w:rsidR="001A57A4">
        <w:rPr>
          <w:rFonts w:ascii="Times New Roman" w:hAnsi="Times New Roman" w:cs="Times New Roman"/>
          <w:szCs w:val="24"/>
        </w:rPr>
        <w:t xml:space="preserve"> and an analysis of the demographic trends across </w:t>
      </w:r>
      <w:r w:rsidR="008B5E85">
        <w:rPr>
          <w:rFonts w:ascii="Times New Roman" w:hAnsi="Times New Roman" w:cs="Times New Roman"/>
          <w:szCs w:val="24"/>
        </w:rPr>
        <w:t xml:space="preserve">learners </w:t>
      </w:r>
      <w:r w:rsidRPr="00B22A74" w:rsidR="001A57A4">
        <w:rPr>
          <w:rFonts w:ascii="Times New Roman" w:hAnsi="Times New Roman" w:cs="Times New Roman"/>
          <w:szCs w:val="24"/>
        </w:rPr>
        <w:t>to inform future course development and dissemination plans.</w:t>
      </w:r>
      <w:r w:rsidR="001A57A4">
        <w:rPr>
          <w:rFonts w:ascii="Times New Roman" w:hAnsi="Times New Roman" w:cs="Times New Roman"/>
          <w:szCs w:val="24"/>
        </w:rPr>
        <w:t xml:space="preserve"> </w:t>
      </w:r>
      <w:r w:rsidRPr="00B22A74" w:rsidR="001A57A4">
        <w:rPr>
          <w:rFonts w:ascii="Times New Roman" w:hAnsi="Times New Roman" w:cs="Times New Roman"/>
          <w:szCs w:val="24"/>
        </w:rPr>
        <w:t xml:space="preserve"> </w:t>
      </w:r>
    </w:p>
    <w:p w:rsidR="004040A3" w:rsidP="004040A3" w:rsidRDefault="004040A3" w14:paraId="5ADE50EE" w14:textId="77849FD8">
      <w:pPr>
        <w:spacing w:line="480" w:lineRule="auto"/>
        <w:ind w:firstLine="720"/>
        <w:rPr>
          <w:rFonts w:ascii="Times New Roman" w:hAnsi="Times New Roman" w:cs="Times New Roman"/>
        </w:rPr>
      </w:pPr>
      <w:r w:rsidRPr="00E57D5E">
        <w:rPr>
          <w:rFonts w:ascii="Times New Roman" w:hAnsi="Times New Roman" w:cs="Times New Roman"/>
        </w:rPr>
        <w:lastRenderedPageBreak/>
        <w:t xml:space="preserve">Without approval to collect information for the online training course, ORWH would be compromised in the ability to determine if the course is reaching its goal of helping learners understand the influence of sex and gender on health and disease an apply that knowledge when conducting research and interpreting evidence for clinical practice.  </w:t>
      </w:r>
      <w:r w:rsidR="00100484">
        <w:rPr>
          <w:rFonts w:ascii="Times New Roman" w:hAnsi="Times New Roman" w:cs="Times New Roman"/>
          <w:noProof/>
          <w:color w:val="000000" w:themeColor="text1"/>
        </w:rPr>
        <w:t>Information</w:t>
      </w:r>
      <w:r w:rsidR="00405C48">
        <w:rPr>
          <w:rFonts w:ascii="Times New Roman" w:hAnsi="Times New Roman" w:cs="Times New Roman"/>
          <w:noProof/>
          <w:color w:val="000000" w:themeColor="text1"/>
        </w:rPr>
        <w:t xml:space="preserve"> collected </w:t>
      </w:r>
      <w:r w:rsidR="00100484">
        <w:rPr>
          <w:rFonts w:ascii="Times New Roman" w:hAnsi="Times New Roman" w:cs="Times New Roman"/>
          <w:noProof/>
          <w:color w:val="000000" w:themeColor="text1"/>
        </w:rPr>
        <w:t xml:space="preserve">from the module-specific </w:t>
      </w:r>
      <w:r w:rsidR="00405C48">
        <w:rPr>
          <w:rFonts w:ascii="Times New Roman" w:hAnsi="Times New Roman" w:cs="Times New Roman"/>
          <w:noProof/>
          <w:color w:val="000000" w:themeColor="text1"/>
        </w:rPr>
        <w:t>knowledge checks</w:t>
      </w:r>
      <w:r w:rsidR="00100484">
        <w:rPr>
          <w:rFonts w:ascii="Times New Roman" w:hAnsi="Times New Roman" w:cs="Times New Roman"/>
          <w:noProof/>
          <w:color w:val="000000" w:themeColor="text1"/>
        </w:rPr>
        <w:t xml:space="preserve">, </w:t>
      </w:r>
      <w:r w:rsidR="00405C48">
        <w:rPr>
          <w:rFonts w:ascii="Times New Roman" w:hAnsi="Times New Roman" w:cs="Times New Roman"/>
          <w:noProof/>
          <w:color w:val="000000" w:themeColor="text1"/>
        </w:rPr>
        <w:t>course/module evaluations</w:t>
      </w:r>
      <w:r w:rsidR="00100484">
        <w:rPr>
          <w:rFonts w:ascii="Times New Roman" w:hAnsi="Times New Roman" w:cs="Times New Roman"/>
          <w:noProof/>
          <w:color w:val="000000" w:themeColor="text1"/>
        </w:rPr>
        <w:t>, and the outcomes assessment</w:t>
      </w:r>
      <w:r w:rsidRPr="004040A3" w:rsidR="00405C48">
        <w:rPr>
          <w:rFonts w:ascii="Times New Roman" w:hAnsi="Times New Roman" w:cs="Times New Roman"/>
          <w:noProof/>
          <w:color w:val="000000" w:themeColor="text1"/>
        </w:rPr>
        <w:t xml:space="preserve"> </w:t>
      </w:r>
      <w:r w:rsidR="00405C48">
        <w:rPr>
          <w:rFonts w:ascii="Times New Roman" w:hAnsi="Times New Roman" w:cs="Times New Roman"/>
          <w:noProof/>
          <w:color w:val="000000" w:themeColor="text1"/>
        </w:rPr>
        <w:t xml:space="preserve">are required </w:t>
      </w:r>
      <w:r w:rsidR="00100484">
        <w:rPr>
          <w:rFonts w:ascii="Times New Roman" w:hAnsi="Times New Roman" w:cs="Times New Roman"/>
          <w:noProof/>
          <w:color w:val="000000" w:themeColor="text1"/>
        </w:rPr>
        <w:t>by the CE provider</w:t>
      </w:r>
      <w:r w:rsidR="00405C48">
        <w:rPr>
          <w:rFonts w:ascii="Times New Roman" w:hAnsi="Times New Roman" w:cs="Times New Roman"/>
          <w:noProof/>
          <w:color w:val="000000" w:themeColor="text1"/>
        </w:rPr>
        <w:t xml:space="preserve">.  </w:t>
      </w:r>
    </w:p>
    <w:p w:rsidR="0061581A" w:rsidP="0061581A" w:rsidRDefault="0061581A" w14:paraId="2E3BF65B" w14:textId="775C5F86">
      <w:pPr>
        <w:spacing w:line="480" w:lineRule="auto"/>
        <w:ind w:firstLine="720"/>
        <w:rPr>
          <w:rFonts w:ascii="Times New Roman" w:hAnsi="Times New Roman" w:cs="Times New Roman"/>
          <w:szCs w:val="24"/>
        </w:rPr>
      </w:pPr>
      <w:r w:rsidRPr="00B22A74">
        <w:rPr>
          <w:rFonts w:ascii="Times New Roman" w:hAnsi="Times New Roman" w:cs="Times New Roman"/>
          <w:szCs w:val="24"/>
        </w:rPr>
        <w:t xml:space="preserve">OMB clearance is requested for three years. </w:t>
      </w:r>
      <w:r>
        <w:rPr>
          <w:rFonts w:ascii="Times New Roman" w:hAnsi="Times New Roman" w:cs="Times New Roman"/>
          <w:szCs w:val="24"/>
        </w:rPr>
        <w:t xml:space="preserve">Necessary funds to support this information collection over that time have been identified in ORWH budget. </w:t>
      </w:r>
    </w:p>
    <w:p w:rsidRPr="00E57D5E" w:rsidR="001A57A4" w:rsidP="001A57A4" w:rsidRDefault="001A57A4" w14:paraId="3E80D851" w14:textId="77777777">
      <w:pPr>
        <w:rPr>
          <w:rFonts w:ascii="Times New Roman" w:hAnsi="Times New Roman" w:cs="Times New Roman"/>
          <w:b/>
          <w:color w:val="000000" w:themeColor="text1"/>
        </w:rPr>
      </w:pPr>
      <w:bookmarkStart w:name="_Hlk24007514" w:id="11"/>
      <w:bookmarkEnd w:id="10"/>
      <w:r w:rsidRPr="00E57D5E">
        <w:rPr>
          <w:rFonts w:ascii="Times New Roman" w:hAnsi="Times New Roman" w:cs="Times New Roman"/>
          <w:b/>
          <w:color w:val="000000" w:themeColor="text1"/>
        </w:rPr>
        <w:t>A.3     Use of Information Technology and Burden Reduction</w:t>
      </w:r>
    </w:p>
    <w:p w:rsidR="00DE081E" w:rsidP="00DE081E" w:rsidRDefault="001A57A4" w14:paraId="750E62DF" w14:textId="77777777">
      <w:pPr>
        <w:spacing w:line="480" w:lineRule="auto"/>
        <w:ind w:firstLine="720"/>
        <w:rPr>
          <w:rFonts w:ascii="Times New Roman" w:hAnsi="Times New Roman" w:cs="Times New Roman"/>
          <w:color w:val="000000" w:themeColor="text1"/>
        </w:rPr>
      </w:pPr>
      <w:r w:rsidRPr="009D0078">
        <w:rPr>
          <w:rFonts w:ascii="Times New Roman" w:hAnsi="Times New Roman" w:cs="Times New Roman"/>
          <w:color w:val="000000" w:themeColor="text1"/>
        </w:rPr>
        <w:t xml:space="preserve">The online courses will accessible via the ORWH public website: </w:t>
      </w:r>
      <w:hyperlink w:history="1" r:id="rId11">
        <w:r w:rsidRPr="00837D5B" w:rsidR="00837D5B">
          <w:rPr>
            <w:rStyle w:val="Hyperlink"/>
            <w:rFonts w:ascii="Times New Roman" w:hAnsi="Times New Roman" w:cs="Times New Roman"/>
          </w:rPr>
          <w:t>https://orwh.od.nih.gov/career-development-education/e-learning</w:t>
        </w:r>
      </w:hyperlink>
      <w:r w:rsidRPr="00837D5B" w:rsidR="00837D5B">
        <w:rPr>
          <w:rFonts w:ascii="Times New Roman" w:hAnsi="Times New Roman" w:cs="Times New Roman"/>
        </w:rPr>
        <w:t>.</w:t>
      </w:r>
      <w:r w:rsidRPr="009D0078" w:rsidR="00837D5B">
        <w:rPr>
          <w:rFonts w:ascii="Times New Roman" w:hAnsi="Times New Roman" w:cs="Times New Roman"/>
        </w:rPr>
        <w:t xml:space="preserve"> </w:t>
      </w:r>
      <w:r w:rsidRPr="009D0078">
        <w:rPr>
          <w:rFonts w:ascii="Times New Roman" w:hAnsi="Times New Roman" w:cs="Times New Roman"/>
        </w:rPr>
        <w:t>The course</w:t>
      </w:r>
      <w:r w:rsidR="008B5E85">
        <w:rPr>
          <w:rFonts w:ascii="Times New Roman" w:hAnsi="Times New Roman" w:cs="Times New Roman"/>
        </w:rPr>
        <w:t>s</w:t>
      </w:r>
      <w:r w:rsidRPr="009D0078">
        <w:rPr>
          <w:rFonts w:ascii="Times New Roman" w:hAnsi="Times New Roman" w:cs="Times New Roman"/>
        </w:rPr>
        <w:t xml:space="preserve"> </w:t>
      </w:r>
      <w:r w:rsidR="008B5E85">
        <w:rPr>
          <w:rFonts w:ascii="Times New Roman" w:hAnsi="Times New Roman" w:cs="Times New Roman"/>
        </w:rPr>
        <w:t>are</w:t>
      </w:r>
      <w:r w:rsidRPr="009D0078">
        <w:rPr>
          <w:rFonts w:ascii="Times New Roman" w:hAnsi="Times New Roman" w:cs="Times New Roman"/>
        </w:rPr>
        <w:t xml:space="preserve"> entirely online a</w:t>
      </w:r>
      <w:r w:rsidR="008B5E85">
        <w:rPr>
          <w:rFonts w:ascii="Times New Roman" w:hAnsi="Times New Roman" w:cs="Times New Roman"/>
        </w:rPr>
        <w:t xml:space="preserve">nd have </w:t>
      </w:r>
      <w:r w:rsidRPr="009D0078">
        <w:rPr>
          <w:rFonts w:ascii="Times New Roman" w:hAnsi="Times New Roman" w:cs="Times New Roman"/>
        </w:rPr>
        <w:t xml:space="preserve">no cost to </w:t>
      </w:r>
      <w:r w:rsidR="008B5E85">
        <w:rPr>
          <w:rFonts w:ascii="Times New Roman" w:hAnsi="Times New Roman" w:cs="Times New Roman"/>
        </w:rPr>
        <w:t>learners</w:t>
      </w:r>
      <w:r w:rsidRPr="009D0078">
        <w:rPr>
          <w:rFonts w:ascii="Times New Roman" w:hAnsi="Times New Roman" w:cs="Times New Roman"/>
        </w:rPr>
        <w:t xml:space="preserve">. </w:t>
      </w:r>
      <w:r w:rsidR="008B5E85">
        <w:rPr>
          <w:rFonts w:ascii="Times New Roman" w:hAnsi="Times New Roman" w:cs="Times New Roman"/>
        </w:rPr>
        <w:t xml:space="preserve">Learners </w:t>
      </w:r>
      <w:r w:rsidRPr="009D0078">
        <w:rPr>
          <w:rFonts w:ascii="Times New Roman" w:hAnsi="Times New Roman" w:cs="Times New Roman"/>
        </w:rPr>
        <w:t>register and complete all assessments electronically, reducing the time burden for registrants. ORWH is not planning to collect information from any existing databases. All information will be collected via new user submissions.</w:t>
      </w:r>
      <w:r w:rsidRPr="009D0078">
        <w:rPr>
          <w:rFonts w:ascii="Times New Roman" w:hAnsi="Times New Roman" w:cs="Times New Roman"/>
          <w:color w:val="000000" w:themeColor="text1"/>
        </w:rPr>
        <w:t xml:space="preserve"> </w:t>
      </w:r>
    </w:p>
    <w:p w:rsidRPr="009D0078" w:rsidR="001A57A4" w:rsidP="00DE081E" w:rsidRDefault="001A57A4" w14:paraId="6FF76B5F" w14:textId="6C49BDB7">
      <w:pPr>
        <w:spacing w:line="480" w:lineRule="auto"/>
        <w:ind w:firstLine="720"/>
        <w:rPr>
          <w:rFonts w:ascii="Times New Roman" w:hAnsi="Times New Roman" w:cs="Times New Roman"/>
        </w:rPr>
      </w:pPr>
      <w:r w:rsidRPr="009D0078">
        <w:rPr>
          <w:rFonts w:ascii="Times New Roman" w:hAnsi="Times New Roman" w:cs="Times New Roman"/>
          <w:color w:val="000000" w:themeColor="text1"/>
        </w:rPr>
        <w:t xml:space="preserve">A </w:t>
      </w:r>
      <w:r w:rsidR="00867FE2">
        <w:rPr>
          <w:rFonts w:ascii="Times New Roman" w:hAnsi="Times New Roman" w:cs="Times New Roman"/>
          <w:color w:val="000000" w:themeColor="text1"/>
        </w:rPr>
        <w:t xml:space="preserve">PIA has been completed </w:t>
      </w:r>
      <w:r w:rsidR="00DE081E">
        <w:rPr>
          <w:rFonts w:ascii="Times New Roman" w:hAnsi="Times New Roman" w:cs="Times New Roman"/>
          <w:color w:val="000000" w:themeColor="text1"/>
        </w:rPr>
        <w:t>to include this collection and the course registration form</w:t>
      </w:r>
      <w:r w:rsidR="00867FE2">
        <w:rPr>
          <w:rFonts w:ascii="Times New Roman" w:hAnsi="Times New Roman" w:cs="Times New Roman"/>
          <w:color w:val="000000" w:themeColor="text1"/>
        </w:rPr>
        <w:t xml:space="preserve"> and</w:t>
      </w:r>
      <w:r w:rsidRPr="009D0078">
        <w:rPr>
          <w:rFonts w:ascii="Times New Roman" w:hAnsi="Times New Roman" w:cs="Times New Roman"/>
          <w:color w:val="000000" w:themeColor="text1"/>
        </w:rPr>
        <w:t xml:space="preserve"> is attached to this application</w:t>
      </w:r>
      <w:r w:rsidR="00100484">
        <w:rPr>
          <w:rFonts w:ascii="Times New Roman" w:hAnsi="Times New Roman" w:cs="Times New Roman"/>
          <w:color w:val="000000" w:themeColor="text1"/>
        </w:rPr>
        <w:t xml:space="preserve"> (Attachment 11)</w:t>
      </w:r>
      <w:r w:rsidRPr="009D0078">
        <w:rPr>
          <w:rFonts w:ascii="Times New Roman" w:hAnsi="Times New Roman" w:cs="Times New Roman"/>
          <w:color w:val="000000" w:themeColor="text1"/>
        </w:rPr>
        <w:t>.</w:t>
      </w:r>
      <w:r w:rsidRPr="009D0078">
        <w:rPr>
          <w:rFonts w:ascii="Times New Roman" w:hAnsi="Times New Roman" w:cs="Times New Roman"/>
        </w:rPr>
        <w:t xml:space="preserve"> </w:t>
      </w:r>
      <w:r w:rsidR="00DE081E">
        <w:rPr>
          <w:rFonts w:ascii="Times New Roman" w:hAnsi="Times New Roman" w:cs="Times New Roman"/>
        </w:rPr>
        <w:t xml:space="preserve">Information collected </w:t>
      </w:r>
      <w:r w:rsidRPr="009D0078" w:rsidR="00DE081E">
        <w:rPr>
          <w:rFonts w:ascii="Times New Roman" w:hAnsi="Times New Roman" w:cs="Times New Roman"/>
        </w:rPr>
        <w:t xml:space="preserve">will be stored on CIT </w:t>
      </w:r>
      <w:r w:rsidR="00DE081E">
        <w:rPr>
          <w:rFonts w:ascii="Times New Roman" w:hAnsi="Times New Roman" w:cs="Times New Roman"/>
        </w:rPr>
        <w:t xml:space="preserve">and OIT </w:t>
      </w:r>
      <w:r w:rsidRPr="009D0078" w:rsidR="00DE081E">
        <w:rPr>
          <w:rFonts w:ascii="Times New Roman" w:hAnsi="Times New Roman" w:cs="Times New Roman"/>
        </w:rPr>
        <w:t>database</w:t>
      </w:r>
      <w:r w:rsidR="00DE081E">
        <w:rPr>
          <w:rFonts w:ascii="Times New Roman" w:hAnsi="Times New Roman" w:cs="Times New Roman"/>
        </w:rPr>
        <w:t>s</w:t>
      </w:r>
      <w:r w:rsidRPr="009D0078" w:rsidR="00DE081E">
        <w:rPr>
          <w:rFonts w:ascii="Times New Roman" w:hAnsi="Times New Roman" w:cs="Times New Roman"/>
        </w:rPr>
        <w:t xml:space="preserve"> behind the NIH firewall.</w:t>
      </w:r>
      <w:r w:rsidR="00DE081E">
        <w:rPr>
          <w:rFonts w:ascii="Times New Roman" w:hAnsi="Times New Roman" w:cs="Times New Roman"/>
        </w:rPr>
        <w:t xml:space="preserve"> </w:t>
      </w:r>
    </w:p>
    <w:p w:rsidRPr="00E57D5E" w:rsidR="001A57A4" w:rsidP="001A57A4" w:rsidRDefault="001A57A4" w14:paraId="01DF1473" w14:textId="77777777">
      <w:pPr>
        <w:pStyle w:val="Heading2"/>
        <w:spacing w:line="480" w:lineRule="auto"/>
        <w:ind w:left="720" w:hanging="720"/>
        <w:rPr>
          <w:rFonts w:ascii="Times New Roman" w:hAnsi="Times New Roman" w:cs="Times New Roman"/>
          <w:b/>
          <w:color w:val="auto"/>
          <w:sz w:val="22"/>
          <w:szCs w:val="22"/>
        </w:rPr>
      </w:pPr>
      <w:bookmarkStart w:name="_Toc443881745" w:id="12"/>
      <w:bookmarkStart w:name="_Toc451592234" w:id="13"/>
      <w:bookmarkStart w:name="_Toc5610275" w:id="14"/>
      <w:bookmarkStart w:name="_Toc99178781" w:id="15"/>
      <w:bookmarkStart w:name="_Toc22307622" w:id="16"/>
      <w:bookmarkStart w:name="_Toc22825123" w:id="17"/>
      <w:bookmarkEnd w:id="11"/>
      <w:r w:rsidRPr="00E57D5E">
        <w:rPr>
          <w:rFonts w:ascii="Times New Roman" w:hAnsi="Times New Roman" w:cs="Times New Roman"/>
          <w:b/>
          <w:color w:val="auto"/>
          <w:sz w:val="22"/>
          <w:szCs w:val="22"/>
        </w:rPr>
        <w:t>A.4</w:t>
      </w:r>
      <w:r w:rsidRPr="00E57D5E">
        <w:rPr>
          <w:rFonts w:ascii="Times New Roman" w:hAnsi="Times New Roman" w:cs="Times New Roman"/>
          <w:b/>
          <w:color w:val="auto"/>
          <w:sz w:val="22"/>
          <w:szCs w:val="22"/>
        </w:rPr>
        <w:tab/>
        <w:t>Efforts to Identify Duplication and Use of Similar Information</w:t>
      </w:r>
      <w:bookmarkEnd w:id="12"/>
      <w:bookmarkEnd w:id="13"/>
      <w:bookmarkEnd w:id="14"/>
      <w:bookmarkEnd w:id="15"/>
      <w:bookmarkEnd w:id="16"/>
      <w:bookmarkEnd w:id="17"/>
    </w:p>
    <w:p w:rsidR="001A57A4" w:rsidP="008B5E85" w:rsidRDefault="001A57A4" w14:paraId="662039D8" w14:textId="2C8B796C">
      <w:pPr>
        <w:spacing w:line="480" w:lineRule="auto"/>
        <w:ind w:firstLine="720"/>
        <w:rPr>
          <w:rFonts w:ascii="Times New Roman" w:hAnsi="Times New Roman" w:cs="Times New Roman"/>
        </w:rPr>
      </w:pPr>
      <w:r>
        <w:rPr>
          <w:rFonts w:ascii="Times New Roman" w:hAnsi="Times New Roman" w:cs="Times New Roman"/>
        </w:rPr>
        <w:t>The pre- and post-</w:t>
      </w:r>
      <w:r w:rsidR="001531DF">
        <w:rPr>
          <w:rFonts w:ascii="Times New Roman" w:hAnsi="Times New Roman" w:cs="Times New Roman"/>
        </w:rPr>
        <w:t xml:space="preserve"> attitude assessment </w:t>
      </w:r>
      <w:r w:rsidR="0079757B">
        <w:rPr>
          <w:rFonts w:ascii="Times New Roman" w:hAnsi="Times New Roman" w:cs="Times New Roman"/>
        </w:rPr>
        <w:t xml:space="preserve">(Attachment 1) </w:t>
      </w:r>
      <w:r w:rsidR="001531DF">
        <w:rPr>
          <w:rFonts w:ascii="Times New Roman" w:hAnsi="Times New Roman" w:cs="Times New Roman"/>
        </w:rPr>
        <w:t xml:space="preserve">and module-specific knowledge checks </w:t>
      </w:r>
      <w:r w:rsidR="003D2EC8">
        <w:rPr>
          <w:rFonts w:ascii="Times New Roman" w:hAnsi="Times New Roman" w:cs="Times New Roman"/>
        </w:rPr>
        <w:t>(</w:t>
      </w:r>
      <w:r w:rsidR="003D2EC8">
        <w:rPr>
          <w:rFonts w:ascii="Times New Roman" w:hAnsi="Times New Roman" w:cs="Times New Roman"/>
          <w:noProof/>
          <w:color w:val="000000" w:themeColor="text1"/>
        </w:rPr>
        <w:t>Attachments 5-10</w:t>
      </w:r>
      <w:r w:rsidR="00D564E8">
        <w:rPr>
          <w:rFonts w:ascii="Times New Roman" w:hAnsi="Times New Roman" w:cs="Times New Roman"/>
          <w:noProof/>
          <w:color w:val="000000" w:themeColor="text1"/>
        </w:rPr>
        <w:t>; 13-16</w:t>
      </w:r>
      <w:r w:rsidR="003D2EC8">
        <w:rPr>
          <w:rFonts w:ascii="Times New Roman" w:hAnsi="Times New Roman" w:cs="Times New Roman"/>
          <w:noProof/>
          <w:color w:val="000000" w:themeColor="text1"/>
        </w:rPr>
        <w:t xml:space="preserve">) </w:t>
      </w:r>
      <w:r w:rsidR="001531DF">
        <w:rPr>
          <w:rFonts w:ascii="Times New Roman" w:hAnsi="Times New Roman" w:cs="Times New Roman"/>
        </w:rPr>
        <w:t xml:space="preserve">are </w:t>
      </w:r>
      <w:r>
        <w:rPr>
          <w:rFonts w:ascii="Times New Roman" w:hAnsi="Times New Roman" w:cs="Times New Roman"/>
        </w:rPr>
        <w:t>unique to these online courses</w:t>
      </w:r>
      <w:r w:rsidR="004040A3">
        <w:rPr>
          <w:rFonts w:ascii="Times New Roman" w:hAnsi="Times New Roman" w:cs="Times New Roman"/>
        </w:rPr>
        <w:t xml:space="preserve"> therefore the </w:t>
      </w:r>
      <w:r>
        <w:rPr>
          <w:rFonts w:ascii="Times New Roman" w:hAnsi="Times New Roman" w:cs="Times New Roman"/>
        </w:rPr>
        <w:t>information collected is not available in any existing database</w:t>
      </w:r>
      <w:r w:rsidR="001531DF">
        <w:rPr>
          <w:rFonts w:ascii="Times New Roman" w:hAnsi="Times New Roman" w:cs="Times New Roman"/>
        </w:rPr>
        <w:t xml:space="preserve"> and must be collected via new request</w:t>
      </w:r>
      <w:r>
        <w:rPr>
          <w:rFonts w:ascii="Times New Roman" w:hAnsi="Times New Roman" w:cs="Times New Roman"/>
        </w:rPr>
        <w:t xml:space="preserve">. The </w:t>
      </w:r>
      <w:r w:rsidR="001531DF">
        <w:rPr>
          <w:rFonts w:ascii="Times New Roman" w:hAnsi="Times New Roman" w:cs="Times New Roman"/>
        </w:rPr>
        <w:t xml:space="preserve">ORWH </w:t>
      </w:r>
      <w:r>
        <w:rPr>
          <w:rFonts w:ascii="Times New Roman" w:hAnsi="Times New Roman" w:cs="Times New Roman"/>
        </w:rPr>
        <w:t xml:space="preserve">analysis plan includes an exploration of </w:t>
      </w:r>
      <w:r w:rsidRPr="00B22A74">
        <w:rPr>
          <w:rFonts w:ascii="Times New Roman" w:hAnsi="Times New Roman" w:cs="Times New Roman"/>
        </w:rPr>
        <w:t xml:space="preserve">the course’s impact on individual </w:t>
      </w:r>
      <w:r w:rsidR="008B5E85">
        <w:rPr>
          <w:rFonts w:ascii="Times New Roman" w:hAnsi="Times New Roman" w:cs="Times New Roman"/>
        </w:rPr>
        <w:t>learners</w:t>
      </w:r>
      <w:r w:rsidR="001531DF">
        <w:rPr>
          <w:rFonts w:ascii="Times New Roman" w:hAnsi="Times New Roman" w:cs="Times New Roman"/>
        </w:rPr>
        <w:t xml:space="preserve">, which </w:t>
      </w:r>
      <w:r>
        <w:rPr>
          <w:rFonts w:ascii="Times New Roman" w:hAnsi="Times New Roman" w:cs="Times New Roman"/>
        </w:rPr>
        <w:t xml:space="preserve">will </w:t>
      </w:r>
      <w:r w:rsidRPr="00B22A74">
        <w:rPr>
          <w:rFonts w:ascii="Times New Roman" w:hAnsi="Times New Roman" w:cs="Times New Roman"/>
        </w:rPr>
        <w:t>require collecting data during specific time points (before and after course completion)</w:t>
      </w:r>
      <w:r w:rsidR="001531DF">
        <w:rPr>
          <w:rFonts w:ascii="Times New Roman" w:hAnsi="Times New Roman" w:cs="Times New Roman"/>
        </w:rPr>
        <w:t>. I</w:t>
      </w:r>
      <w:r>
        <w:rPr>
          <w:rFonts w:ascii="Times New Roman" w:hAnsi="Times New Roman" w:cs="Times New Roman"/>
        </w:rPr>
        <w:t xml:space="preserve">t would not be possible to conduct these analyses without the proposed information collection. </w:t>
      </w:r>
    </w:p>
    <w:p w:rsidRPr="00B22A74" w:rsidR="001A57A4" w:rsidP="0055317D" w:rsidRDefault="001A57A4" w14:paraId="7D580AE7" w14:textId="28367F2C">
      <w:pPr>
        <w:spacing w:line="480" w:lineRule="auto"/>
        <w:ind w:firstLine="720"/>
        <w:rPr>
          <w:rFonts w:ascii="Times New Roman" w:hAnsi="Times New Roman" w:cs="Times New Roman"/>
        </w:rPr>
      </w:pPr>
      <w:r>
        <w:rPr>
          <w:rFonts w:ascii="Times New Roman" w:hAnsi="Times New Roman" w:cs="Times New Roman"/>
        </w:rPr>
        <w:lastRenderedPageBreak/>
        <w:t xml:space="preserve">Where possible, we have minimized duplication. Pre- and post- assessments </w:t>
      </w:r>
      <w:r w:rsidR="0079757B">
        <w:rPr>
          <w:rFonts w:ascii="Times New Roman" w:hAnsi="Times New Roman" w:cs="Times New Roman"/>
        </w:rPr>
        <w:t xml:space="preserve">(Attachment 1) </w:t>
      </w:r>
      <w:r>
        <w:rPr>
          <w:rFonts w:ascii="Times New Roman" w:hAnsi="Times New Roman" w:cs="Times New Roman"/>
        </w:rPr>
        <w:t xml:space="preserve">have been synchronized and will be used </w:t>
      </w:r>
      <w:r w:rsidR="009F4DD8">
        <w:rPr>
          <w:rFonts w:ascii="Times New Roman" w:hAnsi="Times New Roman" w:cs="Times New Roman"/>
        </w:rPr>
        <w:t>across</w:t>
      </w:r>
      <w:r>
        <w:rPr>
          <w:rFonts w:ascii="Times New Roman" w:hAnsi="Times New Roman" w:cs="Times New Roman"/>
        </w:rPr>
        <w:t xml:space="preserve"> all ORWH courses. </w:t>
      </w:r>
      <w:r w:rsidR="0055317D">
        <w:rPr>
          <w:rFonts w:ascii="Times New Roman" w:hAnsi="Times New Roman" w:cs="Times New Roman"/>
        </w:rPr>
        <w:t xml:space="preserve">The </w:t>
      </w:r>
      <w:r w:rsidR="003D2EC8">
        <w:rPr>
          <w:rFonts w:ascii="Times New Roman" w:hAnsi="Times New Roman" w:cs="Times New Roman"/>
        </w:rPr>
        <w:t>information</w:t>
      </w:r>
      <w:r w:rsidR="0055317D">
        <w:rPr>
          <w:rFonts w:ascii="Times New Roman" w:hAnsi="Times New Roman" w:cs="Times New Roman"/>
        </w:rPr>
        <w:t xml:space="preserve"> collected from the </w:t>
      </w:r>
      <w:r w:rsidR="00D564E8">
        <w:rPr>
          <w:rFonts w:ascii="Times New Roman" w:hAnsi="Times New Roman" w:cs="Times New Roman"/>
        </w:rPr>
        <w:t xml:space="preserve">Bench to Bedside </w:t>
      </w:r>
      <w:r w:rsidR="0055317D">
        <w:rPr>
          <w:rFonts w:ascii="Times New Roman" w:hAnsi="Times New Roman" w:cs="Times New Roman"/>
        </w:rPr>
        <w:t xml:space="preserve">knowledge checks </w:t>
      </w:r>
      <w:r w:rsidR="003D2EC8">
        <w:rPr>
          <w:rFonts w:ascii="Times New Roman" w:hAnsi="Times New Roman" w:cs="Times New Roman"/>
        </w:rPr>
        <w:t>(</w:t>
      </w:r>
      <w:r w:rsidR="003D2EC8">
        <w:rPr>
          <w:rFonts w:ascii="Times New Roman" w:hAnsi="Times New Roman" w:cs="Times New Roman"/>
          <w:noProof/>
          <w:color w:val="000000" w:themeColor="text1"/>
        </w:rPr>
        <w:t xml:space="preserve">Attachments 5-10) </w:t>
      </w:r>
      <w:r w:rsidR="0055317D">
        <w:rPr>
          <w:rFonts w:ascii="Times New Roman" w:hAnsi="Times New Roman" w:cs="Times New Roman"/>
        </w:rPr>
        <w:t>and module evaluation</w:t>
      </w:r>
      <w:r w:rsidR="00D564E8">
        <w:rPr>
          <w:rFonts w:ascii="Times New Roman" w:hAnsi="Times New Roman" w:cs="Times New Roman"/>
        </w:rPr>
        <w:t xml:space="preserve"> (Attachment 3) </w:t>
      </w:r>
      <w:r w:rsidR="0055317D">
        <w:rPr>
          <w:rFonts w:ascii="Times New Roman" w:hAnsi="Times New Roman" w:cs="Times New Roman"/>
        </w:rPr>
        <w:t xml:space="preserve">is required by the continuing education provider. </w:t>
      </w:r>
      <w:r w:rsidR="00DD4E91">
        <w:rPr>
          <w:rFonts w:ascii="Times New Roman" w:hAnsi="Times New Roman" w:cs="Times New Roman"/>
        </w:rPr>
        <w:t xml:space="preserve">ORWH is required to administer those surveys to </w:t>
      </w:r>
      <w:r w:rsidR="0055317D">
        <w:rPr>
          <w:rFonts w:ascii="Times New Roman" w:hAnsi="Times New Roman" w:cs="Times New Roman"/>
        </w:rPr>
        <w:t xml:space="preserve">offer CEUs. </w:t>
      </w:r>
    </w:p>
    <w:p w:rsidRPr="00E57D5E" w:rsidR="001A57A4" w:rsidP="001A57A4" w:rsidRDefault="001A57A4" w14:paraId="35A7454B" w14:textId="77777777">
      <w:pPr>
        <w:pStyle w:val="Heading2"/>
        <w:spacing w:line="480" w:lineRule="auto"/>
        <w:ind w:left="720" w:hanging="720"/>
        <w:rPr>
          <w:rFonts w:ascii="Times New Roman" w:hAnsi="Times New Roman" w:cs="Times New Roman"/>
          <w:b/>
          <w:color w:val="auto"/>
          <w:sz w:val="22"/>
          <w:szCs w:val="22"/>
        </w:rPr>
      </w:pPr>
      <w:bookmarkStart w:name="_Toc443881746" w:id="18"/>
      <w:bookmarkStart w:name="_Toc451592235" w:id="19"/>
      <w:bookmarkStart w:name="_Toc5610276" w:id="20"/>
      <w:bookmarkStart w:name="_Toc99178782" w:id="21"/>
      <w:bookmarkStart w:name="_Toc22307623" w:id="22"/>
      <w:bookmarkStart w:name="_Toc22825124" w:id="23"/>
      <w:r w:rsidRPr="00E57D5E">
        <w:rPr>
          <w:rFonts w:ascii="Times New Roman" w:hAnsi="Times New Roman" w:cs="Times New Roman"/>
          <w:b/>
          <w:color w:val="auto"/>
          <w:sz w:val="22"/>
          <w:szCs w:val="22"/>
        </w:rPr>
        <w:t>A.5</w:t>
      </w:r>
      <w:r w:rsidRPr="00E57D5E">
        <w:rPr>
          <w:rFonts w:ascii="Times New Roman" w:hAnsi="Times New Roman" w:cs="Times New Roman"/>
          <w:b/>
          <w:color w:val="auto"/>
          <w:sz w:val="22"/>
          <w:szCs w:val="22"/>
        </w:rPr>
        <w:tab/>
        <w:t>Impact on Small Businesses or Other Small Entities</w:t>
      </w:r>
      <w:bookmarkEnd w:id="18"/>
      <w:bookmarkEnd w:id="19"/>
      <w:bookmarkEnd w:id="20"/>
      <w:bookmarkEnd w:id="21"/>
      <w:bookmarkEnd w:id="22"/>
      <w:bookmarkEnd w:id="23"/>
    </w:p>
    <w:p w:rsidRPr="00E57D5E" w:rsidR="001A57A4" w:rsidP="00DE081E" w:rsidRDefault="001A57A4" w14:paraId="6D1A0E02" w14:textId="77777777">
      <w:pPr>
        <w:pStyle w:val="P1-StandPara"/>
        <w:spacing w:line="240" w:lineRule="auto"/>
      </w:pPr>
      <w:r w:rsidRPr="00E57D5E">
        <w:t xml:space="preserve">This information collection does not impact small businesses or other small entities. </w:t>
      </w:r>
    </w:p>
    <w:p w:rsidRPr="00E57D5E" w:rsidR="001A57A4" w:rsidP="001A57A4" w:rsidRDefault="001A57A4" w14:paraId="1B9852AC" w14:textId="77777777">
      <w:pPr>
        <w:pStyle w:val="P1-StandPara"/>
        <w:spacing w:line="240" w:lineRule="auto"/>
        <w:ind w:firstLine="0"/>
      </w:pPr>
    </w:p>
    <w:p w:rsidRPr="00E57D5E" w:rsidR="001A57A4" w:rsidP="001A57A4" w:rsidRDefault="001A57A4" w14:paraId="3DA85259" w14:textId="77777777">
      <w:pPr>
        <w:pStyle w:val="Heading2"/>
        <w:spacing w:line="480" w:lineRule="auto"/>
        <w:ind w:left="720" w:hanging="720"/>
        <w:rPr>
          <w:rFonts w:ascii="Times New Roman" w:hAnsi="Times New Roman" w:cs="Times New Roman"/>
          <w:b/>
          <w:color w:val="auto"/>
          <w:sz w:val="22"/>
          <w:szCs w:val="22"/>
        </w:rPr>
      </w:pPr>
      <w:bookmarkStart w:name="_Toc443881747" w:id="24"/>
      <w:bookmarkStart w:name="_Toc451592236" w:id="25"/>
      <w:bookmarkStart w:name="_Toc5610277" w:id="26"/>
      <w:bookmarkStart w:name="_Toc99178783" w:id="27"/>
      <w:bookmarkStart w:name="_Toc22307624" w:id="28"/>
      <w:bookmarkStart w:name="_Toc22825125" w:id="29"/>
      <w:bookmarkStart w:name="_Hlk24007616" w:id="30"/>
      <w:r w:rsidRPr="00E57D5E">
        <w:rPr>
          <w:rFonts w:ascii="Times New Roman" w:hAnsi="Times New Roman" w:cs="Times New Roman"/>
          <w:b/>
          <w:color w:val="auto"/>
          <w:sz w:val="22"/>
          <w:szCs w:val="22"/>
        </w:rPr>
        <w:t>A.6</w:t>
      </w:r>
      <w:r w:rsidRPr="00E57D5E">
        <w:rPr>
          <w:rFonts w:ascii="Times New Roman" w:hAnsi="Times New Roman" w:cs="Times New Roman"/>
          <w:b/>
          <w:color w:val="auto"/>
          <w:sz w:val="22"/>
          <w:szCs w:val="22"/>
        </w:rPr>
        <w:tab/>
        <w:t>Consequences of Collecting the Information Less Frequently</w:t>
      </w:r>
      <w:bookmarkEnd w:id="24"/>
      <w:bookmarkEnd w:id="25"/>
      <w:bookmarkEnd w:id="26"/>
      <w:bookmarkEnd w:id="27"/>
      <w:bookmarkEnd w:id="28"/>
      <w:bookmarkEnd w:id="29"/>
    </w:p>
    <w:p w:rsidRPr="00E57D5E" w:rsidR="004040A3" w:rsidP="004040A3" w:rsidRDefault="001A57A4" w14:paraId="287EBD94" w14:textId="30EABA3C">
      <w:pPr>
        <w:spacing w:line="480" w:lineRule="auto"/>
        <w:ind w:firstLine="720"/>
        <w:rPr>
          <w:rFonts w:ascii="Times New Roman" w:hAnsi="Times New Roman" w:cs="Times New Roman"/>
        </w:rPr>
      </w:pPr>
      <w:r>
        <w:rPr>
          <w:rFonts w:ascii="Times New Roman" w:hAnsi="Times New Roman" w:cs="Times New Roman"/>
        </w:rPr>
        <w:t xml:space="preserve">ORWH would not be able to identify changes in </w:t>
      </w:r>
      <w:r w:rsidR="008B5E85">
        <w:rPr>
          <w:rFonts w:ascii="Times New Roman" w:hAnsi="Times New Roman" w:cs="Times New Roman"/>
        </w:rPr>
        <w:t>learners’</w:t>
      </w:r>
      <w:r>
        <w:rPr>
          <w:rFonts w:ascii="Times New Roman" w:hAnsi="Times New Roman" w:cs="Times New Roman"/>
        </w:rPr>
        <w:t xml:space="preserve"> attitudes with a less frequent information collection.</w:t>
      </w:r>
      <w:r w:rsidRPr="00E57D5E">
        <w:rPr>
          <w:rFonts w:ascii="Times New Roman" w:hAnsi="Times New Roman" w:cs="Times New Roman"/>
        </w:rPr>
        <w:t xml:space="preserve"> ORWH must assess </w:t>
      </w:r>
      <w:r w:rsidR="008B5E85">
        <w:rPr>
          <w:rFonts w:ascii="Times New Roman" w:hAnsi="Times New Roman" w:cs="Times New Roman"/>
        </w:rPr>
        <w:t xml:space="preserve">learners’ </w:t>
      </w:r>
      <w:r w:rsidRPr="00E57D5E">
        <w:rPr>
          <w:rFonts w:ascii="Times New Roman" w:hAnsi="Times New Roman" w:cs="Times New Roman"/>
        </w:rPr>
        <w:t xml:space="preserve">knowledge </w:t>
      </w:r>
      <w:r w:rsidR="00A65367">
        <w:rPr>
          <w:rFonts w:ascii="Times New Roman" w:hAnsi="Times New Roman" w:cs="Times New Roman"/>
        </w:rPr>
        <w:t xml:space="preserve">during and after each module </w:t>
      </w:r>
      <w:r w:rsidRPr="00E57D5E">
        <w:rPr>
          <w:rFonts w:ascii="Times New Roman" w:hAnsi="Times New Roman" w:cs="Times New Roman"/>
        </w:rPr>
        <w:t xml:space="preserve">in order to evaluate learning. </w:t>
      </w:r>
    </w:p>
    <w:p w:rsidRPr="00E57D5E" w:rsidR="001A57A4" w:rsidP="001A57A4" w:rsidRDefault="001A57A4" w14:paraId="048CE66A" w14:textId="77777777">
      <w:pPr>
        <w:pStyle w:val="Heading2"/>
        <w:spacing w:line="480" w:lineRule="auto"/>
        <w:rPr>
          <w:rFonts w:ascii="Times New Roman" w:hAnsi="Times New Roman" w:cs="Times New Roman"/>
          <w:b/>
          <w:color w:val="auto"/>
          <w:sz w:val="22"/>
          <w:szCs w:val="22"/>
        </w:rPr>
      </w:pPr>
      <w:bookmarkStart w:name="_Toc443881748" w:id="31"/>
      <w:bookmarkStart w:name="_Toc451592237" w:id="32"/>
      <w:bookmarkStart w:name="_Toc5610278" w:id="33"/>
      <w:bookmarkStart w:name="_Toc99178784" w:id="34"/>
      <w:bookmarkStart w:name="_Toc22307625" w:id="35"/>
      <w:bookmarkStart w:name="_Toc22825126" w:id="36"/>
      <w:bookmarkEnd w:id="30"/>
      <w:r w:rsidRPr="00E57D5E">
        <w:rPr>
          <w:rFonts w:ascii="Times New Roman" w:hAnsi="Times New Roman" w:cs="Times New Roman"/>
          <w:b/>
          <w:color w:val="auto"/>
          <w:sz w:val="22"/>
          <w:szCs w:val="22"/>
        </w:rPr>
        <w:t>A.7</w:t>
      </w:r>
      <w:r w:rsidRPr="00E57D5E">
        <w:rPr>
          <w:rFonts w:ascii="Times New Roman" w:hAnsi="Times New Roman" w:cs="Times New Roman"/>
          <w:b/>
          <w:color w:val="auto"/>
          <w:sz w:val="22"/>
          <w:szCs w:val="22"/>
        </w:rPr>
        <w:tab/>
        <w:t xml:space="preserve">Special Circumstances Relating to the Guidelines of 5 </w:t>
      </w:r>
      <w:smartTag w:uri="urn:schemas-microsoft-com:office:smarttags" w:element="stockticker">
        <w:r w:rsidRPr="00E57D5E">
          <w:rPr>
            <w:rFonts w:ascii="Times New Roman" w:hAnsi="Times New Roman" w:cs="Times New Roman"/>
            <w:b/>
            <w:color w:val="auto"/>
            <w:sz w:val="22"/>
            <w:szCs w:val="22"/>
          </w:rPr>
          <w:t>CFR</w:t>
        </w:r>
      </w:smartTag>
      <w:r w:rsidRPr="00E57D5E">
        <w:rPr>
          <w:rFonts w:ascii="Times New Roman" w:hAnsi="Times New Roman" w:cs="Times New Roman"/>
          <w:b/>
          <w:color w:val="auto"/>
          <w:sz w:val="22"/>
          <w:szCs w:val="22"/>
        </w:rPr>
        <w:t xml:space="preserve"> 1320.5</w:t>
      </w:r>
      <w:bookmarkEnd w:id="31"/>
      <w:bookmarkEnd w:id="32"/>
      <w:bookmarkEnd w:id="33"/>
      <w:bookmarkEnd w:id="34"/>
      <w:bookmarkEnd w:id="35"/>
      <w:bookmarkEnd w:id="36"/>
    </w:p>
    <w:p w:rsidRPr="00E57D5E" w:rsidR="001A57A4" w:rsidP="00435CDE" w:rsidRDefault="001A57A4" w14:paraId="2C702B41" w14:textId="77777777">
      <w:pPr>
        <w:ind w:firstLine="720"/>
        <w:rPr>
          <w:rFonts w:ascii="Times New Roman" w:hAnsi="Times New Roman" w:cs="Times New Roman"/>
          <w:sz w:val="24"/>
        </w:rPr>
      </w:pPr>
      <w:r w:rsidRPr="00E57D5E">
        <w:rPr>
          <w:rFonts w:ascii="Times New Roman" w:hAnsi="Times New Roman" w:cs="Times New Roman"/>
          <w:szCs w:val="20"/>
        </w:rPr>
        <w:t xml:space="preserve">Collected information is consistent with these guidelines.  </w:t>
      </w:r>
    </w:p>
    <w:p w:rsidRPr="00E57D5E" w:rsidR="001A57A4" w:rsidP="001A57A4" w:rsidRDefault="001A57A4" w14:paraId="66381FAC" w14:textId="77777777">
      <w:pPr>
        <w:pStyle w:val="P1-StandPara"/>
        <w:spacing w:line="240" w:lineRule="auto"/>
        <w:ind w:firstLine="0"/>
        <w:rPr>
          <w:szCs w:val="22"/>
        </w:rPr>
      </w:pPr>
    </w:p>
    <w:p w:rsidRPr="00E3351E" w:rsidR="001A57A4" w:rsidP="001A57A4" w:rsidRDefault="001A57A4" w14:paraId="1223F921" w14:textId="77777777">
      <w:pPr>
        <w:pStyle w:val="Heading2"/>
        <w:ind w:left="720" w:hanging="720"/>
        <w:rPr>
          <w:rFonts w:ascii="Times New Roman" w:hAnsi="Times New Roman" w:cs="Times New Roman"/>
          <w:b/>
          <w:color w:val="auto"/>
          <w:sz w:val="22"/>
          <w:szCs w:val="22"/>
        </w:rPr>
      </w:pPr>
      <w:bookmarkStart w:name="_Toc22307626" w:id="37"/>
      <w:bookmarkStart w:name="_Toc22825127" w:id="38"/>
      <w:bookmarkStart w:name="_Toc443881749" w:id="39"/>
      <w:bookmarkStart w:name="_Toc451592238" w:id="40"/>
      <w:bookmarkStart w:name="_Toc5610279" w:id="41"/>
      <w:bookmarkStart w:name="_Toc99178785" w:id="42"/>
      <w:r w:rsidRPr="00E57D5E">
        <w:rPr>
          <w:rFonts w:ascii="Times New Roman" w:hAnsi="Times New Roman" w:cs="Times New Roman"/>
          <w:b/>
          <w:color w:val="auto"/>
          <w:sz w:val="22"/>
          <w:szCs w:val="22"/>
        </w:rPr>
        <w:t>A.8.1</w:t>
      </w:r>
      <w:r w:rsidRPr="00E57D5E">
        <w:rPr>
          <w:rFonts w:ascii="Times New Roman" w:hAnsi="Times New Roman" w:cs="Times New Roman"/>
          <w:b/>
          <w:color w:val="auto"/>
          <w:sz w:val="22"/>
          <w:szCs w:val="22"/>
        </w:rPr>
        <w:tab/>
      </w:r>
      <w:r w:rsidRPr="00E3351E">
        <w:rPr>
          <w:rFonts w:ascii="Times New Roman" w:hAnsi="Times New Roman" w:cs="Times New Roman"/>
          <w:b/>
          <w:color w:val="auto"/>
          <w:sz w:val="22"/>
          <w:szCs w:val="22"/>
        </w:rPr>
        <w:t>Comments in Response to the Federal Register Notice</w:t>
      </w:r>
      <w:bookmarkEnd w:id="37"/>
      <w:bookmarkEnd w:id="38"/>
      <w:r w:rsidRPr="00E3351E">
        <w:rPr>
          <w:rFonts w:ascii="Times New Roman" w:hAnsi="Times New Roman" w:cs="Times New Roman"/>
          <w:b/>
          <w:color w:val="auto"/>
          <w:sz w:val="22"/>
          <w:szCs w:val="22"/>
        </w:rPr>
        <w:t xml:space="preserve"> </w:t>
      </w:r>
    </w:p>
    <w:p w:rsidRPr="00E3351E" w:rsidR="001A57A4" w:rsidP="001A57A4" w:rsidRDefault="001A57A4" w14:paraId="09193332" w14:textId="77777777">
      <w:pPr>
        <w:pStyle w:val="Heading2"/>
        <w:ind w:left="720" w:hanging="720"/>
        <w:rPr>
          <w:rFonts w:ascii="Times New Roman" w:hAnsi="Times New Roman" w:cs="Times New Roman"/>
          <w:szCs w:val="22"/>
        </w:rPr>
      </w:pPr>
    </w:p>
    <w:bookmarkEnd w:id="39"/>
    <w:bookmarkEnd w:id="40"/>
    <w:bookmarkEnd w:id="41"/>
    <w:bookmarkEnd w:id="42"/>
    <w:p w:rsidRPr="00435CDE" w:rsidR="001A57A4" w:rsidP="00435CDE" w:rsidRDefault="00D85690" w14:paraId="26CDAE3A" w14:textId="54091611">
      <w:pPr>
        <w:spacing w:line="480" w:lineRule="auto"/>
        <w:ind w:firstLine="720"/>
        <w:rPr>
          <w:rFonts w:ascii="Times New Roman" w:hAnsi="Times New Roman" w:cs="Times New Roman"/>
          <w:i/>
          <w:iCs/>
        </w:rPr>
      </w:pPr>
      <w:r>
        <w:rPr>
          <w:rFonts w:ascii="Times New Roman" w:hAnsi="Times New Roman" w:cs="Times New Roman"/>
          <w:i/>
          <w:iCs/>
        </w:rPr>
        <w:t xml:space="preserve">The 60-Day Federal Register Notice was published on April 30, 2020 (Vol. 85, No. 84, pages 23978-23980). Comments were received (Attachment 17). </w:t>
      </w:r>
    </w:p>
    <w:p w:rsidRPr="00E57D5E" w:rsidR="001A57A4" w:rsidP="001A57A4" w:rsidRDefault="001A57A4" w14:paraId="3BA1AF3A" w14:textId="77777777">
      <w:pPr>
        <w:pStyle w:val="Heading2"/>
        <w:spacing w:line="480" w:lineRule="auto"/>
        <w:ind w:left="720" w:hanging="720"/>
        <w:rPr>
          <w:rFonts w:ascii="Times New Roman" w:hAnsi="Times New Roman" w:cs="Times New Roman"/>
          <w:b/>
          <w:color w:val="auto"/>
          <w:sz w:val="22"/>
          <w:szCs w:val="22"/>
        </w:rPr>
      </w:pPr>
      <w:bookmarkStart w:name="_Toc22307627" w:id="43"/>
      <w:bookmarkStart w:name="_Toc22825128" w:id="44"/>
      <w:r w:rsidRPr="00E57D5E">
        <w:rPr>
          <w:rFonts w:ascii="Times New Roman" w:hAnsi="Times New Roman" w:cs="Times New Roman"/>
          <w:b/>
          <w:color w:val="auto"/>
          <w:sz w:val="22"/>
          <w:szCs w:val="22"/>
        </w:rPr>
        <w:t>A.8.2</w:t>
      </w:r>
      <w:r w:rsidRPr="00E57D5E">
        <w:rPr>
          <w:rFonts w:ascii="Times New Roman" w:hAnsi="Times New Roman" w:cs="Times New Roman"/>
          <w:b/>
          <w:color w:val="auto"/>
          <w:sz w:val="22"/>
          <w:szCs w:val="22"/>
        </w:rPr>
        <w:tab/>
        <w:t>Efforts to Consult Outside Agency</w:t>
      </w:r>
      <w:bookmarkEnd w:id="43"/>
      <w:bookmarkEnd w:id="44"/>
    </w:p>
    <w:p w:rsidRPr="00E57D5E" w:rsidR="001A57A4" w:rsidP="008B5E85" w:rsidRDefault="001A57A4" w14:paraId="44CC1AD6" w14:textId="46EB38C6">
      <w:pPr>
        <w:spacing w:line="480" w:lineRule="auto"/>
        <w:ind w:firstLine="720"/>
        <w:rPr>
          <w:rFonts w:ascii="Times New Roman" w:hAnsi="Times New Roman" w:cs="Times New Roman"/>
          <w:strike/>
        </w:rPr>
      </w:pPr>
      <w:r w:rsidRPr="00E57D5E">
        <w:rPr>
          <w:rFonts w:ascii="Times New Roman" w:hAnsi="Times New Roman" w:cs="Times New Roman"/>
        </w:rPr>
        <w:t>The ORWH engage</w:t>
      </w:r>
      <w:r>
        <w:rPr>
          <w:rFonts w:ascii="Times New Roman" w:hAnsi="Times New Roman" w:cs="Times New Roman"/>
        </w:rPr>
        <w:t>d</w:t>
      </w:r>
      <w:r w:rsidRPr="00E57D5E">
        <w:rPr>
          <w:rFonts w:ascii="Times New Roman" w:hAnsi="Times New Roman" w:cs="Times New Roman"/>
        </w:rPr>
        <w:t xml:space="preserve"> in formal and informal consultation with representatives of those from whom information is to be obtained</w:t>
      </w:r>
      <w:r w:rsidR="002633AA">
        <w:rPr>
          <w:rFonts w:ascii="Times New Roman" w:hAnsi="Times New Roman" w:cs="Times New Roman"/>
        </w:rPr>
        <w:t xml:space="preserve"> (Attachment 18)</w:t>
      </w:r>
      <w:r w:rsidRPr="00E57D5E">
        <w:rPr>
          <w:rFonts w:ascii="Times New Roman" w:hAnsi="Times New Roman" w:cs="Times New Roman"/>
        </w:rPr>
        <w:t>. These consultation processes include</w:t>
      </w:r>
      <w:r>
        <w:rPr>
          <w:rFonts w:ascii="Times New Roman" w:hAnsi="Times New Roman" w:cs="Times New Roman"/>
        </w:rPr>
        <w:t>d</w:t>
      </w:r>
      <w:r w:rsidRPr="00E57D5E">
        <w:rPr>
          <w:rFonts w:ascii="Times New Roman" w:hAnsi="Times New Roman" w:cs="Times New Roman"/>
        </w:rPr>
        <w:t xml:space="preserve"> meetings </w:t>
      </w:r>
      <w:r>
        <w:rPr>
          <w:rFonts w:ascii="Times New Roman" w:hAnsi="Times New Roman" w:cs="Times New Roman"/>
        </w:rPr>
        <w:t>with the ORWH internal and external advisory committees: Coordinating Committee for Research on Women’s Health (</w:t>
      </w:r>
      <w:r w:rsidRPr="00E57D5E">
        <w:rPr>
          <w:rFonts w:ascii="Times New Roman" w:hAnsi="Times New Roman" w:cs="Times New Roman"/>
        </w:rPr>
        <w:t>CCRWH</w:t>
      </w:r>
      <w:r>
        <w:rPr>
          <w:rFonts w:ascii="Times New Roman" w:hAnsi="Times New Roman" w:cs="Times New Roman"/>
        </w:rPr>
        <w:t>)</w:t>
      </w:r>
      <w:r w:rsidRPr="00E57D5E">
        <w:rPr>
          <w:rFonts w:ascii="Times New Roman" w:hAnsi="Times New Roman" w:cs="Times New Roman"/>
        </w:rPr>
        <w:t xml:space="preserve"> and </w:t>
      </w:r>
      <w:r>
        <w:rPr>
          <w:rFonts w:ascii="Times New Roman" w:hAnsi="Times New Roman" w:cs="Times New Roman"/>
        </w:rPr>
        <w:t>Advisory Committee on Research on Women’s Health (</w:t>
      </w:r>
      <w:r w:rsidRPr="00E57D5E">
        <w:rPr>
          <w:rFonts w:ascii="Times New Roman" w:hAnsi="Times New Roman" w:cs="Times New Roman"/>
        </w:rPr>
        <w:t>ACRWH</w:t>
      </w:r>
      <w:r>
        <w:rPr>
          <w:rFonts w:ascii="Times New Roman" w:hAnsi="Times New Roman" w:cs="Times New Roman"/>
        </w:rPr>
        <w:t xml:space="preserve">). ORWH consulted with partners at FDA and discussions with external subject matter experts. Areas </w:t>
      </w:r>
      <w:r w:rsidRPr="00E57D5E">
        <w:rPr>
          <w:rFonts w:ascii="Times New Roman" w:hAnsi="Times New Roman" w:cs="Times New Roman"/>
        </w:rPr>
        <w:t>of disc</w:t>
      </w:r>
      <w:r>
        <w:rPr>
          <w:rFonts w:ascii="Times New Roman" w:hAnsi="Times New Roman" w:cs="Times New Roman"/>
        </w:rPr>
        <w:t>u</w:t>
      </w:r>
      <w:r w:rsidRPr="00E57D5E">
        <w:rPr>
          <w:rFonts w:ascii="Times New Roman" w:hAnsi="Times New Roman" w:cs="Times New Roman"/>
        </w:rPr>
        <w:t>ssion included</w:t>
      </w:r>
      <w:r>
        <w:rPr>
          <w:rFonts w:ascii="Times New Roman" w:hAnsi="Times New Roman" w:cs="Times New Roman"/>
        </w:rPr>
        <w:t xml:space="preserve"> identification of subject matter experts, course </w:t>
      </w:r>
      <w:r>
        <w:rPr>
          <w:rFonts w:ascii="Times New Roman" w:hAnsi="Times New Roman" w:cs="Times New Roman"/>
        </w:rPr>
        <w:lastRenderedPageBreak/>
        <w:t xml:space="preserve">authors, and expert reviewers; topics for </w:t>
      </w:r>
      <w:r w:rsidRPr="00435CDE">
        <w:rPr>
          <w:rFonts w:ascii="Times New Roman" w:hAnsi="Times New Roman" w:cs="Times New Roman"/>
          <w:i/>
          <w:iCs/>
        </w:rPr>
        <w:t>Bench to Bedside: Integrating Sex and Gender to Improve Human Health</w:t>
      </w:r>
      <w:r>
        <w:rPr>
          <w:rFonts w:ascii="Times New Roman" w:hAnsi="Times New Roman" w:cs="Times New Roman"/>
        </w:rPr>
        <w:t xml:space="preserve">; and areas for future course development. </w:t>
      </w:r>
    </w:p>
    <w:p w:rsidRPr="00E57D5E" w:rsidR="001A57A4" w:rsidP="001A57A4" w:rsidRDefault="001A57A4" w14:paraId="652E6A9E" w14:textId="77777777">
      <w:pPr>
        <w:pStyle w:val="P1-StandPara"/>
        <w:ind w:firstLine="0"/>
        <w:rPr>
          <w:b/>
          <w:szCs w:val="22"/>
        </w:rPr>
      </w:pPr>
      <w:r w:rsidRPr="00E57D5E">
        <w:rPr>
          <w:b/>
          <w:szCs w:val="22"/>
        </w:rPr>
        <w:t>A.9</w:t>
      </w:r>
      <w:r w:rsidRPr="00E57D5E">
        <w:rPr>
          <w:b/>
          <w:szCs w:val="22"/>
        </w:rPr>
        <w:tab/>
        <w:t>Explanation of Any Payment of Gift to Respondents</w:t>
      </w:r>
    </w:p>
    <w:p w:rsidRPr="00E57D5E" w:rsidR="001A57A4" w:rsidP="008B5E85" w:rsidRDefault="001A57A4" w14:paraId="40BD184C" w14:textId="77777777">
      <w:pPr>
        <w:pStyle w:val="P1-StandPara"/>
        <w:rPr>
          <w:szCs w:val="22"/>
        </w:rPr>
      </w:pPr>
      <w:r w:rsidRPr="00E57D5E">
        <w:rPr>
          <w:szCs w:val="22"/>
        </w:rPr>
        <w:t xml:space="preserve">Neither payments nor gifts will be distributed to individuals to encourage the completion and submission of registration forms, course surveys, or attitude assessments. </w:t>
      </w:r>
    </w:p>
    <w:p w:rsidRPr="00E57D5E" w:rsidR="001A57A4" w:rsidP="001A57A4" w:rsidRDefault="001A57A4" w14:paraId="315A00D7" w14:textId="77777777">
      <w:pPr>
        <w:pStyle w:val="P1-StandPara"/>
        <w:spacing w:line="240" w:lineRule="auto"/>
        <w:ind w:firstLine="0"/>
        <w:rPr>
          <w:b/>
          <w:szCs w:val="22"/>
        </w:rPr>
      </w:pPr>
    </w:p>
    <w:p w:rsidRPr="009D0078" w:rsidR="001A57A4" w:rsidP="001A57A4" w:rsidRDefault="001A57A4" w14:paraId="64DEFACA" w14:textId="77777777">
      <w:pPr>
        <w:pStyle w:val="P1-StandPara"/>
        <w:ind w:firstLine="0"/>
        <w:rPr>
          <w:b/>
          <w:szCs w:val="22"/>
        </w:rPr>
      </w:pPr>
      <w:r w:rsidRPr="009D0078">
        <w:rPr>
          <w:b/>
          <w:szCs w:val="22"/>
        </w:rPr>
        <w:t>A.10</w:t>
      </w:r>
      <w:r w:rsidRPr="009D0078">
        <w:rPr>
          <w:b/>
          <w:szCs w:val="22"/>
        </w:rPr>
        <w:tab/>
        <w:t>Assurance of Confidentiality Provided to Respondents</w:t>
      </w:r>
    </w:p>
    <w:p w:rsidRPr="009D0078" w:rsidR="0039179E" w:rsidP="0039179E" w:rsidRDefault="0039179E" w14:paraId="7DD69EF6" w14:textId="4E05BA83">
      <w:pPr>
        <w:pStyle w:val="P1-StandPara"/>
        <w:rPr>
          <w:szCs w:val="22"/>
        </w:rPr>
      </w:pPr>
      <w:bookmarkStart w:name="_Hlk24008437" w:id="45"/>
      <w:r w:rsidRPr="009D0078">
        <w:t xml:space="preserve">No assurances of confidentiality are provided to respondents. </w:t>
      </w:r>
      <w:r w:rsidRPr="009D0078">
        <w:rPr>
          <w:szCs w:val="22"/>
        </w:rPr>
        <w:t>Respondents are provided with the following privacy statement</w:t>
      </w:r>
      <w:r>
        <w:rPr>
          <w:szCs w:val="22"/>
        </w:rPr>
        <w:t xml:space="preserve"> when they register for the course</w:t>
      </w:r>
      <w:r w:rsidRPr="009D0078">
        <w:rPr>
          <w:szCs w:val="22"/>
        </w:rPr>
        <w:t xml:space="preserve">: </w:t>
      </w:r>
    </w:p>
    <w:p w:rsidR="0039179E" w:rsidP="0039179E" w:rsidRDefault="0039179E" w14:paraId="2D9D4299" w14:textId="745ACEF7">
      <w:pPr>
        <w:ind w:left="720"/>
        <w:rPr>
          <w:rFonts w:ascii="Times New Roman" w:hAnsi="Times New Roman" w:cs="Times New Roman"/>
          <w:lang w:val="en"/>
        </w:rPr>
      </w:pPr>
      <w:r>
        <w:rPr>
          <w:rFonts w:ascii="Times New Roman" w:hAnsi="Times New Roman" w:cs="Times New Roman"/>
        </w:rPr>
        <w:t>“</w:t>
      </w:r>
      <w:r w:rsidRPr="009D0078">
        <w:rPr>
          <w:rFonts w:ascii="Times New Roman" w:hAnsi="Times New Roman" w:cs="Times New Roman"/>
        </w:rPr>
        <w:t xml:space="preserve">Collection of this information is authorized under </w:t>
      </w:r>
      <w:r w:rsidRPr="009D0078">
        <w:rPr>
          <w:rFonts w:ascii="Times New Roman" w:hAnsi="Times New Roman" w:cs="Times New Roman"/>
          <w:lang w:val="en"/>
        </w:rPr>
        <w:t>5 CFR 930.301.  The primary use of the personally identifiable information (PII) you provide to enter the course portal is to allow the tracking system to record courses and trainings you take.   If you do not provide this information, NIH will not have the supporting documentation to record your progress and completion.  Privacy Act System of Records Notices that cover this information collection include</w:t>
      </w:r>
      <w:r>
        <w:rPr>
          <w:rFonts w:ascii="Times New Roman" w:hAnsi="Times New Roman" w:cs="Times New Roman"/>
          <w:lang w:val="en"/>
        </w:rPr>
        <w:t>:</w:t>
      </w:r>
    </w:p>
    <w:p w:rsidRPr="00837D5B" w:rsidR="0039179E" w:rsidP="0039179E" w:rsidRDefault="0039179E" w14:paraId="0510AB8C" w14:textId="77777777">
      <w:pPr>
        <w:ind w:left="720"/>
        <w:rPr>
          <w:rFonts w:ascii="Times New Roman" w:hAnsi="Times New Roman" w:cs="Times New Roman"/>
          <w:lang w:val="en"/>
        </w:rPr>
      </w:pPr>
      <w:r w:rsidRPr="009D0078">
        <w:rPr>
          <w:rFonts w:ascii="Times New Roman" w:hAnsi="Times New Roman" w:cs="Times New Roman"/>
        </w:rPr>
        <w:t>OPM/GOVT-1; General Personnel Records (</w:t>
      </w:r>
      <w:hyperlink w:history="1" r:id="rId12">
        <w:r w:rsidRPr="009D0078">
          <w:rPr>
            <w:rStyle w:val="Hyperlink"/>
            <w:rFonts w:ascii="Times New Roman" w:hAnsi="Times New Roman" w:cs="Times New Roman"/>
          </w:rPr>
          <w:t>https://dpcld.defense.gov/Privacy/SORNsIndex/DOD-wide-SORN-Article-View/Article/570733/opmgovt-1/</w:t>
        </w:r>
      </w:hyperlink>
      <w:r w:rsidRPr="009D0078">
        <w:rPr>
          <w:rFonts w:ascii="Times New Roman" w:hAnsi="Times New Roman" w:cs="Times New Roman"/>
        </w:rPr>
        <w:t xml:space="preserve">), </w:t>
      </w:r>
      <w:r w:rsidRPr="009D0078">
        <w:rPr>
          <w:rFonts w:ascii="Times New Roman" w:hAnsi="Times New Roman" w:cs="Times New Roman"/>
          <w:color w:val="333333"/>
        </w:rPr>
        <w:t> </w:t>
      </w:r>
    </w:p>
    <w:p w:rsidRPr="00837D5B" w:rsidR="0039179E" w:rsidP="0039179E" w:rsidRDefault="0039179E" w14:paraId="6B91C3AB" w14:textId="77777777">
      <w:pPr>
        <w:ind w:left="720"/>
        <w:rPr>
          <w:rFonts w:ascii="Times New Roman" w:hAnsi="Times New Roman" w:cs="Times New Roman"/>
          <w:color w:val="333333"/>
        </w:rPr>
      </w:pPr>
      <w:r w:rsidRPr="00837D5B">
        <w:rPr>
          <w:rFonts w:ascii="Times New Roman" w:hAnsi="Times New Roman" w:cs="Times New Roman"/>
        </w:rPr>
        <w:t>OPM/GOVT-6, Personnel Research and Test Validation Records (</w:t>
      </w:r>
      <w:hyperlink w:history="1" r:id="rId13">
        <w:r w:rsidRPr="00837D5B">
          <w:rPr>
            <w:rStyle w:val="Hyperlink"/>
            <w:rFonts w:ascii="Times New Roman" w:hAnsi="Times New Roman" w:cs="Times New Roman"/>
          </w:rPr>
          <w:t>https://www.opm.gov/information-management/privacy-policy/sorn/opm-sorn-govt-6-personnel-research-and-test-validation-records.pdf</w:t>
        </w:r>
      </w:hyperlink>
      <w:r w:rsidRPr="00837D5B">
        <w:rPr>
          <w:rFonts w:ascii="Times New Roman" w:hAnsi="Times New Roman" w:cs="Times New Roman"/>
        </w:rPr>
        <w:t>)</w:t>
      </w:r>
      <w:r>
        <w:rPr>
          <w:rFonts w:ascii="Times New Roman" w:hAnsi="Times New Roman" w:cs="Times New Roman"/>
        </w:rPr>
        <w:t>,</w:t>
      </w:r>
    </w:p>
    <w:p w:rsidRPr="009D0078" w:rsidR="0039179E" w:rsidP="0039179E" w:rsidRDefault="0039179E" w14:paraId="520C5E99" w14:textId="1E7A7BB1">
      <w:pPr>
        <w:ind w:left="720"/>
        <w:rPr>
          <w:rFonts w:ascii="Times New Roman" w:hAnsi="Times New Roman" w:cs="Times New Roman"/>
        </w:rPr>
      </w:pPr>
      <w:r w:rsidRPr="009D0078">
        <w:rPr>
          <w:rFonts w:ascii="Times New Roman" w:hAnsi="Times New Roman" w:cs="Times New Roman"/>
          <w:color w:val="333333"/>
        </w:rPr>
        <w:t>and #09-25-0108 Personnel: Guest Researchers, Special Volunteers, and Scientists Emeriti</w:t>
      </w:r>
      <w:r w:rsidRPr="009D0078">
        <w:rPr>
          <w:rFonts w:ascii="Times New Roman" w:hAnsi="Times New Roman" w:cs="Times New Roman"/>
        </w:rPr>
        <w:t xml:space="preserve"> (</w:t>
      </w:r>
      <w:hyperlink w:history="1" w:anchor="h-328" r:id="rId14">
        <w:r w:rsidRPr="009D0078">
          <w:rPr>
            <w:rStyle w:val="Hyperlink"/>
            <w:rFonts w:ascii="Times New Roman" w:hAnsi="Times New Roman" w:cs="Times New Roman"/>
          </w:rPr>
          <w:t>https://www.federalregister.gov/documents/2002/09/26/02-23965/privacy-act-of-1974-annual-publication-of-systems-of-records#h-328</w:t>
        </w:r>
      </w:hyperlink>
      <w:r w:rsidRPr="009D0078">
        <w:rPr>
          <w:rFonts w:ascii="Times New Roman" w:hAnsi="Times New Roman" w:cs="Times New Roman"/>
        </w:rPr>
        <w:t>).</w:t>
      </w:r>
      <w:r>
        <w:rPr>
          <w:rFonts w:ascii="Times New Roman" w:hAnsi="Times New Roman" w:cs="Times New Roman"/>
        </w:rPr>
        <w:t>”</w:t>
      </w:r>
    </w:p>
    <w:p w:rsidRPr="00E3351E" w:rsidR="00837D5B" w:rsidP="0039179E" w:rsidRDefault="00837D5B" w14:paraId="2A77D7C3" w14:textId="7C71E834">
      <w:pPr>
        <w:spacing w:line="480" w:lineRule="auto"/>
        <w:ind w:firstLine="720"/>
        <w:rPr>
          <w:rFonts w:ascii="Times New Roman" w:hAnsi="Times New Roman" w:cs="Times New Roman"/>
        </w:rPr>
      </w:pPr>
      <w:r w:rsidRPr="0039179E">
        <w:rPr>
          <w:rFonts w:ascii="Times New Roman" w:hAnsi="Times New Roman" w:cs="Times New Roman"/>
        </w:rPr>
        <w:t>Personally</w:t>
      </w:r>
      <w:r w:rsidRPr="0039179E" w:rsidR="0039179E">
        <w:rPr>
          <w:rFonts w:ascii="Times New Roman" w:hAnsi="Times New Roman" w:cs="Times New Roman"/>
        </w:rPr>
        <w:t xml:space="preserve"> </w:t>
      </w:r>
      <w:r w:rsidRPr="0039179E">
        <w:rPr>
          <w:rFonts w:ascii="Times New Roman" w:hAnsi="Times New Roman" w:cs="Times New Roman"/>
        </w:rPr>
        <w:t>Identifiable Information (PII) is collected</w:t>
      </w:r>
      <w:r w:rsidRPr="0039179E" w:rsidR="0039179E">
        <w:rPr>
          <w:rFonts w:ascii="Times New Roman" w:hAnsi="Times New Roman" w:cs="Times New Roman"/>
        </w:rPr>
        <w:t xml:space="preserve"> via the course registration form</w:t>
      </w:r>
      <w:r w:rsidR="0039179E">
        <w:rPr>
          <w:rFonts w:ascii="Times New Roman" w:hAnsi="Times New Roman" w:cs="Times New Roman"/>
        </w:rPr>
        <w:t xml:space="preserve">. The registration form asks for </w:t>
      </w:r>
      <w:r w:rsidRPr="00E3351E">
        <w:rPr>
          <w:rFonts w:ascii="Times New Roman" w:hAnsi="Times New Roman" w:cs="Times New Roman"/>
        </w:rPr>
        <w:t>name gender, race, ethnicity, contact information, education history and employment status.</w:t>
      </w:r>
      <w:r>
        <w:rPr>
          <w:rFonts w:ascii="Times New Roman" w:hAnsi="Times New Roman" w:cs="Times New Roman"/>
        </w:rPr>
        <w:t xml:space="preserve"> </w:t>
      </w:r>
      <w:r w:rsidRPr="001844D3">
        <w:rPr>
          <w:rFonts w:ascii="Times New Roman" w:hAnsi="Times New Roman" w:cs="Times New Roman"/>
        </w:rPr>
        <w:t>The information collected</w:t>
      </w:r>
      <w:r w:rsidR="0039179E">
        <w:rPr>
          <w:rFonts w:ascii="Times New Roman" w:hAnsi="Times New Roman" w:cs="Times New Roman"/>
        </w:rPr>
        <w:t xml:space="preserve"> via the registration form</w:t>
      </w:r>
      <w:r w:rsidRPr="001844D3">
        <w:rPr>
          <w:rFonts w:ascii="Times New Roman" w:hAnsi="Times New Roman" w:cs="Times New Roman"/>
        </w:rPr>
        <w:t xml:space="preserve"> is subject to the Privacy Act</w:t>
      </w:r>
      <w:r w:rsidR="001531DF">
        <w:rPr>
          <w:rFonts w:ascii="Times New Roman" w:hAnsi="Times New Roman" w:cs="Times New Roman"/>
        </w:rPr>
        <w:t>. A</w:t>
      </w:r>
      <w:r>
        <w:rPr>
          <w:rFonts w:ascii="Times New Roman" w:hAnsi="Times New Roman" w:cs="Times New Roman"/>
        </w:rPr>
        <w:t xml:space="preserve"> PIA was completed for the system</w:t>
      </w:r>
      <w:r w:rsidR="001531DF">
        <w:rPr>
          <w:rFonts w:ascii="Times New Roman" w:hAnsi="Times New Roman" w:cs="Times New Roman"/>
        </w:rPr>
        <w:t xml:space="preserve"> and approved by HHS on February 25, 2020</w:t>
      </w:r>
      <w:r w:rsidR="000D3392">
        <w:rPr>
          <w:rFonts w:ascii="Times New Roman" w:hAnsi="Times New Roman" w:cs="Times New Roman"/>
        </w:rPr>
        <w:t xml:space="preserve"> (Attachment 11)</w:t>
      </w:r>
      <w:r w:rsidRPr="001844D3">
        <w:rPr>
          <w:rFonts w:ascii="Times New Roman" w:hAnsi="Times New Roman" w:cs="Times New Roman"/>
        </w:rPr>
        <w:t>.</w:t>
      </w:r>
      <w:r w:rsidR="00E25354">
        <w:rPr>
          <w:rFonts w:ascii="Times New Roman" w:hAnsi="Times New Roman" w:cs="Times New Roman"/>
        </w:rPr>
        <w:t xml:space="preserve"> </w:t>
      </w:r>
      <w:r w:rsidRPr="008374D6" w:rsidR="00E25354">
        <w:rPr>
          <w:rFonts w:ascii="Times New Roman" w:hAnsi="Times New Roman" w:cs="Times New Roman"/>
        </w:rPr>
        <w:t xml:space="preserve">Records are maintained in accordance with the following NARA record retention schedules: General Records Schedule (GRS) 2.6.010, Non-mission employee training </w:t>
      </w:r>
      <w:r w:rsidRPr="008374D6" w:rsidR="00E25354">
        <w:rPr>
          <w:rFonts w:ascii="Times New Roman" w:hAnsi="Times New Roman" w:cs="Times New Roman"/>
        </w:rPr>
        <w:lastRenderedPageBreak/>
        <w:t>records; DAA-GRS-2016-0014-000. Destroy when 3 years old, or 3 years after superseded or obsolete, whichever is appropriate, but longer retention is authorized if required for business use.</w:t>
      </w:r>
    </w:p>
    <w:p w:rsidRPr="003E0836" w:rsidR="001A57A4" w:rsidP="00837D5B" w:rsidRDefault="001A57A4" w14:paraId="5EDE7926" w14:textId="2949AA36">
      <w:pPr>
        <w:spacing w:line="480" w:lineRule="auto"/>
        <w:ind w:firstLine="720"/>
        <w:rPr>
          <w:rFonts w:ascii="Times New Roman" w:hAnsi="Times New Roman" w:cs="Times New Roman"/>
        </w:rPr>
      </w:pPr>
      <w:bookmarkStart w:name="_Hlk24008455" w:id="46"/>
      <w:bookmarkEnd w:id="45"/>
      <w:r>
        <w:rPr>
          <w:rFonts w:ascii="Times New Roman" w:hAnsi="Times New Roman" w:cs="Times New Roman"/>
        </w:rPr>
        <w:t>Information</w:t>
      </w:r>
      <w:r w:rsidRPr="001844D3">
        <w:rPr>
          <w:rFonts w:ascii="Times New Roman" w:hAnsi="Times New Roman" w:cs="Times New Roman"/>
        </w:rPr>
        <w:t xml:space="preserve"> will be stored in a secure database behind the NIH firewall and will be collected and maintained in accordance to the following records system numbers</w:t>
      </w:r>
      <w:r w:rsidRPr="008374D6">
        <w:rPr>
          <w:rFonts w:ascii="Times New Roman" w:hAnsi="Times New Roman" w:cs="Times New Roman"/>
        </w:rPr>
        <w:t>:</w:t>
      </w:r>
      <w:r w:rsidRPr="003E0836">
        <w:rPr>
          <w:rFonts w:ascii="Times New Roman" w:hAnsi="Times New Roman" w:cs="Times New Roman"/>
        </w:rPr>
        <w:t xml:space="preserve"> 09-25-0108, Personnel: Guest Researchers, Special Volunteers, and Scientists Emeriti, HHS/NIH/OHRM; OPM/GOVT-6, Personnel Research and Test Validation Records; OPM/GOVT-1, General Personnel Records. </w:t>
      </w:r>
    </w:p>
    <w:p w:rsidRPr="003E0836" w:rsidR="001A57A4" w:rsidP="00837D5B" w:rsidRDefault="001A57A4" w14:paraId="17DA9B05" w14:textId="77777777">
      <w:pPr>
        <w:spacing w:line="480" w:lineRule="auto"/>
        <w:ind w:firstLine="720"/>
        <w:rPr>
          <w:rFonts w:ascii="Times New Roman" w:hAnsi="Times New Roman" w:cs="Times New Roman"/>
        </w:rPr>
      </w:pPr>
      <w:r w:rsidRPr="003E0836">
        <w:rPr>
          <w:rFonts w:ascii="Times New Roman" w:hAnsi="Times New Roman" w:cs="Times New Roman"/>
        </w:rPr>
        <w:t xml:space="preserve">The following system controls are in place: </w:t>
      </w:r>
    </w:p>
    <w:p w:rsidRPr="008374D6" w:rsidR="001A57A4" w:rsidP="00075D44" w:rsidRDefault="001A57A4" w14:paraId="3879DE17" w14:textId="77777777">
      <w:pPr>
        <w:spacing w:line="480" w:lineRule="auto"/>
        <w:ind w:firstLine="720"/>
        <w:rPr>
          <w:rFonts w:ascii="Times New Roman" w:hAnsi="Times New Roman" w:cs="Times New Roman"/>
        </w:rPr>
      </w:pPr>
      <w:r w:rsidRPr="008374D6">
        <w:rPr>
          <w:rFonts w:ascii="Times New Roman" w:hAnsi="Times New Roman" w:cs="Times New Roman"/>
        </w:rPr>
        <w:t xml:space="preserve">Administrative Controls:  System users are approved for access and permissions based on their functional role. Anyone with access to the system has been vetted and approved by management based on their job duties and need to have access.                                                                                                             </w:t>
      </w:r>
    </w:p>
    <w:p w:rsidRPr="008374D6" w:rsidR="001A57A4" w:rsidP="00075D44" w:rsidRDefault="001A57A4" w14:paraId="3649F8F0" w14:textId="77777777">
      <w:pPr>
        <w:spacing w:line="480" w:lineRule="auto"/>
        <w:ind w:firstLine="720"/>
        <w:rPr>
          <w:rFonts w:ascii="Times New Roman" w:hAnsi="Times New Roman" w:cs="Times New Roman"/>
        </w:rPr>
      </w:pPr>
      <w:r w:rsidRPr="008374D6">
        <w:rPr>
          <w:rFonts w:ascii="Times New Roman" w:hAnsi="Times New Roman" w:cs="Times New Roman"/>
        </w:rPr>
        <w:t xml:space="preserve">Technical Controls: Access to the system is controlled by NIH log-in which authenticates the user prior to granting access. Access level and permissions are controlled by the system and based on user, role, organizational unit, and status of the report. All servers have been configured to remove all unused applications and system files and all local account access except when necessary to manage the system and maintain integrity of data.  </w:t>
      </w:r>
    </w:p>
    <w:bookmarkEnd w:id="46"/>
    <w:p w:rsidR="00867FE2" w:rsidP="00867FE2" w:rsidRDefault="00867FE2" w14:paraId="3B1598B6" w14:textId="76C4F308">
      <w:pPr>
        <w:pStyle w:val="P1-StandPara"/>
      </w:pPr>
      <w:r>
        <w:t>Physical Controls: For information that is pulled from CIT, servers reside in the Center for Information Technology (CIT) Computer Room where policies and procedures are in place to restrict access to the machines. This includes guards at the front door and entrance to the machine room.  Once information is transferred over to ORWH and uploaded to servers residing in the Office of Information Technology (OIT) Data Center, policies and procedures are in place to restrict access to the machines.”</w:t>
      </w:r>
    </w:p>
    <w:p w:rsidRPr="00E57D5E" w:rsidR="001A57A4" w:rsidP="001A57A4" w:rsidRDefault="001A57A4" w14:paraId="7FC1DA4A" w14:textId="593400F5">
      <w:pPr>
        <w:pStyle w:val="P1-StandPara"/>
        <w:ind w:firstLine="0"/>
        <w:rPr>
          <w:b/>
          <w:szCs w:val="22"/>
        </w:rPr>
      </w:pPr>
      <w:r w:rsidRPr="00E57D5E">
        <w:rPr>
          <w:b/>
          <w:szCs w:val="22"/>
        </w:rPr>
        <w:t>A.11</w:t>
      </w:r>
      <w:r w:rsidRPr="00E57D5E">
        <w:rPr>
          <w:b/>
          <w:szCs w:val="22"/>
        </w:rPr>
        <w:tab/>
        <w:t>Justification for Sensitive Questions</w:t>
      </w:r>
    </w:p>
    <w:p w:rsidRPr="00C83F22" w:rsidR="001A57A4" w:rsidP="000D3392" w:rsidRDefault="000D3392" w14:paraId="4AE038D3" w14:textId="12BF14A9">
      <w:pPr>
        <w:autoSpaceDE w:val="0"/>
        <w:autoSpaceDN w:val="0"/>
        <w:adjustRightInd w:val="0"/>
        <w:spacing w:line="480" w:lineRule="auto"/>
        <w:ind w:firstLine="720"/>
        <w:outlineLvl w:val="0"/>
        <w:rPr>
          <w:rFonts w:ascii="Times New Roman" w:hAnsi="Times New Roman" w:cs="Times New Roman"/>
          <w:bCs/>
        </w:rPr>
      </w:pPr>
      <w:bookmarkStart w:name="_Toc22307628" w:id="47"/>
      <w:bookmarkStart w:name="_Toc22825129" w:id="48"/>
      <w:r w:rsidRPr="00E57D5E">
        <w:rPr>
          <w:rFonts w:ascii="Times New Roman" w:hAnsi="Times New Roman" w:cs="Times New Roman"/>
          <w:bCs/>
        </w:rPr>
        <w:lastRenderedPageBreak/>
        <w:t xml:space="preserve">The </w:t>
      </w:r>
      <w:r>
        <w:rPr>
          <w:rFonts w:ascii="Times New Roman" w:hAnsi="Times New Roman" w:cs="Times New Roman"/>
          <w:bCs/>
        </w:rPr>
        <w:t xml:space="preserve">registration form for this course </w:t>
      </w:r>
      <w:r w:rsidRPr="00E57D5E">
        <w:rPr>
          <w:rFonts w:ascii="Times New Roman" w:hAnsi="Times New Roman" w:cs="Times New Roman"/>
          <w:bCs/>
        </w:rPr>
        <w:t>contain</w:t>
      </w:r>
      <w:r>
        <w:rPr>
          <w:rFonts w:ascii="Times New Roman" w:hAnsi="Times New Roman" w:cs="Times New Roman"/>
          <w:bCs/>
        </w:rPr>
        <w:t>s</w:t>
      </w:r>
      <w:r w:rsidRPr="00E57D5E">
        <w:rPr>
          <w:rFonts w:ascii="Times New Roman" w:hAnsi="Times New Roman" w:cs="Times New Roman"/>
          <w:bCs/>
        </w:rPr>
        <w:t xml:space="preserve"> </w:t>
      </w:r>
      <w:r>
        <w:rPr>
          <w:rFonts w:ascii="Times New Roman" w:hAnsi="Times New Roman" w:cs="Times New Roman"/>
          <w:bCs/>
        </w:rPr>
        <w:t xml:space="preserve">potentially </w:t>
      </w:r>
      <w:r w:rsidRPr="00E57D5E">
        <w:rPr>
          <w:rFonts w:ascii="Times New Roman" w:hAnsi="Times New Roman" w:cs="Times New Roman"/>
          <w:bCs/>
        </w:rPr>
        <w:t xml:space="preserve">sensitive questions </w:t>
      </w:r>
      <w:r>
        <w:rPr>
          <w:rFonts w:ascii="Times New Roman" w:hAnsi="Times New Roman" w:cs="Times New Roman"/>
          <w:bCs/>
        </w:rPr>
        <w:t xml:space="preserve">including </w:t>
      </w:r>
      <w:r w:rsidR="003829EE">
        <w:rPr>
          <w:rFonts w:ascii="Times New Roman" w:hAnsi="Times New Roman" w:cs="Times New Roman"/>
          <w:bCs/>
        </w:rPr>
        <w:t xml:space="preserve">learners’ </w:t>
      </w:r>
      <w:r w:rsidRPr="00E57D5E">
        <w:rPr>
          <w:rFonts w:ascii="Times New Roman" w:hAnsi="Times New Roman" w:cs="Times New Roman"/>
          <w:bCs/>
        </w:rPr>
        <w:t xml:space="preserve">race, </w:t>
      </w:r>
      <w:r>
        <w:rPr>
          <w:rFonts w:ascii="Times New Roman" w:hAnsi="Times New Roman" w:cs="Times New Roman"/>
          <w:bCs/>
        </w:rPr>
        <w:t xml:space="preserve">ethnicity, education, sex, and </w:t>
      </w:r>
      <w:r w:rsidRPr="00E57D5E">
        <w:rPr>
          <w:rFonts w:ascii="Times New Roman" w:hAnsi="Times New Roman" w:cs="Times New Roman"/>
          <w:bCs/>
        </w:rPr>
        <w:t>gender</w:t>
      </w:r>
      <w:r>
        <w:rPr>
          <w:rFonts w:ascii="Times New Roman" w:hAnsi="Times New Roman" w:cs="Times New Roman"/>
          <w:bCs/>
        </w:rPr>
        <w:t xml:space="preserve">. The pre-/post-attitude assessment (Attachment 1) asks learners to disclose their </w:t>
      </w:r>
      <w:r w:rsidRPr="00E57D5E">
        <w:rPr>
          <w:rFonts w:ascii="Times New Roman" w:hAnsi="Times New Roman" w:cs="Times New Roman"/>
          <w:bCs/>
        </w:rPr>
        <w:t xml:space="preserve">attitudes about </w:t>
      </w:r>
      <w:r>
        <w:rPr>
          <w:rFonts w:ascii="Times New Roman" w:hAnsi="Times New Roman" w:cs="Times New Roman"/>
          <w:bCs/>
        </w:rPr>
        <w:t xml:space="preserve">the role of </w:t>
      </w:r>
      <w:r w:rsidRPr="00E57D5E">
        <w:rPr>
          <w:rFonts w:ascii="Times New Roman" w:hAnsi="Times New Roman" w:cs="Times New Roman"/>
          <w:bCs/>
        </w:rPr>
        <w:t xml:space="preserve">sex and gender in </w:t>
      </w:r>
      <w:r>
        <w:rPr>
          <w:rFonts w:ascii="Times New Roman" w:hAnsi="Times New Roman" w:cs="Times New Roman"/>
          <w:bCs/>
        </w:rPr>
        <w:t xml:space="preserve">research and </w:t>
      </w:r>
      <w:r w:rsidRPr="00E57D5E">
        <w:rPr>
          <w:rFonts w:ascii="Times New Roman" w:hAnsi="Times New Roman" w:cs="Times New Roman"/>
          <w:bCs/>
        </w:rPr>
        <w:t xml:space="preserve">clinical care. </w:t>
      </w:r>
      <w:r>
        <w:rPr>
          <w:rFonts w:ascii="Times New Roman" w:hAnsi="Times New Roman" w:cs="Times New Roman"/>
          <w:bCs/>
        </w:rPr>
        <w:t xml:space="preserve">This potentially sensitive information is essential to ORWH’s </w:t>
      </w:r>
      <w:r w:rsidRPr="00E57D5E">
        <w:rPr>
          <w:rFonts w:ascii="Times New Roman" w:hAnsi="Times New Roman" w:cs="Times New Roman"/>
          <w:bCs/>
        </w:rPr>
        <w:t xml:space="preserve">planned </w:t>
      </w:r>
      <w:bookmarkStart w:name="_Toc22307629" w:id="49"/>
      <w:bookmarkEnd w:id="47"/>
      <w:r w:rsidRPr="00E57D5E">
        <w:rPr>
          <w:rFonts w:ascii="Times New Roman" w:hAnsi="Times New Roman" w:cs="Times New Roman"/>
          <w:bCs/>
        </w:rPr>
        <w:t xml:space="preserve">analyses, including </w:t>
      </w:r>
      <w:r>
        <w:rPr>
          <w:rFonts w:ascii="Times New Roman" w:hAnsi="Times New Roman" w:cs="Times New Roman"/>
          <w:bCs/>
        </w:rPr>
        <w:t xml:space="preserve">describing </w:t>
      </w:r>
      <w:r w:rsidRPr="00E57D5E">
        <w:rPr>
          <w:rFonts w:ascii="Times New Roman" w:hAnsi="Times New Roman" w:cs="Times New Roman"/>
          <w:bCs/>
        </w:rPr>
        <w:t>trends in course user demographics</w:t>
      </w:r>
      <w:r>
        <w:rPr>
          <w:rFonts w:ascii="Times New Roman" w:hAnsi="Times New Roman" w:cs="Times New Roman"/>
          <w:bCs/>
        </w:rPr>
        <w:t xml:space="preserve">, assessing </w:t>
      </w:r>
      <w:r w:rsidRPr="00E57D5E">
        <w:rPr>
          <w:rFonts w:ascii="Times New Roman" w:hAnsi="Times New Roman" w:cs="Times New Roman"/>
          <w:bCs/>
        </w:rPr>
        <w:t>course effectiveness</w:t>
      </w:r>
      <w:r>
        <w:rPr>
          <w:rFonts w:ascii="Times New Roman" w:hAnsi="Times New Roman" w:cs="Times New Roman"/>
          <w:bCs/>
        </w:rPr>
        <w:t xml:space="preserve">, </w:t>
      </w:r>
      <w:r w:rsidRPr="00C83F22">
        <w:rPr>
          <w:rFonts w:ascii="Times New Roman" w:hAnsi="Times New Roman" w:cs="Times New Roman"/>
          <w:bCs/>
        </w:rPr>
        <w:t xml:space="preserve">and </w:t>
      </w:r>
      <w:r w:rsidRPr="00C83F22">
        <w:rPr>
          <w:rFonts w:ascii="Times New Roman" w:hAnsi="Times New Roman" w:cs="Times New Roman"/>
        </w:rPr>
        <w:t>identifying barriers and facilitators to the implementation of the SABV policy</w:t>
      </w:r>
      <w:r w:rsidRPr="00C83F22">
        <w:rPr>
          <w:rFonts w:ascii="Times New Roman" w:hAnsi="Times New Roman" w:cs="Times New Roman"/>
          <w:bCs/>
        </w:rPr>
        <w:t>.</w:t>
      </w:r>
      <w:bookmarkEnd w:id="48"/>
      <w:bookmarkEnd w:id="49"/>
      <w:r w:rsidRPr="00C83F22">
        <w:rPr>
          <w:rFonts w:ascii="Times New Roman" w:hAnsi="Times New Roman" w:cs="Times New Roman"/>
          <w:bCs/>
        </w:rPr>
        <w:t xml:space="preserve"> </w:t>
      </w:r>
    </w:p>
    <w:p w:rsidR="001A57A4" w:rsidP="001A57A4" w:rsidRDefault="001A57A4" w14:paraId="16F0DEE1" w14:textId="77777777">
      <w:pPr>
        <w:autoSpaceDE w:val="0"/>
        <w:autoSpaceDN w:val="0"/>
        <w:adjustRightInd w:val="0"/>
        <w:spacing w:line="480" w:lineRule="auto"/>
        <w:outlineLvl w:val="0"/>
        <w:rPr>
          <w:rFonts w:ascii="Times New Roman" w:hAnsi="Times New Roman" w:cs="Times New Roman"/>
          <w:b/>
        </w:rPr>
      </w:pPr>
      <w:bookmarkStart w:name="_Toc22825130" w:id="50"/>
      <w:r w:rsidRPr="00E57D5E">
        <w:rPr>
          <w:rFonts w:ascii="Times New Roman" w:hAnsi="Times New Roman" w:cs="Times New Roman"/>
          <w:b/>
        </w:rPr>
        <w:t>A.12.1</w:t>
      </w:r>
      <w:r w:rsidRPr="00E57D5E">
        <w:rPr>
          <w:rFonts w:ascii="Times New Roman" w:hAnsi="Times New Roman" w:cs="Times New Roman"/>
          <w:b/>
        </w:rPr>
        <w:tab/>
        <w:t>Estimates of Hour Burden Including Annualized Hourly Costs</w:t>
      </w:r>
      <w:bookmarkEnd w:id="50"/>
    </w:p>
    <w:p w:rsidR="008B5E85" w:rsidP="008B5E85" w:rsidRDefault="001A57A4" w14:paraId="5BB7A926" w14:textId="49845C23">
      <w:pPr>
        <w:spacing w:after="0" w:line="480" w:lineRule="auto"/>
        <w:ind w:firstLine="720"/>
        <w:rPr>
          <w:rFonts w:ascii="Times New Roman" w:hAnsi="Times New Roman" w:cs="Times New Roman"/>
          <w:sz w:val="24"/>
          <w:szCs w:val="24"/>
        </w:rPr>
      </w:pPr>
      <w:r>
        <w:rPr>
          <w:rFonts w:ascii="Times New Roman" w:hAnsi="Times New Roman" w:cs="Times New Roman"/>
        </w:rPr>
        <w:t xml:space="preserve">Course users will complete </w:t>
      </w:r>
      <w:r w:rsidR="00460AE1">
        <w:rPr>
          <w:rFonts w:ascii="Times New Roman" w:hAnsi="Times New Roman" w:cs="Times New Roman"/>
        </w:rPr>
        <w:t xml:space="preserve">one </w:t>
      </w:r>
      <w:r>
        <w:rPr>
          <w:rFonts w:ascii="Times New Roman" w:hAnsi="Times New Roman" w:cs="Times New Roman"/>
        </w:rPr>
        <w:t>pre-</w:t>
      </w:r>
      <w:r w:rsidR="00460AE1">
        <w:rPr>
          <w:rFonts w:ascii="Times New Roman" w:hAnsi="Times New Roman" w:cs="Times New Roman"/>
        </w:rPr>
        <w:t>assessment</w:t>
      </w:r>
      <w:r>
        <w:rPr>
          <w:rFonts w:ascii="Times New Roman" w:hAnsi="Times New Roman" w:cs="Times New Roman"/>
        </w:rPr>
        <w:t xml:space="preserve"> and </w:t>
      </w:r>
      <w:r w:rsidR="00460AE1">
        <w:rPr>
          <w:rFonts w:ascii="Times New Roman" w:hAnsi="Times New Roman" w:cs="Times New Roman"/>
        </w:rPr>
        <w:t xml:space="preserve">a </w:t>
      </w:r>
      <w:r>
        <w:rPr>
          <w:rFonts w:ascii="Times New Roman" w:hAnsi="Times New Roman" w:cs="Times New Roman"/>
        </w:rPr>
        <w:t>post-assessment</w:t>
      </w:r>
      <w:r w:rsidR="00460AE1">
        <w:rPr>
          <w:rFonts w:ascii="Times New Roman" w:hAnsi="Times New Roman" w:cs="Times New Roman"/>
        </w:rPr>
        <w:t xml:space="preserve"> after each module that is completed </w:t>
      </w:r>
      <w:r w:rsidR="0079757B">
        <w:rPr>
          <w:rFonts w:ascii="Times New Roman" w:hAnsi="Times New Roman" w:cs="Times New Roman"/>
        </w:rPr>
        <w:t>(Attachment 1)</w:t>
      </w:r>
      <w:r>
        <w:rPr>
          <w:rFonts w:ascii="Times New Roman" w:hAnsi="Times New Roman" w:cs="Times New Roman"/>
        </w:rPr>
        <w:t xml:space="preserve">. </w:t>
      </w:r>
      <w:r w:rsidR="00D564E8">
        <w:rPr>
          <w:rFonts w:ascii="Times New Roman" w:hAnsi="Times New Roman" w:cs="Times New Roman"/>
        </w:rPr>
        <w:t xml:space="preserve">Each module of Bench to Bedside and </w:t>
      </w:r>
      <w:r w:rsidR="00460AE1">
        <w:rPr>
          <w:rFonts w:ascii="Times New Roman" w:hAnsi="Times New Roman" w:cs="Times New Roman"/>
        </w:rPr>
        <w:t xml:space="preserve">the complete </w:t>
      </w:r>
      <w:r w:rsidR="00D564E8">
        <w:rPr>
          <w:rFonts w:ascii="Times New Roman" w:hAnsi="Times New Roman" w:cs="Times New Roman"/>
        </w:rPr>
        <w:t>SABV course can be completed within one hour</w:t>
      </w:r>
      <w:r w:rsidR="00A65367">
        <w:rPr>
          <w:rFonts w:ascii="Times New Roman" w:hAnsi="Times New Roman" w:cs="Times New Roman"/>
        </w:rPr>
        <w:t xml:space="preserve"> (Attachment 2)</w:t>
      </w:r>
      <w:r w:rsidR="00D564E8">
        <w:rPr>
          <w:rFonts w:ascii="Times New Roman" w:hAnsi="Times New Roman" w:cs="Times New Roman"/>
        </w:rPr>
        <w:t xml:space="preserve">. After completing a module of </w:t>
      </w:r>
      <w:r w:rsidR="003D2EC8">
        <w:rPr>
          <w:rFonts w:ascii="Times New Roman" w:hAnsi="Times New Roman" w:cs="Times New Roman"/>
        </w:rPr>
        <w:t>the Bench to Bedside course</w:t>
      </w:r>
      <w:r w:rsidR="00D564E8">
        <w:rPr>
          <w:rFonts w:ascii="Times New Roman" w:hAnsi="Times New Roman" w:cs="Times New Roman"/>
        </w:rPr>
        <w:t xml:space="preserve">, </w:t>
      </w:r>
      <w:r w:rsidR="003D2EC8">
        <w:rPr>
          <w:rFonts w:ascii="Times New Roman" w:hAnsi="Times New Roman" w:cs="Times New Roman"/>
        </w:rPr>
        <w:t xml:space="preserve">learners will </w:t>
      </w:r>
      <w:r w:rsidR="00D564E8">
        <w:rPr>
          <w:rFonts w:ascii="Times New Roman" w:hAnsi="Times New Roman" w:cs="Times New Roman"/>
        </w:rPr>
        <w:t xml:space="preserve">complete a module-specific knowledge check </w:t>
      </w:r>
      <w:r w:rsidR="003D2EC8">
        <w:rPr>
          <w:rFonts w:ascii="Times New Roman" w:hAnsi="Times New Roman" w:cs="Times New Roman"/>
        </w:rPr>
        <w:t>(Attachments 5-10).</w:t>
      </w:r>
      <w:r w:rsidR="00D564E8">
        <w:rPr>
          <w:rFonts w:ascii="Times New Roman" w:hAnsi="Times New Roman" w:cs="Times New Roman"/>
        </w:rPr>
        <w:t xml:space="preserve"> Each </w:t>
      </w:r>
      <w:r w:rsidR="009E22A0">
        <w:rPr>
          <w:rFonts w:ascii="Times New Roman" w:hAnsi="Times New Roman" w:cs="Times New Roman"/>
        </w:rPr>
        <w:t xml:space="preserve">module </w:t>
      </w:r>
      <w:r w:rsidR="00D564E8">
        <w:rPr>
          <w:rFonts w:ascii="Times New Roman" w:hAnsi="Times New Roman" w:cs="Times New Roman"/>
        </w:rPr>
        <w:t xml:space="preserve">of the SABV course is </w:t>
      </w:r>
      <w:r w:rsidR="00D7649D">
        <w:rPr>
          <w:rFonts w:ascii="Times New Roman" w:hAnsi="Times New Roman" w:cs="Times New Roman"/>
        </w:rPr>
        <w:t xml:space="preserve">also </w:t>
      </w:r>
      <w:r w:rsidR="00D564E8">
        <w:rPr>
          <w:rFonts w:ascii="Times New Roman" w:hAnsi="Times New Roman" w:cs="Times New Roman"/>
        </w:rPr>
        <w:t>followed by a knowledge check (Attachments 13-16). Learners taking the Bench to Bedside course for CE credits will also complete a Module evaluation (Attachment 3) and Outcomes Assessment (Attachment 4).</w:t>
      </w:r>
    </w:p>
    <w:p w:rsidR="001A57A4" w:rsidP="008B5E85" w:rsidRDefault="001A57A4" w14:paraId="31A32A9E" w14:textId="0F420EED">
      <w:pPr>
        <w:autoSpaceDE w:val="0"/>
        <w:autoSpaceDN w:val="0"/>
        <w:adjustRightInd w:val="0"/>
        <w:spacing w:line="480" w:lineRule="auto"/>
        <w:ind w:firstLine="720"/>
        <w:outlineLvl w:val="0"/>
        <w:rPr>
          <w:rFonts w:ascii="Times New Roman" w:hAnsi="Times New Roman" w:cs="Times New Roman"/>
        </w:rPr>
      </w:pPr>
      <w:r>
        <w:rPr>
          <w:rFonts w:ascii="Times New Roman" w:hAnsi="Times New Roman" w:cs="Times New Roman"/>
        </w:rPr>
        <w:t>Table 12-1 below reflects the total burden hours</w:t>
      </w:r>
      <w:r w:rsidR="00B01EF1">
        <w:rPr>
          <w:rFonts w:ascii="Times New Roman" w:hAnsi="Times New Roman" w:cs="Times New Roman"/>
        </w:rPr>
        <w:t xml:space="preserve"> should each learner complete every module</w:t>
      </w:r>
      <w:r>
        <w:rPr>
          <w:rFonts w:ascii="Times New Roman" w:hAnsi="Times New Roman" w:cs="Times New Roman"/>
        </w:rPr>
        <w:t xml:space="preserve">. </w:t>
      </w:r>
      <w:r w:rsidR="007941C8">
        <w:rPr>
          <w:rFonts w:ascii="Times New Roman" w:hAnsi="Times New Roman" w:cs="Times New Roman"/>
        </w:rPr>
        <w:t xml:space="preserve">Based on preliminary registration information for Bench to Bedside, ORWH anticipates approximately </w:t>
      </w:r>
      <w:r w:rsidR="002651A9">
        <w:rPr>
          <w:rFonts w:ascii="Times New Roman" w:hAnsi="Times New Roman" w:cs="Times New Roman"/>
        </w:rPr>
        <w:t>3</w:t>
      </w:r>
      <w:r w:rsidR="007941C8">
        <w:rPr>
          <w:rFonts w:ascii="Times New Roman" w:hAnsi="Times New Roman" w:cs="Times New Roman"/>
        </w:rPr>
        <w:t xml:space="preserve">00 learners for the Bench to Bedside course, and </w:t>
      </w:r>
      <w:r w:rsidR="002651A9">
        <w:rPr>
          <w:rFonts w:ascii="Times New Roman" w:hAnsi="Times New Roman" w:cs="Times New Roman"/>
        </w:rPr>
        <w:t xml:space="preserve">300 learners for </w:t>
      </w:r>
      <w:r w:rsidR="007941C8">
        <w:rPr>
          <w:rFonts w:ascii="Times New Roman" w:hAnsi="Times New Roman" w:cs="Times New Roman"/>
        </w:rPr>
        <w:t xml:space="preserve">the SABV course, for a total of </w:t>
      </w:r>
      <w:r w:rsidR="002651A9">
        <w:rPr>
          <w:rFonts w:ascii="Times New Roman" w:hAnsi="Times New Roman" w:cs="Times New Roman"/>
        </w:rPr>
        <w:t xml:space="preserve">600 </w:t>
      </w:r>
      <w:r w:rsidR="007941C8">
        <w:rPr>
          <w:rFonts w:ascii="Times New Roman" w:hAnsi="Times New Roman" w:cs="Times New Roman"/>
        </w:rPr>
        <w:t>learners</w:t>
      </w:r>
      <w:r w:rsidR="00145D84">
        <w:rPr>
          <w:rFonts w:ascii="Times New Roman" w:hAnsi="Times New Roman" w:cs="Times New Roman"/>
        </w:rPr>
        <w:t xml:space="preserve"> between both courses</w:t>
      </w:r>
      <w:r w:rsidR="007941C8">
        <w:rPr>
          <w:rFonts w:ascii="Times New Roman" w:hAnsi="Times New Roman" w:cs="Times New Roman"/>
        </w:rPr>
        <w:t xml:space="preserve">. Registration information to date indicates approximately </w:t>
      </w:r>
      <w:r w:rsidR="00B01EF1">
        <w:rPr>
          <w:rFonts w:ascii="Times New Roman" w:hAnsi="Times New Roman" w:cs="Times New Roman"/>
        </w:rPr>
        <w:t>60%</w:t>
      </w:r>
      <w:r w:rsidR="007941C8">
        <w:rPr>
          <w:rFonts w:ascii="Times New Roman" w:hAnsi="Times New Roman" w:cs="Times New Roman"/>
        </w:rPr>
        <w:t xml:space="preserve"> of learners will be federal employees, </w:t>
      </w:r>
      <w:r w:rsidR="00B01EF1">
        <w:rPr>
          <w:rFonts w:ascii="Times New Roman" w:hAnsi="Times New Roman" w:cs="Times New Roman"/>
        </w:rPr>
        <w:t xml:space="preserve">35% will be from the private sector, and 5% will take the course as individuals. </w:t>
      </w:r>
      <w:r w:rsidR="009E22A0">
        <w:rPr>
          <w:rFonts w:ascii="Times New Roman" w:hAnsi="Times New Roman" w:cs="Times New Roman"/>
        </w:rPr>
        <w:t xml:space="preserve">Based on previous ORWH courses that have been offered for CE credits, ORWH anticipates that 50 of the 300 Bench to Bedside learners will take the course for CE credit (30 federal employees, 17 private sector employees, and 3 individuals). </w:t>
      </w:r>
    </w:p>
    <w:p w:rsidRPr="00DD4E91" w:rsidR="00B01EF1" w:rsidP="001E5524" w:rsidRDefault="000A5C96" w14:paraId="50642B24" w14:textId="75CF99FB">
      <w:pPr>
        <w:autoSpaceDE w:val="0"/>
        <w:autoSpaceDN w:val="0"/>
        <w:adjustRightInd w:val="0"/>
        <w:spacing w:line="480" w:lineRule="auto"/>
        <w:ind w:firstLine="720"/>
        <w:outlineLvl w:val="0"/>
        <w:rPr>
          <w:rFonts w:ascii="Times New Roman" w:hAnsi="Times New Roman" w:cs="Times New Roman"/>
          <w:strike/>
        </w:rPr>
      </w:pPr>
      <w:r>
        <w:rPr>
          <w:rFonts w:ascii="Times New Roman" w:hAnsi="Times New Roman" w:cs="Times New Roman"/>
        </w:rPr>
        <w:t xml:space="preserve">The six modules of Bench to Bedside and four modules of SABV can be taken independently and in any order. Learners are not required to complete multiple modules. ORWH expects that some learners with an interest in the subject matter may choose to complete multiple </w:t>
      </w:r>
      <w:r>
        <w:rPr>
          <w:rFonts w:ascii="Times New Roman" w:hAnsi="Times New Roman" w:cs="Times New Roman"/>
        </w:rPr>
        <w:lastRenderedPageBreak/>
        <w:t>modules, but doing so is not required. Two of the assessments associated with the Bench to Bedside course (Outcomes Assessment and Course Evaluation) will only be administered to learners taking the course for CE credits. The burden table reflects the maximum possible burden should a learner complete all modules of both courses. However, ORWH expects that most learners will not complete all available modules</w:t>
      </w:r>
      <w:r w:rsidRPr="00DD4E91" w:rsidR="00B01EF1">
        <w:rPr>
          <w:rFonts w:ascii="Times New Roman" w:hAnsi="Times New Roman" w:cs="Times New Roman"/>
          <w:strike/>
        </w:rPr>
        <w:t xml:space="preserve"> </w:t>
      </w:r>
    </w:p>
    <w:p w:rsidRPr="00D564E8" w:rsidR="008B5E85" w:rsidP="008B5E85" w:rsidRDefault="008B5E85" w14:paraId="2A704577" w14:textId="77777777">
      <w:pPr>
        <w:spacing w:after="0" w:line="480" w:lineRule="auto"/>
        <w:ind w:firstLine="720"/>
        <w:jc w:val="center"/>
        <w:rPr>
          <w:rFonts w:ascii="Times New Roman" w:hAnsi="Times New Roman" w:cs="Times New Roman"/>
        </w:rPr>
      </w:pPr>
      <w:r w:rsidRPr="00D564E8">
        <w:rPr>
          <w:rFonts w:ascii="Times New Roman" w:hAnsi="Times New Roman" w:cs="Times New Roman"/>
        </w:rPr>
        <w:t>Estimated Annualized Burden Hours</w:t>
      </w:r>
    </w:p>
    <w:tbl>
      <w:tblPr>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20" w:type="dxa"/>
          <w:right w:w="120" w:type="dxa"/>
        </w:tblCellMar>
        <w:tblLook w:val="04A0" w:firstRow="1" w:lastRow="0" w:firstColumn="1" w:lastColumn="0" w:noHBand="0" w:noVBand="1"/>
      </w:tblPr>
      <w:tblGrid>
        <w:gridCol w:w="2695"/>
        <w:gridCol w:w="1369"/>
        <w:gridCol w:w="72"/>
        <w:gridCol w:w="1297"/>
        <w:gridCol w:w="54"/>
        <w:gridCol w:w="1315"/>
        <w:gridCol w:w="36"/>
        <w:gridCol w:w="1333"/>
        <w:gridCol w:w="18"/>
        <w:gridCol w:w="1351"/>
      </w:tblGrid>
      <w:tr w:rsidR="00443930" w:rsidTr="00443930" w14:paraId="62924346" w14:textId="77777777">
        <w:trPr>
          <w:cantSplit/>
          <w:trHeight w:val="1065"/>
          <w:tblHeader/>
          <w:jc w:val="center"/>
        </w:trPr>
        <w:tc>
          <w:tcPr>
            <w:tcW w:w="2695" w:type="dxa"/>
            <w:tcBorders>
              <w:top w:val="single" w:color="auto" w:sz="4" w:space="0"/>
              <w:left w:val="single" w:color="auto" w:sz="4" w:space="0"/>
              <w:bottom w:val="single" w:color="auto" w:sz="4" w:space="0"/>
              <w:right w:val="single" w:color="auto" w:sz="4" w:space="0"/>
            </w:tcBorders>
            <w:hideMark/>
          </w:tcPr>
          <w:p w:rsidR="00443930" w:rsidP="00443930" w:rsidRDefault="00443930" w14:paraId="338D8EF5" w14:textId="77777777">
            <w:pPr>
              <w:spacing w:after="0" w:line="240" w:lineRule="auto"/>
              <w:rPr>
                <w:rFonts w:ascii="Times New Roman" w:hAnsi="Times New Roman" w:cs="Times New Roman"/>
              </w:rPr>
            </w:pPr>
            <w:bookmarkStart w:name="_Hlk38465689" w:id="51"/>
            <w:r>
              <w:rPr>
                <w:rFonts w:ascii="Times New Roman" w:hAnsi="Times New Roman" w:cs="Times New Roman"/>
              </w:rPr>
              <w:t xml:space="preserve">Form Name </w:t>
            </w:r>
          </w:p>
        </w:tc>
        <w:tc>
          <w:tcPr>
            <w:tcW w:w="1440" w:type="dxa"/>
            <w:gridSpan w:val="2"/>
            <w:tcBorders>
              <w:top w:val="single" w:color="auto" w:sz="4" w:space="0"/>
              <w:left w:val="single" w:color="auto" w:sz="4" w:space="0"/>
              <w:bottom w:val="single" w:color="auto" w:sz="4" w:space="0"/>
              <w:right w:val="single" w:color="auto" w:sz="4" w:space="0"/>
            </w:tcBorders>
            <w:hideMark/>
          </w:tcPr>
          <w:p w:rsidR="00443930" w:rsidP="00443930" w:rsidRDefault="00443930" w14:paraId="58B21F0D" w14:textId="77777777">
            <w:pPr>
              <w:spacing w:after="0" w:line="240" w:lineRule="auto"/>
              <w:rPr>
                <w:rFonts w:ascii="Times New Roman" w:hAnsi="Times New Roman" w:cs="Times New Roman"/>
              </w:rPr>
            </w:pPr>
            <w:r>
              <w:rPr>
                <w:rFonts w:ascii="Times New Roman" w:hAnsi="Times New Roman" w:cs="Times New Roman"/>
              </w:rPr>
              <w:t>Type of Respondents</w:t>
            </w:r>
          </w:p>
        </w:tc>
        <w:tc>
          <w:tcPr>
            <w:tcW w:w="1350" w:type="dxa"/>
            <w:gridSpan w:val="2"/>
            <w:tcBorders>
              <w:top w:val="single" w:color="auto" w:sz="4" w:space="0"/>
              <w:left w:val="single" w:color="auto" w:sz="4" w:space="0"/>
              <w:bottom w:val="single" w:color="auto" w:sz="4" w:space="0"/>
              <w:right w:val="single" w:color="auto" w:sz="4" w:space="0"/>
            </w:tcBorders>
            <w:hideMark/>
          </w:tcPr>
          <w:p w:rsidR="00443930" w:rsidP="00443930" w:rsidRDefault="00443930" w14:paraId="445E0B97" w14:textId="77777777">
            <w:pPr>
              <w:spacing w:after="0" w:line="240" w:lineRule="auto"/>
              <w:rPr>
                <w:rFonts w:ascii="Times New Roman" w:hAnsi="Times New Roman" w:cs="Times New Roman"/>
              </w:rPr>
            </w:pPr>
            <w:r>
              <w:rPr>
                <w:rFonts w:ascii="Times New Roman" w:hAnsi="Times New Roman" w:cs="Times New Roman"/>
              </w:rPr>
              <w:t>Number of respondents</w:t>
            </w:r>
          </w:p>
        </w:tc>
        <w:tc>
          <w:tcPr>
            <w:tcW w:w="1350" w:type="dxa"/>
            <w:gridSpan w:val="2"/>
            <w:tcBorders>
              <w:top w:val="single" w:color="auto" w:sz="4" w:space="0"/>
              <w:left w:val="single" w:color="auto" w:sz="4" w:space="0"/>
              <w:bottom w:val="single" w:color="auto" w:sz="4" w:space="0"/>
              <w:right w:val="single" w:color="auto" w:sz="4" w:space="0"/>
            </w:tcBorders>
            <w:hideMark/>
          </w:tcPr>
          <w:p w:rsidR="00443930" w:rsidP="00443930" w:rsidRDefault="00443930" w14:paraId="66EF7FD6" w14:textId="77777777">
            <w:pPr>
              <w:spacing w:after="0" w:line="240" w:lineRule="auto"/>
              <w:rPr>
                <w:rFonts w:ascii="Times New Roman" w:hAnsi="Times New Roman" w:cs="Times New Roman"/>
              </w:rPr>
            </w:pPr>
            <w:r>
              <w:rPr>
                <w:rFonts w:ascii="Times New Roman" w:hAnsi="Times New Roman" w:cs="Times New Roman"/>
              </w:rPr>
              <w:t>Number of Responses per Respondent</w:t>
            </w:r>
          </w:p>
        </w:tc>
        <w:tc>
          <w:tcPr>
            <w:tcW w:w="1350" w:type="dxa"/>
            <w:gridSpan w:val="2"/>
            <w:tcBorders>
              <w:top w:val="single" w:color="auto" w:sz="4" w:space="0"/>
              <w:left w:val="single" w:color="auto" w:sz="4" w:space="0"/>
              <w:bottom w:val="single" w:color="auto" w:sz="4" w:space="0"/>
              <w:right w:val="single" w:color="auto" w:sz="4" w:space="0"/>
            </w:tcBorders>
            <w:hideMark/>
          </w:tcPr>
          <w:p w:rsidR="00443930" w:rsidP="00443930" w:rsidRDefault="00443930" w14:paraId="0D0828BC" w14:textId="77777777">
            <w:pPr>
              <w:tabs>
                <w:tab w:val="right" w:pos="2361"/>
              </w:tabs>
              <w:spacing w:after="0" w:line="240" w:lineRule="auto"/>
              <w:rPr>
                <w:rFonts w:ascii="Times New Roman" w:hAnsi="Times New Roman" w:cs="Times New Roman"/>
              </w:rPr>
            </w:pPr>
            <w:r>
              <w:rPr>
                <w:rFonts w:ascii="Times New Roman" w:hAnsi="Times New Roman" w:cs="Times New Roman"/>
              </w:rPr>
              <w:t xml:space="preserve">Average Burden Per Response </w:t>
            </w:r>
          </w:p>
          <w:p w:rsidR="00443930" w:rsidP="00443930" w:rsidRDefault="00443930" w14:paraId="0D0F6EAB" w14:textId="77777777">
            <w:pPr>
              <w:tabs>
                <w:tab w:val="right" w:pos="2361"/>
              </w:tabs>
              <w:spacing w:after="0" w:line="240" w:lineRule="auto"/>
              <w:rPr>
                <w:rFonts w:ascii="Times New Roman" w:hAnsi="Times New Roman" w:cs="Times New Roman"/>
              </w:rPr>
            </w:pPr>
            <w:r>
              <w:rPr>
                <w:rFonts w:ascii="Times New Roman" w:hAnsi="Times New Roman" w:cs="Times New Roman"/>
              </w:rPr>
              <w:t>(in hours)</w:t>
            </w:r>
          </w:p>
        </w:tc>
        <w:tc>
          <w:tcPr>
            <w:tcW w:w="1350" w:type="dxa"/>
            <w:tcBorders>
              <w:top w:val="single" w:color="auto" w:sz="4" w:space="0"/>
              <w:left w:val="single" w:color="auto" w:sz="4" w:space="0"/>
              <w:bottom w:val="single" w:color="auto" w:sz="4" w:space="0"/>
              <w:right w:val="single" w:color="auto" w:sz="4" w:space="0"/>
            </w:tcBorders>
            <w:hideMark/>
          </w:tcPr>
          <w:p w:rsidR="00443930" w:rsidP="00443930" w:rsidRDefault="00443930" w14:paraId="24155CB5" w14:textId="77777777">
            <w:pPr>
              <w:spacing w:after="0" w:line="240" w:lineRule="auto"/>
              <w:rPr>
                <w:rFonts w:ascii="Times New Roman" w:hAnsi="Times New Roman" w:cs="Times New Roman"/>
              </w:rPr>
            </w:pPr>
            <w:r>
              <w:rPr>
                <w:rFonts w:ascii="Times New Roman" w:hAnsi="Times New Roman" w:cs="Times New Roman"/>
              </w:rPr>
              <w:t xml:space="preserve">Total Annual Burden Hours </w:t>
            </w:r>
          </w:p>
        </w:tc>
      </w:tr>
      <w:tr w:rsidR="00443930" w:rsidTr="00443930" w14:paraId="18287AB4" w14:textId="77777777">
        <w:trPr>
          <w:cantSplit/>
          <w:trHeight w:val="273"/>
          <w:jc w:val="center"/>
        </w:trPr>
        <w:tc>
          <w:tcPr>
            <w:tcW w:w="9535" w:type="dxa"/>
            <w:gridSpan w:val="10"/>
            <w:tcBorders>
              <w:top w:val="single" w:color="auto" w:sz="4" w:space="0"/>
              <w:left w:val="single" w:color="auto" w:sz="4" w:space="0"/>
              <w:bottom w:val="single" w:color="auto" w:sz="4" w:space="0"/>
              <w:right w:val="single" w:color="auto" w:sz="4" w:space="0"/>
            </w:tcBorders>
          </w:tcPr>
          <w:p w:rsidR="00443930" w:rsidP="00443930" w:rsidRDefault="00443930" w14:paraId="202BC520" w14:textId="77777777">
            <w:pPr>
              <w:spacing w:after="0" w:line="240" w:lineRule="auto"/>
              <w:jc w:val="center"/>
              <w:rPr>
                <w:rFonts w:ascii="Times New Roman" w:hAnsi="Times New Roman" w:cs="Times New Roman"/>
                <w:b/>
              </w:rPr>
            </w:pPr>
          </w:p>
          <w:p w:rsidR="00443930" w:rsidP="00443930" w:rsidRDefault="00443930" w14:paraId="4A36174B" w14:textId="77777777">
            <w:pPr>
              <w:spacing w:after="0" w:line="480" w:lineRule="auto"/>
              <w:jc w:val="center"/>
              <w:rPr>
                <w:rFonts w:ascii="Times New Roman" w:hAnsi="Times New Roman" w:cs="Times New Roman"/>
                <w:b/>
              </w:rPr>
            </w:pPr>
            <w:r>
              <w:rPr>
                <w:rFonts w:ascii="Times New Roman" w:hAnsi="Times New Roman" w:cs="Times New Roman"/>
                <w:b/>
              </w:rPr>
              <w:t>Bench to Bedside: Immunology Module</w:t>
            </w:r>
          </w:p>
        </w:tc>
      </w:tr>
      <w:tr w:rsidR="00443930" w:rsidTr="00443930" w14:paraId="7610B504" w14:textId="77777777">
        <w:trPr>
          <w:cantSplit/>
          <w:trHeight w:val="555"/>
          <w:jc w:val="center"/>
        </w:trPr>
        <w:tc>
          <w:tcPr>
            <w:tcW w:w="2695" w:type="dxa"/>
            <w:vMerge w:val="restart"/>
            <w:tcBorders>
              <w:top w:val="single" w:color="auto" w:sz="4" w:space="0"/>
              <w:left w:val="single" w:color="auto" w:sz="4" w:space="0"/>
              <w:bottom w:val="single" w:color="auto" w:sz="4" w:space="0"/>
              <w:right w:val="single" w:color="auto" w:sz="4" w:space="0"/>
            </w:tcBorders>
            <w:vAlign w:val="center"/>
            <w:hideMark/>
          </w:tcPr>
          <w:p w:rsidR="00BD4706" w:rsidP="00BD4706" w:rsidRDefault="00443930" w14:paraId="63F818CA" w14:textId="790C2116">
            <w:pPr>
              <w:spacing w:after="0" w:line="240" w:lineRule="auto"/>
              <w:rPr>
                <w:rFonts w:ascii="Times New Roman" w:hAnsi="Times New Roman" w:cs="Times New Roman"/>
              </w:rPr>
            </w:pPr>
            <w:r>
              <w:rPr>
                <w:rFonts w:ascii="Times New Roman" w:hAnsi="Times New Roman" w:cs="Times New Roman"/>
              </w:rPr>
              <w:t>Attitude survey pre- and post- test</w:t>
            </w:r>
          </w:p>
        </w:tc>
        <w:tc>
          <w:tcPr>
            <w:tcW w:w="144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3FDBEF93" w14:textId="77777777">
            <w:pPr>
              <w:spacing w:after="0" w:line="240" w:lineRule="auto"/>
              <w:rPr>
                <w:rFonts w:ascii="Times New Roman" w:hAnsi="Times New Roman" w:cs="Times New Roman"/>
              </w:rPr>
            </w:pPr>
            <w:r>
              <w:rPr>
                <w:rFonts w:ascii="Times New Roman" w:hAnsi="Times New Roman" w:cs="Times New Roman"/>
                <w:color w:val="000000"/>
              </w:rPr>
              <w:t>Private sector</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7382AD58"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105</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77410C17"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2</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1579C9C4" w14:textId="77777777">
            <w:pPr>
              <w:tabs>
                <w:tab w:val="right" w:pos="2361"/>
              </w:tabs>
              <w:spacing w:after="0" w:line="240" w:lineRule="auto"/>
              <w:jc w:val="center"/>
              <w:rPr>
                <w:rFonts w:ascii="Times New Roman" w:hAnsi="Times New Roman" w:cs="Times New Roman"/>
                <w:sz w:val="24"/>
                <w:szCs w:val="24"/>
              </w:rPr>
            </w:pPr>
            <w:r>
              <w:rPr>
                <w:rFonts w:ascii="Times New Roman" w:hAnsi="Times New Roman" w:cs="Times New Roman"/>
                <w:color w:val="000000"/>
              </w:rPr>
              <w:t xml:space="preserve">5/60      </w:t>
            </w:r>
          </w:p>
        </w:tc>
        <w:tc>
          <w:tcPr>
            <w:tcW w:w="1350" w:type="dxa"/>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7C3E1DF8"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r>
      <w:tr w:rsidR="00443930" w:rsidTr="00443930" w14:paraId="063F5A55" w14:textId="77777777">
        <w:trPr>
          <w:cantSplit/>
          <w:trHeight w:val="555"/>
          <w:jc w:val="center"/>
        </w:trPr>
        <w:tc>
          <w:tcPr>
            <w:tcW w:w="9535" w:type="dxa"/>
            <w:vMerge/>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79FD5974" w14:textId="77777777">
            <w:pPr>
              <w:spacing w:after="0"/>
              <w:rPr>
                <w:rFonts w:ascii="Times New Roman" w:hAnsi="Times New Roman" w:cs="Times New Roman"/>
              </w:rPr>
            </w:pPr>
          </w:p>
        </w:tc>
        <w:tc>
          <w:tcPr>
            <w:tcW w:w="144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075DB2DA" w14:textId="77777777">
            <w:pPr>
              <w:spacing w:after="0" w:line="240" w:lineRule="auto"/>
              <w:rPr>
                <w:rFonts w:ascii="Times New Roman" w:hAnsi="Times New Roman" w:cs="Times New Roman"/>
              </w:rPr>
            </w:pPr>
            <w:r>
              <w:rPr>
                <w:rFonts w:ascii="Times New Roman" w:hAnsi="Times New Roman" w:cs="Times New Roman"/>
                <w:color w:val="000000"/>
              </w:rPr>
              <w:t>Federal government</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30A3047A"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180</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78EF8765"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2</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182A2E0C" w14:textId="77777777">
            <w:pPr>
              <w:tabs>
                <w:tab w:val="right" w:pos="2361"/>
              </w:tabs>
              <w:spacing w:after="0" w:line="240" w:lineRule="auto"/>
              <w:jc w:val="center"/>
              <w:rPr>
                <w:rFonts w:ascii="Times New Roman" w:hAnsi="Times New Roman" w:cs="Times New Roman"/>
                <w:sz w:val="24"/>
                <w:szCs w:val="24"/>
              </w:rPr>
            </w:pPr>
            <w:r>
              <w:rPr>
                <w:rFonts w:ascii="Times New Roman" w:hAnsi="Times New Roman" w:cs="Times New Roman"/>
                <w:color w:val="000000"/>
              </w:rPr>
              <w:t>5/60</w:t>
            </w:r>
          </w:p>
        </w:tc>
        <w:tc>
          <w:tcPr>
            <w:tcW w:w="1350" w:type="dxa"/>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25353BAE"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r>
      <w:tr w:rsidR="00443930" w:rsidTr="00443930" w14:paraId="47A2343E" w14:textId="77777777">
        <w:trPr>
          <w:cantSplit/>
          <w:trHeight w:val="440"/>
          <w:jc w:val="center"/>
        </w:trPr>
        <w:tc>
          <w:tcPr>
            <w:tcW w:w="9535" w:type="dxa"/>
            <w:vMerge/>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4779135E" w14:textId="77777777">
            <w:pPr>
              <w:spacing w:after="0"/>
              <w:rPr>
                <w:rFonts w:ascii="Times New Roman" w:hAnsi="Times New Roman" w:cs="Times New Roman"/>
              </w:rPr>
            </w:pPr>
          </w:p>
        </w:tc>
        <w:tc>
          <w:tcPr>
            <w:tcW w:w="144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0AE8E899" w14:textId="77777777">
            <w:pPr>
              <w:spacing w:after="0" w:line="240" w:lineRule="auto"/>
              <w:rPr>
                <w:rFonts w:ascii="Times New Roman" w:hAnsi="Times New Roman" w:cs="Times New Roman"/>
              </w:rPr>
            </w:pPr>
            <w:r>
              <w:rPr>
                <w:rFonts w:ascii="Times New Roman" w:hAnsi="Times New Roman" w:cs="Times New Roman"/>
                <w:color w:val="000000"/>
              </w:rPr>
              <w:t>Individual</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242FFB31"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15</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5FC456D3"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2</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0A43B632" w14:textId="77777777">
            <w:pPr>
              <w:tabs>
                <w:tab w:val="right" w:pos="2361"/>
              </w:tabs>
              <w:spacing w:after="0" w:line="240" w:lineRule="auto"/>
              <w:jc w:val="center"/>
              <w:rPr>
                <w:rFonts w:ascii="Times New Roman" w:hAnsi="Times New Roman" w:cs="Times New Roman"/>
                <w:sz w:val="24"/>
                <w:szCs w:val="24"/>
              </w:rPr>
            </w:pPr>
            <w:r>
              <w:rPr>
                <w:rFonts w:ascii="Times New Roman" w:hAnsi="Times New Roman" w:cs="Times New Roman"/>
                <w:color w:val="000000"/>
              </w:rPr>
              <w:t xml:space="preserve">5/60   </w:t>
            </w:r>
          </w:p>
        </w:tc>
        <w:tc>
          <w:tcPr>
            <w:tcW w:w="1350" w:type="dxa"/>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62B151F6"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443930" w:rsidTr="00443930" w14:paraId="084D5810" w14:textId="77777777">
        <w:trPr>
          <w:cantSplit/>
          <w:trHeight w:val="555"/>
          <w:jc w:val="center"/>
        </w:trPr>
        <w:tc>
          <w:tcPr>
            <w:tcW w:w="2695" w:type="dxa"/>
            <w:vMerge w:val="restart"/>
            <w:tcBorders>
              <w:top w:val="single" w:color="auto" w:sz="4" w:space="0"/>
              <w:left w:val="single" w:color="auto" w:sz="4" w:space="0"/>
              <w:bottom w:val="single" w:color="auto" w:sz="4" w:space="0"/>
              <w:right w:val="single" w:color="auto" w:sz="4" w:space="0"/>
            </w:tcBorders>
            <w:vAlign w:val="center"/>
            <w:hideMark/>
          </w:tcPr>
          <w:p w:rsidR="00BD4706" w:rsidP="00443930" w:rsidRDefault="00443930" w14:paraId="34BAFB40" w14:textId="083BCBF5">
            <w:pPr>
              <w:spacing w:after="0" w:line="240" w:lineRule="auto"/>
              <w:rPr>
                <w:rFonts w:ascii="Times New Roman" w:hAnsi="Times New Roman" w:cs="Times New Roman"/>
              </w:rPr>
            </w:pPr>
            <w:r>
              <w:rPr>
                <w:rFonts w:ascii="Times New Roman" w:hAnsi="Times New Roman" w:cs="Times New Roman"/>
              </w:rPr>
              <w:t>Module completion</w:t>
            </w:r>
          </w:p>
        </w:tc>
        <w:tc>
          <w:tcPr>
            <w:tcW w:w="144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0445A018" w14:textId="77777777">
            <w:pPr>
              <w:spacing w:after="0" w:line="240" w:lineRule="auto"/>
              <w:rPr>
                <w:rFonts w:ascii="Times New Roman" w:hAnsi="Times New Roman" w:cs="Times New Roman"/>
              </w:rPr>
            </w:pPr>
            <w:r>
              <w:rPr>
                <w:rFonts w:ascii="Times New Roman" w:hAnsi="Times New Roman" w:cs="Times New Roman"/>
                <w:color w:val="000000"/>
              </w:rPr>
              <w:t>Private sector</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7E1B6406"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105</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7BD939EE"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1</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57905420" w14:textId="77777777">
            <w:pPr>
              <w:tabs>
                <w:tab w:val="right" w:pos="2361"/>
              </w:tabs>
              <w:spacing w:after="0" w:line="240" w:lineRule="auto"/>
              <w:jc w:val="center"/>
              <w:rPr>
                <w:rFonts w:ascii="Times New Roman" w:hAnsi="Times New Roman" w:cs="Times New Roman"/>
                <w:sz w:val="24"/>
                <w:szCs w:val="24"/>
              </w:rPr>
            </w:pPr>
            <w:r>
              <w:rPr>
                <w:rFonts w:ascii="Times New Roman" w:hAnsi="Times New Roman" w:cs="Times New Roman"/>
                <w:color w:val="000000"/>
              </w:rPr>
              <w:t xml:space="preserve">1 </w:t>
            </w:r>
          </w:p>
        </w:tc>
        <w:tc>
          <w:tcPr>
            <w:tcW w:w="1350" w:type="dxa"/>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56F8226B"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105</w:t>
            </w:r>
          </w:p>
        </w:tc>
      </w:tr>
      <w:tr w:rsidR="00443930" w:rsidTr="00443930" w14:paraId="67A82F8B" w14:textId="77777777">
        <w:trPr>
          <w:cantSplit/>
          <w:trHeight w:val="555"/>
          <w:jc w:val="center"/>
        </w:trPr>
        <w:tc>
          <w:tcPr>
            <w:tcW w:w="9535" w:type="dxa"/>
            <w:vMerge/>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1A381496" w14:textId="77777777">
            <w:pPr>
              <w:spacing w:after="0"/>
              <w:rPr>
                <w:rFonts w:ascii="Times New Roman" w:hAnsi="Times New Roman" w:cs="Times New Roman"/>
              </w:rPr>
            </w:pPr>
          </w:p>
        </w:tc>
        <w:tc>
          <w:tcPr>
            <w:tcW w:w="144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747A8FDD" w14:textId="77777777">
            <w:pPr>
              <w:spacing w:after="0" w:line="240" w:lineRule="auto"/>
              <w:rPr>
                <w:rFonts w:ascii="Times New Roman" w:hAnsi="Times New Roman" w:cs="Times New Roman"/>
              </w:rPr>
            </w:pPr>
            <w:r>
              <w:rPr>
                <w:rFonts w:ascii="Times New Roman" w:hAnsi="Times New Roman" w:cs="Times New Roman"/>
                <w:color w:val="000000"/>
              </w:rPr>
              <w:t>Federal government</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1CEDF52B"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180</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6FE32B0A"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1</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78F71637" w14:textId="77777777">
            <w:pPr>
              <w:tabs>
                <w:tab w:val="right" w:pos="2361"/>
              </w:tabs>
              <w:spacing w:after="0" w:line="240" w:lineRule="auto"/>
              <w:jc w:val="center"/>
              <w:rPr>
                <w:rFonts w:ascii="Times New Roman" w:hAnsi="Times New Roman" w:cs="Times New Roman"/>
                <w:sz w:val="24"/>
                <w:szCs w:val="24"/>
              </w:rPr>
            </w:pPr>
            <w:r>
              <w:rPr>
                <w:rFonts w:ascii="Times New Roman" w:hAnsi="Times New Roman" w:cs="Times New Roman"/>
                <w:color w:val="000000"/>
              </w:rPr>
              <w:t xml:space="preserve">1      </w:t>
            </w:r>
          </w:p>
        </w:tc>
        <w:tc>
          <w:tcPr>
            <w:tcW w:w="1350" w:type="dxa"/>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3A1C384A"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180</w:t>
            </w:r>
          </w:p>
        </w:tc>
      </w:tr>
      <w:tr w:rsidR="00443930" w:rsidTr="00443930" w14:paraId="421C456B" w14:textId="77777777">
        <w:trPr>
          <w:cantSplit/>
          <w:trHeight w:val="346"/>
          <w:jc w:val="center"/>
        </w:trPr>
        <w:tc>
          <w:tcPr>
            <w:tcW w:w="9535" w:type="dxa"/>
            <w:vMerge/>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3A34DE55" w14:textId="77777777">
            <w:pPr>
              <w:spacing w:after="0"/>
              <w:rPr>
                <w:rFonts w:ascii="Times New Roman" w:hAnsi="Times New Roman" w:cs="Times New Roman"/>
              </w:rPr>
            </w:pPr>
          </w:p>
        </w:tc>
        <w:tc>
          <w:tcPr>
            <w:tcW w:w="144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19423FDE" w14:textId="77777777">
            <w:pPr>
              <w:spacing w:after="0" w:line="240" w:lineRule="auto"/>
              <w:rPr>
                <w:rFonts w:ascii="Times New Roman" w:hAnsi="Times New Roman" w:cs="Times New Roman"/>
              </w:rPr>
            </w:pPr>
            <w:r>
              <w:rPr>
                <w:rFonts w:ascii="Times New Roman" w:hAnsi="Times New Roman" w:cs="Times New Roman"/>
                <w:color w:val="000000"/>
              </w:rPr>
              <w:t>Individual</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1D98EB16"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15</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0E7F70C1"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1</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4A1553B6" w14:textId="77777777">
            <w:pPr>
              <w:tabs>
                <w:tab w:val="right" w:pos="2361"/>
              </w:tabs>
              <w:spacing w:after="0" w:line="240" w:lineRule="auto"/>
              <w:jc w:val="center"/>
              <w:rPr>
                <w:rFonts w:ascii="Times New Roman" w:hAnsi="Times New Roman" w:cs="Times New Roman"/>
                <w:sz w:val="24"/>
                <w:szCs w:val="24"/>
              </w:rPr>
            </w:pPr>
            <w:r>
              <w:rPr>
                <w:rFonts w:ascii="Times New Roman" w:hAnsi="Times New Roman" w:cs="Times New Roman"/>
                <w:color w:val="000000"/>
              </w:rPr>
              <w:t xml:space="preserve">1      </w:t>
            </w:r>
          </w:p>
        </w:tc>
        <w:tc>
          <w:tcPr>
            <w:tcW w:w="1350" w:type="dxa"/>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2F393E6A"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r>
      <w:tr w:rsidR="00443930" w:rsidTr="00443930" w14:paraId="302EC3FD" w14:textId="77777777">
        <w:trPr>
          <w:cantSplit/>
          <w:trHeight w:val="555"/>
          <w:jc w:val="center"/>
        </w:trPr>
        <w:tc>
          <w:tcPr>
            <w:tcW w:w="2695" w:type="dxa"/>
            <w:vMerge w:val="restart"/>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519FFCB3" w14:textId="77777777">
            <w:pPr>
              <w:spacing w:after="0" w:line="240" w:lineRule="auto"/>
              <w:rPr>
                <w:rFonts w:ascii="Times New Roman" w:hAnsi="Times New Roman" w:cs="Times New Roman"/>
              </w:rPr>
            </w:pPr>
            <w:r>
              <w:rPr>
                <w:rFonts w:ascii="Times New Roman" w:hAnsi="Times New Roman" w:cs="Times New Roman"/>
              </w:rPr>
              <w:t>Knowledge check</w:t>
            </w:r>
          </w:p>
        </w:tc>
        <w:tc>
          <w:tcPr>
            <w:tcW w:w="144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01AE4F46" w14:textId="77777777">
            <w:pPr>
              <w:spacing w:after="0" w:line="240" w:lineRule="auto"/>
              <w:rPr>
                <w:rFonts w:ascii="Times New Roman" w:hAnsi="Times New Roman" w:cs="Times New Roman"/>
              </w:rPr>
            </w:pPr>
            <w:r>
              <w:rPr>
                <w:rFonts w:ascii="Times New Roman" w:hAnsi="Times New Roman" w:cs="Times New Roman"/>
                <w:color w:val="000000"/>
              </w:rPr>
              <w:t>Private sector</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1723E7A8"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105</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577AC67D"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1</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1C1D8B92" w14:textId="77777777">
            <w:pPr>
              <w:tabs>
                <w:tab w:val="right" w:pos="2361"/>
              </w:tabs>
              <w:spacing w:after="0" w:line="240" w:lineRule="auto"/>
              <w:jc w:val="center"/>
              <w:rPr>
                <w:rFonts w:ascii="Times New Roman" w:hAnsi="Times New Roman" w:cs="Times New Roman"/>
                <w:sz w:val="24"/>
                <w:szCs w:val="24"/>
              </w:rPr>
            </w:pPr>
            <w:r>
              <w:rPr>
                <w:rFonts w:ascii="Times New Roman" w:hAnsi="Times New Roman" w:cs="Times New Roman"/>
                <w:color w:val="000000"/>
              </w:rPr>
              <w:t xml:space="preserve">10/60      </w:t>
            </w:r>
          </w:p>
        </w:tc>
        <w:tc>
          <w:tcPr>
            <w:tcW w:w="1350" w:type="dxa"/>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34801191"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r>
      <w:tr w:rsidR="00443930" w:rsidTr="00443930" w14:paraId="4E85F391" w14:textId="77777777">
        <w:trPr>
          <w:cantSplit/>
          <w:trHeight w:val="555"/>
          <w:jc w:val="center"/>
        </w:trPr>
        <w:tc>
          <w:tcPr>
            <w:tcW w:w="9535" w:type="dxa"/>
            <w:vMerge/>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0D21925C" w14:textId="77777777">
            <w:pPr>
              <w:spacing w:after="0"/>
              <w:rPr>
                <w:rFonts w:ascii="Times New Roman" w:hAnsi="Times New Roman" w:cs="Times New Roman"/>
              </w:rPr>
            </w:pPr>
          </w:p>
        </w:tc>
        <w:tc>
          <w:tcPr>
            <w:tcW w:w="144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5BF897E8" w14:textId="77777777">
            <w:pPr>
              <w:spacing w:after="0" w:line="240" w:lineRule="auto"/>
              <w:rPr>
                <w:rFonts w:ascii="Times New Roman" w:hAnsi="Times New Roman" w:cs="Times New Roman"/>
              </w:rPr>
            </w:pPr>
            <w:r>
              <w:rPr>
                <w:rFonts w:ascii="Times New Roman" w:hAnsi="Times New Roman" w:cs="Times New Roman"/>
                <w:color w:val="000000"/>
              </w:rPr>
              <w:t>Federal government</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6AE879DE"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180</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73982AA3"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1</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2FA8AC1F" w14:textId="77777777">
            <w:pPr>
              <w:tabs>
                <w:tab w:val="right" w:pos="2361"/>
              </w:tabs>
              <w:spacing w:after="0" w:line="240" w:lineRule="auto"/>
              <w:jc w:val="center"/>
              <w:rPr>
                <w:rFonts w:ascii="Times New Roman" w:hAnsi="Times New Roman" w:cs="Times New Roman"/>
                <w:sz w:val="24"/>
                <w:szCs w:val="24"/>
              </w:rPr>
            </w:pPr>
            <w:r>
              <w:rPr>
                <w:rFonts w:ascii="Times New Roman" w:hAnsi="Times New Roman" w:cs="Times New Roman"/>
                <w:color w:val="000000"/>
              </w:rPr>
              <w:t xml:space="preserve">10/60      </w:t>
            </w:r>
          </w:p>
        </w:tc>
        <w:tc>
          <w:tcPr>
            <w:tcW w:w="1350" w:type="dxa"/>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74DFF34E"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r>
      <w:tr w:rsidR="00443930" w:rsidTr="00443930" w14:paraId="70881550" w14:textId="77777777">
        <w:trPr>
          <w:cantSplit/>
          <w:trHeight w:val="346"/>
          <w:jc w:val="center"/>
        </w:trPr>
        <w:tc>
          <w:tcPr>
            <w:tcW w:w="9535" w:type="dxa"/>
            <w:vMerge/>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03DDE1D0" w14:textId="77777777">
            <w:pPr>
              <w:spacing w:after="0"/>
              <w:rPr>
                <w:rFonts w:ascii="Times New Roman" w:hAnsi="Times New Roman" w:cs="Times New Roman"/>
              </w:rPr>
            </w:pPr>
          </w:p>
        </w:tc>
        <w:tc>
          <w:tcPr>
            <w:tcW w:w="144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722C9DC2" w14:textId="77777777">
            <w:pPr>
              <w:spacing w:after="0" w:line="240" w:lineRule="auto"/>
              <w:rPr>
                <w:rFonts w:ascii="Times New Roman" w:hAnsi="Times New Roman" w:cs="Times New Roman"/>
              </w:rPr>
            </w:pPr>
            <w:r>
              <w:rPr>
                <w:rFonts w:ascii="Times New Roman" w:hAnsi="Times New Roman" w:cs="Times New Roman"/>
                <w:color w:val="000000"/>
              </w:rPr>
              <w:t>Individual</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34AD1A55"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15</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6FD7F648"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1</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4B102C54" w14:textId="77777777">
            <w:pPr>
              <w:tabs>
                <w:tab w:val="right" w:pos="2361"/>
              </w:tabs>
              <w:spacing w:after="0" w:line="240" w:lineRule="auto"/>
              <w:jc w:val="center"/>
              <w:rPr>
                <w:rFonts w:ascii="Times New Roman" w:hAnsi="Times New Roman" w:cs="Times New Roman"/>
                <w:sz w:val="24"/>
                <w:szCs w:val="24"/>
              </w:rPr>
            </w:pPr>
            <w:r>
              <w:rPr>
                <w:rFonts w:ascii="Times New Roman" w:hAnsi="Times New Roman" w:cs="Times New Roman"/>
                <w:color w:val="000000"/>
              </w:rPr>
              <w:t xml:space="preserve">10/60      </w:t>
            </w:r>
          </w:p>
        </w:tc>
        <w:tc>
          <w:tcPr>
            <w:tcW w:w="1350" w:type="dxa"/>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46817C3D"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443930" w:rsidTr="00443930" w14:paraId="208C0E11" w14:textId="77777777">
        <w:trPr>
          <w:cantSplit/>
          <w:trHeight w:val="506"/>
          <w:jc w:val="center"/>
        </w:trPr>
        <w:tc>
          <w:tcPr>
            <w:tcW w:w="2695" w:type="dxa"/>
            <w:vMerge w:val="restart"/>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2FA68025" w14:textId="77777777">
            <w:pPr>
              <w:spacing w:after="0" w:line="240" w:lineRule="auto"/>
              <w:rPr>
                <w:rFonts w:ascii="Times New Roman" w:hAnsi="Times New Roman" w:cs="Times New Roman"/>
              </w:rPr>
            </w:pPr>
            <w:bookmarkStart w:name="_Hlk38450373" w:id="52"/>
            <w:r>
              <w:rPr>
                <w:rFonts w:ascii="Times New Roman" w:hAnsi="Times New Roman" w:cs="Times New Roman"/>
              </w:rPr>
              <w:t>Module evaluation</w:t>
            </w:r>
          </w:p>
        </w:tc>
        <w:tc>
          <w:tcPr>
            <w:tcW w:w="144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218EDC71" w14:textId="77777777">
            <w:pPr>
              <w:spacing w:after="0" w:line="240" w:lineRule="auto"/>
              <w:rPr>
                <w:rFonts w:ascii="Times New Roman" w:hAnsi="Times New Roman" w:cs="Times New Roman"/>
              </w:rPr>
            </w:pPr>
            <w:r>
              <w:rPr>
                <w:rFonts w:ascii="Times New Roman" w:hAnsi="Times New Roman" w:cs="Times New Roman"/>
                <w:color w:val="000000"/>
              </w:rPr>
              <w:t>Private sector</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00AB9C18"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17</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528FEB4E"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1</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7642FE14" w14:textId="77777777">
            <w:pPr>
              <w:tabs>
                <w:tab w:val="right" w:pos="2361"/>
              </w:tabs>
              <w:spacing w:after="0" w:line="240" w:lineRule="auto"/>
              <w:jc w:val="center"/>
              <w:rPr>
                <w:rFonts w:ascii="Times New Roman" w:hAnsi="Times New Roman" w:cs="Times New Roman"/>
                <w:sz w:val="24"/>
                <w:szCs w:val="24"/>
              </w:rPr>
            </w:pPr>
            <w:r>
              <w:rPr>
                <w:rFonts w:ascii="Times New Roman" w:hAnsi="Times New Roman" w:cs="Times New Roman"/>
                <w:color w:val="000000"/>
              </w:rPr>
              <w:t xml:space="preserve">5/60      </w:t>
            </w:r>
          </w:p>
        </w:tc>
        <w:tc>
          <w:tcPr>
            <w:tcW w:w="1350" w:type="dxa"/>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031A3C68"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443930" w:rsidTr="00443930" w14:paraId="1FBEAD7B" w14:textId="77777777">
        <w:trPr>
          <w:cantSplit/>
          <w:trHeight w:val="506"/>
          <w:jc w:val="center"/>
        </w:trPr>
        <w:tc>
          <w:tcPr>
            <w:tcW w:w="9535" w:type="dxa"/>
            <w:vMerge/>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38046311" w14:textId="77777777">
            <w:pPr>
              <w:spacing w:after="0"/>
              <w:rPr>
                <w:rFonts w:ascii="Times New Roman" w:hAnsi="Times New Roman" w:cs="Times New Roman"/>
              </w:rPr>
            </w:pPr>
          </w:p>
        </w:tc>
        <w:tc>
          <w:tcPr>
            <w:tcW w:w="144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1B595932" w14:textId="77777777">
            <w:pPr>
              <w:spacing w:after="0" w:line="240" w:lineRule="auto"/>
              <w:rPr>
                <w:rFonts w:ascii="Times New Roman" w:hAnsi="Times New Roman" w:cs="Times New Roman"/>
              </w:rPr>
            </w:pPr>
            <w:r>
              <w:rPr>
                <w:rFonts w:ascii="Times New Roman" w:hAnsi="Times New Roman" w:cs="Times New Roman"/>
                <w:color w:val="000000"/>
              </w:rPr>
              <w:t>Federal government</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4DBF9AB8"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30</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4A9F7097"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1</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61AF3256" w14:textId="77777777">
            <w:pPr>
              <w:tabs>
                <w:tab w:val="right" w:pos="2361"/>
              </w:tabs>
              <w:spacing w:after="0" w:line="240" w:lineRule="auto"/>
              <w:jc w:val="center"/>
              <w:rPr>
                <w:rFonts w:ascii="Times New Roman" w:hAnsi="Times New Roman" w:cs="Times New Roman"/>
                <w:sz w:val="24"/>
                <w:szCs w:val="24"/>
              </w:rPr>
            </w:pPr>
            <w:r>
              <w:rPr>
                <w:rFonts w:ascii="Times New Roman" w:hAnsi="Times New Roman" w:cs="Times New Roman"/>
                <w:color w:val="000000"/>
              </w:rPr>
              <w:t>5/60</w:t>
            </w:r>
          </w:p>
        </w:tc>
        <w:tc>
          <w:tcPr>
            <w:tcW w:w="1350" w:type="dxa"/>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192AF326"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443930" w:rsidTr="00443930" w14:paraId="2F5A2D74" w14:textId="77777777">
        <w:trPr>
          <w:cantSplit/>
          <w:trHeight w:val="346"/>
          <w:jc w:val="center"/>
        </w:trPr>
        <w:tc>
          <w:tcPr>
            <w:tcW w:w="9535" w:type="dxa"/>
            <w:vMerge/>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711215C2" w14:textId="77777777">
            <w:pPr>
              <w:spacing w:after="0"/>
              <w:rPr>
                <w:rFonts w:ascii="Times New Roman" w:hAnsi="Times New Roman" w:cs="Times New Roman"/>
              </w:rPr>
            </w:pPr>
          </w:p>
        </w:tc>
        <w:tc>
          <w:tcPr>
            <w:tcW w:w="144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5DD997A7" w14:textId="77777777">
            <w:pPr>
              <w:spacing w:after="0" w:line="240" w:lineRule="auto"/>
              <w:rPr>
                <w:rFonts w:ascii="Times New Roman" w:hAnsi="Times New Roman" w:cs="Times New Roman"/>
              </w:rPr>
            </w:pPr>
            <w:r>
              <w:rPr>
                <w:rFonts w:ascii="Times New Roman" w:hAnsi="Times New Roman" w:cs="Times New Roman"/>
                <w:color w:val="000000"/>
              </w:rPr>
              <w:t>Individual</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7F9BDC52"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3</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19604342"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1</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1D00EC0F" w14:textId="77777777">
            <w:pPr>
              <w:tabs>
                <w:tab w:val="right" w:pos="2361"/>
              </w:tabs>
              <w:spacing w:after="0" w:line="240" w:lineRule="auto"/>
              <w:jc w:val="center"/>
              <w:rPr>
                <w:rFonts w:ascii="Times New Roman" w:hAnsi="Times New Roman" w:cs="Times New Roman"/>
                <w:sz w:val="24"/>
                <w:szCs w:val="24"/>
              </w:rPr>
            </w:pPr>
            <w:r>
              <w:rPr>
                <w:rFonts w:ascii="Times New Roman" w:hAnsi="Times New Roman" w:cs="Times New Roman"/>
                <w:color w:val="000000"/>
              </w:rPr>
              <w:t xml:space="preserve">5/60   </w:t>
            </w:r>
          </w:p>
        </w:tc>
        <w:tc>
          <w:tcPr>
            <w:tcW w:w="1350" w:type="dxa"/>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476CADF3"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bookmarkEnd w:id="52"/>
      </w:tr>
      <w:tr w:rsidR="00443930" w:rsidTr="00443930" w14:paraId="53AA142D" w14:textId="77777777">
        <w:trPr>
          <w:cantSplit/>
          <w:trHeight w:val="200"/>
          <w:jc w:val="center"/>
        </w:trPr>
        <w:tc>
          <w:tcPr>
            <w:tcW w:w="2695" w:type="dxa"/>
            <w:vMerge w:val="restart"/>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318E7D61" w14:textId="77777777">
            <w:pPr>
              <w:spacing w:after="0" w:line="240" w:lineRule="auto"/>
              <w:rPr>
                <w:rFonts w:ascii="Times New Roman" w:hAnsi="Times New Roman" w:cs="Times New Roman"/>
                <w:bCs/>
              </w:rPr>
            </w:pPr>
            <w:r>
              <w:rPr>
                <w:rFonts w:ascii="Times New Roman" w:hAnsi="Times New Roman" w:cs="Times New Roman"/>
                <w:bCs/>
              </w:rPr>
              <w:t>Outcomes evaluation</w:t>
            </w:r>
          </w:p>
        </w:tc>
        <w:tc>
          <w:tcPr>
            <w:tcW w:w="144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426CBB98" w14:textId="77777777">
            <w:pPr>
              <w:spacing w:after="0" w:line="240" w:lineRule="auto"/>
              <w:rPr>
                <w:rFonts w:ascii="Times New Roman" w:hAnsi="Times New Roman" w:cs="Times New Roman"/>
                <w:b/>
              </w:rPr>
            </w:pPr>
            <w:r>
              <w:rPr>
                <w:rFonts w:ascii="Times New Roman" w:hAnsi="Times New Roman" w:cs="Times New Roman"/>
                <w:color w:val="000000"/>
              </w:rPr>
              <w:t>Private sector</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60658963" w14:textId="77777777">
            <w:pPr>
              <w:spacing w:after="0" w:line="240" w:lineRule="auto"/>
              <w:jc w:val="center"/>
              <w:rPr>
                <w:rFonts w:ascii="Times New Roman" w:hAnsi="Times New Roman" w:cs="Times New Roman"/>
                <w:b/>
              </w:rPr>
            </w:pPr>
            <w:r>
              <w:rPr>
                <w:rFonts w:ascii="Times New Roman" w:hAnsi="Times New Roman" w:cs="Times New Roman"/>
                <w:color w:val="000000"/>
              </w:rPr>
              <w:t>17</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32548CA2" w14:textId="77777777">
            <w:pPr>
              <w:spacing w:after="0" w:line="240" w:lineRule="auto"/>
              <w:jc w:val="center"/>
              <w:rPr>
                <w:rFonts w:ascii="Times New Roman" w:hAnsi="Times New Roman" w:cs="Times New Roman"/>
                <w:b/>
              </w:rPr>
            </w:pPr>
            <w:r>
              <w:rPr>
                <w:rFonts w:ascii="Times New Roman" w:hAnsi="Times New Roman" w:cs="Times New Roman"/>
                <w:color w:val="000000"/>
              </w:rPr>
              <w:t>1</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70A3EB61" w14:textId="77777777">
            <w:pPr>
              <w:spacing w:after="0" w:line="240" w:lineRule="auto"/>
              <w:jc w:val="center"/>
              <w:rPr>
                <w:rFonts w:ascii="Times New Roman" w:hAnsi="Times New Roman" w:cs="Times New Roman"/>
                <w:b/>
              </w:rPr>
            </w:pPr>
            <w:r>
              <w:rPr>
                <w:rFonts w:ascii="Times New Roman" w:hAnsi="Times New Roman" w:cs="Times New Roman"/>
                <w:color w:val="000000"/>
              </w:rPr>
              <w:t xml:space="preserve">5/60      </w:t>
            </w:r>
          </w:p>
        </w:tc>
        <w:tc>
          <w:tcPr>
            <w:tcW w:w="1350" w:type="dxa"/>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5B89E1D8" w14:textId="77777777">
            <w:pPr>
              <w:spacing w:after="0" w:line="240" w:lineRule="auto"/>
              <w:jc w:val="center"/>
              <w:rPr>
                <w:rFonts w:ascii="Times New Roman" w:hAnsi="Times New Roman" w:cs="Times New Roman"/>
                <w:b/>
              </w:rPr>
            </w:pPr>
            <w:r>
              <w:rPr>
                <w:rFonts w:ascii="Times New Roman" w:hAnsi="Times New Roman" w:cs="Times New Roman"/>
                <w:sz w:val="24"/>
                <w:szCs w:val="24"/>
              </w:rPr>
              <w:t>1</w:t>
            </w:r>
          </w:p>
        </w:tc>
      </w:tr>
      <w:tr w:rsidR="00443930" w:rsidTr="00443930" w14:paraId="3395643F" w14:textId="77777777">
        <w:trPr>
          <w:cantSplit/>
          <w:trHeight w:val="200"/>
          <w:jc w:val="center"/>
        </w:trPr>
        <w:tc>
          <w:tcPr>
            <w:tcW w:w="9535" w:type="dxa"/>
            <w:vMerge/>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3ED4F417" w14:textId="77777777">
            <w:pPr>
              <w:spacing w:after="0"/>
              <w:rPr>
                <w:rFonts w:ascii="Times New Roman" w:hAnsi="Times New Roman" w:cs="Times New Roman"/>
                <w:bCs/>
              </w:rPr>
            </w:pPr>
          </w:p>
        </w:tc>
        <w:tc>
          <w:tcPr>
            <w:tcW w:w="144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0AA4E5DC" w14:textId="77777777">
            <w:pPr>
              <w:spacing w:after="0" w:line="240" w:lineRule="auto"/>
              <w:rPr>
                <w:rFonts w:ascii="Times New Roman" w:hAnsi="Times New Roman" w:cs="Times New Roman"/>
                <w:b/>
              </w:rPr>
            </w:pPr>
            <w:r>
              <w:rPr>
                <w:rFonts w:ascii="Times New Roman" w:hAnsi="Times New Roman" w:cs="Times New Roman"/>
                <w:color w:val="000000"/>
              </w:rPr>
              <w:t>Federal government</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7312D1AE" w14:textId="77777777">
            <w:pPr>
              <w:spacing w:after="0" w:line="240" w:lineRule="auto"/>
              <w:jc w:val="center"/>
              <w:rPr>
                <w:rFonts w:ascii="Times New Roman" w:hAnsi="Times New Roman" w:cs="Times New Roman"/>
                <w:b/>
              </w:rPr>
            </w:pPr>
            <w:r>
              <w:rPr>
                <w:rFonts w:ascii="Times New Roman" w:hAnsi="Times New Roman" w:cs="Times New Roman"/>
                <w:color w:val="000000"/>
              </w:rPr>
              <w:t>30</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3402F939" w14:textId="77777777">
            <w:pPr>
              <w:spacing w:after="0" w:line="240" w:lineRule="auto"/>
              <w:jc w:val="center"/>
              <w:rPr>
                <w:rFonts w:ascii="Times New Roman" w:hAnsi="Times New Roman" w:cs="Times New Roman"/>
                <w:b/>
              </w:rPr>
            </w:pPr>
            <w:r>
              <w:rPr>
                <w:rFonts w:ascii="Times New Roman" w:hAnsi="Times New Roman" w:cs="Times New Roman"/>
                <w:color w:val="000000"/>
              </w:rPr>
              <w:t>1</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711FC0AB" w14:textId="77777777">
            <w:pPr>
              <w:spacing w:after="0" w:line="240" w:lineRule="auto"/>
              <w:jc w:val="center"/>
              <w:rPr>
                <w:rFonts w:ascii="Times New Roman" w:hAnsi="Times New Roman" w:cs="Times New Roman"/>
                <w:b/>
              </w:rPr>
            </w:pPr>
            <w:r>
              <w:rPr>
                <w:rFonts w:ascii="Times New Roman" w:hAnsi="Times New Roman" w:cs="Times New Roman"/>
                <w:color w:val="000000"/>
              </w:rPr>
              <w:t>5/60</w:t>
            </w:r>
          </w:p>
        </w:tc>
        <w:tc>
          <w:tcPr>
            <w:tcW w:w="1350" w:type="dxa"/>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6A2F4C77" w14:textId="77777777">
            <w:pPr>
              <w:spacing w:after="0" w:line="240" w:lineRule="auto"/>
              <w:jc w:val="center"/>
              <w:rPr>
                <w:rFonts w:ascii="Times New Roman" w:hAnsi="Times New Roman" w:cs="Times New Roman"/>
                <w:b/>
              </w:rPr>
            </w:pPr>
            <w:r>
              <w:rPr>
                <w:rFonts w:ascii="Times New Roman" w:hAnsi="Times New Roman" w:cs="Times New Roman"/>
                <w:sz w:val="24"/>
                <w:szCs w:val="24"/>
              </w:rPr>
              <w:t>3</w:t>
            </w:r>
          </w:p>
        </w:tc>
      </w:tr>
      <w:tr w:rsidR="00443930" w:rsidTr="00443930" w14:paraId="16ECDA0C" w14:textId="77777777">
        <w:trPr>
          <w:cantSplit/>
          <w:trHeight w:val="346"/>
          <w:jc w:val="center"/>
        </w:trPr>
        <w:tc>
          <w:tcPr>
            <w:tcW w:w="9535" w:type="dxa"/>
            <w:vMerge/>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053397C3" w14:textId="77777777">
            <w:pPr>
              <w:spacing w:after="0"/>
              <w:rPr>
                <w:rFonts w:ascii="Times New Roman" w:hAnsi="Times New Roman" w:cs="Times New Roman"/>
                <w:bCs/>
              </w:rPr>
            </w:pPr>
          </w:p>
        </w:tc>
        <w:tc>
          <w:tcPr>
            <w:tcW w:w="144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2751C345" w14:textId="77777777">
            <w:pPr>
              <w:spacing w:after="0" w:line="240" w:lineRule="auto"/>
              <w:rPr>
                <w:rFonts w:ascii="Times New Roman" w:hAnsi="Times New Roman" w:cs="Times New Roman"/>
                <w:b/>
              </w:rPr>
            </w:pPr>
            <w:r>
              <w:rPr>
                <w:rFonts w:ascii="Times New Roman" w:hAnsi="Times New Roman" w:cs="Times New Roman"/>
                <w:color w:val="000000"/>
              </w:rPr>
              <w:t>Individual</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06BD0716" w14:textId="77777777">
            <w:pPr>
              <w:spacing w:after="0" w:line="240" w:lineRule="auto"/>
              <w:jc w:val="center"/>
              <w:rPr>
                <w:rFonts w:ascii="Times New Roman" w:hAnsi="Times New Roman" w:cs="Times New Roman"/>
                <w:b/>
              </w:rPr>
            </w:pPr>
            <w:r>
              <w:rPr>
                <w:rFonts w:ascii="Times New Roman" w:hAnsi="Times New Roman" w:cs="Times New Roman"/>
                <w:color w:val="000000"/>
              </w:rPr>
              <w:t>3</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1CC58261" w14:textId="77777777">
            <w:pPr>
              <w:spacing w:after="0" w:line="240" w:lineRule="auto"/>
              <w:jc w:val="center"/>
              <w:rPr>
                <w:rFonts w:ascii="Times New Roman" w:hAnsi="Times New Roman" w:cs="Times New Roman"/>
                <w:b/>
              </w:rPr>
            </w:pPr>
            <w:r>
              <w:rPr>
                <w:rFonts w:ascii="Times New Roman" w:hAnsi="Times New Roman" w:cs="Times New Roman"/>
                <w:color w:val="000000"/>
              </w:rPr>
              <w:t>1</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60277D3B" w14:textId="77777777">
            <w:pPr>
              <w:spacing w:after="0" w:line="240" w:lineRule="auto"/>
              <w:jc w:val="center"/>
              <w:rPr>
                <w:rFonts w:ascii="Times New Roman" w:hAnsi="Times New Roman" w:cs="Times New Roman"/>
                <w:b/>
              </w:rPr>
            </w:pPr>
            <w:r>
              <w:rPr>
                <w:rFonts w:ascii="Times New Roman" w:hAnsi="Times New Roman" w:cs="Times New Roman"/>
                <w:color w:val="000000"/>
              </w:rPr>
              <w:t xml:space="preserve">5/60   </w:t>
            </w:r>
          </w:p>
        </w:tc>
        <w:tc>
          <w:tcPr>
            <w:tcW w:w="1350" w:type="dxa"/>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65FC30E6" w14:textId="77777777">
            <w:pPr>
              <w:spacing w:after="0" w:line="240" w:lineRule="auto"/>
              <w:jc w:val="center"/>
              <w:rPr>
                <w:rFonts w:ascii="Times New Roman" w:hAnsi="Times New Roman" w:cs="Times New Roman"/>
                <w:b/>
              </w:rPr>
            </w:pPr>
            <w:r>
              <w:rPr>
                <w:rFonts w:ascii="Times New Roman" w:hAnsi="Times New Roman" w:cs="Times New Roman"/>
                <w:sz w:val="24"/>
                <w:szCs w:val="24"/>
              </w:rPr>
              <w:t>0</w:t>
            </w:r>
          </w:p>
        </w:tc>
      </w:tr>
      <w:tr w:rsidR="00443930" w:rsidTr="00443930" w14:paraId="1F35FD49" w14:textId="77777777">
        <w:trPr>
          <w:cantSplit/>
          <w:trHeight w:val="273"/>
          <w:jc w:val="center"/>
        </w:trPr>
        <w:tc>
          <w:tcPr>
            <w:tcW w:w="9535" w:type="dxa"/>
            <w:gridSpan w:val="10"/>
            <w:tcBorders>
              <w:top w:val="single" w:color="auto" w:sz="4" w:space="0"/>
              <w:left w:val="single" w:color="auto" w:sz="4" w:space="0"/>
              <w:bottom w:val="single" w:color="auto" w:sz="4" w:space="0"/>
              <w:right w:val="single" w:color="auto" w:sz="4" w:space="0"/>
            </w:tcBorders>
          </w:tcPr>
          <w:p w:rsidR="00443930" w:rsidP="00443930" w:rsidRDefault="00443930" w14:paraId="1775C6D1" w14:textId="77777777">
            <w:pPr>
              <w:spacing w:after="0" w:line="240" w:lineRule="auto"/>
              <w:jc w:val="center"/>
              <w:rPr>
                <w:rFonts w:ascii="Times New Roman" w:hAnsi="Times New Roman" w:cs="Times New Roman"/>
                <w:b/>
              </w:rPr>
            </w:pPr>
          </w:p>
          <w:p w:rsidR="00443930" w:rsidP="00443930" w:rsidRDefault="00443930" w14:paraId="1C590C35" w14:textId="77777777">
            <w:pPr>
              <w:spacing w:after="0" w:line="480" w:lineRule="auto"/>
              <w:jc w:val="center"/>
              <w:rPr>
                <w:rFonts w:ascii="Times New Roman" w:hAnsi="Times New Roman" w:cs="Times New Roman"/>
                <w:b/>
              </w:rPr>
            </w:pPr>
            <w:r>
              <w:rPr>
                <w:rFonts w:ascii="Times New Roman" w:hAnsi="Times New Roman" w:cs="Times New Roman"/>
                <w:b/>
              </w:rPr>
              <w:t>Bench to Bedside: Cardiovascular Module</w:t>
            </w:r>
          </w:p>
        </w:tc>
      </w:tr>
      <w:tr w:rsidR="00443930" w:rsidTr="00443930" w14:paraId="6DE7B6A6" w14:textId="77777777">
        <w:trPr>
          <w:cantSplit/>
          <w:trHeight w:val="506"/>
          <w:jc w:val="center"/>
        </w:trPr>
        <w:tc>
          <w:tcPr>
            <w:tcW w:w="2695" w:type="dxa"/>
            <w:vMerge w:val="restart"/>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75429D8D" w14:textId="77777777">
            <w:pPr>
              <w:spacing w:after="0" w:line="240" w:lineRule="auto"/>
              <w:rPr>
                <w:rFonts w:ascii="Times New Roman" w:hAnsi="Times New Roman" w:cs="Times New Roman"/>
              </w:rPr>
            </w:pPr>
            <w:r>
              <w:rPr>
                <w:rFonts w:ascii="Times New Roman" w:hAnsi="Times New Roman" w:cs="Times New Roman"/>
              </w:rPr>
              <w:t>Attitude survey pre- and post- test</w:t>
            </w:r>
          </w:p>
        </w:tc>
        <w:tc>
          <w:tcPr>
            <w:tcW w:w="144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17A327BB" w14:textId="77777777">
            <w:pPr>
              <w:spacing w:after="0" w:line="240" w:lineRule="auto"/>
              <w:rPr>
                <w:rFonts w:ascii="Times New Roman" w:hAnsi="Times New Roman" w:cs="Times New Roman"/>
              </w:rPr>
            </w:pPr>
            <w:r>
              <w:rPr>
                <w:rFonts w:ascii="Times New Roman" w:hAnsi="Times New Roman" w:cs="Times New Roman"/>
                <w:color w:val="000000"/>
              </w:rPr>
              <w:t>Private sector</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6937EDFF"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105</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21B25144"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2</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50E45A52" w14:textId="77777777">
            <w:pPr>
              <w:tabs>
                <w:tab w:val="right" w:pos="2361"/>
              </w:tabs>
              <w:spacing w:after="0" w:line="240" w:lineRule="auto"/>
              <w:jc w:val="center"/>
              <w:rPr>
                <w:rFonts w:ascii="Times New Roman" w:hAnsi="Times New Roman" w:cs="Times New Roman"/>
                <w:sz w:val="24"/>
                <w:szCs w:val="24"/>
              </w:rPr>
            </w:pPr>
            <w:r>
              <w:rPr>
                <w:rFonts w:ascii="Times New Roman" w:hAnsi="Times New Roman" w:cs="Times New Roman"/>
                <w:color w:val="000000"/>
              </w:rPr>
              <w:t xml:space="preserve">5/60      </w:t>
            </w:r>
          </w:p>
        </w:tc>
        <w:tc>
          <w:tcPr>
            <w:tcW w:w="1350" w:type="dxa"/>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6369D39A"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r>
      <w:tr w:rsidR="00443930" w:rsidTr="00443930" w14:paraId="0976F731" w14:textId="77777777">
        <w:trPr>
          <w:cantSplit/>
          <w:trHeight w:val="506"/>
          <w:jc w:val="center"/>
        </w:trPr>
        <w:tc>
          <w:tcPr>
            <w:tcW w:w="9535" w:type="dxa"/>
            <w:vMerge/>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6D56FA3C" w14:textId="77777777">
            <w:pPr>
              <w:spacing w:after="0"/>
              <w:rPr>
                <w:rFonts w:ascii="Times New Roman" w:hAnsi="Times New Roman" w:cs="Times New Roman"/>
              </w:rPr>
            </w:pPr>
          </w:p>
        </w:tc>
        <w:tc>
          <w:tcPr>
            <w:tcW w:w="144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3CCABA6C" w14:textId="77777777">
            <w:pPr>
              <w:spacing w:after="0" w:line="240" w:lineRule="auto"/>
              <w:rPr>
                <w:rFonts w:ascii="Times New Roman" w:hAnsi="Times New Roman" w:cs="Times New Roman"/>
              </w:rPr>
            </w:pPr>
            <w:r>
              <w:rPr>
                <w:rFonts w:ascii="Times New Roman" w:hAnsi="Times New Roman" w:cs="Times New Roman"/>
                <w:color w:val="000000"/>
              </w:rPr>
              <w:t>Federal government</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485E86FE"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180</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6D6D9C3B"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2</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210F7B19" w14:textId="77777777">
            <w:pPr>
              <w:tabs>
                <w:tab w:val="right" w:pos="2361"/>
              </w:tabs>
              <w:spacing w:after="0" w:line="240" w:lineRule="auto"/>
              <w:jc w:val="center"/>
              <w:rPr>
                <w:rFonts w:ascii="Times New Roman" w:hAnsi="Times New Roman" w:cs="Times New Roman"/>
                <w:sz w:val="24"/>
                <w:szCs w:val="24"/>
              </w:rPr>
            </w:pPr>
            <w:r>
              <w:rPr>
                <w:rFonts w:ascii="Times New Roman" w:hAnsi="Times New Roman" w:cs="Times New Roman"/>
                <w:color w:val="000000"/>
              </w:rPr>
              <w:t>5/60</w:t>
            </w:r>
          </w:p>
        </w:tc>
        <w:tc>
          <w:tcPr>
            <w:tcW w:w="1350" w:type="dxa"/>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69F224B4"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r>
      <w:tr w:rsidR="00443930" w:rsidTr="00443930" w14:paraId="5D56035D" w14:textId="77777777">
        <w:trPr>
          <w:cantSplit/>
          <w:trHeight w:val="170"/>
          <w:jc w:val="center"/>
        </w:trPr>
        <w:tc>
          <w:tcPr>
            <w:tcW w:w="9535" w:type="dxa"/>
            <w:vMerge/>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33F5D88F" w14:textId="77777777">
            <w:pPr>
              <w:spacing w:after="0"/>
              <w:rPr>
                <w:rFonts w:ascii="Times New Roman" w:hAnsi="Times New Roman" w:cs="Times New Roman"/>
              </w:rPr>
            </w:pPr>
          </w:p>
        </w:tc>
        <w:tc>
          <w:tcPr>
            <w:tcW w:w="144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7981C3E8" w14:textId="77777777">
            <w:pPr>
              <w:spacing w:after="0" w:line="240" w:lineRule="auto"/>
              <w:rPr>
                <w:rFonts w:ascii="Times New Roman" w:hAnsi="Times New Roman" w:cs="Times New Roman"/>
              </w:rPr>
            </w:pPr>
            <w:r>
              <w:rPr>
                <w:rFonts w:ascii="Times New Roman" w:hAnsi="Times New Roman" w:cs="Times New Roman"/>
                <w:color w:val="000000"/>
              </w:rPr>
              <w:t>Individual</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024592F2"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15</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42230489"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2</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5471E592" w14:textId="77777777">
            <w:pPr>
              <w:tabs>
                <w:tab w:val="right" w:pos="2361"/>
              </w:tabs>
              <w:spacing w:after="0" w:line="240" w:lineRule="auto"/>
              <w:jc w:val="center"/>
              <w:rPr>
                <w:rFonts w:ascii="Times New Roman" w:hAnsi="Times New Roman" w:cs="Times New Roman"/>
                <w:sz w:val="24"/>
                <w:szCs w:val="24"/>
              </w:rPr>
            </w:pPr>
            <w:r>
              <w:rPr>
                <w:rFonts w:ascii="Times New Roman" w:hAnsi="Times New Roman" w:cs="Times New Roman"/>
                <w:color w:val="000000"/>
              </w:rPr>
              <w:t xml:space="preserve">5/60   </w:t>
            </w:r>
          </w:p>
        </w:tc>
        <w:tc>
          <w:tcPr>
            <w:tcW w:w="1350" w:type="dxa"/>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3080EECD"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443930" w:rsidTr="00443930" w14:paraId="33235731" w14:textId="77777777">
        <w:trPr>
          <w:cantSplit/>
          <w:trHeight w:val="555"/>
          <w:jc w:val="center"/>
        </w:trPr>
        <w:tc>
          <w:tcPr>
            <w:tcW w:w="2695" w:type="dxa"/>
            <w:vMerge w:val="restart"/>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47CBFF45" w14:textId="77777777">
            <w:pPr>
              <w:spacing w:after="0" w:line="240" w:lineRule="auto"/>
              <w:rPr>
                <w:rFonts w:ascii="Times New Roman" w:hAnsi="Times New Roman" w:cs="Times New Roman"/>
              </w:rPr>
            </w:pPr>
            <w:r>
              <w:rPr>
                <w:rFonts w:ascii="Times New Roman" w:hAnsi="Times New Roman" w:cs="Times New Roman"/>
              </w:rPr>
              <w:t>Module completion</w:t>
            </w:r>
          </w:p>
        </w:tc>
        <w:tc>
          <w:tcPr>
            <w:tcW w:w="144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780CD6E6" w14:textId="77777777">
            <w:pPr>
              <w:spacing w:after="0" w:line="240" w:lineRule="auto"/>
              <w:rPr>
                <w:rFonts w:ascii="Times New Roman" w:hAnsi="Times New Roman" w:cs="Times New Roman"/>
              </w:rPr>
            </w:pPr>
            <w:r>
              <w:rPr>
                <w:rFonts w:ascii="Times New Roman" w:hAnsi="Times New Roman" w:cs="Times New Roman"/>
                <w:color w:val="000000"/>
              </w:rPr>
              <w:t>Private sector</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1F9D37C8"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105</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6D71C1CE"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1</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4024E6FC" w14:textId="77777777">
            <w:pPr>
              <w:tabs>
                <w:tab w:val="right" w:pos="2361"/>
              </w:tabs>
              <w:spacing w:after="0" w:line="240" w:lineRule="auto"/>
              <w:jc w:val="center"/>
              <w:rPr>
                <w:rFonts w:ascii="Times New Roman" w:hAnsi="Times New Roman" w:cs="Times New Roman"/>
                <w:sz w:val="24"/>
                <w:szCs w:val="24"/>
              </w:rPr>
            </w:pPr>
            <w:r>
              <w:rPr>
                <w:rFonts w:ascii="Times New Roman" w:hAnsi="Times New Roman" w:cs="Times New Roman"/>
                <w:color w:val="000000"/>
              </w:rPr>
              <w:t xml:space="preserve">1 </w:t>
            </w:r>
          </w:p>
        </w:tc>
        <w:tc>
          <w:tcPr>
            <w:tcW w:w="1350" w:type="dxa"/>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62BE21CB"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105</w:t>
            </w:r>
          </w:p>
        </w:tc>
      </w:tr>
      <w:tr w:rsidR="00443930" w:rsidTr="00443930" w14:paraId="6037AF90" w14:textId="77777777">
        <w:trPr>
          <w:cantSplit/>
          <w:trHeight w:val="555"/>
          <w:jc w:val="center"/>
        </w:trPr>
        <w:tc>
          <w:tcPr>
            <w:tcW w:w="9535" w:type="dxa"/>
            <w:vMerge/>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6DD4C299" w14:textId="77777777">
            <w:pPr>
              <w:spacing w:after="0"/>
              <w:rPr>
                <w:rFonts w:ascii="Times New Roman" w:hAnsi="Times New Roman" w:cs="Times New Roman"/>
              </w:rPr>
            </w:pPr>
          </w:p>
        </w:tc>
        <w:tc>
          <w:tcPr>
            <w:tcW w:w="144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163A5295" w14:textId="77777777">
            <w:pPr>
              <w:spacing w:after="0" w:line="240" w:lineRule="auto"/>
              <w:rPr>
                <w:rFonts w:ascii="Times New Roman" w:hAnsi="Times New Roman" w:cs="Times New Roman"/>
              </w:rPr>
            </w:pPr>
            <w:r>
              <w:rPr>
                <w:rFonts w:ascii="Times New Roman" w:hAnsi="Times New Roman" w:cs="Times New Roman"/>
                <w:color w:val="000000"/>
              </w:rPr>
              <w:t>Federal government</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567EE04A"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180</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5C6F5FA2"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1</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37B4A125" w14:textId="77777777">
            <w:pPr>
              <w:tabs>
                <w:tab w:val="right" w:pos="2361"/>
              </w:tabs>
              <w:spacing w:after="0" w:line="240" w:lineRule="auto"/>
              <w:jc w:val="center"/>
              <w:rPr>
                <w:rFonts w:ascii="Times New Roman" w:hAnsi="Times New Roman" w:cs="Times New Roman"/>
                <w:sz w:val="24"/>
                <w:szCs w:val="24"/>
              </w:rPr>
            </w:pPr>
            <w:r>
              <w:rPr>
                <w:rFonts w:ascii="Times New Roman" w:hAnsi="Times New Roman" w:cs="Times New Roman"/>
                <w:color w:val="000000"/>
              </w:rPr>
              <w:t xml:space="preserve">1      </w:t>
            </w:r>
          </w:p>
        </w:tc>
        <w:tc>
          <w:tcPr>
            <w:tcW w:w="1350" w:type="dxa"/>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2796D35F"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180</w:t>
            </w:r>
          </w:p>
        </w:tc>
      </w:tr>
      <w:tr w:rsidR="00443930" w:rsidTr="00443930" w14:paraId="15AD31F1" w14:textId="77777777">
        <w:trPr>
          <w:cantSplit/>
          <w:trHeight w:val="440"/>
          <w:jc w:val="center"/>
        </w:trPr>
        <w:tc>
          <w:tcPr>
            <w:tcW w:w="9535" w:type="dxa"/>
            <w:vMerge/>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53570F2A" w14:textId="77777777">
            <w:pPr>
              <w:spacing w:after="0"/>
              <w:rPr>
                <w:rFonts w:ascii="Times New Roman" w:hAnsi="Times New Roman" w:cs="Times New Roman"/>
              </w:rPr>
            </w:pPr>
          </w:p>
        </w:tc>
        <w:tc>
          <w:tcPr>
            <w:tcW w:w="144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4DED8EA8" w14:textId="77777777">
            <w:pPr>
              <w:spacing w:after="0" w:line="240" w:lineRule="auto"/>
              <w:rPr>
                <w:rFonts w:ascii="Times New Roman" w:hAnsi="Times New Roman" w:cs="Times New Roman"/>
              </w:rPr>
            </w:pPr>
            <w:r>
              <w:rPr>
                <w:rFonts w:ascii="Times New Roman" w:hAnsi="Times New Roman" w:cs="Times New Roman"/>
                <w:color w:val="000000"/>
              </w:rPr>
              <w:t>Individual</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2D86990D"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15</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1FAA4F48"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1</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63B0428A" w14:textId="77777777">
            <w:pPr>
              <w:tabs>
                <w:tab w:val="right" w:pos="2361"/>
              </w:tabs>
              <w:spacing w:after="0" w:line="240" w:lineRule="auto"/>
              <w:jc w:val="center"/>
              <w:rPr>
                <w:rFonts w:ascii="Times New Roman" w:hAnsi="Times New Roman" w:cs="Times New Roman"/>
                <w:sz w:val="24"/>
                <w:szCs w:val="24"/>
              </w:rPr>
            </w:pPr>
            <w:r>
              <w:rPr>
                <w:rFonts w:ascii="Times New Roman" w:hAnsi="Times New Roman" w:cs="Times New Roman"/>
                <w:color w:val="000000"/>
              </w:rPr>
              <w:t xml:space="preserve">1      </w:t>
            </w:r>
          </w:p>
        </w:tc>
        <w:tc>
          <w:tcPr>
            <w:tcW w:w="1350" w:type="dxa"/>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7BF5899C"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r>
      <w:tr w:rsidR="00443930" w:rsidTr="00443930" w14:paraId="14B02967" w14:textId="77777777">
        <w:trPr>
          <w:cantSplit/>
          <w:trHeight w:val="555"/>
          <w:jc w:val="center"/>
        </w:trPr>
        <w:tc>
          <w:tcPr>
            <w:tcW w:w="2695" w:type="dxa"/>
            <w:vMerge w:val="restart"/>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30619F3A" w14:textId="77777777">
            <w:pPr>
              <w:spacing w:after="0" w:line="240" w:lineRule="auto"/>
              <w:rPr>
                <w:rFonts w:ascii="Times New Roman" w:hAnsi="Times New Roman" w:cs="Times New Roman"/>
              </w:rPr>
            </w:pPr>
            <w:r>
              <w:rPr>
                <w:rFonts w:ascii="Times New Roman" w:hAnsi="Times New Roman" w:cs="Times New Roman"/>
              </w:rPr>
              <w:t>Knowledge check</w:t>
            </w:r>
          </w:p>
        </w:tc>
        <w:tc>
          <w:tcPr>
            <w:tcW w:w="144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2C264226" w14:textId="77777777">
            <w:pPr>
              <w:spacing w:after="0" w:line="240" w:lineRule="auto"/>
              <w:rPr>
                <w:rFonts w:ascii="Times New Roman" w:hAnsi="Times New Roman" w:cs="Times New Roman"/>
              </w:rPr>
            </w:pPr>
            <w:r>
              <w:rPr>
                <w:rFonts w:ascii="Times New Roman" w:hAnsi="Times New Roman" w:cs="Times New Roman"/>
                <w:color w:val="000000"/>
              </w:rPr>
              <w:t>Private sector</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52C4699F"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105</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5414CCFB"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1</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3D089951" w14:textId="77777777">
            <w:pPr>
              <w:tabs>
                <w:tab w:val="right" w:pos="2361"/>
              </w:tabs>
              <w:spacing w:after="0" w:line="240" w:lineRule="auto"/>
              <w:jc w:val="center"/>
              <w:rPr>
                <w:rFonts w:ascii="Times New Roman" w:hAnsi="Times New Roman" w:cs="Times New Roman"/>
                <w:sz w:val="24"/>
                <w:szCs w:val="24"/>
              </w:rPr>
            </w:pPr>
            <w:r>
              <w:rPr>
                <w:rFonts w:ascii="Times New Roman" w:hAnsi="Times New Roman" w:cs="Times New Roman"/>
                <w:color w:val="000000"/>
              </w:rPr>
              <w:t xml:space="preserve">10/60      </w:t>
            </w:r>
          </w:p>
        </w:tc>
        <w:tc>
          <w:tcPr>
            <w:tcW w:w="1350" w:type="dxa"/>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0DEE93FE"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r>
      <w:tr w:rsidR="00443930" w:rsidTr="00443930" w14:paraId="427AC68A" w14:textId="77777777">
        <w:trPr>
          <w:cantSplit/>
          <w:trHeight w:val="555"/>
          <w:jc w:val="center"/>
        </w:trPr>
        <w:tc>
          <w:tcPr>
            <w:tcW w:w="9535" w:type="dxa"/>
            <w:vMerge/>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45311BC0" w14:textId="77777777">
            <w:pPr>
              <w:spacing w:after="0"/>
              <w:rPr>
                <w:rFonts w:ascii="Times New Roman" w:hAnsi="Times New Roman" w:cs="Times New Roman"/>
              </w:rPr>
            </w:pPr>
          </w:p>
        </w:tc>
        <w:tc>
          <w:tcPr>
            <w:tcW w:w="144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08026B98" w14:textId="77777777">
            <w:pPr>
              <w:spacing w:after="0" w:line="240" w:lineRule="auto"/>
              <w:rPr>
                <w:rFonts w:ascii="Times New Roman" w:hAnsi="Times New Roman" w:cs="Times New Roman"/>
              </w:rPr>
            </w:pPr>
            <w:r>
              <w:rPr>
                <w:rFonts w:ascii="Times New Roman" w:hAnsi="Times New Roman" w:cs="Times New Roman"/>
                <w:color w:val="000000"/>
              </w:rPr>
              <w:t>Federal government</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5FE66DB3"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180</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260B50CF"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1</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1B27D471" w14:textId="77777777">
            <w:pPr>
              <w:tabs>
                <w:tab w:val="right" w:pos="2361"/>
              </w:tabs>
              <w:spacing w:after="0" w:line="240" w:lineRule="auto"/>
              <w:jc w:val="center"/>
              <w:rPr>
                <w:rFonts w:ascii="Times New Roman" w:hAnsi="Times New Roman" w:cs="Times New Roman"/>
                <w:sz w:val="24"/>
                <w:szCs w:val="24"/>
              </w:rPr>
            </w:pPr>
            <w:r>
              <w:rPr>
                <w:rFonts w:ascii="Times New Roman" w:hAnsi="Times New Roman" w:cs="Times New Roman"/>
                <w:color w:val="000000"/>
              </w:rPr>
              <w:t xml:space="preserve">10/60      </w:t>
            </w:r>
          </w:p>
        </w:tc>
        <w:tc>
          <w:tcPr>
            <w:tcW w:w="1350" w:type="dxa"/>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620DB237"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r>
      <w:tr w:rsidR="00443930" w:rsidTr="00443930" w14:paraId="6064D61C" w14:textId="77777777">
        <w:trPr>
          <w:cantSplit/>
          <w:trHeight w:val="305"/>
          <w:jc w:val="center"/>
        </w:trPr>
        <w:tc>
          <w:tcPr>
            <w:tcW w:w="9535" w:type="dxa"/>
            <w:vMerge/>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7B1F7ECF" w14:textId="77777777">
            <w:pPr>
              <w:spacing w:after="0"/>
              <w:rPr>
                <w:rFonts w:ascii="Times New Roman" w:hAnsi="Times New Roman" w:cs="Times New Roman"/>
              </w:rPr>
            </w:pPr>
          </w:p>
        </w:tc>
        <w:tc>
          <w:tcPr>
            <w:tcW w:w="144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0250D3DF" w14:textId="77777777">
            <w:pPr>
              <w:spacing w:after="0" w:line="240" w:lineRule="auto"/>
              <w:rPr>
                <w:rFonts w:ascii="Times New Roman" w:hAnsi="Times New Roman" w:cs="Times New Roman"/>
              </w:rPr>
            </w:pPr>
            <w:r>
              <w:rPr>
                <w:rFonts w:ascii="Times New Roman" w:hAnsi="Times New Roman" w:cs="Times New Roman"/>
                <w:color w:val="000000"/>
              </w:rPr>
              <w:t>Individual</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71DCD179"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15</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3F5D0964"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1</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6F3E2A9A" w14:textId="77777777">
            <w:pPr>
              <w:tabs>
                <w:tab w:val="right" w:pos="2361"/>
              </w:tabs>
              <w:spacing w:after="0" w:line="240" w:lineRule="auto"/>
              <w:jc w:val="center"/>
              <w:rPr>
                <w:rFonts w:ascii="Times New Roman" w:hAnsi="Times New Roman" w:cs="Times New Roman"/>
                <w:sz w:val="24"/>
                <w:szCs w:val="24"/>
              </w:rPr>
            </w:pPr>
            <w:r>
              <w:rPr>
                <w:rFonts w:ascii="Times New Roman" w:hAnsi="Times New Roman" w:cs="Times New Roman"/>
                <w:color w:val="000000"/>
              </w:rPr>
              <w:t xml:space="preserve">10/60      </w:t>
            </w:r>
          </w:p>
        </w:tc>
        <w:tc>
          <w:tcPr>
            <w:tcW w:w="1350" w:type="dxa"/>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3EF537A7"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443930" w:rsidTr="00443930" w14:paraId="58906A59" w14:textId="77777777">
        <w:trPr>
          <w:cantSplit/>
          <w:trHeight w:val="506"/>
          <w:jc w:val="center"/>
        </w:trPr>
        <w:tc>
          <w:tcPr>
            <w:tcW w:w="2695" w:type="dxa"/>
            <w:vMerge w:val="restart"/>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1776E536" w14:textId="77777777">
            <w:pPr>
              <w:spacing w:after="0" w:line="240" w:lineRule="auto"/>
              <w:rPr>
                <w:rFonts w:ascii="Times New Roman" w:hAnsi="Times New Roman" w:cs="Times New Roman"/>
              </w:rPr>
            </w:pPr>
            <w:r>
              <w:rPr>
                <w:rFonts w:ascii="Times New Roman" w:hAnsi="Times New Roman" w:cs="Times New Roman"/>
              </w:rPr>
              <w:t>Module evaluation</w:t>
            </w:r>
          </w:p>
        </w:tc>
        <w:tc>
          <w:tcPr>
            <w:tcW w:w="144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474417D1" w14:textId="77777777">
            <w:pPr>
              <w:spacing w:after="0" w:line="240" w:lineRule="auto"/>
              <w:rPr>
                <w:rFonts w:ascii="Times New Roman" w:hAnsi="Times New Roman" w:cs="Times New Roman"/>
              </w:rPr>
            </w:pPr>
            <w:r>
              <w:rPr>
                <w:rFonts w:ascii="Times New Roman" w:hAnsi="Times New Roman" w:cs="Times New Roman"/>
                <w:color w:val="000000"/>
              </w:rPr>
              <w:t>Private sector</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1A52868B"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17</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6B003F43"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1</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0387D319" w14:textId="77777777">
            <w:pPr>
              <w:tabs>
                <w:tab w:val="right" w:pos="2361"/>
              </w:tabs>
              <w:spacing w:after="0" w:line="240" w:lineRule="auto"/>
              <w:jc w:val="center"/>
              <w:rPr>
                <w:rFonts w:ascii="Times New Roman" w:hAnsi="Times New Roman" w:cs="Times New Roman"/>
                <w:sz w:val="24"/>
                <w:szCs w:val="24"/>
              </w:rPr>
            </w:pPr>
            <w:r>
              <w:rPr>
                <w:rFonts w:ascii="Times New Roman" w:hAnsi="Times New Roman" w:cs="Times New Roman"/>
                <w:color w:val="000000"/>
              </w:rPr>
              <w:t xml:space="preserve">5/60      </w:t>
            </w:r>
          </w:p>
        </w:tc>
        <w:tc>
          <w:tcPr>
            <w:tcW w:w="1350" w:type="dxa"/>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0CBA0CF9"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443930" w:rsidTr="00443930" w14:paraId="07F564FA" w14:textId="77777777">
        <w:trPr>
          <w:cantSplit/>
          <w:trHeight w:val="506"/>
          <w:jc w:val="center"/>
        </w:trPr>
        <w:tc>
          <w:tcPr>
            <w:tcW w:w="9535" w:type="dxa"/>
            <w:vMerge/>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374CB385" w14:textId="77777777">
            <w:pPr>
              <w:spacing w:after="0"/>
              <w:rPr>
                <w:rFonts w:ascii="Times New Roman" w:hAnsi="Times New Roman" w:cs="Times New Roman"/>
              </w:rPr>
            </w:pPr>
          </w:p>
        </w:tc>
        <w:tc>
          <w:tcPr>
            <w:tcW w:w="144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148FD155" w14:textId="77777777">
            <w:pPr>
              <w:spacing w:after="0" w:line="240" w:lineRule="auto"/>
              <w:rPr>
                <w:rFonts w:ascii="Times New Roman" w:hAnsi="Times New Roman" w:cs="Times New Roman"/>
              </w:rPr>
            </w:pPr>
            <w:r>
              <w:rPr>
                <w:rFonts w:ascii="Times New Roman" w:hAnsi="Times New Roman" w:cs="Times New Roman"/>
                <w:color w:val="000000"/>
              </w:rPr>
              <w:t>Federal government</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6C5E5F73"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30</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7B80BA1B"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1</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14709D6A" w14:textId="77777777">
            <w:pPr>
              <w:tabs>
                <w:tab w:val="right" w:pos="2361"/>
              </w:tabs>
              <w:spacing w:after="0" w:line="240" w:lineRule="auto"/>
              <w:jc w:val="center"/>
              <w:rPr>
                <w:rFonts w:ascii="Times New Roman" w:hAnsi="Times New Roman" w:cs="Times New Roman"/>
                <w:sz w:val="24"/>
                <w:szCs w:val="24"/>
              </w:rPr>
            </w:pPr>
            <w:r>
              <w:rPr>
                <w:rFonts w:ascii="Times New Roman" w:hAnsi="Times New Roman" w:cs="Times New Roman"/>
                <w:color w:val="000000"/>
              </w:rPr>
              <w:t>5/60</w:t>
            </w:r>
          </w:p>
        </w:tc>
        <w:tc>
          <w:tcPr>
            <w:tcW w:w="1350" w:type="dxa"/>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3F53ABDF"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443930" w:rsidTr="00443930" w14:paraId="7B191656" w14:textId="77777777">
        <w:trPr>
          <w:cantSplit/>
          <w:trHeight w:val="350"/>
          <w:jc w:val="center"/>
        </w:trPr>
        <w:tc>
          <w:tcPr>
            <w:tcW w:w="9535" w:type="dxa"/>
            <w:vMerge/>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6C2F91ED" w14:textId="77777777">
            <w:pPr>
              <w:spacing w:after="0"/>
              <w:rPr>
                <w:rFonts w:ascii="Times New Roman" w:hAnsi="Times New Roman" w:cs="Times New Roman"/>
              </w:rPr>
            </w:pPr>
          </w:p>
        </w:tc>
        <w:tc>
          <w:tcPr>
            <w:tcW w:w="144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77FE1965" w14:textId="77777777">
            <w:pPr>
              <w:spacing w:after="0" w:line="240" w:lineRule="auto"/>
              <w:rPr>
                <w:rFonts w:ascii="Times New Roman" w:hAnsi="Times New Roman" w:cs="Times New Roman"/>
              </w:rPr>
            </w:pPr>
            <w:r>
              <w:rPr>
                <w:rFonts w:ascii="Times New Roman" w:hAnsi="Times New Roman" w:cs="Times New Roman"/>
                <w:color w:val="000000"/>
              </w:rPr>
              <w:t>Individual</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6A2131E6"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3</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16842849"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1</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670A494A" w14:textId="77777777">
            <w:pPr>
              <w:tabs>
                <w:tab w:val="right" w:pos="2361"/>
              </w:tabs>
              <w:spacing w:after="0" w:line="240" w:lineRule="auto"/>
              <w:jc w:val="center"/>
              <w:rPr>
                <w:rFonts w:ascii="Times New Roman" w:hAnsi="Times New Roman" w:cs="Times New Roman"/>
                <w:sz w:val="24"/>
                <w:szCs w:val="24"/>
              </w:rPr>
            </w:pPr>
            <w:r>
              <w:rPr>
                <w:rFonts w:ascii="Times New Roman" w:hAnsi="Times New Roman" w:cs="Times New Roman"/>
                <w:color w:val="000000"/>
              </w:rPr>
              <w:t xml:space="preserve">5/60   </w:t>
            </w:r>
          </w:p>
        </w:tc>
        <w:tc>
          <w:tcPr>
            <w:tcW w:w="1350" w:type="dxa"/>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10AA94BF"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443930" w:rsidTr="00443930" w14:paraId="2DCF12D1" w14:textId="77777777">
        <w:trPr>
          <w:cantSplit/>
          <w:trHeight w:val="506"/>
          <w:jc w:val="center"/>
        </w:trPr>
        <w:tc>
          <w:tcPr>
            <w:tcW w:w="2695" w:type="dxa"/>
            <w:vMerge w:val="restart"/>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0C7ACEDE" w14:textId="77777777">
            <w:pPr>
              <w:spacing w:after="0" w:line="240" w:lineRule="auto"/>
              <w:rPr>
                <w:rFonts w:ascii="Times New Roman" w:hAnsi="Times New Roman" w:cs="Times New Roman"/>
              </w:rPr>
            </w:pPr>
            <w:r>
              <w:rPr>
                <w:rFonts w:ascii="Times New Roman" w:hAnsi="Times New Roman" w:cs="Times New Roman"/>
                <w:bCs/>
              </w:rPr>
              <w:t>Outcomes evaluation</w:t>
            </w:r>
          </w:p>
        </w:tc>
        <w:tc>
          <w:tcPr>
            <w:tcW w:w="144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5E5EC43B" w14:textId="77777777">
            <w:pPr>
              <w:spacing w:after="0" w:line="240" w:lineRule="auto"/>
              <w:rPr>
                <w:rFonts w:ascii="Times New Roman" w:hAnsi="Times New Roman" w:cs="Times New Roman"/>
              </w:rPr>
            </w:pPr>
            <w:r>
              <w:rPr>
                <w:rFonts w:ascii="Times New Roman" w:hAnsi="Times New Roman" w:cs="Times New Roman"/>
                <w:color w:val="000000"/>
              </w:rPr>
              <w:t>Private sector</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749B045D"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17</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7A036A6E"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1</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7016E788" w14:textId="77777777">
            <w:pPr>
              <w:tabs>
                <w:tab w:val="right" w:pos="2361"/>
              </w:tabs>
              <w:spacing w:after="0" w:line="240" w:lineRule="auto"/>
              <w:jc w:val="center"/>
              <w:rPr>
                <w:rFonts w:ascii="Times New Roman" w:hAnsi="Times New Roman" w:cs="Times New Roman"/>
                <w:sz w:val="24"/>
                <w:szCs w:val="24"/>
              </w:rPr>
            </w:pPr>
            <w:r>
              <w:rPr>
                <w:rFonts w:ascii="Times New Roman" w:hAnsi="Times New Roman" w:cs="Times New Roman"/>
                <w:color w:val="000000"/>
              </w:rPr>
              <w:t xml:space="preserve">5/60      </w:t>
            </w:r>
          </w:p>
        </w:tc>
        <w:tc>
          <w:tcPr>
            <w:tcW w:w="1350" w:type="dxa"/>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39BD4A10"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443930" w:rsidTr="00443930" w14:paraId="12547193" w14:textId="77777777">
        <w:trPr>
          <w:cantSplit/>
          <w:trHeight w:val="506"/>
          <w:jc w:val="center"/>
        </w:trPr>
        <w:tc>
          <w:tcPr>
            <w:tcW w:w="9535" w:type="dxa"/>
            <w:vMerge/>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7C11AEF1" w14:textId="77777777">
            <w:pPr>
              <w:spacing w:after="0"/>
              <w:rPr>
                <w:rFonts w:ascii="Times New Roman" w:hAnsi="Times New Roman" w:cs="Times New Roman"/>
              </w:rPr>
            </w:pPr>
          </w:p>
        </w:tc>
        <w:tc>
          <w:tcPr>
            <w:tcW w:w="144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4D715DA5" w14:textId="77777777">
            <w:pPr>
              <w:spacing w:after="0" w:line="240" w:lineRule="auto"/>
              <w:rPr>
                <w:rFonts w:ascii="Times New Roman" w:hAnsi="Times New Roman" w:cs="Times New Roman"/>
              </w:rPr>
            </w:pPr>
            <w:r>
              <w:rPr>
                <w:rFonts w:ascii="Times New Roman" w:hAnsi="Times New Roman" w:cs="Times New Roman"/>
                <w:color w:val="000000"/>
              </w:rPr>
              <w:t>Federal government</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112253CB"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30</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6CF545D8"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1</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18856B07" w14:textId="77777777">
            <w:pPr>
              <w:tabs>
                <w:tab w:val="right" w:pos="2361"/>
              </w:tabs>
              <w:spacing w:after="0" w:line="240" w:lineRule="auto"/>
              <w:jc w:val="center"/>
              <w:rPr>
                <w:rFonts w:ascii="Times New Roman" w:hAnsi="Times New Roman" w:cs="Times New Roman"/>
                <w:sz w:val="24"/>
                <w:szCs w:val="24"/>
              </w:rPr>
            </w:pPr>
            <w:r>
              <w:rPr>
                <w:rFonts w:ascii="Times New Roman" w:hAnsi="Times New Roman" w:cs="Times New Roman"/>
                <w:color w:val="000000"/>
              </w:rPr>
              <w:t>5/60</w:t>
            </w:r>
          </w:p>
        </w:tc>
        <w:tc>
          <w:tcPr>
            <w:tcW w:w="1350" w:type="dxa"/>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5167B340"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443930" w:rsidTr="00443930" w14:paraId="24195BFC" w14:textId="77777777">
        <w:trPr>
          <w:cantSplit/>
          <w:trHeight w:val="170"/>
          <w:jc w:val="center"/>
        </w:trPr>
        <w:tc>
          <w:tcPr>
            <w:tcW w:w="9535" w:type="dxa"/>
            <w:vMerge/>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4C95C747" w14:textId="77777777">
            <w:pPr>
              <w:spacing w:after="0"/>
              <w:rPr>
                <w:rFonts w:ascii="Times New Roman" w:hAnsi="Times New Roman" w:cs="Times New Roman"/>
              </w:rPr>
            </w:pPr>
          </w:p>
        </w:tc>
        <w:tc>
          <w:tcPr>
            <w:tcW w:w="144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290AD572" w14:textId="77777777">
            <w:pPr>
              <w:spacing w:after="0" w:line="240" w:lineRule="auto"/>
              <w:rPr>
                <w:rFonts w:ascii="Times New Roman" w:hAnsi="Times New Roman" w:cs="Times New Roman"/>
              </w:rPr>
            </w:pPr>
            <w:r>
              <w:rPr>
                <w:rFonts w:ascii="Times New Roman" w:hAnsi="Times New Roman" w:cs="Times New Roman"/>
                <w:color w:val="000000"/>
              </w:rPr>
              <w:t>Individual</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1FAB4A69"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3</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09526960"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1</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39A14970" w14:textId="77777777">
            <w:pPr>
              <w:tabs>
                <w:tab w:val="right" w:pos="2361"/>
              </w:tabs>
              <w:spacing w:after="0" w:line="240" w:lineRule="auto"/>
              <w:jc w:val="center"/>
              <w:rPr>
                <w:rFonts w:ascii="Times New Roman" w:hAnsi="Times New Roman" w:cs="Times New Roman"/>
                <w:sz w:val="24"/>
                <w:szCs w:val="24"/>
              </w:rPr>
            </w:pPr>
            <w:r>
              <w:rPr>
                <w:rFonts w:ascii="Times New Roman" w:hAnsi="Times New Roman" w:cs="Times New Roman"/>
                <w:color w:val="000000"/>
              </w:rPr>
              <w:t xml:space="preserve">5/60   </w:t>
            </w:r>
          </w:p>
        </w:tc>
        <w:tc>
          <w:tcPr>
            <w:tcW w:w="1350" w:type="dxa"/>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7B8B250D"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443930" w:rsidTr="00443930" w14:paraId="69C18BA0" w14:textId="77777777">
        <w:trPr>
          <w:cantSplit/>
          <w:trHeight w:val="273"/>
          <w:jc w:val="center"/>
        </w:trPr>
        <w:tc>
          <w:tcPr>
            <w:tcW w:w="9535" w:type="dxa"/>
            <w:gridSpan w:val="10"/>
            <w:tcBorders>
              <w:top w:val="single" w:color="auto" w:sz="4" w:space="0"/>
              <w:left w:val="single" w:color="auto" w:sz="4" w:space="0"/>
              <w:bottom w:val="single" w:color="auto" w:sz="4" w:space="0"/>
              <w:right w:val="single" w:color="auto" w:sz="4" w:space="0"/>
            </w:tcBorders>
          </w:tcPr>
          <w:p w:rsidR="00443930" w:rsidP="00443930" w:rsidRDefault="00443930" w14:paraId="7BEA9A8D" w14:textId="77777777">
            <w:pPr>
              <w:spacing w:after="0" w:line="240" w:lineRule="auto"/>
              <w:jc w:val="center"/>
              <w:rPr>
                <w:rFonts w:ascii="Times New Roman" w:hAnsi="Times New Roman" w:cs="Times New Roman"/>
                <w:b/>
              </w:rPr>
            </w:pPr>
          </w:p>
          <w:p w:rsidR="00443930" w:rsidP="00443930" w:rsidRDefault="00443930" w14:paraId="7238026A" w14:textId="77777777">
            <w:pPr>
              <w:spacing w:after="0" w:line="480" w:lineRule="auto"/>
              <w:jc w:val="center"/>
              <w:rPr>
                <w:rFonts w:ascii="Times New Roman" w:hAnsi="Times New Roman" w:cs="Times New Roman"/>
                <w:b/>
              </w:rPr>
            </w:pPr>
            <w:r>
              <w:rPr>
                <w:rFonts w:ascii="Times New Roman" w:hAnsi="Times New Roman" w:cs="Times New Roman"/>
                <w:b/>
              </w:rPr>
              <w:t>Bench to Bedside: Pulmonary Disease Module</w:t>
            </w:r>
          </w:p>
        </w:tc>
      </w:tr>
      <w:tr w:rsidR="00443930" w:rsidTr="00443930" w14:paraId="684FCFE4" w14:textId="77777777">
        <w:trPr>
          <w:cantSplit/>
          <w:trHeight w:val="555"/>
          <w:jc w:val="center"/>
        </w:trPr>
        <w:tc>
          <w:tcPr>
            <w:tcW w:w="2695" w:type="dxa"/>
            <w:vMerge w:val="restart"/>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4116615A" w14:textId="77777777">
            <w:pPr>
              <w:spacing w:after="0" w:line="240" w:lineRule="auto"/>
              <w:rPr>
                <w:rFonts w:ascii="Times New Roman" w:hAnsi="Times New Roman" w:cs="Times New Roman"/>
              </w:rPr>
            </w:pPr>
            <w:r>
              <w:rPr>
                <w:rFonts w:ascii="Times New Roman" w:hAnsi="Times New Roman" w:cs="Times New Roman"/>
              </w:rPr>
              <w:t>Attitude survey pre- and post- test</w:t>
            </w:r>
          </w:p>
        </w:tc>
        <w:tc>
          <w:tcPr>
            <w:tcW w:w="144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12A18693" w14:textId="77777777">
            <w:pPr>
              <w:spacing w:after="0" w:line="240" w:lineRule="auto"/>
              <w:rPr>
                <w:rFonts w:ascii="Times New Roman" w:hAnsi="Times New Roman" w:cs="Times New Roman"/>
              </w:rPr>
            </w:pPr>
            <w:r>
              <w:rPr>
                <w:rFonts w:ascii="Times New Roman" w:hAnsi="Times New Roman" w:cs="Times New Roman"/>
                <w:color w:val="000000"/>
              </w:rPr>
              <w:t>Private sector</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59B476D0"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105</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7B3EF95A"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2</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39F0F233" w14:textId="77777777">
            <w:pPr>
              <w:tabs>
                <w:tab w:val="right" w:pos="2361"/>
              </w:tabs>
              <w:spacing w:after="0" w:line="240" w:lineRule="auto"/>
              <w:jc w:val="center"/>
              <w:rPr>
                <w:rFonts w:ascii="Times New Roman" w:hAnsi="Times New Roman" w:cs="Times New Roman"/>
                <w:sz w:val="24"/>
                <w:szCs w:val="24"/>
              </w:rPr>
            </w:pPr>
            <w:r>
              <w:rPr>
                <w:rFonts w:ascii="Times New Roman" w:hAnsi="Times New Roman" w:cs="Times New Roman"/>
                <w:color w:val="000000"/>
              </w:rPr>
              <w:t xml:space="preserve">5/60      </w:t>
            </w:r>
          </w:p>
        </w:tc>
        <w:tc>
          <w:tcPr>
            <w:tcW w:w="1350" w:type="dxa"/>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6B8855C8"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r>
      <w:tr w:rsidR="00443930" w:rsidTr="00443930" w14:paraId="2DBC9A24" w14:textId="77777777">
        <w:trPr>
          <w:cantSplit/>
          <w:trHeight w:val="555"/>
          <w:jc w:val="center"/>
        </w:trPr>
        <w:tc>
          <w:tcPr>
            <w:tcW w:w="9535" w:type="dxa"/>
            <w:vMerge/>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58E74FF1" w14:textId="77777777">
            <w:pPr>
              <w:spacing w:after="0"/>
              <w:rPr>
                <w:rFonts w:ascii="Times New Roman" w:hAnsi="Times New Roman" w:cs="Times New Roman"/>
              </w:rPr>
            </w:pPr>
          </w:p>
        </w:tc>
        <w:tc>
          <w:tcPr>
            <w:tcW w:w="144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3CF2C2E4" w14:textId="77777777">
            <w:pPr>
              <w:spacing w:after="0" w:line="240" w:lineRule="auto"/>
              <w:rPr>
                <w:rFonts w:ascii="Times New Roman" w:hAnsi="Times New Roman" w:cs="Times New Roman"/>
              </w:rPr>
            </w:pPr>
            <w:r>
              <w:rPr>
                <w:rFonts w:ascii="Times New Roman" w:hAnsi="Times New Roman" w:cs="Times New Roman"/>
                <w:color w:val="000000"/>
              </w:rPr>
              <w:t>Federal government</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482B85B6"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180</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48B56BA3"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2</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72EF21DB" w14:textId="77777777">
            <w:pPr>
              <w:tabs>
                <w:tab w:val="right" w:pos="2361"/>
              </w:tabs>
              <w:spacing w:after="0" w:line="240" w:lineRule="auto"/>
              <w:jc w:val="center"/>
              <w:rPr>
                <w:rFonts w:ascii="Times New Roman" w:hAnsi="Times New Roman" w:cs="Times New Roman"/>
                <w:sz w:val="24"/>
                <w:szCs w:val="24"/>
              </w:rPr>
            </w:pPr>
            <w:r>
              <w:rPr>
                <w:rFonts w:ascii="Times New Roman" w:hAnsi="Times New Roman" w:cs="Times New Roman"/>
                <w:color w:val="000000"/>
              </w:rPr>
              <w:t>5/60</w:t>
            </w:r>
          </w:p>
        </w:tc>
        <w:tc>
          <w:tcPr>
            <w:tcW w:w="1350" w:type="dxa"/>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5AF2C000"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r>
      <w:tr w:rsidR="00443930" w:rsidTr="00443930" w14:paraId="5658A519" w14:textId="77777777">
        <w:trPr>
          <w:cantSplit/>
          <w:trHeight w:val="440"/>
          <w:jc w:val="center"/>
        </w:trPr>
        <w:tc>
          <w:tcPr>
            <w:tcW w:w="9535" w:type="dxa"/>
            <w:vMerge/>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37721E43" w14:textId="77777777">
            <w:pPr>
              <w:spacing w:after="0"/>
              <w:rPr>
                <w:rFonts w:ascii="Times New Roman" w:hAnsi="Times New Roman" w:cs="Times New Roman"/>
              </w:rPr>
            </w:pPr>
          </w:p>
        </w:tc>
        <w:tc>
          <w:tcPr>
            <w:tcW w:w="144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2FFFB93F" w14:textId="77777777">
            <w:pPr>
              <w:spacing w:after="0" w:line="240" w:lineRule="auto"/>
              <w:rPr>
                <w:rFonts w:ascii="Times New Roman" w:hAnsi="Times New Roman" w:cs="Times New Roman"/>
              </w:rPr>
            </w:pPr>
            <w:r>
              <w:rPr>
                <w:rFonts w:ascii="Times New Roman" w:hAnsi="Times New Roman" w:cs="Times New Roman"/>
                <w:color w:val="000000"/>
              </w:rPr>
              <w:t>Individual</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0072759D"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15</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4216C5B4"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2</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7EAB50AC" w14:textId="77777777">
            <w:pPr>
              <w:tabs>
                <w:tab w:val="right" w:pos="2361"/>
              </w:tabs>
              <w:spacing w:after="0" w:line="240" w:lineRule="auto"/>
              <w:jc w:val="center"/>
              <w:rPr>
                <w:rFonts w:ascii="Times New Roman" w:hAnsi="Times New Roman" w:cs="Times New Roman"/>
                <w:sz w:val="24"/>
                <w:szCs w:val="24"/>
              </w:rPr>
            </w:pPr>
            <w:r>
              <w:rPr>
                <w:rFonts w:ascii="Times New Roman" w:hAnsi="Times New Roman" w:cs="Times New Roman"/>
                <w:color w:val="000000"/>
              </w:rPr>
              <w:t xml:space="preserve">5/60   </w:t>
            </w:r>
          </w:p>
        </w:tc>
        <w:tc>
          <w:tcPr>
            <w:tcW w:w="1350" w:type="dxa"/>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0D42CA54"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443930" w:rsidTr="00443930" w14:paraId="7FA78650" w14:textId="77777777">
        <w:trPr>
          <w:cantSplit/>
          <w:trHeight w:val="555"/>
          <w:jc w:val="center"/>
        </w:trPr>
        <w:tc>
          <w:tcPr>
            <w:tcW w:w="2695" w:type="dxa"/>
            <w:vMerge w:val="restart"/>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21C28CD8" w14:textId="77777777">
            <w:pPr>
              <w:spacing w:after="0" w:line="240" w:lineRule="auto"/>
              <w:rPr>
                <w:rFonts w:ascii="Times New Roman" w:hAnsi="Times New Roman" w:cs="Times New Roman"/>
              </w:rPr>
            </w:pPr>
            <w:r>
              <w:rPr>
                <w:rFonts w:ascii="Times New Roman" w:hAnsi="Times New Roman" w:cs="Times New Roman"/>
              </w:rPr>
              <w:t>Module completion</w:t>
            </w:r>
          </w:p>
        </w:tc>
        <w:tc>
          <w:tcPr>
            <w:tcW w:w="144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3FA20F5D" w14:textId="77777777">
            <w:pPr>
              <w:spacing w:after="0" w:line="240" w:lineRule="auto"/>
              <w:rPr>
                <w:rFonts w:ascii="Times New Roman" w:hAnsi="Times New Roman" w:cs="Times New Roman"/>
              </w:rPr>
            </w:pPr>
            <w:r>
              <w:rPr>
                <w:rFonts w:ascii="Times New Roman" w:hAnsi="Times New Roman" w:cs="Times New Roman"/>
                <w:color w:val="000000"/>
              </w:rPr>
              <w:t>Private sector</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473434E8"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105</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38DE851E"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1</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4BA5ABC3" w14:textId="77777777">
            <w:pPr>
              <w:tabs>
                <w:tab w:val="right" w:pos="2361"/>
              </w:tabs>
              <w:spacing w:after="0" w:line="240" w:lineRule="auto"/>
              <w:jc w:val="center"/>
              <w:rPr>
                <w:rFonts w:ascii="Times New Roman" w:hAnsi="Times New Roman" w:cs="Times New Roman"/>
                <w:sz w:val="24"/>
                <w:szCs w:val="24"/>
              </w:rPr>
            </w:pPr>
            <w:r>
              <w:rPr>
                <w:rFonts w:ascii="Times New Roman" w:hAnsi="Times New Roman" w:cs="Times New Roman"/>
                <w:color w:val="000000"/>
              </w:rPr>
              <w:t xml:space="preserve">1 </w:t>
            </w:r>
          </w:p>
        </w:tc>
        <w:tc>
          <w:tcPr>
            <w:tcW w:w="1350" w:type="dxa"/>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2DBB25D7"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105</w:t>
            </w:r>
          </w:p>
        </w:tc>
      </w:tr>
      <w:tr w:rsidR="00443930" w:rsidTr="00443930" w14:paraId="393E41B4" w14:textId="77777777">
        <w:trPr>
          <w:cantSplit/>
          <w:trHeight w:val="555"/>
          <w:jc w:val="center"/>
        </w:trPr>
        <w:tc>
          <w:tcPr>
            <w:tcW w:w="9535" w:type="dxa"/>
            <w:vMerge/>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58D8A9C4" w14:textId="77777777">
            <w:pPr>
              <w:spacing w:after="0"/>
              <w:rPr>
                <w:rFonts w:ascii="Times New Roman" w:hAnsi="Times New Roman" w:cs="Times New Roman"/>
              </w:rPr>
            </w:pPr>
          </w:p>
        </w:tc>
        <w:tc>
          <w:tcPr>
            <w:tcW w:w="144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0AF5A40A" w14:textId="77777777">
            <w:pPr>
              <w:spacing w:after="0" w:line="240" w:lineRule="auto"/>
              <w:rPr>
                <w:rFonts w:ascii="Times New Roman" w:hAnsi="Times New Roman" w:cs="Times New Roman"/>
              </w:rPr>
            </w:pPr>
            <w:r>
              <w:rPr>
                <w:rFonts w:ascii="Times New Roman" w:hAnsi="Times New Roman" w:cs="Times New Roman"/>
                <w:color w:val="000000"/>
              </w:rPr>
              <w:t>Federal government</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0CA2D353"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180</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5D91D9C3"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1</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3F5BFA09" w14:textId="77777777">
            <w:pPr>
              <w:tabs>
                <w:tab w:val="right" w:pos="2361"/>
              </w:tabs>
              <w:spacing w:after="0" w:line="240" w:lineRule="auto"/>
              <w:jc w:val="center"/>
              <w:rPr>
                <w:rFonts w:ascii="Times New Roman" w:hAnsi="Times New Roman" w:cs="Times New Roman"/>
                <w:sz w:val="24"/>
                <w:szCs w:val="24"/>
              </w:rPr>
            </w:pPr>
            <w:r>
              <w:rPr>
                <w:rFonts w:ascii="Times New Roman" w:hAnsi="Times New Roman" w:cs="Times New Roman"/>
                <w:color w:val="000000"/>
              </w:rPr>
              <w:t xml:space="preserve">1      </w:t>
            </w:r>
          </w:p>
        </w:tc>
        <w:tc>
          <w:tcPr>
            <w:tcW w:w="1350" w:type="dxa"/>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46941033"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180</w:t>
            </w:r>
          </w:p>
        </w:tc>
      </w:tr>
      <w:tr w:rsidR="00443930" w:rsidTr="00443930" w14:paraId="526F490B" w14:textId="77777777">
        <w:trPr>
          <w:cantSplit/>
          <w:trHeight w:val="346"/>
          <w:jc w:val="center"/>
        </w:trPr>
        <w:tc>
          <w:tcPr>
            <w:tcW w:w="9535" w:type="dxa"/>
            <w:vMerge/>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246B73AE" w14:textId="77777777">
            <w:pPr>
              <w:spacing w:after="0"/>
              <w:rPr>
                <w:rFonts w:ascii="Times New Roman" w:hAnsi="Times New Roman" w:cs="Times New Roman"/>
              </w:rPr>
            </w:pPr>
          </w:p>
        </w:tc>
        <w:tc>
          <w:tcPr>
            <w:tcW w:w="144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49419328" w14:textId="77777777">
            <w:pPr>
              <w:spacing w:after="0" w:line="240" w:lineRule="auto"/>
              <w:rPr>
                <w:rFonts w:ascii="Times New Roman" w:hAnsi="Times New Roman" w:cs="Times New Roman"/>
              </w:rPr>
            </w:pPr>
            <w:r>
              <w:rPr>
                <w:rFonts w:ascii="Times New Roman" w:hAnsi="Times New Roman" w:cs="Times New Roman"/>
                <w:color w:val="000000"/>
              </w:rPr>
              <w:t>Individual</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73B7412A"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15</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584BEE14"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1</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73F95EFD" w14:textId="77777777">
            <w:pPr>
              <w:tabs>
                <w:tab w:val="right" w:pos="2361"/>
              </w:tabs>
              <w:spacing w:after="0" w:line="240" w:lineRule="auto"/>
              <w:jc w:val="center"/>
              <w:rPr>
                <w:rFonts w:ascii="Times New Roman" w:hAnsi="Times New Roman" w:cs="Times New Roman"/>
                <w:sz w:val="24"/>
                <w:szCs w:val="24"/>
              </w:rPr>
            </w:pPr>
            <w:r>
              <w:rPr>
                <w:rFonts w:ascii="Times New Roman" w:hAnsi="Times New Roman" w:cs="Times New Roman"/>
                <w:color w:val="000000"/>
              </w:rPr>
              <w:t xml:space="preserve">1      </w:t>
            </w:r>
          </w:p>
        </w:tc>
        <w:tc>
          <w:tcPr>
            <w:tcW w:w="1350" w:type="dxa"/>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40BDF510"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r>
      <w:tr w:rsidR="00443930" w:rsidTr="00443930" w14:paraId="49A61562" w14:textId="77777777">
        <w:trPr>
          <w:cantSplit/>
          <w:trHeight w:val="555"/>
          <w:jc w:val="center"/>
        </w:trPr>
        <w:tc>
          <w:tcPr>
            <w:tcW w:w="2695" w:type="dxa"/>
            <w:vMerge w:val="restart"/>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125209DC" w14:textId="77777777">
            <w:pPr>
              <w:spacing w:after="0" w:line="240" w:lineRule="auto"/>
              <w:rPr>
                <w:rFonts w:ascii="Times New Roman" w:hAnsi="Times New Roman" w:cs="Times New Roman"/>
              </w:rPr>
            </w:pPr>
            <w:r>
              <w:rPr>
                <w:rFonts w:ascii="Times New Roman" w:hAnsi="Times New Roman" w:cs="Times New Roman"/>
              </w:rPr>
              <w:lastRenderedPageBreak/>
              <w:t>Knowledge check</w:t>
            </w:r>
          </w:p>
        </w:tc>
        <w:tc>
          <w:tcPr>
            <w:tcW w:w="144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7050EEBF" w14:textId="77777777">
            <w:pPr>
              <w:spacing w:after="0" w:line="240" w:lineRule="auto"/>
              <w:rPr>
                <w:rFonts w:ascii="Times New Roman" w:hAnsi="Times New Roman" w:cs="Times New Roman"/>
              </w:rPr>
            </w:pPr>
            <w:r>
              <w:rPr>
                <w:rFonts w:ascii="Times New Roman" w:hAnsi="Times New Roman" w:cs="Times New Roman"/>
                <w:color w:val="000000"/>
              </w:rPr>
              <w:t>Private sector</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6BE40D92"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105</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26E9815E"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1</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6714B934" w14:textId="77777777">
            <w:pPr>
              <w:tabs>
                <w:tab w:val="right" w:pos="2361"/>
              </w:tabs>
              <w:spacing w:after="0" w:line="240" w:lineRule="auto"/>
              <w:jc w:val="center"/>
              <w:rPr>
                <w:rFonts w:ascii="Times New Roman" w:hAnsi="Times New Roman" w:cs="Times New Roman"/>
                <w:sz w:val="24"/>
                <w:szCs w:val="24"/>
              </w:rPr>
            </w:pPr>
            <w:r>
              <w:rPr>
                <w:rFonts w:ascii="Times New Roman" w:hAnsi="Times New Roman" w:cs="Times New Roman"/>
                <w:color w:val="000000"/>
              </w:rPr>
              <w:t xml:space="preserve">10/60      </w:t>
            </w:r>
          </w:p>
        </w:tc>
        <w:tc>
          <w:tcPr>
            <w:tcW w:w="1350" w:type="dxa"/>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2111F9BA"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r>
      <w:tr w:rsidR="00443930" w:rsidTr="00443930" w14:paraId="32373098" w14:textId="77777777">
        <w:trPr>
          <w:cantSplit/>
          <w:trHeight w:val="555"/>
          <w:jc w:val="center"/>
        </w:trPr>
        <w:tc>
          <w:tcPr>
            <w:tcW w:w="9535" w:type="dxa"/>
            <w:vMerge/>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038F2F04" w14:textId="77777777">
            <w:pPr>
              <w:spacing w:after="0"/>
              <w:rPr>
                <w:rFonts w:ascii="Times New Roman" w:hAnsi="Times New Roman" w:cs="Times New Roman"/>
              </w:rPr>
            </w:pPr>
          </w:p>
        </w:tc>
        <w:tc>
          <w:tcPr>
            <w:tcW w:w="144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270B5AD6" w14:textId="77777777">
            <w:pPr>
              <w:spacing w:after="0" w:line="240" w:lineRule="auto"/>
              <w:rPr>
                <w:rFonts w:ascii="Times New Roman" w:hAnsi="Times New Roman" w:cs="Times New Roman"/>
              </w:rPr>
            </w:pPr>
            <w:r>
              <w:rPr>
                <w:rFonts w:ascii="Times New Roman" w:hAnsi="Times New Roman" w:cs="Times New Roman"/>
                <w:color w:val="000000"/>
              </w:rPr>
              <w:t>Federal government</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79A887EC"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180</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5173742D"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1</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553CBD89" w14:textId="77777777">
            <w:pPr>
              <w:tabs>
                <w:tab w:val="right" w:pos="2361"/>
              </w:tabs>
              <w:spacing w:after="0" w:line="240" w:lineRule="auto"/>
              <w:jc w:val="center"/>
              <w:rPr>
                <w:rFonts w:ascii="Times New Roman" w:hAnsi="Times New Roman" w:cs="Times New Roman"/>
                <w:sz w:val="24"/>
                <w:szCs w:val="24"/>
              </w:rPr>
            </w:pPr>
            <w:r>
              <w:rPr>
                <w:rFonts w:ascii="Times New Roman" w:hAnsi="Times New Roman" w:cs="Times New Roman"/>
                <w:color w:val="000000"/>
              </w:rPr>
              <w:t xml:space="preserve">10/60      </w:t>
            </w:r>
          </w:p>
        </w:tc>
        <w:tc>
          <w:tcPr>
            <w:tcW w:w="1350" w:type="dxa"/>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16400CC9"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r>
      <w:tr w:rsidR="00443930" w:rsidTr="00443930" w14:paraId="4C0718AC" w14:textId="77777777">
        <w:trPr>
          <w:cantSplit/>
          <w:trHeight w:val="346"/>
          <w:jc w:val="center"/>
        </w:trPr>
        <w:tc>
          <w:tcPr>
            <w:tcW w:w="9535" w:type="dxa"/>
            <w:vMerge/>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0A500C31" w14:textId="77777777">
            <w:pPr>
              <w:spacing w:after="0"/>
              <w:rPr>
                <w:rFonts w:ascii="Times New Roman" w:hAnsi="Times New Roman" w:cs="Times New Roman"/>
              </w:rPr>
            </w:pPr>
          </w:p>
        </w:tc>
        <w:tc>
          <w:tcPr>
            <w:tcW w:w="144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3BF06687" w14:textId="77777777">
            <w:pPr>
              <w:spacing w:after="0" w:line="240" w:lineRule="auto"/>
              <w:rPr>
                <w:rFonts w:ascii="Times New Roman" w:hAnsi="Times New Roman" w:cs="Times New Roman"/>
              </w:rPr>
            </w:pPr>
            <w:r>
              <w:rPr>
                <w:rFonts w:ascii="Times New Roman" w:hAnsi="Times New Roman" w:cs="Times New Roman"/>
                <w:color w:val="000000"/>
              </w:rPr>
              <w:t>Individual</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109A21C3"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15</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040DEBB8"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1</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251895F6" w14:textId="77777777">
            <w:pPr>
              <w:tabs>
                <w:tab w:val="right" w:pos="2361"/>
              </w:tabs>
              <w:spacing w:after="0" w:line="240" w:lineRule="auto"/>
              <w:jc w:val="center"/>
              <w:rPr>
                <w:rFonts w:ascii="Times New Roman" w:hAnsi="Times New Roman" w:cs="Times New Roman"/>
                <w:sz w:val="24"/>
                <w:szCs w:val="24"/>
              </w:rPr>
            </w:pPr>
            <w:r>
              <w:rPr>
                <w:rFonts w:ascii="Times New Roman" w:hAnsi="Times New Roman" w:cs="Times New Roman"/>
                <w:color w:val="000000"/>
              </w:rPr>
              <w:t xml:space="preserve">10/60      </w:t>
            </w:r>
          </w:p>
        </w:tc>
        <w:tc>
          <w:tcPr>
            <w:tcW w:w="1350" w:type="dxa"/>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3B3DC6F9"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443930" w:rsidTr="00443930" w14:paraId="1055E021" w14:textId="77777777">
        <w:trPr>
          <w:cantSplit/>
          <w:trHeight w:val="506"/>
          <w:jc w:val="center"/>
        </w:trPr>
        <w:tc>
          <w:tcPr>
            <w:tcW w:w="2695" w:type="dxa"/>
            <w:vMerge w:val="restart"/>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474A4CA2" w14:textId="77777777">
            <w:pPr>
              <w:spacing w:after="0" w:line="240" w:lineRule="auto"/>
              <w:rPr>
                <w:rFonts w:ascii="Times New Roman" w:hAnsi="Times New Roman" w:cs="Times New Roman"/>
              </w:rPr>
            </w:pPr>
            <w:r>
              <w:rPr>
                <w:rFonts w:ascii="Times New Roman" w:hAnsi="Times New Roman" w:cs="Times New Roman"/>
              </w:rPr>
              <w:t>Module evaluation</w:t>
            </w:r>
          </w:p>
        </w:tc>
        <w:tc>
          <w:tcPr>
            <w:tcW w:w="144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086ACE01" w14:textId="77777777">
            <w:pPr>
              <w:spacing w:after="0" w:line="240" w:lineRule="auto"/>
              <w:rPr>
                <w:rFonts w:ascii="Times New Roman" w:hAnsi="Times New Roman" w:cs="Times New Roman"/>
              </w:rPr>
            </w:pPr>
            <w:r>
              <w:rPr>
                <w:rFonts w:ascii="Times New Roman" w:hAnsi="Times New Roman" w:cs="Times New Roman"/>
                <w:color w:val="000000"/>
              </w:rPr>
              <w:t>Private sector</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046DA61A"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17</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7D89ED96"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1</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2F6C91E6" w14:textId="77777777">
            <w:pPr>
              <w:tabs>
                <w:tab w:val="right" w:pos="2361"/>
              </w:tabs>
              <w:spacing w:after="0" w:line="240" w:lineRule="auto"/>
              <w:jc w:val="center"/>
              <w:rPr>
                <w:rFonts w:ascii="Times New Roman" w:hAnsi="Times New Roman" w:cs="Times New Roman"/>
                <w:sz w:val="24"/>
                <w:szCs w:val="24"/>
              </w:rPr>
            </w:pPr>
            <w:r>
              <w:rPr>
                <w:rFonts w:ascii="Times New Roman" w:hAnsi="Times New Roman" w:cs="Times New Roman"/>
                <w:color w:val="000000"/>
              </w:rPr>
              <w:t xml:space="preserve">5/60      </w:t>
            </w:r>
          </w:p>
        </w:tc>
        <w:tc>
          <w:tcPr>
            <w:tcW w:w="1350" w:type="dxa"/>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7325E883"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443930" w:rsidTr="00443930" w14:paraId="4331AD7D" w14:textId="77777777">
        <w:trPr>
          <w:cantSplit/>
          <w:trHeight w:val="506"/>
          <w:jc w:val="center"/>
        </w:trPr>
        <w:tc>
          <w:tcPr>
            <w:tcW w:w="9535" w:type="dxa"/>
            <w:vMerge/>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49841340" w14:textId="77777777">
            <w:pPr>
              <w:spacing w:after="0"/>
              <w:rPr>
                <w:rFonts w:ascii="Times New Roman" w:hAnsi="Times New Roman" w:cs="Times New Roman"/>
              </w:rPr>
            </w:pPr>
          </w:p>
        </w:tc>
        <w:tc>
          <w:tcPr>
            <w:tcW w:w="144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6AE3601B" w14:textId="77777777">
            <w:pPr>
              <w:spacing w:after="0" w:line="240" w:lineRule="auto"/>
              <w:rPr>
                <w:rFonts w:ascii="Times New Roman" w:hAnsi="Times New Roman" w:cs="Times New Roman"/>
              </w:rPr>
            </w:pPr>
            <w:r>
              <w:rPr>
                <w:rFonts w:ascii="Times New Roman" w:hAnsi="Times New Roman" w:cs="Times New Roman"/>
                <w:color w:val="000000"/>
              </w:rPr>
              <w:t>Federal government</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2FEACE31"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30</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5DF4F44F"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1</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194D519E" w14:textId="77777777">
            <w:pPr>
              <w:tabs>
                <w:tab w:val="right" w:pos="2361"/>
              </w:tabs>
              <w:spacing w:after="0" w:line="240" w:lineRule="auto"/>
              <w:jc w:val="center"/>
              <w:rPr>
                <w:rFonts w:ascii="Times New Roman" w:hAnsi="Times New Roman" w:cs="Times New Roman"/>
                <w:sz w:val="24"/>
                <w:szCs w:val="24"/>
              </w:rPr>
            </w:pPr>
            <w:r>
              <w:rPr>
                <w:rFonts w:ascii="Times New Roman" w:hAnsi="Times New Roman" w:cs="Times New Roman"/>
                <w:color w:val="000000"/>
              </w:rPr>
              <w:t>5/60</w:t>
            </w:r>
          </w:p>
        </w:tc>
        <w:tc>
          <w:tcPr>
            <w:tcW w:w="1350" w:type="dxa"/>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4640E8D9"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443930" w:rsidTr="00443930" w14:paraId="40046585" w14:textId="77777777">
        <w:trPr>
          <w:cantSplit/>
          <w:trHeight w:val="346"/>
          <w:jc w:val="center"/>
        </w:trPr>
        <w:tc>
          <w:tcPr>
            <w:tcW w:w="9535" w:type="dxa"/>
            <w:vMerge/>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63D97A63" w14:textId="77777777">
            <w:pPr>
              <w:spacing w:after="0"/>
              <w:rPr>
                <w:rFonts w:ascii="Times New Roman" w:hAnsi="Times New Roman" w:cs="Times New Roman"/>
              </w:rPr>
            </w:pPr>
          </w:p>
        </w:tc>
        <w:tc>
          <w:tcPr>
            <w:tcW w:w="144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293909F9" w14:textId="77777777">
            <w:pPr>
              <w:spacing w:after="0" w:line="240" w:lineRule="auto"/>
              <w:rPr>
                <w:rFonts w:ascii="Times New Roman" w:hAnsi="Times New Roman" w:cs="Times New Roman"/>
              </w:rPr>
            </w:pPr>
            <w:r>
              <w:rPr>
                <w:rFonts w:ascii="Times New Roman" w:hAnsi="Times New Roman" w:cs="Times New Roman"/>
                <w:color w:val="000000"/>
              </w:rPr>
              <w:t>Individual</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0C405F6A"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3</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1C9923B3"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1</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39FB5ABA" w14:textId="77777777">
            <w:pPr>
              <w:tabs>
                <w:tab w:val="right" w:pos="2361"/>
              </w:tabs>
              <w:spacing w:after="0" w:line="240" w:lineRule="auto"/>
              <w:jc w:val="center"/>
              <w:rPr>
                <w:rFonts w:ascii="Times New Roman" w:hAnsi="Times New Roman" w:cs="Times New Roman"/>
                <w:sz w:val="24"/>
                <w:szCs w:val="24"/>
              </w:rPr>
            </w:pPr>
            <w:r>
              <w:rPr>
                <w:rFonts w:ascii="Times New Roman" w:hAnsi="Times New Roman" w:cs="Times New Roman"/>
                <w:color w:val="000000"/>
              </w:rPr>
              <w:t xml:space="preserve">5/60   </w:t>
            </w:r>
          </w:p>
        </w:tc>
        <w:tc>
          <w:tcPr>
            <w:tcW w:w="1350" w:type="dxa"/>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7AD45D18"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443930" w:rsidTr="00443930" w14:paraId="44893661" w14:textId="77777777">
        <w:trPr>
          <w:cantSplit/>
          <w:trHeight w:val="200"/>
          <w:jc w:val="center"/>
        </w:trPr>
        <w:tc>
          <w:tcPr>
            <w:tcW w:w="2695" w:type="dxa"/>
            <w:vMerge w:val="restart"/>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03B76647" w14:textId="77777777">
            <w:pPr>
              <w:spacing w:after="0" w:line="240" w:lineRule="auto"/>
              <w:rPr>
                <w:rFonts w:ascii="Times New Roman" w:hAnsi="Times New Roman" w:cs="Times New Roman"/>
                <w:bCs/>
              </w:rPr>
            </w:pPr>
            <w:bookmarkStart w:name="_Hlk38450779" w:id="53"/>
            <w:r>
              <w:rPr>
                <w:rFonts w:ascii="Times New Roman" w:hAnsi="Times New Roman" w:cs="Times New Roman"/>
                <w:bCs/>
              </w:rPr>
              <w:t>Outcomes evaluation</w:t>
            </w:r>
          </w:p>
        </w:tc>
        <w:tc>
          <w:tcPr>
            <w:tcW w:w="144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2DDB65CB" w14:textId="77777777">
            <w:pPr>
              <w:spacing w:after="0" w:line="240" w:lineRule="auto"/>
              <w:rPr>
                <w:rFonts w:ascii="Times New Roman" w:hAnsi="Times New Roman" w:cs="Times New Roman"/>
                <w:b/>
              </w:rPr>
            </w:pPr>
            <w:r>
              <w:rPr>
                <w:rFonts w:ascii="Times New Roman" w:hAnsi="Times New Roman" w:cs="Times New Roman"/>
                <w:color w:val="000000"/>
              </w:rPr>
              <w:t>Private sector</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54DCF8D5" w14:textId="77777777">
            <w:pPr>
              <w:spacing w:after="0" w:line="240" w:lineRule="auto"/>
              <w:jc w:val="center"/>
              <w:rPr>
                <w:rFonts w:ascii="Times New Roman" w:hAnsi="Times New Roman" w:cs="Times New Roman"/>
                <w:b/>
              </w:rPr>
            </w:pPr>
            <w:r>
              <w:rPr>
                <w:rFonts w:ascii="Times New Roman" w:hAnsi="Times New Roman" w:cs="Times New Roman"/>
                <w:color w:val="000000"/>
              </w:rPr>
              <w:t>17</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3C42E649" w14:textId="77777777">
            <w:pPr>
              <w:spacing w:after="0" w:line="240" w:lineRule="auto"/>
              <w:jc w:val="center"/>
              <w:rPr>
                <w:rFonts w:ascii="Times New Roman" w:hAnsi="Times New Roman" w:cs="Times New Roman"/>
                <w:b/>
              </w:rPr>
            </w:pPr>
            <w:r>
              <w:rPr>
                <w:rFonts w:ascii="Times New Roman" w:hAnsi="Times New Roman" w:cs="Times New Roman"/>
                <w:color w:val="000000"/>
              </w:rPr>
              <w:t>1</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6D894F5D" w14:textId="77777777">
            <w:pPr>
              <w:spacing w:after="0" w:line="240" w:lineRule="auto"/>
              <w:jc w:val="center"/>
              <w:rPr>
                <w:rFonts w:ascii="Times New Roman" w:hAnsi="Times New Roman" w:cs="Times New Roman"/>
                <w:b/>
              </w:rPr>
            </w:pPr>
            <w:r>
              <w:rPr>
                <w:rFonts w:ascii="Times New Roman" w:hAnsi="Times New Roman" w:cs="Times New Roman"/>
                <w:color w:val="000000"/>
              </w:rPr>
              <w:t xml:space="preserve">5/60      </w:t>
            </w:r>
          </w:p>
        </w:tc>
        <w:tc>
          <w:tcPr>
            <w:tcW w:w="1350" w:type="dxa"/>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47B6A29D" w14:textId="77777777">
            <w:pPr>
              <w:spacing w:after="0" w:line="240" w:lineRule="auto"/>
              <w:jc w:val="center"/>
              <w:rPr>
                <w:rFonts w:ascii="Times New Roman" w:hAnsi="Times New Roman" w:cs="Times New Roman"/>
                <w:b/>
              </w:rPr>
            </w:pPr>
            <w:r>
              <w:rPr>
                <w:rFonts w:ascii="Times New Roman" w:hAnsi="Times New Roman" w:cs="Times New Roman"/>
                <w:sz w:val="24"/>
                <w:szCs w:val="24"/>
              </w:rPr>
              <w:t>1</w:t>
            </w:r>
          </w:p>
        </w:tc>
      </w:tr>
      <w:tr w:rsidR="00443930" w:rsidTr="00443930" w14:paraId="0AB09A66" w14:textId="77777777">
        <w:trPr>
          <w:cantSplit/>
          <w:trHeight w:val="200"/>
          <w:jc w:val="center"/>
        </w:trPr>
        <w:tc>
          <w:tcPr>
            <w:tcW w:w="9535" w:type="dxa"/>
            <w:vMerge/>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5EF7FCCE" w14:textId="77777777">
            <w:pPr>
              <w:spacing w:after="0"/>
              <w:rPr>
                <w:rFonts w:ascii="Times New Roman" w:hAnsi="Times New Roman" w:cs="Times New Roman"/>
                <w:bCs/>
              </w:rPr>
            </w:pPr>
          </w:p>
        </w:tc>
        <w:tc>
          <w:tcPr>
            <w:tcW w:w="144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6AAA554F" w14:textId="77777777">
            <w:pPr>
              <w:spacing w:after="0" w:line="240" w:lineRule="auto"/>
              <w:rPr>
                <w:rFonts w:ascii="Times New Roman" w:hAnsi="Times New Roman" w:cs="Times New Roman"/>
                <w:b/>
              </w:rPr>
            </w:pPr>
            <w:r>
              <w:rPr>
                <w:rFonts w:ascii="Times New Roman" w:hAnsi="Times New Roman" w:cs="Times New Roman"/>
                <w:color w:val="000000"/>
              </w:rPr>
              <w:t>Federal government</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239795D0" w14:textId="77777777">
            <w:pPr>
              <w:spacing w:after="0" w:line="240" w:lineRule="auto"/>
              <w:jc w:val="center"/>
              <w:rPr>
                <w:rFonts w:ascii="Times New Roman" w:hAnsi="Times New Roman" w:cs="Times New Roman"/>
                <w:b/>
              </w:rPr>
            </w:pPr>
            <w:r>
              <w:rPr>
                <w:rFonts w:ascii="Times New Roman" w:hAnsi="Times New Roman" w:cs="Times New Roman"/>
                <w:color w:val="000000"/>
              </w:rPr>
              <w:t>30</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095B0570" w14:textId="77777777">
            <w:pPr>
              <w:spacing w:after="0" w:line="240" w:lineRule="auto"/>
              <w:jc w:val="center"/>
              <w:rPr>
                <w:rFonts w:ascii="Times New Roman" w:hAnsi="Times New Roman" w:cs="Times New Roman"/>
                <w:b/>
              </w:rPr>
            </w:pPr>
            <w:r>
              <w:rPr>
                <w:rFonts w:ascii="Times New Roman" w:hAnsi="Times New Roman" w:cs="Times New Roman"/>
                <w:color w:val="000000"/>
              </w:rPr>
              <w:t>1</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03EC47FF" w14:textId="77777777">
            <w:pPr>
              <w:spacing w:after="0" w:line="240" w:lineRule="auto"/>
              <w:jc w:val="center"/>
              <w:rPr>
                <w:rFonts w:ascii="Times New Roman" w:hAnsi="Times New Roman" w:cs="Times New Roman"/>
                <w:b/>
              </w:rPr>
            </w:pPr>
            <w:r>
              <w:rPr>
                <w:rFonts w:ascii="Times New Roman" w:hAnsi="Times New Roman" w:cs="Times New Roman"/>
                <w:color w:val="000000"/>
              </w:rPr>
              <w:t>5/60</w:t>
            </w:r>
          </w:p>
        </w:tc>
        <w:tc>
          <w:tcPr>
            <w:tcW w:w="1350" w:type="dxa"/>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1A92BEDB" w14:textId="77777777">
            <w:pPr>
              <w:spacing w:after="0" w:line="240" w:lineRule="auto"/>
              <w:jc w:val="center"/>
              <w:rPr>
                <w:rFonts w:ascii="Times New Roman" w:hAnsi="Times New Roman" w:cs="Times New Roman"/>
                <w:b/>
              </w:rPr>
            </w:pPr>
            <w:r>
              <w:rPr>
                <w:rFonts w:ascii="Times New Roman" w:hAnsi="Times New Roman" w:cs="Times New Roman"/>
                <w:sz w:val="24"/>
                <w:szCs w:val="24"/>
              </w:rPr>
              <w:t>3</w:t>
            </w:r>
          </w:p>
        </w:tc>
      </w:tr>
      <w:tr w:rsidR="00443930" w:rsidTr="00443930" w14:paraId="4663B540" w14:textId="77777777">
        <w:trPr>
          <w:cantSplit/>
          <w:trHeight w:val="346"/>
          <w:jc w:val="center"/>
        </w:trPr>
        <w:tc>
          <w:tcPr>
            <w:tcW w:w="9535" w:type="dxa"/>
            <w:vMerge/>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341FEF6E" w14:textId="77777777">
            <w:pPr>
              <w:spacing w:after="0"/>
              <w:rPr>
                <w:rFonts w:ascii="Times New Roman" w:hAnsi="Times New Roman" w:cs="Times New Roman"/>
                <w:bCs/>
              </w:rPr>
            </w:pPr>
          </w:p>
        </w:tc>
        <w:tc>
          <w:tcPr>
            <w:tcW w:w="144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48312787" w14:textId="77777777">
            <w:pPr>
              <w:spacing w:after="0" w:line="240" w:lineRule="auto"/>
              <w:rPr>
                <w:rFonts w:ascii="Times New Roman" w:hAnsi="Times New Roman" w:cs="Times New Roman"/>
                <w:b/>
              </w:rPr>
            </w:pPr>
            <w:r>
              <w:rPr>
                <w:rFonts w:ascii="Times New Roman" w:hAnsi="Times New Roman" w:cs="Times New Roman"/>
                <w:color w:val="000000"/>
              </w:rPr>
              <w:t>Individual</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20C63458" w14:textId="77777777">
            <w:pPr>
              <w:spacing w:after="0" w:line="240" w:lineRule="auto"/>
              <w:jc w:val="center"/>
              <w:rPr>
                <w:rFonts w:ascii="Times New Roman" w:hAnsi="Times New Roman" w:cs="Times New Roman"/>
                <w:b/>
              </w:rPr>
            </w:pPr>
            <w:r>
              <w:rPr>
                <w:rFonts w:ascii="Times New Roman" w:hAnsi="Times New Roman" w:cs="Times New Roman"/>
                <w:color w:val="000000"/>
              </w:rPr>
              <w:t>3</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6ED2E6B0" w14:textId="77777777">
            <w:pPr>
              <w:spacing w:after="0" w:line="240" w:lineRule="auto"/>
              <w:jc w:val="center"/>
              <w:rPr>
                <w:rFonts w:ascii="Times New Roman" w:hAnsi="Times New Roman" w:cs="Times New Roman"/>
                <w:b/>
              </w:rPr>
            </w:pPr>
            <w:r>
              <w:rPr>
                <w:rFonts w:ascii="Times New Roman" w:hAnsi="Times New Roman" w:cs="Times New Roman"/>
                <w:color w:val="000000"/>
              </w:rPr>
              <w:t>1</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2BE8DC29" w14:textId="77777777">
            <w:pPr>
              <w:spacing w:after="0" w:line="240" w:lineRule="auto"/>
              <w:jc w:val="center"/>
              <w:rPr>
                <w:rFonts w:ascii="Times New Roman" w:hAnsi="Times New Roman" w:cs="Times New Roman"/>
                <w:b/>
              </w:rPr>
            </w:pPr>
            <w:r>
              <w:rPr>
                <w:rFonts w:ascii="Times New Roman" w:hAnsi="Times New Roman" w:cs="Times New Roman"/>
                <w:color w:val="000000"/>
              </w:rPr>
              <w:t xml:space="preserve">5/60   </w:t>
            </w:r>
          </w:p>
        </w:tc>
        <w:tc>
          <w:tcPr>
            <w:tcW w:w="1350" w:type="dxa"/>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1F52CBDE" w14:textId="77777777">
            <w:pPr>
              <w:spacing w:after="0" w:line="240" w:lineRule="auto"/>
              <w:jc w:val="center"/>
              <w:rPr>
                <w:rFonts w:ascii="Times New Roman" w:hAnsi="Times New Roman" w:cs="Times New Roman"/>
                <w:b/>
              </w:rPr>
            </w:pPr>
            <w:r>
              <w:rPr>
                <w:rFonts w:ascii="Times New Roman" w:hAnsi="Times New Roman" w:cs="Times New Roman"/>
                <w:sz w:val="24"/>
                <w:szCs w:val="24"/>
              </w:rPr>
              <w:t>0</w:t>
            </w:r>
          </w:p>
        </w:tc>
        <w:bookmarkEnd w:id="53"/>
      </w:tr>
      <w:tr w:rsidR="00443930" w:rsidTr="00443930" w14:paraId="3A1CFA28" w14:textId="77777777">
        <w:trPr>
          <w:cantSplit/>
          <w:trHeight w:val="273"/>
          <w:jc w:val="center"/>
        </w:trPr>
        <w:tc>
          <w:tcPr>
            <w:tcW w:w="9535" w:type="dxa"/>
            <w:gridSpan w:val="10"/>
            <w:tcBorders>
              <w:top w:val="single" w:color="auto" w:sz="4" w:space="0"/>
              <w:left w:val="single" w:color="auto" w:sz="4" w:space="0"/>
              <w:bottom w:val="single" w:color="auto" w:sz="4" w:space="0"/>
              <w:right w:val="single" w:color="auto" w:sz="4" w:space="0"/>
            </w:tcBorders>
          </w:tcPr>
          <w:p w:rsidR="00443930" w:rsidP="00443930" w:rsidRDefault="00443930" w14:paraId="7A2D3B87" w14:textId="77777777">
            <w:pPr>
              <w:spacing w:after="0" w:line="240" w:lineRule="auto"/>
              <w:jc w:val="center"/>
              <w:rPr>
                <w:rFonts w:ascii="Times New Roman" w:hAnsi="Times New Roman" w:cs="Times New Roman"/>
                <w:b/>
              </w:rPr>
            </w:pPr>
          </w:p>
          <w:p w:rsidR="00443930" w:rsidP="00443930" w:rsidRDefault="00443930" w14:paraId="34519DBC" w14:textId="77777777">
            <w:pPr>
              <w:spacing w:after="0" w:line="480" w:lineRule="auto"/>
              <w:jc w:val="center"/>
              <w:rPr>
                <w:rFonts w:ascii="Times New Roman" w:hAnsi="Times New Roman" w:cs="Times New Roman"/>
                <w:b/>
              </w:rPr>
            </w:pPr>
            <w:r>
              <w:rPr>
                <w:rFonts w:ascii="Times New Roman" w:hAnsi="Times New Roman" w:cs="Times New Roman"/>
                <w:b/>
              </w:rPr>
              <w:t>Bench to Bedside: Neurology Module</w:t>
            </w:r>
          </w:p>
        </w:tc>
      </w:tr>
      <w:tr w:rsidR="00443930" w:rsidTr="00443930" w14:paraId="295915E2" w14:textId="77777777">
        <w:trPr>
          <w:cantSplit/>
          <w:trHeight w:val="555"/>
          <w:jc w:val="center"/>
        </w:trPr>
        <w:tc>
          <w:tcPr>
            <w:tcW w:w="2695" w:type="dxa"/>
            <w:vMerge w:val="restart"/>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04B5A79A" w14:textId="77777777">
            <w:pPr>
              <w:spacing w:after="0" w:line="240" w:lineRule="auto"/>
              <w:rPr>
                <w:rFonts w:ascii="Times New Roman" w:hAnsi="Times New Roman" w:cs="Times New Roman"/>
              </w:rPr>
            </w:pPr>
            <w:bookmarkStart w:name="_Hlk38450829" w:id="54"/>
            <w:r>
              <w:rPr>
                <w:rFonts w:ascii="Times New Roman" w:hAnsi="Times New Roman" w:cs="Times New Roman"/>
              </w:rPr>
              <w:t>Attitude survey pre- and post- test</w:t>
            </w:r>
          </w:p>
        </w:tc>
        <w:tc>
          <w:tcPr>
            <w:tcW w:w="144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47EB74F8" w14:textId="77777777">
            <w:pPr>
              <w:spacing w:after="0" w:line="240" w:lineRule="auto"/>
              <w:rPr>
                <w:rFonts w:ascii="Times New Roman" w:hAnsi="Times New Roman" w:cs="Times New Roman"/>
              </w:rPr>
            </w:pPr>
            <w:r>
              <w:rPr>
                <w:rFonts w:ascii="Times New Roman" w:hAnsi="Times New Roman" w:cs="Times New Roman"/>
                <w:color w:val="000000"/>
              </w:rPr>
              <w:t>Private sector</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2EF32683"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105</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41192FF4"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2</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7E517E9A" w14:textId="77777777">
            <w:pPr>
              <w:tabs>
                <w:tab w:val="right" w:pos="2361"/>
              </w:tabs>
              <w:spacing w:after="0" w:line="240" w:lineRule="auto"/>
              <w:jc w:val="center"/>
              <w:rPr>
                <w:rFonts w:ascii="Times New Roman" w:hAnsi="Times New Roman" w:cs="Times New Roman"/>
                <w:sz w:val="24"/>
                <w:szCs w:val="24"/>
              </w:rPr>
            </w:pPr>
            <w:r>
              <w:rPr>
                <w:rFonts w:ascii="Times New Roman" w:hAnsi="Times New Roman" w:cs="Times New Roman"/>
                <w:color w:val="000000"/>
              </w:rPr>
              <w:t xml:space="preserve">5/60      </w:t>
            </w:r>
          </w:p>
        </w:tc>
        <w:tc>
          <w:tcPr>
            <w:tcW w:w="1350" w:type="dxa"/>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1772C76B"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r>
      <w:tr w:rsidR="00443930" w:rsidTr="00443930" w14:paraId="7529B3AD" w14:textId="77777777">
        <w:trPr>
          <w:cantSplit/>
          <w:trHeight w:val="555"/>
          <w:jc w:val="center"/>
        </w:trPr>
        <w:tc>
          <w:tcPr>
            <w:tcW w:w="9535" w:type="dxa"/>
            <w:vMerge/>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59A959EA" w14:textId="77777777">
            <w:pPr>
              <w:spacing w:after="0"/>
              <w:rPr>
                <w:rFonts w:ascii="Times New Roman" w:hAnsi="Times New Roman" w:cs="Times New Roman"/>
              </w:rPr>
            </w:pPr>
          </w:p>
        </w:tc>
        <w:tc>
          <w:tcPr>
            <w:tcW w:w="144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50EB458A" w14:textId="77777777">
            <w:pPr>
              <w:spacing w:after="0" w:line="240" w:lineRule="auto"/>
              <w:rPr>
                <w:rFonts w:ascii="Times New Roman" w:hAnsi="Times New Roman" w:cs="Times New Roman"/>
              </w:rPr>
            </w:pPr>
            <w:r>
              <w:rPr>
                <w:rFonts w:ascii="Times New Roman" w:hAnsi="Times New Roman" w:cs="Times New Roman"/>
                <w:color w:val="000000"/>
              </w:rPr>
              <w:t>Federal government</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6CD7AFAC"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180</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297B52F2"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2</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7B29D252" w14:textId="77777777">
            <w:pPr>
              <w:tabs>
                <w:tab w:val="right" w:pos="2361"/>
              </w:tabs>
              <w:spacing w:after="0" w:line="240" w:lineRule="auto"/>
              <w:jc w:val="center"/>
              <w:rPr>
                <w:rFonts w:ascii="Times New Roman" w:hAnsi="Times New Roman" w:cs="Times New Roman"/>
                <w:sz w:val="24"/>
                <w:szCs w:val="24"/>
              </w:rPr>
            </w:pPr>
            <w:r>
              <w:rPr>
                <w:rFonts w:ascii="Times New Roman" w:hAnsi="Times New Roman" w:cs="Times New Roman"/>
                <w:color w:val="000000"/>
              </w:rPr>
              <w:t>5/60</w:t>
            </w:r>
          </w:p>
        </w:tc>
        <w:tc>
          <w:tcPr>
            <w:tcW w:w="1350" w:type="dxa"/>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0E768DC7"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r>
      <w:tr w:rsidR="00443930" w:rsidTr="00443930" w14:paraId="73782BC2" w14:textId="77777777">
        <w:trPr>
          <w:cantSplit/>
          <w:trHeight w:val="440"/>
          <w:jc w:val="center"/>
        </w:trPr>
        <w:tc>
          <w:tcPr>
            <w:tcW w:w="9535" w:type="dxa"/>
            <w:vMerge/>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5BDEF061" w14:textId="77777777">
            <w:pPr>
              <w:spacing w:after="0"/>
              <w:rPr>
                <w:rFonts w:ascii="Times New Roman" w:hAnsi="Times New Roman" w:cs="Times New Roman"/>
              </w:rPr>
            </w:pPr>
          </w:p>
        </w:tc>
        <w:tc>
          <w:tcPr>
            <w:tcW w:w="144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12B88EE2" w14:textId="77777777">
            <w:pPr>
              <w:spacing w:after="0" w:line="240" w:lineRule="auto"/>
              <w:rPr>
                <w:rFonts w:ascii="Times New Roman" w:hAnsi="Times New Roman" w:cs="Times New Roman"/>
              </w:rPr>
            </w:pPr>
            <w:r>
              <w:rPr>
                <w:rFonts w:ascii="Times New Roman" w:hAnsi="Times New Roman" w:cs="Times New Roman"/>
                <w:color w:val="000000"/>
              </w:rPr>
              <w:t>Individual</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4D4E3F2E"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15</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4DDAA1B3"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2</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577A2FA2" w14:textId="77777777">
            <w:pPr>
              <w:tabs>
                <w:tab w:val="right" w:pos="2361"/>
              </w:tabs>
              <w:spacing w:after="0" w:line="240" w:lineRule="auto"/>
              <w:jc w:val="center"/>
              <w:rPr>
                <w:rFonts w:ascii="Times New Roman" w:hAnsi="Times New Roman" w:cs="Times New Roman"/>
                <w:sz w:val="24"/>
                <w:szCs w:val="24"/>
              </w:rPr>
            </w:pPr>
            <w:r>
              <w:rPr>
                <w:rFonts w:ascii="Times New Roman" w:hAnsi="Times New Roman" w:cs="Times New Roman"/>
                <w:color w:val="000000"/>
              </w:rPr>
              <w:t xml:space="preserve">5/60   </w:t>
            </w:r>
          </w:p>
        </w:tc>
        <w:tc>
          <w:tcPr>
            <w:tcW w:w="1350" w:type="dxa"/>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0582515E"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443930" w:rsidTr="00443930" w14:paraId="202D5997" w14:textId="77777777">
        <w:trPr>
          <w:cantSplit/>
          <w:trHeight w:val="555"/>
          <w:jc w:val="center"/>
        </w:trPr>
        <w:tc>
          <w:tcPr>
            <w:tcW w:w="2695" w:type="dxa"/>
            <w:vMerge w:val="restart"/>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64339C8C" w14:textId="77777777">
            <w:pPr>
              <w:spacing w:after="0" w:line="240" w:lineRule="auto"/>
              <w:rPr>
                <w:rFonts w:ascii="Times New Roman" w:hAnsi="Times New Roman" w:cs="Times New Roman"/>
              </w:rPr>
            </w:pPr>
            <w:r>
              <w:rPr>
                <w:rFonts w:ascii="Times New Roman" w:hAnsi="Times New Roman" w:cs="Times New Roman"/>
              </w:rPr>
              <w:t>Module completion</w:t>
            </w:r>
          </w:p>
        </w:tc>
        <w:tc>
          <w:tcPr>
            <w:tcW w:w="144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2B09966E" w14:textId="77777777">
            <w:pPr>
              <w:spacing w:after="0" w:line="240" w:lineRule="auto"/>
              <w:rPr>
                <w:rFonts w:ascii="Times New Roman" w:hAnsi="Times New Roman" w:cs="Times New Roman"/>
              </w:rPr>
            </w:pPr>
            <w:r>
              <w:rPr>
                <w:rFonts w:ascii="Times New Roman" w:hAnsi="Times New Roman" w:cs="Times New Roman"/>
                <w:color w:val="000000"/>
              </w:rPr>
              <w:t>Private sector</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29DCBF32"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105</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149FB4B6"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1</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4DE471E6" w14:textId="77777777">
            <w:pPr>
              <w:tabs>
                <w:tab w:val="right" w:pos="2361"/>
              </w:tabs>
              <w:spacing w:after="0" w:line="240" w:lineRule="auto"/>
              <w:jc w:val="center"/>
              <w:rPr>
                <w:rFonts w:ascii="Times New Roman" w:hAnsi="Times New Roman" w:cs="Times New Roman"/>
                <w:sz w:val="24"/>
                <w:szCs w:val="24"/>
              </w:rPr>
            </w:pPr>
            <w:r>
              <w:rPr>
                <w:rFonts w:ascii="Times New Roman" w:hAnsi="Times New Roman" w:cs="Times New Roman"/>
                <w:color w:val="000000"/>
              </w:rPr>
              <w:t xml:space="preserve">1 </w:t>
            </w:r>
          </w:p>
        </w:tc>
        <w:tc>
          <w:tcPr>
            <w:tcW w:w="1350" w:type="dxa"/>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4FF25ED8"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105</w:t>
            </w:r>
          </w:p>
        </w:tc>
      </w:tr>
      <w:tr w:rsidR="00443930" w:rsidTr="00443930" w14:paraId="5367BCBB" w14:textId="77777777">
        <w:trPr>
          <w:cantSplit/>
          <w:trHeight w:val="555"/>
          <w:jc w:val="center"/>
        </w:trPr>
        <w:tc>
          <w:tcPr>
            <w:tcW w:w="9535" w:type="dxa"/>
            <w:vMerge/>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06D2B686" w14:textId="77777777">
            <w:pPr>
              <w:spacing w:after="0"/>
              <w:rPr>
                <w:rFonts w:ascii="Times New Roman" w:hAnsi="Times New Roman" w:cs="Times New Roman"/>
              </w:rPr>
            </w:pPr>
          </w:p>
        </w:tc>
        <w:tc>
          <w:tcPr>
            <w:tcW w:w="144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5CB0DCCA" w14:textId="77777777">
            <w:pPr>
              <w:spacing w:after="0" w:line="240" w:lineRule="auto"/>
              <w:rPr>
                <w:rFonts w:ascii="Times New Roman" w:hAnsi="Times New Roman" w:cs="Times New Roman"/>
              </w:rPr>
            </w:pPr>
            <w:r>
              <w:rPr>
                <w:rFonts w:ascii="Times New Roman" w:hAnsi="Times New Roman" w:cs="Times New Roman"/>
                <w:color w:val="000000"/>
              </w:rPr>
              <w:t>Federal government</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08130E5F"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180</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5E1B15F2"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1</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5025D109" w14:textId="77777777">
            <w:pPr>
              <w:tabs>
                <w:tab w:val="right" w:pos="2361"/>
              </w:tabs>
              <w:spacing w:after="0" w:line="240" w:lineRule="auto"/>
              <w:jc w:val="center"/>
              <w:rPr>
                <w:rFonts w:ascii="Times New Roman" w:hAnsi="Times New Roman" w:cs="Times New Roman"/>
                <w:sz w:val="24"/>
                <w:szCs w:val="24"/>
              </w:rPr>
            </w:pPr>
            <w:r>
              <w:rPr>
                <w:rFonts w:ascii="Times New Roman" w:hAnsi="Times New Roman" w:cs="Times New Roman"/>
                <w:color w:val="000000"/>
              </w:rPr>
              <w:t xml:space="preserve">1      </w:t>
            </w:r>
          </w:p>
        </w:tc>
        <w:tc>
          <w:tcPr>
            <w:tcW w:w="1350" w:type="dxa"/>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55D1243B"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180</w:t>
            </w:r>
          </w:p>
        </w:tc>
      </w:tr>
      <w:tr w:rsidR="00443930" w:rsidTr="00443930" w14:paraId="119F5ECF" w14:textId="77777777">
        <w:trPr>
          <w:cantSplit/>
          <w:trHeight w:val="305"/>
          <w:jc w:val="center"/>
        </w:trPr>
        <w:tc>
          <w:tcPr>
            <w:tcW w:w="9535" w:type="dxa"/>
            <w:vMerge/>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4DC02ED8" w14:textId="77777777">
            <w:pPr>
              <w:spacing w:after="0"/>
              <w:rPr>
                <w:rFonts w:ascii="Times New Roman" w:hAnsi="Times New Roman" w:cs="Times New Roman"/>
              </w:rPr>
            </w:pPr>
          </w:p>
        </w:tc>
        <w:tc>
          <w:tcPr>
            <w:tcW w:w="144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60D1F74C" w14:textId="77777777">
            <w:pPr>
              <w:spacing w:after="0" w:line="240" w:lineRule="auto"/>
              <w:rPr>
                <w:rFonts w:ascii="Times New Roman" w:hAnsi="Times New Roman" w:cs="Times New Roman"/>
              </w:rPr>
            </w:pPr>
            <w:r>
              <w:rPr>
                <w:rFonts w:ascii="Times New Roman" w:hAnsi="Times New Roman" w:cs="Times New Roman"/>
                <w:color w:val="000000"/>
              </w:rPr>
              <w:t>Individual</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72090ED9"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15</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608B9EC7"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1</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6757338C" w14:textId="77777777">
            <w:pPr>
              <w:tabs>
                <w:tab w:val="right" w:pos="2361"/>
              </w:tabs>
              <w:spacing w:after="0" w:line="240" w:lineRule="auto"/>
              <w:jc w:val="center"/>
              <w:rPr>
                <w:rFonts w:ascii="Times New Roman" w:hAnsi="Times New Roman" w:cs="Times New Roman"/>
                <w:sz w:val="24"/>
                <w:szCs w:val="24"/>
              </w:rPr>
            </w:pPr>
            <w:r>
              <w:rPr>
                <w:rFonts w:ascii="Times New Roman" w:hAnsi="Times New Roman" w:cs="Times New Roman"/>
                <w:color w:val="000000"/>
              </w:rPr>
              <w:t xml:space="preserve">1      </w:t>
            </w:r>
          </w:p>
        </w:tc>
        <w:tc>
          <w:tcPr>
            <w:tcW w:w="1350" w:type="dxa"/>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17617A59"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r>
      <w:tr w:rsidR="00443930" w:rsidTr="00443930" w14:paraId="42505B20" w14:textId="77777777">
        <w:trPr>
          <w:cantSplit/>
          <w:trHeight w:val="555"/>
          <w:jc w:val="center"/>
        </w:trPr>
        <w:tc>
          <w:tcPr>
            <w:tcW w:w="2695" w:type="dxa"/>
            <w:vMerge w:val="restart"/>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2A04E0B3" w14:textId="77777777">
            <w:pPr>
              <w:spacing w:after="0" w:line="240" w:lineRule="auto"/>
              <w:rPr>
                <w:rFonts w:ascii="Times New Roman" w:hAnsi="Times New Roman" w:cs="Times New Roman"/>
              </w:rPr>
            </w:pPr>
            <w:r>
              <w:rPr>
                <w:rFonts w:ascii="Times New Roman" w:hAnsi="Times New Roman" w:cs="Times New Roman"/>
              </w:rPr>
              <w:t>Knowledge check</w:t>
            </w:r>
          </w:p>
        </w:tc>
        <w:tc>
          <w:tcPr>
            <w:tcW w:w="144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182D0108" w14:textId="77777777">
            <w:pPr>
              <w:spacing w:after="0" w:line="240" w:lineRule="auto"/>
              <w:rPr>
                <w:rFonts w:ascii="Times New Roman" w:hAnsi="Times New Roman" w:cs="Times New Roman"/>
              </w:rPr>
            </w:pPr>
            <w:r>
              <w:rPr>
                <w:rFonts w:ascii="Times New Roman" w:hAnsi="Times New Roman" w:cs="Times New Roman"/>
                <w:color w:val="000000"/>
              </w:rPr>
              <w:t>Private sector</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118D46C2"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105</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73E03273"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1</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7AFC6BE5" w14:textId="77777777">
            <w:pPr>
              <w:tabs>
                <w:tab w:val="right" w:pos="2361"/>
              </w:tabs>
              <w:spacing w:after="0" w:line="240" w:lineRule="auto"/>
              <w:jc w:val="center"/>
              <w:rPr>
                <w:rFonts w:ascii="Times New Roman" w:hAnsi="Times New Roman" w:cs="Times New Roman"/>
                <w:sz w:val="24"/>
                <w:szCs w:val="24"/>
              </w:rPr>
            </w:pPr>
            <w:r>
              <w:rPr>
                <w:rFonts w:ascii="Times New Roman" w:hAnsi="Times New Roman" w:cs="Times New Roman"/>
                <w:color w:val="000000"/>
              </w:rPr>
              <w:t xml:space="preserve">10/60      </w:t>
            </w:r>
          </w:p>
        </w:tc>
        <w:tc>
          <w:tcPr>
            <w:tcW w:w="1350" w:type="dxa"/>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40C435CA"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r>
      <w:tr w:rsidR="00443930" w:rsidTr="00443930" w14:paraId="658FBA62" w14:textId="77777777">
        <w:trPr>
          <w:cantSplit/>
          <w:trHeight w:val="555"/>
          <w:jc w:val="center"/>
        </w:trPr>
        <w:tc>
          <w:tcPr>
            <w:tcW w:w="9535" w:type="dxa"/>
            <w:vMerge/>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1FC4C52D" w14:textId="77777777">
            <w:pPr>
              <w:spacing w:after="0"/>
              <w:rPr>
                <w:rFonts w:ascii="Times New Roman" w:hAnsi="Times New Roman" w:cs="Times New Roman"/>
              </w:rPr>
            </w:pPr>
          </w:p>
        </w:tc>
        <w:tc>
          <w:tcPr>
            <w:tcW w:w="144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5ACD0E10" w14:textId="77777777">
            <w:pPr>
              <w:spacing w:after="0" w:line="240" w:lineRule="auto"/>
              <w:rPr>
                <w:rFonts w:ascii="Times New Roman" w:hAnsi="Times New Roman" w:cs="Times New Roman"/>
              </w:rPr>
            </w:pPr>
            <w:r>
              <w:rPr>
                <w:rFonts w:ascii="Times New Roman" w:hAnsi="Times New Roman" w:cs="Times New Roman"/>
                <w:color w:val="000000"/>
              </w:rPr>
              <w:t>Federal government</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07A156EE"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180</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53909724"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1</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6D032022" w14:textId="77777777">
            <w:pPr>
              <w:tabs>
                <w:tab w:val="right" w:pos="2361"/>
              </w:tabs>
              <w:spacing w:after="0" w:line="240" w:lineRule="auto"/>
              <w:jc w:val="center"/>
              <w:rPr>
                <w:rFonts w:ascii="Times New Roman" w:hAnsi="Times New Roman" w:cs="Times New Roman"/>
                <w:sz w:val="24"/>
                <w:szCs w:val="24"/>
              </w:rPr>
            </w:pPr>
            <w:r>
              <w:rPr>
                <w:rFonts w:ascii="Times New Roman" w:hAnsi="Times New Roman" w:cs="Times New Roman"/>
                <w:color w:val="000000"/>
              </w:rPr>
              <w:t xml:space="preserve">10/60      </w:t>
            </w:r>
          </w:p>
        </w:tc>
        <w:tc>
          <w:tcPr>
            <w:tcW w:w="1350" w:type="dxa"/>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2BF4B34F"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r>
      <w:tr w:rsidR="00443930" w:rsidTr="00443930" w14:paraId="0BB17CE2" w14:textId="77777777">
        <w:trPr>
          <w:cantSplit/>
          <w:trHeight w:val="206"/>
          <w:jc w:val="center"/>
        </w:trPr>
        <w:tc>
          <w:tcPr>
            <w:tcW w:w="9535" w:type="dxa"/>
            <w:vMerge/>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55EE35E4" w14:textId="77777777">
            <w:pPr>
              <w:spacing w:after="0"/>
              <w:rPr>
                <w:rFonts w:ascii="Times New Roman" w:hAnsi="Times New Roman" w:cs="Times New Roman"/>
              </w:rPr>
            </w:pPr>
          </w:p>
        </w:tc>
        <w:tc>
          <w:tcPr>
            <w:tcW w:w="144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2E964212" w14:textId="77777777">
            <w:pPr>
              <w:spacing w:after="0" w:line="240" w:lineRule="auto"/>
              <w:rPr>
                <w:rFonts w:ascii="Times New Roman" w:hAnsi="Times New Roman" w:cs="Times New Roman"/>
              </w:rPr>
            </w:pPr>
            <w:r>
              <w:rPr>
                <w:rFonts w:ascii="Times New Roman" w:hAnsi="Times New Roman" w:cs="Times New Roman"/>
                <w:color w:val="000000"/>
              </w:rPr>
              <w:t>Individual</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55718900"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15</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7FA1A461"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1</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772C2634" w14:textId="77777777">
            <w:pPr>
              <w:tabs>
                <w:tab w:val="right" w:pos="2361"/>
              </w:tabs>
              <w:spacing w:after="0" w:line="240" w:lineRule="auto"/>
              <w:jc w:val="center"/>
              <w:rPr>
                <w:rFonts w:ascii="Times New Roman" w:hAnsi="Times New Roman" w:cs="Times New Roman"/>
                <w:sz w:val="24"/>
                <w:szCs w:val="24"/>
              </w:rPr>
            </w:pPr>
            <w:r>
              <w:rPr>
                <w:rFonts w:ascii="Times New Roman" w:hAnsi="Times New Roman" w:cs="Times New Roman"/>
                <w:color w:val="000000"/>
              </w:rPr>
              <w:t xml:space="preserve">10/60      </w:t>
            </w:r>
          </w:p>
        </w:tc>
        <w:tc>
          <w:tcPr>
            <w:tcW w:w="1350" w:type="dxa"/>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73C29A97"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443930" w:rsidTr="00443930" w14:paraId="3B57AD8E" w14:textId="77777777">
        <w:trPr>
          <w:cantSplit/>
          <w:trHeight w:val="200"/>
          <w:jc w:val="center"/>
        </w:trPr>
        <w:tc>
          <w:tcPr>
            <w:tcW w:w="2695" w:type="dxa"/>
            <w:vMerge w:val="restart"/>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33109E7A" w14:textId="77777777">
            <w:pPr>
              <w:spacing w:after="0" w:line="240" w:lineRule="auto"/>
              <w:rPr>
                <w:rFonts w:ascii="Times New Roman" w:hAnsi="Times New Roman" w:cs="Times New Roman"/>
                <w:bCs/>
              </w:rPr>
            </w:pPr>
            <w:r>
              <w:rPr>
                <w:rFonts w:ascii="Times New Roman" w:hAnsi="Times New Roman" w:cs="Times New Roman"/>
                <w:bCs/>
              </w:rPr>
              <w:t>Module evaluation</w:t>
            </w:r>
          </w:p>
        </w:tc>
        <w:tc>
          <w:tcPr>
            <w:tcW w:w="144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1F9C86E3" w14:textId="77777777">
            <w:pPr>
              <w:spacing w:after="0" w:line="240" w:lineRule="auto"/>
              <w:rPr>
                <w:rFonts w:ascii="Times New Roman" w:hAnsi="Times New Roman" w:cs="Times New Roman"/>
                <w:b/>
              </w:rPr>
            </w:pPr>
            <w:r>
              <w:rPr>
                <w:rFonts w:ascii="Times New Roman" w:hAnsi="Times New Roman" w:cs="Times New Roman"/>
                <w:color w:val="000000"/>
              </w:rPr>
              <w:t>Private sector</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52EF80C4" w14:textId="77777777">
            <w:pPr>
              <w:spacing w:after="0" w:line="240" w:lineRule="auto"/>
              <w:jc w:val="center"/>
              <w:rPr>
                <w:rFonts w:ascii="Times New Roman" w:hAnsi="Times New Roman" w:cs="Times New Roman"/>
                <w:b/>
              </w:rPr>
            </w:pPr>
            <w:r>
              <w:rPr>
                <w:rFonts w:ascii="Times New Roman" w:hAnsi="Times New Roman" w:cs="Times New Roman"/>
                <w:color w:val="000000"/>
              </w:rPr>
              <w:t>17</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492BB1EC" w14:textId="77777777">
            <w:pPr>
              <w:spacing w:after="0" w:line="240" w:lineRule="auto"/>
              <w:jc w:val="center"/>
              <w:rPr>
                <w:rFonts w:ascii="Times New Roman" w:hAnsi="Times New Roman" w:cs="Times New Roman"/>
                <w:b/>
              </w:rPr>
            </w:pPr>
            <w:r>
              <w:rPr>
                <w:rFonts w:ascii="Times New Roman" w:hAnsi="Times New Roman" w:cs="Times New Roman"/>
                <w:color w:val="000000"/>
              </w:rPr>
              <w:t>1</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2C5598F5" w14:textId="77777777">
            <w:pPr>
              <w:spacing w:after="0" w:line="240" w:lineRule="auto"/>
              <w:jc w:val="center"/>
              <w:rPr>
                <w:rFonts w:ascii="Times New Roman" w:hAnsi="Times New Roman" w:cs="Times New Roman"/>
                <w:b/>
              </w:rPr>
            </w:pPr>
            <w:r>
              <w:rPr>
                <w:rFonts w:ascii="Times New Roman" w:hAnsi="Times New Roman" w:cs="Times New Roman"/>
                <w:color w:val="000000"/>
              </w:rPr>
              <w:t xml:space="preserve">5/60      </w:t>
            </w:r>
          </w:p>
        </w:tc>
        <w:tc>
          <w:tcPr>
            <w:tcW w:w="1350" w:type="dxa"/>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6AD9A9E5" w14:textId="77777777">
            <w:pPr>
              <w:spacing w:after="0" w:line="240" w:lineRule="auto"/>
              <w:jc w:val="center"/>
              <w:rPr>
                <w:rFonts w:ascii="Times New Roman" w:hAnsi="Times New Roman" w:cs="Times New Roman"/>
                <w:b/>
              </w:rPr>
            </w:pPr>
            <w:r>
              <w:rPr>
                <w:rFonts w:ascii="Times New Roman" w:hAnsi="Times New Roman" w:cs="Times New Roman"/>
                <w:sz w:val="24"/>
                <w:szCs w:val="24"/>
              </w:rPr>
              <w:t>1</w:t>
            </w:r>
          </w:p>
        </w:tc>
      </w:tr>
      <w:tr w:rsidR="00443930" w:rsidTr="00443930" w14:paraId="67532DD9" w14:textId="77777777">
        <w:trPr>
          <w:cantSplit/>
          <w:trHeight w:val="200"/>
          <w:jc w:val="center"/>
        </w:trPr>
        <w:tc>
          <w:tcPr>
            <w:tcW w:w="9535" w:type="dxa"/>
            <w:vMerge/>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2DA9E1B3" w14:textId="77777777">
            <w:pPr>
              <w:spacing w:after="0"/>
              <w:rPr>
                <w:rFonts w:ascii="Times New Roman" w:hAnsi="Times New Roman" w:cs="Times New Roman"/>
                <w:bCs/>
              </w:rPr>
            </w:pPr>
          </w:p>
        </w:tc>
        <w:tc>
          <w:tcPr>
            <w:tcW w:w="144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694463F2" w14:textId="77777777">
            <w:pPr>
              <w:spacing w:after="0" w:line="240" w:lineRule="auto"/>
              <w:rPr>
                <w:rFonts w:ascii="Times New Roman" w:hAnsi="Times New Roman" w:cs="Times New Roman"/>
                <w:b/>
              </w:rPr>
            </w:pPr>
            <w:r>
              <w:rPr>
                <w:rFonts w:ascii="Times New Roman" w:hAnsi="Times New Roman" w:cs="Times New Roman"/>
                <w:color w:val="000000"/>
              </w:rPr>
              <w:t>Federal government</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7FBB2589" w14:textId="77777777">
            <w:pPr>
              <w:spacing w:after="0" w:line="240" w:lineRule="auto"/>
              <w:jc w:val="center"/>
              <w:rPr>
                <w:rFonts w:ascii="Times New Roman" w:hAnsi="Times New Roman" w:cs="Times New Roman"/>
                <w:b/>
              </w:rPr>
            </w:pPr>
            <w:r>
              <w:rPr>
                <w:rFonts w:ascii="Times New Roman" w:hAnsi="Times New Roman" w:cs="Times New Roman"/>
                <w:color w:val="000000"/>
              </w:rPr>
              <w:t>30</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499BE4D1" w14:textId="77777777">
            <w:pPr>
              <w:spacing w:after="0" w:line="240" w:lineRule="auto"/>
              <w:jc w:val="center"/>
              <w:rPr>
                <w:rFonts w:ascii="Times New Roman" w:hAnsi="Times New Roman" w:cs="Times New Roman"/>
                <w:b/>
              </w:rPr>
            </w:pPr>
            <w:r>
              <w:rPr>
                <w:rFonts w:ascii="Times New Roman" w:hAnsi="Times New Roman" w:cs="Times New Roman"/>
                <w:color w:val="000000"/>
              </w:rPr>
              <w:t>1</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7CA5FD10" w14:textId="77777777">
            <w:pPr>
              <w:spacing w:after="0" w:line="240" w:lineRule="auto"/>
              <w:jc w:val="center"/>
              <w:rPr>
                <w:rFonts w:ascii="Times New Roman" w:hAnsi="Times New Roman" w:cs="Times New Roman"/>
                <w:b/>
              </w:rPr>
            </w:pPr>
            <w:r>
              <w:rPr>
                <w:rFonts w:ascii="Times New Roman" w:hAnsi="Times New Roman" w:cs="Times New Roman"/>
                <w:color w:val="000000"/>
              </w:rPr>
              <w:t>5/60</w:t>
            </w:r>
          </w:p>
        </w:tc>
        <w:tc>
          <w:tcPr>
            <w:tcW w:w="1350" w:type="dxa"/>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06EA5889" w14:textId="77777777">
            <w:pPr>
              <w:spacing w:after="0" w:line="240" w:lineRule="auto"/>
              <w:jc w:val="center"/>
              <w:rPr>
                <w:rFonts w:ascii="Times New Roman" w:hAnsi="Times New Roman" w:cs="Times New Roman"/>
                <w:b/>
              </w:rPr>
            </w:pPr>
            <w:r>
              <w:rPr>
                <w:rFonts w:ascii="Times New Roman" w:hAnsi="Times New Roman" w:cs="Times New Roman"/>
                <w:sz w:val="24"/>
                <w:szCs w:val="24"/>
              </w:rPr>
              <w:t>3</w:t>
            </w:r>
          </w:p>
        </w:tc>
      </w:tr>
      <w:tr w:rsidR="00443930" w:rsidTr="00443930" w14:paraId="214C077B" w14:textId="77777777">
        <w:trPr>
          <w:cantSplit/>
          <w:trHeight w:val="346"/>
          <w:jc w:val="center"/>
        </w:trPr>
        <w:tc>
          <w:tcPr>
            <w:tcW w:w="9535" w:type="dxa"/>
            <w:vMerge/>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7D12D2DE" w14:textId="77777777">
            <w:pPr>
              <w:spacing w:after="0"/>
              <w:rPr>
                <w:rFonts w:ascii="Times New Roman" w:hAnsi="Times New Roman" w:cs="Times New Roman"/>
                <w:bCs/>
              </w:rPr>
            </w:pPr>
          </w:p>
        </w:tc>
        <w:tc>
          <w:tcPr>
            <w:tcW w:w="144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56308436" w14:textId="77777777">
            <w:pPr>
              <w:spacing w:after="0" w:line="240" w:lineRule="auto"/>
              <w:rPr>
                <w:rFonts w:ascii="Times New Roman" w:hAnsi="Times New Roman" w:cs="Times New Roman"/>
                <w:b/>
              </w:rPr>
            </w:pPr>
            <w:r>
              <w:rPr>
                <w:rFonts w:ascii="Times New Roman" w:hAnsi="Times New Roman" w:cs="Times New Roman"/>
                <w:color w:val="000000"/>
              </w:rPr>
              <w:t>Individual</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1E4CE54F" w14:textId="77777777">
            <w:pPr>
              <w:spacing w:after="0" w:line="240" w:lineRule="auto"/>
              <w:jc w:val="center"/>
              <w:rPr>
                <w:rFonts w:ascii="Times New Roman" w:hAnsi="Times New Roman" w:cs="Times New Roman"/>
                <w:b/>
              </w:rPr>
            </w:pPr>
            <w:r>
              <w:rPr>
                <w:rFonts w:ascii="Times New Roman" w:hAnsi="Times New Roman" w:cs="Times New Roman"/>
                <w:color w:val="000000"/>
              </w:rPr>
              <w:t>3</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0705CB70" w14:textId="77777777">
            <w:pPr>
              <w:spacing w:after="0" w:line="240" w:lineRule="auto"/>
              <w:jc w:val="center"/>
              <w:rPr>
                <w:rFonts w:ascii="Times New Roman" w:hAnsi="Times New Roman" w:cs="Times New Roman"/>
                <w:b/>
              </w:rPr>
            </w:pPr>
            <w:r>
              <w:rPr>
                <w:rFonts w:ascii="Times New Roman" w:hAnsi="Times New Roman" w:cs="Times New Roman"/>
                <w:color w:val="000000"/>
              </w:rPr>
              <w:t>1</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045A42F6" w14:textId="77777777">
            <w:pPr>
              <w:spacing w:after="0" w:line="240" w:lineRule="auto"/>
              <w:jc w:val="center"/>
              <w:rPr>
                <w:rFonts w:ascii="Times New Roman" w:hAnsi="Times New Roman" w:cs="Times New Roman"/>
                <w:b/>
              </w:rPr>
            </w:pPr>
            <w:r>
              <w:rPr>
                <w:rFonts w:ascii="Times New Roman" w:hAnsi="Times New Roman" w:cs="Times New Roman"/>
                <w:color w:val="000000"/>
              </w:rPr>
              <w:t xml:space="preserve">5/60   </w:t>
            </w:r>
          </w:p>
        </w:tc>
        <w:tc>
          <w:tcPr>
            <w:tcW w:w="1350" w:type="dxa"/>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15C77E7C" w14:textId="77777777">
            <w:pPr>
              <w:spacing w:after="0" w:line="240" w:lineRule="auto"/>
              <w:jc w:val="center"/>
              <w:rPr>
                <w:rFonts w:ascii="Times New Roman" w:hAnsi="Times New Roman" w:cs="Times New Roman"/>
                <w:b/>
              </w:rPr>
            </w:pPr>
            <w:r>
              <w:rPr>
                <w:rFonts w:ascii="Times New Roman" w:hAnsi="Times New Roman" w:cs="Times New Roman"/>
                <w:sz w:val="24"/>
                <w:szCs w:val="24"/>
              </w:rPr>
              <w:t>0</w:t>
            </w:r>
          </w:p>
        </w:tc>
      </w:tr>
      <w:tr w:rsidR="00443930" w:rsidTr="00443930" w14:paraId="1A14E4C7" w14:textId="77777777">
        <w:trPr>
          <w:cantSplit/>
          <w:trHeight w:val="506"/>
          <w:jc w:val="center"/>
        </w:trPr>
        <w:tc>
          <w:tcPr>
            <w:tcW w:w="2695" w:type="dxa"/>
            <w:vMerge w:val="restart"/>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7CC7C881" w14:textId="77777777">
            <w:pPr>
              <w:spacing w:after="0" w:line="240" w:lineRule="auto"/>
              <w:rPr>
                <w:rFonts w:ascii="Times New Roman" w:hAnsi="Times New Roman" w:cs="Times New Roman"/>
              </w:rPr>
            </w:pPr>
            <w:r>
              <w:rPr>
                <w:rFonts w:ascii="Times New Roman" w:hAnsi="Times New Roman" w:cs="Times New Roman"/>
              </w:rPr>
              <w:t>Outcomes evaluation</w:t>
            </w:r>
          </w:p>
        </w:tc>
        <w:tc>
          <w:tcPr>
            <w:tcW w:w="144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1764005E" w14:textId="77777777">
            <w:pPr>
              <w:spacing w:after="0" w:line="240" w:lineRule="auto"/>
              <w:rPr>
                <w:rFonts w:ascii="Times New Roman" w:hAnsi="Times New Roman" w:cs="Times New Roman"/>
              </w:rPr>
            </w:pPr>
            <w:r>
              <w:rPr>
                <w:rFonts w:ascii="Times New Roman" w:hAnsi="Times New Roman" w:cs="Times New Roman"/>
                <w:color w:val="000000"/>
              </w:rPr>
              <w:t>Private sector</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726EC13B"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17</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1DF7DF49"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1</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493DA7E5" w14:textId="77777777">
            <w:pPr>
              <w:tabs>
                <w:tab w:val="right" w:pos="2361"/>
              </w:tabs>
              <w:spacing w:after="0" w:line="240" w:lineRule="auto"/>
              <w:jc w:val="center"/>
              <w:rPr>
                <w:rFonts w:ascii="Times New Roman" w:hAnsi="Times New Roman" w:cs="Times New Roman"/>
                <w:sz w:val="24"/>
                <w:szCs w:val="24"/>
              </w:rPr>
            </w:pPr>
            <w:r>
              <w:rPr>
                <w:rFonts w:ascii="Times New Roman" w:hAnsi="Times New Roman" w:cs="Times New Roman"/>
                <w:color w:val="000000"/>
              </w:rPr>
              <w:t xml:space="preserve">5/60      </w:t>
            </w:r>
          </w:p>
        </w:tc>
        <w:tc>
          <w:tcPr>
            <w:tcW w:w="1350" w:type="dxa"/>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5D5ED4C1"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443930" w:rsidTr="00443930" w14:paraId="6DE2DCE4" w14:textId="77777777">
        <w:trPr>
          <w:cantSplit/>
          <w:trHeight w:val="506"/>
          <w:jc w:val="center"/>
        </w:trPr>
        <w:tc>
          <w:tcPr>
            <w:tcW w:w="9535" w:type="dxa"/>
            <w:vMerge/>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2E997904" w14:textId="77777777">
            <w:pPr>
              <w:spacing w:after="0"/>
              <w:rPr>
                <w:rFonts w:ascii="Times New Roman" w:hAnsi="Times New Roman" w:cs="Times New Roman"/>
              </w:rPr>
            </w:pPr>
          </w:p>
        </w:tc>
        <w:tc>
          <w:tcPr>
            <w:tcW w:w="144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50C4564F" w14:textId="77777777">
            <w:pPr>
              <w:spacing w:after="0" w:line="240" w:lineRule="auto"/>
              <w:rPr>
                <w:rFonts w:ascii="Times New Roman" w:hAnsi="Times New Roman" w:cs="Times New Roman"/>
              </w:rPr>
            </w:pPr>
            <w:r>
              <w:rPr>
                <w:rFonts w:ascii="Times New Roman" w:hAnsi="Times New Roman" w:cs="Times New Roman"/>
                <w:color w:val="000000"/>
              </w:rPr>
              <w:t>Federal government</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172FF5F5"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30</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25FB8901"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1</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3DC3AC67" w14:textId="77777777">
            <w:pPr>
              <w:tabs>
                <w:tab w:val="right" w:pos="2361"/>
              </w:tabs>
              <w:spacing w:after="0" w:line="240" w:lineRule="auto"/>
              <w:jc w:val="center"/>
              <w:rPr>
                <w:rFonts w:ascii="Times New Roman" w:hAnsi="Times New Roman" w:cs="Times New Roman"/>
                <w:sz w:val="24"/>
                <w:szCs w:val="24"/>
              </w:rPr>
            </w:pPr>
            <w:r>
              <w:rPr>
                <w:rFonts w:ascii="Times New Roman" w:hAnsi="Times New Roman" w:cs="Times New Roman"/>
                <w:color w:val="000000"/>
              </w:rPr>
              <w:t>5/60</w:t>
            </w:r>
          </w:p>
        </w:tc>
        <w:tc>
          <w:tcPr>
            <w:tcW w:w="1350" w:type="dxa"/>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16B9B85F"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443930" w:rsidTr="00443930" w14:paraId="6186AA5F" w14:textId="77777777">
        <w:trPr>
          <w:cantSplit/>
          <w:trHeight w:val="170"/>
          <w:jc w:val="center"/>
        </w:trPr>
        <w:tc>
          <w:tcPr>
            <w:tcW w:w="9535" w:type="dxa"/>
            <w:vMerge/>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33410280" w14:textId="77777777">
            <w:pPr>
              <w:spacing w:after="0"/>
              <w:rPr>
                <w:rFonts w:ascii="Times New Roman" w:hAnsi="Times New Roman" w:cs="Times New Roman"/>
              </w:rPr>
            </w:pPr>
          </w:p>
        </w:tc>
        <w:tc>
          <w:tcPr>
            <w:tcW w:w="144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6009C316" w14:textId="77777777">
            <w:pPr>
              <w:spacing w:after="0" w:line="240" w:lineRule="auto"/>
              <w:rPr>
                <w:rFonts w:ascii="Times New Roman" w:hAnsi="Times New Roman" w:cs="Times New Roman"/>
              </w:rPr>
            </w:pPr>
            <w:r>
              <w:rPr>
                <w:rFonts w:ascii="Times New Roman" w:hAnsi="Times New Roman" w:cs="Times New Roman"/>
                <w:color w:val="000000"/>
              </w:rPr>
              <w:t>Individual</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718E13FB"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3</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72A18116"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1</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38E22167" w14:textId="77777777">
            <w:pPr>
              <w:tabs>
                <w:tab w:val="right" w:pos="2361"/>
              </w:tabs>
              <w:spacing w:after="0" w:line="240" w:lineRule="auto"/>
              <w:jc w:val="center"/>
              <w:rPr>
                <w:rFonts w:ascii="Times New Roman" w:hAnsi="Times New Roman" w:cs="Times New Roman"/>
                <w:sz w:val="24"/>
                <w:szCs w:val="24"/>
              </w:rPr>
            </w:pPr>
            <w:r>
              <w:rPr>
                <w:rFonts w:ascii="Times New Roman" w:hAnsi="Times New Roman" w:cs="Times New Roman"/>
                <w:color w:val="000000"/>
              </w:rPr>
              <w:t xml:space="preserve">5/60   </w:t>
            </w:r>
          </w:p>
        </w:tc>
        <w:tc>
          <w:tcPr>
            <w:tcW w:w="1350" w:type="dxa"/>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5628425C"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bookmarkEnd w:id="54"/>
      </w:tr>
      <w:tr w:rsidR="00443930" w:rsidTr="00443930" w14:paraId="6C0E7964" w14:textId="77777777">
        <w:trPr>
          <w:cantSplit/>
          <w:trHeight w:val="273"/>
          <w:jc w:val="center"/>
        </w:trPr>
        <w:tc>
          <w:tcPr>
            <w:tcW w:w="9535" w:type="dxa"/>
            <w:gridSpan w:val="10"/>
            <w:tcBorders>
              <w:top w:val="single" w:color="auto" w:sz="4" w:space="0"/>
              <w:left w:val="single" w:color="auto" w:sz="4" w:space="0"/>
              <w:bottom w:val="single" w:color="auto" w:sz="4" w:space="0"/>
              <w:right w:val="single" w:color="auto" w:sz="4" w:space="0"/>
            </w:tcBorders>
          </w:tcPr>
          <w:p w:rsidR="00443930" w:rsidP="00443930" w:rsidRDefault="00443930" w14:paraId="0642EE62" w14:textId="77777777">
            <w:pPr>
              <w:spacing w:after="0" w:line="240" w:lineRule="auto"/>
              <w:jc w:val="center"/>
              <w:rPr>
                <w:rFonts w:ascii="Times New Roman" w:hAnsi="Times New Roman" w:cs="Times New Roman"/>
                <w:b/>
              </w:rPr>
            </w:pPr>
          </w:p>
          <w:p w:rsidR="00443930" w:rsidP="00443930" w:rsidRDefault="00443930" w14:paraId="50BFE058" w14:textId="77777777">
            <w:pPr>
              <w:spacing w:after="0" w:line="480" w:lineRule="auto"/>
              <w:jc w:val="center"/>
              <w:rPr>
                <w:rFonts w:ascii="Times New Roman" w:hAnsi="Times New Roman" w:cs="Times New Roman"/>
                <w:b/>
              </w:rPr>
            </w:pPr>
            <w:r>
              <w:rPr>
                <w:rFonts w:ascii="Times New Roman" w:hAnsi="Times New Roman" w:cs="Times New Roman"/>
                <w:b/>
              </w:rPr>
              <w:t>Bench to Bedside: Endocrinology Module</w:t>
            </w:r>
          </w:p>
        </w:tc>
      </w:tr>
      <w:tr w:rsidR="00443930" w:rsidTr="00443930" w14:paraId="3A55D053" w14:textId="77777777">
        <w:trPr>
          <w:cantSplit/>
          <w:trHeight w:val="555"/>
          <w:jc w:val="center"/>
        </w:trPr>
        <w:tc>
          <w:tcPr>
            <w:tcW w:w="2695" w:type="dxa"/>
            <w:vMerge w:val="restart"/>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0253E0FA" w14:textId="77777777">
            <w:pPr>
              <w:spacing w:after="0" w:line="240" w:lineRule="auto"/>
              <w:rPr>
                <w:rFonts w:ascii="Times New Roman" w:hAnsi="Times New Roman" w:cs="Times New Roman"/>
              </w:rPr>
            </w:pPr>
            <w:r>
              <w:rPr>
                <w:rFonts w:ascii="Times New Roman" w:hAnsi="Times New Roman" w:cs="Times New Roman"/>
              </w:rPr>
              <w:t>Attitude survey pre- and post- test</w:t>
            </w:r>
          </w:p>
        </w:tc>
        <w:tc>
          <w:tcPr>
            <w:tcW w:w="144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66EA7CCF" w14:textId="77777777">
            <w:pPr>
              <w:spacing w:after="0" w:line="240" w:lineRule="auto"/>
              <w:rPr>
                <w:rFonts w:ascii="Times New Roman" w:hAnsi="Times New Roman" w:cs="Times New Roman"/>
              </w:rPr>
            </w:pPr>
            <w:r>
              <w:rPr>
                <w:rFonts w:ascii="Times New Roman" w:hAnsi="Times New Roman" w:cs="Times New Roman"/>
                <w:color w:val="000000"/>
              </w:rPr>
              <w:t>Private sector</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4CC2EE90"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105</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6D46E13A"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2</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533B62E2" w14:textId="77777777">
            <w:pPr>
              <w:tabs>
                <w:tab w:val="right" w:pos="2361"/>
              </w:tabs>
              <w:spacing w:after="0" w:line="240" w:lineRule="auto"/>
              <w:jc w:val="center"/>
              <w:rPr>
                <w:rFonts w:ascii="Times New Roman" w:hAnsi="Times New Roman" w:cs="Times New Roman"/>
                <w:sz w:val="24"/>
                <w:szCs w:val="24"/>
              </w:rPr>
            </w:pPr>
            <w:r>
              <w:rPr>
                <w:rFonts w:ascii="Times New Roman" w:hAnsi="Times New Roman" w:cs="Times New Roman"/>
                <w:color w:val="000000"/>
              </w:rPr>
              <w:t xml:space="preserve">5/60      </w:t>
            </w:r>
          </w:p>
        </w:tc>
        <w:tc>
          <w:tcPr>
            <w:tcW w:w="1350" w:type="dxa"/>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284D58D6"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r>
      <w:tr w:rsidR="00443930" w:rsidTr="00443930" w14:paraId="70FA3A63" w14:textId="77777777">
        <w:trPr>
          <w:cantSplit/>
          <w:trHeight w:val="555"/>
          <w:jc w:val="center"/>
        </w:trPr>
        <w:tc>
          <w:tcPr>
            <w:tcW w:w="9535" w:type="dxa"/>
            <w:vMerge/>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0925DE0B" w14:textId="77777777">
            <w:pPr>
              <w:spacing w:after="0"/>
              <w:rPr>
                <w:rFonts w:ascii="Times New Roman" w:hAnsi="Times New Roman" w:cs="Times New Roman"/>
              </w:rPr>
            </w:pPr>
          </w:p>
        </w:tc>
        <w:tc>
          <w:tcPr>
            <w:tcW w:w="144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0CC3EFF7" w14:textId="77777777">
            <w:pPr>
              <w:spacing w:after="0" w:line="240" w:lineRule="auto"/>
              <w:rPr>
                <w:rFonts w:ascii="Times New Roman" w:hAnsi="Times New Roman" w:cs="Times New Roman"/>
              </w:rPr>
            </w:pPr>
            <w:r>
              <w:rPr>
                <w:rFonts w:ascii="Times New Roman" w:hAnsi="Times New Roman" w:cs="Times New Roman"/>
                <w:color w:val="000000"/>
              </w:rPr>
              <w:t>Federal government</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53D99166"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180</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5CABD882"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2</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479DE6FE" w14:textId="77777777">
            <w:pPr>
              <w:tabs>
                <w:tab w:val="right" w:pos="2361"/>
              </w:tabs>
              <w:spacing w:after="0" w:line="240" w:lineRule="auto"/>
              <w:jc w:val="center"/>
              <w:rPr>
                <w:rFonts w:ascii="Times New Roman" w:hAnsi="Times New Roman" w:cs="Times New Roman"/>
                <w:sz w:val="24"/>
                <w:szCs w:val="24"/>
              </w:rPr>
            </w:pPr>
            <w:r>
              <w:rPr>
                <w:rFonts w:ascii="Times New Roman" w:hAnsi="Times New Roman" w:cs="Times New Roman"/>
                <w:color w:val="000000"/>
              </w:rPr>
              <w:t>5/60</w:t>
            </w:r>
          </w:p>
        </w:tc>
        <w:tc>
          <w:tcPr>
            <w:tcW w:w="1350" w:type="dxa"/>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0FB36A1B"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r>
      <w:tr w:rsidR="00443930" w:rsidTr="00443930" w14:paraId="45477048" w14:textId="77777777">
        <w:trPr>
          <w:cantSplit/>
          <w:trHeight w:val="440"/>
          <w:jc w:val="center"/>
        </w:trPr>
        <w:tc>
          <w:tcPr>
            <w:tcW w:w="9535" w:type="dxa"/>
            <w:vMerge/>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4A9EEB17" w14:textId="77777777">
            <w:pPr>
              <w:spacing w:after="0"/>
              <w:rPr>
                <w:rFonts w:ascii="Times New Roman" w:hAnsi="Times New Roman" w:cs="Times New Roman"/>
              </w:rPr>
            </w:pPr>
          </w:p>
        </w:tc>
        <w:tc>
          <w:tcPr>
            <w:tcW w:w="144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4DADA666" w14:textId="77777777">
            <w:pPr>
              <w:spacing w:after="0" w:line="240" w:lineRule="auto"/>
              <w:rPr>
                <w:rFonts w:ascii="Times New Roman" w:hAnsi="Times New Roman" w:cs="Times New Roman"/>
              </w:rPr>
            </w:pPr>
            <w:r>
              <w:rPr>
                <w:rFonts w:ascii="Times New Roman" w:hAnsi="Times New Roman" w:cs="Times New Roman"/>
                <w:color w:val="000000"/>
              </w:rPr>
              <w:t>Individual</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19D5771E"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15</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2D476821"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2</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2772969A" w14:textId="77777777">
            <w:pPr>
              <w:tabs>
                <w:tab w:val="right" w:pos="2361"/>
              </w:tabs>
              <w:spacing w:after="0" w:line="240" w:lineRule="auto"/>
              <w:jc w:val="center"/>
              <w:rPr>
                <w:rFonts w:ascii="Times New Roman" w:hAnsi="Times New Roman" w:cs="Times New Roman"/>
                <w:sz w:val="24"/>
                <w:szCs w:val="24"/>
              </w:rPr>
            </w:pPr>
            <w:r>
              <w:rPr>
                <w:rFonts w:ascii="Times New Roman" w:hAnsi="Times New Roman" w:cs="Times New Roman"/>
                <w:color w:val="000000"/>
              </w:rPr>
              <w:t xml:space="preserve">5/60   </w:t>
            </w:r>
          </w:p>
        </w:tc>
        <w:tc>
          <w:tcPr>
            <w:tcW w:w="1350" w:type="dxa"/>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720858E6"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443930" w:rsidTr="00443930" w14:paraId="0AE07118" w14:textId="77777777">
        <w:trPr>
          <w:cantSplit/>
          <w:trHeight w:val="555"/>
          <w:jc w:val="center"/>
        </w:trPr>
        <w:tc>
          <w:tcPr>
            <w:tcW w:w="2695" w:type="dxa"/>
            <w:vMerge w:val="restart"/>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60AB5664" w14:textId="77777777">
            <w:pPr>
              <w:spacing w:after="0" w:line="240" w:lineRule="auto"/>
              <w:rPr>
                <w:rFonts w:ascii="Times New Roman" w:hAnsi="Times New Roman" w:cs="Times New Roman"/>
              </w:rPr>
            </w:pPr>
            <w:r>
              <w:rPr>
                <w:rFonts w:ascii="Times New Roman" w:hAnsi="Times New Roman" w:cs="Times New Roman"/>
              </w:rPr>
              <w:t>Module completion</w:t>
            </w:r>
          </w:p>
        </w:tc>
        <w:tc>
          <w:tcPr>
            <w:tcW w:w="144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281E2B2C" w14:textId="77777777">
            <w:pPr>
              <w:spacing w:after="0" w:line="240" w:lineRule="auto"/>
              <w:rPr>
                <w:rFonts w:ascii="Times New Roman" w:hAnsi="Times New Roman" w:cs="Times New Roman"/>
              </w:rPr>
            </w:pPr>
            <w:r>
              <w:rPr>
                <w:rFonts w:ascii="Times New Roman" w:hAnsi="Times New Roman" w:cs="Times New Roman"/>
                <w:color w:val="000000"/>
              </w:rPr>
              <w:t>Private sector</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286AFF97"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105</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2BDC1E12"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1</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367A66B1" w14:textId="77777777">
            <w:pPr>
              <w:tabs>
                <w:tab w:val="right" w:pos="2361"/>
              </w:tabs>
              <w:spacing w:after="0" w:line="240" w:lineRule="auto"/>
              <w:jc w:val="center"/>
              <w:rPr>
                <w:rFonts w:ascii="Times New Roman" w:hAnsi="Times New Roman" w:cs="Times New Roman"/>
                <w:sz w:val="24"/>
                <w:szCs w:val="24"/>
              </w:rPr>
            </w:pPr>
            <w:r>
              <w:rPr>
                <w:rFonts w:ascii="Times New Roman" w:hAnsi="Times New Roman" w:cs="Times New Roman"/>
                <w:color w:val="000000"/>
              </w:rPr>
              <w:t xml:space="preserve">1 </w:t>
            </w:r>
          </w:p>
        </w:tc>
        <w:tc>
          <w:tcPr>
            <w:tcW w:w="1350" w:type="dxa"/>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10C25917"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105</w:t>
            </w:r>
          </w:p>
        </w:tc>
      </w:tr>
      <w:tr w:rsidR="00443930" w:rsidTr="00443930" w14:paraId="5C1295C4" w14:textId="77777777">
        <w:trPr>
          <w:cantSplit/>
          <w:trHeight w:val="555"/>
          <w:jc w:val="center"/>
        </w:trPr>
        <w:tc>
          <w:tcPr>
            <w:tcW w:w="9535" w:type="dxa"/>
            <w:vMerge/>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5F5F5FDD" w14:textId="77777777">
            <w:pPr>
              <w:spacing w:after="0"/>
              <w:rPr>
                <w:rFonts w:ascii="Times New Roman" w:hAnsi="Times New Roman" w:cs="Times New Roman"/>
              </w:rPr>
            </w:pPr>
          </w:p>
        </w:tc>
        <w:tc>
          <w:tcPr>
            <w:tcW w:w="144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68ED7953" w14:textId="77777777">
            <w:pPr>
              <w:spacing w:after="0" w:line="240" w:lineRule="auto"/>
              <w:rPr>
                <w:rFonts w:ascii="Times New Roman" w:hAnsi="Times New Roman" w:cs="Times New Roman"/>
              </w:rPr>
            </w:pPr>
            <w:r>
              <w:rPr>
                <w:rFonts w:ascii="Times New Roman" w:hAnsi="Times New Roman" w:cs="Times New Roman"/>
                <w:color w:val="000000"/>
              </w:rPr>
              <w:t>Federal government</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79544F66"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180</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3276EBA0"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1</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173A1E70" w14:textId="77777777">
            <w:pPr>
              <w:tabs>
                <w:tab w:val="right" w:pos="2361"/>
              </w:tabs>
              <w:spacing w:after="0" w:line="240" w:lineRule="auto"/>
              <w:jc w:val="center"/>
              <w:rPr>
                <w:rFonts w:ascii="Times New Roman" w:hAnsi="Times New Roman" w:cs="Times New Roman"/>
                <w:sz w:val="24"/>
                <w:szCs w:val="24"/>
              </w:rPr>
            </w:pPr>
            <w:r>
              <w:rPr>
                <w:rFonts w:ascii="Times New Roman" w:hAnsi="Times New Roman" w:cs="Times New Roman"/>
                <w:color w:val="000000"/>
              </w:rPr>
              <w:t xml:space="preserve">1      </w:t>
            </w:r>
          </w:p>
        </w:tc>
        <w:tc>
          <w:tcPr>
            <w:tcW w:w="1350" w:type="dxa"/>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2BAE62D7"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180</w:t>
            </w:r>
          </w:p>
        </w:tc>
      </w:tr>
      <w:tr w:rsidR="00443930" w:rsidTr="00443930" w14:paraId="09AE6F10" w14:textId="77777777">
        <w:trPr>
          <w:cantSplit/>
          <w:trHeight w:val="305"/>
          <w:jc w:val="center"/>
        </w:trPr>
        <w:tc>
          <w:tcPr>
            <w:tcW w:w="9535" w:type="dxa"/>
            <w:vMerge/>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50085ADE" w14:textId="77777777">
            <w:pPr>
              <w:spacing w:after="0"/>
              <w:rPr>
                <w:rFonts w:ascii="Times New Roman" w:hAnsi="Times New Roman" w:cs="Times New Roman"/>
              </w:rPr>
            </w:pPr>
          </w:p>
        </w:tc>
        <w:tc>
          <w:tcPr>
            <w:tcW w:w="144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6B92C83E" w14:textId="77777777">
            <w:pPr>
              <w:spacing w:after="0" w:line="240" w:lineRule="auto"/>
              <w:rPr>
                <w:rFonts w:ascii="Times New Roman" w:hAnsi="Times New Roman" w:cs="Times New Roman"/>
              </w:rPr>
            </w:pPr>
            <w:r>
              <w:rPr>
                <w:rFonts w:ascii="Times New Roman" w:hAnsi="Times New Roman" w:cs="Times New Roman"/>
                <w:color w:val="000000"/>
              </w:rPr>
              <w:t>Individual</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7918EB4E"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15</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4C08080C"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1</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6B297FCF" w14:textId="77777777">
            <w:pPr>
              <w:tabs>
                <w:tab w:val="right" w:pos="2361"/>
              </w:tabs>
              <w:spacing w:after="0" w:line="240" w:lineRule="auto"/>
              <w:jc w:val="center"/>
              <w:rPr>
                <w:rFonts w:ascii="Times New Roman" w:hAnsi="Times New Roman" w:cs="Times New Roman"/>
                <w:sz w:val="24"/>
                <w:szCs w:val="24"/>
              </w:rPr>
            </w:pPr>
            <w:r>
              <w:rPr>
                <w:rFonts w:ascii="Times New Roman" w:hAnsi="Times New Roman" w:cs="Times New Roman"/>
                <w:color w:val="000000"/>
              </w:rPr>
              <w:t xml:space="preserve">1      </w:t>
            </w:r>
          </w:p>
        </w:tc>
        <w:tc>
          <w:tcPr>
            <w:tcW w:w="1350" w:type="dxa"/>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32192508"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r>
      <w:tr w:rsidR="00443930" w:rsidTr="00443930" w14:paraId="6AD47409" w14:textId="77777777">
        <w:trPr>
          <w:cantSplit/>
          <w:trHeight w:val="555"/>
          <w:jc w:val="center"/>
        </w:trPr>
        <w:tc>
          <w:tcPr>
            <w:tcW w:w="2695" w:type="dxa"/>
            <w:vMerge w:val="restart"/>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03E77369" w14:textId="77777777">
            <w:pPr>
              <w:spacing w:after="0" w:line="240" w:lineRule="auto"/>
              <w:rPr>
                <w:rFonts w:ascii="Times New Roman" w:hAnsi="Times New Roman" w:cs="Times New Roman"/>
              </w:rPr>
            </w:pPr>
            <w:r>
              <w:rPr>
                <w:rFonts w:ascii="Times New Roman" w:hAnsi="Times New Roman" w:cs="Times New Roman"/>
              </w:rPr>
              <w:t>Knowledge check</w:t>
            </w:r>
          </w:p>
        </w:tc>
        <w:tc>
          <w:tcPr>
            <w:tcW w:w="144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61433844" w14:textId="77777777">
            <w:pPr>
              <w:spacing w:after="0" w:line="240" w:lineRule="auto"/>
              <w:rPr>
                <w:rFonts w:ascii="Times New Roman" w:hAnsi="Times New Roman" w:cs="Times New Roman"/>
              </w:rPr>
            </w:pPr>
            <w:r>
              <w:rPr>
                <w:rFonts w:ascii="Times New Roman" w:hAnsi="Times New Roman" w:cs="Times New Roman"/>
                <w:color w:val="000000"/>
              </w:rPr>
              <w:t>Private sector</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6AD28096"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105</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289BEC4F"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1</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00C5693F" w14:textId="77777777">
            <w:pPr>
              <w:tabs>
                <w:tab w:val="right" w:pos="2361"/>
              </w:tabs>
              <w:spacing w:after="0" w:line="240" w:lineRule="auto"/>
              <w:jc w:val="center"/>
              <w:rPr>
                <w:rFonts w:ascii="Times New Roman" w:hAnsi="Times New Roman" w:cs="Times New Roman"/>
                <w:sz w:val="24"/>
                <w:szCs w:val="24"/>
              </w:rPr>
            </w:pPr>
            <w:r>
              <w:rPr>
                <w:rFonts w:ascii="Times New Roman" w:hAnsi="Times New Roman" w:cs="Times New Roman"/>
                <w:color w:val="000000"/>
              </w:rPr>
              <w:t xml:space="preserve">10/60      </w:t>
            </w:r>
          </w:p>
        </w:tc>
        <w:tc>
          <w:tcPr>
            <w:tcW w:w="1350" w:type="dxa"/>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3063417F"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r>
      <w:tr w:rsidR="00443930" w:rsidTr="00443930" w14:paraId="60624FAC" w14:textId="77777777">
        <w:trPr>
          <w:cantSplit/>
          <w:trHeight w:val="555"/>
          <w:jc w:val="center"/>
        </w:trPr>
        <w:tc>
          <w:tcPr>
            <w:tcW w:w="9535" w:type="dxa"/>
            <w:vMerge/>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73746CDF" w14:textId="77777777">
            <w:pPr>
              <w:spacing w:after="0"/>
              <w:rPr>
                <w:rFonts w:ascii="Times New Roman" w:hAnsi="Times New Roman" w:cs="Times New Roman"/>
              </w:rPr>
            </w:pPr>
          </w:p>
        </w:tc>
        <w:tc>
          <w:tcPr>
            <w:tcW w:w="144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5481A950" w14:textId="77777777">
            <w:pPr>
              <w:spacing w:after="0" w:line="240" w:lineRule="auto"/>
              <w:rPr>
                <w:rFonts w:ascii="Times New Roman" w:hAnsi="Times New Roman" w:cs="Times New Roman"/>
              </w:rPr>
            </w:pPr>
            <w:r>
              <w:rPr>
                <w:rFonts w:ascii="Times New Roman" w:hAnsi="Times New Roman" w:cs="Times New Roman"/>
                <w:color w:val="000000"/>
              </w:rPr>
              <w:t>Federal government</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0D49371C"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180</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4CD3E6DE"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1</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784CA73D" w14:textId="77777777">
            <w:pPr>
              <w:tabs>
                <w:tab w:val="right" w:pos="2361"/>
              </w:tabs>
              <w:spacing w:after="0" w:line="240" w:lineRule="auto"/>
              <w:jc w:val="center"/>
              <w:rPr>
                <w:rFonts w:ascii="Times New Roman" w:hAnsi="Times New Roman" w:cs="Times New Roman"/>
                <w:sz w:val="24"/>
                <w:szCs w:val="24"/>
              </w:rPr>
            </w:pPr>
            <w:r>
              <w:rPr>
                <w:rFonts w:ascii="Times New Roman" w:hAnsi="Times New Roman" w:cs="Times New Roman"/>
                <w:color w:val="000000"/>
              </w:rPr>
              <w:t xml:space="preserve">10/60      </w:t>
            </w:r>
          </w:p>
        </w:tc>
        <w:tc>
          <w:tcPr>
            <w:tcW w:w="1350" w:type="dxa"/>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2FB8D223"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r>
      <w:tr w:rsidR="00443930" w:rsidTr="00443930" w14:paraId="3FFDDC6F" w14:textId="77777777">
        <w:trPr>
          <w:cantSplit/>
          <w:trHeight w:val="206"/>
          <w:jc w:val="center"/>
        </w:trPr>
        <w:tc>
          <w:tcPr>
            <w:tcW w:w="9535" w:type="dxa"/>
            <w:vMerge/>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369753D9" w14:textId="77777777">
            <w:pPr>
              <w:spacing w:after="0"/>
              <w:rPr>
                <w:rFonts w:ascii="Times New Roman" w:hAnsi="Times New Roman" w:cs="Times New Roman"/>
              </w:rPr>
            </w:pPr>
          </w:p>
        </w:tc>
        <w:tc>
          <w:tcPr>
            <w:tcW w:w="144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667887EB" w14:textId="77777777">
            <w:pPr>
              <w:spacing w:after="0" w:line="240" w:lineRule="auto"/>
              <w:rPr>
                <w:rFonts w:ascii="Times New Roman" w:hAnsi="Times New Roman" w:cs="Times New Roman"/>
              </w:rPr>
            </w:pPr>
            <w:r>
              <w:rPr>
                <w:rFonts w:ascii="Times New Roman" w:hAnsi="Times New Roman" w:cs="Times New Roman"/>
                <w:color w:val="000000"/>
              </w:rPr>
              <w:t>Individual</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39032547"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15</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48B9E5A4"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1</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1EAB9E0B" w14:textId="77777777">
            <w:pPr>
              <w:tabs>
                <w:tab w:val="right" w:pos="2361"/>
              </w:tabs>
              <w:spacing w:after="0" w:line="240" w:lineRule="auto"/>
              <w:jc w:val="center"/>
              <w:rPr>
                <w:rFonts w:ascii="Times New Roman" w:hAnsi="Times New Roman" w:cs="Times New Roman"/>
                <w:sz w:val="24"/>
                <w:szCs w:val="24"/>
              </w:rPr>
            </w:pPr>
            <w:r>
              <w:rPr>
                <w:rFonts w:ascii="Times New Roman" w:hAnsi="Times New Roman" w:cs="Times New Roman"/>
                <w:color w:val="000000"/>
              </w:rPr>
              <w:t xml:space="preserve">10/60      </w:t>
            </w:r>
          </w:p>
        </w:tc>
        <w:tc>
          <w:tcPr>
            <w:tcW w:w="1350" w:type="dxa"/>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38DAE131"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443930" w:rsidTr="00443930" w14:paraId="4C88388B" w14:textId="77777777">
        <w:trPr>
          <w:cantSplit/>
          <w:trHeight w:val="200"/>
          <w:jc w:val="center"/>
        </w:trPr>
        <w:tc>
          <w:tcPr>
            <w:tcW w:w="2695" w:type="dxa"/>
            <w:vMerge w:val="restart"/>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08FE5AAE" w14:textId="77777777">
            <w:pPr>
              <w:spacing w:after="0" w:line="240" w:lineRule="auto"/>
              <w:rPr>
                <w:rFonts w:ascii="Times New Roman" w:hAnsi="Times New Roman" w:cs="Times New Roman"/>
                <w:bCs/>
              </w:rPr>
            </w:pPr>
            <w:r>
              <w:rPr>
                <w:rFonts w:ascii="Times New Roman" w:hAnsi="Times New Roman" w:cs="Times New Roman"/>
                <w:bCs/>
              </w:rPr>
              <w:t>Module evaluation</w:t>
            </w:r>
          </w:p>
        </w:tc>
        <w:tc>
          <w:tcPr>
            <w:tcW w:w="144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20E97C36" w14:textId="77777777">
            <w:pPr>
              <w:spacing w:after="0" w:line="240" w:lineRule="auto"/>
              <w:rPr>
                <w:rFonts w:ascii="Times New Roman" w:hAnsi="Times New Roman" w:cs="Times New Roman"/>
                <w:b/>
              </w:rPr>
            </w:pPr>
            <w:r>
              <w:rPr>
                <w:rFonts w:ascii="Times New Roman" w:hAnsi="Times New Roman" w:cs="Times New Roman"/>
                <w:color w:val="000000"/>
              </w:rPr>
              <w:t>Private sector</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384EE388" w14:textId="77777777">
            <w:pPr>
              <w:spacing w:after="0" w:line="240" w:lineRule="auto"/>
              <w:jc w:val="center"/>
              <w:rPr>
                <w:rFonts w:ascii="Times New Roman" w:hAnsi="Times New Roman" w:cs="Times New Roman"/>
                <w:b/>
              </w:rPr>
            </w:pPr>
            <w:r>
              <w:rPr>
                <w:rFonts w:ascii="Times New Roman" w:hAnsi="Times New Roman" w:cs="Times New Roman"/>
                <w:color w:val="000000"/>
              </w:rPr>
              <w:t>17</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457BAFEC" w14:textId="77777777">
            <w:pPr>
              <w:spacing w:after="0" w:line="240" w:lineRule="auto"/>
              <w:jc w:val="center"/>
              <w:rPr>
                <w:rFonts w:ascii="Times New Roman" w:hAnsi="Times New Roman" w:cs="Times New Roman"/>
                <w:b/>
              </w:rPr>
            </w:pPr>
            <w:r>
              <w:rPr>
                <w:rFonts w:ascii="Times New Roman" w:hAnsi="Times New Roman" w:cs="Times New Roman"/>
                <w:color w:val="000000"/>
              </w:rPr>
              <w:t>1</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3518D092" w14:textId="77777777">
            <w:pPr>
              <w:spacing w:after="0" w:line="240" w:lineRule="auto"/>
              <w:jc w:val="center"/>
              <w:rPr>
                <w:rFonts w:ascii="Times New Roman" w:hAnsi="Times New Roman" w:cs="Times New Roman"/>
                <w:b/>
              </w:rPr>
            </w:pPr>
            <w:r>
              <w:rPr>
                <w:rFonts w:ascii="Times New Roman" w:hAnsi="Times New Roman" w:cs="Times New Roman"/>
                <w:color w:val="000000"/>
              </w:rPr>
              <w:t xml:space="preserve">5/60      </w:t>
            </w:r>
          </w:p>
        </w:tc>
        <w:tc>
          <w:tcPr>
            <w:tcW w:w="1350" w:type="dxa"/>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140630BB" w14:textId="77777777">
            <w:pPr>
              <w:spacing w:after="0" w:line="240" w:lineRule="auto"/>
              <w:jc w:val="center"/>
              <w:rPr>
                <w:rFonts w:ascii="Times New Roman" w:hAnsi="Times New Roman" w:cs="Times New Roman"/>
                <w:b/>
              </w:rPr>
            </w:pPr>
            <w:r>
              <w:rPr>
                <w:rFonts w:ascii="Times New Roman" w:hAnsi="Times New Roman" w:cs="Times New Roman"/>
                <w:sz w:val="24"/>
                <w:szCs w:val="24"/>
              </w:rPr>
              <w:t>1</w:t>
            </w:r>
          </w:p>
        </w:tc>
      </w:tr>
      <w:tr w:rsidR="00443930" w:rsidTr="00443930" w14:paraId="65C16C7C" w14:textId="77777777">
        <w:trPr>
          <w:cantSplit/>
          <w:trHeight w:val="200"/>
          <w:jc w:val="center"/>
        </w:trPr>
        <w:tc>
          <w:tcPr>
            <w:tcW w:w="9535" w:type="dxa"/>
            <w:vMerge/>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20EE18B2" w14:textId="77777777">
            <w:pPr>
              <w:spacing w:after="0"/>
              <w:rPr>
                <w:rFonts w:ascii="Times New Roman" w:hAnsi="Times New Roman" w:cs="Times New Roman"/>
                <w:bCs/>
              </w:rPr>
            </w:pPr>
          </w:p>
        </w:tc>
        <w:tc>
          <w:tcPr>
            <w:tcW w:w="144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6936233A" w14:textId="77777777">
            <w:pPr>
              <w:spacing w:after="0" w:line="240" w:lineRule="auto"/>
              <w:rPr>
                <w:rFonts w:ascii="Times New Roman" w:hAnsi="Times New Roman" w:cs="Times New Roman"/>
                <w:b/>
              </w:rPr>
            </w:pPr>
            <w:r>
              <w:rPr>
                <w:rFonts w:ascii="Times New Roman" w:hAnsi="Times New Roman" w:cs="Times New Roman"/>
                <w:color w:val="000000"/>
              </w:rPr>
              <w:t>Federal government</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5CF25B9C" w14:textId="77777777">
            <w:pPr>
              <w:spacing w:after="0" w:line="240" w:lineRule="auto"/>
              <w:jc w:val="center"/>
              <w:rPr>
                <w:rFonts w:ascii="Times New Roman" w:hAnsi="Times New Roman" w:cs="Times New Roman"/>
                <w:b/>
              </w:rPr>
            </w:pPr>
            <w:r>
              <w:rPr>
                <w:rFonts w:ascii="Times New Roman" w:hAnsi="Times New Roman" w:cs="Times New Roman"/>
                <w:color w:val="000000"/>
              </w:rPr>
              <w:t>30</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58B14CF5" w14:textId="77777777">
            <w:pPr>
              <w:spacing w:after="0" w:line="240" w:lineRule="auto"/>
              <w:jc w:val="center"/>
              <w:rPr>
                <w:rFonts w:ascii="Times New Roman" w:hAnsi="Times New Roman" w:cs="Times New Roman"/>
                <w:b/>
              </w:rPr>
            </w:pPr>
            <w:r>
              <w:rPr>
                <w:rFonts w:ascii="Times New Roman" w:hAnsi="Times New Roman" w:cs="Times New Roman"/>
                <w:color w:val="000000"/>
              </w:rPr>
              <w:t>1</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24E23251" w14:textId="77777777">
            <w:pPr>
              <w:spacing w:after="0" w:line="240" w:lineRule="auto"/>
              <w:jc w:val="center"/>
              <w:rPr>
                <w:rFonts w:ascii="Times New Roman" w:hAnsi="Times New Roman" w:cs="Times New Roman"/>
                <w:b/>
              </w:rPr>
            </w:pPr>
            <w:r>
              <w:rPr>
                <w:rFonts w:ascii="Times New Roman" w:hAnsi="Times New Roman" w:cs="Times New Roman"/>
                <w:color w:val="000000"/>
              </w:rPr>
              <w:t>5/60</w:t>
            </w:r>
          </w:p>
        </w:tc>
        <w:tc>
          <w:tcPr>
            <w:tcW w:w="1350" w:type="dxa"/>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14B102B4" w14:textId="77777777">
            <w:pPr>
              <w:spacing w:after="0" w:line="240" w:lineRule="auto"/>
              <w:jc w:val="center"/>
              <w:rPr>
                <w:rFonts w:ascii="Times New Roman" w:hAnsi="Times New Roman" w:cs="Times New Roman"/>
                <w:b/>
              </w:rPr>
            </w:pPr>
            <w:r>
              <w:rPr>
                <w:rFonts w:ascii="Times New Roman" w:hAnsi="Times New Roman" w:cs="Times New Roman"/>
                <w:sz w:val="24"/>
                <w:szCs w:val="24"/>
              </w:rPr>
              <w:t>3</w:t>
            </w:r>
          </w:p>
        </w:tc>
      </w:tr>
      <w:tr w:rsidR="00443930" w:rsidTr="00443930" w14:paraId="5C23C8D9" w14:textId="77777777">
        <w:trPr>
          <w:cantSplit/>
          <w:trHeight w:val="346"/>
          <w:jc w:val="center"/>
        </w:trPr>
        <w:tc>
          <w:tcPr>
            <w:tcW w:w="9535" w:type="dxa"/>
            <w:vMerge/>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486BBA9F" w14:textId="77777777">
            <w:pPr>
              <w:spacing w:after="0"/>
              <w:rPr>
                <w:rFonts w:ascii="Times New Roman" w:hAnsi="Times New Roman" w:cs="Times New Roman"/>
                <w:bCs/>
              </w:rPr>
            </w:pPr>
          </w:p>
        </w:tc>
        <w:tc>
          <w:tcPr>
            <w:tcW w:w="144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67E33CFA" w14:textId="77777777">
            <w:pPr>
              <w:spacing w:after="0" w:line="240" w:lineRule="auto"/>
              <w:rPr>
                <w:rFonts w:ascii="Times New Roman" w:hAnsi="Times New Roman" w:cs="Times New Roman"/>
                <w:b/>
              </w:rPr>
            </w:pPr>
            <w:r>
              <w:rPr>
                <w:rFonts w:ascii="Times New Roman" w:hAnsi="Times New Roman" w:cs="Times New Roman"/>
                <w:color w:val="000000"/>
              </w:rPr>
              <w:t>Individual</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13A72D26" w14:textId="77777777">
            <w:pPr>
              <w:spacing w:after="0" w:line="240" w:lineRule="auto"/>
              <w:jc w:val="center"/>
              <w:rPr>
                <w:rFonts w:ascii="Times New Roman" w:hAnsi="Times New Roman" w:cs="Times New Roman"/>
                <w:b/>
              </w:rPr>
            </w:pPr>
            <w:r>
              <w:rPr>
                <w:rFonts w:ascii="Times New Roman" w:hAnsi="Times New Roman" w:cs="Times New Roman"/>
                <w:color w:val="000000"/>
              </w:rPr>
              <w:t>3</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0F7BB49E" w14:textId="77777777">
            <w:pPr>
              <w:spacing w:after="0" w:line="240" w:lineRule="auto"/>
              <w:jc w:val="center"/>
              <w:rPr>
                <w:rFonts w:ascii="Times New Roman" w:hAnsi="Times New Roman" w:cs="Times New Roman"/>
                <w:b/>
              </w:rPr>
            </w:pPr>
            <w:r>
              <w:rPr>
                <w:rFonts w:ascii="Times New Roman" w:hAnsi="Times New Roman" w:cs="Times New Roman"/>
                <w:color w:val="000000"/>
              </w:rPr>
              <w:t>1</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17CCD284" w14:textId="77777777">
            <w:pPr>
              <w:spacing w:after="0" w:line="240" w:lineRule="auto"/>
              <w:jc w:val="center"/>
              <w:rPr>
                <w:rFonts w:ascii="Times New Roman" w:hAnsi="Times New Roman" w:cs="Times New Roman"/>
                <w:b/>
              </w:rPr>
            </w:pPr>
            <w:r>
              <w:rPr>
                <w:rFonts w:ascii="Times New Roman" w:hAnsi="Times New Roman" w:cs="Times New Roman"/>
                <w:color w:val="000000"/>
              </w:rPr>
              <w:t xml:space="preserve">5/60   </w:t>
            </w:r>
          </w:p>
        </w:tc>
        <w:tc>
          <w:tcPr>
            <w:tcW w:w="1350" w:type="dxa"/>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27B4BF83" w14:textId="77777777">
            <w:pPr>
              <w:spacing w:after="0" w:line="240" w:lineRule="auto"/>
              <w:jc w:val="center"/>
              <w:rPr>
                <w:rFonts w:ascii="Times New Roman" w:hAnsi="Times New Roman" w:cs="Times New Roman"/>
                <w:b/>
              </w:rPr>
            </w:pPr>
            <w:r>
              <w:rPr>
                <w:rFonts w:ascii="Times New Roman" w:hAnsi="Times New Roman" w:cs="Times New Roman"/>
                <w:sz w:val="24"/>
                <w:szCs w:val="24"/>
              </w:rPr>
              <w:t>0</w:t>
            </w:r>
          </w:p>
        </w:tc>
      </w:tr>
      <w:tr w:rsidR="00443930" w:rsidTr="00443930" w14:paraId="4C293E77" w14:textId="77777777">
        <w:trPr>
          <w:cantSplit/>
          <w:trHeight w:val="506"/>
          <w:jc w:val="center"/>
        </w:trPr>
        <w:tc>
          <w:tcPr>
            <w:tcW w:w="2695" w:type="dxa"/>
            <w:vMerge w:val="restart"/>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63DD18E0" w14:textId="77777777">
            <w:pPr>
              <w:spacing w:after="0" w:line="240" w:lineRule="auto"/>
              <w:rPr>
                <w:rFonts w:ascii="Times New Roman" w:hAnsi="Times New Roman" w:cs="Times New Roman"/>
              </w:rPr>
            </w:pPr>
            <w:r>
              <w:rPr>
                <w:rFonts w:ascii="Times New Roman" w:hAnsi="Times New Roman" w:cs="Times New Roman"/>
              </w:rPr>
              <w:t>Outcomes evaluation</w:t>
            </w:r>
          </w:p>
        </w:tc>
        <w:tc>
          <w:tcPr>
            <w:tcW w:w="144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341046BB" w14:textId="77777777">
            <w:pPr>
              <w:spacing w:after="0" w:line="240" w:lineRule="auto"/>
              <w:rPr>
                <w:rFonts w:ascii="Times New Roman" w:hAnsi="Times New Roman" w:cs="Times New Roman"/>
              </w:rPr>
            </w:pPr>
            <w:r>
              <w:rPr>
                <w:rFonts w:ascii="Times New Roman" w:hAnsi="Times New Roman" w:cs="Times New Roman"/>
                <w:color w:val="000000"/>
              </w:rPr>
              <w:t>Private sector</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6F764959"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17</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27E8DE3C"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1</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2BA263DD" w14:textId="77777777">
            <w:pPr>
              <w:tabs>
                <w:tab w:val="right" w:pos="2361"/>
              </w:tabs>
              <w:spacing w:after="0" w:line="240" w:lineRule="auto"/>
              <w:jc w:val="center"/>
              <w:rPr>
                <w:rFonts w:ascii="Times New Roman" w:hAnsi="Times New Roman" w:cs="Times New Roman"/>
                <w:sz w:val="24"/>
                <w:szCs w:val="24"/>
              </w:rPr>
            </w:pPr>
            <w:r>
              <w:rPr>
                <w:rFonts w:ascii="Times New Roman" w:hAnsi="Times New Roman" w:cs="Times New Roman"/>
                <w:color w:val="000000"/>
              </w:rPr>
              <w:t xml:space="preserve">5/60      </w:t>
            </w:r>
          </w:p>
        </w:tc>
        <w:tc>
          <w:tcPr>
            <w:tcW w:w="1350" w:type="dxa"/>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0FDDD461"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443930" w:rsidTr="00443930" w14:paraId="32F4B1BA" w14:textId="77777777">
        <w:trPr>
          <w:cantSplit/>
          <w:trHeight w:val="506"/>
          <w:jc w:val="center"/>
        </w:trPr>
        <w:tc>
          <w:tcPr>
            <w:tcW w:w="9535" w:type="dxa"/>
            <w:vMerge/>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654E4208" w14:textId="77777777">
            <w:pPr>
              <w:spacing w:after="0"/>
              <w:rPr>
                <w:rFonts w:ascii="Times New Roman" w:hAnsi="Times New Roman" w:cs="Times New Roman"/>
              </w:rPr>
            </w:pPr>
          </w:p>
        </w:tc>
        <w:tc>
          <w:tcPr>
            <w:tcW w:w="144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06480ED7" w14:textId="77777777">
            <w:pPr>
              <w:spacing w:after="0" w:line="240" w:lineRule="auto"/>
              <w:rPr>
                <w:rFonts w:ascii="Times New Roman" w:hAnsi="Times New Roman" w:cs="Times New Roman"/>
              </w:rPr>
            </w:pPr>
            <w:r>
              <w:rPr>
                <w:rFonts w:ascii="Times New Roman" w:hAnsi="Times New Roman" w:cs="Times New Roman"/>
                <w:color w:val="000000"/>
              </w:rPr>
              <w:t>Federal government</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156E1118"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30</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3A928808"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1</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22796B3B" w14:textId="77777777">
            <w:pPr>
              <w:tabs>
                <w:tab w:val="right" w:pos="2361"/>
              </w:tabs>
              <w:spacing w:after="0" w:line="240" w:lineRule="auto"/>
              <w:jc w:val="center"/>
              <w:rPr>
                <w:rFonts w:ascii="Times New Roman" w:hAnsi="Times New Roman" w:cs="Times New Roman"/>
                <w:sz w:val="24"/>
                <w:szCs w:val="24"/>
              </w:rPr>
            </w:pPr>
            <w:r>
              <w:rPr>
                <w:rFonts w:ascii="Times New Roman" w:hAnsi="Times New Roman" w:cs="Times New Roman"/>
                <w:color w:val="000000"/>
              </w:rPr>
              <w:t>5/60</w:t>
            </w:r>
          </w:p>
        </w:tc>
        <w:tc>
          <w:tcPr>
            <w:tcW w:w="1350" w:type="dxa"/>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2713857C"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443930" w:rsidTr="00443930" w14:paraId="71284D8F" w14:textId="77777777">
        <w:trPr>
          <w:cantSplit/>
          <w:trHeight w:val="170"/>
          <w:jc w:val="center"/>
        </w:trPr>
        <w:tc>
          <w:tcPr>
            <w:tcW w:w="9535" w:type="dxa"/>
            <w:vMerge/>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7052F194" w14:textId="77777777">
            <w:pPr>
              <w:spacing w:after="0"/>
              <w:rPr>
                <w:rFonts w:ascii="Times New Roman" w:hAnsi="Times New Roman" w:cs="Times New Roman"/>
              </w:rPr>
            </w:pPr>
          </w:p>
        </w:tc>
        <w:tc>
          <w:tcPr>
            <w:tcW w:w="144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390A9FC5" w14:textId="77777777">
            <w:pPr>
              <w:spacing w:after="0" w:line="240" w:lineRule="auto"/>
              <w:rPr>
                <w:rFonts w:ascii="Times New Roman" w:hAnsi="Times New Roman" w:cs="Times New Roman"/>
              </w:rPr>
            </w:pPr>
            <w:r>
              <w:rPr>
                <w:rFonts w:ascii="Times New Roman" w:hAnsi="Times New Roman" w:cs="Times New Roman"/>
                <w:color w:val="000000"/>
              </w:rPr>
              <w:t>Individual</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67A01CB5"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3</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047A4B49"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1</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62A6E8D6" w14:textId="77777777">
            <w:pPr>
              <w:tabs>
                <w:tab w:val="right" w:pos="2361"/>
              </w:tabs>
              <w:spacing w:after="0" w:line="240" w:lineRule="auto"/>
              <w:jc w:val="center"/>
              <w:rPr>
                <w:rFonts w:ascii="Times New Roman" w:hAnsi="Times New Roman" w:cs="Times New Roman"/>
                <w:sz w:val="24"/>
                <w:szCs w:val="24"/>
              </w:rPr>
            </w:pPr>
            <w:r>
              <w:rPr>
                <w:rFonts w:ascii="Times New Roman" w:hAnsi="Times New Roman" w:cs="Times New Roman"/>
                <w:color w:val="000000"/>
              </w:rPr>
              <w:t xml:space="preserve">5/60   </w:t>
            </w:r>
          </w:p>
        </w:tc>
        <w:tc>
          <w:tcPr>
            <w:tcW w:w="1350" w:type="dxa"/>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383F5839"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443930" w:rsidTr="00443930" w14:paraId="580F8185" w14:textId="77777777">
        <w:trPr>
          <w:cantSplit/>
          <w:trHeight w:val="273"/>
          <w:jc w:val="center"/>
        </w:trPr>
        <w:tc>
          <w:tcPr>
            <w:tcW w:w="9535" w:type="dxa"/>
            <w:gridSpan w:val="10"/>
            <w:tcBorders>
              <w:top w:val="single" w:color="auto" w:sz="4" w:space="0"/>
              <w:left w:val="single" w:color="auto" w:sz="4" w:space="0"/>
              <w:bottom w:val="single" w:color="auto" w:sz="4" w:space="0"/>
              <w:right w:val="single" w:color="auto" w:sz="4" w:space="0"/>
            </w:tcBorders>
          </w:tcPr>
          <w:p w:rsidR="00443930" w:rsidP="00443930" w:rsidRDefault="00443930" w14:paraId="32345266" w14:textId="77777777">
            <w:pPr>
              <w:spacing w:after="0" w:line="240" w:lineRule="auto"/>
              <w:jc w:val="center"/>
              <w:rPr>
                <w:rFonts w:ascii="Times New Roman" w:hAnsi="Times New Roman" w:cs="Times New Roman"/>
                <w:b/>
              </w:rPr>
            </w:pPr>
          </w:p>
          <w:p w:rsidR="00443930" w:rsidP="00443930" w:rsidRDefault="00443930" w14:paraId="1C49D8D1" w14:textId="77777777">
            <w:pPr>
              <w:spacing w:after="0" w:line="480" w:lineRule="auto"/>
              <w:jc w:val="center"/>
              <w:rPr>
                <w:rFonts w:ascii="Times New Roman" w:hAnsi="Times New Roman" w:cs="Times New Roman"/>
                <w:b/>
              </w:rPr>
            </w:pPr>
            <w:r>
              <w:rPr>
                <w:rFonts w:ascii="Times New Roman" w:hAnsi="Times New Roman" w:cs="Times New Roman"/>
                <w:b/>
              </w:rPr>
              <w:t>Bench to Bedside: Mental Health Module</w:t>
            </w:r>
          </w:p>
        </w:tc>
      </w:tr>
      <w:tr w:rsidR="00443930" w:rsidTr="00443930" w14:paraId="2DC666A1" w14:textId="77777777">
        <w:trPr>
          <w:cantSplit/>
          <w:trHeight w:val="555"/>
          <w:jc w:val="center"/>
        </w:trPr>
        <w:tc>
          <w:tcPr>
            <w:tcW w:w="2695" w:type="dxa"/>
            <w:vMerge w:val="restart"/>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65E8C2FA" w14:textId="77777777">
            <w:pPr>
              <w:spacing w:after="0" w:line="240" w:lineRule="auto"/>
              <w:rPr>
                <w:rFonts w:ascii="Times New Roman" w:hAnsi="Times New Roman" w:cs="Times New Roman"/>
              </w:rPr>
            </w:pPr>
            <w:r>
              <w:rPr>
                <w:rFonts w:ascii="Times New Roman" w:hAnsi="Times New Roman" w:cs="Times New Roman"/>
              </w:rPr>
              <w:t>Attitude survey pre- and post- test</w:t>
            </w:r>
          </w:p>
        </w:tc>
        <w:tc>
          <w:tcPr>
            <w:tcW w:w="144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2D8CCDBC" w14:textId="77777777">
            <w:pPr>
              <w:spacing w:after="0" w:line="240" w:lineRule="auto"/>
              <w:rPr>
                <w:rFonts w:ascii="Times New Roman" w:hAnsi="Times New Roman" w:cs="Times New Roman"/>
              </w:rPr>
            </w:pPr>
            <w:r>
              <w:rPr>
                <w:rFonts w:ascii="Times New Roman" w:hAnsi="Times New Roman" w:cs="Times New Roman"/>
                <w:color w:val="000000"/>
              </w:rPr>
              <w:t>Private sector</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0DBD61C4"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105</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355C6615"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2</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34C51137" w14:textId="77777777">
            <w:pPr>
              <w:tabs>
                <w:tab w:val="right" w:pos="2361"/>
              </w:tabs>
              <w:spacing w:after="0" w:line="240" w:lineRule="auto"/>
              <w:jc w:val="center"/>
              <w:rPr>
                <w:rFonts w:ascii="Times New Roman" w:hAnsi="Times New Roman" w:cs="Times New Roman"/>
                <w:sz w:val="24"/>
                <w:szCs w:val="24"/>
              </w:rPr>
            </w:pPr>
            <w:r>
              <w:rPr>
                <w:rFonts w:ascii="Times New Roman" w:hAnsi="Times New Roman" w:cs="Times New Roman"/>
                <w:color w:val="000000"/>
              </w:rPr>
              <w:t xml:space="preserve">5/60      </w:t>
            </w:r>
          </w:p>
        </w:tc>
        <w:tc>
          <w:tcPr>
            <w:tcW w:w="1350" w:type="dxa"/>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07323FCE"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r>
      <w:tr w:rsidR="00443930" w:rsidTr="00443930" w14:paraId="596B180A" w14:textId="77777777">
        <w:trPr>
          <w:cantSplit/>
          <w:trHeight w:val="555"/>
          <w:jc w:val="center"/>
        </w:trPr>
        <w:tc>
          <w:tcPr>
            <w:tcW w:w="9535" w:type="dxa"/>
            <w:vMerge/>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2F5BE915" w14:textId="77777777">
            <w:pPr>
              <w:spacing w:after="0"/>
              <w:rPr>
                <w:rFonts w:ascii="Times New Roman" w:hAnsi="Times New Roman" w:cs="Times New Roman"/>
              </w:rPr>
            </w:pPr>
          </w:p>
        </w:tc>
        <w:tc>
          <w:tcPr>
            <w:tcW w:w="144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7409A61D" w14:textId="77777777">
            <w:pPr>
              <w:spacing w:after="0" w:line="240" w:lineRule="auto"/>
              <w:rPr>
                <w:rFonts w:ascii="Times New Roman" w:hAnsi="Times New Roman" w:cs="Times New Roman"/>
              </w:rPr>
            </w:pPr>
            <w:r>
              <w:rPr>
                <w:rFonts w:ascii="Times New Roman" w:hAnsi="Times New Roman" w:cs="Times New Roman"/>
                <w:color w:val="000000"/>
              </w:rPr>
              <w:t>Federal government</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31369E6C"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180</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176860B1"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2</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1A521668" w14:textId="77777777">
            <w:pPr>
              <w:tabs>
                <w:tab w:val="right" w:pos="2361"/>
              </w:tabs>
              <w:spacing w:after="0" w:line="240" w:lineRule="auto"/>
              <w:jc w:val="center"/>
              <w:rPr>
                <w:rFonts w:ascii="Times New Roman" w:hAnsi="Times New Roman" w:cs="Times New Roman"/>
                <w:sz w:val="24"/>
                <w:szCs w:val="24"/>
              </w:rPr>
            </w:pPr>
            <w:r>
              <w:rPr>
                <w:rFonts w:ascii="Times New Roman" w:hAnsi="Times New Roman" w:cs="Times New Roman"/>
                <w:color w:val="000000"/>
              </w:rPr>
              <w:t>5/60</w:t>
            </w:r>
          </w:p>
        </w:tc>
        <w:tc>
          <w:tcPr>
            <w:tcW w:w="1350" w:type="dxa"/>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5A325EC8"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r>
      <w:tr w:rsidR="00443930" w:rsidTr="00443930" w14:paraId="46EED030" w14:textId="77777777">
        <w:trPr>
          <w:cantSplit/>
          <w:trHeight w:val="440"/>
          <w:jc w:val="center"/>
        </w:trPr>
        <w:tc>
          <w:tcPr>
            <w:tcW w:w="9535" w:type="dxa"/>
            <w:vMerge/>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7C861B5C" w14:textId="77777777">
            <w:pPr>
              <w:spacing w:after="0"/>
              <w:rPr>
                <w:rFonts w:ascii="Times New Roman" w:hAnsi="Times New Roman" w:cs="Times New Roman"/>
              </w:rPr>
            </w:pPr>
          </w:p>
        </w:tc>
        <w:tc>
          <w:tcPr>
            <w:tcW w:w="144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3FD48F8F" w14:textId="77777777">
            <w:pPr>
              <w:spacing w:after="0" w:line="240" w:lineRule="auto"/>
              <w:rPr>
                <w:rFonts w:ascii="Times New Roman" w:hAnsi="Times New Roman" w:cs="Times New Roman"/>
              </w:rPr>
            </w:pPr>
            <w:r>
              <w:rPr>
                <w:rFonts w:ascii="Times New Roman" w:hAnsi="Times New Roman" w:cs="Times New Roman"/>
                <w:color w:val="000000"/>
              </w:rPr>
              <w:t>Individual</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58943398"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15</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488C3578"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2</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45EC21F9" w14:textId="77777777">
            <w:pPr>
              <w:tabs>
                <w:tab w:val="right" w:pos="2361"/>
              </w:tabs>
              <w:spacing w:after="0" w:line="240" w:lineRule="auto"/>
              <w:jc w:val="center"/>
              <w:rPr>
                <w:rFonts w:ascii="Times New Roman" w:hAnsi="Times New Roman" w:cs="Times New Roman"/>
                <w:sz w:val="24"/>
                <w:szCs w:val="24"/>
              </w:rPr>
            </w:pPr>
            <w:r>
              <w:rPr>
                <w:rFonts w:ascii="Times New Roman" w:hAnsi="Times New Roman" w:cs="Times New Roman"/>
                <w:color w:val="000000"/>
              </w:rPr>
              <w:t xml:space="preserve">5/60   </w:t>
            </w:r>
          </w:p>
        </w:tc>
        <w:tc>
          <w:tcPr>
            <w:tcW w:w="1350" w:type="dxa"/>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0EE01E15"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443930" w:rsidTr="00443930" w14:paraId="013E7BDB" w14:textId="77777777">
        <w:trPr>
          <w:cantSplit/>
          <w:trHeight w:val="555"/>
          <w:jc w:val="center"/>
        </w:trPr>
        <w:tc>
          <w:tcPr>
            <w:tcW w:w="2695" w:type="dxa"/>
            <w:vMerge w:val="restart"/>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52B5A2FE" w14:textId="77777777">
            <w:pPr>
              <w:spacing w:after="0" w:line="240" w:lineRule="auto"/>
              <w:rPr>
                <w:rFonts w:ascii="Times New Roman" w:hAnsi="Times New Roman" w:cs="Times New Roman"/>
              </w:rPr>
            </w:pPr>
            <w:r>
              <w:rPr>
                <w:rFonts w:ascii="Times New Roman" w:hAnsi="Times New Roman" w:cs="Times New Roman"/>
              </w:rPr>
              <w:t>Module completion</w:t>
            </w:r>
          </w:p>
        </w:tc>
        <w:tc>
          <w:tcPr>
            <w:tcW w:w="144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1D3AD726" w14:textId="77777777">
            <w:pPr>
              <w:spacing w:after="0" w:line="240" w:lineRule="auto"/>
              <w:rPr>
                <w:rFonts w:ascii="Times New Roman" w:hAnsi="Times New Roman" w:cs="Times New Roman"/>
              </w:rPr>
            </w:pPr>
            <w:r>
              <w:rPr>
                <w:rFonts w:ascii="Times New Roman" w:hAnsi="Times New Roman" w:cs="Times New Roman"/>
                <w:color w:val="000000"/>
              </w:rPr>
              <w:t>Private sector</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755C7D5B"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105</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784200DE"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1</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17284BBF" w14:textId="77777777">
            <w:pPr>
              <w:tabs>
                <w:tab w:val="right" w:pos="2361"/>
              </w:tabs>
              <w:spacing w:after="0" w:line="240" w:lineRule="auto"/>
              <w:jc w:val="center"/>
              <w:rPr>
                <w:rFonts w:ascii="Times New Roman" w:hAnsi="Times New Roman" w:cs="Times New Roman"/>
                <w:sz w:val="24"/>
                <w:szCs w:val="24"/>
              </w:rPr>
            </w:pPr>
            <w:r>
              <w:rPr>
                <w:rFonts w:ascii="Times New Roman" w:hAnsi="Times New Roman" w:cs="Times New Roman"/>
                <w:color w:val="000000"/>
              </w:rPr>
              <w:t xml:space="preserve">1 </w:t>
            </w:r>
          </w:p>
        </w:tc>
        <w:tc>
          <w:tcPr>
            <w:tcW w:w="1350" w:type="dxa"/>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7FEEA50A"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105</w:t>
            </w:r>
          </w:p>
        </w:tc>
      </w:tr>
      <w:tr w:rsidR="00443930" w:rsidTr="00443930" w14:paraId="5E726650" w14:textId="77777777">
        <w:trPr>
          <w:cantSplit/>
          <w:trHeight w:val="555"/>
          <w:jc w:val="center"/>
        </w:trPr>
        <w:tc>
          <w:tcPr>
            <w:tcW w:w="9535" w:type="dxa"/>
            <w:vMerge/>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5522208D" w14:textId="77777777">
            <w:pPr>
              <w:spacing w:after="0"/>
              <w:rPr>
                <w:rFonts w:ascii="Times New Roman" w:hAnsi="Times New Roman" w:cs="Times New Roman"/>
              </w:rPr>
            </w:pPr>
          </w:p>
        </w:tc>
        <w:tc>
          <w:tcPr>
            <w:tcW w:w="144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1947B092" w14:textId="77777777">
            <w:pPr>
              <w:spacing w:after="0" w:line="240" w:lineRule="auto"/>
              <w:rPr>
                <w:rFonts w:ascii="Times New Roman" w:hAnsi="Times New Roman" w:cs="Times New Roman"/>
              </w:rPr>
            </w:pPr>
            <w:r>
              <w:rPr>
                <w:rFonts w:ascii="Times New Roman" w:hAnsi="Times New Roman" w:cs="Times New Roman"/>
                <w:color w:val="000000"/>
              </w:rPr>
              <w:t>Federal government</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6E4D8CD4"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180</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30209F45"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1</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6E8AF673" w14:textId="77777777">
            <w:pPr>
              <w:tabs>
                <w:tab w:val="right" w:pos="2361"/>
              </w:tabs>
              <w:spacing w:after="0" w:line="240" w:lineRule="auto"/>
              <w:jc w:val="center"/>
              <w:rPr>
                <w:rFonts w:ascii="Times New Roman" w:hAnsi="Times New Roman" w:cs="Times New Roman"/>
                <w:sz w:val="24"/>
                <w:szCs w:val="24"/>
              </w:rPr>
            </w:pPr>
            <w:r>
              <w:rPr>
                <w:rFonts w:ascii="Times New Roman" w:hAnsi="Times New Roman" w:cs="Times New Roman"/>
                <w:color w:val="000000"/>
              </w:rPr>
              <w:t xml:space="preserve">1      </w:t>
            </w:r>
          </w:p>
        </w:tc>
        <w:tc>
          <w:tcPr>
            <w:tcW w:w="1350" w:type="dxa"/>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641D988E"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180</w:t>
            </w:r>
          </w:p>
        </w:tc>
      </w:tr>
      <w:tr w:rsidR="00443930" w:rsidTr="00443930" w14:paraId="7CF2551E" w14:textId="77777777">
        <w:trPr>
          <w:cantSplit/>
          <w:trHeight w:val="305"/>
          <w:jc w:val="center"/>
        </w:trPr>
        <w:tc>
          <w:tcPr>
            <w:tcW w:w="9535" w:type="dxa"/>
            <w:vMerge/>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65CBE606" w14:textId="77777777">
            <w:pPr>
              <w:spacing w:after="0"/>
              <w:rPr>
                <w:rFonts w:ascii="Times New Roman" w:hAnsi="Times New Roman" w:cs="Times New Roman"/>
              </w:rPr>
            </w:pPr>
          </w:p>
        </w:tc>
        <w:tc>
          <w:tcPr>
            <w:tcW w:w="144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5A4461A6" w14:textId="77777777">
            <w:pPr>
              <w:spacing w:after="0" w:line="240" w:lineRule="auto"/>
              <w:rPr>
                <w:rFonts w:ascii="Times New Roman" w:hAnsi="Times New Roman" w:cs="Times New Roman"/>
              </w:rPr>
            </w:pPr>
            <w:r>
              <w:rPr>
                <w:rFonts w:ascii="Times New Roman" w:hAnsi="Times New Roman" w:cs="Times New Roman"/>
                <w:color w:val="000000"/>
              </w:rPr>
              <w:t>Individual</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0C63059C"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15</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4DDADF27"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1</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60AFBED2" w14:textId="77777777">
            <w:pPr>
              <w:tabs>
                <w:tab w:val="right" w:pos="2361"/>
              </w:tabs>
              <w:spacing w:after="0" w:line="240" w:lineRule="auto"/>
              <w:jc w:val="center"/>
              <w:rPr>
                <w:rFonts w:ascii="Times New Roman" w:hAnsi="Times New Roman" w:cs="Times New Roman"/>
                <w:sz w:val="24"/>
                <w:szCs w:val="24"/>
              </w:rPr>
            </w:pPr>
            <w:r>
              <w:rPr>
                <w:rFonts w:ascii="Times New Roman" w:hAnsi="Times New Roman" w:cs="Times New Roman"/>
                <w:color w:val="000000"/>
              </w:rPr>
              <w:t xml:space="preserve">1      </w:t>
            </w:r>
          </w:p>
        </w:tc>
        <w:tc>
          <w:tcPr>
            <w:tcW w:w="1350" w:type="dxa"/>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51386E75"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r>
      <w:tr w:rsidR="00443930" w:rsidTr="00443930" w14:paraId="4C0F3D2C" w14:textId="77777777">
        <w:trPr>
          <w:cantSplit/>
          <w:trHeight w:val="555"/>
          <w:jc w:val="center"/>
        </w:trPr>
        <w:tc>
          <w:tcPr>
            <w:tcW w:w="2695" w:type="dxa"/>
            <w:vMerge w:val="restart"/>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77B85F33" w14:textId="77777777">
            <w:pPr>
              <w:spacing w:after="0" w:line="240" w:lineRule="auto"/>
              <w:rPr>
                <w:rFonts w:ascii="Times New Roman" w:hAnsi="Times New Roman" w:cs="Times New Roman"/>
              </w:rPr>
            </w:pPr>
            <w:r>
              <w:rPr>
                <w:rFonts w:ascii="Times New Roman" w:hAnsi="Times New Roman" w:cs="Times New Roman"/>
              </w:rPr>
              <w:t>Knowledge check</w:t>
            </w:r>
          </w:p>
        </w:tc>
        <w:tc>
          <w:tcPr>
            <w:tcW w:w="144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772918BE" w14:textId="77777777">
            <w:pPr>
              <w:spacing w:after="0" w:line="240" w:lineRule="auto"/>
              <w:rPr>
                <w:rFonts w:ascii="Times New Roman" w:hAnsi="Times New Roman" w:cs="Times New Roman"/>
              </w:rPr>
            </w:pPr>
            <w:r>
              <w:rPr>
                <w:rFonts w:ascii="Times New Roman" w:hAnsi="Times New Roman" w:cs="Times New Roman"/>
                <w:color w:val="000000"/>
              </w:rPr>
              <w:t>Private sector</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7EA71C8B"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105</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6BFEF382"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1</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2ED0BB89" w14:textId="77777777">
            <w:pPr>
              <w:tabs>
                <w:tab w:val="right" w:pos="2361"/>
              </w:tabs>
              <w:spacing w:after="0" w:line="240" w:lineRule="auto"/>
              <w:jc w:val="center"/>
              <w:rPr>
                <w:rFonts w:ascii="Times New Roman" w:hAnsi="Times New Roman" w:cs="Times New Roman"/>
                <w:sz w:val="24"/>
                <w:szCs w:val="24"/>
              </w:rPr>
            </w:pPr>
            <w:r>
              <w:rPr>
                <w:rFonts w:ascii="Times New Roman" w:hAnsi="Times New Roman" w:cs="Times New Roman"/>
                <w:color w:val="000000"/>
              </w:rPr>
              <w:t xml:space="preserve">10/60      </w:t>
            </w:r>
          </w:p>
        </w:tc>
        <w:tc>
          <w:tcPr>
            <w:tcW w:w="1350" w:type="dxa"/>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18B7539C"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r>
      <w:tr w:rsidR="00443930" w:rsidTr="00443930" w14:paraId="5E17FE72" w14:textId="77777777">
        <w:trPr>
          <w:cantSplit/>
          <w:trHeight w:val="555"/>
          <w:jc w:val="center"/>
        </w:trPr>
        <w:tc>
          <w:tcPr>
            <w:tcW w:w="9535" w:type="dxa"/>
            <w:vMerge/>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7FAA8EFB" w14:textId="77777777">
            <w:pPr>
              <w:spacing w:after="0"/>
              <w:rPr>
                <w:rFonts w:ascii="Times New Roman" w:hAnsi="Times New Roman" w:cs="Times New Roman"/>
              </w:rPr>
            </w:pPr>
          </w:p>
        </w:tc>
        <w:tc>
          <w:tcPr>
            <w:tcW w:w="144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4D3C36C2" w14:textId="77777777">
            <w:pPr>
              <w:spacing w:after="0" w:line="240" w:lineRule="auto"/>
              <w:rPr>
                <w:rFonts w:ascii="Times New Roman" w:hAnsi="Times New Roman" w:cs="Times New Roman"/>
              </w:rPr>
            </w:pPr>
            <w:r>
              <w:rPr>
                <w:rFonts w:ascii="Times New Roman" w:hAnsi="Times New Roman" w:cs="Times New Roman"/>
                <w:color w:val="000000"/>
              </w:rPr>
              <w:t>Federal government</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1A0D88D2"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180</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144699B0"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1</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7382ADA8" w14:textId="77777777">
            <w:pPr>
              <w:tabs>
                <w:tab w:val="right" w:pos="2361"/>
              </w:tabs>
              <w:spacing w:after="0" w:line="240" w:lineRule="auto"/>
              <w:jc w:val="center"/>
              <w:rPr>
                <w:rFonts w:ascii="Times New Roman" w:hAnsi="Times New Roman" w:cs="Times New Roman"/>
                <w:sz w:val="24"/>
                <w:szCs w:val="24"/>
              </w:rPr>
            </w:pPr>
            <w:r>
              <w:rPr>
                <w:rFonts w:ascii="Times New Roman" w:hAnsi="Times New Roman" w:cs="Times New Roman"/>
                <w:color w:val="000000"/>
              </w:rPr>
              <w:t xml:space="preserve">10/60      </w:t>
            </w:r>
          </w:p>
        </w:tc>
        <w:tc>
          <w:tcPr>
            <w:tcW w:w="1350" w:type="dxa"/>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774CF320"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r>
      <w:tr w:rsidR="00443930" w:rsidTr="00443930" w14:paraId="5697264D" w14:textId="77777777">
        <w:trPr>
          <w:cantSplit/>
          <w:trHeight w:val="206"/>
          <w:jc w:val="center"/>
        </w:trPr>
        <w:tc>
          <w:tcPr>
            <w:tcW w:w="9535" w:type="dxa"/>
            <w:vMerge/>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598943F0" w14:textId="77777777">
            <w:pPr>
              <w:spacing w:after="0"/>
              <w:rPr>
                <w:rFonts w:ascii="Times New Roman" w:hAnsi="Times New Roman" w:cs="Times New Roman"/>
              </w:rPr>
            </w:pPr>
          </w:p>
        </w:tc>
        <w:tc>
          <w:tcPr>
            <w:tcW w:w="144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020036F1" w14:textId="77777777">
            <w:pPr>
              <w:spacing w:after="0" w:line="240" w:lineRule="auto"/>
              <w:rPr>
                <w:rFonts w:ascii="Times New Roman" w:hAnsi="Times New Roman" w:cs="Times New Roman"/>
              </w:rPr>
            </w:pPr>
            <w:r>
              <w:rPr>
                <w:rFonts w:ascii="Times New Roman" w:hAnsi="Times New Roman" w:cs="Times New Roman"/>
                <w:color w:val="000000"/>
              </w:rPr>
              <w:t>Individual</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5D486C7A"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15</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3E76759D"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1</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618AEB17" w14:textId="77777777">
            <w:pPr>
              <w:tabs>
                <w:tab w:val="right" w:pos="2361"/>
              </w:tabs>
              <w:spacing w:after="0" w:line="240" w:lineRule="auto"/>
              <w:jc w:val="center"/>
              <w:rPr>
                <w:rFonts w:ascii="Times New Roman" w:hAnsi="Times New Roman" w:cs="Times New Roman"/>
                <w:sz w:val="24"/>
                <w:szCs w:val="24"/>
              </w:rPr>
            </w:pPr>
            <w:r>
              <w:rPr>
                <w:rFonts w:ascii="Times New Roman" w:hAnsi="Times New Roman" w:cs="Times New Roman"/>
                <w:color w:val="000000"/>
              </w:rPr>
              <w:t xml:space="preserve">10/60      </w:t>
            </w:r>
          </w:p>
        </w:tc>
        <w:tc>
          <w:tcPr>
            <w:tcW w:w="1350" w:type="dxa"/>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2969B024"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443930" w:rsidTr="00443930" w14:paraId="0CD4DC8C" w14:textId="77777777">
        <w:trPr>
          <w:cantSplit/>
          <w:trHeight w:val="200"/>
          <w:jc w:val="center"/>
        </w:trPr>
        <w:tc>
          <w:tcPr>
            <w:tcW w:w="2695" w:type="dxa"/>
            <w:vMerge w:val="restart"/>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7FA52DE9" w14:textId="77777777">
            <w:pPr>
              <w:spacing w:after="0" w:line="240" w:lineRule="auto"/>
              <w:rPr>
                <w:rFonts w:ascii="Times New Roman" w:hAnsi="Times New Roman" w:cs="Times New Roman"/>
                <w:bCs/>
              </w:rPr>
            </w:pPr>
            <w:r>
              <w:rPr>
                <w:rFonts w:ascii="Times New Roman" w:hAnsi="Times New Roman" w:cs="Times New Roman"/>
                <w:bCs/>
              </w:rPr>
              <w:t>Module evaluation</w:t>
            </w:r>
          </w:p>
        </w:tc>
        <w:tc>
          <w:tcPr>
            <w:tcW w:w="144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7EDF50F5" w14:textId="77777777">
            <w:pPr>
              <w:spacing w:after="0" w:line="240" w:lineRule="auto"/>
              <w:rPr>
                <w:rFonts w:ascii="Times New Roman" w:hAnsi="Times New Roman" w:cs="Times New Roman"/>
                <w:b/>
              </w:rPr>
            </w:pPr>
            <w:r>
              <w:rPr>
                <w:rFonts w:ascii="Times New Roman" w:hAnsi="Times New Roman" w:cs="Times New Roman"/>
                <w:color w:val="000000"/>
              </w:rPr>
              <w:t>Private sector</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5831B705" w14:textId="77777777">
            <w:pPr>
              <w:spacing w:after="0" w:line="240" w:lineRule="auto"/>
              <w:jc w:val="center"/>
              <w:rPr>
                <w:rFonts w:ascii="Times New Roman" w:hAnsi="Times New Roman" w:cs="Times New Roman"/>
                <w:b/>
              </w:rPr>
            </w:pPr>
            <w:r>
              <w:rPr>
                <w:rFonts w:ascii="Times New Roman" w:hAnsi="Times New Roman" w:cs="Times New Roman"/>
                <w:color w:val="000000"/>
              </w:rPr>
              <w:t>17</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064729F0" w14:textId="77777777">
            <w:pPr>
              <w:spacing w:after="0" w:line="240" w:lineRule="auto"/>
              <w:jc w:val="center"/>
              <w:rPr>
                <w:rFonts w:ascii="Times New Roman" w:hAnsi="Times New Roman" w:cs="Times New Roman"/>
                <w:b/>
              </w:rPr>
            </w:pPr>
            <w:r>
              <w:rPr>
                <w:rFonts w:ascii="Times New Roman" w:hAnsi="Times New Roman" w:cs="Times New Roman"/>
                <w:color w:val="000000"/>
              </w:rPr>
              <w:t>1</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73209DF9" w14:textId="77777777">
            <w:pPr>
              <w:spacing w:after="0" w:line="240" w:lineRule="auto"/>
              <w:jc w:val="center"/>
              <w:rPr>
                <w:rFonts w:ascii="Times New Roman" w:hAnsi="Times New Roman" w:cs="Times New Roman"/>
                <w:b/>
              </w:rPr>
            </w:pPr>
            <w:r>
              <w:rPr>
                <w:rFonts w:ascii="Times New Roman" w:hAnsi="Times New Roman" w:cs="Times New Roman"/>
                <w:color w:val="000000"/>
              </w:rPr>
              <w:t xml:space="preserve">5/60      </w:t>
            </w:r>
          </w:p>
        </w:tc>
        <w:tc>
          <w:tcPr>
            <w:tcW w:w="1350" w:type="dxa"/>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455945BA" w14:textId="77777777">
            <w:pPr>
              <w:spacing w:after="0" w:line="240" w:lineRule="auto"/>
              <w:jc w:val="center"/>
              <w:rPr>
                <w:rFonts w:ascii="Times New Roman" w:hAnsi="Times New Roman" w:cs="Times New Roman"/>
                <w:b/>
              </w:rPr>
            </w:pPr>
            <w:r>
              <w:rPr>
                <w:rFonts w:ascii="Times New Roman" w:hAnsi="Times New Roman" w:cs="Times New Roman"/>
                <w:sz w:val="24"/>
                <w:szCs w:val="24"/>
              </w:rPr>
              <w:t>1</w:t>
            </w:r>
          </w:p>
        </w:tc>
      </w:tr>
      <w:tr w:rsidR="00443930" w:rsidTr="00443930" w14:paraId="0C2CA66A" w14:textId="77777777">
        <w:trPr>
          <w:cantSplit/>
          <w:trHeight w:val="200"/>
          <w:jc w:val="center"/>
        </w:trPr>
        <w:tc>
          <w:tcPr>
            <w:tcW w:w="9535" w:type="dxa"/>
            <w:vMerge/>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5D1D9085" w14:textId="77777777">
            <w:pPr>
              <w:spacing w:after="0"/>
              <w:rPr>
                <w:rFonts w:ascii="Times New Roman" w:hAnsi="Times New Roman" w:cs="Times New Roman"/>
                <w:bCs/>
              </w:rPr>
            </w:pPr>
          </w:p>
        </w:tc>
        <w:tc>
          <w:tcPr>
            <w:tcW w:w="144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523E17DB" w14:textId="77777777">
            <w:pPr>
              <w:spacing w:after="0" w:line="240" w:lineRule="auto"/>
              <w:rPr>
                <w:rFonts w:ascii="Times New Roman" w:hAnsi="Times New Roman" w:cs="Times New Roman"/>
                <w:b/>
              </w:rPr>
            </w:pPr>
            <w:r>
              <w:rPr>
                <w:rFonts w:ascii="Times New Roman" w:hAnsi="Times New Roman" w:cs="Times New Roman"/>
                <w:color w:val="000000"/>
              </w:rPr>
              <w:t>Federal government</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332608B9" w14:textId="77777777">
            <w:pPr>
              <w:spacing w:after="0" w:line="240" w:lineRule="auto"/>
              <w:jc w:val="center"/>
              <w:rPr>
                <w:rFonts w:ascii="Times New Roman" w:hAnsi="Times New Roman" w:cs="Times New Roman"/>
                <w:b/>
              </w:rPr>
            </w:pPr>
            <w:r>
              <w:rPr>
                <w:rFonts w:ascii="Times New Roman" w:hAnsi="Times New Roman" w:cs="Times New Roman"/>
                <w:color w:val="000000"/>
              </w:rPr>
              <w:t>30</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552964B7" w14:textId="77777777">
            <w:pPr>
              <w:spacing w:after="0" w:line="240" w:lineRule="auto"/>
              <w:jc w:val="center"/>
              <w:rPr>
                <w:rFonts w:ascii="Times New Roman" w:hAnsi="Times New Roman" w:cs="Times New Roman"/>
                <w:b/>
              </w:rPr>
            </w:pPr>
            <w:r>
              <w:rPr>
                <w:rFonts w:ascii="Times New Roman" w:hAnsi="Times New Roman" w:cs="Times New Roman"/>
                <w:color w:val="000000"/>
              </w:rPr>
              <w:t>1</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3009B392" w14:textId="77777777">
            <w:pPr>
              <w:spacing w:after="0" w:line="240" w:lineRule="auto"/>
              <w:jc w:val="center"/>
              <w:rPr>
                <w:rFonts w:ascii="Times New Roman" w:hAnsi="Times New Roman" w:cs="Times New Roman"/>
                <w:b/>
              </w:rPr>
            </w:pPr>
            <w:r>
              <w:rPr>
                <w:rFonts w:ascii="Times New Roman" w:hAnsi="Times New Roman" w:cs="Times New Roman"/>
                <w:color w:val="000000"/>
              </w:rPr>
              <w:t>5/60</w:t>
            </w:r>
          </w:p>
        </w:tc>
        <w:tc>
          <w:tcPr>
            <w:tcW w:w="1350" w:type="dxa"/>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7F3AC1E0" w14:textId="77777777">
            <w:pPr>
              <w:spacing w:after="0" w:line="240" w:lineRule="auto"/>
              <w:jc w:val="center"/>
              <w:rPr>
                <w:rFonts w:ascii="Times New Roman" w:hAnsi="Times New Roman" w:cs="Times New Roman"/>
                <w:b/>
              </w:rPr>
            </w:pPr>
            <w:r>
              <w:rPr>
                <w:rFonts w:ascii="Times New Roman" w:hAnsi="Times New Roman" w:cs="Times New Roman"/>
                <w:sz w:val="24"/>
                <w:szCs w:val="24"/>
              </w:rPr>
              <w:t>3</w:t>
            </w:r>
          </w:p>
        </w:tc>
      </w:tr>
      <w:tr w:rsidR="00443930" w:rsidTr="00443930" w14:paraId="21F70B3D" w14:textId="77777777">
        <w:trPr>
          <w:cantSplit/>
          <w:trHeight w:val="346"/>
          <w:jc w:val="center"/>
        </w:trPr>
        <w:tc>
          <w:tcPr>
            <w:tcW w:w="9535" w:type="dxa"/>
            <w:vMerge/>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27F8E3B0" w14:textId="77777777">
            <w:pPr>
              <w:spacing w:after="0"/>
              <w:rPr>
                <w:rFonts w:ascii="Times New Roman" w:hAnsi="Times New Roman" w:cs="Times New Roman"/>
                <w:bCs/>
              </w:rPr>
            </w:pPr>
          </w:p>
        </w:tc>
        <w:tc>
          <w:tcPr>
            <w:tcW w:w="144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12438CBD" w14:textId="77777777">
            <w:pPr>
              <w:spacing w:after="0" w:line="240" w:lineRule="auto"/>
              <w:rPr>
                <w:rFonts w:ascii="Times New Roman" w:hAnsi="Times New Roman" w:cs="Times New Roman"/>
                <w:b/>
              </w:rPr>
            </w:pPr>
            <w:r>
              <w:rPr>
                <w:rFonts w:ascii="Times New Roman" w:hAnsi="Times New Roman" w:cs="Times New Roman"/>
                <w:color w:val="000000"/>
              </w:rPr>
              <w:t>Individual</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447AF22C" w14:textId="77777777">
            <w:pPr>
              <w:spacing w:after="0" w:line="240" w:lineRule="auto"/>
              <w:jc w:val="center"/>
              <w:rPr>
                <w:rFonts w:ascii="Times New Roman" w:hAnsi="Times New Roman" w:cs="Times New Roman"/>
                <w:b/>
              </w:rPr>
            </w:pPr>
            <w:r>
              <w:rPr>
                <w:rFonts w:ascii="Times New Roman" w:hAnsi="Times New Roman" w:cs="Times New Roman"/>
                <w:color w:val="000000"/>
              </w:rPr>
              <w:t>3</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3BA94EB6" w14:textId="77777777">
            <w:pPr>
              <w:spacing w:after="0" w:line="240" w:lineRule="auto"/>
              <w:jc w:val="center"/>
              <w:rPr>
                <w:rFonts w:ascii="Times New Roman" w:hAnsi="Times New Roman" w:cs="Times New Roman"/>
                <w:b/>
              </w:rPr>
            </w:pPr>
            <w:r>
              <w:rPr>
                <w:rFonts w:ascii="Times New Roman" w:hAnsi="Times New Roman" w:cs="Times New Roman"/>
                <w:color w:val="000000"/>
              </w:rPr>
              <w:t>1</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693D75F4" w14:textId="77777777">
            <w:pPr>
              <w:spacing w:after="0" w:line="240" w:lineRule="auto"/>
              <w:jc w:val="center"/>
              <w:rPr>
                <w:rFonts w:ascii="Times New Roman" w:hAnsi="Times New Roman" w:cs="Times New Roman"/>
                <w:b/>
              </w:rPr>
            </w:pPr>
            <w:r>
              <w:rPr>
                <w:rFonts w:ascii="Times New Roman" w:hAnsi="Times New Roman" w:cs="Times New Roman"/>
                <w:color w:val="000000"/>
              </w:rPr>
              <w:t xml:space="preserve">5/60   </w:t>
            </w:r>
          </w:p>
        </w:tc>
        <w:tc>
          <w:tcPr>
            <w:tcW w:w="1350" w:type="dxa"/>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75E309AC" w14:textId="77777777">
            <w:pPr>
              <w:spacing w:after="0" w:line="240" w:lineRule="auto"/>
              <w:jc w:val="center"/>
              <w:rPr>
                <w:rFonts w:ascii="Times New Roman" w:hAnsi="Times New Roman" w:cs="Times New Roman"/>
                <w:b/>
              </w:rPr>
            </w:pPr>
            <w:r>
              <w:rPr>
                <w:rFonts w:ascii="Times New Roman" w:hAnsi="Times New Roman" w:cs="Times New Roman"/>
                <w:sz w:val="24"/>
                <w:szCs w:val="24"/>
              </w:rPr>
              <w:t>0</w:t>
            </w:r>
          </w:p>
        </w:tc>
      </w:tr>
      <w:tr w:rsidR="00443930" w:rsidTr="00443930" w14:paraId="23D275AA" w14:textId="77777777">
        <w:trPr>
          <w:cantSplit/>
          <w:trHeight w:val="506"/>
          <w:jc w:val="center"/>
        </w:trPr>
        <w:tc>
          <w:tcPr>
            <w:tcW w:w="2695" w:type="dxa"/>
            <w:vMerge w:val="restart"/>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1D76F176" w14:textId="77777777">
            <w:pPr>
              <w:spacing w:after="0" w:line="240" w:lineRule="auto"/>
              <w:rPr>
                <w:rFonts w:ascii="Times New Roman" w:hAnsi="Times New Roman" w:cs="Times New Roman"/>
              </w:rPr>
            </w:pPr>
            <w:r>
              <w:rPr>
                <w:rFonts w:ascii="Times New Roman" w:hAnsi="Times New Roman" w:cs="Times New Roman"/>
              </w:rPr>
              <w:t>Outcomes evaluation</w:t>
            </w:r>
          </w:p>
        </w:tc>
        <w:tc>
          <w:tcPr>
            <w:tcW w:w="144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771A0E96" w14:textId="77777777">
            <w:pPr>
              <w:spacing w:after="0" w:line="240" w:lineRule="auto"/>
              <w:rPr>
                <w:rFonts w:ascii="Times New Roman" w:hAnsi="Times New Roman" w:cs="Times New Roman"/>
              </w:rPr>
            </w:pPr>
            <w:r>
              <w:rPr>
                <w:rFonts w:ascii="Times New Roman" w:hAnsi="Times New Roman" w:cs="Times New Roman"/>
                <w:color w:val="000000"/>
              </w:rPr>
              <w:t>Private sector</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3DAE7EB6"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17</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6A3FED72"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1</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31852CBF" w14:textId="77777777">
            <w:pPr>
              <w:tabs>
                <w:tab w:val="right" w:pos="2361"/>
              </w:tabs>
              <w:spacing w:after="0" w:line="240" w:lineRule="auto"/>
              <w:jc w:val="center"/>
              <w:rPr>
                <w:rFonts w:ascii="Times New Roman" w:hAnsi="Times New Roman" w:cs="Times New Roman"/>
                <w:sz w:val="24"/>
                <w:szCs w:val="24"/>
              </w:rPr>
            </w:pPr>
            <w:r>
              <w:rPr>
                <w:rFonts w:ascii="Times New Roman" w:hAnsi="Times New Roman" w:cs="Times New Roman"/>
                <w:color w:val="000000"/>
              </w:rPr>
              <w:t xml:space="preserve">5/60      </w:t>
            </w:r>
          </w:p>
        </w:tc>
        <w:tc>
          <w:tcPr>
            <w:tcW w:w="1350" w:type="dxa"/>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5D12584D"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443930" w:rsidTr="00443930" w14:paraId="17F34025" w14:textId="77777777">
        <w:trPr>
          <w:cantSplit/>
          <w:trHeight w:val="506"/>
          <w:jc w:val="center"/>
        </w:trPr>
        <w:tc>
          <w:tcPr>
            <w:tcW w:w="9535" w:type="dxa"/>
            <w:vMerge/>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5BF8BF9E" w14:textId="77777777">
            <w:pPr>
              <w:spacing w:after="0"/>
              <w:rPr>
                <w:rFonts w:ascii="Times New Roman" w:hAnsi="Times New Roman" w:cs="Times New Roman"/>
              </w:rPr>
            </w:pPr>
          </w:p>
        </w:tc>
        <w:tc>
          <w:tcPr>
            <w:tcW w:w="144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70DBE776" w14:textId="77777777">
            <w:pPr>
              <w:spacing w:after="0" w:line="240" w:lineRule="auto"/>
              <w:rPr>
                <w:rFonts w:ascii="Times New Roman" w:hAnsi="Times New Roman" w:cs="Times New Roman"/>
              </w:rPr>
            </w:pPr>
            <w:r>
              <w:rPr>
                <w:rFonts w:ascii="Times New Roman" w:hAnsi="Times New Roman" w:cs="Times New Roman"/>
                <w:color w:val="000000"/>
              </w:rPr>
              <w:t>Federal government</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3F4B9C9E"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30</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52C431E3"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1</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4BBABF29" w14:textId="77777777">
            <w:pPr>
              <w:tabs>
                <w:tab w:val="right" w:pos="2361"/>
              </w:tabs>
              <w:spacing w:after="0" w:line="240" w:lineRule="auto"/>
              <w:jc w:val="center"/>
              <w:rPr>
                <w:rFonts w:ascii="Times New Roman" w:hAnsi="Times New Roman" w:cs="Times New Roman"/>
                <w:sz w:val="24"/>
                <w:szCs w:val="24"/>
              </w:rPr>
            </w:pPr>
            <w:r>
              <w:rPr>
                <w:rFonts w:ascii="Times New Roman" w:hAnsi="Times New Roman" w:cs="Times New Roman"/>
                <w:color w:val="000000"/>
              </w:rPr>
              <w:t>5/60</w:t>
            </w:r>
          </w:p>
        </w:tc>
        <w:tc>
          <w:tcPr>
            <w:tcW w:w="1350" w:type="dxa"/>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56445EBC"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443930" w:rsidTr="00443930" w14:paraId="515AF3BF" w14:textId="77777777">
        <w:trPr>
          <w:cantSplit/>
          <w:trHeight w:val="170"/>
          <w:jc w:val="center"/>
        </w:trPr>
        <w:tc>
          <w:tcPr>
            <w:tcW w:w="9535" w:type="dxa"/>
            <w:vMerge/>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69F089DB" w14:textId="77777777">
            <w:pPr>
              <w:spacing w:after="0"/>
              <w:rPr>
                <w:rFonts w:ascii="Times New Roman" w:hAnsi="Times New Roman" w:cs="Times New Roman"/>
              </w:rPr>
            </w:pPr>
          </w:p>
        </w:tc>
        <w:tc>
          <w:tcPr>
            <w:tcW w:w="144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4BE57C29" w14:textId="77777777">
            <w:pPr>
              <w:spacing w:after="0" w:line="240" w:lineRule="auto"/>
              <w:rPr>
                <w:rFonts w:ascii="Times New Roman" w:hAnsi="Times New Roman" w:cs="Times New Roman"/>
              </w:rPr>
            </w:pPr>
            <w:r>
              <w:rPr>
                <w:rFonts w:ascii="Times New Roman" w:hAnsi="Times New Roman" w:cs="Times New Roman"/>
                <w:color w:val="000000"/>
              </w:rPr>
              <w:t>Individual</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3DD9166C"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3</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4C3E0BCB"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1</w:t>
            </w:r>
          </w:p>
        </w:tc>
        <w:tc>
          <w:tcPr>
            <w:tcW w:w="1350"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03574D6E" w14:textId="77777777">
            <w:pPr>
              <w:tabs>
                <w:tab w:val="right" w:pos="2361"/>
              </w:tabs>
              <w:spacing w:after="0" w:line="240" w:lineRule="auto"/>
              <w:jc w:val="center"/>
              <w:rPr>
                <w:rFonts w:ascii="Times New Roman" w:hAnsi="Times New Roman" w:cs="Times New Roman"/>
                <w:sz w:val="24"/>
                <w:szCs w:val="24"/>
              </w:rPr>
            </w:pPr>
            <w:r>
              <w:rPr>
                <w:rFonts w:ascii="Times New Roman" w:hAnsi="Times New Roman" w:cs="Times New Roman"/>
                <w:color w:val="000000"/>
              </w:rPr>
              <w:t xml:space="preserve">5/60   </w:t>
            </w:r>
          </w:p>
        </w:tc>
        <w:tc>
          <w:tcPr>
            <w:tcW w:w="1350" w:type="dxa"/>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474230E7"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443930" w:rsidTr="00443930" w14:paraId="1E9B72D6" w14:textId="77777777">
        <w:trPr>
          <w:cantSplit/>
          <w:trHeight w:val="273"/>
          <w:jc w:val="center"/>
        </w:trPr>
        <w:tc>
          <w:tcPr>
            <w:tcW w:w="9535" w:type="dxa"/>
            <w:gridSpan w:val="10"/>
            <w:tcBorders>
              <w:top w:val="single" w:color="auto" w:sz="4" w:space="0"/>
              <w:left w:val="single" w:color="auto" w:sz="4" w:space="0"/>
              <w:bottom w:val="single" w:color="auto" w:sz="4" w:space="0"/>
              <w:right w:val="single" w:color="auto" w:sz="4" w:space="0"/>
            </w:tcBorders>
          </w:tcPr>
          <w:p w:rsidR="00443930" w:rsidP="00443930" w:rsidRDefault="00443930" w14:paraId="2945BA75" w14:textId="77777777">
            <w:pPr>
              <w:spacing w:after="0" w:line="240" w:lineRule="auto"/>
              <w:jc w:val="center"/>
              <w:rPr>
                <w:rFonts w:ascii="Times New Roman" w:hAnsi="Times New Roman" w:cs="Times New Roman"/>
                <w:b/>
              </w:rPr>
            </w:pPr>
          </w:p>
          <w:p w:rsidR="00443930" w:rsidP="00443930" w:rsidRDefault="00443930" w14:paraId="730EECB3" w14:textId="77777777">
            <w:pPr>
              <w:spacing w:after="0" w:line="480" w:lineRule="auto"/>
              <w:jc w:val="center"/>
              <w:rPr>
                <w:rFonts w:ascii="Times New Roman" w:hAnsi="Times New Roman" w:cs="Times New Roman"/>
                <w:b/>
                <w:iCs/>
              </w:rPr>
            </w:pPr>
            <w:r>
              <w:rPr>
                <w:rFonts w:ascii="Times New Roman" w:hAnsi="Times New Roman" w:cs="Times New Roman"/>
                <w:b/>
                <w:iCs/>
              </w:rPr>
              <w:t>SABV Primer</w:t>
            </w:r>
          </w:p>
        </w:tc>
      </w:tr>
      <w:tr w:rsidR="00443930" w:rsidTr="00443930" w14:paraId="517D7097" w14:textId="77777777">
        <w:trPr>
          <w:cantSplit/>
          <w:trHeight w:val="555"/>
          <w:jc w:val="center"/>
        </w:trPr>
        <w:tc>
          <w:tcPr>
            <w:tcW w:w="2695" w:type="dxa"/>
            <w:vMerge w:val="restart"/>
            <w:tcBorders>
              <w:top w:val="single" w:color="auto" w:sz="4" w:space="0"/>
              <w:left w:val="single" w:color="auto" w:sz="4" w:space="0"/>
              <w:bottom w:val="single" w:color="auto" w:sz="4" w:space="0"/>
              <w:right w:val="single" w:color="auto" w:sz="4" w:space="0"/>
            </w:tcBorders>
            <w:vAlign w:val="center"/>
            <w:hideMark/>
          </w:tcPr>
          <w:p w:rsidR="00BD4706" w:rsidP="00443930" w:rsidRDefault="00443930" w14:paraId="4C912D1F" w14:textId="110AB6ED">
            <w:pPr>
              <w:spacing w:after="0" w:line="240" w:lineRule="auto"/>
              <w:rPr>
                <w:rFonts w:ascii="Times New Roman" w:hAnsi="Times New Roman" w:cs="Times New Roman"/>
              </w:rPr>
            </w:pPr>
            <w:r>
              <w:rPr>
                <w:rFonts w:ascii="Times New Roman" w:hAnsi="Times New Roman" w:cs="Times New Roman"/>
              </w:rPr>
              <w:t>Attitude survey pre- and post- test</w:t>
            </w:r>
          </w:p>
        </w:tc>
        <w:tc>
          <w:tcPr>
            <w:tcW w:w="1368" w:type="dxa"/>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787CCCA2" w14:textId="77777777">
            <w:pPr>
              <w:spacing w:after="0" w:line="240" w:lineRule="auto"/>
              <w:rPr>
                <w:rFonts w:ascii="Times New Roman" w:hAnsi="Times New Roman" w:cs="Times New Roman"/>
              </w:rPr>
            </w:pPr>
            <w:r>
              <w:rPr>
                <w:rFonts w:ascii="Times New Roman" w:hAnsi="Times New Roman" w:cs="Times New Roman"/>
                <w:color w:val="000000"/>
              </w:rPr>
              <w:t>Private sector</w:t>
            </w:r>
          </w:p>
        </w:tc>
        <w:tc>
          <w:tcPr>
            <w:tcW w:w="1368"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66C362E7"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105</w:t>
            </w:r>
          </w:p>
        </w:tc>
        <w:tc>
          <w:tcPr>
            <w:tcW w:w="1368"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70B62217"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8</w:t>
            </w:r>
          </w:p>
        </w:tc>
        <w:tc>
          <w:tcPr>
            <w:tcW w:w="1368"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1646B4F5" w14:textId="77777777">
            <w:pPr>
              <w:tabs>
                <w:tab w:val="right" w:pos="2361"/>
              </w:tabs>
              <w:spacing w:after="0" w:line="240" w:lineRule="auto"/>
              <w:jc w:val="center"/>
              <w:rPr>
                <w:rFonts w:ascii="Times New Roman" w:hAnsi="Times New Roman" w:cs="Times New Roman"/>
                <w:sz w:val="24"/>
                <w:szCs w:val="24"/>
              </w:rPr>
            </w:pPr>
            <w:r>
              <w:rPr>
                <w:rFonts w:ascii="Times New Roman" w:hAnsi="Times New Roman" w:cs="Times New Roman"/>
                <w:color w:val="000000"/>
              </w:rPr>
              <w:t xml:space="preserve">5/60      </w:t>
            </w:r>
          </w:p>
        </w:tc>
        <w:tc>
          <w:tcPr>
            <w:tcW w:w="1368"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3198E45C"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70</w:t>
            </w:r>
          </w:p>
        </w:tc>
      </w:tr>
      <w:tr w:rsidR="00443930" w:rsidTr="00443930" w14:paraId="051584C0" w14:textId="77777777">
        <w:trPr>
          <w:cantSplit/>
          <w:trHeight w:val="555"/>
          <w:jc w:val="center"/>
        </w:trPr>
        <w:tc>
          <w:tcPr>
            <w:tcW w:w="9535" w:type="dxa"/>
            <w:vMerge/>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54554285" w14:textId="77777777">
            <w:pPr>
              <w:spacing w:after="0"/>
              <w:rPr>
                <w:rFonts w:ascii="Times New Roman" w:hAnsi="Times New Roman" w:cs="Times New Roman"/>
              </w:rPr>
            </w:pPr>
          </w:p>
        </w:tc>
        <w:tc>
          <w:tcPr>
            <w:tcW w:w="1368" w:type="dxa"/>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65E5D735" w14:textId="77777777">
            <w:pPr>
              <w:spacing w:after="0" w:line="240" w:lineRule="auto"/>
              <w:rPr>
                <w:rFonts w:ascii="Times New Roman" w:hAnsi="Times New Roman" w:cs="Times New Roman"/>
              </w:rPr>
            </w:pPr>
            <w:r>
              <w:rPr>
                <w:rFonts w:ascii="Times New Roman" w:hAnsi="Times New Roman" w:cs="Times New Roman"/>
                <w:color w:val="000000"/>
              </w:rPr>
              <w:t>Federal government</w:t>
            </w:r>
          </w:p>
        </w:tc>
        <w:tc>
          <w:tcPr>
            <w:tcW w:w="1368"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3D7E05DD"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180</w:t>
            </w:r>
          </w:p>
        </w:tc>
        <w:tc>
          <w:tcPr>
            <w:tcW w:w="1368"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26B3C18F"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8</w:t>
            </w:r>
          </w:p>
        </w:tc>
        <w:tc>
          <w:tcPr>
            <w:tcW w:w="1368"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59154F5C" w14:textId="77777777">
            <w:pPr>
              <w:tabs>
                <w:tab w:val="right" w:pos="2361"/>
              </w:tabs>
              <w:spacing w:after="0" w:line="240" w:lineRule="auto"/>
              <w:jc w:val="center"/>
              <w:rPr>
                <w:rFonts w:ascii="Times New Roman" w:hAnsi="Times New Roman" w:cs="Times New Roman"/>
                <w:sz w:val="24"/>
                <w:szCs w:val="24"/>
              </w:rPr>
            </w:pPr>
            <w:r>
              <w:rPr>
                <w:rFonts w:ascii="Times New Roman" w:hAnsi="Times New Roman" w:cs="Times New Roman"/>
                <w:color w:val="000000"/>
              </w:rPr>
              <w:t>5/60</w:t>
            </w:r>
          </w:p>
        </w:tc>
        <w:tc>
          <w:tcPr>
            <w:tcW w:w="1368"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2192500B"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120</w:t>
            </w:r>
          </w:p>
        </w:tc>
      </w:tr>
      <w:tr w:rsidR="00443930" w:rsidTr="00443930" w14:paraId="264E753C" w14:textId="77777777">
        <w:trPr>
          <w:cantSplit/>
          <w:trHeight w:val="440"/>
          <w:jc w:val="center"/>
        </w:trPr>
        <w:tc>
          <w:tcPr>
            <w:tcW w:w="9535" w:type="dxa"/>
            <w:vMerge/>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2592698E" w14:textId="77777777">
            <w:pPr>
              <w:spacing w:after="0"/>
              <w:rPr>
                <w:rFonts w:ascii="Times New Roman" w:hAnsi="Times New Roman" w:cs="Times New Roman"/>
              </w:rPr>
            </w:pPr>
          </w:p>
        </w:tc>
        <w:tc>
          <w:tcPr>
            <w:tcW w:w="1368" w:type="dxa"/>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7CE84213" w14:textId="77777777">
            <w:pPr>
              <w:spacing w:after="0" w:line="240" w:lineRule="auto"/>
              <w:rPr>
                <w:rFonts w:ascii="Times New Roman" w:hAnsi="Times New Roman" w:cs="Times New Roman"/>
              </w:rPr>
            </w:pPr>
            <w:r>
              <w:rPr>
                <w:rFonts w:ascii="Times New Roman" w:hAnsi="Times New Roman" w:cs="Times New Roman"/>
                <w:color w:val="000000"/>
              </w:rPr>
              <w:t>Individual</w:t>
            </w:r>
          </w:p>
        </w:tc>
        <w:tc>
          <w:tcPr>
            <w:tcW w:w="1368"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753BDCC4"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15</w:t>
            </w:r>
          </w:p>
        </w:tc>
        <w:tc>
          <w:tcPr>
            <w:tcW w:w="1368"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149153CD"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8</w:t>
            </w:r>
          </w:p>
        </w:tc>
        <w:tc>
          <w:tcPr>
            <w:tcW w:w="1368"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2648980C" w14:textId="77777777">
            <w:pPr>
              <w:tabs>
                <w:tab w:val="right" w:pos="2361"/>
              </w:tabs>
              <w:spacing w:after="0" w:line="240" w:lineRule="auto"/>
              <w:jc w:val="center"/>
              <w:rPr>
                <w:rFonts w:ascii="Times New Roman" w:hAnsi="Times New Roman" w:cs="Times New Roman"/>
                <w:sz w:val="24"/>
                <w:szCs w:val="24"/>
              </w:rPr>
            </w:pPr>
            <w:r>
              <w:rPr>
                <w:rFonts w:ascii="Times New Roman" w:hAnsi="Times New Roman" w:cs="Times New Roman"/>
                <w:color w:val="000000"/>
              </w:rPr>
              <w:t xml:space="preserve">5/60   </w:t>
            </w:r>
          </w:p>
        </w:tc>
        <w:tc>
          <w:tcPr>
            <w:tcW w:w="1368"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49FDBD28"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443930" w:rsidTr="00443930" w14:paraId="257A4E10" w14:textId="77777777">
        <w:trPr>
          <w:cantSplit/>
          <w:trHeight w:val="555"/>
          <w:jc w:val="center"/>
        </w:trPr>
        <w:tc>
          <w:tcPr>
            <w:tcW w:w="2695" w:type="dxa"/>
            <w:vMerge w:val="restart"/>
            <w:tcBorders>
              <w:top w:val="single" w:color="auto" w:sz="4" w:space="0"/>
              <w:left w:val="single" w:color="auto" w:sz="4" w:space="0"/>
              <w:bottom w:val="single" w:color="auto" w:sz="4" w:space="0"/>
              <w:right w:val="single" w:color="auto" w:sz="4" w:space="0"/>
            </w:tcBorders>
            <w:vAlign w:val="center"/>
            <w:hideMark/>
          </w:tcPr>
          <w:p w:rsidR="00BD4706" w:rsidP="00443930" w:rsidRDefault="00443930" w14:paraId="2AF44023" w14:textId="3AFEB2E4">
            <w:pPr>
              <w:spacing w:after="0" w:line="240" w:lineRule="auto"/>
              <w:rPr>
                <w:rFonts w:ascii="Times New Roman" w:hAnsi="Times New Roman" w:cs="Times New Roman"/>
              </w:rPr>
            </w:pPr>
            <w:r>
              <w:rPr>
                <w:rFonts w:ascii="Times New Roman" w:hAnsi="Times New Roman" w:cs="Times New Roman"/>
              </w:rPr>
              <w:t>Course completion</w:t>
            </w:r>
          </w:p>
        </w:tc>
        <w:tc>
          <w:tcPr>
            <w:tcW w:w="1368" w:type="dxa"/>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774D412C" w14:textId="77777777">
            <w:pPr>
              <w:spacing w:after="0" w:line="240" w:lineRule="auto"/>
              <w:rPr>
                <w:rFonts w:ascii="Times New Roman" w:hAnsi="Times New Roman" w:cs="Times New Roman"/>
              </w:rPr>
            </w:pPr>
            <w:r>
              <w:rPr>
                <w:rFonts w:ascii="Times New Roman" w:hAnsi="Times New Roman" w:cs="Times New Roman"/>
                <w:color w:val="000000"/>
              </w:rPr>
              <w:t>Private sector</w:t>
            </w:r>
          </w:p>
        </w:tc>
        <w:tc>
          <w:tcPr>
            <w:tcW w:w="1368"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69CA399B"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105</w:t>
            </w:r>
          </w:p>
        </w:tc>
        <w:tc>
          <w:tcPr>
            <w:tcW w:w="1368"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0E10DCA2"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4</w:t>
            </w:r>
          </w:p>
        </w:tc>
        <w:tc>
          <w:tcPr>
            <w:tcW w:w="1368"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37ECE6DA" w14:textId="77777777">
            <w:pPr>
              <w:tabs>
                <w:tab w:val="right" w:pos="2361"/>
              </w:tabs>
              <w:spacing w:after="0" w:line="240" w:lineRule="auto"/>
              <w:jc w:val="center"/>
              <w:rPr>
                <w:rFonts w:ascii="Times New Roman" w:hAnsi="Times New Roman" w:cs="Times New Roman"/>
                <w:sz w:val="24"/>
                <w:szCs w:val="24"/>
              </w:rPr>
            </w:pPr>
            <w:r>
              <w:rPr>
                <w:rFonts w:ascii="Times New Roman" w:hAnsi="Times New Roman" w:cs="Times New Roman"/>
                <w:color w:val="000000"/>
              </w:rPr>
              <w:t xml:space="preserve">1 </w:t>
            </w:r>
          </w:p>
        </w:tc>
        <w:tc>
          <w:tcPr>
            <w:tcW w:w="1368"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16611549"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420</w:t>
            </w:r>
          </w:p>
        </w:tc>
      </w:tr>
      <w:tr w:rsidR="00443930" w:rsidTr="00443930" w14:paraId="792B4304" w14:textId="77777777">
        <w:trPr>
          <w:cantSplit/>
          <w:trHeight w:val="555"/>
          <w:jc w:val="center"/>
        </w:trPr>
        <w:tc>
          <w:tcPr>
            <w:tcW w:w="9535" w:type="dxa"/>
            <w:vMerge/>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60118CA9" w14:textId="77777777">
            <w:pPr>
              <w:spacing w:after="0"/>
              <w:rPr>
                <w:rFonts w:ascii="Times New Roman" w:hAnsi="Times New Roman" w:cs="Times New Roman"/>
              </w:rPr>
            </w:pPr>
          </w:p>
        </w:tc>
        <w:tc>
          <w:tcPr>
            <w:tcW w:w="1368" w:type="dxa"/>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1C4E08DD" w14:textId="77777777">
            <w:pPr>
              <w:spacing w:after="0" w:line="240" w:lineRule="auto"/>
              <w:rPr>
                <w:rFonts w:ascii="Times New Roman" w:hAnsi="Times New Roman" w:cs="Times New Roman"/>
              </w:rPr>
            </w:pPr>
            <w:r>
              <w:rPr>
                <w:rFonts w:ascii="Times New Roman" w:hAnsi="Times New Roman" w:cs="Times New Roman"/>
                <w:color w:val="000000"/>
              </w:rPr>
              <w:t>Federal government</w:t>
            </w:r>
          </w:p>
        </w:tc>
        <w:tc>
          <w:tcPr>
            <w:tcW w:w="1368"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78B6B51D"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180</w:t>
            </w:r>
          </w:p>
        </w:tc>
        <w:tc>
          <w:tcPr>
            <w:tcW w:w="1368"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144F0788"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4</w:t>
            </w:r>
          </w:p>
        </w:tc>
        <w:tc>
          <w:tcPr>
            <w:tcW w:w="1368"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36E0B8C2" w14:textId="77777777">
            <w:pPr>
              <w:tabs>
                <w:tab w:val="right" w:pos="2361"/>
              </w:tabs>
              <w:spacing w:after="0" w:line="240" w:lineRule="auto"/>
              <w:jc w:val="center"/>
              <w:rPr>
                <w:rFonts w:ascii="Times New Roman" w:hAnsi="Times New Roman" w:cs="Times New Roman"/>
                <w:sz w:val="24"/>
                <w:szCs w:val="24"/>
              </w:rPr>
            </w:pPr>
            <w:r>
              <w:rPr>
                <w:rFonts w:ascii="Times New Roman" w:hAnsi="Times New Roman" w:cs="Times New Roman"/>
                <w:color w:val="000000"/>
              </w:rPr>
              <w:t xml:space="preserve">1      </w:t>
            </w:r>
          </w:p>
        </w:tc>
        <w:tc>
          <w:tcPr>
            <w:tcW w:w="1368"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661CC7D6"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720</w:t>
            </w:r>
          </w:p>
        </w:tc>
      </w:tr>
      <w:tr w:rsidR="00443930" w:rsidTr="00443930" w14:paraId="73FDC3DC" w14:textId="77777777">
        <w:trPr>
          <w:cantSplit/>
          <w:trHeight w:val="305"/>
          <w:jc w:val="center"/>
        </w:trPr>
        <w:tc>
          <w:tcPr>
            <w:tcW w:w="9535" w:type="dxa"/>
            <w:vMerge/>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0BB6EE56" w14:textId="77777777">
            <w:pPr>
              <w:spacing w:after="0"/>
              <w:rPr>
                <w:rFonts w:ascii="Times New Roman" w:hAnsi="Times New Roman" w:cs="Times New Roman"/>
              </w:rPr>
            </w:pPr>
          </w:p>
        </w:tc>
        <w:tc>
          <w:tcPr>
            <w:tcW w:w="1368" w:type="dxa"/>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03E212B7" w14:textId="77777777">
            <w:pPr>
              <w:spacing w:after="0" w:line="240" w:lineRule="auto"/>
              <w:rPr>
                <w:rFonts w:ascii="Times New Roman" w:hAnsi="Times New Roman" w:cs="Times New Roman"/>
              </w:rPr>
            </w:pPr>
            <w:r>
              <w:rPr>
                <w:rFonts w:ascii="Times New Roman" w:hAnsi="Times New Roman" w:cs="Times New Roman"/>
                <w:color w:val="000000"/>
              </w:rPr>
              <w:t>Individual</w:t>
            </w:r>
          </w:p>
        </w:tc>
        <w:tc>
          <w:tcPr>
            <w:tcW w:w="1368"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12F4B62C"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15</w:t>
            </w:r>
          </w:p>
        </w:tc>
        <w:tc>
          <w:tcPr>
            <w:tcW w:w="1368"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50FD7898" w14:textId="77777777">
            <w:pPr>
              <w:spacing w:after="0" w:line="240" w:lineRule="auto"/>
              <w:jc w:val="center"/>
              <w:rPr>
                <w:rFonts w:ascii="Times New Roman" w:hAnsi="Times New Roman" w:cs="Times New Roman"/>
                <w:sz w:val="24"/>
                <w:szCs w:val="24"/>
              </w:rPr>
            </w:pPr>
            <w:r>
              <w:rPr>
                <w:rFonts w:ascii="Times New Roman" w:hAnsi="Times New Roman" w:cs="Times New Roman"/>
                <w:color w:val="000000"/>
              </w:rPr>
              <w:t>4</w:t>
            </w:r>
          </w:p>
        </w:tc>
        <w:tc>
          <w:tcPr>
            <w:tcW w:w="1368"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27084B6B" w14:textId="77777777">
            <w:pPr>
              <w:tabs>
                <w:tab w:val="right" w:pos="2361"/>
              </w:tabs>
              <w:spacing w:after="0" w:line="240" w:lineRule="auto"/>
              <w:jc w:val="center"/>
              <w:rPr>
                <w:rFonts w:ascii="Times New Roman" w:hAnsi="Times New Roman" w:cs="Times New Roman"/>
                <w:sz w:val="24"/>
                <w:szCs w:val="24"/>
              </w:rPr>
            </w:pPr>
            <w:r>
              <w:rPr>
                <w:rFonts w:ascii="Times New Roman" w:hAnsi="Times New Roman" w:cs="Times New Roman"/>
                <w:color w:val="000000"/>
              </w:rPr>
              <w:t xml:space="preserve">1      </w:t>
            </w:r>
          </w:p>
        </w:tc>
        <w:tc>
          <w:tcPr>
            <w:tcW w:w="1368"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04420671"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60</w:t>
            </w:r>
          </w:p>
        </w:tc>
      </w:tr>
      <w:tr w:rsidR="00443930" w:rsidTr="00443930" w14:paraId="3CF25625" w14:textId="77777777">
        <w:trPr>
          <w:cantSplit/>
          <w:trHeight w:val="506"/>
          <w:jc w:val="center"/>
        </w:trPr>
        <w:tc>
          <w:tcPr>
            <w:tcW w:w="2695" w:type="dxa"/>
            <w:vMerge w:val="restart"/>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694FD292" w14:textId="77777777">
            <w:pPr>
              <w:spacing w:after="0" w:line="240" w:lineRule="auto"/>
              <w:rPr>
                <w:rFonts w:ascii="Times New Roman" w:hAnsi="Times New Roman" w:cs="Times New Roman"/>
              </w:rPr>
            </w:pPr>
            <w:r>
              <w:rPr>
                <w:rFonts w:ascii="Times New Roman" w:hAnsi="Times New Roman" w:cs="Times New Roman"/>
              </w:rPr>
              <w:t>Knowledge check</w:t>
            </w:r>
          </w:p>
        </w:tc>
        <w:tc>
          <w:tcPr>
            <w:tcW w:w="1368" w:type="dxa"/>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364E0A6C" w14:textId="77777777">
            <w:pPr>
              <w:spacing w:after="0" w:line="240" w:lineRule="auto"/>
              <w:rPr>
                <w:rFonts w:ascii="Times New Roman" w:hAnsi="Times New Roman" w:cs="Times New Roman"/>
                <w:color w:val="000000"/>
              </w:rPr>
            </w:pPr>
            <w:r>
              <w:rPr>
                <w:rFonts w:ascii="Times New Roman" w:hAnsi="Times New Roman" w:cs="Times New Roman"/>
                <w:color w:val="000000"/>
              </w:rPr>
              <w:t>Private sector</w:t>
            </w:r>
          </w:p>
        </w:tc>
        <w:tc>
          <w:tcPr>
            <w:tcW w:w="1368"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6AF2B3D6" w14:textId="77777777">
            <w:pPr>
              <w:spacing w:after="0" w:line="240" w:lineRule="auto"/>
              <w:jc w:val="center"/>
              <w:rPr>
                <w:rFonts w:ascii="Times New Roman" w:hAnsi="Times New Roman" w:cs="Times New Roman"/>
                <w:color w:val="000000"/>
              </w:rPr>
            </w:pPr>
            <w:r>
              <w:rPr>
                <w:rFonts w:ascii="Times New Roman" w:hAnsi="Times New Roman" w:cs="Times New Roman"/>
                <w:color w:val="000000"/>
              </w:rPr>
              <w:t>105</w:t>
            </w:r>
          </w:p>
        </w:tc>
        <w:tc>
          <w:tcPr>
            <w:tcW w:w="1368"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7BEA1A71" w14:textId="77777777">
            <w:pPr>
              <w:spacing w:after="0" w:line="240" w:lineRule="auto"/>
              <w:jc w:val="center"/>
              <w:rPr>
                <w:rFonts w:ascii="Times New Roman" w:hAnsi="Times New Roman" w:cs="Times New Roman"/>
                <w:color w:val="000000"/>
              </w:rPr>
            </w:pPr>
            <w:r>
              <w:rPr>
                <w:rFonts w:ascii="Times New Roman" w:hAnsi="Times New Roman" w:cs="Times New Roman"/>
                <w:color w:val="000000"/>
              </w:rPr>
              <w:t>4</w:t>
            </w:r>
          </w:p>
        </w:tc>
        <w:tc>
          <w:tcPr>
            <w:tcW w:w="1368"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5F054B13" w14:textId="77777777">
            <w:pPr>
              <w:tabs>
                <w:tab w:val="right" w:pos="2361"/>
              </w:tabs>
              <w:spacing w:after="0" w:line="240" w:lineRule="auto"/>
              <w:jc w:val="center"/>
              <w:rPr>
                <w:rFonts w:ascii="Times New Roman" w:hAnsi="Times New Roman" w:cs="Times New Roman"/>
                <w:color w:val="000000"/>
              </w:rPr>
            </w:pPr>
            <w:r>
              <w:rPr>
                <w:rFonts w:ascii="Times New Roman" w:hAnsi="Times New Roman" w:cs="Times New Roman"/>
                <w:color w:val="000000"/>
              </w:rPr>
              <w:t xml:space="preserve">10/60      </w:t>
            </w:r>
          </w:p>
        </w:tc>
        <w:tc>
          <w:tcPr>
            <w:tcW w:w="1368"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691DF2A3" w14:textId="77777777">
            <w:pPr>
              <w:spacing w:after="0" w:line="240" w:lineRule="auto"/>
              <w:jc w:val="center"/>
              <w:rPr>
                <w:rFonts w:ascii="Times New Roman" w:hAnsi="Times New Roman" w:cs="Times New Roman"/>
                <w:color w:val="000000"/>
              </w:rPr>
            </w:pPr>
            <w:r>
              <w:rPr>
                <w:rFonts w:ascii="Times New Roman" w:hAnsi="Times New Roman" w:cs="Times New Roman"/>
                <w:sz w:val="24"/>
                <w:szCs w:val="24"/>
              </w:rPr>
              <w:t>70</w:t>
            </w:r>
          </w:p>
        </w:tc>
      </w:tr>
      <w:tr w:rsidR="00443930" w:rsidTr="00443930" w14:paraId="7F40E27D" w14:textId="77777777">
        <w:trPr>
          <w:cantSplit/>
          <w:trHeight w:val="506"/>
          <w:jc w:val="center"/>
        </w:trPr>
        <w:tc>
          <w:tcPr>
            <w:tcW w:w="9535" w:type="dxa"/>
            <w:vMerge/>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37DF97BE" w14:textId="77777777">
            <w:pPr>
              <w:spacing w:after="0"/>
              <w:rPr>
                <w:rFonts w:ascii="Times New Roman" w:hAnsi="Times New Roman" w:cs="Times New Roman"/>
              </w:rPr>
            </w:pPr>
          </w:p>
        </w:tc>
        <w:tc>
          <w:tcPr>
            <w:tcW w:w="1368" w:type="dxa"/>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17CD26BF" w14:textId="77777777">
            <w:pPr>
              <w:spacing w:after="0" w:line="240" w:lineRule="auto"/>
              <w:rPr>
                <w:rFonts w:ascii="Times New Roman" w:hAnsi="Times New Roman" w:cs="Times New Roman"/>
                <w:color w:val="000000"/>
              </w:rPr>
            </w:pPr>
            <w:r>
              <w:rPr>
                <w:rFonts w:ascii="Times New Roman" w:hAnsi="Times New Roman" w:cs="Times New Roman"/>
                <w:color w:val="000000"/>
              </w:rPr>
              <w:t>Federal government</w:t>
            </w:r>
          </w:p>
        </w:tc>
        <w:tc>
          <w:tcPr>
            <w:tcW w:w="1368"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3454353E" w14:textId="77777777">
            <w:pPr>
              <w:spacing w:after="0" w:line="240" w:lineRule="auto"/>
              <w:jc w:val="center"/>
              <w:rPr>
                <w:rFonts w:ascii="Times New Roman" w:hAnsi="Times New Roman" w:cs="Times New Roman"/>
                <w:color w:val="000000"/>
              </w:rPr>
            </w:pPr>
            <w:r>
              <w:rPr>
                <w:rFonts w:ascii="Times New Roman" w:hAnsi="Times New Roman" w:cs="Times New Roman"/>
                <w:color w:val="000000"/>
              </w:rPr>
              <w:t>180</w:t>
            </w:r>
          </w:p>
        </w:tc>
        <w:tc>
          <w:tcPr>
            <w:tcW w:w="1368"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1D8B6CC8" w14:textId="77777777">
            <w:pPr>
              <w:spacing w:after="0" w:line="240" w:lineRule="auto"/>
              <w:jc w:val="center"/>
              <w:rPr>
                <w:rFonts w:ascii="Times New Roman" w:hAnsi="Times New Roman" w:cs="Times New Roman"/>
                <w:color w:val="000000"/>
              </w:rPr>
            </w:pPr>
            <w:r>
              <w:rPr>
                <w:rFonts w:ascii="Times New Roman" w:hAnsi="Times New Roman" w:cs="Times New Roman"/>
                <w:color w:val="000000"/>
              </w:rPr>
              <w:t>4</w:t>
            </w:r>
          </w:p>
        </w:tc>
        <w:tc>
          <w:tcPr>
            <w:tcW w:w="1368"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08D905A8" w14:textId="77777777">
            <w:pPr>
              <w:tabs>
                <w:tab w:val="right" w:pos="2361"/>
              </w:tabs>
              <w:spacing w:after="0" w:line="240" w:lineRule="auto"/>
              <w:jc w:val="center"/>
              <w:rPr>
                <w:rFonts w:ascii="Times New Roman" w:hAnsi="Times New Roman" w:cs="Times New Roman"/>
                <w:color w:val="000000"/>
              </w:rPr>
            </w:pPr>
            <w:r>
              <w:rPr>
                <w:rFonts w:ascii="Times New Roman" w:hAnsi="Times New Roman" w:cs="Times New Roman"/>
                <w:color w:val="000000"/>
              </w:rPr>
              <w:t xml:space="preserve">10/60      </w:t>
            </w:r>
          </w:p>
        </w:tc>
        <w:tc>
          <w:tcPr>
            <w:tcW w:w="1368"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08BABF13" w14:textId="77777777">
            <w:pPr>
              <w:spacing w:after="0" w:line="240" w:lineRule="auto"/>
              <w:jc w:val="center"/>
              <w:rPr>
                <w:rFonts w:ascii="Times New Roman" w:hAnsi="Times New Roman" w:cs="Times New Roman"/>
                <w:color w:val="000000"/>
              </w:rPr>
            </w:pPr>
            <w:r>
              <w:rPr>
                <w:rFonts w:ascii="Times New Roman" w:hAnsi="Times New Roman" w:cs="Times New Roman"/>
                <w:sz w:val="24"/>
                <w:szCs w:val="24"/>
              </w:rPr>
              <w:t>120</w:t>
            </w:r>
          </w:p>
        </w:tc>
      </w:tr>
      <w:tr w:rsidR="00443930" w:rsidTr="00443930" w14:paraId="3687EDC6" w14:textId="77777777">
        <w:trPr>
          <w:cantSplit/>
          <w:trHeight w:val="506"/>
          <w:jc w:val="center"/>
        </w:trPr>
        <w:tc>
          <w:tcPr>
            <w:tcW w:w="9535" w:type="dxa"/>
            <w:vMerge/>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773DC427" w14:textId="77777777">
            <w:pPr>
              <w:spacing w:after="0"/>
              <w:rPr>
                <w:rFonts w:ascii="Times New Roman" w:hAnsi="Times New Roman" w:cs="Times New Roman"/>
              </w:rPr>
            </w:pPr>
          </w:p>
        </w:tc>
        <w:tc>
          <w:tcPr>
            <w:tcW w:w="1368" w:type="dxa"/>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179AF7FE" w14:textId="77777777">
            <w:pPr>
              <w:spacing w:after="0" w:line="240" w:lineRule="auto"/>
              <w:rPr>
                <w:rFonts w:ascii="Times New Roman" w:hAnsi="Times New Roman" w:cs="Times New Roman"/>
                <w:color w:val="000000"/>
              </w:rPr>
            </w:pPr>
            <w:r>
              <w:rPr>
                <w:rFonts w:ascii="Times New Roman" w:hAnsi="Times New Roman" w:cs="Times New Roman"/>
                <w:color w:val="000000"/>
              </w:rPr>
              <w:t>Individual</w:t>
            </w:r>
          </w:p>
        </w:tc>
        <w:tc>
          <w:tcPr>
            <w:tcW w:w="1368"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2F288D70" w14:textId="77777777">
            <w:pPr>
              <w:spacing w:after="0" w:line="240" w:lineRule="auto"/>
              <w:jc w:val="center"/>
              <w:rPr>
                <w:rFonts w:ascii="Times New Roman" w:hAnsi="Times New Roman" w:cs="Times New Roman"/>
                <w:color w:val="000000"/>
              </w:rPr>
            </w:pPr>
            <w:r>
              <w:rPr>
                <w:rFonts w:ascii="Times New Roman" w:hAnsi="Times New Roman" w:cs="Times New Roman"/>
                <w:color w:val="000000"/>
              </w:rPr>
              <w:t>15</w:t>
            </w:r>
          </w:p>
        </w:tc>
        <w:tc>
          <w:tcPr>
            <w:tcW w:w="1368"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41C6C413" w14:textId="77777777">
            <w:pPr>
              <w:spacing w:after="0" w:line="240" w:lineRule="auto"/>
              <w:jc w:val="center"/>
              <w:rPr>
                <w:rFonts w:ascii="Times New Roman" w:hAnsi="Times New Roman" w:cs="Times New Roman"/>
                <w:color w:val="000000"/>
              </w:rPr>
            </w:pPr>
            <w:r>
              <w:rPr>
                <w:rFonts w:ascii="Times New Roman" w:hAnsi="Times New Roman" w:cs="Times New Roman"/>
                <w:color w:val="000000"/>
              </w:rPr>
              <w:t>4</w:t>
            </w:r>
          </w:p>
        </w:tc>
        <w:tc>
          <w:tcPr>
            <w:tcW w:w="1368"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015CE433" w14:textId="77777777">
            <w:pPr>
              <w:tabs>
                <w:tab w:val="right" w:pos="2361"/>
              </w:tabs>
              <w:spacing w:after="0" w:line="240" w:lineRule="auto"/>
              <w:jc w:val="center"/>
              <w:rPr>
                <w:rFonts w:ascii="Times New Roman" w:hAnsi="Times New Roman" w:cs="Times New Roman"/>
                <w:color w:val="000000"/>
              </w:rPr>
            </w:pPr>
            <w:r>
              <w:rPr>
                <w:rFonts w:ascii="Times New Roman" w:hAnsi="Times New Roman" w:cs="Times New Roman"/>
                <w:color w:val="000000"/>
              </w:rPr>
              <w:t xml:space="preserve">10/60      </w:t>
            </w:r>
          </w:p>
        </w:tc>
        <w:tc>
          <w:tcPr>
            <w:tcW w:w="1368"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63AB1D17" w14:textId="77777777">
            <w:pPr>
              <w:spacing w:after="0" w:line="240" w:lineRule="auto"/>
              <w:jc w:val="center"/>
              <w:rPr>
                <w:rFonts w:ascii="Times New Roman" w:hAnsi="Times New Roman" w:cs="Times New Roman"/>
                <w:color w:val="000000"/>
              </w:rPr>
            </w:pPr>
            <w:r>
              <w:rPr>
                <w:rFonts w:ascii="Times New Roman" w:hAnsi="Times New Roman" w:cs="Times New Roman"/>
                <w:sz w:val="24"/>
                <w:szCs w:val="24"/>
              </w:rPr>
              <w:t>10</w:t>
            </w:r>
          </w:p>
        </w:tc>
      </w:tr>
      <w:tr w:rsidR="00443930" w:rsidTr="00443930" w14:paraId="145B7F12" w14:textId="77777777">
        <w:trPr>
          <w:cantSplit/>
          <w:trHeight w:val="350"/>
          <w:jc w:val="center"/>
        </w:trPr>
        <w:tc>
          <w:tcPr>
            <w:tcW w:w="2695" w:type="dxa"/>
            <w:tcBorders>
              <w:top w:val="single" w:color="auto" w:sz="4" w:space="0"/>
              <w:left w:val="single" w:color="auto" w:sz="4" w:space="0"/>
              <w:bottom w:val="single" w:color="auto" w:sz="4" w:space="0"/>
              <w:right w:val="single" w:color="auto" w:sz="4" w:space="0"/>
            </w:tcBorders>
            <w:hideMark/>
          </w:tcPr>
          <w:p w:rsidR="00443930" w:rsidP="00443930" w:rsidRDefault="00443930" w14:paraId="17B991E2" w14:textId="77777777">
            <w:pPr>
              <w:spacing w:after="0" w:line="240" w:lineRule="auto"/>
              <w:rPr>
                <w:rFonts w:ascii="Times New Roman" w:hAnsi="Times New Roman" w:cs="Times New Roman"/>
                <w:highlight w:val="yellow"/>
              </w:rPr>
            </w:pPr>
            <w:r w:rsidRPr="00443930">
              <w:rPr>
                <w:rFonts w:ascii="Times New Roman" w:hAnsi="Times New Roman" w:cs="Times New Roman"/>
              </w:rPr>
              <w:t>Total</w:t>
            </w:r>
          </w:p>
        </w:tc>
        <w:tc>
          <w:tcPr>
            <w:tcW w:w="1368" w:type="dxa"/>
            <w:tcBorders>
              <w:top w:val="single" w:color="auto" w:sz="4" w:space="0"/>
              <w:left w:val="single" w:color="auto" w:sz="4" w:space="0"/>
              <w:bottom w:val="single" w:color="auto" w:sz="4" w:space="0"/>
              <w:right w:val="single" w:color="auto" w:sz="4" w:space="0"/>
            </w:tcBorders>
            <w:vAlign w:val="center"/>
          </w:tcPr>
          <w:p w:rsidR="00443930" w:rsidP="00443930" w:rsidRDefault="00443930" w14:paraId="451E537B" w14:textId="77777777">
            <w:pPr>
              <w:spacing w:after="0" w:line="240" w:lineRule="auto"/>
              <w:rPr>
                <w:rFonts w:ascii="Times New Roman" w:hAnsi="Times New Roman" w:cs="Times New Roman"/>
                <w:color w:val="000000"/>
                <w:highlight w:val="yellow"/>
              </w:rPr>
            </w:pPr>
          </w:p>
        </w:tc>
        <w:tc>
          <w:tcPr>
            <w:tcW w:w="1368"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3775815B" w14:textId="77777777">
            <w:pPr>
              <w:spacing w:after="0" w:line="240" w:lineRule="auto"/>
              <w:jc w:val="center"/>
              <w:rPr>
                <w:rFonts w:ascii="Times New Roman" w:hAnsi="Times New Roman" w:cs="Times New Roman"/>
                <w:color w:val="000000"/>
              </w:rPr>
            </w:pPr>
            <w:r>
              <w:rPr>
                <w:rFonts w:ascii="Times New Roman" w:hAnsi="Times New Roman" w:cs="Times New Roman"/>
                <w:color w:val="000000"/>
              </w:rPr>
              <w:t>600</w:t>
            </w:r>
          </w:p>
        </w:tc>
        <w:tc>
          <w:tcPr>
            <w:tcW w:w="1368"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31F05A93" w14:textId="77777777">
            <w:pPr>
              <w:spacing w:after="0" w:line="240" w:lineRule="auto"/>
              <w:jc w:val="center"/>
              <w:rPr>
                <w:rFonts w:ascii="Times New Roman" w:hAnsi="Times New Roman" w:cs="Times New Roman"/>
                <w:color w:val="000000"/>
              </w:rPr>
            </w:pPr>
            <w:r>
              <w:rPr>
                <w:rFonts w:ascii="Times New Roman" w:hAnsi="Times New Roman" w:cs="Times New Roman"/>
                <w:color w:val="000000"/>
              </w:rPr>
              <w:t>12,570</w:t>
            </w:r>
          </w:p>
        </w:tc>
        <w:tc>
          <w:tcPr>
            <w:tcW w:w="1368" w:type="dxa"/>
            <w:gridSpan w:val="2"/>
            <w:tcBorders>
              <w:top w:val="single" w:color="auto" w:sz="4" w:space="0"/>
              <w:left w:val="single" w:color="auto" w:sz="4" w:space="0"/>
              <w:bottom w:val="single" w:color="auto" w:sz="4" w:space="0"/>
              <w:right w:val="single" w:color="auto" w:sz="4" w:space="0"/>
            </w:tcBorders>
          </w:tcPr>
          <w:p w:rsidR="00443930" w:rsidP="00443930" w:rsidRDefault="00443930" w14:paraId="6CCF7D0F" w14:textId="77777777">
            <w:pPr>
              <w:tabs>
                <w:tab w:val="right" w:pos="2361"/>
              </w:tabs>
              <w:spacing w:after="0" w:line="240" w:lineRule="auto"/>
              <w:jc w:val="center"/>
              <w:rPr>
                <w:rFonts w:ascii="Times New Roman" w:hAnsi="Times New Roman" w:cs="Times New Roman"/>
                <w:color w:val="000000"/>
              </w:rPr>
            </w:pPr>
          </w:p>
        </w:tc>
        <w:tc>
          <w:tcPr>
            <w:tcW w:w="1368" w:type="dxa"/>
            <w:gridSpan w:val="2"/>
            <w:tcBorders>
              <w:top w:val="single" w:color="auto" w:sz="4" w:space="0"/>
              <w:left w:val="single" w:color="auto" w:sz="4" w:space="0"/>
              <w:bottom w:val="single" w:color="auto" w:sz="4" w:space="0"/>
              <w:right w:val="single" w:color="auto" w:sz="4" w:space="0"/>
            </w:tcBorders>
            <w:vAlign w:val="center"/>
            <w:hideMark/>
          </w:tcPr>
          <w:p w:rsidR="00443930" w:rsidP="00443930" w:rsidRDefault="00443930" w14:paraId="6EFDA979" w14:textId="6AD438E5">
            <w:pPr>
              <w:spacing w:after="0" w:line="240" w:lineRule="auto"/>
              <w:jc w:val="center"/>
              <w:rPr>
                <w:rFonts w:ascii="Times New Roman" w:hAnsi="Times New Roman" w:cs="Times New Roman"/>
                <w:color w:val="000000"/>
              </w:rPr>
            </w:pPr>
            <w:r>
              <w:rPr>
                <w:rFonts w:ascii="Times New Roman" w:hAnsi="Times New Roman" w:cs="Times New Roman"/>
                <w:color w:val="000000"/>
              </w:rPr>
              <w:t>4,0</w:t>
            </w:r>
            <w:r w:rsidR="008405E1">
              <w:rPr>
                <w:rFonts w:ascii="Times New Roman" w:hAnsi="Times New Roman" w:cs="Times New Roman"/>
                <w:color w:val="000000"/>
              </w:rPr>
              <w:t>60</w:t>
            </w:r>
          </w:p>
        </w:tc>
      </w:tr>
      <w:bookmarkEnd w:id="51"/>
    </w:tbl>
    <w:p w:rsidRPr="000244BE" w:rsidR="008B5E85" w:rsidP="008B5E85" w:rsidRDefault="008B5E85" w14:paraId="4B5B1429" w14:textId="77777777">
      <w:pPr>
        <w:spacing w:after="0" w:line="480" w:lineRule="auto"/>
        <w:jc w:val="center"/>
        <w:rPr>
          <w:rFonts w:ascii="Times New Roman" w:hAnsi="Times New Roman" w:cs="Times New Roman"/>
          <w:b/>
          <w:sz w:val="24"/>
          <w:szCs w:val="24"/>
        </w:rPr>
      </w:pPr>
    </w:p>
    <w:p w:rsidRPr="00E57D5E" w:rsidR="001A57A4" w:rsidP="001A57A4" w:rsidRDefault="001A57A4" w14:paraId="5BAE33A9" w14:textId="77777777">
      <w:pPr>
        <w:spacing w:after="0" w:line="240" w:lineRule="auto"/>
        <w:rPr>
          <w:rFonts w:ascii="Times New Roman" w:hAnsi="Times New Roman" w:eastAsia="Times New Roman" w:cs="Times New Roman"/>
          <w:b/>
          <w:smallCaps/>
          <w:color w:val="000000" w:themeColor="text1"/>
        </w:rPr>
      </w:pPr>
      <w:r w:rsidRPr="00E57D5E">
        <w:rPr>
          <w:rFonts w:ascii="Times New Roman" w:hAnsi="Times New Roman" w:eastAsia="Times New Roman" w:cs="Times New Roman"/>
          <w:b/>
          <w:smallCaps/>
          <w:color w:val="000000" w:themeColor="text1"/>
        </w:rPr>
        <w:t>A.12-2   Annual Cost to respondent</w:t>
      </w:r>
    </w:p>
    <w:p w:rsidRPr="00E57D5E" w:rsidR="001A57A4" w:rsidP="001A57A4" w:rsidRDefault="001A57A4" w14:paraId="4500BC53" w14:textId="77777777">
      <w:pPr>
        <w:spacing w:after="0" w:line="240" w:lineRule="auto"/>
        <w:rPr>
          <w:rFonts w:ascii="Times New Roman" w:hAnsi="Times New Roman" w:eastAsia="Times New Roman" w:cs="Times New Roman"/>
          <w:smallCaps/>
          <w:color w:val="000000" w:themeColor="text1"/>
        </w:rPr>
      </w:pPr>
    </w:p>
    <w:p w:rsidRPr="004B117C" w:rsidR="001A57A4" w:rsidP="001A57A4" w:rsidRDefault="001A57A4" w14:paraId="4845A580" w14:textId="4B371AD3">
      <w:pPr>
        <w:spacing w:line="480" w:lineRule="auto"/>
        <w:rPr>
          <w:rFonts w:ascii="Times New Roman" w:hAnsi="Times New Roman" w:cs="Times New Roman"/>
          <w:strike/>
        </w:rPr>
      </w:pPr>
      <w:r>
        <w:rPr>
          <w:rFonts w:ascii="Times New Roman" w:hAnsi="Times New Roman" w:cs="Times New Roman"/>
        </w:rPr>
        <w:lastRenderedPageBreak/>
        <w:t>Annualized cost to respondents was determined based on Table 12-1, which reflects annualized burden hours of</w:t>
      </w:r>
      <w:r w:rsidR="00145D84">
        <w:rPr>
          <w:rFonts w:ascii="Times New Roman" w:hAnsi="Times New Roman" w:cs="Times New Roman"/>
        </w:rPr>
        <w:t xml:space="preserve"> </w:t>
      </w:r>
      <w:r w:rsidR="002633AA">
        <w:rPr>
          <w:rFonts w:ascii="Times New Roman" w:hAnsi="Times New Roman" w:cs="Times New Roman"/>
          <w:sz w:val="24"/>
          <w:szCs w:val="24"/>
        </w:rPr>
        <w:t>4,056.</w:t>
      </w:r>
      <w:r>
        <w:rPr>
          <w:rFonts w:ascii="Times New Roman" w:hAnsi="Times New Roman" w:cs="Times New Roman"/>
        </w:rPr>
        <w:t xml:space="preserve"> Based on</w:t>
      </w:r>
      <w:r w:rsidR="008A061F">
        <w:rPr>
          <w:rFonts w:ascii="Times New Roman" w:hAnsi="Times New Roman" w:cs="Times New Roman"/>
        </w:rPr>
        <w:t xml:space="preserve"> registration for</w:t>
      </w:r>
      <w:r>
        <w:rPr>
          <w:rFonts w:ascii="Times New Roman" w:hAnsi="Times New Roman" w:cs="Times New Roman"/>
        </w:rPr>
        <w:t xml:space="preserve"> previous ORWH </w:t>
      </w:r>
      <w:r w:rsidR="008A061F">
        <w:rPr>
          <w:rFonts w:ascii="Times New Roman" w:hAnsi="Times New Roman" w:cs="Times New Roman"/>
        </w:rPr>
        <w:t xml:space="preserve">online </w:t>
      </w:r>
      <w:r>
        <w:rPr>
          <w:rFonts w:ascii="Times New Roman" w:hAnsi="Times New Roman" w:cs="Times New Roman"/>
        </w:rPr>
        <w:t>courses</w:t>
      </w:r>
      <w:r w:rsidR="008A061F">
        <w:rPr>
          <w:rFonts w:ascii="Times New Roman" w:hAnsi="Times New Roman" w:cs="Times New Roman"/>
        </w:rPr>
        <w:t xml:space="preserve"> and registration information to date for Bench to Bedside</w:t>
      </w:r>
      <w:r>
        <w:rPr>
          <w:rFonts w:ascii="Times New Roman" w:hAnsi="Times New Roman" w:cs="Times New Roman"/>
        </w:rPr>
        <w:t xml:space="preserve">, ORWH assumes 65% of course users will be health professionals, 20% will be members of the general public including medical students, and 15% will be health educators. </w:t>
      </w:r>
    </w:p>
    <w:p w:rsidRPr="00E57D5E" w:rsidR="00867FE2" w:rsidP="00867FE2" w:rsidRDefault="00867FE2" w14:paraId="5EF3A916" w14:textId="77777777">
      <w:pPr>
        <w:ind w:left="1440" w:firstLine="720"/>
        <w:rPr>
          <w:rFonts w:ascii="Times New Roman" w:hAnsi="Times New Roman" w:cs="Times New Roman"/>
        </w:rPr>
      </w:pPr>
      <w:r w:rsidRPr="00A55EED">
        <w:rPr>
          <w:rFonts w:ascii="Times New Roman" w:hAnsi="Times New Roman" w:cs="Times New Roman"/>
        </w:rPr>
        <w:t xml:space="preserve">Table 12-2 Annualized Cost to </w:t>
      </w:r>
      <w:r w:rsidRPr="00E57D5E">
        <w:rPr>
          <w:rFonts w:ascii="Times New Roman" w:hAnsi="Times New Roman" w:cs="Times New Roman"/>
        </w:rPr>
        <w:t>Respondents</w:t>
      </w:r>
    </w:p>
    <w:p w:rsidRPr="00E57D5E" w:rsidR="00867FE2" w:rsidP="00867FE2" w:rsidRDefault="00867FE2" w14:paraId="44AA89EF" w14:textId="77777777">
      <w:pPr>
        <w:spacing w:after="0" w:line="240" w:lineRule="auto"/>
        <w:rPr>
          <w:rFonts w:ascii="Times New Roman" w:hAnsi="Times New Roman" w:eastAsia="Times New Roman" w:cs="Times New Roman"/>
          <w:sz w:val="24"/>
          <w:szCs w:val="24"/>
        </w:rPr>
      </w:pPr>
    </w:p>
    <w:tbl>
      <w:tblPr>
        <w:tblW w:w="85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40"/>
        <w:gridCol w:w="2031"/>
        <w:gridCol w:w="2306"/>
        <w:gridCol w:w="2121"/>
      </w:tblGrid>
      <w:tr w:rsidRPr="004B117C" w:rsidR="00867FE2" w:rsidTr="001531DF" w14:paraId="3A2DC552" w14:textId="77777777">
        <w:trPr>
          <w:trHeight w:val="708"/>
        </w:trPr>
        <w:tc>
          <w:tcPr>
            <w:tcW w:w="2140" w:type="dxa"/>
            <w:tcBorders>
              <w:top w:val="single" w:color="auto" w:sz="4" w:space="0"/>
              <w:left w:val="single" w:color="auto" w:sz="4" w:space="0"/>
              <w:bottom w:val="single" w:color="auto" w:sz="4" w:space="0"/>
              <w:right w:val="single" w:color="auto" w:sz="4" w:space="0"/>
            </w:tcBorders>
            <w:hideMark/>
          </w:tcPr>
          <w:p w:rsidRPr="004B117C" w:rsidR="00867FE2" w:rsidP="001531DF" w:rsidRDefault="00867FE2" w14:paraId="5D7A609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rPr>
            </w:pPr>
            <w:r w:rsidRPr="004B117C">
              <w:rPr>
                <w:rFonts w:ascii="Times New Roman" w:hAnsi="Times New Roman" w:eastAsia="Times New Roman" w:cs="Times New Roman"/>
              </w:rPr>
              <w:t>Type of Respondents</w:t>
            </w:r>
          </w:p>
        </w:tc>
        <w:tc>
          <w:tcPr>
            <w:tcW w:w="2031" w:type="dxa"/>
            <w:tcBorders>
              <w:top w:val="single" w:color="auto" w:sz="4" w:space="0"/>
              <w:left w:val="single" w:color="auto" w:sz="4" w:space="0"/>
              <w:bottom w:val="single" w:color="auto" w:sz="4" w:space="0"/>
              <w:right w:val="single" w:color="auto" w:sz="4" w:space="0"/>
            </w:tcBorders>
            <w:hideMark/>
          </w:tcPr>
          <w:p w:rsidRPr="004B117C" w:rsidR="00867FE2" w:rsidP="001531DF" w:rsidRDefault="00867FE2" w14:paraId="3AD8D86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rPr>
            </w:pPr>
            <w:r w:rsidRPr="004B117C">
              <w:rPr>
                <w:rFonts w:ascii="Times New Roman" w:hAnsi="Times New Roman" w:eastAsia="Times New Roman" w:cs="Times New Roman"/>
              </w:rPr>
              <w:t>Total Annual Burden Hours</w:t>
            </w:r>
          </w:p>
        </w:tc>
        <w:tc>
          <w:tcPr>
            <w:tcW w:w="2306" w:type="dxa"/>
            <w:tcBorders>
              <w:top w:val="single" w:color="auto" w:sz="4" w:space="0"/>
              <w:left w:val="single" w:color="auto" w:sz="4" w:space="0"/>
              <w:bottom w:val="single" w:color="auto" w:sz="4" w:space="0"/>
              <w:right w:val="single" w:color="auto" w:sz="4" w:space="0"/>
            </w:tcBorders>
            <w:hideMark/>
          </w:tcPr>
          <w:p w:rsidRPr="004B117C" w:rsidR="00867FE2" w:rsidP="001531DF" w:rsidRDefault="00867FE2" w14:paraId="2BF3975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rPr>
            </w:pPr>
            <w:r w:rsidRPr="004B117C">
              <w:rPr>
                <w:rFonts w:ascii="Times New Roman" w:hAnsi="Times New Roman" w:eastAsia="Times New Roman" w:cs="Times New Roman"/>
              </w:rPr>
              <w:t>Hourly Respondent Wage Rate*</w:t>
            </w:r>
          </w:p>
        </w:tc>
        <w:tc>
          <w:tcPr>
            <w:tcW w:w="2121" w:type="dxa"/>
            <w:tcBorders>
              <w:top w:val="single" w:color="auto" w:sz="4" w:space="0"/>
              <w:left w:val="single" w:color="auto" w:sz="4" w:space="0"/>
              <w:bottom w:val="single" w:color="auto" w:sz="4" w:space="0"/>
              <w:right w:val="single" w:color="auto" w:sz="4" w:space="0"/>
            </w:tcBorders>
            <w:hideMark/>
          </w:tcPr>
          <w:p w:rsidRPr="004B117C" w:rsidR="00867FE2" w:rsidP="001531DF" w:rsidRDefault="00867FE2" w14:paraId="3B01412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rPr>
            </w:pPr>
            <w:r w:rsidRPr="004B117C">
              <w:rPr>
                <w:rFonts w:ascii="Times New Roman" w:hAnsi="Times New Roman" w:eastAsia="Times New Roman" w:cs="Times New Roman"/>
              </w:rPr>
              <w:t>Respondent Cost</w:t>
            </w:r>
          </w:p>
        </w:tc>
      </w:tr>
      <w:tr w:rsidRPr="004B117C" w:rsidR="00867FE2" w:rsidTr="001531DF" w14:paraId="777E5311" w14:textId="77777777">
        <w:trPr>
          <w:trHeight w:val="791"/>
        </w:trPr>
        <w:tc>
          <w:tcPr>
            <w:tcW w:w="2140" w:type="dxa"/>
            <w:tcBorders>
              <w:top w:val="single" w:color="auto" w:sz="4" w:space="0"/>
              <w:left w:val="single" w:color="auto" w:sz="4" w:space="0"/>
              <w:bottom w:val="single" w:color="auto" w:sz="4" w:space="0"/>
              <w:right w:val="single" w:color="auto" w:sz="4" w:space="0"/>
            </w:tcBorders>
          </w:tcPr>
          <w:p w:rsidRPr="004B117C" w:rsidR="00867FE2" w:rsidP="001531DF" w:rsidRDefault="00867FE2" w14:paraId="08F7A53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rPr>
            </w:pPr>
          </w:p>
          <w:p w:rsidRPr="004B117C" w:rsidR="00867FE2" w:rsidP="001531DF" w:rsidRDefault="00867FE2" w14:paraId="1F8930C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rPr>
            </w:pPr>
            <w:r w:rsidRPr="004B117C">
              <w:rPr>
                <w:rFonts w:ascii="Times New Roman" w:hAnsi="Times New Roman" w:eastAsia="Times New Roman" w:cs="Times New Roman"/>
              </w:rPr>
              <w:t>General Public</w:t>
            </w:r>
          </w:p>
        </w:tc>
        <w:tc>
          <w:tcPr>
            <w:tcW w:w="2031" w:type="dxa"/>
            <w:tcBorders>
              <w:top w:val="single" w:color="auto" w:sz="4" w:space="0"/>
              <w:left w:val="single" w:color="auto" w:sz="4" w:space="0"/>
              <w:bottom w:val="single" w:color="auto" w:sz="4" w:space="0"/>
              <w:right w:val="single" w:color="auto" w:sz="4" w:space="0"/>
            </w:tcBorders>
            <w:vAlign w:val="center"/>
            <w:hideMark/>
          </w:tcPr>
          <w:p w:rsidRPr="004B117C" w:rsidR="00867FE2" w:rsidP="001531DF" w:rsidRDefault="00CE64C2" w14:paraId="6D2206CE" w14:textId="448331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rPr>
            </w:pPr>
            <w:r>
              <w:rPr>
                <w:rFonts w:ascii="Times New Roman" w:hAnsi="Times New Roman" w:eastAsia="Times New Roman" w:cs="Times New Roman"/>
              </w:rPr>
              <w:t>811</w:t>
            </w:r>
          </w:p>
        </w:tc>
        <w:tc>
          <w:tcPr>
            <w:tcW w:w="2306" w:type="dxa"/>
            <w:tcBorders>
              <w:top w:val="single" w:color="auto" w:sz="4" w:space="0"/>
              <w:left w:val="single" w:color="auto" w:sz="4" w:space="0"/>
              <w:bottom w:val="single" w:color="auto" w:sz="4" w:space="0"/>
              <w:right w:val="single" w:color="auto" w:sz="4" w:space="0"/>
            </w:tcBorders>
            <w:vAlign w:val="center"/>
            <w:hideMark/>
          </w:tcPr>
          <w:p w:rsidRPr="004B117C" w:rsidR="00867FE2" w:rsidP="001531DF" w:rsidRDefault="00867FE2" w14:paraId="4D6C00F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rPr>
            </w:pPr>
            <w:r w:rsidRPr="004B117C">
              <w:rPr>
                <w:rFonts w:ascii="Times New Roman" w:hAnsi="Times New Roman" w:eastAsia="Times New Roman" w:cs="Times New Roman"/>
              </w:rPr>
              <w:t>$24.98</w:t>
            </w:r>
          </w:p>
        </w:tc>
        <w:tc>
          <w:tcPr>
            <w:tcW w:w="2121" w:type="dxa"/>
            <w:tcBorders>
              <w:top w:val="single" w:color="auto" w:sz="4" w:space="0"/>
              <w:left w:val="single" w:color="auto" w:sz="4" w:space="0"/>
              <w:bottom w:val="single" w:color="auto" w:sz="4" w:space="0"/>
              <w:right w:val="single" w:color="auto" w:sz="4" w:space="0"/>
            </w:tcBorders>
            <w:vAlign w:val="center"/>
            <w:hideMark/>
          </w:tcPr>
          <w:p w:rsidRPr="004B117C" w:rsidR="00867FE2" w:rsidP="001531DF" w:rsidRDefault="00867FE2" w14:paraId="436E3F47" w14:textId="0EBD32C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rPr>
            </w:pPr>
            <w:r w:rsidRPr="004B117C">
              <w:rPr>
                <w:rFonts w:ascii="Times New Roman" w:hAnsi="Times New Roman" w:eastAsia="Times New Roman" w:cs="Times New Roman"/>
              </w:rPr>
              <w:t>$</w:t>
            </w:r>
            <w:r w:rsidR="00CE64C2">
              <w:rPr>
                <w:rFonts w:ascii="Times New Roman" w:hAnsi="Times New Roman" w:eastAsia="Times New Roman" w:cs="Times New Roman"/>
              </w:rPr>
              <w:t>20,258</w:t>
            </w:r>
          </w:p>
        </w:tc>
      </w:tr>
      <w:tr w:rsidRPr="004B117C" w:rsidR="00867FE2" w:rsidTr="001531DF" w14:paraId="52CD137A" w14:textId="77777777">
        <w:trPr>
          <w:trHeight w:val="658"/>
        </w:trPr>
        <w:tc>
          <w:tcPr>
            <w:tcW w:w="2140" w:type="dxa"/>
            <w:tcBorders>
              <w:top w:val="single" w:color="auto" w:sz="4" w:space="0"/>
              <w:left w:val="single" w:color="auto" w:sz="4" w:space="0"/>
              <w:bottom w:val="single" w:color="auto" w:sz="4" w:space="0"/>
              <w:right w:val="single" w:color="auto" w:sz="4" w:space="0"/>
            </w:tcBorders>
          </w:tcPr>
          <w:p w:rsidRPr="004B117C" w:rsidR="00867FE2" w:rsidP="001531DF" w:rsidRDefault="00867FE2" w14:paraId="4445AFE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rPr>
            </w:pPr>
          </w:p>
          <w:p w:rsidRPr="004B117C" w:rsidR="00867FE2" w:rsidP="001531DF" w:rsidRDefault="00867FE2" w14:paraId="407B27E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hAnsi="Times New Roman" w:eastAsia="Times New Roman" w:cs="Times New Roman"/>
              </w:rPr>
            </w:pPr>
            <w:r w:rsidRPr="004B117C">
              <w:rPr>
                <w:rFonts w:ascii="Times New Roman" w:hAnsi="Times New Roman" w:eastAsia="Times New Roman" w:cs="Times New Roman"/>
              </w:rPr>
              <w:t>Health Professionals</w:t>
            </w:r>
          </w:p>
        </w:tc>
        <w:tc>
          <w:tcPr>
            <w:tcW w:w="2031" w:type="dxa"/>
            <w:tcBorders>
              <w:top w:val="single" w:color="auto" w:sz="4" w:space="0"/>
              <w:left w:val="single" w:color="auto" w:sz="4" w:space="0"/>
              <w:bottom w:val="single" w:color="auto" w:sz="4" w:space="0"/>
              <w:right w:val="single" w:color="auto" w:sz="4" w:space="0"/>
            </w:tcBorders>
            <w:vAlign w:val="center"/>
            <w:hideMark/>
          </w:tcPr>
          <w:p w:rsidRPr="004B117C" w:rsidR="00867FE2" w:rsidP="001531DF" w:rsidRDefault="00CE64C2" w14:paraId="4FB7D9EF" w14:textId="5ECD4A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rPr>
            </w:pPr>
            <w:r>
              <w:rPr>
                <w:rFonts w:ascii="Times New Roman" w:hAnsi="Times New Roman" w:eastAsia="Times New Roman" w:cs="Times New Roman"/>
              </w:rPr>
              <w:t>2,634</w:t>
            </w:r>
          </w:p>
        </w:tc>
        <w:tc>
          <w:tcPr>
            <w:tcW w:w="2306" w:type="dxa"/>
            <w:tcBorders>
              <w:top w:val="single" w:color="auto" w:sz="4" w:space="0"/>
              <w:left w:val="single" w:color="auto" w:sz="4" w:space="0"/>
              <w:bottom w:val="single" w:color="auto" w:sz="4" w:space="0"/>
              <w:right w:val="single" w:color="auto" w:sz="4" w:space="0"/>
            </w:tcBorders>
            <w:vAlign w:val="center"/>
            <w:hideMark/>
          </w:tcPr>
          <w:p w:rsidRPr="004B117C" w:rsidR="00867FE2" w:rsidP="001531DF" w:rsidRDefault="00867FE2" w14:paraId="5B30850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rPr>
            </w:pPr>
            <w:r w:rsidRPr="004B117C">
              <w:rPr>
                <w:rFonts w:ascii="Times New Roman" w:hAnsi="Times New Roman" w:eastAsia="Times New Roman" w:cs="Times New Roman"/>
              </w:rPr>
              <w:t>$39.42</w:t>
            </w:r>
          </w:p>
        </w:tc>
        <w:tc>
          <w:tcPr>
            <w:tcW w:w="2121" w:type="dxa"/>
            <w:tcBorders>
              <w:top w:val="single" w:color="auto" w:sz="4" w:space="0"/>
              <w:left w:val="single" w:color="auto" w:sz="4" w:space="0"/>
              <w:bottom w:val="single" w:color="auto" w:sz="4" w:space="0"/>
              <w:right w:val="single" w:color="auto" w:sz="4" w:space="0"/>
            </w:tcBorders>
            <w:vAlign w:val="center"/>
            <w:hideMark/>
          </w:tcPr>
          <w:p w:rsidRPr="004B117C" w:rsidR="00867FE2" w:rsidP="001531DF" w:rsidRDefault="00867FE2" w14:paraId="6F6D651E" w14:textId="1D34060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rPr>
            </w:pPr>
            <w:r w:rsidRPr="004B117C">
              <w:rPr>
                <w:rFonts w:ascii="Times New Roman" w:hAnsi="Times New Roman" w:eastAsia="Times New Roman" w:cs="Times New Roman"/>
              </w:rPr>
              <w:t>$</w:t>
            </w:r>
            <w:r w:rsidR="00CE64C2">
              <w:rPr>
                <w:rFonts w:ascii="Times New Roman" w:hAnsi="Times New Roman" w:eastAsia="Times New Roman" w:cs="Times New Roman"/>
              </w:rPr>
              <w:t>103,832</w:t>
            </w:r>
          </w:p>
        </w:tc>
      </w:tr>
      <w:tr w:rsidRPr="004B117C" w:rsidR="00867FE2" w:rsidTr="001531DF" w14:paraId="274DDD12" w14:textId="77777777">
        <w:trPr>
          <w:trHeight w:val="236"/>
        </w:trPr>
        <w:tc>
          <w:tcPr>
            <w:tcW w:w="2140" w:type="dxa"/>
            <w:tcBorders>
              <w:top w:val="single" w:color="auto" w:sz="4" w:space="0"/>
              <w:left w:val="single" w:color="auto" w:sz="4" w:space="0"/>
              <w:bottom w:val="single" w:color="auto" w:sz="4" w:space="0"/>
              <w:right w:val="single" w:color="auto" w:sz="4" w:space="0"/>
            </w:tcBorders>
          </w:tcPr>
          <w:p w:rsidRPr="004B117C" w:rsidR="00867FE2" w:rsidP="001531DF" w:rsidRDefault="00867FE2" w14:paraId="2071189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rPr>
            </w:pPr>
          </w:p>
          <w:p w:rsidRPr="004B117C" w:rsidR="00867FE2" w:rsidP="001531DF" w:rsidRDefault="00867FE2" w14:paraId="2DC960E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rPr>
            </w:pPr>
            <w:r w:rsidRPr="004B117C">
              <w:rPr>
                <w:rFonts w:ascii="Times New Roman" w:hAnsi="Times New Roman" w:eastAsia="Times New Roman" w:cs="Times New Roman"/>
              </w:rPr>
              <w:t>Health Educators</w:t>
            </w:r>
          </w:p>
          <w:p w:rsidRPr="004B117C" w:rsidR="00867FE2" w:rsidP="001531DF" w:rsidRDefault="00867FE2" w14:paraId="2198388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rPr>
            </w:pPr>
          </w:p>
        </w:tc>
        <w:tc>
          <w:tcPr>
            <w:tcW w:w="2031" w:type="dxa"/>
            <w:tcBorders>
              <w:top w:val="single" w:color="auto" w:sz="4" w:space="0"/>
              <w:left w:val="single" w:color="auto" w:sz="4" w:space="0"/>
              <w:bottom w:val="single" w:color="auto" w:sz="4" w:space="0"/>
              <w:right w:val="single" w:color="auto" w:sz="4" w:space="0"/>
            </w:tcBorders>
            <w:vAlign w:val="center"/>
          </w:tcPr>
          <w:p w:rsidRPr="004B117C" w:rsidR="00867FE2" w:rsidP="001531DF" w:rsidRDefault="00CE64C2" w14:paraId="67BDFB2B" w14:textId="44A0E2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rPr>
            </w:pPr>
            <w:r>
              <w:rPr>
                <w:rFonts w:ascii="Times New Roman" w:hAnsi="Times New Roman" w:eastAsia="Times New Roman" w:cs="Times New Roman"/>
              </w:rPr>
              <w:t>608</w:t>
            </w:r>
          </w:p>
        </w:tc>
        <w:tc>
          <w:tcPr>
            <w:tcW w:w="2306" w:type="dxa"/>
            <w:tcBorders>
              <w:top w:val="single" w:color="auto" w:sz="4" w:space="0"/>
              <w:left w:val="single" w:color="auto" w:sz="4" w:space="0"/>
              <w:bottom w:val="single" w:color="auto" w:sz="4" w:space="0"/>
              <w:right w:val="single" w:color="auto" w:sz="4" w:space="0"/>
            </w:tcBorders>
            <w:vAlign w:val="center"/>
          </w:tcPr>
          <w:p w:rsidRPr="004B117C" w:rsidR="00867FE2" w:rsidP="001531DF" w:rsidRDefault="00867FE2" w14:paraId="7E59962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rPr>
            </w:pPr>
            <w:r w:rsidRPr="004B117C">
              <w:rPr>
                <w:rFonts w:ascii="Times New Roman" w:hAnsi="Times New Roman" w:eastAsia="Times New Roman" w:cs="Times New Roman"/>
              </w:rPr>
              <w:t>$28.68</w:t>
            </w:r>
          </w:p>
        </w:tc>
        <w:tc>
          <w:tcPr>
            <w:tcW w:w="2121" w:type="dxa"/>
            <w:tcBorders>
              <w:top w:val="single" w:color="auto" w:sz="4" w:space="0"/>
              <w:left w:val="single" w:color="auto" w:sz="4" w:space="0"/>
              <w:bottom w:val="single" w:color="auto" w:sz="4" w:space="0"/>
              <w:right w:val="single" w:color="auto" w:sz="4" w:space="0"/>
            </w:tcBorders>
            <w:vAlign w:val="center"/>
          </w:tcPr>
          <w:p w:rsidRPr="004B117C" w:rsidR="00867FE2" w:rsidP="001531DF" w:rsidRDefault="008A061F" w14:paraId="4DE362B0" w14:textId="6959FB8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rPr>
            </w:pPr>
            <w:r>
              <w:rPr>
                <w:rFonts w:ascii="Times New Roman" w:hAnsi="Times New Roman" w:eastAsia="Times New Roman" w:cs="Times New Roman"/>
              </w:rPr>
              <w:t>$1</w:t>
            </w:r>
            <w:r w:rsidR="00CE64C2">
              <w:rPr>
                <w:rFonts w:ascii="Times New Roman" w:hAnsi="Times New Roman" w:eastAsia="Times New Roman" w:cs="Times New Roman"/>
              </w:rPr>
              <w:t>7,437</w:t>
            </w:r>
          </w:p>
        </w:tc>
      </w:tr>
      <w:tr w:rsidRPr="004B117C" w:rsidR="00867FE2" w:rsidTr="001531DF" w14:paraId="6002DA65" w14:textId="77777777">
        <w:trPr>
          <w:trHeight w:val="236"/>
        </w:trPr>
        <w:tc>
          <w:tcPr>
            <w:tcW w:w="2140" w:type="dxa"/>
            <w:tcBorders>
              <w:top w:val="single" w:color="auto" w:sz="4" w:space="0"/>
              <w:left w:val="single" w:color="auto" w:sz="4" w:space="0"/>
              <w:bottom w:val="single" w:color="auto" w:sz="4" w:space="0"/>
              <w:right w:val="single" w:color="auto" w:sz="4" w:space="0"/>
            </w:tcBorders>
          </w:tcPr>
          <w:p w:rsidRPr="004B117C" w:rsidR="00867FE2" w:rsidP="001531DF" w:rsidRDefault="00867FE2" w14:paraId="7126BAE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rPr>
            </w:pPr>
            <w:r w:rsidRPr="004B117C">
              <w:rPr>
                <w:rFonts w:ascii="Times New Roman" w:hAnsi="Times New Roman" w:eastAsia="Times New Roman" w:cs="Times New Roman"/>
                <w:b/>
              </w:rPr>
              <w:t>TOTAL</w:t>
            </w:r>
          </w:p>
        </w:tc>
        <w:tc>
          <w:tcPr>
            <w:tcW w:w="2031" w:type="dxa"/>
            <w:tcBorders>
              <w:top w:val="single" w:color="auto" w:sz="4" w:space="0"/>
              <w:left w:val="single" w:color="auto" w:sz="4" w:space="0"/>
              <w:bottom w:val="single" w:color="auto" w:sz="4" w:space="0"/>
              <w:right w:val="single" w:color="auto" w:sz="4" w:space="0"/>
            </w:tcBorders>
            <w:vAlign w:val="center"/>
          </w:tcPr>
          <w:p w:rsidRPr="004B117C" w:rsidR="00867FE2" w:rsidP="001531DF" w:rsidRDefault="00867FE2" w14:paraId="75DE098F" w14:textId="584F61C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rPr>
            </w:pPr>
          </w:p>
        </w:tc>
        <w:tc>
          <w:tcPr>
            <w:tcW w:w="2306" w:type="dxa"/>
            <w:tcBorders>
              <w:top w:val="single" w:color="auto" w:sz="4" w:space="0"/>
              <w:left w:val="single" w:color="auto" w:sz="4" w:space="0"/>
              <w:bottom w:val="single" w:color="auto" w:sz="4" w:space="0"/>
              <w:right w:val="single" w:color="auto" w:sz="4" w:space="0"/>
            </w:tcBorders>
            <w:shd w:val="pct25" w:color="auto" w:fill="auto"/>
            <w:vAlign w:val="center"/>
          </w:tcPr>
          <w:p w:rsidRPr="004B117C" w:rsidR="00867FE2" w:rsidP="001531DF" w:rsidRDefault="00867FE2" w14:paraId="6221AFB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color w:val="FF0000"/>
                <w:highlight w:val="yellow"/>
              </w:rPr>
            </w:pPr>
          </w:p>
        </w:tc>
        <w:tc>
          <w:tcPr>
            <w:tcW w:w="2121" w:type="dxa"/>
            <w:tcBorders>
              <w:top w:val="single" w:color="auto" w:sz="4" w:space="0"/>
              <w:left w:val="single" w:color="auto" w:sz="4" w:space="0"/>
              <w:bottom w:val="single" w:color="auto" w:sz="4" w:space="0"/>
              <w:right w:val="single" w:color="auto" w:sz="4" w:space="0"/>
            </w:tcBorders>
            <w:vAlign w:val="center"/>
          </w:tcPr>
          <w:p w:rsidRPr="004B117C" w:rsidR="00867FE2" w:rsidP="001531DF" w:rsidRDefault="00867FE2" w14:paraId="415E76DD" w14:textId="781C0BB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hAnsi="Times New Roman" w:eastAsia="Times New Roman" w:cs="Times New Roman"/>
              </w:rPr>
            </w:pPr>
            <w:r w:rsidRPr="004B117C">
              <w:rPr>
                <w:rFonts w:ascii="Times New Roman" w:hAnsi="Times New Roman" w:eastAsia="Times New Roman" w:cs="Times New Roman"/>
              </w:rPr>
              <w:t>$</w:t>
            </w:r>
            <w:r w:rsidR="00CE64C2">
              <w:rPr>
                <w:rFonts w:ascii="Times New Roman" w:hAnsi="Times New Roman" w:eastAsia="Times New Roman" w:cs="Times New Roman"/>
              </w:rPr>
              <w:t>141</w:t>
            </w:r>
            <w:r w:rsidR="007D0F20">
              <w:rPr>
                <w:rFonts w:ascii="Times New Roman" w:hAnsi="Times New Roman" w:eastAsia="Times New Roman" w:cs="Times New Roman"/>
              </w:rPr>
              <w:t>,</w:t>
            </w:r>
            <w:r w:rsidR="00CE64C2">
              <w:rPr>
                <w:rFonts w:ascii="Times New Roman" w:hAnsi="Times New Roman" w:eastAsia="Times New Roman" w:cs="Times New Roman"/>
              </w:rPr>
              <w:t>527</w:t>
            </w:r>
          </w:p>
        </w:tc>
      </w:tr>
    </w:tbl>
    <w:p w:rsidRPr="00E57D5E" w:rsidR="00867FE2" w:rsidP="00867FE2" w:rsidRDefault="00867FE2" w14:paraId="688133EC" w14:textId="77777777">
      <w:pPr>
        <w:spacing w:after="0" w:line="240" w:lineRule="auto"/>
        <w:jc w:val="center"/>
        <w:rPr>
          <w:rFonts w:ascii="Times New Roman" w:hAnsi="Times New Roman" w:eastAsia="Times New Roman" w:cs="Times New Roman"/>
        </w:rPr>
      </w:pPr>
    </w:p>
    <w:p w:rsidRPr="00E57D5E" w:rsidR="00867FE2" w:rsidP="00867FE2" w:rsidRDefault="00867FE2" w14:paraId="3FB1DFC4" w14:textId="77777777">
      <w:pPr>
        <w:rPr>
          <w:rFonts w:ascii="Times New Roman" w:hAnsi="Times New Roman" w:cs="Times New Roman"/>
        </w:rPr>
      </w:pPr>
      <w:r w:rsidRPr="00E57D5E">
        <w:rPr>
          <w:rFonts w:ascii="Times New Roman" w:hAnsi="Times New Roman" w:eastAsia="Times New Roman" w:cs="Times New Roman"/>
          <w:sz w:val="16"/>
          <w:szCs w:val="16"/>
        </w:rPr>
        <w:t>*</w:t>
      </w:r>
      <w:r w:rsidRPr="00E57D5E">
        <w:rPr>
          <w:rFonts w:ascii="Times New Roman" w:hAnsi="Times New Roman" w:cs="Times New Roman"/>
          <w:sz w:val="18"/>
          <w:szCs w:val="18"/>
        </w:rPr>
        <w:t xml:space="preserve"> Hourly wage rates are based on Bureau of Labor and Statistics tables (</w:t>
      </w:r>
      <w:hyperlink w:history="1" r:id="rId15">
        <w:r w:rsidRPr="00E57D5E">
          <w:rPr>
            <w:rStyle w:val="Hyperlink"/>
            <w:rFonts w:ascii="Times New Roman" w:hAnsi="Times New Roman" w:cs="Times New Roman"/>
            <w:sz w:val="18"/>
            <w:szCs w:val="18"/>
          </w:rPr>
          <w:t>https://www.bls.gov/oes/current/oes_nat.htm</w:t>
        </w:r>
      </w:hyperlink>
      <w:r w:rsidRPr="00E57D5E">
        <w:rPr>
          <w:rFonts w:ascii="Times New Roman" w:hAnsi="Times New Roman" w:cs="Times New Roman"/>
          <w:sz w:val="18"/>
          <w:szCs w:val="18"/>
        </w:rPr>
        <w:t xml:space="preserve">). General public occupation title “All Occupations” code 00-0000. Health professionals occupation title “Healthcare Practitioners and Technical Occupations” code 29-0000. Health educators occupation title “Health Educators” code 21-1091. </w:t>
      </w:r>
    </w:p>
    <w:p w:rsidRPr="00E57D5E" w:rsidR="001A57A4" w:rsidP="001A57A4" w:rsidRDefault="001A57A4" w14:paraId="2B3B9606" w14:textId="77777777">
      <w:pPr>
        <w:spacing w:after="0" w:line="240" w:lineRule="auto"/>
        <w:rPr>
          <w:rFonts w:ascii="Times New Roman" w:hAnsi="Times New Roman" w:eastAsia="Times New Roman" w:cs="Times New Roman"/>
          <w:sz w:val="16"/>
          <w:szCs w:val="16"/>
        </w:rPr>
      </w:pPr>
    </w:p>
    <w:p w:rsidR="001A57A4" w:rsidP="001A57A4" w:rsidRDefault="001A57A4" w14:paraId="27F727C4" w14:textId="626E5E71">
      <w:pPr>
        <w:rPr>
          <w:rFonts w:ascii="Times New Roman" w:hAnsi="Times New Roman" w:cs="Times New Roman"/>
          <w:b/>
        </w:rPr>
      </w:pPr>
      <w:r w:rsidRPr="001844D3">
        <w:rPr>
          <w:rFonts w:ascii="Times New Roman" w:hAnsi="Times New Roman" w:cs="Times New Roman"/>
          <w:b/>
        </w:rPr>
        <w:t>A.13</w:t>
      </w:r>
      <w:r w:rsidRPr="001844D3">
        <w:rPr>
          <w:rFonts w:ascii="Times New Roman" w:hAnsi="Times New Roman" w:cs="Times New Roman"/>
          <w:b/>
        </w:rPr>
        <w:tab/>
        <w:t>Estimate of Other Total Annual Cost Burden to Respondents or Record Keepers</w:t>
      </w:r>
    </w:p>
    <w:p w:rsidR="00CA568C" w:rsidP="000F2B39" w:rsidRDefault="00CA568C" w14:paraId="33B963C2" w14:textId="77777777">
      <w:pPr>
        <w:spacing w:line="480" w:lineRule="auto"/>
        <w:rPr>
          <w:rFonts w:ascii="Times New Roman" w:hAnsi="Times New Roman" w:cs="Times New Roman"/>
          <w:bCs/>
        </w:rPr>
      </w:pPr>
      <w:r w:rsidRPr="00CA568C">
        <w:rPr>
          <w:rFonts w:ascii="Times New Roman" w:hAnsi="Times New Roman" w:cs="Times New Roman"/>
          <w:bCs/>
        </w:rPr>
        <w:t>There are no capital costs, operating costs, or maintenance costs to report.</w:t>
      </w:r>
    </w:p>
    <w:p w:rsidR="001A57A4" w:rsidP="001A57A4" w:rsidRDefault="001A57A4" w14:paraId="50EE0C40" w14:textId="71D8AC8F">
      <w:pPr>
        <w:pStyle w:val="Heading2"/>
        <w:tabs>
          <w:tab w:val="left" w:pos="720"/>
        </w:tabs>
        <w:spacing w:line="480" w:lineRule="auto"/>
        <w:rPr>
          <w:rFonts w:ascii="Times New Roman" w:hAnsi="Times New Roman" w:cs="Times New Roman"/>
          <w:b/>
          <w:color w:val="auto"/>
          <w:sz w:val="22"/>
          <w:szCs w:val="22"/>
        </w:rPr>
      </w:pPr>
      <w:bookmarkStart w:name="_Toc22307630" w:id="55"/>
      <w:bookmarkStart w:name="_Toc22825131" w:id="56"/>
      <w:r w:rsidRPr="00E57D5E">
        <w:rPr>
          <w:rFonts w:ascii="Times New Roman" w:hAnsi="Times New Roman" w:cs="Times New Roman"/>
          <w:b/>
          <w:color w:val="auto"/>
          <w:sz w:val="22"/>
          <w:szCs w:val="22"/>
        </w:rPr>
        <w:t>A.14</w:t>
      </w:r>
      <w:r w:rsidRPr="00E57D5E">
        <w:rPr>
          <w:rFonts w:ascii="Times New Roman" w:hAnsi="Times New Roman" w:cs="Times New Roman"/>
          <w:b/>
          <w:color w:val="auto"/>
          <w:sz w:val="22"/>
          <w:szCs w:val="22"/>
        </w:rPr>
        <w:tab/>
        <w:t>Annualized Cost to the Federal Government</w:t>
      </w:r>
      <w:bookmarkEnd w:id="55"/>
      <w:bookmarkEnd w:id="56"/>
      <w:r w:rsidRPr="00E57D5E">
        <w:rPr>
          <w:rFonts w:ascii="Times New Roman" w:hAnsi="Times New Roman" w:cs="Times New Roman"/>
          <w:b/>
          <w:color w:val="auto"/>
          <w:sz w:val="22"/>
          <w:szCs w:val="22"/>
        </w:rPr>
        <w:t xml:space="preserve">  </w:t>
      </w:r>
    </w:p>
    <w:p w:rsidR="0079757B" w:rsidP="0079757B" w:rsidRDefault="0079757B" w14:paraId="6A76C159" w14:textId="2E0CDB0B">
      <w:pPr>
        <w:spacing w:line="480" w:lineRule="auto"/>
        <w:rPr>
          <w:rFonts w:ascii="Times New Roman" w:hAnsi="Times New Roman" w:cs="Times New Roman"/>
        </w:rPr>
      </w:pPr>
      <w:bookmarkStart w:name="_Hlk36047675" w:id="57"/>
      <w:r w:rsidRPr="004E3951">
        <w:rPr>
          <w:rFonts w:ascii="Times New Roman" w:hAnsi="Times New Roman" w:cs="Times New Roman"/>
        </w:rPr>
        <w:t xml:space="preserve">The annualized </w:t>
      </w:r>
      <w:r>
        <w:rPr>
          <w:rFonts w:ascii="Times New Roman" w:hAnsi="Times New Roman" w:cs="Times New Roman"/>
        </w:rPr>
        <w:t>cost to the federal government</w:t>
      </w:r>
      <w:r w:rsidR="00B22AEF">
        <w:rPr>
          <w:rFonts w:ascii="Times New Roman" w:hAnsi="Times New Roman" w:cs="Times New Roman"/>
        </w:rPr>
        <w:t>, $193,172 which</w:t>
      </w:r>
      <w:r>
        <w:rPr>
          <w:rFonts w:ascii="Times New Roman" w:hAnsi="Times New Roman" w:cs="Times New Roman"/>
        </w:rPr>
        <w:t xml:space="preserve"> includes data analysis and federal oversight. The ORWH analysis plan includes: quarterly internal progress reports, interim and final data tabulation and descriptive analysis, and interim and final publications based on the information collections. The scope of the planned analyses represents a primary responsibility of the ORWH support staff for the courses [contract scientist]. The analysis does not require additional equipment, overhead, or printing costs that would not otherwise be incurred. </w:t>
      </w:r>
      <w:r w:rsidRPr="006A4F7C" w:rsidR="006A4F7C">
        <w:rPr>
          <w:rFonts w:ascii="Times New Roman" w:hAnsi="Times New Roman" w:cs="Times New Roman"/>
        </w:rPr>
        <w:t xml:space="preserve">A </w:t>
      </w:r>
      <w:r w:rsidRPr="006A4F7C" w:rsidR="006A4F7C">
        <w:rPr>
          <w:rFonts w:ascii="Times New Roman" w:hAnsi="Times New Roman" w:cs="Times New Roman"/>
        </w:rPr>
        <w:lastRenderedPageBreak/>
        <w:t>summary of contract costs, federal employees, and office staff contractors are presented in the table below</w:t>
      </w:r>
      <w:r w:rsidR="006218BC">
        <w:rPr>
          <w:rFonts w:ascii="Times New Roman" w:hAnsi="Times New Roman" w:cs="Times New Roman"/>
        </w:rPr>
        <w:t>.</w:t>
      </w:r>
    </w:p>
    <w:p w:rsidRPr="00AE7DC9" w:rsidR="00AE7DC9" w:rsidP="00AE7DC9" w:rsidRDefault="00AE7DC9" w14:paraId="11D856D0" w14:textId="588D7EE3">
      <w:pPr>
        <w:spacing w:line="480" w:lineRule="auto"/>
        <w:jc w:val="center"/>
        <w:rPr>
          <w:rFonts w:ascii="Times New Roman" w:hAnsi="Times New Roman" w:cs="Times New Roman"/>
          <w:b/>
          <w:bCs/>
        </w:rPr>
      </w:pPr>
      <w:bookmarkStart w:name="_Hlk47955606" w:id="58"/>
      <w:bookmarkStart w:name="_Hlk46898457" w:id="59"/>
      <w:bookmarkEnd w:id="57"/>
      <w:r>
        <w:rPr>
          <w:rFonts w:ascii="Times New Roman" w:hAnsi="Times New Roman" w:cs="Times New Roman"/>
          <w:b/>
          <w:bCs/>
        </w:rPr>
        <w:t xml:space="preserve">Table 14: </w:t>
      </w:r>
      <w:r w:rsidRPr="00E57D5E">
        <w:rPr>
          <w:rFonts w:ascii="Times New Roman" w:hAnsi="Times New Roman" w:cs="Times New Roman"/>
          <w:b/>
        </w:rPr>
        <w:t>Annualized Cost to the Federal Government</w:t>
      </w:r>
    </w:p>
    <w:tbl>
      <w:tblPr>
        <w:tblW w:w="9522" w:type="dxa"/>
        <w:tblCellMar>
          <w:left w:w="0" w:type="dxa"/>
          <w:right w:w="0" w:type="dxa"/>
        </w:tblCellMar>
        <w:tblLook w:val="04A0" w:firstRow="1" w:lastRow="0" w:firstColumn="1" w:lastColumn="0" w:noHBand="0" w:noVBand="1"/>
      </w:tblPr>
      <w:tblGrid>
        <w:gridCol w:w="2733"/>
        <w:gridCol w:w="1345"/>
        <w:gridCol w:w="1689"/>
        <w:gridCol w:w="1363"/>
        <w:gridCol w:w="1281"/>
        <w:gridCol w:w="1111"/>
      </w:tblGrid>
      <w:tr w:rsidRPr="00342454" w:rsidR="00342454" w:rsidTr="00BD4706" w14:paraId="09AA9367" w14:textId="77777777">
        <w:trPr>
          <w:trHeight w:val="900"/>
        </w:trPr>
        <w:tc>
          <w:tcPr>
            <w:tcW w:w="2733"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342454" w:rsidR="00342454" w:rsidP="00342454" w:rsidRDefault="00342454" w14:paraId="30F61CC2" w14:textId="77777777">
            <w:pPr>
              <w:rPr>
                <w:rFonts w:ascii="Times New Roman" w:hAnsi="Times New Roman" w:cs="Times New Roman"/>
                <w:b/>
                <w:bCs/>
              </w:rPr>
            </w:pPr>
            <w:r w:rsidRPr="00342454">
              <w:rPr>
                <w:rFonts w:ascii="Times New Roman" w:hAnsi="Times New Roman" w:cs="Times New Roman"/>
                <w:b/>
              </w:rPr>
              <w:t xml:space="preserve">                         </w:t>
            </w:r>
            <w:r w:rsidRPr="00342454">
              <w:rPr>
                <w:rFonts w:ascii="Times New Roman" w:hAnsi="Times New Roman" w:cs="Times New Roman"/>
                <w:i/>
              </w:rPr>
              <w:t xml:space="preserve"> </w:t>
            </w:r>
            <w:bookmarkStart w:name="_Hlk36047657" w:id="60"/>
            <w:r w:rsidRPr="00342454">
              <w:rPr>
                <w:rFonts w:ascii="Times New Roman" w:hAnsi="Times New Roman" w:cs="Times New Roman"/>
                <w:b/>
                <w:bCs/>
              </w:rPr>
              <w:t>Staff</w:t>
            </w:r>
          </w:p>
        </w:tc>
        <w:tc>
          <w:tcPr>
            <w:tcW w:w="1345" w:type="dxa"/>
            <w:tcBorders>
              <w:top w:val="single" w:color="auto" w:sz="8" w:space="0"/>
              <w:left w:val="nil"/>
              <w:bottom w:val="single" w:color="auto" w:sz="8" w:space="0"/>
              <w:right w:val="single" w:color="auto" w:sz="8" w:space="0"/>
            </w:tcBorders>
            <w:shd w:val="clear" w:color="auto" w:fill="auto"/>
            <w:vAlign w:val="bottom"/>
          </w:tcPr>
          <w:p w:rsidRPr="00342454" w:rsidR="00342454" w:rsidP="00342454" w:rsidRDefault="00342454" w14:paraId="6CBA1098" w14:textId="77777777">
            <w:pPr>
              <w:rPr>
                <w:rFonts w:ascii="Times New Roman" w:hAnsi="Times New Roman" w:cs="Times New Roman"/>
                <w:b/>
                <w:bCs/>
              </w:rPr>
            </w:pPr>
          </w:p>
          <w:p w:rsidRPr="00342454" w:rsidR="00342454" w:rsidP="00342454" w:rsidRDefault="00342454" w14:paraId="391B9A6B" w14:textId="77777777">
            <w:pPr>
              <w:rPr>
                <w:rFonts w:ascii="Times New Roman" w:hAnsi="Times New Roman" w:cs="Times New Roman"/>
                <w:b/>
                <w:bCs/>
              </w:rPr>
            </w:pPr>
            <w:r w:rsidRPr="00342454">
              <w:rPr>
                <w:rFonts w:ascii="Times New Roman" w:hAnsi="Times New Roman" w:cs="Times New Roman"/>
                <w:b/>
                <w:bCs/>
              </w:rPr>
              <w:t>Grade/Step</w:t>
            </w:r>
          </w:p>
        </w:tc>
        <w:tc>
          <w:tcPr>
            <w:tcW w:w="168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342454" w:rsidR="00342454" w:rsidP="00342454" w:rsidRDefault="00342454" w14:paraId="72FFD6CE" w14:textId="77777777">
            <w:pPr>
              <w:rPr>
                <w:rFonts w:ascii="Times New Roman" w:hAnsi="Times New Roman" w:cs="Times New Roman"/>
                <w:b/>
                <w:bCs/>
              </w:rPr>
            </w:pPr>
            <w:r w:rsidRPr="00342454">
              <w:rPr>
                <w:rFonts w:ascii="Times New Roman" w:hAnsi="Times New Roman" w:cs="Times New Roman"/>
                <w:b/>
                <w:bCs/>
              </w:rPr>
              <w:t>Salary</w:t>
            </w:r>
          </w:p>
        </w:tc>
        <w:tc>
          <w:tcPr>
            <w:tcW w:w="13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342454" w:rsidR="00342454" w:rsidP="00342454" w:rsidRDefault="00342454" w14:paraId="5BE0982B" w14:textId="77777777">
            <w:pPr>
              <w:rPr>
                <w:rFonts w:ascii="Times New Roman" w:hAnsi="Times New Roman" w:cs="Times New Roman"/>
                <w:b/>
                <w:bCs/>
              </w:rPr>
            </w:pPr>
            <w:r w:rsidRPr="00342454">
              <w:rPr>
                <w:rFonts w:ascii="Times New Roman" w:hAnsi="Times New Roman" w:cs="Times New Roman"/>
                <w:b/>
                <w:bCs/>
              </w:rPr>
              <w:t>% of Effort</w:t>
            </w:r>
          </w:p>
        </w:tc>
        <w:tc>
          <w:tcPr>
            <w:tcW w:w="1281" w:type="dxa"/>
            <w:tcBorders>
              <w:top w:val="single" w:color="auto" w:sz="8" w:space="0"/>
              <w:left w:val="nil"/>
              <w:bottom w:val="single" w:color="auto" w:sz="8" w:space="0"/>
              <w:right w:val="single" w:color="auto" w:sz="8" w:space="0"/>
            </w:tcBorders>
            <w:shd w:val="clear" w:color="auto" w:fill="auto"/>
          </w:tcPr>
          <w:p w:rsidRPr="00342454" w:rsidR="00342454" w:rsidP="00342454" w:rsidRDefault="00342454" w14:paraId="523A82DC" w14:textId="77777777">
            <w:pPr>
              <w:rPr>
                <w:rFonts w:ascii="Times New Roman" w:hAnsi="Times New Roman" w:cs="Times New Roman"/>
                <w:b/>
                <w:bCs/>
              </w:rPr>
            </w:pPr>
            <w:r w:rsidRPr="00342454">
              <w:rPr>
                <w:rFonts w:ascii="Times New Roman" w:hAnsi="Times New Roman" w:cs="Times New Roman"/>
                <w:b/>
                <w:bCs/>
              </w:rPr>
              <w:t>Fringe (if applicable)</w:t>
            </w:r>
          </w:p>
        </w:tc>
        <w:tc>
          <w:tcPr>
            <w:tcW w:w="1111" w:type="dxa"/>
            <w:tcBorders>
              <w:top w:val="single" w:color="auto" w:sz="8" w:space="0"/>
              <w:left w:val="nil"/>
              <w:bottom w:val="single" w:color="auto" w:sz="8" w:space="0"/>
              <w:right w:val="single" w:color="auto" w:sz="8" w:space="0"/>
            </w:tcBorders>
            <w:shd w:val="clear" w:color="auto" w:fill="auto"/>
          </w:tcPr>
          <w:p w:rsidRPr="00342454" w:rsidR="00342454" w:rsidP="00342454" w:rsidRDefault="00342454" w14:paraId="29BB1893" w14:textId="77777777">
            <w:pPr>
              <w:rPr>
                <w:rFonts w:ascii="Times New Roman" w:hAnsi="Times New Roman" w:cs="Times New Roman"/>
                <w:b/>
                <w:bCs/>
              </w:rPr>
            </w:pPr>
            <w:r w:rsidRPr="00342454">
              <w:rPr>
                <w:rFonts w:ascii="Times New Roman" w:hAnsi="Times New Roman" w:cs="Times New Roman"/>
                <w:b/>
                <w:bCs/>
              </w:rPr>
              <w:t>Total Cost to Gov’t</w:t>
            </w:r>
          </w:p>
        </w:tc>
      </w:tr>
      <w:tr w:rsidRPr="00342454" w:rsidR="00342454" w:rsidTr="00BD4706" w14:paraId="02858129"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342454" w:rsidR="00342454" w:rsidP="00342454" w:rsidRDefault="00342454" w14:paraId="6FE57B48" w14:textId="77777777">
            <w:pPr>
              <w:rPr>
                <w:rFonts w:ascii="Times New Roman" w:hAnsi="Times New Roman" w:cs="Times New Roman"/>
                <w:b/>
              </w:rPr>
            </w:pPr>
            <w:r w:rsidRPr="00342454">
              <w:rPr>
                <w:rFonts w:ascii="Times New Roman" w:hAnsi="Times New Roman" w:cs="Times New Roman"/>
                <w:b/>
              </w:rPr>
              <w:t>Federal Oversight</w:t>
            </w:r>
          </w:p>
        </w:tc>
        <w:tc>
          <w:tcPr>
            <w:tcW w:w="1345" w:type="dxa"/>
            <w:tcBorders>
              <w:top w:val="nil"/>
              <w:left w:val="nil"/>
              <w:bottom w:val="single" w:color="auto" w:sz="8" w:space="0"/>
              <w:right w:val="single" w:color="auto" w:sz="8" w:space="0"/>
            </w:tcBorders>
          </w:tcPr>
          <w:p w:rsidRPr="00342454" w:rsidR="00342454" w:rsidP="00342454" w:rsidRDefault="00342454" w14:paraId="51B76115" w14:textId="33BBB781">
            <w:pPr>
              <w:rPr>
                <w:rFonts w:ascii="Times New Roman" w:hAnsi="Times New Roman" w:cs="Times New Roman"/>
              </w:rPr>
            </w:pPr>
          </w:p>
        </w:tc>
        <w:tc>
          <w:tcPr>
            <w:tcW w:w="1689"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342454" w:rsidR="00342454" w:rsidP="00342454" w:rsidRDefault="00342454" w14:paraId="03143A13" w14:textId="39ACAC6D">
            <w:pPr>
              <w:rPr>
                <w:rFonts w:ascii="Times New Roman" w:hAnsi="Times New Roman" w:cs="Times New Roman"/>
              </w:rP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342454" w:rsidR="00342454" w:rsidP="00342454" w:rsidRDefault="00342454" w14:paraId="3A049D68" w14:textId="3F68FC87">
            <w:pPr>
              <w:rPr>
                <w:rFonts w:ascii="Times New Roman" w:hAnsi="Times New Roman" w:cs="Times New Roman"/>
              </w:rPr>
            </w:pPr>
          </w:p>
        </w:tc>
        <w:tc>
          <w:tcPr>
            <w:tcW w:w="1281" w:type="dxa"/>
            <w:tcBorders>
              <w:top w:val="nil"/>
              <w:left w:val="nil"/>
              <w:bottom w:val="single" w:color="auto" w:sz="8" w:space="0"/>
              <w:right w:val="single" w:color="auto" w:sz="8" w:space="0"/>
            </w:tcBorders>
            <w:shd w:val="clear" w:color="auto" w:fill="BFBFBF"/>
          </w:tcPr>
          <w:p w:rsidRPr="00342454" w:rsidR="00342454" w:rsidP="00342454" w:rsidRDefault="00342454" w14:paraId="5E176298" w14:textId="77777777">
            <w:pPr>
              <w:rPr>
                <w:rFonts w:ascii="Times New Roman" w:hAnsi="Times New Roman" w:cs="Times New Roman"/>
              </w:rPr>
            </w:pPr>
          </w:p>
        </w:tc>
        <w:tc>
          <w:tcPr>
            <w:tcW w:w="1111" w:type="dxa"/>
            <w:tcBorders>
              <w:top w:val="nil"/>
              <w:left w:val="nil"/>
              <w:bottom w:val="single" w:color="auto" w:sz="8" w:space="0"/>
              <w:right w:val="single" w:color="auto" w:sz="8" w:space="0"/>
            </w:tcBorders>
          </w:tcPr>
          <w:p w:rsidRPr="00342454" w:rsidR="00342454" w:rsidP="00342454" w:rsidRDefault="00342454" w14:paraId="422E3A75" w14:textId="02E5A7F4">
            <w:pPr>
              <w:rPr>
                <w:rFonts w:ascii="Times New Roman" w:hAnsi="Times New Roman" w:cs="Times New Roman"/>
              </w:rPr>
            </w:pPr>
          </w:p>
        </w:tc>
      </w:tr>
      <w:tr w:rsidRPr="00342454" w:rsidR="00F617CA" w:rsidTr="00BD4706" w14:paraId="56D6C82B"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D63B53" w:rsidR="00F617CA" w:rsidP="00F617CA" w:rsidRDefault="00D63B53" w14:paraId="31400FD8" w14:textId="6C6BC232">
            <w:pPr>
              <w:rPr>
                <w:rFonts w:ascii="Times New Roman" w:hAnsi="Times New Roman" w:cs="Times New Roman"/>
                <w:bCs/>
              </w:rPr>
            </w:pPr>
            <w:r w:rsidRPr="00D63B53">
              <w:rPr>
                <w:rFonts w:ascii="Times New Roman" w:hAnsi="Times New Roman" w:cs="Times New Roman"/>
                <w:bCs/>
              </w:rPr>
              <w:t>Supervisory Health Scientist Administrator</w:t>
            </w:r>
          </w:p>
        </w:tc>
        <w:tc>
          <w:tcPr>
            <w:tcW w:w="1345" w:type="dxa"/>
            <w:tcBorders>
              <w:top w:val="nil"/>
              <w:left w:val="nil"/>
              <w:bottom w:val="single" w:color="auto" w:sz="8" w:space="0"/>
              <w:right w:val="single" w:color="auto" w:sz="8" w:space="0"/>
            </w:tcBorders>
          </w:tcPr>
          <w:p w:rsidRPr="00342454" w:rsidR="00F617CA" w:rsidP="00F617CA" w:rsidRDefault="00F617CA" w14:paraId="01AC9FA0" w14:textId="4C9E1349">
            <w:pPr>
              <w:rPr>
                <w:rFonts w:ascii="Times New Roman" w:hAnsi="Times New Roman" w:cs="Times New Roman"/>
              </w:rPr>
            </w:pPr>
            <w:r w:rsidRPr="00482A4F">
              <w:rPr>
                <w:rFonts w:ascii="Times New Roman" w:hAnsi="Times New Roman" w:cs="Times New Roman"/>
              </w:rPr>
              <w:t>GS15/6</w:t>
            </w:r>
          </w:p>
        </w:tc>
        <w:tc>
          <w:tcPr>
            <w:tcW w:w="1689"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342454" w:rsidR="00F617CA" w:rsidP="00F617CA" w:rsidRDefault="00F617CA" w14:paraId="56745B8B" w14:textId="6756C0A4">
            <w:pPr>
              <w:rPr>
                <w:rFonts w:ascii="Times New Roman" w:hAnsi="Times New Roman" w:cs="Times New Roman"/>
              </w:rPr>
            </w:pPr>
            <w:r w:rsidRPr="00482A4F">
              <w:rPr>
                <w:rFonts w:ascii="Times New Roman" w:hAnsi="Times New Roman" w:cs="Times New Roman"/>
              </w:rPr>
              <w:t>$166,487/year</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342454" w:rsidR="00F617CA" w:rsidP="00F617CA" w:rsidRDefault="00F617CA" w14:paraId="48E8D9F6" w14:textId="06294DB7">
            <w:pPr>
              <w:rPr>
                <w:rFonts w:ascii="Times New Roman" w:hAnsi="Times New Roman" w:cs="Times New Roman"/>
              </w:rPr>
            </w:pPr>
            <w:r>
              <w:rPr>
                <w:rFonts w:ascii="Times New Roman" w:hAnsi="Times New Roman" w:cs="Times New Roman"/>
              </w:rPr>
              <w:t>10</w:t>
            </w:r>
            <w:r w:rsidRPr="00482A4F">
              <w:rPr>
                <w:rFonts w:ascii="Times New Roman" w:hAnsi="Times New Roman" w:cs="Times New Roman"/>
              </w:rPr>
              <w:t>%</w:t>
            </w:r>
          </w:p>
        </w:tc>
        <w:tc>
          <w:tcPr>
            <w:tcW w:w="1281" w:type="dxa"/>
            <w:tcBorders>
              <w:top w:val="nil"/>
              <w:left w:val="nil"/>
              <w:bottom w:val="single" w:color="auto" w:sz="8" w:space="0"/>
              <w:right w:val="single" w:color="auto" w:sz="8" w:space="0"/>
            </w:tcBorders>
            <w:shd w:val="clear" w:color="auto" w:fill="BFBFBF"/>
          </w:tcPr>
          <w:p w:rsidRPr="00342454" w:rsidR="00F617CA" w:rsidP="00F617CA" w:rsidRDefault="00F617CA" w14:paraId="27FE8384" w14:textId="77777777">
            <w:pPr>
              <w:rPr>
                <w:rFonts w:ascii="Times New Roman" w:hAnsi="Times New Roman" w:cs="Times New Roman"/>
              </w:rPr>
            </w:pPr>
          </w:p>
        </w:tc>
        <w:tc>
          <w:tcPr>
            <w:tcW w:w="1111" w:type="dxa"/>
            <w:tcBorders>
              <w:top w:val="nil"/>
              <w:left w:val="nil"/>
              <w:bottom w:val="single" w:color="auto" w:sz="8" w:space="0"/>
              <w:right w:val="single" w:color="auto" w:sz="8" w:space="0"/>
            </w:tcBorders>
          </w:tcPr>
          <w:p w:rsidRPr="00342454" w:rsidR="00F617CA" w:rsidP="00F617CA" w:rsidRDefault="00F617CA" w14:paraId="6A082DED" w14:textId="79971BCD">
            <w:pPr>
              <w:rPr>
                <w:rFonts w:ascii="Times New Roman" w:hAnsi="Times New Roman" w:cs="Times New Roman"/>
              </w:rPr>
            </w:pPr>
            <w:r>
              <w:rPr>
                <w:rFonts w:ascii="Times New Roman" w:hAnsi="Times New Roman" w:cs="Times New Roman"/>
              </w:rPr>
              <w:t>$16,649</w:t>
            </w:r>
          </w:p>
        </w:tc>
      </w:tr>
      <w:tr w:rsidRPr="00342454" w:rsidR="00F617CA" w:rsidTr="00BD4706" w14:paraId="0EFEAC0A"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D63B53" w:rsidR="00F617CA" w:rsidP="00F617CA" w:rsidRDefault="00D63B53" w14:paraId="0885354E" w14:textId="28493BD9">
            <w:pPr>
              <w:rPr>
                <w:rFonts w:ascii="Times New Roman" w:hAnsi="Times New Roman" w:cs="Times New Roman"/>
                <w:b/>
              </w:rPr>
            </w:pPr>
            <w:r w:rsidRPr="00D63B53">
              <w:rPr>
                <w:rFonts w:ascii="Times New Roman" w:hAnsi="Times New Roman" w:cs="Times New Roman"/>
                <w:bCs/>
              </w:rPr>
              <w:t>Health Scientist Administrator</w:t>
            </w:r>
          </w:p>
        </w:tc>
        <w:tc>
          <w:tcPr>
            <w:tcW w:w="1345" w:type="dxa"/>
            <w:tcBorders>
              <w:top w:val="nil"/>
              <w:left w:val="nil"/>
              <w:bottom w:val="single" w:color="auto" w:sz="8" w:space="0"/>
              <w:right w:val="single" w:color="auto" w:sz="8" w:space="0"/>
            </w:tcBorders>
          </w:tcPr>
          <w:p w:rsidRPr="00342454" w:rsidR="00F617CA" w:rsidP="00F617CA" w:rsidRDefault="00F617CA" w14:paraId="795AB13F" w14:textId="0D88EE79">
            <w:pPr>
              <w:rPr>
                <w:rFonts w:ascii="Times New Roman" w:hAnsi="Times New Roman" w:cs="Times New Roman"/>
              </w:rPr>
            </w:pPr>
            <w:r w:rsidRPr="00F617CA">
              <w:rPr>
                <w:rFonts w:ascii="Times New Roman" w:hAnsi="Times New Roman" w:cs="Times New Roman"/>
              </w:rPr>
              <w:t>GS14/2</w:t>
            </w:r>
          </w:p>
        </w:tc>
        <w:tc>
          <w:tcPr>
            <w:tcW w:w="1689"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342454" w:rsidR="00F617CA" w:rsidP="00F617CA" w:rsidRDefault="00F617CA" w14:paraId="274EBBC5" w14:textId="4455641B">
            <w:pPr>
              <w:rPr>
                <w:rFonts w:ascii="Times New Roman" w:hAnsi="Times New Roman" w:cs="Times New Roman"/>
              </w:rPr>
            </w:pPr>
            <w:r w:rsidRPr="00342454">
              <w:rPr>
                <w:rFonts w:ascii="Times New Roman" w:hAnsi="Times New Roman" w:cs="Times New Roman"/>
              </w:rPr>
              <w:t>$125,360/year</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342454" w:rsidR="00F617CA" w:rsidP="00F617CA" w:rsidRDefault="00F617CA" w14:paraId="12862E0A" w14:textId="1AEE3262">
            <w:pPr>
              <w:rPr>
                <w:rFonts w:ascii="Times New Roman" w:hAnsi="Times New Roman" w:cs="Times New Roman"/>
              </w:rPr>
            </w:pPr>
            <w:r w:rsidRPr="00342454">
              <w:rPr>
                <w:rFonts w:ascii="Times New Roman" w:hAnsi="Times New Roman" w:cs="Times New Roman"/>
              </w:rPr>
              <w:t>2%</w:t>
            </w:r>
          </w:p>
        </w:tc>
        <w:tc>
          <w:tcPr>
            <w:tcW w:w="1281" w:type="dxa"/>
            <w:tcBorders>
              <w:top w:val="nil"/>
              <w:left w:val="nil"/>
              <w:bottom w:val="single" w:color="auto" w:sz="8" w:space="0"/>
              <w:right w:val="single" w:color="auto" w:sz="8" w:space="0"/>
            </w:tcBorders>
            <w:shd w:val="clear" w:color="auto" w:fill="BFBFBF"/>
          </w:tcPr>
          <w:p w:rsidRPr="00342454" w:rsidR="00F617CA" w:rsidP="00F617CA" w:rsidRDefault="00F617CA" w14:paraId="40A0F552" w14:textId="77777777">
            <w:pPr>
              <w:rPr>
                <w:rFonts w:ascii="Times New Roman" w:hAnsi="Times New Roman" w:cs="Times New Roman"/>
              </w:rPr>
            </w:pPr>
          </w:p>
        </w:tc>
        <w:tc>
          <w:tcPr>
            <w:tcW w:w="1111" w:type="dxa"/>
            <w:tcBorders>
              <w:top w:val="nil"/>
              <w:left w:val="nil"/>
              <w:bottom w:val="single" w:color="auto" w:sz="8" w:space="0"/>
              <w:right w:val="single" w:color="auto" w:sz="8" w:space="0"/>
            </w:tcBorders>
          </w:tcPr>
          <w:p w:rsidRPr="00342454" w:rsidR="00F617CA" w:rsidP="00F617CA" w:rsidRDefault="00F617CA" w14:paraId="79F033C3" w14:textId="3F0F9386">
            <w:pPr>
              <w:rPr>
                <w:rFonts w:ascii="Times New Roman" w:hAnsi="Times New Roman" w:cs="Times New Roman"/>
              </w:rPr>
            </w:pPr>
            <w:r w:rsidRPr="00342454">
              <w:rPr>
                <w:rFonts w:ascii="Times New Roman" w:hAnsi="Times New Roman" w:cs="Times New Roman"/>
              </w:rPr>
              <w:t>$2,507</w:t>
            </w:r>
          </w:p>
        </w:tc>
      </w:tr>
      <w:tr w:rsidRPr="00342454" w:rsidR="00F617CA" w:rsidTr="00BD4706" w14:paraId="1824A8C2"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342454" w:rsidR="00F617CA" w:rsidP="00F617CA" w:rsidRDefault="00F617CA" w14:paraId="56B8AF86" w14:textId="77777777">
            <w:pPr>
              <w:rPr>
                <w:rFonts w:ascii="Times New Roman" w:hAnsi="Times New Roman" w:cs="Times New Roman"/>
              </w:rPr>
            </w:pPr>
            <w:r w:rsidRPr="00342454">
              <w:rPr>
                <w:rFonts w:ascii="Times New Roman" w:hAnsi="Times New Roman" w:cs="Times New Roman"/>
                <w:b/>
              </w:rPr>
              <w:t>Contractor Cost</w:t>
            </w:r>
          </w:p>
        </w:tc>
        <w:tc>
          <w:tcPr>
            <w:tcW w:w="1345" w:type="dxa"/>
            <w:tcBorders>
              <w:top w:val="nil"/>
              <w:left w:val="nil"/>
              <w:bottom w:val="single" w:color="auto" w:sz="8" w:space="0"/>
              <w:right w:val="single" w:color="auto" w:sz="8" w:space="0"/>
            </w:tcBorders>
          </w:tcPr>
          <w:p w:rsidRPr="00342454" w:rsidR="00F617CA" w:rsidP="00F617CA" w:rsidRDefault="00F617CA" w14:paraId="06329947" w14:textId="767EA95C">
            <w:pPr>
              <w:rPr>
                <w:rFonts w:ascii="Times New Roman" w:hAnsi="Times New Roman" w:cs="Times New Roman"/>
              </w:rPr>
            </w:pPr>
          </w:p>
        </w:tc>
        <w:tc>
          <w:tcPr>
            <w:tcW w:w="1689"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342454" w:rsidR="00F617CA" w:rsidP="00F617CA" w:rsidRDefault="00F617CA" w14:paraId="5E2EEAFE" w14:textId="4CE30817">
            <w:pPr>
              <w:rPr>
                <w:rFonts w:ascii="Times New Roman" w:hAnsi="Times New Roman" w:cs="Times New Roman"/>
              </w:rP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342454" w:rsidR="00F617CA" w:rsidP="00F617CA" w:rsidRDefault="00F617CA" w14:paraId="48FA06F0" w14:textId="3CBA39BD">
            <w:pPr>
              <w:rPr>
                <w:rFonts w:ascii="Times New Roman" w:hAnsi="Times New Roman" w:cs="Times New Roman"/>
              </w:rPr>
            </w:pPr>
          </w:p>
        </w:tc>
        <w:tc>
          <w:tcPr>
            <w:tcW w:w="1281" w:type="dxa"/>
            <w:tcBorders>
              <w:top w:val="nil"/>
              <w:left w:val="nil"/>
              <w:bottom w:val="single" w:color="auto" w:sz="8" w:space="0"/>
              <w:right w:val="single" w:color="auto" w:sz="8" w:space="0"/>
            </w:tcBorders>
            <w:shd w:val="clear" w:color="auto" w:fill="BFBFBF"/>
          </w:tcPr>
          <w:p w:rsidRPr="00342454" w:rsidR="00F617CA" w:rsidP="00F617CA" w:rsidRDefault="00F617CA" w14:paraId="3AE8F7E9" w14:textId="77777777">
            <w:pPr>
              <w:rPr>
                <w:rFonts w:ascii="Times New Roman" w:hAnsi="Times New Roman" w:cs="Times New Roman"/>
              </w:rPr>
            </w:pPr>
          </w:p>
        </w:tc>
        <w:tc>
          <w:tcPr>
            <w:tcW w:w="1111" w:type="dxa"/>
            <w:tcBorders>
              <w:top w:val="nil"/>
              <w:left w:val="nil"/>
              <w:bottom w:val="single" w:color="auto" w:sz="8" w:space="0"/>
              <w:right w:val="single" w:color="auto" w:sz="8" w:space="0"/>
            </w:tcBorders>
          </w:tcPr>
          <w:p w:rsidRPr="00342454" w:rsidR="00F617CA" w:rsidP="00F617CA" w:rsidRDefault="00F617CA" w14:paraId="167B6D81" w14:textId="77777777">
            <w:pPr>
              <w:rPr>
                <w:rFonts w:ascii="Times New Roman" w:hAnsi="Times New Roman" w:cs="Times New Roman"/>
              </w:rPr>
            </w:pPr>
          </w:p>
        </w:tc>
      </w:tr>
      <w:tr w:rsidRPr="00342454" w:rsidR="00F617CA" w:rsidTr="00BD4706" w14:paraId="444B21EE" w14:textId="77777777">
        <w:tblPrEx>
          <w:jc w:val="center"/>
        </w:tblPrEx>
        <w:trPr>
          <w:trHeight w:val="254"/>
          <w:jc w:val="center"/>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342454" w:rsidR="00F617CA" w:rsidP="00F617CA" w:rsidRDefault="00F617CA" w14:paraId="516AEB79" w14:textId="77777777">
            <w:pPr>
              <w:rPr>
                <w:rFonts w:ascii="Times New Roman" w:hAnsi="Times New Roman" w:cs="Times New Roman"/>
              </w:rPr>
            </w:pPr>
            <w:r w:rsidRPr="00342454">
              <w:rPr>
                <w:rFonts w:ascii="Times New Roman" w:hAnsi="Times New Roman" w:cs="Times New Roman"/>
              </w:rPr>
              <w:t>Contract Scientist</w:t>
            </w:r>
          </w:p>
        </w:tc>
        <w:tc>
          <w:tcPr>
            <w:tcW w:w="1345" w:type="dxa"/>
            <w:tcBorders>
              <w:top w:val="nil"/>
              <w:left w:val="nil"/>
              <w:bottom w:val="single" w:color="auto" w:sz="8" w:space="0"/>
              <w:right w:val="single" w:color="auto" w:sz="8" w:space="0"/>
            </w:tcBorders>
          </w:tcPr>
          <w:p w:rsidRPr="00342454" w:rsidR="00F617CA" w:rsidP="00F617CA" w:rsidRDefault="00F617CA" w14:paraId="0DD8685D" w14:textId="0D4A2BC7">
            <w:pPr>
              <w:rPr>
                <w:rFonts w:ascii="Times New Roman" w:hAnsi="Times New Roman" w:cs="Times New Roman"/>
              </w:rPr>
            </w:pPr>
          </w:p>
        </w:tc>
        <w:tc>
          <w:tcPr>
            <w:tcW w:w="1689"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342454" w:rsidR="00F617CA" w:rsidP="00F617CA" w:rsidRDefault="00F617CA" w14:paraId="42285E60" w14:textId="77777777">
            <w:pPr>
              <w:rPr>
                <w:rFonts w:ascii="Times New Roman" w:hAnsi="Times New Roman" w:cs="Times New Roman"/>
              </w:rPr>
            </w:pPr>
            <w:r w:rsidRPr="00342454">
              <w:rPr>
                <w:rFonts w:ascii="Times New Roman" w:hAnsi="Times New Roman" w:cs="Times New Roman"/>
              </w:rPr>
              <w:t>$122,016/year</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342454" w:rsidR="00F617CA" w:rsidP="00F617CA" w:rsidRDefault="00F617CA" w14:paraId="21B95142" w14:textId="6D9E565E">
            <w:pPr>
              <w:rPr>
                <w:rFonts w:ascii="Times New Roman" w:hAnsi="Times New Roman" w:cs="Times New Roman"/>
              </w:rPr>
            </w:pPr>
            <w:r>
              <w:rPr>
                <w:rFonts w:ascii="Times New Roman" w:hAnsi="Times New Roman" w:cs="Times New Roman"/>
              </w:rPr>
              <w:t>100</w:t>
            </w:r>
            <w:r w:rsidRPr="00342454">
              <w:rPr>
                <w:rFonts w:ascii="Times New Roman" w:hAnsi="Times New Roman" w:cs="Times New Roman"/>
              </w:rPr>
              <w:t>%</w:t>
            </w:r>
          </w:p>
        </w:tc>
        <w:tc>
          <w:tcPr>
            <w:tcW w:w="1281" w:type="dxa"/>
            <w:tcBorders>
              <w:top w:val="nil"/>
              <w:left w:val="nil"/>
              <w:bottom w:val="single" w:color="auto" w:sz="8" w:space="0"/>
              <w:right w:val="single" w:color="auto" w:sz="8" w:space="0"/>
            </w:tcBorders>
            <w:shd w:val="clear" w:color="auto" w:fill="BFBFBF" w:themeFill="background1" w:themeFillShade="BF"/>
          </w:tcPr>
          <w:p w:rsidRPr="00342454" w:rsidR="00F617CA" w:rsidP="00F617CA" w:rsidRDefault="00F617CA" w14:paraId="5D6F1649" w14:textId="77777777">
            <w:pPr>
              <w:rPr>
                <w:rFonts w:ascii="Times New Roman" w:hAnsi="Times New Roman" w:cs="Times New Roman"/>
              </w:rPr>
            </w:pPr>
          </w:p>
        </w:tc>
        <w:tc>
          <w:tcPr>
            <w:tcW w:w="1111" w:type="dxa"/>
            <w:tcBorders>
              <w:top w:val="nil"/>
              <w:left w:val="nil"/>
              <w:bottom w:val="single" w:color="auto" w:sz="8" w:space="0"/>
              <w:right w:val="single" w:color="auto" w:sz="8" w:space="0"/>
            </w:tcBorders>
          </w:tcPr>
          <w:p w:rsidRPr="00342454" w:rsidR="00F617CA" w:rsidP="00F617CA" w:rsidRDefault="00F617CA" w14:paraId="09B6C909" w14:textId="294281DE">
            <w:pPr>
              <w:rPr>
                <w:rFonts w:ascii="Times New Roman" w:hAnsi="Times New Roman" w:cs="Times New Roman"/>
              </w:rPr>
            </w:pPr>
            <w:r>
              <w:rPr>
                <w:rFonts w:ascii="Times New Roman" w:hAnsi="Times New Roman" w:cs="Times New Roman"/>
              </w:rPr>
              <w:t>$122,016</w:t>
            </w:r>
          </w:p>
        </w:tc>
      </w:tr>
      <w:tr w:rsidRPr="00342454" w:rsidR="00F617CA" w:rsidTr="00BD4706" w14:paraId="0367A1A1" w14:textId="77777777">
        <w:tblPrEx>
          <w:jc w:val="center"/>
        </w:tblPrEx>
        <w:trPr>
          <w:trHeight w:val="254"/>
          <w:jc w:val="center"/>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342454" w:rsidR="00F617CA" w:rsidP="00F617CA" w:rsidRDefault="00F617CA" w14:paraId="1F301F28" w14:textId="220BEE6F">
            <w:pPr>
              <w:rPr>
                <w:rFonts w:ascii="Times New Roman" w:hAnsi="Times New Roman" w:cs="Times New Roman"/>
              </w:rPr>
            </w:pPr>
            <w:r w:rsidRPr="00F617CA">
              <w:rPr>
                <w:rFonts w:ascii="Times New Roman" w:hAnsi="Times New Roman" w:cs="Times New Roman"/>
              </w:rPr>
              <w:t>Software system CIT maintenance administrator – CIT (maintenance MOU)</w:t>
            </w:r>
          </w:p>
        </w:tc>
        <w:tc>
          <w:tcPr>
            <w:tcW w:w="1345" w:type="dxa"/>
            <w:tcBorders>
              <w:top w:val="nil"/>
              <w:left w:val="nil"/>
              <w:bottom w:val="single" w:color="auto" w:sz="8" w:space="0"/>
              <w:right w:val="single" w:color="auto" w:sz="8" w:space="0"/>
            </w:tcBorders>
          </w:tcPr>
          <w:p w:rsidRPr="00342454" w:rsidR="00F617CA" w:rsidP="00F617CA" w:rsidRDefault="00F617CA" w14:paraId="1428153B" w14:textId="77777777">
            <w:pPr>
              <w:rPr>
                <w:rFonts w:ascii="Times New Roman" w:hAnsi="Times New Roman" w:cs="Times New Roman"/>
              </w:rPr>
            </w:pPr>
          </w:p>
        </w:tc>
        <w:tc>
          <w:tcPr>
            <w:tcW w:w="1689"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342454" w:rsidR="00F617CA" w:rsidP="00F617CA" w:rsidRDefault="00F617CA" w14:paraId="60C327C9" w14:textId="77777777">
            <w:pPr>
              <w:rPr>
                <w:rFonts w:ascii="Times New Roman" w:hAnsi="Times New Roman" w:cs="Times New Roman"/>
              </w:rP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F617CA" w:rsidP="00F617CA" w:rsidRDefault="00F617CA" w14:paraId="39DA426E" w14:textId="77777777">
            <w:pPr>
              <w:rPr>
                <w:rFonts w:ascii="Times New Roman" w:hAnsi="Times New Roman" w:cs="Times New Roman"/>
              </w:rPr>
            </w:pPr>
          </w:p>
        </w:tc>
        <w:tc>
          <w:tcPr>
            <w:tcW w:w="1281" w:type="dxa"/>
            <w:tcBorders>
              <w:top w:val="nil"/>
              <w:left w:val="nil"/>
              <w:bottom w:val="single" w:color="auto" w:sz="8" w:space="0"/>
              <w:right w:val="single" w:color="auto" w:sz="8" w:space="0"/>
            </w:tcBorders>
            <w:shd w:val="clear" w:color="auto" w:fill="BFBFBF" w:themeFill="background1" w:themeFillShade="BF"/>
          </w:tcPr>
          <w:p w:rsidRPr="00342454" w:rsidR="00F617CA" w:rsidP="00F617CA" w:rsidRDefault="00F617CA" w14:paraId="05334BD5" w14:textId="77777777">
            <w:pPr>
              <w:rPr>
                <w:rFonts w:ascii="Times New Roman" w:hAnsi="Times New Roman" w:cs="Times New Roman"/>
              </w:rPr>
            </w:pPr>
          </w:p>
        </w:tc>
        <w:tc>
          <w:tcPr>
            <w:tcW w:w="1111" w:type="dxa"/>
            <w:tcBorders>
              <w:top w:val="nil"/>
              <w:left w:val="nil"/>
              <w:bottom w:val="single" w:color="auto" w:sz="8" w:space="0"/>
              <w:right w:val="single" w:color="auto" w:sz="8" w:space="0"/>
            </w:tcBorders>
          </w:tcPr>
          <w:p w:rsidR="00F617CA" w:rsidP="00F617CA" w:rsidRDefault="00F617CA" w14:paraId="1BF0E400" w14:textId="74DCD62D">
            <w:pPr>
              <w:rPr>
                <w:rFonts w:ascii="Times New Roman" w:hAnsi="Times New Roman" w:cs="Times New Roman"/>
              </w:rPr>
            </w:pPr>
            <w:r w:rsidRPr="00F617CA">
              <w:rPr>
                <w:rFonts w:ascii="Times New Roman" w:hAnsi="Times New Roman" w:cs="Times New Roman"/>
              </w:rPr>
              <w:t>$52,000</w:t>
            </w:r>
          </w:p>
        </w:tc>
      </w:tr>
      <w:tr w:rsidRPr="00342454" w:rsidR="00F617CA" w:rsidTr="00BD4706" w14:paraId="39DB0461"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342454" w:rsidR="00F617CA" w:rsidP="00F617CA" w:rsidRDefault="00F617CA" w14:paraId="1302F9E1" w14:textId="77777777">
            <w:pPr>
              <w:rPr>
                <w:rFonts w:ascii="Times New Roman" w:hAnsi="Times New Roman" w:cs="Times New Roman"/>
                <w:b/>
              </w:rPr>
            </w:pPr>
            <w:r w:rsidRPr="00342454">
              <w:rPr>
                <w:rFonts w:ascii="Times New Roman" w:hAnsi="Times New Roman" w:cs="Times New Roman"/>
                <w:b/>
              </w:rPr>
              <w:t>Total cost</w:t>
            </w:r>
          </w:p>
        </w:tc>
        <w:tc>
          <w:tcPr>
            <w:tcW w:w="1345" w:type="dxa"/>
            <w:tcBorders>
              <w:top w:val="nil"/>
              <w:left w:val="nil"/>
              <w:bottom w:val="single" w:color="auto" w:sz="8" w:space="0"/>
              <w:right w:val="single" w:color="auto" w:sz="8" w:space="0"/>
            </w:tcBorders>
          </w:tcPr>
          <w:p w:rsidRPr="00342454" w:rsidR="00F617CA" w:rsidP="00F617CA" w:rsidRDefault="00F617CA" w14:paraId="7438EDA0" w14:textId="77777777">
            <w:pPr>
              <w:rPr>
                <w:rFonts w:ascii="Times New Roman" w:hAnsi="Times New Roman" w:cs="Times New Roman"/>
              </w:rPr>
            </w:pPr>
          </w:p>
        </w:tc>
        <w:tc>
          <w:tcPr>
            <w:tcW w:w="1689"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342454" w:rsidR="00F617CA" w:rsidP="00F617CA" w:rsidRDefault="00F617CA" w14:paraId="4700F881" w14:textId="77777777">
            <w:pPr>
              <w:rPr>
                <w:rFonts w:ascii="Times New Roman" w:hAnsi="Times New Roman" w:cs="Times New Roman"/>
              </w:rP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342454" w:rsidR="00F617CA" w:rsidP="00F617CA" w:rsidRDefault="00F617CA" w14:paraId="0B4A3D91" w14:textId="77777777">
            <w:pPr>
              <w:rPr>
                <w:rFonts w:ascii="Times New Roman" w:hAnsi="Times New Roman" w:cs="Times New Roman"/>
              </w:rPr>
            </w:pPr>
          </w:p>
        </w:tc>
        <w:tc>
          <w:tcPr>
            <w:tcW w:w="1281" w:type="dxa"/>
            <w:tcBorders>
              <w:top w:val="nil"/>
              <w:left w:val="nil"/>
              <w:bottom w:val="single" w:color="auto" w:sz="8" w:space="0"/>
              <w:right w:val="single" w:color="auto" w:sz="8" w:space="0"/>
            </w:tcBorders>
          </w:tcPr>
          <w:p w:rsidRPr="00342454" w:rsidR="00F617CA" w:rsidP="00F617CA" w:rsidRDefault="00F617CA" w14:paraId="3A2888D7" w14:textId="77777777">
            <w:pPr>
              <w:rPr>
                <w:rFonts w:ascii="Times New Roman" w:hAnsi="Times New Roman" w:cs="Times New Roman"/>
              </w:rPr>
            </w:pPr>
          </w:p>
        </w:tc>
        <w:tc>
          <w:tcPr>
            <w:tcW w:w="1111" w:type="dxa"/>
            <w:tcBorders>
              <w:top w:val="nil"/>
              <w:left w:val="nil"/>
              <w:bottom w:val="single" w:color="auto" w:sz="8" w:space="0"/>
              <w:right w:val="single" w:color="auto" w:sz="8" w:space="0"/>
            </w:tcBorders>
          </w:tcPr>
          <w:p w:rsidRPr="00342454" w:rsidR="00F617CA" w:rsidP="00F617CA" w:rsidRDefault="00F617CA" w14:paraId="40167D8B" w14:textId="337A4A3A">
            <w:pPr>
              <w:rPr>
                <w:rFonts w:ascii="Times New Roman" w:hAnsi="Times New Roman" w:cs="Times New Roman"/>
              </w:rPr>
            </w:pPr>
            <w:r w:rsidRPr="00342454">
              <w:rPr>
                <w:rFonts w:ascii="Times New Roman" w:hAnsi="Times New Roman" w:cs="Times New Roman"/>
              </w:rPr>
              <w:t>$</w:t>
            </w:r>
            <w:r>
              <w:rPr>
                <w:rFonts w:ascii="Times New Roman" w:hAnsi="Times New Roman" w:cs="Times New Roman"/>
              </w:rPr>
              <w:t>193,172</w:t>
            </w:r>
          </w:p>
        </w:tc>
      </w:tr>
      <w:bookmarkEnd w:id="58"/>
      <w:bookmarkEnd w:id="60"/>
    </w:tbl>
    <w:p w:rsidR="00342454" w:rsidP="001A57A4" w:rsidRDefault="00342454" w14:paraId="73A70BC5" w14:textId="77777777">
      <w:pPr>
        <w:rPr>
          <w:rFonts w:ascii="Times New Roman" w:hAnsi="Times New Roman" w:cs="Times New Roman"/>
        </w:rPr>
      </w:pPr>
    </w:p>
    <w:p w:rsidRPr="00E57D5E" w:rsidR="001A57A4" w:rsidP="001A57A4" w:rsidRDefault="001A57A4" w14:paraId="0D80F803" w14:textId="75A91C13">
      <w:pPr>
        <w:rPr>
          <w:rFonts w:ascii="Times New Roman" w:hAnsi="Times New Roman" w:cs="Times New Roman"/>
          <w:color w:val="002060"/>
        </w:rPr>
      </w:pPr>
      <w:r w:rsidRPr="00E57D5E">
        <w:rPr>
          <w:rFonts w:ascii="Times New Roman" w:hAnsi="Times New Roman" w:cs="Times New Roman"/>
        </w:rPr>
        <w:t>*</w:t>
      </w:r>
      <w:r w:rsidRPr="00E57D5E">
        <w:rPr>
          <w:rFonts w:ascii="Times New Roman" w:hAnsi="Times New Roman" w:cs="Times New Roman"/>
          <w:sz w:val="18"/>
          <w:szCs w:val="18"/>
        </w:rPr>
        <w:t>the</w:t>
      </w:r>
      <w:r w:rsidRPr="00E57D5E">
        <w:rPr>
          <w:rFonts w:ascii="Times New Roman" w:hAnsi="Times New Roman" w:cs="Times New Roman"/>
        </w:rPr>
        <w:t xml:space="preserve"> </w:t>
      </w:r>
      <w:r w:rsidRPr="00E57D5E">
        <w:rPr>
          <w:rFonts w:ascii="Times New Roman" w:hAnsi="Times New Roman" w:cs="Times New Roman"/>
          <w:sz w:val="18"/>
          <w:szCs w:val="18"/>
        </w:rPr>
        <w:t>Salary in table above is cited from</w:t>
      </w:r>
      <w:r w:rsidRPr="00E57D5E">
        <w:rPr>
          <w:rFonts w:ascii="Times New Roman" w:hAnsi="Times New Roman" w:cs="Times New Roman"/>
        </w:rPr>
        <w:t xml:space="preserve"> </w:t>
      </w:r>
      <w:hyperlink w:history="1" r:id="rId16">
        <w:r w:rsidRPr="00E57D5E">
          <w:rPr>
            <w:rStyle w:val="Hyperlink"/>
            <w:rFonts w:ascii="Times New Roman" w:hAnsi="Times New Roman" w:cs="Times New Roman"/>
          </w:rPr>
          <w:t>https://www.opm.gov/policy-data-oversight/pay-leave/salaries-wages/salary-tables/18Tables/html/DCB.aspx</w:t>
        </w:r>
      </w:hyperlink>
    </w:p>
    <w:bookmarkEnd w:id="59"/>
    <w:p w:rsidRPr="00E57D5E" w:rsidR="001A57A4" w:rsidP="001A57A4" w:rsidRDefault="001A57A4" w14:paraId="27B7362D" w14:textId="77777777">
      <w:pPr>
        <w:rPr>
          <w:rFonts w:ascii="Times New Roman" w:hAnsi="Times New Roman" w:cs="Times New Roman"/>
          <w:b/>
        </w:rPr>
      </w:pPr>
      <w:r w:rsidRPr="00E57D5E">
        <w:rPr>
          <w:rFonts w:ascii="Times New Roman" w:hAnsi="Times New Roman" w:cs="Times New Roman"/>
          <w:b/>
        </w:rPr>
        <w:t>A.15</w:t>
      </w:r>
      <w:r w:rsidRPr="00E57D5E">
        <w:rPr>
          <w:rFonts w:ascii="Times New Roman" w:hAnsi="Times New Roman" w:cs="Times New Roman"/>
          <w:b/>
        </w:rPr>
        <w:tab/>
        <w:t>Explanation for Program Changes or Adjustments</w:t>
      </w:r>
    </w:p>
    <w:p w:rsidR="001A57A4" w:rsidP="001A57A4" w:rsidRDefault="001A57A4" w14:paraId="3AA620D5" w14:textId="77777777">
      <w:pPr>
        <w:rPr>
          <w:rFonts w:ascii="Times New Roman" w:hAnsi="Times New Roman" w:cs="Times New Roman"/>
        </w:rPr>
      </w:pPr>
      <w:r w:rsidRPr="00E57D5E">
        <w:rPr>
          <w:rFonts w:ascii="Times New Roman" w:hAnsi="Times New Roman" w:cs="Times New Roman"/>
        </w:rPr>
        <w:t>This is a new information collection request.</w:t>
      </w:r>
    </w:p>
    <w:p w:rsidRPr="00E57D5E" w:rsidR="001A57A4" w:rsidP="001A57A4" w:rsidRDefault="001A57A4" w14:paraId="124665F8" w14:textId="77777777">
      <w:pPr>
        <w:rPr>
          <w:rFonts w:ascii="Times New Roman" w:hAnsi="Times New Roman" w:cs="Times New Roman"/>
        </w:rPr>
      </w:pPr>
    </w:p>
    <w:p w:rsidR="001A57A4" w:rsidP="00FD3623" w:rsidRDefault="001A57A4" w14:paraId="135C80C1" w14:textId="66315E6D">
      <w:pPr>
        <w:pStyle w:val="Heading2"/>
        <w:tabs>
          <w:tab w:val="left" w:pos="720"/>
        </w:tabs>
        <w:spacing w:line="480" w:lineRule="auto"/>
        <w:rPr>
          <w:rFonts w:ascii="Times New Roman" w:hAnsi="Times New Roman" w:cs="Times New Roman"/>
          <w:b/>
          <w:color w:val="auto"/>
          <w:sz w:val="22"/>
          <w:szCs w:val="22"/>
        </w:rPr>
      </w:pPr>
      <w:bookmarkStart w:name="_Toc443881759" w:id="61"/>
      <w:bookmarkStart w:name="_Toc451592246" w:id="62"/>
      <w:bookmarkStart w:name="_Toc5610287" w:id="63"/>
      <w:bookmarkStart w:name="_Toc99178793" w:id="64"/>
      <w:bookmarkStart w:name="_Toc22307631" w:id="65"/>
      <w:bookmarkStart w:name="_Toc22825132" w:id="66"/>
      <w:r w:rsidRPr="00285854">
        <w:rPr>
          <w:rFonts w:ascii="Times New Roman" w:hAnsi="Times New Roman" w:cs="Times New Roman"/>
          <w:b/>
          <w:color w:val="auto"/>
          <w:sz w:val="22"/>
          <w:szCs w:val="22"/>
        </w:rPr>
        <w:t>A.16</w:t>
      </w:r>
      <w:r w:rsidRPr="00285854">
        <w:rPr>
          <w:rFonts w:ascii="Times New Roman" w:hAnsi="Times New Roman" w:cs="Times New Roman"/>
          <w:b/>
          <w:color w:val="auto"/>
          <w:sz w:val="22"/>
          <w:szCs w:val="22"/>
        </w:rPr>
        <w:tab/>
        <w:t>Plans for Tabulation and Publication and Project Time Schedule</w:t>
      </w:r>
      <w:bookmarkEnd w:id="61"/>
      <w:bookmarkEnd w:id="62"/>
      <w:bookmarkEnd w:id="63"/>
      <w:bookmarkEnd w:id="64"/>
      <w:bookmarkEnd w:id="65"/>
      <w:bookmarkEnd w:id="66"/>
    </w:p>
    <w:p w:rsidR="008801A6" w:rsidP="009F4DD8" w:rsidRDefault="008801A6" w14:paraId="74EDA9AC" w14:textId="77777777">
      <w:pPr>
        <w:spacing w:line="480" w:lineRule="auto"/>
        <w:ind w:firstLine="720"/>
        <w:rPr>
          <w:rFonts w:ascii="Times New Roman" w:hAnsi="Times New Roman" w:cs="Times New Roman"/>
        </w:rPr>
      </w:pPr>
      <w:r w:rsidRPr="008801A6">
        <w:rPr>
          <w:rFonts w:ascii="Times New Roman" w:hAnsi="Times New Roman" w:cs="Times New Roman"/>
        </w:rPr>
        <w:t xml:space="preserve">Pre-/post-test data will be analyzed to assess effectiveness of course materials. </w:t>
      </w:r>
    </w:p>
    <w:p w:rsidR="00AC4DDE" w:rsidP="009F4DD8" w:rsidRDefault="009C6149" w14:paraId="069ABF8F" w14:textId="51C45B41">
      <w:pPr>
        <w:spacing w:line="480" w:lineRule="auto"/>
        <w:ind w:firstLine="720"/>
        <w:rPr>
          <w:rFonts w:ascii="Times New Roman" w:hAnsi="Times New Roman" w:cs="Times New Roman"/>
        </w:rPr>
      </w:pPr>
      <w:r>
        <w:rPr>
          <w:rFonts w:ascii="Times New Roman" w:hAnsi="Times New Roman" w:cs="Times New Roman"/>
        </w:rPr>
        <w:t xml:space="preserve">ORWH will collect data from respondents for 3 years (36 months) after OMB approval. Data will be cleaned, coded, and tabulated by ORWH staff with contract scientist support. </w:t>
      </w:r>
    </w:p>
    <w:p w:rsidRPr="009E1870" w:rsidR="009F4DD8" w:rsidP="009E1870" w:rsidRDefault="009F4DD8" w14:paraId="0F006F24" w14:textId="27C4D5E5">
      <w:pPr>
        <w:spacing w:line="480" w:lineRule="auto"/>
        <w:ind w:firstLine="720"/>
      </w:pPr>
      <w:r>
        <w:rPr>
          <w:rFonts w:ascii="Times New Roman" w:hAnsi="Times New Roman" w:cs="Times New Roman"/>
        </w:rPr>
        <w:t>ORWH plan</w:t>
      </w:r>
      <w:r w:rsidR="007B3D00">
        <w:rPr>
          <w:rFonts w:ascii="Times New Roman" w:hAnsi="Times New Roman" w:cs="Times New Roman"/>
        </w:rPr>
        <w:t>s for tabulation and publication</w:t>
      </w:r>
      <w:r>
        <w:rPr>
          <w:rFonts w:ascii="Times New Roman" w:hAnsi="Times New Roman" w:cs="Times New Roman"/>
        </w:rPr>
        <w:t xml:space="preserve"> include</w:t>
      </w:r>
      <w:r w:rsidR="007B3D00">
        <w:rPr>
          <w:rFonts w:ascii="Times New Roman" w:hAnsi="Times New Roman" w:cs="Times New Roman"/>
        </w:rPr>
        <w:t xml:space="preserve">, but </w:t>
      </w:r>
      <w:r w:rsidR="00AC4DDE">
        <w:rPr>
          <w:rFonts w:ascii="Times New Roman" w:hAnsi="Times New Roman" w:cs="Times New Roman"/>
        </w:rPr>
        <w:t xml:space="preserve">are </w:t>
      </w:r>
      <w:r w:rsidR="007B3D00">
        <w:rPr>
          <w:rFonts w:ascii="Times New Roman" w:hAnsi="Times New Roman" w:cs="Times New Roman"/>
        </w:rPr>
        <w:t>not limited to,</w:t>
      </w:r>
      <w:r>
        <w:rPr>
          <w:rFonts w:ascii="Times New Roman" w:hAnsi="Times New Roman" w:cs="Times New Roman"/>
        </w:rPr>
        <w:t xml:space="preserve"> </w:t>
      </w:r>
      <w:r w:rsidR="00131D6F">
        <w:rPr>
          <w:rFonts w:ascii="Times New Roman" w:hAnsi="Times New Roman" w:cs="Times New Roman"/>
        </w:rPr>
        <w:t xml:space="preserve">program evaluation, </w:t>
      </w:r>
      <w:r>
        <w:rPr>
          <w:rFonts w:ascii="Times New Roman" w:hAnsi="Times New Roman" w:cs="Times New Roman"/>
        </w:rPr>
        <w:t>quarterly internal progress reports</w:t>
      </w:r>
      <w:r w:rsidR="00AC4DDE">
        <w:rPr>
          <w:rFonts w:ascii="Times New Roman" w:hAnsi="Times New Roman" w:cs="Times New Roman"/>
        </w:rPr>
        <w:t xml:space="preserve"> and assessments every 3 months after OMB </w:t>
      </w:r>
      <w:r w:rsidR="00AC4DDE">
        <w:rPr>
          <w:rFonts w:ascii="Times New Roman" w:hAnsi="Times New Roman" w:cs="Times New Roman"/>
        </w:rPr>
        <w:lastRenderedPageBreak/>
        <w:t>approval;</w:t>
      </w:r>
      <w:r>
        <w:rPr>
          <w:rFonts w:ascii="Times New Roman" w:hAnsi="Times New Roman" w:cs="Times New Roman"/>
        </w:rPr>
        <w:t xml:space="preserve"> interim data tabulation and descriptive analysis</w:t>
      </w:r>
      <w:r w:rsidR="007D0745">
        <w:rPr>
          <w:rFonts w:ascii="Times New Roman" w:hAnsi="Times New Roman" w:cs="Times New Roman"/>
        </w:rPr>
        <w:t xml:space="preserve"> using descriptive statistics (mean, median, range)</w:t>
      </w:r>
      <w:r w:rsidR="007B3D00">
        <w:rPr>
          <w:rFonts w:ascii="Times New Roman" w:hAnsi="Times New Roman" w:cs="Times New Roman"/>
        </w:rPr>
        <w:t xml:space="preserve"> </w:t>
      </w:r>
      <w:r w:rsidR="00AC4DDE">
        <w:rPr>
          <w:rFonts w:ascii="Times New Roman" w:hAnsi="Times New Roman" w:cs="Times New Roman"/>
        </w:rPr>
        <w:t>12</w:t>
      </w:r>
      <w:r w:rsidR="007B3D00">
        <w:rPr>
          <w:rFonts w:ascii="Times New Roman" w:hAnsi="Times New Roman" w:cs="Times New Roman"/>
        </w:rPr>
        <w:t xml:space="preserve"> months after OMB approval</w:t>
      </w:r>
      <w:r w:rsidR="00AC4DDE">
        <w:rPr>
          <w:rFonts w:ascii="Times New Roman" w:hAnsi="Times New Roman" w:cs="Times New Roman"/>
        </w:rPr>
        <w:t>;</w:t>
      </w:r>
      <w:r>
        <w:rPr>
          <w:rFonts w:ascii="Times New Roman" w:hAnsi="Times New Roman" w:cs="Times New Roman"/>
        </w:rPr>
        <w:t xml:space="preserve"> </w:t>
      </w:r>
      <w:r w:rsidR="007B3D00">
        <w:rPr>
          <w:rFonts w:ascii="Times New Roman" w:hAnsi="Times New Roman" w:cs="Times New Roman"/>
        </w:rPr>
        <w:t xml:space="preserve">and </w:t>
      </w:r>
      <w:r>
        <w:rPr>
          <w:rFonts w:ascii="Times New Roman" w:hAnsi="Times New Roman" w:cs="Times New Roman"/>
        </w:rPr>
        <w:t xml:space="preserve">final </w:t>
      </w:r>
      <w:r w:rsidR="007B3D00">
        <w:rPr>
          <w:rFonts w:ascii="Times New Roman" w:hAnsi="Times New Roman" w:cs="Times New Roman"/>
        </w:rPr>
        <w:t xml:space="preserve">tabulation, analysis, and </w:t>
      </w:r>
      <w:r>
        <w:rPr>
          <w:rFonts w:ascii="Times New Roman" w:hAnsi="Times New Roman" w:cs="Times New Roman"/>
        </w:rPr>
        <w:t xml:space="preserve">publication </w:t>
      </w:r>
      <w:r w:rsidR="007B3D00">
        <w:rPr>
          <w:rFonts w:ascii="Times New Roman" w:hAnsi="Times New Roman" w:cs="Times New Roman"/>
        </w:rPr>
        <w:t>36 months after OMB approval</w:t>
      </w:r>
      <w:r>
        <w:rPr>
          <w:rFonts w:ascii="Times New Roman" w:hAnsi="Times New Roman" w:cs="Times New Roman"/>
        </w:rPr>
        <w:t xml:space="preserve">. </w:t>
      </w:r>
      <w:r w:rsidR="0075355B">
        <w:rPr>
          <w:rFonts w:ascii="Times New Roman" w:hAnsi="Times New Roman" w:cs="Times New Roman"/>
        </w:rPr>
        <w:t xml:space="preserve">ORWH staff will </w:t>
      </w:r>
      <w:r w:rsidR="003D2534">
        <w:rPr>
          <w:rFonts w:ascii="Times New Roman" w:hAnsi="Times New Roman" w:cs="Times New Roman"/>
        </w:rPr>
        <w:t xml:space="preserve">describe learners’ baseline attitudes by calculating the mean, median, and range of pre-test responses. ORWH staff will calculate the </w:t>
      </w:r>
      <w:r w:rsidR="0075355B">
        <w:rPr>
          <w:rFonts w:ascii="Times New Roman" w:hAnsi="Times New Roman" w:cs="Times New Roman"/>
        </w:rPr>
        <w:t>difference between learners’ pre- and post-test responses</w:t>
      </w:r>
      <w:r w:rsidR="003D2534">
        <w:rPr>
          <w:rFonts w:ascii="Times New Roman" w:hAnsi="Times New Roman" w:cs="Times New Roman"/>
        </w:rPr>
        <w:t xml:space="preserve"> and compile this data </w:t>
      </w:r>
      <w:r w:rsidRPr="003D2534" w:rsidR="003D2534">
        <w:rPr>
          <w:rFonts w:ascii="Times New Roman" w:hAnsi="Times New Roman" w:cs="Times New Roman"/>
        </w:rPr>
        <w:t>using descriptive statistics (mean, median, range</w:t>
      </w:r>
      <w:r w:rsidR="003D2534">
        <w:rPr>
          <w:rFonts w:ascii="Times New Roman" w:hAnsi="Times New Roman" w:cs="Times New Roman"/>
        </w:rPr>
        <w:t xml:space="preserve">). </w:t>
      </w:r>
    </w:p>
    <w:tbl>
      <w:tblPr>
        <w:tblW w:w="5000" w:type="pct"/>
        <w:jc w:val="center"/>
        <w:tblCellMar>
          <w:left w:w="120" w:type="dxa"/>
          <w:right w:w="120" w:type="dxa"/>
        </w:tblCellMar>
        <w:tblLook w:val="0000" w:firstRow="0" w:lastRow="0" w:firstColumn="0" w:lastColumn="0" w:noHBand="0" w:noVBand="0"/>
      </w:tblPr>
      <w:tblGrid>
        <w:gridCol w:w="3699"/>
        <w:gridCol w:w="4931"/>
      </w:tblGrid>
      <w:tr w:rsidRPr="00E57D5E" w:rsidR="001A57A4" w:rsidTr="00075D44" w14:paraId="52EB66E9" w14:textId="77777777">
        <w:trPr>
          <w:cantSplit/>
          <w:trHeight w:val="403"/>
          <w:jc w:val="center"/>
        </w:trPr>
        <w:tc>
          <w:tcPr>
            <w:tcW w:w="5000" w:type="pct"/>
            <w:gridSpan w:val="2"/>
            <w:tcBorders>
              <w:top w:val="single" w:color="auto" w:sz="4" w:space="0"/>
              <w:left w:val="single" w:color="auto" w:sz="4" w:space="0"/>
              <w:right w:val="single" w:color="auto" w:sz="4" w:space="0"/>
            </w:tcBorders>
            <w:shd w:val="pct20" w:color="auto" w:fill="FFFFFF"/>
          </w:tcPr>
          <w:p w:rsidRPr="00E57D5E" w:rsidR="001A57A4" w:rsidP="00075D44" w:rsidRDefault="001A57A4" w14:paraId="5EC417B8" w14:textId="77777777">
            <w:pPr>
              <w:spacing w:after="0" w:line="240" w:lineRule="auto"/>
              <w:jc w:val="center"/>
              <w:rPr>
                <w:rFonts w:ascii="Times New Roman" w:hAnsi="Times New Roman" w:eastAsia="Times New Roman" w:cs="Times New Roman"/>
                <w:color w:val="000000" w:themeColor="text1"/>
              </w:rPr>
            </w:pPr>
          </w:p>
          <w:p w:rsidRPr="00E57D5E" w:rsidR="001A57A4" w:rsidP="00075D44" w:rsidRDefault="001A57A4" w14:paraId="23CEE31C" w14:textId="77777777">
            <w:pPr>
              <w:spacing w:after="0" w:line="240" w:lineRule="auto"/>
              <w:jc w:val="center"/>
              <w:rPr>
                <w:rFonts w:ascii="Times New Roman" w:hAnsi="Times New Roman" w:eastAsia="Times New Roman" w:cs="Times New Roman"/>
                <w:color w:val="000000" w:themeColor="text1"/>
              </w:rPr>
            </w:pPr>
            <w:r w:rsidRPr="00E57D5E">
              <w:rPr>
                <w:rFonts w:ascii="Times New Roman" w:hAnsi="Times New Roman" w:eastAsia="Times New Roman" w:cs="Times New Roman"/>
                <w:color w:val="000000" w:themeColor="text1"/>
              </w:rPr>
              <w:t>A.16 - 1  Project Time Schedule</w:t>
            </w:r>
          </w:p>
        </w:tc>
      </w:tr>
      <w:tr w:rsidRPr="00E57D5E" w:rsidR="001A57A4" w:rsidTr="00075D44" w14:paraId="3DD0A69F" w14:textId="77777777">
        <w:trPr>
          <w:cantSplit/>
          <w:trHeight w:val="403"/>
          <w:jc w:val="center"/>
        </w:trPr>
        <w:tc>
          <w:tcPr>
            <w:tcW w:w="2143" w:type="pct"/>
            <w:tcBorders>
              <w:top w:val="single" w:color="auto" w:sz="6" w:space="0"/>
              <w:left w:val="single" w:color="auto" w:sz="4" w:space="0"/>
            </w:tcBorders>
            <w:shd w:val="pct5" w:color="auto" w:fill="FFFFFF"/>
          </w:tcPr>
          <w:p w:rsidRPr="00E57D5E" w:rsidR="001A57A4" w:rsidP="00075D44" w:rsidRDefault="001A57A4" w14:paraId="2BD7EC43" w14:textId="77777777">
            <w:pPr>
              <w:spacing w:after="0" w:line="240" w:lineRule="auto"/>
              <w:rPr>
                <w:rFonts w:ascii="Times New Roman" w:hAnsi="Times New Roman" w:eastAsia="Times New Roman" w:cs="Times New Roman"/>
                <w:color w:val="000000" w:themeColor="text1"/>
              </w:rPr>
            </w:pPr>
            <w:r w:rsidRPr="00E57D5E">
              <w:rPr>
                <w:rFonts w:ascii="Times New Roman" w:hAnsi="Times New Roman" w:eastAsia="Times New Roman" w:cs="Times New Roman"/>
                <w:color w:val="000000" w:themeColor="text1"/>
              </w:rPr>
              <w:tab/>
              <w:t>Activity</w:t>
            </w:r>
          </w:p>
        </w:tc>
        <w:tc>
          <w:tcPr>
            <w:tcW w:w="2857" w:type="pct"/>
            <w:tcBorders>
              <w:top w:val="single" w:color="auto" w:sz="6" w:space="0"/>
              <w:left w:val="single" w:color="auto" w:sz="6" w:space="0"/>
              <w:right w:val="single" w:color="auto" w:sz="4" w:space="0"/>
            </w:tcBorders>
            <w:shd w:val="pct5" w:color="auto" w:fill="FFFFFF"/>
          </w:tcPr>
          <w:p w:rsidRPr="00E57D5E" w:rsidR="001A57A4" w:rsidP="00075D44" w:rsidRDefault="001A57A4" w14:paraId="158F843C" w14:textId="77777777">
            <w:pPr>
              <w:spacing w:after="0" w:line="240" w:lineRule="auto"/>
              <w:rPr>
                <w:rFonts w:ascii="Times New Roman" w:hAnsi="Times New Roman" w:eastAsia="Times New Roman" w:cs="Times New Roman"/>
                <w:color w:val="000000" w:themeColor="text1"/>
              </w:rPr>
            </w:pPr>
            <w:r w:rsidRPr="00E57D5E">
              <w:rPr>
                <w:rFonts w:ascii="Times New Roman" w:hAnsi="Times New Roman" w:eastAsia="Times New Roman" w:cs="Times New Roman"/>
                <w:color w:val="000000" w:themeColor="text1"/>
              </w:rPr>
              <w:tab/>
              <w:t>Time Schedule</w:t>
            </w:r>
          </w:p>
        </w:tc>
      </w:tr>
      <w:tr w:rsidRPr="00E57D5E" w:rsidR="001A57A4" w:rsidTr="00075D44" w14:paraId="486EC99E" w14:textId="77777777">
        <w:trPr>
          <w:cantSplit/>
          <w:trHeight w:val="403"/>
          <w:jc w:val="center"/>
        </w:trPr>
        <w:tc>
          <w:tcPr>
            <w:tcW w:w="2143" w:type="pct"/>
            <w:tcBorders>
              <w:top w:val="single" w:color="auto" w:sz="6" w:space="0"/>
              <w:left w:val="single" w:color="auto" w:sz="4" w:space="0"/>
              <w:bottom w:val="single" w:color="auto" w:sz="6" w:space="0"/>
            </w:tcBorders>
            <w:shd w:val="clear" w:color="auto" w:fill="FFFFFF"/>
          </w:tcPr>
          <w:p w:rsidRPr="00E57D5E" w:rsidR="001A57A4" w:rsidP="00075D44" w:rsidRDefault="001A57A4" w14:paraId="0894FDC7" w14:textId="77777777">
            <w:pPr>
              <w:spacing w:after="0" w:line="240" w:lineRule="auto"/>
              <w:rPr>
                <w:rFonts w:ascii="Times New Roman" w:hAnsi="Times New Roman" w:eastAsia="Times New Roman" w:cs="Times New Roman"/>
                <w:color w:val="000000" w:themeColor="text1"/>
              </w:rPr>
            </w:pPr>
            <w:r w:rsidRPr="00E57D5E">
              <w:rPr>
                <w:rFonts w:ascii="Times New Roman" w:hAnsi="Times New Roman" w:eastAsia="Times New Roman" w:cs="Times New Roman"/>
                <w:color w:val="000000" w:themeColor="text1"/>
              </w:rPr>
              <w:t>Data collection via survey and assessments</w:t>
            </w:r>
          </w:p>
        </w:tc>
        <w:tc>
          <w:tcPr>
            <w:tcW w:w="2857" w:type="pct"/>
            <w:tcBorders>
              <w:top w:val="single" w:color="auto" w:sz="6" w:space="0"/>
              <w:left w:val="single" w:color="auto" w:sz="6" w:space="0"/>
              <w:bottom w:val="single" w:color="auto" w:sz="6" w:space="0"/>
              <w:right w:val="single" w:color="auto" w:sz="4" w:space="0"/>
            </w:tcBorders>
            <w:shd w:val="clear" w:color="auto" w:fill="FFFFFF"/>
          </w:tcPr>
          <w:p w:rsidRPr="00E57D5E" w:rsidR="001A57A4" w:rsidP="00075D44" w:rsidRDefault="001A57A4" w14:paraId="56D870DE" w14:textId="77777777">
            <w:pPr>
              <w:spacing w:after="0" w:line="240" w:lineRule="auto"/>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 xml:space="preserve">For 36 </w:t>
            </w:r>
            <w:r w:rsidRPr="00E57D5E">
              <w:rPr>
                <w:rFonts w:ascii="Times New Roman" w:hAnsi="Times New Roman" w:eastAsia="Times New Roman" w:cs="Times New Roman"/>
                <w:color w:val="000000" w:themeColor="text1"/>
              </w:rPr>
              <w:t>months after OMB approval</w:t>
            </w:r>
          </w:p>
        </w:tc>
      </w:tr>
      <w:tr w:rsidRPr="00E57D5E" w:rsidR="00A93023" w:rsidTr="00075D44" w14:paraId="4F1B82AF" w14:textId="77777777">
        <w:trPr>
          <w:cantSplit/>
          <w:trHeight w:val="403"/>
          <w:jc w:val="center"/>
        </w:trPr>
        <w:tc>
          <w:tcPr>
            <w:tcW w:w="2143" w:type="pct"/>
            <w:tcBorders>
              <w:top w:val="single" w:color="auto" w:sz="6" w:space="0"/>
              <w:left w:val="single" w:color="auto" w:sz="4" w:space="0"/>
            </w:tcBorders>
            <w:shd w:val="clear" w:color="auto" w:fill="FFFFFF"/>
          </w:tcPr>
          <w:p w:rsidR="00A93023" w:rsidP="00075D44" w:rsidRDefault="00A93023" w14:paraId="189C3671" w14:textId="77777777">
            <w:pPr>
              <w:spacing w:after="0" w:line="240" w:lineRule="auto"/>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Completion of internal progress assessment report</w:t>
            </w:r>
          </w:p>
        </w:tc>
        <w:tc>
          <w:tcPr>
            <w:tcW w:w="2857" w:type="pct"/>
            <w:tcBorders>
              <w:top w:val="single" w:color="auto" w:sz="6" w:space="0"/>
              <w:left w:val="single" w:color="auto" w:sz="6" w:space="0"/>
              <w:right w:val="single" w:color="auto" w:sz="4" w:space="0"/>
            </w:tcBorders>
            <w:shd w:val="clear" w:color="auto" w:fill="FFFFFF"/>
          </w:tcPr>
          <w:p w:rsidRPr="00E57D5E" w:rsidR="00A93023" w:rsidP="00075D44" w:rsidRDefault="00A93023" w14:paraId="3BE158E1" w14:textId="067243EE">
            <w:pPr>
              <w:spacing w:after="0" w:line="240" w:lineRule="auto"/>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Every 3 months after OMB approval</w:t>
            </w:r>
          </w:p>
        </w:tc>
      </w:tr>
      <w:tr w:rsidRPr="00E57D5E" w:rsidR="001A57A4" w:rsidTr="00075D44" w14:paraId="084F8EDE" w14:textId="77777777">
        <w:trPr>
          <w:cantSplit/>
          <w:trHeight w:val="403"/>
          <w:jc w:val="center"/>
        </w:trPr>
        <w:tc>
          <w:tcPr>
            <w:tcW w:w="2143" w:type="pct"/>
            <w:tcBorders>
              <w:top w:val="single" w:color="auto" w:sz="6" w:space="0"/>
              <w:left w:val="single" w:color="auto" w:sz="4" w:space="0"/>
              <w:bottom w:val="single" w:color="auto" w:sz="4" w:space="0"/>
            </w:tcBorders>
            <w:shd w:val="clear" w:color="auto" w:fill="FFFFFF"/>
          </w:tcPr>
          <w:p w:rsidRPr="00E57D5E" w:rsidR="001A57A4" w:rsidP="00075D44" w:rsidRDefault="001A57A4" w14:paraId="5D398B7D" w14:textId="77777777">
            <w:pPr>
              <w:spacing w:after="0" w:line="240" w:lineRule="auto"/>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Data tabulation</w:t>
            </w:r>
          </w:p>
        </w:tc>
        <w:tc>
          <w:tcPr>
            <w:tcW w:w="2857" w:type="pct"/>
            <w:tcBorders>
              <w:top w:val="single" w:color="auto" w:sz="6" w:space="0"/>
              <w:left w:val="single" w:color="auto" w:sz="6" w:space="0"/>
              <w:bottom w:val="single" w:color="auto" w:sz="4" w:space="0"/>
              <w:right w:val="single" w:color="auto" w:sz="4" w:space="0"/>
            </w:tcBorders>
            <w:shd w:val="clear" w:color="auto" w:fill="FFFFFF"/>
          </w:tcPr>
          <w:p w:rsidRPr="00E57D5E" w:rsidR="001A57A4" w:rsidP="00075D44" w:rsidRDefault="00A93023" w14:paraId="03A91321" w14:textId="171857E2">
            <w:pPr>
              <w:spacing w:after="0" w:line="240" w:lineRule="auto"/>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12 &amp; 36</w:t>
            </w:r>
            <w:r w:rsidR="001A57A4">
              <w:rPr>
                <w:rFonts w:ascii="Times New Roman" w:hAnsi="Times New Roman" w:eastAsia="Times New Roman" w:cs="Times New Roman"/>
                <w:color w:val="000000" w:themeColor="text1"/>
              </w:rPr>
              <w:t xml:space="preserve"> months after OMB approval</w:t>
            </w:r>
          </w:p>
        </w:tc>
      </w:tr>
      <w:tr w:rsidRPr="00E57D5E" w:rsidR="001A57A4" w:rsidTr="00075D44" w14:paraId="6916F87C" w14:textId="77777777">
        <w:trPr>
          <w:cantSplit/>
          <w:trHeight w:val="403"/>
          <w:jc w:val="center"/>
        </w:trPr>
        <w:tc>
          <w:tcPr>
            <w:tcW w:w="2143" w:type="pct"/>
            <w:tcBorders>
              <w:top w:val="single" w:color="auto" w:sz="4" w:space="0"/>
              <w:left w:val="single" w:color="auto" w:sz="4" w:space="0"/>
            </w:tcBorders>
            <w:shd w:val="clear" w:color="auto" w:fill="FFFFFF"/>
          </w:tcPr>
          <w:p w:rsidRPr="00E57D5E" w:rsidR="001A57A4" w:rsidP="00075D44" w:rsidRDefault="007D0745" w14:paraId="6F287EC3" w14:textId="589C5DF7">
            <w:pPr>
              <w:spacing w:after="0" w:line="240" w:lineRule="auto"/>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Data analysis using descriptive statistics (mean, median, range)</w:t>
            </w:r>
          </w:p>
        </w:tc>
        <w:tc>
          <w:tcPr>
            <w:tcW w:w="2857" w:type="pct"/>
            <w:tcBorders>
              <w:top w:val="single" w:color="auto" w:sz="4" w:space="0"/>
              <w:left w:val="single" w:color="auto" w:sz="6" w:space="0"/>
              <w:right w:val="single" w:color="auto" w:sz="4" w:space="0"/>
            </w:tcBorders>
            <w:shd w:val="clear" w:color="auto" w:fill="FFFFFF"/>
          </w:tcPr>
          <w:p w:rsidRPr="00E57D5E" w:rsidR="001A57A4" w:rsidP="00075D44" w:rsidRDefault="001A57A4" w14:paraId="7F93EDCE" w14:textId="543F10C9">
            <w:pPr>
              <w:spacing w:after="0" w:line="240" w:lineRule="auto"/>
              <w:rPr>
                <w:rFonts w:ascii="Times New Roman" w:hAnsi="Times New Roman" w:eastAsia="Times New Roman" w:cs="Times New Roman"/>
                <w:color w:val="000000" w:themeColor="text1"/>
              </w:rPr>
            </w:pPr>
            <w:r w:rsidRPr="00E57D5E">
              <w:rPr>
                <w:rFonts w:ascii="Times New Roman" w:hAnsi="Times New Roman" w:eastAsia="Times New Roman" w:cs="Times New Roman"/>
                <w:color w:val="000000" w:themeColor="text1"/>
              </w:rPr>
              <w:t>12</w:t>
            </w:r>
            <w:r w:rsidR="00A93023">
              <w:rPr>
                <w:rFonts w:ascii="Times New Roman" w:hAnsi="Times New Roman" w:eastAsia="Times New Roman" w:cs="Times New Roman"/>
                <w:color w:val="000000" w:themeColor="text1"/>
              </w:rPr>
              <w:t xml:space="preserve"> &amp; 36</w:t>
            </w:r>
            <w:r w:rsidRPr="00E57D5E">
              <w:rPr>
                <w:rFonts w:ascii="Times New Roman" w:hAnsi="Times New Roman" w:eastAsia="Times New Roman" w:cs="Times New Roman"/>
                <w:color w:val="000000" w:themeColor="text1"/>
              </w:rPr>
              <w:t xml:space="preserve"> months after OMB approval</w:t>
            </w:r>
          </w:p>
        </w:tc>
      </w:tr>
      <w:tr w:rsidRPr="00E57D5E" w:rsidR="001A57A4" w:rsidTr="00A93023" w14:paraId="18AE250F" w14:textId="77777777">
        <w:trPr>
          <w:cantSplit/>
          <w:trHeight w:val="403"/>
          <w:jc w:val="center"/>
        </w:trPr>
        <w:tc>
          <w:tcPr>
            <w:tcW w:w="2143" w:type="pct"/>
            <w:tcBorders>
              <w:top w:val="single" w:color="auto" w:sz="6" w:space="0"/>
              <w:left w:val="single" w:color="auto" w:sz="4" w:space="0"/>
              <w:bottom w:val="single" w:color="auto" w:sz="6" w:space="0"/>
            </w:tcBorders>
            <w:shd w:val="clear" w:color="auto" w:fill="FFFFFF"/>
          </w:tcPr>
          <w:p w:rsidRPr="00E57D5E" w:rsidR="001A57A4" w:rsidP="00075D44" w:rsidRDefault="00A93023" w14:paraId="4B323147" w14:textId="4312D70B">
            <w:pPr>
              <w:spacing w:after="0" w:line="240" w:lineRule="auto"/>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Interim p</w:t>
            </w:r>
            <w:r w:rsidRPr="00E57D5E" w:rsidR="001A57A4">
              <w:rPr>
                <w:rFonts w:ascii="Times New Roman" w:hAnsi="Times New Roman" w:eastAsia="Times New Roman" w:cs="Times New Roman"/>
                <w:color w:val="000000" w:themeColor="text1"/>
              </w:rPr>
              <w:t>ublication</w:t>
            </w:r>
            <w:r w:rsidR="001A57A4">
              <w:rPr>
                <w:rFonts w:ascii="Times New Roman" w:hAnsi="Times New Roman" w:eastAsia="Times New Roman" w:cs="Times New Roman"/>
                <w:color w:val="000000" w:themeColor="text1"/>
              </w:rPr>
              <w:t xml:space="preserve"> or presentation </w:t>
            </w:r>
          </w:p>
        </w:tc>
        <w:tc>
          <w:tcPr>
            <w:tcW w:w="2857" w:type="pct"/>
            <w:tcBorders>
              <w:top w:val="single" w:color="auto" w:sz="6" w:space="0"/>
              <w:left w:val="single" w:color="auto" w:sz="6" w:space="0"/>
              <w:bottom w:val="single" w:color="auto" w:sz="6" w:space="0"/>
              <w:right w:val="single" w:color="auto" w:sz="4" w:space="0"/>
            </w:tcBorders>
            <w:shd w:val="clear" w:color="auto" w:fill="FFFFFF"/>
          </w:tcPr>
          <w:p w:rsidRPr="00E57D5E" w:rsidR="001A57A4" w:rsidP="00075D44" w:rsidRDefault="001A57A4" w14:paraId="5F995712" w14:textId="44D0A0FB">
            <w:pPr>
              <w:spacing w:after="0" w:line="240" w:lineRule="auto"/>
              <w:rPr>
                <w:rFonts w:ascii="Times New Roman" w:hAnsi="Times New Roman" w:eastAsia="Times New Roman" w:cs="Times New Roman"/>
                <w:color w:val="000000" w:themeColor="text1"/>
              </w:rPr>
            </w:pPr>
            <w:r w:rsidRPr="00E57D5E">
              <w:rPr>
                <w:rFonts w:ascii="Times New Roman" w:hAnsi="Times New Roman" w:eastAsia="Times New Roman" w:cs="Times New Roman"/>
                <w:color w:val="000000" w:themeColor="text1"/>
              </w:rPr>
              <w:t>18</w:t>
            </w:r>
            <w:r>
              <w:rPr>
                <w:rFonts w:ascii="Times New Roman" w:hAnsi="Times New Roman" w:eastAsia="Times New Roman" w:cs="Times New Roman"/>
                <w:color w:val="000000" w:themeColor="text1"/>
              </w:rPr>
              <w:t xml:space="preserve"> </w:t>
            </w:r>
            <w:r w:rsidRPr="00E57D5E">
              <w:rPr>
                <w:rFonts w:ascii="Times New Roman" w:hAnsi="Times New Roman" w:eastAsia="Times New Roman" w:cs="Times New Roman"/>
                <w:color w:val="000000" w:themeColor="text1"/>
              </w:rPr>
              <w:t>months after OMB approval</w:t>
            </w:r>
          </w:p>
        </w:tc>
      </w:tr>
      <w:tr w:rsidRPr="00E57D5E" w:rsidR="00A93023" w:rsidTr="00075D44" w14:paraId="0865E374" w14:textId="77777777">
        <w:trPr>
          <w:cantSplit/>
          <w:trHeight w:val="403"/>
          <w:jc w:val="center"/>
        </w:trPr>
        <w:tc>
          <w:tcPr>
            <w:tcW w:w="2143" w:type="pct"/>
            <w:tcBorders>
              <w:top w:val="single" w:color="auto" w:sz="6" w:space="0"/>
              <w:left w:val="single" w:color="auto" w:sz="4" w:space="0"/>
              <w:bottom w:val="single" w:color="auto" w:sz="4" w:space="0"/>
            </w:tcBorders>
            <w:shd w:val="clear" w:color="auto" w:fill="FFFFFF"/>
          </w:tcPr>
          <w:p w:rsidR="00A93023" w:rsidP="00075D44" w:rsidRDefault="00A93023" w14:paraId="5C0B2268" w14:textId="583A5F10">
            <w:pPr>
              <w:spacing w:after="0" w:line="240" w:lineRule="auto"/>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Final publication or presentation</w:t>
            </w:r>
          </w:p>
        </w:tc>
        <w:tc>
          <w:tcPr>
            <w:tcW w:w="2857" w:type="pct"/>
            <w:tcBorders>
              <w:top w:val="single" w:color="auto" w:sz="6" w:space="0"/>
              <w:left w:val="single" w:color="auto" w:sz="6" w:space="0"/>
              <w:bottom w:val="single" w:color="auto" w:sz="4" w:space="0"/>
              <w:right w:val="single" w:color="auto" w:sz="4" w:space="0"/>
            </w:tcBorders>
            <w:shd w:val="clear" w:color="auto" w:fill="FFFFFF"/>
          </w:tcPr>
          <w:p w:rsidRPr="00E57D5E" w:rsidR="00A93023" w:rsidP="00075D44" w:rsidRDefault="00A93023" w14:paraId="3233CDAB" w14:textId="1273D6F3">
            <w:pPr>
              <w:spacing w:after="0" w:line="240" w:lineRule="auto"/>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48 months after OMB approval</w:t>
            </w:r>
          </w:p>
        </w:tc>
      </w:tr>
    </w:tbl>
    <w:p w:rsidRPr="00E57D5E" w:rsidR="001A57A4" w:rsidP="001A57A4" w:rsidRDefault="001A57A4" w14:paraId="6BD069EB" w14:textId="77777777">
      <w:pPr>
        <w:rPr>
          <w:rFonts w:ascii="Times New Roman" w:hAnsi="Times New Roman" w:cs="Times New Roman"/>
        </w:rPr>
      </w:pPr>
    </w:p>
    <w:p w:rsidRPr="00E57D5E" w:rsidR="001A57A4" w:rsidP="001A57A4" w:rsidRDefault="001A57A4" w14:paraId="357C426D" w14:textId="77777777">
      <w:pPr>
        <w:rPr>
          <w:rFonts w:ascii="Times New Roman" w:hAnsi="Times New Roman" w:cs="Times New Roman"/>
          <w:b/>
        </w:rPr>
      </w:pPr>
      <w:r w:rsidRPr="00E57D5E">
        <w:rPr>
          <w:rFonts w:ascii="Times New Roman" w:hAnsi="Times New Roman" w:cs="Times New Roman"/>
          <w:b/>
        </w:rPr>
        <w:t>A.17</w:t>
      </w:r>
      <w:r w:rsidRPr="00E57D5E">
        <w:rPr>
          <w:rFonts w:ascii="Times New Roman" w:hAnsi="Times New Roman" w:cs="Times New Roman"/>
          <w:b/>
        </w:rPr>
        <w:tab/>
        <w:t>Reason(s) Display of OMB Expiration Date is Inappropriate</w:t>
      </w:r>
    </w:p>
    <w:p w:rsidRPr="00E57D5E" w:rsidR="001A57A4" w:rsidP="001A57A4" w:rsidRDefault="001A57A4" w14:paraId="7B0D125B" w14:textId="77777777">
      <w:pPr>
        <w:spacing w:line="480" w:lineRule="auto"/>
        <w:rPr>
          <w:rFonts w:ascii="Times New Roman" w:hAnsi="Times New Roman" w:cs="Times New Roman"/>
        </w:rPr>
      </w:pPr>
      <w:r w:rsidRPr="00E57D5E">
        <w:rPr>
          <w:rFonts w:ascii="Times New Roman" w:hAnsi="Times New Roman" w:cs="Times New Roman"/>
        </w:rPr>
        <w:t>ORWH will display the OMB Clearance Number, Expiration Date, and Burden Disclosure</w:t>
      </w:r>
      <w:r>
        <w:rPr>
          <w:rFonts w:ascii="Times New Roman" w:hAnsi="Times New Roman" w:cs="Times New Roman"/>
        </w:rPr>
        <w:t xml:space="preserve"> </w:t>
      </w:r>
      <w:r w:rsidRPr="00E57D5E">
        <w:rPr>
          <w:rFonts w:ascii="Times New Roman" w:hAnsi="Times New Roman" w:cs="Times New Roman"/>
        </w:rPr>
        <w:t>Statements on our registration forms, surveys, and assessments.</w:t>
      </w:r>
    </w:p>
    <w:p w:rsidRPr="00E57D5E" w:rsidR="001A57A4" w:rsidP="001A57A4" w:rsidRDefault="001A57A4" w14:paraId="3F862731" w14:textId="77777777">
      <w:pPr>
        <w:rPr>
          <w:rFonts w:ascii="Times New Roman" w:hAnsi="Times New Roman" w:cs="Times New Roman"/>
          <w:b/>
        </w:rPr>
      </w:pPr>
      <w:r w:rsidRPr="00E57D5E">
        <w:rPr>
          <w:rFonts w:ascii="Times New Roman" w:hAnsi="Times New Roman" w:cs="Times New Roman"/>
          <w:b/>
        </w:rPr>
        <w:t>A.18</w:t>
      </w:r>
      <w:r w:rsidRPr="00E57D5E">
        <w:rPr>
          <w:rFonts w:ascii="Times New Roman" w:hAnsi="Times New Roman" w:cs="Times New Roman"/>
          <w:b/>
        </w:rPr>
        <w:tab/>
        <w:t>Exceptions to Certification for Paperwork Reduction Act Submissions</w:t>
      </w:r>
    </w:p>
    <w:p w:rsidRPr="004E3951" w:rsidR="00843235" w:rsidRDefault="001A57A4" w14:paraId="7553CC13" w14:textId="46D29855">
      <w:pPr>
        <w:rPr>
          <w:rFonts w:ascii="Times New Roman" w:hAnsi="Times New Roman" w:cs="Times New Roman"/>
        </w:rPr>
      </w:pPr>
      <w:r w:rsidRPr="0023319E">
        <w:rPr>
          <w:rFonts w:ascii="Times New Roman" w:hAnsi="Times New Roman" w:cs="Times New Roman"/>
        </w:rPr>
        <w:t>None.</w:t>
      </w:r>
    </w:p>
    <w:sectPr w:rsidRPr="004E3951" w:rsidR="00843235" w:rsidSect="008B5E85">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14A618" w14:textId="77777777" w:rsidR="007D0745" w:rsidRDefault="007D0745" w:rsidP="003829EE">
      <w:pPr>
        <w:spacing w:after="0" w:line="240" w:lineRule="auto"/>
      </w:pPr>
      <w:r>
        <w:separator/>
      </w:r>
    </w:p>
  </w:endnote>
  <w:endnote w:type="continuationSeparator" w:id="0">
    <w:p w14:paraId="4B98C47B" w14:textId="77777777" w:rsidR="007D0745" w:rsidRDefault="007D0745" w:rsidP="00382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802D9" w14:textId="77777777" w:rsidR="007D0745" w:rsidRDefault="007D07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8CDA0" w14:textId="77777777" w:rsidR="007D0745" w:rsidRDefault="007D07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AE469" w14:textId="77777777" w:rsidR="007D0745" w:rsidRDefault="007D07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740979" w14:textId="77777777" w:rsidR="007D0745" w:rsidRDefault="007D0745" w:rsidP="003829EE">
      <w:pPr>
        <w:spacing w:after="0" w:line="240" w:lineRule="auto"/>
      </w:pPr>
      <w:r>
        <w:separator/>
      </w:r>
    </w:p>
  </w:footnote>
  <w:footnote w:type="continuationSeparator" w:id="0">
    <w:p w14:paraId="79ADB56C" w14:textId="77777777" w:rsidR="007D0745" w:rsidRDefault="007D0745" w:rsidP="003829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73324" w14:textId="77777777" w:rsidR="007D0745" w:rsidRDefault="007D07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F8EA9" w14:textId="1C909430" w:rsidR="007D0745" w:rsidRDefault="007D07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9BD18" w14:textId="77777777" w:rsidR="007D0745" w:rsidRDefault="007D07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20EFE"/>
    <w:multiLevelType w:val="hybridMultilevel"/>
    <w:tmpl w:val="6CE284EE"/>
    <w:lvl w:ilvl="0" w:tplc="F8F43A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500A76"/>
    <w:multiLevelType w:val="hybridMultilevel"/>
    <w:tmpl w:val="79EE2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4F5401"/>
    <w:multiLevelType w:val="multilevel"/>
    <w:tmpl w:val="BF664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731B28"/>
    <w:multiLevelType w:val="hybridMultilevel"/>
    <w:tmpl w:val="2586D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77261A"/>
    <w:multiLevelType w:val="hybridMultilevel"/>
    <w:tmpl w:val="F60CCEB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22E2986"/>
    <w:multiLevelType w:val="hybridMultilevel"/>
    <w:tmpl w:val="4982625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6BB4B99"/>
    <w:multiLevelType w:val="hybridMultilevel"/>
    <w:tmpl w:val="7806E1C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767F19"/>
    <w:multiLevelType w:val="hybridMultilevel"/>
    <w:tmpl w:val="3D30E1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332F4D"/>
    <w:multiLevelType w:val="hybridMultilevel"/>
    <w:tmpl w:val="97E25F8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E8914F4"/>
    <w:multiLevelType w:val="hybridMultilevel"/>
    <w:tmpl w:val="7666C58E"/>
    <w:lvl w:ilvl="0" w:tplc="0409000D">
      <w:start w:val="1"/>
      <w:numFmt w:val="bullet"/>
      <w:lvlText w:val=""/>
      <w:lvlJc w:val="left"/>
      <w:pPr>
        <w:tabs>
          <w:tab w:val="num" w:pos="720"/>
        </w:tabs>
        <w:ind w:left="720" w:hanging="360"/>
      </w:pPr>
      <w:rPr>
        <w:rFonts w:ascii="Wingdings" w:hAnsi="Wingdings"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D1349C"/>
    <w:multiLevelType w:val="hybridMultilevel"/>
    <w:tmpl w:val="21E233B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2A31121"/>
    <w:multiLevelType w:val="hybridMultilevel"/>
    <w:tmpl w:val="9BBC23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E952D0"/>
    <w:multiLevelType w:val="hybridMultilevel"/>
    <w:tmpl w:val="75A6C79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7995A03"/>
    <w:multiLevelType w:val="hybridMultilevel"/>
    <w:tmpl w:val="F740111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A605065"/>
    <w:multiLevelType w:val="hybridMultilevel"/>
    <w:tmpl w:val="D68C6AB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BFF02CC"/>
    <w:multiLevelType w:val="hybridMultilevel"/>
    <w:tmpl w:val="FDA8CF3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46D710A"/>
    <w:multiLevelType w:val="hybridMultilevel"/>
    <w:tmpl w:val="50AA1170"/>
    <w:lvl w:ilvl="0" w:tplc="7CD2252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6C2464"/>
    <w:multiLevelType w:val="hybridMultilevel"/>
    <w:tmpl w:val="7A14E50E"/>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7626D21"/>
    <w:multiLevelType w:val="hybridMultilevel"/>
    <w:tmpl w:val="9F04E6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7812F5"/>
    <w:multiLevelType w:val="hybridMultilevel"/>
    <w:tmpl w:val="F6583F9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8E85FA1"/>
    <w:multiLevelType w:val="hybridMultilevel"/>
    <w:tmpl w:val="DD2C7D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B40099"/>
    <w:multiLevelType w:val="hybridMultilevel"/>
    <w:tmpl w:val="00749878"/>
    <w:lvl w:ilvl="0" w:tplc="46F6C64C">
      <w:start w:val="3"/>
      <w:numFmt w:val="bullet"/>
      <w:lvlText w:val="-"/>
      <w:lvlJc w:val="left"/>
      <w:pPr>
        <w:ind w:left="600" w:hanging="360"/>
      </w:pPr>
      <w:rPr>
        <w:rFonts w:ascii="Times New Roman" w:eastAsia="Calibri" w:hAnsi="Times New Roman" w:cs="Times New Roman"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22" w15:restartNumberingAfterBreak="0">
    <w:nsid w:val="42FC7946"/>
    <w:multiLevelType w:val="hybridMultilevel"/>
    <w:tmpl w:val="1FF8C2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5A6465"/>
    <w:multiLevelType w:val="hybridMultilevel"/>
    <w:tmpl w:val="7C82FCF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6A27680"/>
    <w:multiLevelType w:val="hybridMultilevel"/>
    <w:tmpl w:val="AE14BB4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7055601"/>
    <w:multiLevelType w:val="hybridMultilevel"/>
    <w:tmpl w:val="6064371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7746F86"/>
    <w:multiLevelType w:val="hybridMultilevel"/>
    <w:tmpl w:val="3D00BA76"/>
    <w:lvl w:ilvl="0" w:tplc="AACCFE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AC069C5"/>
    <w:multiLevelType w:val="multilevel"/>
    <w:tmpl w:val="CAF25A9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8" w15:restartNumberingAfterBreak="0">
    <w:nsid w:val="4C5E7A96"/>
    <w:multiLevelType w:val="hybridMultilevel"/>
    <w:tmpl w:val="4BFEB282"/>
    <w:lvl w:ilvl="0" w:tplc="04090003">
      <w:start w:val="1"/>
      <w:numFmt w:val="bullet"/>
      <w:lvlText w:val="o"/>
      <w:lvlJc w:val="left"/>
      <w:pPr>
        <w:tabs>
          <w:tab w:val="num" w:pos="720"/>
        </w:tabs>
        <w:ind w:left="720" w:hanging="360"/>
      </w:pPr>
      <w:rPr>
        <w:rFonts w:ascii="Courier New" w:hAnsi="Courier New" w:cs="Courier New"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009418A"/>
    <w:multiLevelType w:val="hybridMultilevel"/>
    <w:tmpl w:val="4CD86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29097E"/>
    <w:multiLevelType w:val="hybridMultilevel"/>
    <w:tmpl w:val="8B547A9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9F55B03"/>
    <w:multiLevelType w:val="hybridMultilevel"/>
    <w:tmpl w:val="B51CA4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902567"/>
    <w:multiLevelType w:val="hybridMultilevel"/>
    <w:tmpl w:val="493E3A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2458AE"/>
    <w:multiLevelType w:val="hybridMultilevel"/>
    <w:tmpl w:val="8982B23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AED59C7"/>
    <w:multiLevelType w:val="hybridMultilevel"/>
    <w:tmpl w:val="022A3E2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D325AD5"/>
    <w:multiLevelType w:val="multilevel"/>
    <w:tmpl w:val="D72C2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0550AF"/>
    <w:multiLevelType w:val="hybridMultilevel"/>
    <w:tmpl w:val="31D881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1C847CA"/>
    <w:multiLevelType w:val="hybridMultilevel"/>
    <w:tmpl w:val="BBD44AB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2E92355"/>
    <w:multiLevelType w:val="hybridMultilevel"/>
    <w:tmpl w:val="537AC03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2FA36C7"/>
    <w:multiLevelType w:val="hybridMultilevel"/>
    <w:tmpl w:val="7A1CE99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3067DEF"/>
    <w:multiLevelType w:val="hybridMultilevel"/>
    <w:tmpl w:val="9BBC23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8C7590"/>
    <w:multiLevelType w:val="hybridMultilevel"/>
    <w:tmpl w:val="DC5AF02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F1A584A"/>
    <w:multiLevelType w:val="hybridMultilevel"/>
    <w:tmpl w:val="A2C6000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F3A175C"/>
    <w:multiLevelType w:val="hybridMultilevel"/>
    <w:tmpl w:val="9BBC23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3"/>
  </w:num>
  <w:num w:numId="2">
    <w:abstractNumId w:val="40"/>
  </w:num>
  <w:num w:numId="3">
    <w:abstractNumId w:val="17"/>
  </w:num>
  <w:num w:numId="4">
    <w:abstractNumId w:val="19"/>
  </w:num>
  <w:num w:numId="5">
    <w:abstractNumId w:val="4"/>
  </w:num>
  <w:num w:numId="6">
    <w:abstractNumId w:val="23"/>
  </w:num>
  <w:num w:numId="7">
    <w:abstractNumId w:val="39"/>
  </w:num>
  <w:num w:numId="8">
    <w:abstractNumId w:val="24"/>
  </w:num>
  <w:num w:numId="9">
    <w:abstractNumId w:val="16"/>
  </w:num>
  <w:num w:numId="10">
    <w:abstractNumId w:val="26"/>
  </w:num>
  <w:num w:numId="11">
    <w:abstractNumId w:val="8"/>
  </w:num>
  <w:num w:numId="12">
    <w:abstractNumId w:val="15"/>
  </w:num>
  <w:num w:numId="13">
    <w:abstractNumId w:val="34"/>
  </w:num>
  <w:num w:numId="14">
    <w:abstractNumId w:val="13"/>
  </w:num>
  <w:num w:numId="15">
    <w:abstractNumId w:val="37"/>
  </w:num>
  <w:num w:numId="16">
    <w:abstractNumId w:val="38"/>
  </w:num>
  <w:num w:numId="17">
    <w:abstractNumId w:val="5"/>
  </w:num>
  <w:num w:numId="18">
    <w:abstractNumId w:val="30"/>
  </w:num>
  <w:num w:numId="19">
    <w:abstractNumId w:val="25"/>
  </w:num>
  <w:num w:numId="20">
    <w:abstractNumId w:val="42"/>
  </w:num>
  <w:num w:numId="21">
    <w:abstractNumId w:val="33"/>
  </w:num>
  <w:num w:numId="22">
    <w:abstractNumId w:val="10"/>
  </w:num>
  <w:num w:numId="23">
    <w:abstractNumId w:val="41"/>
  </w:num>
  <w:num w:numId="24">
    <w:abstractNumId w:val="12"/>
  </w:num>
  <w:num w:numId="25">
    <w:abstractNumId w:val="14"/>
  </w:num>
  <w:num w:numId="26">
    <w:abstractNumId w:val="6"/>
  </w:num>
  <w:num w:numId="27">
    <w:abstractNumId w:val="31"/>
  </w:num>
  <w:num w:numId="28">
    <w:abstractNumId w:val="1"/>
  </w:num>
  <w:num w:numId="29">
    <w:abstractNumId w:val="9"/>
  </w:num>
  <w:num w:numId="30">
    <w:abstractNumId w:val="28"/>
  </w:num>
  <w:num w:numId="31">
    <w:abstractNumId w:val="20"/>
  </w:num>
  <w:num w:numId="32">
    <w:abstractNumId w:val="18"/>
  </w:num>
  <w:num w:numId="33">
    <w:abstractNumId w:val="29"/>
  </w:num>
  <w:num w:numId="34">
    <w:abstractNumId w:val="27"/>
  </w:num>
  <w:num w:numId="35">
    <w:abstractNumId w:val="35"/>
  </w:num>
  <w:num w:numId="36">
    <w:abstractNumId w:val="2"/>
  </w:num>
  <w:num w:numId="37">
    <w:abstractNumId w:val="21"/>
  </w:num>
  <w:num w:numId="38">
    <w:abstractNumId w:val="11"/>
  </w:num>
  <w:num w:numId="39">
    <w:abstractNumId w:val="7"/>
  </w:num>
  <w:num w:numId="40">
    <w:abstractNumId w:val="22"/>
  </w:num>
  <w:num w:numId="41">
    <w:abstractNumId w:val="3"/>
  </w:num>
  <w:num w:numId="42">
    <w:abstractNumId w:val="32"/>
  </w:num>
  <w:num w:numId="43">
    <w:abstractNumId w:val="36"/>
  </w:num>
  <w:num w:numId="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7A4"/>
    <w:rsid w:val="00075D44"/>
    <w:rsid w:val="000A5C96"/>
    <w:rsid w:val="000D3392"/>
    <w:rsid w:val="000E76AE"/>
    <w:rsid w:val="000F2B39"/>
    <w:rsid w:val="00100484"/>
    <w:rsid w:val="00127D02"/>
    <w:rsid w:val="00131D6F"/>
    <w:rsid w:val="00145D84"/>
    <w:rsid w:val="00150CB0"/>
    <w:rsid w:val="001531DF"/>
    <w:rsid w:val="0019440F"/>
    <w:rsid w:val="001A57A4"/>
    <w:rsid w:val="001E5524"/>
    <w:rsid w:val="00210488"/>
    <w:rsid w:val="00214C02"/>
    <w:rsid w:val="002431C9"/>
    <w:rsid w:val="00254F43"/>
    <w:rsid w:val="002633AA"/>
    <w:rsid w:val="002651A9"/>
    <w:rsid w:val="00267173"/>
    <w:rsid w:val="002901CC"/>
    <w:rsid w:val="002C2D30"/>
    <w:rsid w:val="002C7F69"/>
    <w:rsid w:val="002D0BAB"/>
    <w:rsid w:val="002E53E2"/>
    <w:rsid w:val="002F383B"/>
    <w:rsid w:val="00323481"/>
    <w:rsid w:val="00327647"/>
    <w:rsid w:val="00334288"/>
    <w:rsid w:val="00342454"/>
    <w:rsid w:val="00364434"/>
    <w:rsid w:val="00380596"/>
    <w:rsid w:val="003829EE"/>
    <w:rsid w:val="0039179E"/>
    <w:rsid w:val="00391C6E"/>
    <w:rsid w:val="0039444B"/>
    <w:rsid w:val="003A300B"/>
    <w:rsid w:val="003A5EC6"/>
    <w:rsid w:val="003D2534"/>
    <w:rsid w:val="003D2EC8"/>
    <w:rsid w:val="003E0836"/>
    <w:rsid w:val="004040A3"/>
    <w:rsid w:val="00405C48"/>
    <w:rsid w:val="00434FA6"/>
    <w:rsid w:val="00435CDE"/>
    <w:rsid w:val="00443930"/>
    <w:rsid w:val="00451806"/>
    <w:rsid w:val="00460AE1"/>
    <w:rsid w:val="00475139"/>
    <w:rsid w:val="00482A4F"/>
    <w:rsid w:val="004B3891"/>
    <w:rsid w:val="004C085F"/>
    <w:rsid w:val="004E3951"/>
    <w:rsid w:val="0055317D"/>
    <w:rsid w:val="00594DD7"/>
    <w:rsid w:val="00597DD4"/>
    <w:rsid w:val="005A1185"/>
    <w:rsid w:val="005E26E1"/>
    <w:rsid w:val="0061581A"/>
    <w:rsid w:val="006218BC"/>
    <w:rsid w:val="006A4F7C"/>
    <w:rsid w:val="006F15EB"/>
    <w:rsid w:val="00706EC5"/>
    <w:rsid w:val="0075355B"/>
    <w:rsid w:val="00787141"/>
    <w:rsid w:val="007941C8"/>
    <w:rsid w:val="0079757B"/>
    <w:rsid w:val="007B23EC"/>
    <w:rsid w:val="007B3D00"/>
    <w:rsid w:val="007D0745"/>
    <w:rsid w:val="007D0F20"/>
    <w:rsid w:val="00837D5B"/>
    <w:rsid w:val="008405E1"/>
    <w:rsid w:val="00843235"/>
    <w:rsid w:val="00856D26"/>
    <w:rsid w:val="00867FE2"/>
    <w:rsid w:val="008801A6"/>
    <w:rsid w:val="008A061F"/>
    <w:rsid w:val="008B5E85"/>
    <w:rsid w:val="008C5A43"/>
    <w:rsid w:val="008D67DA"/>
    <w:rsid w:val="0090274B"/>
    <w:rsid w:val="00921DF1"/>
    <w:rsid w:val="009470B5"/>
    <w:rsid w:val="009570B6"/>
    <w:rsid w:val="009B0DDF"/>
    <w:rsid w:val="009C6149"/>
    <w:rsid w:val="009E1870"/>
    <w:rsid w:val="009E22A0"/>
    <w:rsid w:val="009F4DD8"/>
    <w:rsid w:val="00A00447"/>
    <w:rsid w:val="00A20C06"/>
    <w:rsid w:val="00A55EED"/>
    <w:rsid w:val="00A65367"/>
    <w:rsid w:val="00A77F43"/>
    <w:rsid w:val="00A93023"/>
    <w:rsid w:val="00AB0795"/>
    <w:rsid w:val="00AC4DDE"/>
    <w:rsid w:val="00AE7DC9"/>
    <w:rsid w:val="00AF777D"/>
    <w:rsid w:val="00B01EF1"/>
    <w:rsid w:val="00B03C5A"/>
    <w:rsid w:val="00B22AEF"/>
    <w:rsid w:val="00B52A95"/>
    <w:rsid w:val="00B85A29"/>
    <w:rsid w:val="00BA4309"/>
    <w:rsid w:val="00BC61ED"/>
    <w:rsid w:val="00BD4706"/>
    <w:rsid w:val="00BE5E9B"/>
    <w:rsid w:val="00CA202A"/>
    <w:rsid w:val="00CA568C"/>
    <w:rsid w:val="00CB0828"/>
    <w:rsid w:val="00CD20B4"/>
    <w:rsid w:val="00CE64C2"/>
    <w:rsid w:val="00D31504"/>
    <w:rsid w:val="00D4794A"/>
    <w:rsid w:val="00D564E8"/>
    <w:rsid w:val="00D63B53"/>
    <w:rsid w:val="00D71E75"/>
    <w:rsid w:val="00D7649D"/>
    <w:rsid w:val="00D85690"/>
    <w:rsid w:val="00D91FA6"/>
    <w:rsid w:val="00D93748"/>
    <w:rsid w:val="00D9744D"/>
    <w:rsid w:val="00DD4E91"/>
    <w:rsid w:val="00DE081E"/>
    <w:rsid w:val="00DE27AE"/>
    <w:rsid w:val="00DF2EE8"/>
    <w:rsid w:val="00E25354"/>
    <w:rsid w:val="00E5510A"/>
    <w:rsid w:val="00EB3FA3"/>
    <w:rsid w:val="00EC0A6D"/>
    <w:rsid w:val="00EC690C"/>
    <w:rsid w:val="00EE7F9E"/>
    <w:rsid w:val="00EF1360"/>
    <w:rsid w:val="00F00B88"/>
    <w:rsid w:val="00F3609F"/>
    <w:rsid w:val="00F4106E"/>
    <w:rsid w:val="00F578EC"/>
    <w:rsid w:val="00F617CA"/>
    <w:rsid w:val="00FC0A0D"/>
    <w:rsid w:val="00FD3623"/>
    <w:rsid w:val="00FF1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8193"/>
    <o:shapelayout v:ext="edit">
      <o:idmap v:ext="edit" data="1"/>
    </o:shapelayout>
  </w:shapeDefaults>
  <w:decimalSymbol w:val="."/>
  <w:listSeparator w:val=","/>
  <w14:docId w14:val="2DE5C709"/>
  <w15:chartTrackingRefBased/>
  <w15:docId w15:val="{85AC454D-1B55-4DB5-888E-844B0C11B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B88"/>
  </w:style>
  <w:style w:type="paragraph" w:styleId="Heading1">
    <w:name w:val="heading 1"/>
    <w:basedOn w:val="Normal"/>
    <w:next w:val="Normal"/>
    <w:link w:val="Heading1Char"/>
    <w:uiPriority w:val="9"/>
    <w:qFormat/>
    <w:rsid w:val="001A57A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A57A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A57A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57A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A57A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A57A4"/>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1A57A4"/>
    <w:rPr>
      <w:color w:val="0563C1"/>
      <w:u w:val="single"/>
    </w:rPr>
  </w:style>
  <w:style w:type="paragraph" w:styleId="ListParagraph">
    <w:name w:val="List Paragraph"/>
    <w:basedOn w:val="Normal"/>
    <w:uiPriority w:val="34"/>
    <w:qFormat/>
    <w:rsid w:val="001A57A4"/>
    <w:pPr>
      <w:spacing w:line="256" w:lineRule="auto"/>
      <w:ind w:left="720"/>
      <w:contextualSpacing/>
    </w:pPr>
  </w:style>
  <w:style w:type="paragraph" w:styleId="TOCHeading">
    <w:name w:val="TOC Heading"/>
    <w:basedOn w:val="Heading1"/>
    <w:next w:val="Normal"/>
    <w:uiPriority w:val="39"/>
    <w:unhideWhenUsed/>
    <w:qFormat/>
    <w:rsid w:val="001A57A4"/>
    <w:pPr>
      <w:outlineLvl w:val="9"/>
    </w:pPr>
  </w:style>
  <w:style w:type="paragraph" w:styleId="TOC1">
    <w:name w:val="toc 1"/>
    <w:basedOn w:val="Normal"/>
    <w:next w:val="Normal"/>
    <w:autoRedefine/>
    <w:uiPriority w:val="39"/>
    <w:unhideWhenUsed/>
    <w:rsid w:val="001A57A4"/>
    <w:pPr>
      <w:spacing w:after="100"/>
    </w:pPr>
  </w:style>
  <w:style w:type="paragraph" w:styleId="TOC2">
    <w:name w:val="toc 2"/>
    <w:basedOn w:val="Normal"/>
    <w:next w:val="Normal"/>
    <w:autoRedefine/>
    <w:uiPriority w:val="39"/>
    <w:unhideWhenUsed/>
    <w:rsid w:val="001A57A4"/>
    <w:pPr>
      <w:spacing w:after="100"/>
      <w:ind w:left="220"/>
    </w:pPr>
  </w:style>
  <w:style w:type="paragraph" w:styleId="Title">
    <w:name w:val="Title"/>
    <w:basedOn w:val="Normal"/>
    <w:next w:val="Normal"/>
    <w:link w:val="TitleChar"/>
    <w:uiPriority w:val="10"/>
    <w:qFormat/>
    <w:rsid w:val="001A57A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57A4"/>
    <w:rPr>
      <w:rFonts w:asciiTheme="majorHAnsi" w:eastAsiaTheme="majorEastAsia" w:hAnsiTheme="majorHAnsi" w:cstheme="majorBidi"/>
      <w:spacing w:val="-10"/>
      <w:kern w:val="28"/>
      <w:sz w:val="56"/>
      <w:szCs w:val="56"/>
    </w:rPr>
  </w:style>
  <w:style w:type="paragraph" w:styleId="CommentText">
    <w:name w:val="annotation text"/>
    <w:basedOn w:val="Normal"/>
    <w:link w:val="CommentTextChar"/>
    <w:uiPriority w:val="99"/>
    <w:unhideWhenUsed/>
    <w:rsid w:val="001A57A4"/>
    <w:pPr>
      <w:widowControl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1A57A4"/>
    <w:rPr>
      <w:rFonts w:ascii="Times New Roman" w:eastAsia="Times New Roman" w:hAnsi="Times New Roman" w:cs="Times New Roman"/>
      <w:sz w:val="20"/>
      <w:szCs w:val="20"/>
    </w:rPr>
  </w:style>
  <w:style w:type="character" w:styleId="CommentReference">
    <w:name w:val="annotation reference"/>
    <w:basedOn w:val="DefaultParagraphFont"/>
    <w:uiPriority w:val="99"/>
    <w:unhideWhenUsed/>
    <w:rsid w:val="001A57A4"/>
    <w:rPr>
      <w:sz w:val="16"/>
      <w:szCs w:val="16"/>
    </w:rPr>
  </w:style>
  <w:style w:type="paragraph" w:styleId="CommentSubject">
    <w:name w:val="annotation subject"/>
    <w:basedOn w:val="CommentText"/>
    <w:next w:val="CommentText"/>
    <w:link w:val="CommentSubjectChar"/>
    <w:uiPriority w:val="99"/>
    <w:semiHidden/>
    <w:unhideWhenUsed/>
    <w:rsid w:val="001A57A4"/>
    <w:pPr>
      <w:widowControl/>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A57A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A57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57A4"/>
    <w:rPr>
      <w:rFonts w:ascii="Segoe UI" w:hAnsi="Segoe UI" w:cs="Segoe UI"/>
      <w:sz w:val="18"/>
      <w:szCs w:val="18"/>
    </w:rPr>
  </w:style>
  <w:style w:type="table" w:styleId="TableGrid">
    <w:name w:val="Table Grid"/>
    <w:basedOn w:val="TableNormal"/>
    <w:uiPriority w:val="39"/>
    <w:rsid w:val="001A57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1A57A4"/>
    <w:pPr>
      <w:spacing w:after="100"/>
      <w:ind w:left="440"/>
    </w:pPr>
  </w:style>
  <w:style w:type="paragraph" w:customStyle="1" w:styleId="P1-StandPara">
    <w:name w:val="P1-Stand Para"/>
    <w:rsid w:val="001A57A4"/>
    <w:pPr>
      <w:spacing w:after="0" w:line="480" w:lineRule="auto"/>
      <w:ind w:firstLine="720"/>
    </w:pPr>
    <w:rPr>
      <w:rFonts w:ascii="Times New Roman" w:eastAsia="Times New Roman" w:hAnsi="Times New Roman" w:cs="Times New Roman"/>
      <w:szCs w:val="20"/>
    </w:rPr>
  </w:style>
  <w:style w:type="paragraph" w:customStyle="1" w:styleId="a">
    <w:name w:val="_"/>
    <w:rsid w:val="001A57A4"/>
    <w:pPr>
      <w:widowControl w:val="0"/>
      <w:spacing w:after="0" w:line="240" w:lineRule="auto"/>
      <w:ind w:left="720"/>
    </w:pPr>
    <w:rPr>
      <w:rFonts w:ascii="Times New Roman" w:eastAsia="Times New Roman" w:hAnsi="Times New Roman" w:cs="Times New Roman"/>
      <w:snapToGrid w:val="0"/>
      <w:sz w:val="24"/>
      <w:szCs w:val="20"/>
    </w:rPr>
  </w:style>
  <w:style w:type="paragraph" w:styleId="NoSpacing">
    <w:name w:val="No Spacing"/>
    <w:link w:val="NoSpacingChar"/>
    <w:uiPriority w:val="1"/>
    <w:qFormat/>
    <w:rsid w:val="001A57A4"/>
    <w:pPr>
      <w:spacing w:after="0" w:line="240" w:lineRule="auto"/>
    </w:pPr>
    <w:rPr>
      <w:rFonts w:eastAsiaTheme="minorEastAsia"/>
    </w:rPr>
  </w:style>
  <w:style w:type="character" w:customStyle="1" w:styleId="NoSpacingChar">
    <w:name w:val="No Spacing Char"/>
    <w:basedOn w:val="DefaultParagraphFont"/>
    <w:link w:val="NoSpacing"/>
    <w:uiPriority w:val="1"/>
    <w:rsid w:val="001A57A4"/>
    <w:rPr>
      <w:rFonts w:eastAsiaTheme="minorEastAsia"/>
    </w:rPr>
  </w:style>
  <w:style w:type="paragraph" w:styleId="NormalWeb">
    <w:name w:val="Normal (Web)"/>
    <w:basedOn w:val="Normal"/>
    <w:uiPriority w:val="99"/>
    <w:semiHidden/>
    <w:unhideWhenUsed/>
    <w:rsid w:val="001A57A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A57A4"/>
    <w:rPr>
      <w:b/>
      <w:bCs/>
    </w:rPr>
  </w:style>
  <w:style w:type="character" w:styleId="Emphasis">
    <w:name w:val="Emphasis"/>
    <w:basedOn w:val="DefaultParagraphFont"/>
    <w:uiPriority w:val="20"/>
    <w:qFormat/>
    <w:rsid w:val="001A57A4"/>
    <w:rPr>
      <w:i/>
      <w:iCs/>
    </w:rPr>
  </w:style>
  <w:style w:type="paragraph" w:customStyle="1" w:styleId="Default">
    <w:name w:val="Default"/>
    <w:rsid w:val="001A57A4"/>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1A57A4"/>
    <w:rPr>
      <w:color w:val="605E5C"/>
      <w:shd w:val="clear" w:color="auto" w:fill="E1DFDD"/>
    </w:rPr>
  </w:style>
  <w:style w:type="table" w:styleId="GridTable6Colorful">
    <w:name w:val="Grid Table 6 Colorful"/>
    <w:basedOn w:val="TableNormal"/>
    <w:uiPriority w:val="51"/>
    <w:rsid w:val="001A57A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3829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29EE"/>
  </w:style>
  <w:style w:type="paragraph" w:styleId="Footer">
    <w:name w:val="footer"/>
    <w:basedOn w:val="Normal"/>
    <w:link w:val="FooterChar"/>
    <w:uiPriority w:val="99"/>
    <w:unhideWhenUsed/>
    <w:rsid w:val="003829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29EE"/>
  </w:style>
  <w:style w:type="paragraph" w:styleId="Revision">
    <w:name w:val="Revision"/>
    <w:hidden/>
    <w:uiPriority w:val="99"/>
    <w:semiHidden/>
    <w:rsid w:val="00CA20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4017862">
      <w:bodyDiv w:val="1"/>
      <w:marLeft w:val="0"/>
      <w:marRight w:val="0"/>
      <w:marTop w:val="0"/>
      <w:marBottom w:val="0"/>
      <w:divBdr>
        <w:top w:val="none" w:sz="0" w:space="0" w:color="auto"/>
        <w:left w:val="none" w:sz="0" w:space="0" w:color="auto"/>
        <w:bottom w:val="none" w:sz="0" w:space="0" w:color="auto"/>
        <w:right w:val="none" w:sz="0" w:space="0" w:color="auto"/>
      </w:divBdr>
    </w:div>
    <w:div w:id="138537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opm.gov/information-management/privacy-policy/sorn/opm-sorn-govt-6-personnel-research-and-test-validation-records.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dpcld.defense.gov/Privacy/SORNsIndex/DOD-wide-SORN-Article-View/Article/570733/opmgovt-1/"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opm.gov/policy-data-oversight/pay-leave/salaries-wages/salary-tables/18Tables/html/DCB.asp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rwh.od.nih.gov/career-development-education/e-learning"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bls.gov/oes/current/oes_nat.htm" TargetMode="External"/><Relationship Id="rId23" Type="http://schemas.openxmlformats.org/officeDocument/2006/relationships/fontTable" Target="fontTable.xml"/><Relationship Id="rId10" Type="http://schemas.openxmlformats.org/officeDocument/2006/relationships/hyperlink" Target="mailto:hunterc@mail.nih.gov"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federalregister.gov/documents/2002/09/26/02-23965/privacy-act-of-1974-annual-publication-of-systems-of-records"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CE516E706B8441AAF8D1CD31048E5B" ma:contentTypeVersion="8" ma:contentTypeDescription="Create a new document." ma:contentTypeScope="" ma:versionID="c819baf7c5695d5d0b43a320d9ac8066">
  <xsd:schema xmlns:xsd="http://www.w3.org/2001/XMLSchema" xmlns:xs="http://www.w3.org/2001/XMLSchema" xmlns:p="http://schemas.microsoft.com/office/2006/metadata/properties" xmlns:ns3="579d9f9d-1af6-44d4-bab5-6fcb7eb5d282" targetNamespace="http://schemas.microsoft.com/office/2006/metadata/properties" ma:root="true" ma:fieldsID="daf6b6e26d2985d41d696ed3b79a7bb3" ns3:_="">
    <xsd:import namespace="579d9f9d-1af6-44d4-bab5-6fcb7eb5d2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d9f9d-1af6-44d4-bab5-6fcb7eb5d2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C87895-A48C-4CBA-9A0C-75650D5ABA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d9f9d-1af6-44d4-bab5-6fcb7eb5d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22CF83-3F79-4949-AB9A-6404802F56A6}">
  <ds:schemaRefs>
    <ds:schemaRef ds:uri="http://schemas.microsoft.com/sharepoint/v3/contenttype/forms"/>
  </ds:schemaRefs>
</ds:datastoreItem>
</file>

<file path=customXml/itemProps3.xml><?xml version="1.0" encoding="utf-8"?>
<ds:datastoreItem xmlns:ds="http://schemas.openxmlformats.org/officeDocument/2006/customXml" ds:itemID="{D922FF94-4136-4734-B580-992A45FA99D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4293</Words>
  <Characters>24473</Characters>
  <Application>Microsoft Office Word</Application>
  <DocSecurity>4</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 Elizabeth (NIH/OD) [C]</dc:creator>
  <cp:keywords/>
  <dc:description/>
  <cp:lastModifiedBy>Abdelmouti, Tawanda (NIH/OD) [E]</cp:lastModifiedBy>
  <cp:revision>2</cp:revision>
  <dcterms:created xsi:type="dcterms:W3CDTF">2020-11-17T17:43:00Z</dcterms:created>
  <dcterms:modified xsi:type="dcterms:W3CDTF">2020-11-17T17:43:00Z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0x0101001BCE516E706B8441AAF8D1CD31048E5B</vt:lpwstr>
  </property>
</Properties>
</file>