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5033D" w:rsidR="005C5B7E" w:rsidP="005C5B7E" w:rsidRDefault="005C5B7E" w14:paraId="071B816D" w14:textId="77777777">
      <w:pPr>
        <w:jc w:val="center"/>
        <w:rPr>
          <w:szCs w:val="22"/>
        </w:rPr>
      </w:pPr>
      <w:bookmarkStart w:name="_Toc172096613" w:id="0"/>
    </w:p>
    <w:p w:rsidRPr="00E5033D" w:rsidR="00C2519B" w:rsidP="00C2519B" w:rsidRDefault="00C2519B" w14:paraId="4540E579" w14:textId="77777777">
      <w:pPr>
        <w:jc w:val="center"/>
        <w:rPr>
          <w:bCs/>
          <w:szCs w:val="22"/>
        </w:rPr>
      </w:pPr>
    </w:p>
    <w:p w:rsidRPr="00E5033D" w:rsidR="00C2519B" w:rsidP="00C2519B" w:rsidRDefault="00C2519B" w14:paraId="65B0399B" w14:textId="77777777">
      <w:pPr>
        <w:jc w:val="center"/>
        <w:rPr>
          <w:bCs/>
          <w:szCs w:val="22"/>
        </w:rPr>
      </w:pPr>
    </w:p>
    <w:p w:rsidRPr="00E5033D" w:rsidR="00C2519B" w:rsidP="00C2519B" w:rsidRDefault="00C2519B" w14:paraId="349EE9AB" w14:textId="77777777">
      <w:pPr>
        <w:jc w:val="center"/>
        <w:rPr>
          <w:bCs/>
          <w:szCs w:val="22"/>
        </w:rPr>
      </w:pPr>
    </w:p>
    <w:p w:rsidRPr="00E5033D" w:rsidR="00C2519B" w:rsidP="00C2519B" w:rsidRDefault="00C2519B" w14:paraId="4F771059" w14:textId="77777777">
      <w:pPr>
        <w:jc w:val="center"/>
        <w:rPr>
          <w:bCs/>
          <w:szCs w:val="22"/>
        </w:rPr>
      </w:pPr>
    </w:p>
    <w:p w:rsidRPr="00E5033D" w:rsidR="00C2519B" w:rsidP="00C2519B" w:rsidRDefault="00C2519B" w14:paraId="25BB0E42" w14:textId="77777777">
      <w:pPr>
        <w:jc w:val="center"/>
        <w:rPr>
          <w:bCs/>
          <w:szCs w:val="22"/>
        </w:rPr>
      </w:pPr>
    </w:p>
    <w:p w:rsidRPr="00E5033D" w:rsidR="00C2519B" w:rsidP="00C2519B" w:rsidRDefault="00C2519B" w14:paraId="141ED159" w14:textId="77777777">
      <w:pPr>
        <w:jc w:val="center"/>
        <w:rPr>
          <w:bCs/>
          <w:szCs w:val="22"/>
        </w:rPr>
      </w:pPr>
    </w:p>
    <w:p w:rsidRPr="00E5033D" w:rsidR="00C2519B" w:rsidP="00C2519B" w:rsidRDefault="00C2519B" w14:paraId="7D51EEDD" w14:textId="77777777">
      <w:pPr>
        <w:jc w:val="center"/>
        <w:rPr>
          <w:bCs/>
          <w:szCs w:val="22"/>
        </w:rPr>
      </w:pPr>
    </w:p>
    <w:p w:rsidRPr="00E5033D" w:rsidR="00C2519B" w:rsidP="00C2519B" w:rsidRDefault="00C2519B" w14:paraId="4B458294" w14:textId="77777777">
      <w:pPr>
        <w:jc w:val="center"/>
        <w:rPr>
          <w:bCs/>
          <w:szCs w:val="22"/>
        </w:rPr>
      </w:pPr>
    </w:p>
    <w:p w:rsidRPr="00E5033D" w:rsidR="00C2519B" w:rsidP="00C2519B" w:rsidRDefault="00C2519B" w14:paraId="149C9027" w14:textId="77777777">
      <w:pPr>
        <w:jc w:val="center"/>
        <w:rPr>
          <w:b/>
          <w:bCs/>
          <w:szCs w:val="22"/>
        </w:rPr>
      </w:pPr>
    </w:p>
    <w:p w:rsidRPr="00A47404" w:rsidR="00B935C2" w:rsidP="00B935C2" w:rsidRDefault="00B935C2" w14:paraId="466941B5" w14:textId="77777777">
      <w:pPr>
        <w:jc w:val="center"/>
        <w:rPr>
          <w:bCs/>
          <w:sz w:val="24"/>
        </w:rPr>
      </w:pPr>
      <w:r w:rsidRPr="00A47404">
        <w:rPr>
          <w:bCs/>
          <w:sz w:val="24"/>
        </w:rPr>
        <w:t xml:space="preserve">Developmental Projects to Improve the </w:t>
      </w:r>
    </w:p>
    <w:p w:rsidRPr="00A47404" w:rsidR="00B935C2" w:rsidP="00B935C2" w:rsidRDefault="00B935C2" w14:paraId="4F0A856F" w14:textId="77777777">
      <w:pPr>
        <w:jc w:val="center"/>
        <w:rPr>
          <w:bCs/>
          <w:sz w:val="24"/>
        </w:rPr>
      </w:pPr>
      <w:r w:rsidRPr="00A47404">
        <w:rPr>
          <w:bCs/>
          <w:sz w:val="24"/>
        </w:rPr>
        <w:t xml:space="preserve">National Health and Nutrition Examination Survey </w:t>
      </w:r>
    </w:p>
    <w:p w:rsidRPr="00A47404" w:rsidR="00B935C2" w:rsidP="00B935C2" w:rsidRDefault="000C2826" w14:paraId="61ADD481" w14:textId="25F3C536">
      <w:pPr>
        <w:jc w:val="center"/>
        <w:rPr>
          <w:bCs/>
          <w:sz w:val="24"/>
        </w:rPr>
      </w:pPr>
      <w:r w:rsidRPr="00A47404">
        <w:rPr>
          <w:bCs/>
          <w:sz w:val="24"/>
        </w:rPr>
        <w:t>And</w:t>
      </w:r>
      <w:r w:rsidRPr="00A47404" w:rsidR="00B935C2">
        <w:rPr>
          <w:bCs/>
          <w:sz w:val="24"/>
        </w:rPr>
        <w:t xml:space="preserve"> Related Programs</w:t>
      </w:r>
    </w:p>
    <w:p w:rsidRPr="00A47404" w:rsidR="00227EEC" w:rsidP="00227EEC" w:rsidRDefault="00227EEC" w14:paraId="68D7C28E" w14:textId="676E5040">
      <w:pPr>
        <w:jc w:val="center"/>
        <w:rPr>
          <w:bCs/>
          <w:sz w:val="24"/>
        </w:rPr>
      </w:pPr>
    </w:p>
    <w:p w:rsidRPr="00A47404" w:rsidR="00227EEC" w:rsidP="00227EEC" w:rsidRDefault="00227EEC" w14:paraId="384FC217" w14:textId="77777777">
      <w:pPr>
        <w:jc w:val="center"/>
        <w:rPr>
          <w:bCs/>
          <w:sz w:val="24"/>
        </w:rPr>
      </w:pPr>
    </w:p>
    <w:p w:rsidRPr="00A47404" w:rsidR="0023304D" w:rsidP="0023304D" w:rsidRDefault="0023304D" w14:paraId="58DC0A54" w14:textId="77777777">
      <w:pPr>
        <w:jc w:val="center"/>
        <w:rPr>
          <w:color w:val="000000" w:themeColor="text1"/>
          <w:sz w:val="24"/>
        </w:rPr>
      </w:pPr>
      <w:r w:rsidRPr="00A47404">
        <w:rPr>
          <w:color w:val="000000" w:themeColor="text1"/>
          <w:sz w:val="24"/>
        </w:rPr>
        <w:t>National Health Interview Survey (NHIS) Follow-up Health Study</w:t>
      </w:r>
    </w:p>
    <w:p w:rsidRPr="00A47404" w:rsidR="00951768" w:rsidP="00C01338" w:rsidRDefault="00951768" w14:paraId="61A41C7B" w14:textId="77777777">
      <w:pPr>
        <w:jc w:val="center"/>
        <w:rPr>
          <w:color w:val="000000" w:themeColor="text1"/>
          <w:sz w:val="24"/>
        </w:rPr>
      </w:pPr>
    </w:p>
    <w:p w:rsidRPr="00A47404" w:rsidR="00455E60" w:rsidP="00455E60" w:rsidRDefault="00455E60" w14:paraId="047C602F" w14:textId="37D4C2D7">
      <w:pPr>
        <w:jc w:val="center"/>
        <w:rPr>
          <w:bCs/>
          <w:sz w:val="24"/>
        </w:rPr>
      </w:pPr>
      <w:r w:rsidRPr="00A47404">
        <w:rPr>
          <w:bCs/>
          <w:sz w:val="24"/>
        </w:rPr>
        <w:t xml:space="preserve">Supporting Statement B </w:t>
      </w:r>
    </w:p>
    <w:p w:rsidRPr="00A47404" w:rsidR="00227EEC" w:rsidP="00227EEC" w:rsidRDefault="00227EEC" w14:paraId="2F557E0A" w14:textId="77777777">
      <w:pPr>
        <w:jc w:val="center"/>
        <w:rPr>
          <w:bCs/>
          <w:sz w:val="24"/>
          <w:u w:val="single"/>
        </w:rPr>
      </w:pPr>
    </w:p>
    <w:p w:rsidRPr="00A47404" w:rsidR="00227EEC" w:rsidP="00227EEC" w:rsidRDefault="00227EEC" w14:paraId="7DD1155A" w14:textId="77777777">
      <w:pPr>
        <w:jc w:val="center"/>
        <w:rPr>
          <w:bCs/>
          <w:sz w:val="24"/>
          <w:u w:val="single"/>
        </w:rPr>
      </w:pPr>
    </w:p>
    <w:p w:rsidRPr="00A47404" w:rsidR="00227EEC" w:rsidP="00227EEC" w:rsidRDefault="00227EEC" w14:paraId="6ECD868F" w14:textId="77777777">
      <w:pPr>
        <w:jc w:val="center"/>
        <w:rPr>
          <w:bCs/>
          <w:sz w:val="24"/>
        </w:rPr>
      </w:pPr>
    </w:p>
    <w:p w:rsidRPr="00A47404" w:rsidR="00227EEC" w:rsidP="00227EEC" w:rsidRDefault="00227EEC" w14:paraId="5DAFFBDB" w14:textId="77777777">
      <w:pPr>
        <w:jc w:val="center"/>
        <w:rPr>
          <w:bCs/>
          <w:sz w:val="24"/>
        </w:rPr>
      </w:pPr>
    </w:p>
    <w:p w:rsidRPr="00A47404" w:rsidR="00227EEC" w:rsidP="00227EEC" w:rsidRDefault="00227EEC" w14:paraId="435DED94" w14:textId="77777777">
      <w:pPr>
        <w:jc w:val="center"/>
        <w:rPr>
          <w:bCs/>
          <w:sz w:val="24"/>
        </w:rPr>
      </w:pPr>
    </w:p>
    <w:p w:rsidRPr="00A47404" w:rsidR="00227EEC" w:rsidP="00227EEC" w:rsidRDefault="00227EEC" w14:paraId="05702B9F" w14:textId="77777777">
      <w:pPr>
        <w:jc w:val="center"/>
        <w:rPr>
          <w:bCs/>
          <w:sz w:val="24"/>
        </w:rPr>
      </w:pPr>
    </w:p>
    <w:p w:rsidRPr="00A47404" w:rsidR="00227EEC" w:rsidP="00227EEC" w:rsidRDefault="00227EEC" w14:paraId="3B4638F8" w14:textId="77777777">
      <w:pPr>
        <w:jc w:val="center"/>
        <w:rPr>
          <w:bCs/>
          <w:sz w:val="24"/>
        </w:rPr>
      </w:pPr>
      <w:r w:rsidRPr="00A47404">
        <w:rPr>
          <w:bCs/>
          <w:sz w:val="24"/>
        </w:rPr>
        <w:t>Contact Information:</w:t>
      </w:r>
    </w:p>
    <w:p w:rsidRPr="00A47404" w:rsidR="00227EEC" w:rsidP="00227EEC" w:rsidRDefault="00227EEC" w14:paraId="10046381" w14:textId="77777777">
      <w:pPr>
        <w:jc w:val="center"/>
        <w:rPr>
          <w:bCs/>
          <w:sz w:val="24"/>
        </w:rPr>
      </w:pPr>
    </w:p>
    <w:p w:rsidRPr="00A47404" w:rsidR="00227EEC" w:rsidP="00227EEC" w:rsidRDefault="00C61B07" w14:paraId="136A0470" w14:textId="7C4CCA13">
      <w:pPr>
        <w:jc w:val="center"/>
        <w:rPr>
          <w:bCs/>
          <w:sz w:val="24"/>
        </w:rPr>
      </w:pPr>
      <w:r w:rsidRPr="00A47404">
        <w:rPr>
          <w:bCs/>
          <w:sz w:val="24"/>
        </w:rPr>
        <w:t>Aaron Maitland, PhD</w:t>
      </w:r>
    </w:p>
    <w:p w:rsidRPr="00A47404" w:rsidR="00227EEC" w:rsidP="00227EEC" w:rsidRDefault="00227EEC" w14:paraId="6538F57B" w14:textId="77777777">
      <w:pPr>
        <w:jc w:val="center"/>
        <w:rPr>
          <w:bCs/>
          <w:sz w:val="24"/>
        </w:rPr>
      </w:pPr>
      <w:r w:rsidRPr="00A47404">
        <w:rPr>
          <w:bCs/>
          <w:sz w:val="24"/>
        </w:rPr>
        <w:t>Chief, Planning Branch</w:t>
      </w:r>
    </w:p>
    <w:p w:rsidRPr="00A47404" w:rsidR="00227EEC" w:rsidP="00227EEC" w:rsidRDefault="00227EEC" w14:paraId="552E63BF" w14:textId="77777777">
      <w:pPr>
        <w:jc w:val="center"/>
        <w:rPr>
          <w:bCs/>
          <w:sz w:val="24"/>
        </w:rPr>
      </w:pPr>
      <w:r w:rsidRPr="00A47404">
        <w:rPr>
          <w:bCs/>
          <w:sz w:val="24"/>
        </w:rPr>
        <w:t>National Health and Nutrition Examination Survey</w:t>
      </w:r>
    </w:p>
    <w:p w:rsidRPr="00A47404" w:rsidR="00227EEC" w:rsidP="00227EEC" w:rsidRDefault="00227EEC" w14:paraId="6FB57E16" w14:textId="77777777">
      <w:pPr>
        <w:jc w:val="center"/>
        <w:rPr>
          <w:bCs/>
          <w:sz w:val="24"/>
        </w:rPr>
      </w:pPr>
      <w:r w:rsidRPr="00A47404">
        <w:rPr>
          <w:bCs/>
          <w:sz w:val="24"/>
        </w:rPr>
        <w:t>National Center for Health Statistics/CDC</w:t>
      </w:r>
    </w:p>
    <w:p w:rsidRPr="00A47404" w:rsidR="00227EEC" w:rsidP="00227EEC" w:rsidRDefault="00227EEC" w14:paraId="20B2FAD2" w14:textId="77777777">
      <w:pPr>
        <w:jc w:val="center"/>
        <w:rPr>
          <w:bCs/>
          <w:sz w:val="24"/>
        </w:rPr>
      </w:pPr>
      <w:r w:rsidRPr="00A47404">
        <w:rPr>
          <w:bCs/>
          <w:sz w:val="24"/>
        </w:rPr>
        <w:t>3311 Toledo Road</w:t>
      </w:r>
    </w:p>
    <w:p w:rsidRPr="00A47404" w:rsidR="00227EEC" w:rsidP="00227EEC" w:rsidRDefault="00227EEC" w14:paraId="0D4D0244" w14:textId="77777777">
      <w:pPr>
        <w:jc w:val="center"/>
        <w:rPr>
          <w:bCs/>
          <w:sz w:val="24"/>
        </w:rPr>
      </w:pPr>
      <w:r w:rsidRPr="00A47404">
        <w:rPr>
          <w:bCs/>
          <w:sz w:val="24"/>
        </w:rPr>
        <w:t>Hyattsville, MD 20782</w:t>
      </w:r>
    </w:p>
    <w:p w:rsidRPr="00A47404" w:rsidR="00227EEC" w:rsidP="00227EEC" w:rsidRDefault="00227EEC" w14:paraId="5E5C921D" w14:textId="77777777">
      <w:pPr>
        <w:jc w:val="center"/>
        <w:rPr>
          <w:bCs/>
          <w:sz w:val="24"/>
        </w:rPr>
      </w:pPr>
    </w:p>
    <w:p w:rsidRPr="00A47404" w:rsidR="00227EEC" w:rsidP="00227EEC" w:rsidRDefault="00227EEC" w14:paraId="205E5135" w14:textId="77777777">
      <w:pPr>
        <w:jc w:val="center"/>
        <w:rPr>
          <w:bCs/>
          <w:sz w:val="24"/>
        </w:rPr>
      </w:pPr>
      <w:r w:rsidRPr="00A47404">
        <w:rPr>
          <w:bCs/>
          <w:sz w:val="24"/>
        </w:rPr>
        <w:t>Telephone: 301-458-4327</w:t>
      </w:r>
    </w:p>
    <w:p w:rsidRPr="00A47404" w:rsidR="00227EEC" w:rsidP="00951768" w:rsidRDefault="00227EEC" w14:paraId="7E7BD1DA" w14:textId="7BC7E855">
      <w:pPr>
        <w:jc w:val="center"/>
        <w:rPr>
          <w:bCs/>
          <w:sz w:val="24"/>
        </w:rPr>
      </w:pPr>
      <w:r w:rsidRPr="00A47404">
        <w:rPr>
          <w:bCs/>
          <w:sz w:val="24"/>
        </w:rPr>
        <w:t>FAX: 301-458-4028</w:t>
      </w:r>
    </w:p>
    <w:p w:rsidRPr="00A47404" w:rsidR="00DB7A76" w:rsidP="00951768" w:rsidRDefault="00DB7A76" w14:paraId="3F28F45F" w14:textId="77777777">
      <w:pPr>
        <w:jc w:val="center"/>
        <w:rPr>
          <w:bCs/>
          <w:sz w:val="24"/>
        </w:rPr>
      </w:pPr>
    </w:p>
    <w:p w:rsidRPr="00A47404" w:rsidR="00C2519B" w:rsidP="00227EEC" w:rsidRDefault="00227EEC" w14:paraId="6F2E81D7" w14:textId="3AD35F00">
      <w:pPr>
        <w:jc w:val="center"/>
        <w:rPr>
          <w:bCs/>
          <w:sz w:val="24"/>
        </w:rPr>
      </w:pPr>
      <w:r w:rsidRPr="00A47404">
        <w:rPr>
          <w:bCs/>
          <w:sz w:val="24"/>
        </w:rPr>
        <w:t xml:space="preserve">E-mail: </w:t>
      </w:r>
      <w:r w:rsidRPr="00141182" w:rsidR="00141182">
        <w:rPr>
          <w:bCs/>
          <w:sz w:val="24"/>
        </w:rPr>
        <w:t>AMa</w:t>
      </w:r>
      <w:r w:rsidR="00141182">
        <w:rPr>
          <w:bCs/>
          <w:sz w:val="24"/>
        </w:rPr>
        <w:t>itland@cdc.gov</w:t>
      </w:r>
    </w:p>
    <w:p w:rsidRPr="00A47404" w:rsidR="00951768" w:rsidP="00227EEC" w:rsidRDefault="00951768" w14:paraId="18CBB6B1" w14:textId="77777777">
      <w:pPr>
        <w:jc w:val="center"/>
        <w:rPr>
          <w:bCs/>
          <w:sz w:val="24"/>
        </w:rPr>
      </w:pPr>
    </w:p>
    <w:p w:rsidRPr="00A47404" w:rsidR="00C2519B" w:rsidP="00C2519B" w:rsidRDefault="00DB7A76" w14:paraId="663819CD" w14:textId="52FBE3A3">
      <w:pPr>
        <w:jc w:val="center"/>
        <w:rPr>
          <w:bCs/>
          <w:sz w:val="24"/>
        </w:rPr>
      </w:pPr>
      <w:r w:rsidRPr="00A47404">
        <w:rPr>
          <w:bCs/>
          <w:sz w:val="24"/>
        </w:rPr>
        <w:t xml:space="preserve">February </w:t>
      </w:r>
      <w:r w:rsidR="00A86B7C">
        <w:rPr>
          <w:bCs/>
          <w:sz w:val="24"/>
        </w:rPr>
        <w:t>26</w:t>
      </w:r>
      <w:r w:rsidRPr="00A47404" w:rsidR="00951768">
        <w:rPr>
          <w:bCs/>
          <w:sz w:val="24"/>
        </w:rPr>
        <w:t>, 202</w:t>
      </w:r>
      <w:r w:rsidRPr="00A47404" w:rsidR="005100FA">
        <w:rPr>
          <w:bCs/>
          <w:sz w:val="24"/>
        </w:rPr>
        <w:t>1</w:t>
      </w:r>
    </w:p>
    <w:p w:rsidRPr="00A47404" w:rsidR="0021329B" w:rsidRDefault="00074420" w14:paraId="1142C1B1" w14:textId="77777777">
      <w:pPr>
        <w:rPr>
          <w:sz w:val="24"/>
        </w:rPr>
      </w:pPr>
      <w:r w:rsidRPr="00A47404">
        <w:rPr>
          <w:i/>
          <w:sz w:val="24"/>
        </w:rPr>
        <w:br w:type="page"/>
      </w:r>
      <w:r w:rsidRPr="00A47404" w:rsidR="0021329B">
        <w:rPr>
          <w:rFonts w:eastAsia="Calibri"/>
          <w:sz w:val="24"/>
        </w:rPr>
        <w:lastRenderedPageBreak/>
        <w:t>Table of Contents</w:t>
      </w:r>
      <w:r w:rsidRPr="00A47404" w:rsidR="0021329B">
        <w:rPr>
          <w:i/>
          <w:sz w:val="24"/>
        </w:rPr>
        <w:t xml:space="preserve"> </w:t>
      </w:r>
    </w:p>
    <w:p w:rsidRPr="00A47404" w:rsidR="0021329B" w:rsidRDefault="0021329B" w14:paraId="490D4C36" w14:textId="77777777">
      <w:pPr>
        <w:rPr>
          <w:sz w:val="24"/>
        </w:rPr>
      </w:pPr>
    </w:p>
    <w:p w:rsidRPr="00A47404" w:rsidR="0021329B" w:rsidP="0021329B" w:rsidRDefault="0021329B" w14:paraId="1E319434" w14:textId="204D934D">
      <w:pPr>
        <w:rPr>
          <w:rFonts w:eastAsia="Calibri"/>
          <w:sz w:val="24"/>
        </w:rPr>
      </w:pPr>
      <w:r w:rsidRPr="00A47404">
        <w:rPr>
          <w:rFonts w:eastAsia="Calibri"/>
          <w:sz w:val="24"/>
        </w:rPr>
        <w:t xml:space="preserve">B.  Collections of Information Employing Statistical Methods.................................... </w:t>
      </w:r>
      <w:r w:rsidRPr="00A47404" w:rsidR="00231CE5">
        <w:rPr>
          <w:rFonts w:eastAsia="Calibri"/>
          <w:sz w:val="24"/>
        </w:rPr>
        <w:t>3</w:t>
      </w:r>
      <w:r w:rsidRPr="00A47404">
        <w:rPr>
          <w:rFonts w:eastAsia="Calibri"/>
          <w:sz w:val="24"/>
        </w:rPr>
        <w:t xml:space="preserve">                                          </w:t>
      </w:r>
    </w:p>
    <w:p w:rsidRPr="00A47404" w:rsidR="0021329B" w:rsidP="0021329B" w:rsidRDefault="0021329B" w14:paraId="6F0F4789" w14:textId="6CA40BA0">
      <w:pPr>
        <w:rPr>
          <w:rFonts w:eastAsia="Calibri"/>
          <w:sz w:val="24"/>
        </w:rPr>
      </w:pPr>
      <w:r w:rsidRPr="00A47404">
        <w:rPr>
          <w:rFonts w:eastAsia="Calibri"/>
          <w:sz w:val="24"/>
        </w:rPr>
        <w:t xml:space="preserve">    1. Respondent Universe and Sampling Methods...........................</w:t>
      </w:r>
      <w:r w:rsidRPr="00A47404" w:rsidR="00231CE5">
        <w:rPr>
          <w:rFonts w:eastAsia="Calibri"/>
          <w:sz w:val="24"/>
        </w:rPr>
        <w:t xml:space="preserve">........................... </w:t>
      </w:r>
      <w:r w:rsidRPr="00A47404">
        <w:rPr>
          <w:rFonts w:eastAsia="Calibri"/>
          <w:sz w:val="24"/>
        </w:rPr>
        <w:t xml:space="preserve">3                           </w:t>
      </w:r>
    </w:p>
    <w:p w:rsidRPr="00A47404" w:rsidR="0021329B" w:rsidP="0021329B" w:rsidRDefault="0021329B" w14:paraId="383838E6" w14:textId="44A2B7E0">
      <w:pPr>
        <w:rPr>
          <w:rFonts w:eastAsia="Calibri"/>
          <w:sz w:val="24"/>
        </w:rPr>
      </w:pPr>
      <w:r w:rsidRPr="00A47404">
        <w:rPr>
          <w:rFonts w:eastAsia="Calibri"/>
          <w:sz w:val="24"/>
        </w:rPr>
        <w:t xml:space="preserve">    2. Procedures for the Collection of Information.........................................</w:t>
      </w:r>
      <w:r w:rsidRPr="00A47404" w:rsidR="00231CE5">
        <w:rPr>
          <w:rFonts w:eastAsia="Calibri"/>
          <w:sz w:val="24"/>
        </w:rPr>
        <w:t xml:space="preserve">.............. </w:t>
      </w:r>
      <w:r w:rsidRPr="00A47404">
        <w:rPr>
          <w:rFonts w:eastAsia="Calibri"/>
          <w:sz w:val="24"/>
        </w:rPr>
        <w:t xml:space="preserve">3              </w:t>
      </w:r>
    </w:p>
    <w:p w:rsidRPr="00A47404" w:rsidR="0021329B" w:rsidP="0021329B" w:rsidRDefault="0021329B" w14:paraId="5FEB9935" w14:textId="0363C302">
      <w:pPr>
        <w:rPr>
          <w:rFonts w:eastAsia="Calibri"/>
          <w:sz w:val="24"/>
        </w:rPr>
      </w:pPr>
      <w:r w:rsidRPr="00A47404">
        <w:rPr>
          <w:rFonts w:eastAsia="Calibri"/>
          <w:sz w:val="24"/>
        </w:rPr>
        <w:t xml:space="preserve">    3. Methods to Maximize Response Rates and Deal with Nonresponse</w:t>
      </w:r>
      <w:r w:rsidRPr="00A47404" w:rsidR="00231CE5">
        <w:rPr>
          <w:rFonts w:eastAsia="Calibri"/>
          <w:sz w:val="24"/>
        </w:rPr>
        <w:t xml:space="preserve">................... </w:t>
      </w:r>
      <w:r w:rsidRPr="00A47404" w:rsidR="005A071F">
        <w:rPr>
          <w:rFonts w:eastAsia="Calibri"/>
          <w:sz w:val="24"/>
        </w:rPr>
        <w:t>6</w:t>
      </w:r>
      <w:r w:rsidRPr="00A47404" w:rsidR="00910D45">
        <w:rPr>
          <w:rFonts w:eastAsia="Calibri"/>
          <w:sz w:val="24"/>
        </w:rPr>
        <w:t xml:space="preserve">              </w:t>
      </w:r>
    </w:p>
    <w:p w:rsidRPr="00A47404" w:rsidR="0021329B" w:rsidP="0021329B" w:rsidRDefault="0021329B" w14:paraId="6C61754C" w14:textId="547D962E">
      <w:pPr>
        <w:rPr>
          <w:rFonts w:eastAsia="Calibri"/>
          <w:sz w:val="24"/>
        </w:rPr>
      </w:pPr>
      <w:r w:rsidRPr="00A47404">
        <w:rPr>
          <w:rFonts w:eastAsia="Calibri"/>
          <w:sz w:val="24"/>
        </w:rPr>
        <w:t xml:space="preserve">    4. Tests of Procedures or Methods to be Undertaken...............................</w:t>
      </w:r>
      <w:r w:rsidRPr="00A47404" w:rsidR="00AF18C8">
        <w:rPr>
          <w:rFonts w:eastAsia="Calibri"/>
          <w:sz w:val="24"/>
        </w:rPr>
        <w:t xml:space="preserve">................ </w:t>
      </w:r>
      <w:r w:rsidRPr="00A47404" w:rsidR="00123F01">
        <w:rPr>
          <w:rFonts w:eastAsia="Calibri"/>
          <w:sz w:val="24"/>
        </w:rPr>
        <w:t>7</w:t>
      </w:r>
      <w:r w:rsidRPr="00A47404" w:rsidR="00910D45">
        <w:rPr>
          <w:rFonts w:eastAsia="Calibri"/>
          <w:sz w:val="24"/>
        </w:rPr>
        <w:t xml:space="preserve">            </w:t>
      </w:r>
    </w:p>
    <w:p w:rsidRPr="00A47404" w:rsidR="0021329B" w:rsidP="0021329B" w:rsidRDefault="0021329B" w14:paraId="71DDC5CA" w14:textId="77777777">
      <w:pPr>
        <w:rPr>
          <w:rFonts w:eastAsia="Calibri"/>
          <w:sz w:val="24"/>
        </w:rPr>
      </w:pPr>
      <w:r w:rsidRPr="00A47404">
        <w:rPr>
          <w:rFonts w:eastAsia="Calibri"/>
          <w:sz w:val="24"/>
        </w:rPr>
        <w:t xml:space="preserve">    5. Individuals Consulted on Statistical Aspects and Individual Collecting </w:t>
      </w:r>
    </w:p>
    <w:p w:rsidRPr="00A47404" w:rsidR="0021329B" w:rsidP="0021329B" w:rsidRDefault="0021329B" w14:paraId="63F9C6D9" w14:textId="5B1C5963">
      <w:pPr>
        <w:rPr>
          <w:rFonts w:eastAsia="Calibri"/>
          <w:sz w:val="24"/>
        </w:rPr>
      </w:pPr>
      <w:r w:rsidRPr="00A47404">
        <w:rPr>
          <w:rFonts w:eastAsia="Calibri"/>
          <w:sz w:val="24"/>
        </w:rPr>
        <w:t xml:space="preserve">       and/or Analyzing Data...........................................................................................</w:t>
      </w:r>
      <w:r w:rsidRPr="00A47404" w:rsidR="006B1C2B">
        <w:rPr>
          <w:rFonts w:eastAsia="Calibri"/>
          <w:sz w:val="24"/>
        </w:rPr>
        <w:t xml:space="preserve"> </w:t>
      </w:r>
      <w:r w:rsidRPr="00A47404" w:rsidR="00123F01">
        <w:rPr>
          <w:rFonts w:eastAsia="Calibri"/>
          <w:sz w:val="24"/>
        </w:rPr>
        <w:t>8</w:t>
      </w:r>
      <w:r w:rsidRPr="00A47404">
        <w:rPr>
          <w:rFonts w:eastAsia="Calibri"/>
          <w:sz w:val="24"/>
        </w:rPr>
        <w:tab/>
      </w:r>
    </w:p>
    <w:p w:rsidRPr="00A47404" w:rsidR="0021329B" w:rsidP="0021329B" w:rsidRDefault="0021329B" w14:paraId="004E6567" w14:textId="77777777">
      <w:pPr>
        <w:rPr>
          <w:rFonts w:eastAsia="Calibri"/>
          <w:sz w:val="24"/>
        </w:rPr>
      </w:pPr>
    </w:p>
    <w:p w:rsidRPr="00A47404" w:rsidR="00BC4A27" w:rsidP="00BC4A27" w:rsidRDefault="00BC4A27" w14:paraId="6C39B86A" w14:textId="4445C3AC">
      <w:pPr>
        <w:rPr>
          <w:rFonts w:eastAsia="Calibri"/>
          <w:sz w:val="24"/>
        </w:rPr>
      </w:pPr>
      <w:r w:rsidRPr="00A47404">
        <w:rPr>
          <w:rFonts w:eastAsia="Calibri"/>
          <w:sz w:val="24"/>
        </w:rPr>
        <w:t>List of attachments:</w:t>
      </w:r>
    </w:p>
    <w:p w:rsidRPr="00A47404" w:rsidR="001C66BE" w:rsidP="001C66BE" w:rsidRDefault="001C66BE" w14:paraId="608D59EE" w14:textId="77777777">
      <w:pPr>
        <w:ind w:left="446"/>
        <w:rPr>
          <w:sz w:val="24"/>
        </w:rPr>
      </w:pPr>
      <w:r w:rsidRPr="00A47404">
        <w:rPr>
          <w:sz w:val="24"/>
        </w:rPr>
        <w:t>Attachment 1a—Response to Exams after Surveys</w:t>
      </w:r>
    </w:p>
    <w:p w:rsidRPr="00A47404" w:rsidR="001C66BE" w:rsidP="001C66BE" w:rsidRDefault="001C66BE" w14:paraId="29BFF6F9" w14:textId="77777777">
      <w:pPr>
        <w:ind w:left="446"/>
        <w:rPr>
          <w:sz w:val="24"/>
        </w:rPr>
      </w:pPr>
      <w:r w:rsidRPr="00A47404">
        <w:rPr>
          <w:sz w:val="24"/>
        </w:rPr>
        <w:t>Attachment 1b – COVID-19 Safety Precautions</w:t>
      </w:r>
    </w:p>
    <w:p w:rsidRPr="00A47404" w:rsidR="001C66BE" w:rsidP="001C66BE" w:rsidRDefault="001C66BE" w14:paraId="44727D6E" w14:textId="77777777">
      <w:pPr>
        <w:ind w:left="446"/>
        <w:rPr>
          <w:bCs/>
          <w:sz w:val="24"/>
        </w:rPr>
      </w:pPr>
      <w:r w:rsidRPr="00A47404">
        <w:rPr>
          <w:bCs/>
          <w:sz w:val="24"/>
        </w:rPr>
        <w:t>Attachment 1c – Invitation questions and associated help screen</w:t>
      </w:r>
    </w:p>
    <w:p w:rsidRPr="00A47404" w:rsidR="001C66BE" w:rsidP="001C66BE" w:rsidRDefault="001C66BE" w14:paraId="7742D008" w14:textId="77777777">
      <w:pPr>
        <w:ind w:left="446"/>
        <w:rPr>
          <w:bCs/>
          <w:sz w:val="24"/>
        </w:rPr>
      </w:pPr>
      <w:r w:rsidRPr="00A47404">
        <w:rPr>
          <w:bCs/>
          <w:sz w:val="24"/>
        </w:rPr>
        <w:t xml:space="preserve">Attachment 1d – Respondent Brochure </w:t>
      </w:r>
    </w:p>
    <w:p w:rsidRPr="00A47404" w:rsidR="001C66BE" w:rsidP="001C66BE" w:rsidRDefault="001C66BE" w14:paraId="5933B266" w14:textId="77777777">
      <w:pPr>
        <w:ind w:left="446"/>
        <w:rPr>
          <w:bCs/>
          <w:sz w:val="24"/>
        </w:rPr>
      </w:pPr>
      <w:r w:rsidRPr="00A47404">
        <w:rPr>
          <w:bCs/>
          <w:sz w:val="24"/>
        </w:rPr>
        <w:t>Attachment 1e – Appointment Scheduling and Reminders, including COVID-19 screening questions and preparation instructions</w:t>
      </w:r>
    </w:p>
    <w:p w:rsidRPr="00A47404" w:rsidR="001C66BE" w:rsidP="001C66BE" w:rsidRDefault="001C66BE" w14:paraId="2F4FD7AF" w14:textId="77777777">
      <w:pPr>
        <w:ind w:left="446"/>
        <w:rPr>
          <w:bCs/>
          <w:sz w:val="24"/>
        </w:rPr>
      </w:pPr>
      <w:r w:rsidRPr="00A47404">
        <w:rPr>
          <w:bCs/>
          <w:sz w:val="24"/>
        </w:rPr>
        <w:t>Attachment 1f – Respondent Conversion Letter and Brochure</w:t>
      </w:r>
    </w:p>
    <w:p w:rsidRPr="00A47404" w:rsidR="001C66BE" w:rsidP="001C66BE" w:rsidRDefault="001C66BE" w14:paraId="25122C3E" w14:textId="77777777">
      <w:pPr>
        <w:ind w:left="446"/>
        <w:rPr>
          <w:bCs/>
          <w:sz w:val="24"/>
        </w:rPr>
      </w:pPr>
      <w:r w:rsidRPr="00A47404">
        <w:rPr>
          <w:bCs/>
          <w:sz w:val="24"/>
        </w:rPr>
        <w:t>Attachment 1g – Measures and lab tests explanation handout</w:t>
      </w:r>
    </w:p>
    <w:p w:rsidRPr="00A47404" w:rsidR="001C66BE" w:rsidP="001C66BE" w:rsidRDefault="001C66BE" w14:paraId="45380DEE" w14:textId="77777777">
      <w:pPr>
        <w:ind w:left="446"/>
        <w:rPr>
          <w:bCs/>
          <w:sz w:val="24"/>
        </w:rPr>
      </w:pPr>
      <w:r w:rsidRPr="00A47404">
        <w:rPr>
          <w:bCs/>
          <w:sz w:val="24"/>
        </w:rPr>
        <w:t>Attachment 1h – Consent form</w:t>
      </w:r>
    </w:p>
    <w:p w:rsidRPr="00A47404" w:rsidR="001C66BE" w:rsidP="001C66BE" w:rsidRDefault="001C66BE" w14:paraId="127B4146" w14:textId="77777777">
      <w:pPr>
        <w:ind w:left="446"/>
        <w:rPr>
          <w:bCs/>
          <w:sz w:val="24"/>
        </w:rPr>
      </w:pPr>
      <w:r w:rsidRPr="00A47404">
        <w:rPr>
          <w:bCs/>
          <w:sz w:val="24"/>
        </w:rPr>
        <w:t>Attachment 1i – Home visit questions</w:t>
      </w:r>
    </w:p>
    <w:p w:rsidRPr="00A47404" w:rsidR="001C66BE" w:rsidP="001C66BE" w:rsidRDefault="001C66BE" w14:paraId="1D83DDCB" w14:textId="77777777">
      <w:pPr>
        <w:ind w:left="446"/>
        <w:rPr>
          <w:bCs/>
          <w:sz w:val="24"/>
        </w:rPr>
      </w:pPr>
      <w:r w:rsidRPr="00A47404">
        <w:rPr>
          <w:bCs/>
          <w:sz w:val="24"/>
        </w:rPr>
        <w:t>Attachment 1j – Initial report of findings</w:t>
      </w:r>
    </w:p>
    <w:p w:rsidRPr="00A47404" w:rsidR="001C66BE" w:rsidP="001C66BE" w:rsidRDefault="001C66BE" w14:paraId="66E07389" w14:textId="77777777">
      <w:pPr>
        <w:ind w:left="446"/>
        <w:rPr>
          <w:bCs/>
          <w:sz w:val="24"/>
        </w:rPr>
      </w:pPr>
      <w:r w:rsidRPr="00A47404">
        <w:rPr>
          <w:bCs/>
          <w:sz w:val="24"/>
        </w:rPr>
        <w:t>Attachment 1k – Final report of findings</w:t>
      </w:r>
    </w:p>
    <w:p w:rsidRPr="00A47404" w:rsidR="00C01338" w:rsidP="001C66BE" w:rsidRDefault="00C01338" w14:paraId="30107B4C" w14:textId="2EB00AB6">
      <w:pPr>
        <w:pStyle w:val="TOC2"/>
        <w:spacing w:after="0"/>
        <w:ind w:left="446"/>
        <w:rPr>
          <w:sz w:val="24"/>
        </w:rPr>
      </w:pPr>
      <w:bookmarkStart w:name="_Hlk59476446" w:id="1"/>
      <w:r w:rsidRPr="00A47404">
        <w:rPr>
          <w:color w:val="000000" w:themeColor="text1"/>
          <w:sz w:val="24"/>
        </w:rPr>
        <w:t xml:space="preserve">Attachment 2. NCHS Ethics Review Board (ERB) Approval </w:t>
      </w:r>
    </w:p>
    <w:bookmarkEnd w:id="1"/>
    <w:p w:rsidRPr="00A47404" w:rsidR="0021329B" w:rsidP="0021329B" w:rsidRDefault="0021329B" w14:paraId="7A17A20E" w14:textId="17432182">
      <w:pPr>
        <w:rPr>
          <w:b/>
          <w:bCs/>
          <w:sz w:val="24"/>
        </w:rPr>
      </w:pPr>
      <w:r w:rsidRPr="00A47404">
        <w:rPr>
          <w:i/>
          <w:sz w:val="24"/>
        </w:rPr>
        <w:br w:type="page"/>
      </w:r>
    </w:p>
    <w:p w:rsidRPr="00A47404" w:rsidR="004F6A0C" w:rsidP="00194444" w:rsidRDefault="004F6A0C" w14:paraId="5D770B19" w14:textId="77777777">
      <w:pPr>
        <w:jc w:val="center"/>
        <w:rPr>
          <w:color w:val="000000" w:themeColor="text1"/>
          <w:sz w:val="24"/>
        </w:rPr>
      </w:pPr>
      <w:r w:rsidRPr="00A47404">
        <w:rPr>
          <w:color w:val="000000" w:themeColor="text1"/>
          <w:sz w:val="24"/>
        </w:rPr>
        <w:lastRenderedPageBreak/>
        <w:t xml:space="preserve">Developmental Projects to Improve the National Health and Nutrition Examination Survey and Related NCHS Programs Generic Information Collection </w:t>
      </w:r>
    </w:p>
    <w:p w:rsidRPr="00A47404" w:rsidR="004F6A0C" w:rsidP="00194444" w:rsidRDefault="004F6A0C" w14:paraId="573292E2" w14:textId="3AF19706">
      <w:pPr>
        <w:jc w:val="center"/>
        <w:rPr>
          <w:color w:val="000000" w:themeColor="text1"/>
          <w:sz w:val="24"/>
        </w:rPr>
      </w:pPr>
      <w:r w:rsidRPr="00A47404">
        <w:rPr>
          <w:color w:val="000000" w:themeColor="text1"/>
          <w:sz w:val="24"/>
        </w:rPr>
        <w:t>(OMB No. 0920-1208, Exp. Date 08/31/2023)</w:t>
      </w:r>
    </w:p>
    <w:p w:rsidRPr="00A47404" w:rsidR="004F6A0C" w:rsidP="00194444" w:rsidRDefault="004F6A0C" w14:paraId="613B8BF5" w14:textId="77777777">
      <w:pPr>
        <w:jc w:val="center"/>
        <w:rPr>
          <w:color w:val="000000" w:themeColor="text1"/>
          <w:sz w:val="24"/>
        </w:rPr>
      </w:pPr>
    </w:p>
    <w:p w:rsidRPr="00A47404" w:rsidR="00194444" w:rsidP="00194444" w:rsidRDefault="00C11474" w14:paraId="78E9B598" w14:textId="7B1E20B4">
      <w:pPr>
        <w:jc w:val="center"/>
        <w:rPr>
          <w:color w:val="000000" w:themeColor="text1"/>
          <w:sz w:val="24"/>
        </w:rPr>
      </w:pPr>
      <w:r w:rsidRPr="00A47404">
        <w:rPr>
          <w:color w:val="000000" w:themeColor="text1"/>
          <w:sz w:val="24"/>
        </w:rPr>
        <w:t>National Health Interview Survey (NHIS) Follow-up Health Study</w:t>
      </w:r>
    </w:p>
    <w:p w:rsidRPr="00A47404" w:rsidR="00194444" w:rsidP="00194444" w:rsidRDefault="00194444" w14:paraId="38E87889" w14:textId="77777777">
      <w:pPr>
        <w:jc w:val="center"/>
        <w:rPr>
          <w:color w:val="000000" w:themeColor="text1"/>
          <w:sz w:val="24"/>
        </w:rPr>
      </w:pPr>
    </w:p>
    <w:p w:rsidRPr="00A47404" w:rsidR="00194444" w:rsidP="00194444" w:rsidRDefault="00194444" w14:paraId="49650466" w14:textId="77777777">
      <w:pPr>
        <w:jc w:val="center"/>
        <w:rPr>
          <w:bCs/>
          <w:sz w:val="24"/>
        </w:rPr>
      </w:pPr>
      <w:r w:rsidRPr="00A47404">
        <w:rPr>
          <w:bCs/>
          <w:sz w:val="24"/>
        </w:rPr>
        <w:t xml:space="preserve">Supporting Statement B </w:t>
      </w:r>
    </w:p>
    <w:p w:rsidRPr="00A47404" w:rsidR="00BC4A27" w:rsidP="00910D45" w:rsidRDefault="00BC4A27" w14:paraId="36565DB0" w14:textId="77777777">
      <w:pPr>
        <w:rPr>
          <w:b/>
          <w:bCs/>
          <w:sz w:val="24"/>
        </w:rPr>
      </w:pPr>
    </w:p>
    <w:bookmarkEnd w:id="0"/>
    <w:p w:rsidRPr="00A47404" w:rsidR="00F72BAD" w:rsidP="004262B9" w:rsidRDefault="00F72BAD" w14:paraId="4F346F76" w14:textId="77777777">
      <w:pPr>
        <w:pStyle w:val="Heading2"/>
        <w:ind w:hanging="2880"/>
        <w:rPr>
          <w:b w:val="0"/>
        </w:rPr>
      </w:pPr>
    </w:p>
    <w:p w:rsidRPr="00A47404" w:rsidR="00F72BAD" w:rsidP="00910D45" w:rsidRDefault="00F72BAD" w14:paraId="29A4D989" w14:textId="17D1E6E7">
      <w:pPr>
        <w:pStyle w:val="Heading2"/>
        <w:numPr>
          <w:ilvl w:val="0"/>
          <w:numId w:val="8"/>
        </w:numPr>
        <w:tabs>
          <w:tab w:val="clear" w:pos="720"/>
          <w:tab w:val="left" w:pos="360"/>
        </w:tabs>
        <w:ind w:hanging="720"/>
        <w:rPr>
          <w:b w:val="0"/>
        </w:rPr>
      </w:pPr>
      <w:bookmarkStart w:name="_Toc172096615" w:id="2"/>
      <w:r w:rsidRPr="00A47404">
        <w:rPr>
          <w:b w:val="0"/>
        </w:rPr>
        <w:t>Respondent Universe and Sampling Methods</w:t>
      </w:r>
      <w:bookmarkEnd w:id="2"/>
    </w:p>
    <w:p w:rsidRPr="00A47404" w:rsidR="004C430A" w:rsidP="00910D45" w:rsidRDefault="004C430A" w14:paraId="23810A71" w14:textId="77777777">
      <w:pPr>
        <w:rPr>
          <w:sz w:val="24"/>
        </w:rPr>
      </w:pPr>
    </w:p>
    <w:p w:rsidRPr="00A47404" w:rsidR="00922A87" w:rsidP="00B65AEA" w:rsidRDefault="00194444" w14:paraId="1C4AD4A0" w14:textId="52C64CE6">
      <w:pPr>
        <w:spacing w:line="276" w:lineRule="auto"/>
        <w:rPr>
          <w:color w:val="000000"/>
          <w:sz w:val="24"/>
        </w:rPr>
      </w:pPr>
      <w:r w:rsidRPr="00A47404">
        <w:rPr>
          <w:color w:val="000000"/>
          <w:sz w:val="24"/>
        </w:rPr>
        <w:t>The National Health Interview Survey (NHIS) (</w:t>
      </w:r>
      <w:r w:rsidRPr="00A47404" w:rsidR="00FE3DFC">
        <w:rPr>
          <w:sz w:val="24"/>
        </w:rPr>
        <w:t>OMB No. 0920-0214, Exp Date 12/31/2023</w:t>
      </w:r>
      <w:r w:rsidRPr="00A47404">
        <w:rPr>
          <w:color w:val="000000"/>
          <w:sz w:val="24"/>
        </w:rPr>
        <w:t xml:space="preserve">) is a continuous annual survey of the non-institutionalized, civilian population of the United States. Each single year and any combination of consecutive years comprise a nationally representative sample of the U.S. population. NHIS collects survey data from one adult age 18 and older (the Sample Adult) and about one child, if </w:t>
      </w:r>
      <w:r w:rsidRPr="00A47404" w:rsidR="00762B74">
        <w:rPr>
          <w:color w:val="000000"/>
          <w:sz w:val="24"/>
        </w:rPr>
        <w:t xml:space="preserve">applicable, per household. </w:t>
      </w:r>
      <w:r w:rsidRPr="00A47404" w:rsidR="00C93AC1">
        <w:rPr>
          <w:color w:val="000000"/>
          <w:sz w:val="24"/>
        </w:rPr>
        <w:t xml:space="preserve">  I</w:t>
      </w:r>
      <w:r w:rsidRPr="00A47404" w:rsidR="00922A87">
        <w:rPr>
          <w:color w:val="000000"/>
          <w:sz w:val="24"/>
        </w:rPr>
        <w:t>n 2019, data were collected from over 32,000 Sample Adults</w:t>
      </w:r>
      <w:r w:rsidRPr="00A47404" w:rsidR="00C93AC1">
        <w:rPr>
          <w:color w:val="000000"/>
          <w:sz w:val="24"/>
        </w:rPr>
        <w:t xml:space="preserve">. </w:t>
      </w:r>
    </w:p>
    <w:p w:rsidRPr="00A47404" w:rsidR="006C2B20" w:rsidP="00B65AEA" w:rsidRDefault="006C2B20" w14:paraId="137CEAD7" w14:textId="40CA83E1">
      <w:pPr>
        <w:spacing w:before="240" w:after="120" w:line="276" w:lineRule="auto"/>
        <w:rPr>
          <w:sz w:val="24"/>
        </w:rPr>
      </w:pPr>
      <w:r w:rsidRPr="00A47404">
        <w:rPr>
          <w:sz w:val="24"/>
        </w:rPr>
        <w:t>Th</w:t>
      </w:r>
      <w:r w:rsidRPr="00A47404" w:rsidR="0023304D">
        <w:rPr>
          <w:sz w:val="24"/>
        </w:rPr>
        <w:t xml:space="preserve">is </w:t>
      </w:r>
      <w:r w:rsidRPr="00A47404">
        <w:rPr>
          <w:sz w:val="24"/>
        </w:rPr>
        <w:t xml:space="preserve">project </w:t>
      </w:r>
      <w:r w:rsidRPr="00A47404" w:rsidR="00453E51">
        <w:rPr>
          <w:sz w:val="24"/>
        </w:rPr>
        <w:t>proposes to</w:t>
      </w:r>
      <w:r w:rsidRPr="00A47404">
        <w:rPr>
          <w:sz w:val="24"/>
        </w:rPr>
        <w:t xml:space="preserve"> invite </w:t>
      </w:r>
      <w:r w:rsidRPr="00A47404" w:rsidR="00AA02D9">
        <w:rPr>
          <w:sz w:val="24"/>
        </w:rPr>
        <w:t>adults</w:t>
      </w:r>
      <w:r w:rsidRPr="00A47404">
        <w:rPr>
          <w:sz w:val="24"/>
        </w:rPr>
        <w:t xml:space="preserve"> from </w:t>
      </w:r>
      <w:bookmarkStart w:name="_Hlk57716122" w:id="3"/>
      <w:r w:rsidRPr="00A47404" w:rsidR="005E7FE8">
        <w:rPr>
          <w:sz w:val="24"/>
        </w:rPr>
        <w:t xml:space="preserve">a convenience sample of </w:t>
      </w:r>
      <w:r w:rsidRPr="00A47404" w:rsidR="00AA02D9">
        <w:rPr>
          <w:sz w:val="24"/>
        </w:rPr>
        <w:t xml:space="preserve">2021 NHIS households </w:t>
      </w:r>
      <w:r w:rsidRPr="00A47404" w:rsidR="005E7FE8">
        <w:rPr>
          <w:sz w:val="24"/>
        </w:rPr>
        <w:t xml:space="preserve">in </w:t>
      </w:r>
      <w:r w:rsidRPr="00A47404">
        <w:rPr>
          <w:sz w:val="24"/>
        </w:rPr>
        <w:t>selected geographic areas in 9 states</w:t>
      </w:r>
      <w:bookmarkEnd w:id="3"/>
      <w:r w:rsidRPr="00A47404">
        <w:rPr>
          <w:sz w:val="24"/>
        </w:rPr>
        <w:t xml:space="preserve"> to </w:t>
      </w:r>
      <w:r w:rsidRPr="00A47404" w:rsidR="005E7FE8">
        <w:rPr>
          <w:sz w:val="24"/>
        </w:rPr>
        <w:t>participate</w:t>
      </w:r>
      <w:r w:rsidRPr="00A47404">
        <w:rPr>
          <w:sz w:val="24"/>
        </w:rPr>
        <w:t xml:space="preserve">.  These areas have been selected </w:t>
      </w:r>
      <w:bookmarkStart w:name="_Hlk57716134" w:id="4"/>
      <w:r w:rsidRPr="00A47404">
        <w:rPr>
          <w:sz w:val="24"/>
        </w:rPr>
        <w:t>with the goal of achieving sample dispersion among urban and rural areas.</w:t>
      </w:r>
      <w:bookmarkEnd w:id="4"/>
      <w:r w:rsidRPr="00A47404">
        <w:rPr>
          <w:sz w:val="24"/>
        </w:rPr>
        <w:t xml:space="preserve"> </w:t>
      </w:r>
      <w:bookmarkStart w:name="_Hlk57716166" w:id="5"/>
      <w:r w:rsidRPr="00A47404">
        <w:rPr>
          <w:sz w:val="24"/>
        </w:rPr>
        <w:t>This pilot study has been limited to a small number of states to</w:t>
      </w:r>
      <w:r w:rsidRPr="00A47404" w:rsidR="00AA02D9">
        <w:rPr>
          <w:sz w:val="24"/>
        </w:rPr>
        <w:t xml:space="preserve"> ensure an efficient use of</w:t>
      </w:r>
      <w:r w:rsidRPr="00A47404">
        <w:rPr>
          <w:sz w:val="24"/>
        </w:rPr>
        <w:t xml:space="preserve"> </w:t>
      </w:r>
      <w:r w:rsidRPr="00A47404" w:rsidR="00AA02D9">
        <w:rPr>
          <w:sz w:val="24"/>
        </w:rPr>
        <w:t>resources</w:t>
      </w:r>
      <w:r w:rsidRPr="00A47404">
        <w:rPr>
          <w:sz w:val="24"/>
        </w:rPr>
        <w:t xml:space="preserve">. </w:t>
      </w:r>
      <w:bookmarkEnd w:id="5"/>
      <w:r w:rsidRPr="00A47404">
        <w:rPr>
          <w:sz w:val="24"/>
        </w:rPr>
        <w:t>We will recruit until 900 NHIS Sample Adults agree to be contacted</w:t>
      </w:r>
      <w:r w:rsidRPr="00A47404" w:rsidR="005E7FE8">
        <w:rPr>
          <w:sz w:val="24"/>
        </w:rPr>
        <w:t xml:space="preserve"> to schedule an appointment</w:t>
      </w:r>
      <w:r w:rsidRPr="00A47404">
        <w:rPr>
          <w:sz w:val="24"/>
        </w:rPr>
        <w:t xml:space="preserve">. NHIS Sample Adults who did not respond for themselves or did not complete the NHIS </w:t>
      </w:r>
      <w:r w:rsidRPr="00A47404" w:rsidR="005E7FE8">
        <w:rPr>
          <w:sz w:val="24"/>
        </w:rPr>
        <w:t xml:space="preserve">entirely </w:t>
      </w:r>
      <w:r w:rsidRPr="00A47404">
        <w:rPr>
          <w:sz w:val="24"/>
        </w:rPr>
        <w:t xml:space="preserve">in English, will not be eligible for this pilot study. Additional exclusion criteria for specific components of the health exam are specified in the </w:t>
      </w:r>
      <w:r w:rsidRPr="00A47404" w:rsidR="00FF40D0">
        <w:rPr>
          <w:sz w:val="24"/>
        </w:rPr>
        <w:t>Home Visit Questions</w:t>
      </w:r>
      <w:r w:rsidRPr="00A47404">
        <w:rPr>
          <w:sz w:val="24"/>
        </w:rPr>
        <w:t xml:space="preserve"> (Attachment </w:t>
      </w:r>
      <w:r w:rsidRPr="00A47404" w:rsidR="00020EBE">
        <w:rPr>
          <w:sz w:val="24"/>
        </w:rPr>
        <w:t>1</w:t>
      </w:r>
      <w:r w:rsidRPr="00A47404" w:rsidR="00FF40D0">
        <w:rPr>
          <w:sz w:val="24"/>
        </w:rPr>
        <w:t>j</w:t>
      </w:r>
      <w:r w:rsidRPr="00A47404">
        <w:rPr>
          <w:sz w:val="24"/>
        </w:rPr>
        <w:t>).</w:t>
      </w:r>
    </w:p>
    <w:p w:rsidRPr="00A47404" w:rsidR="00C2519B" w:rsidP="004262B9" w:rsidRDefault="00C2519B" w14:paraId="1C77F836" w14:textId="77777777">
      <w:pPr>
        <w:rPr>
          <w:sz w:val="24"/>
        </w:rPr>
      </w:pPr>
    </w:p>
    <w:p w:rsidRPr="00A47404" w:rsidR="00F72BAD" w:rsidP="004262B9" w:rsidRDefault="00F72BAD" w14:paraId="4179E065" w14:textId="15776EB3">
      <w:pPr>
        <w:pStyle w:val="Heading2"/>
        <w:ind w:hanging="2880"/>
        <w:rPr>
          <w:b w:val="0"/>
        </w:rPr>
      </w:pPr>
      <w:bookmarkStart w:name="_Toc172096616" w:id="6"/>
      <w:r w:rsidRPr="00A47404">
        <w:rPr>
          <w:b w:val="0"/>
        </w:rPr>
        <w:t>2.  Procedures for the collection of information</w:t>
      </w:r>
      <w:bookmarkEnd w:id="6"/>
    </w:p>
    <w:p w:rsidRPr="00A47404" w:rsidR="005018FB" w:rsidP="00530284" w:rsidRDefault="005018FB" w14:paraId="7BA2660B" w14:textId="77777777">
      <w:pPr>
        <w:rPr>
          <w:sz w:val="24"/>
        </w:rPr>
      </w:pPr>
    </w:p>
    <w:p w:rsidR="00CF4DFC" w:rsidP="00CF4DFC" w:rsidRDefault="00CF4DFC" w14:paraId="7E896279" w14:textId="4B5C005E">
      <w:pPr>
        <w:rPr>
          <w:i/>
          <w:iCs/>
          <w:sz w:val="24"/>
        </w:rPr>
      </w:pPr>
      <w:r w:rsidRPr="00A47404">
        <w:rPr>
          <w:i/>
          <w:iCs/>
          <w:sz w:val="24"/>
        </w:rPr>
        <w:t>Invitation to participate</w:t>
      </w:r>
    </w:p>
    <w:p w:rsidRPr="00A47404" w:rsidR="00B65AEA" w:rsidP="00CF4DFC" w:rsidRDefault="00B65AEA" w14:paraId="238705A5" w14:textId="77777777">
      <w:pPr>
        <w:rPr>
          <w:i/>
          <w:iCs/>
          <w:sz w:val="24"/>
        </w:rPr>
      </w:pPr>
    </w:p>
    <w:p w:rsidRPr="00A47404" w:rsidR="008758AE" w:rsidP="00B65AEA" w:rsidRDefault="008F08B2" w14:paraId="302DD37C" w14:textId="44153B1F">
      <w:pPr>
        <w:rPr>
          <w:sz w:val="24"/>
        </w:rPr>
      </w:pPr>
      <w:r w:rsidRPr="00A47404">
        <w:rPr>
          <w:sz w:val="24"/>
        </w:rPr>
        <w:t xml:space="preserve">At the end of the NHIS interview, in households selected for </w:t>
      </w:r>
      <w:r w:rsidRPr="00A47404" w:rsidR="0023304D">
        <w:rPr>
          <w:sz w:val="24"/>
        </w:rPr>
        <w:t>this study</w:t>
      </w:r>
      <w:r w:rsidRPr="00A47404">
        <w:rPr>
          <w:sz w:val="24"/>
        </w:rPr>
        <w:t xml:space="preserve">, the interviewer will describe the study and invite the Sample Adult to participate. Specifically, the interviewer will request permission to give the Sample Adult’s contact information to the </w:t>
      </w:r>
      <w:r w:rsidRPr="00A47404" w:rsidR="000138F9">
        <w:rPr>
          <w:sz w:val="24"/>
        </w:rPr>
        <w:t xml:space="preserve">project staff </w:t>
      </w:r>
      <w:r w:rsidRPr="00A47404">
        <w:rPr>
          <w:sz w:val="24"/>
        </w:rPr>
        <w:t>scheduling the appointments and collecting the data for</w:t>
      </w:r>
      <w:r w:rsidRPr="00A47404" w:rsidR="0023304D">
        <w:rPr>
          <w:sz w:val="24"/>
        </w:rPr>
        <w:t xml:space="preserve"> the study</w:t>
      </w:r>
      <w:r w:rsidRPr="00A47404" w:rsidR="005B64C7">
        <w:rPr>
          <w:sz w:val="24"/>
        </w:rPr>
        <w:t xml:space="preserve">; respondents who refuse will be asked why </w:t>
      </w:r>
      <w:r w:rsidRPr="00A47404">
        <w:rPr>
          <w:sz w:val="24"/>
        </w:rPr>
        <w:t>(Attachment 1</w:t>
      </w:r>
      <w:r w:rsidRPr="00A47404" w:rsidR="005C7AE4">
        <w:rPr>
          <w:sz w:val="24"/>
        </w:rPr>
        <w:t>c</w:t>
      </w:r>
      <w:r w:rsidRPr="00A47404">
        <w:rPr>
          <w:sz w:val="24"/>
        </w:rPr>
        <w:t xml:space="preserve">). If the NHIS interview is in person, the </w:t>
      </w:r>
      <w:r w:rsidRPr="00A47404" w:rsidR="00415E7F">
        <w:rPr>
          <w:sz w:val="24"/>
        </w:rPr>
        <w:t>Field Representative (</w:t>
      </w:r>
      <w:r w:rsidRPr="00A47404">
        <w:rPr>
          <w:sz w:val="24"/>
        </w:rPr>
        <w:t>FR</w:t>
      </w:r>
      <w:r w:rsidRPr="00A47404" w:rsidR="00415E7F">
        <w:rPr>
          <w:sz w:val="24"/>
        </w:rPr>
        <w:t>)</w:t>
      </w:r>
      <w:r w:rsidRPr="00A47404">
        <w:rPr>
          <w:sz w:val="24"/>
        </w:rPr>
        <w:t xml:space="preserve"> will offer the Sample Adult a copy of the brochure during this process (Attachment 1</w:t>
      </w:r>
      <w:r w:rsidRPr="00A47404" w:rsidR="005C7AE4">
        <w:rPr>
          <w:sz w:val="24"/>
        </w:rPr>
        <w:t>d</w:t>
      </w:r>
      <w:r w:rsidRPr="00A47404">
        <w:rPr>
          <w:sz w:val="24"/>
        </w:rPr>
        <w:t>). If the NHIS interview is over the phone, the FR will mail the brochure to Sample Adults who agree to be contacted.</w:t>
      </w:r>
    </w:p>
    <w:p w:rsidRPr="00A47404" w:rsidR="008F08B2" w:rsidP="00BD3884" w:rsidRDefault="00CF4DFC" w14:paraId="7607ECE3" w14:textId="1E1CB534">
      <w:pPr>
        <w:spacing w:before="240" w:line="360" w:lineRule="auto"/>
        <w:rPr>
          <w:i/>
          <w:iCs/>
          <w:sz w:val="24"/>
        </w:rPr>
      </w:pPr>
      <w:r w:rsidRPr="00A47404">
        <w:rPr>
          <w:i/>
          <w:iCs/>
          <w:sz w:val="24"/>
        </w:rPr>
        <w:t>Scheduling</w:t>
      </w:r>
    </w:p>
    <w:p w:rsidRPr="00A47404" w:rsidR="002F1476" w:rsidP="00C644AD" w:rsidRDefault="008F08B2" w14:paraId="308CCDE1" w14:textId="2E46DB37">
      <w:pPr>
        <w:rPr>
          <w:sz w:val="24"/>
        </w:rPr>
      </w:pPr>
      <w:r w:rsidRPr="00A47404">
        <w:rPr>
          <w:sz w:val="24"/>
        </w:rPr>
        <w:lastRenderedPageBreak/>
        <w:t xml:space="preserve">If the Sample Adult agrees to be contacted, and provides at least a phone number (providing an email address and permission to text is optional), then </w:t>
      </w:r>
      <w:r w:rsidRPr="00A47404" w:rsidR="005B64C7">
        <w:rPr>
          <w:sz w:val="24"/>
        </w:rPr>
        <w:t xml:space="preserve">project </w:t>
      </w:r>
      <w:r w:rsidRPr="00A47404" w:rsidR="002F1476">
        <w:rPr>
          <w:sz w:val="24"/>
        </w:rPr>
        <w:t>staff will use a multi-mode approach, which includes phone calls, emails, and texts to schedule the appointment (</w:t>
      </w:r>
      <w:r w:rsidRPr="00A47404" w:rsidR="005C7AE4">
        <w:rPr>
          <w:sz w:val="24"/>
        </w:rPr>
        <w:t>Attachment</w:t>
      </w:r>
      <w:r w:rsidRPr="00A47404" w:rsidR="002F1476">
        <w:rPr>
          <w:sz w:val="24"/>
        </w:rPr>
        <w:t xml:space="preserve"> 1</w:t>
      </w:r>
      <w:r w:rsidRPr="00A47404" w:rsidR="005C7AE4">
        <w:rPr>
          <w:sz w:val="24"/>
        </w:rPr>
        <w:t>e</w:t>
      </w:r>
      <w:r w:rsidRPr="00A47404" w:rsidR="002F1476">
        <w:rPr>
          <w:sz w:val="24"/>
        </w:rPr>
        <w:t xml:space="preserve">). If </w:t>
      </w:r>
      <w:r w:rsidRPr="00A47404" w:rsidR="005B64C7">
        <w:rPr>
          <w:sz w:val="24"/>
        </w:rPr>
        <w:t xml:space="preserve">project </w:t>
      </w:r>
      <w:r w:rsidRPr="00A47404" w:rsidR="002F1476">
        <w:rPr>
          <w:sz w:val="24"/>
        </w:rPr>
        <w:t>staff are unable to reach the respondent by those methods, they will mail a letter and brochure asking respondents to contact the central scheduling number. (Attachments 1</w:t>
      </w:r>
      <w:r w:rsidRPr="00A47404" w:rsidR="005C7AE4">
        <w:rPr>
          <w:sz w:val="24"/>
        </w:rPr>
        <w:t>f</w:t>
      </w:r>
      <w:r w:rsidRPr="00A47404" w:rsidR="002F1476">
        <w:rPr>
          <w:sz w:val="24"/>
        </w:rPr>
        <w:t>).</w:t>
      </w:r>
    </w:p>
    <w:p w:rsidRPr="00A47404" w:rsidR="002F1476" w:rsidP="00C644AD" w:rsidRDefault="002F1476" w14:paraId="59F1F2C9" w14:textId="5F7348E8">
      <w:pPr>
        <w:spacing w:before="240" w:after="120"/>
        <w:rPr>
          <w:sz w:val="24"/>
        </w:rPr>
      </w:pPr>
      <w:r w:rsidRPr="00A47404">
        <w:rPr>
          <w:sz w:val="24"/>
        </w:rPr>
        <w:t xml:space="preserve">Once contact </w:t>
      </w:r>
      <w:r w:rsidRPr="00A47404" w:rsidR="00FE7A54">
        <w:rPr>
          <w:sz w:val="24"/>
        </w:rPr>
        <w:t xml:space="preserve">is made with the respondent </w:t>
      </w:r>
      <w:r w:rsidRPr="00A47404">
        <w:rPr>
          <w:sz w:val="24"/>
        </w:rPr>
        <w:t xml:space="preserve">via phone, </w:t>
      </w:r>
      <w:r w:rsidRPr="00A47404" w:rsidR="00FE7A54">
        <w:rPr>
          <w:sz w:val="24"/>
        </w:rPr>
        <w:t xml:space="preserve">the </w:t>
      </w:r>
      <w:r w:rsidRPr="00A47404" w:rsidR="005B64C7">
        <w:rPr>
          <w:sz w:val="24"/>
        </w:rPr>
        <w:t>staff</w:t>
      </w:r>
      <w:r w:rsidRPr="00A47404" w:rsidR="00FE7A54">
        <w:rPr>
          <w:sz w:val="24"/>
        </w:rPr>
        <w:t xml:space="preserve"> </w:t>
      </w:r>
      <w:r w:rsidRPr="00A47404">
        <w:rPr>
          <w:sz w:val="24"/>
        </w:rPr>
        <w:t xml:space="preserve">will </w:t>
      </w:r>
      <w:r w:rsidRPr="00A47404" w:rsidR="00B54ECB">
        <w:rPr>
          <w:sz w:val="24"/>
        </w:rPr>
        <w:t xml:space="preserve">record and respond appropriately to </w:t>
      </w:r>
      <w:r w:rsidRPr="00A47404">
        <w:rPr>
          <w:sz w:val="24"/>
        </w:rPr>
        <w:t>any participant questions</w:t>
      </w:r>
      <w:r w:rsidRPr="00A47404" w:rsidR="00B54ECB">
        <w:rPr>
          <w:sz w:val="24"/>
        </w:rPr>
        <w:t>, concerns and reasons for refusal. They will</w:t>
      </w:r>
      <w:r w:rsidRPr="00A47404">
        <w:rPr>
          <w:sz w:val="24"/>
        </w:rPr>
        <w:t xml:space="preserve"> then screen the respondent</w:t>
      </w:r>
      <w:r w:rsidRPr="00A47404" w:rsidR="00B54ECB">
        <w:rPr>
          <w:sz w:val="24"/>
        </w:rPr>
        <w:t>s who agree to participate</w:t>
      </w:r>
      <w:r w:rsidRPr="00A47404">
        <w:rPr>
          <w:sz w:val="24"/>
        </w:rPr>
        <w:t xml:space="preserve"> for COVID-19 risk using the CDC-recommended COVID screening questions</w:t>
      </w:r>
      <w:r w:rsidRPr="00A47404" w:rsidR="006D70FA">
        <w:rPr>
          <w:sz w:val="24"/>
        </w:rPr>
        <w:t xml:space="preserve"> and schedule accordingly</w:t>
      </w:r>
      <w:r w:rsidRPr="00A47404">
        <w:rPr>
          <w:sz w:val="24"/>
        </w:rPr>
        <w:t xml:space="preserve"> (Attachment 1</w:t>
      </w:r>
      <w:r w:rsidRPr="00A47404" w:rsidR="005C7AE4">
        <w:rPr>
          <w:sz w:val="24"/>
        </w:rPr>
        <w:t>e</w:t>
      </w:r>
      <w:r w:rsidRPr="00A47404" w:rsidR="006D70FA">
        <w:rPr>
          <w:sz w:val="24"/>
        </w:rPr>
        <w:t xml:space="preserve">).  </w:t>
      </w:r>
      <w:r w:rsidRPr="00A47404">
        <w:rPr>
          <w:sz w:val="24"/>
        </w:rPr>
        <w:t xml:space="preserve">The </w:t>
      </w:r>
      <w:r w:rsidRPr="00A47404" w:rsidR="005B64C7">
        <w:rPr>
          <w:sz w:val="24"/>
        </w:rPr>
        <w:t>project staff</w:t>
      </w:r>
      <w:r w:rsidRPr="00A47404">
        <w:rPr>
          <w:sz w:val="24"/>
        </w:rPr>
        <w:t xml:space="preserve"> will also provide instructions about what to do to prepare for the visit (Attachment 1</w:t>
      </w:r>
      <w:r w:rsidRPr="00A47404" w:rsidR="005C7AE4">
        <w:rPr>
          <w:sz w:val="24"/>
        </w:rPr>
        <w:t>e</w:t>
      </w:r>
      <w:r w:rsidRPr="00A47404">
        <w:rPr>
          <w:sz w:val="24"/>
        </w:rPr>
        <w:t xml:space="preserve">). Finally, the </w:t>
      </w:r>
      <w:r w:rsidRPr="00A47404" w:rsidR="005B64C7">
        <w:rPr>
          <w:sz w:val="24"/>
        </w:rPr>
        <w:t xml:space="preserve">project </w:t>
      </w:r>
      <w:r w:rsidRPr="00A47404">
        <w:rPr>
          <w:sz w:val="24"/>
        </w:rPr>
        <w:t>staff</w:t>
      </w:r>
      <w:r w:rsidRPr="00A47404" w:rsidR="00082D07">
        <w:rPr>
          <w:sz w:val="24"/>
        </w:rPr>
        <w:t xml:space="preserve"> </w:t>
      </w:r>
      <w:r w:rsidRPr="00A47404">
        <w:rPr>
          <w:sz w:val="24"/>
        </w:rPr>
        <w:t>will ask how (phone/text/email) the respondent would prefer to receive the appointment reminder.</w:t>
      </w:r>
    </w:p>
    <w:p w:rsidRPr="00A47404" w:rsidR="002F1476" w:rsidP="00C644AD" w:rsidRDefault="005B64C7" w14:paraId="31FBF032" w14:textId="56D01324">
      <w:pPr>
        <w:spacing w:before="240" w:after="120"/>
        <w:rPr>
          <w:sz w:val="24"/>
        </w:rPr>
      </w:pPr>
      <w:r w:rsidRPr="00A47404">
        <w:rPr>
          <w:sz w:val="24"/>
        </w:rPr>
        <w:t xml:space="preserve">Project </w:t>
      </w:r>
      <w:r w:rsidRPr="00A47404" w:rsidR="002F1476">
        <w:rPr>
          <w:sz w:val="24"/>
        </w:rPr>
        <w:t>staff will send the reminder approximately 24 hours prior to respondents’ appointment (see Attachment 1</w:t>
      </w:r>
      <w:r w:rsidRPr="00A47404" w:rsidR="005C7AE4">
        <w:rPr>
          <w:sz w:val="24"/>
        </w:rPr>
        <w:t>e</w:t>
      </w:r>
      <w:r w:rsidRPr="00A47404" w:rsidR="002F1476">
        <w:rPr>
          <w:sz w:val="24"/>
        </w:rPr>
        <w:t xml:space="preserve">).  If the </w:t>
      </w:r>
      <w:r w:rsidRPr="00A47404" w:rsidR="0056219D">
        <w:rPr>
          <w:sz w:val="24"/>
        </w:rPr>
        <w:t>health representative</w:t>
      </w:r>
      <w:r w:rsidRPr="00A47404" w:rsidR="002F1476">
        <w:rPr>
          <w:sz w:val="24"/>
        </w:rPr>
        <w:t xml:space="preserve"> can reach the respondent by phone, s/he will reiterate the COVID screening questions</w:t>
      </w:r>
      <w:r w:rsidRPr="00A47404" w:rsidR="006D70FA">
        <w:rPr>
          <w:sz w:val="24"/>
        </w:rPr>
        <w:t xml:space="preserve"> and reschedule if necessary</w:t>
      </w:r>
      <w:r w:rsidRPr="00A47404" w:rsidR="002F1476">
        <w:rPr>
          <w:sz w:val="24"/>
        </w:rPr>
        <w:t xml:space="preserve"> (Attachment 1</w:t>
      </w:r>
      <w:r w:rsidRPr="00A47404" w:rsidR="005C7AE4">
        <w:rPr>
          <w:sz w:val="24"/>
        </w:rPr>
        <w:t>e</w:t>
      </w:r>
      <w:r w:rsidRPr="00A47404" w:rsidR="002F1476">
        <w:rPr>
          <w:sz w:val="24"/>
        </w:rPr>
        <w:t xml:space="preserve">). </w:t>
      </w:r>
    </w:p>
    <w:p w:rsidRPr="00A47404" w:rsidR="00CF4DFC" w:rsidP="00CF4DFC" w:rsidRDefault="002F1476" w14:paraId="13AEE8F9" w14:textId="4C006460">
      <w:pPr>
        <w:rPr>
          <w:i/>
          <w:iCs/>
          <w:sz w:val="24"/>
        </w:rPr>
      </w:pPr>
      <w:r w:rsidRPr="00A47404">
        <w:rPr>
          <w:i/>
          <w:iCs/>
          <w:sz w:val="24"/>
        </w:rPr>
        <w:t>S</w:t>
      </w:r>
      <w:r w:rsidRPr="00A47404" w:rsidR="00CF4DFC">
        <w:rPr>
          <w:i/>
          <w:iCs/>
          <w:sz w:val="24"/>
        </w:rPr>
        <w:t>creening, identification verification, and consent</w:t>
      </w:r>
    </w:p>
    <w:p w:rsidR="00C644AD" w:rsidP="00C644AD" w:rsidRDefault="00C644AD" w14:paraId="77E573C6" w14:textId="77777777">
      <w:pPr>
        <w:rPr>
          <w:sz w:val="24"/>
        </w:rPr>
      </w:pPr>
    </w:p>
    <w:p w:rsidR="00CF4DFC" w:rsidP="00C644AD" w:rsidRDefault="006D70FA" w14:paraId="16C2FD7D" w14:textId="3D318276">
      <w:pPr>
        <w:rPr>
          <w:sz w:val="24"/>
        </w:rPr>
      </w:pPr>
      <w:r w:rsidRPr="00A47404">
        <w:rPr>
          <w:sz w:val="24"/>
        </w:rPr>
        <w:t xml:space="preserve">On the day of the scheduled visit, the health representative will visit the respondent’s home, after following the COVID-19 safety protocols described in Attachment 1b Part </w:t>
      </w:r>
      <w:r w:rsidRPr="00A47404" w:rsidR="005C7AE4">
        <w:rPr>
          <w:sz w:val="24"/>
        </w:rPr>
        <w:t>2</w:t>
      </w:r>
      <w:r w:rsidRPr="00A47404">
        <w:rPr>
          <w:sz w:val="24"/>
        </w:rPr>
        <w:t>. I</w:t>
      </w:r>
      <w:r w:rsidRPr="00A47404" w:rsidR="00CF4DFC">
        <w:rPr>
          <w:sz w:val="24"/>
        </w:rPr>
        <w:t xml:space="preserve">f someone answers the door, then the </w:t>
      </w:r>
      <w:r w:rsidRPr="00A47404" w:rsidR="0056219D">
        <w:rPr>
          <w:sz w:val="24"/>
        </w:rPr>
        <w:t>health representative</w:t>
      </w:r>
      <w:r w:rsidRPr="00A47404" w:rsidR="00CF4DFC">
        <w:rPr>
          <w:sz w:val="24"/>
        </w:rPr>
        <w:t xml:space="preserve"> will ask for the </w:t>
      </w:r>
      <w:r w:rsidRPr="00A47404" w:rsidR="007B53B9">
        <w:rPr>
          <w:sz w:val="24"/>
        </w:rPr>
        <w:t>respondent</w:t>
      </w:r>
      <w:r w:rsidRPr="00A47404" w:rsidR="00CF4DFC">
        <w:rPr>
          <w:sz w:val="24"/>
        </w:rPr>
        <w:t xml:space="preserve"> by name. If the </w:t>
      </w:r>
      <w:r w:rsidRPr="00A47404" w:rsidR="007B53B9">
        <w:rPr>
          <w:sz w:val="24"/>
        </w:rPr>
        <w:t>respondent</w:t>
      </w:r>
      <w:r w:rsidRPr="00A47404" w:rsidR="00CF4DFC">
        <w:rPr>
          <w:sz w:val="24"/>
        </w:rPr>
        <w:t xml:space="preserve"> is not at home or is not available to participate in the study when the </w:t>
      </w:r>
      <w:r w:rsidRPr="00A47404" w:rsidR="0056219D">
        <w:rPr>
          <w:sz w:val="24"/>
        </w:rPr>
        <w:t>health representative</w:t>
      </w:r>
      <w:r w:rsidRPr="00A47404" w:rsidR="00CF4DFC">
        <w:rPr>
          <w:sz w:val="24"/>
        </w:rPr>
        <w:t xml:space="preserve"> arrives at the home, and this is the </w:t>
      </w:r>
      <w:r w:rsidRPr="00A47404" w:rsidR="0056219D">
        <w:rPr>
          <w:sz w:val="24"/>
        </w:rPr>
        <w:t>health representative</w:t>
      </w:r>
      <w:r w:rsidRPr="00A47404" w:rsidR="00CF4DFC">
        <w:rPr>
          <w:sz w:val="24"/>
        </w:rPr>
        <w:t xml:space="preserve">’s first visit to the home, then the scheduling process will start again from the beginning. If the </w:t>
      </w:r>
      <w:r w:rsidRPr="00A47404" w:rsidR="007B53B9">
        <w:rPr>
          <w:sz w:val="24"/>
        </w:rPr>
        <w:t xml:space="preserve">respondent </w:t>
      </w:r>
      <w:r w:rsidRPr="00A47404" w:rsidR="00CF4DFC">
        <w:rPr>
          <w:sz w:val="24"/>
        </w:rPr>
        <w:t xml:space="preserve">is not home or is unavailable and this is not </w:t>
      </w:r>
      <w:r w:rsidRPr="00A47404" w:rsidR="0056219D">
        <w:rPr>
          <w:sz w:val="24"/>
        </w:rPr>
        <w:t>health representative</w:t>
      </w:r>
      <w:r w:rsidRPr="00A47404" w:rsidR="00CF4DFC">
        <w:rPr>
          <w:sz w:val="24"/>
        </w:rPr>
        <w:t xml:space="preserve">’s first visit to the home, then no further attempts will be made to schedule the </w:t>
      </w:r>
      <w:r w:rsidRPr="00A47404" w:rsidR="005C7AE4">
        <w:rPr>
          <w:sz w:val="24"/>
        </w:rPr>
        <w:t>respondent</w:t>
      </w:r>
      <w:r w:rsidRPr="00A47404" w:rsidR="00CF4DFC">
        <w:rPr>
          <w:sz w:val="24"/>
        </w:rPr>
        <w:t>, and the case will be classified as a non-</w:t>
      </w:r>
      <w:r w:rsidRPr="00A47404" w:rsidR="00BD3884">
        <w:rPr>
          <w:sz w:val="24"/>
        </w:rPr>
        <w:t>respondent</w:t>
      </w:r>
      <w:r w:rsidRPr="00A47404" w:rsidR="00CF4DFC">
        <w:rPr>
          <w:sz w:val="24"/>
        </w:rPr>
        <w:t>.</w:t>
      </w:r>
    </w:p>
    <w:p w:rsidRPr="00A47404" w:rsidR="0011703A" w:rsidP="00C644AD" w:rsidRDefault="0011703A" w14:paraId="2F66BA9E" w14:textId="77777777">
      <w:pPr>
        <w:rPr>
          <w:sz w:val="24"/>
        </w:rPr>
      </w:pPr>
    </w:p>
    <w:p w:rsidR="00CF4DFC" w:rsidP="0011703A" w:rsidRDefault="00CF4DFC" w14:paraId="51837123" w14:textId="1311F965">
      <w:pPr>
        <w:rPr>
          <w:sz w:val="24"/>
        </w:rPr>
      </w:pPr>
      <w:r w:rsidRPr="00A47404">
        <w:rPr>
          <w:sz w:val="24"/>
        </w:rPr>
        <w:t xml:space="preserve">If the </w:t>
      </w:r>
      <w:r w:rsidRPr="00A47404" w:rsidR="007B53B9">
        <w:rPr>
          <w:sz w:val="24"/>
        </w:rPr>
        <w:t>respondent</w:t>
      </w:r>
      <w:r w:rsidRPr="00A47404">
        <w:rPr>
          <w:sz w:val="24"/>
        </w:rPr>
        <w:t xml:space="preserve"> is available when the </w:t>
      </w:r>
      <w:r w:rsidRPr="00A47404" w:rsidR="0056219D">
        <w:rPr>
          <w:sz w:val="24"/>
        </w:rPr>
        <w:t>health representative</w:t>
      </w:r>
      <w:r w:rsidRPr="00A47404">
        <w:rPr>
          <w:sz w:val="24"/>
        </w:rPr>
        <w:t xml:space="preserve"> arrives at the home, the </w:t>
      </w:r>
      <w:r w:rsidRPr="00A47404" w:rsidR="0056219D">
        <w:rPr>
          <w:sz w:val="24"/>
        </w:rPr>
        <w:t>health representative</w:t>
      </w:r>
      <w:r w:rsidRPr="00A47404">
        <w:rPr>
          <w:sz w:val="24"/>
        </w:rPr>
        <w:t xml:space="preserve"> will screen the </w:t>
      </w:r>
      <w:r w:rsidRPr="00A47404" w:rsidR="007B53B9">
        <w:rPr>
          <w:sz w:val="24"/>
        </w:rPr>
        <w:t xml:space="preserve">respondent </w:t>
      </w:r>
      <w:r w:rsidRPr="00A47404">
        <w:rPr>
          <w:sz w:val="24"/>
        </w:rPr>
        <w:t xml:space="preserve">again for COVID-19 </w:t>
      </w:r>
      <w:r w:rsidRPr="00A47404" w:rsidR="006D70FA">
        <w:rPr>
          <w:sz w:val="24"/>
        </w:rPr>
        <w:t xml:space="preserve">and reschedule if necessary </w:t>
      </w:r>
      <w:r w:rsidRPr="00A47404">
        <w:rPr>
          <w:sz w:val="24"/>
        </w:rPr>
        <w:t xml:space="preserve">(Attachment </w:t>
      </w:r>
      <w:r w:rsidRPr="00A47404" w:rsidR="00123F01">
        <w:rPr>
          <w:sz w:val="24"/>
        </w:rPr>
        <w:t>1</w:t>
      </w:r>
      <w:r w:rsidRPr="00A47404" w:rsidR="00A37E4B">
        <w:rPr>
          <w:sz w:val="24"/>
        </w:rPr>
        <w:t>e</w:t>
      </w:r>
      <w:r w:rsidRPr="00A47404">
        <w:rPr>
          <w:sz w:val="24"/>
        </w:rPr>
        <w:t xml:space="preserve">). </w:t>
      </w:r>
    </w:p>
    <w:p w:rsidR="00562F47" w:rsidP="00CF4DFC" w:rsidRDefault="00562F47" w14:paraId="4B283323" w14:textId="77777777">
      <w:pPr>
        <w:rPr>
          <w:sz w:val="24"/>
        </w:rPr>
      </w:pPr>
    </w:p>
    <w:p w:rsidRPr="00A47404" w:rsidR="00CF4DFC" w:rsidP="00CF4DFC" w:rsidRDefault="00CF4DFC" w14:paraId="79E58A41" w14:textId="2EDD5EAF">
      <w:pPr>
        <w:rPr>
          <w:sz w:val="24"/>
        </w:rPr>
      </w:pPr>
      <w:r w:rsidRPr="00A47404">
        <w:rPr>
          <w:sz w:val="24"/>
        </w:rPr>
        <w:t xml:space="preserve">If the </w:t>
      </w:r>
      <w:r w:rsidRPr="00A47404" w:rsidR="00175995">
        <w:rPr>
          <w:sz w:val="24"/>
        </w:rPr>
        <w:t xml:space="preserve">respondent </w:t>
      </w:r>
      <w:r w:rsidRPr="00A47404">
        <w:rPr>
          <w:sz w:val="24"/>
        </w:rPr>
        <w:t xml:space="preserve">answers no to all the COVID-19 screener questions, (Attachment </w:t>
      </w:r>
      <w:r w:rsidRPr="00A47404" w:rsidR="00123F01">
        <w:rPr>
          <w:sz w:val="24"/>
        </w:rPr>
        <w:t>1</w:t>
      </w:r>
      <w:r w:rsidRPr="00A47404" w:rsidR="00A37E4B">
        <w:rPr>
          <w:sz w:val="24"/>
        </w:rPr>
        <w:t>e</w:t>
      </w:r>
      <w:r w:rsidRPr="00A47404">
        <w:rPr>
          <w:sz w:val="24"/>
        </w:rPr>
        <w:t xml:space="preserve">) then the </w:t>
      </w:r>
      <w:r w:rsidRPr="00A47404" w:rsidR="0056219D">
        <w:rPr>
          <w:sz w:val="24"/>
        </w:rPr>
        <w:t>health representative</w:t>
      </w:r>
      <w:r w:rsidRPr="00A47404">
        <w:rPr>
          <w:sz w:val="24"/>
        </w:rPr>
        <w:t xml:space="preserve"> will request to see a photo ID in order to verify the identity of the participant. The </w:t>
      </w:r>
      <w:r w:rsidRPr="00A47404" w:rsidR="0056219D">
        <w:rPr>
          <w:sz w:val="24"/>
        </w:rPr>
        <w:t>health representative</w:t>
      </w:r>
      <w:r w:rsidRPr="00A47404">
        <w:rPr>
          <w:sz w:val="24"/>
        </w:rPr>
        <w:t xml:space="preserve"> will not record the ID in any way. Once the S</w:t>
      </w:r>
      <w:r w:rsidRPr="00A47404" w:rsidR="0005151E">
        <w:rPr>
          <w:sz w:val="24"/>
        </w:rPr>
        <w:t xml:space="preserve">ample </w:t>
      </w:r>
      <w:r w:rsidRPr="00A47404">
        <w:rPr>
          <w:sz w:val="24"/>
        </w:rPr>
        <w:t>A</w:t>
      </w:r>
      <w:r w:rsidRPr="00A47404" w:rsidR="0005151E">
        <w:rPr>
          <w:sz w:val="24"/>
        </w:rPr>
        <w:t>dult</w:t>
      </w:r>
      <w:r w:rsidRPr="00A47404">
        <w:rPr>
          <w:sz w:val="24"/>
        </w:rPr>
        <w:t xml:space="preserve">’s identity is verified, the </w:t>
      </w:r>
      <w:r w:rsidRPr="00A47404" w:rsidR="0056219D">
        <w:rPr>
          <w:sz w:val="24"/>
        </w:rPr>
        <w:t>health representative</w:t>
      </w:r>
      <w:r w:rsidRPr="00A47404">
        <w:rPr>
          <w:sz w:val="24"/>
        </w:rPr>
        <w:t xml:space="preserve"> will offer the </w:t>
      </w:r>
      <w:r w:rsidRPr="00A47404" w:rsidR="005C7AE4">
        <w:rPr>
          <w:sz w:val="24"/>
        </w:rPr>
        <w:t>respondent</w:t>
      </w:r>
      <w:r w:rsidRPr="00A47404">
        <w:rPr>
          <w:sz w:val="24"/>
        </w:rPr>
        <w:t xml:space="preserve"> a surgical mask and reiterate that NCHS recommends that SAs wear a face mask during the visit. The </w:t>
      </w:r>
      <w:r w:rsidRPr="00A47404" w:rsidR="00407323">
        <w:rPr>
          <w:sz w:val="24"/>
        </w:rPr>
        <w:t>respondent</w:t>
      </w:r>
      <w:r w:rsidRPr="00A47404">
        <w:rPr>
          <w:sz w:val="24"/>
        </w:rPr>
        <w:t xml:space="preserve"> can still participate even if s/he wears a different </w:t>
      </w:r>
      <w:r w:rsidRPr="00A47404" w:rsidR="00DA5C2F">
        <w:rPr>
          <w:sz w:val="24"/>
        </w:rPr>
        <w:t>mask or</w:t>
      </w:r>
      <w:r w:rsidRPr="00A47404">
        <w:rPr>
          <w:sz w:val="24"/>
        </w:rPr>
        <w:t xml:space="preserve"> refuses to wear any mask. </w:t>
      </w:r>
    </w:p>
    <w:p w:rsidR="00562F47" w:rsidP="00562F47" w:rsidRDefault="00562F47" w14:paraId="4A804620" w14:textId="77777777">
      <w:pPr>
        <w:rPr>
          <w:sz w:val="24"/>
        </w:rPr>
      </w:pPr>
    </w:p>
    <w:p w:rsidRPr="00A47404" w:rsidR="00CF4DFC" w:rsidP="00562F47" w:rsidRDefault="00CF4DFC" w14:paraId="7486E772" w14:textId="2C9AD23D">
      <w:pPr>
        <w:rPr>
          <w:sz w:val="24"/>
        </w:rPr>
      </w:pPr>
      <w:r w:rsidRPr="00A47404">
        <w:rPr>
          <w:sz w:val="24"/>
        </w:rPr>
        <w:t xml:space="preserve">The </w:t>
      </w:r>
      <w:r w:rsidRPr="00A47404" w:rsidR="0056219D">
        <w:rPr>
          <w:sz w:val="24"/>
        </w:rPr>
        <w:t>health representative</w:t>
      </w:r>
      <w:r w:rsidRPr="00A47404">
        <w:rPr>
          <w:sz w:val="24"/>
        </w:rPr>
        <w:t xml:space="preserve"> will then provide the </w:t>
      </w:r>
      <w:r w:rsidRPr="00A47404" w:rsidR="00407323">
        <w:rPr>
          <w:sz w:val="24"/>
        </w:rPr>
        <w:t>respondent</w:t>
      </w:r>
      <w:r w:rsidRPr="00A47404">
        <w:rPr>
          <w:sz w:val="24"/>
        </w:rPr>
        <w:t xml:space="preserve"> with a hard copy of the Measurement and Lab Test Explanation handout, the COVID Serology handout and the informed consent form (Attachments </w:t>
      </w:r>
      <w:r w:rsidRPr="00A47404" w:rsidR="00123F01">
        <w:rPr>
          <w:sz w:val="24"/>
        </w:rPr>
        <w:t>1</w:t>
      </w:r>
      <w:r w:rsidRPr="00A47404" w:rsidR="00AD0DF8">
        <w:rPr>
          <w:sz w:val="24"/>
        </w:rPr>
        <w:t>g</w:t>
      </w:r>
      <w:r w:rsidRPr="00A47404">
        <w:rPr>
          <w:sz w:val="24"/>
        </w:rPr>
        <w:t xml:space="preserve"> and </w:t>
      </w:r>
      <w:r w:rsidRPr="00A47404" w:rsidR="00123F01">
        <w:rPr>
          <w:sz w:val="24"/>
        </w:rPr>
        <w:t>1</w:t>
      </w:r>
      <w:r w:rsidRPr="00A47404" w:rsidR="00AD0DF8">
        <w:rPr>
          <w:sz w:val="24"/>
        </w:rPr>
        <w:t>h</w:t>
      </w:r>
      <w:r w:rsidRPr="00A47404">
        <w:rPr>
          <w:sz w:val="24"/>
        </w:rPr>
        <w:t xml:space="preserve">) and ask the </w:t>
      </w:r>
      <w:r w:rsidRPr="00A47404" w:rsidR="00407323">
        <w:rPr>
          <w:sz w:val="24"/>
        </w:rPr>
        <w:t>respondent</w:t>
      </w:r>
      <w:r w:rsidRPr="00A47404">
        <w:rPr>
          <w:sz w:val="24"/>
        </w:rPr>
        <w:t xml:space="preserve"> to read them. </w:t>
      </w:r>
      <w:r w:rsidRPr="00A47404" w:rsidR="00407323">
        <w:rPr>
          <w:color w:val="000000"/>
          <w:sz w:val="24"/>
        </w:rPr>
        <w:t xml:space="preserve">If </w:t>
      </w:r>
      <w:r w:rsidRPr="00A47404" w:rsidR="00407323">
        <w:rPr>
          <w:color w:val="000000"/>
          <w:sz w:val="24"/>
        </w:rPr>
        <w:lastRenderedPageBreak/>
        <w:t xml:space="preserve">the </w:t>
      </w:r>
      <w:r w:rsidRPr="00A47404" w:rsidR="00793176">
        <w:rPr>
          <w:color w:val="000000"/>
          <w:sz w:val="24"/>
        </w:rPr>
        <w:t>respondent</w:t>
      </w:r>
      <w:r w:rsidRPr="00A47404" w:rsidR="00407323">
        <w:rPr>
          <w:color w:val="000000"/>
          <w:sz w:val="24"/>
        </w:rPr>
        <w:t xml:space="preserve"> is unable to read it themselves then the</w:t>
      </w:r>
      <w:r w:rsidRPr="00A47404">
        <w:rPr>
          <w:color w:val="000000"/>
          <w:sz w:val="24"/>
        </w:rPr>
        <w:t xml:space="preserve"> </w:t>
      </w:r>
      <w:r w:rsidRPr="00A47404" w:rsidR="0056219D">
        <w:rPr>
          <w:color w:val="000000"/>
          <w:sz w:val="24"/>
        </w:rPr>
        <w:t>health representative</w:t>
      </w:r>
      <w:r w:rsidRPr="00A47404">
        <w:rPr>
          <w:color w:val="000000"/>
          <w:sz w:val="24"/>
        </w:rPr>
        <w:t xml:space="preserve"> will read both documents </w:t>
      </w:r>
      <w:r w:rsidRPr="00A47404" w:rsidR="00407323">
        <w:rPr>
          <w:color w:val="000000"/>
          <w:sz w:val="24"/>
        </w:rPr>
        <w:t>out loud</w:t>
      </w:r>
      <w:r w:rsidRPr="00A47404">
        <w:rPr>
          <w:color w:val="000000"/>
          <w:sz w:val="24"/>
        </w:rPr>
        <w:t xml:space="preserve">.  </w:t>
      </w:r>
      <w:r w:rsidRPr="00A47404">
        <w:rPr>
          <w:sz w:val="24"/>
        </w:rPr>
        <w:t xml:space="preserve">As shown in Attachment </w:t>
      </w:r>
      <w:r w:rsidRPr="00A47404" w:rsidR="00407323">
        <w:rPr>
          <w:sz w:val="24"/>
        </w:rPr>
        <w:t>1</w:t>
      </w:r>
      <w:r w:rsidRPr="00A47404" w:rsidR="00AD0DF8">
        <w:rPr>
          <w:sz w:val="24"/>
        </w:rPr>
        <w:t>h</w:t>
      </w:r>
      <w:r w:rsidRPr="00A47404">
        <w:rPr>
          <w:sz w:val="24"/>
        </w:rPr>
        <w:t xml:space="preserve">, the participant will be informed that taking part is </w:t>
      </w:r>
      <w:r w:rsidRPr="00A47404" w:rsidR="00407323">
        <w:rPr>
          <w:sz w:val="24"/>
        </w:rPr>
        <w:t>voluntary and</w:t>
      </w:r>
      <w:r w:rsidRPr="00A47404">
        <w:rPr>
          <w:sz w:val="24"/>
        </w:rPr>
        <w:t xml:space="preserve"> there is no penalty if they refuse</w:t>
      </w:r>
      <w:r w:rsidRPr="00A47404" w:rsidR="00407323">
        <w:rPr>
          <w:sz w:val="24"/>
        </w:rPr>
        <w:t>.</w:t>
      </w:r>
      <w:r w:rsidRPr="00A47404">
        <w:rPr>
          <w:sz w:val="24"/>
        </w:rPr>
        <w:t xml:space="preserve"> </w:t>
      </w:r>
      <w:r w:rsidRPr="00A47404" w:rsidR="00407323">
        <w:rPr>
          <w:sz w:val="24"/>
        </w:rPr>
        <w:t>I</w:t>
      </w:r>
      <w:r w:rsidRPr="00A47404">
        <w:rPr>
          <w:sz w:val="24"/>
        </w:rPr>
        <w:t xml:space="preserve">f they choose to participate, they don’t have to do every part and can stop at any time. </w:t>
      </w:r>
      <w:r w:rsidRPr="00A47404" w:rsidR="00C06C67">
        <w:rPr>
          <w:sz w:val="24"/>
        </w:rPr>
        <w:t xml:space="preserve">After </w:t>
      </w:r>
      <w:r w:rsidRPr="00A47404" w:rsidR="00793176">
        <w:rPr>
          <w:sz w:val="24"/>
        </w:rPr>
        <w:t>providing</w:t>
      </w:r>
      <w:r w:rsidRPr="00A47404" w:rsidR="00C06C67">
        <w:rPr>
          <w:sz w:val="24"/>
        </w:rPr>
        <w:t xml:space="preserve"> written consent, </w:t>
      </w:r>
      <w:r w:rsidRPr="00A47404">
        <w:rPr>
          <w:sz w:val="24"/>
        </w:rPr>
        <w:t xml:space="preserve">the NHIS </w:t>
      </w:r>
      <w:r w:rsidRPr="00A47404" w:rsidR="00C06C67">
        <w:rPr>
          <w:sz w:val="24"/>
        </w:rPr>
        <w:t>respondent</w:t>
      </w:r>
      <w:r w:rsidRPr="00A47404">
        <w:rPr>
          <w:sz w:val="24"/>
        </w:rPr>
        <w:t xml:space="preserve"> becomes a </w:t>
      </w:r>
      <w:r w:rsidRPr="00A47404" w:rsidR="0023304D">
        <w:rPr>
          <w:sz w:val="24"/>
        </w:rPr>
        <w:t>Follow-up Health S</w:t>
      </w:r>
      <w:r w:rsidRPr="00A47404">
        <w:rPr>
          <w:sz w:val="24"/>
        </w:rPr>
        <w:t>tudy participant.</w:t>
      </w:r>
    </w:p>
    <w:p w:rsidRPr="00A47404" w:rsidR="00CF4DFC" w:rsidP="00CF4DFC" w:rsidRDefault="00CF4DFC" w14:paraId="169AF7B8" w14:textId="77777777">
      <w:pPr>
        <w:rPr>
          <w:sz w:val="24"/>
        </w:rPr>
      </w:pPr>
    </w:p>
    <w:p w:rsidRPr="00A47404" w:rsidR="00CF4DFC" w:rsidP="00CF4DFC" w:rsidRDefault="00CF4DFC" w14:paraId="7669F992" w14:textId="77777777">
      <w:pPr>
        <w:rPr>
          <w:i/>
          <w:iCs/>
          <w:sz w:val="24"/>
        </w:rPr>
      </w:pPr>
      <w:r w:rsidRPr="00A47404">
        <w:rPr>
          <w:i/>
          <w:iCs/>
          <w:sz w:val="24"/>
        </w:rPr>
        <w:t>Exam</w:t>
      </w:r>
    </w:p>
    <w:p w:rsidR="00CB54A5" w:rsidP="00DA5C2F" w:rsidRDefault="00CB54A5" w14:paraId="715998A1" w14:textId="77777777">
      <w:pPr>
        <w:rPr>
          <w:sz w:val="24"/>
        </w:rPr>
      </w:pPr>
    </w:p>
    <w:p w:rsidRPr="00A47404" w:rsidR="00CF4DFC" w:rsidP="00DA5C2F" w:rsidRDefault="00290475" w14:paraId="5A984B4D" w14:textId="7426034D">
      <w:pPr>
        <w:rPr>
          <w:sz w:val="24"/>
        </w:rPr>
      </w:pPr>
      <w:r w:rsidRPr="00A47404">
        <w:rPr>
          <w:sz w:val="24"/>
        </w:rPr>
        <w:t>Once consent has been obtained</w:t>
      </w:r>
      <w:r w:rsidRPr="00A47404" w:rsidR="00CF4DFC">
        <w:rPr>
          <w:sz w:val="24"/>
        </w:rPr>
        <w:t xml:space="preserve">, the </w:t>
      </w:r>
      <w:r w:rsidRPr="00A47404" w:rsidR="0056219D">
        <w:rPr>
          <w:sz w:val="24"/>
        </w:rPr>
        <w:t>health representative</w:t>
      </w:r>
      <w:r w:rsidRPr="00A47404" w:rsidR="00CF4DFC">
        <w:rPr>
          <w:sz w:val="24"/>
        </w:rPr>
        <w:t xml:space="preserve"> will </w:t>
      </w:r>
      <w:r w:rsidRPr="00A47404" w:rsidR="00C06D81">
        <w:rPr>
          <w:sz w:val="24"/>
        </w:rPr>
        <w:t>ask the participant to provide a urine sample (Attachment 1</w:t>
      </w:r>
      <w:r w:rsidRPr="00A47404" w:rsidR="00A83717">
        <w:rPr>
          <w:sz w:val="24"/>
        </w:rPr>
        <w:t>i</w:t>
      </w:r>
      <w:r w:rsidRPr="00A47404" w:rsidR="00C06D81">
        <w:rPr>
          <w:sz w:val="24"/>
        </w:rPr>
        <w:t xml:space="preserve">). If the participant is unable to provide a specimen, the </w:t>
      </w:r>
      <w:r w:rsidRPr="00A47404" w:rsidR="0056219D">
        <w:rPr>
          <w:sz w:val="24"/>
        </w:rPr>
        <w:t>health representative</w:t>
      </w:r>
      <w:r w:rsidRPr="00A47404" w:rsidR="00C06D81">
        <w:rPr>
          <w:sz w:val="24"/>
        </w:rPr>
        <w:t xml:space="preserve"> will encourage the participant to drink some water and try again later in the visit. The </w:t>
      </w:r>
      <w:r w:rsidRPr="00A47404" w:rsidR="0056219D">
        <w:rPr>
          <w:sz w:val="24"/>
        </w:rPr>
        <w:t>health representative</w:t>
      </w:r>
      <w:r w:rsidRPr="00A47404" w:rsidR="00C06D81">
        <w:rPr>
          <w:sz w:val="24"/>
        </w:rPr>
        <w:t xml:space="preserve"> will </w:t>
      </w:r>
      <w:r w:rsidRPr="00A47404" w:rsidR="00CF4DFC">
        <w:rPr>
          <w:sz w:val="24"/>
        </w:rPr>
        <w:t xml:space="preserve">measure the participant’s height, weight, waist circumference, blood pressure, and resting heart rate (Attachment </w:t>
      </w:r>
      <w:r w:rsidRPr="00A47404" w:rsidR="00C06D81">
        <w:rPr>
          <w:sz w:val="24"/>
        </w:rPr>
        <w:t>1</w:t>
      </w:r>
      <w:r w:rsidRPr="00A47404" w:rsidR="00A83717">
        <w:rPr>
          <w:sz w:val="24"/>
        </w:rPr>
        <w:t>i</w:t>
      </w:r>
      <w:r w:rsidRPr="00A47404" w:rsidR="00CF4DFC">
        <w:rPr>
          <w:sz w:val="24"/>
        </w:rPr>
        <w:t xml:space="preserve">). The </w:t>
      </w:r>
      <w:r w:rsidRPr="00A47404" w:rsidR="0056219D">
        <w:rPr>
          <w:sz w:val="24"/>
        </w:rPr>
        <w:t>health representative</w:t>
      </w:r>
      <w:r w:rsidRPr="00A47404" w:rsidR="00CF4DFC">
        <w:rPr>
          <w:sz w:val="24"/>
        </w:rPr>
        <w:t xml:space="preserve"> will also collect a venous blood sample (Attachment </w:t>
      </w:r>
      <w:r w:rsidRPr="00A47404" w:rsidR="00123F01">
        <w:rPr>
          <w:sz w:val="24"/>
        </w:rPr>
        <w:t>1</w:t>
      </w:r>
      <w:r w:rsidRPr="00A47404" w:rsidR="00A83717">
        <w:rPr>
          <w:sz w:val="24"/>
        </w:rPr>
        <w:t>i</w:t>
      </w:r>
      <w:r w:rsidRPr="00A47404" w:rsidR="00CF4DFC">
        <w:rPr>
          <w:sz w:val="24"/>
        </w:rPr>
        <w:t xml:space="preserve">).   The </w:t>
      </w:r>
      <w:r w:rsidRPr="00A47404" w:rsidR="0056219D">
        <w:rPr>
          <w:sz w:val="24"/>
        </w:rPr>
        <w:t>health representative</w:t>
      </w:r>
      <w:r w:rsidRPr="00A47404" w:rsidR="00CF4DFC">
        <w:rPr>
          <w:sz w:val="24"/>
        </w:rPr>
        <w:t xml:space="preserve"> will also </w:t>
      </w:r>
      <w:r w:rsidRPr="00A47404" w:rsidR="00CF455F">
        <w:rPr>
          <w:sz w:val="24"/>
        </w:rPr>
        <w:t xml:space="preserve">record any concerns or reasons for study component refusal that the participant provides, and will </w:t>
      </w:r>
      <w:r w:rsidRPr="00A47404" w:rsidR="00CF4DFC">
        <w:rPr>
          <w:sz w:val="24"/>
        </w:rPr>
        <w:t xml:space="preserve">administer a short survey about the participant’s study experience </w:t>
      </w:r>
      <w:bookmarkStart w:name="_Hlk64020693" w:id="7"/>
      <w:r w:rsidRPr="00A47404" w:rsidR="00CF455F">
        <w:rPr>
          <w:sz w:val="24"/>
        </w:rPr>
        <w:t xml:space="preserve">which includes a question about what concerns, if any, the participant had about participating </w:t>
      </w:r>
      <w:bookmarkEnd w:id="7"/>
      <w:r w:rsidRPr="00A47404" w:rsidR="00CF4DFC">
        <w:rPr>
          <w:sz w:val="24"/>
        </w:rPr>
        <w:t xml:space="preserve">(Attachment </w:t>
      </w:r>
      <w:r w:rsidRPr="00A47404" w:rsidR="00123F01">
        <w:rPr>
          <w:sz w:val="24"/>
        </w:rPr>
        <w:t>1</w:t>
      </w:r>
      <w:r w:rsidRPr="00A47404" w:rsidR="00A83717">
        <w:rPr>
          <w:sz w:val="24"/>
        </w:rPr>
        <w:t>i</w:t>
      </w:r>
      <w:r w:rsidRPr="00A47404" w:rsidR="00CF4DFC">
        <w:rPr>
          <w:sz w:val="24"/>
        </w:rPr>
        <w:t xml:space="preserve">).  This questionnaire is designed to gather information that can be used to improve the recruitment, scheduling, and exam procedures in future iterations of this project. </w:t>
      </w:r>
    </w:p>
    <w:p w:rsidR="00CB54A5" w:rsidP="00E72185" w:rsidRDefault="00CF4DFC" w14:paraId="7D3D1C1F" w14:textId="77777777">
      <w:pPr>
        <w:pStyle w:val="CommentText"/>
        <w:rPr>
          <w:sz w:val="24"/>
          <w:szCs w:val="24"/>
        </w:rPr>
      </w:pPr>
      <w:r w:rsidRPr="00A47404">
        <w:rPr>
          <w:sz w:val="24"/>
          <w:szCs w:val="24"/>
        </w:rPr>
        <w:t xml:space="preserve"> </w:t>
      </w:r>
    </w:p>
    <w:p w:rsidR="00E72185" w:rsidP="00E72185" w:rsidRDefault="00CF4DFC" w14:paraId="650C624B" w14:textId="2C6CD177">
      <w:pPr>
        <w:pStyle w:val="CommentText"/>
        <w:rPr>
          <w:sz w:val="24"/>
          <w:szCs w:val="24"/>
        </w:rPr>
      </w:pPr>
      <w:r w:rsidRPr="00A47404">
        <w:rPr>
          <w:sz w:val="24"/>
          <w:szCs w:val="24"/>
        </w:rPr>
        <w:t xml:space="preserve">After completing the exam, the </w:t>
      </w:r>
      <w:r w:rsidRPr="00A47404" w:rsidR="0056219D">
        <w:rPr>
          <w:sz w:val="24"/>
          <w:szCs w:val="24"/>
        </w:rPr>
        <w:t>health representative</w:t>
      </w:r>
      <w:r w:rsidRPr="00A47404">
        <w:rPr>
          <w:sz w:val="24"/>
          <w:szCs w:val="24"/>
        </w:rPr>
        <w:t xml:space="preserve"> will </w:t>
      </w:r>
      <w:r w:rsidRPr="00A47404" w:rsidR="00290475">
        <w:rPr>
          <w:sz w:val="24"/>
          <w:szCs w:val="24"/>
        </w:rPr>
        <w:t>give</w:t>
      </w:r>
      <w:r w:rsidRPr="00A47404">
        <w:rPr>
          <w:sz w:val="24"/>
          <w:szCs w:val="24"/>
        </w:rPr>
        <w:t xml:space="preserve"> the </w:t>
      </w:r>
      <w:r w:rsidRPr="00A47404" w:rsidR="00290475">
        <w:rPr>
          <w:sz w:val="24"/>
          <w:szCs w:val="24"/>
        </w:rPr>
        <w:t>participant</w:t>
      </w:r>
      <w:r w:rsidRPr="00A47404">
        <w:rPr>
          <w:sz w:val="24"/>
          <w:szCs w:val="24"/>
        </w:rPr>
        <w:t xml:space="preserve"> </w:t>
      </w:r>
      <w:r w:rsidRPr="00A47404" w:rsidR="00290475">
        <w:rPr>
          <w:sz w:val="24"/>
          <w:szCs w:val="24"/>
        </w:rPr>
        <w:t xml:space="preserve">a </w:t>
      </w:r>
      <w:r w:rsidRPr="00A47404">
        <w:rPr>
          <w:sz w:val="24"/>
          <w:szCs w:val="24"/>
        </w:rPr>
        <w:t xml:space="preserve">paper report of their height, weight, waist circumference, blood pressure and resting heart rate to keep </w:t>
      </w:r>
      <w:r w:rsidRPr="00A47404" w:rsidR="00290475">
        <w:rPr>
          <w:sz w:val="24"/>
          <w:szCs w:val="24"/>
        </w:rPr>
        <w:t xml:space="preserve">as well as a $75 prepaid card </w:t>
      </w:r>
      <w:r w:rsidRPr="00A47404">
        <w:rPr>
          <w:sz w:val="24"/>
          <w:szCs w:val="24"/>
        </w:rPr>
        <w:t xml:space="preserve">(Attachment </w:t>
      </w:r>
      <w:r w:rsidRPr="00A47404" w:rsidR="00123F01">
        <w:rPr>
          <w:sz w:val="24"/>
          <w:szCs w:val="24"/>
        </w:rPr>
        <w:t>1</w:t>
      </w:r>
      <w:r w:rsidRPr="00A47404" w:rsidR="00A83717">
        <w:rPr>
          <w:sz w:val="24"/>
          <w:szCs w:val="24"/>
        </w:rPr>
        <w:t>j</w:t>
      </w:r>
      <w:r w:rsidRPr="00A47404">
        <w:rPr>
          <w:sz w:val="24"/>
          <w:szCs w:val="24"/>
        </w:rPr>
        <w:t xml:space="preserve">). The </w:t>
      </w:r>
      <w:r w:rsidRPr="00A47404" w:rsidR="0056219D">
        <w:rPr>
          <w:sz w:val="24"/>
          <w:szCs w:val="24"/>
        </w:rPr>
        <w:t>health representative</w:t>
      </w:r>
      <w:r w:rsidRPr="00A47404">
        <w:rPr>
          <w:sz w:val="24"/>
          <w:szCs w:val="24"/>
        </w:rPr>
        <w:t xml:space="preserve"> will also read the Blood Pressure Statement out loud</w:t>
      </w:r>
      <w:r w:rsidRPr="00A47404">
        <w:rPr>
          <w:color w:val="000000" w:themeColor="text1"/>
          <w:sz w:val="24"/>
          <w:szCs w:val="24"/>
        </w:rPr>
        <w:t>.</w:t>
      </w:r>
      <w:r w:rsidRPr="00A47404" w:rsidR="00CB0C81">
        <w:rPr>
          <w:color w:val="000000" w:themeColor="text1"/>
          <w:sz w:val="24"/>
          <w:szCs w:val="24"/>
        </w:rPr>
        <w:t xml:space="preserve"> A participant with a high blood pressure needs to know immediately so they can</w:t>
      </w:r>
      <w:r w:rsidRPr="00A47404" w:rsidR="00944F1D">
        <w:rPr>
          <w:color w:val="000000" w:themeColor="text1"/>
          <w:sz w:val="24"/>
          <w:szCs w:val="24"/>
        </w:rPr>
        <w:t xml:space="preserve"> </w:t>
      </w:r>
      <w:r w:rsidRPr="00A47404" w:rsidR="00CB0C81">
        <w:rPr>
          <w:color w:val="000000" w:themeColor="text1"/>
          <w:sz w:val="24"/>
          <w:szCs w:val="24"/>
        </w:rPr>
        <w:t xml:space="preserve">call for a medical appointment.  In contrast, </w:t>
      </w:r>
      <w:r w:rsidRPr="00A47404" w:rsidR="00944F1D">
        <w:rPr>
          <w:color w:val="000000" w:themeColor="text1"/>
          <w:sz w:val="24"/>
          <w:szCs w:val="24"/>
        </w:rPr>
        <w:t xml:space="preserve">there is no combination of </w:t>
      </w:r>
      <w:r w:rsidRPr="00A47404" w:rsidR="00CB0C81">
        <w:rPr>
          <w:color w:val="000000" w:themeColor="text1"/>
          <w:sz w:val="24"/>
          <w:szCs w:val="24"/>
        </w:rPr>
        <w:t xml:space="preserve">height, weight, and waist measurement </w:t>
      </w:r>
      <w:r w:rsidRPr="00A47404" w:rsidR="00944F1D">
        <w:rPr>
          <w:color w:val="000000" w:themeColor="text1"/>
          <w:sz w:val="24"/>
          <w:szCs w:val="24"/>
        </w:rPr>
        <w:t>that warrants</w:t>
      </w:r>
      <w:r w:rsidRPr="00A47404" w:rsidR="00CB0C81">
        <w:rPr>
          <w:color w:val="000000" w:themeColor="text1"/>
          <w:sz w:val="24"/>
          <w:szCs w:val="24"/>
        </w:rPr>
        <w:t xml:space="preserve"> immediate clinical action.  Reading out loud will ensure that participants, especially those who cannot read, hear what their blood pressure is and what it could mean to their current health.  </w:t>
      </w:r>
      <w:r w:rsidRPr="00A47404">
        <w:rPr>
          <w:color w:val="000000" w:themeColor="text1"/>
          <w:sz w:val="24"/>
          <w:szCs w:val="24"/>
        </w:rPr>
        <w:t xml:space="preserve"> </w:t>
      </w:r>
      <w:r w:rsidRPr="00A47404">
        <w:rPr>
          <w:sz w:val="24"/>
          <w:szCs w:val="24"/>
        </w:rPr>
        <w:t xml:space="preserve">The </w:t>
      </w:r>
      <w:r w:rsidRPr="00A47404" w:rsidR="0056219D">
        <w:rPr>
          <w:sz w:val="24"/>
          <w:szCs w:val="24"/>
        </w:rPr>
        <w:t>health representative</w:t>
      </w:r>
      <w:r w:rsidRPr="00A47404">
        <w:rPr>
          <w:sz w:val="24"/>
          <w:szCs w:val="24"/>
        </w:rPr>
        <w:t xml:space="preserve"> will then leave the home and immediately prepare and ship the biospecimens to the lab</w:t>
      </w:r>
      <w:r w:rsidRPr="00A47404" w:rsidR="001559D1">
        <w:rPr>
          <w:sz w:val="24"/>
          <w:szCs w:val="24"/>
        </w:rPr>
        <w:t>.</w:t>
      </w:r>
    </w:p>
    <w:p w:rsidRPr="00A47404" w:rsidR="00CB54A5" w:rsidP="00E72185" w:rsidRDefault="00CB54A5" w14:paraId="65AC93FA" w14:textId="77777777">
      <w:pPr>
        <w:pStyle w:val="CommentText"/>
        <w:rPr>
          <w:sz w:val="24"/>
          <w:szCs w:val="24"/>
        </w:rPr>
      </w:pPr>
    </w:p>
    <w:p w:rsidRPr="00A47404" w:rsidR="00CF4DFC" w:rsidP="00CB54A5" w:rsidRDefault="00CF4DFC" w14:paraId="19388564" w14:textId="285E8615">
      <w:pPr>
        <w:rPr>
          <w:sz w:val="24"/>
        </w:rPr>
      </w:pPr>
      <w:r w:rsidRPr="00A47404">
        <w:rPr>
          <w:sz w:val="24"/>
        </w:rPr>
        <w:t>Specimens will be labeled with a unique specimen ID. That ID will only be linked to study participants within the study’s secure IT environment. The specimen ID will not</w:t>
      </w:r>
      <w:r w:rsidRPr="00A47404" w:rsidR="00B877AF">
        <w:rPr>
          <w:sz w:val="24"/>
        </w:rPr>
        <w:t xml:space="preserve"> be</w:t>
      </w:r>
      <w:r w:rsidRPr="00A47404">
        <w:rPr>
          <w:sz w:val="24"/>
        </w:rPr>
        <w:t xml:space="preserve"> link</w:t>
      </w:r>
      <w:r w:rsidRPr="00A47404" w:rsidR="00B877AF">
        <w:rPr>
          <w:sz w:val="24"/>
        </w:rPr>
        <w:t>ed</w:t>
      </w:r>
      <w:r w:rsidRPr="00A47404">
        <w:rPr>
          <w:sz w:val="24"/>
        </w:rPr>
        <w:t xml:space="preserve"> to any NCHS public use files. The receiving laboratory will not have access to any PII.  The lab will perform specimen analysis and run the blood and urine tests listed in the Measurements and Lab Test Explanation handout (Attachment </w:t>
      </w:r>
      <w:r w:rsidRPr="00A47404" w:rsidR="00123F01">
        <w:rPr>
          <w:sz w:val="24"/>
        </w:rPr>
        <w:t>1h</w:t>
      </w:r>
      <w:r w:rsidRPr="00A47404">
        <w:rPr>
          <w:sz w:val="24"/>
        </w:rPr>
        <w:t>). The blood and urine specimens will be stored at the lab for seven days</w:t>
      </w:r>
      <w:r w:rsidRPr="00A47404" w:rsidR="00B877AF">
        <w:rPr>
          <w:sz w:val="24"/>
        </w:rPr>
        <w:t xml:space="preserve">, after which they </w:t>
      </w:r>
      <w:r w:rsidRPr="00A47404">
        <w:rPr>
          <w:sz w:val="24"/>
        </w:rPr>
        <w:t xml:space="preserve">will be destroyed.    </w:t>
      </w:r>
    </w:p>
    <w:p w:rsidRPr="00A47404" w:rsidR="00D36424" w:rsidP="00530284" w:rsidRDefault="00D36424" w14:paraId="1FE38276" w14:textId="7610B9B6">
      <w:pPr>
        <w:rPr>
          <w:i/>
          <w:iCs/>
          <w:sz w:val="24"/>
        </w:rPr>
      </w:pPr>
    </w:p>
    <w:p w:rsidRPr="00A47404" w:rsidR="00D36424" w:rsidP="00D36424" w:rsidRDefault="00D36424" w14:paraId="05C66B43" w14:textId="77777777">
      <w:pPr>
        <w:keepNext/>
        <w:widowControl w:val="0"/>
        <w:tabs>
          <w:tab w:val="left" w:pos="2700"/>
        </w:tabs>
        <w:rPr>
          <w:b/>
          <w:color w:val="000000"/>
          <w:sz w:val="24"/>
        </w:rPr>
      </w:pPr>
      <w:r w:rsidRPr="00A47404">
        <w:rPr>
          <w:b/>
          <w:color w:val="000000"/>
          <w:sz w:val="24"/>
        </w:rPr>
        <w:t>Quality Control</w:t>
      </w:r>
    </w:p>
    <w:p w:rsidRPr="00A47404" w:rsidR="00D36424" w:rsidP="00CB54A5" w:rsidRDefault="0010525A" w14:paraId="280D989F" w14:textId="58C49521">
      <w:pPr>
        <w:widowControl w:val="0"/>
        <w:tabs>
          <w:tab w:val="left" w:pos="2700"/>
        </w:tabs>
        <w:spacing w:before="240"/>
        <w:rPr>
          <w:color w:val="000000"/>
          <w:sz w:val="24"/>
          <w:lang w:val="en"/>
        </w:rPr>
      </w:pPr>
      <w:r w:rsidRPr="00A47404">
        <w:rPr>
          <w:color w:val="000000"/>
          <w:sz w:val="24"/>
          <w:lang w:val="en"/>
        </w:rPr>
        <w:t>A</w:t>
      </w:r>
      <w:r w:rsidRPr="00A47404" w:rsidR="00D24285">
        <w:rPr>
          <w:color w:val="000000"/>
          <w:sz w:val="24"/>
          <w:lang w:val="en"/>
        </w:rPr>
        <w:t xml:space="preserve">ll data collected from the </w:t>
      </w:r>
      <w:r w:rsidRPr="00A47404" w:rsidR="00CF4DFC">
        <w:rPr>
          <w:color w:val="000000"/>
          <w:sz w:val="24"/>
          <w:lang w:val="en"/>
        </w:rPr>
        <w:t>participants</w:t>
      </w:r>
      <w:r w:rsidRPr="00A47404" w:rsidR="00D24285">
        <w:rPr>
          <w:color w:val="000000"/>
          <w:sz w:val="24"/>
          <w:lang w:val="en"/>
        </w:rPr>
        <w:t xml:space="preserve"> will be entered into</w:t>
      </w:r>
      <w:r w:rsidRPr="00A47404" w:rsidR="00663EF4">
        <w:rPr>
          <w:color w:val="000000"/>
          <w:sz w:val="24"/>
          <w:lang w:val="en"/>
        </w:rPr>
        <w:t xml:space="preserve"> </w:t>
      </w:r>
      <w:r w:rsidRPr="00A47404" w:rsidR="00EC5C3E">
        <w:rPr>
          <w:color w:val="000000"/>
          <w:sz w:val="24"/>
          <w:lang w:val="en"/>
        </w:rPr>
        <w:t>encrypted laptop computers</w:t>
      </w:r>
      <w:r w:rsidRPr="00A47404" w:rsidR="00D24285">
        <w:rPr>
          <w:color w:val="000000"/>
          <w:sz w:val="24"/>
          <w:lang w:val="en"/>
        </w:rPr>
        <w:t xml:space="preserve">. </w:t>
      </w:r>
      <w:r w:rsidRPr="00A47404" w:rsidR="00D36424">
        <w:rPr>
          <w:color w:val="000000"/>
          <w:sz w:val="24"/>
          <w:lang w:val="en"/>
        </w:rPr>
        <w:t>Built-in quality control checks</w:t>
      </w:r>
      <w:r w:rsidRPr="00A47404" w:rsidR="002F7B88">
        <w:rPr>
          <w:color w:val="000000"/>
          <w:sz w:val="24"/>
          <w:lang w:val="en"/>
        </w:rPr>
        <w:t>, such as hard and soft edits,</w:t>
      </w:r>
      <w:r w:rsidRPr="00A47404" w:rsidR="00D36424">
        <w:rPr>
          <w:color w:val="000000"/>
          <w:sz w:val="24"/>
          <w:lang w:val="en"/>
        </w:rPr>
        <w:t xml:space="preserve"> will be programmed into the </w:t>
      </w:r>
      <w:r w:rsidRPr="00A47404" w:rsidR="004A751C">
        <w:rPr>
          <w:color w:val="000000"/>
          <w:sz w:val="24"/>
          <w:lang w:val="en"/>
        </w:rPr>
        <w:t xml:space="preserve">instrument </w:t>
      </w:r>
      <w:r w:rsidRPr="00A47404" w:rsidR="00D36424">
        <w:rPr>
          <w:color w:val="000000"/>
          <w:sz w:val="24"/>
          <w:lang w:val="en"/>
        </w:rPr>
        <w:t xml:space="preserve">to maximize the accuracy and consistency of the data. </w:t>
      </w:r>
    </w:p>
    <w:p w:rsidRPr="00A47404" w:rsidR="00EC5C3E" w:rsidP="00CB54A5" w:rsidRDefault="00BF1777" w14:paraId="31E17E15" w14:textId="4504FCD8">
      <w:pPr>
        <w:autoSpaceDE w:val="0"/>
        <w:autoSpaceDN w:val="0"/>
        <w:adjustRightInd w:val="0"/>
        <w:spacing w:before="240" w:after="120"/>
        <w:rPr>
          <w:sz w:val="24"/>
          <w:lang w:eastAsia="zh-CN"/>
        </w:rPr>
      </w:pPr>
      <w:r w:rsidRPr="00A47404">
        <w:rPr>
          <w:sz w:val="24"/>
          <w:lang w:eastAsia="zh-CN"/>
        </w:rPr>
        <w:t>The study will employ experienced, certified</w:t>
      </w:r>
      <w:r w:rsidRPr="00A47404" w:rsidR="00EC5C3E">
        <w:rPr>
          <w:sz w:val="24"/>
          <w:lang w:eastAsia="zh-CN"/>
        </w:rPr>
        <w:t xml:space="preserve"> phlebotomists</w:t>
      </w:r>
      <w:r w:rsidRPr="00A47404" w:rsidR="0056219D">
        <w:rPr>
          <w:sz w:val="24"/>
          <w:lang w:eastAsia="zh-CN"/>
        </w:rPr>
        <w:t xml:space="preserve"> to serve as the health representatives</w:t>
      </w:r>
      <w:r w:rsidRPr="00A47404">
        <w:rPr>
          <w:sz w:val="24"/>
          <w:lang w:eastAsia="zh-CN"/>
        </w:rPr>
        <w:t xml:space="preserve">. </w:t>
      </w:r>
      <w:r w:rsidRPr="00A47404" w:rsidR="0056219D">
        <w:rPr>
          <w:sz w:val="24"/>
          <w:lang w:eastAsia="zh-CN"/>
        </w:rPr>
        <w:t>They will have</w:t>
      </w:r>
      <w:r w:rsidRPr="00A47404">
        <w:rPr>
          <w:sz w:val="24"/>
          <w:lang w:eastAsia="zh-CN"/>
        </w:rPr>
        <w:t xml:space="preserve"> p</w:t>
      </w:r>
      <w:r w:rsidRPr="00A47404" w:rsidR="00EC5C3E">
        <w:rPr>
          <w:sz w:val="24"/>
          <w:lang w:eastAsia="zh-CN"/>
        </w:rPr>
        <w:t>ass</w:t>
      </w:r>
      <w:r w:rsidRPr="00A47404">
        <w:rPr>
          <w:sz w:val="24"/>
          <w:lang w:eastAsia="zh-CN"/>
        </w:rPr>
        <w:t>ed</w:t>
      </w:r>
      <w:r w:rsidRPr="00A47404" w:rsidR="00EC5C3E">
        <w:rPr>
          <w:sz w:val="24"/>
          <w:lang w:eastAsia="zh-CN"/>
        </w:rPr>
        <w:t xml:space="preserve"> background </w:t>
      </w:r>
      <w:r w:rsidRPr="00A47404" w:rsidR="001207E3">
        <w:rPr>
          <w:sz w:val="24"/>
          <w:lang w:eastAsia="zh-CN"/>
        </w:rPr>
        <w:t>checks and</w:t>
      </w:r>
      <w:r w:rsidRPr="00A47404" w:rsidR="00BF02BB">
        <w:rPr>
          <w:sz w:val="24"/>
          <w:lang w:eastAsia="zh-CN"/>
        </w:rPr>
        <w:t xml:space="preserve"> </w:t>
      </w:r>
      <w:r w:rsidRPr="00A47404">
        <w:rPr>
          <w:sz w:val="24"/>
          <w:lang w:eastAsia="zh-CN"/>
        </w:rPr>
        <w:t xml:space="preserve">have documented </w:t>
      </w:r>
      <w:r w:rsidRPr="00A47404">
        <w:rPr>
          <w:sz w:val="24"/>
          <w:lang w:eastAsia="zh-CN"/>
        </w:rPr>
        <w:lastRenderedPageBreak/>
        <w:t>experience including</w:t>
      </w:r>
      <w:r w:rsidRPr="00A47404" w:rsidR="00EC5C3E">
        <w:rPr>
          <w:sz w:val="24"/>
          <w:lang w:eastAsia="zh-CN"/>
        </w:rPr>
        <w:t xml:space="preserve"> a minimum of 100</w:t>
      </w:r>
      <w:r w:rsidRPr="00A47404">
        <w:rPr>
          <w:sz w:val="24"/>
          <w:lang w:eastAsia="zh-CN"/>
        </w:rPr>
        <w:t xml:space="preserve"> </w:t>
      </w:r>
      <w:r w:rsidRPr="00A47404" w:rsidR="00EC5C3E">
        <w:rPr>
          <w:sz w:val="24"/>
          <w:lang w:eastAsia="zh-CN"/>
        </w:rPr>
        <w:t xml:space="preserve">verifiable </w:t>
      </w:r>
      <w:r w:rsidRPr="00A47404">
        <w:rPr>
          <w:sz w:val="24"/>
          <w:lang w:eastAsia="zh-CN"/>
        </w:rPr>
        <w:t xml:space="preserve">successful </w:t>
      </w:r>
      <w:r w:rsidRPr="00A47404" w:rsidR="00EC5C3E">
        <w:rPr>
          <w:sz w:val="24"/>
          <w:lang w:eastAsia="zh-CN"/>
        </w:rPr>
        <w:t xml:space="preserve">venipuncture draws. For those states requiring licensure, the phlebotomists will maintain appropriate licenses. </w:t>
      </w:r>
    </w:p>
    <w:p w:rsidRPr="00A47404" w:rsidR="00BF02BB" w:rsidP="00CB54A5" w:rsidRDefault="00D36424" w14:paraId="25E063A2" w14:textId="5207A486">
      <w:pPr>
        <w:autoSpaceDE w:val="0"/>
        <w:autoSpaceDN w:val="0"/>
        <w:adjustRightInd w:val="0"/>
        <w:spacing w:before="240" w:after="120"/>
        <w:rPr>
          <w:sz w:val="24"/>
          <w:lang w:eastAsia="zh-CN"/>
        </w:rPr>
      </w:pPr>
      <w:r w:rsidRPr="00A47404">
        <w:rPr>
          <w:color w:val="000000"/>
          <w:sz w:val="24"/>
          <w:lang w:val="en"/>
        </w:rPr>
        <w:t xml:space="preserve">All </w:t>
      </w:r>
      <w:r w:rsidRPr="00A47404" w:rsidR="00BF02BB">
        <w:rPr>
          <w:color w:val="000000"/>
          <w:sz w:val="24"/>
          <w:lang w:val="en"/>
        </w:rPr>
        <w:t>phlebotomists</w:t>
      </w:r>
      <w:r w:rsidRPr="00A47404">
        <w:rPr>
          <w:color w:val="000000"/>
          <w:sz w:val="24"/>
          <w:lang w:val="en"/>
        </w:rPr>
        <w:t xml:space="preserve"> </w:t>
      </w:r>
      <w:r w:rsidRPr="00A47404" w:rsidR="00BD3884">
        <w:rPr>
          <w:color w:val="000000"/>
          <w:sz w:val="24"/>
          <w:lang w:val="en"/>
        </w:rPr>
        <w:t xml:space="preserve">working on this study </w:t>
      </w:r>
      <w:r w:rsidRPr="00A47404">
        <w:rPr>
          <w:color w:val="000000"/>
          <w:sz w:val="24"/>
          <w:lang w:val="en"/>
        </w:rPr>
        <w:t xml:space="preserve">will complete training requirements for safety, privacy and confidentiality. In addition, </w:t>
      </w:r>
      <w:r w:rsidRPr="00A47404" w:rsidR="00BD3884">
        <w:rPr>
          <w:color w:val="000000"/>
          <w:sz w:val="24"/>
          <w:lang w:val="en"/>
        </w:rPr>
        <w:t>their</w:t>
      </w:r>
      <w:r w:rsidRPr="00A47404" w:rsidR="00BF02BB">
        <w:rPr>
          <w:color w:val="000000"/>
          <w:sz w:val="24"/>
          <w:lang w:val="en"/>
        </w:rPr>
        <w:t xml:space="preserve"> training will cover all procedures related to the home visit, including</w:t>
      </w:r>
      <w:r w:rsidRPr="00A47404">
        <w:rPr>
          <w:color w:val="000000"/>
          <w:sz w:val="24"/>
          <w:lang w:val="en"/>
        </w:rPr>
        <w:t xml:space="preserve"> the standardized protocol for </w:t>
      </w:r>
      <w:r w:rsidRPr="00A47404" w:rsidR="00BF02BB">
        <w:rPr>
          <w:sz w:val="24"/>
          <w:lang w:eastAsia="zh-CN"/>
        </w:rPr>
        <w:t xml:space="preserve">anthropometric and blood pressure measurements; biospecimen collection and shipping; using the encrypted laptops to record health exam data and paradata; and administering the participant survey.  </w:t>
      </w:r>
      <w:r w:rsidRPr="00A47404" w:rsidR="00A5604D">
        <w:rPr>
          <w:sz w:val="24"/>
          <w:lang w:eastAsia="zh-CN"/>
        </w:rPr>
        <w:t>T</w:t>
      </w:r>
      <w:r w:rsidRPr="00A47404" w:rsidR="00BF02BB">
        <w:rPr>
          <w:sz w:val="24"/>
          <w:lang w:eastAsia="zh-CN"/>
        </w:rPr>
        <w:t xml:space="preserve">he phlebotomists will be required to have experience in conducting all exam procedures, the training will review safety protocols and the protocol for handling adverse medical events, and specimen collection scenarios that may impact specimen quality. </w:t>
      </w:r>
    </w:p>
    <w:p w:rsidRPr="00A47404" w:rsidR="00E5033D" w:rsidP="00CB54A5" w:rsidRDefault="00565860" w14:paraId="4E557C23" w14:textId="28F14718">
      <w:pPr>
        <w:widowControl w:val="0"/>
        <w:tabs>
          <w:tab w:val="left" w:pos="2700"/>
        </w:tabs>
        <w:spacing w:before="240"/>
        <w:rPr>
          <w:color w:val="000000"/>
          <w:sz w:val="24"/>
          <w:lang w:val="en"/>
        </w:rPr>
      </w:pPr>
      <w:r w:rsidRPr="00A47404">
        <w:rPr>
          <w:color w:val="000000"/>
          <w:sz w:val="24"/>
          <w:lang w:val="en"/>
        </w:rPr>
        <w:t>Field observations will be done throughout the survey</w:t>
      </w:r>
      <w:r w:rsidRPr="00A47404" w:rsidR="007369F8">
        <w:rPr>
          <w:color w:val="000000"/>
          <w:sz w:val="24"/>
          <w:lang w:val="en"/>
        </w:rPr>
        <w:t xml:space="preserve"> by both NCHS staff and contractors</w:t>
      </w:r>
      <w:r w:rsidRPr="00A47404">
        <w:rPr>
          <w:color w:val="000000"/>
          <w:sz w:val="24"/>
          <w:lang w:val="en"/>
        </w:rPr>
        <w:t xml:space="preserve"> to monitor </w:t>
      </w:r>
      <w:r w:rsidRPr="00A47404" w:rsidR="005B64C7">
        <w:rPr>
          <w:color w:val="000000"/>
          <w:sz w:val="24"/>
          <w:lang w:val="en"/>
        </w:rPr>
        <w:t xml:space="preserve">field </w:t>
      </w:r>
      <w:r w:rsidRPr="00A47404">
        <w:rPr>
          <w:color w:val="000000"/>
          <w:sz w:val="24"/>
          <w:lang w:val="en"/>
        </w:rPr>
        <w:t xml:space="preserve">staff performance and case management.  </w:t>
      </w:r>
      <w:r w:rsidRPr="00A47404" w:rsidR="00D36424">
        <w:rPr>
          <w:color w:val="000000"/>
          <w:sz w:val="24"/>
          <w:lang w:val="en"/>
        </w:rPr>
        <w:t xml:space="preserve">Equipment calibration and on-site inspections will be performed and documented regularly. </w:t>
      </w:r>
    </w:p>
    <w:p w:rsidRPr="00A47404" w:rsidR="00D36424" w:rsidP="00D36424" w:rsidRDefault="0021106B" w14:paraId="14860855" w14:textId="11FC741B">
      <w:pPr>
        <w:widowControl w:val="0"/>
        <w:tabs>
          <w:tab w:val="left" w:pos="2700"/>
        </w:tabs>
        <w:spacing w:before="240"/>
        <w:rPr>
          <w:color w:val="000000"/>
          <w:sz w:val="24"/>
        </w:rPr>
      </w:pPr>
      <w:r w:rsidRPr="00A47404">
        <w:rPr>
          <w:sz w:val="24"/>
        </w:rPr>
        <w:t xml:space="preserve">All confidential data will be securely electronically transmitted between the contractor and NCHS using </w:t>
      </w:r>
      <w:r w:rsidRPr="00A47404" w:rsidR="007369F8">
        <w:rPr>
          <w:sz w:val="24"/>
        </w:rPr>
        <w:t xml:space="preserve">the CDC Secure Access Management System (SAMS). </w:t>
      </w:r>
      <w:r w:rsidRPr="00A47404" w:rsidR="00D36424">
        <w:rPr>
          <w:color w:val="000000"/>
          <w:sz w:val="24"/>
          <w:lang w:val="en"/>
        </w:rPr>
        <w:t xml:space="preserve">Extensive review will be conducted regularly to verify the completeness, consistency, and analytic usefulness of the data. </w:t>
      </w:r>
    </w:p>
    <w:p w:rsidRPr="00A47404" w:rsidR="00BB5886" w:rsidP="00530284" w:rsidRDefault="00BB5886" w14:paraId="0EBEFD72" w14:textId="4EC55193">
      <w:pPr>
        <w:rPr>
          <w:sz w:val="24"/>
        </w:rPr>
      </w:pPr>
    </w:p>
    <w:p w:rsidR="00A45576" w:rsidP="00A45576" w:rsidRDefault="00A45576" w14:paraId="0B0B8EE3" w14:textId="53E74A3E">
      <w:pPr>
        <w:widowControl w:val="0"/>
        <w:tabs>
          <w:tab w:val="left" w:pos="2700"/>
        </w:tabs>
        <w:rPr>
          <w:b/>
          <w:color w:val="000000"/>
          <w:sz w:val="24"/>
        </w:rPr>
      </w:pPr>
      <w:r w:rsidRPr="00A47404">
        <w:rPr>
          <w:b/>
          <w:color w:val="000000"/>
          <w:sz w:val="24"/>
        </w:rPr>
        <w:t xml:space="preserve">Estimation Procedures </w:t>
      </w:r>
    </w:p>
    <w:p w:rsidRPr="00A47404" w:rsidR="00CB54A5" w:rsidP="00A45576" w:rsidRDefault="00CB54A5" w14:paraId="6B1818A5" w14:textId="77777777">
      <w:pPr>
        <w:widowControl w:val="0"/>
        <w:tabs>
          <w:tab w:val="left" w:pos="2700"/>
        </w:tabs>
        <w:rPr>
          <w:b/>
          <w:color w:val="000000"/>
          <w:sz w:val="24"/>
        </w:rPr>
      </w:pPr>
    </w:p>
    <w:p w:rsidRPr="00A47404" w:rsidR="00196CCC" w:rsidP="00A45576" w:rsidRDefault="00196CCC" w14:paraId="6E0EBD63" w14:textId="5587D0A5">
      <w:pPr>
        <w:widowControl w:val="0"/>
        <w:tabs>
          <w:tab w:val="left" w:pos="2700"/>
        </w:tabs>
        <w:rPr>
          <w:bCs/>
          <w:color w:val="000000"/>
          <w:sz w:val="24"/>
        </w:rPr>
      </w:pPr>
      <w:r w:rsidRPr="00A47404">
        <w:rPr>
          <w:bCs/>
          <w:color w:val="000000"/>
          <w:sz w:val="24"/>
        </w:rPr>
        <w:t>The program plans to use the following approaches to estimation.</w:t>
      </w:r>
    </w:p>
    <w:p w:rsidRPr="00A47404" w:rsidR="00196CCC" w:rsidP="00A45576" w:rsidRDefault="00196CCC" w14:paraId="63321066" w14:textId="77777777">
      <w:pPr>
        <w:widowControl w:val="0"/>
        <w:tabs>
          <w:tab w:val="left" w:pos="2700"/>
        </w:tabs>
        <w:rPr>
          <w:b/>
          <w:color w:val="000000"/>
          <w:sz w:val="24"/>
        </w:rPr>
      </w:pPr>
    </w:p>
    <w:p w:rsidRPr="00A47404" w:rsidR="0024473C" w:rsidP="000C4633" w:rsidRDefault="005A4521" w14:paraId="0FE35FE6" w14:textId="2008F274">
      <w:pPr>
        <w:pStyle w:val="Heading2"/>
        <w:keepNext w:val="0"/>
        <w:tabs>
          <w:tab w:val="clear" w:pos="1440"/>
          <w:tab w:val="clear" w:pos="2160"/>
        </w:tabs>
        <w:snapToGrid w:val="0"/>
        <w:spacing w:after="240"/>
        <w:ind w:left="0" w:firstLine="0"/>
        <w:rPr>
          <w:b w:val="0"/>
        </w:rPr>
      </w:pPr>
      <w:r w:rsidRPr="00A47404">
        <w:rPr>
          <w:b w:val="0"/>
        </w:rPr>
        <w:t xml:space="preserve">The first step of the analysis will be to </w:t>
      </w:r>
      <w:r w:rsidRPr="00A47404" w:rsidR="007F5B52">
        <w:rPr>
          <w:b w:val="0"/>
        </w:rPr>
        <w:t xml:space="preserve">evaluate patterns </w:t>
      </w:r>
      <w:r w:rsidRPr="00A47404" w:rsidR="00A5604D">
        <w:rPr>
          <w:b w:val="0"/>
        </w:rPr>
        <w:t>of response</w:t>
      </w:r>
      <w:r w:rsidRPr="00A47404">
        <w:rPr>
          <w:b w:val="0"/>
        </w:rPr>
        <w:t xml:space="preserve">. </w:t>
      </w:r>
      <w:r w:rsidRPr="00A47404" w:rsidR="007F5B52">
        <w:rPr>
          <w:b w:val="0"/>
        </w:rPr>
        <w:t xml:space="preserve">We will calculate overall response rates taking into account all the steps of nonresponse, as well as agreement and participation rates </w:t>
      </w:r>
      <w:r w:rsidRPr="00A47404">
        <w:rPr>
          <w:b w:val="0"/>
        </w:rPr>
        <w:t>at each step of the process (recruitment, scheduling</w:t>
      </w:r>
      <w:r w:rsidRPr="00A47404" w:rsidR="00EB1C09">
        <w:rPr>
          <w:b w:val="0"/>
        </w:rPr>
        <w:t>, and the exam itself</w:t>
      </w:r>
      <w:r w:rsidRPr="00A47404">
        <w:rPr>
          <w:b w:val="0"/>
        </w:rPr>
        <w:t xml:space="preserve">). </w:t>
      </w:r>
      <w:r w:rsidRPr="00A47404" w:rsidR="00EB1C09">
        <w:rPr>
          <w:b w:val="0"/>
        </w:rPr>
        <w:t xml:space="preserve">We will also calculate completion rates for each exam component (anthropometrics, blood pressure measurement, urine collection, blood collection). </w:t>
      </w:r>
      <w:r w:rsidRPr="00A47404">
        <w:rPr>
          <w:b w:val="0"/>
        </w:rPr>
        <w:t xml:space="preserve">This </w:t>
      </w:r>
      <w:r w:rsidRPr="00A47404" w:rsidR="007F5B52">
        <w:rPr>
          <w:b w:val="0"/>
        </w:rPr>
        <w:t xml:space="preserve">evaluation </w:t>
      </w:r>
      <w:r w:rsidRPr="00A47404">
        <w:rPr>
          <w:b w:val="0"/>
        </w:rPr>
        <w:t xml:space="preserve">will also include the calculation of conditional rates, such as the refusal and no-show rate among participants who scheduled appointment and conditional completion rates of each step in the process among those who made it to the previous step in the process.  </w:t>
      </w:r>
      <w:r w:rsidRPr="00A47404" w:rsidR="007F5B52">
        <w:rPr>
          <w:b w:val="0"/>
        </w:rPr>
        <w:t xml:space="preserve">Since </w:t>
      </w:r>
      <w:r w:rsidRPr="00A47404" w:rsidR="00A64673">
        <w:rPr>
          <w:b w:val="0"/>
        </w:rPr>
        <w:t>all respondents and non</w:t>
      </w:r>
      <w:r w:rsidRPr="00A47404" w:rsidR="00EB1C09">
        <w:rPr>
          <w:b w:val="0"/>
        </w:rPr>
        <w:t>-</w:t>
      </w:r>
      <w:r w:rsidRPr="00A47404" w:rsidR="00A64673">
        <w:rPr>
          <w:b w:val="0"/>
        </w:rPr>
        <w:t>respondents to this study will have participated in the NHIS main interview, to the extent sample sizes permit, we</w:t>
      </w:r>
      <w:r w:rsidRPr="00A47404" w:rsidR="007F5B52">
        <w:rPr>
          <w:b w:val="0"/>
        </w:rPr>
        <w:t xml:space="preserve"> </w:t>
      </w:r>
      <w:r w:rsidRPr="00A47404">
        <w:rPr>
          <w:b w:val="0"/>
        </w:rPr>
        <w:t xml:space="preserve">will also </w:t>
      </w:r>
      <w:r w:rsidRPr="00A47404" w:rsidR="00A64673">
        <w:rPr>
          <w:b w:val="0"/>
        </w:rPr>
        <w:t xml:space="preserve">be able to </w:t>
      </w:r>
      <w:r w:rsidRPr="00A47404" w:rsidR="007F5B52">
        <w:rPr>
          <w:b w:val="0"/>
        </w:rPr>
        <w:t>evaluate response</w:t>
      </w:r>
      <w:r w:rsidRPr="00A47404">
        <w:rPr>
          <w:b w:val="0"/>
        </w:rPr>
        <w:t xml:space="preserve"> rates b</w:t>
      </w:r>
      <w:r w:rsidRPr="00A47404" w:rsidR="009C7CBA">
        <w:rPr>
          <w:b w:val="0"/>
        </w:rPr>
        <w:t xml:space="preserve">y </w:t>
      </w:r>
      <w:r w:rsidRPr="00A47404" w:rsidR="002310C2">
        <w:rPr>
          <w:b w:val="0"/>
        </w:rPr>
        <w:t xml:space="preserve">demographic </w:t>
      </w:r>
      <w:r w:rsidRPr="00A47404" w:rsidR="0052716F">
        <w:rPr>
          <w:b w:val="0"/>
        </w:rPr>
        <w:t xml:space="preserve">characteristics such as </w:t>
      </w:r>
      <w:r w:rsidRPr="00A47404">
        <w:rPr>
          <w:b w:val="0"/>
        </w:rPr>
        <w:t>age</w:t>
      </w:r>
      <w:r w:rsidRPr="00A47404" w:rsidR="00F97DCB">
        <w:rPr>
          <w:b w:val="0"/>
        </w:rPr>
        <w:t xml:space="preserve"> group</w:t>
      </w:r>
      <w:r w:rsidRPr="00A47404">
        <w:rPr>
          <w:b w:val="0"/>
        </w:rPr>
        <w:t>, sex,</w:t>
      </w:r>
      <w:r w:rsidRPr="00A47404" w:rsidR="009C7CBA">
        <w:rPr>
          <w:b w:val="0"/>
        </w:rPr>
        <w:t xml:space="preserve"> urbanicity,</w:t>
      </w:r>
      <w:r w:rsidRPr="00A47404">
        <w:rPr>
          <w:b w:val="0"/>
        </w:rPr>
        <w:t xml:space="preserve"> rac</w:t>
      </w:r>
      <w:r w:rsidRPr="00A47404" w:rsidR="009C7CBA">
        <w:rPr>
          <w:b w:val="0"/>
        </w:rPr>
        <w:t>e</w:t>
      </w:r>
      <w:r w:rsidRPr="00A47404" w:rsidR="00F97DCB">
        <w:rPr>
          <w:b w:val="0"/>
        </w:rPr>
        <w:t xml:space="preserve"> and Hispanic origin</w:t>
      </w:r>
      <w:r w:rsidRPr="00A47404" w:rsidR="009C7CBA">
        <w:rPr>
          <w:b w:val="0"/>
        </w:rPr>
        <w:t xml:space="preserve">, health conditions </w:t>
      </w:r>
      <w:r w:rsidRPr="00A47404" w:rsidR="00E5033D">
        <w:rPr>
          <w:b w:val="0"/>
        </w:rPr>
        <w:t xml:space="preserve">such as </w:t>
      </w:r>
      <w:r w:rsidRPr="00A47404" w:rsidR="009C7CBA">
        <w:rPr>
          <w:b w:val="0"/>
        </w:rPr>
        <w:t>cardiovascular disease</w:t>
      </w:r>
      <w:r w:rsidRPr="00A47404" w:rsidR="00E5033D">
        <w:rPr>
          <w:b w:val="0"/>
        </w:rPr>
        <w:t xml:space="preserve"> and</w:t>
      </w:r>
      <w:r w:rsidRPr="00A47404" w:rsidR="009C7CBA">
        <w:rPr>
          <w:b w:val="0"/>
        </w:rPr>
        <w:t xml:space="preserve"> diabetes</w:t>
      </w:r>
      <w:r w:rsidRPr="00A47404" w:rsidR="0052716F">
        <w:rPr>
          <w:b w:val="0"/>
        </w:rPr>
        <w:t>, and health care access and utilization variables such as whether or not the respondent has health insurance coverage or a usual source of health care. The goal of this analysis is</w:t>
      </w:r>
      <w:r w:rsidRPr="00A47404">
        <w:rPr>
          <w:b w:val="0"/>
        </w:rPr>
        <w:t xml:space="preserve"> </w:t>
      </w:r>
      <w:r w:rsidRPr="00A47404" w:rsidR="00A45576">
        <w:rPr>
          <w:b w:val="0"/>
        </w:rPr>
        <w:t>to assess how demographic factors</w:t>
      </w:r>
      <w:r w:rsidRPr="00A47404" w:rsidR="0052716F">
        <w:rPr>
          <w:b w:val="0"/>
        </w:rPr>
        <w:t xml:space="preserve">, </w:t>
      </w:r>
      <w:r w:rsidRPr="00A47404" w:rsidR="009C7CBA">
        <w:rPr>
          <w:b w:val="0"/>
        </w:rPr>
        <w:t>health</w:t>
      </w:r>
      <w:r w:rsidRPr="00A47404" w:rsidR="0052716F">
        <w:rPr>
          <w:b w:val="0"/>
        </w:rPr>
        <w:t>, and health care access and utilization</w:t>
      </w:r>
      <w:r w:rsidRPr="00A47404" w:rsidR="009C7CBA">
        <w:rPr>
          <w:b w:val="0"/>
        </w:rPr>
        <w:t xml:space="preserve"> </w:t>
      </w:r>
      <w:r w:rsidRPr="00A47404" w:rsidR="00A45576">
        <w:rPr>
          <w:b w:val="0"/>
        </w:rPr>
        <w:t xml:space="preserve">are related to the </w:t>
      </w:r>
      <w:r w:rsidRPr="00A47404" w:rsidR="009C7CBA">
        <w:rPr>
          <w:b w:val="0"/>
        </w:rPr>
        <w:t xml:space="preserve">likelihood of participation. </w:t>
      </w:r>
      <w:r w:rsidRPr="00A47404" w:rsidR="00F97DCB">
        <w:rPr>
          <w:b w:val="0"/>
        </w:rPr>
        <w:t xml:space="preserve"> </w:t>
      </w:r>
    </w:p>
    <w:p w:rsidRPr="00A47404" w:rsidR="0024473C" w:rsidP="0024473C" w:rsidRDefault="0024473C" w14:paraId="45901299" w14:textId="537ED583">
      <w:pPr>
        <w:rPr>
          <w:sz w:val="24"/>
        </w:rPr>
      </w:pPr>
      <w:r w:rsidRPr="00A47404">
        <w:rPr>
          <w:sz w:val="24"/>
        </w:rPr>
        <w:t xml:space="preserve">The second step of the analysis will </w:t>
      </w:r>
      <w:r w:rsidRPr="00A47404" w:rsidR="00A64673">
        <w:rPr>
          <w:sz w:val="24"/>
        </w:rPr>
        <w:t>focus on participant concerns and reasons for refusal as they are potentially related to non</w:t>
      </w:r>
      <w:r w:rsidRPr="00A47404">
        <w:rPr>
          <w:sz w:val="24"/>
        </w:rPr>
        <w:t>response</w:t>
      </w:r>
      <w:r w:rsidRPr="00A47404" w:rsidR="00A64673">
        <w:rPr>
          <w:sz w:val="24"/>
        </w:rPr>
        <w:t xml:space="preserve"> bias</w:t>
      </w:r>
      <w:r w:rsidRPr="00A47404">
        <w:rPr>
          <w:sz w:val="24"/>
        </w:rPr>
        <w:t xml:space="preserve">, cost, and data quality. Specifically, the second step will involve the calculation of percentage of </w:t>
      </w:r>
      <w:r w:rsidRPr="00A47404" w:rsidR="00BD3884">
        <w:rPr>
          <w:sz w:val="24"/>
        </w:rPr>
        <w:t>participant</w:t>
      </w:r>
      <w:r w:rsidRPr="00A47404">
        <w:rPr>
          <w:sz w:val="24"/>
        </w:rPr>
        <w:t xml:space="preserve">s at each stage who express particular types of concerns and give particular reasons for refusals. This analysis will also be repeated by demographic and health characteristics, to learn whether </w:t>
      </w:r>
      <w:r w:rsidRPr="00A47404">
        <w:rPr>
          <w:sz w:val="24"/>
        </w:rPr>
        <w:lastRenderedPageBreak/>
        <w:t>concerns and reasons for refusal differ across groups.  These</w:t>
      </w:r>
      <w:r w:rsidRPr="00A47404" w:rsidR="000C4633">
        <w:rPr>
          <w:sz w:val="24"/>
        </w:rPr>
        <w:t xml:space="preserve"> </w:t>
      </w:r>
      <w:r w:rsidRPr="00A47404">
        <w:rPr>
          <w:sz w:val="24"/>
        </w:rPr>
        <w:t xml:space="preserve">data will be recorded mostly verbatim during the recruitment, scheduling, and exam process and coded after the completion of data collection.  </w:t>
      </w:r>
    </w:p>
    <w:p w:rsidRPr="00A47404" w:rsidR="0024473C" w:rsidP="0024473C" w:rsidRDefault="0024473C" w14:paraId="2D42AE1C" w14:textId="77777777">
      <w:pPr>
        <w:rPr>
          <w:sz w:val="24"/>
        </w:rPr>
      </w:pPr>
    </w:p>
    <w:p w:rsidRPr="00A47404" w:rsidR="0024473C" w:rsidP="0024473C" w:rsidRDefault="0024473C" w14:paraId="36B3729E" w14:textId="64FC79E4">
      <w:pPr>
        <w:rPr>
          <w:sz w:val="24"/>
        </w:rPr>
      </w:pPr>
      <w:r w:rsidRPr="00A47404">
        <w:rPr>
          <w:sz w:val="24"/>
        </w:rPr>
        <w:t xml:space="preserve">The third step of the analysis will be to calculate </w:t>
      </w:r>
      <w:r w:rsidRPr="00A47404" w:rsidR="002310C2">
        <w:rPr>
          <w:sz w:val="24"/>
        </w:rPr>
        <w:t xml:space="preserve">summary </w:t>
      </w:r>
      <w:r w:rsidRPr="00A47404">
        <w:rPr>
          <w:sz w:val="24"/>
        </w:rPr>
        <w:t>statistics related to other possible challenges to high response rates and high</w:t>
      </w:r>
      <w:r w:rsidRPr="00A47404" w:rsidR="00B72D98">
        <w:rPr>
          <w:sz w:val="24"/>
        </w:rPr>
        <w:t>-</w:t>
      </w:r>
      <w:r w:rsidRPr="00A47404">
        <w:rPr>
          <w:sz w:val="24"/>
        </w:rPr>
        <w:t xml:space="preserve">quality data. </w:t>
      </w:r>
      <w:r w:rsidRPr="00A47404" w:rsidR="008459A2">
        <w:rPr>
          <w:sz w:val="24"/>
        </w:rPr>
        <w:t>This includes the mean time between interview and first contact attempt, first contact attempt and exam among those who at least start the exam</w:t>
      </w:r>
      <w:r w:rsidRPr="00A47404" w:rsidR="004601AC">
        <w:rPr>
          <w:sz w:val="24"/>
        </w:rPr>
        <w:t>;</w:t>
      </w:r>
      <w:r w:rsidRPr="00A47404" w:rsidR="008459A2">
        <w:rPr>
          <w:sz w:val="24"/>
        </w:rPr>
        <w:t xml:space="preserve"> </w:t>
      </w:r>
      <w:r w:rsidRPr="00A47404" w:rsidR="004601AC">
        <w:rPr>
          <w:sz w:val="24"/>
        </w:rPr>
        <w:t xml:space="preserve">percentage of exams with a variety of types of problems and challenges (also recorded during the exam); and the percentage of blood and urine samples collected that could be analyzed for any/all analytes. </w:t>
      </w:r>
    </w:p>
    <w:p w:rsidRPr="00A47404" w:rsidR="00A45576" w:rsidP="00A45576" w:rsidRDefault="0024473C" w14:paraId="7B2D61A7" w14:textId="641E054E">
      <w:pPr>
        <w:spacing w:before="240"/>
        <w:rPr>
          <w:sz w:val="24"/>
        </w:rPr>
      </w:pPr>
      <w:r w:rsidRPr="00A47404">
        <w:rPr>
          <w:sz w:val="24"/>
        </w:rPr>
        <w:t>Finally, n</w:t>
      </w:r>
      <w:r w:rsidRPr="00A47404" w:rsidR="00A45576">
        <w:rPr>
          <w:sz w:val="24"/>
        </w:rPr>
        <w:t xml:space="preserve">on-response bias assessments will be conducted using </w:t>
      </w:r>
      <w:r w:rsidRPr="00A47404" w:rsidR="00FE732D">
        <w:rPr>
          <w:sz w:val="24"/>
        </w:rPr>
        <w:t>NHIS</w:t>
      </w:r>
      <w:r w:rsidRPr="00A47404" w:rsidR="00A45576">
        <w:rPr>
          <w:sz w:val="24"/>
        </w:rPr>
        <w:t xml:space="preserve"> health and demographic data. While </w:t>
      </w:r>
      <w:r w:rsidRPr="00A47404">
        <w:rPr>
          <w:sz w:val="24"/>
        </w:rPr>
        <w:t xml:space="preserve">the power to detect differences will be limited by the small sample size of this pilot study, </w:t>
      </w:r>
      <w:r w:rsidRPr="00A47404" w:rsidR="00FE732D">
        <w:rPr>
          <w:sz w:val="24"/>
        </w:rPr>
        <w:t xml:space="preserve">this analysis </w:t>
      </w:r>
      <w:r w:rsidRPr="00A47404" w:rsidR="006C4E51">
        <w:rPr>
          <w:sz w:val="24"/>
        </w:rPr>
        <w:t>should</w:t>
      </w:r>
      <w:r w:rsidRPr="00A47404" w:rsidR="00A45576">
        <w:rPr>
          <w:sz w:val="24"/>
        </w:rPr>
        <w:t xml:space="preserve"> provide provisional information about the differences between </w:t>
      </w:r>
      <w:r w:rsidRPr="00A47404" w:rsidR="00BD3884">
        <w:rPr>
          <w:sz w:val="24"/>
        </w:rPr>
        <w:t>participant</w:t>
      </w:r>
      <w:r w:rsidRPr="00A47404" w:rsidR="00A45576">
        <w:rPr>
          <w:sz w:val="24"/>
        </w:rPr>
        <w:t>s and non-</w:t>
      </w:r>
      <w:r w:rsidRPr="00A47404" w:rsidR="00BD3884">
        <w:rPr>
          <w:sz w:val="24"/>
        </w:rPr>
        <w:t>participant</w:t>
      </w:r>
      <w:r w:rsidRPr="00A47404" w:rsidR="00A45576">
        <w:rPr>
          <w:sz w:val="24"/>
        </w:rPr>
        <w:t xml:space="preserve">s. </w:t>
      </w:r>
    </w:p>
    <w:p w:rsidRPr="00A47404" w:rsidR="00F70F52" w:rsidP="00A45576" w:rsidRDefault="00F70F52" w14:paraId="6EBE661D" w14:textId="140D0B7F">
      <w:pPr>
        <w:spacing w:before="240"/>
        <w:rPr>
          <w:color w:val="000000"/>
          <w:sz w:val="24"/>
        </w:rPr>
      </w:pPr>
      <w:r w:rsidRPr="00A47404">
        <w:rPr>
          <w:sz w:val="24"/>
        </w:rPr>
        <w:t>The results of the evaluation of the pilot data will be used to develop recommendations for a larger field test or full</w:t>
      </w:r>
      <w:r w:rsidRPr="00A47404" w:rsidR="00FE3DFC">
        <w:rPr>
          <w:sz w:val="24"/>
        </w:rPr>
        <w:t>-</w:t>
      </w:r>
      <w:r w:rsidRPr="00A47404">
        <w:rPr>
          <w:sz w:val="24"/>
        </w:rPr>
        <w:t>scale implementation.</w:t>
      </w:r>
    </w:p>
    <w:p w:rsidRPr="00A47404" w:rsidR="00A45576" w:rsidP="00530284" w:rsidRDefault="00A45576" w14:paraId="01D6EC8E" w14:textId="77777777">
      <w:pPr>
        <w:rPr>
          <w:sz w:val="24"/>
        </w:rPr>
      </w:pPr>
    </w:p>
    <w:p w:rsidRPr="00A47404" w:rsidR="00F72BAD" w:rsidP="004262B9" w:rsidRDefault="00F72BAD" w14:paraId="61AC766F" w14:textId="53E00829">
      <w:pPr>
        <w:pStyle w:val="Heading2"/>
        <w:ind w:hanging="2880"/>
        <w:rPr>
          <w:b w:val="0"/>
        </w:rPr>
      </w:pPr>
      <w:bookmarkStart w:name="_Toc172096617" w:id="8"/>
      <w:r w:rsidRPr="00A47404">
        <w:rPr>
          <w:b w:val="0"/>
        </w:rPr>
        <w:t>3.  Methods to maximize response rates and deal with nonresponse</w:t>
      </w:r>
      <w:bookmarkEnd w:id="8"/>
    </w:p>
    <w:p w:rsidRPr="00A47404" w:rsidR="00C70184" w:rsidP="00C70184" w:rsidRDefault="00134C93" w14:paraId="5DF4F1EA" w14:textId="124A0577">
      <w:pPr>
        <w:widowControl w:val="0"/>
        <w:tabs>
          <w:tab w:val="left" w:pos="2700"/>
        </w:tabs>
        <w:spacing w:before="240"/>
        <w:rPr>
          <w:color w:val="000000"/>
          <w:sz w:val="24"/>
        </w:rPr>
      </w:pPr>
      <w:r w:rsidRPr="00A47404">
        <w:rPr>
          <w:color w:val="000000"/>
          <w:sz w:val="24"/>
        </w:rPr>
        <w:t xml:space="preserve">Schedulers and </w:t>
      </w:r>
      <w:r w:rsidRPr="00A47404" w:rsidR="00D96F0C">
        <w:rPr>
          <w:color w:val="000000"/>
          <w:sz w:val="24"/>
        </w:rPr>
        <w:t>health representative</w:t>
      </w:r>
      <w:r w:rsidRPr="00A47404" w:rsidR="008F0F3C">
        <w:rPr>
          <w:color w:val="000000"/>
          <w:sz w:val="24"/>
        </w:rPr>
        <w:t>s</w:t>
      </w:r>
      <w:r w:rsidRPr="00A47404" w:rsidR="00C70184">
        <w:rPr>
          <w:color w:val="000000"/>
          <w:sz w:val="24"/>
        </w:rPr>
        <w:t xml:space="preserve"> </w:t>
      </w:r>
      <w:r w:rsidRPr="00A47404" w:rsidR="000115BA">
        <w:rPr>
          <w:color w:val="000000"/>
          <w:sz w:val="24"/>
        </w:rPr>
        <w:t xml:space="preserve">will be trained in a variety of </w:t>
      </w:r>
      <w:r w:rsidRPr="00A47404" w:rsidR="008F0F3C">
        <w:rPr>
          <w:color w:val="000000"/>
          <w:sz w:val="24"/>
        </w:rPr>
        <w:t>strategies</w:t>
      </w:r>
      <w:r w:rsidRPr="00A47404" w:rsidR="000115BA">
        <w:rPr>
          <w:color w:val="000000"/>
          <w:sz w:val="24"/>
        </w:rPr>
        <w:t xml:space="preserve"> to </w:t>
      </w:r>
      <w:r w:rsidRPr="00A47404" w:rsidR="008F0F3C">
        <w:rPr>
          <w:color w:val="000000"/>
          <w:sz w:val="24"/>
        </w:rPr>
        <w:t xml:space="preserve">gain cooperation, </w:t>
      </w:r>
      <w:r w:rsidRPr="00A47404" w:rsidR="00284652">
        <w:rPr>
          <w:color w:val="000000"/>
          <w:sz w:val="24"/>
        </w:rPr>
        <w:t xml:space="preserve">and </w:t>
      </w:r>
      <w:r w:rsidRPr="00A47404" w:rsidR="008F0F3C">
        <w:rPr>
          <w:color w:val="000000"/>
          <w:sz w:val="24"/>
        </w:rPr>
        <w:t xml:space="preserve">avert and </w:t>
      </w:r>
      <w:r w:rsidRPr="00A47404" w:rsidR="000115BA">
        <w:rPr>
          <w:color w:val="000000"/>
          <w:sz w:val="24"/>
        </w:rPr>
        <w:t>convert refusals</w:t>
      </w:r>
      <w:r w:rsidRPr="00A47404" w:rsidR="00C70184">
        <w:rPr>
          <w:color w:val="000000"/>
          <w:sz w:val="24"/>
        </w:rPr>
        <w:t xml:space="preserve"> </w:t>
      </w:r>
      <w:r w:rsidRPr="00A47404" w:rsidR="008F0F3C">
        <w:rPr>
          <w:color w:val="000000"/>
          <w:sz w:val="24"/>
        </w:rPr>
        <w:t>including</w:t>
      </w:r>
    </w:p>
    <w:p w:rsidRPr="00A47404" w:rsidR="008F0F3C" w:rsidP="00C70184" w:rsidRDefault="00284652" w14:paraId="0A9A20AA" w14:textId="41F8610D">
      <w:pPr>
        <w:pStyle w:val="ListParagraph"/>
        <w:widowControl w:val="0"/>
        <w:numPr>
          <w:ilvl w:val="0"/>
          <w:numId w:val="10"/>
        </w:numPr>
        <w:tabs>
          <w:tab w:val="left" w:pos="2700"/>
        </w:tabs>
        <w:rPr>
          <w:color w:val="000000"/>
          <w:sz w:val="24"/>
        </w:rPr>
      </w:pPr>
      <w:r w:rsidRPr="00A47404">
        <w:rPr>
          <w:sz w:val="24"/>
          <w:lang w:eastAsia="zh-CN"/>
        </w:rPr>
        <w:t xml:space="preserve">Gaining potential participant trust by providing clear, </w:t>
      </w:r>
      <w:r w:rsidRPr="00A47404" w:rsidR="00A53597">
        <w:rPr>
          <w:sz w:val="24"/>
          <w:lang w:eastAsia="zh-CN"/>
        </w:rPr>
        <w:t xml:space="preserve">thorough, succinct </w:t>
      </w:r>
      <w:r w:rsidRPr="00A47404">
        <w:rPr>
          <w:sz w:val="24"/>
          <w:lang w:eastAsia="zh-CN"/>
        </w:rPr>
        <w:t>answers to</w:t>
      </w:r>
      <w:r w:rsidRPr="00A47404" w:rsidR="008F0F3C">
        <w:rPr>
          <w:sz w:val="24"/>
          <w:lang w:eastAsia="zh-CN"/>
        </w:rPr>
        <w:t xml:space="preserve"> questions about the </w:t>
      </w:r>
      <w:r w:rsidRPr="00A47404" w:rsidR="000115BA">
        <w:rPr>
          <w:sz w:val="24"/>
          <w:lang w:eastAsia="zh-CN"/>
        </w:rPr>
        <w:t xml:space="preserve">purpose, goals, and logistics of the </w:t>
      </w:r>
      <w:r w:rsidRPr="00A47404" w:rsidR="008F0F3C">
        <w:rPr>
          <w:sz w:val="24"/>
          <w:lang w:eastAsia="zh-CN"/>
        </w:rPr>
        <w:t>study</w:t>
      </w:r>
    </w:p>
    <w:p w:rsidRPr="00A47404" w:rsidR="008F0F3C" w:rsidP="00C70184" w:rsidRDefault="00284652" w14:paraId="0C56B217" w14:textId="511D6DDE">
      <w:pPr>
        <w:pStyle w:val="ListParagraph"/>
        <w:widowControl w:val="0"/>
        <w:numPr>
          <w:ilvl w:val="0"/>
          <w:numId w:val="10"/>
        </w:numPr>
        <w:tabs>
          <w:tab w:val="left" w:pos="2700"/>
        </w:tabs>
        <w:rPr>
          <w:color w:val="000000"/>
          <w:sz w:val="24"/>
        </w:rPr>
      </w:pPr>
      <w:r w:rsidRPr="00A47404">
        <w:rPr>
          <w:sz w:val="24"/>
          <w:lang w:eastAsia="zh-CN"/>
        </w:rPr>
        <w:t>Reducing potential participant skepticism about the study by a</w:t>
      </w:r>
      <w:r w:rsidRPr="00A47404" w:rsidR="008F0F3C">
        <w:rPr>
          <w:sz w:val="24"/>
          <w:lang w:eastAsia="zh-CN"/>
        </w:rPr>
        <w:t>ddressing common participant concerns</w:t>
      </w:r>
    </w:p>
    <w:p w:rsidRPr="00A47404" w:rsidR="008F0F3C" w:rsidP="00C70184" w:rsidRDefault="00284652" w14:paraId="05A1D7A1" w14:textId="06CA9371">
      <w:pPr>
        <w:pStyle w:val="ListParagraph"/>
        <w:widowControl w:val="0"/>
        <w:numPr>
          <w:ilvl w:val="0"/>
          <w:numId w:val="10"/>
        </w:numPr>
        <w:tabs>
          <w:tab w:val="left" w:pos="2700"/>
        </w:tabs>
        <w:rPr>
          <w:color w:val="000000"/>
          <w:sz w:val="24"/>
        </w:rPr>
      </w:pPr>
      <w:r w:rsidRPr="00A47404">
        <w:rPr>
          <w:sz w:val="24"/>
          <w:lang w:eastAsia="zh-CN"/>
        </w:rPr>
        <w:t xml:space="preserve">Increasing potential participant </w:t>
      </w:r>
      <w:r w:rsidRPr="00A47404" w:rsidR="00A53597">
        <w:rPr>
          <w:sz w:val="24"/>
          <w:lang w:eastAsia="zh-CN"/>
        </w:rPr>
        <w:t xml:space="preserve">motivation to participate in the study by </w:t>
      </w:r>
      <w:r w:rsidRPr="00A47404" w:rsidR="008F0F3C">
        <w:rPr>
          <w:sz w:val="24"/>
          <w:lang w:eastAsia="zh-CN"/>
        </w:rPr>
        <w:t xml:space="preserve">explaining how the study will benefit the participant, the CDC, and the nation </w:t>
      </w:r>
    </w:p>
    <w:p w:rsidRPr="00A47404" w:rsidR="00A53597" w:rsidP="00A53597" w:rsidRDefault="00A53597" w14:paraId="67C890F9" w14:textId="77777777">
      <w:pPr>
        <w:widowControl w:val="0"/>
        <w:tabs>
          <w:tab w:val="left" w:pos="2700"/>
        </w:tabs>
        <w:rPr>
          <w:color w:val="000000"/>
          <w:sz w:val="24"/>
        </w:rPr>
      </w:pPr>
    </w:p>
    <w:p w:rsidRPr="00A47404" w:rsidR="009C72E2" w:rsidP="00A53597" w:rsidRDefault="00A53597" w14:paraId="6E91B16B" w14:textId="39FC2967">
      <w:pPr>
        <w:widowControl w:val="0"/>
        <w:tabs>
          <w:tab w:val="left" w:pos="2700"/>
        </w:tabs>
        <w:rPr>
          <w:color w:val="000000"/>
          <w:sz w:val="24"/>
        </w:rPr>
      </w:pPr>
      <w:r w:rsidRPr="00A47404">
        <w:rPr>
          <w:color w:val="000000"/>
          <w:sz w:val="24"/>
        </w:rPr>
        <w:t xml:space="preserve">In addition, </w:t>
      </w:r>
      <w:r w:rsidRPr="00A47404" w:rsidR="00D96F0C">
        <w:rPr>
          <w:color w:val="000000"/>
          <w:sz w:val="24"/>
        </w:rPr>
        <w:t>health representative</w:t>
      </w:r>
      <w:r w:rsidRPr="00A47404" w:rsidR="009C72E2">
        <w:rPr>
          <w:color w:val="000000"/>
          <w:sz w:val="24"/>
        </w:rPr>
        <w:t xml:space="preserve">s will be trained in </w:t>
      </w:r>
      <w:r w:rsidRPr="00A47404" w:rsidR="009C72E2">
        <w:rPr>
          <w:sz w:val="24"/>
          <w:lang w:eastAsia="zh-CN"/>
        </w:rPr>
        <w:t>allying participant fears, putting participants at ease, and encouraging participation in each study component</w:t>
      </w:r>
    </w:p>
    <w:p w:rsidRPr="00A47404" w:rsidR="000115BA" w:rsidP="000115BA" w:rsidRDefault="000115BA" w14:paraId="22B9D91D" w14:textId="6E0974C4">
      <w:pPr>
        <w:widowControl w:val="0"/>
        <w:tabs>
          <w:tab w:val="left" w:pos="2700"/>
        </w:tabs>
        <w:rPr>
          <w:color w:val="000000"/>
          <w:sz w:val="24"/>
        </w:rPr>
      </w:pPr>
    </w:p>
    <w:p w:rsidRPr="00A47404" w:rsidR="000115BA" w:rsidP="000115BA" w:rsidRDefault="000115BA" w14:paraId="7BD171F2" w14:textId="2D0D3CBD">
      <w:pPr>
        <w:widowControl w:val="0"/>
        <w:tabs>
          <w:tab w:val="left" w:pos="2700"/>
        </w:tabs>
        <w:rPr>
          <w:color w:val="000000"/>
          <w:sz w:val="24"/>
        </w:rPr>
      </w:pPr>
      <w:r w:rsidRPr="00A47404">
        <w:rPr>
          <w:color w:val="000000"/>
          <w:sz w:val="24"/>
        </w:rPr>
        <w:t>Other methods to maximize response include:</w:t>
      </w:r>
    </w:p>
    <w:p w:rsidRPr="00A47404" w:rsidR="008F0F3C" w:rsidP="008F0F3C" w:rsidRDefault="008F0F3C" w14:paraId="21C1FB49" w14:textId="77777777">
      <w:pPr>
        <w:pStyle w:val="ListParagraph"/>
        <w:widowControl w:val="0"/>
        <w:numPr>
          <w:ilvl w:val="0"/>
          <w:numId w:val="10"/>
        </w:numPr>
        <w:tabs>
          <w:tab w:val="left" w:pos="2700"/>
        </w:tabs>
        <w:rPr>
          <w:color w:val="000000"/>
          <w:sz w:val="24"/>
        </w:rPr>
      </w:pPr>
      <w:r w:rsidRPr="00A47404">
        <w:rPr>
          <w:color w:val="000000"/>
          <w:sz w:val="24"/>
        </w:rPr>
        <w:t>Offering potential participants a choice of mode of contact for scheduling the appointment</w:t>
      </w:r>
    </w:p>
    <w:p w:rsidRPr="00A47404" w:rsidR="000115BA" w:rsidP="000115BA" w:rsidRDefault="000115BA" w14:paraId="1D25916E" w14:textId="331FA033">
      <w:pPr>
        <w:pStyle w:val="ListParagraph"/>
        <w:widowControl w:val="0"/>
        <w:numPr>
          <w:ilvl w:val="0"/>
          <w:numId w:val="10"/>
        </w:numPr>
        <w:tabs>
          <w:tab w:val="left" w:pos="2700"/>
        </w:tabs>
        <w:rPr>
          <w:color w:val="000000"/>
          <w:sz w:val="24"/>
        </w:rPr>
      </w:pPr>
      <w:r w:rsidRPr="00A47404">
        <w:rPr>
          <w:color w:val="000000"/>
          <w:sz w:val="24"/>
        </w:rPr>
        <w:t xml:space="preserve">Follow-up efforts including </w:t>
      </w:r>
      <w:r w:rsidRPr="00A47404" w:rsidR="00A83717">
        <w:rPr>
          <w:color w:val="000000"/>
          <w:sz w:val="24"/>
        </w:rPr>
        <w:t xml:space="preserve">the mailing of a </w:t>
      </w:r>
      <w:r w:rsidRPr="00A47404">
        <w:rPr>
          <w:color w:val="000000"/>
          <w:sz w:val="24"/>
        </w:rPr>
        <w:t>letter and brochure (Attachment</w:t>
      </w:r>
      <w:r w:rsidRPr="00A47404" w:rsidR="00A83717">
        <w:rPr>
          <w:color w:val="000000"/>
          <w:sz w:val="24"/>
        </w:rPr>
        <w:t xml:space="preserve"> 1f</w:t>
      </w:r>
      <w:r w:rsidRPr="00A47404">
        <w:rPr>
          <w:color w:val="000000"/>
          <w:sz w:val="24"/>
        </w:rPr>
        <w:t>)</w:t>
      </w:r>
    </w:p>
    <w:p w:rsidRPr="00A47404" w:rsidR="000115BA" w:rsidP="000115BA" w:rsidRDefault="000115BA" w14:paraId="47ABD822" w14:textId="77777777">
      <w:pPr>
        <w:pStyle w:val="ListParagraph"/>
        <w:widowControl w:val="0"/>
        <w:numPr>
          <w:ilvl w:val="0"/>
          <w:numId w:val="10"/>
        </w:numPr>
        <w:tabs>
          <w:tab w:val="left" w:pos="2700"/>
        </w:tabs>
        <w:rPr>
          <w:color w:val="000000"/>
          <w:sz w:val="24"/>
        </w:rPr>
      </w:pPr>
      <w:r w:rsidRPr="00A47404">
        <w:rPr>
          <w:color w:val="000000"/>
          <w:sz w:val="24"/>
        </w:rPr>
        <w:t>Flexible home exam scheduling options including evenings and weekends</w:t>
      </w:r>
    </w:p>
    <w:p w:rsidRPr="00A47404" w:rsidR="000115BA" w:rsidP="000115BA" w:rsidRDefault="000115BA" w14:paraId="268F5D01" w14:textId="77777777">
      <w:pPr>
        <w:pStyle w:val="ListParagraph"/>
        <w:widowControl w:val="0"/>
        <w:numPr>
          <w:ilvl w:val="0"/>
          <w:numId w:val="10"/>
        </w:numPr>
        <w:tabs>
          <w:tab w:val="left" w:pos="2700"/>
        </w:tabs>
        <w:rPr>
          <w:color w:val="000000"/>
          <w:sz w:val="24"/>
        </w:rPr>
      </w:pPr>
      <w:r w:rsidRPr="00A47404">
        <w:rPr>
          <w:color w:val="000000"/>
          <w:sz w:val="24"/>
        </w:rPr>
        <w:t>Telephone, text, or email reminders (as chosen by the participant) before scheduled appointments</w:t>
      </w:r>
    </w:p>
    <w:p w:rsidRPr="00A47404" w:rsidR="000115BA" w:rsidP="000115BA" w:rsidRDefault="000115BA" w14:paraId="64EFC23B" w14:textId="77777777">
      <w:pPr>
        <w:pStyle w:val="ListParagraph"/>
        <w:widowControl w:val="0"/>
        <w:numPr>
          <w:ilvl w:val="0"/>
          <w:numId w:val="10"/>
        </w:numPr>
        <w:tabs>
          <w:tab w:val="left" w:pos="2700"/>
        </w:tabs>
        <w:rPr>
          <w:color w:val="000000"/>
          <w:sz w:val="24"/>
        </w:rPr>
      </w:pPr>
      <w:r w:rsidRPr="00A47404">
        <w:rPr>
          <w:sz w:val="24"/>
        </w:rPr>
        <w:t>Use of monetary incentives</w:t>
      </w:r>
      <w:r w:rsidRPr="00A47404">
        <w:rPr>
          <w:color w:val="000000"/>
          <w:sz w:val="24"/>
        </w:rPr>
        <w:t xml:space="preserve"> as appropriate, as explained in Supporting Statement A </w:t>
      </w:r>
    </w:p>
    <w:p w:rsidRPr="00A47404" w:rsidR="000115BA" w:rsidP="000115BA" w:rsidRDefault="000115BA" w14:paraId="5CFB4D97" w14:textId="77777777">
      <w:pPr>
        <w:pStyle w:val="ListParagraph"/>
        <w:widowControl w:val="0"/>
        <w:numPr>
          <w:ilvl w:val="0"/>
          <w:numId w:val="10"/>
        </w:numPr>
        <w:tabs>
          <w:tab w:val="left" w:pos="2700"/>
        </w:tabs>
        <w:rPr>
          <w:color w:val="000000"/>
          <w:sz w:val="24"/>
        </w:rPr>
      </w:pPr>
      <w:r w:rsidRPr="00A47404">
        <w:rPr>
          <w:color w:val="000000"/>
          <w:sz w:val="24"/>
        </w:rPr>
        <w:t>Providing test results from the examination</w:t>
      </w:r>
    </w:p>
    <w:p w:rsidRPr="00A47404" w:rsidR="00C70184" w:rsidP="00C70184" w:rsidRDefault="00F65EE7" w14:paraId="383C5193" w14:textId="443BA995">
      <w:pPr>
        <w:pStyle w:val="ListParagraph"/>
        <w:widowControl w:val="0"/>
        <w:numPr>
          <w:ilvl w:val="0"/>
          <w:numId w:val="10"/>
        </w:numPr>
        <w:tabs>
          <w:tab w:val="left" w:pos="2700"/>
        </w:tabs>
        <w:rPr>
          <w:color w:val="000000"/>
          <w:sz w:val="24"/>
        </w:rPr>
      </w:pPr>
      <w:r w:rsidRPr="00A47404">
        <w:rPr>
          <w:color w:val="000000"/>
          <w:sz w:val="24"/>
        </w:rPr>
        <w:t>P</w:t>
      </w:r>
      <w:r w:rsidRPr="00A47404" w:rsidR="00C70184">
        <w:rPr>
          <w:color w:val="000000"/>
          <w:sz w:val="24"/>
        </w:rPr>
        <w:t>roactively calling participants to reschedule broken appointments</w:t>
      </w:r>
    </w:p>
    <w:p w:rsidRPr="00A47404" w:rsidR="00F72BAD" w:rsidP="004262B9" w:rsidRDefault="00F72BAD" w14:paraId="30486062" w14:textId="77777777">
      <w:pPr>
        <w:rPr>
          <w:sz w:val="24"/>
        </w:rPr>
      </w:pPr>
    </w:p>
    <w:p w:rsidRPr="00A47404" w:rsidR="00B22FBC" w:rsidP="004262B9" w:rsidRDefault="00B22FBC" w14:paraId="05A1F459" w14:textId="77777777">
      <w:pPr>
        <w:pStyle w:val="BodyText"/>
        <w:rPr>
          <w:rStyle w:val="AbtHeadE"/>
          <w:rFonts w:ascii="Times New Roman" w:hAnsi="Times New Roman" w:cs="Times New Roman"/>
          <w:sz w:val="24"/>
          <w:szCs w:val="24"/>
        </w:rPr>
      </w:pPr>
    </w:p>
    <w:p w:rsidRPr="00A47404" w:rsidR="00F72BAD" w:rsidP="004262B9" w:rsidRDefault="00F72BAD" w14:paraId="3127A9C3" w14:textId="7B4A8DE4">
      <w:pPr>
        <w:pStyle w:val="Heading2"/>
        <w:ind w:hanging="2880"/>
        <w:rPr>
          <w:b w:val="0"/>
        </w:rPr>
      </w:pPr>
      <w:bookmarkStart w:name="_Toc172096618" w:id="9"/>
      <w:r w:rsidRPr="00A47404">
        <w:rPr>
          <w:b w:val="0"/>
        </w:rPr>
        <w:lastRenderedPageBreak/>
        <w:t>4.  Tests of procedures or methods to be undertaken</w:t>
      </w:r>
      <w:bookmarkEnd w:id="9"/>
    </w:p>
    <w:p w:rsidRPr="00A47404" w:rsidR="005B4FC2" w:rsidP="00F845EC" w:rsidRDefault="005B4FC2" w14:paraId="66C2402F" w14:textId="77777777">
      <w:pPr>
        <w:rPr>
          <w:sz w:val="24"/>
        </w:rPr>
      </w:pPr>
      <w:bookmarkStart w:name="_Toc172096619" w:id="10"/>
    </w:p>
    <w:p w:rsidRPr="00A47404" w:rsidR="00694D82" w:rsidRDefault="00F65EE7" w14:paraId="2962334B" w14:textId="720734A1">
      <w:pPr>
        <w:rPr>
          <w:sz w:val="24"/>
        </w:rPr>
      </w:pPr>
      <w:r w:rsidRPr="00A47404">
        <w:rPr>
          <w:sz w:val="24"/>
        </w:rPr>
        <w:t xml:space="preserve">Wherever possible, exam protocols were adapted from those used in previous studies. </w:t>
      </w:r>
    </w:p>
    <w:p w:rsidRPr="00A47404" w:rsidR="00694D82" w:rsidRDefault="00694D82" w14:paraId="6B529E96" w14:textId="4FD39F8B">
      <w:pPr>
        <w:rPr>
          <w:sz w:val="24"/>
        </w:rPr>
      </w:pPr>
      <w:r w:rsidRPr="00A47404">
        <w:rPr>
          <w:sz w:val="24"/>
        </w:rPr>
        <w:t xml:space="preserve">The weight measurement was adapted from the one used in the highly successful 2014 Health Measures at Home Study. The urine collection protocol was adapted from the ones used in the highly successful 2017 NHANES Longitudinal Survey and Population Assessment of Tobacco and Health (PATH) study. The blood collection protocol was adapted from the one used in the PATH study. </w:t>
      </w:r>
    </w:p>
    <w:p w:rsidRPr="00A47404" w:rsidR="00910D45" w:rsidRDefault="00910D45" w14:paraId="6C65CA85" w14:textId="546B1A44">
      <w:pPr>
        <w:rPr>
          <w:sz w:val="24"/>
        </w:rPr>
      </w:pPr>
      <w:r w:rsidRPr="00A47404">
        <w:rPr>
          <w:sz w:val="24"/>
        </w:rPr>
        <w:br w:type="page"/>
      </w:r>
    </w:p>
    <w:p w:rsidRPr="00A47404" w:rsidR="00F72BAD" w:rsidP="00C2519B" w:rsidRDefault="00F72BAD" w14:paraId="05BF709C" w14:textId="704D9BFA">
      <w:pPr>
        <w:rPr>
          <w:sz w:val="24"/>
        </w:rPr>
      </w:pPr>
      <w:r w:rsidRPr="00A47404">
        <w:rPr>
          <w:sz w:val="24"/>
        </w:rPr>
        <w:lastRenderedPageBreak/>
        <w:t>5.  Individuals Consulted on Statistical Aspects and Individuals Collecting and/or Analyzing Data</w:t>
      </w:r>
      <w:bookmarkEnd w:id="10"/>
    </w:p>
    <w:p w:rsidRPr="00A47404" w:rsidR="00F72BAD" w:rsidP="004262B9" w:rsidRDefault="00F72BAD" w14:paraId="1C4FC413" w14:textId="77777777">
      <w:pPr>
        <w:rPr>
          <w:b/>
          <w:sz w:val="24"/>
        </w:rPr>
      </w:pPr>
    </w:p>
    <w:p w:rsidRPr="00A47404" w:rsidR="00BD7ABC" w:rsidP="00BD7ABC" w:rsidRDefault="00BD7ABC" w14:paraId="3B21D79B" w14:textId="08186959">
      <w:pPr>
        <w:rPr>
          <w:sz w:val="24"/>
        </w:rPr>
      </w:pPr>
      <w:r w:rsidRPr="00A47404">
        <w:rPr>
          <w:sz w:val="24"/>
        </w:rPr>
        <w:t xml:space="preserve">1) The following person </w:t>
      </w:r>
      <w:r w:rsidRPr="00A47404" w:rsidR="00132800">
        <w:rPr>
          <w:sz w:val="24"/>
        </w:rPr>
        <w:t>was</w:t>
      </w:r>
      <w:r w:rsidRPr="00A47404" w:rsidR="001059EE">
        <w:rPr>
          <w:sz w:val="24"/>
        </w:rPr>
        <w:t xml:space="preserve"> </w:t>
      </w:r>
      <w:r w:rsidRPr="00A47404">
        <w:rPr>
          <w:sz w:val="24"/>
        </w:rPr>
        <w:t xml:space="preserve">consulted in the statistical aspects of the design </w:t>
      </w:r>
      <w:r w:rsidRPr="00A47404" w:rsidR="00902958">
        <w:rPr>
          <w:sz w:val="24"/>
        </w:rPr>
        <w:t xml:space="preserve">of </w:t>
      </w:r>
      <w:r w:rsidRPr="00A47404" w:rsidR="0023304D">
        <w:rPr>
          <w:sz w:val="24"/>
        </w:rPr>
        <w:t>this study</w:t>
      </w:r>
      <w:r w:rsidRPr="00A47404">
        <w:rPr>
          <w:sz w:val="24"/>
        </w:rPr>
        <w:t>:</w:t>
      </w:r>
    </w:p>
    <w:p w:rsidRPr="00A47404" w:rsidR="00BD7ABC" w:rsidP="00BD7ABC" w:rsidRDefault="00BD7ABC" w14:paraId="1C5932D2" w14:textId="77777777">
      <w:pPr>
        <w:rPr>
          <w:sz w:val="24"/>
        </w:rPr>
      </w:pPr>
    </w:p>
    <w:p w:rsidRPr="00A47404" w:rsidR="00902958" w:rsidP="004C1118" w:rsidRDefault="00FB4E26" w14:paraId="365285EB" w14:textId="6C582F78">
      <w:pPr>
        <w:ind w:left="720"/>
        <w:rPr>
          <w:sz w:val="24"/>
        </w:rPr>
      </w:pPr>
      <w:r w:rsidRPr="00A47404">
        <w:rPr>
          <w:sz w:val="24"/>
        </w:rPr>
        <w:t>Jonaki Bose</w:t>
      </w:r>
    </w:p>
    <w:p w:rsidRPr="00A47404" w:rsidR="00902958" w:rsidP="004C1118" w:rsidRDefault="00FE3DFC" w14:paraId="545E8A06" w14:textId="4A25EAB9">
      <w:pPr>
        <w:ind w:left="720"/>
        <w:rPr>
          <w:sz w:val="24"/>
        </w:rPr>
      </w:pPr>
      <w:r w:rsidRPr="00A47404">
        <w:rPr>
          <w:sz w:val="24"/>
        </w:rPr>
        <w:t>Senior Advisor/Mathematical Statistician</w:t>
      </w:r>
    </w:p>
    <w:p w:rsidRPr="00A47404" w:rsidR="00363D59" w:rsidP="00363D59" w:rsidRDefault="00363D59" w14:paraId="2AAD5851" w14:textId="77777777">
      <w:pPr>
        <w:ind w:left="720"/>
        <w:rPr>
          <w:sz w:val="24"/>
        </w:rPr>
      </w:pPr>
      <w:r w:rsidRPr="00A47404">
        <w:rPr>
          <w:sz w:val="24"/>
        </w:rPr>
        <w:t>Division of Health Interview Statistics</w:t>
      </w:r>
    </w:p>
    <w:p w:rsidRPr="00A47404" w:rsidR="004C1118" w:rsidP="004C1118" w:rsidRDefault="004C1118" w14:paraId="6C798869" w14:textId="73058880">
      <w:pPr>
        <w:ind w:left="720"/>
        <w:rPr>
          <w:sz w:val="24"/>
        </w:rPr>
      </w:pPr>
      <w:r w:rsidRPr="00A47404">
        <w:rPr>
          <w:sz w:val="24"/>
        </w:rPr>
        <w:t>National Center for Health Statistics</w:t>
      </w:r>
    </w:p>
    <w:p w:rsidRPr="00A47404" w:rsidR="004C1118" w:rsidP="004C1118" w:rsidRDefault="004C1118" w14:paraId="0D73058E" w14:textId="77777777">
      <w:pPr>
        <w:ind w:left="720"/>
        <w:rPr>
          <w:sz w:val="24"/>
        </w:rPr>
      </w:pPr>
      <w:r w:rsidRPr="00A47404">
        <w:rPr>
          <w:sz w:val="24"/>
        </w:rPr>
        <w:t>Centers for Disease Control and Prevention</w:t>
      </w:r>
    </w:p>
    <w:p w:rsidRPr="00A47404" w:rsidR="004C1118" w:rsidP="004C1118" w:rsidRDefault="004C1118" w14:paraId="10A8D129" w14:textId="7A366CC2">
      <w:pPr>
        <w:ind w:left="720"/>
        <w:rPr>
          <w:sz w:val="24"/>
        </w:rPr>
      </w:pPr>
      <w:r w:rsidRPr="00A47404">
        <w:rPr>
          <w:sz w:val="24"/>
        </w:rPr>
        <w:t xml:space="preserve">Email: </w:t>
      </w:r>
      <w:r w:rsidRPr="00A47404" w:rsidR="00141429">
        <w:rPr>
          <w:sz w:val="24"/>
        </w:rPr>
        <w:t>jbose@cdc.gov</w:t>
      </w:r>
      <w:r w:rsidRPr="00A47404">
        <w:rPr>
          <w:sz w:val="24"/>
        </w:rPr>
        <w:t xml:space="preserve"> </w:t>
      </w:r>
    </w:p>
    <w:p w:rsidRPr="00A47404" w:rsidR="004C63D8" w:rsidP="004C1118" w:rsidRDefault="001207E3" w14:paraId="6A7F5CA8" w14:textId="2BAA975F">
      <w:pPr>
        <w:ind w:left="720"/>
        <w:rPr>
          <w:sz w:val="24"/>
        </w:rPr>
      </w:pPr>
      <w:r w:rsidRPr="00A47404">
        <w:rPr>
          <w:sz w:val="24"/>
        </w:rPr>
        <w:t>Phone</w:t>
      </w:r>
      <w:r w:rsidRPr="00A47404" w:rsidR="004C1118">
        <w:rPr>
          <w:sz w:val="24"/>
        </w:rPr>
        <w:t>: 301-458-</w:t>
      </w:r>
      <w:r w:rsidRPr="00A47404" w:rsidR="008C0FB4">
        <w:rPr>
          <w:sz w:val="24"/>
        </w:rPr>
        <w:t>4187</w:t>
      </w:r>
    </w:p>
    <w:p w:rsidRPr="00A47404" w:rsidR="00BD7ABC" w:rsidP="00BD7ABC" w:rsidRDefault="00BD7ABC" w14:paraId="3D1A2EF5" w14:textId="77777777">
      <w:pPr>
        <w:rPr>
          <w:sz w:val="24"/>
        </w:rPr>
      </w:pPr>
    </w:p>
    <w:p w:rsidRPr="00A47404" w:rsidR="00BD7ABC" w:rsidP="00BD7ABC" w:rsidRDefault="00BD7ABC" w14:paraId="30884EC9" w14:textId="314CD71D">
      <w:pPr>
        <w:rPr>
          <w:sz w:val="24"/>
        </w:rPr>
      </w:pPr>
      <w:r w:rsidRPr="00A47404">
        <w:rPr>
          <w:sz w:val="24"/>
        </w:rPr>
        <w:t xml:space="preserve">2) The following person is responsible </w:t>
      </w:r>
      <w:r w:rsidRPr="00A47404" w:rsidR="00EE21C8">
        <w:rPr>
          <w:sz w:val="24"/>
        </w:rPr>
        <w:t xml:space="preserve">for the </w:t>
      </w:r>
      <w:r w:rsidRPr="00A47404">
        <w:rPr>
          <w:sz w:val="24"/>
        </w:rPr>
        <w:t>data collection activities:</w:t>
      </w:r>
    </w:p>
    <w:p w:rsidRPr="00A47404" w:rsidR="00BD7ABC" w:rsidP="00BD7ABC" w:rsidRDefault="00BD7ABC" w14:paraId="7843506E" w14:textId="77777777">
      <w:pPr>
        <w:rPr>
          <w:sz w:val="24"/>
        </w:rPr>
      </w:pPr>
    </w:p>
    <w:p w:rsidRPr="00A47404" w:rsidR="004C63D8" w:rsidP="004C63D8" w:rsidRDefault="008C0FB4" w14:paraId="721C0080" w14:textId="5A57246B">
      <w:pPr>
        <w:ind w:left="720"/>
        <w:rPr>
          <w:sz w:val="24"/>
        </w:rPr>
      </w:pPr>
      <w:r w:rsidRPr="00A47404">
        <w:rPr>
          <w:sz w:val="24"/>
        </w:rPr>
        <w:t>Aaron Maitland</w:t>
      </w:r>
    </w:p>
    <w:p w:rsidRPr="00A47404" w:rsidR="008C0FB4" w:rsidP="008C0FB4" w:rsidRDefault="008C0FB4" w14:paraId="70389697" w14:textId="77777777">
      <w:pPr>
        <w:ind w:left="720"/>
        <w:rPr>
          <w:sz w:val="24"/>
        </w:rPr>
      </w:pPr>
      <w:r w:rsidRPr="00A47404">
        <w:rPr>
          <w:sz w:val="24"/>
        </w:rPr>
        <w:t>Chief, Planning Branch</w:t>
      </w:r>
    </w:p>
    <w:p w:rsidRPr="00A47404" w:rsidR="00363D59" w:rsidP="00363D59" w:rsidRDefault="00363D59" w14:paraId="171C1063" w14:textId="77777777">
      <w:pPr>
        <w:ind w:left="720"/>
        <w:rPr>
          <w:sz w:val="24"/>
        </w:rPr>
      </w:pPr>
      <w:r w:rsidRPr="00A47404">
        <w:rPr>
          <w:sz w:val="24"/>
        </w:rPr>
        <w:t>Division of Health Interview Statistics</w:t>
      </w:r>
    </w:p>
    <w:p w:rsidRPr="00A47404" w:rsidR="008C0FB4" w:rsidP="008C0FB4" w:rsidRDefault="008C0FB4" w14:paraId="0A411719" w14:textId="77777777">
      <w:pPr>
        <w:ind w:left="720"/>
        <w:rPr>
          <w:sz w:val="24"/>
        </w:rPr>
      </w:pPr>
      <w:r w:rsidRPr="00A47404">
        <w:rPr>
          <w:sz w:val="24"/>
        </w:rPr>
        <w:t>National Center for Health Statistics</w:t>
      </w:r>
    </w:p>
    <w:p w:rsidRPr="00A47404" w:rsidR="008C0FB4" w:rsidP="008C0FB4" w:rsidRDefault="008C0FB4" w14:paraId="7E1FD81F" w14:textId="14F73E59">
      <w:pPr>
        <w:ind w:left="720"/>
        <w:rPr>
          <w:sz w:val="24"/>
        </w:rPr>
      </w:pPr>
      <w:r w:rsidRPr="00A47404">
        <w:rPr>
          <w:sz w:val="24"/>
        </w:rPr>
        <w:t>Centers for Disease Control and Prevention</w:t>
      </w:r>
    </w:p>
    <w:p w:rsidRPr="00A47404" w:rsidR="00141429" w:rsidP="008C0FB4" w:rsidRDefault="00141429" w14:paraId="6C1F9726" w14:textId="20AC8956">
      <w:pPr>
        <w:ind w:left="720"/>
        <w:rPr>
          <w:sz w:val="24"/>
        </w:rPr>
      </w:pPr>
      <w:r w:rsidRPr="00A47404">
        <w:rPr>
          <w:sz w:val="24"/>
        </w:rPr>
        <w:t>Email: ffd5@cdc.gov</w:t>
      </w:r>
    </w:p>
    <w:p w:rsidRPr="00A47404" w:rsidR="008C0FB4" w:rsidP="008C0FB4" w:rsidRDefault="008C0FB4" w14:paraId="26B30663" w14:textId="77777777">
      <w:pPr>
        <w:ind w:left="720"/>
        <w:rPr>
          <w:sz w:val="24"/>
        </w:rPr>
      </w:pPr>
      <w:r w:rsidRPr="00A47404">
        <w:rPr>
          <w:sz w:val="24"/>
        </w:rPr>
        <w:t>Phone:  301-458-4260</w:t>
      </w:r>
    </w:p>
    <w:p w:rsidRPr="00A47404" w:rsidR="00BD7ABC" w:rsidP="00BD7ABC" w:rsidRDefault="00BD7ABC" w14:paraId="177AFBBF" w14:textId="77777777">
      <w:pPr>
        <w:rPr>
          <w:sz w:val="24"/>
        </w:rPr>
      </w:pPr>
    </w:p>
    <w:p w:rsidRPr="00A47404" w:rsidR="00BD7ABC" w:rsidP="00BD7ABC" w:rsidRDefault="00BD7ABC" w14:paraId="641896B1" w14:textId="3161496A">
      <w:pPr>
        <w:rPr>
          <w:sz w:val="24"/>
        </w:rPr>
      </w:pPr>
      <w:r w:rsidRPr="00A47404">
        <w:rPr>
          <w:sz w:val="24"/>
        </w:rPr>
        <w:t xml:space="preserve">3) The following person is responsible for </w:t>
      </w:r>
      <w:r w:rsidRPr="00A47404" w:rsidR="00EE21C8">
        <w:rPr>
          <w:sz w:val="24"/>
        </w:rPr>
        <w:t xml:space="preserve">the </w:t>
      </w:r>
      <w:r w:rsidRPr="00A47404">
        <w:rPr>
          <w:sz w:val="24"/>
        </w:rPr>
        <w:t>analysis of th</w:t>
      </w:r>
      <w:r w:rsidRPr="00A47404" w:rsidR="0023304D">
        <w:rPr>
          <w:sz w:val="24"/>
        </w:rPr>
        <w:t xml:space="preserve">is </w:t>
      </w:r>
      <w:r w:rsidRPr="00A47404" w:rsidR="003F539B">
        <w:rPr>
          <w:sz w:val="24"/>
        </w:rPr>
        <w:t>project</w:t>
      </w:r>
      <w:r w:rsidRPr="00A47404">
        <w:rPr>
          <w:sz w:val="24"/>
        </w:rPr>
        <w:t>:</w:t>
      </w:r>
    </w:p>
    <w:p w:rsidRPr="00A47404" w:rsidR="00BD7ABC" w:rsidP="00BD7ABC" w:rsidRDefault="00BD7ABC" w14:paraId="1E5A0003" w14:textId="77777777">
      <w:pPr>
        <w:rPr>
          <w:sz w:val="24"/>
        </w:rPr>
      </w:pPr>
    </w:p>
    <w:p w:rsidRPr="00A47404" w:rsidR="004C63D8" w:rsidP="004C63D8" w:rsidRDefault="00FE3DFC" w14:paraId="4B8555C0" w14:textId="2FE66963">
      <w:pPr>
        <w:ind w:left="720"/>
        <w:rPr>
          <w:sz w:val="24"/>
        </w:rPr>
      </w:pPr>
      <w:r w:rsidRPr="00A47404">
        <w:rPr>
          <w:sz w:val="24"/>
        </w:rPr>
        <w:t>Adena Galinsky</w:t>
      </w:r>
    </w:p>
    <w:p w:rsidRPr="00A47404" w:rsidR="004C63D8" w:rsidP="004C63D8" w:rsidRDefault="00FE3DFC" w14:paraId="5537731A" w14:textId="5DA4915F">
      <w:pPr>
        <w:ind w:left="720"/>
        <w:rPr>
          <w:sz w:val="24"/>
        </w:rPr>
      </w:pPr>
      <w:r w:rsidRPr="00A47404">
        <w:rPr>
          <w:sz w:val="24"/>
        </w:rPr>
        <w:t>Health Statistician</w:t>
      </w:r>
    </w:p>
    <w:p w:rsidRPr="00A47404" w:rsidR="004C63D8" w:rsidP="004C63D8" w:rsidRDefault="004C63D8" w14:paraId="4B4789CE" w14:textId="07AE5D1C">
      <w:pPr>
        <w:ind w:left="720"/>
        <w:rPr>
          <w:sz w:val="24"/>
        </w:rPr>
      </w:pPr>
      <w:r w:rsidRPr="00A47404">
        <w:rPr>
          <w:sz w:val="24"/>
        </w:rPr>
        <w:t xml:space="preserve">Division of </w:t>
      </w:r>
      <w:r w:rsidRPr="00A47404" w:rsidR="00363D59">
        <w:rPr>
          <w:sz w:val="24"/>
        </w:rPr>
        <w:t>Health Interview Statistics</w:t>
      </w:r>
    </w:p>
    <w:p w:rsidRPr="00A47404" w:rsidR="004C63D8" w:rsidP="004C63D8" w:rsidRDefault="004C63D8" w14:paraId="127E8A1E" w14:textId="77777777">
      <w:pPr>
        <w:ind w:left="720"/>
        <w:rPr>
          <w:sz w:val="24"/>
        </w:rPr>
      </w:pPr>
      <w:r w:rsidRPr="00A47404">
        <w:rPr>
          <w:sz w:val="24"/>
        </w:rPr>
        <w:t>National Center for Health Statistics</w:t>
      </w:r>
    </w:p>
    <w:p w:rsidRPr="00A47404" w:rsidR="004C63D8" w:rsidP="004C63D8" w:rsidRDefault="004C63D8" w14:paraId="1B85520E" w14:textId="72C1D5CB">
      <w:pPr>
        <w:ind w:left="720"/>
        <w:rPr>
          <w:sz w:val="24"/>
        </w:rPr>
      </w:pPr>
      <w:r w:rsidRPr="00A47404">
        <w:rPr>
          <w:sz w:val="24"/>
        </w:rPr>
        <w:t>Centers for Disease Control and Prevention</w:t>
      </w:r>
    </w:p>
    <w:p w:rsidRPr="00A47404" w:rsidR="00141429" w:rsidP="004C63D8" w:rsidRDefault="00141429" w14:paraId="1133BB58" w14:textId="5C1D03F9">
      <w:pPr>
        <w:ind w:left="720"/>
        <w:rPr>
          <w:sz w:val="24"/>
        </w:rPr>
      </w:pPr>
      <w:r w:rsidRPr="00A47404">
        <w:rPr>
          <w:sz w:val="24"/>
        </w:rPr>
        <w:t>Email:</w:t>
      </w:r>
      <w:r w:rsidRPr="00A47404" w:rsidR="00D6747C">
        <w:rPr>
          <w:sz w:val="24"/>
        </w:rPr>
        <w:t xml:space="preserve"> </w:t>
      </w:r>
      <w:r w:rsidRPr="00A47404">
        <w:rPr>
          <w:sz w:val="24"/>
        </w:rPr>
        <w:t>wpm0@cdc.gov</w:t>
      </w:r>
    </w:p>
    <w:p w:rsidRPr="00A47404" w:rsidR="004C63D8" w:rsidP="004C63D8" w:rsidRDefault="004C63D8" w14:paraId="64A99C8E" w14:textId="4CE0DE68">
      <w:pPr>
        <w:ind w:left="720"/>
        <w:rPr>
          <w:sz w:val="24"/>
        </w:rPr>
      </w:pPr>
      <w:r w:rsidRPr="00A47404">
        <w:rPr>
          <w:sz w:val="24"/>
        </w:rPr>
        <w:t>Phone:  301-458-</w:t>
      </w:r>
      <w:r w:rsidRPr="00A47404" w:rsidR="00FE3DFC">
        <w:rPr>
          <w:sz w:val="24"/>
        </w:rPr>
        <w:t>4529</w:t>
      </w:r>
    </w:p>
    <w:p w:rsidRPr="00A47404" w:rsidR="00042542" w:rsidP="00042542" w:rsidRDefault="00042542" w14:paraId="772D8AD7" w14:textId="77777777">
      <w:pPr>
        <w:jc w:val="center"/>
        <w:rPr>
          <w:b/>
          <w:sz w:val="24"/>
        </w:rPr>
      </w:pPr>
      <w:bookmarkStart w:name="_Toc71518911" w:id="11"/>
    </w:p>
    <w:bookmarkEnd w:id="11"/>
    <w:p w:rsidRPr="00E5033D" w:rsidR="00042542" w:rsidP="00042542" w:rsidRDefault="00042542" w14:paraId="2934427B" w14:textId="77777777">
      <w:pPr>
        <w:jc w:val="center"/>
        <w:rPr>
          <w:szCs w:val="22"/>
        </w:rPr>
      </w:pPr>
    </w:p>
    <w:sectPr w:rsidRPr="00E5033D" w:rsidR="00042542" w:rsidSect="004A290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9DF3B" w14:textId="77777777" w:rsidR="000D497C" w:rsidRDefault="000D497C">
      <w:r>
        <w:separator/>
      </w:r>
    </w:p>
  </w:endnote>
  <w:endnote w:type="continuationSeparator" w:id="0">
    <w:p w14:paraId="592F8BAC" w14:textId="77777777" w:rsidR="000D497C" w:rsidRDefault="000D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57837" w14:textId="77777777" w:rsidR="00AB506D" w:rsidRDefault="00930C84" w:rsidP="00455FB6">
    <w:pPr>
      <w:pStyle w:val="Footer"/>
      <w:framePr w:wrap="around" w:vAnchor="text" w:hAnchor="margin" w:xAlign="center" w:y="1"/>
      <w:rPr>
        <w:rStyle w:val="PageNumber"/>
      </w:rPr>
    </w:pPr>
    <w:r>
      <w:rPr>
        <w:rStyle w:val="PageNumber"/>
      </w:rPr>
      <w:fldChar w:fldCharType="begin"/>
    </w:r>
    <w:r w:rsidR="00AB506D">
      <w:rPr>
        <w:rStyle w:val="PageNumber"/>
      </w:rPr>
      <w:instrText xml:space="preserve">PAGE  </w:instrText>
    </w:r>
    <w:r>
      <w:rPr>
        <w:rStyle w:val="PageNumber"/>
      </w:rPr>
      <w:fldChar w:fldCharType="end"/>
    </w:r>
  </w:p>
  <w:p w14:paraId="6E31C15A" w14:textId="77777777" w:rsidR="00AB506D" w:rsidRDefault="00AB5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06D2D" w14:textId="276D91FF" w:rsidR="00AB506D" w:rsidRDefault="00930C84" w:rsidP="00455FB6">
    <w:pPr>
      <w:pStyle w:val="Footer"/>
      <w:framePr w:wrap="around" w:vAnchor="text" w:hAnchor="margin" w:xAlign="center" w:y="1"/>
      <w:rPr>
        <w:rStyle w:val="PageNumber"/>
      </w:rPr>
    </w:pPr>
    <w:r>
      <w:rPr>
        <w:rStyle w:val="PageNumber"/>
      </w:rPr>
      <w:fldChar w:fldCharType="begin"/>
    </w:r>
    <w:r w:rsidR="00AB506D">
      <w:rPr>
        <w:rStyle w:val="PageNumber"/>
      </w:rPr>
      <w:instrText xml:space="preserve">PAGE  </w:instrText>
    </w:r>
    <w:r>
      <w:rPr>
        <w:rStyle w:val="PageNumber"/>
      </w:rPr>
      <w:fldChar w:fldCharType="separate"/>
    </w:r>
    <w:r w:rsidR="001A259C">
      <w:rPr>
        <w:rStyle w:val="PageNumber"/>
        <w:noProof/>
      </w:rPr>
      <w:t>1</w:t>
    </w:r>
    <w:r>
      <w:rPr>
        <w:rStyle w:val="PageNumber"/>
      </w:rPr>
      <w:fldChar w:fldCharType="end"/>
    </w:r>
  </w:p>
  <w:p w14:paraId="14590A27" w14:textId="77777777" w:rsidR="00AB506D" w:rsidRDefault="00AB5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A3A60" w14:textId="77777777" w:rsidR="00762B74" w:rsidRDefault="00762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129BC" w14:textId="77777777" w:rsidR="000D497C" w:rsidRDefault="000D497C">
      <w:r>
        <w:separator/>
      </w:r>
    </w:p>
  </w:footnote>
  <w:footnote w:type="continuationSeparator" w:id="0">
    <w:p w14:paraId="4F7179D8" w14:textId="77777777" w:rsidR="000D497C" w:rsidRDefault="000D4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BADCF" w14:textId="77777777" w:rsidR="00762B74" w:rsidRDefault="00762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FA6AA" w14:textId="77777777" w:rsidR="00762B74" w:rsidRDefault="00762B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E85C5" w14:textId="77777777" w:rsidR="00762B74" w:rsidRDefault="00762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F0877"/>
    <w:multiLevelType w:val="hybridMultilevel"/>
    <w:tmpl w:val="F63C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07F4E"/>
    <w:multiLevelType w:val="hybridMultilevel"/>
    <w:tmpl w:val="3918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056AF"/>
    <w:multiLevelType w:val="hybridMultilevel"/>
    <w:tmpl w:val="988A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85B70"/>
    <w:multiLevelType w:val="hybridMultilevel"/>
    <w:tmpl w:val="551E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E1F2A"/>
    <w:multiLevelType w:val="hybridMultilevel"/>
    <w:tmpl w:val="37F89C2E"/>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AEC007A"/>
    <w:multiLevelType w:val="hybridMultilevel"/>
    <w:tmpl w:val="90044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557E27"/>
    <w:multiLevelType w:val="hybridMultilevel"/>
    <w:tmpl w:val="F4863AD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777E623C"/>
    <w:multiLevelType w:val="hybridMultilevel"/>
    <w:tmpl w:val="B6A8F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1"/>
  </w:num>
  <w:num w:numId="5">
    <w:abstractNumId w:val="0"/>
  </w:num>
  <w:num w:numId="6">
    <w:abstractNumId w:val="3"/>
  </w:num>
  <w:num w:numId="7">
    <w:abstractNumId w:val="9"/>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AD"/>
    <w:rsid w:val="000020B6"/>
    <w:rsid w:val="0000257E"/>
    <w:rsid w:val="000115BA"/>
    <w:rsid w:val="0001322B"/>
    <w:rsid w:val="000138F9"/>
    <w:rsid w:val="0001420E"/>
    <w:rsid w:val="00014F15"/>
    <w:rsid w:val="00020EBE"/>
    <w:rsid w:val="000421EC"/>
    <w:rsid w:val="00042542"/>
    <w:rsid w:val="00043412"/>
    <w:rsid w:val="0005151E"/>
    <w:rsid w:val="00053FF2"/>
    <w:rsid w:val="00057966"/>
    <w:rsid w:val="00062432"/>
    <w:rsid w:val="0006714F"/>
    <w:rsid w:val="000729E6"/>
    <w:rsid w:val="00074420"/>
    <w:rsid w:val="00076A19"/>
    <w:rsid w:val="00082D07"/>
    <w:rsid w:val="00083AFA"/>
    <w:rsid w:val="00086149"/>
    <w:rsid w:val="000B2DB3"/>
    <w:rsid w:val="000B7677"/>
    <w:rsid w:val="000C2826"/>
    <w:rsid w:val="000C4633"/>
    <w:rsid w:val="000D4963"/>
    <w:rsid w:val="000D497C"/>
    <w:rsid w:val="0010525A"/>
    <w:rsid w:val="001059EE"/>
    <w:rsid w:val="00107D41"/>
    <w:rsid w:val="00114BEB"/>
    <w:rsid w:val="00116447"/>
    <w:rsid w:val="0011703A"/>
    <w:rsid w:val="001207E3"/>
    <w:rsid w:val="00123F01"/>
    <w:rsid w:val="001240A4"/>
    <w:rsid w:val="00132800"/>
    <w:rsid w:val="00134C93"/>
    <w:rsid w:val="00141182"/>
    <w:rsid w:val="00141429"/>
    <w:rsid w:val="00144802"/>
    <w:rsid w:val="001559D1"/>
    <w:rsid w:val="00161656"/>
    <w:rsid w:val="001629DC"/>
    <w:rsid w:val="00175995"/>
    <w:rsid w:val="00180D15"/>
    <w:rsid w:val="0019149B"/>
    <w:rsid w:val="00194444"/>
    <w:rsid w:val="001956B8"/>
    <w:rsid w:val="00196CCC"/>
    <w:rsid w:val="001A259C"/>
    <w:rsid w:val="001A2FBF"/>
    <w:rsid w:val="001B4186"/>
    <w:rsid w:val="001C66BE"/>
    <w:rsid w:val="001D3A63"/>
    <w:rsid w:val="001F1A87"/>
    <w:rsid w:val="001F25E7"/>
    <w:rsid w:val="001F5938"/>
    <w:rsid w:val="00202487"/>
    <w:rsid w:val="002058EB"/>
    <w:rsid w:val="0021106B"/>
    <w:rsid w:val="0021329B"/>
    <w:rsid w:val="002146B7"/>
    <w:rsid w:val="00223988"/>
    <w:rsid w:val="00227EEC"/>
    <w:rsid w:val="002310C2"/>
    <w:rsid w:val="0023180F"/>
    <w:rsid w:val="00231CE5"/>
    <w:rsid w:val="00232375"/>
    <w:rsid w:val="0023304D"/>
    <w:rsid w:val="0023434D"/>
    <w:rsid w:val="002372D2"/>
    <w:rsid w:val="00242C60"/>
    <w:rsid w:val="0024473C"/>
    <w:rsid w:val="002517EF"/>
    <w:rsid w:val="00266564"/>
    <w:rsid w:val="002739B6"/>
    <w:rsid w:val="00284652"/>
    <w:rsid w:val="00290475"/>
    <w:rsid w:val="00291CB5"/>
    <w:rsid w:val="002B2046"/>
    <w:rsid w:val="002B7CA1"/>
    <w:rsid w:val="002C1D74"/>
    <w:rsid w:val="002C5607"/>
    <w:rsid w:val="002D56FB"/>
    <w:rsid w:val="002E35DE"/>
    <w:rsid w:val="002E4BA7"/>
    <w:rsid w:val="002E4C6F"/>
    <w:rsid w:val="002E7CAE"/>
    <w:rsid w:val="002F1476"/>
    <w:rsid w:val="002F17A4"/>
    <w:rsid w:val="002F3129"/>
    <w:rsid w:val="002F7B88"/>
    <w:rsid w:val="00300003"/>
    <w:rsid w:val="00310E4D"/>
    <w:rsid w:val="003172C8"/>
    <w:rsid w:val="00317583"/>
    <w:rsid w:val="00326CB9"/>
    <w:rsid w:val="00326F5D"/>
    <w:rsid w:val="00341AA6"/>
    <w:rsid w:val="00345BA0"/>
    <w:rsid w:val="00347BB8"/>
    <w:rsid w:val="00350E92"/>
    <w:rsid w:val="00354FFB"/>
    <w:rsid w:val="00361690"/>
    <w:rsid w:val="00363D59"/>
    <w:rsid w:val="003641A9"/>
    <w:rsid w:val="00366D3D"/>
    <w:rsid w:val="00372D79"/>
    <w:rsid w:val="00381B90"/>
    <w:rsid w:val="003862A1"/>
    <w:rsid w:val="003A0864"/>
    <w:rsid w:val="003B654D"/>
    <w:rsid w:val="003C7540"/>
    <w:rsid w:val="003D0602"/>
    <w:rsid w:val="003E3B1B"/>
    <w:rsid w:val="003E455A"/>
    <w:rsid w:val="003F539B"/>
    <w:rsid w:val="00407323"/>
    <w:rsid w:val="00415E7F"/>
    <w:rsid w:val="00416879"/>
    <w:rsid w:val="00421227"/>
    <w:rsid w:val="00425BF3"/>
    <w:rsid w:val="004262B9"/>
    <w:rsid w:val="0043453F"/>
    <w:rsid w:val="00445B32"/>
    <w:rsid w:val="00453E51"/>
    <w:rsid w:val="00455E60"/>
    <w:rsid w:val="00455FB6"/>
    <w:rsid w:val="004601AC"/>
    <w:rsid w:val="00466FFE"/>
    <w:rsid w:val="004723A3"/>
    <w:rsid w:val="00472A86"/>
    <w:rsid w:val="004762BC"/>
    <w:rsid w:val="004A290B"/>
    <w:rsid w:val="004A751C"/>
    <w:rsid w:val="004B1426"/>
    <w:rsid w:val="004C1118"/>
    <w:rsid w:val="004C2C07"/>
    <w:rsid w:val="004C430A"/>
    <w:rsid w:val="004C5E27"/>
    <w:rsid w:val="004C63D8"/>
    <w:rsid w:val="004D3EDE"/>
    <w:rsid w:val="004E3741"/>
    <w:rsid w:val="004E496D"/>
    <w:rsid w:val="004F6A0C"/>
    <w:rsid w:val="005018FB"/>
    <w:rsid w:val="005100FA"/>
    <w:rsid w:val="00524B38"/>
    <w:rsid w:val="00526074"/>
    <w:rsid w:val="0052716F"/>
    <w:rsid w:val="0052779F"/>
    <w:rsid w:val="00530284"/>
    <w:rsid w:val="005506EB"/>
    <w:rsid w:val="00556C50"/>
    <w:rsid w:val="0056219D"/>
    <w:rsid w:val="00562F47"/>
    <w:rsid w:val="00565470"/>
    <w:rsid w:val="00565860"/>
    <w:rsid w:val="00577EA7"/>
    <w:rsid w:val="0058494E"/>
    <w:rsid w:val="005A071F"/>
    <w:rsid w:val="005A4521"/>
    <w:rsid w:val="005A61D7"/>
    <w:rsid w:val="005B4FC2"/>
    <w:rsid w:val="005B64C7"/>
    <w:rsid w:val="005C0932"/>
    <w:rsid w:val="005C5B7E"/>
    <w:rsid w:val="005C7AE4"/>
    <w:rsid w:val="005E03A4"/>
    <w:rsid w:val="005E563C"/>
    <w:rsid w:val="005E7FE8"/>
    <w:rsid w:val="005F24BD"/>
    <w:rsid w:val="005F3B23"/>
    <w:rsid w:val="00603165"/>
    <w:rsid w:val="0061140C"/>
    <w:rsid w:val="006127B9"/>
    <w:rsid w:val="006137C9"/>
    <w:rsid w:val="006250C8"/>
    <w:rsid w:val="006256ED"/>
    <w:rsid w:val="00631B82"/>
    <w:rsid w:val="006373A9"/>
    <w:rsid w:val="006523B8"/>
    <w:rsid w:val="00663EF4"/>
    <w:rsid w:val="00681FCC"/>
    <w:rsid w:val="00684CBD"/>
    <w:rsid w:val="00694D82"/>
    <w:rsid w:val="0069500F"/>
    <w:rsid w:val="006A4DB5"/>
    <w:rsid w:val="006B1553"/>
    <w:rsid w:val="006B1C2B"/>
    <w:rsid w:val="006B2805"/>
    <w:rsid w:val="006C2B20"/>
    <w:rsid w:val="006C4E51"/>
    <w:rsid w:val="006D6DB3"/>
    <w:rsid w:val="006D70FA"/>
    <w:rsid w:val="006E2805"/>
    <w:rsid w:val="00701510"/>
    <w:rsid w:val="00721486"/>
    <w:rsid w:val="00725C64"/>
    <w:rsid w:val="007369F8"/>
    <w:rsid w:val="00737540"/>
    <w:rsid w:val="00762B74"/>
    <w:rsid w:val="007638E2"/>
    <w:rsid w:val="00766563"/>
    <w:rsid w:val="00774BA7"/>
    <w:rsid w:val="00782903"/>
    <w:rsid w:val="00793176"/>
    <w:rsid w:val="007A12F2"/>
    <w:rsid w:val="007A1F35"/>
    <w:rsid w:val="007A546D"/>
    <w:rsid w:val="007B1229"/>
    <w:rsid w:val="007B53B9"/>
    <w:rsid w:val="007B61A9"/>
    <w:rsid w:val="007D0006"/>
    <w:rsid w:val="007D6C04"/>
    <w:rsid w:val="007E613B"/>
    <w:rsid w:val="007F5B52"/>
    <w:rsid w:val="007F69A4"/>
    <w:rsid w:val="0081215E"/>
    <w:rsid w:val="00821924"/>
    <w:rsid w:val="00827621"/>
    <w:rsid w:val="00844310"/>
    <w:rsid w:val="008454C1"/>
    <w:rsid w:val="008459A2"/>
    <w:rsid w:val="00870719"/>
    <w:rsid w:val="0087272F"/>
    <w:rsid w:val="008758AE"/>
    <w:rsid w:val="0088215B"/>
    <w:rsid w:val="008B7082"/>
    <w:rsid w:val="008C0FB4"/>
    <w:rsid w:val="008E1217"/>
    <w:rsid w:val="008F08B2"/>
    <w:rsid w:val="008F0F3C"/>
    <w:rsid w:val="008F2302"/>
    <w:rsid w:val="008F4A65"/>
    <w:rsid w:val="008F5F30"/>
    <w:rsid w:val="00900ACC"/>
    <w:rsid w:val="00901789"/>
    <w:rsid w:val="0090191A"/>
    <w:rsid w:val="00902958"/>
    <w:rsid w:val="00910D45"/>
    <w:rsid w:val="00913C2A"/>
    <w:rsid w:val="00921170"/>
    <w:rsid w:val="00922A87"/>
    <w:rsid w:val="0092336E"/>
    <w:rsid w:val="00930C84"/>
    <w:rsid w:val="00936871"/>
    <w:rsid w:val="00936A26"/>
    <w:rsid w:val="009400E8"/>
    <w:rsid w:val="00942B16"/>
    <w:rsid w:val="00944F1D"/>
    <w:rsid w:val="00951768"/>
    <w:rsid w:val="00956707"/>
    <w:rsid w:val="00960B0A"/>
    <w:rsid w:val="00964B08"/>
    <w:rsid w:val="009667B2"/>
    <w:rsid w:val="00966A19"/>
    <w:rsid w:val="00975A22"/>
    <w:rsid w:val="0097602A"/>
    <w:rsid w:val="00992F03"/>
    <w:rsid w:val="0099699F"/>
    <w:rsid w:val="0099739F"/>
    <w:rsid w:val="009A7542"/>
    <w:rsid w:val="009C1808"/>
    <w:rsid w:val="009C72E2"/>
    <w:rsid w:val="009C77AE"/>
    <w:rsid w:val="009C7CBA"/>
    <w:rsid w:val="009D00FC"/>
    <w:rsid w:val="009E0EE3"/>
    <w:rsid w:val="009E3DD0"/>
    <w:rsid w:val="009E7E35"/>
    <w:rsid w:val="009F0012"/>
    <w:rsid w:val="00A12AE9"/>
    <w:rsid w:val="00A14DDC"/>
    <w:rsid w:val="00A23007"/>
    <w:rsid w:val="00A23C3A"/>
    <w:rsid w:val="00A24340"/>
    <w:rsid w:val="00A25484"/>
    <w:rsid w:val="00A30BF3"/>
    <w:rsid w:val="00A37E4B"/>
    <w:rsid w:val="00A40E2E"/>
    <w:rsid w:val="00A45576"/>
    <w:rsid w:val="00A47404"/>
    <w:rsid w:val="00A52837"/>
    <w:rsid w:val="00A53597"/>
    <w:rsid w:val="00A5604D"/>
    <w:rsid w:val="00A608B0"/>
    <w:rsid w:val="00A61ADA"/>
    <w:rsid w:val="00A6419C"/>
    <w:rsid w:val="00A64673"/>
    <w:rsid w:val="00A83717"/>
    <w:rsid w:val="00A86B7C"/>
    <w:rsid w:val="00AA02D9"/>
    <w:rsid w:val="00AA1554"/>
    <w:rsid w:val="00AA558E"/>
    <w:rsid w:val="00AA7BA1"/>
    <w:rsid w:val="00AB506D"/>
    <w:rsid w:val="00AC113F"/>
    <w:rsid w:val="00AC4EF0"/>
    <w:rsid w:val="00AD0DF8"/>
    <w:rsid w:val="00AD41C1"/>
    <w:rsid w:val="00AE0308"/>
    <w:rsid w:val="00AE2685"/>
    <w:rsid w:val="00AF18C8"/>
    <w:rsid w:val="00AF2B14"/>
    <w:rsid w:val="00B000C4"/>
    <w:rsid w:val="00B049A6"/>
    <w:rsid w:val="00B1162D"/>
    <w:rsid w:val="00B15BFC"/>
    <w:rsid w:val="00B210EB"/>
    <w:rsid w:val="00B22FBC"/>
    <w:rsid w:val="00B32899"/>
    <w:rsid w:val="00B3594C"/>
    <w:rsid w:val="00B42F17"/>
    <w:rsid w:val="00B54B07"/>
    <w:rsid w:val="00B54ECB"/>
    <w:rsid w:val="00B65AEA"/>
    <w:rsid w:val="00B72D98"/>
    <w:rsid w:val="00B76CFE"/>
    <w:rsid w:val="00B877AF"/>
    <w:rsid w:val="00B90DF5"/>
    <w:rsid w:val="00B935C2"/>
    <w:rsid w:val="00BB5886"/>
    <w:rsid w:val="00BC4A27"/>
    <w:rsid w:val="00BC5315"/>
    <w:rsid w:val="00BC67C5"/>
    <w:rsid w:val="00BD3884"/>
    <w:rsid w:val="00BD7ABC"/>
    <w:rsid w:val="00BE6EB4"/>
    <w:rsid w:val="00BF02BB"/>
    <w:rsid w:val="00BF1777"/>
    <w:rsid w:val="00BF537C"/>
    <w:rsid w:val="00C01338"/>
    <w:rsid w:val="00C06C67"/>
    <w:rsid w:val="00C06D81"/>
    <w:rsid w:val="00C071A9"/>
    <w:rsid w:val="00C11474"/>
    <w:rsid w:val="00C12B28"/>
    <w:rsid w:val="00C21B5D"/>
    <w:rsid w:val="00C2519B"/>
    <w:rsid w:val="00C252D9"/>
    <w:rsid w:val="00C61B07"/>
    <w:rsid w:val="00C62A20"/>
    <w:rsid w:val="00C62AAA"/>
    <w:rsid w:val="00C644AD"/>
    <w:rsid w:val="00C662BD"/>
    <w:rsid w:val="00C70184"/>
    <w:rsid w:val="00C839B2"/>
    <w:rsid w:val="00C84BEB"/>
    <w:rsid w:val="00C8599F"/>
    <w:rsid w:val="00C93AC1"/>
    <w:rsid w:val="00C97FE1"/>
    <w:rsid w:val="00CA329F"/>
    <w:rsid w:val="00CA4071"/>
    <w:rsid w:val="00CB0C81"/>
    <w:rsid w:val="00CB54A5"/>
    <w:rsid w:val="00CE44BC"/>
    <w:rsid w:val="00CE7B0B"/>
    <w:rsid w:val="00CF455F"/>
    <w:rsid w:val="00CF4DFC"/>
    <w:rsid w:val="00D0314E"/>
    <w:rsid w:val="00D03603"/>
    <w:rsid w:val="00D04052"/>
    <w:rsid w:val="00D11882"/>
    <w:rsid w:val="00D12582"/>
    <w:rsid w:val="00D24285"/>
    <w:rsid w:val="00D2717D"/>
    <w:rsid w:val="00D27482"/>
    <w:rsid w:val="00D36424"/>
    <w:rsid w:val="00D40731"/>
    <w:rsid w:val="00D471CF"/>
    <w:rsid w:val="00D47EF5"/>
    <w:rsid w:val="00D52571"/>
    <w:rsid w:val="00D6747C"/>
    <w:rsid w:val="00D83D50"/>
    <w:rsid w:val="00D860B4"/>
    <w:rsid w:val="00D96F0C"/>
    <w:rsid w:val="00DA0763"/>
    <w:rsid w:val="00DA5C2F"/>
    <w:rsid w:val="00DB7A76"/>
    <w:rsid w:val="00DC0B78"/>
    <w:rsid w:val="00DC2832"/>
    <w:rsid w:val="00DF5C0C"/>
    <w:rsid w:val="00E00531"/>
    <w:rsid w:val="00E0168A"/>
    <w:rsid w:val="00E029F7"/>
    <w:rsid w:val="00E05066"/>
    <w:rsid w:val="00E14A26"/>
    <w:rsid w:val="00E17A88"/>
    <w:rsid w:val="00E233BA"/>
    <w:rsid w:val="00E2554E"/>
    <w:rsid w:val="00E265EA"/>
    <w:rsid w:val="00E26B53"/>
    <w:rsid w:val="00E27D84"/>
    <w:rsid w:val="00E3067B"/>
    <w:rsid w:val="00E5033D"/>
    <w:rsid w:val="00E54FD7"/>
    <w:rsid w:val="00E70DD7"/>
    <w:rsid w:val="00E72185"/>
    <w:rsid w:val="00E7446E"/>
    <w:rsid w:val="00E77024"/>
    <w:rsid w:val="00E8217E"/>
    <w:rsid w:val="00E8218B"/>
    <w:rsid w:val="00E91039"/>
    <w:rsid w:val="00EB0B63"/>
    <w:rsid w:val="00EB1C09"/>
    <w:rsid w:val="00EC5C3E"/>
    <w:rsid w:val="00ED5F44"/>
    <w:rsid w:val="00EE21C8"/>
    <w:rsid w:val="00EF4AE1"/>
    <w:rsid w:val="00F06ACA"/>
    <w:rsid w:val="00F33DAC"/>
    <w:rsid w:val="00F608A1"/>
    <w:rsid w:val="00F60F42"/>
    <w:rsid w:val="00F65EE7"/>
    <w:rsid w:val="00F70F52"/>
    <w:rsid w:val="00F72866"/>
    <w:rsid w:val="00F72BAD"/>
    <w:rsid w:val="00F73895"/>
    <w:rsid w:val="00F76FBC"/>
    <w:rsid w:val="00F845EC"/>
    <w:rsid w:val="00F97DCB"/>
    <w:rsid w:val="00FB4E26"/>
    <w:rsid w:val="00FD2BA8"/>
    <w:rsid w:val="00FD447A"/>
    <w:rsid w:val="00FE3DFC"/>
    <w:rsid w:val="00FE732D"/>
    <w:rsid w:val="00FE7A54"/>
    <w:rsid w:val="00FF4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6E1E72A"/>
  <w15:docId w15:val="{8EFFB6CC-36A5-4EDE-9FB5-620FCB35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19B"/>
    <w:rPr>
      <w:sz w:val="22"/>
      <w:szCs w:val="24"/>
    </w:rPr>
  </w:style>
  <w:style w:type="paragraph" w:styleId="Heading1">
    <w:name w:val="heading 1"/>
    <w:basedOn w:val="Normal"/>
    <w:next w:val="Normal"/>
    <w:qFormat/>
    <w:rsid w:val="00F72BAD"/>
    <w:pPr>
      <w:keepNext/>
      <w:widowControl w:val="0"/>
      <w:autoSpaceDE w:val="0"/>
      <w:autoSpaceDN w:val="0"/>
      <w:adjustRightInd w:val="0"/>
      <w:outlineLvl w:val="0"/>
    </w:pPr>
    <w:rPr>
      <w:b/>
      <w:bCs/>
      <w:sz w:val="24"/>
    </w:rPr>
  </w:style>
  <w:style w:type="paragraph" w:styleId="Heading2">
    <w:name w:val="heading 2"/>
    <w:basedOn w:val="Normal"/>
    <w:next w:val="Normal"/>
    <w:link w:val="Heading2Char"/>
    <w:qFormat/>
    <w:rsid w:val="00F72BAD"/>
    <w:pPr>
      <w:keepNext/>
      <w:tabs>
        <w:tab w:val="left" w:pos="720"/>
        <w:tab w:val="left" w:pos="1440"/>
        <w:tab w:val="left" w:pos="2160"/>
      </w:tabs>
      <w:ind w:left="2880" w:hanging="2160"/>
      <w:outlineLvl w:val="1"/>
    </w:pPr>
    <w:rPr>
      <w:b/>
      <w:bCs/>
      <w:sz w:val="24"/>
    </w:rPr>
  </w:style>
  <w:style w:type="paragraph" w:styleId="Heading7">
    <w:name w:val="heading 7"/>
    <w:basedOn w:val="Normal"/>
    <w:next w:val="Normal"/>
    <w:qFormat/>
    <w:rsid w:val="00F72BAD"/>
    <w:pPr>
      <w:keepNext/>
      <w:outlineLvl w:val="6"/>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2BAD"/>
    <w:rPr>
      <w:b/>
      <w:bCs/>
      <w:sz w:val="24"/>
      <w:szCs w:val="24"/>
      <w:lang w:val="en-US" w:eastAsia="en-US" w:bidi="ar-SA"/>
    </w:rPr>
  </w:style>
  <w:style w:type="paragraph" w:customStyle="1" w:styleId="QuickFormat">
    <w:name w:val="QuickFormat:"/>
    <w:rsid w:val="00F72BAD"/>
    <w:pPr>
      <w:widowControl w:val="0"/>
      <w:autoSpaceDE w:val="0"/>
      <w:autoSpaceDN w:val="0"/>
      <w:adjustRightInd w:val="0"/>
    </w:pPr>
    <w:rPr>
      <w:rFonts w:ascii="Courier" w:hAnsi="Courier"/>
      <w:sz w:val="24"/>
      <w:szCs w:val="24"/>
    </w:rPr>
  </w:style>
  <w:style w:type="character" w:customStyle="1" w:styleId="AbtHeadE">
    <w:name w:val="AbtHead E"/>
    <w:rsid w:val="00F72BAD"/>
    <w:rPr>
      <w:rFonts w:ascii="Arial" w:hAnsi="Arial" w:cs="Arial"/>
      <w:sz w:val="20"/>
      <w:szCs w:val="20"/>
    </w:rPr>
  </w:style>
  <w:style w:type="character" w:customStyle="1" w:styleId="QuickFormat9">
    <w:name w:val="QuickFormat9"/>
    <w:rsid w:val="00F72BAD"/>
    <w:rPr>
      <w:sz w:val="22"/>
      <w:szCs w:val="22"/>
    </w:rPr>
  </w:style>
  <w:style w:type="paragraph" w:styleId="BodyText">
    <w:name w:val="Body Text"/>
    <w:aliases w:val="Body Text Char1,Body Text Char Char,Body Text Char1 Char Char,Body Text Char Char Char Char,Body Text Char Char1"/>
    <w:basedOn w:val="Normal"/>
    <w:link w:val="BodyTextChar"/>
    <w:rsid w:val="00F72BAD"/>
    <w:rPr>
      <w:sz w:val="20"/>
    </w:rPr>
  </w:style>
  <w:style w:type="character" w:customStyle="1" w:styleId="BodyTextChar">
    <w:name w:val="Body Text Char"/>
    <w:aliases w:val="Body Text Char1 Char,Body Text Char Char Char,Body Text Char1 Char Char Char,Body Text Char Char Char Char Char,Body Text Char Char1 Char"/>
    <w:basedOn w:val="DefaultParagraphFont"/>
    <w:link w:val="BodyText"/>
    <w:rsid w:val="00F72BAD"/>
    <w:rPr>
      <w:szCs w:val="24"/>
      <w:lang w:val="en-US" w:eastAsia="en-US" w:bidi="ar-SA"/>
    </w:rPr>
  </w:style>
  <w:style w:type="paragraph" w:styleId="List2">
    <w:name w:val="List 2"/>
    <w:basedOn w:val="Normal"/>
    <w:rsid w:val="00F72BAD"/>
    <w:pPr>
      <w:ind w:left="720" w:hanging="360"/>
    </w:pPr>
    <w:rPr>
      <w:rFonts w:ascii="Arial" w:hAnsi="Arial"/>
      <w:sz w:val="20"/>
      <w:szCs w:val="20"/>
    </w:rPr>
  </w:style>
  <w:style w:type="paragraph" w:customStyle="1" w:styleId="ReturnAddress">
    <w:name w:val="Return Address"/>
    <w:basedOn w:val="Normal"/>
    <w:rsid w:val="00F72BAD"/>
    <w:rPr>
      <w:rFonts w:ascii="Arial" w:hAnsi="Arial"/>
      <w:sz w:val="20"/>
      <w:szCs w:val="20"/>
    </w:rPr>
  </w:style>
  <w:style w:type="paragraph" w:customStyle="1" w:styleId="a">
    <w:name w:val="_"/>
    <w:rsid w:val="00F72BAD"/>
    <w:pPr>
      <w:widowControl w:val="0"/>
      <w:autoSpaceDE w:val="0"/>
      <w:autoSpaceDN w:val="0"/>
      <w:adjustRightInd w:val="0"/>
      <w:ind w:left="-1440"/>
      <w:jc w:val="both"/>
    </w:pPr>
    <w:rPr>
      <w:sz w:val="24"/>
      <w:szCs w:val="24"/>
    </w:rPr>
  </w:style>
  <w:style w:type="character" w:styleId="Hyperlink">
    <w:name w:val="Hyperlink"/>
    <w:basedOn w:val="DefaultParagraphFont"/>
    <w:rsid w:val="00F72BAD"/>
    <w:rPr>
      <w:color w:val="0000A0"/>
      <w:u w:val="single"/>
    </w:rPr>
  </w:style>
  <w:style w:type="paragraph" w:styleId="TOC3">
    <w:name w:val="toc 3"/>
    <w:basedOn w:val="Normal"/>
    <w:next w:val="Normal"/>
    <w:autoRedefine/>
    <w:semiHidden/>
    <w:rsid w:val="00F72BAD"/>
    <w:pPr>
      <w:ind w:left="440"/>
    </w:pPr>
  </w:style>
  <w:style w:type="paragraph" w:styleId="FootnoteText">
    <w:name w:val="footnote text"/>
    <w:basedOn w:val="Normal"/>
    <w:semiHidden/>
    <w:rsid w:val="00F72BAD"/>
    <w:rPr>
      <w:sz w:val="20"/>
      <w:szCs w:val="20"/>
    </w:rPr>
  </w:style>
  <w:style w:type="character" w:styleId="FootnoteReference">
    <w:name w:val="footnote reference"/>
    <w:basedOn w:val="DefaultParagraphFont"/>
    <w:semiHidden/>
    <w:rsid w:val="00F72BAD"/>
    <w:rPr>
      <w:vertAlign w:val="superscript"/>
    </w:rPr>
  </w:style>
  <w:style w:type="paragraph" w:styleId="Footer">
    <w:name w:val="footer"/>
    <w:basedOn w:val="Normal"/>
    <w:rsid w:val="00042542"/>
    <w:pPr>
      <w:tabs>
        <w:tab w:val="center" w:pos="4320"/>
        <w:tab w:val="right" w:pos="8640"/>
      </w:tabs>
    </w:pPr>
  </w:style>
  <w:style w:type="character" w:styleId="PageNumber">
    <w:name w:val="page number"/>
    <w:basedOn w:val="DefaultParagraphFont"/>
    <w:rsid w:val="00042542"/>
  </w:style>
  <w:style w:type="paragraph" w:styleId="DocumentMap">
    <w:name w:val="Document Map"/>
    <w:basedOn w:val="Normal"/>
    <w:semiHidden/>
    <w:rsid w:val="00E26B53"/>
    <w:pPr>
      <w:shd w:val="clear" w:color="auto" w:fill="000080"/>
    </w:pPr>
    <w:rPr>
      <w:rFonts w:ascii="Tahoma" w:hAnsi="Tahoma" w:cs="Tahoma"/>
      <w:sz w:val="20"/>
      <w:szCs w:val="20"/>
    </w:rPr>
  </w:style>
  <w:style w:type="table" w:styleId="TableGrid">
    <w:name w:val="Table Grid"/>
    <w:basedOn w:val="TableNormal"/>
    <w:rsid w:val="00B000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565470"/>
    <w:pPr>
      <w:tabs>
        <w:tab w:val="center" w:pos="4680"/>
        <w:tab w:val="right" w:pos="9360"/>
      </w:tabs>
    </w:pPr>
  </w:style>
  <w:style w:type="character" w:customStyle="1" w:styleId="HeaderChar">
    <w:name w:val="Header Char"/>
    <w:basedOn w:val="DefaultParagraphFont"/>
    <w:link w:val="Header"/>
    <w:rsid w:val="00565470"/>
    <w:rPr>
      <w:sz w:val="22"/>
      <w:szCs w:val="24"/>
    </w:rPr>
  </w:style>
  <w:style w:type="paragraph" w:customStyle="1" w:styleId="Default">
    <w:name w:val="Default"/>
    <w:rsid w:val="00936A2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F537C"/>
    <w:pPr>
      <w:ind w:left="720"/>
      <w:contextualSpacing/>
    </w:pPr>
  </w:style>
  <w:style w:type="character" w:styleId="CommentReference">
    <w:name w:val="annotation reference"/>
    <w:basedOn w:val="DefaultParagraphFont"/>
    <w:uiPriority w:val="99"/>
    <w:rsid w:val="009A7542"/>
    <w:rPr>
      <w:sz w:val="16"/>
      <w:szCs w:val="16"/>
    </w:rPr>
  </w:style>
  <w:style w:type="paragraph" w:styleId="CommentText">
    <w:name w:val="annotation text"/>
    <w:basedOn w:val="Normal"/>
    <w:link w:val="CommentTextChar"/>
    <w:uiPriority w:val="99"/>
    <w:rsid w:val="009A7542"/>
    <w:rPr>
      <w:sz w:val="20"/>
      <w:szCs w:val="20"/>
    </w:rPr>
  </w:style>
  <w:style w:type="character" w:customStyle="1" w:styleId="CommentTextChar">
    <w:name w:val="Comment Text Char"/>
    <w:basedOn w:val="DefaultParagraphFont"/>
    <w:link w:val="CommentText"/>
    <w:uiPriority w:val="99"/>
    <w:rsid w:val="009A7542"/>
  </w:style>
  <w:style w:type="paragraph" w:styleId="CommentSubject">
    <w:name w:val="annotation subject"/>
    <w:basedOn w:val="CommentText"/>
    <w:next w:val="CommentText"/>
    <w:link w:val="CommentSubjectChar"/>
    <w:rsid w:val="009A7542"/>
    <w:rPr>
      <w:b/>
      <w:bCs/>
    </w:rPr>
  </w:style>
  <w:style w:type="character" w:customStyle="1" w:styleId="CommentSubjectChar">
    <w:name w:val="Comment Subject Char"/>
    <w:basedOn w:val="CommentTextChar"/>
    <w:link w:val="CommentSubject"/>
    <w:rsid w:val="009A7542"/>
    <w:rPr>
      <w:b/>
      <w:bCs/>
    </w:rPr>
  </w:style>
  <w:style w:type="paragraph" w:styleId="BalloonText">
    <w:name w:val="Balloon Text"/>
    <w:basedOn w:val="Normal"/>
    <w:link w:val="BalloonTextChar"/>
    <w:rsid w:val="009A7542"/>
    <w:rPr>
      <w:rFonts w:ascii="Tahoma" w:hAnsi="Tahoma" w:cs="Tahoma"/>
      <w:sz w:val="16"/>
      <w:szCs w:val="16"/>
    </w:rPr>
  </w:style>
  <w:style w:type="character" w:customStyle="1" w:styleId="BalloonTextChar">
    <w:name w:val="Balloon Text Char"/>
    <w:basedOn w:val="DefaultParagraphFont"/>
    <w:link w:val="BalloonText"/>
    <w:rsid w:val="009A7542"/>
    <w:rPr>
      <w:rFonts w:ascii="Tahoma" w:hAnsi="Tahoma" w:cs="Tahoma"/>
      <w:sz w:val="16"/>
      <w:szCs w:val="16"/>
    </w:rPr>
  </w:style>
  <w:style w:type="paragraph" w:styleId="Revision">
    <w:name w:val="Revision"/>
    <w:hidden/>
    <w:uiPriority w:val="99"/>
    <w:semiHidden/>
    <w:rsid w:val="00132800"/>
    <w:rPr>
      <w:sz w:val="22"/>
      <w:szCs w:val="24"/>
    </w:rPr>
  </w:style>
  <w:style w:type="character" w:styleId="UnresolvedMention">
    <w:name w:val="Unresolved Mention"/>
    <w:basedOn w:val="DefaultParagraphFont"/>
    <w:uiPriority w:val="99"/>
    <w:semiHidden/>
    <w:unhideWhenUsed/>
    <w:rsid w:val="00951768"/>
    <w:rPr>
      <w:color w:val="605E5C"/>
      <w:shd w:val="clear" w:color="auto" w:fill="E1DFDD"/>
    </w:rPr>
  </w:style>
  <w:style w:type="paragraph" w:styleId="TOC2">
    <w:name w:val="toc 2"/>
    <w:basedOn w:val="Normal"/>
    <w:next w:val="Normal"/>
    <w:autoRedefine/>
    <w:unhideWhenUsed/>
    <w:rsid w:val="0019444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65614">
      <w:bodyDiv w:val="1"/>
      <w:marLeft w:val="0"/>
      <w:marRight w:val="0"/>
      <w:marTop w:val="0"/>
      <w:marBottom w:val="0"/>
      <w:divBdr>
        <w:top w:val="none" w:sz="0" w:space="0" w:color="auto"/>
        <w:left w:val="none" w:sz="0" w:space="0" w:color="auto"/>
        <w:bottom w:val="none" w:sz="0" w:space="0" w:color="auto"/>
        <w:right w:val="none" w:sz="0" w:space="0" w:color="auto"/>
      </w:divBdr>
    </w:div>
    <w:div w:id="329526400">
      <w:bodyDiv w:val="1"/>
      <w:marLeft w:val="0"/>
      <w:marRight w:val="0"/>
      <w:marTop w:val="0"/>
      <w:marBottom w:val="0"/>
      <w:divBdr>
        <w:top w:val="none" w:sz="0" w:space="0" w:color="auto"/>
        <w:left w:val="none" w:sz="0" w:space="0" w:color="auto"/>
        <w:bottom w:val="none" w:sz="0" w:space="0" w:color="auto"/>
        <w:right w:val="none" w:sz="0" w:space="0" w:color="auto"/>
      </w:divBdr>
    </w:div>
    <w:div w:id="1300963311">
      <w:bodyDiv w:val="1"/>
      <w:marLeft w:val="0"/>
      <w:marRight w:val="0"/>
      <w:marTop w:val="0"/>
      <w:marBottom w:val="0"/>
      <w:divBdr>
        <w:top w:val="none" w:sz="0" w:space="0" w:color="auto"/>
        <w:left w:val="none" w:sz="0" w:space="0" w:color="auto"/>
        <w:bottom w:val="none" w:sz="0" w:space="0" w:color="auto"/>
        <w:right w:val="none" w:sz="0" w:space="0" w:color="auto"/>
      </w:divBdr>
    </w:div>
    <w:div w:id="1352026686">
      <w:bodyDiv w:val="1"/>
      <w:marLeft w:val="0"/>
      <w:marRight w:val="0"/>
      <w:marTop w:val="0"/>
      <w:marBottom w:val="0"/>
      <w:divBdr>
        <w:top w:val="none" w:sz="0" w:space="0" w:color="auto"/>
        <w:left w:val="none" w:sz="0" w:space="0" w:color="auto"/>
        <w:bottom w:val="none" w:sz="0" w:space="0" w:color="auto"/>
        <w:right w:val="none" w:sz="0" w:space="0" w:color="auto"/>
      </w:divBdr>
    </w:div>
    <w:div w:id="1594431537">
      <w:bodyDiv w:val="1"/>
      <w:marLeft w:val="0"/>
      <w:marRight w:val="0"/>
      <w:marTop w:val="0"/>
      <w:marBottom w:val="0"/>
      <w:divBdr>
        <w:top w:val="none" w:sz="0" w:space="0" w:color="auto"/>
        <w:left w:val="none" w:sz="0" w:space="0" w:color="auto"/>
        <w:bottom w:val="none" w:sz="0" w:space="0" w:color="auto"/>
        <w:right w:val="none" w:sz="0" w:space="0" w:color="auto"/>
      </w:divBdr>
    </w:div>
    <w:div w:id="1890418019">
      <w:bodyDiv w:val="1"/>
      <w:marLeft w:val="0"/>
      <w:marRight w:val="0"/>
      <w:marTop w:val="0"/>
      <w:marBottom w:val="0"/>
      <w:divBdr>
        <w:top w:val="none" w:sz="0" w:space="0" w:color="auto"/>
        <w:left w:val="none" w:sz="0" w:space="0" w:color="auto"/>
        <w:bottom w:val="none" w:sz="0" w:space="0" w:color="auto"/>
        <w:right w:val="none" w:sz="0" w:space="0" w:color="auto"/>
      </w:divBdr>
    </w:div>
    <w:div w:id="210595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EA7ED-6EBA-4CDC-B20A-1FD4BBF5C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2605</Words>
  <Characters>15376</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17946</CharactersWithSpaces>
  <SharedDoc>false</SharedDoc>
  <HLinks>
    <vt:vector size="24" baseType="variant">
      <vt:variant>
        <vt:i4>6291574</vt:i4>
      </vt:variant>
      <vt:variant>
        <vt:i4>9</vt:i4>
      </vt:variant>
      <vt:variant>
        <vt:i4>0</vt:i4>
      </vt:variant>
      <vt:variant>
        <vt:i4>5</vt:i4>
      </vt:variant>
      <vt:variant>
        <vt:lpwstr>http://www.cdc.gov/nchs/slaits.htm</vt:lpwstr>
      </vt:variant>
      <vt:variant>
        <vt:lpwstr/>
      </vt:variant>
      <vt:variant>
        <vt:i4>131138</vt:i4>
      </vt:variant>
      <vt:variant>
        <vt:i4>6</vt:i4>
      </vt:variant>
      <vt:variant>
        <vt:i4>0</vt:i4>
      </vt:variant>
      <vt:variant>
        <vt:i4>5</vt:i4>
      </vt:variant>
      <vt:variant>
        <vt:lpwstr>http://www.cdc.gov/vaccines/stats-surv/imz-coverage.htm</vt:lpwstr>
      </vt:variant>
      <vt:variant>
        <vt:lpwstr>nis</vt:lpwstr>
      </vt:variant>
      <vt:variant>
        <vt:i4>2293814</vt:i4>
      </vt:variant>
      <vt:variant>
        <vt:i4>3</vt:i4>
      </vt:variant>
      <vt:variant>
        <vt:i4>0</vt:i4>
      </vt:variant>
      <vt:variant>
        <vt:i4>5</vt:i4>
      </vt:variant>
      <vt:variant>
        <vt:lpwstr>http://www.cdc.gov/vaccines</vt:lpwstr>
      </vt:variant>
      <vt:variant>
        <vt:lpwstr/>
      </vt:variant>
      <vt:variant>
        <vt:i4>196734</vt:i4>
      </vt:variant>
      <vt:variant>
        <vt:i4>0</vt:i4>
      </vt:variant>
      <vt:variant>
        <vt:i4>0</vt:i4>
      </vt:variant>
      <vt:variant>
        <vt:i4>5</vt:i4>
      </vt:variant>
      <vt:variant>
        <vt:lpwstr>mailto:kdo7@cdc.gov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Galinsky, Adena (CDC/DDPHSS/NCHS/DHIS)</dc:creator>
  <cp:keywords/>
  <dc:description/>
  <cp:lastModifiedBy>King, Summer (CDC/DDPHSS/NCHS/OD)</cp:lastModifiedBy>
  <cp:revision>3</cp:revision>
  <dcterms:created xsi:type="dcterms:W3CDTF">2021-02-18T20:37:00Z</dcterms:created>
  <dcterms:modified xsi:type="dcterms:W3CDTF">2021-02-26T18:22:00Z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2020-10-29T16:43:02Z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4d54a54a-8285-4776-bfc0-ddbb97be0360</vt:lpwstr>
  </property>
  <property fmtid="{D5CDD505-2E9C-101B-9397-08002B2CF9AE}" pid="8" name="MSIP_Label_7b94a7b8-f06c-4dfe-bdcc-9b548fd58c31_ContentBits">
    <vt:lpwstr>0</vt:lpwstr>
  </property>
</Properties>
</file>