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BC" w:rsidP="008625BC" w:rsidRDefault="008633F9" w14:paraId="15952423" w14:textId="7832F56E">
      <w:pPr>
        <w:pStyle w:val="Heading1"/>
        <w:spacing w:before="56" w:line="345" w:lineRule="auto"/>
        <w:ind w:left="0" w:right="-10" w:hanging="6"/>
        <w:jc w:val="center"/>
      </w:pPr>
      <w:r>
        <w:t>Supporting Statement B:</w:t>
      </w:r>
    </w:p>
    <w:p w:rsidR="005A774F" w:rsidP="008625BC" w:rsidRDefault="008633F9" w14:paraId="2FC37328" w14:textId="233F8DF0">
      <w:pPr>
        <w:pStyle w:val="Heading1"/>
        <w:spacing w:before="56" w:line="345" w:lineRule="auto"/>
        <w:ind w:left="0" w:right="-10" w:hanging="6"/>
        <w:jc w:val="center"/>
        <w:rPr>
          <w:b w:val="0"/>
          <w:bCs w:val="0"/>
        </w:rPr>
      </w:pPr>
      <w:r>
        <w:t>OMB Control Number:</w:t>
      </w:r>
      <w:r>
        <w:rPr>
          <w:spacing w:val="50"/>
        </w:rPr>
        <w:t xml:space="preserve"> </w:t>
      </w:r>
      <w:r w:rsidRPr="002B2398" w:rsidR="002B2398">
        <w:rPr>
          <w:highlight w:val="yellow"/>
        </w:rPr>
        <w:t>####-####</w:t>
      </w:r>
    </w:p>
    <w:p w:rsidR="005A774F" w:rsidP="008625BC" w:rsidRDefault="008633F9" w14:paraId="78258B23" w14:textId="77777777">
      <w:pPr>
        <w:spacing w:before="3"/>
        <w:jc w:val="center"/>
        <w:rPr>
          <w:rFonts w:ascii="Times New Roman" w:hAnsi="Times New Roman" w:eastAsia="Times New Roman" w:cs="Times New Roman"/>
          <w:sz w:val="24"/>
          <w:szCs w:val="24"/>
        </w:rPr>
      </w:pPr>
      <w:r>
        <w:rPr>
          <w:rFonts w:ascii="Times New Roman"/>
          <w:b/>
          <w:sz w:val="24"/>
        </w:rPr>
        <w:t>U.S. Election</w:t>
      </w:r>
      <w:r w:rsidR="00984DCD">
        <w:rPr>
          <w:rFonts w:ascii="Times New Roman"/>
          <w:b/>
          <w:sz w:val="24"/>
        </w:rPr>
        <w:t xml:space="preserve"> </w:t>
      </w:r>
      <w:r>
        <w:rPr>
          <w:rFonts w:ascii="Times New Roman"/>
          <w:b/>
          <w:sz w:val="24"/>
        </w:rPr>
        <w:t>Assistance</w:t>
      </w:r>
      <w:r>
        <w:rPr>
          <w:rFonts w:ascii="Times New Roman"/>
          <w:b/>
          <w:spacing w:val="-13"/>
          <w:sz w:val="24"/>
        </w:rPr>
        <w:t xml:space="preserve"> </w:t>
      </w:r>
      <w:r>
        <w:rPr>
          <w:rFonts w:ascii="Times New Roman"/>
          <w:b/>
          <w:sz w:val="24"/>
        </w:rPr>
        <w:t>Commission</w:t>
      </w:r>
    </w:p>
    <w:p w:rsidR="005A774F" w:rsidP="008625BC" w:rsidRDefault="008633F9" w14:paraId="5357B41A" w14:textId="3EBBB4A0">
      <w:pPr>
        <w:spacing w:before="120"/>
        <w:jc w:val="center"/>
        <w:rPr>
          <w:rFonts w:ascii="Times New Roman" w:hAnsi="Times New Roman" w:eastAsia="Times New Roman" w:cs="Times New Roman"/>
          <w:sz w:val="24"/>
          <w:szCs w:val="24"/>
        </w:rPr>
      </w:pPr>
      <w:r>
        <w:rPr>
          <w:rFonts w:ascii="Times New Roman"/>
          <w:b/>
          <w:sz w:val="24"/>
        </w:rPr>
        <w:t>20</w:t>
      </w:r>
      <w:r w:rsidR="008625BC">
        <w:rPr>
          <w:rFonts w:ascii="Times New Roman"/>
          <w:b/>
          <w:sz w:val="24"/>
        </w:rPr>
        <w:t>20</w:t>
      </w:r>
      <w:r>
        <w:rPr>
          <w:rFonts w:ascii="Times New Roman"/>
          <w:b/>
          <w:sz w:val="24"/>
        </w:rPr>
        <w:t xml:space="preserve"> Election Administration and</w:t>
      </w:r>
      <w:r w:rsidR="00984DCD">
        <w:rPr>
          <w:rFonts w:ascii="Times New Roman"/>
          <w:b/>
          <w:sz w:val="24"/>
        </w:rPr>
        <w:t xml:space="preserve"> </w:t>
      </w:r>
      <w:r>
        <w:rPr>
          <w:rFonts w:ascii="Times New Roman"/>
          <w:b/>
          <w:sz w:val="24"/>
        </w:rPr>
        <w:t>Voting</w:t>
      </w:r>
      <w:r>
        <w:rPr>
          <w:rFonts w:ascii="Times New Roman"/>
          <w:b/>
          <w:spacing w:val="18"/>
          <w:sz w:val="24"/>
        </w:rPr>
        <w:t xml:space="preserve"> </w:t>
      </w:r>
      <w:r>
        <w:rPr>
          <w:rFonts w:ascii="Times New Roman"/>
          <w:b/>
          <w:sz w:val="24"/>
        </w:rPr>
        <w:t>Survey</w:t>
      </w:r>
    </w:p>
    <w:p w:rsidR="005A774F" w:rsidRDefault="005A774F" w14:paraId="66A522FC" w14:textId="77777777">
      <w:pPr>
        <w:spacing w:before="5"/>
        <w:rPr>
          <w:rFonts w:ascii="Times New Roman" w:hAnsi="Times New Roman" w:eastAsia="Times New Roman" w:cs="Times New Roman"/>
          <w:b/>
          <w:bCs/>
          <w:sz w:val="34"/>
          <w:szCs w:val="34"/>
        </w:rPr>
      </w:pPr>
    </w:p>
    <w:p w:rsidR="005A774F" w:rsidP="00AD0B08" w:rsidRDefault="008633F9" w14:paraId="683BF9B5" w14:textId="77777777">
      <w:pPr>
        <w:pStyle w:val="ListParagraph"/>
        <w:numPr>
          <w:ilvl w:val="0"/>
          <w:numId w:val="1"/>
        </w:numPr>
        <w:tabs>
          <w:tab w:val="left" w:pos="459"/>
        </w:tabs>
        <w:ind w:hanging="458"/>
        <w:rPr>
          <w:rFonts w:ascii="Times New Roman" w:hAnsi="Times New Roman" w:eastAsia="Times New Roman" w:cs="Times New Roman"/>
          <w:sz w:val="24"/>
          <w:szCs w:val="24"/>
        </w:rPr>
      </w:pPr>
      <w:r>
        <w:rPr>
          <w:rFonts w:ascii="Times New Roman"/>
          <w:b/>
          <w:sz w:val="24"/>
        </w:rPr>
        <w:t>COLLECTIONS OF INFORMATION EMPLOYING STATISTICAL</w:t>
      </w:r>
      <w:r>
        <w:rPr>
          <w:rFonts w:ascii="Times New Roman"/>
          <w:b/>
          <w:spacing w:val="31"/>
          <w:sz w:val="24"/>
        </w:rPr>
        <w:t xml:space="preserve"> </w:t>
      </w:r>
      <w:r>
        <w:rPr>
          <w:rFonts w:ascii="Times New Roman"/>
          <w:b/>
          <w:sz w:val="24"/>
        </w:rPr>
        <w:t>METHODS</w:t>
      </w:r>
    </w:p>
    <w:p w:rsidR="005A774F" w:rsidRDefault="005A774F" w14:paraId="5FE77EA0" w14:textId="77777777">
      <w:pPr>
        <w:rPr>
          <w:rFonts w:ascii="Times New Roman" w:hAnsi="Times New Roman" w:eastAsia="Times New Roman" w:cs="Times New Roman"/>
          <w:b/>
          <w:bCs/>
          <w:sz w:val="24"/>
          <w:szCs w:val="24"/>
        </w:rPr>
      </w:pPr>
    </w:p>
    <w:p w:rsidR="005A774F" w:rsidP="00AD0B08" w:rsidRDefault="008633F9" w14:paraId="4EF1B337" w14:textId="77777777">
      <w:pPr>
        <w:pStyle w:val="ListParagraph"/>
        <w:numPr>
          <w:ilvl w:val="1"/>
          <w:numId w:val="1"/>
        </w:numPr>
        <w:tabs>
          <w:tab w:val="left" w:pos="418"/>
        </w:tabs>
        <w:ind w:left="360" w:right="30" w:hanging="360"/>
        <w:rPr>
          <w:rFonts w:ascii="Times New Roman" w:hAnsi="Times New Roman" w:eastAsia="Times New Roman" w:cs="Times New Roman"/>
          <w:sz w:val="24"/>
          <w:szCs w:val="24"/>
        </w:rPr>
      </w:pPr>
      <w:r>
        <w:rPr>
          <w:rFonts w:ascii="Times New Roman"/>
          <w:b/>
          <w:sz w:val="24"/>
        </w:rPr>
        <w:t>Describe (including a numerical estimate) the potential respondent universe and any sampling or other respondent selection method</w:t>
      </w:r>
      <w:r w:rsidR="00984DCD">
        <w:rPr>
          <w:rFonts w:ascii="Times New Roman"/>
          <w:b/>
          <w:sz w:val="24"/>
        </w:rPr>
        <w:t xml:space="preserve"> </w:t>
      </w:r>
      <w:r>
        <w:rPr>
          <w:rFonts w:ascii="Times New Roman"/>
          <w:b/>
          <w:sz w:val="24"/>
        </w:rPr>
        <w:t>to be used. Data</w:t>
      </w:r>
      <w:r w:rsidR="00984DCD">
        <w:rPr>
          <w:rFonts w:ascii="Times New Roman"/>
          <w:b/>
          <w:sz w:val="24"/>
        </w:rPr>
        <w:t xml:space="preserve"> </w:t>
      </w:r>
      <w:r>
        <w:rPr>
          <w:rFonts w:ascii="Times New Roman"/>
          <w:b/>
          <w:sz w:val="24"/>
        </w:rPr>
        <w:t xml:space="preserve">on the number of entities (e.g. establishments, State and local governmental units, households, or persons) in the universe and the corresponding sample are to be provided in tabular form. Indicate expected response rates for the collection as a whole. </w:t>
      </w:r>
      <w:r>
        <w:rPr>
          <w:rFonts w:ascii="Times New Roman"/>
          <w:b/>
          <w:spacing w:val="-3"/>
          <w:sz w:val="24"/>
        </w:rPr>
        <w:t xml:space="preserve">If </w:t>
      </w:r>
      <w:r>
        <w:rPr>
          <w:rFonts w:ascii="Times New Roman"/>
          <w:b/>
          <w:sz w:val="24"/>
        </w:rPr>
        <w:t>the collection had been conducted previously, include the actual response rate achieved during the last</w:t>
      </w:r>
      <w:r>
        <w:rPr>
          <w:rFonts w:ascii="Times New Roman"/>
          <w:b/>
          <w:spacing w:val="18"/>
          <w:sz w:val="24"/>
        </w:rPr>
        <w:t xml:space="preserve"> </w:t>
      </w:r>
      <w:r>
        <w:rPr>
          <w:rFonts w:ascii="Times New Roman"/>
          <w:b/>
          <w:sz w:val="24"/>
        </w:rPr>
        <w:t>collection.</w:t>
      </w:r>
    </w:p>
    <w:p w:rsidR="005A774F" w:rsidRDefault="005A774F" w14:paraId="29751ED2" w14:textId="77777777">
      <w:pPr>
        <w:spacing w:before="5"/>
        <w:rPr>
          <w:rFonts w:ascii="Times New Roman" w:hAnsi="Times New Roman" w:eastAsia="Times New Roman" w:cs="Times New Roman"/>
          <w:b/>
          <w:bCs/>
          <w:sz w:val="25"/>
          <w:szCs w:val="25"/>
        </w:rPr>
      </w:pPr>
    </w:p>
    <w:p w:rsidR="00E06554" w:rsidP="00D136F2" w:rsidRDefault="008633F9" w14:paraId="4019BD5A" w14:textId="058DB4E9">
      <w:pPr>
        <w:pStyle w:val="BodyText"/>
        <w:ind w:right="30"/>
        <w:jc w:val="both"/>
      </w:pPr>
      <w:r>
        <w:t xml:space="preserve">This </w:t>
      </w:r>
      <w:r w:rsidR="00984DCD">
        <w:t>Election Administration and Voting Survey</w:t>
      </w:r>
      <w:r w:rsidR="00B20530">
        <w:t xml:space="preserve"> (EAVS)</w:t>
      </w:r>
      <w:r w:rsidR="00984DCD">
        <w:t xml:space="preserve"> is a census of </w:t>
      </w:r>
      <w:r w:rsidR="008F1E9F">
        <w:t xml:space="preserve">election offices in </w:t>
      </w:r>
      <w:r w:rsidR="00984DCD">
        <w:t xml:space="preserve">all 50 states, </w:t>
      </w:r>
      <w:r w:rsidR="00E06554">
        <w:t>the District of Columbia</w:t>
      </w:r>
      <w:r w:rsidR="00984DCD">
        <w:t xml:space="preserve">, and </w:t>
      </w:r>
      <w:r w:rsidR="008F1E9F">
        <w:t xml:space="preserve">U.S. </w:t>
      </w:r>
      <w:r w:rsidR="00984DCD">
        <w:t>territories</w:t>
      </w:r>
      <w:r w:rsidR="008F1E9F">
        <w:t xml:space="preserve">, including </w:t>
      </w:r>
      <w:r w:rsidR="00984DCD">
        <w:t>American Samoa, Guam, Puerto Rico, and the U.S. Virgin Islands</w:t>
      </w:r>
      <w:r w:rsidR="008F1E9F">
        <w:t>. The EAC intends to collect data from the Commonwealth of</w:t>
      </w:r>
      <w:r w:rsidR="00E06554">
        <w:t xml:space="preserve"> the Northern Mariana Islands </w:t>
      </w:r>
      <w:r w:rsidR="008F1E9F">
        <w:t>for the first time in the 2020 EAVS</w:t>
      </w:r>
      <w:r w:rsidR="00984DCD">
        <w:t>.</w:t>
      </w:r>
      <w:r w:rsidR="00D04480">
        <w:t xml:space="preserve"> </w:t>
      </w:r>
      <w:r>
        <w:t xml:space="preserve">The </w:t>
      </w:r>
      <w:r w:rsidR="00A94A02">
        <w:t>Election Assistance Commission</w:t>
      </w:r>
      <w:r w:rsidR="00CD6FAD">
        <w:t xml:space="preserve"> (EAC)</w:t>
      </w:r>
      <w:r w:rsidR="00A94A02">
        <w:t xml:space="preserve"> </w:t>
      </w:r>
      <w:r>
        <w:t xml:space="preserve">expects all </w:t>
      </w:r>
      <w:r w:rsidR="00CD4BF0">
        <w:t xml:space="preserve">applicable election </w:t>
      </w:r>
      <w:r w:rsidR="00A94A02">
        <w:t xml:space="preserve">jurisdictions </w:t>
      </w:r>
      <w:r w:rsidR="00CD4BF0">
        <w:t xml:space="preserve">within a </w:t>
      </w:r>
      <w:r w:rsidR="008F1E9F">
        <w:t>s</w:t>
      </w:r>
      <w:r w:rsidR="00CD4BF0">
        <w:t xml:space="preserve">tate or territory </w:t>
      </w:r>
      <w:r>
        <w:t xml:space="preserve">to provide responses to the </w:t>
      </w:r>
      <w:r w:rsidR="00CD6FAD">
        <w:t>entire survey</w:t>
      </w:r>
      <w:r>
        <w:t xml:space="preserve">. </w:t>
      </w:r>
      <w:r>
        <w:rPr>
          <w:spacing w:val="-4"/>
        </w:rPr>
        <w:t xml:space="preserve">In </w:t>
      </w:r>
      <w:r w:rsidR="00A94A02">
        <w:t>201</w:t>
      </w:r>
      <w:r w:rsidR="00E06554">
        <w:t>8</w:t>
      </w:r>
      <w:r>
        <w:t xml:space="preserve">, EAC received responses from 55 </w:t>
      </w:r>
      <w:r w:rsidR="008F1E9F">
        <w:t>s</w:t>
      </w:r>
      <w:r>
        <w:t>tate</w:t>
      </w:r>
      <w:r w:rsidR="00E06554">
        <w:t>s</w:t>
      </w:r>
      <w:r>
        <w:t xml:space="preserve"> and territor</w:t>
      </w:r>
      <w:r w:rsidR="00CD6FAD">
        <w:t>ies</w:t>
      </w:r>
      <w:r w:rsidR="00E06554">
        <w:t>; this was an increase from previous surveys, when American Samoa did not participate. EAC has also steadily increased the number of jurisdictions within states that respond to the survey. The 2016 jurisdictional response rate was 99.5</w:t>
      </w:r>
      <w:r w:rsidR="008F1E9F">
        <w:t xml:space="preserve"> percent</w:t>
      </w:r>
      <w:r w:rsidR="00E06554">
        <w:t>, and the 2018 jurisdictional response rate was 99.9</w:t>
      </w:r>
      <w:r w:rsidR="008F1E9F">
        <w:t xml:space="preserve"> percent</w:t>
      </w:r>
      <w:r w:rsidR="00E06554">
        <w:t>.</w:t>
      </w:r>
    </w:p>
    <w:p w:rsidR="00E06554" w:rsidP="00D136F2" w:rsidRDefault="00E06554" w14:paraId="31945AB4" w14:textId="77777777">
      <w:pPr>
        <w:pStyle w:val="BodyText"/>
        <w:ind w:right="30"/>
        <w:jc w:val="both"/>
      </w:pPr>
    </w:p>
    <w:p w:rsidR="005A774F" w:rsidP="00D136F2" w:rsidRDefault="00D3617E" w14:paraId="0D2C2FF7" w14:textId="1CE6163B">
      <w:pPr>
        <w:pStyle w:val="BodyText"/>
        <w:ind w:right="30"/>
        <w:jc w:val="both"/>
      </w:pPr>
      <w:r>
        <w:rPr>
          <w:spacing w:val="-4"/>
        </w:rPr>
        <w:t>As detailed in Supporting Statement A, certain q</w:t>
      </w:r>
      <w:r w:rsidR="00415EAA">
        <w:rPr>
          <w:spacing w:val="-4"/>
        </w:rPr>
        <w:t>uestions related to National Voter Registration Act (NVRA)</w:t>
      </w:r>
      <w:r w:rsidR="003040B3">
        <w:rPr>
          <w:spacing w:val="-4"/>
        </w:rPr>
        <w:t xml:space="preserve"> and </w:t>
      </w:r>
      <w:r w:rsidR="003040B3">
        <w:t>Uniformed and Overseas Citizens Absentee Voting Act (UOCAVA) require state responses</w:t>
      </w:r>
      <w:r>
        <w:t>.</w:t>
      </w:r>
      <w:r w:rsidR="003040B3">
        <w:t xml:space="preserve"> </w:t>
      </w:r>
      <w:r w:rsidR="00875240">
        <w:rPr>
          <w:spacing w:val="-4"/>
        </w:rPr>
        <w:t xml:space="preserve">Responses to all other questions are voluntary, but serve the EAC’s mandate as the clearinghouse of election administration information for the country. </w:t>
      </w:r>
      <w:r w:rsidR="00CD6FAD">
        <w:rPr>
          <w:spacing w:val="-4"/>
        </w:rPr>
        <w:t>S</w:t>
      </w:r>
      <w:r w:rsidR="008F1E9F">
        <w:rPr>
          <w:spacing w:val="-4"/>
        </w:rPr>
        <w:t xml:space="preserve">tates that are exempt from the </w:t>
      </w:r>
      <w:r w:rsidR="00415EAA">
        <w:rPr>
          <w:spacing w:val="-4"/>
        </w:rPr>
        <w:t>NVRA</w:t>
      </w:r>
      <w:r w:rsidR="008F1E9F">
        <w:rPr>
          <w:spacing w:val="-4"/>
        </w:rPr>
        <w:t xml:space="preserve"> are </w:t>
      </w:r>
      <w:r w:rsidR="008633F9">
        <w:t xml:space="preserve">exempt from </w:t>
      </w:r>
      <w:r w:rsidR="00CD6FAD">
        <w:t xml:space="preserve">providing data to the questions associated with </w:t>
      </w:r>
      <w:r w:rsidR="008633F9">
        <w:t xml:space="preserve">the </w:t>
      </w:r>
      <w:r w:rsidR="00A94A02">
        <w:t>National Voter Registration Act</w:t>
      </w:r>
      <w:r w:rsidR="008F1E9F">
        <w:t xml:space="preserve"> in EAVS Section A. However,</w:t>
      </w:r>
      <w:r w:rsidR="008633F9">
        <w:t xml:space="preserve"> most of </w:t>
      </w:r>
      <w:r w:rsidR="00CD4BF0">
        <w:t xml:space="preserve">these states </w:t>
      </w:r>
      <w:r w:rsidR="00E06554">
        <w:t xml:space="preserve">provide responses </w:t>
      </w:r>
      <w:r w:rsidR="008F1E9F">
        <w:t xml:space="preserve">despite their </w:t>
      </w:r>
      <w:r w:rsidR="00D01F25">
        <w:t>exemption</w:t>
      </w:r>
      <w:r w:rsidR="008633F9">
        <w:t xml:space="preserve">. </w:t>
      </w:r>
      <w:r w:rsidR="00CD6FAD">
        <w:t xml:space="preserve">All </w:t>
      </w:r>
      <w:r w:rsidR="00A94A02">
        <w:t xml:space="preserve">jurisdictions </w:t>
      </w:r>
      <w:r w:rsidR="00CD6FAD">
        <w:t xml:space="preserve">are </w:t>
      </w:r>
      <w:r w:rsidR="00A94A02">
        <w:t>require</w:t>
      </w:r>
      <w:r w:rsidR="00CD6FAD">
        <w:t>d</w:t>
      </w:r>
      <w:r w:rsidR="00A94A02">
        <w:t xml:space="preserve"> to answer other parts of the survey, such as </w:t>
      </w:r>
      <w:r w:rsidR="00CD6FAD">
        <w:t xml:space="preserve">those </w:t>
      </w:r>
      <w:r w:rsidR="00A94A02">
        <w:t>related to voting by individuals covered by the UOCAVA.</w:t>
      </w:r>
      <w:r w:rsidR="00D04480">
        <w:t xml:space="preserve"> </w:t>
      </w:r>
      <w:r w:rsidR="00A94A02">
        <w:t xml:space="preserve">Finally, </w:t>
      </w:r>
      <w:r w:rsidR="00A94A02">
        <w:rPr>
          <w:spacing w:val="-6"/>
        </w:rPr>
        <w:t xml:space="preserve">because </w:t>
      </w:r>
      <w:r w:rsidR="00A94A02">
        <w:t xml:space="preserve">election administration </w:t>
      </w:r>
      <w:r w:rsidR="00A94A02">
        <w:rPr>
          <w:spacing w:val="2"/>
        </w:rPr>
        <w:t xml:space="preserve">varies </w:t>
      </w:r>
      <w:r w:rsidR="00A94A02">
        <w:rPr>
          <w:spacing w:val="3"/>
        </w:rPr>
        <w:t xml:space="preserve">based on the laws of a given </w:t>
      </w:r>
      <w:r w:rsidR="008633F9">
        <w:t>jurisdiction,</w:t>
      </w:r>
      <w:r w:rsidR="008633F9">
        <w:rPr>
          <w:spacing w:val="-12"/>
        </w:rPr>
        <w:t xml:space="preserve"> </w:t>
      </w:r>
      <w:r w:rsidR="00A94A02">
        <w:t xml:space="preserve">certain </w:t>
      </w:r>
      <w:r w:rsidR="008633F9">
        <w:t>questions</w:t>
      </w:r>
      <w:r w:rsidR="008633F9">
        <w:rPr>
          <w:spacing w:val="-6"/>
        </w:rPr>
        <w:t xml:space="preserve"> </w:t>
      </w:r>
      <w:r w:rsidR="00A94A02">
        <w:t xml:space="preserve">will </w:t>
      </w:r>
      <w:r w:rsidR="008633F9">
        <w:t>not</w:t>
      </w:r>
      <w:r w:rsidR="008633F9">
        <w:rPr>
          <w:spacing w:val="-1"/>
        </w:rPr>
        <w:t xml:space="preserve"> </w:t>
      </w:r>
      <w:r w:rsidR="008633F9">
        <w:t>apply</w:t>
      </w:r>
      <w:r w:rsidR="008633F9">
        <w:rPr>
          <w:spacing w:val="-15"/>
        </w:rPr>
        <w:t xml:space="preserve"> </w:t>
      </w:r>
      <w:r w:rsidR="008633F9">
        <w:t>to</w:t>
      </w:r>
      <w:r w:rsidR="008633F9">
        <w:rPr>
          <w:spacing w:val="-2"/>
        </w:rPr>
        <w:t xml:space="preserve"> </w:t>
      </w:r>
      <w:r w:rsidR="008633F9">
        <w:t>all</w:t>
      </w:r>
      <w:r w:rsidR="008633F9">
        <w:rPr>
          <w:spacing w:val="1"/>
        </w:rPr>
        <w:t xml:space="preserve"> </w:t>
      </w:r>
      <w:r w:rsidR="00CD6FAD">
        <w:t>jurisdictions</w:t>
      </w:r>
      <w:r w:rsidR="008633F9">
        <w:t>.</w:t>
      </w:r>
      <w:r w:rsidR="00E06554">
        <w:t xml:space="preserve"> The EAC has created codes for survey respondents to indicate when an item does not apply to their state or jurisdiction, or when an item does apply but the respondent does not have enough information or data to provide a response.</w:t>
      </w:r>
    </w:p>
    <w:p w:rsidR="005A774F" w:rsidRDefault="005A774F" w14:paraId="7338C9C1" w14:textId="77777777">
      <w:pPr>
        <w:spacing w:before="4"/>
        <w:rPr>
          <w:rFonts w:ascii="Times New Roman" w:hAnsi="Times New Roman" w:eastAsia="Times New Roman" w:cs="Times New Roman"/>
          <w:sz w:val="28"/>
          <w:szCs w:val="28"/>
        </w:rPr>
      </w:pPr>
    </w:p>
    <w:p w:rsidR="005A774F" w:rsidP="00AD0B08" w:rsidRDefault="008633F9" w14:paraId="64A0E5B3" w14:textId="77777777">
      <w:pPr>
        <w:pStyle w:val="Heading1"/>
        <w:numPr>
          <w:ilvl w:val="1"/>
          <w:numId w:val="1"/>
        </w:numPr>
        <w:tabs>
          <w:tab w:val="left" w:pos="418"/>
        </w:tabs>
        <w:ind w:left="360" w:right="30" w:hanging="360"/>
        <w:rPr>
          <w:b w:val="0"/>
          <w:bCs w:val="0"/>
        </w:rPr>
      </w:pPr>
      <w:r>
        <w:t>Describe the procedures for the collection, including: the statistical methodology for stratification and sample selection; the estimation procedure; the degree of accuracy needed</w:t>
      </w:r>
      <w:r w:rsidR="00984DCD">
        <w:t xml:space="preserve"> </w:t>
      </w:r>
      <w:r>
        <w:t>for the purpose described in the justification; any unusual problems requiring specialized sampling procedures; and any use of periodic (less frequent than</w:t>
      </w:r>
      <w:r w:rsidR="00984DCD">
        <w:t xml:space="preserve"> </w:t>
      </w:r>
      <w:r>
        <w:t>annual)</w:t>
      </w:r>
      <w:r w:rsidR="00984DCD">
        <w:t xml:space="preserve"> </w:t>
      </w:r>
      <w:r>
        <w:t>data collection cycles to reduce</w:t>
      </w:r>
      <w:r>
        <w:rPr>
          <w:spacing w:val="-9"/>
        </w:rPr>
        <w:t xml:space="preserve"> </w:t>
      </w:r>
      <w:r>
        <w:t>burden.</w:t>
      </w:r>
    </w:p>
    <w:p w:rsidR="005A774F" w:rsidRDefault="005A774F" w14:paraId="0B98F626" w14:textId="77777777">
      <w:pPr>
        <w:spacing w:before="8"/>
        <w:rPr>
          <w:rFonts w:ascii="Times New Roman" w:hAnsi="Times New Roman" w:eastAsia="Times New Roman" w:cs="Times New Roman"/>
          <w:b/>
          <w:bCs/>
          <w:sz w:val="25"/>
          <w:szCs w:val="25"/>
        </w:rPr>
      </w:pPr>
    </w:p>
    <w:p w:rsidR="005A774F" w:rsidP="00B20530" w:rsidRDefault="008633F9" w14:paraId="0627B56C" w14:textId="12401ECC">
      <w:pPr>
        <w:pStyle w:val="BodyText"/>
      </w:pPr>
      <w:r>
        <w:t>Not applicable.</w:t>
      </w:r>
      <w:r w:rsidR="00B20530">
        <w:t xml:space="preserve"> No sample selection is involved in collecting this data.</w:t>
      </w:r>
    </w:p>
    <w:p w:rsidR="005A774F" w:rsidRDefault="005A774F" w14:paraId="3C67AAC1" w14:textId="77777777">
      <w:pPr>
        <w:spacing w:before="4"/>
        <w:rPr>
          <w:rFonts w:ascii="Times New Roman" w:hAnsi="Times New Roman" w:eastAsia="Times New Roman" w:cs="Times New Roman"/>
          <w:sz w:val="28"/>
          <w:szCs w:val="28"/>
        </w:rPr>
      </w:pPr>
    </w:p>
    <w:p w:rsidR="005A774F" w:rsidP="00AD0B08" w:rsidRDefault="008633F9" w14:paraId="700E82A1" w14:textId="77777777">
      <w:pPr>
        <w:pStyle w:val="Heading1"/>
        <w:numPr>
          <w:ilvl w:val="1"/>
          <w:numId w:val="1"/>
        </w:numPr>
        <w:tabs>
          <w:tab w:val="left" w:pos="478"/>
        </w:tabs>
        <w:ind w:left="360" w:right="30" w:hanging="360"/>
        <w:rPr>
          <w:b w:val="0"/>
          <w:bCs w:val="0"/>
        </w:rPr>
      </w:pPr>
      <w:r>
        <w:t>Describe the methods used to maximize response rates and to deal with non- response. The accuracy and reliability of the information collected must be shown to be adequate for the intended</w:t>
      </w:r>
      <w:r w:rsidR="00984DCD">
        <w:t xml:space="preserve"> </w:t>
      </w:r>
      <w:r>
        <w:t>uses.</w:t>
      </w:r>
    </w:p>
    <w:p w:rsidR="005A774F" w:rsidRDefault="005A774F" w14:paraId="77B6567E" w14:textId="77777777">
      <w:pPr>
        <w:spacing w:before="8"/>
        <w:rPr>
          <w:rFonts w:ascii="Times New Roman" w:hAnsi="Times New Roman" w:eastAsia="Times New Roman" w:cs="Times New Roman"/>
          <w:b/>
          <w:bCs/>
          <w:sz w:val="25"/>
          <w:szCs w:val="25"/>
        </w:rPr>
      </w:pPr>
    </w:p>
    <w:p w:rsidR="00F0405B" w:rsidP="00D136F2" w:rsidRDefault="008633F9" w14:paraId="4B8D347E" w14:textId="62C9BA65">
      <w:pPr>
        <w:pStyle w:val="BodyText"/>
        <w:ind w:right="30"/>
        <w:jc w:val="both"/>
      </w:pPr>
      <w:r>
        <w:t xml:space="preserve">The EAC </w:t>
      </w:r>
      <w:r w:rsidR="00D76460">
        <w:t xml:space="preserve">works closely with </w:t>
      </w:r>
      <w:r w:rsidR="008F1E9F">
        <w:t>two of its federal advisory committees, the EAC</w:t>
      </w:r>
      <w:r w:rsidR="0038506E">
        <w:t xml:space="preserve"> Board of Advisors</w:t>
      </w:r>
      <w:r w:rsidR="00CA47CD">
        <w:t xml:space="preserve"> </w:t>
      </w:r>
      <w:r w:rsidR="008F1E9F">
        <w:t xml:space="preserve">and EAC Standards Board, </w:t>
      </w:r>
      <w:r w:rsidR="00CA47CD">
        <w:t xml:space="preserve">to review the survey instruments for clarity before they are distributed to respondents. </w:t>
      </w:r>
      <w:r w:rsidR="00F0405B">
        <w:t xml:space="preserve">In order to ensure that states are prepared for this data collection, the EAC presents each new information collection to </w:t>
      </w:r>
      <w:r w:rsidR="008F1E9F">
        <w:t>these advisory committees</w:t>
      </w:r>
      <w:r w:rsidR="00F0405B">
        <w:t xml:space="preserve">, which are composed of 110 state and </w:t>
      </w:r>
      <w:r w:rsidR="00F0405B">
        <w:rPr>
          <w:spacing w:val="-3"/>
        </w:rPr>
        <w:t xml:space="preserve">local </w:t>
      </w:r>
      <w:r w:rsidR="00F0405B">
        <w:t>election</w:t>
      </w:r>
      <w:r w:rsidR="00F0405B">
        <w:rPr>
          <w:spacing w:val="-32"/>
        </w:rPr>
        <w:t xml:space="preserve"> </w:t>
      </w:r>
      <w:r w:rsidR="00F0405B">
        <w:t>officials, with</w:t>
      </w:r>
      <w:r w:rsidR="00F0405B">
        <w:rPr>
          <w:spacing w:val="-8"/>
        </w:rPr>
        <w:t xml:space="preserve"> </w:t>
      </w:r>
      <w:r w:rsidR="00F0405B">
        <w:t>another</w:t>
      </w:r>
      <w:r w:rsidR="00F0405B">
        <w:rPr>
          <w:spacing w:val="-10"/>
        </w:rPr>
        <w:t xml:space="preserve"> </w:t>
      </w:r>
      <w:r w:rsidR="00F0405B">
        <w:t>37 drawn</w:t>
      </w:r>
      <w:r w:rsidR="00F0405B">
        <w:rPr>
          <w:spacing w:val="-6"/>
        </w:rPr>
        <w:t xml:space="preserve"> </w:t>
      </w:r>
      <w:r w:rsidR="00F0405B">
        <w:t>from</w:t>
      </w:r>
      <w:r w:rsidR="00F0405B">
        <w:rPr>
          <w:spacing w:val="-7"/>
        </w:rPr>
        <w:t xml:space="preserve"> </w:t>
      </w:r>
      <w:r w:rsidR="00F0405B">
        <w:t>various</w:t>
      </w:r>
      <w:r w:rsidR="00F0405B">
        <w:rPr>
          <w:spacing w:val="-9"/>
        </w:rPr>
        <w:t xml:space="preserve"> </w:t>
      </w:r>
      <w:r w:rsidR="00F0405B">
        <w:t>national</w:t>
      </w:r>
      <w:r w:rsidR="00F0405B">
        <w:rPr>
          <w:spacing w:val="-3"/>
        </w:rPr>
        <w:t xml:space="preserve"> </w:t>
      </w:r>
      <w:r w:rsidR="00F0405B">
        <w:t>associations</w:t>
      </w:r>
      <w:r w:rsidR="00F0405B">
        <w:rPr>
          <w:spacing w:val="-14"/>
        </w:rPr>
        <w:t xml:space="preserve"> </w:t>
      </w:r>
      <w:r w:rsidR="00F0405B">
        <w:t>and</w:t>
      </w:r>
      <w:r w:rsidR="00F0405B">
        <w:rPr>
          <w:spacing w:val="-3"/>
        </w:rPr>
        <w:t xml:space="preserve"> </w:t>
      </w:r>
      <w:r w:rsidR="00F0405B">
        <w:t>government</w:t>
      </w:r>
      <w:r w:rsidR="00F0405B">
        <w:rPr>
          <w:spacing w:val="-12"/>
        </w:rPr>
        <w:t xml:space="preserve"> </w:t>
      </w:r>
      <w:r w:rsidR="00F0405B">
        <w:t>agencies</w:t>
      </w:r>
      <w:r w:rsidR="00F0405B">
        <w:rPr>
          <w:spacing w:val="-9"/>
        </w:rPr>
        <w:t xml:space="preserve"> </w:t>
      </w:r>
      <w:r w:rsidR="00F0405B">
        <w:t>that</w:t>
      </w:r>
      <w:r w:rsidR="00F0405B">
        <w:rPr>
          <w:spacing w:val="-5"/>
        </w:rPr>
        <w:t xml:space="preserve"> </w:t>
      </w:r>
      <w:r w:rsidR="00F0405B">
        <w:t>play</w:t>
      </w:r>
      <w:r w:rsidR="00F0405B">
        <w:rPr>
          <w:spacing w:val="-12"/>
        </w:rPr>
        <w:t xml:space="preserve"> </w:t>
      </w:r>
      <w:r w:rsidR="00F0405B">
        <w:t>a role</w:t>
      </w:r>
      <w:r w:rsidR="00F0405B">
        <w:rPr>
          <w:spacing w:val="-7"/>
        </w:rPr>
        <w:t xml:space="preserve"> </w:t>
      </w:r>
      <w:r w:rsidR="00F0405B">
        <w:t>in</w:t>
      </w:r>
      <w:r w:rsidR="00F0405B">
        <w:rPr>
          <w:spacing w:val="-4"/>
        </w:rPr>
        <w:t xml:space="preserve"> </w:t>
      </w:r>
      <w:r w:rsidR="00F0405B">
        <w:t>the</w:t>
      </w:r>
      <w:r w:rsidR="00F0405B">
        <w:rPr>
          <w:spacing w:val="-5"/>
        </w:rPr>
        <w:t xml:space="preserve"> </w:t>
      </w:r>
      <w:r w:rsidR="00F0405B">
        <w:t>implementation</w:t>
      </w:r>
      <w:r w:rsidR="00F0405B">
        <w:rPr>
          <w:spacing w:val="-15"/>
        </w:rPr>
        <w:t xml:space="preserve"> </w:t>
      </w:r>
      <w:r w:rsidR="00F0405B">
        <w:t>of</w:t>
      </w:r>
      <w:r w:rsidR="00F0405B">
        <w:rPr>
          <w:spacing w:val="-5"/>
        </w:rPr>
        <w:t xml:space="preserve"> </w:t>
      </w:r>
      <w:r w:rsidR="00F0405B">
        <w:t>the</w:t>
      </w:r>
      <w:r w:rsidR="00F0405B">
        <w:rPr>
          <w:spacing w:val="-7"/>
        </w:rPr>
        <w:t xml:space="preserve"> </w:t>
      </w:r>
      <w:r w:rsidR="00F0405B">
        <w:t>Help</w:t>
      </w:r>
      <w:r w:rsidR="00F0405B">
        <w:rPr>
          <w:spacing w:val="-6"/>
        </w:rPr>
        <w:t xml:space="preserve"> </w:t>
      </w:r>
      <w:r w:rsidR="00F0405B">
        <w:t>America</w:t>
      </w:r>
      <w:r w:rsidR="00F0405B">
        <w:rPr>
          <w:spacing w:val="-2"/>
        </w:rPr>
        <w:t xml:space="preserve"> </w:t>
      </w:r>
      <w:r w:rsidR="00F0405B">
        <w:t>Vote</w:t>
      </w:r>
      <w:r w:rsidR="00F0405B">
        <w:rPr>
          <w:spacing w:val="-10"/>
        </w:rPr>
        <w:t xml:space="preserve"> </w:t>
      </w:r>
      <w:r w:rsidR="00F0405B">
        <w:t>Act,</w:t>
      </w:r>
      <w:r w:rsidR="00F0405B">
        <w:rPr>
          <w:spacing w:val="-4"/>
        </w:rPr>
        <w:t xml:space="preserve"> </w:t>
      </w:r>
      <w:r w:rsidR="00F0405B">
        <w:t>and</w:t>
      </w:r>
      <w:r w:rsidR="00F0405B">
        <w:rPr>
          <w:spacing w:val="-4"/>
        </w:rPr>
        <w:t xml:space="preserve"> </w:t>
      </w:r>
      <w:r w:rsidR="00F0405B">
        <w:t>science</w:t>
      </w:r>
      <w:r w:rsidR="00F0405B">
        <w:rPr>
          <w:spacing w:val="-7"/>
        </w:rPr>
        <w:t xml:space="preserve"> </w:t>
      </w:r>
      <w:r w:rsidR="00F0405B">
        <w:t>and</w:t>
      </w:r>
      <w:r w:rsidR="00F0405B">
        <w:rPr>
          <w:spacing w:val="-1"/>
        </w:rPr>
        <w:t xml:space="preserve"> </w:t>
      </w:r>
      <w:r w:rsidR="00F0405B">
        <w:t>technology-related professionals appointed by Congressional members. Since 2006, the information collection has also been presented to members of professional associations</w:t>
      </w:r>
      <w:r w:rsidR="008F1E9F">
        <w:t xml:space="preserve"> in the elections community</w:t>
      </w:r>
      <w:r w:rsidR="00F0405B">
        <w:t>, including the National Association of Secretaries of States</w:t>
      </w:r>
      <w:r w:rsidR="008F1E9F">
        <w:t xml:space="preserve">, </w:t>
      </w:r>
      <w:r w:rsidR="00F0405B">
        <w:t>the National Association of State Election Directors,</w:t>
      </w:r>
      <w:r w:rsidR="008F1E9F">
        <w:t xml:space="preserve"> and the National Association of Election Officials,</w:t>
      </w:r>
      <w:r w:rsidR="00F0405B">
        <w:rPr>
          <w:spacing w:val="-10"/>
        </w:rPr>
        <w:t xml:space="preserve"> </w:t>
      </w:r>
      <w:r w:rsidR="00F0405B">
        <w:t>and</w:t>
      </w:r>
      <w:r w:rsidR="00F0405B">
        <w:rPr>
          <w:spacing w:val="-5"/>
        </w:rPr>
        <w:t xml:space="preserve"> </w:t>
      </w:r>
      <w:r w:rsidR="00F0405B">
        <w:t>their</w:t>
      </w:r>
      <w:r w:rsidR="00F0405B">
        <w:rPr>
          <w:spacing w:val="-3"/>
        </w:rPr>
        <w:t xml:space="preserve"> </w:t>
      </w:r>
      <w:r w:rsidR="00F0405B">
        <w:t>feedback</w:t>
      </w:r>
      <w:r w:rsidR="00F0405B">
        <w:rPr>
          <w:spacing w:val="-12"/>
        </w:rPr>
        <w:t xml:space="preserve"> </w:t>
      </w:r>
      <w:r w:rsidR="00F0405B">
        <w:t>is</w:t>
      </w:r>
      <w:r w:rsidR="00F0405B">
        <w:rPr>
          <w:spacing w:val="-5"/>
        </w:rPr>
        <w:t xml:space="preserve"> </w:t>
      </w:r>
      <w:r w:rsidR="00F0405B">
        <w:t xml:space="preserve">encouraged. </w:t>
      </w:r>
      <w:r w:rsidR="00F0405B">
        <w:rPr>
          <w:spacing w:val="-4"/>
        </w:rPr>
        <w:t xml:space="preserve">In </w:t>
      </w:r>
      <w:r w:rsidR="00F0405B">
        <w:t>addition to election officials, EAC also consults with social science and election researchers, voter interest groups, and other stakeholders to discuss ways to improve the new information collection based on their expertise.</w:t>
      </w:r>
    </w:p>
    <w:p w:rsidR="00F0405B" w:rsidP="00D136F2" w:rsidRDefault="00F0405B" w14:paraId="1A510B4E" w14:textId="77777777">
      <w:pPr>
        <w:pStyle w:val="BodyText"/>
        <w:ind w:right="30"/>
        <w:jc w:val="both"/>
      </w:pPr>
    </w:p>
    <w:p w:rsidR="00AA2F6F" w:rsidP="00D136F2" w:rsidRDefault="00CD4BF0" w14:paraId="2921114B" w14:textId="41EF9FB0">
      <w:pPr>
        <w:pStyle w:val="BodyText"/>
        <w:ind w:right="30"/>
        <w:jc w:val="both"/>
      </w:pPr>
      <w:r>
        <w:t xml:space="preserve">EAVS response rates have been continually improving. </w:t>
      </w:r>
      <w:r w:rsidR="00A715E3">
        <w:t>The Policy Survey is a supplement to the EAVS that provides a c</w:t>
      </w:r>
      <w:r w:rsidR="008379B6">
        <w:t>ontextual understanding of laws and administrative procedures that govern election</w:t>
      </w:r>
      <w:r w:rsidR="00537809">
        <w:t>-related</w:t>
      </w:r>
      <w:r w:rsidR="008379B6">
        <w:t xml:space="preserve"> activities from state to state. It also serves as a data check. The EAC uses the confirmation of states’ policies through the Policy Survey to check the validity of data submitted </w:t>
      </w:r>
      <w:r w:rsidR="00D01F25">
        <w:t>in response to</w:t>
      </w:r>
      <w:r w:rsidR="008379B6">
        <w:t xml:space="preserve"> the EAVS instrument. </w:t>
      </w:r>
      <w:r>
        <w:t xml:space="preserve">In 2018, all 55 </w:t>
      </w:r>
      <w:r w:rsidR="008F1E9F">
        <w:t>surveyed s</w:t>
      </w:r>
      <w:r>
        <w:t xml:space="preserve">tates and territories responded to the Policy Survey (100.0% response rate) and 6,457 out of 6,458 </w:t>
      </w:r>
      <w:r w:rsidR="008F1E9F">
        <w:t xml:space="preserve">local </w:t>
      </w:r>
      <w:r>
        <w:t xml:space="preserve">jurisdictions provided </w:t>
      </w:r>
      <w:r w:rsidR="00AA7B56">
        <w:t xml:space="preserve">at least a partial response to </w:t>
      </w:r>
      <w:r w:rsidR="008F1E9F">
        <w:t xml:space="preserve">the </w:t>
      </w:r>
      <w:r w:rsidR="00AA7B56">
        <w:t xml:space="preserve">EAVS (99.9% response rate). Within each of the six sections of EAVS, response rates are very high as well, as shown in Table 1. To maximize response rates and data quality, the </w:t>
      </w:r>
      <w:r w:rsidR="00CA47CD">
        <w:t>EAC provides  technical assistance to all respondents and specialized advice targeted to each state, in an effort to reduce non-response, maximize survey completion and item response rates, and collect the most accurate and complete data possible.</w:t>
      </w:r>
      <w:r w:rsidR="00D04480">
        <w:t xml:space="preserve"> </w:t>
      </w:r>
    </w:p>
    <w:p w:rsidR="00AA7B56" w:rsidP="00AD0B08" w:rsidRDefault="00AA7B56" w14:paraId="16F161A9" w14:textId="77777777">
      <w:pPr>
        <w:pStyle w:val="BodyText"/>
        <w:ind w:right="30"/>
      </w:pPr>
    </w:p>
    <w:tbl>
      <w:tblPr>
        <w:tblStyle w:val="TableGrid"/>
        <w:tblW w:w="0" w:type="auto"/>
        <w:tblInd w:w="100" w:type="dxa"/>
        <w:tblLook w:val="04A0" w:firstRow="1" w:lastRow="0" w:firstColumn="1" w:lastColumn="0" w:noHBand="0" w:noVBand="1"/>
      </w:tblPr>
      <w:tblGrid>
        <w:gridCol w:w="1136"/>
        <w:gridCol w:w="1159"/>
        <w:gridCol w:w="1159"/>
        <w:gridCol w:w="1159"/>
        <w:gridCol w:w="1159"/>
        <w:gridCol w:w="1159"/>
        <w:gridCol w:w="1159"/>
        <w:gridCol w:w="1160"/>
      </w:tblGrid>
      <w:tr w:rsidR="00AA7B56" w:rsidTr="00FF40F7" w14:paraId="554F1433" w14:textId="77777777">
        <w:tc>
          <w:tcPr>
            <w:tcW w:w="9250" w:type="dxa"/>
            <w:gridSpan w:val="8"/>
          </w:tcPr>
          <w:p w:rsidRPr="00FF40F7" w:rsidR="00AA7B56" w:rsidP="00FF40F7" w:rsidRDefault="00AA7B56" w14:paraId="5F262465" w14:textId="77777777">
            <w:pPr>
              <w:pStyle w:val="BodyText"/>
              <w:ind w:right="30"/>
              <w:jc w:val="center"/>
              <w:rPr>
                <w:b/>
                <w:bCs/>
              </w:rPr>
            </w:pPr>
            <w:r>
              <w:rPr>
                <w:b/>
                <w:bCs/>
              </w:rPr>
              <w:t>Table 1. 2018 EAVS Response Rates by Section</w:t>
            </w:r>
          </w:p>
        </w:tc>
      </w:tr>
      <w:tr w:rsidR="00AA7B56" w:rsidTr="00FF40F7" w14:paraId="0BC09A95" w14:textId="77777777">
        <w:tc>
          <w:tcPr>
            <w:tcW w:w="1136" w:type="dxa"/>
          </w:tcPr>
          <w:p w:rsidR="00AA7B56" w:rsidP="00FF40F7" w:rsidRDefault="00AA7B56" w14:paraId="55C6DCBD" w14:textId="77777777">
            <w:pPr>
              <w:pStyle w:val="BodyText"/>
              <w:ind w:right="296"/>
            </w:pPr>
          </w:p>
        </w:tc>
        <w:tc>
          <w:tcPr>
            <w:tcW w:w="1159" w:type="dxa"/>
            <w:vAlign w:val="bottom"/>
          </w:tcPr>
          <w:p w:rsidR="00AA7B56" w:rsidP="00FF40F7" w:rsidRDefault="00AA7B56" w14:paraId="490F344C" w14:textId="77777777">
            <w:pPr>
              <w:pStyle w:val="BodyText"/>
              <w:jc w:val="center"/>
            </w:pPr>
            <w:r>
              <w:t>Overall</w:t>
            </w:r>
          </w:p>
        </w:tc>
        <w:tc>
          <w:tcPr>
            <w:tcW w:w="1159" w:type="dxa"/>
            <w:vAlign w:val="bottom"/>
          </w:tcPr>
          <w:p w:rsidR="00AA7B56" w:rsidP="00FF40F7" w:rsidRDefault="00AA7B56" w14:paraId="67562831" w14:textId="77777777">
            <w:pPr>
              <w:pStyle w:val="BodyText"/>
              <w:jc w:val="center"/>
            </w:pPr>
            <w:r>
              <w:t>Section A</w:t>
            </w:r>
          </w:p>
        </w:tc>
        <w:tc>
          <w:tcPr>
            <w:tcW w:w="1159" w:type="dxa"/>
            <w:vAlign w:val="bottom"/>
          </w:tcPr>
          <w:p w:rsidR="00AA7B56" w:rsidP="00FF40F7" w:rsidRDefault="00AA7B56" w14:paraId="6F50BECF" w14:textId="77777777">
            <w:pPr>
              <w:pStyle w:val="BodyText"/>
              <w:jc w:val="center"/>
            </w:pPr>
            <w:r>
              <w:t>Section B</w:t>
            </w:r>
          </w:p>
        </w:tc>
        <w:tc>
          <w:tcPr>
            <w:tcW w:w="1159" w:type="dxa"/>
            <w:vAlign w:val="bottom"/>
          </w:tcPr>
          <w:p w:rsidR="00AA7B56" w:rsidP="00FF40F7" w:rsidRDefault="00AA7B56" w14:paraId="07B4F155" w14:textId="77777777">
            <w:pPr>
              <w:pStyle w:val="BodyText"/>
              <w:jc w:val="center"/>
            </w:pPr>
            <w:r>
              <w:t>Section C</w:t>
            </w:r>
          </w:p>
        </w:tc>
        <w:tc>
          <w:tcPr>
            <w:tcW w:w="1159" w:type="dxa"/>
            <w:vAlign w:val="bottom"/>
          </w:tcPr>
          <w:p w:rsidR="00AA7B56" w:rsidP="00FF40F7" w:rsidRDefault="00AA7B56" w14:paraId="439AED2C" w14:textId="77777777">
            <w:pPr>
              <w:pStyle w:val="BodyText"/>
              <w:jc w:val="center"/>
            </w:pPr>
            <w:r>
              <w:t>Section D</w:t>
            </w:r>
          </w:p>
        </w:tc>
        <w:tc>
          <w:tcPr>
            <w:tcW w:w="1159" w:type="dxa"/>
            <w:vAlign w:val="bottom"/>
          </w:tcPr>
          <w:p w:rsidR="00AA7B56" w:rsidP="00FF40F7" w:rsidRDefault="00AA7B56" w14:paraId="298979AB" w14:textId="77777777">
            <w:pPr>
              <w:pStyle w:val="BodyText"/>
              <w:ind w:right="31"/>
              <w:jc w:val="center"/>
            </w:pPr>
            <w:r>
              <w:t>Section E</w:t>
            </w:r>
          </w:p>
        </w:tc>
        <w:tc>
          <w:tcPr>
            <w:tcW w:w="1160" w:type="dxa"/>
            <w:vAlign w:val="bottom"/>
          </w:tcPr>
          <w:p w:rsidR="00AA7B56" w:rsidP="00FF40F7" w:rsidRDefault="00AA7B56" w14:paraId="1A0D4FF1" w14:textId="77777777">
            <w:pPr>
              <w:pStyle w:val="BodyText"/>
              <w:ind w:right="30"/>
              <w:jc w:val="center"/>
            </w:pPr>
            <w:r>
              <w:t>Section F</w:t>
            </w:r>
          </w:p>
        </w:tc>
      </w:tr>
      <w:tr w:rsidR="00AA7B56" w:rsidTr="00FF40F7" w14:paraId="68AFF9C6" w14:textId="77777777">
        <w:tc>
          <w:tcPr>
            <w:tcW w:w="1136" w:type="dxa"/>
          </w:tcPr>
          <w:p w:rsidR="00AA7B56" w:rsidP="00FF40F7" w:rsidRDefault="00AA7B56" w14:paraId="76F70B49" w14:textId="77777777">
            <w:pPr>
              <w:pStyle w:val="BodyText"/>
            </w:pPr>
            <w:r>
              <w:t>Response Rate</w:t>
            </w:r>
          </w:p>
        </w:tc>
        <w:tc>
          <w:tcPr>
            <w:tcW w:w="1159" w:type="dxa"/>
            <w:vAlign w:val="center"/>
          </w:tcPr>
          <w:p w:rsidR="00AA7B56" w:rsidP="00FF40F7" w:rsidRDefault="00AA7B56" w14:paraId="7E78E275" w14:textId="77777777">
            <w:pPr>
              <w:pStyle w:val="BodyText"/>
              <w:jc w:val="center"/>
            </w:pPr>
            <w:r>
              <w:t>99%</w:t>
            </w:r>
          </w:p>
        </w:tc>
        <w:tc>
          <w:tcPr>
            <w:tcW w:w="1159" w:type="dxa"/>
            <w:vAlign w:val="center"/>
          </w:tcPr>
          <w:p w:rsidR="00AA7B56" w:rsidP="00FF40F7" w:rsidRDefault="00AA7B56" w14:paraId="7E9494EA" w14:textId="77777777">
            <w:pPr>
              <w:pStyle w:val="BodyText"/>
              <w:jc w:val="center"/>
            </w:pPr>
            <w:r>
              <w:t>99%</w:t>
            </w:r>
          </w:p>
        </w:tc>
        <w:tc>
          <w:tcPr>
            <w:tcW w:w="1159" w:type="dxa"/>
            <w:vAlign w:val="center"/>
          </w:tcPr>
          <w:p w:rsidR="00AA7B56" w:rsidP="00FF40F7" w:rsidRDefault="00AA7B56" w14:paraId="2521E34C" w14:textId="77777777">
            <w:pPr>
              <w:pStyle w:val="BodyText"/>
              <w:jc w:val="center"/>
            </w:pPr>
            <w:r>
              <w:t>99%</w:t>
            </w:r>
          </w:p>
        </w:tc>
        <w:tc>
          <w:tcPr>
            <w:tcW w:w="1159" w:type="dxa"/>
            <w:vAlign w:val="center"/>
          </w:tcPr>
          <w:p w:rsidR="00AA7B56" w:rsidP="00FF40F7" w:rsidRDefault="00AA7B56" w14:paraId="2019B20E" w14:textId="77777777">
            <w:pPr>
              <w:pStyle w:val="BodyText"/>
              <w:jc w:val="center"/>
            </w:pPr>
            <w:r>
              <w:t>99%</w:t>
            </w:r>
          </w:p>
        </w:tc>
        <w:tc>
          <w:tcPr>
            <w:tcW w:w="1159" w:type="dxa"/>
            <w:vAlign w:val="center"/>
          </w:tcPr>
          <w:p w:rsidR="00AA7B56" w:rsidP="00FF40F7" w:rsidRDefault="00AA7B56" w14:paraId="14D07597" w14:textId="77777777">
            <w:pPr>
              <w:pStyle w:val="BodyText"/>
              <w:ind w:right="14"/>
              <w:jc w:val="center"/>
            </w:pPr>
            <w:r>
              <w:t>99%</w:t>
            </w:r>
          </w:p>
        </w:tc>
        <w:tc>
          <w:tcPr>
            <w:tcW w:w="1159" w:type="dxa"/>
            <w:vAlign w:val="center"/>
          </w:tcPr>
          <w:p w:rsidR="00AA7B56" w:rsidP="00FF40F7" w:rsidRDefault="00AA7B56" w14:paraId="1C3BE5AB" w14:textId="77777777">
            <w:pPr>
              <w:pStyle w:val="BodyText"/>
              <w:ind w:right="14"/>
              <w:jc w:val="center"/>
            </w:pPr>
            <w:r>
              <w:t>98%</w:t>
            </w:r>
          </w:p>
        </w:tc>
        <w:tc>
          <w:tcPr>
            <w:tcW w:w="1160" w:type="dxa"/>
            <w:vAlign w:val="center"/>
          </w:tcPr>
          <w:p w:rsidR="00AA7B56" w:rsidP="00FF40F7" w:rsidRDefault="00AA7B56" w14:paraId="40E6935C" w14:textId="77777777">
            <w:pPr>
              <w:pStyle w:val="BodyText"/>
              <w:ind w:right="14"/>
              <w:jc w:val="center"/>
            </w:pPr>
            <w:r>
              <w:t>99%</w:t>
            </w:r>
          </w:p>
        </w:tc>
      </w:tr>
    </w:tbl>
    <w:p w:rsidR="00AA2F6F" w:rsidP="00AD0B08" w:rsidRDefault="00AA2F6F" w14:paraId="74A124E9" w14:textId="77777777">
      <w:pPr>
        <w:pStyle w:val="BodyText"/>
        <w:ind w:right="30"/>
      </w:pPr>
    </w:p>
    <w:p w:rsidR="00CA47CD" w:rsidP="00D136F2" w:rsidRDefault="00D76460" w14:paraId="60A0AC87" w14:textId="68C001E6">
      <w:pPr>
        <w:pStyle w:val="BodyText"/>
        <w:ind w:right="30"/>
        <w:jc w:val="both"/>
      </w:pPr>
      <w:r>
        <w:t>The EAC asks each state</w:t>
      </w:r>
      <w:r w:rsidR="0038506E">
        <w:t>/territory</w:t>
      </w:r>
      <w:r>
        <w:t xml:space="preserve"> to designate an EAVS point of contact</w:t>
      </w:r>
      <w:r w:rsidR="00EA2442">
        <w:t xml:space="preserve"> (POC); this person </w:t>
      </w:r>
      <w:r w:rsidR="00CA47CD">
        <w:t xml:space="preserve">is typically either the state’s chief election official or another employee who works closely with the chief election official. This POC </w:t>
      </w:r>
      <w:r w:rsidR="00EA2442">
        <w:t>receives an array of materials intended to facilitate response</w:t>
      </w:r>
      <w:r w:rsidR="00CA47CD">
        <w:t xml:space="preserve"> and also receives frequently communications from EAC in the months, weeks, and days leading up to survey response deadlines to encourage timely data submission. These state POCs are encouraged to share information and advice with local election jurisdiction officials within their states who complete EAVS.</w:t>
      </w:r>
    </w:p>
    <w:p w:rsidR="00CA47CD" w:rsidP="00D136F2" w:rsidRDefault="00CA47CD" w14:paraId="34B4CD14" w14:textId="77777777">
      <w:pPr>
        <w:pStyle w:val="BodyText"/>
        <w:ind w:right="30"/>
        <w:jc w:val="both"/>
      </w:pPr>
    </w:p>
    <w:p w:rsidR="00CA47CD" w:rsidP="00D136F2" w:rsidRDefault="00CA47CD" w14:paraId="19A46F80" w14:textId="1853C195">
      <w:pPr>
        <w:pStyle w:val="BodyText"/>
        <w:ind w:right="30"/>
        <w:jc w:val="both"/>
      </w:pPr>
      <w:r>
        <w:t>The technical assistance materials made available to EAVS POCs and respondents include “A Closer Look” videos that elaborate on the instructions and definitions in each of the six EAVS sections, filmed webinars with EAC and survey personnel to discuss questions about the survey, videos and written guides with step-by-step instructions on using the data collection templates, written FAQs covering some of the common questions about the survey, and bimonthly newsletters covering important topics related to EAVS. In addition, technical assistance is made available to state and local respondents via phone and email starting approximately 30 days before the first response deadline. Respondents use this live technical assistance resource to clarify survey questions and terms and to answer technical questions.</w:t>
      </w:r>
    </w:p>
    <w:p w:rsidR="00CA47CD" w:rsidP="00D136F2" w:rsidRDefault="00CA47CD" w14:paraId="0DF5818F" w14:textId="77777777">
      <w:pPr>
        <w:pStyle w:val="BodyText"/>
        <w:ind w:right="30"/>
        <w:jc w:val="both"/>
      </w:pPr>
    </w:p>
    <w:p w:rsidR="00723D3B" w:rsidP="00D136F2" w:rsidRDefault="00723D3B" w14:paraId="6F509916" w14:textId="15728157">
      <w:pPr>
        <w:pStyle w:val="BodyText"/>
        <w:ind w:right="30"/>
        <w:jc w:val="both"/>
      </w:pPr>
      <w:r>
        <w:t>In 201</w:t>
      </w:r>
      <w:r w:rsidR="00F0405B">
        <w:t>8</w:t>
      </w:r>
      <w:r>
        <w:t>, the EAC provided states with new data collection tools that made it easier to respond to the survey.</w:t>
      </w:r>
      <w:r w:rsidR="00D04480">
        <w:t xml:space="preserve"> </w:t>
      </w:r>
      <w:r w:rsidR="00F0405B">
        <w:t>For the first time, an online data collection mechanism was introduced that allowed respondents to enter their data item-by-item without using Excel. This online survey supplemented the Excel data aggregation template that states could use to submit data reports pulled from their state databases. These two templates have reduced survey burden and have increased response rates, both among jurisdictions and across survey items.</w:t>
      </w:r>
    </w:p>
    <w:p w:rsidR="005A774F" w:rsidP="00D136F2" w:rsidRDefault="005A774F" w14:paraId="5E1F7329" w14:textId="77777777">
      <w:pPr>
        <w:spacing w:before="1"/>
        <w:ind w:right="30"/>
        <w:jc w:val="both"/>
        <w:rPr>
          <w:rFonts w:ascii="Times New Roman" w:hAnsi="Times New Roman" w:eastAsia="Times New Roman" w:cs="Times New Roman"/>
          <w:sz w:val="26"/>
          <w:szCs w:val="26"/>
        </w:rPr>
      </w:pPr>
    </w:p>
    <w:p w:rsidR="000A310E" w:rsidP="00D136F2" w:rsidRDefault="008633F9" w14:paraId="30865603" w14:textId="1A50E694">
      <w:pPr>
        <w:pStyle w:val="BodyText"/>
        <w:ind w:right="30"/>
        <w:jc w:val="both"/>
      </w:pPr>
      <w:r>
        <w:rPr>
          <w:spacing w:val="-3"/>
        </w:rPr>
        <w:t xml:space="preserve">During </w:t>
      </w:r>
      <w:r>
        <w:t xml:space="preserve">the </w:t>
      </w:r>
      <w:r>
        <w:rPr>
          <w:spacing w:val="-3"/>
        </w:rPr>
        <w:t xml:space="preserve">data </w:t>
      </w:r>
      <w:r>
        <w:rPr>
          <w:spacing w:val="-4"/>
        </w:rPr>
        <w:t xml:space="preserve">collection </w:t>
      </w:r>
      <w:r>
        <w:rPr>
          <w:spacing w:val="-3"/>
        </w:rPr>
        <w:t xml:space="preserve">process, </w:t>
      </w:r>
      <w:r>
        <w:t xml:space="preserve">EAC carefully reviews the information submitted </w:t>
      </w:r>
      <w:r>
        <w:rPr>
          <w:spacing w:val="3"/>
        </w:rPr>
        <w:t xml:space="preserve">by </w:t>
      </w:r>
      <w:r>
        <w:t xml:space="preserve">State respondents to ensure completeness and accuracy of their submissions. </w:t>
      </w:r>
      <w:r w:rsidR="00F0405B">
        <w:rPr>
          <w:spacing w:val="-4"/>
        </w:rPr>
        <w:t xml:space="preserve">Since </w:t>
      </w:r>
      <w:r w:rsidR="000A310E">
        <w:t>2016</w:t>
      </w:r>
      <w:r>
        <w:t xml:space="preserve">, </w:t>
      </w:r>
      <w:r w:rsidR="000A310E">
        <w:t xml:space="preserve">the </w:t>
      </w:r>
      <w:r>
        <w:t xml:space="preserve">EAC </w:t>
      </w:r>
      <w:r w:rsidR="00F0405B">
        <w:t xml:space="preserve">has conducted </w:t>
      </w:r>
      <w:r w:rsidR="000A310E">
        <w:t xml:space="preserve">a multi-part review of each state’s </w:t>
      </w:r>
      <w:r w:rsidR="00F0405B">
        <w:t xml:space="preserve">initial </w:t>
      </w:r>
      <w:r w:rsidR="000A310E">
        <w:t>data.</w:t>
      </w:r>
      <w:r w:rsidR="00D04480">
        <w:t xml:space="preserve"> </w:t>
      </w:r>
      <w:r w:rsidR="000A310E">
        <w:t xml:space="preserve">This review included identifying any </w:t>
      </w:r>
      <w:r>
        <w:t>items left blank (i.e., an item without a value or a “not applicable” or “not available” response)</w:t>
      </w:r>
      <w:r w:rsidR="00F0405B">
        <w:t>, responses that do not fit expected internal validation patterns, and items where sub-categories do not add up to an expected total. The results of these data reviews are sent to state POCs in a written memo, and technical assistance personnel assist states in correcting the issues prior to the state finalizing its data and certifying it as complete and accurate to the best of the state’s knowledge</w:t>
      </w:r>
      <w:r>
        <w:t>.</w:t>
      </w:r>
      <w:r w:rsidR="00D04480">
        <w:t xml:space="preserve"> </w:t>
      </w:r>
    </w:p>
    <w:p w:rsidR="00EF2FC0" w:rsidRDefault="00EF2FC0" w14:paraId="37D4B8E0" w14:textId="77777777">
      <w:pPr>
        <w:pStyle w:val="BodyText"/>
        <w:ind w:right="296"/>
      </w:pPr>
    </w:p>
    <w:p w:rsidR="005A774F" w:rsidP="00AD0B08" w:rsidRDefault="008633F9" w14:paraId="7CC5FCD2" w14:textId="77777777">
      <w:pPr>
        <w:pStyle w:val="Heading1"/>
        <w:numPr>
          <w:ilvl w:val="1"/>
          <w:numId w:val="1"/>
        </w:numPr>
        <w:tabs>
          <w:tab w:val="left" w:pos="492"/>
        </w:tabs>
        <w:ind w:left="360" w:right="30" w:hanging="360"/>
        <w:jc w:val="both"/>
        <w:rPr>
          <w:b w:val="0"/>
          <w:bCs w:val="0"/>
        </w:rPr>
      </w:pPr>
      <w:r>
        <w:t>Describe any tests of procedures or methods to be undertaken. Tests are encouraged as effective means to refine collections, but if ten</w:t>
      </w:r>
      <w:r w:rsidR="00984DCD">
        <w:t xml:space="preserve"> </w:t>
      </w:r>
      <w:r>
        <w:t>or</w:t>
      </w:r>
      <w:r w:rsidR="00984DCD">
        <w:t xml:space="preserve"> </w:t>
      </w:r>
      <w:r>
        <w:t>more</w:t>
      </w:r>
      <w:r w:rsidR="00984DCD">
        <w:t xml:space="preserve"> </w:t>
      </w:r>
      <w:r>
        <w:t>test respondents are involved OMB must give prior</w:t>
      </w:r>
      <w:r>
        <w:rPr>
          <w:spacing w:val="9"/>
        </w:rPr>
        <w:t xml:space="preserve"> </w:t>
      </w:r>
      <w:r>
        <w:t>approval.</w:t>
      </w:r>
    </w:p>
    <w:p w:rsidR="005A774F" w:rsidP="00AD0B08" w:rsidRDefault="005A774F" w14:paraId="5280F7AE" w14:textId="77777777">
      <w:pPr>
        <w:ind w:right="30"/>
        <w:jc w:val="both"/>
      </w:pPr>
    </w:p>
    <w:p w:rsidR="005A774F" w:rsidP="00D136F2" w:rsidRDefault="004B62E8" w14:paraId="38AA9D90" w14:textId="5094DEDE">
      <w:pPr>
        <w:pStyle w:val="BodyText"/>
        <w:spacing w:before="52"/>
        <w:ind w:right="30"/>
        <w:jc w:val="both"/>
      </w:pPr>
      <w:r w:rsidRPr="004B62E8">
        <w:t>The EAC plans to conduct user testing of the online submission mechanism that will be used in 2020. This testing will take place once the draft version of the online mechanism has been built in the summer of 2020. No more than nine potential survey users will be asked to participate in this testing; testing sessions will be approximately one hour each and will be conducted remotely by a trained user experience researcher. Participants will complete the survey while thinking aloud and answering interviewer questions. The data gathered in the course of this testing will be used to refine the layout and instructions of the online submission mechanism in 2020 and to note questions that may need further clarification or redesign in the 2022 EAVS.</w:t>
      </w:r>
    </w:p>
    <w:p w:rsidR="00D136F2" w:rsidP="00D136F2" w:rsidRDefault="00D136F2" w14:paraId="7A36BCFE" w14:textId="66146487">
      <w:pPr>
        <w:pStyle w:val="BodyText"/>
        <w:spacing w:before="52"/>
        <w:ind w:right="30"/>
        <w:jc w:val="both"/>
      </w:pPr>
    </w:p>
    <w:p w:rsidR="00D136F2" w:rsidP="00D136F2" w:rsidRDefault="00D136F2" w14:paraId="376169DB" w14:textId="04604BE4">
      <w:pPr>
        <w:pStyle w:val="BodyText"/>
        <w:spacing w:before="52"/>
        <w:ind w:right="30"/>
        <w:jc w:val="both"/>
      </w:pPr>
    </w:p>
    <w:p w:rsidR="00D136F2" w:rsidP="00D136F2" w:rsidRDefault="00D136F2" w14:paraId="7D4C1236" w14:textId="217EDAAF">
      <w:pPr>
        <w:pStyle w:val="BodyText"/>
        <w:spacing w:before="52"/>
        <w:ind w:right="30"/>
        <w:jc w:val="both"/>
      </w:pPr>
    </w:p>
    <w:p w:rsidR="00D136F2" w:rsidP="00D136F2" w:rsidRDefault="00D136F2" w14:paraId="1A982678" w14:textId="12894A8E">
      <w:pPr>
        <w:pStyle w:val="BodyText"/>
        <w:spacing w:before="52"/>
        <w:ind w:right="30"/>
        <w:jc w:val="both"/>
      </w:pPr>
    </w:p>
    <w:p w:rsidRPr="004B62E8" w:rsidR="00D136F2" w:rsidP="00D136F2" w:rsidRDefault="00D136F2" w14:paraId="37FDD63E" w14:textId="77777777">
      <w:pPr>
        <w:pStyle w:val="BodyText"/>
        <w:spacing w:before="52"/>
        <w:ind w:right="30"/>
        <w:jc w:val="both"/>
        <w:rPr>
          <w:rFonts w:cs="Times New Roman"/>
          <w:sz w:val="28"/>
          <w:szCs w:val="28"/>
        </w:rPr>
      </w:pPr>
      <w:bookmarkStart w:name="_GoBack" w:id="0"/>
      <w:bookmarkEnd w:id="0"/>
    </w:p>
    <w:p w:rsidR="005A774F" w:rsidP="00AD0B08" w:rsidRDefault="005A774F" w14:paraId="046B5E81" w14:textId="77777777">
      <w:pPr>
        <w:spacing w:before="5"/>
        <w:ind w:right="30"/>
        <w:rPr>
          <w:rFonts w:ascii="Times New Roman" w:hAnsi="Times New Roman" w:eastAsia="Times New Roman" w:cs="Times New Roman"/>
          <w:sz w:val="28"/>
          <w:szCs w:val="28"/>
        </w:rPr>
      </w:pPr>
    </w:p>
    <w:p w:rsidR="005A774F" w:rsidP="00AD0B08" w:rsidRDefault="008633F9" w14:paraId="26152F64" w14:textId="77777777">
      <w:pPr>
        <w:pStyle w:val="Heading1"/>
        <w:numPr>
          <w:ilvl w:val="1"/>
          <w:numId w:val="1"/>
        </w:numPr>
        <w:tabs>
          <w:tab w:val="left" w:pos="399"/>
        </w:tabs>
        <w:ind w:left="360" w:right="30" w:hanging="360"/>
        <w:rPr>
          <w:b w:val="0"/>
          <w:bCs w:val="0"/>
        </w:rPr>
      </w:pPr>
      <w:r>
        <w:lastRenderedPageBreak/>
        <w:t xml:space="preserve">Provide the name </w:t>
      </w:r>
      <w:r>
        <w:rPr>
          <w:spacing w:val="2"/>
        </w:rPr>
        <w:t xml:space="preserve">and </w:t>
      </w:r>
      <w:r>
        <w:t>telephone number of individuals consulted on the statistical aspects of the design, and the name of the agency unit, contractor(s), grantee(s), or other person(s) who will actually collect and/or analyze the information for the</w:t>
      </w:r>
      <w:r>
        <w:rPr>
          <w:spacing w:val="18"/>
        </w:rPr>
        <w:t xml:space="preserve"> </w:t>
      </w:r>
      <w:r>
        <w:t>agency.</w:t>
      </w:r>
    </w:p>
    <w:p w:rsidR="00D76460" w:rsidRDefault="008633F9" w14:paraId="15C7CF78" w14:textId="77777777">
      <w:pPr>
        <w:pStyle w:val="BodyText"/>
        <w:spacing w:before="34" w:line="576" w:lineRule="exact"/>
        <w:ind w:left="820" w:right="733" w:hanging="720"/>
      </w:pPr>
      <w:r>
        <w:t>The</w:t>
      </w:r>
      <w:r>
        <w:rPr>
          <w:spacing w:val="-7"/>
        </w:rPr>
        <w:t xml:space="preserve"> </w:t>
      </w:r>
      <w:r>
        <w:t>EAC</w:t>
      </w:r>
      <w:r>
        <w:rPr>
          <w:spacing w:val="-6"/>
        </w:rPr>
        <w:t xml:space="preserve"> </w:t>
      </w:r>
      <w:r>
        <w:t>staff</w:t>
      </w:r>
      <w:r>
        <w:rPr>
          <w:spacing w:val="-5"/>
        </w:rPr>
        <w:t xml:space="preserve"> </w:t>
      </w:r>
      <w:r w:rsidR="00D76460">
        <w:t>member</w:t>
      </w:r>
      <w:r>
        <w:rPr>
          <w:spacing w:val="-6"/>
        </w:rPr>
        <w:t xml:space="preserve"> </w:t>
      </w:r>
      <w:r>
        <w:t>responsible</w:t>
      </w:r>
      <w:r>
        <w:rPr>
          <w:spacing w:val="-14"/>
        </w:rPr>
        <w:t xml:space="preserve"> </w:t>
      </w:r>
      <w:r>
        <w:t>for</w:t>
      </w:r>
      <w:r>
        <w:rPr>
          <w:spacing w:val="-3"/>
        </w:rPr>
        <w:t xml:space="preserve"> </w:t>
      </w:r>
      <w:r>
        <w:t>conducting</w:t>
      </w:r>
      <w:r>
        <w:rPr>
          <w:spacing w:val="-16"/>
        </w:rPr>
        <w:t xml:space="preserve"> </w:t>
      </w:r>
      <w:r>
        <w:t>this</w:t>
      </w:r>
      <w:r>
        <w:rPr>
          <w:spacing w:val="-5"/>
        </w:rPr>
        <w:t xml:space="preserve"> </w:t>
      </w:r>
      <w:r>
        <w:t>information</w:t>
      </w:r>
      <w:r>
        <w:rPr>
          <w:spacing w:val="-11"/>
        </w:rPr>
        <w:t xml:space="preserve"> </w:t>
      </w:r>
      <w:r>
        <w:t>collection</w:t>
      </w:r>
      <w:r>
        <w:rPr>
          <w:spacing w:val="-11"/>
        </w:rPr>
        <w:t xml:space="preserve"> </w:t>
      </w:r>
      <w:r w:rsidR="00D76460">
        <w:t>is:</w:t>
      </w:r>
    </w:p>
    <w:p w:rsidR="005A774F" w:rsidP="00B85817" w:rsidRDefault="00AA7B56" w14:paraId="2D6EF4A7" w14:textId="3A013EE4">
      <w:pPr>
        <w:pStyle w:val="BodyText"/>
        <w:spacing w:before="34" w:line="576" w:lineRule="exact"/>
        <w:ind w:left="820" w:right="733"/>
      </w:pPr>
      <w:r>
        <w:t>Nichelle Williams</w:t>
      </w:r>
      <w:r w:rsidR="00D76460">
        <w:t>, Director</w:t>
      </w:r>
      <w:r w:rsidR="00B85817">
        <w:t xml:space="preserve"> of </w:t>
      </w:r>
      <w:r w:rsidR="008633F9">
        <w:t>Research</w:t>
      </w:r>
    </w:p>
    <w:p w:rsidR="005A774F" w:rsidP="00812829" w:rsidRDefault="008633F9" w14:paraId="14AC7E24" w14:textId="77777777">
      <w:pPr>
        <w:pStyle w:val="BodyText"/>
        <w:ind w:left="820"/>
      </w:pPr>
      <w:r>
        <w:t>1335 East West Highway Suite</w:t>
      </w:r>
      <w:r>
        <w:rPr>
          <w:spacing w:val="-2"/>
        </w:rPr>
        <w:t xml:space="preserve"> </w:t>
      </w:r>
      <w:r>
        <w:t>4300</w:t>
      </w:r>
    </w:p>
    <w:p w:rsidR="00D04480" w:rsidP="00D04480" w:rsidRDefault="008633F9" w14:paraId="48DBDD32" w14:textId="77777777">
      <w:pPr>
        <w:pStyle w:val="BodyText"/>
        <w:ind w:left="820" w:right="6023"/>
      </w:pPr>
      <w:r>
        <w:t>Silver Spring, MD</w:t>
      </w:r>
      <w:r>
        <w:rPr>
          <w:spacing w:val="-4"/>
        </w:rPr>
        <w:t xml:space="preserve"> </w:t>
      </w:r>
      <w:r>
        <w:t xml:space="preserve">20910 </w:t>
      </w:r>
    </w:p>
    <w:p w:rsidRPr="00D04480" w:rsidR="005A774F" w:rsidP="00D04480" w:rsidRDefault="00AA7B56" w14:paraId="38B9683D" w14:textId="4845F458">
      <w:pPr>
        <w:pStyle w:val="BodyText"/>
        <w:ind w:left="810"/>
        <w:rPr>
          <w:rFonts w:eastAsia="Calibri"/>
        </w:rPr>
      </w:pPr>
      <w:r>
        <w:t>(301) 563-3963</w:t>
      </w:r>
      <w:r w:rsidRPr="00D04480" w:rsidDel="00AA7B56">
        <w:t xml:space="preserve"> </w:t>
      </w:r>
    </w:p>
    <w:sectPr w:rsidRPr="00D04480" w:rsidR="005A774F" w:rsidSect="008625BC">
      <w:footerReference w:type="default" r:id="rId8"/>
      <w:pgSz w:w="12240" w:h="15840"/>
      <w:pgMar w:top="1440" w:right="1440" w:bottom="1440" w:left="1440" w:header="0" w:footer="511"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054FA" w16cid:durableId="220C9C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42C45" w14:textId="77777777" w:rsidR="00025BE6" w:rsidRDefault="00025BE6">
      <w:r>
        <w:separator/>
      </w:r>
    </w:p>
  </w:endnote>
  <w:endnote w:type="continuationSeparator" w:id="0">
    <w:p w14:paraId="52E21390" w14:textId="77777777" w:rsidR="00025BE6" w:rsidRDefault="0002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FA45" w14:textId="77777777" w:rsidR="0065404A" w:rsidRDefault="00662F4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DE9DAD7" wp14:editId="5F7D2B37">
              <wp:simplePos x="0" y="0"/>
              <wp:positionH relativeFrom="page">
                <wp:posOffset>6585585</wp:posOffset>
              </wp:positionH>
              <wp:positionV relativeFrom="page">
                <wp:posOffset>9594215</wp:posOffset>
              </wp:positionV>
              <wp:extent cx="121920" cy="165735"/>
              <wp:effectExtent l="381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D743" w14:textId="3E990C51" w:rsidR="0065404A" w:rsidRDefault="0065404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136F2">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DAD7" id="_x0000_t202" coordsize="21600,21600" o:spt="202" path="m,l,21600r21600,l21600,xe">
              <v:stroke joinstyle="miter"/>
              <v:path gradientshapeok="t" o:connecttype="rect"/>
            </v:shapetype>
            <v:shape id="Text Box 1" o:spid="_x0000_s1026" type="#_x0000_t202" style="position:absolute;margin-left:518.55pt;margin-top:755.4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" filled="f" stroked="f">
              <v:textbox inset="0,0,0,0">
                <w:txbxContent>
                  <w:p w14:paraId="5FEFD743" w14:textId="3E990C51" w:rsidR="0065404A" w:rsidRDefault="0065404A">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136F2">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F538C" w14:textId="77777777" w:rsidR="00025BE6" w:rsidRDefault="00025BE6">
      <w:r>
        <w:separator/>
      </w:r>
    </w:p>
  </w:footnote>
  <w:footnote w:type="continuationSeparator" w:id="0">
    <w:p w14:paraId="171EF4DE" w14:textId="77777777" w:rsidR="00025BE6" w:rsidRDefault="00025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E1AE0"/>
    <w:multiLevelType w:val="hybridMultilevel"/>
    <w:tmpl w:val="68284B8A"/>
    <w:lvl w:ilvl="0" w:tplc="5E5C70B6">
      <w:start w:val="2"/>
      <w:numFmt w:val="upperLetter"/>
      <w:lvlText w:val="%1."/>
      <w:lvlJc w:val="left"/>
      <w:pPr>
        <w:ind w:left="458" w:hanging="339"/>
        <w:jc w:val="left"/>
      </w:pPr>
      <w:rPr>
        <w:rFonts w:ascii="Times New Roman" w:eastAsia="Times New Roman" w:hAnsi="Times New Roman" w:hint="default"/>
        <w:b/>
        <w:bCs/>
        <w:spacing w:val="-3"/>
        <w:w w:val="99"/>
        <w:sz w:val="24"/>
        <w:szCs w:val="24"/>
      </w:rPr>
    </w:lvl>
    <w:lvl w:ilvl="1" w:tplc="4FCE07DE">
      <w:start w:val="1"/>
      <w:numFmt w:val="decimal"/>
      <w:lvlText w:val="%2."/>
      <w:lvlJc w:val="left"/>
      <w:pPr>
        <w:ind w:left="119" w:hanging="298"/>
        <w:jc w:val="left"/>
      </w:pPr>
      <w:rPr>
        <w:rFonts w:ascii="Times New Roman" w:eastAsia="Times New Roman" w:hAnsi="Times New Roman" w:hint="default"/>
        <w:b/>
        <w:bCs/>
        <w:spacing w:val="-30"/>
        <w:w w:val="99"/>
        <w:sz w:val="24"/>
        <w:szCs w:val="24"/>
      </w:rPr>
    </w:lvl>
    <w:lvl w:ilvl="2" w:tplc="4A1A4AB0">
      <w:start w:val="1"/>
      <w:numFmt w:val="bullet"/>
      <w:lvlText w:val="•"/>
      <w:lvlJc w:val="left"/>
      <w:pPr>
        <w:ind w:left="1442" w:hanging="298"/>
      </w:pPr>
      <w:rPr>
        <w:rFonts w:hint="default"/>
      </w:rPr>
    </w:lvl>
    <w:lvl w:ilvl="3" w:tplc="9FE45C96">
      <w:start w:val="1"/>
      <w:numFmt w:val="bullet"/>
      <w:lvlText w:val="•"/>
      <w:lvlJc w:val="left"/>
      <w:pPr>
        <w:ind w:left="2424" w:hanging="298"/>
      </w:pPr>
      <w:rPr>
        <w:rFonts w:hint="default"/>
      </w:rPr>
    </w:lvl>
    <w:lvl w:ilvl="4" w:tplc="75ACC5C4">
      <w:start w:val="1"/>
      <w:numFmt w:val="bullet"/>
      <w:lvlText w:val="•"/>
      <w:lvlJc w:val="left"/>
      <w:pPr>
        <w:ind w:left="3406" w:hanging="298"/>
      </w:pPr>
      <w:rPr>
        <w:rFonts w:hint="default"/>
      </w:rPr>
    </w:lvl>
    <w:lvl w:ilvl="5" w:tplc="780AB1B8">
      <w:start w:val="1"/>
      <w:numFmt w:val="bullet"/>
      <w:lvlText w:val="•"/>
      <w:lvlJc w:val="left"/>
      <w:pPr>
        <w:ind w:left="4388" w:hanging="298"/>
      </w:pPr>
      <w:rPr>
        <w:rFonts w:hint="default"/>
      </w:rPr>
    </w:lvl>
    <w:lvl w:ilvl="6" w:tplc="92A681CA">
      <w:start w:val="1"/>
      <w:numFmt w:val="bullet"/>
      <w:lvlText w:val="•"/>
      <w:lvlJc w:val="left"/>
      <w:pPr>
        <w:ind w:left="5371" w:hanging="298"/>
      </w:pPr>
      <w:rPr>
        <w:rFonts w:hint="default"/>
      </w:rPr>
    </w:lvl>
    <w:lvl w:ilvl="7" w:tplc="C87A77E2">
      <w:start w:val="1"/>
      <w:numFmt w:val="bullet"/>
      <w:lvlText w:val="•"/>
      <w:lvlJc w:val="left"/>
      <w:pPr>
        <w:ind w:left="6353" w:hanging="298"/>
      </w:pPr>
      <w:rPr>
        <w:rFonts w:hint="default"/>
      </w:rPr>
    </w:lvl>
    <w:lvl w:ilvl="8" w:tplc="89B2D552">
      <w:start w:val="1"/>
      <w:numFmt w:val="bullet"/>
      <w:lvlText w:val="•"/>
      <w:lvlJc w:val="left"/>
      <w:pPr>
        <w:ind w:left="7335" w:hanging="29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4F"/>
    <w:rsid w:val="00025BE6"/>
    <w:rsid w:val="000A310E"/>
    <w:rsid w:val="002B2398"/>
    <w:rsid w:val="003040B3"/>
    <w:rsid w:val="00371E63"/>
    <w:rsid w:val="00373D86"/>
    <w:rsid w:val="0038506E"/>
    <w:rsid w:val="00393EF2"/>
    <w:rsid w:val="00415EAA"/>
    <w:rsid w:val="00437BAD"/>
    <w:rsid w:val="004B62E8"/>
    <w:rsid w:val="00537809"/>
    <w:rsid w:val="005A774F"/>
    <w:rsid w:val="0065404A"/>
    <w:rsid w:val="00662F48"/>
    <w:rsid w:val="00714FFB"/>
    <w:rsid w:val="00723BAA"/>
    <w:rsid w:val="00723D3B"/>
    <w:rsid w:val="00812829"/>
    <w:rsid w:val="008379B6"/>
    <w:rsid w:val="008625BC"/>
    <w:rsid w:val="008633F9"/>
    <w:rsid w:val="00875240"/>
    <w:rsid w:val="008F1E9F"/>
    <w:rsid w:val="00935F95"/>
    <w:rsid w:val="00984DCD"/>
    <w:rsid w:val="00A715E3"/>
    <w:rsid w:val="00A76C2D"/>
    <w:rsid w:val="00A94A02"/>
    <w:rsid w:val="00AA2F6F"/>
    <w:rsid w:val="00AA7B56"/>
    <w:rsid w:val="00AD0B08"/>
    <w:rsid w:val="00B20530"/>
    <w:rsid w:val="00B37FE6"/>
    <w:rsid w:val="00B76C76"/>
    <w:rsid w:val="00B85817"/>
    <w:rsid w:val="00C925D9"/>
    <w:rsid w:val="00CA47CD"/>
    <w:rsid w:val="00CC3AC6"/>
    <w:rsid w:val="00CD4BF0"/>
    <w:rsid w:val="00CD6FAD"/>
    <w:rsid w:val="00CE1230"/>
    <w:rsid w:val="00D01F25"/>
    <w:rsid w:val="00D04480"/>
    <w:rsid w:val="00D136F2"/>
    <w:rsid w:val="00D3617E"/>
    <w:rsid w:val="00D7375F"/>
    <w:rsid w:val="00D76460"/>
    <w:rsid w:val="00E06554"/>
    <w:rsid w:val="00E15A77"/>
    <w:rsid w:val="00E567C7"/>
    <w:rsid w:val="00EA2442"/>
    <w:rsid w:val="00EF2FC0"/>
    <w:rsid w:val="00EF4405"/>
    <w:rsid w:val="00EF4A72"/>
    <w:rsid w:val="00F0405B"/>
    <w:rsid w:val="00F26E03"/>
    <w:rsid w:val="00F6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354EC"/>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2DA1-0AF5-4365-8358-2F451635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- 2012 EAVS - Supporting Statement B</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B</dc:title>
  <dc:creator>ShellyAnderson</dc:creator>
  <cp:lastModifiedBy>Nichelle Williams</cp:lastModifiedBy>
  <cp:revision>3</cp:revision>
  <dcterms:created xsi:type="dcterms:W3CDTF">2020-03-25T16:09:00Z</dcterms:created>
  <dcterms:modified xsi:type="dcterms:W3CDTF">2020-03-26T13:01:00Z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Microsoft® Office Word 2007</vt:lpwstr>
  </property>
  <property fmtid="{D5CDD505-2E9C-101B-9397-08002B2CF9AE}" pid="4" name="LastSaved">
    <vt:filetime>2017-11-06T00:00:00Z</vt:filetime>
  </property>
</Properties>
</file>