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4423" w:rsidR="005728D3" w:rsidP="005728D3" w:rsidRDefault="005728D3" w14:paraId="0D5B3756" w14:textId="77777777">
      <w:pPr>
        <w:spacing w:line="276" w:lineRule="auto"/>
        <w:jc w:val="center"/>
      </w:pPr>
      <w:bookmarkStart w:name="_GoBack" w:id="0"/>
      <w:bookmarkEnd w:id="0"/>
      <w:r w:rsidRPr="00184423">
        <w:t>National Credit Union Administration</w:t>
      </w:r>
    </w:p>
    <w:p w:rsidRPr="004430CC" w:rsidR="001A03E7" w:rsidP="005728D3" w:rsidRDefault="004430CC" w14:paraId="1DCE678F" w14:textId="07A4FC68">
      <w:pPr>
        <w:spacing w:line="276" w:lineRule="auto"/>
        <w:jc w:val="center"/>
        <w:rPr>
          <w:b/>
        </w:rPr>
      </w:pPr>
      <w:r w:rsidRPr="004430CC">
        <w:rPr>
          <w:b/>
        </w:rPr>
        <w:t>SUPPORTING STATEMENT</w:t>
      </w:r>
    </w:p>
    <w:p w:rsidRPr="004430CC" w:rsidR="004430CC" w:rsidP="005728D3" w:rsidRDefault="004430CC" w14:paraId="5F73D39B" w14:textId="77777777">
      <w:pPr>
        <w:spacing w:line="276" w:lineRule="auto"/>
        <w:jc w:val="center"/>
      </w:pPr>
    </w:p>
    <w:p w:rsidRPr="004430CC" w:rsidR="00753B95" w:rsidP="005728D3" w:rsidRDefault="005728D3" w14:paraId="1267A800" w14:textId="77777777">
      <w:pPr>
        <w:spacing w:line="276" w:lineRule="auto"/>
        <w:jc w:val="center"/>
      </w:pPr>
      <w:r w:rsidRPr="004430CC">
        <w:t xml:space="preserve">Mergers of Federally-Insured Credit Unions; </w:t>
      </w:r>
    </w:p>
    <w:p w:rsidRPr="004430CC" w:rsidR="005728D3" w:rsidP="005728D3" w:rsidRDefault="005728D3" w14:paraId="2DA4D3AE" w14:textId="77777777">
      <w:pPr>
        <w:spacing w:line="276" w:lineRule="auto"/>
        <w:jc w:val="center"/>
      </w:pPr>
      <w:r w:rsidRPr="004430CC">
        <w:t>Voluntary Termination or Conversion of Insured Status</w:t>
      </w:r>
    </w:p>
    <w:p w:rsidR="008155FD" w:rsidP="008155FD" w:rsidRDefault="001A03E7" w14:paraId="27597F39" w14:textId="2D0B7ED4">
      <w:pPr>
        <w:spacing w:line="276" w:lineRule="auto"/>
        <w:jc w:val="center"/>
      </w:pPr>
      <w:r w:rsidRPr="004430CC">
        <w:t>12 CFR</w:t>
      </w:r>
      <w:r w:rsidRPr="004430CC" w:rsidR="008155FD">
        <w:t xml:space="preserve"> Part 708b</w:t>
      </w:r>
    </w:p>
    <w:p w:rsidRPr="004430CC" w:rsidR="004430CC" w:rsidP="008155FD" w:rsidRDefault="004430CC" w14:paraId="2D0D6109" w14:textId="77777777">
      <w:pPr>
        <w:spacing w:line="276" w:lineRule="auto"/>
        <w:jc w:val="center"/>
      </w:pPr>
    </w:p>
    <w:p w:rsidRPr="004430CC" w:rsidR="00753B95" w:rsidP="008155FD" w:rsidRDefault="00753B95" w14:paraId="2F726C59" w14:textId="77777777">
      <w:pPr>
        <w:spacing w:line="276" w:lineRule="auto"/>
        <w:jc w:val="center"/>
        <w:rPr>
          <w:b/>
        </w:rPr>
      </w:pPr>
      <w:r w:rsidRPr="004430CC">
        <w:rPr>
          <w:b/>
        </w:rPr>
        <w:t>OMB No. 3133-0024</w:t>
      </w:r>
    </w:p>
    <w:p w:rsidR="00880319" w:rsidP="003740DB" w:rsidRDefault="00880319" w14:paraId="53B3667A" w14:textId="56EEF126">
      <w:pPr>
        <w:pStyle w:val="BodyText"/>
        <w:jc w:val="left"/>
        <w:rPr>
          <w:rFonts w:ascii="Times New Roman" w:hAnsi="Times New Roman" w:cs="Times New Roman"/>
        </w:rPr>
      </w:pPr>
    </w:p>
    <w:p w:rsidR="004430CC" w:rsidP="003740DB" w:rsidRDefault="004430CC" w14:paraId="27A6362B" w14:textId="50D907F9">
      <w:pPr>
        <w:pStyle w:val="BodyText"/>
        <w:jc w:val="left"/>
        <w:rPr>
          <w:rFonts w:ascii="Times New Roman" w:hAnsi="Times New Roman" w:cs="Times New Roman"/>
        </w:rPr>
      </w:pPr>
      <w:r w:rsidRPr="004430CC">
        <w:rPr>
          <w:rFonts w:ascii="Times New Roman" w:hAnsi="Times New Roman" w:cs="Times New Roman"/>
          <w:u w:val="single"/>
        </w:rPr>
        <w:t>Summary of Actions</w:t>
      </w:r>
      <w:r>
        <w:rPr>
          <w:rFonts w:ascii="Times New Roman" w:hAnsi="Times New Roman" w:cs="Times New Roman"/>
        </w:rPr>
        <w:t>:</w:t>
      </w:r>
    </w:p>
    <w:p w:rsidRPr="009562C1" w:rsidR="004430CC" w:rsidP="004430CC" w:rsidRDefault="00880319" w14:paraId="2353C9BF" w14:textId="1D59EBCC">
      <w:pPr>
        <w:autoSpaceDE w:val="0"/>
        <w:autoSpaceDN w:val="0"/>
        <w:adjustRightInd w:val="0"/>
      </w:pPr>
      <w:r>
        <w:t xml:space="preserve">The NCUA </w:t>
      </w:r>
      <w:r w:rsidR="004430CC">
        <w:t>published a final rule</w:t>
      </w:r>
      <w:r w:rsidR="00955999">
        <w:rPr>
          <w:rStyle w:val="FootnoteReference"/>
        </w:rPr>
        <w:footnoteReference w:id="1"/>
      </w:r>
      <w:r w:rsidR="004430CC">
        <w:t xml:space="preserve">, revising and </w:t>
      </w:r>
      <w:r w:rsidR="00955999">
        <w:t>clarifying</w:t>
      </w:r>
      <w:r w:rsidRPr="009562C1" w:rsidR="004430CC">
        <w:t xml:space="preserve"> the contents and format of the member notice; require merging credit unions to disclose certain merger-related financial</w:t>
      </w:r>
      <w:r w:rsidR="004430CC">
        <w:t xml:space="preserve"> </w:t>
      </w:r>
      <w:r w:rsidRPr="009562C1" w:rsidR="004430CC">
        <w:t>arrangements for covered persons; increase the minimum member notice period; and provide a method for members and others to submit comments to the NCUA regarding the proposed merger.</w:t>
      </w:r>
    </w:p>
    <w:p w:rsidR="00955999" w:rsidP="00880319" w:rsidRDefault="00955999" w14:paraId="10780138" w14:textId="77777777"/>
    <w:p w:rsidR="003A17FC" w:rsidP="00741523" w:rsidRDefault="00955999" w14:paraId="7B39F0F5" w14:textId="77777777">
      <w:r>
        <w:t>The notice of proposed rulemaking (NPRM)</w:t>
      </w:r>
      <w:r>
        <w:rPr>
          <w:rStyle w:val="FootnoteReference"/>
        </w:rPr>
        <w:footnoteReference w:id="2"/>
      </w:r>
      <w:r>
        <w:t xml:space="preserve"> had proposed changes to §708b.106 that would </w:t>
      </w:r>
      <w:r w:rsidRPr="00A04A96" w:rsidR="006049A9">
        <w:t>amend the contents of the member notice for members of merging FCUs to require a detailed description of any merger related financial arrangements involving a covered person and additional information about the physical location of the merging and continuing credit</w:t>
      </w:r>
      <w:r w:rsidR="006049A9">
        <w:t xml:space="preserve"> </w:t>
      </w:r>
      <w:r w:rsidRPr="00A04A96" w:rsidR="006049A9">
        <w:t>unions.</w:t>
      </w:r>
      <w:r w:rsidR="00741523">
        <w:t xml:space="preserve">  </w:t>
      </w:r>
      <w:r w:rsidRPr="00A04A96" w:rsidR="006049A9">
        <w:t xml:space="preserve">Additionally, </w:t>
      </w:r>
      <w:r w:rsidR="00741523">
        <w:t xml:space="preserve">NCUA </w:t>
      </w:r>
      <w:r w:rsidR="00C24233">
        <w:t xml:space="preserve">had </w:t>
      </w:r>
      <w:r w:rsidR="00741523">
        <w:t xml:space="preserve">proposed to </w:t>
      </w:r>
      <w:r w:rsidRPr="00A04A96" w:rsidR="006049A9">
        <w:t>establish a mechanism for member-to-member communications and require a merging FCU to ensure</w:t>
      </w:r>
      <w:r w:rsidR="00741523">
        <w:t xml:space="preserve"> </w:t>
      </w:r>
      <w:r w:rsidRPr="00A04A96" w:rsidR="006049A9">
        <w:t xml:space="preserve">that its members receive any member-to-member communication at least 15 calendar days before a vote. </w:t>
      </w:r>
      <w:r w:rsidR="00741523">
        <w:t xml:space="preserve"> </w:t>
      </w:r>
      <w:r w:rsidRPr="00A04A96" w:rsidR="006049A9">
        <w:t xml:space="preserve">Should the merging FCU believe the member’s request is not proper, it </w:t>
      </w:r>
      <w:r w:rsidR="00C24233">
        <w:t>would</w:t>
      </w:r>
      <w:r w:rsidRPr="00A04A96" w:rsidR="006049A9">
        <w:t xml:space="preserve"> submit the request to the regional director for determination.</w:t>
      </w:r>
      <w:r w:rsidR="00741523">
        <w:t xml:space="preserve">  These proposed changes would have increased the information </w:t>
      </w:r>
      <w:r w:rsidR="003A17FC">
        <w:t xml:space="preserve">collection burden by 558 hours.  </w:t>
      </w:r>
    </w:p>
    <w:p w:rsidR="003A17FC" w:rsidP="00741523" w:rsidRDefault="003A17FC" w14:paraId="09EA4549" w14:textId="77777777"/>
    <w:p w:rsidRPr="00A04A96" w:rsidR="006049A9" w:rsidP="00741523" w:rsidRDefault="003A17FC" w14:paraId="0C972072" w14:textId="0D04B919">
      <w:r>
        <w:t xml:space="preserve">The </w:t>
      </w:r>
      <w:r w:rsidR="00741523">
        <w:t>promulgation of the final rule</w:t>
      </w:r>
      <w:r w:rsidR="00DB6050">
        <w:t xml:space="preserve"> </w:t>
      </w:r>
      <w:r>
        <w:t xml:space="preserve">resulted in </w:t>
      </w:r>
      <w:r w:rsidR="00DB6050">
        <w:t xml:space="preserve">no change to the currently approved burden.  </w:t>
      </w:r>
      <w:r>
        <w:t>The changes to the content</w:t>
      </w:r>
      <w:r w:rsidR="00C24233">
        <w:t xml:space="preserve"> of the members notice under §</w:t>
      </w:r>
      <w:proofErr w:type="gramStart"/>
      <w:r w:rsidR="00C24233">
        <w:t>708b.106(</w:t>
      </w:r>
      <w:proofErr w:type="gramEnd"/>
      <w:r w:rsidR="00C24233">
        <w:t xml:space="preserve">b)(6) </w:t>
      </w:r>
      <w:r w:rsidR="008606FF">
        <w:t>was</w:t>
      </w:r>
      <w:r w:rsidR="00C24233">
        <w:t xml:space="preserve"> determined </w:t>
      </w:r>
      <w:r w:rsidR="002C723E">
        <w:t xml:space="preserve">not to have an impact on the currently allotted time of 7 hours for this third-party disclosure requirement.  Other </w:t>
      </w:r>
      <w:r w:rsidR="00334E4F">
        <w:t xml:space="preserve">proposed increases to the </w:t>
      </w:r>
      <w:r w:rsidR="002C723E">
        <w:t xml:space="preserve">information collection requirements related to the member-to-member communications proposed </w:t>
      </w:r>
      <w:r w:rsidR="008606FF">
        <w:t>under</w:t>
      </w:r>
      <w:r w:rsidR="002C723E">
        <w:t xml:space="preserve"> </w:t>
      </w:r>
      <w:proofErr w:type="gramStart"/>
      <w:r w:rsidR="002C723E">
        <w:t>708b.106(</w:t>
      </w:r>
      <w:proofErr w:type="gramEnd"/>
      <w:r w:rsidR="002C723E">
        <w:t xml:space="preserve">d) and (f) have been </w:t>
      </w:r>
      <w:r w:rsidR="00334E4F">
        <w:t>eliminated</w:t>
      </w:r>
      <w:r w:rsidR="002C723E">
        <w:t>.  The NCUA will provide public accessible information about proposed merger transaction</w:t>
      </w:r>
      <w:r w:rsidR="008606FF">
        <w:t>s</w:t>
      </w:r>
      <w:r w:rsidR="002C723E">
        <w:t xml:space="preserve"> on the Agency’s website with a section for members to comment.</w:t>
      </w:r>
      <w:r w:rsidR="00C24233">
        <w:t xml:space="preserve"> </w:t>
      </w:r>
    </w:p>
    <w:p w:rsidRPr="00753B95" w:rsidR="00880319" w:rsidP="003740DB" w:rsidRDefault="00880319" w14:paraId="587D87BB" w14:textId="77777777">
      <w:pPr>
        <w:pStyle w:val="BodyText"/>
        <w:jc w:val="left"/>
        <w:rPr>
          <w:rFonts w:ascii="Times New Roman" w:hAnsi="Times New Roman" w:cs="Times New Roman"/>
        </w:rPr>
      </w:pPr>
    </w:p>
    <w:p w:rsidRPr="00753B95" w:rsidR="00D05C04" w:rsidP="00B536A7" w:rsidRDefault="00027E19" w14:paraId="62CCE90C" w14:textId="77777777">
      <w:pPr>
        <w:tabs>
          <w:tab w:val="left" w:pos="720"/>
        </w:tabs>
        <w:ind w:left="720" w:hanging="720"/>
        <w:rPr>
          <w:b/>
        </w:rPr>
      </w:pPr>
      <w:r>
        <w:rPr>
          <w:b/>
        </w:rPr>
        <w:t>A.</w:t>
      </w:r>
      <w:r>
        <w:rPr>
          <w:b/>
        </w:rPr>
        <w:tab/>
      </w:r>
      <w:r w:rsidRPr="00753B95" w:rsidR="00D05C04">
        <w:rPr>
          <w:b/>
        </w:rPr>
        <w:t>Justification</w:t>
      </w:r>
    </w:p>
    <w:p w:rsidRPr="00753B95" w:rsidR="00D05C04" w:rsidP="00B536A7" w:rsidRDefault="00D05C04" w14:paraId="6A156293" w14:textId="77777777">
      <w:pPr>
        <w:tabs>
          <w:tab w:val="left" w:pos="720"/>
        </w:tabs>
        <w:ind w:left="720" w:hanging="720"/>
      </w:pPr>
    </w:p>
    <w:p w:rsidRPr="00753B95" w:rsidR="0061487C" w:rsidP="00B536A7" w:rsidRDefault="00D05C04" w14:paraId="51738CD9" w14:textId="52FA438D">
      <w:pPr>
        <w:tabs>
          <w:tab w:val="left" w:pos="720"/>
        </w:tabs>
        <w:ind w:left="720" w:hanging="720"/>
        <w:rPr>
          <w:b/>
        </w:rPr>
      </w:pPr>
      <w:r w:rsidRPr="00753B95">
        <w:rPr>
          <w:b/>
        </w:rPr>
        <w:t>1.</w:t>
      </w:r>
      <w:r w:rsidR="00027E19">
        <w:tab/>
      </w:r>
      <w:r w:rsidRPr="00753B95" w:rsidR="0098730C">
        <w:rPr>
          <w:b/>
        </w:rPr>
        <w:t>C</w:t>
      </w:r>
      <w:r w:rsidRPr="00753B95">
        <w:rPr>
          <w:b/>
        </w:rPr>
        <w:t>ircumstances that make the coll</w:t>
      </w:r>
      <w:r w:rsidR="00027E19">
        <w:rPr>
          <w:b/>
        </w:rPr>
        <w:t>ection of information necessary</w:t>
      </w:r>
      <w:r w:rsidR="004430CC">
        <w:rPr>
          <w:b/>
        </w:rPr>
        <w:t>.</w:t>
      </w:r>
    </w:p>
    <w:p w:rsidRPr="00753B95" w:rsidR="0061487C" w:rsidP="00B536A7" w:rsidRDefault="0061487C" w14:paraId="58EF4CCD" w14:textId="77777777">
      <w:pPr>
        <w:tabs>
          <w:tab w:val="left" w:pos="720"/>
        </w:tabs>
        <w:ind w:left="720" w:hanging="720"/>
      </w:pPr>
    </w:p>
    <w:p w:rsidRPr="00753B95" w:rsidR="00202708" w:rsidP="00B536A7" w:rsidRDefault="00027E19" w14:paraId="6F624ADB" w14:textId="77777777">
      <w:pPr>
        <w:pStyle w:val="NoSpacing"/>
        <w:tabs>
          <w:tab w:val="left" w:pos="720"/>
        </w:tabs>
        <w:ind w:left="720" w:hanging="720"/>
      </w:pPr>
      <w:r>
        <w:tab/>
      </w:r>
      <w:r w:rsidRPr="00753B95" w:rsidR="001344D6">
        <w:t xml:space="preserve">The Federal Credit Union Act </w:t>
      </w:r>
      <w:r w:rsidRPr="00753B95" w:rsidR="00DF2C1A">
        <w:t xml:space="preserve">requires written approval of the NCUA Board before one or more federally-insured credit unions merge or before a federally-insured credit union converts to nonfederal (private) share insurance or terminates federal share insurance and </w:t>
      </w:r>
      <w:r w:rsidRPr="00753B95" w:rsidR="001344D6">
        <w:t xml:space="preserve">authorizes the NCUA Board to prescribe rules regarding mergers of federally-insured </w:t>
      </w:r>
      <w:r w:rsidRPr="00753B95" w:rsidR="001344D6">
        <w:lastRenderedPageBreak/>
        <w:t xml:space="preserve">credit unions and changes in insured status </w:t>
      </w:r>
      <w:r w:rsidR="008155FD">
        <w:t>(</w:t>
      </w:r>
      <w:r w:rsidRPr="00753B95" w:rsidR="001344D6">
        <w:t xml:space="preserve">12 U.S.C. </w:t>
      </w:r>
      <w:r w:rsidRPr="00753B95" w:rsidR="00C857B7">
        <w:t>§§</w:t>
      </w:r>
      <w:r w:rsidRPr="00753B95" w:rsidR="001344D6">
        <w:t>1752(7), 1766(a), 1785(b)</w:t>
      </w:r>
      <w:r w:rsidRPr="00753B95" w:rsidR="0004169B">
        <w:t xml:space="preserve"> and </w:t>
      </w:r>
      <w:r w:rsidRPr="00753B95" w:rsidR="001344D6">
        <w:t>(c),</w:t>
      </w:r>
      <w:r w:rsidRPr="00753B95" w:rsidR="0004169B">
        <w:t xml:space="preserve"> 1786(a), (c), and (d),</w:t>
      </w:r>
      <w:r w:rsidRPr="00753B95" w:rsidR="001344D6">
        <w:t xml:space="preserve"> and 1789(a)</w:t>
      </w:r>
      <w:r w:rsidR="008155FD">
        <w:t>)</w:t>
      </w:r>
      <w:r w:rsidRPr="00753B95" w:rsidR="001344D6">
        <w:t xml:space="preserve">.  Part 708b of NCUA’s rules sets forth the procedural and disclosure requirements for mergers of federally-insured credit unions, conversions from federal share insurance to nonfederal insurance, and federal share insurance terminations. </w:t>
      </w:r>
      <w:r w:rsidRPr="00753B95" w:rsidR="00DF2C1A">
        <w:t xml:space="preserve"> </w:t>
      </w:r>
    </w:p>
    <w:p w:rsidRPr="00753B95" w:rsidR="007F4ED7" w:rsidP="00B536A7" w:rsidRDefault="007F4ED7" w14:paraId="28DEB377" w14:textId="77777777">
      <w:pPr>
        <w:pStyle w:val="NoSpacing"/>
        <w:tabs>
          <w:tab w:val="left" w:pos="720"/>
        </w:tabs>
        <w:ind w:left="720" w:hanging="720"/>
      </w:pPr>
    </w:p>
    <w:p w:rsidRPr="00753B95" w:rsidR="0098730C" w:rsidP="00B536A7" w:rsidRDefault="00D05C04" w14:paraId="0297921C" w14:textId="4C95332D">
      <w:pPr>
        <w:pStyle w:val="NoSpacing"/>
        <w:tabs>
          <w:tab w:val="left" w:pos="720"/>
        </w:tabs>
        <w:ind w:left="720" w:hanging="720"/>
        <w:rPr>
          <w:b/>
        </w:rPr>
      </w:pPr>
      <w:r w:rsidRPr="00753B95">
        <w:rPr>
          <w:b/>
        </w:rPr>
        <w:t>2.</w:t>
      </w:r>
      <w:r w:rsidR="00027E19">
        <w:tab/>
      </w:r>
      <w:r w:rsidR="00027E19">
        <w:rPr>
          <w:b/>
        </w:rPr>
        <w:t>P</w:t>
      </w:r>
      <w:r w:rsidRPr="00753B95" w:rsidR="0098730C">
        <w:rPr>
          <w:b/>
        </w:rPr>
        <w:t xml:space="preserve">urpose </w:t>
      </w:r>
      <w:r w:rsidR="00B536A7">
        <w:rPr>
          <w:b/>
        </w:rPr>
        <w:t>and use of the i</w:t>
      </w:r>
      <w:r w:rsidR="00027E19">
        <w:rPr>
          <w:b/>
        </w:rPr>
        <w:t>nformation</w:t>
      </w:r>
      <w:r w:rsidR="00B536A7">
        <w:rPr>
          <w:b/>
        </w:rPr>
        <w:t xml:space="preserve"> collected.</w:t>
      </w:r>
    </w:p>
    <w:p w:rsidRPr="00753B95" w:rsidR="00202708" w:rsidP="00B536A7" w:rsidRDefault="00202708" w14:paraId="0BCCE04A" w14:textId="77777777">
      <w:pPr>
        <w:pStyle w:val="NoSpacing"/>
        <w:tabs>
          <w:tab w:val="left" w:pos="720"/>
        </w:tabs>
        <w:ind w:left="720" w:hanging="720"/>
      </w:pPr>
    </w:p>
    <w:p w:rsidRPr="0084030C" w:rsidR="00A11628" w:rsidP="00B536A7" w:rsidRDefault="00027E19" w14:paraId="4DC53F7D" w14:textId="3C07F39E">
      <w:pPr>
        <w:pStyle w:val="NoSpacing"/>
        <w:tabs>
          <w:tab w:val="left" w:pos="720"/>
        </w:tabs>
        <w:ind w:left="720" w:hanging="720"/>
      </w:pPr>
      <w:r>
        <w:tab/>
      </w:r>
      <w:r w:rsidRPr="00753B95" w:rsidR="00DF2C1A">
        <w:t>Part 708b</w:t>
      </w:r>
      <w:r w:rsidRPr="00753B95" w:rsidR="00202708">
        <w:t xml:space="preserve"> is designed to ensure NCUA has sufficient information </w:t>
      </w:r>
      <w:r w:rsidR="00F220F2">
        <w:t xml:space="preserve">to determine </w:t>
      </w:r>
      <w:r w:rsidRPr="00753B95" w:rsidR="00202708">
        <w:t>whether to approve a proposed merger, share insurance conversion, or share insurance termination.  It further ensures that members of credit unions have sufficient and accurate information to exercise their vote properly concerning a proposed merger, insurance conversion, or insurance termination.  The rule also protects the property interests of members who may lose their federal share insurance due to a merger, share insurance conversion, or share insurance termination</w:t>
      </w:r>
      <w:r w:rsidR="00CF6886">
        <w:t>.</w:t>
      </w:r>
      <w:r w:rsidR="00A11628">
        <w:t xml:space="preserve">  The form</w:t>
      </w:r>
      <w:r w:rsidR="008606FF">
        <w:t>s</w:t>
      </w:r>
      <w:r w:rsidR="00A11628">
        <w:t xml:space="preserve"> and format</w:t>
      </w:r>
      <w:r w:rsidR="008606FF">
        <w:t>s</w:t>
      </w:r>
      <w:r w:rsidR="00A11628">
        <w:t xml:space="preserve"> necessary to comply with the requirements of part 708b are codified as subpart C.</w:t>
      </w:r>
    </w:p>
    <w:p w:rsidRPr="00753B95" w:rsidR="00D05C04" w:rsidP="00B536A7" w:rsidRDefault="00D05C04" w14:paraId="23218F9F" w14:textId="77777777">
      <w:pPr>
        <w:tabs>
          <w:tab w:val="left" w:pos="720"/>
        </w:tabs>
        <w:ind w:left="720" w:hanging="720"/>
      </w:pPr>
    </w:p>
    <w:p w:rsidRPr="00027E19" w:rsidR="00027E19" w:rsidP="00B536A7" w:rsidRDefault="00027E19" w14:paraId="598F7C8F" w14:textId="4E416D2A">
      <w:pPr>
        <w:tabs>
          <w:tab w:val="left" w:pos="720"/>
        </w:tabs>
        <w:ind w:left="720" w:hanging="720"/>
      </w:pPr>
      <w:r>
        <w:rPr>
          <w:b/>
        </w:rPr>
        <w:t>3.</w:t>
      </w:r>
      <w:r>
        <w:rPr>
          <w:b/>
        </w:rPr>
        <w:tab/>
      </w:r>
      <w:r w:rsidR="00B536A7">
        <w:rPr>
          <w:b/>
        </w:rPr>
        <w:t>Use of information t</w:t>
      </w:r>
      <w:r w:rsidRPr="00027E19">
        <w:rPr>
          <w:b/>
        </w:rPr>
        <w:t>echnology</w:t>
      </w:r>
      <w:r w:rsidR="00B536A7">
        <w:rPr>
          <w:b/>
        </w:rPr>
        <w:t>.</w:t>
      </w:r>
    </w:p>
    <w:p w:rsidRPr="00753B95" w:rsidR="00323E48" w:rsidP="00B536A7" w:rsidRDefault="00323E48" w14:paraId="70AA63D2" w14:textId="77777777">
      <w:pPr>
        <w:tabs>
          <w:tab w:val="left" w:pos="720"/>
        </w:tabs>
        <w:ind w:left="720" w:hanging="720"/>
      </w:pPr>
    </w:p>
    <w:p w:rsidRPr="00753B95" w:rsidR="00323E48" w:rsidP="00B536A7" w:rsidRDefault="00323E48" w14:paraId="643FB9F0" w14:textId="116525BC">
      <w:pPr>
        <w:ind w:left="720"/>
      </w:pPr>
      <w:r w:rsidRPr="00753B95">
        <w:t>Forms and formats for a credit union to use in communicating with its members and with NCUA about mergers and share insurance conversions</w:t>
      </w:r>
      <w:r w:rsidRPr="00753B95" w:rsidR="00DF2C1A">
        <w:t xml:space="preserve"> and terminations</w:t>
      </w:r>
      <w:r w:rsidRPr="00753B95">
        <w:t xml:space="preserve"> are available electronically from NCUA’s website.</w:t>
      </w:r>
      <w:r w:rsidR="008155FD">
        <w:t xml:space="preserve">  Forms are designed to be fillable.</w:t>
      </w:r>
      <w:r w:rsidR="00B536A7">
        <w:t xml:space="preserve">  </w:t>
      </w:r>
      <w:r w:rsidRPr="00753B95">
        <w:t>Credit unions may use electronic voting processes in obtaining the votes of their members on whether to approve a merger.</w:t>
      </w:r>
    </w:p>
    <w:p w:rsidRPr="00753B95" w:rsidR="00323E48" w:rsidP="00B536A7" w:rsidRDefault="00323E48" w14:paraId="7BCD0593" w14:textId="77777777">
      <w:pPr>
        <w:tabs>
          <w:tab w:val="left" w:pos="720"/>
        </w:tabs>
        <w:ind w:left="720" w:hanging="720"/>
      </w:pPr>
    </w:p>
    <w:p w:rsidRPr="00753B95" w:rsidR="00D05C04" w:rsidP="00B536A7" w:rsidRDefault="00D05C04" w14:paraId="035BCCFF" w14:textId="3DA80BE2">
      <w:pPr>
        <w:tabs>
          <w:tab w:val="left" w:pos="720"/>
        </w:tabs>
        <w:ind w:left="720" w:hanging="720"/>
        <w:rPr>
          <w:b/>
        </w:rPr>
      </w:pPr>
      <w:r w:rsidRPr="00753B95">
        <w:rPr>
          <w:b/>
        </w:rPr>
        <w:t>4.</w:t>
      </w:r>
      <w:r w:rsidR="00027E19">
        <w:rPr>
          <w:b/>
        </w:rPr>
        <w:tab/>
        <w:t>D</w:t>
      </w:r>
      <w:r w:rsidRPr="00753B95">
        <w:rPr>
          <w:b/>
        </w:rPr>
        <w:t>uplication</w:t>
      </w:r>
      <w:r w:rsidR="00B536A7">
        <w:rPr>
          <w:b/>
        </w:rPr>
        <w:t xml:space="preserve"> of information.</w:t>
      </w:r>
    </w:p>
    <w:p w:rsidRPr="00753B95" w:rsidR="00DF2C1A" w:rsidP="00027E19" w:rsidRDefault="00DF2C1A" w14:paraId="73D3F806" w14:textId="77777777">
      <w:pPr>
        <w:ind w:left="540" w:hanging="540"/>
        <w:rPr>
          <w:b/>
        </w:rPr>
      </w:pPr>
    </w:p>
    <w:p w:rsidRPr="00753B95" w:rsidR="00DF2C1A" w:rsidP="00B536A7" w:rsidRDefault="00027E19" w14:paraId="25DEF086" w14:textId="77777777">
      <w:pPr>
        <w:widowControl w:val="0"/>
        <w:ind w:left="720" w:hanging="720"/>
      </w:pPr>
      <w:r>
        <w:tab/>
      </w:r>
      <w:r w:rsidRPr="00753B95" w:rsidR="00DF2C1A">
        <w:t xml:space="preserve">The collection of information is unique to the circumstances of each credit union.  The information is self-generated and is not available from any other government agency or other source. </w:t>
      </w:r>
    </w:p>
    <w:p w:rsidRPr="00753B95" w:rsidR="00DF2C1A" w:rsidP="00027E19" w:rsidRDefault="00DF2C1A" w14:paraId="74BDFF58" w14:textId="77777777">
      <w:pPr>
        <w:widowControl w:val="0"/>
        <w:ind w:left="540" w:hanging="540"/>
      </w:pPr>
    </w:p>
    <w:p w:rsidRPr="00753B95" w:rsidR="00DF2C1A" w:rsidP="00B536A7" w:rsidRDefault="00027E19" w14:paraId="37F9DBCA" w14:textId="685E7CF7">
      <w:pPr>
        <w:widowControl w:val="0"/>
        <w:ind w:left="720" w:hanging="720"/>
        <w:rPr>
          <w:b/>
        </w:rPr>
      </w:pPr>
      <w:r>
        <w:rPr>
          <w:b/>
        </w:rPr>
        <w:t>5.</w:t>
      </w:r>
      <w:r>
        <w:rPr>
          <w:b/>
        </w:rPr>
        <w:tab/>
        <w:t xml:space="preserve">Effect </w:t>
      </w:r>
      <w:r w:rsidR="00B536A7">
        <w:rPr>
          <w:b/>
        </w:rPr>
        <w:t>to reduce burden on small e</w:t>
      </w:r>
      <w:r>
        <w:rPr>
          <w:b/>
        </w:rPr>
        <w:t>ntities</w:t>
      </w:r>
      <w:r w:rsidR="00B536A7">
        <w:rPr>
          <w:b/>
        </w:rPr>
        <w:t>.</w:t>
      </w:r>
    </w:p>
    <w:p w:rsidRPr="00753B95" w:rsidR="00DF2C1A" w:rsidP="00027E19" w:rsidRDefault="00DF2C1A" w14:paraId="0771A1F0" w14:textId="77777777">
      <w:pPr>
        <w:widowControl w:val="0"/>
        <w:ind w:left="540" w:hanging="540"/>
      </w:pPr>
    </w:p>
    <w:p w:rsidRPr="00753B95" w:rsidR="00DF2C1A" w:rsidP="00B536A7" w:rsidRDefault="00027E19" w14:paraId="2D5E2797" w14:textId="77777777">
      <w:pPr>
        <w:widowControl w:val="0"/>
        <w:ind w:left="720" w:hanging="720"/>
      </w:pPr>
      <w:r>
        <w:tab/>
      </w:r>
      <w:r w:rsidRPr="00753B95" w:rsidR="00DF2C1A">
        <w:t xml:space="preserve">This collection does not have a significant impact on a substantial number of small credit unions.  For the most part, in a merger transaction a small credit union merges into a larger credit union.  The larger credit union provides substantial assistance to the smaller credit union alleviating the economic burden.  Share insurance conversion transactions are rare, </w:t>
      </w:r>
      <w:r w:rsidR="00FD5E62">
        <w:t>four during the last year</w:t>
      </w:r>
      <w:r w:rsidRPr="00753B95" w:rsidR="00DF2C1A">
        <w:t xml:space="preserve">, and under Part 708b NCUA supplies the forms and format of the application.  NCUA has not had a voluntary </w:t>
      </w:r>
      <w:r w:rsidRPr="00144F67" w:rsidR="00DF2C1A">
        <w:t>share insurance termination in decades</w:t>
      </w:r>
      <w:r w:rsidRPr="00753B95" w:rsidR="00DF2C1A">
        <w:t>.</w:t>
      </w:r>
    </w:p>
    <w:p w:rsidRPr="00753B95" w:rsidR="00DF2C1A" w:rsidP="00027E19" w:rsidRDefault="00DF2C1A" w14:paraId="10219690" w14:textId="77777777">
      <w:pPr>
        <w:widowControl w:val="0"/>
        <w:ind w:left="540" w:hanging="540"/>
      </w:pPr>
    </w:p>
    <w:p w:rsidRPr="00753B95" w:rsidR="00DF2C1A" w:rsidP="00B536A7" w:rsidRDefault="00027E19" w14:paraId="7399C975" w14:textId="77C923AF">
      <w:pPr>
        <w:widowControl w:val="0"/>
        <w:ind w:left="720" w:hanging="720"/>
        <w:rPr>
          <w:b/>
        </w:rPr>
      </w:pPr>
      <w:r>
        <w:rPr>
          <w:b/>
        </w:rPr>
        <w:t>6.</w:t>
      </w:r>
      <w:r>
        <w:rPr>
          <w:b/>
        </w:rPr>
        <w:tab/>
      </w:r>
      <w:r w:rsidRPr="00753B95" w:rsidR="00DF2C1A">
        <w:rPr>
          <w:b/>
        </w:rPr>
        <w:t xml:space="preserve">Consequences </w:t>
      </w:r>
      <w:r w:rsidR="00B536A7">
        <w:rPr>
          <w:b/>
        </w:rPr>
        <w:t>of not conducting the c</w:t>
      </w:r>
      <w:r>
        <w:rPr>
          <w:b/>
        </w:rPr>
        <w:t>ollection</w:t>
      </w:r>
      <w:r w:rsidR="00B536A7">
        <w:rPr>
          <w:b/>
        </w:rPr>
        <w:t>.</w:t>
      </w:r>
    </w:p>
    <w:p w:rsidRPr="00753B95" w:rsidR="00DF2C1A" w:rsidP="00027E19" w:rsidRDefault="00DF2C1A" w14:paraId="6DD281B7" w14:textId="77777777">
      <w:pPr>
        <w:widowControl w:val="0"/>
        <w:ind w:left="540" w:hanging="540"/>
      </w:pPr>
    </w:p>
    <w:p w:rsidRPr="00753B95" w:rsidR="00DF2C1A" w:rsidP="00B536A7" w:rsidRDefault="00027E19" w14:paraId="3FC73F31" w14:textId="77777777">
      <w:pPr>
        <w:widowControl w:val="0"/>
        <w:ind w:left="720" w:hanging="720"/>
      </w:pPr>
      <w:r>
        <w:tab/>
      </w:r>
      <w:r w:rsidRPr="00753B95" w:rsidR="00DF2C1A">
        <w:t xml:space="preserve">If the information collection occurred less frequently, NCUA would be unable to determine whether to approve the proposed merger or share insurance conversion.  Also, the credit union’s members would not have sufficient information to evaluate the </w:t>
      </w:r>
      <w:r w:rsidRPr="00753B95" w:rsidR="00DF2C1A">
        <w:lastRenderedPageBreak/>
        <w:t xml:space="preserve">proposal. </w:t>
      </w:r>
    </w:p>
    <w:p w:rsidRPr="00753B95" w:rsidR="00DF2C1A" w:rsidP="00027E19" w:rsidRDefault="00DF2C1A" w14:paraId="59D0226D" w14:textId="77777777">
      <w:pPr>
        <w:widowControl w:val="0"/>
        <w:ind w:left="540" w:hanging="540"/>
      </w:pPr>
    </w:p>
    <w:p w:rsidRPr="00753B95" w:rsidR="00DF2C1A" w:rsidP="00B536A7" w:rsidRDefault="00027E19" w14:paraId="20C59175" w14:textId="2E5DCA53">
      <w:pPr>
        <w:widowControl w:val="0"/>
        <w:ind w:left="720" w:hanging="720"/>
        <w:rPr>
          <w:b/>
        </w:rPr>
      </w:pPr>
      <w:r>
        <w:rPr>
          <w:b/>
        </w:rPr>
        <w:t>7.</w:t>
      </w:r>
      <w:r>
        <w:rPr>
          <w:b/>
        </w:rPr>
        <w:tab/>
        <w:t>I</w:t>
      </w:r>
      <w:r w:rsidR="00B536A7">
        <w:rPr>
          <w:b/>
        </w:rPr>
        <w:t>nconsistencies with g</w:t>
      </w:r>
      <w:r>
        <w:rPr>
          <w:b/>
        </w:rPr>
        <w:t xml:space="preserve">uidelines </w:t>
      </w:r>
      <w:r w:rsidR="00B536A7">
        <w:rPr>
          <w:b/>
        </w:rPr>
        <w:t xml:space="preserve">in </w:t>
      </w:r>
      <w:r w:rsidRPr="00753B95" w:rsidR="00DF2C1A">
        <w:rPr>
          <w:b/>
        </w:rPr>
        <w:t>5 CF</w:t>
      </w:r>
      <w:r>
        <w:rPr>
          <w:b/>
        </w:rPr>
        <w:t>R §1320.5(d</w:t>
      </w:r>
      <w:proofErr w:type="gramStart"/>
      <w:r>
        <w:rPr>
          <w:b/>
        </w:rPr>
        <w:t>)(</w:t>
      </w:r>
      <w:proofErr w:type="gramEnd"/>
      <w:r>
        <w:rPr>
          <w:b/>
        </w:rPr>
        <w:t>2)</w:t>
      </w:r>
      <w:r w:rsidR="00B536A7">
        <w:rPr>
          <w:b/>
        </w:rPr>
        <w:t>.</w:t>
      </w:r>
    </w:p>
    <w:p w:rsidRPr="00753B95" w:rsidR="00DF2C1A" w:rsidP="00B536A7" w:rsidRDefault="00DF2C1A" w14:paraId="5669F185" w14:textId="77777777">
      <w:pPr>
        <w:widowControl w:val="0"/>
        <w:ind w:left="720" w:hanging="720"/>
      </w:pPr>
    </w:p>
    <w:p w:rsidRPr="00753B95" w:rsidR="00DF2C1A" w:rsidP="00B536A7" w:rsidRDefault="00027E19" w14:paraId="3963681D" w14:textId="571240F8">
      <w:pPr>
        <w:widowControl w:val="0"/>
        <w:ind w:left="720" w:hanging="720"/>
      </w:pPr>
      <w:r>
        <w:tab/>
      </w:r>
      <w:r w:rsidR="008606FF">
        <w:t>There are no special circumstances.  This collection is consistent with the guidelines in 5 CFR 1320.5(d</w:t>
      </w:r>
      <w:proofErr w:type="gramStart"/>
      <w:r w:rsidR="008606FF">
        <w:t>)(</w:t>
      </w:r>
      <w:proofErr w:type="gramEnd"/>
      <w:r w:rsidR="008606FF">
        <w:t>2).</w:t>
      </w:r>
    </w:p>
    <w:p w:rsidRPr="00753B95" w:rsidR="00DF2C1A" w:rsidP="00B536A7" w:rsidRDefault="00DF2C1A" w14:paraId="359DF07C" w14:textId="77777777">
      <w:pPr>
        <w:widowControl w:val="0"/>
        <w:ind w:left="720" w:hanging="720"/>
      </w:pPr>
    </w:p>
    <w:p w:rsidRPr="00753B95" w:rsidR="00DF2C1A" w:rsidP="00B536A7" w:rsidRDefault="00027E19" w14:paraId="071F979F" w14:textId="3A06EDB4">
      <w:pPr>
        <w:widowControl w:val="0"/>
        <w:tabs>
          <w:tab w:val="left" w:pos="-1440"/>
        </w:tabs>
        <w:ind w:left="720" w:hanging="720"/>
        <w:rPr>
          <w:b/>
        </w:rPr>
      </w:pPr>
      <w:r>
        <w:rPr>
          <w:b/>
        </w:rPr>
        <w:t>8.</w:t>
      </w:r>
      <w:r>
        <w:rPr>
          <w:b/>
        </w:rPr>
        <w:tab/>
      </w:r>
      <w:r w:rsidR="00B536A7">
        <w:rPr>
          <w:b/>
        </w:rPr>
        <w:t xml:space="preserve">Efforts to consult with persons outside </w:t>
      </w:r>
      <w:r>
        <w:rPr>
          <w:b/>
        </w:rPr>
        <w:t>the Agency</w:t>
      </w:r>
      <w:r w:rsidR="00B536A7">
        <w:rPr>
          <w:b/>
        </w:rPr>
        <w:t>.</w:t>
      </w:r>
    </w:p>
    <w:p w:rsidRPr="00753B95" w:rsidR="00DF2C1A" w:rsidP="00B536A7" w:rsidRDefault="00DF2C1A" w14:paraId="620868AE" w14:textId="77777777">
      <w:pPr>
        <w:widowControl w:val="0"/>
        <w:ind w:left="720" w:hanging="720"/>
      </w:pPr>
    </w:p>
    <w:p w:rsidR="00DF2C1A" w:rsidP="00B536A7" w:rsidRDefault="00027E19" w14:paraId="77A4C4B5" w14:textId="5DE37C62">
      <w:pPr>
        <w:widowControl w:val="0"/>
        <w:tabs>
          <w:tab w:val="left" w:pos="720"/>
        </w:tabs>
        <w:ind w:left="720" w:hanging="720"/>
      </w:pPr>
      <w:r>
        <w:tab/>
      </w:r>
      <w:r w:rsidR="001556EF">
        <w:t xml:space="preserve">A Paperwork Reduction Act (PRA) notice was published in the preamble of the proposed rulemaking </w:t>
      </w:r>
      <w:r w:rsidRPr="00D12A59" w:rsidR="001556EF">
        <w:t xml:space="preserve">on </w:t>
      </w:r>
      <w:r w:rsidR="001556EF">
        <w:t>June 8, 2017</w:t>
      </w:r>
      <w:r w:rsidRPr="00D12A59" w:rsidR="001556EF">
        <w:t>, at</w:t>
      </w:r>
      <w:r w:rsidR="001556EF">
        <w:t xml:space="preserve"> 82 FR 26606</w:t>
      </w:r>
      <w:r w:rsidRPr="00D12A59" w:rsidR="001556EF">
        <w:t xml:space="preserve">, providing an opportunity for the public to comment on the information collection requirements prescribed by this rule.  </w:t>
      </w:r>
    </w:p>
    <w:p w:rsidR="001556EF" w:rsidP="00B536A7" w:rsidRDefault="001556EF" w14:paraId="7B279463" w14:textId="32C19DE8">
      <w:pPr>
        <w:widowControl w:val="0"/>
        <w:tabs>
          <w:tab w:val="left" w:pos="720"/>
        </w:tabs>
        <w:ind w:left="720" w:hanging="720"/>
      </w:pPr>
      <w:r>
        <w:tab/>
      </w:r>
    </w:p>
    <w:p w:rsidRPr="00576F65" w:rsidR="001556EF" w:rsidP="001556EF" w:rsidRDefault="001556EF" w14:paraId="7C42B198" w14:textId="2954BA97">
      <w:pPr>
        <w:ind w:left="720"/>
      </w:pPr>
      <w:r w:rsidRPr="00576F65">
        <w:t xml:space="preserve">The final rule published </w:t>
      </w:r>
      <w:r>
        <w:t>June 28, 2018, at 83</w:t>
      </w:r>
      <w:r w:rsidRPr="00576F65">
        <w:t xml:space="preserve"> FR </w:t>
      </w:r>
      <w:r>
        <w:t>30301</w:t>
      </w:r>
      <w:r w:rsidRPr="00576F65">
        <w:t xml:space="preserve">, which implements the proposed </w:t>
      </w:r>
      <w:r>
        <w:t>rule, with some changes</w:t>
      </w:r>
      <w:r w:rsidRPr="00576F65">
        <w:t xml:space="preserve">.  </w:t>
      </w:r>
      <w:r w:rsidR="008606FF">
        <w:t xml:space="preserve">Comments received in response to the proposed rule </w:t>
      </w:r>
      <w:r w:rsidR="00A537FA">
        <w:t xml:space="preserve">are </w:t>
      </w:r>
      <w:r w:rsidRPr="00576F65">
        <w:t>summarized and addressed in t</w:t>
      </w:r>
      <w:r w:rsidR="00AD4A8E">
        <w:t xml:space="preserve">he preamble of the final rule.  Comments </w:t>
      </w:r>
      <w:r w:rsidR="00886566">
        <w:t>with PRA concerns are set-out below.</w:t>
      </w:r>
    </w:p>
    <w:p w:rsidR="001556EF" w:rsidP="009E0837" w:rsidRDefault="001556EF" w14:paraId="48D389D3" w14:textId="48E89520">
      <w:pPr>
        <w:widowControl w:val="0"/>
        <w:tabs>
          <w:tab w:val="left" w:pos="720"/>
        </w:tabs>
        <w:ind w:left="720"/>
      </w:pPr>
    </w:p>
    <w:p w:rsidRPr="009E0837" w:rsidR="009E0837" w:rsidP="009E0837" w:rsidRDefault="009E0837" w14:paraId="35754625" w14:textId="4969387D">
      <w:pPr>
        <w:autoSpaceDE w:val="0"/>
        <w:autoSpaceDN w:val="0"/>
        <w:adjustRightInd w:val="0"/>
        <w:ind w:left="720"/>
        <w:rPr>
          <w:i/>
          <w:u w:val="single"/>
        </w:rPr>
      </w:pPr>
      <w:r w:rsidRPr="009E0837">
        <w:rPr>
          <w:i/>
          <w:u w:val="single"/>
        </w:rPr>
        <w:t xml:space="preserve">Member Comments on the Proposed Merger Transaction </w:t>
      </w:r>
    </w:p>
    <w:p w:rsidRPr="003B4BEF" w:rsidR="009E0837" w:rsidP="00B14E32" w:rsidRDefault="009E0837" w14:paraId="6F10B83B" w14:textId="77777777">
      <w:pPr>
        <w:autoSpaceDE w:val="0"/>
        <w:autoSpaceDN w:val="0"/>
        <w:adjustRightInd w:val="0"/>
        <w:ind w:left="720" w:firstLine="720"/>
      </w:pPr>
      <w:r w:rsidRPr="003B4BEF">
        <w:t>The proposed rule included</w:t>
      </w:r>
      <w:r>
        <w:t xml:space="preserve"> </w:t>
      </w:r>
      <w:r w:rsidRPr="003B4BEF">
        <w:t>provisions to facilitate member</w:t>
      </w:r>
      <w:r>
        <w:t xml:space="preserve"> </w:t>
      </w:r>
      <w:r w:rsidRPr="003B4BEF">
        <w:t>discussions about the merger</w:t>
      </w:r>
      <w:r>
        <w:t xml:space="preserve"> </w:t>
      </w:r>
      <w:r w:rsidRPr="003B4BEF">
        <w:t>transaction. These provisions, modelled</w:t>
      </w:r>
      <w:r>
        <w:t xml:space="preserve"> </w:t>
      </w:r>
      <w:r w:rsidRPr="003B4BEF">
        <w:t>on a similar requirement in the NCUA’s</w:t>
      </w:r>
      <w:r>
        <w:t xml:space="preserve"> </w:t>
      </w:r>
      <w:r w:rsidRPr="003B4BEF">
        <w:t>rule governing credit union to bank</w:t>
      </w:r>
      <w:r>
        <w:t xml:space="preserve"> </w:t>
      </w:r>
      <w:r w:rsidRPr="003B4BEF">
        <w:t>conversions, would establish</w:t>
      </w:r>
      <w:r>
        <w:t xml:space="preserve"> </w:t>
      </w:r>
      <w:r w:rsidRPr="003B4BEF">
        <w:t>procedures to allow for member-to</w:t>
      </w:r>
      <w:r>
        <w:t>-</w:t>
      </w:r>
      <w:r w:rsidRPr="003B4BEF">
        <w:t>member</w:t>
      </w:r>
      <w:r>
        <w:t xml:space="preserve"> </w:t>
      </w:r>
      <w:r w:rsidRPr="003B4BEF">
        <w:t>(MTM) communication in</w:t>
      </w:r>
      <w:r>
        <w:t xml:space="preserve"> </w:t>
      </w:r>
      <w:r w:rsidRPr="003B4BEF">
        <w:t xml:space="preserve">advance of a member vote. </w:t>
      </w:r>
      <w:r>
        <w:t xml:space="preserve"> </w:t>
      </w:r>
      <w:r w:rsidRPr="003B4BEF">
        <w:t>The MTM</w:t>
      </w:r>
      <w:r>
        <w:t xml:space="preserve"> </w:t>
      </w:r>
      <w:r w:rsidRPr="003B4BEF">
        <w:t>communication provision was the least</w:t>
      </w:r>
      <w:r>
        <w:t xml:space="preserve"> </w:t>
      </w:r>
      <w:r w:rsidRPr="003B4BEF">
        <w:t>popular part of the proposed rule, with</w:t>
      </w:r>
      <w:r>
        <w:t xml:space="preserve"> </w:t>
      </w:r>
      <w:r w:rsidRPr="003B4BEF">
        <w:t xml:space="preserve">45 commenters opposing it. </w:t>
      </w:r>
      <w:r>
        <w:t xml:space="preserve"> </w:t>
      </w:r>
      <w:r w:rsidRPr="003B4BEF">
        <w:t>The most</w:t>
      </w:r>
      <w:r>
        <w:t xml:space="preserve"> </w:t>
      </w:r>
      <w:r w:rsidRPr="003B4BEF">
        <w:t>common objection was that the MTM</w:t>
      </w:r>
      <w:r>
        <w:t xml:space="preserve"> </w:t>
      </w:r>
      <w:r w:rsidRPr="003B4BEF">
        <w:t>communication process would delay the</w:t>
      </w:r>
      <w:r>
        <w:t xml:space="preserve"> </w:t>
      </w:r>
      <w:r w:rsidRPr="003B4BEF">
        <w:t>merger process, make mergers more</w:t>
      </w:r>
      <w:r>
        <w:t xml:space="preserve"> </w:t>
      </w:r>
      <w:r w:rsidRPr="003B4BEF">
        <w:t>complicated and costly, or discourage</w:t>
      </w:r>
      <w:r>
        <w:t xml:space="preserve"> </w:t>
      </w:r>
      <w:r w:rsidRPr="003B4BEF">
        <w:t xml:space="preserve">them entirely. </w:t>
      </w:r>
      <w:r>
        <w:t xml:space="preserve"> </w:t>
      </w:r>
      <w:r w:rsidRPr="003B4BEF">
        <w:t>Another frequently</w:t>
      </w:r>
      <w:r>
        <w:t xml:space="preserve"> </w:t>
      </w:r>
      <w:r w:rsidRPr="003B4BEF">
        <w:t>expressed fear was that disgruntled</w:t>
      </w:r>
      <w:r>
        <w:t xml:space="preserve"> </w:t>
      </w:r>
      <w:proofErr w:type="gramStart"/>
      <w:r w:rsidRPr="003B4BEF">
        <w:t>members</w:t>
      </w:r>
      <w:proofErr w:type="gramEnd"/>
      <w:r w:rsidRPr="003B4BEF">
        <w:t>, employees or competitors</w:t>
      </w:r>
      <w:r>
        <w:t xml:space="preserve"> </w:t>
      </w:r>
      <w:r w:rsidRPr="003B4BEF">
        <w:t>would use the MTM communication to</w:t>
      </w:r>
      <w:r>
        <w:t xml:space="preserve"> </w:t>
      </w:r>
      <w:r w:rsidRPr="003B4BEF">
        <w:t>convey misleading or inaccurate</w:t>
      </w:r>
      <w:r>
        <w:t xml:space="preserve"> </w:t>
      </w:r>
      <w:r w:rsidRPr="003B4BEF">
        <w:t xml:space="preserve">information. </w:t>
      </w:r>
      <w:r>
        <w:t xml:space="preserve"> </w:t>
      </w:r>
      <w:r w:rsidRPr="003B4BEF">
        <w:t>Other commenters opined</w:t>
      </w:r>
      <w:r>
        <w:t xml:space="preserve"> </w:t>
      </w:r>
      <w:r w:rsidRPr="003B4BEF">
        <w:t>that the MTM would expose the</w:t>
      </w:r>
      <w:r>
        <w:t xml:space="preserve"> </w:t>
      </w:r>
      <w:r w:rsidRPr="003B4BEF">
        <w:t>merging and continuing credit unions to</w:t>
      </w:r>
      <w:r>
        <w:t xml:space="preserve"> </w:t>
      </w:r>
      <w:r w:rsidRPr="003B4BEF">
        <w:t>reputation or litigation risk, raise the</w:t>
      </w:r>
      <w:r>
        <w:t xml:space="preserve"> </w:t>
      </w:r>
      <w:r w:rsidRPr="003B4BEF">
        <w:t>costs of mergers, and that members</w:t>
      </w:r>
      <w:r>
        <w:t xml:space="preserve"> </w:t>
      </w:r>
      <w:r w:rsidRPr="003B4BEF">
        <w:t>prefer alternate methods of receiving</w:t>
      </w:r>
      <w:r>
        <w:t xml:space="preserve"> </w:t>
      </w:r>
      <w:r w:rsidRPr="003B4BEF">
        <w:t>communications from other members.</w:t>
      </w:r>
      <w:r>
        <w:t xml:space="preserve">  </w:t>
      </w:r>
      <w:r w:rsidRPr="003B4BEF">
        <w:t>Finally, a few commenters objected to</w:t>
      </w:r>
      <w:r>
        <w:t xml:space="preserve"> </w:t>
      </w:r>
      <w:r w:rsidRPr="003B4BEF">
        <w:t>the NCUA’s role in overseeing the MTM</w:t>
      </w:r>
      <w:r>
        <w:t xml:space="preserve"> </w:t>
      </w:r>
      <w:r w:rsidRPr="003B4BEF">
        <w:t>communication process and disagreed</w:t>
      </w:r>
      <w:r>
        <w:t xml:space="preserve"> </w:t>
      </w:r>
      <w:r w:rsidRPr="003B4BEF">
        <w:t>with the NCUA’s observation that the</w:t>
      </w:r>
      <w:r>
        <w:t xml:space="preserve"> </w:t>
      </w:r>
      <w:r w:rsidRPr="003B4BEF">
        <w:t>proportion of votes in favor of merger is</w:t>
      </w:r>
      <w:r>
        <w:t xml:space="preserve"> </w:t>
      </w:r>
      <w:r w:rsidRPr="003B4BEF">
        <w:t>lower for ballots cast in person than for</w:t>
      </w:r>
      <w:r>
        <w:t xml:space="preserve"> </w:t>
      </w:r>
      <w:r w:rsidRPr="003B4BEF">
        <w:t>ballots cast by mail and, therefore,</w:t>
      </w:r>
      <w:r>
        <w:t xml:space="preserve"> </w:t>
      </w:r>
      <w:r w:rsidRPr="003B4BEF">
        <w:t>justifies the need for additional MTM</w:t>
      </w:r>
      <w:r>
        <w:t xml:space="preserve"> </w:t>
      </w:r>
      <w:r w:rsidRPr="003B4BEF">
        <w:t>communication.</w:t>
      </w:r>
    </w:p>
    <w:p w:rsidRPr="003B4BEF" w:rsidR="009E0837" w:rsidP="00B14E32" w:rsidRDefault="009E0837" w14:paraId="7F7345F2" w14:textId="77777777">
      <w:pPr>
        <w:autoSpaceDE w:val="0"/>
        <w:autoSpaceDN w:val="0"/>
        <w:adjustRightInd w:val="0"/>
        <w:ind w:left="720" w:firstLine="720"/>
      </w:pPr>
      <w:r w:rsidRPr="003B4BEF">
        <w:t>Commenters suggested a variety of</w:t>
      </w:r>
      <w:r>
        <w:t xml:space="preserve"> </w:t>
      </w:r>
      <w:r w:rsidRPr="003B4BEF">
        <w:t>alternatives to the MTM provisions of</w:t>
      </w:r>
      <w:r>
        <w:t xml:space="preserve"> </w:t>
      </w:r>
      <w:r w:rsidRPr="003B4BEF">
        <w:t xml:space="preserve">the proposed rule. </w:t>
      </w:r>
      <w:r>
        <w:t xml:space="preserve"> </w:t>
      </w:r>
      <w:r w:rsidRPr="003B4BEF">
        <w:t>Two commenters</w:t>
      </w:r>
      <w:r>
        <w:t xml:space="preserve"> </w:t>
      </w:r>
      <w:r w:rsidRPr="003B4BEF">
        <w:t>suggested the merging credit union</w:t>
      </w:r>
      <w:r>
        <w:t xml:space="preserve"> </w:t>
      </w:r>
      <w:r w:rsidRPr="003B4BEF">
        <w:t>aggregate all member comments and</w:t>
      </w:r>
      <w:r>
        <w:t xml:space="preserve"> </w:t>
      </w:r>
      <w:r w:rsidRPr="003B4BEF">
        <w:t>either distribute one communication, or</w:t>
      </w:r>
      <w:r>
        <w:t xml:space="preserve"> </w:t>
      </w:r>
      <w:r w:rsidRPr="003B4BEF">
        <w:t>share the aggregated comments at or</w:t>
      </w:r>
      <w:r>
        <w:t xml:space="preserve"> </w:t>
      </w:r>
      <w:r w:rsidRPr="003B4BEF">
        <w:t xml:space="preserve">before the special meeting. </w:t>
      </w:r>
      <w:r>
        <w:t xml:space="preserve"> </w:t>
      </w:r>
      <w:r w:rsidRPr="003B4BEF">
        <w:t>Three</w:t>
      </w:r>
      <w:r>
        <w:t xml:space="preserve"> </w:t>
      </w:r>
      <w:r w:rsidRPr="003B4BEF">
        <w:t>commenters suggested holding an extra</w:t>
      </w:r>
      <w:r>
        <w:t xml:space="preserve"> </w:t>
      </w:r>
      <w:r w:rsidRPr="003B4BEF">
        <w:t>member meeting either during the</w:t>
      </w:r>
      <w:r>
        <w:t xml:space="preserve"> </w:t>
      </w:r>
      <w:r w:rsidRPr="003B4BEF">
        <w:t>voting period or before the voting period</w:t>
      </w:r>
      <w:r>
        <w:t xml:space="preserve"> </w:t>
      </w:r>
      <w:r w:rsidRPr="003B4BEF">
        <w:t>where members can obtain information</w:t>
      </w:r>
      <w:r>
        <w:t xml:space="preserve"> </w:t>
      </w:r>
      <w:r w:rsidRPr="003B4BEF">
        <w:t>on and discuss the merger, with a</w:t>
      </w:r>
      <w:r>
        <w:t xml:space="preserve"> </w:t>
      </w:r>
      <w:r w:rsidRPr="003B4BEF">
        <w:t>summary of the meeting posted online.</w:t>
      </w:r>
      <w:r>
        <w:t xml:space="preserve">  </w:t>
      </w:r>
      <w:r w:rsidRPr="003B4BEF">
        <w:t>Two commenters suggested that the</w:t>
      </w:r>
      <w:r>
        <w:t xml:space="preserve"> </w:t>
      </w:r>
      <w:r w:rsidRPr="003B4BEF">
        <w:t>NCUA create an online posting for each</w:t>
      </w:r>
      <w:r>
        <w:t xml:space="preserve"> </w:t>
      </w:r>
      <w:r w:rsidRPr="003B4BEF">
        <w:t>merger that allows members to submit</w:t>
      </w:r>
      <w:r>
        <w:t xml:space="preserve"> </w:t>
      </w:r>
      <w:r w:rsidRPr="003B4BEF">
        <w:t xml:space="preserve">comments. </w:t>
      </w:r>
      <w:r>
        <w:t xml:space="preserve"> </w:t>
      </w:r>
      <w:r w:rsidRPr="003B4BEF">
        <w:t>Further, one commenter</w:t>
      </w:r>
      <w:r>
        <w:t xml:space="preserve"> </w:t>
      </w:r>
      <w:r w:rsidRPr="003B4BEF">
        <w:t>requested public notice at the time a</w:t>
      </w:r>
      <w:r>
        <w:t xml:space="preserve"> </w:t>
      </w:r>
      <w:r w:rsidRPr="003B4BEF">
        <w:t>merger application is filed with the</w:t>
      </w:r>
      <w:r>
        <w:t xml:space="preserve"> </w:t>
      </w:r>
      <w:r w:rsidRPr="003B4BEF">
        <w:t>NCUA.</w:t>
      </w:r>
    </w:p>
    <w:p w:rsidRPr="003B4BEF" w:rsidR="009E0837" w:rsidP="00B14E32" w:rsidRDefault="009E0837" w14:paraId="748C5A1B" w14:textId="77777777">
      <w:pPr>
        <w:autoSpaceDE w:val="0"/>
        <w:autoSpaceDN w:val="0"/>
        <w:adjustRightInd w:val="0"/>
        <w:ind w:left="720" w:firstLine="720"/>
      </w:pPr>
      <w:r w:rsidRPr="003B4BEF">
        <w:lastRenderedPageBreak/>
        <w:t>The Board believes many of the</w:t>
      </w:r>
      <w:r>
        <w:t xml:space="preserve"> </w:t>
      </w:r>
      <w:r w:rsidRPr="003B4BEF">
        <w:t>commenters’ fears about the MTM</w:t>
      </w:r>
      <w:r>
        <w:t xml:space="preserve"> </w:t>
      </w:r>
      <w:r w:rsidRPr="003B4BEF">
        <w:t>communication provision are unlikely</w:t>
      </w:r>
      <w:r>
        <w:t xml:space="preserve"> </w:t>
      </w:r>
      <w:r w:rsidRPr="003B4BEF">
        <w:t xml:space="preserve">to materialize. </w:t>
      </w:r>
      <w:r>
        <w:t xml:space="preserve"> </w:t>
      </w:r>
      <w:r w:rsidRPr="003B4BEF">
        <w:t>The MTM</w:t>
      </w:r>
      <w:r>
        <w:t xml:space="preserve"> </w:t>
      </w:r>
      <w:r w:rsidRPr="003B4BEF">
        <w:t>communication provisions were</w:t>
      </w:r>
      <w:r>
        <w:t xml:space="preserve"> </w:t>
      </w:r>
      <w:r w:rsidRPr="003B4BEF">
        <w:t>modelled after those in the NCUA’s part</w:t>
      </w:r>
      <w:r>
        <w:t xml:space="preserve"> </w:t>
      </w:r>
      <w:r w:rsidRPr="003B4BEF">
        <w:t>708a regulation on credit union</w:t>
      </w:r>
      <w:r>
        <w:t xml:space="preserve"> </w:t>
      </w:r>
      <w:r w:rsidRPr="003B4BEF">
        <w:t xml:space="preserve">conversions to banks. </w:t>
      </w:r>
      <w:r>
        <w:t xml:space="preserve"> </w:t>
      </w:r>
      <w:r w:rsidRPr="003B4BEF">
        <w:t>Since the MTM</w:t>
      </w:r>
      <w:r>
        <w:t xml:space="preserve"> </w:t>
      </w:r>
      <w:r w:rsidRPr="003B4BEF">
        <w:t>communication provisions of part 708a</w:t>
      </w:r>
      <w:r>
        <w:t xml:space="preserve"> </w:t>
      </w:r>
      <w:r w:rsidRPr="003B4BEF">
        <w:t>took effect in early 2007, there have</w:t>
      </w:r>
      <w:r>
        <w:t xml:space="preserve"> </w:t>
      </w:r>
      <w:r w:rsidRPr="003B4BEF">
        <w:t>been eleven bank conversion attempts.</w:t>
      </w:r>
      <w:r>
        <w:t xml:space="preserve">  </w:t>
      </w:r>
      <w:r w:rsidRPr="003B4BEF">
        <w:t>An MTM communication occurred in</w:t>
      </w:r>
      <w:r>
        <w:t xml:space="preserve"> </w:t>
      </w:r>
      <w:r w:rsidRPr="003B4BEF">
        <w:t xml:space="preserve">fewer than half of these attempts. </w:t>
      </w:r>
      <w:r>
        <w:t xml:space="preserve"> </w:t>
      </w:r>
      <w:r w:rsidRPr="003B4BEF">
        <w:t>As</w:t>
      </w:r>
      <w:r>
        <w:t xml:space="preserve"> </w:t>
      </w:r>
      <w:r w:rsidRPr="003B4BEF">
        <w:t>most proposed bank conversions, which</w:t>
      </w:r>
      <w:r>
        <w:t xml:space="preserve"> </w:t>
      </w:r>
      <w:r w:rsidRPr="003B4BEF">
        <w:t>have a greater effect on member rights</w:t>
      </w:r>
      <w:r>
        <w:t xml:space="preserve"> </w:t>
      </w:r>
      <w:r w:rsidRPr="003B4BEF">
        <w:t>than a merger with another credit union,</w:t>
      </w:r>
      <w:r>
        <w:t xml:space="preserve"> </w:t>
      </w:r>
      <w:r w:rsidRPr="003B4BEF">
        <w:t>do not have an MTM communication,</w:t>
      </w:r>
      <w:r>
        <w:t xml:space="preserve"> </w:t>
      </w:r>
      <w:r w:rsidRPr="003B4BEF">
        <w:t>the Board finds it unlikely that many</w:t>
      </w:r>
      <w:r>
        <w:t xml:space="preserve"> </w:t>
      </w:r>
      <w:r w:rsidRPr="003B4BEF">
        <w:t>credit union merger proposals would</w:t>
      </w:r>
      <w:r>
        <w:t xml:space="preserve"> </w:t>
      </w:r>
      <w:r w:rsidRPr="003B4BEF">
        <w:t>evoke MTM communications.</w:t>
      </w:r>
    </w:p>
    <w:p w:rsidRPr="003B4BEF" w:rsidR="009E0837" w:rsidP="00B14E32" w:rsidRDefault="009E0837" w14:paraId="3C7AC3FB" w14:textId="77777777">
      <w:pPr>
        <w:autoSpaceDE w:val="0"/>
        <w:autoSpaceDN w:val="0"/>
        <w:adjustRightInd w:val="0"/>
        <w:ind w:left="720" w:firstLine="720"/>
      </w:pPr>
      <w:r w:rsidRPr="003B4BEF">
        <w:t>In terms of the potential for abuse, the</w:t>
      </w:r>
      <w:r>
        <w:t xml:space="preserve"> </w:t>
      </w:r>
      <w:r w:rsidRPr="003B4BEF">
        <w:t>Board reminds commenters that the</w:t>
      </w:r>
      <w:r>
        <w:t xml:space="preserve"> </w:t>
      </w:r>
      <w:r w:rsidRPr="003B4BEF">
        <w:t>proposed rule provided for the NCUA to</w:t>
      </w:r>
      <w:r>
        <w:t xml:space="preserve"> </w:t>
      </w:r>
      <w:r w:rsidRPr="003B4BEF">
        <w:t>review MTM communications that</w:t>
      </w:r>
      <w:r>
        <w:t xml:space="preserve"> </w:t>
      </w:r>
      <w:r w:rsidRPr="003B4BEF">
        <w:t>merging credit unions find inaccurate or</w:t>
      </w:r>
      <w:r>
        <w:t xml:space="preserve"> </w:t>
      </w:r>
      <w:r w:rsidRPr="003B4BEF">
        <w:t xml:space="preserve">misleading. </w:t>
      </w:r>
      <w:r>
        <w:t xml:space="preserve"> </w:t>
      </w:r>
      <w:r w:rsidRPr="003B4BEF">
        <w:t>While this process would</w:t>
      </w:r>
      <w:r>
        <w:t xml:space="preserve"> </w:t>
      </w:r>
      <w:r w:rsidRPr="003B4BEF">
        <w:t>require time and effort on the NCUA’s</w:t>
      </w:r>
      <w:r>
        <w:t xml:space="preserve"> </w:t>
      </w:r>
      <w:r w:rsidRPr="003B4BEF">
        <w:t>part, the Board expects this commitment</w:t>
      </w:r>
      <w:r>
        <w:t xml:space="preserve"> </w:t>
      </w:r>
      <w:r w:rsidRPr="003B4BEF">
        <w:t>would not be major because only a</w:t>
      </w:r>
      <w:r>
        <w:t xml:space="preserve"> </w:t>
      </w:r>
      <w:r w:rsidRPr="003B4BEF">
        <w:t>small proportion of credit union</w:t>
      </w:r>
      <w:r>
        <w:t xml:space="preserve"> </w:t>
      </w:r>
      <w:r w:rsidRPr="003B4BEF">
        <w:t>mergers would involve MTM</w:t>
      </w:r>
      <w:r>
        <w:t xml:space="preserve"> </w:t>
      </w:r>
      <w:r w:rsidRPr="003B4BEF">
        <w:t>communications.</w:t>
      </w:r>
      <w:r>
        <w:t xml:space="preserve">  </w:t>
      </w:r>
      <w:r w:rsidRPr="003B4BEF">
        <w:t>In summary, the Board believes many</w:t>
      </w:r>
      <w:r>
        <w:t xml:space="preserve"> </w:t>
      </w:r>
      <w:r w:rsidRPr="003B4BEF">
        <w:t>of the commenters’ fears about the</w:t>
      </w:r>
      <w:r>
        <w:t xml:space="preserve"> </w:t>
      </w:r>
      <w:r w:rsidRPr="003B4BEF">
        <w:t>effects of the MTM communication</w:t>
      </w:r>
      <w:r>
        <w:t xml:space="preserve"> </w:t>
      </w:r>
      <w:r w:rsidRPr="003B4BEF">
        <w:t>provisions are exaggerated.</w:t>
      </w:r>
    </w:p>
    <w:p w:rsidRPr="003B4BEF" w:rsidR="009E0837" w:rsidP="00B14E32" w:rsidRDefault="009E0837" w14:paraId="1508321F" w14:textId="77777777">
      <w:pPr>
        <w:autoSpaceDE w:val="0"/>
        <w:autoSpaceDN w:val="0"/>
        <w:adjustRightInd w:val="0"/>
        <w:ind w:left="720" w:firstLine="720"/>
      </w:pPr>
      <w:r w:rsidRPr="003B4BEF">
        <w:t>Nevertheless, the Board agrees that there</w:t>
      </w:r>
      <w:r>
        <w:t xml:space="preserve"> </w:t>
      </w:r>
      <w:r w:rsidRPr="003B4BEF">
        <w:t>may be an alternative way to</w:t>
      </w:r>
      <w:r>
        <w:t xml:space="preserve"> </w:t>
      </w:r>
      <w:r w:rsidRPr="003B4BEF">
        <w:t>accomplish the Board’s goal of</w:t>
      </w:r>
      <w:r>
        <w:t xml:space="preserve"> </w:t>
      </w:r>
      <w:r w:rsidRPr="003B4BEF">
        <w:t>permitting members to dialogue about</w:t>
      </w:r>
      <w:r>
        <w:t xml:space="preserve"> </w:t>
      </w:r>
      <w:r w:rsidRPr="003B4BEF">
        <w:t>the proposed merger transaction while</w:t>
      </w:r>
      <w:r>
        <w:t xml:space="preserve"> </w:t>
      </w:r>
      <w:r w:rsidRPr="003B4BEF">
        <w:t>avoiding the features that made the</w:t>
      </w:r>
      <w:r>
        <w:t xml:space="preserve"> </w:t>
      </w:r>
      <w:r w:rsidRPr="003B4BEF">
        <w:t>MTM communication objectionable to</w:t>
      </w:r>
      <w:r>
        <w:t xml:space="preserve"> </w:t>
      </w:r>
      <w:r w:rsidRPr="003B4BEF">
        <w:t xml:space="preserve">commenters. </w:t>
      </w:r>
      <w:r>
        <w:t xml:space="preserve"> </w:t>
      </w:r>
      <w:r w:rsidRPr="003B4BEF">
        <w:t>The Board requested</w:t>
      </w:r>
      <w:r>
        <w:t xml:space="preserve"> </w:t>
      </w:r>
      <w:r w:rsidRPr="003B4BEF">
        <w:t>comments about all aspects of the</w:t>
      </w:r>
      <w:r>
        <w:t xml:space="preserve"> </w:t>
      </w:r>
      <w:r w:rsidRPr="003B4BEF">
        <w:t>proposed rule, which includes the MTM</w:t>
      </w:r>
      <w:r>
        <w:t xml:space="preserve"> </w:t>
      </w:r>
      <w:r w:rsidRPr="003B4BEF">
        <w:t xml:space="preserve">communication provision. </w:t>
      </w:r>
      <w:r>
        <w:t xml:space="preserve"> </w:t>
      </w:r>
      <w:r w:rsidRPr="003B4BEF">
        <w:t>The Board is</w:t>
      </w:r>
      <w:r>
        <w:t xml:space="preserve"> </w:t>
      </w:r>
      <w:r w:rsidRPr="003B4BEF">
        <w:t>now adopting the suggestions of two</w:t>
      </w:r>
      <w:r>
        <w:t xml:space="preserve"> </w:t>
      </w:r>
      <w:r w:rsidRPr="003B4BEF">
        <w:t>commenters who requested that the</w:t>
      </w:r>
      <w:r>
        <w:t xml:space="preserve"> </w:t>
      </w:r>
      <w:r w:rsidRPr="003B4BEF">
        <w:t>NCUA provide publicly accessible</w:t>
      </w:r>
      <w:r>
        <w:t xml:space="preserve"> </w:t>
      </w:r>
      <w:r w:rsidRPr="003B4BEF">
        <w:t>information about proposed merger</w:t>
      </w:r>
      <w:r>
        <w:t xml:space="preserve"> </w:t>
      </w:r>
      <w:r w:rsidRPr="003B4BEF">
        <w:t>transactions on the NCUA’s website,</w:t>
      </w:r>
      <w:r>
        <w:t xml:space="preserve"> </w:t>
      </w:r>
      <w:r w:rsidRPr="003B4BEF">
        <w:t>with a section for member comments.</w:t>
      </w:r>
    </w:p>
    <w:p w:rsidRPr="003B4BEF" w:rsidR="009E0837" w:rsidP="00B14E32" w:rsidRDefault="009E0837" w14:paraId="64F01B06" w14:textId="77777777">
      <w:pPr>
        <w:autoSpaceDE w:val="0"/>
        <w:autoSpaceDN w:val="0"/>
        <w:adjustRightInd w:val="0"/>
        <w:ind w:left="720" w:firstLine="720"/>
      </w:pPr>
      <w:r w:rsidRPr="003B4BEF">
        <w:t>The final rule requires the member</w:t>
      </w:r>
      <w:r>
        <w:t xml:space="preserve"> </w:t>
      </w:r>
      <w:r w:rsidRPr="003B4BEF">
        <w:t>notice to include information about the</w:t>
      </w:r>
      <w:r>
        <w:t xml:space="preserve"> </w:t>
      </w:r>
      <w:r w:rsidRPr="003B4BEF">
        <w:t>NCUA website where merger</w:t>
      </w:r>
      <w:r>
        <w:t xml:space="preserve"> </w:t>
      </w:r>
      <w:r w:rsidRPr="003B4BEF">
        <w:t>information and member comments are</w:t>
      </w:r>
      <w:r>
        <w:t xml:space="preserve"> </w:t>
      </w:r>
      <w:r w:rsidRPr="003B4BEF">
        <w:t>posted, as well as the email and</w:t>
      </w:r>
      <w:r>
        <w:t xml:space="preserve"> </w:t>
      </w:r>
      <w:r w:rsidRPr="003B4BEF">
        <w:t>physical addresses where members may</w:t>
      </w:r>
      <w:r>
        <w:t xml:space="preserve"> </w:t>
      </w:r>
      <w:r w:rsidRPr="003B4BEF">
        <w:t>submit their comments for posting.</w:t>
      </w:r>
      <w:r>
        <w:t xml:space="preserve">  </w:t>
      </w:r>
      <w:r w:rsidRPr="003B4BEF">
        <w:t>Other regulators regularly provide</w:t>
      </w:r>
      <w:r>
        <w:t xml:space="preserve"> </w:t>
      </w:r>
      <w:r w:rsidRPr="003B4BEF">
        <w:t>similar information on their websites</w:t>
      </w:r>
      <w:r>
        <w:t xml:space="preserve"> </w:t>
      </w:r>
      <w:r w:rsidRPr="003B4BEF">
        <w:t>about pending transactions of regulated</w:t>
      </w:r>
      <w:r>
        <w:t xml:space="preserve"> </w:t>
      </w:r>
      <w:r w:rsidRPr="003B4BEF">
        <w:t>institutions.</w:t>
      </w:r>
      <w:r>
        <w:t xml:space="preserve"> </w:t>
      </w:r>
      <w:r w:rsidRPr="003B4BEF">
        <w:t xml:space="preserve"> The Office of the</w:t>
      </w:r>
      <w:r>
        <w:t xml:space="preserve"> </w:t>
      </w:r>
      <w:r w:rsidRPr="003B4BEF">
        <w:t>Comptroller of the Currency (OCC), for</w:t>
      </w:r>
      <w:r>
        <w:t xml:space="preserve"> </w:t>
      </w:r>
      <w:r w:rsidRPr="003B4BEF">
        <w:t>example, posts a weekly listing of all</w:t>
      </w:r>
      <w:r>
        <w:t xml:space="preserve"> </w:t>
      </w:r>
      <w:r w:rsidRPr="003B4BEF">
        <w:t>applications it has received and actions</w:t>
      </w:r>
      <w:r>
        <w:t xml:space="preserve"> </w:t>
      </w:r>
      <w:r w:rsidRPr="003B4BEF">
        <w:t>it has taken.</w:t>
      </w:r>
      <w:r>
        <w:t xml:space="preserve">  </w:t>
      </w:r>
      <w:r w:rsidRPr="003B4BEF">
        <w:t>The actual applications</w:t>
      </w:r>
      <w:r>
        <w:t xml:space="preserve"> </w:t>
      </w:r>
      <w:r w:rsidRPr="003B4BEF">
        <w:t>for transactions such as mergers, are</w:t>
      </w:r>
      <w:r>
        <w:t xml:space="preserve"> </w:t>
      </w:r>
      <w:r w:rsidRPr="003B4BEF">
        <w:t>also posted on the OCC’s website, along</w:t>
      </w:r>
      <w:r>
        <w:t xml:space="preserve"> </w:t>
      </w:r>
      <w:r w:rsidRPr="003B4BEF">
        <w:t>with a section for posting public</w:t>
      </w:r>
      <w:r>
        <w:t xml:space="preserve"> </w:t>
      </w:r>
      <w:r w:rsidRPr="003B4BEF">
        <w:t>comments.</w:t>
      </w:r>
    </w:p>
    <w:p w:rsidRPr="003B4BEF" w:rsidR="009E0837" w:rsidP="00B14E32" w:rsidRDefault="009E0837" w14:paraId="26D1D885" w14:textId="77777777">
      <w:pPr>
        <w:autoSpaceDE w:val="0"/>
        <w:autoSpaceDN w:val="0"/>
        <w:adjustRightInd w:val="0"/>
        <w:ind w:left="720" w:firstLine="720"/>
      </w:pPr>
      <w:r w:rsidRPr="003B4BEF">
        <w:t>The Board intends to establish a page</w:t>
      </w:r>
      <w:r>
        <w:t xml:space="preserve"> </w:t>
      </w:r>
      <w:r w:rsidRPr="003B4BEF">
        <w:t>on the NCUA’s website similar to the</w:t>
      </w:r>
      <w:r>
        <w:t xml:space="preserve"> </w:t>
      </w:r>
      <w:r w:rsidRPr="003B4BEF">
        <w:t>OCC’s, allowing credit union members</w:t>
      </w:r>
      <w:r>
        <w:t xml:space="preserve"> </w:t>
      </w:r>
      <w:r w:rsidRPr="003B4BEF">
        <w:t>and the public to view non-confidential</w:t>
      </w:r>
      <w:r>
        <w:t xml:space="preserve"> </w:t>
      </w:r>
      <w:r w:rsidRPr="003B4BEF">
        <w:t xml:space="preserve">portions of merger applications. </w:t>
      </w:r>
      <w:r>
        <w:t xml:space="preserve"> </w:t>
      </w:r>
      <w:r w:rsidRPr="003B4BEF">
        <w:t>The</w:t>
      </w:r>
      <w:r>
        <w:t xml:space="preserve"> </w:t>
      </w:r>
      <w:r w:rsidRPr="003B4BEF">
        <w:t>member notice will include a link to the</w:t>
      </w:r>
      <w:r>
        <w:t xml:space="preserve"> </w:t>
      </w:r>
      <w:r w:rsidRPr="003B4BEF">
        <w:t>website where the merger application</w:t>
      </w:r>
      <w:r>
        <w:t xml:space="preserve"> </w:t>
      </w:r>
      <w:r w:rsidRPr="003B4BEF">
        <w:t>and comments will be available, as well</w:t>
      </w:r>
      <w:r>
        <w:t xml:space="preserve"> </w:t>
      </w:r>
      <w:r w:rsidRPr="003B4BEF">
        <w:t>as information about how to submit a</w:t>
      </w:r>
      <w:r>
        <w:t xml:space="preserve"> </w:t>
      </w:r>
      <w:r w:rsidRPr="003B4BEF">
        <w:t xml:space="preserve">comment. </w:t>
      </w:r>
      <w:r>
        <w:t xml:space="preserve"> </w:t>
      </w:r>
      <w:r w:rsidRPr="003B4BEF">
        <w:t>Because the purpose of the</w:t>
      </w:r>
      <w:r>
        <w:t xml:space="preserve"> </w:t>
      </w:r>
      <w:r w:rsidRPr="003B4BEF">
        <w:t>website is to encourage dialogue</w:t>
      </w:r>
      <w:r>
        <w:t xml:space="preserve"> </w:t>
      </w:r>
      <w:r w:rsidRPr="003B4BEF">
        <w:t>between credit union members, the</w:t>
      </w:r>
      <w:r>
        <w:t xml:space="preserve"> </w:t>
      </w:r>
      <w:r w:rsidRPr="003B4BEF">
        <w:t>NCUA will post comments only from</w:t>
      </w:r>
      <w:r>
        <w:t xml:space="preserve"> </w:t>
      </w:r>
      <w:r w:rsidRPr="003B4BEF">
        <w:t>credit union members, as well as any</w:t>
      </w:r>
      <w:r>
        <w:t xml:space="preserve"> </w:t>
      </w:r>
      <w:r w:rsidRPr="003B4BEF">
        <w:t>responses from credit union</w:t>
      </w:r>
      <w:r>
        <w:t xml:space="preserve"> </w:t>
      </w:r>
      <w:r w:rsidRPr="003B4BEF">
        <w:t>management.</w:t>
      </w:r>
      <w:r>
        <w:t xml:space="preserve"> </w:t>
      </w:r>
      <w:r w:rsidRPr="003B4BEF">
        <w:t xml:space="preserve"> Members must include</w:t>
      </w:r>
      <w:r>
        <w:t xml:space="preserve"> </w:t>
      </w:r>
      <w:r w:rsidRPr="003B4BEF">
        <w:t>their name and their city and state of</w:t>
      </w:r>
      <w:r>
        <w:t xml:space="preserve"> </w:t>
      </w:r>
      <w:r w:rsidRPr="003B4BEF">
        <w:t>residence, at a minimum, or their</w:t>
      </w:r>
      <w:r>
        <w:t xml:space="preserve"> </w:t>
      </w:r>
      <w:r w:rsidRPr="003B4BEF">
        <w:t xml:space="preserve">comment will not be posted. </w:t>
      </w:r>
      <w:r>
        <w:t xml:space="preserve"> </w:t>
      </w:r>
      <w:r w:rsidRPr="003B4BEF">
        <w:t>The NCUA</w:t>
      </w:r>
      <w:r>
        <w:t xml:space="preserve"> </w:t>
      </w:r>
      <w:r w:rsidRPr="003B4BEF">
        <w:t>will review comments before posting to</w:t>
      </w:r>
      <w:r>
        <w:t xml:space="preserve"> </w:t>
      </w:r>
      <w:r w:rsidRPr="003B4BEF">
        <w:t>ensure that the comments are</w:t>
      </w:r>
      <w:r>
        <w:t xml:space="preserve"> </w:t>
      </w:r>
      <w:r w:rsidRPr="003B4BEF">
        <w:t>appropriate and limited to the topic of</w:t>
      </w:r>
      <w:r>
        <w:t xml:space="preserve"> </w:t>
      </w:r>
      <w:r w:rsidRPr="003B4BEF">
        <w:t>the proposed merger.</w:t>
      </w:r>
    </w:p>
    <w:p w:rsidRPr="003B4BEF" w:rsidR="009E0837" w:rsidP="00B14E32" w:rsidRDefault="009E0837" w14:paraId="5FD273A3" w14:textId="77777777">
      <w:pPr>
        <w:autoSpaceDE w:val="0"/>
        <w:autoSpaceDN w:val="0"/>
        <w:adjustRightInd w:val="0"/>
        <w:ind w:left="720" w:firstLine="720"/>
      </w:pPr>
      <w:r w:rsidRPr="003B4BEF">
        <w:t>For the reasons above, the merger</w:t>
      </w:r>
      <w:r>
        <w:t xml:space="preserve"> </w:t>
      </w:r>
      <w:r w:rsidRPr="003B4BEF">
        <w:t>applications website replaces the MTM</w:t>
      </w:r>
      <w:r>
        <w:t xml:space="preserve"> </w:t>
      </w:r>
      <w:r w:rsidRPr="003B4BEF">
        <w:t>communication provisions of the</w:t>
      </w:r>
      <w:r>
        <w:t xml:space="preserve"> </w:t>
      </w:r>
      <w:r w:rsidRPr="003B4BEF">
        <w:t>proposed rule.</w:t>
      </w:r>
      <w:r>
        <w:t xml:space="preserve"> </w:t>
      </w:r>
      <w:r w:rsidRPr="003B4BEF">
        <w:t xml:space="preserve"> </w:t>
      </w:r>
    </w:p>
    <w:p w:rsidRPr="00753B95" w:rsidR="00DF2C1A" w:rsidP="00B536A7" w:rsidRDefault="00DF2C1A" w14:paraId="071B4A5F" w14:textId="77777777">
      <w:pPr>
        <w:ind w:left="720" w:hanging="720"/>
      </w:pPr>
    </w:p>
    <w:p w:rsidR="00B14E32" w:rsidRDefault="00B14E32" w14:paraId="0AD65079" w14:textId="77777777">
      <w:pPr>
        <w:rPr>
          <w:b/>
        </w:rPr>
      </w:pPr>
      <w:r>
        <w:rPr>
          <w:b/>
        </w:rPr>
        <w:br w:type="page"/>
      </w:r>
    </w:p>
    <w:p w:rsidRPr="00753B95" w:rsidR="00D05C04" w:rsidP="00B536A7" w:rsidRDefault="00D05C04" w14:paraId="3D00C04E" w14:textId="067D2A8E">
      <w:pPr>
        <w:ind w:left="720" w:hanging="720"/>
        <w:rPr>
          <w:b/>
        </w:rPr>
      </w:pPr>
      <w:r w:rsidRPr="00753B95">
        <w:rPr>
          <w:b/>
        </w:rPr>
        <w:lastRenderedPageBreak/>
        <w:t>9.</w:t>
      </w:r>
      <w:r w:rsidR="00B536A7">
        <w:rPr>
          <w:b/>
        </w:rPr>
        <w:tab/>
        <w:t>Payment or g</w:t>
      </w:r>
      <w:r w:rsidR="00027E19">
        <w:rPr>
          <w:b/>
        </w:rPr>
        <w:t>ift</w:t>
      </w:r>
      <w:r w:rsidR="00B536A7">
        <w:rPr>
          <w:b/>
        </w:rPr>
        <w:t>s to r</w:t>
      </w:r>
      <w:r w:rsidRPr="00753B95">
        <w:rPr>
          <w:b/>
        </w:rPr>
        <w:t>espondents</w:t>
      </w:r>
      <w:r w:rsidR="00B536A7">
        <w:rPr>
          <w:b/>
        </w:rPr>
        <w:t>.</w:t>
      </w:r>
    </w:p>
    <w:p w:rsidRPr="00753B95" w:rsidR="0088606D" w:rsidP="00B536A7" w:rsidRDefault="0088606D" w14:paraId="60DE471A" w14:textId="77777777">
      <w:pPr>
        <w:ind w:left="720" w:hanging="720"/>
      </w:pPr>
    </w:p>
    <w:p w:rsidRPr="00753B95" w:rsidR="00D05C04" w:rsidP="00B536A7" w:rsidRDefault="00027E19" w14:paraId="4A5A9752" w14:textId="77777777">
      <w:pPr>
        <w:ind w:left="720" w:hanging="720"/>
      </w:pPr>
      <w:r>
        <w:tab/>
      </w:r>
      <w:r w:rsidR="002E4F2B">
        <w:t xml:space="preserve">No </w:t>
      </w:r>
      <w:r w:rsidRPr="00753B95" w:rsidR="001D3C24">
        <w:t>payment or gift to respondents</w:t>
      </w:r>
      <w:r w:rsidR="002E4F2B">
        <w:t xml:space="preserve"> are made</w:t>
      </w:r>
    </w:p>
    <w:p w:rsidRPr="00753B95" w:rsidR="00D05C04" w:rsidP="00B536A7" w:rsidRDefault="00D05C04" w14:paraId="106C0DB1" w14:textId="77777777">
      <w:pPr>
        <w:ind w:left="720" w:hanging="720"/>
      </w:pPr>
    </w:p>
    <w:p w:rsidRPr="00753B95" w:rsidR="00D05C04" w:rsidP="00B536A7" w:rsidRDefault="00D05C04" w14:paraId="1C55FE2B" w14:textId="361358B1">
      <w:pPr>
        <w:ind w:left="720" w:hanging="720"/>
        <w:rPr>
          <w:b/>
        </w:rPr>
      </w:pPr>
      <w:r w:rsidRPr="00753B95">
        <w:rPr>
          <w:b/>
        </w:rPr>
        <w:t>10.</w:t>
      </w:r>
      <w:r w:rsidR="00B536A7">
        <w:rPr>
          <w:b/>
        </w:rPr>
        <w:tab/>
        <w:t>Assurance of c</w:t>
      </w:r>
      <w:r w:rsidR="00027E19">
        <w:rPr>
          <w:b/>
        </w:rPr>
        <w:t>onfidentiality</w:t>
      </w:r>
      <w:r w:rsidR="00B536A7">
        <w:rPr>
          <w:b/>
        </w:rPr>
        <w:t>.</w:t>
      </w:r>
      <w:r w:rsidRPr="00753B95">
        <w:rPr>
          <w:b/>
        </w:rPr>
        <w:t xml:space="preserve"> </w:t>
      </w:r>
    </w:p>
    <w:p w:rsidRPr="00753B95" w:rsidR="00D05C04" w:rsidP="00B536A7" w:rsidRDefault="00D05C04" w14:paraId="2A047A4F" w14:textId="77777777">
      <w:pPr>
        <w:ind w:left="720" w:hanging="720"/>
      </w:pPr>
    </w:p>
    <w:p w:rsidRPr="00753B95" w:rsidR="0098332B" w:rsidP="00B536A7" w:rsidRDefault="00027E19" w14:paraId="08D4F581" w14:textId="05FAC8E8">
      <w:pPr>
        <w:ind w:left="720" w:hanging="720"/>
      </w:pPr>
      <w:r>
        <w:tab/>
      </w:r>
      <w:r w:rsidRPr="000574EB" w:rsidR="001A1AC3">
        <w:t>Converting credit unions and merging credit unions must identify themselves to NCUA per federal statute.  NCUA does not reveal any information in a credit union’s conversion or merger materials unless required under the Freedom of Information Act.</w:t>
      </w:r>
    </w:p>
    <w:p w:rsidRPr="00753B95" w:rsidR="00D05C04" w:rsidP="00B536A7" w:rsidRDefault="00D05C04" w14:paraId="6CDB104E" w14:textId="77777777">
      <w:pPr>
        <w:ind w:left="720" w:hanging="720"/>
      </w:pPr>
    </w:p>
    <w:p w:rsidRPr="00753B95" w:rsidR="00D05C04" w:rsidP="00B536A7" w:rsidRDefault="00D05C04" w14:paraId="2B0D7440" w14:textId="2A19E628">
      <w:pPr>
        <w:ind w:left="720" w:hanging="720"/>
        <w:rPr>
          <w:b/>
        </w:rPr>
      </w:pPr>
      <w:r w:rsidRPr="00753B95">
        <w:rPr>
          <w:b/>
        </w:rPr>
        <w:t>11.</w:t>
      </w:r>
      <w:r w:rsidR="00027E19">
        <w:rPr>
          <w:b/>
        </w:rPr>
        <w:tab/>
        <w:t>Q</w:t>
      </w:r>
      <w:r w:rsidRPr="00753B95">
        <w:rPr>
          <w:b/>
        </w:rPr>
        <w:t>uestion</w:t>
      </w:r>
      <w:r w:rsidR="00B536A7">
        <w:rPr>
          <w:b/>
        </w:rPr>
        <w:t>s of a sensitive n</w:t>
      </w:r>
      <w:r w:rsidRPr="00753B95">
        <w:rPr>
          <w:b/>
        </w:rPr>
        <w:t>ature</w:t>
      </w:r>
      <w:r w:rsidR="00B536A7">
        <w:rPr>
          <w:b/>
        </w:rPr>
        <w:t>.</w:t>
      </w:r>
    </w:p>
    <w:p w:rsidRPr="00753B95" w:rsidR="00D05C04" w:rsidP="00B536A7" w:rsidRDefault="00D05C04" w14:paraId="3E319517" w14:textId="77777777">
      <w:pPr>
        <w:ind w:left="720" w:hanging="720"/>
      </w:pPr>
    </w:p>
    <w:p w:rsidRPr="00753B95" w:rsidR="00D05C04" w:rsidP="00B536A7" w:rsidRDefault="00027E19" w14:paraId="0F316508" w14:textId="77777777">
      <w:pPr>
        <w:ind w:left="720" w:hanging="720"/>
      </w:pPr>
      <w:r>
        <w:tab/>
      </w:r>
      <w:r w:rsidR="002E4F2B">
        <w:t>No personally identifiable information (PII) is collected.</w:t>
      </w:r>
    </w:p>
    <w:p w:rsidRPr="00753B95" w:rsidR="00D05C04" w:rsidP="00B536A7" w:rsidRDefault="00D05C04" w14:paraId="74FD96EE" w14:textId="77777777">
      <w:pPr>
        <w:ind w:left="720" w:hanging="720"/>
      </w:pPr>
    </w:p>
    <w:p w:rsidR="00027E19" w:rsidP="00B536A7" w:rsidRDefault="00D05C04" w14:paraId="3F941D0D" w14:textId="6D53C1E2">
      <w:pPr>
        <w:ind w:left="720" w:hanging="720"/>
        <w:rPr>
          <w:b/>
        </w:rPr>
      </w:pPr>
      <w:r w:rsidRPr="00753B95">
        <w:rPr>
          <w:b/>
        </w:rPr>
        <w:t>12.</w:t>
      </w:r>
      <w:r w:rsidR="00027E19">
        <w:rPr>
          <w:b/>
        </w:rPr>
        <w:tab/>
      </w:r>
      <w:r w:rsidR="00B536A7">
        <w:rPr>
          <w:b/>
        </w:rPr>
        <w:t>Burden of information c</w:t>
      </w:r>
      <w:r w:rsidR="00027E19">
        <w:rPr>
          <w:b/>
        </w:rPr>
        <w:t>ollection</w:t>
      </w:r>
      <w:r w:rsidR="00B536A7">
        <w:rPr>
          <w:b/>
        </w:rPr>
        <w:t>.</w:t>
      </w:r>
    </w:p>
    <w:p w:rsidRPr="00753B95" w:rsidR="00A236DE" w:rsidP="00B536A7" w:rsidRDefault="00A236DE" w14:paraId="302B477A" w14:textId="77777777">
      <w:pPr>
        <w:ind w:left="720" w:hanging="720"/>
      </w:pPr>
    </w:p>
    <w:p w:rsidRPr="00753B95" w:rsidR="00940951" w:rsidP="00B536A7" w:rsidRDefault="00886566" w14:paraId="0761DF4D" w14:textId="50941B13">
      <w:pPr>
        <w:ind w:left="720" w:hanging="720"/>
      </w:pPr>
      <w:r>
        <w:tab/>
      </w:r>
      <w:r w:rsidRPr="00753B95" w:rsidR="00940951">
        <w:t xml:space="preserve">The </w:t>
      </w:r>
      <w:r w:rsidRPr="00753B95" w:rsidR="00650EA0">
        <w:t xml:space="preserve">categories of burden for credit unions complying with Part 708b </w:t>
      </w:r>
      <w:r w:rsidRPr="00753B95" w:rsidR="0004169B">
        <w:t xml:space="preserve">may </w:t>
      </w:r>
      <w:r w:rsidRPr="00753B95" w:rsidR="00650EA0">
        <w:t>include</w:t>
      </w:r>
      <w:r w:rsidRPr="00753B95" w:rsidR="00940951">
        <w:t xml:space="preserve"> the following:</w:t>
      </w:r>
    </w:p>
    <w:p w:rsidRPr="00753B95" w:rsidR="009739E0" w:rsidP="00B536A7" w:rsidRDefault="009739E0" w14:paraId="50C0477E" w14:textId="77777777">
      <w:pPr>
        <w:ind w:left="720" w:hanging="720"/>
      </w:pPr>
    </w:p>
    <w:p w:rsidRPr="00753B95" w:rsidR="00940951" w:rsidP="00B14E32" w:rsidRDefault="00940951" w14:paraId="5516C8FB" w14:textId="538A4D69">
      <w:pPr>
        <w:pStyle w:val="NoSpacing"/>
        <w:ind w:left="720"/>
      </w:pPr>
      <w:r w:rsidRPr="00753B95">
        <w:rPr>
          <w:b/>
          <w:u w:val="single"/>
        </w:rPr>
        <w:t>Mergers</w:t>
      </w:r>
      <w:r w:rsidRPr="00B14E32" w:rsidR="00B14E32">
        <w:rPr>
          <w:b/>
        </w:rPr>
        <w:t>:</w:t>
      </w:r>
      <w:r w:rsidR="00B14E32">
        <w:rPr>
          <w:b/>
        </w:rPr>
        <w:t xml:space="preserve"> </w:t>
      </w:r>
      <w:r w:rsidRPr="00B14E32" w:rsidR="00B14E32">
        <w:rPr>
          <w:b/>
        </w:rPr>
        <w:t xml:space="preserve"> </w:t>
      </w:r>
      <w:r w:rsidRPr="00753B95">
        <w:t>Each year, there are approximately 2</w:t>
      </w:r>
      <w:r w:rsidR="0084030C">
        <w:t>1</w:t>
      </w:r>
      <w:r w:rsidRPr="00753B95">
        <w:t>4 mergers involving one or more</w:t>
      </w:r>
      <w:r w:rsidR="00B87625">
        <w:t xml:space="preserve"> federally-insured credit union</w:t>
      </w:r>
      <w:r w:rsidR="00005ABC">
        <w:t>s</w:t>
      </w:r>
      <w:r w:rsidRPr="00753B95">
        <w:t>.  NCUA estimates it will take the two merging credit unions approximately 35 hours between them to</w:t>
      </w:r>
      <w:r w:rsidR="00196BDF">
        <w:t>:</w:t>
      </w:r>
    </w:p>
    <w:p w:rsidR="00B14E32" w:rsidP="00B536A7" w:rsidRDefault="00B14E32" w14:paraId="6B4F1D37" w14:textId="77777777">
      <w:pPr>
        <w:pStyle w:val="NoSpacing"/>
        <w:ind w:left="720" w:hanging="720"/>
        <w:sectPr w:rsidR="00B14E32" w:rsidSect="00B14E32">
          <w:footerReference w:type="default" r:id="rId8"/>
          <w:pgSz w:w="12240" w:h="15840"/>
          <w:pgMar w:top="1440" w:right="1440" w:bottom="1440" w:left="1440" w:header="720" w:footer="720" w:gutter="0"/>
          <w:cols w:space="720"/>
          <w:docGrid w:linePitch="360"/>
        </w:sectPr>
      </w:pPr>
    </w:p>
    <w:p w:rsidR="00940951" w:rsidP="00B536A7" w:rsidRDefault="00940951" w14:paraId="66292637" w14:textId="12FF6840">
      <w:pPr>
        <w:pStyle w:val="NoSpacing"/>
        <w:ind w:left="720" w:hanging="720"/>
      </w:pPr>
    </w:p>
    <w:tbl>
      <w:tblPr>
        <w:tblW w:w="10985" w:type="dxa"/>
        <w:tblInd w:w="-185" w:type="dxa"/>
        <w:tblLook w:val="04A0" w:firstRow="1" w:lastRow="0" w:firstColumn="1" w:lastColumn="0" w:noHBand="0" w:noVBand="1"/>
      </w:tblPr>
      <w:tblGrid>
        <w:gridCol w:w="1260"/>
        <w:gridCol w:w="3420"/>
        <w:gridCol w:w="990"/>
        <w:gridCol w:w="990"/>
        <w:gridCol w:w="1080"/>
        <w:gridCol w:w="1080"/>
        <w:gridCol w:w="990"/>
        <w:gridCol w:w="1175"/>
      </w:tblGrid>
      <w:tr w:rsidR="00B14E32" w:rsidTr="00B14E32" w14:paraId="3F4E9406" w14:textId="77777777">
        <w:trPr>
          <w:trHeight w:val="300"/>
        </w:trPr>
        <w:tc>
          <w:tcPr>
            <w:tcW w:w="10985" w:type="dxa"/>
            <w:gridSpan w:val="8"/>
            <w:tcBorders>
              <w:top w:val="single" w:color="auto" w:sz="4" w:space="0"/>
              <w:left w:val="single" w:color="auto" w:sz="4" w:space="0"/>
              <w:bottom w:val="single" w:color="auto" w:sz="4" w:space="0"/>
              <w:right w:val="single" w:color="000000" w:sz="4" w:space="0"/>
            </w:tcBorders>
            <w:shd w:val="clear" w:color="000000" w:fill="D9D9D9"/>
            <w:noWrap/>
            <w:vAlign w:val="center"/>
            <w:hideMark/>
          </w:tcPr>
          <w:p w:rsidRPr="00B14E32" w:rsidR="00B14E32" w:rsidRDefault="00B14E32" w14:paraId="6BB2A41B" w14:textId="77777777">
            <w:pPr>
              <w:jc w:val="center"/>
              <w:rPr>
                <w:rFonts w:ascii="Arial Rounded MT Bold" w:hAnsi="Arial Rounded MT Bold" w:cs="Calibri"/>
                <w:color w:val="000000"/>
                <w:sz w:val="20"/>
                <w:szCs w:val="20"/>
              </w:rPr>
            </w:pPr>
            <w:r w:rsidRPr="00B14E32">
              <w:rPr>
                <w:rFonts w:ascii="Arial Rounded MT Bold" w:hAnsi="Arial Rounded MT Bold" w:cs="Calibri"/>
                <w:color w:val="000000"/>
                <w:sz w:val="20"/>
                <w:szCs w:val="20"/>
              </w:rPr>
              <w:t>Mergers</w:t>
            </w:r>
          </w:p>
        </w:tc>
      </w:tr>
      <w:tr w:rsidR="00B14E32" w:rsidTr="00B14E32" w14:paraId="0654D02C" w14:textId="77777777">
        <w:trPr>
          <w:trHeight w:val="555"/>
        </w:trPr>
        <w:tc>
          <w:tcPr>
            <w:tcW w:w="1260" w:type="dxa"/>
            <w:tcBorders>
              <w:top w:val="nil"/>
              <w:left w:val="single" w:color="auto" w:sz="4" w:space="0"/>
              <w:bottom w:val="single" w:color="auto" w:sz="4" w:space="0"/>
              <w:right w:val="single" w:color="auto" w:sz="4" w:space="0"/>
            </w:tcBorders>
            <w:shd w:val="clear" w:color="000000" w:fill="DDEBF7"/>
            <w:vAlign w:val="center"/>
            <w:hideMark/>
          </w:tcPr>
          <w:p w:rsidRPr="00B14E32" w:rsidR="00B14E32" w:rsidRDefault="00B14E32" w14:paraId="44917987" w14:textId="77777777">
            <w:pPr>
              <w:jc w:val="center"/>
              <w:rPr>
                <w:rFonts w:ascii="Arial Narrow" w:hAnsi="Arial Narrow" w:cs="Calibri"/>
                <w:color w:val="000000"/>
                <w:sz w:val="16"/>
                <w:szCs w:val="16"/>
              </w:rPr>
            </w:pPr>
            <w:r w:rsidRPr="00B14E32">
              <w:rPr>
                <w:rFonts w:ascii="Arial Narrow" w:hAnsi="Arial Narrow" w:cs="Calibri"/>
                <w:color w:val="000000"/>
                <w:sz w:val="16"/>
                <w:szCs w:val="16"/>
              </w:rPr>
              <w:t>12 CFR</w:t>
            </w:r>
          </w:p>
        </w:tc>
        <w:tc>
          <w:tcPr>
            <w:tcW w:w="3420" w:type="dxa"/>
            <w:tcBorders>
              <w:top w:val="nil"/>
              <w:left w:val="nil"/>
              <w:bottom w:val="single" w:color="auto" w:sz="4" w:space="0"/>
              <w:right w:val="single" w:color="auto" w:sz="4" w:space="0"/>
            </w:tcBorders>
            <w:shd w:val="clear" w:color="000000" w:fill="DDEBF7"/>
            <w:vAlign w:val="center"/>
            <w:hideMark/>
          </w:tcPr>
          <w:p w:rsidRPr="00B14E32" w:rsidR="00B14E32" w:rsidRDefault="00B14E32" w14:paraId="1BF01799" w14:textId="77777777">
            <w:pPr>
              <w:jc w:val="center"/>
              <w:rPr>
                <w:rFonts w:ascii="Arial Narrow" w:hAnsi="Arial Narrow" w:cs="Calibri"/>
                <w:color w:val="000000"/>
                <w:sz w:val="16"/>
                <w:szCs w:val="16"/>
              </w:rPr>
            </w:pPr>
            <w:r w:rsidRPr="00B14E32">
              <w:rPr>
                <w:rFonts w:ascii="Arial Narrow" w:hAnsi="Arial Narrow" w:cs="Calibri"/>
                <w:color w:val="000000"/>
                <w:sz w:val="16"/>
                <w:szCs w:val="16"/>
              </w:rPr>
              <w:t>Information Collection</w:t>
            </w:r>
          </w:p>
        </w:tc>
        <w:tc>
          <w:tcPr>
            <w:tcW w:w="990" w:type="dxa"/>
            <w:tcBorders>
              <w:top w:val="nil"/>
              <w:left w:val="nil"/>
              <w:bottom w:val="single" w:color="auto" w:sz="4" w:space="0"/>
              <w:right w:val="nil"/>
            </w:tcBorders>
            <w:shd w:val="clear" w:color="000000" w:fill="DDEBF7"/>
            <w:vAlign w:val="center"/>
            <w:hideMark/>
          </w:tcPr>
          <w:p w:rsidRPr="00B14E32" w:rsidR="00B14E32" w:rsidRDefault="00B14E32" w14:paraId="64C5FD1B" w14:textId="77777777">
            <w:pPr>
              <w:jc w:val="center"/>
              <w:rPr>
                <w:rFonts w:ascii="Arial Narrow" w:hAnsi="Arial Narrow" w:cs="Calibri"/>
                <w:color w:val="000000"/>
                <w:sz w:val="16"/>
                <w:szCs w:val="16"/>
              </w:rPr>
            </w:pPr>
            <w:r w:rsidRPr="00B14E32">
              <w:rPr>
                <w:rFonts w:ascii="Arial Narrow" w:hAnsi="Arial Narrow" w:cs="Calibri"/>
                <w:color w:val="000000"/>
                <w:sz w:val="16"/>
                <w:szCs w:val="16"/>
              </w:rPr>
              <w:t>Burden Type</w:t>
            </w:r>
          </w:p>
        </w:tc>
        <w:tc>
          <w:tcPr>
            <w:tcW w:w="990" w:type="dxa"/>
            <w:tcBorders>
              <w:top w:val="nil"/>
              <w:left w:val="single" w:color="auto" w:sz="4" w:space="0"/>
              <w:bottom w:val="single" w:color="auto" w:sz="4" w:space="0"/>
              <w:right w:val="nil"/>
            </w:tcBorders>
            <w:shd w:val="clear" w:color="000000" w:fill="DDEBF7"/>
            <w:vAlign w:val="center"/>
            <w:hideMark/>
          </w:tcPr>
          <w:p w:rsidRPr="00B14E32" w:rsidR="00B14E32" w:rsidRDefault="00B14E32" w14:paraId="1A8BDB50" w14:textId="784B0F8F">
            <w:pPr>
              <w:jc w:val="center"/>
              <w:rPr>
                <w:rFonts w:ascii="Arial Narrow" w:hAnsi="Arial Narrow" w:cs="Calibri"/>
                <w:color w:val="000000"/>
                <w:sz w:val="16"/>
                <w:szCs w:val="16"/>
              </w:rPr>
            </w:pPr>
            <w:r w:rsidRPr="00B14E32">
              <w:rPr>
                <w:rFonts w:ascii="Arial Narrow" w:hAnsi="Arial Narrow" w:cs="Calibri"/>
                <w:color w:val="000000"/>
                <w:sz w:val="16"/>
                <w:szCs w:val="16"/>
              </w:rPr>
              <w:t># Annual Respondents</w:t>
            </w:r>
          </w:p>
        </w:tc>
        <w:tc>
          <w:tcPr>
            <w:tcW w:w="1080" w:type="dxa"/>
            <w:tcBorders>
              <w:top w:val="nil"/>
              <w:left w:val="single" w:color="auto" w:sz="4" w:space="0"/>
              <w:bottom w:val="single" w:color="auto" w:sz="4" w:space="0"/>
              <w:right w:val="nil"/>
            </w:tcBorders>
            <w:shd w:val="clear" w:color="000000" w:fill="DDEBF7"/>
            <w:vAlign w:val="center"/>
            <w:hideMark/>
          </w:tcPr>
          <w:p w:rsidRPr="00B14E32" w:rsidR="00B14E32" w:rsidRDefault="00B14E32" w14:paraId="02695220" w14:textId="77777777">
            <w:pPr>
              <w:jc w:val="center"/>
              <w:rPr>
                <w:rFonts w:ascii="Arial Narrow" w:hAnsi="Arial Narrow" w:cs="Calibri"/>
                <w:color w:val="000000"/>
                <w:sz w:val="16"/>
                <w:szCs w:val="16"/>
              </w:rPr>
            </w:pPr>
            <w:r w:rsidRPr="00B14E32">
              <w:rPr>
                <w:rFonts w:ascii="Arial Narrow" w:hAnsi="Arial Narrow" w:cs="Calibri"/>
                <w:color w:val="000000"/>
                <w:sz w:val="16"/>
                <w:szCs w:val="16"/>
              </w:rPr>
              <w:t># Responses per Respondent</w:t>
            </w:r>
          </w:p>
        </w:tc>
        <w:tc>
          <w:tcPr>
            <w:tcW w:w="1080" w:type="dxa"/>
            <w:tcBorders>
              <w:top w:val="nil"/>
              <w:left w:val="single" w:color="auto" w:sz="4" w:space="0"/>
              <w:bottom w:val="single" w:color="auto" w:sz="4" w:space="0"/>
              <w:right w:val="nil"/>
            </w:tcBorders>
            <w:shd w:val="clear" w:color="000000" w:fill="DDEBF7"/>
            <w:vAlign w:val="center"/>
            <w:hideMark/>
          </w:tcPr>
          <w:p w:rsidRPr="00B14E32" w:rsidR="00B14E32" w:rsidRDefault="00B14E32" w14:paraId="1D8042BC" w14:textId="77777777">
            <w:pPr>
              <w:jc w:val="center"/>
              <w:rPr>
                <w:rFonts w:ascii="Arial Narrow" w:hAnsi="Arial Narrow" w:cs="Calibri"/>
                <w:color w:val="000000"/>
                <w:sz w:val="16"/>
                <w:szCs w:val="16"/>
              </w:rPr>
            </w:pPr>
            <w:r w:rsidRPr="00B14E32">
              <w:rPr>
                <w:rFonts w:ascii="Arial Narrow" w:hAnsi="Arial Narrow" w:cs="Calibri"/>
                <w:color w:val="000000"/>
                <w:sz w:val="16"/>
                <w:szCs w:val="16"/>
              </w:rPr>
              <w:t>Annual # Responses</w:t>
            </w:r>
          </w:p>
        </w:tc>
        <w:tc>
          <w:tcPr>
            <w:tcW w:w="990" w:type="dxa"/>
            <w:tcBorders>
              <w:top w:val="nil"/>
              <w:left w:val="single" w:color="auto" w:sz="4" w:space="0"/>
              <w:bottom w:val="single" w:color="auto" w:sz="4" w:space="0"/>
              <w:right w:val="nil"/>
            </w:tcBorders>
            <w:shd w:val="clear" w:color="000000" w:fill="DDEBF7"/>
            <w:vAlign w:val="center"/>
            <w:hideMark/>
          </w:tcPr>
          <w:p w:rsidR="00B14E32" w:rsidRDefault="00B14E32" w14:paraId="5C8CE71C" w14:textId="77777777">
            <w:pPr>
              <w:jc w:val="center"/>
              <w:rPr>
                <w:rFonts w:ascii="Arial Narrow" w:hAnsi="Arial Narrow" w:cs="Calibri"/>
                <w:color w:val="000000"/>
                <w:sz w:val="18"/>
                <w:szCs w:val="18"/>
              </w:rPr>
            </w:pPr>
            <w:r>
              <w:rPr>
                <w:rFonts w:ascii="Arial Narrow" w:hAnsi="Arial Narrow" w:cs="Calibri"/>
                <w:color w:val="000000"/>
                <w:sz w:val="18"/>
                <w:szCs w:val="18"/>
              </w:rPr>
              <w:t>Hours per Response</w:t>
            </w:r>
          </w:p>
        </w:tc>
        <w:tc>
          <w:tcPr>
            <w:tcW w:w="1175" w:type="dxa"/>
            <w:tcBorders>
              <w:top w:val="nil"/>
              <w:left w:val="single" w:color="auto" w:sz="4" w:space="0"/>
              <w:bottom w:val="single" w:color="auto" w:sz="4" w:space="0"/>
              <w:right w:val="single" w:color="auto" w:sz="4" w:space="0"/>
            </w:tcBorders>
            <w:shd w:val="clear" w:color="000000" w:fill="DDEBF7"/>
            <w:vAlign w:val="center"/>
            <w:hideMark/>
          </w:tcPr>
          <w:p w:rsidR="00B14E32" w:rsidRDefault="00B14E32" w14:paraId="248B1296" w14:textId="77777777">
            <w:pPr>
              <w:jc w:val="center"/>
              <w:rPr>
                <w:rFonts w:ascii="Arial Narrow" w:hAnsi="Arial Narrow" w:cs="Calibri"/>
                <w:color w:val="000000"/>
                <w:sz w:val="18"/>
                <w:szCs w:val="18"/>
              </w:rPr>
            </w:pPr>
            <w:r>
              <w:rPr>
                <w:rFonts w:ascii="Arial Narrow" w:hAnsi="Arial Narrow" w:cs="Calibri"/>
                <w:color w:val="000000"/>
                <w:sz w:val="18"/>
                <w:szCs w:val="18"/>
              </w:rPr>
              <w:t>Total Annual Burden Hours</w:t>
            </w:r>
          </w:p>
        </w:tc>
      </w:tr>
      <w:tr w:rsidR="00B14E32" w:rsidTr="00B14E32" w14:paraId="6DFEB69A" w14:textId="77777777">
        <w:trPr>
          <w:trHeight w:val="30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B14E32" w:rsidR="00B14E32" w:rsidRDefault="00B14E32" w14:paraId="7EC2ECFD" w14:textId="77777777">
            <w:pPr>
              <w:rPr>
                <w:rFonts w:ascii="Arial" w:hAnsi="Arial" w:cs="Arial"/>
                <w:color w:val="000000"/>
                <w:sz w:val="18"/>
                <w:szCs w:val="18"/>
              </w:rPr>
            </w:pPr>
            <w:r w:rsidRPr="00B14E32">
              <w:rPr>
                <w:rFonts w:ascii="Arial" w:hAnsi="Arial" w:cs="Arial"/>
                <w:color w:val="000000"/>
                <w:sz w:val="18"/>
                <w:szCs w:val="18"/>
              </w:rPr>
              <w:t>708b.103</w:t>
            </w:r>
          </w:p>
        </w:tc>
        <w:tc>
          <w:tcPr>
            <w:tcW w:w="3420" w:type="dxa"/>
            <w:tcBorders>
              <w:top w:val="nil"/>
              <w:left w:val="nil"/>
              <w:bottom w:val="single" w:color="auto" w:sz="4" w:space="0"/>
              <w:right w:val="single" w:color="auto" w:sz="4" w:space="0"/>
            </w:tcBorders>
            <w:shd w:val="clear" w:color="auto" w:fill="auto"/>
            <w:vAlign w:val="center"/>
            <w:hideMark/>
          </w:tcPr>
          <w:p w:rsidRPr="00B14E32" w:rsidR="00B14E32" w:rsidRDefault="00B14E32" w14:paraId="170AB148" w14:textId="77777777">
            <w:pPr>
              <w:rPr>
                <w:rFonts w:ascii="Arial" w:hAnsi="Arial" w:cs="Arial"/>
                <w:color w:val="000000"/>
                <w:sz w:val="18"/>
                <w:szCs w:val="18"/>
              </w:rPr>
            </w:pPr>
            <w:r w:rsidRPr="00B14E32">
              <w:rPr>
                <w:rFonts w:ascii="Arial" w:hAnsi="Arial" w:cs="Arial"/>
                <w:color w:val="000000"/>
                <w:sz w:val="18"/>
                <w:szCs w:val="18"/>
              </w:rPr>
              <w:t>Prepare the required merger documents</w:t>
            </w:r>
          </w:p>
        </w:tc>
        <w:tc>
          <w:tcPr>
            <w:tcW w:w="990" w:type="dxa"/>
            <w:tcBorders>
              <w:top w:val="nil"/>
              <w:left w:val="nil"/>
              <w:bottom w:val="single" w:color="auto" w:sz="4" w:space="0"/>
              <w:right w:val="nil"/>
            </w:tcBorders>
            <w:shd w:val="clear" w:color="auto" w:fill="auto"/>
            <w:vAlign w:val="center"/>
            <w:hideMark/>
          </w:tcPr>
          <w:p w:rsidRPr="00B14E32" w:rsidR="00B14E32" w:rsidRDefault="00B14E32" w14:paraId="103FC4F1" w14:textId="77777777">
            <w:pPr>
              <w:rPr>
                <w:rFonts w:ascii="Arial Narrow" w:hAnsi="Arial Narrow" w:cs="Arial"/>
                <w:color w:val="000000"/>
                <w:sz w:val="18"/>
                <w:szCs w:val="18"/>
              </w:rPr>
            </w:pPr>
            <w:r w:rsidRPr="00B14E32">
              <w:rPr>
                <w:rFonts w:ascii="Arial Narrow" w:hAnsi="Arial Narrow" w:cs="Arial"/>
                <w:color w:val="000000"/>
                <w:sz w:val="18"/>
                <w:szCs w:val="18"/>
              </w:rPr>
              <w:t>Reporting</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79730459"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4C7AD061"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1E98F16E"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6C72DAC8" w14:textId="77777777">
            <w:pPr>
              <w:jc w:val="right"/>
              <w:rPr>
                <w:rFonts w:ascii="Arial" w:hAnsi="Arial" w:cs="Arial"/>
                <w:color w:val="000000"/>
                <w:sz w:val="18"/>
                <w:szCs w:val="18"/>
              </w:rPr>
            </w:pPr>
            <w:r w:rsidRPr="00D3345D">
              <w:rPr>
                <w:rFonts w:ascii="Arial" w:hAnsi="Arial" w:cs="Arial"/>
                <w:color w:val="000000"/>
                <w:sz w:val="18"/>
                <w:szCs w:val="18"/>
              </w:rPr>
              <w:t>15</w:t>
            </w:r>
          </w:p>
        </w:tc>
        <w:tc>
          <w:tcPr>
            <w:tcW w:w="1175" w:type="dxa"/>
            <w:tcBorders>
              <w:top w:val="nil"/>
              <w:left w:val="single" w:color="auto" w:sz="4" w:space="0"/>
              <w:bottom w:val="single" w:color="auto" w:sz="4" w:space="0"/>
              <w:right w:val="single" w:color="auto" w:sz="4" w:space="0"/>
            </w:tcBorders>
            <w:shd w:val="clear" w:color="auto" w:fill="auto"/>
            <w:vAlign w:val="center"/>
            <w:hideMark/>
          </w:tcPr>
          <w:p w:rsidRPr="00D3345D" w:rsidR="00B14E32" w:rsidRDefault="00B14E32" w14:paraId="0D4011FC" w14:textId="77777777">
            <w:pPr>
              <w:jc w:val="right"/>
              <w:rPr>
                <w:rFonts w:ascii="Arial" w:hAnsi="Arial" w:cs="Arial"/>
                <w:color w:val="000000"/>
                <w:sz w:val="18"/>
                <w:szCs w:val="18"/>
              </w:rPr>
            </w:pPr>
            <w:r w:rsidRPr="00D3345D">
              <w:rPr>
                <w:rFonts w:ascii="Arial" w:hAnsi="Arial" w:cs="Arial"/>
                <w:color w:val="000000"/>
                <w:sz w:val="18"/>
                <w:szCs w:val="18"/>
              </w:rPr>
              <w:t>3,210</w:t>
            </w:r>
          </w:p>
        </w:tc>
      </w:tr>
      <w:tr w:rsidR="00B14E32" w:rsidTr="00B14E32" w14:paraId="4EA76B5A" w14:textId="77777777">
        <w:trPr>
          <w:trHeight w:val="51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B14E32" w:rsidR="00B14E32" w:rsidRDefault="00B14E32" w14:paraId="5FB02BC7" w14:textId="77777777">
            <w:pPr>
              <w:rPr>
                <w:rFonts w:ascii="Arial" w:hAnsi="Arial" w:cs="Arial"/>
                <w:color w:val="000000"/>
                <w:sz w:val="18"/>
                <w:szCs w:val="18"/>
              </w:rPr>
            </w:pPr>
            <w:r w:rsidRPr="00B14E32">
              <w:rPr>
                <w:rFonts w:ascii="Arial" w:hAnsi="Arial" w:cs="Arial"/>
                <w:color w:val="000000"/>
                <w:sz w:val="18"/>
                <w:szCs w:val="18"/>
              </w:rPr>
              <w:t>708b.104</w:t>
            </w:r>
          </w:p>
        </w:tc>
        <w:tc>
          <w:tcPr>
            <w:tcW w:w="3420" w:type="dxa"/>
            <w:tcBorders>
              <w:top w:val="nil"/>
              <w:left w:val="nil"/>
              <w:bottom w:val="single" w:color="auto" w:sz="4" w:space="0"/>
              <w:right w:val="single" w:color="auto" w:sz="4" w:space="0"/>
            </w:tcBorders>
            <w:shd w:val="clear" w:color="auto" w:fill="auto"/>
            <w:vAlign w:val="center"/>
            <w:hideMark/>
          </w:tcPr>
          <w:p w:rsidRPr="00B14E32" w:rsidR="00B14E32" w:rsidRDefault="00B14E32" w14:paraId="048C589F" w14:textId="77777777">
            <w:pPr>
              <w:rPr>
                <w:rFonts w:ascii="Arial" w:hAnsi="Arial" w:cs="Arial"/>
                <w:color w:val="000000"/>
                <w:sz w:val="18"/>
                <w:szCs w:val="18"/>
              </w:rPr>
            </w:pPr>
            <w:r w:rsidRPr="00B14E32">
              <w:rPr>
                <w:rFonts w:ascii="Arial" w:hAnsi="Arial" w:cs="Arial"/>
                <w:color w:val="000000"/>
                <w:sz w:val="18"/>
                <w:szCs w:val="18"/>
              </w:rPr>
              <w:t>Collect and submit the required information to NCUA</w:t>
            </w:r>
          </w:p>
        </w:tc>
        <w:tc>
          <w:tcPr>
            <w:tcW w:w="990" w:type="dxa"/>
            <w:tcBorders>
              <w:top w:val="nil"/>
              <w:left w:val="nil"/>
              <w:bottom w:val="single" w:color="auto" w:sz="4" w:space="0"/>
              <w:right w:val="nil"/>
            </w:tcBorders>
            <w:shd w:val="clear" w:color="auto" w:fill="auto"/>
            <w:vAlign w:val="center"/>
            <w:hideMark/>
          </w:tcPr>
          <w:p w:rsidRPr="00B14E32" w:rsidR="00B14E32" w:rsidRDefault="00B14E32" w14:paraId="173091BF" w14:textId="77777777">
            <w:pPr>
              <w:rPr>
                <w:rFonts w:ascii="Arial Narrow" w:hAnsi="Arial Narrow" w:cs="Arial"/>
                <w:color w:val="000000"/>
                <w:sz w:val="18"/>
                <w:szCs w:val="18"/>
              </w:rPr>
            </w:pPr>
            <w:r w:rsidRPr="00B14E32">
              <w:rPr>
                <w:rFonts w:ascii="Arial Narrow" w:hAnsi="Arial Narrow" w:cs="Arial"/>
                <w:color w:val="000000"/>
                <w:sz w:val="18"/>
                <w:szCs w:val="18"/>
              </w:rPr>
              <w:t>Reporting</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3D5418E4"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5E4BA7C3"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176FC1E1"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356D86A4" w14:textId="77777777">
            <w:pPr>
              <w:jc w:val="right"/>
              <w:rPr>
                <w:rFonts w:ascii="Arial" w:hAnsi="Arial" w:cs="Arial"/>
                <w:color w:val="000000"/>
                <w:sz w:val="18"/>
                <w:szCs w:val="18"/>
              </w:rPr>
            </w:pPr>
            <w:r w:rsidRPr="00D3345D">
              <w:rPr>
                <w:rFonts w:ascii="Arial" w:hAnsi="Arial" w:cs="Arial"/>
                <w:color w:val="000000"/>
                <w:sz w:val="18"/>
                <w:szCs w:val="18"/>
              </w:rPr>
              <w:t>5</w:t>
            </w:r>
          </w:p>
        </w:tc>
        <w:tc>
          <w:tcPr>
            <w:tcW w:w="1175" w:type="dxa"/>
            <w:tcBorders>
              <w:top w:val="nil"/>
              <w:left w:val="single" w:color="auto" w:sz="4" w:space="0"/>
              <w:bottom w:val="single" w:color="auto" w:sz="4" w:space="0"/>
              <w:right w:val="single" w:color="auto" w:sz="4" w:space="0"/>
            </w:tcBorders>
            <w:shd w:val="clear" w:color="auto" w:fill="auto"/>
            <w:vAlign w:val="center"/>
            <w:hideMark/>
          </w:tcPr>
          <w:p w:rsidRPr="00D3345D" w:rsidR="00B14E32" w:rsidRDefault="00B14E32" w14:paraId="45D31A5E" w14:textId="77777777">
            <w:pPr>
              <w:jc w:val="right"/>
              <w:rPr>
                <w:rFonts w:ascii="Arial" w:hAnsi="Arial" w:cs="Arial"/>
                <w:color w:val="000000"/>
                <w:sz w:val="18"/>
                <w:szCs w:val="18"/>
              </w:rPr>
            </w:pPr>
            <w:r w:rsidRPr="00D3345D">
              <w:rPr>
                <w:rFonts w:ascii="Arial" w:hAnsi="Arial" w:cs="Arial"/>
                <w:color w:val="000000"/>
                <w:sz w:val="18"/>
                <w:szCs w:val="18"/>
              </w:rPr>
              <w:t>1,070</w:t>
            </w:r>
          </w:p>
        </w:tc>
      </w:tr>
      <w:tr w:rsidR="00B14E32" w:rsidTr="00B14E32" w14:paraId="02FC1C83" w14:textId="77777777">
        <w:trPr>
          <w:trHeight w:val="102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B14E32" w:rsidR="00B14E32" w:rsidRDefault="00B14E32" w14:paraId="07CE486C" w14:textId="77777777">
            <w:pPr>
              <w:rPr>
                <w:rFonts w:ascii="Arial" w:hAnsi="Arial" w:cs="Arial"/>
                <w:color w:val="000000"/>
                <w:sz w:val="18"/>
                <w:szCs w:val="18"/>
              </w:rPr>
            </w:pPr>
            <w:r w:rsidRPr="00B14E32">
              <w:rPr>
                <w:rFonts w:ascii="Arial" w:hAnsi="Arial" w:cs="Arial"/>
                <w:color w:val="000000"/>
                <w:sz w:val="18"/>
                <w:szCs w:val="18"/>
              </w:rPr>
              <w:t>708b.206</w:t>
            </w:r>
          </w:p>
        </w:tc>
        <w:tc>
          <w:tcPr>
            <w:tcW w:w="3420" w:type="dxa"/>
            <w:tcBorders>
              <w:top w:val="nil"/>
              <w:left w:val="nil"/>
              <w:bottom w:val="single" w:color="auto" w:sz="4" w:space="0"/>
              <w:right w:val="single" w:color="auto" w:sz="4" w:space="0"/>
            </w:tcBorders>
            <w:shd w:val="clear" w:color="auto" w:fill="auto"/>
            <w:vAlign w:val="center"/>
            <w:hideMark/>
          </w:tcPr>
          <w:p w:rsidRPr="00B14E32" w:rsidR="00B14E32" w:rsidRDefault="00B14E32" w14:paraId="0FBCF9DB" w14:textId="77777777">
            <w:pPr>
              <w:rPr>
                <w:rFonts w:ascii="Arial" w:hAnsi="Arial" w:cs="Arial"/>
                <w:color w:val="000000"/>
                <w:sz w:val="18"/>
                <w:szCs w:val="18"/>
              </w:rPr>
            </w:pPr>
            <w:r w:rsidRPr="00B14E32">
              <w:rPr>
                <w:rFonts w:ascii="Arial" w:hAnsi="Arial" w:cs="Arial"/>
                <w:color w:val="000000"/>
                <w:sz w:val="18"/>
                <w:szCs w:val="18"/>
              </w:rPr>
              <w:t>Provide the required insurance disclosures in other communications that the credit union plans to send to its members if the merger involves a share insurance conversion</w:t>
            </w:r>
          </w:p>
        </w:tc>
        <w:tc>
          <w:tcPr>
            <w:tcW w:w="990" w:type="dxa"/>
            <w:tcBorders>
              <w:top w:val="nil"/>
              <w:left w:val="nil"/>
              <w:bottom w:val="single" w:color="auto" w:sz="4" w:space="0"/>
              <w:right w:val="nil"/>
            </w:tcBorders>
            <w:shd w:val="clear" w:color="auto" w:fill="auto"/>
            <w:vAlign w:val="center"/>
            <w:hideMark/>
          </w:tcPr>
          <w:p w:rsidRPr="00B14E32" w:rsidR="00B14E32" w:rsidRDefault="00B14E32" w14:paraId="5FC9F6E3" w14:textId="77777777">
            <w:pPr>
              <w:rPr>
                <w:rFonts w:ascii="Arial Narrow" w:hAnsi="Arial Narrow" w:cs="Arial"/>
                <w:color w:val="000000"/>
                <w:sz w:val="18"/>
                <w:szCs w:val="18"/>
              </w:rPr>
            </w:pPr>
            <w:r w:rsidRPr="00B14E32">
              <w:rPr>
                <w:rFonts w:ascii="Arial Narrow" w:hAnsi="Arial Narrow" w:cs="Arial"/>
                <w:color w:val="000000"/>
                <w:sz w:val="18"/>
                <w:szCs w:val="18"/>
              </w:rPr>
              <w:t>Third-party disclosure</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6211425F"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4B2C2388"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775BFD42"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1F0FB98D" w14:textId="77777777">
            <w:pPr>
              <w:jc w:val="right"/>
              <w:rPr>
                <w:rFonts w:ascii="Arial" w:hAnsi="Arial" w:cs="Arial"/>
                <w:color w:val="000000"/>
                <w:sz w:val="18"/>
                <w:szCs w:val="18"/>
              </w:rPr>
            </w:pPr>
            <w:r w:rsidRPr="00D3345D">
              <w:rPr>
                <w:rFonts w:ascii="Arial" w:hAnsi="Arial" w:cs="Arial"/>
                <w:color w:val="000000"/>
                <w:sz w:val="18"/>
                <w:szCs w:val="18"/>
              </w:rPr>
              <w:t>2</w:t>
            </w:r>
          </w:p>
        </w:tc>
        <w:tc>
          <w:tcPr>
            <w:tcW w:w="1175" w:type="dxa"/>
            <w:tcBorders>
              <w:top w:val="nil"/>
              <w:left w:val="single" w:color="auto" w:sz="4" w:space="0"/>
              <w:bottom w:val="single" w:color="auto" w:sz="4" w:space="0"/>
              <w:right w:val="single" w:color="auto" w:sz="4" w:space="0"/>
            </w:tcBorders>
            <w:shd w:val="clear" w:color="auto" w:fill="auto"/>
            <w:vAlign w:val="center"/>
            <w:hideMark/>
          </w:tcPr>
          <w:p w:rsidRPr="00D3345D" w:rsidR="00B14E32" w:rsidRDefault="00B14E32" w14:paraId="394E1158" w14:textId="77777777">
            <w:pPr>
              <w:jc w:val="right"/>
              <w:rPr>
                <w:rFonts w:ascii="Arial" w:hAnsi="Arial" w:cs="Arial"/>
                <w:color w:val="000000"/>
                <w:sz w:val="18"/>
                <w:szCs w:val="18"/>
              </w:rPr>
            </w:pPr>
            <w:r w:rsidRPr="00D3345D">
              <w:rPr>
                <w:rFonts w:ascii="Arial" w:hAnsi="Arial" w:cs="Arial"/>
                <w:color w:val="000000"/>
                <w:sz w:val="18"/>
                <w:szCs w:val="18"/>
              </w:rPr>
              <w:t>428</w:t>
            </w:r>
          </w:p>
        </w:tc>
      </w:tr>
      <w:tr w:rsidR="00B14E32" w:rsidTr="00B14E32" w14:paraId="607A144C" w14:textId="77777777">
        <w:trPr>
          <w:trHeight w:val="765"/>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B14E32" w:rsidR="00B14E32" w:rsidRDefault="00B14E32" w14:paraId="1CDE8244" w14:textId="77777777">
            <w:pPr>
              <w:rPr>
                <w:rFonts w:ascii="Arial" w:hAnsi="Arial" w:cs="Arial"/>
                <w:color w:val="000000"/>
                <w:sz w:val="18"/>
                <w:szCs w:val="18"/>
              </w:rPr>
            </w:pPr>
            <w:r w:rsidRPr="00B14E32">
              <w:rPr>
                <w:rFonts w:ascii="Arial" w:hAnsi="Arial" w:cs="Arial"/>
                <w:color w:val="000000"/>
                <w:sz w:val="18"/>
                <w:szCs w:val="18"/>
              </w:rPr>
              <w:t>708b.106, 708b.303(a) and (b)</w:t>
            </w:r>
          </w:p>
        </w:tc>
        <w:tc>
          <w:tcPr>
            <w:tcW w:w="3420" w:type="dxa"/>
            <w:tcBorders>
              <w:top w:val="nil"/>
              <w:left w:val="nil"/>
              <w:bottom w:val="single" w:color="auto" w:sz="4" w:space="0"/>
              <w:right w:val="single" w:color="auto" w:sz="4" w:space="0"/>
            </w:tcBorders>
            <w:shd w:val="clear" w:color="auto" w:fill="auto"/>
            <w:vAlign w:val="center"/>
            <w:hideMark/>
          </w:tcPr>
          <w:p w:rsidRPr="00B14E32" w:rsidR="00B14E32" w:rsidRDefault="00B14E32" w14:paraId="1F3838C8" w14:textId="77777777">
            <w:pPr>
              <w:rPr>
                <w:rFonts w:ascii="Arial" w:hAnsi="Arial" w:cs="Arial"/>
                <w:color w:val="000000"/>
                <w:sz w:val="18"/>
                <w:szCs w:val="18"/>
              </w:rPr>
            </w:pPr>
            <w:r w:rsidRPr="00B14E32">
              <w:rPr>
                <w:rFonts w:ascii="Arial" w:hAnsi="Arial" w:cs="Arial"/>
                <w:color w:val="000000"/>
                <w:sz w:val="18"/>
                <w:szCs w:val="18"/>
              </w:rPr>
              <w:t>Notify members of the proposed merger an send them the ballot</w:t>
            </w:r>
          </w:p>
        </w:tc>
        <w:tc>
          <w:tcPr>
            <w:tcW w:w="990" w:type="dxa"/>
            <w:tcBorders>
              <w:top w:val="nil"/>
              <w:left w:val="nil"/>
              <w:bottom w:val="single" w:color="auto" w:sz="4" w:space="0"/>
              <w:right w:val="nil"/>
            </w:tcBorders>
            <w:shd w:val="clear" w:color="auto" w:fill="auto"/>
            <w:vAlign w:val="center"/>
            <w:hideMark/>
          </w:tcPr>
          <w:p w:rsidRPr="00B14E32" w:rsidR="00B14E32" w:rsidRDefault="00B14E32" w14:paraId="4AE7257A" w14:textId="77777777">
            <w:pPr>
              <w:rPr>
                <w:rFonts w:ascii="Arial Narrow" w:hAnsi="Arial Narrow" w:cs="Arial"/>
                <w:color w:val="000000"/>
                <w:sz w:val="18"/>
                <w:szCs w:val="18"/>
              </w:rPr>
            </w:pPr>
            <w:r w:rsidRPr="00B14E32">
              <w:rPr>
                <w:rFonts w:ascii="Arial Narrow" w:hAnsi="Arial Narrow" w:cs="Arial"/>
                <w:color w:val="000000"/>
                <w:sz w:val="18"/>
                <w:szCs w:val="18"/>
              </w:rPr>
              <w:t>Third-party disclosure</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2095847A"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2307F6EB"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03984A80"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046EBBAA" w14:textId="77777777">
            <w:pPr>
              <w:jc w:val="right"/>
              <w:rPr>
                <w:rFonts w:ascii="Arial" w:hAnsi="Arial" w:cs="Arial"/>
                <w:color w:val="000000"/>
                <w:sz w:val="18"/>
                <w:szCs w:val="18"/>
              </w:rPr>
            </w:pPr>
            <w:r w:rsidRPr="00D3345D">
              <w:rPr>
                <w:rFonts w:ascii="Arial" w:hAnsi="Arial" w:cs="Arial"/>
                <w:color w:val="000000"/>
                <w:sz w:val="18"/>
                <w:szCs w:val="18"/>
              </w:rPr>
              <w:t>7</w:t>
            </w:r>
          </w:p>
        </w:tc>
        <w:tc>
          <w:tcPr>
            <w:tcW w:w="1175" w:type="dxa"/>
            <w:tcBorders>
              <w:top w:val="nil"/>
              <w:left w:val="single" w:color="auto" w:sz="4" w:space="0"/>
              <w:bottom w:val="single" w:color="auto" w:sz="4" w:space="0"/>
              <w:right w:val="single" w:color="auto" w:sz="4" w:space="0"/>
            </w:tcBorders>
            <w:shd w:val="clear" w:color="auto" w:fill="auto"/>
            <w:vAlign w:val="center"/>
            <w:hideMark/>
          </w:tcPr>
          <w:p w:rsidRPr="00D3345D" w:rsidR="00B14E32" w:rsidRDefault="00B14E32" w14:paraId="27220DD9" w14:textId="77777777">
            <w:pPr>
              <w:jc w:val="right"/>
              <w:rPr>
                <w:rFonts w:ascii="Arial" w:hAnsi="Arial" w:cs="Arial"/>
                <w:color w:val="000000"/>
                <w:sz w:val="18"/>
                <w:szCs w:val="18"/>
              </w:rPr>
            </w:pPr>
            <w:r w:rsidRPr="00D3345D">
              <w:rPr>
                <w:rFonts w:ascii="Arial" w:hAnsi="Arial" w:cs="Arial"/>
                <w:color w:val="000000"/>
                <w:sz w:val="18"/>
                <w:szCs w:val="18"/>
              </w:rPr>
              <w:t>1,498</w:t>
            </w:r>
          </w:p>
        </w:tc>
      </w:tr>
      <w:tr w:rsidR="00B14E32" w:rsidTr="00B14E32" w14:paraId="0B8B1245" w14:textId="77777777">
        <w:trPr>
          <w:trHeight w:val="51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B14E32" w:rsidR="00B14E32" w:rsidRDefault="00B14E32" w14:paraId="466998FA" w14:textId="77777777">
            <w:pPr>
              <w:rPr>
                <w:rFonts w:ascii="Arial" w:hAnsi="Arial" w:cs="Arial"/>
                <w:color w:val="000000"/>
                <w:sz w:val="18"/>
                <w:szCs w:val="18"/>
              </w:rPr>
            </w:pPr>
            <w:r w:rsidRPr="00B14E32">
              <w:rPr>
                <w:rFonts w:ascii="Arial" w:hAnsi="Arial" w:cs="Arial"/>
                <w:color w:val="000000"/>
                <w:sz w:val="18"/>
                <w:szCs w:val="18"/>
              </w:rPr>
              <w:t>708b.107, 708b.303(c)</w:t>
            </w:r>
          </w:p>
        </w:tc>
        <w:tc>
          <w:tcPr>
            <w:tcW w:w="3420" w:type="dxa"/>
            <w:tcBorders>
              <w:top w:val="nil"/>
              <w:left w:val="nil"/>
              <w:bottom w:val="single" w:color="auto" w:sz="4" w:space="0"/>
              <w:right w:val="single" w:color="auto" w:sz="4" w:space="0"/>
            </w:tcBorders>
            <w:shd w:val="clear" w:color="auto" w:fill="auto"/>
            <w:vAlign w:val="center"/>
            <w:hideMark/>
          </w:tcPr>
          <w:p w:rsidRPr="00B14E32" w:rsidR="00B14E32" w:rsidRDefault="00B14E32" w14:paraId="5C1E81D7" w14:textId="77777777">
            <w:pPr>
              <w:rPr>
                <w:rFonts w:ascii="Arial" w:hAnsi="Arial" w:cs="Arial"/>
                <w:color w:val="000000"/>
                <w:sz w:val="18"/>
                <w:szCs w:val="18"/>
              </w:rPr>
            </w:pPr>
            <w:r w:rsidRPr="00B14E32">
              <w:rPr>
                <w:rFonts w:ascii="Arial" w:hAnsi="Arial" w:cs="Arial"/>
                <w:color w:val="000000"/>
                <w:sz w:val="18"/>
                <w:szCs w:val="18"/>
              </w:rPr>
              <w:t>Notify NCUA of the results of the merger vote</w:t>
            </w:r>
          </w:p>
        </w:tc>
        <w:tc>
          <w:tcPr>
            <w:tcW w:w="990" w:type="dxa"/>
            <w:tcBorders>
              <w:top w:val="nil"/>
              <w:left w:val="nil"/>
              <w:bottom w:val="single" w:color="auto" w:sz="4" w:space="0"/>
              <w:right w:val="nil"/>
            </w:tcBorders>
            <w:shd w:val="clear" w:color="auto" w:fill="auto"/>
            <w:vAlign w:val="center"/>
            <w:hideMark/>
          </w:tcPr>
          <w:p w:rsidRPr="00B14E32" w:rsidR="00B14E32" w:rsidRDefault="00B14E32" w14:paraId="1967F8D6" w14:textId="77777777">
            <w:pPr>
              <w:rPr>
                <w:rFonts w:ascii="Arial Narrow" w:hAnsi="Arial Narrow" w:cs="Arial"/>
                <w:color w:val="000000"/>
                <w:sz w:val="18"/>
                <w:szCs w:val="18"/>
              </w:rPr>
            </w:pPr>
            <w:r w:rsidRPr="00B14E32">
              <w:rPr>
                <w:rFonts w:ascii="Arial Narrow" w:hAnsi="Arial Narrow" w:cs="Arial"/>
                <w:color w:val="000000"/>
                <w:sz w:val="18"/>
                <w:szCs w:val="18"/>
              </w:rPr>
              <w:t>Reporting</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44C1FA84"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60B46C73"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04B15119"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2180CCFA"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175" w:type="dxa"/>
            <w:tcBorders>
              <w:top w:val="nil"/>
              <w:left w:val="single" w:color="auto" w:sz="4" w:space="0"/>
              <w:bottom w:val="single" w:color="auto" w:sz="4" w:space="0"/>
              <w:right w:val="single" w:color="auto" w:sz="4" w:space="0"/>
            </w:tcBorders>
            <w:shd w:val="clear" w:color="auto" w:fill="auto"/>
            <w:vAlign w:val="center"/>
            <w:hideMark/>
          </w:tcPr>
          <w:p w:rsidRPr="00D3345D" w:rsidR="00B14E32" w:rsidRDefault="00B14E32" w14:paraId="654462B1" w14:textId="77777777">
            <w:pPr>
              <w:jc w:val="right"/>
              <w:rPr>
                <w:rFonts w:ascii="Arial" w:hAnsi="Arial" w:cs="Arial"/>
                <w:color w:val="000000"/>
                <w:sz w:val="18"/>
                <w:szCs w:val="18"/>
              </w:rPr>
            </w:pPr>
            <w:r w:rsidRPr="00D3345D">
              <w:rPr>
                <w:rFonts w:ascii="Arial" w:hAnsi="Arial" w:cs="Arial"/>
                <w:color w:val="000000"/>
                <w:sz w:val="18"/>
                <w:szCs w:val="18"/>
              </w:rPr>
              <w:t>214</w:t>
            </w:r>
          </w:p>
        </w:tc>
      </w:tr>
      <w:tr w:rsidR="00B14E32" w:rsidTr="00B14E32" w14:paraId="4997C9A4" w14:textId="77777777">
        <w:trPr>
          <w:trHeight w:val="30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B14E32" w:rsidR="00B14E32" w:rsidRDefault="00B14E32" w14:paraId="71489F1B" w14:textId="77777777">
            <w:pPr>
              <w:rPr>
                <w:rFonts w:ascii="Arial" w:hAnsi="Arial" w:cs="Arial"/>
                <w:color w:val="000000"/>
                <w:sz w:val="18"/>
                <w:szCs w:val="18"/>
              </w:rPr>
            </w:pPr>
            <w:r w:rsidRPr="00B14E32">
              <w:rPr>
                <w:rFonts w:ascii="Arial" w:hAnsi="Arial" w:cs="Arial"/>
                <w:color w:val="000000"/>
                <w:sz w:val="18"/>
                <w:szCs w:val="18"/>
              </w:rPr>
              <w:t>708b.108</w:t>
            </w:r>
          </w:p>
        </w:tc>
        <w:tc>
          <w:tcPr>
            <w:tcW w:w="3420" w:type="dxa"/>
            <w:tcBorders>
              <w:top w:val="nil"/>
              <w:left w:val="nil"/>
              <w:bottom w:val="single" w:color="auto" w:sz="4" w:space="0"/>
              <w:right w:val="single" w:color="auto" w:sz="4" w:space="0"/>
            </w:tcBorders>
            <w:shd w:val="clear" w:color="auto" w:fill="auto"/>
            <w:vAlign w:val="center"/>
            <w:hideMark/>
          </w:tcPr>
          <w:p w:rsidRPr="00B14E32" w:rsidR="00B14E32" w:rsidRDefault="00B14E32" w14:paraId="0A0CB7F0" w14:textId="77777777">
            <w:pPr>
              <w:rPr>
                <w:rFonts w:ascii="Arial" w:hAnsi="Arial" w:cs="Arial"/>
                <w:color w:val="000000"/>
                <w:sz w:val="18"/>
                <w:szCs w:val="18"/>
              </w:rPr>
            </w:pPr>
            <w:r w:rsidRPr="00B14E32">
              <w:rPr>
                <w:rFonts w:ascii="Arial" w:hAnsi="Arial" w:cs="Arial"/>
                <w:color w:val="000000"/>
                <w:sz w:val="18"/>
                <w:szCs w:val="18"/>
              </w:rPr>
              <w:t>Notify NCUA of the merger's completion</w:t>
            </w:r>
          </w:p>
        </w:tc>
        <w:tc>
          <w:tcPr>
            <w:tcW w:w="990" w:type="dxa"/>
            <w:tcBorders>
              <w:top w:val="nil"/>
              <w:left w:val="nil"/>
              <w:bottom w:val="single" w:color="auto" w:sz="4" w:space="0"/>
              <w:right w:val="nil"/>
            </w:tcBorders>
            <w:shd w:val="clear" w:color="auto" w:fill="auto"/>
            <w:vAlign w:val="center"/>
            <w:hideMark/>
          </w:tcPr>
          <w:p w:rsidRPr="00B14E32" w:rsidR="00B14E32" w:rsidRDefault="00B14E32" w14:paraId="24F91FAC" w14:textId="77777777">
            <w:pPr>
              <w:rPr>
                <w:rFonts w:ascii="Arial Narrow" w:hAnsi="Arial Narrow" w:cs="Arial"/>
                <w:color w:val="000000"/>
                <w:sz w:val="18"/>
                <w:szCs w:val="18"/>
              </w:rPr>
            </w:pPr>
            <w:r w:rsidRPr="00B14E32">
              <w:rPr>
                <w:rFonts w:ascii="Arial Narrow" w:hAnsi="Arial Narrow" w:cs="Arial"/>
                <w:color w:val="000000"/>
                <w:sz w:val="18"/>
                <w:szCs w:val="18"/>
              </w:rPr>
              <w:t>Reporting</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0440C6C8"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44168A19"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08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2FBCB7B3"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990" w:type="dxa"/>
            <w:tcBorders>
              <w:top w:val="nil"/>
              <w:left w:val="single" w:color="auto" w:sz="4" w:space="0"/>
              <w:bottom w:val="single" w:color="auto" w:sz="4" w:space="0"/>
              <w:right w:val="nil"/>
            </w:tcBorders>
            <w:shd w:val="clear" w:color="auto" w:fill="auto"/>
            <w:vAlign w:val="center"/>
            <w:hideMark/>
          </w:tcPr>
          <w:p w:rsidRPr="00D3345D" w:rsidR="00B14E32" w:rsidRDefault="00B14E32" w14:paraId="75E026F7"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175" w:type="dxa"/>
            <w:tcBorders>
              <w:top w:val="nil"/>
              <w:left w:val="single" w:color="auto" w:sz="4" w:space="0"/>
              <w:bottom w:val="single" w:color="auto" w:sz="4" w:space="0"/>
              <w:right w:val="single" w:color="auto" w:sz="4" w:space="0"/>
            </w:tcBorders>
            <w:shd w:val="clear" w:color="auto" w:fill="auto"/>
            <w:vAlign w:val="center"/>
            <w:hideMark/>
          </w:tcPr>
          <w:p w:rsidRPr="00D3345D" w:rsidR="00B14E32" w:rsidRDefault="00B14E32" w14:paraId="3343C2E0" w14:textId="77777777">
            <w:pPr>
              <w:jc w:val="right"/>
              <w:rPr>
                <w:rFonts w:ascii="Arial" w:hAnsi="Arial" w:cs="Arial"/>
                <w:color w:val="000000"/>
                <w:sz w:val="18"/>
                <w:szCs w:val="18"/>
              </w:rPr>
            </w:pPr>
            <w:r w:rsidRPr="00D3345D">
              <w:rPr>
                <w:rFonts w:ascii="Arial" w:hAnsi="Arial" w:cs="Arial"/>
                <w:color w:val="000000"/>
                <w:sz w:val="18"/>
                <w:szCs w:val="18"/>
              </w:rPr>
              <w:t>214</w:t>
            </w:r>
          </w:p>
        </w:tc>
      </w:tr>
      <w:tr w:rsidR="00B14E32" w:rsidTr="00B14E32" w14:paraId="4308F995" w14:textId="77777777">
        <w:trPr>
          <w:trHeight w:val="525"/>
        </w:trPr>
        <w:tc>
          <w:tcPr>
            <w:tcW w:w="1260" w:type="dxa"/>
            <w:tcBorders>
              <w:top w:val="nil"/>
              <w:left w:val="single" w:color="auto" w:sz="4" w:space="0"/>
              <w:bottom w:val="single" w:color="auto" w:sz="8" w:space="0"/>
              <w:right w:val="single" w:color="auto" w:sz="4" w:space="0"/>
            </w:tcBorders>
            <w:shd w:val="clear" w:color="auto" w:fill="auto"/>
            <w:vAlign w:val="center"/>
            <w:hideMark/>
          </w:tcPr>
          <w:p w:rsidRPr="00B14E32" w:rsidR="00B14E32" w:rsidRDefault="00B14E32" w14:paraId="5F1F703E" w14:textId="77777777">
            <w:pPr>
              <w:rPr>
                <w:rFonts w:ascii="Arial" w:hAnsi="Arial" w:cs="Arial"/>
                <w:color w:val="000000"/>
                <w:sz w:val="18"/>
                <w:szCs w:val="18"/>
              </w:rPr>
            </w:pPr>
            <w:r w:rsidRPr="00B14E32">
              <w:rPr>
                <w:rFonts w:ascii="Arial" w:hAnsi="Arial" w:cs="Arial"/>
                <w:color w:val="000000"/>
                <w:sz w:val="18"/>
                <w:szCs w:val="18"/>
              </w:rPr>
              <w:t>708b.101(e)</w:t>
            </w:r>
          </w:p>
        </w:tc>
        <w:tc>
          <w:tcPr>
            <w:tcW w:w="3420" w:type="dxa"/>
            <w:tcBorders>
              <w:top w:val="nil"/>
              <w:left w:val="nil"/>
              <w:bottom w:val="single" w:color="auto" w:sz="8" w:space="0"/>
              <w:right w:val="single" w:color="auto" w:sz="4" w:space="0"/>
            </w:tcBorders>
            <w:shd w:val="clear" w:color="auto" w:fill="auto"/>
            <w:vAlign w:val="center"/>
            <w:hideMark/>
          </w:tcPr>
          <w:p w:rsidRPr="00B14E32" w:rsidR="00B14E32" w:rsidRDefault="00B14E32" w14:paraId="5421E84B" w14:textId="77777777">
            <w:pPr>
              <w:rPr>
                <w:rFonts w:ascii="Arial" w:hAnsi="Arial" w:cs="Arial"/>
                <w:color w:val="000000"/>
                <w:sz w:val="18"/>
                <w:szCs w:val="18"/>
              </w:rPr>
            </w:pPr>
            <w:r w:rsidRPr="00B14E32">
              <w:rPr>
                <w:rFonts w:ascii="Arial" w:hAnsi="Arial" w:cs="Arial"/>
                <w:color w:val="000000"/>
                <w:sz w:val="18"/>
                <w:szCs w:val="18"/>
              </w:rPr>
              <w:t>Notify members of the results of the merger and the possible effect on their insurance coverage</w:t>
            </w:r>
          </w:p>
        </w:tc>
        <w:tc>
          <w:tcPr>
            <w:tcW w:w="990" w:type="dxa"/>
            <w:tcBorders>
              <w:top w:val="nil"/>
              <w:left w:val="nil"/>
              <w:bottom w:val="single" w:color="auto" w:sz="8" w:space="0"/>
              <w:right w:val="nil"/>
            </w:tcBorders>
            <w:shd w:val="clear" w:color="auto" w:fill="auto"/>
            <w:vAlign w:val="center"/>
            <w:hideMark/>
          </w:tcPr>
          <w:p w:rsidRPr="00B14E32" w:rsidR="00B14E32" w:rsidRDefault="00B14E32" w14:paraId="33D9630F" w14:textId="77777777">
            <w:pPr>
              <w:rPr>
                <w:rFonts w:ascii="Arial Narrow" w:hAnsi="Arial Narrow" w:cs="Arial"/>
                <w:color w:val="000000"/>
                <w:sz w:val="18"/>
                <w:szCs w:val="18"/>
              </w:rPr>
            </w:pPr>
            <w:r w:rsidRPr="00B14E32">
              <w:rPr>
                <w:rFonts w:ascii="Arial Narrow" w:hAnsi="Arial Narrow" w:cs="Arial"/>
                <w:color w:val="000000"/>
                <w:sz w:val="18"/>
                <w:szCs w:val="18"/>
              </w:rPr>
              <w:t>Third-party disclosure</w:t>
            </w:r>
          </w:p>
        </w:tc>
        <w:tc>
          <w:tcPr>
            <w:tcW w:w="990" w:type="dxa"/>
            <w:tcBorders>
              <w:top w:val="nil"/>
              <w:left w:val="single" w:color="auto" w:sz="4" w:space="0"/>
              <w:bottom w:val="single" w:color="auto" w:sz="8" w:space="0"/>
              <w:right w:val="nil"/>
            </w:tcBorders>
            <w:shd w:val="clear" w:color="auto" w:fill="auto"/>
            <w:vAlign w:val="center"/>
            <w:hideMark/>
          </w:tcPr>
          <w:p w:rsidRPr="00D3345D" w:rsidR="00B14E32" w:rsidRDefault="00B14E32" w14:paraId="35B9F9D0"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1080" w:type="dxa"/>
            <w:tcBorders>
              <w:top w:val="nil"/>
              <w:left w:val="single" w:color="auto" w:sz="4" w:space="0"/>
              <w:bottom w:val="single" w:color="auto" w:sz="8" w:space="0"/>
              <w:right w:val="nil"/>
            </w:tcBorders>
            <w:shd w:val="clear" w:color="auto" w:fill="auto"/>
            <w:vAlign w:val="center"/>
            <w:hideMark/>
          </w:tcPr>
          <w:p w:rsidRPr="00D3345D" w:rsidR="00B14E32" w:rsidRDefault="00B14E32" w14:paraId="3AB15F5A"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080" w:type="dxa"/>
            <w:tcBorders>
              <w:top w:val="nil"/>
              <w:left w:val="single" w:color="auto" w:sz="4" w:space="0"/>
              <w:bottom w:val="single" w:color="auto" w:sz="8" w:space="0"/>
              <w:right w:val="nil"/>
            </w:tcBorders>
            <w:shd w:val="clear" w:color="auto" w:fill="auto"/>
            <w:vAlign w:val="center"/>
            <w:hideMark/>
          </w:tcPr>
          <w:p w:rsidRPr="00D3345D" w:rsidR="00B14E32" w:rsidRDefault="00B14E32" w14:paraId="41A3E1C7"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990" w:type="dxa"/>
            <w:tcBorders>
              <w:top w:val="nil"/>
              <w:left w:val="single" w:color="auto" w:sz="4" w:space="0"/>
              <w:bottom w:val="single" w:color="auto" w:sz="8" w:space="0"/>
              <w:right w:val="nil"/>
            </w:tcBorders>
            <w:shd w:val="clear" w:color="auto" w:fill="auto"/>
            <w:vAlign w:val="center"/>
            <w:hideMark/>
          </w:tcPr>
          <w:p w:rsidRPr="00D3345D" w:rsidR="00B14E32" w:rsidRDefault="00B14E32" w14:paraId="47196037" w14:textId="77777777">
            <w:pPr>
              <w:jc w:val="right"/>
              <w:rPr>
                <w:rFonts w:ascii="Arial" w:hAnsi="Arial" w:cs="Arial"/>
                <w:color w:val="000000"/>
                <w:sz w:val="18"/>
                <w:szCs w:val="18"/>
              </w:rPr>
            </w:pPr>
            <w:r w:rsidRPr="00D3345D">
              <w:rPr>
                <w:rFonts w:ascii="Arial" w:hAnsi="Arial" w:cs="Arial"/>
                <w:color w:val="000000"/>
                <w:sz w:val="18"/>
                <w:szCs w:val="18"/>
              </w:rPr>
              <w:t>4</w:t>
            </w:r>
          </w:p>
        </w:tc>
        <w:tc>
          <w:tcPr>
            <w:tcW w:w="1175" w:type="dxa"/>
            <w:tcBorders>
              <w:top w:val="nil"/>
              <w:left w:val="single" w:color="auto" w:sz="4" w:space="0"/>
              <w:bottom w:val="single" w:color="auto" w:sz="8" w:space="0"/>
              <w:right w:val="single" w:color="auto" w:sz="4" w:space="0"/>
            </w:tcBorders>
            <w:shd w:val="clear" w:color="auto" w:fill="auto"/>
            <w:vAlign w:val="center"/>
            <w:hideMark/>
          </w:tcPr>
          <w:p w:rsidRPr="00D3345D" w:rsidR="00B14E32" w:rsidRDefault="00B14E32" w14:paraId="338CFE6A" w14:textId="77777777">
            <w:pPr>
              <w:jc w:val="right"/>
              <w:rPr>
                <w:rFonts w:ascii="Arial" w:hAnsi="Arial" w:cs="Arial"/>
                <w:color w:val="000000"/>
                <w:sz w:val="18"/>
                <w:szCs w:val="18"/>
              </w:rPr>
            </w:pPr>
            <w:r w:rsidRPr="00D3345D">
              <w:rPr>
                <w:rFonts w:ascii="Arial" w:hAnsi="Arial" w:cs="Arial"/>
                <w:color w:val="000000"/>
                <w:sz w:val="18"/>
                <w:szCs w:val="18"/>
              </w:rPr>
              <w:t>856</w:t>
            </w:r>
          </w:p>
        </w:tc>
      </w:tr>
      <w:tr w:rsidR="00B14E32" w:rsidTr="00B14E32" w14:paraId="40BCCDB4" w14:textId="77777777">
        <w:trPr>
          <w:trHeight w:val="390"/>
        </w:trPr>
        <w:tc>
          <w:tcPr>
            <w:tcW w:w="5670" w:type="dxa"/>
            <w:gridSpan w:val="3"/>
            <w:tcBorders>
              <w:top w:val="single" w:color="auto" w:sz="8" w:space="0"/>
              <w:left w:val="single" w:color="auto" w:sz="4" w:space="0"/>
              <w:bottom w:val="single" w:color="auto" w:sz="4" w:space="0"/>
              <w:right w:val="single" w:color="000000" w:sz="4" w:space="0"/>
            </w:tcBorders>
            <w:shd w:val="clear" w:color="auto" w:fill="auto"/>
            <w:noWrap/>
            <w:vAlign w:val="center"/>
            <w:hideMark/>
          </w:tcPr>
          <w:p w:rsidRPr="00B14E32" w:rsidR="00B14E32" w:rsidRDefault="00B14E32" w14:paraId="4A5B9122" w14:textId="77777777">
            <w:pPr>
              <w:jc w:val="right"/>
              <w:rPr>
                <w:rFonts w:ascii="Arial" w:hAnsi="Arial" w:cs="Arial"/>
                <w:color w:val="000000"/>
                <w:sz w:val="18"/>
                <w:szCs w:val="18"/>
              </w:rPr>
            </w:pPr>
            <w:r w:rsidRPr="00B14E32">
              <w:rPr>
                <w:rFonts w:ascii="Arial" w:hAnsi="Arial" w:cs="Arial"/>
                <w:color w:val="000000"/>
                <w:sz w:val="18"/>
                <w:szCs w:val="18"/>
              </w:rPr>
              <w:t>TOTAL</w:t>
            </w:r>
          </w:p>
        </w:tc>
        <w:tc>
          <w:tcPr>
            <w:tcW w:w="990" w:type="dxa"/>
            <w:tcBorders>
              <w:top w:val="nil"/>
              <w:left w:val="nil"/>
              <w:bottom w:val="single" w:color="auto" w:sz="4" w:space="0"/>
              <w:right w:val="single" w:color="auto" w:sz="4" w:space="0"/>
            </w:tcBorders>
            <w:shd w:val="clear" w:color="auto" w:fill="auto"/>
            <w:vAlign w:val="center"/>
            <w:hideMark/>
          </w:tcPr>
          <w:p w:rsidRPr="00D3345D" w:rsidR="00B14E32" w:rsidRDefault="00B14E32" w14:paraId="35DBB48C" w14:textId="77777777">
            <w:pPr>
              <w:jc w:val="right"/>
              <w:rPr>
                <w:rFonts w:ascii="Arial" w:hAnsi="Arial" w:cs="Arial"/>
                <w:color w:val="000000"/>
                <w:sz w:val="18"/>
                <w:szCs w:val="18"/>
              </w:rPr>
            </w:pPr>
            <w:r w:rsidRPr="00D3345D">
              <w:rPr>
                <w:rFonts w:ascii="Arial" w:hAnsi="Arial" w:cs="Arial"/>
                <w:color w:val="000000"/>
                <w:sz w:val="18"/>
                <w:szCs w:val="18"/>
              </w:rPr>
              <w:t>214</w:t>
            </w:r>
          </w:p>
        </w:tc>
        <w:tc>
          <w:tcPr>
            <w:tcW w:w="1080" w:type="dxa"/>
            <w:tcBorders>
              <w:top w:val="nil"/>
              <w:left w:val="nil"/>
              <w:bottom w:val="single" w:color="auto" w:sz="4" w:space="0"/>
              <w:right w:val="single" w:color="auto" w:sz="4" w:space="0"/>
            </w:tcBorders>
            <w:shd w:val="clear" w:color="auto" w:fill="auto"/>
            <w:noWrap/>
            <w:vAlign w:val="center"/>
            <w:hideMark/>
          </w:tcPr>
          <w:p w:rsidRPr="00D3345D" w:rsidR="00B14E32" w:rsidRDefault="00B14E32" w14:paraId="48AA279D" w14:textId="77777777">
            <w:pPr>
              <w:jc w:val="right"/>
              <w:rPr>
                <w:rFonts w:ascii="Arial" w:hAnsi="Arial" w:cs="Arial"/>
                <w:color w:val="000000"/>
                <w:sz w:val="18"/>
                <w:szCs w:val="18"/>
              </w:rPr>
            </w:pPr>
            <w:r w:rsidRPr="00D3345D">
              <w:rPr>
                <w:rFonts w:ascii="Arial" w:hAnsi="Arial" w:cs="Arial"/>
                <w:color w:val="000000"/>
                <w:sz w:val="18"/>
                <w:szCs w:val="18"/>
              </w:rPr>
              <w:t>7</w:t>
            </w:r>
          </w:p>
        </w:tc>
        <w:tc>
          <w:tcPr>
            <w:tcW w:w="1080" w:type="dxa"/>
            <w:tcBorders>
              <w:top w:val="nil"/>
              <w:left w:val="nil"/>
              <w:bottom w:val="single" w:color="auto" w:sz="4" w:space="0"/>
              <w:right w:val="single" w:color="auto" w:sz="4" w:space="0"/>
            </w:tcBorders>
            <w:shd w:val="clear" w:color="auto" w:fill="auto"/>
            <w:vAlign w:val="center"/>
            <w:hideMark/>
          </w:tcPr>
          <w:p w:rsidRPr="00D3345D" w:rsidR="00B14E32" w:rsidRDefault="00B14E32" w14:paraId="42BE9A30" w14:textId="77777777">
            <w:pPr>
              <w:jc w:val="right"/>
              <w:rPr>
                <w:rFonts w:ascii="Arial" w:hAnsi="Arial" w:cs="Arial"/>
                <w:color w:val="000000"/>
                <w:sz w:val="18"/>
                <w:szCs w:val="18"/>
              </w:rPr>
            </w:pPr>
            <w:r w:rsidRPr="00D3345D">
              <w:rPr>
                <w:rFonts w:ascii="Arial" w:hAnsi="Arial" w:cs="Arial"/>
                <w:color w:val="000000"/>
                <w:sz w:val="18"/>
                <w:szCs w:val="18"/>
              </w:rPr>
              <w:t>1,498</w:t>
            </w:r>
          </w:p>
        </w:tc>
        <w:tc>
          <w:tcPr>
            <w:tcW w:w="990" w:type="dxa"/>
            <w:tcBorders>
              <w:top w:val="nil"/>
              <w:left w:val="nil"/>
              <w:bottom w:val="single" w:color="auto" w:sz="4" w:space="0"/>
              <w:right w:val="single" w:color="auto" w:sz="4" w:space="0"/>
            </w:tcBorders>
            <w:shd w:val="clear" w:color="auto" w:fill="auto"/>
            <w:noWrap/>
            <w:vAlign w:val="center"/>
            <w:hideMark/>
          </w:tcPr>
          <w:p w:rsidRPr="00D3345D" w:rsidR="00B14E32" w:rsidRDefault="00B14E32" w14:paraId="252DE959" w14:textId="77777777">
            <w:pPr>
              <w:jc w:val="right"/>
              <w:rPr>
                <w:rFonts w:ascii="Arial" w:hAnsi="Arial" w:cs="Arial"/>
                <w:color w:val="000000"/>
                <w:sz w:val="18"/>
                <w:szCs w:val="18"/>
              </w:rPr>
            </w:pPr>
            <w:r w:rsidRPr="00D3345D">
              <w:rPr>
                <w:rFonts w:ascii="Arial" w:hAnsi="Arial" w:cs="Arial"/>
                <w:color w:val="000000"/>
                <w:sz w:val="18"/>
                <w:szCs w:val="18"/>
              </w:rPr>
              <w:t>5.00</w:t>
            </w:r>
          </w:p>
        </w:tc>
        <w:tc>
          <w:tcPr>
            <w:tcW w:w="1175" w:type="dxa"/>
            <w:tcBorders>
              <w:top w:val="nil"/>
              <w:left w:val="nil"/>
              <w:bottom w:val="single" w:color="auto" w:sz="4" w:space="0"/>
              <w:right w:val="single" w:color="auto" w:sz="4" w:space="0"/>
            </w:tcBorders>
            <w:shd w:val="clear" w:color="auto" w:fill="auto"/>
            <w:noWrap/>
            <w:vAlign w:val="center"/>
            <w:hideMark/>
          </w:tcPr>
          <w:p w:rsidRPr="00D3345D" w:rsidR="00B14E32" w:rsidRDefault="00B14E32" w14:paraId="6D5DC0DD" w14:textId="77777777">
            <w:pPr>
              <w:jc w:val="right"/>
              <w:rPr>
                <w:rFonts w:ascii="Arial" w:hAnsi="Arial" w:cs="Arial"/>
                <w:color w:val="000000"/>
                <w:sz w:val="18"/>
                <w:szCs w:val="18"/>
              </w:rPr>
            </w:pPr>
            <w:r w:rsidRPr="00D3345D">
              <w:rPr>
                <w:rFonts w:ascii="Arial" w:hAnsi="Arial" w:cs="Arial"/>
                <w:color w:val="000000"/>
                <w:sz w:val="18"/>
                <w:szCs w:val="18"/>
              </w:rPr>
              <w:t>7,490</w:t>
            </w:r>
          </w:p>
        </w:tc>
      </w:tr>
    </w:tbl>
    <w:p w:rsidR="00B14E32" w:rsidP="00B536A7" w:rsidRDefault="00B14E32" w14:paraId="5DB3D6F2" w14:textId="77777777">
      <w:pPr>
        <w:pStyle w:val="NoSpacing"/>
        <w:ind w:left="720" w:hanging="720"/>
        <w:sectPr w:rsidR="00B14E32" w:rsidSect="00B14E32">
          <w:type w:val="continuous"/>
          <w:pgSz w:w="12240" w:h="15840"/>
          <w:pgMar w:top="1440" w:right="1440" w:bottom="1440" w:left="810" w:header="720" w:footer="720" w:gutter="0"/>
          <w:cols w:space="720"/>
          <w:docGrid w:linePitch="360"/>
        </w:sectPr>
      </w:pPr>
    </w:p>
    <w:p w:rsidRPr="00E31E47" w:rsidR="00E31E47" w:rsidP="00940951" w:rsidRDefault="00E31E47" w14:paraId="72D90669" w14:textId="77777777">
      <w:pPr>
        <w:pStyle w:val="NoSpacing"/>
      </w:pPr>
      <w:r w:rsidRPr="00E31E47">
        <w:t>In cases where the continuing credit union is privately insured, the required merger documents include those discussing the insurance conversion.</w:t>
      </w:r>
    </w:p>
    <w:p w:rsidR="00E31E47" w:rsidP="00940951" w:rsidRDefault="00E31E47" w14:paraId="0AD7EEFF" w14:textId="77777777">
      <w:pPr>
        <w:pStyle w:val="NoSpacing"/>
        <w:rPr>
          <w:u w:val="single"/>
        </w:rPr>
      </w:pPr>
    </w:p>
    <w:p w:rsidR="00B41267" w:rsidP="00B41267" w:rsidRDefault="00B41267" w14:paraId="49972DCD" w14:textId="1C06AB56">
      <w:pPr>
        <w:pStyle w:val="NoSpacing"/>
      </w:pPr>
      <w:r w:rsidRPr="00B41267">
        <w:rPr>
          <w:b/>
          <w:u w:val="single"/>
        </w:rPr>
        <w:lastRenderedPageBreak/>
        <w:t>Share Insurance Conversions</w:t>
      </w:r>
      <w:r w:rsidR="00B14E32">
        <w:rPr>
          <w:b/>
        </w:rPr>
        <w:t xml:space="preserve">:  </w:t>
      </w:r>
      <w:r>
        <w:t>Approximately four</w:t>
      </w:r>
      <w:r w:rsidRPr="00753B95">
        <w:t xml:space="preserve"> credit unions each year engage in share insurance conversions outside of the merger context.  NCUA estimates there will be minimal burden in the form of collections of information, since </w:t>
      </w:r>
      <w:r w:rsidRPr="00A52969">
        <w:t>NCUA provides forms and form language in the regulation</w:t>
      </w:r>
      <w:r w:rsidRPr="00753B95">
        <w:t xml:space="preserve">.  </w:t>
      </w:r>
    </w:p>
    <w:p w:rsidRPr="00753B95" w:rsidR="000711AD" w:rsidP="00B41267" w:rsidRDefault="000711AD" w14:paraId="46EDA858" w14:textId="77777777">
      <w:pPr>
        <w:pStyle w:val="NoSpacing"/>
      </w:pPr>
    </w:p>
    <w:p w:rsidR="000711AD" w:rsidP="00B41267" w:rsidRDefault="000711AD" w14:paraId="4CDC56C4" w14:textId="77777777">
      <w:pPr>
        <w:pStyle w:val="NoSpacing"/>
        <w:sectPr w:rsidR="000711AD" w:rsidSect="00B14E32">
          <w:type w:val="continuous"/>
          <w:pgSz w:w="12240" w:h="15840"/>
          <w:pgMar w:top="1440" w:right="1440" w:bottom="1440" w:left="1440" w:header="720" w:footer="720" w:gutter="0"/>
          <w:cols w:space="720"/>
          <w:docGrid w:linePitch="360"/>
        </w:sectPr>
      </w:pPr>
    </w:p>
    <w:tbl>
      <w:tblPr>
        <w:tblW w:w="11167" w:type="dxa"/>
        <w:tblInd w:w="-905" w:type="dxa"/>
        <w:tblLook w:val="04A0" w:firstRow="1" w:lastRow="0" w:firstColumn="1" w:lastColumn="0" w:noHBand="0" w:noVBand="1"/>
      </w:tblPr>
      <w:tblGrid>
        <w:gridCol w:w="1351"/>
        <w:gridCol w:w="3509"/>
        <w:gridCol w:w="1080"/>
        <w:gridCol w:w="1050"/>
        <w:gridCol w:w="1073"/>
        <w:gridCol w:w="7"/>
        <w:gridCol w:w="1073"/>
        <w:gridCol w:w="900"/>
        <w:gridCol w:w="7"/>
        <w:gridCol w:w="1110"/>
        <w:gridCol w:w="7"/>
      </w:tblGrid>
      <w:tr w:rsidR="000711AD" w:rsidTr="000711AD" w14:paraId="0B3E50B0" w14:textId="77777777">
        <w:trPr>
          <w:trHeight w:val="300"/>
        </w:trPr>
        <w:tc>
          <w:tcPr>
            <w:tcW w:w="11167" w:type="dxa"/>
            <w:gridSpan w:val="11"/>
            <w:tcBorders>
              <w:top w:val="single" w:color="auto" w:sz="4" w:space="0"/>
              <w:left w:val="single" w:color="auto" w:sz="4" w:space="0"/>
              <w:bottom w:val="single" w:color="auto" w:sz="4" w:space="0"/>
              <w:right w:val="single" w:color="000000" w:sz="4" w:space="0"/>
            </w:tcBorders>
            <w:shd w:val="clear" w:color="000000" w:fill="D9D9D9"/>
            <w:noWrap/>
            <w:vAlign w:val="bottom"/>
            <w:hideMark/>
          </w:tcPr>
          <w:p w:rsidR="000711AD" w:rsidRDefault="000711AD" w14:paraId="158E32C4" w14:textId="77777777">
            <w:pPr>
              <w:jc w:val="center"/>
              <w:rPr>
                <w:rFonts w:ascii="Arial Rounded MT Bold" w:hAnsi="Arial Rounded MT Bold" w:cs="Calibri"/>
                <w:color w:val="000000"/>
                <w:sz w:val="22"/>
                <w:szCs w:val="22"/>
              </w:rPr>
            </w:pPr>
            <w:r>
              <w:rPr>
                <w:rFonts w:ascii="Arial Rounded MT Bold" w:hAnsi="Arial Rounded MT Bold" w:cs="Calibri"/>
                <w:color w:val="000000"/>
                <w:sz w:val="22"/>
                <w:szCs w:val="22"/>
              </w:rPr>
              <w:t>Share Insurance Conversions</w:t>
            </w:r>
          </w:p>
        </w:tc>
      </w:tr>
      <w:tr w:rsidR="000711AD" w:rsidTr="00D3345D" w14:paraId="650DD8D9" w14:textId="77777777">
        <w:trPr>
          <w:gridAfter w:val="1"/>
          <w:wAfter w:w="7" w:type="dxa"/>
          <w:trHeight w:val="540"/>
        </w:trPr>
        <w:tc>
          <w:tcPr>
            <w:tcW w:w="1351" w:type="dxa"/>
            <w:tcBorders>
              <w:top w:val="nil"/>
              <w:left w:val="single" w:color="auto" w:sz="4" w:space="0"/>
              <w:bottom w:val="single" w:color="auto" w:sz="4" w:space="0"/>
              <w:right w:val="single" w:color="auto" w:sz="4" w:space="0"/>
            </w:tcBorders>
            <w:shd w:val="clear" w:color="000000" w:fill="DDEBF7"/>
            <w:vAlign w:val="center"/>
            <w:hideMark/>
          </w:tcPr>
          <w:p w:rsidRPr="000711AD" w:rsidR="000711AD" w:rsidRDefault="000711AD" w14:paraId="70AA2E5A" w14:textId="77777777">
            <w:pPr>
              <w:jc w:val="center"/>
              <w:rPr>
                <w:rFonts w:ascii="Arial Narrow" w:hAnsi="Arial Narrow" w:cs="Calibri"/>
                <w:color w:val="000000"/>
                <w:sz w:val="16"/>
                <w:szCs w:val="16"/>
              </w:rPr>
            </w:pPr>
            <w:r w:rsidRPr="000711AD">
              <w:rPr>
                <w:rFonts w:ascii="Arial Narrow" w:hAnsi="Arial Narrow" w:cs="Calibri"/>
                <w:color w:val="000000"/>
                <w:sz w:val="16"/>
                <w:szCs w:val="16"/>
              </w:rPr>
              <w:t>12 CFR</w:t>
            </w:r>
          </w:p>
        </w:tc>
        <w:tc>
          <w:tcPr>
            <w:tcW w:w="3509" w:type="dxa"/>
            <w:tcBorders>
              <w:top w:val="nil"/>
              <w:left w:val="nil"/>
              <w:bottom w:val="single" w:color="auto" w:sz="4" w:space="0"/>
              <w:right w:val="single" w:color="auto" w:sz="4" w:space="0"/>
            </w:tcBorders>
            <w:shd w:val="clear" w:color="000000" w:fill="DDEBF7"/>
            <w:vAlign w:val="center"/>
            <w:hideMark/>
          </w:tcPr>
          <w:p w:rsidRPr="000711AD" w:rsidR="000711AD" w:rsidRDefault="000711AD" w14:paraId="4BC1184C" w14:textId="77777777">
            <w:pPr>
              <w:jc w:val="center"/>
              <w:rPr>
                <w:rFonts w:ascii="Arial Narrow" w:hAnsi="Arial Narrow" w:cs="Calibri"/>
                <w:color w:val="000000"/>
                <w:sz w:val="16"/>
                <w:szCs w:val="16"/>
              </w:rPr>
            </w:pPr>
            <w:r w:rsidRPr="000711AD">
              <w:rPr>
                <w:rFonts w:ascii="Arial Narrow" w:hAnsi="Arial Narrow" w:cs="Calibri"/>
                <w:color w:val="000000"/>
                <w:sz w:val="16"/>
                <w:szCs w:val="16"/>
              </w:rPr>
              <w:t>Information Collection</w:t>
            </w:r>
          </w:p>
        </w:tc>
        <w:tc>
          <w:tcPr>
            <w:tcW w:w="1080" w:type="dxa"/>
            <w:tcBorders>
              <w:top w:val="nil"/>
              <w:left w:val="nil"/>
              <w:bottom w:val="single" w:color="auto" w:sz="4" w:space="0"/>
              <w:right w:val="nil"/>
            </w:tcBorders>
            <w:shd w:val="clear" w:color="000000" w:fill="DDEBF7"/>
            <w:vAlign w:val="center"/>
            <w:hideMark/>
          </w:tcPr>
          <w:p w:rsidRPr="000711AD" w:rsidR="000711AD" w:rsidRDefault="000711AD" w14:paraId="49CE0123" w14:textId="77777777">
            <w:pPr>
              <w:jc w:val="center"/>
              <w:rPr>
                <w:rFonts w:ascii="Arial Narrow" w:hAnsi="Arial Narrow" w:cs="Calibri"/>
                <w:color w:val="000000"/>
                <w:sz w:val="16"/>
                <w:szCs w:val="16"/>
              </w:rPr>
            </w:pPr>
            <w:r w:rsidRPr="000711AD">
              <w:rPr>
                <w:rFonts w:ascii="Arial Narrow" w:hAnsi="Arial Narrow" w:cs="Calibri"/>
                <w:color w:val="000000"/>
                <w:sz w:val="16"/>
                <w:szCs w:val="16"/>
              </w:rPr>
              <w:t>Burden Type</w:t>
            </w:r>
          </w:p>
        </w:tc>
        <w:tc>
          <w:tcPr>
            <w:tcW w:w="1050" w:type="dxa"/>
            <w:tcBorders>
              <w:top w:val="nil"/>
              <w:left w:val="single" w:color="auto" w:sz="4" w:space="0"/>
              <w:bottom w:val="single" w:color="auto" w:sz="4" w:space="0"/>
              <w:right w:val="nil"/>
            </w:tcBorders>
            <w:shd w:val="clear" w:color="000000" w:fill="DDEBF7"/>
            <w:vAlign w:val="center"/>
            <w:hideMark/>
          </w:tcPr>
          <w:p w:rsidRPr="000711AD" w:rsidR="000711AD" w:rsidP="000711AD" w:rsidRDefault="000711AD" w14:paraId="7F0E7A45" w14:textId="250AB899">
            <w:pPr>
              <w:ind w:left="-107" w:right="32" w:hanging="58"/>
              <w:jc w:val="center"/>
              <w:rPr>
                <w:rFonts w:ascii="Arial Narrow" w:hAnsi="Arial Narrow" w:cs="Calibri"/>
                <w:color w:val="000000"/>
                <w:sz w:val="16"/>
                <w:szCs w:val="16"/>
              </w:rPr>
            </w:pPr>
            <w:r w:rsidRPr="000711AD">
              <w:rPr>
                <w:rFonts w:ascii="Arial Narrow" w:hAnsi="Arial Narrow" w:cs="Calibri"/>
                <w:color w:val="000000"/>
                <w:sz w:val="16"/>
                <w:szCs w:val="16"/>
              </w:rPr>
              <w:t># Annual Respondents</w:t>
            </w:r>
          </w:p>
        </w:tc>
        <w:tc>
          <w:tcPr>
            <w:tcW w:w="1073" w:type="dxa"/>
            <w:tcBorders>
              <w:top w:val="nil"/>
              <w:left w:val="single" w:color="auto" w:sz="4" w:space="0"/>
              <w:bottom w:val="single" w:color="auto" w:sz="4" w:space="0"/>
              <w:right w:val="nil"/>
            </w:tcBorders>
            <w:shd w:val="clear" w:color="000000" w:fill="DDEBF7"/>
            <w:vAlign w:val="center"/>
            <w:hideMark/>
          </w:tcPr>
          <w:p w:rsidRPr="000711AD" w:rsidR="000711AD" w:rsidRDefault="000711AD" w14:paraId="6975B21C" w14:textId="77777777">
            <w:pPr>
              <w:jc w:val="center"/>
              <w:rPr>
                <w:rFonts w:ascii="Arial Narrow" w:hAnsi="Arial Narrow" w:cs="Calibri"/>
                <w:color w:val="000000"/>
                <w:sz w:val="16"/>
                <w:szCs w:val="16"/>
              </w:rPr>
            </w:pPr>
            <w:r w:rsidRPr="000711AD">
              <w:rPr>
                <w:rFonts w:ascii="Arial Narrow" w:hAnsi="Arial Narrow" w:cs="Calibri"/>
                <w:color w:val="000000"/>
                <w:sz w:val="16"/>
                <w:szCs w:val="16"/>
              </w:rPr>
              <w:t># Responses per Respondent</w:t>
            </w:r>
          </w:p>
        </w:tc>
        <w:tc>
          <w:tcPr>
            <w:tcW w:w="1080" w:type="dxa"/>
            <w:gridSpan w:val="2"/>
            <w:tcBorders>
              <w:top w:val="nil"/>
              <w:left w:val="single" w:color="auto" w:sz="4" w:space="0"/>
              <w:bottom w:val="single" w:color="auto" w:sz="4" w:space="0"/>
              <w:right w:val="nil"/>
            </w:tcBorders>
            <w:shd w:val="clear" w:color="000000" w:fill="DDEBF7"/>
            <w:vAlign w:val="center"/>
            <w:hideMark/>
          </w:tcPr>
          <w:p w:rsidRPr="000711AD" w:rsidR="000711AD" w:rsidRDefault="000711AD" w14:paraId="633EBE8D" w14:textId="77777777">
            <w:pPr>
              <w:jc w:val="center"/>
              <w:rPr>
                <w:rFonts w:ascii="Arial Narrow" w:hAnsi="Arial Narrow" w:cs="Calibri"/>
                <w:color w:val="000000"/>
                <w:sz w:val="16"/>
                <w:szCs w:val="16"/>
              </w:rPr>
            </w:pPr>
            <w:r w:rsidRPr="000711AD">
              <w:rPr>
                <w:rFonts w:ascii="Arial Narrow" w:hAnsi="Arial Narrow" w:cs="Calibri"/>
                <w:color w:val="000000"/>
                <w:sz w:val="16"/>
                <w:szCs w:val="16"/>
              </w:rPr>
              <w:t>Annual # Responses</w:t>
            </w:r>
          </w:p>
        </w:tc>
        <w:tc>
          <w:tcPr>
            <w:tcW w:w="900" w:type="dxa"/>
            <w:tcBorders>
              <w:top w:val="nil"/>
              <w:left w:val="single" w:color="auto" w:sz="4" w:space="0"/>
              <w:bottom w:val="single" w:color="auto" w:sz="4" w:space="0"/>
              <w:right w:val="nil"/>
            </w:tcBorders>
            <w:shd w:val="clear" w:color="000000" w:fill="DDEBF7"/>
            <w:vAlign w:val="center"/>
            <w:hideMark/>
          </w:tcPr>
          <w:p w:rsidRPr="000711AD" w:rsidR="000711AD" w:rsidRDefault="000711AD" w14:paraId="79211404" w14:textId="77777777">
            <w:pPr>
              <w:jc w:val="center"/>
              <w:rPr>
                <w:rFonts w:ascii="Arial Narrow" w:hAnsi="Arial Narrow" w:cs="Calibri"/>
                <w:color w:val="000000"/>
                <w:sz w:val="16"/>
                <w:szCs w:val="16"/>
              </w:rPr>
            </w:pPr>
            <w:r w:rsidRPr="000711AD">
              <w:rPr>
                <w:rFonts w:ascii="Arial Narrow" w:hAnsi="Arial Narrow" w:cs="Calibri"/>
                <w:color w:val="000000"/>
                <w:sz w:val="16"/>
                <w:szCs w:val="16"/>
              </w:rPr>
              <w:t>Hours per Response</w:t>
            </w:r>
          </w:p>
        </w:tc>
        <w:tc>
          <w:tcPr>
            <w:tcW w:w="1117" w:type="dxa"/>
            <w:gridSpan w:val="2"/>
            <w:tcBorders>
              <w:top w:val="nil"/>
              <w:left w:val="single" w:color="auto" w:sz="4" w:space="0"/>
              <w:bottom w:val="single" w:color="auto" w:sz="4" w:space="0"/>
              <w:right w:val="single" w:color="auto" w:sz="4" w:space="0"/>
            </w:tcBorders>
            <w:shd w:val="clear" w:color="000000" w:fill="DDEBF7"/>
            <w:vAlign w:val="center"/>
            <w:hideMark/>
          </w:tcPr>
          <w:p w:rsidRPr="000711AD" w:rsidR="000711AD" w:rsidRDefault="000711AD" w14:paraId="0509D3C5" w14:textId="77777777">
            <w:pPr>
              <w:jc w:val="center"/>
              <w:rPr>
                <w:rFonts w:ascii="Arial Narrow" w:hAnsi="Arial Narrow" w:cs="Calibri"/>
                <w:color w:val="000000"/>
                <w:sz w:val="16"/>
                <w:szCs w:val="16"/>
              </w:rPr>
            </w:pPr>
            <w:r w:rsidRPr="000711AD">
              <w:rPr>
                <w:rFonts w:ascii="Arial Narrow" w:hAnsi="Arial Narrow" w:cs="Calibri"/>
                <w:color w:val="000000"/>
                <w:sz w:val="16"/>
                <w:szCs w:val="16"/>
              </w:rPr>
              <w:t>Total Annual Burden Hours</w:t>
            </w:r>
          </w:p>
        </w:tc>
      </w:tr>
      <w:tr w:rsidR="000711AD" w:rsidTr="00D3345D" w14:paraId="6C379468" w14:textId="77777777">
        <w:trPr>
          <w:gridAfter w:val="1"/>
          <w:wAfter w:w="7" w:type="dxa"/>
          <w:trHeight w:val="510"/>
        </w:trPr>
        <w:tc>
          <w:tcPr>
            <w:tcW w:w="1351" w:type="dxa"/>
            <w:tcBorders>
              <w:top w:val="nil"/>
              <w:left w:val="single" w:color="auto" w:sz="4" w:space="0"/>
              <w:bottom w:val="single" w:color="auto" w:sz="4" w:space="0"/>
              <w:right w:val="single" w:color="auto" w:sz="4" w:space="0"/>
            </w:tcBorders>
            <w:shd w:val="clear" w:color="auto" w:fill="auto"/>
            <w:vAlign w:val="center"/>
            <w:hideMark/>
          </w:tcPr>
          <w:p w:rsidRPr="000711AD" w:rsidR="000711AD" w:rsidRDefault="000711AD" w14:paraId="5F44E415" w14:textId="77777777">
            <w:pPr>
              <w:rPr>
                <w:rFonts w:ascii="Arial" w:hAnsi="Arial" w:cs="Arial"/>
                <w:color w:val="000000"/>
                <w:sz w:val="18"/>
                <w:szCs w:val="18"/>
              </w:rPr>
            </w:pPr>
            <w:r w:rsidRPr="000711AD">
              <w:rPr>
                <w:rFonts w:ascii="Arial" w:hAnsi="Arial" w:cs="Arial"/>
                <w:color w:val="000000"/>
                <w:sz w:val="18"/>
                <w:szCs w:val="18"/>
              </w:rPr>
              <w:t>708b.203(a), 708b.301(a)</w:t>
            </w:r>
          </w:p>
        </w:tc>
        <w:tc>
          <w:tcPr>
            <w:tcW w:w="3509"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70EEDF01" w14:textId="77777777">
            <w:pPr>
              <w:rPr>
                <w:rFonts w:ascii="Arial" w:hAnsi="Arial" w:cs="Arial"/>
                <w:color w:val="000000"/>
                <w:sz w:val="18"/>
                <w:szCs w:val="18"/>
              </w:rPr>
            </w:pPr>
            <w:r w:rsidRPr="000711AD">
              <w:rPr>
                <w:rFonts w:ascii="Arial" w:hAnsi="Arial" w:cs="Arial"/>
                <w:color w:val="000000"/>
                <w:sz w:val="18"/>
                <w:szCs w:val="18"/>
              </w:rPr>
              <w:t>Prepare the required conversion documents and submit the required information to NCUA</w:t>
            </w:r>
          </w:p>
        </w:tc>
        <w:tc>
          <w:tcPr>
            <w:tcW w:w="108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16EE205A" w14:textId="77777777">
            <w:pPr>
              <w:rPr>
                <w:rFonts w:ascii="Arial Narrow" w:hAnsi="Arial Narrow" w:cs="Arial"/>
                <w:color w:val="000000"/>
                <w:sz w:val="18"/>
                <w:szCs w:val="18"/>
              </w:rPr>
            </w:pPr>
            <w:r w:rsidRPr="000711AD">
              <w:rPr>
                <w:rFonts w:ascii="Arial Narrow" w:hAnsi="Arial Narrow" w:cs="Arial"/>
                <w:color w:val="000000"/>
                <w:sz w:val="18"/>
                <w:szCs w:val="18"/>
              </w:rPr>
              <w:t>Reporting</w:t>
            </w:r>
          </w:p>
        </w:tc>
        <w:tc>
          <w:tcPr>
            <w:tcW w:w="105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485BE141"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1073"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07DD5C2C" w14:textId="77777777">
            <w:pPr>
              <w:jc w:val="right"/>
              <w:rPr>
                <w:rFonts w:ascii="Arial" w:hAnsi="Arial" w:cs="Arial"/>
                <w:color w:val="000000"/>
                <w:sz w:val="18"/>
                <w:szCs w:val="18"/>
              </w:rPr>
            </w:pPr>
            <w:r w:rsidRPr="000711AD">
              <w:rPr>
                <w:rFonts w:ascii="Arial" w:hAnsi="Arial" w:cs="Arial"/>
                <w:color w:val="000000"/>
                <w:sz w:val="18"/>
                <w:szCs w:val="18"/>
              </w:rPr>
              <w:t>1</w:t>
            </w:r>
          </w:p>
        </w:tc>
        <w:tc>
          <w:tcPr>
            <w:tcW w:w="1080" w:type="dxa"/>
            <w:gridSpan w:val="2"/>
            <w:tcBorders>
              <w:top w:val="nil"/>
              <w:left w:val="nil"/>
              <w:bottom w:val="single" w:color="auto" w:sz="4" w:space="0"/>
              <w:right w:val="single" w:color="auto" w:sz="4" w:space="0"/>
            </w:tcBorders>
            <w:shd w:val="clear" w:color="auto" w:fill="auto"/>
            <w:vAlign w:val="center"/>
            <w:hideMark/>
          </w:tcPr>
          <w:p w:rsidRPr="000711AD" w:rsidR="000711AD" w:rsidRDefault="000711AD" w14:paraId="5225CA7E"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90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0ED61AB2"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1117" w:type="dxa"/>
            <w:gridSpan w:val="2"/>
            <w:tcBorders>
              <w:top w:val="nil"/>
              <w:left w:val="nil"/>
              <w:bottom w:val="single" w:color="auto" w:sz="4" w:space="0"/>
              <w:right w:val="single" w:color="auto" w:sz="4" w:space="0"/>
            </w:tcBorders>
            <w:shd w:val="clear" w:color="auto" w:fill="auto"/>
            <w:vAlign w:val="center"/>
            <w:hideMark/>
          </w:tcPr>
          <w:p w:rsidRPr="000711AD" w:rsidR="000711AD" w:rsidRDefault="000711AD" w14:paraId="46CAC6C0" w14:textId="77777777">
            <w:pPr>
              <w:jc w:val="right"/>
              <w:rPr>
                <w:rFonts w:ascii="Arial" w:hAnsi="Arial" w:cs="Arial"/>
                <w:color w:val="000000"/>
                <w:sz w:val="18"/>
                <w:szCs w:val="18"/>
              </w:rPr>
            </w:pPr>
            <w:r w:rsidRPr="000711AD">
              <w:rPr>
                <w:rFonts w:ascii="Arial" w:hAnsi="Arial" w:cs="Arial"/>
                <w:color w:val="000000"/>
                <w:sz w:val="18"/>
                <w:szCs w:val="18"/>
              </w:rPr>
              <w:t>16</w:t>
            </w:r>
          </w:p>
        </w:tc>
      </w:tr>
      <w:tr w:rsidR="000711AD" w:rsidTr="00D3345D" w14:paraId="713E7B97" w14:textId="77777777">
        <w:trPr>
          <w:gridAfter w:val="1"/>
          <w:wAfter w:w="7" w:type="dxa"/>
          <w:trHeight w:val="765"/>
        </w:trPr>
        <w:tc>
          <w:tcPr>
            <w:tcW w:w="1351" w:type="dxa"/>
            <w:tcBorders>
              <w:top w:val="nil"/>
              <w:left w:val="single" w:color="auto" w:sz="4" w:space="0"/>
              <w:bottom w:val="single" w:color="auto" w:sz="4" w:space="0"/>
              <w:right w:val="single" w:color="auto" w:sz="4" w:space="0"/>
            </w:tcBorders>
            <w:shd w:val="clear" w:color="auto" w:fill="auto"/>
            <w:vAlign w:val="center"/>
            <w:hideMark/>
          </w:tcPr>
          <w:p w:rsidRPr="000711AD" w:rsidR="000711AD" w:rsidRDefault="000711AD" w14:paraId="2B453FC3" w14:textId="77777777">
            <w:pPr>
              <w:rPr>
                <w:rFonts w:ascii="Arial" w:hAnsi="Arial" w:cs="Arial"/>
                <w:color w:val="000000"/>
                <w:sz w:val="18"/>
                <w:szCs w:val="18"/>
              </w:rPr>
            </w:pPr>
            <w:r w:rsidRPr="000711AD">
              <w:rPr>
                <w:rFonts w:ascii="Arial" w:hAnsi="Arial" w:cs="Arial"/>
                <w:color w:val="000000"/>
                <w:sz w:val="18"/>
                <w:szCs w:val="18"/>
              </w:rPr>
              <w:t>708b.204(a), 708b.301(b) and (c)</w:t>
            </w:r>
          </w:p>
        </w:tc>
        <w:tc>
          <w:tcPr>
            <w:tcW w:w="3509"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1AABD78F" w14:textId="77777777">
            <w:pPr>
              <w:rPr>
                <w:rFonts w:ascii="Arial" w:hAnsi="Arial" w:cs="Arial"/>
                <w:color w:val="000000"/>
                <w:sz w:val="18"/>
                <w:szCs w:val="18"/>
              </w:rPr>
            </w:pPr>
            <w:r w:rsidRPr="000711AD">
              <w:rPr>
                <w:rFonts w:ascii="Arial" w:hAnsi="Arial" w:cs="Arial"/>
                <w:color w:val="000000"/>
                <w:sz w:val="18"/>
                <w:szCs w:val="18"/>
              </w:rPr>
              <w:t>Notify members of the proposed conversion and send them the ballot</w:t>
            </w:r>
          </w:p>
        </w:tc>
        <w:tc>
          <w:tcPr>
            <w:tcW w:w="108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4D7959DF" w14:textId="77777777">
            <w:pPr>
              <w:rPr>
                <w:rFonts w:ascii="Arial Narrow" w:hAnsi="Arial Narrow" w:cs="Arial"/>
                <w:color w:val="000000"/>
                <w:sz w:val="18"/>
                <w:szCs w:val="18"/>
              </w:rPr>
            </w:pPr>
            <w:r w:rsidRPr="000711AD">
              <w:rPr>
                <w:rFonts w:ascii="Arial Narrow" w:hAnsi="Arial Narrow" w:cs="Arial"/>
                <w:color w:val="000000"/>
                <w:sz w:val="18"/>
                <w:szCs w:val="18"/>
              </w:rPr>
              <w:t>Third-party disclosure</w:t>
            </w:r>
          </w:p>
        </w:tc>
        <w:tc>
          <w:tcPr>
            <w:tcW w:w="105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4379A072"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1073"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2C0D067D" w14:textId="77777777">
            <w:pPr>
              <w:jc w:val="right"/>
              <w:rPr>
                <w:rFonts w:ascii="Arial" w:hAnsi="Arial" w:cs="Arial"/>
                <w:color w:val="000000"/>
                <w:sz w:val="18"/>
                <w:szCs w:val="18"/>
              </w:rPr>
            </w:pPr>
            <w:r w:rsidRPr="000711AD">
              <w:rPr>
                <w:rFonts w:ascii="Arial" w:hAnsi="Arial" w:cs="Arial"/>
                <w:color w:val="000000"/>
                <w:sz w:val="18"/>
                <w:szCs w:val="18"/>
              </w:rPr>
              <w:t>1</w:t>
            </w:r>
          </w:p>
        </w:tc>
        <w:tc>
          <w:tcPr>
            <w:tcW w:w="1080" w:type="dxa"/>
            <w:gridSpan w:val="2"/>
            <w:tcBorders>
              <w:top w:val="nil"/>
              <w:left w:val="nil"/>
              <w:bottom w:val="single" w:color="auto" w:sz="4" w:space="0"/>
              <w:right w:val="single" w:color="auto" w:sz="4" w:space="0"/>
            </w:tcBorders>
            <w:shd w:val="clear" w:color="auto" w:fill="auto"/>
            <w:vAlign w:val="center"/>
            <w:hideMark/>
          </w:tcPr>
          <w:p w:rsidRPr="000711AD" w:rsidR="000711AD" w:rsidRDefault="000711AD" w14:paraId="0ABEB16B"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90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50A91EB3" w14:textId="77777777">
            <w:pPr>
              <w:jc w:val="right"/>
              <w:rPr>
                <w:rFonts w:ascii="Arial" w:hAnsi="Arial" w:cs="Arial"/>
                <w:color w:val="000000"/>
                <w:sz w:val="18"/>
                <w:szCs w:val="18"/>
              </w:rPr>
            </w:pPr>
            <w:r w:rsidRPr="000711AD">
              <w:rPr>
                <w:rFonts w:ascii="Arial" w:hAnsi="Arial" w:cs="Arial"/>
                <w:color w:val="000000"/>
                <w:sz w:val="18"/>
                <w:szCs w:val="18"/>
              </w:rPr>
              <w:t>7</w:t>
            </w:r>
          </w:p>
        </w:tc>
        <w:tc>
          <w:tcPr>
            <w:tcW w:w="1117" w:type="dxa"/>
            <w:gridSpan w:val="2"/>
            <w:tcBorders>
              <w:top w:val="nil"/>
              <w:left w:val="nil"/>
              <w:bottom w:val="single" w:color="auto" w:sz="4" w:space="0"/>
              <w:right w:val="single" w:color="auto" w:sz="4" w:space="0"/>
            </w:tcBorders>
            <w:shd w:val="clear" w:color="auto" w:fill="auto"/>
            <w:vAlign w:val="center"/>
            <w:hideMark/>
          </w:tcPr>
          <w:p w:rsidRPr="000711AD" w:rsidR="000711AD" w:rsidRDefault="000711AD" w14:paraId="030BA826" w14:textId="77777777">
            <w:pPr>
              <w:jc w:val="right"/>
              <w:rPr>
                <w:rFonts w:ascii="Arial" w:hAnsi="Arial" w:cs="Arial"/>
                <w:color w:val="000000"/>
                <w:sz w:val="18"/>
                <w:szCs w:val="18"/>
              </w:rPr>
            </w:pPr>
            <w:r w:rsidRPr="000711AD">
              <w:rPr>
                <w:rFonts w:ascii="Arial" w:hAnsi="Arial" w:cs="Arial"/>
                <w:color w:val="000000"/>
                <w:sz w:val="18"/>
                <w:szCs w:val="18"/>
              </w:rPr>
              <w:t>28</w:t>
            </w:r>
          </w:p>
        </w:tc>
      </w:tr>
      <w:tr w:rsidR="000711AD" w:rsidTr="00D3345D" w14:paraId="7F5E5F06" w14:textId="77777777">
        <w:trPr>
          <w:gridAfter w:val="1"/>
          <w:wAfter w:w="7" w:type="dxa"/>
          <w:trHeight w:val="765"/>
        </w:trPr>
        <w:tc>
          <w:tcPr>
            <w:tcW w:w="1351" w:type="dxa"/>
            <w:tcBorders>
              <w:top w:val="nil"/>
              <w:left w:val="single" w:color="auto" w:sz="4" w:space="0"/>
              <w:bottom w:val="single" w:color="auto" w:sz="4" w:space="0"/>
              <w:right w:val="single" w:color="auto" w:sz="4" w:space="0"/>
            </w:tcBorders>
            <w:shd w:val="clear" w:color="auto" w:fill="auto"/>
            <w:vAlign w:val="center"/>
            <w:hideMark/>
          </w:tcPr>
          <w:p w:rsidRPr="000711AD" w:rsidR="000711AD" w:rsidRDefault="000711AD" w14:paraId="05183C22" w14:textId="77777777">
            <w:pPr>
              <w:rPr>
                <w:rFonts w:ascii="Arial" w:hAnsi="Arial" w:cs="Arial"/>
                <w:color w:val="000000"/>
                <w:sz w:val="18"/>
                <w:szCs w:val="18"/>
              </w:rPr>
            </w:pPr>
            <w:r w:rsidRPr="000711AD">
              <w:rPr>
                <w:rFonts w:ascii="Arial" w:hAnsi="Arial" w:cs="Arial"/>
                <w:color w:val="000000"/>
                <w:sz w:val="18"/>
                <w:szCs w:val="18"/>
              </w:rPr>
              <w:t>708b.206(b)</w:t>
            </w:r>
          </w:p>
        </w:tc>
        <w:tc>
          <w:tcPr>
            <w:tcW w:w="3509"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0DC79A87" w14:textId="77777777">
            <w:pPr>
              <w:rPr>
                <w:rFonts w:ascii="Arial" w:hAnsi="Arial" w:cs="Arial"/>
                <w:color w:val="000000"/>
                <w:sz w:val="18"/>
                <w:szCs w:val="18"/>
              </w:rPr>
            </w:pPr>
            <w:r w:rsidRPr="000711AD">
              <w:rPr>
                <w:rFonts w:ascii="Arial" w:hAnsi="Arial" w:cs="Arial"/>
                <w:color w:val="000000"/>
                <w:sz w:val="18"/>
                <w:szCs w:val="18"/>
              </w:rPr>
              <w:t>Provide the required insurance disclosures in other communication that the credit union plans to send its members</w:t>
            </w:r>
          </w:p>
        </w:tc>
        <w:tc>
          <w:tcPr>
            <w:tcW w:w="108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3D7FED08" w14:textId="77777777">
            <w:pPr>
              <w:rPr>
                <w:rFonts w:ascii="Arial Narrow" w:hAnsi="Arial Narrow" w:cs="Arial"/>
                <w:color w:val="000000"/>
                <w:sz w:val="18"/>
                <w:szCs w:val="18"/>
              </w:rPr>
            </w:pPr>
            <w:r w:rsidRPr="000711AD">
              <w:rPr>
                <w:rFonts w:ascii="Arial Narrow" w:hAnsi="Arial Narrow" w:cs="Arial"/>
                <w:color w:val="000000"/>
                <w:sz w:val="18"/>
                <w:szCs w:val="18"/>
              </w:rPr>
              <w:t>Third-party disclosure</w:t>
            </w:r>
          </w:p>
        </w:tc>
        <w:tc>
          <w:tcPr>
            <w:tcW w:w="105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6FB52A63"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1073"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14281A0B" w14:textId="77777777">
            <w:pPr>
              <w:jc w:val="right"/>
              <w:rPr>
                <w:rFonts w:ascii="Arial" w:hAnsi="Arial" w:cs="Arial"/>
                <w:color w:val="000000"/>
                <w:sz w:val="18"/>
                <w:szCs w:val="18"/>
              </w:rPr>
            </w:pPr>
            <w:r w:rsidRPr="000711AD">
              <w:rPr>
                <w:rFonts w:ascii="Arial" w:hAnsi="Arial" w:cs="Arial"/>
                <w:color w:val="000000"/>
                <w:sz w:val="18"/>
                <w:szCs w:val="18"/>
              </w:rPr>
              <w:t>1</w:t>
            </w:r>
          </w:p>
        </w:tc>
        <w:tc>
          <w:tcPr>
            <w:tcW w:w="1080" w:type="dxa"/>
            <w:gridSpan w:val="2"/>
            <w:tcBorders>
              <w:top w:val="nil"/>
              <w:left w:val="nil"/>
              <w:bottom w:val="single" w:color="auto" w:sz="4" w:space="0"/>
              <w:right w:val="single" w:color="auto" w:sz="4" w:space="0"/>
            </w:tcBorders>
            <w:shd w:val="clear" w:color="auto" w:fill="auto"/>
            <w:vAlign w:val="center"/>
            <w:hideMark/>
          </w:tcPr>
          <w:p w:rsidRPr="000711AD" w:rsidR="000711AD" w:rsidRDefault="000711AD" w14:paraId="617BD80F"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90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671C9CE6" w14:textId="77777777">
            <w:pPr>
              <w:jc w:val="right"/>
              <w:rPr>
                <w:rFonts w:ascii="Arial" w:hAnsi="Arial" w:cs="Arial"/>
                <w:color w:val="000000"/>
                <w:sz w:val="18"/>
                <w:szCs w:val="18"/>
              </w:rPr>
            </w:pPr>
            <w:r w:rsidRPr="000711AD">
              <w:rPr>
                <w:rFonts w:ascii="Arial" w:hAnsi="Arial" w:cs="Arial"/>
                <w:color w:val="000000"/>
                <w:sz w:val="18"/>
                <w:szCs w:val="18"/>
              </w:rPr>
              <w:t>2</w:t>
            </w:r>
          </w:p>
        </w:tc>
        <w:tc>
          <w:tcPr>
            <w:tcW w:w="1117" w:type="dxa"/>
            <w:gridSpan w:val="2"/>
            <w:tcBorders>
              <w:top w:val="nil"/>
              <w:left w:val="nil"/>
              <w:bottom w:val="single" w:color="auto" w:sz="4" w:space="0"/>
              <w:right w:val="single" w:color="auto" w:sz="4" w:space="0"/>
            </w:tcBorders>
            <w:shd w:val="clear" w:color="auto" w:fill="auto"/>
            <w:vAlign w:val="center"/>
            <w:hideMark/>
          </w:tcPr>
          <w:p w:rsidRPr="000711AD" w:rsidR="000711AD" w:rsidRDefault="000711AD" w14:paraId="4FBC2182" w14:textId="77777777">
            <w:pPr>
              <w:jc w:val="right"/>
              <w:rPr>
                <w:rFonts w:ascii="Arial" w:hAnsi="Arial" w:cs="Arial"/>
                <w:color w:val="000000"/>
                <w:sz w:val="18"/>
                <w:szCs w:val="18"/>
              </w:rPr>
            </w:pPr>
            <w:r w:rsidRPr="000711AD">
              <w:rPr>
                <w:rFonts w:ascii="Arial" w:hAnsi="Arial" w:cs="Arial"/>
                <w:color w:val="000000"/>
                <w:sz w:val="18"/>
                <w:szCs w:val="18"/>
              </w:rPr>
              <w:t>8</w:t>
            </w:r>
          </w:p>
        </w:tc>
      </w:tr>
      <w:tr w:rsidR="000711AD" w:rsidTr="00D3345D" w14:paraId="42FA5A25" w14:textId="77777777">
        <w:trPr>
          <w:gridAfter w:val="1"/>
          <w:wAfter w:w="7" w:type="dxa"/>
          <w:trHeight w:val="315"/>
        </w:trPr>
        <w:tc>
          <w:tcPr>
            <w:tcW w:w="1351" w:type="dxa"/>
            <w:tcBorders>
              <w:top w:val="nil"/>
              <w:left w:val="single" w:color="auto" w:sz="4" w:space="0"/>
              <w:bottom w:val="single" w:color="auto" w:sz="4" w:space="0"/>
              <w:right w:val="single" w:color="auto" w:sz="4" w:space="0"/>
            </w:tcBorders>
            <w:shd w:val="clear" w:color="auto" w:fill="auto"/>
            <w:vAlign w:val="center"/>
            <w:hideMark/>
          </w:tcPr>
          <w:p w:rsidRPr="000711AD" w:rsidR="000711AD" w:rsidRDefault="000711AD" w14:paraId="62707179" w14:textId="77777777">
            <w:pPr>
              <w:rPr>
                <w:rFonts w:ascii="Arial" w:hAnsi="Arial" w:cs="Arial"/>
                <w:color w:val="000000"/>
                <w:sz w:val="18"/>
                <w:szCs w:val="18"/>
              </w:rPr>
            </w:pPr>
            <w:r w:rsidRPr="000711AD">
              <w:rPr>
                <w:rFonts w:ascii="Arial" w:hAnsi="Arial" w:cs="Arial"/>
                <w:color w:val="000000"/>
                <w:sz w:val="18"/>
                <w:szCs w:val="18"/>
              </w:rPr>
              <w:t>708b.301(d)</w:t>
            </w:r>
          </w:p>
        </w:tc>
        <w:tc>
          <w:tcPr>
            <w:tcW w:w="3509"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0EBE1862" w14:textId="77777777">
            <w:pPr>
              <w:rPr>
                <w:rFonts w:ascii="Arial" w:hAnsi="Arial" w:cs="Arial"/>
                <w:color w:val="000000"/>
                <w:sz w:val="18"/>
                <w:szCs w:val="18"/>
              </w:rPr>
            </w:pPr>
            <w:r w:rsidRPr="000711AD">
              <w:rPr>
                <w:rFonts w:ascii="Arial" w:hAnsi="Arial" w:cs="Arial"/>
                <w:color w:val="000000"/>
                <w:sz w:val="18"/>
                <w:szCs w:val="18"/>
              </w:rPr>
              <w:t>Notify NCUA of the results of the conversion vote</w:t>
            </w:r>
          </w:p>
        </w:tc>
        <w:tc>
          <w:tcPr>
            <w:tcW w:w="108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2DBA30E2" w14:textId="77777777">
            <w:pPr>
              <w:rPr>
                <w:rFonts w:ascii="Arial Narrow" w:hAnsi="Arial Narrow" w:cs="Arial"/>
                <w:color w:val="000000"/>
                <w:sz w:val="18"/>
                <w:szCs w:val="18"/>
              </w:rPr>
            </w:pPr>
            <w:r w:rsidRPr="000711AD">
              <w:rPr>
                <w:rFonts w:ascii="Arial Narrow" w:hAnsi="Arial Narrow" w:cs="Arial"/>
                <w:color w:val="000000"/>
                <w:sz w:val="18"/>
                <w:szCs w:val="18"/>
              </w:rPr>
              <w:t>Reporting</w:t>
            </w:r>
          </w:p>
        </w:tc>
        <w:tc>
          <w:tcPr>
            <w:tcW w:w="105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5AF21A4D"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1073"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14E7F1C3" w14:textId="77777777">
            <w:pPr>
              <w:jc w:val="right"/>
              <w:rPr>
                <w:rFonts w:ascii="Arial" w:hAnsi="Arial" w:cs="Arial"/>
                <w:color w:val="000000"/>
                <w:sz w:val="18"/>
                <w:szCs w:val="18"/>
              </w:rPr>
            </w:pPr>
            <w:r w:rsidRPr="000711AD">
              <w:rPr>
                <w:rFonts w:ascii="Arial" w:hAnsi="Arial" w:cs="Arial"/>
                <w:color w:val="000000"/>
                <w:sz w:val="18"/>
                <w:szCs w:val="18"/>
              </w:rPr>
              <w:t>1</w:t>
            </w:r>
          </w:p>
        </w:tc>
        <w:tc>
          <w:tcPr>
            <w:tcW w:w="1080" w:type="dxa"/>
            <w:gridSpan w:val="2"/>
            <w:tcBorders>
              <w:top w:val="nil"/>
              <w:left w:val="nil"/>
              <w:bottom w:val="single" w:color="auto" w:sz="4" w:space="0"/>
              <w:right w:val="single" w:color="auto" w:sz="4" w:space="0"/>
            </w:tcBorders>
            <w:shd w:val="clear" w:color="auto" w:fill="auto"/>
            <w:vAlign w:val="center"/>
            <w:hideMark/>
          </w:tcPr>
          <w:p w:rsidRPr="000711AD" w:rsidR="000711AD" w:rsidRDefault="000711AD" w14:paraId="21328DFF"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900" w:type="dxa"/>
            <w:tcBorders>
              <w:top w:val="nil"/>
              <w:left w:val="nil"/>
              <w:bottom w:val="single" w:color="auto" w:sz="4" w:space="0"/>
              <w:right w:val="single" w:color="auto" w:sz="4" w:space="0"/>
            </w:tcBorders>
            <w:shd w:val="clear" w:color="auto" w:fill="auto"/>
            <w:vAlign w:val="center"/>
            <w:hideMark/>
          </w:tcPr>
          <w:p w:rsidRPr="000711AD" w:rsidR="000711AD" w:rsidRDefault="000711AD" w14:paraId="2B7E4668" w14:textId="77777777">
            <w:pPr>
              <w:jc w:val="right"/>
              <w:rPr>
                <w:rFonts w:ascii="Arial" w:hAnsi="Arial" w:cs="Arial"/>
                <w:color w:val="000000"/>
                <w:sz w:val="18"/>
                <w:szCs w:val="18"/>
              </w:rPr>
            </w:pPr>
            <w:r w:rsidRPr="000711AD">
              <w:rPr>
                <w:rFonts w:ascii="Arial" w:hAnsi="Arial" w:cs="Arial"/>
                <w:color w:val="000000"/>
                <w:sz w:val="18"/>
                <w:szCs w:val="18"/>
              </w:rPr>
              <w:t>1</w:t>
            </w:r>
          </w:p>
        </w:tc>
        <w:tc>
          <w:tcPr>
            <w:tcW w:w="1117" w:type="dxa"/>
            <w:gridSpan w:val="2"/>
            <w:tcBorders>
              <w:top w:val="nil"/>
              <w:left w:val="nil"/>
              <w:bottom w:val="single" w:color="auto" w:sz="4" w:space="0"/>
              <w:right w:val="single" w:color="auto" w:sz="4" w:space="0"/>
            </w:tcBorders>
            <w:shd w:val="clear" w:color="auto" w:fill="auto"/>
            <w:vAlign w:val="center"/>
            <w:hideMark/>
          </w:tcPr>
          <w:p w:rsidRPr="000711AD" w:rsidR="000711AD" w:rsidRDefault="000711AD" w14:paraId="265FC44C" w14:textId="77777777">
            <w:pPr>
              <w:jc w:val="right"/>
              <w:rPr>
                <w:rFonts w:ascii="Arial" w:hAnsi="Arial" w:cs="Arial"/>
                <w:color w:val="000000"/>
                <w:sz w:val="18"/>
                <w:szCs w:val="18"/>
              </w:rPr>
            </w:pPr>
            <w:r w:rsidRPr="000711AD">
              <w:rPr>
                <w:rFonts w:ascii="Arial" w:hAnsi="Arial" w:cs="Arial"/>
                <w:color w:val="000000"/>
                <w:sz w:val="18"/>
                <w:szCs w:val="18"/>
              </w:rPr>
              <w:t>4</w:t>
            </w:r>
          </w:p>
        </w:tc>
      </w:tr>
      <w:tr w:rsidR="000711AD" w:rsidTr="00D3345D" w14:paraId="16EF99FA" w14:textId="77777777">
        <w:trPr>
          <w:gridAfter w:val="1"/>
          <w:wAfter w:w="7" w:type="dxa"/>
          <w:trHeight w:val="525"/>
        </w:trPr>
        <w:tc>
          <w:tcPr>
            <w:tcW w:w="1351" w:type="dxa"/>
            <w:tcBorders>
              <w:top w:val="nil"/>
              <w:left w:val="single" w:color="auto" w:sz="4" w:space="0"/>
              <w:bottom w:val="single" w:color="auto" w:sz="8" w:space="0"/>
              <w:right w:val="single" w:color="auto" w:sz="4" w:space="0"/>
            </w:tcBorders>
            <w:shd w:val="clear" w:color="auto" w:fill="auto"/>
            <w:vAlign w:val="center"/>
            <w:hideMark/>
          </w:tcPr>
          <w:p w:rsidRPr="000711AD" w:rsidR="000711AD" w:rsidRDefault="000711AD" w14:paraId="196122AC" w14:textId="77777777">
            <w:pPr>
              <w:rPr>
                <w:rFonts w:ascii="Arial" w:hAnsi="Arial" w:cs="Arial"/>
                <w:color w:val="000000"/>
                <w:sz w:val="18"/>
                <w:szCs w:val="18"/>
              </w:rPr>
            </w:pPr>
            <w:r w:rsidRPr="000711AD">
              <w:rPr>
                <w:rFonts w:ascii="Arial" w:hAnsi="Arial" w:cs="Arial"/>
                <w:color w:val="000000"/>
                <w:sz w:val="18"/>
                <w:szCs w:val="18"/>
              </w:rPr>
              <w:t>708b.204(c)</w:t>
            </w:r>
          </w:p>
        </w:tc>
        <w:tc>
          <w:tcPr>
            <w:tcW w:w="3509" w:type="dxa"/>
            <w:tcBorders>
              <w:top w:val="nil"/>
              <w:left w:val="nil"/>
              <w:bottom w:val="single" w:color="auto" w:sz="8" w:space="0"/>
              <w:right w:val="single" w:color="auto" w:sz="4" w:space="0"/>
            </w:tcBorders>
            <w:shd w:val="clear" w:color="auto" w:fill="auto"/>
            <w:vAlign w:val="center"/>
            <w:hideMark/>
          </w:tcPr>
          <w:p w:rsidRPr="000711AD" w:rsidR="000711AD" w:rsidRDefault="000711AD" w14:paraId="3E7BE32C" w14:textId="77777777">
            <w:pPr>
              <w:rPr>
                <w:rFonts w:ascii="Arial" w:hAnsi="Arial" w:cs="Arial"/>
                <w:color w:val="000000"/>
                <w:sz w:val="18"/>
                <w:szCs w:val="18"/>
              </w:rPr>
            </w:pPr>
            <w:r w:rsidRPr="000711AD">
              <w:rPr>
                <w:rFonts w:ascii="Arial" w:hAnsi="Arial" w:cs="Arial"/>
                <w:color w:val="000000"/>
                <w:sz w:val="18"/>
                <w:szCs w:val="18"/>
              </w:rPr>
              <w:t>Provide members notice of conversion of insurance</w:t>
            </w:r>
          </w:p>
        </w:tc>
        <w:tc>
          <w:tcPr>
            <w:tcW w:w="1080" w:type="dxa"/>
            <w:tcBorders>
              <w:top w:val="nil"/>
              <w:left w:val="nil"/>
              <w:bottom w:val="single" w:color="auto" w:sz="8" w:space="0"/>
              <w:right w:val="single" w:color="auto" w:sz="4" w:space="0"/>
            </w:tcBorders>
            <w:shd w:val="clear" w:color="auto" w:fill="auto"/>
            <w:vAlign w:val="center"/>
            <w:hideMark/>
          </w:tcPr>
          <w:p w:rsidRPr="000711AD" w:rsidR="000711AD" w:rsidRDefault="000711AD" w14:paraId="31C6DBC9" w14:textId="77777777">
            <w:pPr>
              <w:rPr>
                <w:rFonts w:ascii="Arial Narrow" w:hAnsi="Arial Narrow" w:cs="Arial"/>
                <w:color w:val="000000"/>
                <w:sz w:val="18"/>
                <w:szCs w:val="18"/>
              </w:rPr>
            </w:pPr>
            <w:r w:rsidRPr="000711AD">
              <w:rPr>
                <w:rFonts w:ascii="Arial Narrow" w:hAnsi="Arial Narrow" w:cs="Arial"/>
                <w:color w:val="000000"/>
                <w:sz w:val="18"/>
                <w:szCs w:val="18"/>
              </w:rPr>
              <w:t>Third-party disclosure</w:t>
            </w:r>
          </w:p>
        </w:tc>
        <w:tc>
          <w:tcPr>
            <w:tcW w:w="1050" w:type="dxa"/>
            <w:tcBorders>
              <w:top w:val="nil"/>
              <w:left w:val="nil"/>
              <w:bottom w:val="single" w:color="auto" w:sz="8" w:space="0"/>
              <w:right w:val="single" w:color="auto" w:sz="4" w:space="0"/>
            </w:tcBorders>
            <w:shd w:val="clear" w:color="auto" w:fill="auto"/>
            <w:vAlign w:val="center"/>
            <w:hideMark/>
          </w:tcPr>
          <w:p w:rsidRPr="000711AD" w:rsidR="000711AD" w:rsidRDefault="000711AD" w14:paraId="34EA8ED4"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1073" w:type="dxa"/>
            <w:tcBorders>
              <w:top w:val="nil"/>
              <w:left w:val="nil"/>
              <w:bottom w:val="single" w:color="auto" w:sz="8" w:space="0"/>
              <w:right w:val="single" w:color="auto" w:sz="4" w:space="0"/>
            </w:tcBorders>
            <w:shd w:val="clear" w:color="auto" w:fill="auto"/>
            <w:vAlign w:val="center"/>
            <w:hideMark/>
          </w:tcPr>
          <w:p w:rsidRPr="000711AD" w:rsidR="000711AD" w:rsidRDefault="000711AD" w14:paraId="25762891" w14:textId="77777777">
            <w:pPr>
              <w:jc w:val="right"/>
              <w:rPr>
                <w:rFonts w:ascii="Arial" w:hAnsi="Arial" w:cs="Arial"/>
                <w:color w:val="000000"/>
                <w:sz w:val="18"/>
                <w:szCs w:val="18"/>
              </w:rPr>
            </w:pPr>
            <w:r w:rsidRPr="000711AD">
              <w:rPr>
                <w:rFonts w:ascii="Arial" w:hAnsi="Arial" w:cs="Arial"/>
                <w:color w:val="000000"/>
                <w:sz w:val="18"/>
                <w:szCs w:val="18"/>
              </w:rPr>
              <w:t>1</w:t>
            </w:r>
          </w:p>
        </w:tc>
        <w:tc>
          <w:tcPr>
            <w:tcW w:w="1080" w:type="dxa"/>
            <w:gridSpan w:val="2"/>
            <w:tcBorders>
              <w:top w:val="nil"/>
              <w:left w:val="nil"/>
              <w:bottom w:val="single" w:color="auto" w:sz="8" w:space="0"/>
              <w:right w:val="single" w:color="auto" w:sz="4" w:space="0"/>
            </w:tcBorders>
            <w:shd w:val="clear" w:color="auto" w:fill="auto"/>
            <w:vAlign w:val="center"/>
            <w:hideMark/>
          </w:tcPr>
          <w:p w:rsidRPr="000711AD" w:rsidR="000711AD" w:rsidRDefault="000711AD" w14:paraId="40FF1C71"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900" w:type="dxa"/>
            <w:tcBorders>
              <w:top w:val="nil"/>
              <w:left w:val="nil"/>
              <w:bottom w:val="single" w:color="auto" w:sz="8" w:space="0"/>
              <w:right w:val="single" w:color="auto" w:sz="4" w:space="0"/>
            </w:tcBorders>
            <w:shd w:val="clear" w:color="auto" w:fill="auto"/>
            <w:vAlign w:val="center"/>
            <w:hideMark/>
          </w:tcPr>
          <w:p w:rsidRPr="000711AD" w:rsidR="000711AD" w:rsidRDefault="000711AD" w14:paraId="15F2E5C2" w14:textId="77777777">
            <w:pPr>
              <w:jc w:val="right"/>
              <w:rPr>
                <w:rFonts w:ascii="Arial" w:hAnsi="Arial" w:cs="Arial"/>
                <w:color w:val="000000"/>
                <w:sz w:val="18"/>
                <w:szCs w:val="18"/>
              </w:rPr>
            </w:pPr>
            <w:r w:rsidRPr="000711AD">
              <w:rPr>
                <w:rFonts w:ascii="Arial" w:hAnsi="Arial" w:cs="Arial"/>
                <w:color w:val="000000"/>
                <w:sz w:val="18"/>
                <w:szCs w:val="18"/>
              </w:rPr>
              <w:t>1</w:t>
            </w:r>
          </w:p>
        </w:tc>
        <w:tc>
          <w:tcPr>
            <w:tcW w:w="1117" w:type="dxa"/>
            <w:gridSpan w:val="2"/>
            <w:tcBorders>
              <w:top w:val="nil"/>
              <w:left w:val="nil"/>
              <w:bottom w:val="single" w:color="auto" w:sz="8" w:space="0"/>
              <w:right w:val="single" w:color="auto" w:sz="4" w:space="0"/>
            </w:tcBorders>
            <w:shd w:val="clear" w:color="auto" w:fill="auto"/>
            <w:vAlign w:val="center"/>
            <w:hideMark/>
          </w:tcPr>
          <w:p w:rsidRPr="000711AD" w:rsidR="000711AD" w:rsidRDefault="000711AD" w14:paraId="2264FAA0" w14:textId="77777777">
            <w:pPr>
              <w:jc w:val="right"/>
              <w:rPr>
                <w:rFonts w:ascii="Arial" w:hAnsi="Arial" w:cs="Arial"/>
                <w:color w:val="000000"/>
                <w:sz w:val="18"/>
                <w:szCs w:val="18"/>
              </w:rPr>
            </w:pPr>
            <w:r w:rsidRPr="000711AD">
              <w:rPr>
                <w:rFonts w:ascii="Arial" w:hAnsi="Arial" w:cs="Arial"/>
                <w:color w:val="000000"/>
                <w:sz w:val="18"/>
                <w:szCs w:val="18"/>
              </w:rPr>
              <w:t>4</w:t>
            </w:r>
          </w:p>
        </w:tc>
      </w:tr>
      <w:tr w:rsidR="000711AD" w:rsidTr="00D3345D" w14:paraId="4C6C2F32" w14:textId="77777777">
        <w:trPr>
          <w:trHeight w:val="375"/>
        </w:trPr>
        <w:tc>
          <w:tcPr>
            <w:tcW w:w="5940" w:type="dxa"/>
            <w:gridSpan w:val="3"/>
            <w:tcBorders>
              <w:top w:val="single" w:color="auto" w:sz="8" w:space="0"/>
              <w:left w:val="single" w:color="auto" w:sz="4" w:space="0"/>
              <w:bottom w:val="single" w:color="auto" w:sz="4" w:space="0"/>
              <w:right w:val="single" w:color="000000" w:sz="4" w:space="0"/>
            </w:tcBorders>
            <w:shd w:val="clear" w:color="auto" w:fill="auto"/>
            <w:noWrap/>
            <w:vAlign w:val="center"/>
            <w:hideMark/>
          </w:tcPr>
          <w:p w:rsidRPr="000711AD" w:rsidR="000711AD" w:rsidRDefault="000711AD" w14:paraId="00F2DB19" w14:textId="77777777">
            <w:pPr>
              <w:jc w:val="right"/>
              <w:rPr>
                <w:rFonts w:ascii="Arial" w:hAnsi="Arial" w:cs="Arial"/>
                <w:color w:val="000000"/>
                <w:sz w:val="18"/>
                <w:szCs w:val="18"/>
              </w:rPr>
            </w:pPr>
            <w:r w:rsidRPr="000711AD">
              <w:rPr>
                <w:rFonts w:ascii="Arial" w:hAnsi="Arial" w:cs="Arial"/>
                <w:color w:val="000000"/>
                <w:sz w:val="18"/>
                <w:szCs w:val="18"/>
              </w:rPr>
              <w:t>TOTAL</w:t>
            </w:r>
          </w:p>
        </w:tc>
        <w:tc>
          <w:tcPr>
            <w:tcW w:w="1050" w:type="dxa"/>
            <w:tcBorders>
              <w:top w:val="nil"/>
              <w:left w:val="nil"/>
              <w:bottom w:val="single" w:color="auto" w:sz="4" w:space="0"/>
              <w:right w:val="single" w:color="auto" w:sz="4" w:space="0"/>
            </w:tcBorders>
            <w:shd w:val="clear" w:color="auto" w:fill="auto"/>
            <w:noWrap/>
            <w:vAlign w:val="center"/>
            <w:hideMark/>
          </w:tcPr>
          <w:p w:rsidRPr="000711AD" w:rsidR="000711AD" w:rsidRDefault="000711AD" w14:paraId="7FCC084C" w14:textId="77777777">
            <w:pPr>
              <w:jc w:val="right"/>
              <w:rPr>
                <w:rFonts w:ascii="Arial" w:hAnsi="Arial" w:cs="Arial"/>
                <w:color w:val="000000"/>
                <w:sz w:val="18"/>
                <w:szCs w:val="18"/>
              </w:rPr>
            </w:pPr>
            <w:r w:rsidRPr="000711AD">
              <w:rPr>
                <w:rFonts w:ascii="Arial" w:hAnsi="Arial" w:cs="Arial"/>
                <w:color w:val="000000"/>
                <w:sz w:val="18"/>
                <w:szCs w:val="18"/>
              </w:rPr>
              <w:t>4</w:t>
            </w:r>
          </w:p>
        </w:tc>
        <w:tc>
          <w:tcPr>
            <w:tcW w:w="1080" w:type="dxa"/>
            <w:gridSpan w:val="2"/>
            <w:tcBorders>
              <w:top w:val="nil"/>
              <w:left w:val="nil"/>
              <w:bottom w:val="single" w:color="auto" w:sz="4" w:space="0"/>
              <w:right w:val="single" w:color="auto" w:sz="4" w:space="0"/>
            </w:tcBorders>
            <w:shd w:val="clear" w:color="auto" w:fill="auto"/>
            <w:noWrap/>
            <w:vAlign w:val="center"/>
            <w:hideMark/>
          </w:tcPr>
          <w:p w:rsidRPr="000711AD" w:rsidR="000711AD" w:rsidRDefault="000711AD" w14:paraId="516750FB" w14:textId="77777777">
            <w:pPr>
              <w:jc w:val="right"/>
              <w:rPr>
                <w:rFonts w:ascii="Arial" w:hAnsi="Arial" w:cs="Arial"/>
                <w:color w:val="000000"/>
                <w:sz w:val="18"/>
                <w:szCs w:val="18"/>
              </w:rPr>
            </w:pPr>
            <w:r w:rsidRPr="000711AD">
              <w:rPr>
                <w:rFonts w:ascii="Arial" w:hAnsi="Arial" w:cs="Arial"/>
                <w:color w:val="000000"/>
                <w:sz w:val="18"/>
                <w:szCs w:val="18"/>
              </w:rPr>
              <w:t>5</w:t>
            </w:r>
          </w:p>
        </w:tc>
        <w:tc>
          <w:tcPr>
            <w:tcW w:w="1073" w:type="dxa"/>
            <w:tcBorders>
              <w:top w:val="nil"/>
              <w:left w:val="nil"/>
              <w:bottom w:val="single" w:color="auto" w:sz="4" w:space="0"/>
              <w:right w:val="single" w:color="auto" w:sz="4" w:space="0"/>
            </w:tcBorders>
            <w:shd w:val="clear" w:color="auto" w:fill="auto"/>
            <w:noWrap/>
            <w:vAlign w:val="center"/>
            <w:hideMark/>
          </w:tcPr>
          <w:p w:rsidRPr="000711AD" w:rsidR="000711AD" w:rsidRDefault="000711AD" w14:paraId="039A9EDB" w14:textId="77777777">
            <w:pPr>
              <w:jc w:val="right"/>
              <w:rPr>
                <w:rFonts w:ascii="Arial" w:hAnsi="Arial" w:cs="Arial"/>
                <w:color w:val="000000"/>
                <w:sz w:val="18"/>
                <w:szCs w:val="18"/>
              </w:rPr>
            </w:pPr>
            <w:r w:rsidRPr="000711AD">
              <w:rPr>
                <w:rFonts w:ascii="Arial" w:hAnsi="Arial" w:cs="Arial"/>
                <w:color w:val="000000"/>
                <w:sz w:val="18"/>
                <w:szCs w:val="18"/>
              </w:rPr>
              <w:t>20</w:t>
            </w:r>
          </w:p>
        </w:tc>
        <w:tc>
          <w:tcPr>
            <w:tcW w:w="907" w:type="dxa"/>
            <w:gridSpan w:val="2"/>
            <w:tcBorders>
              <w:top w:val="nil"/>
              <w:left w:val="nil"/>
              <w:bottom w:val="single" w:color="auto" w:sz="4" w:space="0"/>
              <w:right w:val="single" w:color="auto" w:sz="4" w:space="0"/>
            </w:tcBorders>
            <w:shd w:val="clear" w:color="auto" w:fill="auto"/>
            <w:noWrap/>
            <w:vAlign w:val="center"/>
            <w:hideMark/>
          </w:tcPr>
          <w:p w:rsidRPr="000711AD" w:rsidR="000711AD" w:rsidRDefault="000711AD" w14:paraId="5DCCD9B9" w14:textId="77777777">
            <w:pPr>
              <w:jc w:val="right"/>
              <w:rPr>
                <w:rFonts w:ascii="Arial" w:hAnsi="Arial" w:cs="Arial"/>
                <w:color w:val="000000"/>
                <w:sz w:val="18"/>
                <w:szCs w:val="18"/>
              </w:rPr>
            </w:pPr>
            <w:r w:rsidRPr="000711AD">
              <w:rPr>
                <w:rFonts w:ascii="Arial" w:hAnsi="Arial" w:cs="Arial"/>
                <w:color w:val="000000"/>
                <w:sz w:val="18"/>
                <w:szCs w:val="18"/>
              </w:rPr>
              <w:t>3</w:t>
            </w:r>
          </w:p>
        </w:tc>
        <w:tc>
          <w:tcPr>
            <w:tcW w:w="1117" w:type="dxa"/>
            <w:gridSpan w:val="2"/>
            <w:tcBorders>
              <w:top w:val="nil"/>
              <w:left w:val="nil"/>
              <w:bottom w:val="single" w:color="auto" w:sz="4" w:space="0"/>
              <w:right w:val="single" w:color="auto" w:sz="4" w:space="0"/>
            </w:tcBorders>
            <w:shd w:val="clear" w:color="auto" w:fill="auto"/>
            <w:vAlign w:val="center"/>
            <w:hideMark/>
          </w:tcPr>
          <w:p w:rsidRPr="000711AD" w:rsidR="000711AD" w:rsidRDefault="000711AD" w14:paraId="16C987D2" w14:textId="77777777">
            <w:pPr>
              <w:jc w:val="right"/>
              <w:rPr>
                <w:rFonts w:ascii="Arial" w:hAnsi="Arial" w:cs="Arial"/>
                <w:color w:val="000000"/>
                <w:sz w:val="18"/>
                <w:szCs w:val="18"/>
              </w:rPr>
            </w:pPr>
            <w:r w:rsidRPr="000711AD">
              <w:rPr>
                <w:rFonts w:ascii="Arial" w:hAnsi="Arial" w:cs="Arial"/>
                <w:color w:val="000000"/>
                <w:sz w:val="18"/>
                <w:szCs w:val="18"/>
              </w:rPr>
              <w:t>60</w:t>
            </w:r>
          </w:p>
        </w:tc>
      </w:tr>
    </w:tbl>
    <w:p w:rsidR="000711AD" w:rsidP="00B41267" w:rsidRDefault="000711AD" w14:paraId="356A1541" w14:textId="705B400D">
      <w:pPr>
        <w:pStyle w:val="NoSpacing"/>
      </w:pPr>
    </w:p>
    <w:p w:rsidR="000711AD" w:rsidP="00B41267" w:rsidRDefault="000711AD" w14:paraId="4E68A189" w14:textId="77777777">
      <w:pPr>
        <w:pStyle w:val="NoSpacing"/>
        <w:sectPr w:rsidR="000711AD" w:rsidSect="00B14E32">
          <w:type w:val="continuous"/>
          <w:pgSz w:w="12240" w:h="15840"/>
          <w:pgMar w:top="1440" w:right="1440" w:bottom="1440" w:left="1440" w:header="720" w:footer="720" w:gutter="0"/>
          <w:cols w:space="720"/>
          <w:docGrid w:linePitch="360"/>
        </w:sectPr>
      </w:pPr>
    </w:p>
    <w:p w:rsidRPr="00365E21" w:rsidR="00940951" w:rsidP="00AD4A8E" w:rsidRDefault="00940951" w14:paraId="23F0A695" w14:textId="67037599">
      <w:pPr>
        <w:rPr>
          <w:b/>
          <w:u w:val="single"/>
        </w:rPr>
      </w:pPr>
      <w:r w:rsidRPr="00753B95">
        <w:rPr>
          <w:b/>
          <w:u w:val="single"/>
        </w:rPr>
        <w:t xml:space="preserve">Share Insurance </w:t>
      </w:r>
      <w:r w:rsidRPr="00AD4A8E">
        <w:rPr>
          <w:b/>
          <w:u w:val="single"/>
        </w:rPr>
        <w:t>Termination</w:t>
      </w:r>
      <w:r w:rsidRPr="00AD4A8E" w:rsidR="006D087C">
        <w:rPr>
          <w:b/>
          <w:u w:val="single"/>
        </w:rPr>
        <w:t>s</w:t>
      </w:r>
      <w:r w:rsidR="00365E21">
        <w:rPr>
          <w:b/>
        </w:rPr>
        <w:t xml:space="preserve">:  </w:t>
      </w:r>
      <w:r w:rsidRPr="00365E21" w:rsidR="00E31E47">
        <w:t>Currently</w:t>
      </w:r>
      <w:r w:rsidR="00E31E47">
        <w:t xml:space="preserve"> no credit unions have engaged in share insurance terminations.  If one or more credit unions does engage in a voluntary termination of insurance in the future, NCUA estimates there will be minimal burden in the form of collections of information on those credit unions.  </w:t>
      </w:r>
      <w:r w:rsidR="00A16C5D">
        <w:t xml:space="preserve">One respondent and response is being used as a placeholder associated with this information collection activity.  </w:t>
      </w:r>
      <w:r w:rsidR="00E31E47">
        <w:t xml:space="preserve">Since there has been no activity under this information collection, a </w:t>
      </w:r>
      <w:r w:rsidR="00A16C5D">
        <w:t>zero labor cost is being reported</w:t>
      </w:r>
      <w:r w:rsidR="00E31E47">
        <w:t xml:space="preserve">.  </w:t>
      </w:r>
    </w:p>
    <w:p w:rsidR="00365E21" w:rsidP="00940951" w:rsidRDefault="00365E21" w14:paraId="0FE8091F" w14:textId="77777777">
      <w:pPr>
        <w:pStyle w:val="NoSpacing"/>
        <w:sectPr w:rsidR="00365E21" w:rsidSect="00B14E32">
          <w:type w:val="continuous"/>
          <w:pgSz w:w="12240" w:h="15840"/>
          <w:pgMar w:top="1440" w:right="1440" w:bottom="1440" w:left="1440" w:header="720" w:footer="720" w:gutter="0"/>
          <w:cols w:space="720"/>
          <w:docGrid w:linePitch="360"/>
        </w:sectPr>
      </w:pPr>
    </w:p>
    <w:p w:rsidR="0085137F" w:rsidP="00940951" w:rsidRDefault="0085137F" w14:paraId="6233699C" w14:textId="05E4B66B">
      <w:pPr>
        <w:pStyle w:val="NoSpacing"/>
      </w:pPr>
    </w:p>
    <w:tbl>
      <w:tblPr>
        <w:tblW w:w="11080" w:type="dxa"/>
        <w:tblInd w:w="-905" w:type="dxa"/>
        <w:tblLook w:val="04A0" w:firstRow="1" w:lastRow="0" w:firstColumn="1" w:lastColumn="0" w:noHBand="0" w:noVBand="1"/>
      </w:tblPr>
      <w:tblGrid>
        <w:gridCol w:w="1407"/>
        <w:gridCol w:w="3453"/>
        <w:gridCol w:w="1080"/>
        <w:gridCol w:w="990"/>
        <w:gridCol w:w="990"/>
        <w:gridCol w:w="1170"/>
        <w:gridCol w:w="900"/>
        <w:gridCol w:w="1080"/>
        <w:gridCol w:w="10"/>
      </w:tblGrid>
      <w:tr w:rsidR="00365E21" w:rsidTr="00D3345D" w14:paraId="44F3CCCB" w14:textId="77777777">
        <w:trPr>
          <w:trHeight w:val="300"/>
        </w:trPr>
        <w:tc>
          <w:tcPr>
            <w:tcW w:w="11080" w:type="dxa"/>
            <w:gridSpan w:val="9"/>
            <w:tcBorders>
              <w:top w:val="single" w:color="auto" w:sz="4" w:space="0"/>
              <w:left w:val="single" w:color="auto" w:sz="4" w:space="0"/>
              <w:bottom w:val="single" w:color="auto" w:sz="4" w:space="0"/>
              <w:right w:val="single" w:color="000000" w:sz="4" w:space="0"/>
            </w:tcBorders>
            <w:shd w:val="clear" w:color="000000" w:fill="D9D9D9"/>
            <w:noWrap/>
            <w:vAlign w:val="center"/>
            <w:hideMark/>
          </w:tcPr>
          <w:p w:rsidR="00365E21" w:rsidRDefault="00365E21" w14:paraId="49C92741" w14:textId="77777777">
            <w:pPr>
              <w:jc w:val="center"/>
              <w:rPr>
                <w:rFonts w:ascii="Arial Rounded MT Bold" w:hAnsi="Arial Rounded MT Bold" w:cs="Calibri"/>
                <w:color w:val="000000"/>
                <w:sz w:val="22"/>
                <w:szCs w:val="22"/>
              </w:rPr>
            </w:pPr>
            <w:r>
              <w:rPr>
                <w:rFonts w:ascii="Arial Rounded MT Bold" w:hAnsi="Arial Rounded MT Bold" w:cs="Calibri"/>
                <w:color w:val="000000"/>
                <w:sz w:val="22"/>
                <w:szCs w:val="22"/>
              </w:rPr>
              <w:t>Share Insurance Terminations</w:t>
            </w:r>
          </w:p>
        </w:tc>
      </w:tr>
      <w:tr w:rsidR="00365E21" w:rsidTr="00D3345D" w14:paraId="6F1160FF" w14:textId="77777777">
        <w:trPr>
          <w:gridAfter w:val="1"/>
          <w:wAfter w:w="10" w:type="dxa"/>
          <w:trHeight w:val="540"/>
        </w:trPr>
        <w:tc>
          <w:tcPr>
            <w:tcW w:w="1407" w:type="dxa"/>
            <w:tcBorders>
              <w:top w:val="nil"/>
              <w:left w:val="single" w:color="auto" w:sz="4" w:space="0"/>
              <w:bottom w:val="single" w:color="auto" w:sz="4" w:space="0"/>
              <w:right w:val="single" w:color="auto" w:sz="4" w:space="0"/>
            </w:tcBorders>
            <w:shd w:val="clear" w:color="000000" w:fill="DDEBF7"/>
            <w:vAlign w:val="center"/>
            <w:hideMark/>
          </w:tcPr>
          <w:p w:rsidRPr="00365E21" w:rsidR="00365E21" w:rsidRDefault="00365E21" w14:paraId="58045BF7" w14:textId="77777777">
            <w:pPr>
              <w:jc w:val="center"/>
              <w:rPr>
                <w:rFonts w:ascii="Arial Narrow" w:hAnsi="Arial Narrow" w:cs="Calibri"/>
                <w:color w:val="000000"/>
                <w:sz w:val="16"/>
                <w:szCs w:val="16"/>
              </w:rPr>
            </w:pPr>
            <w:r w:rsidRPr="00365E21">
              <w:rPr>
                <w:rFonts w:ascii="Arial Narrow" w:hAnsi="Arial Narrow" w:cs="Calibri"/>
                <w:color w:val="000000"/>
                <w:sz w:val="16"/>
                <w:szCs w:val="16"/>
              </w:rPr>
              <w:t>12 CFR</w:t>
            </w:r>
          </w:p>
        </w:tc>
        <w:tc>
          <w:tcPr>
            <w:tcW w:w="3453" w:type="dxa"/>
            <w:tcBorders>
              <w:top w:val="nil"/>
              <w:left w:val="nil"/>
              <w:bottom w:val="single" w:color="auto" w:sz="4" w:space="0"/>
              <w:right w:val="single" w:color="auto" w:sz="4" w:space="0"/>
            </w:tcBorders>
            <w:shd w:val="clear" w:color="000000" w:fill="DDEBF7"/>
            <w:vAlign w:val="center"/>
            <w:hideMark/>
          </w:tcPr>
          <w:p w:rsidRPr="00365E21" w:rsidR="00365E21" w:rsidRDefault="00365E21" w14:paraId="3A48F2DD" w14:textId="77777777">
            <w:pPr>
              <w:jc w:val="center"/>
              <w:rPr>
                <w:rFonts w:ascii="Arial Narrow" w:hAnsi="Arial Narrow" w:cs="Calibri"/>
                <w:color w:val="000000"/>
                <w:sz w:val="16"/>
                <w:szCs w:val="16"/>
              </w:rPr>
            </w:pPr>
            <w:r w:rsidRPr="00365E21">
              <w:rPr>
                <w:rFonts w:ascii="Arial Narrow" w:hAnsi="Arial Narrow" w:cs="Calibri"/>
                <w:color w:val="000000"/>
                <w:sz w:val="16"/>
                <w:szCs w:val="16"/>
              </w:rPr>
              <w:t>Information Collection</w:t>
            </w:r>
          </w:p>
        </w:tc>
        <w:tc>
          <w:tcPr>
            <w:tcW w:w="1080" w:type="dxa"/>
            <w:tcBorders>
              <w:top w:val="nil"/>
              <w:left w:val="nil"/>
              <w:bottom w:val="single" w:color="auto" w:sz="4" w:space="0"/>
              <w:right w:val="nil"/>
            </w:tcBorders>
            <w:shd w:val="clear" w:color="000000" w:fill="DDEBF7"/>
            <w:vAlign w:val="center"/>
            <w:hideMark/>
          </w:tcPr>
          <w:p w:rsidRPr="00365E21" w:rsidR="00365E21" w:rsidRDefault="00365E21" w14:paraId="1B99E3DA" w14:textId="77777777">
            <w:pPr>
              <w:jc w:val="center"/>
              <w:rPr>
                <w:rFonts w:ascii="Arial Narrow" w:hAnsi="Arial Narrow" w:cs="Calibri"/>
                <w:color w:val="000000"/>
                <w:sz w:val="16"/>
                <w:szCs w:val="16"/>
              </w:rPr>
            </w:pPr>
            <w:r w:rsidRPr="00365E21">
              <w:rPr>
                <w:rFonts w:ascii="Arial Narrow" w:hAnsi="Arial Narrow" w:cs="Calibri"/>
                <w:color w:val="000000"/>
                <w:sz w:val="16"/>
                <w:szCs w:val="16"/>
              </w:rPr>
              <w:t>Burden Type</w:t>
            </w:r>
          </w:p>
        </w:tc>
        <w:tc>
          <w:tcPr>
            <w:tcW w:w="990" w:type="dxa"/>
            <w:tcBorders>
              <w:top w:val="nil"/>
              <w:left w:val="single" w:color="auto" w:sz="4" w:space="0"/>
              <w:bottom w:val="single" w:color="auto" w:sz="4" w:space="0"/>
              <w:right w:val="nil"/>
            </w:tcBorders>
            <w:shd w:val="clear" w:color="000000" w:fill="DDEBF7"/>
            <w:vAlign w:val="center"/>
            <w:hideMark/>
          </w:tcPr>
          <w:p w:rsidRPr="00365E21" w:rsidR="00365E21" w:rsidRDefault="00365E21" w14:paraId="79C6D452" w14:textId="234CA263">
            <w:pPr>
              <w:jc w:val="center"/>
              <w:rPr>
                <w:rFonts w:ascii="Arial Narrow" w:hAnsi="Arial Narrow" w:cs="Calibri"/>
                <w:color w:val="000000"/>
                <w:sz w:val="16"/>
                <w:szCs w:val="16"/>
              </w:rPr>
            </w:pPr>
            <w:r w:rsidRPr="00365E21">
              <w:rPr>
                <w:rFonts w:ascii="Arial Narrow" w:hAnsi="Arial Narrow" w:cs="Calibri"/>
                <w:color w:val="000000"/>
                <w:sz w:val="16"/>
                <w:szCs w:val="16"/>
              </w:rPr>
              <w:t># Annual Respondents</w:t>
            </w:r>
          </w:p>
        </w:tc>
        <w:tc>
          <w:tcPr>
            <w:tcW w:w="990" w:type="dxa"/>
            <w:tcBorders>
              <w:top w:val="nil"/>
              <w:left w:val="single" w:color="auto" w:sz="4" w:space="0"/>
              <w:bottom w:val="single" w:color="auto" w:sz="4" w:space="0"/>
              <w:right w:val="nil"/>
            </w:tcBorders>
            <w:shd w:val="clear" w:color="000000" w:fill="DDEBF7"/>
            <w:vAlign w:val="center"/>
            <w:hideMark/>
          </w:tcPr>
          <w:p w:rsidRPr="00365E21" w:rsidR="00365E21" w:rsidRDefault="00365E21" w14:paraId="5BCC3B7C" w14:textId="77777777">
            <w:pPr>
              <w:jc w:val="center"/>
              <w:rPr>
                <w:rFonts w:ascii="Arial Narrow" w:hAnsi="Arial Narrow" w:cs="Calibri"/>
                <w:color w:val="000000"/>
                <w:sz w:val="16"/>
                <w:szCs w:val="16"/>
              </w:rPr>
            </w:pPr>
            <w:r w:rsidRPr="00365E21">
              <w:rPr>
                <w:rFonts w:ascii="Arial Narrow" w:hAnsi="Arial Narrow" w:cs="Calibri"/>
                <w:color w:val="000000"/>
                <w:sz w:val="16"/>
                <w:szCs w:val="16"/>
              </w:rPr>
              <w:t># Responses per Respondent</w:t>
            </w:r>
          </w:p>
        </w:tc>
        <w:tc>
          <w:tcPr>
            <w:tcW w:w="1170" w:type="dxa"/>
            <w:tcBorders>
              <w:top w:val="nil"/>
              <w:left w:val="single" w:color="auto" w:sz="4" w:space="0"/>
              <w:bottom w:val="single" w:color="auto" w:sz="4" w:space="0"/>
              <w:right w:val="nil"/>
            </w:tcBorders>
            <w:shd w:val="clear" w:color="000000" w:fill="DDEBF7"/>
            <w:vAlign w:val="center"/>
            <w:hideMark/>
          </w:tcPr>
          <w:p w:rsidRPr="00365E21" w:rsidR="00365E21" w:rsidRDefault="00365E21" w14:paraId="4512DAE4" w14:textId="77777777">
            <w:pPr>
              <w:jc w:val="center"/>
              <w:rPr>
                <w:rFonts w:ascii="Arial Narrow" w:hAnsi="Arial Narrow" w:cs="Calibri"/>
                <w:color w:val="000000"/>
                <w:sz w:val="16"/>
                <w:szCs w:val="16"/>
              </w:rPr>
            </w:pPr>
            <w:r w:rsidRPr="00365E21">
              <w:rPr>
                <w:rFonts w:ascii="Arial Narrow" w:hAnsi="Arial Narrow" w:cs="Calibri"/>
                <w:color w:val="000000"/>
                <w:sz w:val="16"/>
                <w:szCs w:val="16"/>
              </w:rPr>
              <w:t>Annual # Responses</w:t>
            </w:r>
          </w:p>
        </w:tc>
        <w:tc>
          <w:tcPr>
            <w:tcW w:w="900" w:type="dxa"/>
            <w:tcBorders>
              <w:top w:val="nil"/>
              <w:left w:val="single" w:color="auto" w:sz="4" w:space="0"/>
              <w:bottom w:val="single" w:color="auto" w:sz="4" w:space="0"/>
              <w:right w:val="nil"/>
            </w:tcBorders>
            <w:shd w:val="clear" w:color="000000" w:fill="DDEBF7"/>
            <w:vAlign w:val="center"/>
            <w:hideMark/>
          </w:tcPr>
          <w:p w:rsidRPr="00365E21" w:rsidR="00365E21" w:rsidRDefault="00365E21" w14:paraId="7F64244E" w14:textId="77777777">
            <w:pPr>
              <w:jc w:val="center"/>
              <w:rPr>
                <w:rFonts w:ascii="Arial Narrow" w:hAnsi="Arial Narrow" w:cs="Calibri"/>
                <w:color w:val="000000"/>
                <w:sz w:val="16"/>
                <w:szCs w:val="16"/>
              </w:rPr>
            </w:pPr>
            <w:r w:rsidRPr="00365E21">
              <w:rPr>
                <w:rFonts w:ascii="Arial Narrow" w:hAnsi="Arial Narrow" w:cs="Calibri"/>
                <w:color w:val="000000"/>
                <w:sz w:val="16"/>
                <w:szCs w:val="16"/>
              </w:rPr>
              <w:t>Hours per Response</w:t>
            </w:r>
          </w:p>
        </w:tc>
        <w:tc>
          <w:tcPr>
            <w:tcW w:w="1080" w:type="dxa"/>
            <w:tcBorders>
              <w:top w:val="nil"/>
              <w:left w:val="single" w:color="auto" w:sz="4" w:space="0"/>
              <w:bottom w:val="single" w:color="auto" w:sz="4" w:space="0"/>
              <w:right w:val="single" w:color="auto" w:sz="4" w:space="0"/>
            </w:tcBorders>
            <w:shd w:val="clear" w:color="000000" w:fill="DDEBF7"/>
            <w:vAlign w:val="center"/>
            <w:hideMark/>
          </w:tcPr>
          <w:p w:rsidR="00365E21" w:rsidRDefault="00365E21" w14:paraId="3FD1CF7A" w14:textId="77777777">
            <w:pPr>
              <w:jc w:val="center"/>
              <w:rPr>
                <w:rFonts w:ascii="Arial Narrow" w:hAnsi="Arial Narrow" w:cs="Calibri"/>
                <w:color w:val="000000"/>
                <w:sz w:val="18"/>
                <w:szCs w:val="18"/>
              </w:rPr>
            </w:pPr>
            <w:r>
              <w:rPr>
                <w:rFonts w:ascii="Arial Narrow" w:hAnsi="Arial Narrow" w:cs="Calibri"/>
                <w:color w:val="000000"/>
                <w:sz w:val="18"/>
                <w:szCs w:val="18"/>
              </w:rPr>
              <w:t>Total Annual Burden Hours</w:t>
            </w:r>
          </w:p>
        </w:tc>
      </w:tr>
      <w:tr w:rsidR="00365E21" w:rsidTr="00D3345D" w14:paraId="7E56348C" w14:textId="77777777">
        <w:trPr>
          <w:gridAfter w:val="1"/>
          <w:wAfter w:w="10" w:type="dxa"/>
          <w:trHeight w:val="510"/>
        </w:trPr>
        <w:tc>
          <w:tcPr>
            <w:tcW w:w="1407" w:type="dxa"/>
            <w:tcBorders>
              <w:top w:val="nil"/>
              <w:left w:val="single" w:color="auto" w:sz="4" w:space="0"/>
              <w:bottom w:val="single" w:color="auto" w:sz="4" w:space="0"/>
              <w:right w:val="single" w:color="auto" w:sz="4" w:space="0"/>
            </w:tcBorders>
            <w:shd w:val="clear" w:color="auto" w:fill="auto"/>
            <w:vAlign w:val="center"/>
            <w:hideMark/>
          </w:tcPr>
          <w:p w:rsidRPr="00365E21" w:rsidR="00365E21" w:rsidRDefault="00365E21" w14:paraId="08C30323" w14:textId="77777777">
            <w:pPr>
              <w:rPr>
                <w:rFonts w:ascii="Arial" w:hAnsi="Arial" w:cs="Arial"/>
                <w:color w:val="000000"/>
                <w:sz w:val="18"/>
                <w:szCs w:val="18"/>
              </w:rPr>
            </w:pPr>
            <w:r w:rsidRPr="00365E21">
              <w:rPr>
                <w:rFonts w:ascii="Arial" w:hAnsi="Arial" w:cs="Arial"/>
                <w:color w:val="000000"/>
                <w:sz w:val="18"/>
                <w:szCs w:val="18"/>
              </w:rPr>
              <w:t>708b.201(d)</w:t>
            </w:r>
          </w:p>
        </w:tc>
        <w:tc>
          <w:tcPr>
            <w:tcW w:w="3453"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3C5C09CA" w14:textId="77777777">
            <w:pPr>
              <w:rPr>
                <w:rFonts w:ascii="Arial" w:hAnsi="Arial" w:cs="Arial"/>
                <w:color w:val="000000"/>
                <w:sz w:val="18"/>
                <w:szCs w:val="18"/>
              </w:rPr>
            </w:pPr>
            <w:r w:rsidRPr="00365E21">
              <w:rPr>
                <w:rFonts w:ascii="Arial" w:hAnsi="Arial" w:cs="Arial"/>
                <w:color w:val="000000"/>
                <w:sz w:val="18"/>
                <w:szCs w:val="18"/>
              </w:rPr>
              <w:t>Prepare the required termination documents and submit the required information to NCUA</w:t>
            </w:r>
          </w:p>
        </w:tc>
        <w:tc>
          <w:tcPr>
            <w:tcW w:w="1080" w:type="dxa"/>
            <w:tcBorders>
              <w:top w:val="nil"/>
              <w:left w:val="nil"/>
              <w:bottom w:val="single" w:color="auto" w:sz="4" w:space="0"/>
              <w:right w:val="single" w:color="auto" w:sz="4" w:space="0"/>
            </w:tcBorders>
            <w:shd w:val="clear" w:color="auto" w:fill="auto"/>
            <w:vAlign w:val="center"/>
            <w:hideMark/>
          </w:tcPr>
          <w:p w:rsidRPr="00D3345D" w:rsidR="00365E21" w:rsidRDefault="00365E21" w14:paraId="31F06D70" w14:textId="77777777">
            <w:pPr>
              <w:rPr>
                <w:rFonts w:ascii="Arial Narrow" w:hAnsi="Arial Narrow" w:cs="Arial"/>
                <w:color w:val="000000"/>
                <w:sz w:val="18"/>
                <w:szCs w:val="18"/>
              </w:rPr>
            </w:pPr>
            <w:r w:rsidRPr="00D3345D">
              <w:rPr>
                <w:rFonts w:ascii="Arial Narrow" w:hAnsi="Arial Narrow" w:cs="Arial"/>
                <w:color w:val="000000"/>
                <w:sz w:val="18"/>
                <w:szCs w:val="18"/>
              </w:rPr>
              <w:t>Reporting</w:t>
            </w:r>
          </w:p>
        </w:tc>
        <w:tc>
          <w:tcPr>
            <w:tcW w:w="99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6FA34078" w14:textId="77777777">
            <w:pPr>
              <w:jc w:val="right"/>
              <w:rPr>
                <w:rFonts w:ascii="Arial" w:hAnsi="Arial" w:cs="Arial"/>
                <w:color w:val="000000"/>
                <w:sz w:val="18"/>
                <w:szCs w:val="18"/>
              </w:rPr>
            </w:pPr>
            <w:r w:rsidRPr="00365E21">
              <w:rPr>
                <w:rFonts w:ascii="Arial" w:hAnsi="Arial" w:cs="Arial"/>
                <w:color w:val="000000"/>
                <w:sz w:val="18"/>
                <w:szCs w:val="18"/>
              </w:rPr>
              <w:t>1</w:t>
            </w:r>
          </w:p>
        </w:tc>
        <w:tc>
          <w:tcPr>
            <w:tcW w:w="99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64ED332D" w14:textId="77777777">
            <w:pPr>
              <w:jc w:val="right"/>
              <w:rPr>
                <w:rFonts w:ascii="Arial" w:hAnsi="Arial" w:cs="Arial"/>
                <w:color w:val="000000"/>
                <w:sz w:val="18"/>
                <w:szCs w:val="18"/>
              </w:rPr>
            </w:pPr>
            <w:r w:rsidRPr="00365E21">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7AD141A7" w14:textId="77777777">
            <w:pPr>
              <w:jc w:val="right"/>
              <w:rPr>
                <w:rFonts w:ascii="Arial" w:hAnsi="Arial" w:cs="Arial"/>
                <w:color w:val="000000"/>
                <w:sz w:val="18"/>
                <w:szCs w:val="18"/>
              </w:rPr>
            </w:pPr>
            <w:r w:rsidRPr="00365E21">
              <w:rPr>
                <w:rFonts w:ascii="Arial" w:hAnsi="Arial" w:cs="Arial"/>
                <w:color w:val="000000"/>
                <w:sz w:val="18"/>
                <w:szCs w:val="18"/>
              </w:rPr>
              <w:t>1</w:t>
            </w:r>
          </w:p>
        </w:tc>
        <w:tc>
          <w:tcPr>
            <w:tcW w:w="90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48D08A9F" w14:textId="77777777">
            <w:pPr>
              <w:jc w:val="right"/>
              <w:rPr>
                <w:rFonts w:ascii="Arial" w:hAnsi="Arial" w:cs="Arial"/>
                <w:color w:val="000000"/>
                <w:sz w:val="18"/>
                <w:szCs w:val="18"/>
              </w:rPr>
            </w:pPr>
            <w:r w:rsidRPr="00365E21">
              <w:rPr>
                <w:rFonts w:ascii="Arial" w:hAnsi="Arial" w:cs="Arial"/>
                <w:color w:val="000000"/>
                <w:sz w:val="18"/>
                <w:szCs w:val="18"/>
              </w:rPr>
              <w:t>4</w:t>
            </w:r>
          </w:p>
        </w:tc>
        <w:tc>
          <w:tcPr>
            <w:tcW w:w="1080" w:type="dxa"/>
            <w:tcBorders>
              <w:top w:val="nil"/>
              <w:left w:val="nil"/>
              <w:bottom w:val="single" w:color="auto" w:sz="4" w:space="0"/>
              <w:right w:val="single" w:color="auto" w:sz="4" w:space="0"/>
            </w:tcBorders>
            <w:shd w:val="clear" w:color="auto" w:fill="auto"/>
            <w:vAlign w:val="center"/>
            <w:hideMark/>
          </w:tcPr>
          <w:p w:rsidR="00365E21" w:rsidRDefault="00365E21" w14:paraId="0362BF6C" w14:textId="77777777">
            <w:pPr>
              <w:jc w:val="right"/>
              <w:rPr>
                <w:rFonts w:ascii="Arial" w:hAnsi="Arial" w:cs="Arial"/>
                <w:color w:val="000000"/>
                <w:sz w:val="20"/>
                <w:szCs w:val="20"/>
              </w:rPr>
            </w:pPr>
            <w:r>
              <w:rPr>
                <w:rFonts w:ascii="Arial" w:hAnsi="Arial" w:cs="Arial"/>
                <w:color w:val="000000"/>
                <w:sz w:val="20"/>
                <w:szCs w:val="20"/>
              </w:rPr>
              <w:t>4</w:t>
            </w:r>
          </w:p>
        </w:tc>
      </w:tr>
      <w:tr w:rsidR="00365E21" w:rsidTr="00D3345D" w14:paraId="1C6632AD" w14:textId="77777777">
        <w:trPr>
          <w:gridAfter w:val="1"/>
          <w:wAfter w:w="10" w:type="dxa"/>
          <w:trHeight w:val="510"/>
        </w:trPr>
        <w:tc>
          <w:tcPr>
            <w:tcW w:w="1407" w:type="dxa"/>
            <w:tcBorders>
              <w:top w:val="nil"/>
              <w:left w:val="single" w:color="auto" w:sz="4" w:space="0"/>
              <w:bottom w:val="single" w:color="auto" w:sz="4" w:space="0"/>
              <w:right w:val="single" w:color="auto" w:sz="4" w:space="0"/>
            </w:tcBorders>
            <w:shd w:val="clear" w:color="auto" w:fill="auto"/>
            <w:vAlign w:val="center"/>
            <w:hideMark/>
          </w:tcPr>
          <w:p w:rsidRPr="00365E21" w:rsidR="00365E21" w:rsidRDefault="00365E21" w14:paraId="4C2AE667" w14:textId="77777777">
            <w:pPr>
              <w:rPr>
                <w:rFonts w:ascii="Arial" w:hAnsi="Arial" w:cs="Arial"/>
                <w:color w:val="000000"/>
                <w:sz w:val="18"/>
                <w:szCs w:val="18"/>
              </w:rPr>
            </w:pPr>
            <w:r w:rsidRPr="00365E21">
              <w:rPr>
                <w:rFonts w:ascii="Arial" w:hAnsi="Arial" w:cs="Arial"/>
                <w:color w:val="000000"/>
                <w:sz w:val="18"/>
                <w:szCs w:val="18"/>
              </w:rPr>
              <w:t>708b.202(a)</w:t>
            </w:r>
          </w:p>
        </w:tc>
        <w:tc>
          <w:tcPr>
            <w:tcW w:w="3453"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24D5EDE3" w14:textId="77777777">
            <w:pPr>
              <w:rPr>
                <w:rFonts w:ascii="Arial" w:hAnsi="Arial" w:cs="Arial"/>
                <w:color w:val="000000"/>
                <w:sz w:val="18"/>
                <w:szCs w:val="18"/>
              </w:rPr>
            </w:pPr>
            <w:r w:rsidRPr="00365E21">
              <w:rPr>
                <w:rFonts w:ascii="Arial" w:hAnsi="Arial" w:cs="Arial"/>
                <w:color w:val="000000"/>
                <w:sz w:val="18"/>
                <w:szCs w:val="18"/>
              </w:rPr>
              <w:t>Notify the members of the proposed termination and send them to ballot</w:t>
            </w:r>
          </w:p>
        </w:tc>
        <w:tc>
          <w:tcPr>
            <w:tcW w:w="1080" w:type="dxa"/>
            <w:tcBorders>
              <w:top w:val="nil"/>
              <w:left w:val="nil"/>
              <w:bottom w:val="single" w:color="auto" w:sz="4" w:space="0"/>
              <w:right w:val="single" w:color="auto" w:sz="4" w:space="0"/>
            </w:tcBorders>
            <w:shd w:val="clear" w:color="auto" w:fill="auto"/>
            <w:vAlign w:val="center"/>
            <w:hideMark/>
          </w:tcPr>
          <w:p w:rsidRPr="00D3345D" w:rsidR="00365E21" w:rsidRDefault="00365E21" w14:paraId="3E13E998" w14:textId="77777777">
            <w:pPr>
              <w:rPr>
                <w:rFonts w:ascii="Arial Narrow" w:hAnsi="Arial Narrow" w:cs="Arial"/>
                <w:color w:val="000000"/>
                <w:sz w:val="18"/>
                <w:szCs w:val="18"/>
              </w:rPr>
            </w:pPr>
            <w:r w:rsidRPr="00D3345D">
              <w:rPr>
                <w:rFonts w:ascii="Arial Narrow" w:hAnsi="Arial Narrow" w:cs="Arial"/>
                <w:color w:val="000000"/>
                <w:sz w:val="18"/>
                <w:szCs w:val="18"/>
              </w:rPr>
              <w:t>Third-party disclosure</w:t>
            </w:r>
          </w:p>
        </w:tc>
        <w:tc>
          <w:tcPr>
            <w:tcW w:w="99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1CF534AD" w14:textId="77777777">
            <w:pPr>
              <w:jc w:val="right"/>
              <w:rPr>
                <w:rFonts w:ascii="Arial" w:hAnsi="Arial" w:cs="Arial"/>
                <w:color w:val="000000"/>
                <w:sz w:val="18"/>
                <w:szCs w:val="18"/>
              </w:rPr>
            </w:pPr>
            <w:r w:rsidRPr="00365E21">
              <w:rPr>
                <w:rFonts w:ascii="Arial" w:hAnsi="Arial" w:cs="Arial"/>
                <w:color w:val="000000"/>
                <w:sz w:val="18"/>
                <w:szCs w:val="18"/>
              </w:rPr>
              <w:t>1</w:t>
            </w:r>
          </w:p>
        </w:tc>
        <w:tc>
          <w:tcPr>
            <w:tcW w:w="99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05F29D21" w14:textId="77777777">
            <w:pPr>
              <w:jc w:val="right"/>
              <w:rPr>
                <w:rFonts w:ascii="Arial" w:hAnsi="Arial" w:cs="Arial"/>
                <w:color w:val="000000"/>
                <w:sz w:val="18"/>
                <w:szCs w:val="18"/>
              </w:rPr>
            </w:pPr>
            <w:r w:rsidRPr="00365E21">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4782AB04" w14:textId="77777777">
            <w:pPr>
              <w:jc w:val="right"/>
              <w:rPr>
                <w:rFonts w:ascii="Arial" w:hAnsi="Arial" w:cs="Arial"/>
                <w:color w:val="000000"/>
                <w:sz w:val="18"/>
                <w:szCs w:val="18"/>
              </w:rPr>
            </w:pPr>
            <w:r w:rsidRPr="00365E21">
              <w:rPr>
                <w:rFonts w:ascii="Arial" w:hAnsi="Arial" w:cs="Arial"/>
                <w:color w:val="000000"/>
                <w:sz w:val="18"/>
                <w:szCs w:val="18"/>
              </w:rPr>
              <w:t>1</w:t>
            </w:r>
          </w:p>
        </w:tc>
        <w:tc>
          <w:tcPr>
            <w:tcW w:w="90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7AE7A2D9" w14:textId="77777777">
            <w:pPr>
              <w:jc w:val="right"/>
              <w:rPr>
                <w:rFonts w:ascii="Arial" w:hAnsi="Arial" w:cs="Arial"/>
                <w:color w:val="000000"/>
                <w:sz w:val="18"/>
                <w:szCs w:val="18"/>
              </w:rPr>
            </w:pPr>
            <w:r w:rsidRPr="00365E21">
              <w:rPr>
                <w:rFonts w:ascii="Arial" w:hAnsi="Arial" w:cs="Arial"/>
                <w:color w:val="000000"/>
                <w:sz w:val="18"/>
                <w:szCs w:val="18"/>
              </w:rPr>
              <w:t>4</w:t>
            </w:r>
          </w:p>
        </w:tc>
        <w:tc>
          <w:tcPr>
            <w:tcW w:w="1080" w:type="dxa"/>
            <w:tcBorders>
              <w:top w:val="nil"/>
              <w:left w:val="nil"/>
              <w:bottom w:val="single" w:color="auto" w:sz="4" w:space="0"/>
              <w:right w:val="single" w:color="auto" w:sz="4" w:space="0"/>
            </w:tcBorders>
            <w:shd w:val="clear" w:color="auto" w:fill="auto"/>
            <w:vAlign w:val="center"/>
            <w:hideMark/>
          </w:tcPr>
          <w:p w:rsidR="00365E21" w:rsidRDefault="00365E21" w14:paraId="235F5C57" w14:textId="77777777">
            <w:pPr>
              <w:jc w:val="right"/>
              <w:rPr>
                <w:rFonts w:ascii="Arial" w:hAnsi="Arial" w:cs="Arial"/>
                <w:color w:val="000000"/>
                <w:sz w:val="20"/>
                <w:szCs w:val="20"/>
              </w:rPr>
            </w:pPr>
            <w:r>
              <w:rPr>
                <w:rFonts w:ascii="Arial" w:hAnsi="Arial" w:cs="Arial"/>
                <w:color w:val="000000"/>
                <w:sz w:val="20"/>
                <w:szCs w:val="20"/>
              </w:rPr>
              <w:t>4</w:t>
            </w:r>
          </w:p>
        </w:tc>
      </w:tr>
      <w:tr w:rsidR="00365E21" w:rsidTr="00D3345D" w14:paraId="62F218C8" w14:textId="77777777">
        <w:trPr>
          <w:gridAfter w:val="1"/>
          <w:wAfter w:w="10" w:type="dxa"/>
          <w:trHeight w:val="765"/>
        </w:trPr>
        <w:tc>
          <w:tcPr>
            <w:tcW w:w="1407" w:type="dxa"/>
            <w:tcBorders>
              <w:top w:val="nil"/>
              <w:left w:val="single" w:color="auto" w:sz="4" w:space="0"/>
              <w:bottom w:val="single" w:color="auto" w:sz="4" w:space="0"/>
              <w:right w:val="single" w:color="auto" w:sz="4" w:space="0"/>
            </w:tcBorders>
            <w:shd w:val="clear" w:color="auto" w:fill="auto"/>
            <w:vAlign w:val="center"/>
            <w:hideMark/>
          </w:tcPr>
          <w:p w:rsidRPr="00365E21" w:rsidR="00365E21" w:rsidRDefault="00365E21" w14:paraId="17B2CBC0" w14:textId="77777777">
            <w:pPr>
              <w:rPr>
                <w:rFonts w:ascii="Arial" w:hAnsi="Arial" w:cs="Arial"/>
                <w:color w:val="000000"/>
                <w:sz w:val="18"/>
                <w:szCs w:val="18"/>
              </w:rPr>
            </w:pPr>
            <w:r w:rsidRPr="00365E21">
              <w:rPr>
                <w:rFonts w:ascii="Arial" w:hAnsi="Arial" w:cs="Arial"/>
                <w:color w:val="000000"/>
                <w:sz w:val="18"/>
                <w:szCs w:val="18"/>
              </w:rPr>
              <w:t>708b.206(b)</w:t>
            </w:r>
          </w:p>
        </w:tc>
        <w:tc>
          <w:tcPr>
            <w:tcW w:w="3453"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413F415E" w14:textId="77777777">
            <w:pPr>
              <w:rPr>
                <w:rFonts w:ascii="Arial" w:hAnsi="Arial" w:cs="Arial"/>
                <w:color w:val="000000"/>
                <w:sz w:val="18"/>
                <w:szCs w:val="18"/>
              </w:rPr>
            </w:pPr>
            <w:r w:rsidRPr="00365E21">
              <w:rPr>
                <w:rFonts w:ascii="Arial" w:hAnsi="Arial" w:cs="Arial"/>
                <w:color w:val="000000"/>
                <w:sz w:val="18"/>
                <w:szCs w:val="18"/>
              </w:rPr>
              <w:t>Provide the required insurance disclosures in other communications that the credit union plans to send to its members</w:t>
            </w:r>
          </w:p>
        </w:tc>
        <w:tc>
          <w:tcPr>
            <w:tcW w:w="1080" w:type="dxa"/>
            <w:tcBorders>
              <w:top w:val="nil"/>
              <w:left w:val="nil"/>
              <w:bottom w:val="single" w:color="auto" w:sz="4" w:space="0"/>
              <w:right w:val="single" w:color="auto" w:sz="4" w:space="0"/>
            </w:tcBorders>
            <w:shd w:val="clear" w:color="auto" w:fill="auto"/>
            <w:vAlign w:val="center"/>
            <w:hideMark/>
          </w:tcPr>
          <w:p w:rsidRPr="00D3345D" w:rsidR="00365E21" w:rsidRDefault="00365E21" w14:paraId="32BB8AF7" w14:textId="77777777">
            <w:pPr>
              <w:rPr>
                <w:rFonts w:ascii="Arial Narrow" w:hAnsi="Arial Narrow" w:cs="Arial"/>
                <w:color w:val="000000"/>
                <w:sz w:val="18"/>
                <w:szCs w:val="18"/>
              </w:rPr>
            </w:pPr>
            <w:r w:rsidRPr="00D3345D">
              <w:rPr>
                <w:rFonts w:ascii="Arial Narrow" w:hAnsi="Arial Narrow" w:cs="Arial"/>
                <w:color w:val="000000"/>
                <w:sz w:val="18"/>
                <w:szCs w:val="18"/>
              </w:rPr>
              <w:t>Reporting</w:t>
            </w:r>
          </w:p>
        </w:tc>
        <w:tc>
          <w:tcPr>
            <w:tcW w:w="99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5FCEFB12" w14:textId="77777777">
            <w:pPr>
              <w:jc w:val="right"/>
              <w:rPr>
                <w:rFonts w:ascii="Arial" w:hAnsi="Arial" w:cs="Arial"/>
                <w:color w:val="000000"/>
                <w:sz w:val="18"/>
                <w:szCs w:val="18"/>
              </w:rPr>
            </w:pPr>
            <w:r w:rsidRPr="00365E21">
              <w:rPr>
                <w:rFonts w:ascii="Arial" w:hAnsi="Arial" w:cs="Arial"/>
                <w:color w:val="000000"/>
                <w:sz w:val="18"/>
                <w:szCs w:val="18"/>
              </w:rPr>
              <w:t>1</w:t>
            </w:r>
          </w:p>
        </w:tc>
        <w:tc>
          <w:tcPr>
            <w:tcW w:w="99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2282DD79" w14:textId="77777777">
            <w:pPr>
              <w:jc w:val="right"/>
              <w:rPr>
                <w:rFonts w:ascii="Arial" w:hAnsi="Arial" w:cs="Arial"/>
                <w:color w:val="000000"/>
                <w:sz w:val="18"/>
                <w:szCs w:val="18"/>
              </w:rPr>
            </w:pPr>
            <w:r w:rsidRPr="00365E21">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11772F12" w14:textId="77777777">
            <w:pPr>
              <w:jc w:val="right"/>
              <w:rPr>
                <w:rFonts w:ascii="Arial" w:hAnsi="Arial" w:cs="Arial"/>
                <w:color w:val="000000"/>
                <w:sz w:val="18"/>
                <w:szCs w:val="18"/>
              </w:rPr>
            </w:pPr>
            <w:r w:rsidRPr="00365E21">
              <w:rPr>
                <w:rFonts w:ascii="Arial" w:hAnsi="Arial" w:cs="Arial"/>
                <w:color w:val="000000"/>
                <w:sz w:val="18"/>
                <w:szCs w:val="18"/>
              </w:rPr>
              <w:t>1</w:t>
            </w:r>
          </w:p>
        </w:tc>
        <w:tc>
          <w:tcPr>
            <w:tcW w:w="900"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24557D4A" w14:textId="77777777">
            <w:pPr>
              <w:jc w:val="right"/>
              <w:rPr>
                <w:rFonts w:ascii="Arial" w:hAnsi="Arial" w:cs="Arial"/>
                <w:color w:val="000000"/>
                <w:sz w:val="18"/>
                <w:szCs w:val="18"/>
              </w:rPr>
            </w:pPr>
            <w:r w:rsidRPr="00365E21">
              <w:rPr>
                <w:rFonts w:ascii="Arial" w:hAnsi="Arial" w:cs="Arial"/>
                <w:color w:val="000000"/>
                <w:sz w:val="18"/>
                <w:szCs w:val="18"/>
              </w:rPr>
              <w:t>2</w:t>
            </w:r>
          </w:p>
        </w:tc>
        <w:tc>
          <w:tcPr>
            <w:tcW w:w="1080" w:type="dxa"/>
            <w:tcBorders>
              <w:top w:val="nil"/>
              <w:left w:val="nil"/>
              <w:bottom w:val="single" w:color="auto" w:sz="4" w:space="0"/>
              <w:right w:val="single" w:color="auto" w:sz="4" w:space="0"/>
            </w:tcBorders>
            <w:shd w:val="clear" w:color="auto" w:fill="auto"/>
            <w:vAlign w:val="center"/>
            <w:hideMark/>
          </w:tcPr>
          <w:p w:rsidR="00365E21" w:rsidRDefault="00365E21" w14:paraId="7EB438C0" w14:textId="77777777">
            <w:pPr>
              <w:jc w:val="right"/>
              <w:rPr>
                <w:rFonts w:ascii="Arial" w:hAnsi="Arial" w:cs="Arial"/>
                <w:color w:val="000000"/>
                <w:sz w:val="20"/>
                <w:szCs w:val="20"/>
              </w:rPr>
            </w:pPr>
            <w:r>
              <w:rPr>
                <w:rFonts w:ascii="Arial" w:hAnsi="Arial" w:cs="Arial"/>
                <w:color w:val="000000"/>
                <w:sz w:val="20"/>
                <w:szCs w:val="20"/>
              </w:rPr>
              <w:t>2</w:t>
            </w:r>
          </w:p>
        </w:tc>
      </w:tr>
      <w:tr w:rsidR="00365E21" w:rsidTr="00D3345D" w14:paraId="5143E3CA" w14:textId="77777777">
        <w:trPr>
          <w:gridAfter w:val="1"/>
          <w:wAfter w:w="10" w:type="dxa"/>
          <w:trHeight w:val="315"/>
        </w:trPr>
        <w:tc>
          <w:tcPr>
            <w:tcW w:w="1407" w:type="dxa"/>
            <w:tcBorders>
              <w:top w:val="nil"/>
              <w:left w:val="single" w:color="auto" w:sz="4" w:space="0"/>
              <w:bottom w:val="single" w:color="auto" w:sz="4" w:space="0"/>
              <w:right w:val="single" w:color="auto" w:sz="4" w:space="0"/>
            </w:tcBorders>
            <w:shd w:val="clear" w:color="auto" w:fill="auto"/>
            <w:vAlign w:val="center"/>
            <w:hideMark/>
          </w:tcPr>
          <w:p w:rsidRPr="00365E21" w:rsidR="00365E21" w:rsidRDefault="00365E21" w14:paraId="7CAD9462" w14:textId="77777777">
            <w:pPr>
              <w:rPr>
                <w:rFonts w:ascii="Arial" w:hAnsi="Arial" w:cs="Arial"/>
                <w:color w:val="000000"/>
                <w:sz w:val="18"/>
                <w:szCs w:val="18"/>
              </w:rPr>
            </w:pPr>
            <w:r w:rsidRPr="00365E21">
              <w:rPr>
                <w:rFonts w:ascii="Arial" w:hAnsi="Arial" w:cs="Arial"/>
                <w:color w:val="000000"/>
                <w:sz w:val="18"/>
                <w:szCs w:val="18"/>
              </w:rPr>
              <w:t>708b.201(d)(2)</w:t>
            </w:r>
          </w:p>
        </w:tc>
        <w:tc>
          <w:tcPr>
            <w:tcW w:w="3453" w:type="dxa"/>
            <w:tcBorders>
              <w:top w:val="nil"/>
              <w:left w:val="nil"/>
              <w:bottom w:val="single" w:color="auto" w:sz="4" w:space="0"/>
              <w:right w:val="single" w:color="auto" w:sz="4" w:space="0"/>
            </w:tcBorders>
            <w:shd w:val="clear" w:color="auto" w:fill="auto"/>
            <w:vAlign w:val="center"/>
            <w:hideMark/>
          </w:tcPr>
          <w:p w:rsidRPr="00365E21" w:rsidR="00365E21" w:rsidRDefault="00365E21" w14:paraId="2A226ABD" w14:textId="55FC061B">
            <w:pPr>
              <w:rPr>
                <w:rFonts w:ascii="Arial" w:hAnsi="Arial" w:cs="Arial"/>
                <w:color w:val="000000"/>
                <w:sz w:val="18"/>
                <w:szCs w:val="18"/>
              </w:rPr>
            </w:pPr>
            <w:r w:rsidRPr="00365E21">
              <w:rPr>
                <w:rFonts w:ascii="Arial" w:hAnsi="Arial" w:cs="Arial"/>
                <w:color w:val="000000"/>
                <w:sz w:val="18"/>
                <w:szCs w:val="18"/>
              </w:rPr>
              <w:t>Notify NCUA of the results</w:t>
            </w:r>
            <w:r w:rsidR="00AD4A8E">
              <w:rPr>
                <w:rFonts w:ascii="Arial" w:hAnsi="Arial" w:cs="Arial"/>
                <w:color w:val="000000"/>
                <w:sz w:val="18"/>
                <w:szCs w:val="18"/>
              </w:rPr>
              <w:t xml:space="preserve"> </w:t>
            </w:r>
            <w:r w:rsidRPr="00365E21">
              <w:rPr>
                <w:rFonts w:ascii="Arial" w:hAnsi="Arial" w:cs="Arial"/>
                <w:color w:val="000000"/>
                <w:sz w:val="18"/>
                <w:szCs w:val="18"/>
              </w:rPr>
              <w:t>of the termination vote</w:t>
            </w:r>
          </w:p>
        </w:tc>
        <w:tc>
          <w:tcPr>
            <w:tcW w:w="1080" w:type="dxa"/>
            <w:tcBorders>
              <w:top w:val="nil"/>
              <w:left w:val="nil"/>
              <w:bottom w:val="single" w:color="auto" w:sz="4" w:space="0"/>
              <w:right w:val="single" w:color="auto" w:sz="4" w:space="0"/>
            </w:tcBorders>
            <w:shd w:val="clear" w:color="auto" w:fill="auto"/>
            <w:vAlign w:val="center"/>
            <w:hideMark/>
          </w:tcPr>
          <w:p w:rsidRPr="00D3345D" w:rsidR="00365E21" w:rsidRDefault="00365E21" w14:paraId="0565A74F" w14:textId="77777777">
            <w:pPr>
              <w:rPr>
                <w:rFonts w:ascii="Arial Narrow" w:hAnsi="Arial Narrow" w:cs="Arial"/>
                <w:color w:val="000000"/>
                <w:sz w:val="18"/>
                <w:szCs w:val="18"/>
              </w:rPr>
            </w:pPr>
            <w:r w:rsidRPr="00D3345D">
              <w:rPr>
                <w:rFonts w:ascii="Arial Narrow" w:hAnsi="Arial Narrow" w:cs="Arial"/>
                <w:color w:val="000000"/>
                <w:sz w:val="18"/>
                <w:szCs w:val="18"/>
              </w:rPr>
              <w:t>Reporting</w:t>
            </w:r>
          </w:p>
        </w:tc>
        <w:tc>
          <w:tcPr>
            <w:tcW w:w="990" w:type="dxa"/>
            <w:tcBorders>
              <w:top w:val="nil"/>
              <w:left w:val="nil"/>
              <w:bottom w:val="single" w:color="auto" w:sz="4" w:space="0"/>
              <w:right w:val="single" w:color="auto" w:sz="4" w:space="0"/>
            </w:tcBorders>
            <w:shd w:val="clear" w:color="auto" w:fill="auto"/>
            <w:vAlign w:val="center"/>
            <w:hideMark/>
          </w:tcPr>
          <w:p w:rsidRPr="00D3345D" w:rsidR="00365E21" w:rsidRDefault="00365E21" w14:paraId="27D04297"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990" w:type="dxa"/>
            <w:tcBorders>
              <w:top w:val="nil"/>
              <w:left w:val="nil"/>
              <w:bottom w:val="single" w:color="auto" w:sz="4" w:space="0"/>
              <w:right w:val="single" w:color="auto" w:sz="4" w:space="0"/>
            </w:tcBorders>
            <w:shd w:val="clear" w:color="auto" w:fill="auto"/>
            <w:vAlign w:val="center"/>
            <w:hideMark/>
          </w:tcPr>
          <w:p w:rsidRPr="00D3345D" w:rsidR="00365E21" w:rsidRDefault="00365E21" w14:paraId="7B9759DE"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170" w:type="dxa"/>
            <w:tcBorders>
              <w:top w:val="nil"/>
              <w:left w:val="nil"/>
              <w:bottom w:val="single" w:color="auto" w:sz="4" w:space="0"/>
              <w:right w:val="single" w:color="auto" w:sz="4" w:space="0"/>
            </w:tcBorders>
            <w:shd w:val="clear" w:color="auto" w:fill="auto"/>
            <w:vAlign w:val="center"/>
            <w:hideMark/>
          </w:tcPr>
          <w:p w:rsidRPr="00D3345D" w:rsidR="00365E21" w:rsidRDefault="00365E21" w14:paraId="785F90A2"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900" w:type="dxa"/>
            <w:tcBorders>
              <w:top w:val="nil"/>
              <w:left w:val="nil"/>
              <w:bottom w:val="single" w:color="auto" w:sz="4" w:space="0"/>
              <w:right w:val="single" w:color="auto" w:sz="4" w:space="0"/>
            </w:tcBorders>
            <w:shd w:val="clear" w:color="auto" w:fill="auto"/>
            <w:vAlign w:val="center"/>
            <w:hideMark/>
          </w:tcPr>
          <w:p w:rsidRPr="00D3345D" w:rsidR="00365E21" w:rsidRDefault="00365E21" w14:paraId="053C81C7"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080" w:type="dxa"/>
            <w:tcBorders>
              <w:top w:val="nil"/>
              <w:left w:val="nil"/>
              <w:bottom w:val="single" w:color="auto" w:sz="4" w:space="0"/>
              <w:right w:val="single" w:color="auto" w:sz="4" w:space="0"/>
            </w:tcBorders>
            <w:shd w:val="clear" w:color="auto" w:fill="auto"/>
            <w:vAlign w:val="center"/>
            <w:hideMark/>
          </w:tcPr>
          <w:p w:rsidRPr="00D3345D" w:rsidR="00365E21" w:rsidRDefault="00365E21" w14:paraId="7D4B6A8F" w14:textId="77777777">
            <w:pPr>
              <w:jc w:val="right"/>
              <w:rPr>
                <w:rFonts w:ascii="Arial" w:hAnsi="Arial" w:cs="Arial"/>
                <w:color w:val="000000"/>
                <w:sz w:val="18"/>
                <w:szCs w:val="18"/>
              </w:rPr>
            </w:pPr>
            <w:r w:rsidRPr="00D3345D">
              <w:rPr>
                <w:rFonts w:ascii="Arial" w:hAnsi="Arial" w:cs="Arial"/>
                <w:color w:val="000000"/>
                <w:sz w:val="18"/>
                <w:szCs w:val="18"/>
              </w:rPr>
              <w:t>1</w:t>
            </w:r>
          </w:p>
        </w:tc>
      </w:tr>
      <w:tr w:rsidR="00365E21" w:rsidTr="00D3345D" w14:paraId="60EC2831" w14:textId="77777777">
        <w:trPr>
          <w:gridAfter w:val="1"/>
          <w:wAfter w:w="10" w:type="dxa"/>
          <w:trHeight w:val="525"/>
        </w:trPr>
        <w:tc>
          <w:tcPr>
            <w:tcW w:w="1407" w:type="dxa"/>
            <w:tcBorders>
              <w:top w:val="nil"/>
              <w:left w:val="single" w:color="auto" w:sz="4" w:space="0"/>
              <w:bottom w:val="single" w:color="auto" w:sz="8" w:space="0"/>
              <w:right w:val="single" w:color="auto" w:sz="4" w:space="0"/>
            </w:tcBorders>
            <w:shd w:val="clear" w:color="auto" w:fill="auto"/>
            <w:vAlign w:val="center"/>
            <w:hideMark/>
          </w:tcPr>
          <w:p w:rsidRPr="00365E21" w:rsidR="00365E21" w:rsidRDefault="00365E21" w14:paraId="34868F54" w14:textId="77777777">
            <w:pPr>
              <w:rPr>
                <w:rFonts w:ascii="Arial" w:hAnsi="Arial" w:cs="Arial"/>
                <w:color w:val="000000"/>
                <w:sz w:val="18"/>
                <w:szCs w:val="18"/>
              </w:rPr>
            </w:pPr>
            <w:r w:rsidRPr="00365E21">
              <w:rPr>
                <w:rFonts w:ascii="Arial" w:hAnsi="Arial" w:cs="Arial"/>
                <w:color w:val="000000"/>
                <w:sz w:val="18"/>
                <w:szCs w:val="18"/>
              </w:rPr>
              <w:t>708b.202(c)</w:t>
            </w:r>
          </w:p>
        </w:tc>
        <w:tc>
          <w:tcPr>
            <w:tcW w:w="3453" w:type="dxa"/>
            <w:tcBorders>
              <w:top w:val="nil"/>
              <w:left w:val="nil"/>
              <w:bottom w:val="single" w:color="auto" w:sz="8" w:space="0"/>
              <w:right w:val="single" w:color="auto" w:sz="4" w:space="0"/>
            </w:tcBorders>
            <w:shd w:val="clear" w:color="auto" w:fill="auto"/>
            <w:vAlign w:val="center"/>
            <w:hideMark/>
          </w:tcPr>
          <w:p w:rsidRPr="00365E21" w:rsidR="00365E21" w:rsidRDefault="00AD4A8E" w14:paraId="29356647" w14:textId="1772A905">
            <w:pPr>
              <w:rPr>
                <w:rFonts w:ascii="Arial" w:hAnsi="Arial" w:cs="Arial"/>
                <w:color w:val="000000"/>
                <w:sz w:val="18"/>
                <w:szCs w:val="18"/>
              </w:rPr>
            </w:pPr>
            <w:r w:rsidRPr="00365E21">
              <w:rPr>
                <w:rFonts w:ascii="Arial" w:hAnsi="Arial" w:cs="Arial"/>
                <w:color w:val="000000"/>
                <w:sz w:val="18"/>
                <w:szCs w:val="18"/>
              </w:rPr>
              <w:t>Provide</w:t>
            </w:r>
            <w:r w:rsidRPr="00365E21" w:rsidR="00365E21">
              <w:rPr>
                <w:rFonts w:ascii="Arial" w:hAnsi="Arial" w:cs="Arial"/>
                <w:color w:val="000000"/>
                <w:sz w:val="18"/>
                <w:szCs w:val="18"/>
              </w:rPr>
              <w:t xml:space="preserve"> members notice of termination of insurance</w:t>
            </w:r>
          </w:p>
        </w:tc>
        <w:tc>
          <w:tcPr>
            <w:tcW w:w="1080" w:type="dxa"/>
            <w:tcBorders>
              <w:top w:val="nil"/>
              <w:left w:val="nil"/>
              <w:bottom w:val="single" w:color="auto" w:sz="8" w:space="0"/>
              <w:right w:val="single" w:color="auto" w:sz="4" w:space="0"/>
            </w:tcBorders>
            <w:shd w:val="clear" w:color="auto" w:fill="auto"/>
            <w:vAlign w:val="center"/>
            <w:hideMark/>
          </w:tcPr>
          <w:p w:rsidRPr="00D3345D" w:rsidR="00365E21" w:rsidRDefault="00365E21" w14:paraId="00A186B1" w14:textId="77777777">
            <w:pPr>
              <w:rPr>
                <w:rFonts w:ascii="Arial Narrow" w:hAnsi="Arial Narrow" w:cs="Arial"/>
                <w:color w:val="000000"/>
                <w:sz w:val="18"/>
                <w:szCs w:val="18"/>
              </w:rPr>
            </w:pPr>
            <w:r w:rsidRPr="00D3345D">
              <w:rPr>
                <w:rFonts w:ascii="Arial Narrow" w:hAnsi="Arial Narrow" w:cs="Arial"/>
                <w:color w:val="000000"/>
                <w:sz w:val="18"/>
                <w:szCs w:val="18"/>
              </w:rPr>
              <w:t>Third-party disclosure</w:t>
            </w:r>
          </w:p>
        </w:tc>
        <w:tc>
          <w:tcPr>
            <w:tcW w:w="990" w:type="dxa"/>
            <w:tcBorders>
              <w:top w:val="nil"/>
              <w:left w:val="nil"/>
              <w:bottom w:val="single" w:color="auto" w:sz="8" w:space="0"/>
              <w:right w:val="single" w:color="auto" w:sz="4" w:space="0"/>
            </w:tcBorders>
            <w:shd w:val="clear" w:color="auto" w:fill="auto"/>
            <w:vAlign w:val="center"/>
            <w:hideMark/>
          </w:tcPr>
          <w:p w:rsidRPr="00D3345D" w:rsidR="00365E21" w:rsidRDefault="00365E21" w14:paraId="4FB8E00F"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990" w:type="dxa"/>
            <w:tcBorders>
              <w:top w:val="nil"/>
              <w:left w:val="nil"/>
              <w:bottom w:val="single" w:color="auto" w:sz="8" w:space="0"/>
              <w:right w:val="single" w:color="auto" w:sz="4" w:space="0"/>
            </w:tcBorders>
            <w:shd w:val="clear" w:color="auto" w:fill="auto"/>
            <w:vAlign w:val="center"/>
            <w:hideMark/>
          </w:tcPr>
          <w:p w:rsidRPr="00D3345D" w:rsidR="00365E21" w:rsidRDefault="00365E21" w14:paraId="02787C4A"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170" w:type="dxa"/>
            <w:tcBorders>
              <w:top w:val="nil"/>
              <w:left w:val="nil"/>
              <w:bottom w:val="single" w:color="auto" w:sz="8" w:space="0"/>
              <w:right w:val="single" w:color="auto" w:sz="4" w:space="0"/>
            </w:tcBorders>
            <w:shd w:val="clear" w:color="auto" w:fill="auto"/>
            <w:vAlign w:val="center"/>
            <w:hideMark/>
          </w:tcPr>
          <w:p w:rsidRPr="00D3345D" w:rsidR="00365E21" w:rsidRDefault="00365E21" w14:paraId="6344E3D8"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900" w:type="dxa"/>
            <w:tcBorders>
              <w:top w:val="nil"/>
              <w:left w:val="nil"/>
              <w:bottom w:val="single" w:color="auto" w:sz="8" w:space="0"/>
              <w:right w:val="single" w:color="auto" w:sz="4" w:space="0"/>
            </w:tcBorders>
            <w:shd w:val="clear" w:color="auto" w:fill="auto"/>
            <w:vAlign w:val="center"/>
            <w:hideMark/>
          </w:tcPr>
          <w:p w:rsidRPr="00D3345D" w:rsidR="00365E21" w:rsidRDefault="00365E21" w14:paraId="64E5C1D1"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1080" w:type="dxa"/>
            <w:tcBorders>
              <w:top w:val="nil"/>
              <w:left w:val="nil"/>
              <w:bottom w:val="single" w:color="auto" w:sz="8" w:space="0"/>
              <w:right w:val="single" w:color="auto" w:sz="4" w:space="0"/>
            </w:tcBorders>
            <w:shd w:val="clear" w:color="auto" w:fill="auto"/>
            <w:vAlign w:val="center"/>
            <w:hideMark/>
          </w:tcPr>
          <w:p w:rsidRPr="00D3345D" w:rsidR="00365E21" w:rsidRDefault="00365E21" w14:paraId="5D49526E" w14:textId="77777777">
            <w:pPr>
              <w:jc w:val="right"/>
              <w:rPr>
                <w:rFonts w:ascii="Arial" w:hAnsi="Arial" w:cs="Arial"/>
                <w:color w:val="000000"/>
                <w:sz w:val="18"/>
                <w:szCs w:val="18"/>
              </w:rPr>
            </w:pPr>
            <w:r w:rsidRPr="00D3345D">
              <w:rPr>
                <w:rFonts w:ascii="Arial" w:hAnsi="Arial" w:cs="Arial"/>
                <w:color w:val="000000"/>
                <w:sz w:val="18"/>
                <w:szCs w:val="18"/>
              </w:rPr>
              <w:t>1</w:t>
            </w:r>
          </w:p>
        </w:tc>
      </w:tr>
      <w:tr w:rsidR="00365E21" w:rsidTr="00D3345D" w14:paraId="2BC11D81" w14:textId="77777777">
        <w:trPr>
          <w:gridAfter w:val="1"/>
          <w:wAfter w:w="10" w:type="dxa"/>
          <w:trHeight w:val="435"/>
        </w:trPr>
        <w:tc>
          <w:tcPr>
            <w:tcW w:w="5940" w:type="dxa"/>
            <w:gridSpan w:val="3"/>
            <w:tcBorders>
              <w:top w:val="single" w:color="auto" w:sz="8" w:space="0"/>
              <w:left w:val="single" w:color="auto" w:sz="4" w:space="0"/>
              <w:bottom w:val="single" w:color="auto" w:sz="4" w:space="0"/>
              <w:right w:val="single" w:color="000000" w:sz="4" w:space="0"/>
            </w:tcBorders>
            <w:shd w:val="clear" w:color="auto" w:fill="auto"/>
            <w:noWrap/>
            <w:vAlign w:val="center"/>
            <w:hideMark/>
          </w:tcPr>
          <w:p w:rsidRPr="00365E21" w:rsidR="00365E21" w:rsidRDefault="00365E21" w14:paraId="5ECEBEA9" w14:textId="77777777">
            <w:pPr>
              <w:jc w:val="right"/>
              <w:rPr>
                <w:rFonts w:ascii="Arial" w:hAnsi="Arial" w:cs="Arial"/>
                <w:color w:val="000000"/>
                <w:sz w:val="18"/>
                <w:szCs w:val="18"/>
              </w:rPr>
            </w:pPr>
            <w:r w:rsidRPr="00365E21">
              <w:rPr>
                <w:rFonts w:ascii="Arial" w:hAnsi="Arial" w:cs="Arial"/>
                <w:color w:val="000000"/>
                <w:sz w:val="18"/>
                <w:szCs w:val="18"/>
              </w:rPr>
              <w:t>TOTAL</w:t>
            </w:r>
          </w:p>
        </w:tc>
        <w:tc>
          <w:tcPr>
            <w:tcW w:w="990" w:type="dxa"/>
            <w:tcBorders>
              <w:top w:val="nil"/>
              <w:left w:val="nil"/>
              <w:bottom w:val="single" w:color="auto" w:sz="4" w:space="0"/>
              <w:right w:val="single" w:color="auto" w:sz="4" w:space="0"/>
            </w:tcBorders>
            <w:shd w:val="clear" w:color="auto" w:fill="auto"/>
            <w:noWrap/>
            <w:vAlign w:val="center"/>
            <w:hideMark/>
          </w:tcPr>
          <w:p w:rsidRPr="00D3345D" w:rsidR="00365E21" w:rsidRDefault="00365E21" w14:paraId="3C753196" w14:textId="77777777">
            <w:pPr>
              <w:jc w:val="right"/>
              <w:rPr>
                <w:rFonts w:ascii="Arial" w:hAnsi="Arial" w:cs="Arial"/>
                <w:color w:val="000000"/>
                <w:sz w:val="18"/>
                <w:szCs w:val="18"/>
              </w:rPr>
            </w:pPr>
            <w:r w:rsidRPr="00D3345D">
              <w:rPr>
                <w:rFonts w:ascii="Arial" w:hAnsi="Arial" w:cs="Arial"/>
                <w:color w:val="000000"/>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D3345D" w:rsidR="00365E21" w:rsidRDefault="00365E21" w14:paraId="76FC1950" w14:textId="77777777">
            <w:pPr>
              <w:jc w:val="right"/>
              <w:rPr>
                <w:rFonts w:ascii="Arial" w:hAnsi="Arial" w:cs="Arial"/>
                <w:color w:val="000000"/>
                <w:sz w:val="18"/>
                <w:szCs w:val="18"/>
              </w:rPr>
            </w:pPr>
            <w:r w:rsidRPr="00D3345D">
              <w:rPr>
                <w:rFonts w:ascii="Arial" w:hAnsi="Arial" w:cs="Arial"/>
                <w:color w:val="000000"/>
                <w:sz w:val="18"/>
                <w:szCs w:val="18"/>
              </w:rPr>
              <w:t>5</w:t>
            </w:r>
          </w:p>
        </w:tc>
        <w:tc>
          <w:tcPr>
            <w:tcW w:w="1170" w:type="dxa"/>
            <w:tcBorders>
              <w:top w:val="nil"/>
              <w:left w:val="nil"/>
              <w:bottom w:val="single" w:color="auto" w:sz="4" w:space="0"/>
              <w:right w:val="single" w:color="auto" w:sz="4" w:space="0"/>
            </w:tcBorders>
            <w:shd w:val="clear" w:color="auto" w:fill="auto"/>
            <w:noWrap/>
            <w:vAlign w:val="center"/>
            <w:hideMark/>
          </w:tcPr>
          <w:p w:rsidRPr="00D3345D" w:rsidR="00365E21" w:rsidRDefault="00365E21" w14:paraId="4063F964" w14:textId="77777777">
            <w:pPr>
              <w:jc w:val="right"/>
              <w:rPr>
                <w:rFonts w:ascii="Arial" w:hAnsi="Arial" w:cs="Arial"/>
                <w:color w:val="000000"/>
                <w:sz w:val="18"/>
                <w:szCs w:val="18"/>
              </w:rPr>
            </w:pPr>
            <w:r w:rsidRPr="00D3345D">
              <w:rPr>
                <w:rFonts w:ascii="Arial" w:hAnsi="Arial" w:cs="Arial"/>
                <w:color w:val="000000"/>
                <w:sz w:val="18"/>
                <w:szCs w:val="18"/>
              </w:rPr>
              <w:t>5</w:t>
            </w:r>
          </w:p>
        </w:tc>
        <w:tc>
          <w:tcPr>
            <w:tcW w:w="900" w:type="dxa"/>
            <w:tcBorders>
              <w:top w:val="nil"/>
              <w:left w:val="nil"/>
              <w:bottom w:val="single" w:color="auto" w:sz="4" w:space="0"/>
              <w:right w:val="single" w:color="auto" w:sz="4" w:space="0"/>
            </w:tcBorders>
            <w:shd w:val="clear" w:color="auto" w:fill="auto"/>
            <w:noWrap/>
            <w:vAlign w:val="center"/>
            <w:hideMark/>
          </w:tcPr>
          <w:p w:rsidRPr="00D3345D" w:rsidR="00365E21" w:rsidRDefault="00365E21" w14:paraId="56633763" w14:textId="77777777">
            <w:pPr>
              <w:jc w:val="right"/>
              <w:rPr>
                <w:rFonts w:ascii="Arial" w:hAnsi="Arial" w:cs="Arial"/>
                <w:color w:val="000000"/>
                <w:sz w:val="18"/>
                <w:szCs w:val="18"/>
              </w:rPr>
            </w:pPr>
            <w:r w:rsidRPr="00D3345D">
              <w:rPr>
                <w:rFonts w:ascii="Arial" w:hAnsi="Arial" w:cs="Arial"/>
                <w:color w:val="000000"/>
                <w:sz w:val="18"/>
                <w:szCs w:val="18"/>
              </w:rPr>
              <w:t>2.4</w:t>
            </w:r>
          </w:p>
        </w:tc>
        <w:tc>
          <w:tcPr>
            <w:tcW w:w="1080" w:type="dxa"/>
            <w:tcBorders>
              <w:top w:val="nil"/>
              <w:left w:val="nil"/>
              <w:bottom w:val="single" w:color="auto" w:sz="4" w:space="0"/>
              <w:right w:val="single" w:color="auto" w:sz="4" w:space="0"/>
            </w:tcBorders>
            <w:shd w:val="clear" w:color="auto" w:fill="auto"/>
            <w:vAlign w:val="center"/>
            <w:hideMark/>
          </w:tcPr>
          <w:p w:rsidRPr="00D3345D" w:rsidR="00365E21" w:rsidRDefault="00365E21" w14:paraId="3750A470" w14:textId="77777777">
            <w:pPr>
              <w:jc w:val="right"/>
              <w:rPr>
                <w:rFonts w:ascii="Arial" w:hAnsi="Arial" w:cs="Arial"/>
                <w:color w:val="000000"/>
                <w:sz w:val="18"/>
                <w:szCs w:val="18"/>
              </w:rPr>
            </w:pPr>
            <w:r w:rsidRPr="00D3345D">
              <w:rPr>
                <w:rFonts w:ascii="Arial" w:hAnsi="Arial" w:cs="Arial"/>
                <w:color w:val="000000"/>
                <w:sz w:val="18"/>
                <w:szCs w:val="18"/>
              </w:rPr>
              <w:t>12</w:t>
            </w:r>
          </w:p>
        </w:tc>
      </w:tr>
    </w:tbl>
    <w:p w:rsidRPr="00753B95" w:rsidR="00A62F23" w:rsidP="0098332B" w:rsidRDefault="00A62F23" w14:paraId="61895D20" w14:textId="77777777">
      <w:pPr>
        <w:pStyle w:val="NoSpacing"/>
      </w:pPr>
    </w:p>
    <w:p w:rsidR="00365E21" w:rsidRDefault="00365E21" w14:paraId="2142D52D" w14:textId="77777777">
      <w:pPr>
        <w:sectPr w:rsidR="00365E21" w:rsidSect="00B14E32">
          <w:type w:val="continuous"/>
          <w:pgSz w:w="12240" w:h="15840"/>
          <w:pgMar w:top="1440" w:right="1440" w:bottom="1440" w:left="1440" w:header="720" w:footer="720" w:gutter="0"/>
          <w:cols w:space="720"/>
          <w:docGrid w:linePitch="360"/>
        </w:sectPr>
      </w:pPr>
    </w:p>
    <w:p w:rsidRPr="00753B95" w:rsidR="007B0C02" w:rsidP="007B0C02" w:rsidRDefault="007B0C02" w14:paraId="59CEAD0E" w14:textId="77777777">
      <w:pPr>
        <w:jc w:val="center"/>
      </w:pPr>
    </w:p>
    <w:tbl>
      <w:tblPr>
        <w:tblStyle w:val="TableGrid"/>
        <w:tblW w:w="9100" w:type="dxa"/>
        <w:tblInd w:w="175" w:type="dxa"/>
        <w:tblLook w:val="04A0" w:firstRow="1" w:lastRow="0" w:firstColumn="1" w:lastColumn="0" w:noHBand="0" w:noVBand="1"/>
      </w:tblPr>
      <w:tblGrid>
        <w:gridCol w:w="3510"/>
        <w:gridCol w:w="1239"/>
        <w:gridCol w:w="1296"/>
        <w:gridCol w:w="1425"/>
        <w:gridCol w:w="1620"/>
        <w:gridCol w:w="10"/>
      </w:tblGrid>
      <w:tr w:rsidRPr="00753B95" w:rsidR="000C16EE" w:rsidTr="001F0BA1" w14:paraId="57FB618E" w14:textId="77777777">
        <w:tc>
          <w:tcPr>
            <w:tcW w:w="9100" w:type="dxa"/>
            <w:gridSpan w:val="6"/>
            <w:shd w:val="clear" w:color="auto" w:fill="D9D9D9" w:themeFill="background1" w:themeFillShade="D9"/>
          </w:tcPr>
          <w:p w:rsidRPr="001F0BA1" w:rsidR="000C16EE" w:rsidP="0098332B" w:rsidRDefault="001F0BA1" w14:paraId="68D1E998" w14:textId="17211DF3">
            <w:pPr>
              <w:jc w:val="center"/>
              <w:rPr>
                <w:rFonts w:ascii="Arial Rounded MT Bold" w:hAnsi="Arial Rounded MT Bold"/>
                <w:sz w:val="20"/>
                <w:szCs w:val="20"/>
              </w:rPr>
            </w:pPr>
            <w:r w:rsidRPr="001F0BA1">
              <w:rPr>
                <w:rFonts w:ascii="Arial Rounded MT Bold" w:hAnsi="Arial Rounded MT Bold"/>
                <w:sz w:val="20"/>
                <w:szCs w:val="20"/>
              </w:rPr>
              <w:t>Summary of Burden</w:t>
            </w:r>
          </w:p>
        </w:tc>
      </w:tr>
      <w:tr w:rsidRPr="00753B95" w:rsidR="000C16EE" w:rsidTr="001F0BA1" w14:paraId="2624746B" w14:textId="77777777">
        <w:trPr>
          <w:gridAfter w:val="1"/>
          <w:wAfter w:w="10" w:type="dxa"/>
        </w:trPr>
        <w:tc>
          <w:tcPr>
            <w:tcW w:w="3510" w:type="dxa"/>
            <w:shd w:val="clear" w:color="auto" w:fill="DBE5F1" w:themeFill="accent1" w:themeFillTint="33"/>
            <w:vAlign w:val="center"/>
          </w:tcPr>
          <w:p w:rsidRPr="001F0BA1" w:rsidR="000C16EE" w:rsidP="0098332B" w:rsidRDefault="000C16EE" w14:paraId="61DA6FA8" w14:textId="77777777">
            <w:pPr>
              <w:jc w:val="center"/>
              <w:rPr>
                <w:rFonts w:ascii="Arial Narrow" w:hAnsi="Arial Narrow"/>
                <w:sz w:val="16"/>
                <w:szCs w:val="16"/>
              </w:rPr>
            </w:pPr>
            <w:r w:rsidRPr="001F0BA1">
              <w:rPr>
                <w:rFonts w:ascii="Arial Narrow" w:hAnsi="Arial Narrow"/>
                <w:sz w:val="16"/>
                <w:szCs w:val="16"/>
              </w:rPr>
              <w:t>Information Collection</w:t>
            </w:r>
          </w:p>
          <w:p w:rsidRPr="001F0BA1" w:rsidR="000C16EE" w:rsidP="0098332B" w:rsidRDefault="000C16EE" w14:paraId="13FA6F87" w14:textId="77777777">
            <w:pPr>
              <w:jc w:val="center"/>
              <w:rPr>
                <w:rFonts w:ascii="Arial Narrow" w:hAnsi="Arial Narrow"/>
                <w:sz w:val="16"/>
                <w:szCs w:val="16"/>
              </w:rPr>
            </w:pPr>
            <w:r w:rsidRPr="001F0BA1">
              <w:rPr>
                <w:rFonts w:ascii="Arial Narrow" w:hAnsi="Arial Narrow"/>
                <w:sz w:val="16"/>
                <w:szCs w:val="16"/>
              </w:rPr>
              <w:t>Activity</w:t>
            </w:r>
          </w:p>
        </w:tc>
        <w:tc>
          <w:tcPr>
            <w:tcW w:w="1239" w:type="dxa"/>
            <w:shd w:val="clear" w:color="auto" w:fill="DBE5F1" w:themeFill="accent1" w:themeFillTint="33"/>
            <w:vAlign w:val="center"/>
          </w:tcPr>
          <w:p w:rsidRPr="001F0BA1" w:rsidR="000C16EE" w:rsidP="0098332B" w:rsidRDefault="000C16EE" w14:paraId="09954C50" w14:textId="77777777">
            <w:pPr>
              <w:jc w:val="center"/>
              <w:rPr>
                <w:rFonts w:ascii="Arial Narrow" w:hAnsi="Arial Narrow"/>
                <w:sz w:val="16"/>
                <w:szCs w:val="16"/>
              </w:rPr>
            </w:pPr>
            <w:r w:rsidRPr="001F0BA1">
              <w:rPr>
                <w:rFonts w:ascii="Arial Narrow" w:hAnsi="Arial Narrow"/>
                <w:sz w:val="16"/>
                <w:szCs w:val="16"/>
              </w:rPr>
              <w:t>Number of Respondents</w:t>
            </w:r>
          </w:p>
        </w:tc>
        <w:tc>
          <w:tcPr>
            <w:tcW w:w="1296" w:type="dxa"/>
            <w:shd w:val="clear" w:color="auto" w:fill="DBE5F1" w:themeFill="accent1" w:themeFillTint="33"/>
            <w:vAlign w:val="center"/>
          </w:tcPr>
          <w:p w:rsidRPr="001F0BA1" w:rsidR="000C16EE" w:rsidP="0098332B" w:rsidRDefault="000C16EE" w14:paraId="3F9D4A5E" w14:textId="77777777">
            <w:pPr>
              <w:jc w:val="center"/>
              <w:rPr>
                <w:rFonts w:ascii="Arial Narrow" w:hAnsi="Arial Narrow"/>
                <w:sz w:val="16"/>
                <w:szCs w:val="16"/>
              </w:rPr>
            </w:pPr>
            <w:r w:rsidRPr="001F0BA1">
              <w:rPr>
                <w:rFonts w:ascii="Arial Narrow" w:hAnsi="Arial Narrow"/>
                <w:sz w:val="16"/>
                <w:szCs w:val="16"/>
              </w:rPr>
              <w:t>Total Annual Responses per Respondent</w:t>
            </w:r>
          </w:p>
        </w:tc>
        <w:tc>
          <w:tcPr>
            <w:tcW w:w="1425" w:type="dxa"/>
            <w:shd w:val="clear" w:color="auto" w:fill="DBE5F1" w:themeFill="accent1" w:themeFillTint="33"/>
            <w:vAlign w:val="center"/>
          </w:tcPr>
          <w:p w:rsidRPr="001F0BA1" w:rsidR="000C16EE" w:rsidP="0098332B" w:rsidRDefault="000C16EE" w14:paraId="103ABF8F" w14:textId="77777777">
            <w:pPr>
              <w:jc w:val="center"/>
              <w:rPr>
                <w:rFonts w:ascii="Arial Narrow" w:hAnsi="Arial Narrow"/>
                <w:sz w:val="16"/>
                <w:szCs w:val="16"/>
              </w:rPr>
            </w:pPr>
            <w:r w:rsidRPr="001F0BA1">
              <w:rPr>
                <w:rFonts w:ascii="Arial Narrow" w:hAnsi="Arial Narrow"/>
                <w:sz w:val="16"/>
                <w:szCs w:val="16"/>
              </w:rPr>
              <w:t>Total Annual Burden Hours</w:t>
            </w:r>
          </w:p>
        </w:tc>
        <w:tc>
          <w:tcPr>
            <w:tcW w:w="1620" w:type="dxa"/>
            <w:shd w:val="clear" w:color="auto" w:fill="DBE5F1" w:themeFill="accent1" w:themeFillTint="33"/>
            <w:vAlign w:val="center"/>
          </w:tcPr>
          <w:p w:rsidRPr="001F0BA1" w:rsidR="00D3345D" w:rsidP="000C16EE" w:rsidRDefault="000C16EE" w14:paraId="313FF826" w14:textId="77777777">
            <w:pPr>
              <w:jc w:val="center"/>
              <w:rPr>
                <w:rFonts w:ascii="Arial Narrow" w:hAnsi="Arial Narrow"/>
                <w:sz w:val="16"/>
                <w:szCs w:val="16"/>
              </w:rPr>
            </w:pPr>
            <w:r w:rsidRPr="001F0BA1">
              <w:rPr>
                <w:rFonts w:ascii="Arial Narrow" w:hAnsi="Arial Narrow"/>
                <w:sz w:val="16"/>
                <w:szCs w:val="16"/>
              </w:rPr>
              <w:t xml:space="preserve">Total Annual Labor Cost </w:t>
            </w:r>
          </w:p>
          <w:p w:rsidRPr="001F0BA1" w:rsidR="000C16EE" w:rsidP="000C16EE" w:rsidRDefault="00D3345D" w14:paraId="38D38866" w14:textId="5A48ADCA">
            <w:pPr>
              <w:jc w:val="center"/>
              <w:rPr>
                <w:rFonts w:ascii="Arial Narrow" w:hAnsi="Arial Narrow"/>
                <w:sz w:val="16"/>
                <w:szCs w:val="16"/>
              </w:rPr>
            </w:pPr>
            <w:r w:rsidRPr="001F0BA1">
              <w:rPr>
                <w:rFonts w:ascii="Arial Narrow" w:hAnsi="Arial Narrow"/>
                <w:sz w:val="16"/>
                <w:szCs w:val="16"/>
              </w:rPr>
              <w:t>(</w:t>
            </w:r>
            <w:proofErr w:type="gramStart"/>
            <w:r w:rsidRPr="001F0BA1">
              <w:rPr>
                <w:rFonts w:ascii="Arial Narrow" w:hAnsi="Arial Narrow"/>
                <w:sz w:val="16"/>
                <w:szCs w:val="16"/>
              </w:rPr>
              <w:t>based</w:t>
            </w:r>
            <w:proofErr w:type="gramEnd"/>
            <w:r w:rsidRPr="001F0BA1">
              <w:rPr>
                <w:rFonts w:ascii="Arial Narrow" w:hAnsi="Arial Narrow"/>
                <w:sz w:val="16"/>
                <w:szCs w:val="16"/>
              </w:rPr>
              <w:t xml:space="preserve"> on $35 hr.)</w:t>
            </w:r>
          </w:p>
        </w:tc>
      </w:tr>
      <w:tr w:rsidRPr="00753B95" w:rsidR="000C16EE" w:rsidTr="001F0BA1" w14:paraId="7EE95A37" w14:textId="77777777">
        <w:trPr>
          <w:gridAfter w:val="1"/>
          <w:wAfter w:w="10" w:type="dxa"/>
        </w:trPr>
        <w:tc>
          <w:tcPr>
            <w:tcW w:w="3510" w:type="dxa"/>
            <w:vAlign w:val="center"/>
          </w:tcPr>
          <w:p w:rsidRPr="001F0BA1" w:rsidR="000C16EE" w:rsidP="0098332B" w:rsidRDefault="000C16EE" w14:paraId="5F92EBA9" w14:textId="77777777">
            <w:pPr>
              <w:rPr>
                <w:sz w:val="18"/>
                <w:szCs w:val="18"/>
              </w:rPr>
            </w:pPr>
            <w:r w:rsidRPr="001F0BA1">
              <w:rPr>
                <w:sz w:val="18"/>
                <w:szCs w:val="18"/>
              </w:rPr>
              <w:t>Mergers</w:t>
            </w:r>
          </w:p>
        </w:tc>
        <w:tc>
          <w:tcPr>
            <w:tcW w:w="1239" w:type="dxa"/>
            <w:vAlign w:val="center"/>
          </w:tcPr>
          <w:p w:rsidRPr="001F0BA1" w:rsidR="000C16EE" w:rsidP="00091F95" w:rsidRDefault="00766920" w14:paraId="2267947A" w14:textId="689516AB">
            <w:pPr>
              <w:tabs>
                <w:tab w:val="right" w:pos="702"/>
              </w:tabs>
              <w:rPr>
                <w:sz w:val="18"/>
                <w:szCs w:val="18"/>
              </w:rPr>
            </w:pPr>
            <w:r w:rsidRPr="001F0BA1">
              <w:rPr>
                <w:sz w:val="18"/>
                <w:szCs w:val="18"/>
              </w:rPr>
              <w:tab/>
            </w:r>
            <w:r w:rsidRPr="001F0BA1" w:rsidR="000C16EE">
              <w:rPr>
                <w:sz w:val="18"/>
                <w:szCs w:val="18"/>
              </w:rPr>
              <w:t>214</w:t>
            </w:r>
          </w:p>
        </w:tc>
        <w:tc>
          <w:tcPr>
            <w:tcW w:w="1296" w:type="dxa"/>
            <w:vAlign w:val="center"/>
          </w:tcPr>
          <w:p w:rsidRPr="001F0BA1" w:rsidR="000C16EE" w:rsidP="00D3345D" w:rsidRDefault="00766920" w14:paraId="7AB7DD3D" w14:textId="4ECDA142">
            <w:pPr>
              <w:tabs>
                <w:tab w:val="right" w:pos="813"/>
              </w:tabs>
              <w:rPr>
                <w:sz w:val="18"/>
                <w:szCs w:val="18"/>
              </w:rPr>
            </w:pPr>
            <w:r w:rsidRPr="001F0BA1">
              <w:rPr>
                <w:sz w:val="18"/>
                <w:szCs w:val="18"/>
              </w:rPr>
              <w:tab/>
            </w:r>
            <w:r w:rsidRPr="001F0BA1" w:rsidR="00770F2E">
              <w:rPr>
                <w:sz w:val="18"/>
                <w:szCs w:val="18"/>
              </w:rPr>
              <w:t>1,</w:t>
            </w:r>
            <w:r w:rsidRPr="001F0BA1" w:rsidR="00D3345D">
              <w:rPr>
                <w:sz w:val="18"/>
                <w:szCs w:val="18"/>
              </w:rPr>
              <w:t>498</w:t>
            </w:r>
          </w:p>
        </w:tc>
        <w:tc>
          <w:tcPr>
            <w:tcW w:w="1425" w:type="dxa"/>
            <w:vAlign w:val="center"/>
          </w:tcPr>
          <w:p w:rsidRPr="001F0BA1" w:rsidR="000C16EE" w:rsidP="00D3345D" w:rsidRDefault="00766920" w14:paraId="7AAF73F4" w14:textId="49431389">
            <w:pPr>
              <w:tabs>
                <w:tab w:val="right" w:pos="957"/>
              </w:tabs>
              <w:rPr>
                <w:sz w:val="18"/>
                <w:szCs w:val="18"/>
              </w:rPr>
            </w:pPr>
            <w:r w:rsidRPr="001F0BA1">
              <w:rPr>
                <w:sz w:val="18"/>
                <w:szCs w:val="18"/>
              </w:rPr>
              <w:tab/>
            </w:r>
            <w:r w:rsidRPr="001F0BA1" w:rsidR="00D3345D">
              <w:rPr>
                <w:sz w:val="18"/>
                <w:szCs w:val="18"/>
              </w:rPr>
              <w:t>7,490</w:t>
            </w:r>
          </w:p>
        </w:tc>
        <w:tc>
          <w:tcPr>
            <w:tcW w:w="1620" w:type="dxa"/>
            <w:vAlign w:val="center"/>
          </w:tcPr>
          <w:p w:rsidRPr="001F0BA1" w:rsidR="000C16EE" w:rsidP="00D3345D" w:rsidRDefault="000C16EE" w14:paraId="38004F27" w14:textId="56B06121">
            <w:pPr>
              <w:jc w:val="right"/>
              <w:rPr>
                <w:sz w:val="18"/>
                <w:szCs w:val="18"/>
              </w:rPr>
            </w:pPr>
            <w:r w:rsidRPr="001F0BA1">
              <w:rPr>
                <w:sz w:val="18"/>
                <w:szCs w:val="18"/>
              </w:rPr>
              <w:t>$</w:t>
            </w:r>
            <w:r w:rsidRPr="001F0BA1" w:rsidR="00D3345D">
              <w:rPr>
                <w:sz w:val="18"/>
                <w:szCs w:val="18"/>
              </w:rPr>
              <w:t>262,150</w:t>
            </w:r>
          </w:p>
        </w:tc>
      </w:tr>
      <w:tr w:rsidRPr="00753B95" w:rsidR="000C16EE" w:rsidTr="001F0BA1" w14:paraId="164F1DF1" w14:textId="77777777">
        <w:trPr>
          <w:gridAfter w:val="1"/>
          <w:wAfter w:w="10" w:type="dxa"/>
        </w:trPr>
        <w:tc>
          <w:tcPr>
            <w:tcW w:w="3510" w:type="dxa"/>
            <w:vAlign w:val="center"/>
          </w:tcPr>
          <w:p w:rsidRPr="001F0BA1" w:rsidR="000C16EE" w:rsidP="0098332B" w:rsidRDefault="000C16EE" w14:paraId="5936E205" w14:textId="77777777">
            <w:pPr>
              <w:rPr>
                <w:sz w:val="18"/>
                <w:szCs w:val="18"/>
              </w:rPr>
            </w:pPr>
            <w:r w:rsidRPr="001F0BA1">
              <w:rPr>
                <w:sz w:val="18"/>
                <w:szCs w:val="18"/>
              </w:rPr>
              <w:t>Share Insurance Conversions</w:t>
            </w:r>
          </w:p>
        </w:tc>
        <w:tc>
          <w:tcPr>
            <w:tcW w:w="1239" w:type="dxa"/>
            <w:vAlign w:val="center"/>
          </w:tcPr>
          <w:p w:rsidRPr="001F0BA1" w:rsidR="000C16EE" w:rsidP="00091F95" w:rsidRDefault="00766920" w14:paraId="2989C557" w14:textId="3A937A6F">
            <w:pPr>
              <w:tabs>
                <w:tab w:val="right" w:pos="702"/>
              </w:tabs>
              <w:rPr>
                <w:sz w:val="18"/>
                <w:szCs w:val="18"/>
              </w:rPr>
            </w:pPr>
            <w:r w:rsidRPr="001F0BA1">
              <w:rPr>
                <w:sz w:val="18"/>
                <w:szCs w:val="18"/>
              </w:rPr>
              <w:tab/>
            </w:r>
            <w:r w:rsidRPr="001F0BA1" w:rsidR="000C16EE">
              <w:rPr>
                <w:sz w:val="18"/>
                <w:szCs w:val="18"/>
              </w:rPr>
              <w:t>4</w:t>
            </w:r>
          </w:p>
        </w:tc>
        <w:tc>
          <w:tcPr>
            <w:tcW w:w="1296" w:type="dxa"/>
            <w:vAlign w:val="center"/>
          </w:tcPr>
          <w:p w:rsidRPr="001F0BA1" w:rsidR="000C16EE" w:rsidP="00091F95" w:rsidRDefault="00766920" w14:paraId="2564672F" w14:textId="3DFD3060">
            <w:pPr>
              <w:tabs>
                <w:tab w:val="right" w:pos="813"/>
              </w:tabs>
              <w:rPr>
                <w:sz w:val="18"/>
                <w:szCs w:val="18"/>
              </w:rPr>
            </w:pPr>
            <w:r w:rsidRPr="001F0BA1">
              <w:rPr>
                <w:sz w:val="18"/>
                <w:szCs w:val="18"/>
              </w:rPr>
              <w:tab/>
            </w:r>
            <w:r w:rsidRPr="001F0BA1" w:rsidR="002861E9">
              <w:rPr>
                <w:sz w:val="18"/>
                <w:szCs w:val="18"/>
              </w:rPr>
              <w:t>20</w:t>
            </w:r>
          </w:p>
        </w:tc>
        <w:tc>
          <w:tcPr>
            <w:tcW w:w="1425" w:type="dxa"/>
            <w:vAlign w:val="center"/>
          </w:tcPr>
          <w:p w:rsidRPr="001F0BA1" w:rsidR="000C16EE" w:rsidP="00091F95" w:rsidRDefault="00766920" w14:paraId="17D741FB" w14:textId="03DCF462">
            <w:pPr>
              <w:tabs>
                <w:tab w:val="right" w:pos="957"/>
              </w:tabs>
              <w:rPr>
                <w:sz w:val="18"/>
                <w:szCs w:val="18"/>
              </w:rPr>
            </w:pPr>
            <w:r w:rsidRPr="001F0BA1">
              <w:rPr>
                <w:sz w:val="18"/>
                <w:szCs w:val="18"/>
              </w:rPr>
              <w:tab/>
            </w:r>
            <w:r w:rsidRPr="001F0BA1" w:rsidR="00037B8F">
              <w:rPr>
                <w:sz w:val="18"/>
                <w:szCs w:val="18"/>
              </w:rPr>
              <w:t>60</w:t>
            </w:r>
          </w:p>
        </w:tc>
        <w:tc>
          <w:tcPr>
            <w:tcW w:w="1620" w:type="dxa"/>
            <w:vAlign w:val="center"/>
          </w:tcPr>
          <w:p w:rsidRPr="001F0BA1" w:rsidR="000C16EE" w:rsidP="00D3345D" w:rsidRDefault="00037B8F" w14:paraId="380AEDBC" w14:textId="63B9F62E">
            <w:pPr>
              <w:jc w:val="right"/>
              <w:rPr>
                <w:sz w:val="18"/>
                <w:szCs w:val="18"/>
              </w:rPr>
            </w:pPr>
            <w:r w:rsidRPr="001F0BA1">
              <w:rPr>
                <w:sz w:val="18"/>
                <w:szCs w:val="18"/>
              </w:rPr>
              <w:t>$</w:t>
            </w:r>
            <w:r w:rsidRPr="001F0BA1" w:rsidR="00D3345D">
              <w:rPr>
                <w:sz w:val="18"/>
                <w:szCs w:val="18"/>
              </w:rPr>
              <w:t>95</w:t>
            </w:r>
          </w:p>
        </w:tc>
      </w:tr>
      <w:tr w:rsidRPr="00753B95" w:rsidR="000C16EE" w:rsidTr="001F0BA1" w14:paraId="0608D066" w14:textId="77777777">
        <w:trPr>
          <w:gridAfter w:val="1"/>
          <w:wAfter w:w="10" w:type="dxa"/>
        </w:trPr>
        <w:tc>
          <w:tcPr>
            <w:tcW w:w="3510" w:type="dxa"/>
            <w:vAlign w:val="center"/>
          </w:tcPr>
          <w:p w:rsidRPr="001F0BA1" w:rsidR="000C16EE" w:rsidP="0098332B" w:rsidRDefault="000C16EE" w14:paraId="743C5574" w14:textId="77777777">
            <w:pPr>
              <w:rPr>
                <w:sz w:val="18"/>
                <w:szCs w:val="18"/>
              </w:rPr>
            </w:pPr>
            <w:r w:rsidRPr="001F0BA1">
              <w:rPr>
                <w:sz w:val="18"/>
                <w:szCs w:val="18"/>
              </w:rPr>
              <w:t>Share Insurance Terminations</w:t>
            </w:r>
          </w:p>
        </w:tc>
        <w:tc>
          <w:tcPr>
            <w:tcW w:w="1239" w:type="dxa"/>
            <w:vAlign w:val="center"/>
          </w:tcPr>
          <w:p w:rsidRPr="001F0BA1" w:rsidR="000C16EE" w:rsidP="00091F95" w:rsidRDefault="00766920" w14:paraId="49A7381A" w14:textId="46CCC5C5">
            <w:pPr>
              <w:tabs>
                <w:tab w:val="right" w:pos="702"/>
              </w:tabs>
              <w:rPr>
                <w:sz w:val="18"/>
                <w:szCs w:val="18"/>
              </w:rPr>
            </w:pPr>
            <w:r w:rsidRPr="001F0BA1">
              <w:rPr>
                <w:sz w:val="18"/>
                <w:szCs w:val="18"/>
              </w:rPr>
              <w:tab/>
            </w:r>
            <w:r w:rsidRPr="001F0BA1" w:rsidR="002861E9">
              <w:rPr>
                <w:sz w:val="18"/>
                <w:szCs w:val="18"/>
              </w:rPr>
              <w:t>1</w:t>
            </w:r>
          </w:p>
        </w:tc>
        <w:tc>
          <w:tcPr>
            <w:tcW w:w="1296" w:type="dxa"/>
            <w:vAlign w:val="center"/>
          </w:tcPr>
          <w:p w:rsidRPr="001F0BA1" w:rsidR="000C16EE" w:rsidP="00091F95" w:rsidRDefault="00766920" w14:paraId="2F202C1E" w14:textId="3535ABD1">
            <w:pPr>
              <w:tabs>
                <w:tab w:val="right" w:pos="813"/>
              </w:tabs>
              <w:rPr>
                <w:sz w:val="18"/>
                <w:szCs w:val="18"/>
              </w:rPr>
            </w:pPr>
            <w:r w:rsidRPr="001F0BA1">
              <w:rPr>
                <w:sz w:val="18"/>
                <w:szCs w:val="18"/>
              </w:rPr>
              <w:tab/>
            </w:r>
            <w:r w:rsidRPr="001F0BA1" w:rsidR="002861E9">
              <w:rPr>
                <w:sz w:val="18"/>
                <w:szCs w:val="18"/>
              </w:rPr>
              <w:t>1</w:t>
            </w:r>
          </w:p>
        </w:tc>
        <w:tc>
          <w:tcPr>
            <w:tcW w:w="1425" w:type="dxa"/>
            <w:vAlign w:val="center"/>
          </w:tcPr>
          <w:p w:rsidRPr="001F0BA1" w:rsidR="000C16EE" w:rsidP="00091F95" w:rsidRDefault="00766920" w14:paraId="0049393E" w14:textId="4E981517">
            <w:pPr>
              <w:tabs>
                <w:tab w:val="right" w:pos="957"/>
              </w:tabs>
              <w:rPr>
                <w:sz w:val="18"/>
                <w:szCs w:val="18"/>
              </w:rPr>
            </w:pPr>
            <w:r w:rsidRPr="001F0BA1">
              <w:rPr>
                <w:sz w:val="18"/>
                <w:szCs w:val="18"/>
              </w:rPr>
              <w:tab/>
            </w:r>
            <w:r w:rsidRPr="001F0BA1" w:rsidR="002861E9">
              <w:rPr>
                <w:sz w:val="18"/>
                <w:szCs w:val="18"/>
              </w:rPr>
              <w:t>12</w:t>
            </w:r>
          </w:p>
        </w:tc>
        <w:tc>
          <w:tcPr>
            <w:tcW w:w="1620" w:type="dxa"/>
            <w:vAlign w:val="center"/>
          </w:tcPr>
          <w:p w:rsidRPr="001F0BA1" w:rsidR="000C16EE" w:rsidP="005D5EC4" w:rsidRDefault="000C16EE" w14:paraId="1425B7CC" w14:textId="77777777">
            <w:pPr>
              <w:jc w:val="right"/>
              <w:rPr>
                <w:sz w:val="18"/>
                <w:szCs w:val="18"/>
              </w:rPr>
            </w:pPr>
            <w:r w:rsidRPr="001F0BA1">
              <w:rPr>
                <w:sz w:val="18"/>
                <w:szCs w:val="18"/>
              </w:rPr>
              <w:t>$0</w:t>
            </w:r>
          </w:p>
        </w:tc>
      </w:tr>
      <w:tr w:rsidRPr="00753B95" w:rsidR="000C16EE" w:rsidTr="001F0BA1" w14:paraId="029BC8D9" w14:textId="77777777">
        <w:trPr>
          <w:gridAfter w:val="1"/>
          <w:wAfter w:w="10" w:type="dxa"/>
          <w:trHeight w:val="312"/>
        </w:trPr>
        <w:tc>
          <w:tcPr>
            <w:tcW w:w="3510" w:type="dxa"/>
            <w:tcBorders>
              <w:top w:val="single" w:color="auto" w:sz="12" w:space="0"/>
            </w:tcBorders>
            <w:vAlign w:val="center"/>
          </w:tcPr>
          <w:p w:rsidRPr="001F0BA1" w:rsidR="000C16EE" w:rsidP="005D5EC4" w:rsidRDefault="000C16EE" w14:paraId="1B2F9F3F" w14:textId="77777777">
            <w:pPr>
              <w:jc w:val="right"/>
              <w:rPr>
                <w:sz w:val="18"/>
                <w:szCs w:val="18"/>
              </w:rPr>
            </w:pPr>
            <w:r w:rsidRPr="001F0BA1">
              <w:rPr>
                <w:sz w:val="18"/>
                <w:szCs w:val="18"/>
              </w:rPr>
              <w:t>Total</w:t>
            </w:r>
          </w:p>
        </w:tc>
        <w:tc>
          <w:tcPr>
            <w:tcW w:w="1239" w:type="dxa"/>
            <w:tcBorders>
              <w:top w:val="single" w:color="auto" w:sz="12" w:space="0"/>
            </w:tcBorders>
            <w:vAlign w:val="center"/>
          </w:tcPr>
          <w:p w:rsidRPr="001F0BA1" w:rsidR="000C16EE" w:rsidP="00A62F23" w:rsidRDefault="000C16EE" w14:paraId="0CFCF6C8" w14:textId="77777777">
            <w:pPr>
              <w:jc w:val="center"/>
              <w:rPr>
                <w:sz w:val="18"/>
                <w:szCs w:val="18"/>
              </w:rPr>
            </w:pPr>
            <w:r w:rsidRPr="001F0BA1">
              <w:rPr>
                <w:sz w:val="18"/>
                <w:szCs w:val="18"/>
              </w:rPr>
              <w:t>21</w:t>
            </w:r>
            <w:r w:rsidRPr="001F0BA1" w:rsidR="002D128E">
              <w:rPr>
                <w:sz w:val="18"/>
                <w:szCs w:val="18"/>
              </w:rPr>
              <w:t>9</w:t>
            </w:r>
          </w:p>
        </w:tc>
        <w:tc>
          <w:tcPr>
            <w:tcW w:w="1296" w:type="dxa"/>
            <w:tcBorders>
              <w:top w:val="single" w:color="auto" w:sz="12" w:space="0"/>
            </w:tcBorders>
            <w:vAlign w:val="center"/>
          </w:tcPr>
          <w:p w:rsidRPr="001F0BA1" w:rsidR="000C16EE" w:rsidP="00D3345D" w:rsidRDefault="00B21361" w14:paraId="5F9419DE" w14:textId="7581B965">
            <w:pPr>
              <w:jc w:val="center"/>
              <w:rPr>
                <w:sz w:val="18"/>
                <w:szCs w:val="18"/>
              </w:rPr>
            </w:pPr>
            <w:r w:rsidRPr="001F0BA1">
              <w:rPr>
                <w:sz w:val="18"/>
                <w:szCs w:val="18"/>
              </w:rPr>
              <w:t>1,</w:t>
            </w:r>
            <w:r w:rsidRPr="001F0BA1" w:rsidR="00D3345D">
              <w:rPr>
                <w:sz w:val="18"/>
                <w:szCs w:val="18"/>
              </w:rPr>
              <w:t>519</w:t>
            </w:r>
          </w:p>
        </w:tc>
        <w:tc>
          <w:tcPr>
            <w:tcW w:w="1425" w:type="dxa"/>
            <w:tcBorders>
              <w:top w:val="single" w:color="auto" w:sz="12" w:space="0"/>
            </w:tcBorders>
            <w:vAlign w:val="center"/>
          </w:tcPr>
          <w:p w:rsidRPr="001F0BA1" w:rsidR="000C16EE" w:rsidP="00005ABC" w:rsidRDefault="00D3345D" w14:paraId="4FB130DD" w14:textId="5D16AD7B">
            <w:pPr>
              <w:jc w:val="center"/>
              <w:rPr>
                <w:sz w:val="18"/>
                <w:szCs w:val="18"/>
              </w:rPr>
            </w:pPr>
            <w:r w:rsidRPr="001F0BA1">
              <w:rPr>
                <w:sz w:val="18"/>
                <w:szCs w:val="18"/>
              </w:rPr>
              <w:t>7,562</w:t>
            </w:r>
          </w:p>
        </w:tc>
        <w:tc>
          <w:tcPr>
            <w:tcW w:w="1620" w:type="dxa"/>
            <w:tcBorders>
              <w:top w:val="single" w:color="auto" w:sz="12" w:space="0"/>
            </w:tcBorders>
            <w:vAlign w:val="center"/>
          </w:tcPr>
          <w:p w:rsidRPr="001F0BA1" w:rsidR="000C16EE" w:rsidP="00D3345D" w:rsidRDefault="00037B8F" w14:paraId="5BAC789B" w14:textId="5C30CCCF">
            <w:pPr>
              <w:jc w:val="right"/>
              <w:rPr>
                <w:sz w:val="18"/>
                <w:szCs w:val="18"/>
              </w:rPr>
            </w:pPr>
            <w:r w:rsidRPr="001F0BA1">
              <w:rPr>
                <w:sz w:val="18"/>
                <w:szCs w:val="18"/>
              </w:rPr>
              <w:t>$</w:t>
            </w:r>
            <w:r w:rsidRPr="001F0BA1" w:rsidR="00D3345D">
              <w:rPr>
                <w:sz w:val="18"/>
                <w:szCs w:val="18"/>
              </w:rPr>
              <w:t>262,245</w:t>
            </w:r>
          </w:p>
        </w:tc>
      </w:tr>
    </w:tbl>
    <w:p w:rsidR="00940951" w:rsidP="003E7EE2" w:rsidRDefault="00940951" w14:paraId="2D74EDF2" w14:textId="77777777">
      <w:pPr>
        <w:ind w:left="720" w:hanging="720"/>
        <w:rPr>
          <w:b/>
        </w:rPr>
      </w:pPr>
    </w:p>
    <w:p w:rsidRPr="00753B95" w:rsidR="00D728DA" w:rsidP="003E7EE2" w:rsidRDefault="00D05C04" w14:paraId="79D930D5" w14:textId="0873B227">
      <w:pPr>
        <w:ind w:left="720" w:hanging="720"/>
        <w:rPr>
          <w:b/>
        </w:rPr>
      </w:pPr>
      <w:r w:rsidRPr="00753B95">
        <w:rPr>
          <w:b/>
        </w:rPr>
        <w:t>13.</w:t>
      </w:r>
      <w:r w:rsidR="00027E19">
        <w:rPr>
          <w:b/>
        </w:rPr>
        <w:tab/>
      </w:r>
      <w:r w:rsidR="003E7EE2">
        <w:rPr>
          <w:b/>
        </w:rPr>
        <w:t>Capital start-up or on-going operation and maintenance costs.</w:t>
      </w:r>
    </w:p>
    <w:p w:rsidRPr="00753B95" w:rsidR="00F2748C" w:rsidP="003E7EE2" w:rsidRDefault="00F2748C" w14:paraId="1C335D02" w14:textId="77777777">
      <w:pPr>
        <w:ind w:left="720" w:hanging="720"/>
      </w:pPr>
    </w:p>
    <w:p w:rsidRPr="00753B95" w:rsidR="00D728DA" w:rsidP="003E7EE2" w:rsidRDefault="00027E19" w14:paraId="7983D27D" w14:textId="77777777">
      <w:pPr>
        <w:ind w:left="720" w:hanging="720"/>
      </w:pPr>
      <w:r>
        <w:tab/>
      </w:r>
      <w:r w:rsidRPr="00753B95" w:rsidR="00AA42B0">
        <w:t xml:space="preserve">On very rare occasions, a merging credit union may need to get outside accounting assistance with GAAP consolidated financials or legal assistance with Hart Scott </w:t>
      </w:r>
      <w:proofErr w:type="spellStart"/>
      <w:r w:rsidRPr="00753B95" w:rsidR="00AA42B0">
        <w:t>Rodino</w:t>
      </w:r>
      <w:proofErr w:type="spellEnd"/>
      <w:r w:rsidRPr="00753B95" w:rsidR="00AA42B0">
        <w:t xml:space="preserve"> Act compliance issues.  Since this would be </w:t>
      </w:r>
      <w:r w:rsidRPr="00753B95" w:rsidR="00942A07">
        <w:t xml:space="preserve">very </w:t>
      </w:r>
      <w:r w:rsidRPr="00753B95" w:rsidR="00AA42B0">
        <w:t xml:space="preserve">rare, we cannot compute an average cost for this service.  </w:t>
      </w:r>
    </w:p>
    <w:p w:rsidR="00AA42B0" w:rsidP="003E7EE2" w:rsidRDefault="00AA42B0" w14:paraId="512F1186" w14:textId="77777777">
      <w:pPr>
        <w:ind w:left="720" w:hanging="720"/>
      </w:pPr>
    </w:p>
    <w:p w:rsidRPr="00753B95" w:rsidR="00D05C04" w:rsidP="003E7EE2" w:rsidRDefault="00027E19" w14:paraId="15C0354C" w14:textId="7003C95A">
      <w:pPr>
        <w:ind w:left="720" w:hanging="720"/>
        <w:rPr>
          <w:b/>
        </w:rPr>
      </w:pPr>
      <w:r>
        <w:rPr>
          <w:b/>
        </w:rPr>
        <w:t>14.</w:t>
      </w:r>
      <w:r>
        <w:rPr>
          <w:b/>
        </w:rPr>
        <w:tab/>
      </w:r>
      <w:r w:rsidR="003E7EE2">
        <w:rPr>
          <w:b/>
        </w:rPr>
        <w:t>Annualized costs to the Federal government.</w:t>
      </w:r>
    </w:p>
    <w:p w:rsidRPr="00753B95" w:rsidR="001F0DB5" w:rsidP="003E7EE2" w:rsidRDefault="001F0DB5" w14:paraId="09C96281" w14:textId="77777777">
      <w:pPr>
        <w:ind w:left="720" w:hanging="720"/>
        <w:rPr>
          <w:b/>
        </w:rPr>
      </w:pPr>
    </w:p>
    <w:p w:rsidRPr="00753B95" w:rsidR="006D462A" w:rsidP="003E7EE2" w:rsidRDefault="00027E19" w14:paraId="0DD4A3B1" w14:textId="77777777">
      <w:pPr>
        <w:ind w:left="720" w:hanging="720"/>
      </w:pPr>
      <w:r>
        <w:tab/>
      </w:r>
      <w:r w:rsidRPr="00753B95" w:rsidR="006D462A">
        <w:t xml:space="preserve">The estimated </w:t>
      </w:r>
      <w:r w:rsidRPr="00753B95" w:rsidR="001F0DB5">
        <w:t xml:space="preserve">total </w:t>
      </w:r>
      <w:r w:rsidRPr="00753B95" w:rsidR="006D462A">
        <w:t>annualized cost to the Federal Government is approximately $</w:t>
      </w:r>
      <w:r w:rsidR="001E0D1E">
        <w:t>181,840</w:t>
      </w:r>
      <w:r w:rsidRPr="00753B95" w:rsidR="006D462A">
        <w:t>, calculated as follows:</w:t>
      </w:r>
    </w:p>
    <w:p w:rsidRPr="00753B95" w:rsidR="006D462A" w:rsidP="003E7EE2" w:rsidRDefault="006D462A" w14:paraId="319872F3" w14:textId="77777777">
      <w:pPr>
        <w:ind w:left="720"/>
        <w:rPr>
          <w:b/>
          <w:u w:val="single"/>
        </w:rPr>
      </w:pPr>
    </w:p>
    <w:p w:rsidRPr="00753B95" w:rsidR="007A5630" w:rsidP="003E7EE2" w:rsidRDefault="009739E0" w14:paraId="0DECFD5F" w14:textId="5A0AEEFC">
      <w:pPr>
        <w:ind w:left="720"/>
      </w:pPr>
      <w:r w:rsidRPr="00753B95">
        <w:rPr>
          <w:u w:val="single"/>
        </w:rPr>
        <w:lastRenderedPageBreak/>
        <w:t>Mergers</w:t>
      </w:r>
      <w:r w:rsidR="003E7EE2">
        <w:t xml:space="preserve"> – </w:t>
      </w:r>
      <w:r w:rsidRPr="00753B95" w:rsidR="00C57B92">
        <w:t xml:space="preserve">NCUA spends an average of </w:t>
      </w:r>
      <w:r w:rsidRPr="00753B95" w:rsidR="006D462A">
        <w:t>1</w:t>
      </w:r>
      <w:r w:rsidRPr="00753B95" w:rsidR="002A6CDC">
        <w:t>5</w:t>
      </w:r>
      <w:r w:rsidRPr="00753B95" w:rsidR="00C57B92">
        <w:t xml:space="preserve"> </w:t>
      </w:r>
      <w:r w:rsidRPr="00753B95" w:rsidR="002A6CDC">
        <w:t>employee</w:t>
      </w:r>
      <w:r w:rsidRPr="00753B95" w:rsidR="00C57B92">
        <w:t xml:space="preserve">-hours </w:t>
      </w:r>
      <w:r w:rsidRPr="00753B95" w:rsidR="00942A07">
        <w:t>on</w:t>
      </w:r>
      <w:r w:rsidRPr="00753B95" w:rsidR="00131AA9">
        <w:t xml:space="preserve"> pre</w:t>
      </w:r>
      <w:r w:rsidRPr="00753B95" w:rsidR="002C2ADF">
        <w:t>-</w:t>
      </w:r>
      <w:r w:rsidRPr="00753B95" w:rsidR="00131AA9">
        <w:t xml:space="preserve"> and post-merger </w:t>
      </w:r>
      <w:r w:rsidRPr="00753B95" w:rsidR="00C57B92">
        <w:t>processing</w:t>
      </w:r>
      <w:r w:rsidRPr="00753B95" w:rsidR="00131AA9">
        <w:t xml:space="preserve"> </w:t>
      </w:r>
      <w:r w:rsidRPr="00753B95" w:rsidR="002A6CDC">
        <w:t xml:space="preserve">and </w:t>
      </w:r>
      <w:r w:rsidRPr="00753B95" w:rsidR="006D462A">
        <w:t>4</w:t>
      </w:r>
      <w:r w:rsidRPr="00753B95" w:rsidR="00C57B92">
        <w:t xml:space="preserve"> </w:t>
      </w:r>
      <w:r w:rsidRPr="00753B95" w:rsidR="002A6CDC">
        <w:t>employee</w:t>
      </w:r>
      <w:r w:rsidRPr="00753B95" w:rsidR="00C57B92">
        <w:t>-hours reviewing and supervising th</w:t>
      </w:r>
      <w:r w:rsidRPr="00753B95" w:rsidR="00131AA9">
        <w:t>at</w:t>
      </w:r>
      <w:r w:rsidRPr="00753B95" w:rsidR="00C57B92">
        <w:t xml:space="preserve"> processing.  The wage rate for the </w:t>
      </w:r>
      <w:r w:rsidRPr="00753B95" w:rsidR="00942A07">
        <w:t xml:space="preserve">processing is </w:t>
      </w:r>
      <w:r w:rsidRPr="00753B95" w:rsidR="007251BF">
        <w:t>approximately</w:t>
      </w:r>
      <w:r w:rsidRPr="00753B95" w:rsidR="00942A07">
        <w:t xml:space="preserve"> $</w:t>
      </w:r>
      <w:r w:rsidRPr="00753B95" w:rsidR="002A6CDC">
        <w:t>4</w:t>
      </w:r>
      <w:r w:rsidRPr="00753B95" w:rsidR="00942A07">
        <w:t>0</w:t>
      </w:r>
      <w:r w:rsidRPr="00753B95" w:rsidR="002A6CDC">
        <w:t>/hour</w:t>
      </w:r>
      <w:r w:rsidRPr="00753B95" w:rsidR="00942A07">
        <w:t xml:space="preserve">, and the </w:t>
      </w:r>
      <w:r w:rsidRPr="00753B95" w:rsidR="00C57B92">
        <w:t>wage rate for review and supervision i</w:t>
      </w:r>
      <w:r w:rsidRPr="00753B95" w:rsidR="00131AA9">
        <w:t>s</w:t>
      </w:r>
      <w:r w:rsidRPr="00753B95" w:rsidR="00C57B92">
        <w:t xml:space="preserve"> </w:t>
      </w:r>
      <w:r w:rsidRPr="00753B95" w:rsidR="007251BF">
        <w:t>approximately</w:t>
      </w:r>
      <w:r w:rsidRPr="00753B95" w:rsidR="00C57B92">
        <w:t xml:space="preserve"> $60</w:t>
      </w:r>
      <w:r w:rsidRPr="00753B95" w:rsidR="002A6CDC">
        <w:t>/hour</w:t>
      </w:r>
      <w:r w:rsidRPr="00753B95" w:rsidR="00C57B92">
        <w:t>.</w:t>
      </w:r>
      <w:r w:rsidRPr="00753B95" w:rsidR="00131AA9">
        <w:t xml:space="preserve">  </w:t>
      </w:r>
      <w:r w:rsidRPr="00753B95" w:rsidR="00C57B92">
        <w:t xml:space="preserve">The total </w:t>
      </w:r>
      <w:r w:rsidRPr="00753B95" w:rsidR="00942A07">
        <w:t xml:space="preserve">NCUA </w:t>
      </w:r>
      <w:r w:rsidRPr="00753B95" w:rsidR="00C57B92">
        <w:t xml:space="preserve">cost for each merger is </w:t>
      </w:r>
      <w:r w:rsidRPr="00753B95" w:rsidR="00131AA9">
        <w:t xml:space="preserve">then </w:t>
      </w:r>
      <w:r w:rsidRPr="00753B95" w:rsidR="006D462A">
        <w:t>1</w:t>
      </w:r>
      <w:r w:rsidRPr="00753B95" w:rsidR="007A5630">
        <w:t>5</w:t>
      </w:r>
      <w:r w:rsidRPr="00753B95" w:rsidR="00C57B92">
        <w:t xml:space="preserve"> x $40</w:t>
      </w:r>
      <w:r w:rsidRPr="00753B95" w:rsidR="006D462A">
        <w:t xml:space="preserve"> ($600)</w:t>
      </w:r>
      <w:r w:rsidRPr="00753B95" w:rsidR="00C57B92">
        <w:t xml:space="preserve"> plus </w:t>
      </w:r>
      <w:r w:rsidRPr="00753B95" w:rsidR="006D462A">
        <w:t>4</w:t>
      </w:r>
      <w:r w:rsidRPr="00753B95" w:rsidR="00C57B92">
        <w:t xml:space="preserve"> x $60</w:t>
      </w:r>
      <w:r w:rsidRPr="00753B95" w:rsidR="006D462A">
        <w:t xml:space="preserve"> (</w:t>
      </w:r>
      <w:r w:rsidRPr="00753B95" w:rsidR="00C57B92">
        <w:t>$</w:t>
      </w:r>
      <w:r w:rsidRPr="00753B95" w:rsidR="006D462A">
        <w:t>240) = $840</w:t>
      </w:r>
      <w:r w:rsidRPr="00753B95" w:rsidR="00C57B92">
        <w:t>.</w:t>
      </w:r>
      <w:r w:rsidRPr="00753B95" w:rsidR="00131AA9">
        <w:t xml:space="preserve">  T</w:t>
      </w:r>
      <w:r w:rsidRPr="00753B95" w:rsidR="00C57B92">
        <w:t xml:space="preserve">he aggregate annual cost </w:t>
      </w:r>
      <w:r w:rsidRPr="00753B95" w:rsidR="00131AA9">
        <w:t xml:space="preserve">for the </w:t>
      </w:r>
      <w:r w:rsidRPr="0084133C" w:rsidR="0084133C">
        <w:t>214</w:t>
      </w:r>
      <w:r w:rsidRPr="00753B95" w:rsidR="00C57B92">
        <w:t xml:space="preserve"> mergers </w:t>
      </w:r>
      <w:r w:rsidRPr="00753B95" w:rsidR="00131AA9">
        <w:t xml:space="preserve">is </w:t>
      </w:r>
      <w:r w:rsidR="0084133C">
        <w:t>214</w:t>
      </w:r>
      <w:r w:rsidRPr="00753B95" w:rsidR="00131AA9">
        <w:t xml:space="preserve"> </w:t>
      </w:r>
      <w:r w:rsidRPr="00753B95" w:rsidR="00C57B92">
        <w:t>x $</w:t>
      </w:r>
      <w:r w:rsidRPr="00753B95" w:rsidR="006D462A">
        <w:t>840</w:t>
      </w:r>
      <w:r w:rsidRPr="00753B95" w:rsidR="00C57B92">
        <w:t>, or $</w:t>
      </w:r>
      <w:r w:rsidR="0084133C">
        <w:t>179,760</w:t>
      </w:r>
      <w:r w:rsidRPr="00753B95" w:rsidR="006D462A">
        <w:t>.</w:t>
      </w:r>
      <w:r w:rsidRPr="00753B95" w:rsidR="00C57B92">
        <w:t xml:space="preserve"> </w:t>
      </w:r>
    </w:p>
    <w:p w:rsidRPr="00753B95" w:rsidR="007A5630" w:rsidP="003E7EE2" w:rsidRDefault="007A5630" w14:paraId="57C0D7DD" w14:textId="77777777">
      <w:pPr>
        <w:ind w:left="720"/>
      </w:pPr>
    </w:p>
    <w:p w:rsidRPr="00753B95" w:rsidR="007A5630" w:rsidP="003E7EE2" w:rsidRDefault="009739E0" w14:paraId="39856D80" w14:textId="4FCAF3AA">
      <w:pPr>
        <w:ind w:left="720"/>
      </w:pPr>
      <w:r w:rsidRPr="00753B95">
        <w:rPr>
          <w:u w:val="single"/>
        </w:rPr>
        <w:t>Share Insurance Conversions</w:t>
      </w:r>
      <w:r w:rsidR="003E7EE2">
        <w:t xml:space="preserve"> – </w:t>
      </w:r>
      <w:r w:rsidRPr="00753B95" w:rsidR="007A5630">
        <w:t xml:space="preserve">The NCUA spends an average of </w:t>
      </w:r>
      <w:r w:rsidRPr="00753B95" w:rsidR="006D462A">
        <w:t>10</w:t>
      </w:r>
      <w:r w:rsidRPr="00753B95" w:rsidR="007A5630">
        <w:t xml:space="preserve"> employee-hours on pre-</w:t>
      </w:r>
      <w:r w:rsidRPr="00753B95" w:rsidR="006D462A">
        <w:t xml:space="preserve"> and post-</w:t>
      </w:r>
      <w:r w:rsidRPr="00753B95" w:rsidR="007A5630">
        <w:t xml:space="preserve">share insurance conversion processing and </w:t>
      </w:r>
      <w:r w:rsidRPr="00753B95" w:rsidR="007931B8">
        <w:t>2</w:t>
      </w:r>
      <w:r w:rsidRPr="00753B95" w:rsidR="007A5630">
        <w:t xml:space="preserve"> employee-hours reviewing and supervising that processing.  The wage rate for the processing is a</w:t>
      </w:r>
      <w:r w:rsidRPr="00753B95" w:rsidR="007931B8">
        <w:t>pproximately</w:t>
      </w:r>
      <w:r w:rsidRPr="00753B95" w:rsidR="007A5630">
        <w:t xml:space="preserve"> $40/hour, and the wage rate for review and supervision is </w:t>
      </w:r>
      <w:r w:rsidRPr="00753B95" w:rsidR="007931B8">
        <w:t xml:space="preserve">approximately </w:t>
      </w:r>
      <w:r w:rsidRPr="00753B95" w:rsidR="007A5630">
        <w:t xml:space="preserve">$60/hour.  The total NCUA cost for each share insurance conversion is then </w:t>
      </w:r>
      <w:r w:rsidRPr="00753B95" w:rsidR="00A5296C">
        <w:t>10</w:t>
      </w:r>
      <w:r w:rsidRPr="00753B95" w:rsidR="007A5630">
        <w:t xml:space="preserve"> x $40 </w:t>
      </w:r>
      <w:r w:rsidRPr="00753B95" w:rsidR="00A5296C">
        <w:t xml:space="preserve">($400) </w:t>
      </w:r>
      <w:r w:rsidRPr="00753B95" w:rsidR="007A5630">
        <w:t xml:space="preserve">plus </w:t>
      </w:r>
      <w:r w:rsidRPr="00753B95" w:rsidR="00A5296C">
        <w:t>2</w:t>
      </w:r>
      <w:r w:rsidRPr="00753B95" w:rsidR="007A5630">
        <w:t xml:space="preserve"> x $60</w:t>
      </w:r>
      <w:r w:rsidRPr="00753B95" w:rsidR="00A5296C">
        <w:t xml:space="preserve"> ($120)</w:t>
      </w:r>
      <w:r w:rsidRPr="00753B95" w:rsidR="007A5630">
        <w:t xml:space="preserve"> = $</w:t>
      </w:r>
      <w:r w:rsidRPr="00753B95" w:rsidR="00A5296C">
        <w:t>520</w:t>
      </w:r>
      <w:r w:rsidRPr="00753B95" w:rsidR="007A5630">
        <w:t xml:space="preserve">.  The aggregate annual cost for the </w:t>
      </w:r>
      <w:r w:rsidR="0084133C">
        <w:t>4</w:t>
      </w:r>
      <w:r w:rsidRPr="00753B95" w:rsidR="007A5630">
        <w:t xml:space="preserve"> share insurance conversions is </w:t>
      </w:r>
      <w:r w:rsidR="0084133C">
        <w:t>4</w:t>
      </w:r>
      <w:r w:rsidRPr="00753B95" w:rsidR="007A5630">
        <w:t xml:space="preserve"> x $</w:t>
      </w:r>
      <w:r w:rsidRPr="00753B95" w:rsidR="00A5296C">
        <w:t>520</w:t>
      </w:r>
      <w:r w:rsidRPr="00753B95" w:rsidR="007A5630">
        <w:t>, or $</w:t>
      </w:r>
      <w:r w:rsidR="0084133C">
        <w:t>2,080</w:t>
      </w:r>
      <w:r w:rsidRPr="00753B95" w:rsidR="007A5630">
        <w:t xml:space="preserve">. </w:t>
      </w:r>
    </w:p>
    <w:p w:rsidRPr="00753B95" w:rsidR="007A5630" w:rsidP="003E7EE2" w:rsidRDefault="007A5630" w14:paraId="4EC6A1CA" w14:textId="77777777">
      <w:pPr>
        <w:ind w:left="720" w:hanging="720"/>
      </w:pPr>
    </w:p>
    <w:p w:rsidRPr="00753B95" w:rsidR="00D05C04" w:rsidP="003E7EE2" w:rsidRDefault="00D05C04" w14:paraId="35399781" w14:textId="77777777">
      <w:pPr>
        <w:ind w:left="720" w:hanging="720"/>
        <w:rPr>
          <w:b/>
        </w:rPr>
      </w:pPr>
      <w:r w:rsidRPr="00753B95">
        <w:rPr>
          <w:b/>
        </w:rPr>
        <w:t>15.</w:t>
      </w:r>
      <w:r w:rsidR="00027E19">
        <w:rPr>
          <w:b/>
        </w:rPr>
        <w:tab/>
        <w:t>Change in Burden</w:t>
      </w:r>
    </w:p>
    <w:p w:rsidR="00F2748C" w:rsidP="00DC1250" w:rsidRDefault="00F2748C" w14:paraId="7D75F086" w14:textId="4BF60040">
      <w:pPr>
        <w:ind w:left="720"/>
      </w:pPr>
    </w:p>
    <w:p w:rsidRPr="003E7EE2" w:rsidR="003E7EE2" w:rsidP="00DC1250" w:rsidRDefault="003E7EE2" w14:paraId="3DCE36B0" w14:textId="4F3E3633">
      <w:pPr>
        <w:autoSpaceDE w:val="0"/>
        <w:autoSpaceDN w:val="0"/>
        <w:adjustRightInd w:val="0"/>
        <w:ind w:left="720"/>
      </w:pPr>
      <w:r w:rsidRPr="003E7EE2">
        <w:t>The proposed increase in burden</w:t>
      </w:r>
      <w:r w:rsidRPr="003E7EE2">
        <w:t xml:space="preserve"> </w:t>
      </w:r>
      <w:r>
        <w:t xml:space="preserve">of 558 hours </w:t>
      </w:r>
      <w:r w:rsidRPr="003E7EE2">
        <w:t>under §708b.106 associated with</w:t>
      </w:r>
      <w:r w:rsidRPr="003E7EE2">
        <w:t xml:space="preserve"> </w:t>
      </w:r>
      <w:r w:rsidRPr="003E7EE2">
        <w:t>member-to-member communications</w:t>
      </w:r>
      <w:r w:rsidRPr="003E7EE2">
        <w:t xml:space="preserve"> </w:t>
      </w:r>
      <w:r w:rsidRPr="003E7EE2">
        <w:t xml:space="preserve">has been eliminated. </w:t>
      </w:r>
      <w:r>
        <w:t xml:space="preserve"> </w:t>
      </w:r>
      <w:r w:rsidRPr="003E7EE2">
        <w:t>NCUA will offer a</w:t>
      </w:r>
      <w:r w:rsidRPr="003E7EE2">
        <w:t xml:space="preserve"> </w:t>
      </w:r>
      <w:r w:rsidRPr="003E7EE2">
        <w:t>website where members can post</w:t>
      </w:r>
      <w:r w:rsidRPr="003E7EE2">
        <w:t xml:space="preserve"> </w:t>
      </w:r>
      <w:r w:rsidRPr="003E7EE2">
        <w:t>comments on proposed mergers.</w:t>
      </w:r>
      <w:r w:rsidRPr="003E7EE2">
        <w:t xml:space="preserve"> </w:t>
      </w:r>
      <w:r>
        <w:t xml:space="preserve"> </w:t>
      </w:r>
      <w:r w:rsidRPr="003E7EE2">
        <w:t>NCUA believes that the certification</w:t>
      </w:r>
      <w:r w:rsidRPr="003E7EE2">
        <w:t xml:space="preserve"> </w:t>
      </w:r>
      <w:r w:rsidRPr="003E7EE2">
        <w:t>requirement under §708b.104 does not</w:t>
      </w:r>
      <w:r w:rsidRPr="003E7EE2">
        <w:t xml:space="preserve"> </w:t>
      </w:r>
      <w:r w:rsidRPr="003E7EE2">
        <w:t>warrant an increase to the 5 hours</w:t>
      </w:r>
      <w:r w:rsidRPr="003E7EE2">
        <w:t xml:space="preserve"> </w:t>
      </w:r>
      <w:r w:rsidRPr="003E7EE2">
        <w:t>already allotted a respondent to submit</w:t>
      </w:r>
      <w:r w:rsidRPr="003E7EE2">
        <w:t xml:space="preserve"> </w:t>
      </w:r>
      <w:r w:rsidRPr="003E7EE2">
        <w:t>the merger proposal to NCUA.</w:t>
      </w:r>
    </w:p>
    <w:p w:rsidRPr="003E7EE2" w:rsidR="003E7EE2" w:rsidP="00DC1250" w:rsidRDefault="003E7EE2" w14:paraId="0B68A2D9" w14:textId="77777777">
      <w:pPr>
        <w:autoSpaceDE w:val="0"/>
        <w:autoSpaceDN w:val="0"/>
        <w:adjustRightInd w:val="0"/>
        <w:ind w:left="720"/>
      </w:pPr>
    </w:p>
    <w:p w:rsidRPr="003E7EE2" w:rsidR="003E7EE2" w:rsidP="00DC1250" w:rsidRDefault="003E7EE2" w14:paraId="29810B87" w14:textId="6CA8AA19">
      <w:pPr>
        <w:autoSpaceDE w:val="0"/>
        <w:autoSpaceDN w:val="0"/>
        <w:adjustRightInd w:val="0"/>
        <w:ind w:left="720"/>
      </w:pPr>
      <w:r w:rsidRPr="003E7EE2">
        <w:t>Similarly, the requirement to supply</w:t>
      </w:r>
      <w:r w:rsidRPr="003E7EE2">
        <w:t xml:space="preserve"> </w:t>
      </w:r>
      <w:r w:rsidRPr="003E7EE2">
        <w:t>two years of board meeting minutes will</w:t>
      </w:r>
      <w:r w:rsidRPr="003E7EE2">
        <w:t xml:space="preserve"> </w:t>
      </w:r>
      <w:r w:rsidRPr="003E7EE2">
        <w:t>also not add to the burden since FICUs</w:t>
      </w:r>
      <w:r w:rsidRPr="003E7EE2">
        <w:t xml:space="preserve"> </w:t>
      </w:r>
      <w:r w:rsidRPr="003E7EE2">
        <w:t>must maintain these minutes and make</w:t>
      </w:r>
      <w:r w:rsidRPr="003E7EE2">
        <w:t xml:space="preserve"> </w:t>
      </w:r>
      <w:r w:rsidRPr="003E7EE2">
        <w:t xml:space="preserve">them available for examiners. </w:t>
      </w:r>
      <w:r>
        <w:t xml:space="preserve"> </w:t>
      </w:r>
      <w:r w:rsidRPr="003E7EE2">
        <w:t>This also</w:t>
      </w:r>
      <w:r w:rsidRPr="003E7EE2">
        <w:t xml:space="preserve"> </w:t>
      </w:r>
      <w:r w:rsidRPr="003E7EE2">
        <w:t xml:space="preserve">applies to § </w:t>
      </w:r>
      <w:proofErr w:type="gramStart"/>
      <w:r w:rsidRPr="003E7EE2">
        <w:t>708b.106(</w:t>
      </w:r>
      <w:proofErr w:type="gramEnd"/>
      <w:r w:rsidRPr="003E7EE2">
        <w:t>b) where the final</w:t>
      </w:r>
      <w:r w:rsidRPr="003E7EE2">
        <w:t xml:space="preserve"> </w:t>
      </w:r>
      <w:r w:rsidRPr="003E7EE2">
        <w:t>rule specifies the contents of a member</w:t>
      </w:r>
      <w:r w:rsidRPr="003E7EE2">
        <w:t xml:space="preserve"> </w:t>
      </w:r>
      <w:r w:rsidRPr="003E7EE2">
        <w:t>notice.</w:t>
      </w:r>
      <w:r>
        <w:t xml:space="preserve"> </w:t>
      </w:r>
      <w:r w:rsidRPr="003E7EE2">
        <w:t xml:space="preserve"> This notice is to include the</w:t>
      </w:r>
      <w:r w:rsidRPr="003E7EE2">
        <w:t xml:space="preserve"> </w:t>
      </w:r>
      <w:r w:rsidRPr="003E7EE2">
        <w:t>addition of the website where members</w:t>
      </w:r>
      <w:r w:rsidRPr="003E7EE2">
        <w:t xml:space="preserve"> </w:t>
      </w:r>
      <w:r w:rsidRPr="003E7EE2">
        <w:t>can share comments and a targeted</w:t>
      </w:r>
      <w:r w:rsidRPr="003E7EE2">
        <w:t xml:space="preserve"> </w:t>
      </w:r>
      <w:r w:rsidRPr="003E7EE2">
        <w:t>listing of branch locations of merging</w:t>
      </w:r>
      <w:r w:rsidRPr="003E7EE2">
        <w:t xml:space="preserve"> </w:t>
      </w:r>
      <w:r w:rsidRPr="003E7EE2">
        <w:t xml:space="preserve">credit unions. </w:t>
      </w:r>
      <w:r>
        <w:t xml:space="preserve"> </w:t>
      </w:r>
      <w:r w:rsidRPr="003E7EE2">
        <w:t>This will not increase the</w:t>
      </w:r>
      <w:r w:rsidRPr="003E7EE2">
        <w:t xml:space="preserve"> </w:t>
      </w:r>
      <w:r w:rsidRPr="003E7EE2">
        <w:t>7 hours currently approved for a</w:t>
      </w:r>
      <w:r w:rsidRPr="003E7EE2">
        <w:t xml:space="preserve"> </w:t>
      </w:r>
      <w:r w:rsidRPr="003E7EE2">
        <w:t>respondent to provide this notice.</w:t>
      </w:r>
    </w:p>
    <w:p w:rsidRPr="003E7EE2" w:rsidR="003E7EE2" w:rsidP="00DC1250" w:rsidRDefault="003E7EE2" w14:paraId="7E8DAA8B" w14:textId="77777777">
      <w:pPr>
        <w:autoSpaceDE w:val="0"/>
        <w:autoSpaceDN w:val="0"/>
        <w:adjustRightInd w:val="0"/>
        <w:ind w:left="720" w:hanging="810"/>
      </w:pPr>
    </w:p>
    <w:p w:rsidRPr="00753B95" w:rsidR="00D05C04" w:rsidP="00AD4A8E" w:rsidRDefault="00D05C04" w14:paraId="67507F2A" w14:textId="77777777">
      <w:pPr>
        <w:ind w:left="720" w:hanging="720"/>
        <w:rPr>
          <w:b/>
        </w:rPr>
      </w:pPr>
      <w:r w:rsidRPr="00753B95">
        <w:rPr>
          <w:b/>
        </w:rPr>
        <w:t>16.</w:t>
      </w:r>
      <w:r w:rsidR="00027E19">
        <w:rPr>
          <w:b/>
        </w:rPr>
        <w:tab/>
        <w:t>Plans for Publication</w:t>
      </w:r>
    </w:p>
    <w:p w:rsidRPr="00753B95" w:rsidR="00F2748C" w:rsidP="00DC1250" w:rsidRDefault="00F2748C" w14:paraId="162B59A2" w14:textId="77777777">
      <w:pPr>
        <w:tabs>
          <w:tab w:val="left" w:pos="540"/>
        </w:tabs>
        <w:ind w:left="720" w:hanging="810"/>
      </w:pPr>
    </w:p>
    <w:p w:rsidRPr="00753B95" w:rsidR="00D05C04" w:rsidP="00AD4A8E" w:rsidRDefault="00027E19" w14:paraId="181A5A7F" w14:textId="098C1901">
      <w:pPr>
        <w:ind w:left="720" w:hanging="720"/>
      </w:pPr>
      <w:r>
        <w:tab/>
      </w:r>
      <w:r w:rsidR="003A092E">
        <w:t>The information will not be published</w:t>
      </w:r>
      <w:r w:rsidRPr="00753B95" w:rsidR="00F2748C">
        <w:t>.</w:t>
      </w:r>
    </w:p>
    <w:p w:rsidRPr="00753B95" w:rsidR="00D05C04" w:rsidP="00DC1250" w:rsidRDefault="00D05C04" w14:paraId="460E67EB" w14:textId="77777777">
      <w:pPr>
        <w:tabs>
          <w:tab w:val="left" w:pos="540"/>
        </w:tabs>
        <w:ind w:left="720" w:hanging="810"/>
      </w:pPr>
    </w:p>
    <w:p w:rsidRPr="00753B95" w:rsidR="00F2748C" w:rsidP="00AD4A8E" w:rsidRDefault="00D05C04" w14:paraId="31B57B89" w14:textId="772CAAFC">
      <w:pPr>
        <w:ind w:left="720" w:hanging="720"/>
        <w:rPr>
          <w:b/>
        </w:rPr>
      </w:pPr>
      <w:r w:rsidRPr="00753B95">
        <w:rPr>
          <w:b/>
        </w:rPr>
        <w:t>17.</w:t>
      </w:r>
      <w:r w:rsidR="00027E19">
        <w:rPr>
          <w:b/>
        </w:rPr>
        <w:tab/>
      </w:r>
      <w:r w:rsidR="00C97F91">
        <w:rPr>
          <w:b/>
        </w:rPr>
        <w:t>Request Non-display of the Expiration date of the OMB Control Number</w:t>
      </w:r>
      <w:r w:rsidRPr="00753B95" w:rsidR="00F2748C">
        <w:rPr>
          <w:b/>
        </w:rPr>
        <w:t xml:space="preserve"> </w:t>
      </w:r>
    </w:p>
    <w:p w:rsidRPr="00753B95" w:rsidR="00F2748C" w:rsidP="00DC1250" w:rsidRDefault="00F2748C" w14:paraId="1A511675" w14:textId="77777777">
      <w:pPr>
        <w:tabs>
          <w:tab w:val="left" w:pos="540"/>
        </w:tabs>
        <w:ind w:left="720" w:hanging="810"/>
      </w:pPr>
    </w:p>
    <w:p w:rsidR="00AD4A8E" w:rsidP="00AD4A8E" w:rsidRDefault="00AD4A8E" w14:paraId="71EC0CEE" w14:textId="2D4D6972">
      <w:pPr>
        <w:ind w:left="720"/>
      </w:pPr>
      <w:r>
        <w:t xml:space="preserve">The OMB control number and expiration date associated with this PRA submission will be displayed on the Federal Government’s electronic PRA docket website at </w:t>
      </w:r>
      <w:hyperlink w:history="1" r:id="rId9">
        <w:r w:rsidRPr="007F1BFB">
          <w:rPr>
            <w:rStyle w:val="Hyperlink"/>
          </w:rPr>
          <w:t>www.reginfo.gov</w:t>
        </w:r>
      </w:hyperlink>
      <w:r>
        <w:t>.</w:t>
      </w:r>
    </w:p>
    <w:p w:rsidR="007118F8" w:rsidP="00AD4A8E" w:rsidRDefault="007118F8" w14:paraId="629606D4" w14:textId="17F6CB90">
      <w:pPr>
        <w:tabs>
          <w:tab w:val="left" w:pos="720"/>
        </w:tabs>
        <w:ind w:left="720" w:hanging="720"/>
        <w:rPr>
          <w:b/>
        </w:rPr>
      </w:pPr>
    </w:p>
    <w:p w:rsidRPr="00753B95" w:rsidR="00D05C04" w:rsidP="00DC1250" w:rsidRDefault="00C97F91" w14:paraId="3090DE77" w14:textId="77777777">
      <w:pPr>
        <w:ind w:left="720" w:hanging="720"/>
        <w:rPr>
          <w:b/>
        </w:rPr>
      </w:pPr>
      <w:r>
        <w:rPr>
          <w:b/>
        </w:rPr>
        <w:t>18.</w:t>
      </w:r>
      <w:r>
        <w:rPr>
          <w:b/>
        </w:rPr>
        <w:tab/>
      </w:r>
      <w:r w:rsidRPr="00753B95" w:rsidR="00F2748C">
        <w:rPr>
          <w:b/>
        </w:rPr>
        <w:t>Exception</w:t>
      </w:r>
      <w:r>
        <w:rPr>
          <w:b/>
        </w:rPr>
        <w:t>s to the C</w:t>
      </w:r>
      <w:r w:rsidRPr="00753B95" w:rsidR="00F2748C">
        <w:rPr>
          <w:b/>
        </w:rPr>
        <w:t xml:space="preserve">ertification </w:t>
      </w:r>
      <w:r>
        <w:rPr>
          <w:b/>
        </w:rPr>
        <w:t>for the Paperwork Reduction Act Submission</w:t>
      </w:r>
    </w:p>
    <w:p w:rsidRPr="00753B95" w:rsidR="005728D3" w:rsidP="00DC1250" w:rsidRDefault="005728D3" w14:paraId="40B340D7" w14:textId="77777777">
      <w:pPr>
        <w:tabs>
          <w:tab w:val="left" w:pos="540"/>
        </w:tabs>
        <w:ind w:left="720" w:hanging="810"/>
      </w:pPr>
    </w:p>
    <w:p w:rsidRPr="00753B95" w:rsidR="005728D3" w:rsidP="00DC1250" w:rsidRDefault="00C97F91" w14:paraId="37CB4821" w14:textId="6C3797A1">
      <w:pPr>
        <w:ind w:left="720" w:hanging="720"/>
      </w:pPr>
      <w:r>
        <w:tab/>
      </w:r>
      <w:r w:rsidR="004369F4">
        <w:t>There are no exceptions</w:t>
      </w:r>
      <w:r w:rsidRPr="00753B95" w:rsidR="00F2748C">
        <w:t xml:space="preserve"> to the certification </w:t>
      </w:r>
      <w:r w:rsidR="004369F4">
        <w:t xml:space="preserve">statement. </w:t>
      </w:r>
    </w:p>
    <w:p w:rsidR="00436192" w:rsidP="00DC1250" w:rsidRDefault="00436192" w14:paraId="2F7D5E35" w14:textId="22FF97F8">
      <w:pPr>
        <w:tabs>
          <w:tab w:val="left" w:pos="540"/>
        </w:tabs>
        <w:ind w:left="720" w:hanging="810"/>
      </w:pPr>
    </w:p>
    <w:p w:rsidR="00AD4A8E" w:rsidP="00DC1250" w:rsidRDefault="00AD4A8E" w14:paraId="4275D052" w14:textId="14CA43A1">
      <w:pPr>
        <w:tabs>
          <w:tab w:val="left" w:pos="540"/>
        </w:tabs>
        <w:ind w:left="720" w:hanging="810"/>
      </w:pPr>
    </w:p>
    <w:p w:rsidRPr="00753B95" w:rsidR="00AD4A8E" w:rsidP="00DC1250" w:rsidRDefault="00AD4A8E" w14:paraId="2E9143C4" w14:textId="77777777">
      <w:pPr>
        <w:tabs>
          <w:tab w:val="left" w:pos="540"/>
        </w:tabs>
        <w:ind w:left="720" w:hanging="810"/>
      </w:pPr>
    </w:p>
    <w:p w:rsidRPr="00753B95" w:rsidR="009C5E9F" w:rsidP="00DC1250" w:rsidRDefault="00C97F91" w14:paraId="7793DAC3" w14:textId="77777777">
      <w:pPr>
        <w:widowControl w:val="0"/>
        <w:ind w:left="720" w:hanging="810"/>
        <w:rPr>
          <w:b/>
        </w:rPr>
      </w:pPr>
      <w:r>
        <w:rPr>
          <w:b/>
        </w:rPr>
        <w:t>B.</w:t>
      </w:r>
      <w:r>
        <w:rPr>
          <w:b/>
        </w:rPr>
        <w:tab/>
      </w:r>
      <w:r w:rsidRPr="00DC1250" w:rsidR="009C5E9F">
        <w:rPr>
          <w:b/>
          <w:caps/>
        </w:rPr>
        <w:t>Collections of Information Employing Statistical Methods</w:t>
      </w:r>
      <w:r w:rsidRPr="00753B95" w:rsidR="009C5E9F">
        <w:rPr>
          <w:b/>
        </w:rPr>
        <w:t>.</w:t>
      </w:r>
    </w:p>
    <w:p w:rsidRPr="00753B95" w:rsidR="009C5E9F" w:rsidP="00DC1250" w:rsidRDefault="009C5E9F" w14:paraId="7E3C5DED" w14:textId="77777777">
      <w:pPr>
        <w:widowControl w:val="0"/>
        <w:ind w:left="720" w:hanging="720"/>
        <w:rPr>
          <w:u w:val="single"/>
        </w:rPr>
      </w:pPr>
    </w:p>
    <w:p w:rsidRPr="00753B95" w:rsidR="00A771D6" w:rsidP="00DC1250" w:rsidRDefault="00C97F91" w14:paraId="405E54B8" w14:textId="12C65F29">
      <w:pPr>
        <w:widowControl w:val="0"/>
        <w:ind w:left="720" w:hanging="720"/>
      </w:pPr>
      <w:r>
        <w:lastRenderedPageBreak/>
        <w:tab/>
      </w:r>
      <w:r w:rsidRPr="00753B95" w:rsidR="009C5E9F">
        <w:t>This collection does not employ statistical methods.</w:t>
      </w:r>
    </w:p>
    <w:sectPr w:rsidRPr="00753B95" w:rsidR="00A771D6" w:rsidSect="00B14E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DE3E3" w14:textId="77777777" w:rsidR="009E0837" w:rsidRDefault="009E0837" w:rsidP="00534F2A">
      <w:r>
        <w:separator/>
      </w:r>
    </w:p>
  </w:endnote>
  <w:endnote w:type="continuationSeparator" w:id="0">
    <w:p w14:paraId="3F88CFB3" w14:textId="77777777" w:rsidR="009E0837" w:rsidRDefault="009E0837" w:rsidP="005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188336"/>
      <w:docPartObj>
        <w:docPartGallery w:val="Page Numbers (Bottom of Page)"/>
        <w:docPartUnique/>
      </w:docPartObj>
    </w:sdtPr>
    <w:sdtEndPr>
      <w:rPr>
        <w:noProof/>
      </w:rPr>
    </w:sdtEndPr>
    <w:sdtContent>
      <w:p w14:paraId="2E96EDC1" w14:textId="4F76A88F" w:rsidR="009E0837" w:rsidRDefault="009E0837" w:rsidP="008155FD">
        <w:pPr>
          <w:pStyle w:val="Footer"/>
        </w:pPr>
        <w:r w:rsidRPr="00486345">
          <w:rPr>
            <w:i/>
            <w:sz w:val="22"/>
            <w:szCs w:val="22"/>
          </w:rPr>
          <w:t xml:space="preserve">OMB No. 3133-0024, </w:t>
        </w:r>
        <w:r>
          <w:rPr>
            <w:i/>
            <w:sz w:val="22"/>
            <w:szCs w:val="22"/>
          </w:rPr>
          <w:t>Final Rule; February 2020</w:t>
        </w:r>
        <w:r>
          <w:rPr>
            <w:i/>
            <w:sz w:val="22"/>
            <w:szCs w:val="22"/>
          </w:rPr>
          <w:tab/>
        </w:r>
        <w:r>
          <w:tab/>
        </w:r>
        <w:r>
          <w:fldChar w:fldCharType="begin"/>
        </w:r>
        <w:r>
          <w:instrText xml:space="preserve"> PAGE   \* MERGEFORMAT </w:instrText>
        </w:r>
        <w:r>
          <w:fldChar w:fldCharType="separate"/>
        </w:r>
        <w:r w:rsidR="00AD4A8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CF89A" w14:textId="77777777" w:rsidR="009E0837" w:rsidRDefault="009E0837" w:rsidP="00534F2A">
      <w:r>
        <w:separator/>
      </w:r>
    </w:p>
  </w:footnote>
  <w:footnote w:type="continuationSeparator" w:id="0">
    <w:p w14:paraId="7AC0EB2F" w14:textId="77777777" w:rsidR="009E0837" w:rsidRDefault="009E0837" w:rsidP="00534F2A">
      <w:r>
        <w:continuationSeparator/>
      </w:r>
    </w:p>
  </w:footnote>
  <w:footnote w:id="1">
    <w:p w14:paraId="29FD895C" w14:textId="190CE493" w:rsidR="009E0837" w:rsidRDefault="009E0837">
      <w:pPr>
        <w:pStyle w:val="FootnoteText"/>
      </w:pPr>
      <w:r>
        <w:rPr>
          <w:rStyle w:val="FootnoteReference"/>
        </w:rPr>
        <w:footnoteRef/>
      </w:r>
      <w:r>
        <w:t xml:space="preserve"> June 28, 2018; 83 FR 30301</w:t>
      </w:r>
    </w:p>
  </w:footnote>
  <w:footnote w:id="2">
    <w:p w14:paraId="4496CE7B" w14:textId="7AF27E87" w:rsidR="009E0837" w:rsidRDefault="009E0837">
      <w:pPr>
        <w:pStyle w:val="FootnoteText"/>
      </w:pPr>
      <w:r>
        <w:rPr>
          <w:rStyle w:val="FootnoteReference"/>
        </w:rPr>
        <w:footnoteRef/>
      </w:r>
      <w:r>
        <w:t xml:space="preserve"> June 8, 2017; 82 FR 26605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387"/>
    <w:multiLevelType w:val="hybridMultilevel"/>
    <w:tmpl w:val="C2E8F03A"/>
    <w:lvl w:ilvl="0" w:tplc="C308B5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F437F"/>
    <w:multiLevelType w:val="hybridMultilevel"/>
    <w:tmpl w:val="909C1D12"/>
    <w:lvl w:ilvl="0" w:tplc="470E46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923F7E"/>
    <w:multiLevelType w:val="hybridMultilevel"/>
    <w:tmpl w:val="E8103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555B6"/>
    <w:multiLevelType w:val="hybridMultilevel"/>
    <w:tmpl w:val="A0FEDFAC"/>
    <w:lvl w:ilvl="0" w:tplc="0F34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7E739E"/>
    <w:multiLevelType w:val="hybridMultilevel"/>
    <w:tmpl w:val="E7FAECEA"/>
    <w:lvl w:ilvl="0" w:tplc="6BAC2A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FD36BE"/>
    <w:multiLevelType w:val="hybridMultilevel"/>
    <w:tmpl w:val="91A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64541"/>
    <w:multiLevelType w:val="hybridMultilevel"/>
    <w:tmpl w:val="04B044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9F22FE7"/>
    <w:multiLevelType w:val="hybridMultilevel"/>
    <w:tmpl w:val="1D56E9AA"/>
    <w:lvl w:ilvl="0" w:tplc="B6B82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D246C1"/>
    <w:multiLevelType w:val="hybridMultilevel"/>
    <w:tmpl w:val="AF62CBB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21563"/>
    <w:multiLevelType w:val="hybridMultilevel"/>
    <w:tmpl w:val="7C0E80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810911"/>
    <w:multiLevelType w:val="hybridMultilevel"/>
    <w:tmpl w:val="83D06052"/>
    <w:lvl w:ilvl="0" w:tplc="CE0EA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8624ED"/>
    <w:multiLevelType w:val="hybridMultilevel"/>
    <w:tmpl w:val="ABD806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3E3578"/>
    <w:multiLevelType w:val="hybridMultilevel"/>
    <w:tmpl w:val="D5BC27DC"/>
    <w:lvl w:ilvl="0" w:tplc="36663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6A03EA"/>
    <w:multiLevelType w:val="hybridMultilevel"/>
    <w:tmpl w:val="BE5A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0"/>
  </w:num>
  <w:num w:numId="5">
    <w:abstractNumId w:val="8"/>
  </w:num>
  <w:num w:numId="6">
    <w:abstractNumId w:val="2"/>
  </w:num>
  <w:num w:numId="7">
    <w:abstractNumId w:val="13"/>
  </w:num>
  <w:num w:numId="8">
    <w:abstractNumId w:val="5"/>
  </w:num>
  <w:num w:numId="9">
    <w:abstractNumId w:val="7"/>
  </w:num>
  <w:num w:numId="10">
    <w:abstractNumId w:val="3"/>
  </w:num>
  <w:num w:numId="11">
    <w:abstractNumId w:val="12"/>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EB"/>
    <w:rsid w:val="00002E37"/>
    <w:rsid w:val="00005ABC"/>
    <w:rsid w:val="0002057F"/>
    <w:rsid w:val="00027E19"/>
    <w:rsid w:val="00036F5E"/>
    <w:rsid w:val="00037B8F"/>
    <w:rsid w:val="0004169B"/>
    <w:rsid w:val="000711AD"/>
    <w:rsid w:val="00077A56"/>
    <w:rsid w:val="00077CBD"/>
    <w:rsid w:val="00091F95"/>
    <w:rsid w:val="000969CF"/>
    <w:rsid w:val="000B105F"/>
    <w:rsid w:val="000C16EE"/>
    <w:rsid w:val="000C2CAD"/>
    <w:rsid w:val="000E3900"/>
    <w:rsid w:val="000F317A"/>
    <w:rsid w:val="00101432"/>
    <w:rsid w:val="00115D08"/>
    <w:rsid w:val="00131AA9"/>
    <w:rsid w:val="001344D6"/>
    <w:rsid w:val="00144F67"/>
    <w:rsid w:val="001505A7"/>
    <w:rsid w:val="001556EF"/>
    <w:rsid w:val="00157D13"/>
    <w:rsid w:val="00180D22"/>
    <w:rsid w:val="00184423"/>
    <w:rsid w:val="00196BDF"/>
    <w:rsid w:val="001A03E7"/>
    <w:rsid w:val="001A1AC3"/>
    <w:rsid w:val="001A7C05"/>
    <w:rsid w:val="001C11EA"/>
    <w:rsid w:val="001C629C"/>
    <w:rsid w:val="001C77C2"/>
    <w:rsid w:val="001D1632"/>
    <w:rsid w:val="001D3C24"/>
    <w:rsid w:val="001E0D1E"/>
    <w:rsid w:val="001E0E76"/>
    <w:rsid w:val="001F0BA1"/>
    <w:rsid w:val="001F0DB5"/>
    <w:rsid w:val="001F2EAF"/>
    <w:rsid w:val="00202708"/>
    <w:rsid w:val="00205E9C"/>
    <w:rsid w:val="00237129"/>
    <w:rsid w:val="00257D33"/>
    <w:rsid w:val="00261125"/>
    <w:rsid w:val="002861E9"/>
    <w:rsid w:val="002920ED"/>
    <w:rsid w:val="00294C79"/>
    <w:rsid w:val="002A6CDC"/>
    <w:rsid w:val="002C2ADF"/>
    <w:rsid w:val="002C723E"/>
    <w:rsid w:val="002D128E"/>
    <w:rsid w:val="002E4F2B"/>
    <w:rsid w:val="00323E48"/>
    <w:rsid w:val="003349EB"/>
    <w:rsid w:val="00334E4F"/>
    <w:rsid w:val="00341B1D"/>
    <w:rsid w:val="00365E21"/>
    <w:rsid w:val="003740DB"/>
    <w:rsid w:val="00382444"/>
    <w:rsid w:val="0038462C"/>
    <w:rsid w:val="00392050"/>
    <w:rsid w:val="0039479A"/>
    <w:rsid w:val="003A092E"/>
    <w:rsid w:val="003A17FC"/>
    <w:rsid w:val="003B2E1C"/>
    <w:rsid w:val="003B5370"/>
    <w:rsid w:val="003C27B0"/>
    <w:rsid w:val="003C496D"/>
    <w:rsid w:val="003D1FE0"/>
    <w:rsid w:val="003D59AC"/>
    <w:rsid w:val="003E7EE2"/>
    <w:rsid w:val="00412372"/>
    <w:rsid w:val="0042419D"/>
    <w:rsid w:val="00425AEB"/>
    <w:rsid w:val="00425FAA"/>
    <w:rsid w:val="00436192"/>
    <w:rsid w:val="004369F4"/>
    <w:rsid w:val="004430CC"/>
    <w:rsid w:val="00444214"/>
    <w:rsid w:val="00453E27"/>
    <w:rsid w:val="00486345"/>
    <w:rsid w:val="004914EC"/>
    <w:rsid w:val="004B0C46"/>
    <w:rsid w:val="004B58A3"/>
    <w:rsid w:val="004C1161"/>
    <w:rsid w:val="004C7977"/>
    <w:rsid w:val="004D0000"/>
    <w:rsid w:val="004F73C7"/>
    <w:rsid w:val="00514FAA"/>
    <w:rsid w:val="00521175"/>
    <w:rsid w:val="005300AF"/>
    <w:rsid w:val="005320FD"/>
    <w:rsid w:val="00534F2A"/>
    <w:rsid w:val="005350DC"/>
    <w:rsid w:val="005728D3"/>
    <w:rsid w:val="00574211"/>
    <w:rsid w:val="00575E88"/>
    <w:rsid w:val="005915A7"/>
    <w:rsid w:val="005A4BAB"/>
    <w:rsid w:val="005A5945"/>
    <w:rsid w:val="005D5EC4"/>
    <w:rsid w:val="006049A9"/>
    <w:rsid w:val="00606B9F"/>
    <w:rsid w:val="0061487C"/>
    <w:rsid w:val="0062295A"/>
    <w:rsid w:val="00622981"/>
    <w:rsid w:val="00650EA0"/>
    <w:rsid w:val="00667E5A"/>
    <w:rsid w:val="00680820"/>
    <w:rsid w:val="00692C69"/>
    <w:rsid w:val="00693A9C"/>
    <w:rsid w:val="006A745E"/>
    <w:rsid w:val="006B1F29"/>
    <w:rsid w:val="006B233F"/>
    <w:rsid w:val="006B2771"/>
    <w:rsid w:val="006B3D52"/>
    <w:rsid w:val="006D087C"/>
    <w:rsid w:val="006D462A"/>
    <w:rsid w:val="006E0EBF"/>
    <w:rsid w:val="006F3CB6"/>
    <w:rsid w:val="006F4C4B"/>
    <w:rsid w:val="007013D6"/>
    <w:rsid w:val="0071176F"/>
    <w:rsid w:val="007118F8"/>
    <w:rsid w:val="00722F39"/>
    <w:rsid w:val="007251BF"/>
    <w:rsid w:val="00741523"/>
    <w:rsid w:val="00753B95"/>
    <w:rsid w:val="00766920"/>
    <w:rsid w:val="00770F2E"/>
    <w:rsid w:val="0078544F"/>
    <w:rsid w:val="007931B8"/>
    <w:rsid w:val="007A5630"/>
    <w:rsid w:val="007B0C02"/>
    <w:rsid w:val="007D1391"/>
    <w:rsid w:val="007D514B"/>
    <w:rsid w:val="007E247E"/>
    <w:rsid w:val="007F4ED7"/>
    <w:rsid w:val="00806E73"/>
    <w:rsid w:val="008155FD"/>
    <w:rsid w:val="00820C2A"/>
    <w:rsid w:val="0084030C"/>
    <w:rsid w:val="0084133C"/>
    <w:rsid w:val="0085137F"/>
    <w:rsid w:val="008606FF"/>
    <w:rsid w:val="008714EE"/>
    <w:rsid w:val="00880319"/>
    <w:rsid w:val="0088606D"/>
    <w:rsid w:val="00886566"/>
    <w:rsid w:val="008B2819"/>
    <w:rsid w:val="00914119"/>
    <w:rsid w:val="00940951"/>
    <w:rsid w:val="00942A07"/>
    <w:rsid w:val="00942D05"/>
    <w:rsid w:val="0094386E"/>
    <w:rsid w:val="00955999"/>
    <w:rsid w:val="00956E4A"/>
    <w:rsid w:val="009739E0"/>
    <w:rsid w:val="0098332B"/>
    <w:rsid w:val="0098730C"/>
    <w:rsid w:val="009A22F2"/>
    <w:rsid w:val="009A5162"/>
    <w:rsid w:val="009B01B0"/>
    <w:rsid w:val="009C5E9F"/>
    <w:rsid w:val="009D5313"/>
    <w:rsid w:val="009E0837"/>
    <w:rsid w:val="009E348C"/>
    <w:rsid w:val="009F7645"/>
    <w:rsid w:val="00A10142"/>
    <w:rsid w:val="00A11628"/>
    <w:rsid w:val="00A16028"/>
    <w:rsid w:val="00A16C5D"/>
    <w:rsid w:val="00A236DE"/>
    <w:rsid w:val="00A25306"/>
    <w:rsid w:val="00A3321F"/>
    <w:rsid w:val="00A44ACA"/>
    <w:rsid w:val="00A52969"/>
    <w:rsid w:val="00A5296C"/>
    <w:rsid w:val="00A537FA"/>
    <w:rsid w:val="00A541DC"/>
    <w:rsid w:val="00A62F23"/>
    <w:rsid w:val="00A75EB8"/>
    <w:rsid w:val="00A771D6"/>
    <w:rsid w:val="00A84669"/>
    <w:rsid w:val="00A91B29"/>
    <w:rsid w:val="00A96632"/>
    <w:rsid w:val="00AA42B0"/>
    <w:rsid w:val="00AA4FF2"/>
    <w:rsid w:val="00AC7396"/>
    <w:rsid w:val="00AD4A8E"/>
    <w:rsid w:val="00AD6D80"/>
    <w:rsid w:val="00B048D1"/>
    <w:rsid w:val="00B04F7E"/>
    <w:rsid w:val="00B14E32"/>
    <w:rsid w:val="00B21361"/>
    <w:rsid w:val="00B41267"/>
    <w:rsid w:val="00B536A7"/>
    <w:rsid w:val="00B61960"/>
    <w:rsid w:val="00B70A4B"/>
    <w:rsid w:val="00B87625"/>
    <w:rsid w:val="00B94D99"/>
    <w:rsid w:val="00B951AF"/>
    <w:rsid w:val="00BA5D7C"/>
    <w:rsid w:val="00BE7CB5"/>
    <w:rsid w:val="00BF0158"/>
    <w:rsid w:val="00C03455"/>
    <w:rsid w:val="00C050D3"/>
    <w:rsid w:val="00C13DEB"/>
    <w:rsid w:val="00C17FEE"/>
    <w:rsid w:val="00C24233"/>
    <w:rsid w:val="00C263DF"/>
    <w:rsid w:val="00C337B7"/>
    <w:rsid w:val="00C45AAA"/>
    <w:rsid w:val="00C57B92"/>
    <w:rsid w:val="00C6348E"/>
    <w:rsid w:val="00C6650F"/>
    <w:rsid w:val="00C742D0"/>
    <w:rsid w:val="00C857B7"/>
    <w:rsid w:val="00C97F91"/>
    <w:rsid w:val="00CA5C2D"/>
    <w:rsid w:val="00CB6256"/>
    <w:rsid w:val="00CD629B"/>
    <w:rsid w:val="00CE76BD"/>
    <w:rsid w:val="00CF558C"/>
    <w:rsid w:val="00CF6886"/>
    <w:rsid w:val="00D05C04"/>
    <w:rsid w:val="00D1311E"/>
    <w:rsid w:val="00D25919"/>
    <w:rsid w:val="00D3345D"/>
    <w:rsid w:val="00D339A2"/>
    <w:rsid w:val="00D728DA"/>
    <w:rsid w:val="00D74D2C"/>
    <w:rsid w:val="00D87E6A"/>
    <w:rsid w:val="00D94BA5"/>
    <w:rsid w:val="00D95123"/>
    <w:rsid w:val="00DB6050"/>
    <w:rsid w:val="00DC1250"/>
    <w:rsid w:val="00DF142A"/>
    <w:rsid w:val="00DF2C1A"/>
    <w:rsid w:val="00E31E47"/>
    <w:rsid w:val="00E41832"/>
    <w:rsid w:val="00E55E2C"/>
    <w:rsid w:val="00E60CA7"/>
    <w:rsid w:val="00E708FD"/>
    <w:rsid w:val="00E80C21"/>
    <w:rsid w:val="00F01803"/>
    <w:rsid w:val="00F03995"/>
    <w:rsid w:val="00F05241"/>
    <w:rsid w:val="00F220F2"/>
    <w:rsid w:val="00F2748C"/>
    <w:rsid w:val="00F27F56"/>
    <w:rsid w:val="00F44855"/>
    <w:rsid w:val="00F507AB"/>
    <w:rsid w:val="00F731AD"/>
    <w:rsid w:val="00F76E3B"/>
    <w:rsid w:val="00FA3A11"/>
    <w:rsid w:val="00FC43A1"/>
    <w:rsid w:val="00FD5E62"/>
    <w:rsid w:val="00FD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2B20E"/>
  <w15:docId w15:val="{20C97BE7-13A5-4358-A943-D0DA0B07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semiHidden/>
    <w:unhideWhenUsed/>
    <w:rsid w:val="009D5313"/>
    <w:rPr>
      <w:sz w:val="20"/>
      <w:szCs w:val="20"/>
    </w:rPr>
  </w:style>
  <w:style w:type="character" w:customStyle="1" w:styleId="CommentTextChar">
    <w:name w:val="Comment Text Char"/>
    <w:basedOn w:val="DefaultParagraphFont"/>
    <w:link w:val="CommentText"/>
    <w:uiPriority w:val="99"/>
    <w:semiHidden/>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semiHidden/>
    <w:unhideWhenUsed/>
    <w:rsid w:val="00806E73"/>
    <w:rPr>
      <w:sz w:val="20"/>
      <w:szCs w:val="20"/>
    </w:rPr>
  </w:style>
  <w:style w:type="character" w:customStyle="1" w:styleId="FootnoteTextChar">
    <w:name w:val="Footnote Text Char"/>
    <w:basedOn w:val="DefaultParagraphFont"/>
    <w:link w:val="FootnoteText"/>
    <w:uiPriority w:val="99"/>
    <w:semiHidden/>
    <w:rsid w:val="00806E73"/>
  </w:style>
  <w:style w:type="character" w:styleId="FootnoteReference">
    <w:name w:val="footnote reference"/>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50682">
      <w:bodyDiv w:val="1"/>
      <w:marLeft w:val="0"/>
      <w:marRight w:val="0"/>
      <w:marTop w:val="0"/>
      <w:marBottom w:val="0"/>
      <w:divBdr>
        <w:top w:val="none" w:sz="0" w:space="0" w:color="auto"/>
        <w:left w:val="none" w:sz="0" w:space="0" w:color="auto"/>
        <w:bottom w:val="none" w:sz="0" w:space="0" w:color="auto"/>
        <w:right w:val="none" w:sz="0" w:space="0" w:color="auto"/>
      </w:divBdr>
    </w:div>
    <w:div w:id="1681009504">
      <w:bodyDiv w:val="1"/>
      <w:marLeft w:val="0"/>
      <w:marRight w:val="0"/>
      <w:marTop w:val="0"/>
      <w:marBottom w:val="0"/>
      <w:divBdr>
        <w:top w:val="none" w:sz="0" w:space="0" w:color="auto"/>
        <w:left w:val="none" w:sz="0" w:space="0" w:color="auto"/>
        <w:bottom w:val="none" w:sz="0" w:space="0" w:color="auto"/>
        <w:right w:val="none" w:sz="0" w:space="0" w:color="auto"/>
      </w:divBdr>
    </w:div>
    <w:div w:id="19049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DDD00-F8A3-42B3-A4E9-5D4C5013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8</Pages>
  <Words>2917</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Wolfgang, Dawn</cp:lastModifiedBy>
  <cp:revision>10</cp:revision>
  <cp:lastPrinted>2020-02-28T18:59:00Z</cp:lastPrinted>
  <dcterms:created xsi:type="dcterms:W3CDTF">2020-02-25T14:34:00Z</dcterms:created>
  <dcterms:modified xsi:type="dcterms:W3CDTF">2020-02-28T19:16:00Z</dcterms:modified>
</cp:coreProperties>
</file>