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06C" w:rsidP="0077306C" w:rsidRDefault="0077306C" w14:paraId="6B4B3F97" w14:textId="77777777">
      <w:pPr>
        <w:pStyle w:val="Default"/>
        <w:jc w:val="center"/>
      </w:pPr>
      <w:r w:rsidRPr="0077306C">
        <w:t>National Credit Union Administration</w:t>
      </w:r>
    </w:p>
    <w:p w:rsidRPr="005633A3" w:rsidR="005633A3" w:rsidP="005633A3" w:rsidRDefault="005633A3" w14:paraId="40D363B0" w14:textId="77777777">
      <w:pPr>
        <w:pStyle w:val="Default"/>
        <w:jc w:val="center"/>
        <w:rPr>
          <w:b/>
        </w:rPr>
      </w:pPr>
      <w:r w:rsidRPr="005633A3">
        <w:rPr>
          <w:b/>
        </w:rPr>
        <w:t>SUPPORTING STATEMENT</w:t>
      </w:r>
    </w:p>
    <w:p w:rsidRPr="0077306C" w:rsidR="0077306C" w:rsidP="0077306C" w:rsidRDefault="0077306C" w14:paraId="08A43D12" w14:textId="77777777">
      <w:pPr>
        <w:pStyle w:val="Default"/>
        <w:jc w:val="center"/>
      </w:pPr>
    </w:p>
    <w:p w:rsidRPr="005633A3" w:rsidR="0077306C" w:rsidP="0077306C" w:rsidRDefault="0077306C" w14:paraId="1FC77EC2" w14:textId="77777777">
      <w:pPr>
        <w:pStyle w:val="Default"/>
        <w:jc w:val="center"/>
      </w:pPr>
      <w:r w:rsidRPr="005633A3">
        <w:rPr>
          <w:bCs/>
        </w:rPr>
        <w:t>Member Business Loans; Commercial Lending, 12 CFR Part 723</w:t>
      </w:r>
    </w:p>
    <w:p w:rsidRPr="005633A3" w:rsidR="0077306C" w:rsidP="0077306C" w:rsidRDefault="0077306C" w14:paraId="6C6608BD" w14:textId="77777777">
      <w:pPr>
        <w:pStyle w:val="Default"/>
        <w:jc w:val="center"/>
        <w:rPr>
          <w:b/>
          <w:bCs/>
        </w:rPr>
      </w:pPr>
      <w:r w:rsidRPr="005633A3">
        <w:rPr>
          <w:b/>
          <w:bCs/>
        </w:rPr>
        <w:t>OMB No. 3133-0101</w:t>
      </w:r>
    </w:p>
    <w:p w:rsidR="0077306C" w:rsidP="0077306C" w:rsidRDefault="0077306C" w14:paraId="216A2AAE" w14:textId="72C95DB8">
      <w:pPr>
        <w:pStyle w:val="Default"/>
        <w:jc w:val="center"/>
      </w:pPr>
    </w:p>
    <w:p w:rsidRPr="0077306C" w:rsidR="0030554E" w:rsidP="0077306C" w:rsidRDefault="0030554E" w14:paraId="321D5A8C" w14:textId="77777777">
      <w:pPr>
        <w:pStyle w:val="Default"/>
        <w:jc w:val="center"/>
      </w:pPr>
    </w:p>
    <w:p w:rsidRPr="0077306C" w:rsidR="0077306C" w:rsidP="005633A3" w:rsidRDefault="005633A3" w14:paraId="00F41DF8" w14:textId="77777777">
      <w:pPr>
        <w:pStyle w:val="Default"/>
        <w:tabs>
          <w:tab w:val="left" w:pos="720"/>
        </w:tabs>
        <w:ind w:left="720" w:hanging="720"/>
      </w:pPr>
      <w:r>
        <w:rPr>
          <w:b/>
          <w:bCs/>
        </w:rPr>
        <w:t>A.</w:t>
      </w:r>
      <w:r>
        <w:rPr>
          <w:b/>
          <w:bCs/>
        </w:rPr>
        <w:tab/>
      </w:r>
      <w:r w:rsidRPr="0077306C" w:rsidR="0077306C">
        <w:rPr>
          <w:b/>
          <w:bCs/>
        </w:rPr>
        <w:t>JUSTIFICATION</w:t>
      </w:r>
    </w:p>
    <w:p w:rsidRPr="0077306C" w:rsidR="0077306C" w:rsidP="005633A3" w:rsidRDefault="0077306C" w14:paraId="302E74E2" w14:textId="77777777">
      <w:pPr>
        <w:pStyle w:val="Default"/>
        <w:tabs>
          <w:tab w:val="left" w:pos="720"/>
        </w:tabs>
        <w:ind w:left="720" w:hanging="720"/>
      </w:pPr>
    </w:p>
    <w:p w:rsidRPr="0077306C" w:rsidR="0077306C" w:rsidP="005633A3" w:rsidRDefault="005633A3" w14:paraId="0146C804" w14:textId="77777777">
      <w:pPr>
        <w:pStyle w:val="Default"/>
        <w:tabs>
          <w:tab w:val="left" w:pos="720"/>
        </w:tabs>
        <w:ind w:left="720" w:hanging="720"/>
      </w:pPr>
      <w:r>
        <w:rPr>
          <w:b/>
          <w:bCs/>
        </w:rPr>
        <w:t>1.</w:t>
      </w:r>
      <w:r>
        <w:rPr>
          <w:b/>
          <w:bCs/>
        </w:rPr>
        <w:tab/>
        <w:t>Circumstances that make the collection of information necessary.</w:t>
      </w:r>
      <w:r w:rsidRPr="0077306C" w:rsidR="0077306C">
        <w:rPr>
          <w:b/>
          <w:bCs/>
        </w:rPr>
        <w:t xml:space="preserve"> </w:t>
      </w:r>
    </w:p>
    <w:p w:rsidR="0077306C" w:rsidP="005633A3" w:rsidRDefault="0077306C" w14:paraId="15276093" w14:textId="77777777">
      <w:pPr>
        <w:pStyle w:val="Default"/>
        <w:tabs>
          <w:tab w:val="left" w:pos="720"/>
        </w:tabs>
        <w:ind w:left="720" w:hanging="720"/>
      </w:pPr>
    </w:p>
    <w:p w:rsidRPr="0077306C" w:rsidR="0077306C" w:rsidP="005633A3" w:rsidRDefault="005633A3" w14:paraId="22B0AB5D" w14:textId="3B20A841">
      <w:pPr>
        <w:pStyle w:val="Default"/>
        <w:tabs>
          <w:tab w:val="left" w:pos="720"/>
        </w:tabs>
        <w:ind w:left="720" w:hanging="720"/>
      </w:pPr>
      <w:r>
        <w:tab/>
      </w:r>
      <w:r w:rsidRPr="0077306C" w:rsidR="0077306C">
        <w:t xml:space="preserve">To modernize </w:t>
      </w:r>
      <w:r w:rsidR="004E7EF9">
        <w:t>12 CFR part 723, Member Business Loans (</w:t>
      </w:r>
      <w:r w:rsidRPr="0077306C" w:rsidR="0077306C">
        <w:t>MBL</w:t>
      </w:r>
      <w:r w:rsidR="004E7EF9">
        <w:t>)</w:t>
      </w:r>
      <w:r w:rsidRPr="0077306C" w:rsidR="0077306C">
        <w:t xml:space="preserve"> and provide reasonable regulatory relief to federally insured credit unions (FICUs), the NCUA Board is altering its overall approach to regulating commercial lending, by shifting from a prescriptive rule to a principles-based rule. </w:t>
      </w:r>
      <w:r w:rsidR="00B13E79">
        <w:t xml:space="preserve"> </w:t>
      </w:r>
      <w:r w:rsidRPr="0077306C" w:rsidR="0077306C">
        <w:t xml:space="preserve">Specifically, the </w:t>
      </w:r>
      <w:r w:rsidR="004531C0">
        <w:t>NCUA</w:t>
      </w:r>
      <w:r w:rsidRPr="0077306C" w:rsidR="0077306C">
        <w:t xml:space="preserve"> eliminate</w:t>
      </w:r>
      <w:r w:rsidR="004531C0">
        <w:t xml:space="preserve">d </w:t>
      </w:r>
      <w:r w:rsidRPr="0077306C" w:rsidR="0077306C">
        <w:t xml:space="preserve">detailed collateral criteria and portfolio limits </w:t>
      </w:r>
      <w:r w:rsidR="004531C0">
        <w:t xml:space="preserve">in 2016 </w:t>
      </w:r>
      <w:r w:rsidRPr="0077306C" w:rsidR="0077306C">
        <w:t>and instead focuses on broad yet well-defined principles that clarify regulatory expectations for FICUs engaged in commercial lending activities. The approach will eliminate</w:t>
      </w:r>
      <w:r w:rsidR="004531C0">
        <w:t>d</w:t>
      </w:r>
      <w:r w:rsidRPr="0077306C" w:rsidR="0077306C">
        <w:t xml:space="preserve"> some unintended consequences of the prescriptive approach, such as causing credit unions to manage their lending practices to regulatory restrictions instead of focusing on sound risk management practices. T</w:t>
      </w:r>
      <w:r w:rsidR="00B13E79">
        <w:t xml:space="preserve"> </w:t>
      </w:r>
      <w:r w:rsidRPr="0077306C" w:rsidR="0077306C">
        <w:t xml:space="preserve">he uniform regulatory prescriptions also inhibit credit unions from considering all relevant risk-mitigating factors in certain borrowing relationships. </w:t>
      </w:r>
      <w:r w:rsidR="00B13E79">
        <w:t xml:space="preserve"> </w:t>
      </w:r>
      <w:r w:rsidRPr="0077306C" w:rsidR="0077306C">
        <w:t xml:space="preserve">Under this approach, NCUA supervision will focus on the effectiveness of the credit union’s risk management process, which will allow credit unions greater autonomy and flexibility to soundly administer, underwrite, and service commercial loans in a manner that is consistent with regulatory objectives and accepted risk management practices. </w:t>
      </w:r>
    </w:p>
    <w:p w:rsidR="0077306C" w:rsidP="005633A3" w:rsidRDefault="0077306C" w14:paraId="6EAADEF5" w14:textId="77777777">
      <w:pPr>
        <w:pStyle w:val="Default"/>
        <w:tabs>
          <w:tab w:val="left" w:pos="720"/>
        </w:tabs>
        <w:ind w:left="720" w:hanging="720"/>
      </w:pPr>
    </w:p>
    <w:p w:rsidR="0077306C" w:rsidP="005633A3" w:rsidRDefault="005633A3" w14:paraId="2C38447B" w14:textId="2B4204C8">
      <w:pPr>
        <w:pStyle w:val="Default"/>
        <w:tabs>
          <w:tab w:val="left" w:pos="720"/>
        </w:tabs>
        <w:ind w:left="720" w:hanging="720"/>
      </w:pPr>
      <w:r>
        <w:tab/>
      </w:r>
      <w:r w:rsidRPr="0077306C" w:rsidR="0077306C">
        <w:t xml:space="preserve">The rule exempts from the requirements of §723.3 (Board of directors and management responsibilities) and §723.4 (Commercial loan policy) credit unions that meet all of the following conditions (qualifying credit unions): </w:t>
      </w:r>
    </w:p>
    <w:p w:rsidRPr="0077306C" w:rsidR="0077306C" w:rsidP="0077306C" w:rsidRDefault="0077306C" w14:paraId="05A7F6AF" w14:textId="77777777">
      <w:pPr>
        <w:pStyle w:val="Default"/>
      </w:pPr>
    </w:p>
    <w:p w:rsidRPr="0077306C" w:rsidR="0077306C" w:rsidP="005633A3" w:rsidRDefault="0077306C" w14:paraId="17AF3C71" w14:textId="77777777">
      <w:pPr>
        <w:pStyle w:val="Default"/>
        <w:numPr>
          <w:ilvl w:val="0"/>
          <w:numId w:val="1"/>
        </w:numPr>
        <w:ind w:left="1440"/>
      </w:pPr>
      <w:r w:rsidRPr="0077306C">
        <w:t xml:space="preserve">The credit union's total assets are less than $250 million. </w:t>
      </w:r>
    </w:p>
    <w:p w:rsidRPr="0077306C" w:rsidR="0077306C" w:rsidP="005633A3" w:rsidRDefault="0077306C" w14:paraId="38AE7C9D" w14:textId="77777777">
      <w:pPr>
        <w:pStyle w:val="Default"/>
        <w:numPr>
          <w:ilvl w:val="0"/>
          <w:numId w:val="1"/>
        </w:numPr>
        <w:ind w:left="1440"/>
      </w:pPr>
      <w:r w:rsidRPr="0077306C">
        <w:t xml:space="preserve">The credit union's aggregate amount of outstanding commercial loan balances and unfunded commitments, plus any outstanding commercial loan balances and unfunded commitments of participations sold, plus any outstanding commercial loan balances and unfunded commitments sold and serviced by the credit union total less than 15 percent of the credit union's net worth. </w:t>
      </w:r>
    </w:p>
    <w:p w:rsidRPr="0077306C" w:rsidR="0077306C" w:rsidP="005633A3" w:rsidRDefault="0077306C" w14:paraId="18EF6A67" w14:textId="77777777">
      <w:pPr>
        <w:pStyle w:val="Default"/>
        <w:numPr>
          <w:ilvl w:val="0"/>
          <w:numId w:val="1"/>
        </w:numPr>
        <w:ind w:left="1440"/>
      </w:pPr>
      <w:r w:rsidRPr="0077306C">
        <w:t>In a given calendar year the amount of originated and sold commercial loans the credit union does not continue to service total less than 15 percent of the credit union's net worth.</w:t>
      </w:r>
    </w:p>
    <w:p w:rsidRPr="0077306C" w:rsidR="0077306C" w:rsidP="0077306C" w:rsidRDefault="0077306C" w14:paraId="33D1C351" w14:textId="77777777">
      <w:pPr>
        <w:pStyle w:val="Default"/>
        <w:ind w:left="720" w:hanging="720"/>
      </w:pPr>
    </w:p>
    <w:p w:rsidRPr="0077306C" w:rsidR="0077306C" w:rsidP="0077306C" w:rsidRDefault="005633A3" w14:paraId="113EC25C" w14:textId="77777777">
      <w:pPr>
        <w:pStyle w:val="Default"/>
      </w:pPr>
      <w:r>
        <w:rPr>
          <w:b/>
          <w:bCs/>
        </w:rPr>
        <w:t>2.</w:t>
      </w:r>
      <w:r>
        <w:rPr>
          <w:b/>
          <w:bCs/>
        </w:rPr>
        <w:tab/>
        <w:t>Purpose and use of the information collection.</w:t>
      </w:r>
    </w:p>
    <w:p w:rsidRPr="0077306C" w:rsidR="0077306C" w:rsidP="0077306C" w:rsidRDefault="0077306C" w14:paraId="01DE8E66" w14:textId="77777777">
      <w:pPr>
        <w:pStyle w:val="Default"/>
      </w:pPr>
    </w:p>
    <w:p w:rsidR="0077306C" w:rsidP="009052E5" w:rsidRDefault="0077306C" w14:paraId="5209A077" w14:textId="2CDD2E4D">
      <w:pPr>
        <w:pStyle w:val="Default"/>
        <w:ind w:left="720"/>
      </w:pPr>
      <w:r w:rsidRPr="0077306C">
        <w:t xml:space="preserve">Under the rule, credit unions that are engaged in commercial lending </w:t>
      </w:r>
      <w:r w:rsidR="00D90715">
        <w:t xml:space="preserve">must adopt a </w:t>
      </w:r>
      <w:r w:rsidRPr="0077306C">
        <w:t xml:space="preserve">commercial loan policies to address various aspects of the commercial lending activity. </w:t>
      </w:r>
      <w:r w:rsidR="00D90715">
        <w:t xml:space="preserve"> </w:t>
      </w:r>
      <w:r w:rsidRPr="0077306C">
        <w:t xml:space="preserve">The commercial loan policy should include identification of the types of business loans </w:t>
      </w:r>
      <w:r w:rsidRPr="0077306C">
        <w:lastRenderedPageBreak/>
        <w:t xml:space="preserve">the credit union will make, qualifications and experience of personnel, portfolio concentration limits, underwriting standard, loan approval, and other risk management processes. </w:t>
      </w:r>
      <w:r w:rsidR="00D90715">
        <w:t xml:space="preserve"> </w:t>
      </w:r>
      <w:r w:rsidRPr="0077306C">
        <w:t xml:space="preserve">Requiring federally-insured credit unions to maintain commercial loan policies and procedures protects the safety and soundness of credit unions and the National Credit Union Share Insurance Fund (NCUSIF). </w:t>
      </w:r>
    </w:p>
    <w:p w:rsidR="00817FBA" w:rsidP="009052E5" w:rsidRDefault="00817FBA" w14:paraId="565DE506" w14:textId="77777777">
      <w:pPr>
        <w:pStyle w:val="Default"/>
        <w:ind w:left="720"/>
      </w:pPr>
    </w:p>
    <w:p w:rsidRPr="0077306C" w:rsidR="00817FBA" w:rsidP="009052E5" w:rsidRDefault="00817FBA" w14:paraId="6B280852" w14:textId="77777777">
      <w:pPr>
        <w:pStyle w:val="Default"/>
        <w:ind w:left="720"/>
      </w:pPr>
      <w:r>
        <w:t>Credit unions are also required to document in their loan files any mitigating factors that offset any risk associated with making an unsecured loan</w:t>
      </w:r>
      <w:r w:rsidR="00D90715">
        <w:t xml:space="preserve"> and loans that do not require the full and unconditional personal guarantee from the borrower who has a controlling interest in the borrower.</w:t>
      </w:r>
    </w:p>
    <w:p w:rsidR="0077306C" w:rsidP="0077306C" w:rsidRDefault="0077306C" w14:paraId="071827B5" w14:textId="2FC9742D">
      <w:pPr>
        <w:pStyle w:val="Default"/>
        <w:rPr>
          <w:b/>
          <w:bCs/>
        </w:rPr>
      </w:pPr>
    </w:p>
    <w:p w:rsidRPr="005633A3" w:rsidR="005633A3" w:rsidP="005633A3" w:rsidRDefault="005633A3" w14:paraId="44B8044D" w14:textId="77777777">
      <w:pPr>
        <w:spacing w:after="0" w:line="240" w:lineRule="auto"/>
        <w:rPr>
          <w:rFonts w:ascii="Times New Roman" w:hAnsi="Times New Roman" w:cs="Times New Roman"/>
          <w:b/>
          <w:sz w:val="24"/>
          <w:szCs w:val="24"/>
        </w:rPr>
      </w:pPr>
      <w:r w:rsidRPr="005633A3">
        <w:rPr>
          <w:rFonts w:ascii="Times New Roman" w:hAnsi="Times New Roman" w:cs="Times New Roman"/>
          <w:b/>
          <w:sz w:val="24"/>
          <w:szCs w:val="24"/>
        </w:rPr>
        <w:t>3.</w:t>
      </w:r>
      <w:r w:rsidRPr="005633A3">
        <w:rPr>
          <w:rFonts w:ascii="Times New Roman" w:hAnsi="Times New Roman" w:cs="Times New Roman"/>
          <w:b/>
          <w:sz w:val="24"/>
          <w:szCs w:val="24"/>
        </w:rPr>
        <w:tab/>
        <w:t>Use of information technology.</w:t>
      </w:r>
    </w:p>
    <w:p w:rsidRPr="0077306C" w:rsidR="0077306C" w:rsidP="0077306C" w:rsidRDefault="0077306C" w14:paraId="5A493957" w14:textId="77777777">
      <w:pPr>
        <w:pStyle w:val="Default"/>
      </w:pPr>
    </w:p>
    <w:p w:rsidR="0077306C" w:rsidP="003F5CFF" w:rsidRDefault="003F5CFF" w14:paraId="4798BEC1" w14:textId="1312EF7A">
      <w:pPr>
        <w:pStyle w:val="Default"/>
        <w:ind w:left="720"/>
      </w:pPr>
      <w:r>
        <w:t>Federal credit u</w:t>
      </w:r>
      <w:r w:rsidR="009052E5">
        <w:t>nions</w:t>
      </w:r>
      <w:r w:rsidRPr="00F100ED" w:rsidR="009052E5">
        <w:t xml:space="preserve"> may use any available information technology to satisfy the information collection requirements.  NCUA encourages the use of electronic information as it simplifies the data collection process and improves the accuracy and timeliness of the data.</w:t>
      </w:r>
    </w:p>
    <w:p w:rsidR="003F5CFF" w:rsidP="003F5CFF" w:rsidRDefault="003F5CFF" w14:paraId="4264D100" w14:textId="77777777">
      <w:pPr>
        <w:pStyle w:val="Default"/>
        <w:ind w:left="720"/>
        <w:rPr>
          <w:b/>
          <w:bCs/>
        </w:rPr>
      </w:pPr>
    </w:p>
    <w:p w:rsidRPr="0077306C" w:rsidR="0077306C" w:rsidP="005633A3" w:rsidRDefault="005633A3" w14:paraId="49DAD10C" w14:textId="77777777">
      <w:pPr>
        <w:pStyle w:val="Default"/>
        <w:ind w:left="720" w:hanging="720"/>
      </w:pPr>
      <w:r>
        <w:rPr>
          <w:b/>
          <w:bCs/>
        </w:rPr>
        <w:t>4.</w:t>
      </w:r>
      <w:r>
        <w:rPr>
          <w:b/>
          <w:bCs/>
        </w:rPr>
        <w:tab/>
      </w:r>
      <w:r w:rsidRPr="0077306C" w:rsidR="0077306C">
        <w:rPr>
          <w:b/>
          <w:bCs/>
        </w:rPr>
        <w:t xml:space="preserve">Duplication </w:t>
      </w:r>
      <w:r>
        <w:rPr>
          <w:b/>
          <w:bCs/>
        </w:rPr>
        <w:t>of information.</w:t>
      </w:r>
    </w:p>
    <w:p w:rsidR="005633A3" w:rsidP="005633A3" w:rsidRDefault="005633A3" w14:paraId="14F1F405" w14:textId="77777777">
      <w:pPr>
        <w:pStyle w:val="Default"/>
        <w:ind w:left="720" w:hanging="720"/>
      </w:pPr>
    </w:p>
    <w:p w:rsidRPr="0077306C" w:rsidR="0077306C" w:rsidP="005633A3" w:rsidRDefault="005633A3" w14:paraId="212B2528" w14:textId="77777777">
      <w:pPr>
        <w:pStyle w:val="Default"/>
        <w:ind w:left="720" w:hanging="720"/>
      </w:pPr>
      <w:r>
        <w:tab/>
      </w:r>
      <w:r w:rsidRPr="0077306C" w:rsidR="0077306C">
        <w:t xml:space="preserve">The information collection is unique to each credit union and is not duplicated in other collection requirements. </w:t>
      </w:r>
    </w:p>
    <w:p w:rsidR="0077306C" w:rsidP="005633A3" w:rsidRDefault="0077306C" w14:paraId="0F3D31FF" w14:textId="77777777">
      <w:pPr>
        <w:pStyle w:val="Default"/>
        <w:ind w:left="720" w:hanging="720"/>
        <w:rPr>
          <w:b/>
          <w:bCs/>
        </w:rPr>
      </w:pPr>
    </w:p>
    <w:p w:rsidRPr="005633A3" w:rsidR="005633A3" w:rsidP="005633A3" w:rsidRDefault="005633A3" w14:paraId="39B3BB89" w14:textId="77777777">
      <w:pPr>
        <w:spacing w:after="0" w:line="240" w:lineRule="auto"/>
        <w:rPr>
          <w:rFonts w:ascii="Times New Roman" w:hAnsi="Times New Roman" w:cs="Times New Roman"/>
          <w:b/>
          <w:sz w:val="24"/>
          <w:szCs w:val="24"/>
        </w:rPr>
      </w:pPr>
      <w:r w:rsidRPr="005633A3">
        <w:rPr>
          <w:rFonts w:ascii="Times New Roman" w:hAnsi="Times New Roman" w:cs="Times New Roman"/>
          <w:b/>
          <w:sz w:val="24"/>
          <w:szCs w:val="24"/>
        </w:rPr>
        <w:t>5.</w:t>
      </w:r>
      <w:r w:rsidRPr="005633A3">
        <w:rPr>
          <w:rFonts w:ascii="Times New Roman" w:hAnsi="Times New Roman" w:cs="Times New Roman"/>
          <w:b/>
          <w:sz w:val="24"/>
          <w:szCs w:val="24"/>
        </w:rPr>
        <w:tab/>
        <w:t>Efforts to reduce burden on small entities.</w:t>
      </w:r>
    </w:p>
    <w:p w:rsidRPr="0077306C" w:rsidR="0077306C" w:rsidP="005633A3" w:rsidRDefault="0077306C" w14:paraId="6BFD2331" w14:textId="77777777">
      <w:pPr>
        <w:pStyle w:val="Default"/>
        <w:ind w:left="720" w:hanging="720"/>
      </w:pPr>
    </w:p>
    <w:p w:rsidRPr="0077306C" w:rsidR="0077306C" w:rsidP="009052E5" w:rsidRDefault="005633A3" w14:paraId="693BF321" w14:textId="032EE187">
      <w:pPr>
        <w:pStyle w:val="Default"/>
        <w:ind w:left="720" w:hanging="720"/>
      </w:pPr>
      <w:r>
        <w:tab/>
      </w:r>
      <w:r w:rsidRPr="0077306C" w:rsidR="0077306C">
        <w:t xml:space="preserve">The rule alleviates qualifying credit unions which are only occasionally granting a commercial loan(s) from the requirements of §723.3 and §723.4. </w:t>
      </w:r>
      <w:r w:rsidR="009052E5">
        <w:t xml:space="preserve"> </w:t>
      </w:r>
      <w:r w:rsidRPr="0077306C" w:rsidR="0077306C">
        <w:t xml:space="preserve">Small credit unions that do not qualify for the exemption may need to modify their commercial loan policies and enhance their processes to satisfy the new requirements. </w:t>
      </w:r>
      <w:r w:rsidR="009052E5">
        <w:t xml:space="preserve"> </w:t>
      </w:r>
      <w:r w:rsidRPr="0077306C" w:rsidR="0077306C">
        <w:t xml:space="preserve">It is essential for these small credit unions that regularly conduct commercial lending activities to develop and maintain appropriate loan policy/processes to ensure the safety and soundness of the institutions. </w:t>
      </w:r>
    </w:p>
    <w:p w:rsidR="0077306C" w:rsidP="009052E5" w:rsidRDefault="0077306C" w14:paraId="3BEB1B38" w14:textId="77777777">
      <w:pPr>
        <w:pStyle w:val="Default"/>
        <w:tabs>
          <w:tab w:val="left" w:pos="720"/>
        </w:tabs>
        <w:ind w:left="720" w:hanging="720"/>
        <w:rPr>
          <w:b/>
          <w:bCs/>
        </w:rPr>
      </w:pPr>
    </w:p>
    <w:p w:rsidRPr="0077306C" w:rsidR="0077306C" w:rsidP="009052E5" w:rsidRDefault="005633A3" w14:paraId="45801234" w14:textId="77777777">
      <w:pPr>
        <w:pStyle w:val="Default"/>
        <w:tabs>
          <w:tab w:val="left" w:pos="720"/>
        </w:tabs>
        <w:ind w:left="720" w:hanging="720"/>
      </w:pPr>
      <w:r>
        <w:rPr>
          <w:b/>
          <w:bCs/>
        </w:rPr>
        <w:t>6.</w:t>
      </w:r>
      <w:r>
        <w:rPr>
          <w:b/>
          <w:bCs/>
        </w:rPr>
        <w:tab/>
      </w:r>
      <w:r w:rsidR="009052E5">
        <w:rPr>
          <w:b/>
          <w:bCs/>
        </w:rPr>
        <w:t>Consequences of not conducting the c</w:t>
      </w:r>
      <w:r w:rsidRPr="0077306C" w:rsidR="0077306C">
        <w:rPr>
          <w:b/>
          <w:bCs/>
        </w:rPr>
        <w:t>ollection</w:t>
      </w:r>
      <w:r w:rsidR="009052E5">
        <w:rPr>
          <w:b/>
          <w:bCs/>
        </w:rPr>
        <w:t>.</w:t>
      </w:r>
    </w:p>
    <w:p w:rsidRPr="0077306C" w:rsidR="0077306C" w:rsidP="009052E5" w:rsidRDefault="0077306C" w14:paraId="0E995074" w14:textId="77777777">
      <w:pPr>
        <w:pStyle w:val="Default"/>
        <w:tabs>
          <w:tab w:val="left" w:pos="720"/>
        </w:tabs>
        <w:ind w:left="720" w:hanging="720"/>
      </w:pPr>
    </w:p>
    <w:p w:rsidRPr="0077306C" w:rsidR="0077306C" w:rsidP="009052E5" w:rsidRDefault="0077306C" w14:paraId="2AB0331B" w14:textId="77777777">
      <w:pPr>
        <w:pStyle w:val="Default"/>
        <w:tabs>
          <w:tab w:val="left" w:pos="720"/>
        </w:tabs>
        <w:ind w:left="720"/>
      </w:pPr>
      <w:r w:rsidRPr="0077306C">
        <w:t xml:space="preserve">Commercial lending is complex and involves different risks than consumer lending. Credit unions that are lack of appropriate commercial risk management policies and processes may lead to their failures and in some cases, losses to the National Credit Union Share Insurance Fund. </w:t>
      </w:r>
    </w:p>
    <w:p w:rsidRPr="009052E5" w:rsidR="0077306C" w:rsidP="005633A3" w:rsidRDefault="0077306C" w14:paraId="44A558CB" w14:textId="77777777">
      <w:pPr>
        <w:pStyle w:val="Default"/>
        <w:tabs>
          <w:tab w:val="left" w:pos="720"/>
        </w:tabs>
        <w:ind w:left="720"/>
        <w:rPr>
          <w:bCs/>
        </w:rPr>
      </w:pPr>
    </w:p>
    <w:p w:rsidRPr="0077306C" w:rsidR="0077306C" w:rsidP="005633A3" w:rsidRDefault="005633A3" w14:paraId="164C3040" w14:textId="77777777">
      <w:pPr>
        <w:pStyle w:val="Default"/>
        <w:tabs>
          <w:tab w:val="left" w:pos="720"/>
        </w:tabs>
        <w:ind w:left="720" w:hanging="720"/>
      </w:pPr>
      <w:r>
        <w:rPr>
          <w:b/>
          <w:bCs/>
        </w:rPr>
        <w:t>7.</w:t>
      </w:r>
      <w:r>
        <w:rPr>
          <w:b/>
          <w:bCs/>
        </w:rPr>
        <w:tab/>
        <w:t>Inconsistencies with guidelines in 5 CFR 1320.5(d)(2).</w:t>
      </w:r>
    </w:p>
    <w:p w:rsidRPr="0077306C" w:rsidR="0077306C" w:rsidP="005633A3" w:rsidRDefault="0077306C" w14:paraId="69BA0C44" w14:textId="77777777">
      <w:pPr>
        <w:pStyle w:val="Default"/>
        <w:tabs>
          <w:tab w:val="left" w:pos="720"/>
        </w:tabs>
        <w:ind w:left="720" w:hanging="720"/>
      </w:pPr>
    </w:p>
    <w:p w:rsidR="009052E5" w:rsidP="005633A3" w:rsidRDefault="0077306C" w14:paraId="2175718F" w14:textId="77777777">
      <w:pPr>
        <w:pStyle w:val="Default"/>
        <w:tabs>
          <w:tab w:val="left" w:pos="720"/>
        </w:tabs>
        <w:ind w:left="720"/>
      </w:pPr>
      <w:r w:rsidRPr="0077306C">
        <w:t xml:space="preserve">There are no special circumstances. </w:t>
      </w:r>
      <w:r w:rsidR="009052E5">
        <w:t xml:space="preserve"> </w:t>
      </w:r>
      <w:r w:rsidRPr="0077306C">
        <w:t xml:space="preserve">This collection is consistent with the guidelines in </w:t>
      </w:r>
    </w:p>
    <w:p w:rsidR="0077306C" w:rsidP="005633A3" w:rsidRDefault="0077306C" w14:paraId="31924129" w14:textId="77777777">
      <w:pPr>
        <w:pStyle w:val="Default"/>
        <w:tabs>
          <w:tab w:val="left" w:pos="720"/>
        </w:tabs>
        <w:ind w:left="720"/>
      </w:pPr>
      <w:r w:rsidRPr="0077306C">
        <w:t>5 CFR 1320.5(d)(2).</w:t>
      </w:r>
    </w:p>
    <w:p w:rsidR="0077306C" w:rsidP="005633A3" w:rsidRDefault="0077306C" w14:paraId="52DA7CF0" w14:textId="77777777">
      <w:pPr>
        <w:pStyle w:val="Default"/>
        <w:tabs>
          <w:tab w:val="left" w:pos="720"/>
        </w:tabs>
        <w:ind w:left="720" w:hanging="720"/>
      </w:pPr>
    </w:p>
    <w:p w:rsidR="0030554E" w:rsidRDefault="0030554E" w14:paraId="4FB5A33F" w14:textId="77777777">
      <w:pPr>
        <w:rPr>
          <w:rFonts w:ascii="Times New Roman" w:hAnsi="Times New Roman" w:cs="Times New Roman"/>
          <w:b/>
          <w:bCs/>
          <w:color w:val="000000"/>
          <w:sz w:val="24"/>
          <w:szCs w:val="24"/>
        </w:rPr>
      </w:pPr>
      <w:r>
        <w:rPr>
          <w:b/>
          <w:bCs/>
        </w:rPr>
        <w:br w:type="page"/>
      </w:r>
    </w:p>
    <w:p w:rsidRPr="0077306C" w:rsidR="0077306C" w:rsidP="005633A3" w:rsidRDefault="005633A3" w14:paraId="22F7E220" w14:textId="43B42853">
      <w:pPr>
        <w:pStyle w:val="Default"/>
        <w:tabs>
          <w:tab w:val="left" w:pos="720"/>
        </w:tabs>
        <w:ind w:left="720" w:hanging="720"/>
      </w:pPr>
      <w:r>
        <w:rPr>
          <w:b/>
          <w:bCs/>
        </w:rPr>
        <w:lastRenderedPageBreak/>
        <w:t>8.</w:t>
      </w:r>
      <w:r>
        <w:rPr>
          <w:b/>
          <w:bCs/>
        </w:rPr>
        <w:tab/>
      </w:r>
      <w:r w:rsidR="0030554E">
        <w:rPr>
          <w:b/>
          <w:bCs/>
        </w:rPr>
        <w:t>Consultations o</w:t>
      </w:r>
      <w:r w:rsidRPr="0077306C" w:rsidR="0077306C">
        <w:rPr>
          <w:b/>
          <w:bCs/>
        </w:rPr>
        <w:t xml:space="preserve">utside the Agency </w:t>
      </w:r>
    </w:p>
    <w:p w:rsidR="005633A3" w:rsidP="005633A3" w:rsidRDefault="005633A3" w14:paraId="1E8C62F0" w14:textId="77777777">
      <w:pPr>
        <w:pStyle w:val="Default"/>
        <w:tabs>
          <w:tab w:val="left" w:pos="720"/>
        </w:tabs>
        <w:ind w:left="720" w:hanging="720"/>
      </w:pPr>
    </w:p>
    <w:p w:rsidRPr="009052E5" w:rsidR="009052E5" w:rsidP="005633A3" w:rsidRDefault="009052E5" w14:paraId="0ABC5287" w14:textId="7DF3B694">
      <w:pPr>
        <w:pStyle w:val="Default"/>
        <w:tabs>
          <w:tab w:val="left" w:pos="720"/>
        </w:tabs>
        <w:ind w:left="720" w:hanging="720"/>
      </w:pPr>
      <w:r>
        <w:tab/>
        <w:t xml:space="preserve">A 60-day notice was published in the </w:t>
      </w:r>
      <w:r>
        <w:rPr>
          <w:i/>
        </w:rPr>
        <w:t>Federal Register</w:t>
      </w:r>
      <w:r>
        <w:t xml:space="preserve"> on </w:t>
      </w:r>
      <w:r w:rsidR="0030554E">
        <w:t>February 20, 2020, at 85 FR 9809</w:t>
      </w:r>
      <w:r>
        <w:t>, soliciting comments from the public.  No public comments were recei</w:t>
      </w:r>
      <w:r w:rsidR="0030554E">
        <w:t>ved in response to this notice</w:t>
      </w:r>
      <w:r>
        <w:t>.</w:t>
      </w:r>
    </w:p>
    <w:p w:rsidR="0077306C" w:rsidP="005633A3" w:rsidRDefault="0077306C" w14:paraId="06EC783C" w14:textId="77777777">
      <w:pPr>
        <w:pStyle w:val="Default"/>
        <w:ind w:left="720" w:hanging="720"/>
        <w:rPr>
          <w:b/>
          <w:bCs/>
        </w:rPr>
      </w:pPr>
    </w:p>
    <w:p w:rsidRPr="005633A3" w:rsidR="005633A3" w:rsidP="005633A3" w:rsidRDefault="005633A3" w14:paraId="38CD4EE5" w14:textId="77777777">
      <w:pPr>
        <w:spacing w:after="0" w:line="240" w:lineRule="auto"/>
        <w:rPr>
          <w:rFonts w:ascii="Times New Roman" w:hAnsi="Times New Roman" w:cs="Times New Roman"/>
          <w:b/>
          <w:sz w:val="24"/>
          <w:szCs w:val="24"/>
        </w:rPr>
      </w:pPr>
      <w:r w:rsidRPr="005633A3">
        <w:rPr>
          <w:rFonts w:ascii="Times New Roman" w:hAnsi="Times New Roman" w:cs="Times New Roman"/>
          <w:b/>
          <w:sz w:val="24"/>
          <w:szCs w:val="24"/>
        </w:rPr>
        <w:t>9.</w:t>
      </w:r>
      <w:r w:rsidRPr="005633A3">
        <w:rPr>
          <w:rFonts w:ascii="Times New Roman" w:hAnsi="Times New Roman" w:cs="Times New Roman"/>
          <w:b/>
          <w:sz w:val="24"/>
          <w:szCs w:val="24"/>
        </w:rPr>
        <w:tab/>
        <w:t>Payment or gifts to respondents.</w:t>
      </w:r>
    </w:p>
    <w:p w:rsidRPr="0077306C" w:rsidR="0077306C" w:rsidP="005633A3" w:rsidRDefault="0077306C" w14:paraId="55F6C8A2" w14:textId="77777777">
      <w:pPr>
        <w:pStyle w:val="Default"/>
        <w:ind w:left="720" w:hanging="720"/>
      </w:pPr>
    </w:p>
    <w:p w:rsidRPr="0077306C" w:rsidR="0077306C" w:rsidP="005633A3" w:rsidRDefault="009052E5" w14:paraId="777BD92C" w14:textId="77777777">
      <w:pPr>
        <w:pStyle w:val="Default"/>
        <w:ind w:left="720" w:hanging="720"/>
      </w:pPr>
      <w:r>
        <w:tab/>
      </w:r>
      <w:r w:rsidRPr="0077306C" w:rsidR="0077306C">
        <w:t xml:space="preserve">There is no intent by NCUA to provide payment or gifts for information collected. </w:t>
      </w:r>
    </w:p>
    <w:p w:rsidR="0077306C" w:rsidP="005633A3" w:rsidRDefault="0077306C" w14:paraId="65476385" w14:textId="77777777">
      <w:pPr>
        <w:pStyle w:val="Default"/>
        <w:ind w:left="720" w:hanging="720"/>
        <w:rPr>
          <w:b/>
          <w:bCs/>
        </w:rPr>
      </w:pPr>
    </w:p>
    <w:p w:rsidRPr="005633A3" w:rsidR="005633A3" w:rsidP="005633A3" w:rsidRDefault="005633A3" w14:paraId="7EC1CCF0" w14:textId="77777777">
      <w:pPr>
        <w:spacing w:after="0" w:line="240" w:lineRule="auto"/>
        <w:rPr>
          <w:rFonts w:ascii="Times New Roman" w:hAnsi="Times New Roman" w:cs="Times New Roman"/>
          <w:b/>
          <w:sz w:val="24"/>
          <w:szCs w:val="24"/>
        </w:rPr>
      </w:pPr>
      <w:r w:rsidRPr="005633A3">
        <w:rPr>
          <w:rFonts w:ascii="Times New Roman" w:hAnsi="Times New Roman" w:cs="Times New Roman"/>
          <w:b/>
          <w:sz w:val="24"/>
          <w:szCs w:val="24"/>
        </w:rPr>
        <w:t>10.</w:t>
      </w:r>
      <w:r w:rsidRPr="005633A3">
        <w:rPr>
          <w:rFonts w:ascii="Times New Roman" w:hAnsi="Times New Roman" w:cs="Times New Roman"/>
          <w:b/>
          <w:sz w:val="24"/>
          <w:szCs w:val="24"/>
        </w:rPr>
        <w:tab/>
        <w:t>Assurance of confidentiality.</w:t>
      </w:r>
    </w:p>
    <w:p w:rsidRPr="0077306C" w:rsidR="0077306C" w:rsidP="005633A3" w:rsidRDefault="0077306C" w14:paraId="0F884751" w14:textId="77777777">
      <w:pPr>
        <w:pStyle w:val="Default"/>
        <w:ind w:left="720" w:hanging="720"/>
      </w:pPr>
    </w:p>
    <w:p w:rsidRPr="0077306C" w:rsidR="0077306C" w:rsidP="005633A3" w:rsidRDefault="005633A3" w14:paraId="7A249C81" w14:textId="60E3A9A8">
      <w:pPr>
        <w:pStyle w:val="Default"/>
        <w:ind w:left="720" w:hanging="720"/>
      </w:pPr>
      <w:r>
        <w:tab/>
      </w:r>
      <w:r w:rsidR="009052E5">
        <w:t xml:space="preserve">There is no assurance of confidentiality other than that provided by law.  </w:t>
      </w:r>
    </w:p>
    <w:p w:rsidR="0077306C" w:rsidP="005633A3" w:rsidRDefault="0077306C" w14:paraId="6994F5E6" w14:textId="77777777">
      <w:pPr>
        <w:pStyle w:val="Default"/>
        <w:ind w:left="720" w:hanging="720"/>
        <w:rPr>
          <w:b/>
          <w:bCs/>
        </w:rPr>
      </w:pPr>
    </w:p>
    <w:p w:rsidRPr="005633A3" w:rsidR="005633A3" w:rsidP="005633A3" w:rsidRDefault="005633A3" w14:paraId="12AA6E45" w14:textId="77777777">
      <w:pPr>
        <w:spacing w:after="0" w:line="240" w:lineRule="auto"/>
        <w:rPr>
          <w:rFonts w:ascii="Times New Roman" w:hAnsi="Times New Roman" w:cs="Times New Roman"/>
          <w:b/>
          <w:sz w:val="24"/>
          <w:szCs w:val="24"/>
        </w:rPr>
      </w:pPr>
      <w:r w:rsidRPr="005633A3">
        <w:rPr>
          <w:rFonts w:ascii="Times New Roman" w:hAnsi="Times New Roman" w:cs="Times New Roman"/>
          <w:b/>
          <w:sz w:val="24"/>
          <w:szCs w:val="24"/>
        </w:rPr>
        <w:t>11.</w:t>
      </w:r>
      <w:r w:rsidRPr="005633A3">
        <w:rPr>
          <w:rFonts w:ascii="Times New Roman" w:hAnsi="Times New Roman" w:cs="Times New Roman"/>
          <w:b/>
          <w:sz w:val="24"/>
          <w:szCs w:val="24"/>
        </w:rPr>
        <w:tab/>
        <w:t>Questions of a sensitive nature.</w:t>
      </w:r>
    </w:p>
    <w:p w:rsidRPr="0077306C" w:rsidR="0077306C" w:rsidP="005633A3" w:rsidRDefault="0077306C" w14:paraId="34034B01" w14:textId="77777777">
      <w:pPr>
        <w:pStyle w:val="Default"/>
        <w:ind w:left="720" w:hanging="720"/>
      </w:pPr>
    </w:p>
    <w:p w:rsidRPr="0077306C" w:rsidR="0077306C" w:rsidP="005633A3" w:rsidRDefault="005633A3" w14:paraId="7D612B6B" w14:textId="77777777">
      <w:pPr>
        <w:pStyle w:val="Default"/>
        <w:ind w:left="720" w:hanging="720"/>
      </w:pPr>
      <w:r>
        <w:tab/>
      </w:r>
      <w:r w:rsidRPr="0077306C" w:rsidR="0077306C">
        <w:t xml:space="preserve">No questions of a sensitive nature are asked. The information collection does not collect any Personally Identifiable Information (PII). </w:t>
      </w:r>
    </w:p>
    <w:p w:rsidR="0077306C" w:rsidP="005633A3" w:rsidRDefault="0077306C" w14:paraId="13CBA1B5" w14:textId="77777777">
      <w:pPr>
        <w:pStyle w:val="Default"/>
        <w:rPr>
          <w:b/>
          <w:bCs/>
        </w:rPr>
      </w:pPr>
    </w:p>
    <w:p w:rsidRPr="00596BA6" w:rsidR="005633A3" w:rsidP="005633A3" w:rsidRDefault="005633A3" w14:paraId="06075DB8" w14:textId="77777777">
      <w:pPr>
        <w:spacing w:after="0" w:line="240" w:lineRule="auto"/>
        <w:rPr>
          <w:rFonts w:ascii="Times New Roman" w:hAnsi="Times New Roman" w:cs="Times New Roman"/>
          <w:b/>
          <w:sz w:val="24"/>
          <w:szCs w:val="24"/>
        </w:rPr>
      </w:pPr>
      <w:r w:rsidRPr="00596BA6">
        <w:rPr>
          <w:rFonts w:ascii="Times New Roman" w:hAnsi="Times New Roman" w:cs="Times New Roman"/>
          <w:b/>
          <w:sz w:val="24"/>
          <w:szCs w:val="24"/>
        </w:rPr>
        <w:t>12.</w:t>
      </w:r>
      <w:r w:rsidRPr="00596BA6">
        <w:rPr>
          <w:rFonts w:ascii="Times New Roman" w:hAnsi="Times New Roman" w:cs="Times New Roman"/>
          <w:b/>
          <w:sz w:val="24"/>
          <w:szCs w:val="24"/>
        </w:rPr>
        <w:tab/>
        <w:t>Burden of information collection.</w:t>
      </w:r>
    </w:p>
    <w:p w:rsidRPr="0077306C" w:rsidR="0077306C" w:rsidP="005633A3" w:rsidRDefault="0077306C" w14:paraId="61494940" w14:textId="77777777">
      <w:pPr>
        <w:spacing w:after="0" w:line="240" w:lineRule="auto"/>
        <w:rPr>
          <w:rFonts w:ascii="Times New Roman" w:hAnsi="Times New Roman" w:cs="Times New Roman"/>
          <w:sz w:val="24"/>
          <w:szCs w:val="24"/>
        </w:rPr>
      </w:pPr>
    </w:p>
    <w:tbl>
      <w:tblPr>
        <w:tblStyle w:val="TableGrid"/>
        <w:tblW w:w="10867" w:type="dxa"/>
        <w:tblInd w:w="-725" w:type="dxa"/>
        <w:tblLook w:val="04A0" w:firstRow="1" w:lastRow="0" w:firstColumn="1" w:lastColumn="0" w:noHBand="0" w:noVBand="1"/>
      </w:tblPr>
      <w:tblGrid>
        <w:gridCol w:w="990"/>
        <w:gridCol w:w="3331"/>
        <w:gridCol w:w="989"/>
        <w:gridCol w:w="1086"/>
        <w:gridCol w:w="1067"/>
        <w:gridCol w:w="1240"/>
        <w:gridCol w:w="1091"/>
        <w:gridCol w:w="1073"/>
      </w:tblGrid>
      <w:tr w:rsidR="0030554E" w:rsidTr="0030554E" w14:paraId="48341D27" w14:textId="77777777">
        <w:tc>
          <w:tcPr>
            <w:tcW w:w="990" w:type="dxa"/>
            <w:vAlign w:val="center"/>
          </w:tcPr>
          <w:p w:rsidRPr="0030554E" w:rsidR="0030554E" w:rsidP="00E52455" w:rsidRDefault="0030554E" w14:paraId="1AA632F8" w14:textId="77777777">
            <w:pPr>
              <w:pStyle w:val="Default"/>
              <w:jc w:val="center"/>
              <w:rPr>
                <w:rFonts w:ascii="Arial Narrow" w:hAnsi="Arial Narrow"/>
                <w:sz w:val="18"/>
                <w:szCs w:val="18"/>
              </w:rPr>
            </w:pPr>
            <w:r w:rsidRPr="0030554E">
              <w:rPr>
                <w:rFonts w:ascii="Arial Narrow" w:hAnsi="Arial Narrow"/>
                <w:sz w:val="18"/>
                <w:szCs w:val="18"/>
              </w:rPr>
              <w:t>12 CFR</w:t>
            </w:r>
          </w:p>
        </w:tc>
        <w:tc>
          <w:tcPr>
            <w:tcW w:w="3331" w:type="dxa"/>
            <w:vAlign w:val="center"/>
          </w:tcPr>
          <w:p w:rsidRPr="0030554E" w:rsidR="0030554E" w:rsidP="00E52455" w:rsidRDefault="0030554E" w14:paraId="74FE173A" w14:textId="77777777">
            <w:pPr>
              <w:pStyle w:val="Default"/>
              <w:jc w:val="center"/>
              <w:rPr>
                <w:rFonts w:ascii="Arial Narrow" w:hAnsi="Arial Narrow"/>
                <w:sz w:val="18"/>
                <w:szCs w:val="18"/>
              </w:rPr>
            </w:pPr>
            <w:r w:rsidRPr="0030554E">
              <w:rPr>
                <w:rFonts w:ascii="Arial Narrow" w:hAnsi="Arial Narrow"/>
                <w:sz w:val="18"/>
                <w:szCs w:val="18"/>
              </w:rPr>
              <w:t>Information Collection</w:t>
            </w:r>
          </w:p>
        </w:tc>
        <w:tc>
          <w:tcPr>
            <w:tcW w:w="989" w:type="dxa"/>
            <w:vAlign w:val="center"/>
          </w:tcPr>
          <w:p w:rsidRPr="0030554E" w:rsidR="0030554E" w:rsidP="00E52455" w:rsidRDefault="0030554E" w14:paraId="3D46E660" w14:textId="7FF9B8E4">
            <w:pPr>
              <w:pStyle w:val="Default"/>
              <w:jc w:val="center"/>
              <w:rPr>
                <w:rFonts w:ascii="Arial Narrow" w:hAnsi="Arial Narrow"/>
                <w:sz w:val="18"/>
                <w:szCs w:val="18"/>
              </w:rPr>
            </w:pPr>
            <w:r>
              <w:rPr>
                <w:rFonts w:ascii="Arial Narrow" w:hAnsi="Arial Narrow"/>
                <w:sz w:val="18"/>
                <w:szCs w:val="18"/>
              </w:rPr>
              <w:t>Type of Burden</w:t>
            </w:r>
          </w:p>
        </w:tc>
        <w:tc>
          <w:tcPr>
            <w:tcW w:w="1086" w:type="dxa"/>
            <w:vAlign w:val="center"/>
          </w:tcPr>
          <w:p w:rsidRPr="0030554E" w:rsidR="0030554E" w:rsidP="00E52455" w:rsidRDefault="0030554E" w14:paraId="52CE02AE" w14:textId="0BCC723B">
            <w:pPr>
              <w:pStyle w:val="Default"/>
              <w:jc w:val="center"/>
              <w:rPr>
                <w:rFonts w:ascii="Arial Narrow" w:hAnsi="Arial Narrow"/>
                <w:sz w:val="18"/>
                <w:szCs w:val="18"/>
              </w:rPr>
            </w:pPr>
            <w:r w:rsidRPr="0030554E">
              <w:rPr>
                <w:rFonts w:ascii="Arial Narrow" w:hAnsi="Arial Narrow"/>
                <w:sz w:val="18"/>
                <w:szCs w:val="18"/>
              </w:rPr>
              <w:t># Respondents</w:t>
            </w:r>
          </w:p>
        </w:tc>
        <w:tc>
          <w:tcPr>
            <w:tcW w:w="1067" w:type="dxa"/>
            <w:vAlign w:val="center"/>
          </w:tcPr>
          <w:p w:rsidRPr="0030554E" w:rsidR="0030554E" w:rsidP="00E52455" w:rsidRDefault="0030554E" w14:paraId="4449BBBB" w14:textId="77777777">
            <w:pPr>
              <w:pStyle w:val="Default"/>
              <w:jc w:val="center"/>
              <w:rPr>
                <w:rFonts w:ascii="Arial Narrow" w:hAnsi="Arial Narrow"/>
                <w:sz w:val="16"/>
                <w:szCs w:val="16"/>
              </w:rPr>
            </w:pPr>
            <w:r w:rsidRPr="0030554E">
              <w:rPr>
                <w:rFonts w:ascii="Arial Narrow" w:hAnsi="Arial Narrow"/>
                <w:sz w:val="16"/>
                <w:szCs w:val="16"/>
              </w:rPr>
              <w:t># Responses per Respondent (frequency)</w:t>
            </w:r>
          </w:p>
        </w:tc>
        <w:tc>
          <w:tcPr>
            <w:tcW w:w="1240" w:type="dxa"/>
            <w:vAlign w:val="center"/>
          </w:tcPr>
          <w:p w:rsidRPr="0030554E" w:rsidR="0030554E" w:rsidP="00E52455" w:rsidRDefault="0030554E" w14:paraId="5BB3CBB3" w14:textId="77777777">
            <w:pPr>
              <w:pStyle w:val="Default"/>
              <w:jc w:val="center"/>
              <w:rPr>
                <w:rFonts w:ascii="Arial Narrow" w:hAnsi="Arial Narrow"/>
                <w:sz w:val="18"/>
                <w:szCs w:val="18"/>
              </w:rPr>
            </w:pPr>
            <w:r w:rsidRPr="0030554E">
              <w:rPr>
                <w:rFonts w:ascii="Arial Narrow" w:hAnsi="Arial Narrow"/>
                <w:sz w:val="18"/>
                <w:szCs w:val="18"/>
              </w:rPr>
              <w:t>Annual # Responses</w:t>
            </w:r>
          </w:p>
        </w:tc>
        <w:tc>
          <w:tcPr>
            <w:tcW w:w="1091" w:type="dxa"/>
            <w:vAlign w:val="center"/>
          </w:tcPr>
          <w:p w:rsidRPr="0030554E" w:rsidR="0030554E" w:rsidP="00E52455" w:rsidRDefault="0030554E" w14:paraId="1B9A78E8" w14:textId="77777777">
            <w:pPr>
              <w:pStyle w:val="Default"/>
              <w:jc w:val="center"/>
              <w:rPr>
                <w:rFonts w:ascii="Arial Narrow" w:hAnsi="Arial Narrow"/>
                <w:sz w:val="18"/>
                <w:szCs w:val="18"/>
              </w:rPr>
            </w:pPr>
            <w:r w:rsidRPr="0030554E">
              <w:rPr>
                <w:rFonts w:ascii="Arial Narrow" w:hAnsi="Arial Narrow"/>
                <w:sz w:val="18"/>
                <w:szCs w:val="18"/>
              </w:rPr>
              <w:t>Hours per Response</w:t>
            </w:r>
          </w:p>
        </w:tc>
        <w:tc>
          <w:tcPr>
            <w:tcW w:w="1073" w:type="dxa"/>
            <w:vAlign w:val="center"/>
          </w:tcPr>
          <w:p w:rsidRPr="0030554E" w:rsidR="0030554E" w:rsidP="00E52455" w:rsidRDefault="0030554E" w14:paraId="101D1ED2" w14:textId="77777777">
            <w:pPr>
              <w:pStyle w:val="Default"/>
              <w:jc w:val="center"/>
              <w:rPr>
                <w:rFonts w:ascii="Arial Narrow" w:hAnsi="Arial Narrow"/>
                <w:sz w:val="18"/>
                <w:szCs w:val="18"/>
              </w:rPr>
            </w:pPr>
            <w:r w:rsidRPr="0030554E">
              <w:rPr>
                <w:rFonts w:ascii="Arial Narrow" w:hAnsi="Arial Narrow"/>
                <w:sz w:val="18"/>
                <w:szCs w:val="18"/>
              </w:rPr>
              <w:t>Total Annual Burden</w:t>
            </w:r>
          </w:p>
        </w:tc>
      </w:tr>
      <w:tr w:rsidR="0030554E" w:rsidTr="0030554E" w14:paraId="02A095BF" w14:textId="77777777">
        <w:tc>
          <w:tcPr>
            <w:tcW w:w="990" w:type="dxa"/>
          </w:tcPr>
          <w:p w:rsidRPr="0030554E" w:rsidR="0030554E" w:rsidP="0030554E" w:rsidRDefault="0030554E" w14:paraId="124F4A38" w14:textId="77777777">
            <w:pPr>
              <w:pStyle w:val="Default"/>
              <w:rPr>
                <w:sz w:val="20"/>
                <w:szCs w:val="20"/>
              </w:rPr>
            </w:pPr>
            <w:r w:rsidRPr="0030554E">
              <w:rPr>
                <w:sz w:val="20"/>
                <w:szCs w:val="20"/>
              </w:rPr>
              <w:t>723.4</w:t>
            </w:r>
          </w:p>
        </w:tc>
        <w:tc>
          <w:tcPr>
            <w:tcW w:w="3331" w:type="dxa"/>
          </w:tcPr>
          <w:p w:rsidRPr="00E52455" w:rsidR="0030554E" w:rsidP="0030554E" w:rsidRDefault="0030554E" w14:paraId="06DF1326" w14:textId="40588DA3">
            <w:pPr>
              <w:pStyle w:val="Default"/>
              <w:rPr>
                <w:sz w:val="20"/>
                <w:szCs w:val="20"/>
              </w:rPr>
            </w:pPr>
            <w:r w:rsidRPr="00E52455">
              <w:rPr>
                <w:sz w:val="20"/>
                <w:szCs w:val="20"/>
              </w:rPr>
              <w:t>Retain and maintain a comprehensive written commercial loan policy and procedures for commercial lending</w:t>
            </w:r>
            <w:r>
              <w:rPr>
                <w:sz w:val="20"/>
                <w:szCs w:val="20"/>
              </w:rPr>
              <w:t>.</w:t>
            </w:r>
          </w:p>
        </w:tc>
        <w:tc>
          <w:tcPr>
            <w:tcW w:w="989" w:type="dxa"/>
            <w:vAlign w:val="center"/>
          </w:tcPr>
          <w:p w:rsidRPr="0030554E" w:rsidR="0030554E" w:rsidP="0030554E" w:rsidRDefault="0030554E" w14:paraId="0AD59E08" w14:textId="01D24942">
            <w:pPr>
              <w:pStyle w:val="Default"/>
              <w:rPr>
                <w:sz w:val="20"/>
                <w:szCs w:val="20"/>
              </w:rPr>
            </w:pPr>
            <w:r w:rsidRPr="0030554E">
              <w:rPr>
                <w:sz w:val="20"/>
                <w:szCs w:val="20"/>
              </w:rPr>
              <w:t>Record keeping</w:t>
            </w:r>
          </w:p>
        </w:tc>
        <w:tc>
          <w:tcPr>
            <w:tcW w:w="1086" w:type="dxa"/>
          </w:tcPr>
          <w:p w:rsidRPr="009052E5" w:rsidR="0030554E" w:rsidP="0030554E" w:rsidRDefault="0030554E" w14:paraId="36EE5340" w14:textId="37C1F366">
            <w:pPr>
              <w:pStyle w:val="Default"/>
              <w:jc w:val="right"/>
              <w:rPr>
                <w:sz w:val="22"/>
                <w:szCs w:val="22"/>
              </w:rPr>
            </w:pPr>
            <w:r>
              <w:rPr>
                <w:sz w:val="22"/>
                <w:szCs w:val="22"/>
              </w:rPr>
              <w:t>1,828</w:t>
            </w:r>
          </w:p>
        </w:tc>
        <w:tc>
          <w:tcPr>
            <w:tcW w:w="1067" w:type="dxa"/>
          </w:tcPr>
          <w:p w:rsidRPr="009052E5" w:rsidR="0030554E" w:rsidP="0030554E" w:rsidRDefault="0030554E" w14:paraId="6FFC8BCC" w14:textId="77777777">
            <w:pPr>
              <w:pStyle w:val="Default"/>
              <w:jc w:val="right"/>
              <w:rPr>
                <w:sz w:val="22"/>
                <w:szCs w:val="22"/>
              </w:rPr>
            </w:pPr>
            <w:r>
              <w:rPr>
                <w:sz w:val="22"/>
                <w:szCs w:val="22"/>
              </w:rPr>
              <w:t>1</w:t>
            </w:r>
          </w:p>
        </w:tc>
        <w:tc>
          <w:tcPr>
            <w:tcW w:w="1240" w:type="dxa"/>
          </w:tcPr>
          <w:p w:rsidRPr="009052E5" w:rsidR="0030554E" w:rsidP="0030554E" w:rsidRDefault="0030554E" w14:paraId="468C113D" w14:textId="6D7E9636">
            <w:pPr>
              <w:pStyle w:val="Default"/>
              <w:jc w:val="right"/>
              <w:rPr>
                <w:sz w:val="22"/>
                <w:szCs w:val="22"/>
              </w:rPr>
            </w:pPr>
            <w:r>
              <w:rPr>
                <w:sz w:val="22"/>
                <w:szCs w:val="22"/>
              </w:rPr>
              <w:t>1,828</w:t>
            </w:r>
          </w:p>
        </w:tc>
        <w:tc>
          <w:tcPr>
            <w:tcW w:w="1091" w:type="dxa"/>
          </w:tcPr>
          <w:p w:rsidR="0030554E" w:rsidP="0030554E" w:rsidRDefault="0030554E" w14:paraId="067E1C04" w14:textId="77777777">
            <w:pPr>
              <w:pStyle w:val="Default"/>
              <w:jc w:val="right"/>
              <w:rPr>
                <w:sz w:val="22"/>
                <w:szCs w:val="22"/>
              </w:rPr>
            </w:pPr>
            <w:r>
              <w:rPr>
                <w:sz w:val="22"/>
                <w:szCs w:val="22"/>
              </w:rPr>
              <w:t>1</w:t>
            </w:r>
          </w:p>
        </w:tc>
        <w:tc>
          <w:tcPr>
            <w:tcW w:w="1073" w:type="dxa"/>
          </w:tcPr>
          <w:p w:rsidR="0030554E" w:rsidP="0030554E" w:rsidRDefault="0030554E" w14:paraId="2F058A8A" w14:textId="2772408B">
            <w:pPr>
              <w:pStyle w:val="Default"/>
              <w:jc w:val="right"/>
              <w:rPr>
                <w:sz w:val="22"/>
                <w:szCs w:val="22"/>
              </w:rPr>
            </w:pPr>
            <w:r>
              <w:rPr>
                <w:sz w:val="22"/>
                <w:szCs w:val="22"/>
              </w:rPr>
              <w:t>1,828</w:t>
            </w:r>
          </w:p>
        </w:tc>
      </w:tr>
      <w:tr w:rsidR="0030554E" w:rsidTr="0030554E" w14:paraId="072DF90F" w14:textId="77777777">
        <w:tc>
          <w:tcPr>
            <w:tcW w:w="990" w:type="dxa"/>
          </w:tcPr>
          <w:p w:rsidR="0030554E" w:rsidP="0030554E" w:rsidRDefault="0030554E" w14:paraId="3246E2E8" w14:textId="77777777">
            <w:pPr>
              <w:pStyle w:val="Default"/>
              <w:rPr>
                <w:sz w:val="20"/>
                <w:szCs w:val="20"/>
              </w:rPr>
            </w:pPr>
            <w:r w:rsidRPr="0030554E">
              <w:rPr>
                <w:sz w:val="20"/>
                <w:szCs w:val="20"/>
              </w:rPr>
              <w:t xml:space="preserve">723.5(a) </w:t>
            </w:r>
          </w:p>
          <w:p w:rsidRPr="0030554E" w:rsidR="0030554E" w:rsidP="0030554E" w:rsidRDefault="0030554E" w14:paraId="659D6A0B" w14:textId="648DE2E9">
            <w:pPr>
              <w:pStyle w:val="Default"/>
              <w:rPr>
                <w:sz w:val="20"/>
                <w:szCs w:val="20"/>
              </w:rPr>
            </w:pPr>
            <w:r w:rsidRPr="0030554E">
              <w:rPr>
                <w:sz w:val="20"/>
                <w:szCs w:val="20"/>
              </w:rPr>
              <w:t>&amp; (b)</w:t>
            </w:r>
          </w:p>
        </w:tc>
        <w:tc>
          <w:tcPr>
            <w:tcW w:w="3331" w:type="dxa"/>
          </w:tcPr>
          <w:p w:rsidRPr="00E52455" w:rsidR="0030554E" w:rsidP="0030554E" w:rsidRDefault="0030554E" w14:paraId="62FA27E6" w14:textId="77777777">
            <w:pPr>
              <w:pStyle w:val="Default"/>
              <w:rPr>
                <w:sz w:val="20"/>
                <w:szCs w:val="20"/>
              </w:rPr>
            </w:pPr>
            <w:r w:rsidRPr="00E52455">
              <w:rPr>
                <w:sz w:val="20"/>
                <w:szCs w:val="20"/>
              </w:rPr>
              <w:t>Document and risks associated with an unsecured loan and loans that do not require personal guarantee.</w:t>
            </w:r>
          </w:p>
        </w:tc>
        <w:tc>
          <w:tcPr>
            <w:tcW w:w="989" w:type="dxa"/>
            <w:vAlign w:val="center"/>
          </w:tcPr>
          <w:p w:rsidR="0030554E" w:rsidP="0030554E" w:rsidRDefault="0030554E" w14:paraId="1788CA57" w14:textId="6D13498D">
            <w:pPr>
              <w:pStyle w:val="Default"/>
              <w:rPr>
                <w:sz w:val="22"/>
                <w:szCs w:val="22"/>
              </w:rPr>
            </w:pPr>
            <w:r w:rsidRPr="0030554E">
              <w:rPr>
                <w:sz w:val="20"/>
                <w:szCs w:val="20"/>
              </w:rPr>
              <w:t>Record keeping</w:t>
            </w:r>
          </w:p>
        </w:tc>
        <w:tc>
          <w:tcPr>
            <w:tcW w:w="1086" w:type="dxa"/>
          </w:tcPr>
          <w:p w:rsidRPr="009052E5" w:rsidR="0030554E" w:rsidP="0030554E" w:rsidRDefault="0030554E" w14:paraId="31D995B8" w14:textId="356550DF">
            <w:pPr>
              <w:pStyle w:val="Default"/>
              <w:jc w:val="right"/>
              <w:rPr>
                <w:sz w:val="22"/>
                <w:szCs w:val="22"/>
              </w:rPr>
            </w:pPr>
            <w:r>
              <w:rPr>
                <w:sz w:val="22"/>
                <w:szCs w:val="22"/>
              </w:rPr>
              <w:t>1,828</w:t>
            </w:r>
          </w:p>
        </w:tc>
        <w:tc>
          <w:tcPr>
            <w:tcW w:w="1067" w:type="dxa"/>
          </w:tcPr>
          <w:p w:rsidRPr="009052E5" w:rsidR="0030554E" w:rsidP="0030554E" w:rsidRDefault="0030554E" w14:paraId="035194A8" w14:textId="77777777">
            <w:pPr>
              <w:pStyle w:val="Default"/>
              <w:jc w:val="right"/>
              <w:rPr>
                <w:sz w:val="22"/>
                <w:szCs w:val="22"/>
              </w:rPr>
            </w:pPr>
            <w:r>
              <w:rPr>
                <w:sz w:val="22"/>
                <w:szCs w:val="22"/>
              </w:rPr>
              <w:t>1</w:t>
            </w:r>
          </w:p>
        </w:tc>
        <w:tc>
          <w:tcPr>
            <w:tcW w:w="1240" w:type="dxa"/>
          </w:tcPr>
          <w:p w:rsidRPr="009052E5" w:rsidR="0030554E" w:rsidP="0030554E" w:rsidRDefault="0030554E" w14:paraId="6BC09837" w14:textId="67003209">
            <w:pPr>
              <w:pStyle w:val="Default"/>
              <w:jc w:val="right"/>
              <w:rPr>
                <w:sz w:val="22"/>
                <w:szCs w:val="22"/>
              </w:rPr>
            </w:pPr>
            <w:r>
              <w:rPr>
                <w:sz w:val="22"/>
                <w:szCs w:val="22"/>
              </w:rPr>
              <w:t>1,828</w:t>
            </w:r>
          </w:p>
        </w:tc>
        <w:tc>
          <w:tcPr>
            <w:tcW w:w="1091" w:type="dxa"/>
          </w:tcPr>
          <w:p w:rsidRPr="009052E5" w:rsidR="0030554E" w:rsidP="0030554E" w:rsidRDefault="0030554E" w14:paraId="569C761C" w14:textId="77777777">
            <w:pPr>
              <w:pStyle w:val="Default"/>
              <w:jc w:val="right"/>
              <w:rPr>
                <w:sz w:val="22"/>
                <w:szCs w:val="22"/>
              </w:rPr>
            </w:pPr>
            <w:r>
              <w:rPr>
                <w:sz w:val="22"/>
                <w:szCs w:val="22"/>
              </w:rPr>
              <w:t>.50</w:t>
            </w:r>
          </w:p>
        </w:tc>
        <w:tc>
          <w:tcPr>
            <w:tcW w:w="1073" w:type="dxa"/>
          </w:tcPr>
          <w:p w:rsidRPr="009052E5" w:rsidR="0030554E" w:rsidP="0030554E" w:rsidRDefault="0030554E" w14:paraId="4B6BF1F4" w14:textId="54E63D0A">
            <w:pPr>
              <w:pStyle w:val="Default"/>
              <w:jc w:val="right"/>
              <w:rPr>
                <w:sz w:val="22"/>
                <w:szCs w:val="22"/>
              </w:rPr>
            </w:pPr>
            <w:r>
              <w:rPr>
                <w:sz w:val="22"/>
                <w:szCs w:val="22"/>
              </w:rPr>
              <w:t>914</w:t>
            </w:r>
          </w:p>
        </w:tc>
      </w:tr>
      <w:tr w:rsidR="0030554E" w:rsidTr="0030554E" w14:paraId="22613178" w14:textId="77777777">
        <w:tc>
          <w:tcPr>
            <w:tcW w:w="990" w:type="dxa"/>
            <w:tcBorders>
              <w:bottom w:val="single" w:color="auto" w:sz="18" w:space="0"/>
            </w:tcBorders>
          </w:tcPr>
          <w:p w:rsidR="0030554E" w:rsidP="0030554E" w:rsidRDefault="0030554E" w14:paraId="759A195C" w14:textId="77777777">
            <w:pPr>
              <w:pStyle w:val="Default"/>
              <w:rPr>
                <w:sz w:val="20"/>
                <w:szCs w:val="20"/>
              </w:rPr>
            </w:pPr>
            <w:r w:rsidRPr="0030554E">
              <w:rPr>
                <w:sz w:val="20"/>
                <w:szCs w:val="20"/>
              </w:rPr>
              <w:t>723.6</w:t>
            </w:r>
          </w:p>
          <w:p w:rsidRPr="0030554E" w:rsidR="0030554E" w:rsidP="0030554E" w:rsidRDefault="0030554E" w14:paraId="09B858A5" w14:textId="491995F1">
            <w:pPr>
              <w:pStyle w:val="Default"/>
              <w:rPr>
                <w:sz w:val="20"/>
                <w:szCs w:val="20"/>
              </w:rPr>
            </w:pPr>
            <w:r w:rsidRPr="0030554E">
              <w:rPr>
                <w:sz w:val="20"/>
                <w:szCs w:val="20"/>
              </w:rPr>
              <w:t>(b)(1)</w:t>
            </w:r>
          </w:p>
        </w:tc>
        <w:tc>
          <w:tcPr>
            <w:tcW w:w="3331" w:type="dxa"/>
            <w:tcBorders>
              <w:bottom w:val="single" w:color="auto" w:sz="18" w:space="0"/>
            </w:tcBorders>
          </w:tcPr>
          <w:p w:rsidRPr="00E52455" w:rsidR="0030554E" w:rsidP="0030554E" w:rsidRDefault="0030554E" w14:paraId="002D5B28" w14:textId="77777777">
            <w:pPr>
              <w:pStyle w:val="Default"/>
              <w:rPr>
                <w:sz w:val="20"/>
                <w:szCs w:val="20"/>
              </w:rPr>
            </w:pPr>
            <w:r w:rsidRPr="00E52455">
              <w:rPr>
                <w:sz w:val="20"/>
                <w:szCs w:val="20"/>
              </w:rPr>
              <w:t>Costs necessary to complete a construction project must be documented in an approved construction budget.</w:t>
            </w:r>
          </w:p>
        </w:tc>
        <w:tc>
          <w:tcPr>
            <w:tcW w:w="989" w:type="dxa"/>
            <w:tcBorders>
              <w:bottom w:val="single" w:color="auto" w:sz="18" w:space="0"/>
            </w:tcBorders>
            <w:vAlign w:val="center"/>
          </w:tcPr>
          <w:p w:rsidR="0030554E" w:rsidP="0030554E" w:rsidRDefault="0030554E" w14:paraId="7211A508" w14:textId="49B4C10B">
            <w:pPr>
              <w:pStyle w:val="Default"/>
              <w:rPr>
                <w:sz w:val="22"/>
                <w:szCs w:val="22"/>
              </w:rPr>
            </w:pPr>
            <w:r w:rsidRPr="0030554E">
              <w:rPr>
                <w:sz w:val="20"/>
                <w:szCs w:val="20"/>
              </w:rPr>
              <w:t>Record keeping</w:t>
            </w:r>
          </w:p>
        </w:tc>
        <w:tc>
          <w:tcPr>
            <w:tcW w:w="1086" w:type="dxa"/>
            <w:tcBorders>
              <w:bottom w:val="single" w:color="auto" w:sz="18" w:space="0"/>
            </w:tcBorders>
          </w:tcPr>
          <w:p w:rsidRPr="009052E5" w:rsidR="0030554E" w:rsidP="0030554E" w:rsidRDefault="0030554E" w14:paraId="670EBD42" w14:textId="64FC164E">
            <w:pPr>
              <w:pStyle w:val="Default"/>
              <w:jc w:val="right"/>
              <w:rPr>
                <w:sz w:val="22"/>
                <w:szCs w:val="22"/>
              </w:rPr>
            </w:pPr>
            <w:r>
              <w:rPr>
                <w:sz w:val="22"/>
                <w:szCs w:val="22"/>
              </w:rPr>
              <w:t>1,828</w:t>
            </w:r>
          </w:p>
        </w:tc>
        <w:tc>
          <w:tcPr>
            <w:tcW w:w="1067" w:type="dxa"/>
            <w:tcBorders>
              <w:bottom w:val="single" w:color="auto" w:sz="18" w:space="0"/>
            </w:tcBorders>
          </w:tcPr>
          <w:p w:rsidRPr="009052E5" w:rsidR="0030554E" w:rsidP="0030554E" w:rsidRDefault="0030554E" w14:paraId="3B7F81DE" w14:textId="77777777">
            <w:pPr>
              <w:pStyle w:val="Default"/>
              <w:jc w:val="right"/>
              <w:rPr>
                <w:sz w:val="22"/>
                <w:szCs w:val="22"/>
              </w:rPr>
            </w:pPr>
            <w:r>
              <w:rPr>
                <w:sz w:val="22"/>
                <w:szCs w:val="22"/>
              </w:rPr>
              <w:t>1</w:t>
            </w:r>
          </w:p>
        </w:tc>
        <w:tc>
          <w:tcPr>
            <w:tcW w:w="1240" w:type="dxa"/>
            <w:tcBorders>
              <w:bottom w:val="single" w:color="auto" w:sz="18" w:space="0"/>
            </w:tcBorders>
          </w:tcPr>
          <w:p w:rsidRPr="009052E5" w:rsidR="0030554E" w:rsidP="0030554E" w:rsidRDefault="0030554E" w14:paraId="25A5F14D" w14:textId="60CDBF73">
            <w:pPr>
              <w:pStyle w:val="Default"/>
              <w:jc w:val="right"/>
              <w:rPr>
                <w:sz w:val="22"/>
                <w:szCs w:val="22"/>
              </w:rPr>
            </w:pPr>
            <w:r>
              <w:rPr>
                <w:sz w:val="22"/>
                <w:szCs w:val="22"/>
              </w:rPr>
              <w:t>1,828</w:t>
            </w:r>
          </w:p>
        </w:tc>
        <w:tc>
          <w:tcPr>
            <w:tcW w:w="1091" w:type="dxa"/>
            <w:tcBorders>
              <w:bottom w:val="single" w:color="auto" w:sz="18" w:space="0"/>
            </w:tcBorders>
          </w:tcPr>
          <w:p w:rsidRPr="009052E5" w:rsidR="0030554E" w:rsidP="0030554E" w:rsidRDefault="0030554E" w14:paraId="6A26CDAB" w14:textId="77777777">
            <w:pPr>
              <w:pStyle w:val="Default"/>
              <w:jc w:val="right"/>
              <w:rPr>
                <w:sz w:val="22"/>
                <w:szCs w:val="22"/>
              </w:rPr>
            </w:pPr>
            <w:r>
              <w:rPr>
                <w:sz w:val="22"/>
                <w:szCs w:val="22"/>
              </w:rPr>
              <w:t>.50</w:t>
            </w:r>
          </w:p>
        </w:tc>
        <w:tc>
          <w:tcPr>
            <w:tcW w:w="1073" w:type="dxa"/>
          </w:tcPr>
          <w:p w:rsidRPr="009052E5" w:rsidR="0030554E" w:rsidP="0030554E" w:rsidRDefault="0030554E" w14:paraId="6DAD09E3" w14:textId="027E6F10">
            <w:pPr>
              <w:pStyle w:val="Default"/>
              <w:jc w:val="right"/>
              <w:rPr>
                <w:sz w:val="22"/>
                <w:szCs w:val="22"/>
              </w:rPr>
            </w:pPr>
            <w:r>
              <w:rPr>
                <w:sz w:val="22"/>
                <w:szCs w:val="22"/>
              </w:rPr>
              <w:t>914</w:t>
            </w:r>
          </w:p>
        </w:tc>
      </w:tr>
      <w:tr w:rsidR="0030554E" w:rsidTr="0030554E" w14:paraId="355FCF46" w14:textId="77777777">
        <w:trPr>
          <w:trHeight w:val="395"/>
        </w:trPr>
        <w:tc>
          <w:tcPr>
            <w:tcW w:w="4321" w:type="dxa"/>
            <w:gridSpan w:val="2"/>
            <w:tcBorders>
              <w:top w:val="single" w:color="auto" w:sz="18" w:space="0"/>
            </w:tcBorders>
            <w:vAlign w:val="center"/>
          </w:tcPr>
          <w:p w:rsidRPr="009052E5" w:rsidR="0030554E" w:rsidP="0030554E" w:rsidRDefault="0030554E" w14:paraId="05B38092" w14:textId="77777777">
            <w:pPr>
              <w:pStyle w:val="Default"/>
              <w:jc w:val="right"/>
              <w:rPr>
                <w:sz w:val="22"/>
                <w:szCs w:val="22"/>
              </w:rPr>
            </w:pPr>
            <w:r>
              <w:rPr>
                <w:sz w:val="22"/>
                <w:szCs w:val="22"/>
              </w:rPr>
              <w:t>Total</w:t>
            </w:r>
          </w:p>
        </w:tc>
        <w:tc>
          <w:tcPr>
            <w:tcW w:w="989" w:type="dxa"/>
            <w:tcBorders>
              <w:top w:val="single" w:color="auto" w:sz="18" w:space="0"/>
            </w:tcBorders>
          </w:tcPr>
          <w:p w:rsidR="0030554E" w:rsidP="0030554E" w:rsidRDefault="0030554E" w14:paraId="3BED1E20" w14:textId="77777777">
            <w:pPr>
              <w:pStyle w:val="Default"/>
              <w:jc w:val="right"/>
              <w:rPr>
                <w:sz w:val="22"/>
                <w:szCs w:val="22"/>
              </w:rPr>
            </w:pPr>
          </w:p>
        </w:tc>
        <w:tc>
          <w:tcPr>
            <w:tcW w:w="1086" w:type="dxa"/>
            <w:tcBorders>
              <w:top w:val="single" w:color="auto" w:sz="18" w:space="0"/>
            </w:tcBorders>
            <w:vAlign w:val="center"/>
          </w:tcPr>
          <w:p w:rsidRPr="009052E5" w:rsidR="0030554E" w:rsidP="0030554E" w:rsidRDefault="0030554E" w14:paraId="52580873" w14:textId="30D463BA">
            <w:pPr>
              <w:pStyle w:val="Default"/>
              <w:jc w:val="right"/>
              <w:rPr>
                <w:sz w:val="22"/>
                <w:szCs w:val="22"/>
              </w:rPr>
            </w:pPr>
            <w:r>
              <w:rPr>
                <w:sz w:val="22"/>
                <w:szCs w:val="22"/>
              </w:rPr>
              <w:t>1,828</w:t>
            </w:r>
          </w:p>
        </w:tc>
        <w:tc>
          <w:tcPr>
            <w:tcW w:w="1067" w:type="dxa"/>
            <w:tcBorders>
              <w:top w:val="single" w:color="auto" w:sz="18" w:space="0"/>
            </w:tcBorders>
            <w:vAlign w:val="center"/>
          </w:tcPr>
          <w:p w:rsidRPr="009052E5" w:rsidR="0030554E" w:rsidP="0030554E" w:rsidRDefault="0030554E" w14:paraId="16491273" w14:textId="77777777">
            <w:pPr>
              <w:pStyle w:val="Default"/>
              <w:jc w:val="right"/>
              <w:rPr>
                <w:sz w:val="22"/>
                <w:szCs w:val="22"/>
              </w:rPr>
            </w:pPr>
            <w:r>
              <w:rPr>
                <w:sz w:val="22"/>
                <w:szCs w:val="22"/>
              </w:rPr>
              <w:t>1</w:t>
            </w:r>
          </w:p>
        </w:tc>
        <w:tc>
          <w:tcPr>
            <w:tcW w:w="1240" w:type="dxa"/>
            <w:tcBorders>
              <w:top w:val="single" w:color="auto" w:sz="18" w:space="0"/>
            </w:tcBorders>
            <w:vAlign w:val="center"/>
          </w:tcPr>
          <w:p w:rsidRPr="009052E5" w:rsidR="0030554E" w:rsidP="0030554E" w:rsidRDefault="0030554E" w14:paraId="0C55841F" w14:textId="79C97E79">
            <w:pPr>
              <w:pStyle w:val="Default"/>
              <w:jc w:val="right"/>
              <w:rPr>
                <w:sz w:val="22"/>
                <w:szCs w:val="22"/>
              </w:rPr>
            </w:pPr>
            <w:r>
              <w:rPr>
                <w:sz w:val="22"/>
                <w:szCs w:val="22"/>
              </w:rPr>
              <w:t>1,828</w:t>
            </w:r>
          </w:p>
        </w:tc>
        <w:tc>
          <w:tcPr>
            <w:tcW w:w="1091" w:type="dxa"/>
            <w:tcBorders>
              <w:top w:val="single" w:color="auto" w:sz="18" w:space="0"/>
            </w:tcBorders>
            <w:vAlign w:val="center"/>
          </w:tcPr>
          <w:p w:rsidRPr="009052E5" w:rsidR="0030554E" w:rsidP="0030554E" w:rsidRDefault="0030554E" w14:paraId="47BA5188" w14:textId="1197037C">
            <w:pPr>
              <w:pStyle w:val="Default"/>
              <w:jc w:val="right"/>
              <w:rPr>
                <w:sz w:val="22"/>
                <w:szCs w:val="22"/>
              </w:rPr>
            </w:pPr>
            <w:r>
              <w:rPr>
                <w:sz w:val="22"/>
                <w:szCs w:val="22"/>
              </w:rPr>
              <w:t>2</w:t>
            </w:r>
          </w:p>
        </w:tc>
        <w:tc>
          <w:tcPr>
            <w:tcW w:w="1073" w:type="dxa"/>
            <w:tcBorders>
              <w:top w:val="single" w:color="auto" w:sz="18" w:space="0"/>
            </w:tcBorders>
            <w:vAlign w:val="center"/>
          </w:tcPr>
          <w:p w:rsidRPr="009052E5" w:rsidR="0030554E" w:rsidP="0030554E" w:rsidRDefault="0030554E" w14:paraId="51D6B80E" w14:textId="3CE45EF6">
            <w:pPr>
              <w:pStyle w:val="Default"/>
              <w:jc w:val="right"/>
              <w:rPr>
                <w:sz w:val="22"/>
                <w:szCs w:val="22"/>
              </w:rPr>
            </w:pPr>
            <w:r>
              <w:rPr>
                <w:sz w:val="22"/>
                <w:szCs w:val="22"/>
              </w:rPr>
              <w:t>3,656</w:t>
            </w:r>
          </w:p>
        </w:tc>
      </w:tr>
    </w:tbl>
    <w:p w:rsidR="00E52455" w:rsidP="00030C66" w:rsidRDefault="00E52455" w14:paraId="379F7045" w14:textId="3AB7909B">
      <w:pPr>
        <w:spacing w:after="0" w:line="240" w:lineRule="auto"/>
      </w:pPr>
      <w:r w:rsidRPr="00F332EE">
        <w:rPr>
          <w:rFonts w:ascii="Times New Roman" w:hAnsi="Times New Roman" w:cs="Times New Roman"/>
          <w:sz w:val="24"/>
          <w:szCs w:val="24"/>
        </w:rPr>
        <w:t>Based on the labor rate of $35 per hour, the total cost to respondents is $</w:t>
      </w:r>
      <w:r w:rsidR="0030554E">
        <w:rPr>
          <w:rFonts w:ascii="Times New Roman" w:hAnsi="Times New Roman" w:cs="Times New Roman"/>
          <w:sz w:val="24"/>
          <w:szCs w:val="24"/>
        </w:rPr>
        <w:t>12</w:t>
      </w:r>
      <w:r>
        <w:rPr>
          <w:rFonts w:ascii="Times New Roman" w:hAnsi="Times New Roman" w:cs="Times New Roman"/>
          <w:sz w:val="24"/>
          <w:szCs w:val="24"/>
        </w:rPr>
        <w:t>7,</w:t>
      </w:r>
      <w:r w:rsidR="0030554E">
        <w:rPr>
          <w:rFonts w:ascii="Times New Roman" w:hAnsi="Times New Roman" w:cs="Times New Roman"/>
          <w:sz w:val="24"/>
          <w:szCs w:val="24"/>
        </w:rPr>
        <w:t>96</w:t>
      </w:r>
      <w:r>
        <w:rPr>
          <w:rFonts w:ascii="Times New Roman" w:hAnsi="Times New Roman" w:cs="Times New Roman"/>
          <w:sz w:val="24"/>
          <w:szCs w:val="24"/>
        </w:rPr>
        <w:t>0</w:t>
      </w:r>
      <w:r w:rsidR="003F5CFF">
        <w:t>.</w:t>
      </w:r>
    </w:p>
    <w:p w:rsidRPr="0077306C" w:rsidR="00E52455" w:rsidP="00E52455" w:rsidRDefault="00E52455" w14:paraId="7AA2D79C" w14:textId="77777777">
      <w:pPr>
        <w:pStyle w:val="Default"/>
      </w:pPr>
    </w:p>
    <w:p w:rsidRPr="0077306C" w:rsidR="0077306C" w:rsidP="0030554E" w:rsidRDefault="005E6A86" w14:paraId="3D41E343" w14:textId="77777777">
      <w:pPr>
        <w:pStyle w:val="Default"/>
        <w:tabs>
          <w:tab w:val="left" w:pos="720"/>
        </w:tabs>
        <w:ind w:left="720" w:hanging="720"/>
      </w:pPr>
      <w:r>
        <w:rPr>
          <w:b/>
          <w:bCs/>
        </w:rPr>
        <w:t>13.</w:t>
      </w:r>
      <w:r>
        <w:rPr>
          <w:b/>
          <w:bCs/>
        </w:rPr>
        <w:tab/>
      </w:r>
      <w:r w:rsidR="00F332EE">
        <w:rPr>
          <w:b/>
          <w:bCs/>
        </w:rPr>
        <w:t>Capital start-up and on-going operation and maintenance c</w:t>
      </w:r>
      <w:r w:rsidRPr="0077306C" w:rsidR="0077306C">
        <w:rPr>
          <w:b/>
          <w:bCs/>
        </w:rPr>
        <w:t>ost</w:t>
      </w:r>
      <w:r w:rsidR="00F332EE">
        <w:rPr>
          <w:b/>
          <w:bCs/>
        </w:rPr>
        <w:t>.</w:t>
      </w:r>
      <w:r w:rsidRPr="0077306C" w:rsidR="0077306C">
        <w:rPr>
          <w:b/>
          <w:bCs/>
        </w:rPr>
        <w:t xml:space="preserve"> </w:t>
      </w:r>
    </w:p>
    <w:p w:rsidR="005E6A86" w:rsidP="0030554E" w:rsidRDefault="005E6A86" w14:paraId="70360069" w14:textId="77777777">
      <w:pPr>
        <w:pStyle w:val="Default"/>
        <w:tabs>
          <w:tab w:val="left" w:pos="720"/>
        </w:tabs>
        <w:ind w:left="720" w:hanging="720"/>
      </w:pPr>
    </w:p>
    <w:p w:rsidRPr="0077306C" w:rsidR="0077306C" w:rsidP="0030554E" w:rsidRDefault="00E52455" w14:paraId="62BAA6D7" w14:textId="218F4048">
      <w:pPr>
        <w:tabs>
          <w:tab w:val="left" w:pos="720"/>
        </w:tabs>
        <w:spacing w:after="0" w:line="240" w:lineRule="auto"/>
        <w:ind w:left="720"/>
        <w:rPr>
          <w:rFonts w:ascii="Times New Roman" w:hAnsi="Times New Roman" w:cs="Times New Roman"/>
          <w:sz w:val="24"/>
          <w:szCs w:val="24"/>
        </w:rPr>
      </w:pPr>
      <w:r w:rsidRPr="00E52455">
        <w:rPr>
          <w:rFonts w:ascii="Times New Roman" w:hAnsi="Times New Roman" w:cs="Times New Roman"/>
          <w:sz w:val="24"/>
          <w:szCs w:val="24"/>
        </w:rPr>
        <w:t>There are no capital start-up or maintenance costs.</w:t>
      </w:r>
    </w:p>
    <w:p w:rsidRPr="00E52455" w:rsidR="005E6A86" w:rsidP="0030554E" w:rsidRDefault="005E6A86" w14:paraId="2D9F791F" w14:textId="77777777">
      <w:pPr>
        <w:pStyle w:val="Default"/>
        <w:tabs>
          <w:tab w:val="left" w:pos="720"/>
        </w:tabs>
        <w:ind w:left="720" w:hanging="720"/>
        <w:rPr>
          <w:bCs/>
        </w:rPr>
      </w:pPr>
    </w:p>
    <w:p w:rsidRPr="0077306C" w:rsidR="0077306C" w:rsidP="0030554E" w:rsidRDefault="005E6A86" w14:paraId="59F66D22" w14:textId="77777777">
      <w:pPr>
        <w:pStyle w:val="Default"/>
        <w:tabs>
          <w:tab w:val="left" w:pos="720"/>
        </w:tabs>
        <w:ind w:left="720" w:hanging="720"/>
      </w:pPr>
      <w:r>
        <w:rPr>
          <w:b/>
          <w:bCs/>
        </w:rPr>
        <w:t>14.</w:t>
      </w:r>
      <w:r>
        <w:rPr>
          <w:b/>
          <w:bCs/>
        </w:rPr>
        <w:tab/>
      </w:r>
      <w:r w:rsidR="00F332EE">
        <w:rPr>
          <w:b/>
          <w:bCs/>
        </w:rPr>
        <w:t>Annualized costs to federal g</w:t>
      </w:r>
      <w:r w:rsidRPr="0077306C" w:rsidR="0077306C">
        <w:rPr>
          <w:b/>
          <w:bCs/>
        </w:rPr>
        <w:t>overnment</w:t>
      </w:r>
      <w:r w:rsidR="00F332EE">
        <w:rPr>
          <w:b/>
          <w:bCs/>
        </w:rPr>
        <w:t>.</w:t>
      </w:r>
      <w:r w:rsidRPr="0077306C" w:rsidR="0077306C">
        <w:rPr>
          <w:b/>
          <w:bCs/>
        </w:rPr>
        <w:t xml:space="preserve"> </w:t>
      </w:r>
    </w:p>
    <w:p w:rsidRPr="0077306C" w:rsidR="0077306C" w:rsidP="00B13E79" w:rsidRDefault="0077306C" w14:paraId="0C8F7011" w14:textId="77777777">
      <w:pPr>
        <w:pStyle w:val="Default"/>
        <w:tabs>
          <w:tab w:val="left" w:pos="720"/>
        </w:tabs>
        <w:ind w:left="720" w:hanging="720"/>
      </w:pPr>
    </w:p>
    <w:p w:rsidRPr="0077306C" w:rsidR="0077306C" w:rsidP="00B13E79" w:rsidRDefault="00E52455" w14:paraId="75CB0215" w14:textId="0FA1DCF5">
      <w:pPr>
        <w:suppressAutoHyphens/>
        <w:spacing w:after="0" w:line="240" w:lineRule="auto"/>
        <w:ind w:left="720"/>
        <w:rPr>
          <w:rFonts w:ascii="Times New Roman" w:hAnsi="Times New Roman" w:cs="Times New Roman"/>
          <w:sz w:val="24"/>
          <w:szCs w:val="24"/>
        </w:rPr>
      </w:pPr>
      <w:r w:rsidRPr="00E52455">
        <w:rPr>
          <w:rFonts w:ascii="Times New Roman" w:hAnsi="Times New Roman" w:cs="Times New Roman"/>
          <w:sz w:val="24"/>
          <w:szCs w:val="24"/>
        </w:rPr>
        <w:t xml:space="preserve">This is a recordkeeping requirement; therefore, there is no cost to the Federal government. </w:t>
      </w:r>
    </w:p>
    <w:p w:rsidRPr="00E52455" w:rsidR="005E6A86" w:rsidP="00B13E79" w:rsidRDefault="005E6A86" w14:paraId="081BCB88" w14:textId="77777777">
      <w:pPr>
        <w:pStyle w:val="Default"/>
        <w:tabs>
          <w:tab w:val="left" w:pos="720"/>
        </w:tabs>
        <w:ind w:left="720" w:hanging="720"/>
        <w:rPr>
          <w:bCs/>
        </w:rPr>
      </w:pPr>
    </w:p>
    <w:p w:rsidR="00B13E79" w:rsidRDefault="00B13E79" w14:paraId="68CED6B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F332EE" w:rsidR="00F332EE" w:rsidP="00B13E79" w:rsidRDefault="00F332EE" w14:paraId="2D5BC319" w14:textId="22852450">
      <w:pPr>
        <w:spacing w:after="0" w:line="240" w:lineRule="auto"/>
        <w:rPr>
          <w:rFonts w:ascii="Times New Roman" w:hAnsi="Times New Roman" w:cs="Times New Roman"/>
          <w:b/>
          <w:sz w:val="24"/>
          <w:szCs w:val="24"/>
        </w:rPr>
      </w:pPr>
      <w:r w:rsidRPr="00F332EE">
        <w:rPr>
          <w:rFonts w:ascii="Times New Roman" w:hAnsi="Times New Roman" w:cs="Times New Roman"/>
          <w:b/>
          <w:sz w:val="24"/>
          <w:szCs w:val="24"/>
        </w:rPr>
        <w:lastRenderedPageBreak/>
        <w:t>15.</w:t>
      </w:r>
      <w:r w:rsidRPr="00F332EE">
        <w:rPr>
          <w:rFonts w:ascii="Times New Roman" w:hAnsi="Times New Roman" w:cs="Times New Roman"/>
          <w:b/>
          <w:sz w:val="24"/>
          <w:szCs w:val="24"/>
        </w:rPr>
        <w:tab/>
        <w:t>Changes in burden.</w:t>
      </w:r>
    </w:p>
    <w:p w:rsidRPr="0077306C" w:rsidR="0077306C" w:rsidP="00F332EE" w:rsidRDefault="0077306C" w14:paraId="6B0FC58C" w14:textId="77777777">
      <w:pPr>
        <w:pStyle w:val="Default"/>
        <w:tabs>
          <w:tab w:val="left" w:pos="720"/>
        </w:tabs>
        <w:ind w:left="720" w:hanging="720"/>
      </w:pPr>
    </w:p>
    <w:p w:rsidRPr="0077306C" w:rsidR="0077306C" w:rsidP="00354727" w:rsidRDefault="005E6A86" w14:paraId="571A8A30" w14:textId="31155FF6">
      <w:pPr>
        <w:pStyle w:val="Default"/>
        <w:tabs>
          <w:tab w:val="left" w:pos="720"/>
        </w:tabs>
        <w:ind w:left="720" w:hanging="720"/>
      </w:pPr>
      <w:r>
        <w:tab/>
      </w:r>
      <w:r w:rsidR="00F22D95">
        <w:t xml:space="preserve">Adjustments have been made </w:t>
      </w:r>
      <w:r w:rsidR="00625780">
        <w:t xml:space="preserve">to (1) amend </w:t>
      </w:r>
      <w:r w:rsidR="00F22D95">
        <w:t xml:space="preserve">previously reported burden to only reflect burden associated with the </w:t>
      </w:r>
      <w:r w:rsidR="00625780">
        <w:t xml:space="preserve">requirements under </w:t>
      </w:r>
      <w:r w:rsidR="00F22D95">
        <w:t xml:space="preserve">PRA.  </w:t>
      </w:r>
      <w:r w:rsidR="00625780">
        <w:t xml:space="preserve">The regulatory burden previous included </w:t>
      </w:r>
      <w:r w:rsidR="00C21E98">
        <w:t xml:space="preserve">in these totals </w:t>
      </w:r>
      <w:r w:rsidR="00625780">
        <w:t>has been removed</w:t>
      </w:r>
      <w:r w:rsidR="00F22D95">
        <w:t xml:space="preserve">.  </w:t>
      </w:r>
      <w:r w:rsidR="00354727">
        <w:t>(2) A credit risk rating system is a requirement of the commercial lending policy and procedures and has been removed as a separate information collection.</w:t>
      </w:r>
      <w:r w:rsidR="00625780">
        <w:t xml:space="preserve"> (3) The requirement to document collate</w:t>
      </w:r>
      <w:r w:rsidR="00354727">
        <w:t>ral and construction budgets had previously been omitted, has</w:t>
      </w:r>
      <w:r w:rsidR="00625780">
        <w:t xml:space="preserve"> been added.</w:t>
      </w:r>
      <w:r w:rsidRPr="0077306C" w:rsidR="0077306C">
        <w:t xml:space="preserve"> </w:t>
      </w:r>
      <w:r w:rsidR="00C21E98">
        <w:t>These adjustments reduce the burden by 43,588 hours, for a total of 3,</w:t>
      </w:r>
      <w:r w:rsidR="0030554E">
        <w:t>656</w:t>
      </w:r>
      <w:r w:rsidR="00C21E98">
        <w:t xml:space="preserve"> burden hours requested.</w:t>
      </w:r>
    </w:p>
    <w:p w:rsidR="005E6A86" w:rsidP="00F332EE" w:rsidRDefault="005E6A86" w14:paraId="3DF085E6" w14:textId="77777777">
      <w:pPr>
        <w:pStyle w:val="Default"/>
        <w:ind w:left="720" w:hanging="720"/>
        <w:rPr>
          <w:b/>
          <w:bCs/>
        </w:rPr>
      </w:pPr>
    </w:p>
    <w:p w:rsidRPr="00F332EE" w:rsidR="00F332EE" w:rsidP="00F332EE" w:rsidRDefault="00F332EE" w14:paraId="4F4D8EC3" w14:textId="77777777">
      <w:pPr>
        <w:spacing w:after="0" w:line="240" w:lineRule="auto"/>
        <w:rPr>
          <w:rFonts w:ascii="Times New Roman" w:hAnsi="Times New Roman" w:cs="Times New Roman"/>
          <w:b/>
          <w:sz w:val="24"/>
          <w:szCs w:val="24"/>
        </w:rPr>
      </w:pPr>
      <w:r w:rsidRPr="00F332EE">
        <w:rPr>
          <w:rFonts w:ascii="Times New Roman" w:hAnsi="Times New Roman" w:cs="Times New Roman"/>
          <w:b/>
          <w:sz w:val="24"/>
          <w:szCs w:val="24"/>
        </w:rPr>
        <w:t>16.</w:t>
      </w:r>
      <w:r w:rsidRPr="00F332EE">
        <w:rPr>
          <w:rFonts w:ascii="Times New Roman" w:hAnsi="Times New Roman" w:cs="Times New Roman"/>
          <w:b/>
          <w:sz w:val="24"/>
          <w:szCs w:val="24"/>
        </w:rPr>
        <w:tab/>
        <w:t>Information collection planned for statistical purposes.</w:t>
      </w:r>
    </w:p>
    <w:p w:rsidRPr="0077306C" w:rsidR="0077306C" w:rsidP="00F332EE" w:rsidRDefault="0077306C" w14:paraId="30F83FD2" w14:textId="77777777">
      <w:pPr>
        <w:pStyle w:val="Default"/>
        <w:ind w:left="720" w:hanging="720"/>
      </w:pPr>
    </w:p>
    <w:p w:rsidRPr="0077306C" w:rsidR="0077306C" w:rsidP="00F332EE" w:rsidRDefault="005E6A86" w14:paraId="3EB53A86" w14:textId="77777777">
      <w:pPr>
        <w:pStyle w:val="Default"/>
        <w:ind w:left="720" w:hanging="720"/>
      </w:pPr>
      <w:r>
        <w:tab/>
      </w:r>
      <w:r w:rsidRPr="0077306C" w:rsidR="0077306C">
        <w:t xml:space="preserve">The information collection is not used for statistical purposes. </w:t>
      </w:r>
    </w:p>
    <w:p w:rsidR="005E6A86" w:rsidP="00F332EE" w:rsidRDefault="005E6A86" w14:paraId="4992FB59" w14:textId="77777777">
      <w:pPr>
        <w:pStyle w:val="Default"/>
        <w:ind w:left="720" w:hanging="720"/>
        <w:rPr>
          <w:b/>
          <w:bCs/>
        </w:rPr>
      </w:pPr>
      <w:bookmarkStart w:name="_GoBack" w:id="0"/>
      <w:bookmarkEnd w:id="0"/>
    </w:p>
    <w:p w:rsidRPr="00F332EE" w:rsidR="00F332EE" w:rsidP="00F332EE" w:rsidRDefault="00F332EE" w14:paraId="26C168EA" w14:textId="77777777">
      <w:pPr>
        <w:spacing w:after="0" w:line="240" w:lineRule="auto"/>
        <w:rPr>
          <w:rFonts w:ascii="Times New Roman" w:hAnsi="Times New Roman" w:cs="Times New Roman"/>
          <w:b/>
          <w:sz w:val="24"/>
          <w:szCs w:val="24"/>
        </w:rPr>
      </w:pPr>
      <w:r w:rsidRPr="00F332EE">
        <w:rPr>
          <w:rFonts w:ascii="Times New Roman" w:hAnsi="Times New Roman" w:cs="Times New Roman"/>
          <w:b/>
          <w:sz w:val="24"/>
          <w:szCs w:val="24"/>
        </w:rPr>
        <w:t>17.</w:t>
      </w:r>
      <w:r w:rsidRPr="00F332EE">
        <w:rPr>
          <w:rFonts w:ascii="Times New Roman" w:hAnsi="Times New Roman" w:cs="Times New Roman"/>
          <w:b/>
          <w:sz w:val="24"/>
          <w:szCs w:val="24"/>
        </w:rPr>
        <w:tab/>
        <w:t>Request non-display the expiration date of the OMB control number.</w:t>
      </w:r>
    </w:p>
    <w:p w:rsidR="00F332EE" w:rsidP="00F332EE" w:rsidRDefault="00F332EE" w14:paraId="64818834" w14:textId="77777777">
      <w:pPr>
        <w:pStyle w:val="Default"/>
        <w:ind w:left="720" w:hanging="720"/>
      </w:pPr>
    </w:p>
    <w:p w:rsidRPr="0077306C" w:rsidR="0077306C" w:rsidP="00F332EE" w:rsidRDefault="005E6A86" w14:paraId="585331D1" w14:textId="19BCCAC6">
      <w:pPr>
        <w:pStyle w:val="Default"/>
        <w:ind w:left="720" w:hanging="720"/>
      </w:pPr>
      <w:r>
        <w:tab/>
      </w:r>
      <w:r w:rsidR="00030C66">
        <w:t xml:space="preserve">There are no traditional forms associated with this information collection requirement.  </w:t>
      </w:r>
      <w:r w:rsidRPr="0077306C" w:rsidR="0077306C">
        <w:t xml:space="preserve">The OMB control number and expiration date associated with this PRA submission </w:t>
      </w:r>
      <w:r w:rsidR="00030C66">
        <w:t>is</w:t>
      </w:r>
      <w:r w:rsidRPr="0077306C" w:rsidR="00030C66">
        <w:t xml:space="preserve"> </w:t>
      </w:r>
      <w:r w:rsidRPr="0077306C" w:rsidR="0077306C">
        <w:t xml:space="preserve">displayed on the Federal government’s electronic PRA docket </w:t>
      </w:r>
      <w:r w:rsidR="00030C66">
        <w:t xml:space="preserve">website </w:t>
      </w:r>
      <w:r w:rsidRPr="0077306C" w:rsidR="0077306C">
        <w:t xml:space="preserve">at </w:t>
      </w:r>
      <w:hyperlink w:history="1" r:id="rId7">
        <w:r w:rsidRPr="00055E35" w:rsidR="0030554E">
          <w:rPr>
            <w:rStyle w:val="Hyperlink"/>
          </w:rPr>
          <w:t>www.reginfo.gov</w:t>
        </w:r>
      </w:hyperlink>
      <w:r w:rsidR="0030554E">
        <w:t xml:space="preserve">. </w:t>
      </w:r>
      <w:r w:rsidRPr="0077306C" w:rsidR="0077306C">
        <w:t xml:space="preserve"> </w:t>
      </w:r>
    </w:p>
    <w:p w:rsidRPr="00F332EE" w:rsidR="005E6A86" w:rsidP="00F332EE" w:rsidRDefault="005E6A86" w14:paraId="0AAB1398" w14:textId="77777777">
      <w:pPr>
        <w:pStyle w:val="Default"/>
        <w:ind w:left="720" w:hanging="720"/>
        <w:rPr>
          <w:b/>
          <w:bCs/>
        </w:rPr>
      </w:pPr>
    </w:p>
    <w:p w:rsidRPr="00F332EE" w:rsidR="00F332EE" w:rsidP="00F332EE" w:rsidRDefault="00F332EE" w14:paraId="601B5A93" w14:textId="77777777">
      <w:pPr>
        <w:spacing w:after="0" w:line="240" w:lineRule="auto"/>
        <w:rPr>
          <w:rFonts w:ascii="Times New Roman" w:hAnsi="Times New Roman" w:cs="Times New Roman"/>
          <w:b/>
          <w:sz w:val="24"/>
          <w:szCs w:val="24"/>
        </w:rPr>
      </w:pPr>
      <w:r w:rsidRPr="00F332EE">
        <w:rPr>
          <w:rFonts w:ascii="Times New Roman" w:hAnsi="Times New Roman" w:cs="Times New Roman"/>
          <w:b/>
          <w:sz w:val="24"/>
          <w:szCs w:val="24"/>
        </w:rPr>
        <w:t>18.</w:t>
      </w:r>
      <w:r w:rsidRPr="00F332EE">
        <w:rPr>
          <w:rFonts w:ascii="Times New Roman" w:hAnsi="Times New Roman" w:cs="Times New Roman"/>
          <w:b/>
          <w:sz w:val="24"/>
          <w:szCs w:val="24"/>
        </w:rPr>
        <w:tab/>
        <w:t>Exceptions to the Certification for Paperwork Reduction Act Submission.</w:t>
      </w:r>
    </w:p>
    <w:p w:rsidRPr="0077306C" w:rsidR="0077306C" w:rsidP="00F332EE" w:rsidRDefault="0077306C" w14:paraId="12BC5552" w14:textId="77777777">
      <w:pPr>
        <w:pStyle w:val="Default"/>
        <w:ind w:left="720" w:hanging="720"/>
      </w:pPr>
    </w:p>
    <w:p w:rsidRPr="0077306C" w:rsidR="0077306C" w:rsidP="005E6A86" w:rsidRDefault="00030C66" w14:paraId="5E21F0C6" w14:textId="0DC4EECE">
      <w:pPr>
        <w:pStyle w:val="Default"/>
        <w:ind w:left="720"/>
      </w:pPr>
      <w:r>
        <w:t xml:space="preserve">There are no exceptions to the certification statement. </w:t>
      </w:r>
    </w:p>
    <w:p w:rsidR="005E6A86" w:rsidP="005E6A86" w:rsidRDefault="005E6A86" w14:paraId="571EBF6F" w14:textId="77777777">
      <w:pPr>
        <w:pStyle w:val="Default"/>
        <w:rPr>
          <w:b/>
          <w:bCs/>
        </w:rPr>
      </w:pPr>
    </w:p>
    <w:p w:rsidR="00F332EE" w:rsidP="005E6A86" w:rsidRDefault="00F332EE" w14:paraId="719A1171" w14:textId="77777777">
      <w:pPr>
        <w:pStyle w:val="Default"/>
        <w:rPr>
          <w:b/>
          <w:bCs/>
        </w:rPr>
      </w:pPr>
    </w:p>
    <w:p w:rsidR="005E6A86" w:rsidP="005E6A86" w:rsidRDefault="005E6A86" w14:paraId="3E9C1A9B" w14:textId="77777777">
      <w:pPr>
        <w:pStyle w:val="Default"/>
        <w:rPr>
          <w:b/>
          <w:bCs/>
        </w:rPr>
      </w:pPr>
    </w:p>
    <w:p w:rsidRPr="001E564B" w:rsidR="00F332EE" w:rsidP="00F332EE" w:rsidRDefault="00F332EE" w14:paraId="05B57E36" w14:textId="77777777">
      <w:pPr>
        <w:pStyle w:val="ListParagraph"/>
        <w:numPr>
          <w:ilvl w:val="0"/>
          <w:numId w:val="8"/>
        </w:numPr>
        <w:suppressAutoHyphens/>
        <w:ind w:left="720" w:hanging="720"/>
        <w:rPr>
          <w:b/>
          <w:caps/>
        </w:rPr>
      </w:pPr>
      <w:r w:rsidRPr="004C0136">
        <w:rPr>
          <w:b/>
          <w:caps/>
        </w:rPr>
        <w:t>Collections of Information Employing Statistical Methods</w:t>
      </w:r>
    </w:p>
    <w:p w:rsidR="005E6A86" w:rsidP="00F332EE" w:rsidRDefault="005E6A86" w14:paraId="0097164E" w14:textId="77777777">
      <w:pPr>
        <w:spacing w:after="0" w:line="240" w:lineRule="auto"/>
        <w:rPr>
          <w:rFonts w:ascii="Times New Roman" w:hAnsi="Times New Roman" w:cs="Times New Roman"/>
          <w:sz w:val="24"/>
          <w:szCs w:val="24"/>
        </w:rPr>
      </w:pPr>
    </w:p>
    <w:p w:rsidRPr="0077306C" w:rsidR="0077306C" w:rsidP="00F332EE" w:rsidRDefault="0077306C" w14:paraId="3F3F54D9" w14:textId="77777777">
      <w:pPr>
        <w:spacing w:after="0" w:line="240" w:lineRule="auto"/>
        <w:rPr>
          <w:rFonts w:ascii="Times New Roman" w:hAnsi="Times New Roman" w:cs="Times New Roman"/>
          <w:sz w:val="24"/>
          <w:szCs w:val="24"/>
        </w:rPr>
      </w:pPr>
      <w:r w:rsidRPr="0077306C">
        <w:rPr>
          <w:rFonts w:ascii="Times New Roman" w:hAnsi="Times New Roman" w:cs="Times New Roman"/>
          <w:sz w:val="24"/>
          <w:szCs w:val="24"/>
        </w:rPr>
        <w:t>This collection does not employ statistical methods.</w:t>
      </w:r>
    </w:p>
    <w:sectPr w:rsidRPr="0077306C" w:rsidR="007730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71C68" w14:textId="77777777" w:rsidR="0077306C" w:rsidRDefault="0077306C" w:rsidP="0077306C">
      <w:pPr>
        <w:spacing w:after="0" w:line="240" w:lineRule="auto"/>
      </w:pPr>
      <w:r>
        <w:separator/>
      </w:r>
    </w:p>
  </w:endnote>
  <w:endnote w:type="continuationSeparator" w:id="0">
    <w:p w14:paraId="764B9F89" w14:textId="77777777" w:rsidR="0077306C" w:rsidRDefault="0077306C" w:rsidP="0077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6101856"/>
      <w:docPartObj>
        <w:docPartGallery w:val="Page Numbers (Bottom of Page)"/>
        <w:docPartUnique/>
      </w:docPartObj>
    </w:sdtPr>
    <w:sdtEndPr>
      <w:rPr>
        <w:noProof/>
      </w:rPr>
    </w:sdtEndPr>
    <w:sdtContent>
      <w:p w14:paraId="477D8095" w14:textId="7143E871" w:rsidR="0077306C" w:rsidRPr="0077306C" w:rsidRDefault="0077306C" w:rsidP="0077306C">
        <w:pPr>
          <w:pStyle w:val="Footer"/>
        </w:pPr>
        <w:r w:rsidRPr="0077306C">
          <w:rPr>
            <w:rFonts w:ascii="Times New Roman" w:hAnsi="Times New Roman" w:cs="Times New Roman"/>
            <w:i/>
            <w:sz w:val="20"/>
            <w:szCs w:val="20"/>
          </w:rPr>
          <w:t xml:space="preserve">OMB No. 3133-0101; </w:t>
        </w:r>
        <w:r w:rsidR="003F5CFF">
          <w:rPr>
            <w:rFonts w:ascii="Times New Roman" w:hAnsi="Times New Roman" w:cs="Times New Roman"/>
            <w:i/>
            <w:sz w:val="20"/>
            <w:szCs w:val="20"/>
          </w:rPr>
          <w:t>April 2020</w:t>
        </w:r>
        <w:r w:rsidRPr="0077306C">
          <w:rPr>
            <w:rFonts w:ascii="Times New Roman" w:hAnsi="Times New Roman" w:cs="Times New Roman"/>
            <w:sz w:val="24"/>
            <w:szCs w:val="24"/>
          </w:rPr>
          <w:tab/>
        </w:r>
        <w:r w:rsidRPr="0077306C">
          <w:rPr>
            <w:rFonts w:ascii="Times New Roman" w:hAnsi="Times New Roman" w:cs="Times New Roman"/>
            <w:sz w:val="24"/>
            <w:szCs w:val="24"/>
          </w:rPr>
          <w:tab/>
        </w:r>
        <w:r w:rsidRPr="0077306C">
          <w:rPr>
            <w:rFonts w:ascii="Times New Roman" w:hAnsi="Times New Roman" w:cs="Times New Roman"/>
            <w:sz w:val="24"/>
            <w:szCs w:val="24"/>
          </w:rPr>
          <w:fldChar w:fldCharType="begin"/>
        </w:r>
        <w:r w:rsidRPr="0077306C">
          <w:rPr>
            <w:rFonts w:ascii="Times New Roman" w:hAnsi="Times New Roman" w:cs="Times New Roman"/>
            <w:sz w:val="24"/>
            <w:szCs w:val="24"/>
          </w:rPr>
          <w:instrText xml:space="preserve"> PAGE   \* MERGEFORMAT </w:instrText>
        </w:r>
        <w:r w:rsidRPr="0077306C">
          <w:rPr>
            <w:rFonts w:ascii="Times New Roman" w:hAnsi="Times New Roman" w:cs="Times New Roman"/>
            <w:sz w:val="24"/>
            <w:szCs w:val="24"/>
          </w:rPr>
          <w:fldChar w:fldCharType="separate"/>
        </w:r>
        <w:r w:rsidR="00B13E79">
          <w:rPr>
            <w:rFonts w:ascii="Times New Roman" w:hAnsi="Times New Roman" w:cs="Times New Roman"/>
            <w:noProof/>
            <w:sz w:val="24"/>
            <w:szCs w:val="24"/>
          </w:rPr>
          <w:t>4</w:t>
        </w:r>
        <w:r w:rsidRPr="0077306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B7DD7" w14:textId="77777777" w:rsidR="0077306C" w:rsidRDefault="0077306C" w:rsidP="0077306C">
      <w:pPr>
        <w:spacing w:after="0" w:line="240" w:lineRule="auto"/>
      </w:pPr>
      <w:r>
        <w:separator/>
      </w:r>
    </w:p>
  </w:footnote>
  <w:footnote w:type="continuationSeparator" w:id="0">
    <w:p w14:paraId="58DADFC5" w14:textId="77777777" w:rsidR="0077306C" w:rsidRDefault="0077306C" w:rsidP="00773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8B3634"/>
    <w:multiLevelType w:val="hybridMultilevel"/>
    <w:tmpl w:val="BEAEC24E"/>
    <w:lvl w:ilvl="0" w:tplc="52A88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C49AB"/>
    <w:multiLevelType w:val="hybridMultilevel"/>
    <w:tmpl w:val="0F50C2EE"/>
    <w:lvl w:ilvl="0" w:tplc="DE121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6C"/>
    <w:rsid w:val="00030C66"/>
    <w:rsid w:val="000E2288"/>
    <w:rsid w:val="001A53ED"/>
    <w:rsid w:val="0030554E"/>
    <w:rsid w:val="00354727"/>
    <w:rsid w:val="003F5CFF"/>
    <w:rsid w:val="004531C0"/>
    <w:rsid w:val="004E7EF9"/>
    <w:rsid w:val="005633A3"/>
    <w:rsid w:val="00596BA6"/>
    <w:rsid w:val="005E6A86"/>
    <w:rsid w:val="00625780"/>
    <w:rsid w:val="0077306C"/>
    <w:rsid w:val="00817FBA"/>
    <w:rsid w:val="009052E5"/>
    <w:rsid w:val="009D59F0"/>
    <w:rsid w:val="00B13E79"/>
    <w:rsid w:val="00BA585F"/>
    <w:rsid w:val="00C21E98"/>
    <w:rsid w:val="00D72500"/>
    <w:rsid w:val="00D90715"/>
    <w:rsid w:val="00E15C23"/>
    <w:rsid w:val="00E52455"/>
    <w:rsid w:val="00F22D95"/>
    <w:rsid w:val="00F3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75ABB4B3"/>
  <w15:chartTrackingRefBased/>
  <w15:docId w15:val="{34756155-C70C-4477-9B45-E0C34772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306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3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06C"/>
  </w:style>
  <w:style w:type="paragraph" w:styleId="Footer">
    <w:name w:val="footer"/>
    <w:basedOn w:val="Normal"/>
    <w:link w:val="FooterChar"/>
    <w:uiPriority w:val="99"/>
    <w:unhideWhenUsed/>
    <w:rsid w:val="00773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06C"/>
  </w:style>
  <w:style w:type="table" w:styleId="TableGrid">
    <w:name w:val="Table Grid"/>
    <w:basedOn w:val="TableNormal"/>
    <w:uiPriority w:val="39"/>
    <w:rsid w:val="005E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33A3"/>
    <w:rPr>
      <w:color w:val="0000FF"/>
      <w:u w:val="single"/>
    </w:rPr>
  </w:style>
  <w:style w:type="paragraph" w:styleId="BodyTextIndent2">
    <w:name w:val="Body Text Indent 2"/>
    <w:basedOn w:val="Normal"/>
    <w:link w:val="BodyTextIndent2Char"/>
    <w:uiPriority w:val="99"/>
    <w:unhideWhenUsed/>
    <w:rsid w:val="005633A3"/>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5633A3"/>
    <w:rPr>
      <w:rFonts w:ascii="Times New Roman" w:eastAsia="Times New Roman" w:hAnsi="Times New Roman" w:cs="Times New Roman"/>
      <w:sz w:val="24"/>
      <w:szCs w:val="24"/>
    </w:rPr>
  </w:style>
  <w:style w:type="paragraph" w:customStyle="1" w:styleId="Level1">
    <w:name w:val="Level 1"/>
    <w:basedOn w:val="Normal"/>
    <w:rsid w:val="005633A3"/>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paragraph" w:customStyle="1" w:styleId="Level2">
    <w:name w:val="Level 2"/>
    <w:basedOn w:val="Normal"/>
    <w:rsid w:val="005633A3"/>
    <w:pPr>
      <w:widowControl w:val="0"/>
      <w:autoSpaceDE w:val="0"/>
      <w:autoSpaceDN w:val="0"/>
      <w:adjustRightInd w:val="0"/>
      <w:spacing w:after="0" w:line="240" w:lineRule="auto"/>
      <w:ind w:left="722" w:hanging="361"/>
    </w:pPr>
    <w:rPr>
      <w:rFonts w:ascii="Times New Roman" w:eastAsia="Times New Roman" w:hAnsi="Times New Roman" w:cs="Times New Roman"/>
      <w:sz w:val="24"/>
      <w:szCs w:val="24"/>
    </w:rPr>
  </w:style>
  <w:style w:type="paragraph" w:styleId="ListParagraph">
    <w:name w:val="List Paragraph"/>
    <w:basedOn w:val="Normal"/>
    <w:uiPriority w:val="34"/>
    <w:qFormat/>
    <w:rsid w:val="00F332E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7EF9"/>
    <w:rPr>
      <w:sz w:val="16"/>
      <w:szCs w:val="16"/>
    </w:rPr>
  </w:style>
  <w:style w:type="paragraph" w:styleId="CommentText">
    <w:name w:val="annotation text"/>
    <w:basedOn w:val="Normal"/>
    <w:link w:val="CommentTextChar"/>
    <w:uiPriority w:val="99"/>
    <w:semiHidden/>
    <w:unhideWhenUsed/>
    <w:rsid w:val="004E7EF9"/>
    <w:pPr>
      <w:spacing w:line="240" w:lineRule="auto"/>
    </w:pPr>
    <w:rPr>
      <w:sz w:val="20"/>
      <w:szCs w:val="20"/>
    </w:rPr>
  </w:style>
  <w:style w:type="character" w:customStyle="1" w:styleId="CommentTextChar">
    <w:name w:val="Comment Text Char"/>
    <w:basedOn w:val="DefaultParagraphFont"/>
    <w:link w:val="CommentText"/>
    <w:uiPriority w:val="99"/>
    <w:semiHidden/>
    <w:rsid w:val="004E7EF9"/>
    <w:rPr>
      <w:sz w:val="20"/>
      <w:szCs w:val="20"/>
    </w:rPr>
  </w:style>
  <w:style w:type="paragraph" w:styleId="CommentSubject">
    <w:name w:val="annotation subject"/>
    <w:basedOn w:val="CommentText"/>
    <w:next w:val="CommentText"/>
    <w:link w:val="CommentSubjectChar"/>
    <w:uiPriority w:val="99"/>
    <w:semiHidden/>
    <w:unhideWhenUsed/>
    <w:rsid w:val="004E7EF9"/>
    <w:rPr>
      <w:b/>
      <w:bCs/>
    </w:rPr>
  </w:style>
  <w:style w:type="character" w:customStyle="1" w:styleId="CommentSubjectChar">
    <w:name w:val="Comment Subject Char"/>
    <w:basedOn w:val="CommentTextChar"/>
    <w:link w:val="CommentSubject"/>
    <w:uiPriority w:val="99"/>
    <w:semiHidden/>
    <w:rsid w:val="004E7EF9"/>
    <w:rPr>
      <w:b/>
      <w:bCs/>
      <w:sz w:val="20"/>
      <w:szCs w:val="20"/>
    </w:rPr>
  </w:style>
  <w:style w:type="paragraph" w:styleId="BalloonText">
    <w:name w:val="Balloon Text"/>
    <w:basedOn w:val="Normal"/>
    <w:link w:val="BalloonTextChar"/>
    <w:uiPriority w:val="99"/>
    <w:semiHidden/>
    <w:unhideWhenUsed/>
    <w:rsid w:val="004E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inf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1</cp:revision>
  <cp:lastPrinted>2020-04-29T17:37:00Z</cp:lastPrinted>
  <dcterms:created xsi:type="dcterms:W3CDTF">2020-02-05T12:04:00Z</dcterms:created>
  <dcterms:modified xsi:type="dcterms:W3CDTF">2020-04-29T18:54:00Z</dcterms:modified>
</cp:coreProperties>
</file>