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B962F8" w:rsidR="00B962F8" w:rsidP="00463D10" w:rsidRDefault="00B545C9" w14:paraId="5F10D136" w14:textId="323C6051">
      <w:pPr>
        <w:spacing w:after="0" w:line="240" w:lineRule="auto"/>
        <w:jc w:val="center"/>
        <w:rPr>
          <w:rFonts w:ascii="Arial" w:hAnsi="Arial" w:eastAsia="Times New Roman" w:cs="Arial"/>
          <w:b/>
          <w:sz w:val="24"/>
          <w:szCs w:val="24"/>
        </w:rPr>
      </w:pPr>
      <w:r>
        <w:rPr>
          <w:rFonts w:ascii="Arial" w:hAnsi="Arial" w:eastAsia="Times New Roman" w:cs="Arial"/>
          <w:b/>
          <w:sz w:val="24"/>
          <w:szCs w:val="24"/>
        </w:rPr>
        <w:t>VA LOAN ELECTRONIC REPORTING INTERFACE (VALERI) SYSTEM</w:t>
      </w:r>
    </w:p>
    <w:p w:rsidR="00463D10" w:rsidP="00463D10" w:rsidRDefault="00463D10" w14:paraId="6A0B8E21" w14:textId="67981D5F">
      <w:pPr>
        <w:spacing w:after="0" w:line="240" w:lineRule="auto"/>
        <w:jc w:val="center"/>
        <w:rPr>
          <w:rFonts w:ascii="Arial" w:hAnsi="Arial" w:eastAsia="Times New Roman" w:cs="Arial"/>
          <w:sz w:val="24"/>
          <w:szCs w:val="24"/>
        </w:rPr>
      </w:pPr>
      <w:r w:rsidRPr="00B962F8">
        <w:rPr>
          <w:rFonts w:ascii="Arial" w:hAnsi="Arial" w:eastAsia="Times New Roman" w:cs="Arial"/>
          <w:b/>
          <w:sz w:val="24"/>
          <w:szCs w:val="24"/>
        </w:rPr>
        <w:t>OMB 2900-</w:t>
      </w:r>
      <w:r w:rsidRPr="00B962F8" w:rsidR="00B962F8">
        <w:rPr>
          <w:rFonts w:ascii="Arial" w:hAnsi="Arial" w:eastAsia="Times New Roman" w:cs="Arial"/>
          <w:b/>
          <w:sz w:val="24"/>
          <w:szCs w:val="24"/>
        </w:rPr>
        <w:t>0</w:t>
      </w:r>
      <w:r w:rsidR="00B545C9">
        <w:rPr>
          <w:rFonts w:ascii="Arial" w:hAnsi="Arial" w:eastAsia="Times New Roman" w:cs="Arial"/>
          <w:b/>
          <w:sz w:val="24"/>
          <w:szCs w:val="24"/>
        </w:rPr>
        <w:t>021</w:t>
      </w:r>
      <w:r w:rsidRPr="00B962F8">
        <w:rPr>
          <w:rFonts w:ascii="Arial" w:hAnsi="Arial" w:eastAsia="Times New Roman" w:cs="Arial"/>
          <w:b/>
          <w:sz w:val="24"/>
          <w:szCs w:val="24"/>
        </w:rPr>
        <w:br/>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F4337A"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F4337A">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A46642" w:rsidR="00B545C9" w:rsidP="00463D10" w:rsidRDefault="00B545C9" w14:paraId="58DD363E" w14:textId="489CBBD1">
      <w:pPr>
        <w:spacing w:after="0" w:line="240" w:lineRule="auto"/>
        <w:ind w:left="720"/>
        <w:rPr>
          <w:rFonts w:ascii="Arial" w:hAnsi="Arial" w:eastAsia="Times New Roman" w:cs="Arial"/>
          <w:color w:val="C00000"/>
          <w:sz w:val="24"/>
          <w:szCs w:val="24"/>
        </w:rPr>
      </w:pPr>
    </w:p>
    <w:p w:rsidR="00A46642" w:rsidP="00463D10" w:rsidRDefault="00F4337A" w14:paraId="3FDE1D76" w14:textId="4D5F63D0">
      <w:pPr>
        <w:spacing w:after="0" w:line="240" w:lineRule="auto"/>
        <w:ind w:left="720"/>
        <w:rPr>
          <w:rFonts w:ascii="Arial" w:hAnsi="Arial" w:eastAsia="Times New Roman" w:cs="Arial"/>
          <w:sz w:val="24"/>
          <w:szCs w:val="24"/>
        </w:rPr>
      </w:pPr>
      <w:bookmarkStart w:name="_Hlk29830155" w:id="0"/>
      <w:r w:rsidRPr="00F4337A">
        <w:rPr>
          <w:rFonts w:ascii="Arial" w:hAnsi="Arial" w:eastAsia="Times New Roman" w:cs="Arial"/>
          <w:sz w:val="24"/>
          <w:szCs w:val="24"/>
        </w:rPr>
        <w:t>VA provides the authority for VA-guaranteed mortgage servicers to assist Veteran borrowers and their families experiencing financial difficulty.  VA then provides oversight of the servicers’ actions by collecting specific documentation and data.  In today’s environment, this collection is done via the VALERI application.  Federal Regulations under 38 CFR 36.4300 require specific, critical information be provided to VA and without the collection of such documentation and data, the number of foreclosures of VA-guaranteed loans and homeless Veterans would increase.</w:t>
      </w:r>
    </w:p>
    <w:bookmarkEnd w:id="0"/>
    <w:p w:rsidR="00A46642" w:rsidP="00463D10" w:rsidRDefault="00A46642" w14:paraId="431D28D4" w14:textId="50B428BA">
      <w:pPr>
        <w:spacing w:after="0" w:line="240" w:lineRule="auto"/>
        <w:ind w:left="720"/>
        <w:rPr>
          <w:rFonts w:ascii="Arial" w:hAnsi="Arial" w:eastAsia="Times New Roman" w:cs="Arial"/>
          <w:sz w:val="24"/>
          <w:szCs w:val="24"/>
        </w:rPr>
      </w:pPr>
    </w:p>
    <w:p w:rsidRPr="00B962F8" w:rsidR="00A46642" w:rsidP="00463D10" w:rsidRDefault="00A46642" w14:paraId="2A8B4E00"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77777777">
      <w:pPr>
        <w:spacing w:after="0" w:line="240" w:lineRule="auto"/>
        <w:ind w:left="720"/>
        <w:contextualSpacing/>
        <w:rPr>
          <w:rFonts w:ascii="Arial" w:hAnsi="Arial" w:eastAsia="Times New Roman" w:cs="Arial"/>
          <w:sz w:val="24"/>
          <w:szCs w:val="24"/>
        </w:rPr>
      </w:pPr>
    </w:p>
    <w:p w:rsidR="00B962F8" w:rsidP="00463D10" w:rsidRDefault="00B545C9" w14:paraId="1FBB3EB9" w14:textId="0D10A76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This information is provided by loan servicers.  VA has moved toward placing greater reliance on private-sector servicing in accordance with VA guidelines, with VA using advanced technology to oversee holder actions.</w:t>
      </w:r>
    </w:p>
    <w:p w:rsidR="00B545C9" w:rsidP="00463D10" w:rsidRDefault="00B545C9" w14:paraId="09E27474"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00B545C9" w:rsidP="00B545C9" w:rsidRDefault="00B545C9" w14:paraId="123A8855" w14:textId="77777777">
      <w:pPr>
        <w:ind w:left="720"/>
        <w:rPr>
          <w:rFonts w:ascii="Arial" w:hAnsi="Arial" w:eastAsia="Times New Roman" w:cs="Arial"/>
          <w:sz w:val="24"/>
          <w:szCs w:val="24"/>
        </w:rPr>
      </w:pPr>
      <w:r w:rsidRPr="00B545C9">
        <w:rPr>
          <w:rFonts w:ascii="Arial" w:hAnsi="Arial" w:eastAsia="Times New Roman" w:cs="Arial"/>
          <w:sz w:val="24"/>
          <w:szCs w:val="24"/>
        </w:rPr>
        <w:t xml:space="preserve">The Agency has adopted advances in telecommunications and other technology to minimize the impact to the industry.  A new internet-based reporting system has replaced the following OMB-approved forms:  26-6850, 26-6850a, and </w:t>
      </w:r>
    </w:p>
    <w:p w:rsidRPr="00B545C9" w:rsidR="00B545C9" w:rsidP="00B545C9" w:rsidRDefault="00B545C9" w14:paraId="28833A92" w14:textId="4D6AB8A6">
      <w:pPr>
        <w:ind w:left="720"/>
        <w:rPr>
          <w:rFonts w:ascii="Arial" w:hAnsi="Arial" w:eastAsia="Times New Roman" w:cs="Arial"/>
          <w:sz w:val="24"/>
          <w:szCs w:val="24"/>
        </w:rPr>
      </w:pPr>
      <w:r w:rsidRPr="00B545C9">
        <w:rPr>
          <w:rFonts w:ascii="Arial" w:hAnsi="Arial" w:eastAsia="Times New Roman" w:cs="Arial"/>
          <w:sz w:val="24"/>
          <w:szCs w:val="24"/>
        </w:rPr>
        <w:t>26-6851 (OMB Collection #2900-0021), 26-567 (OMB Collection #2900-0131), 26-8903 (OMB Collection #2900-0381), 26-1874 and 26-1874a (OMB Collection #2900-0362), and 26-8778 (OMB Collection #2900-0251).</w:t>
      </w:r>
    </w:p>
    <w:p w:rsidR="00B962F8" w:rsidP="00B962F8" w:rsidRDefault="00B962F8" w14:paraId="621EA1AD" w14:textId="77777777">
      <w:pPr>
        <w:spacing w:after="0" w:line="240" w:lineRule="auto"/>
        <w:ind w:left="720"/>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lastRenderedPageBreak/>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00B962F8" w:rsidP="00463D10" w:rsidRDefault="00B545C9" w14:paraId="3862D76A" w14:textId="114777AD">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There is no duplication of information involved.  </w:t>
      </w:r>
    </w:p>
    <w:p w:rsidR="00B545C9" w:rsidP="00463D10" w:rsidRDefault="00B545C9" w14:paraId="7DC6E7E8"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00B962F8" w:rsidP="00463D10" w:rsidRDefault="00B545C9" w14:paraId="361A05DD" w14:textId="68FBE951">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The collection of information does not involve small businesses.</w:t>
      </w:r>
    </w:p>
    <w:p w:rsidR="00B545C9" w:rsidP="00463D10" w:rsidRDefault="00B545C9" w14:paraId="2332B380"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B962F8" w:rsidP="00B962F8" w:rsidRDefault="00B545C9" w14:paraId="5E6B6562" w14:textId="0B441ADB">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Certain portions of this information collection consist of a monthly reporting burden </w:t>
      </w:r>
      <w:r w:rsidR="00BA7D2B">
        <w:rPr>
          <w:rFonts w:ascii="Arial" w:hAnsi="Arial" w:eastAsia="Times New Roman" w:cs="Arial"/>
          <w:sz w:val="24"/>
          <w:szCs w:val="24"/>
        </w:rPr>
        <w:t xml:space="preserve">of </w:t>
      </w:r>
      <w:r w:rsidRPr="00B545C9">
        <w:rPr>
          <w:rFonts w:ascii="Arial" w:hAnsi="Arial" w:eastAsia="Times New Roman" w:cs="Arial"/>
          <w:sz w:val="24"/>
          <w:szCs w:val="24"/>
        </w:rPr>
        <w:t xml:space="preserve">a servicer's portfolio.  This collection is necessary </w:t>
      </w:r>
      <w:proofErr w:type="gramStart"/>
      <w:r w:rsidRPr="00B545C9">
        <w:rPr>
          <w:rFonts w:ascii="Arial" w:hAnsi="Arial" w:eastAsia="Times New Roman" w:cs="Arial"/>
          <w:sz w:val="24"/>
          <w:szCs w:val="24"/>
        </w:rPr>
        <w:t>in order for</w:t>
      </w:r>
      <w:proofErr w:type="gramEnd"/>
      <w:r w:rsidRPr="00B545C9">
        <w:rPr>
          <w:rFonts w:ascii="Arial" w:hAnsi="Arial" w:eastAsia="Times New Roman" w:cs="Arial"/>
          <w:sz w:val="24"/>
          <w:szCs w:val="24"/>
        </w:rPr>
        <w:t xml:space="preserve"> VA to responsibly meet its obligations to oversee loan holder actions.</w:t>
      </w:r>
    </w:p>
    <w:p w:rsidR="00B545C9" w:rsidP="00B962F8" w:rsidRDefault="00B545C9" w14:paraId="0B3242C6"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00B962F8" w:rsidP="00B545C9" w:rsidRDefault="00B545C9" w14:paraId="1FE4AC40" w14:textId="594AD2D6">
      <w:pPr>
        <w:spacing w:after="0" w:line="240" w:lineRule="auto"/>
        <w:ind w:left="720"/>
        <w:rPr>
          <w:rFonts w:ascii="Arial" w:hAnsi="Arial" w:eastAsia="Times New Roman" w:cs="Arial"/>
          <w:bCs/>
          <w:sz w:val="24"/>
          <w:szCs w:val="24"/>
        </w:rPr>
      </w:pPr>
      <w:r w:rsidRPr="00B545C9">
        <w:rPr>
          <w:rFonts w:ascii="Arial" w:hAnsi="Arial" w:eastAsia="Times New Roman" w:cs="Arial"/>
          <w:bCs/>
          <w:sz w:val="24"/>
          <w:szCs w:val="24"/>
        </w:rPr>
        <w:t>There are no special circumstances that require the collection to be conducted in a manner inconsistent with the guidelines in 5 CFR 1320.6.</w:t>
      </w:r>
    </w:p>
    <w:p w:rsidR="00B545C9" w:rsidP="00B545C9" w:rsidRDefault="00B545C9" w14:paraId="268747DE" w14:textId="77777777">
      <w:pPr>
        <w:spacing w:after="0" w:line="240" w:lineRule="auto"/>
        <w:ind w:left="720"/>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E11370" w:rsidRDefault="00B962F8" w14:paraId="6A0B8E47" w14:textId="3507777A">
      <w:pPr>
        <w:spacing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 xml:space="preserve">The Department notice was published in the Federal </w:t>
      </w:r>
      <w:r w:rsidRPr="00E11370" w:rsidR="00E11370">
        <w:rPr>
          <w:rFonts w:ascii="Arial" w:hAnsi="Arial" w:eastAsia="Times New Roman" w:cs="Arial"/>
          <w:sz w:val="24"/>
          <w:szCs w:val="24"/>
        </w:rPr>
        <w:t xml:space="preserve">on </w:t>
      </w:r>
      <w:r w:rsidRPr="00E11370" w:rsidR="00E11370">
        <w:rPr>
          <w:rFonts w:ascii="Arial" w:hAnsi="Arial" w:eastAsia="Times New Roman" w:cs="Arial"/>
          <w:sz w:val="24"/>
          <w:szCs w:val="24"/>
          <w:u w:val="single"/>
        </w:rPr>
        <w:t>February 24, 2020</w:t>
      </w:r>
      <w:r w:rsidRPr="00E11370" w:rsidR="00E11370">
        <w:rPr>
          <w:rFonts w:ascii="Arial" w:hAnsi="Arial" w:eastAsia="Times New Roman" w:cs="Arial"/>
          <w:sz w:val="24"/>
          <w:szCs w:val="24"/>
        </w:rPr>
        <w:t xml:space="preserve"> at </w:t>
      </w:r>
      <w:r w:rsidRPr="00E11370" w:rsidR="00E11370">
        <w:rPr>
          <w:rFonts w:ascii="Arial" w:hAnsi="Arial" w:eastAsia="Times New Roman" w:cs="Arial"/>
          <w:sz w:val="24"/>
          <w:szCs w:val="24"/>
          <w:u w:val="single"/>
        </w:rPr>
        <w:t>85 FR 10512</w:t>
      </w:r>
      <w:r w:rsidRPr="00E11370" w:rsidR="00E11370">
        <w:rPr>
          <w:rFonts w:ascii="Arial" w:hAnsi="Arial" w:eastAsia="Times New Roman" w:cs="Arial"/>
          <w:sz w:val="24"/>
          <w:szCs w:val="24"/>
        </w:rPr>
        <w:t xml:space="preserve">, pages </w:t>
      </w:r>
      <w:r w:rsidRPr="00E11370" w:rsidR="00E11370">
        <w:rPr>
          <w:rFonts w:ascii="Arial" w:hAnsi="Arial" w:eastAsia="Times New Roman" w:cs="Arial"/>
          <w:sz w:val="24"/>
          <w:szCs w:val="24"/>
          <w:u w:val="single"/>
        </w:rPr>
        <w:t>10512-10513</w:t>
      </w:r>
      <w:r w:rsidRPr="00E11370" w:rsidR="00E11370">
        <w:rPr>
          <w:rFonts w:ascii="Arial" w:hAnsi="Arial" w:eastAsia="Times New Roman" w:cs="Arial"/>
          <w:sz w:val="24"/>
          <w:szCs w:val="24"/>
        </w:rPr>
        <w:t>.</w:t>
      </w:r>
      <w:r w:rsidR="00E11370">
        <w:rPr>
          <w:rFonts w:ascii="Arial" w:hAnsi="Arial" w:eastAsia="Times New Roman" w:cs="Arial"/>
          <w:sz w:val="24"/>
          <w:szCs w:val="24"/>
        </w:rPr>
        <w:t xml:space="preserve"> </w:t>
      </w:r>
      <w:bookmarkStart w:name="_GoBack" w:id="1"/>
      <w:bookmarkEnd w:id="1"/>
      <w:r w:rsidRPr="00B962F8">
        <w:rPr>
          <w:rFonts w:ascii="Arial" w:hAnsi="Arial" w:eastAsia="Times New Roman" w:cs="Arial"/>
          <w:sz w:val="24"/>
          <w:szCs w:val="24"/>
        </w:rPr>
        <w:t>No comments were received.</w:t>
      </w:r>
    </w:p>
    <w:p w:rsidR="00B962F8" w:rsidP="00463D10" w:rsidRDefault="00B962F8" w14:paraId="06547EDB"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Pr="00B962F8"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962F8">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4E" w14:textId="77777777">
      <w:pPr>
        <w:spacing w:after="0" w:line="240" w:lineRule="auto"/>
        <w:ind w:left="720"/>
        <w:contextualSpacing/>
        <w:rPr>
          <w:rFonts w:ascii="Arial" w:hAnsi="Arial" w:eastAsia="Times New Roman" w:cs="Arial"/>
          <w:color w:val="C00000"/>
          <w:sz w:val="24"/>
          <w:szCs w:val="24"/>
        </w:rPr>
      </w:pPr>
    </w:p>
    <w:p w:rsidRPr="00B962F8" w:rsidR="00463D10" w:rsidP="00463D10" w:rsidRDefault="00B545C9" w14:paraId="6A0B8E50" w14:textId="756BEB1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hAnsi="Arial" w:eastAsia="Times New Roman" w:cs="Arial"/>
          <w:sz w:val="24"/>
          <w:szCs w:val="24"/>
        </w:rPr>
        <w:t>– VA (55VA26) are contained in the Privacy Act Issuances, 20</w:t>
      </w:r>
      <w:r w:rsidR="00A45DC4">
        <w:rPr>
          <w:rFonts w:ascii="Arial" w:hAnsi="Arial" w:eastAsia="Times New Roman" w:cs="Arial"/>
          <w:sz w:val="24"/>
          <w:szCs w:val="24"/>
        </w:rPr>
        <w:t>14</w:t>
      </w:r>
      <w:r w:rsidRPr="00B962F8" w:rsid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5E4D6D" w:rsidP="005E4D6D" w:rsidRDefault="00B545C9" w14:paraId="3B5B0765" w14:textId="6F136482">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No questions of a sensitive nature are contained on the form.</w:t>
      </w:r>
    </w:p>
    <w:p w:rsidR="00B545C9" w:rsidP="00463D10" w:rsidRDefault="00B545C9" w14:paraId="7142A1D0"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Pr="00B962F8" w:rsidR="00463D10" w:rsidP="00463D10" w:rsidRDefault="00463D10" w14:paraId="6A0B8E58" w14:textId="77777777">
      <w:pPr>
        <w:spacing w:after="0" w:line="240" w:lineRule="auto"/>
        <w:rPr>
          <w:rFonts w:ascii="Arial" w:hAnsi="Arial" w:eastAsia="Times New Roman" w:cs="Arial"/>
          <w:sz w:val="24"/>
          <w:szCs w:val="24"/>
        </w:rPr>
      </w:pPr>
    </w:p>
    <w:p w:rsidR="00463D10" w:rsidP="00463D10" w:rsidRDefault="00463D10" w14:paraId="6A0B8E59" w14:textId="229E0249">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Number of Respondents: </w:t>
      </w:r>
      <w:r w:rsidR="005E4D6D">
        <w:rPr>
          <w:rFonts w:ascii="Arial" w:hAnsi="Arial" w:eastAsia="Times New Roman" w:cs="Arial"/>
          <w:sz w:val="24"/>
          <w:szCs w:val="24"/>
        </w:rPr>
        <w:t>967</w:t>
      </w:r>
    </w:p>
    <w:p w:rsidRPr="005E4D6D" w:rsidR="005E4D6D" w:rsidP="005E4D6D" w:rsidRDefault="005E4D6D" w14:paraId="4B85859D" w14:textId="77777777">
      <w:pPr>
        <w:tabs>
          <w:tab w:val="left" w:pos="480"/>
          <w:tab w:val="right" w:pos="8640"/>
        </w:tabs>
        <w:spacing w:after="0" w:line="240" w:lineRule="auto"/>
        <w:ind w:left="1080" w:right="684"/>
        <w:contextualSpacing/>
        <w:rPr>
          <w:rFonts w:ascii="Arial" w:hAnsi="Arial" w:eastAsia="Times New Roman" w:cs="Arial"/>
          <w:i/>
          <w:sz w:val="24"/>
          <w:szCs w:val="24"/>
        </w:rPr>
      </w:pPr>
    </w:p>
    <w:p w:rsidRPr="00B962F8" w:rsidR="00463D10" w:rsidP="00463D10" w:rsidRDefault="00463D10" w14:paraId="6A0B8E5B" w14:textId="01757DDB">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Frequency of Response:  </w:t>
      </w:r>
      <w:r w:rsidRPr="00B962F8" w:rsidR="00B962F8">
        <w:rPr>
          <w:rFonts w:ascii="Arial" w:hAnsi="Arial" w:eastAsia="Times New Roman" w:cs="Arial"/>
          <w:sz w:val="24"/>
          <w:szCs w:val="24"/>
        </w:rPr>
        <w:t>one-time</w:t>
      </w:r>
    </w:p>
    <w:p w:rsidR="00463D10" w:rsidP="00463D10" w:rsidRDefault="00463D10" w14:paraId="6A0B8E5C" w14:textId="77777777">
      <w:pPr>
        <w:spacing w:after="0" w:line="240" w:lineRule="auto"/>
        <w:ind w:left="720"/>
        <w:rPr>
          <w:rFonts w:ascii="Arial" w:hAnsi="Arial" w:eastAsia="Times New Roman" w:cs="Arial"/>
          <w:sz w:val="24"/>
          <w:szCs w:val="24"/>
        </w:rPr>
      </w:pPr>
    </w:p>
    <w:p w:rsidR="005E4D6D" w:rsidP="00BC50DC" w:rsidRDefault="00463D10" w14:paraId="3E7708AA" w14:textId="4F6FA980">
      <w:pPr>
        <w:numPr>
          <w:ilvl w:val="0"/>
          <w:numId w:val="3"/>
        </w:numPr>
        <w:spacing w:after="0" w:line="240" w:lineRule="auto"/>
        <w:contextualSpacing/>
        <w:rPr>
          <w:rFonts w:ascii="Arial" w:hAnsi="Arial" w:eastAsia="Times New Roman" w:cs="Arial"/>
          <w:sz w:val="24"/>
          <w:szCs w:val="24"/>
        </w:rPr>
      </w:pPr>
      <w:r w:rsidRPr="00454809">
        <w:rPr>
          <w:rFonts w:ascii="Arial" w:hAnsi="Arial" w:eastAsia="Times New Roman" w:cs="Arial"/>
          <w:sz w:val="24"/>
          <w:szCs w:val="24"/>
        </w:rPr>
        <w:t xml:space="preserve">Annual Burden Hours:  </w:t>
      </w:r>
      <w:r w:rsidRPr="00454809" w:rsidR="005E4D6D">
        <w:rPr>
          <w:rFonts w:ascii="Arial" w:hAnsi="Arial" w:eastAsia="Times New Roman" w:cs="Arial"/>
          <w:sz w:val="24"/>
          <w:szCs w:val="24"/>
        </w:rPr>
        <w:t>70</w:t>
      </w:r>
      <w:r w:rsidRPr="00454809" w:rsidR="00B962F8">
        <w:rPr>
          <w:rFonts w:ascii="Arial" w:hAnsi="Arial" w:eastAsia="Times New Roman" w:cs="Arial"/>
          <w:sz w:val="24"/>
          <w:szCs w:val="24"/>
        </w:rPr>
        <w:t xml:space="preserve"> hours</w:t>
      </w:r>
    </w:p>
    <w:p w:rsidRPr="00454809" w:rsidR="00454809" w:rsidP="00454809" w:rsidRDefault="00454809" w14:paraId="09C677D5" w14:textId="77777777">
      <w:pPr>
        <w:spacing w:after="0" w:line="240" w:lineRule="auto"/>
        <w:contextualSpacing/>
        <w:rPr>
          <w:rFonts w:ascii="Arial" w:hAnsi="Arial" w:eastAsia="Times New Roman" w:cs="Arial"/>
          <w:sz w:val="24"/>
          <w:szCs w:val="24"/>
        </w:rPr>
      </w:pPr>
    </w:p>
    <w:p w:rsidR="00B962F8" w:rsidP="00255A1C" w:rsidRDefault="00463D10" w14:paraId="5D85F478" w14:textId="4994DF61">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 xml:space="preserve">Estimated Completion Time:  </w:t>
      </w:r>
      <w:r w:rsidR="00B545C9">
        <w:rPr>
          <w:rFonts w:ascii="Arial" w:hAnsi="Arial" w:eastAsia="Times New Roman" w:cs="Arial"/>
          <w:sz w:val="24"/>
          <w:szCs w:val="24"/>
        </w:rPr>
        <w:t xml:space="preserve">1 </w:t>
      </w:r>
      <w:r w:rsidR="008A7F13">
        <w:rPr>
          <w:rFonts w:ascii="Arial" w:hAnsi="Arial" w:eastAsia="Times New Roman" w:cs="Arial"/>
          <w:sz w:val="24"/>
          <w:szCs w:val="24"/>
        </w:rPr>
        <w:t>minute</w:t>
      </w:r>
    </w:p>
    <w:p w:rsidR="00B962F8" w:rsidP="00B962F8" w:rsidRDefault="00B962F8" w14:paraId="7700984D" w14:textId="77777777">
      <w:pPr>
        <w:pStyle w:val="ListParagraph"/>
        <w:rPr>
          <w:rFonts w:ascii="Arial" w:hAnsi="Arial" w:cs="Arial"/>
          <w:color w:val="C00000"/>
          <w:sz w:val="24"/>
          <w:szCs w:val="24"/>
        </w:rPr>
      </w:pPr>
    </w:p>
    <w:p w:rsidRPr="00A13FA4" w:rsidR="00A13FA4" w:rsidP="00A13FA4" w:rsidRDefault="005E4D6D" w14:paraId="25BD75BB" w14:textId="1519A254">
      <w:pPr>
        <w:pStyle w:val="ListParagraph"/>
        <w:numPr>
          <w:ilvl w:val="0"/>
          <w:numId w:val="3"/>
        </w:numPr>
        <w:rPr>
          <w:rFonts w:ascii="Arial" w:hAnsi="Arial" w:cs="Arial"/>
          <w:sz w:val="24"/>
          <w:szCs w:val="24"/>
        </w:rPr>
      </w:pPr>
      <w:r w:rsidRPr="00A13FA4">
        <w:rPr>
          <w:rFonts w:ascii="Arial" w:hAnsi="Arial" w:cs="Arial"/>
          <w:sz w:val="24"/>
          <w:szCs w:val="24"/>
        </w:rPr>
        <w:t xml:space="preserve">The respondent population is composed of </w:t>
      </w:r>
      <w:r w:rsidRPr="00A13FA4" w:rsidR="00A46642">
        <w:rPr>
          <w:rFonts w:ascii="Arial" w:hAnsi="Arial" w:cs="Arial"/>
          <w:sz w:val="24"/>
          <w:szCs w:val="24"/>
        </w:rPr>
        <w:t>loan servicers</w:t>
      </w:r>
      <w:r w:rsidRPr="00A13FA4">
        <w:rPr>
          <w:rFonts w:ascii="Arial" w:hAnsi="Arial" w:cs="Arial"/>
          <w:sz w:val="24"/>
          <w:szCs w:val="24"/>
        </w:rPr>
        <w:t>.</w:t>
      </w:r>
      <w:r w:rsidR="00A13FA4">
        <w:rPr>
          <w:rFonts w:ascii="Arial" w:hAnsi="Arial" w:cs="Arial"/>
          <w:sz w:val="24"/>
          <w:szCs w:val="24"/>
        </w:rPr>
        <w:t xml:space="preserve"> </w:t>
      </w:r>
      <w:bookmarkStart w:name="_Hlk29831604" w:id="2"/>
      <w:r w:rsidRPr="00A13FA4" w:rsidR="00A13FA4">
        <w:rPr>
          <w:rFonts w:ascii="Arial" w:hAnsi="Arial" w:cs="Arial"/>
          <w:sz w:val="24"/>
          <w:szCs w:val="24"/>
        </w:rPr>
        <w:t xml:space="preserve">VBA used general wage data for Loan Officers to estimate the respondents’ costs associated with completing the information collection. </w:t>
      </w:r>
      <w:r w:rsidR="00A13FA4">
        <w:rPr>
          <w:rFonts w:ascii="Arial" w:hAnsi="Arial" w:cs="Arial"/>
          <w:sz w:val="24"/>
          <w:szCs w:val="24"/>
        </w:rPr>
        <w:t>Data i</w:t>
      </w:r>
      <w:r w:rsidRPr="00A13FA4" w:rsidR="00A13FA4">
        <w:rPr>
          <w:rFonts w:ascii="Arial" w:hAnsi="Arial" w:cs="Arial"/>
          <w:sz w:val="24"/>
          <w:szCs w:val="24"/>
        </w:rPr>
        <w:t>ncludes mortgage loan officers and agents, collection analysts, loan servicing officers, and loan underwriters.</w:t>
      </w:r>
    </w:p>
    <w:bookmarkEnd w:id="2"/>
    <w:p w:rsidRPr="00A13FA4" w:rsidR="00B962F8" w:rsidP="00A13FA4" w:rsidRDefault="00B962F8" w14:paraId="21622620" w14:textId="28216F74">
      <w:pPr>
        <w:tabs>
          <w:tab w:val="left" w:pos="480"/>
          <w:tab w:val="right" w:pos="8640"/>
        </w:tabs>
        <w:spacing w:after="0" w:line="240" w:lineRule="auto"/>
        <w:ind w:left="1080" w:right="684"/>
        <w:rPr>
          <w:rFonts w:ascii="Arial" w:hAnsi="Arial" w:cs="Arial"/>
          <w:sz w:val="24"/>
          <w:szCs w:val="24"/>
        </w:rPr>
      </w:pPr>
    </w:p>
    <w:p w:rsidR="00B962F8" w:rsidP="00B962F8" w:rsidRDefault="00B962F8" w14:paraId="760B89F0" w14:textId="3AFEE5C9">
      <w:pPr>
        <w:spacing w:before="240" w:after="240" w:line="240" w:lineRule="auto"/>
        <w:contextualSpacing/>
        <w:rPr>
          <w:rFonts w:ascii="Arial" w:hAnsi="Arial" w:cs="Arial"/>
          <w:sz w:val="24"/>
          <w:szCs w:val="24"/>
        </w:rPr>
      </w:pPr>
      <w:bookmarkStart w:name="_Hlk29831637" w:id="3"/>
      <w:r w:rsidRPr="00B962F8">
        <w:rPr>
          <w:rFonts w:ascii="Arial" w:hAnsi="Arial" w:cs="Arial"/>
          <w:sz w:val="24"/>
          <w:szCs w:val="24"/>
        </w:rPr>
        <w:lastRenderedPageBreak/>
        <w:t>The Bureau of Labor Statistics gathers information on full-time wage and salary workers.  Accordingly, the median weekly earnings of full-time wage and salary worker is $</w:t>
      </w:r>
      <w:r w:rsidR="00AF0F81">
        <w:rPr>
          <w:rFonts w:ascii="Arial" w:hAnsi="Arial" w:cs="Arial"/>
          <w:sz w:val="24"/>
          <w:szCs w:val="24"/>
        </w:rPr>
        <w:t>1,</w:t>
      </w:r>
      <w:r w:rsidR="00E11370">
        <w:rPr>
          <w:rFonts w:ascii="Arial" w:hAnsi="Arial" w:cs="Arial"/>
          <w:sz w:val="24"/>
          <w:szCs w:val="24"/>
        </w:rPr>
        <w:t>465.60</w:t>
      </w:r>
      <w:r w:rsidRPr="00B962F8">
        <w:rPr>
          <w:rFonts w:ascii="Arial" w:hAnsi="Arial" w:cs="Arial"/>
          <w:sz w:val="24"/>
          <w:szCs w:val="24"/>
        </w:rPr>
        <w:t>. Assuming a forty (40) hour work week, the median hourly wage is $</w:t>
      </w:r>
      <w:r w:rsidR="00F4337A">
        <w:rPr>
          <w:rFonts w:ascii="Arial" w:hAnsi="Arial" w:cs="Arial"/>
          <w:sz w:val="24"/>
          <w:szCs w:val="24"/>
        </w:rPr>
        <w:t>3</w:t>
      </w:r>
      <w:r w:rsidR="00E11370">
        <w:rPr>
          <w:rFonts w:ascii="Arial" w:hAnsi="Arial" w:cs="Arial"/>
          <w:sz w:val="24"/>
          <w:szCs w:val="24"/>
        </w:rPr>
        <w:t>6</w:t>
      </w:r>
      <w:r w:rsidR="00F4337A">
        <w:rPr>
          <w:rFonts w:ascii="Arial" w:hAnsi="Arial" w:cs="Arial"/>
          <w:sz w:val="24"/>
          <w:szCs w:val="24"/>
        </w:rPr>
        <w:t>.</w:t>
      </w:r>
      <w:r w:rsidR="00E11370">
        <w:rPr>
          <w:rFonts w:ascii="Arial" w:hAnsi="Arial" w:cs="Arial"/>
          <w:sz w:val="24"/>
          <w:szCs w:val="24"/>
        </w:rPr>
        <w:t>64</w:t>
      </w:r>
      <w:r w:rsidRPr="00B962F8">
        <w:rPr>
          <w:rFonts w:ascii="Arial" w:hAnsi="Arial" w:cs="Arial"/>
          <w:sz w:val="24"/>
          <w:szCs w:val="24"/>
        </w:rPr>
        <w:t>.</w:t>
      </w:r>
    </w:p>
    <w:p w:rsidRPr="00E11370" w:rsidR="009F18E0" w:rsidP="00B962F8" w:rsidRDefault="009F18E0" w14:paraId="06A894F1" w14:textId="77777777">
      <w:pPr>
        <w:spacing w:before="240" w:after="240" w:line="240" w:lineRule="auto"/>
        <w:contextualSpacing/>
        <w:rPr>
          <w:rFonts w:ascii="Arial" w:hAnsi="Arial" w:cs="Arial"/>
          <w:sz w:val="24"/>
          <w:szCs w:val="24"/>
        </w:rPr>
      </w:pPr>
    </w:p>
    <w:p w:rsidRPr="00E11370" w:rsidR="00255A1C" w:rsidP="00B962F8" w:rsidRDefault="00B962F8" w14:paraId="6BF23EB0" w14:textId="089CB2E5">
      <w:pPr>
        <w:spacing w:before="240" w:after="240" w:line="240" w:lineRule="auto"/>
        <w:contextualSpacing/>
        <w:rPr>
          <w:rFonts w:ascii="Arial" w:hAnsi="Arial" w:cs="Arial"/>
          <w:sz w:val="24"/>
          <w:szCs w:val="24"/>
        </w:rPr>
      </w:pPr>
      <w:r w:rsidRPr="00E11370">
        <w:rPr>
          <w:rFonts w:ascii="Arial" w:hAnsi="Arial" w:cs="Arial"/>
          <w:sz w:val="24"/>
          <w:szCs w:val="24"/>
        </w:rPr>
        <w:t xml:space="preserve">The general wage code </w:t>
      </w:r>
      <w:r w:rsidRPr="00E11370" w:rsidR="00F4337A">
        <w:rPr>
          <w:rFonts w:ascii="Arial" w:hAnsi="Arial" w:cs="Arial"/>
          <w:sz w:val="24"/>
          <w:szCs w:val="24"/>
        </w:rPr>
        <w:t>13</w:t>
      </w:r>
      <w:r w:rsidRPr="00E11370">
        <w:rPr>
          <w:rFonts w:ascii="Arial" w:hAnsi="Arial" w:cs="Arial"/>
          <w:sz w:val="24"/>
          <w:szCs w:val="24"/>
        </w:rPr>
        <w:t>-</w:t>
      </w:r>
      <w:r w:rsidRPr="00E11370" w:rsidR="00F4337A">
        <w:rPr>
          <w:rFonts w:ascii="Arial" w:hAnsi="Arial" w:cs="Arial"/>
          <w:sz w:val="24"/>
          <w:szCs w:val="24"/>
        </w:rPr>
        <w:t>2072</w:t>
      </w:r>
      <w:r w:rsidRPr="00E11370">
        <w:rPr>
          <w:rFonts w:ascii="Arial" w:hAnsi="Arial" w:cs="Arial"/>
          <w:sz w:val="24"/>
          <w:szCs w:val="24"/>
        </w:rPr>
        <w:t xml:space="preserve"> for “</w:t>
      </w:r>
      <w:r w:rsidRPr="00E11370" w:rsidR="00F4337A">
        <w:rPr>
          <w:rFonts w:ascii="Arial" w:hAnsi="Arial" w:cs="Arial"/>
          <w:sz w:val="24"/>
          <w:szCs w:val="24"/>
        </w:rPr>
        <w:t>Loan Officers</w:t>
      </w:r>
      <w:r w:rsidRPr="00E11370">
        <w:rPr>
          <w:rFonts w:ascii="Arial" w:hAnsi="Arial" w:cs="Arial"/>
          <w:sz w:val="24"/>
          <w:szCs w:val="24"/>
        </w:rPr>
        <w:t xml:space="preserve">” may be found by clicking this link: </w:t>
      </w:r>
      <w:hyperlink w:history="1" r:id="rId12">
        <w:r w:rsidRPr="00E11370" w:rsidR="00E11370">
          <w:rPr>
            <w:rStyle w:val="Hyperlink"/>
            <w:rFonts w:ascii="Arial" w:hAnsi="Arial" w:cs="Arial"/>
            <w:sz w:val="24"/>
            <w:szCs w:val="24"/>
          </w:rPr>
          <w:t>https://www.bls.gov/oes/current/oes_nat.htm</w:t>
        </w:r>
      </w:hyperlink>
      <w:r w:rsidRPr="00E11370" w:rsidR="00E11370">
        <w:rPr>
          <w:rFonts w:ascii="Arial" w:hAnsi="Arial" w:cs="Arial"/>
          <w:sz w:val="24"/>
          <w:szCs w:val="24"/>
        </w:rPr>
        <w:t>, May 2019</w:t>
      </w:r>
      <w:r w:rsidRPr="00E11370">
        <w:rPr>
          <w:rFonts w:ascii="Arial" w:hAnsi="Arial" w:cs="Arial"/>
          <w:sz w:val="24"/>
          <w:szCs w:val="24"/>
        </w:rPr>
        <w:t>.</w:t>
      </w:r>
    </w:p>
    <w:bookmarkEnd w:id="3"/>
    <w:p w:rsidRPr="006041A3" w:rsidR="00B962F8" w:rsidP="00B962F8" w:rsidRDefault="00B962F8" w14:paraId="0FCD4284" w14:textId="77777777">
      <w:pPr>
        <w:spacing w:before="240" w:after="240" w:line="240" w:lineRule="auto"/>
        <w:contextualSpacing/>
        <w:rPr>
          <w:rFonts w:ascii="Arial" w:hAnsi="Arial" w:eastAsia="Times New Roman" w:cs="Arial"/>
          <w:b/>
          <w:sz w:val="24"/>
          <w:szCs w:val="24"/>
        </w:rPr>
      </w:pPr>
    </w:p>
    <w:p w:rsidRPr="006041A3" w:rsidR="00255A1C" w:rsidP="00255A1C" w:rsidRDefault="00255A1C" w14:paraId="475BD8A7" w14:textId="0B1C5EC1">
      <w:pPr>
        <w:spacing w:after="240" w:line="240" w:lineRule="auto"/>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sidR="00F4337A">
        <w:rPr>
          <w:rFonts w:ascii="Arial" w:hAnsi="Arial" w:cs="Arial"/>
          <w:sz w:val="24"/>
          <w:szCs w:val="24"/>
        </w:rPr>
        <w:t>2,</w:t>
      </w:r>
      <w:r w:rsidR="00E11370">
        <w:rPr>
          <w:rFonts w:ascii="Arial" w:hAnsi="Arial" w:cs="Arial"/>
          <w:sz w:val="24"/>
          <w:szCs w:val="24"/>
        </w:rPr>
        <w:t>566.90</w:t>
      </w:r>
      <w:r w:rsidRPr="009F18E0">
        <w:rPr>
          <w:rFonts w:ascii="Arial" w:hAnsi="Arial" w:cs="Arial"/>
          <w:sz w:val="24"/>
          <w:szCs w:val="24"/>
        </w:rPr>
        <w:t xml:space="preserve"> (</w:t>
      </w:r>
      <w:r w:rsidR="00832CD2">
        <w:rPr>
          <w:rFonts w:ascii="Arial" w:hAnsi="Arial" w:cs="Arial"/>
          <w:sz w:val="24"/>
          <w:szCs w:val="24"/>
        </w:rPr>
        <w:t>70</w:t>
      </w:r>
      <w:r w:rsidRPr="009F18E0" w:rsidR="009F18E0">
        <w:rPr>
          <w:rFonts w:ascii="Arial" w:hAnsi="Arial" w:cs="Arial"/>
          <w:sz w:val="24"/>
          <w:szCs w:val="24"/>
        </w:rPr>
        <w:t xml:space="preserve"> </w:t>
      </w:r>
      <w:r w:rsidRPr="009F18E0">
        <w:rPr>
          <w:rFonts w:ascii="Arial" w:hAnsi="Arial" w:cs="Arial"/>
          <w:sz w:val="24"/>
          <w:szCs w:val="24"/>
        </w:rPr>
        <w:t>burden hours x $</w:t>
      </w:r>
      <w:r w:rsidR="00E11370">
        <w:rPr>
          <w:rFonts w:ascii="Arial" w:hAnsi="Arial" w:cs="Arial"/>
          <w:sz w:val="24"/>
          <w:szCs w:val="24"/>
        </w:rPr>
        <w:t>36.67</w:t>
      </w:r>
      <w:r w:rsidRPr="009F18E0">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9F18E0">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Pr="00125F42" w:rsidR="004814CC" w:rsidP="009F18E0" w:rsidRDefault="009F18E0" w14:paraId="31E7E048" w14:textId="5D36EEB3">
      <w:pPr>
        <w:pStyle w:val="BodyText"/>
        <w:ind w:left="720"/>
        <w:rPr>
          <w:rStyle w:val="Hyperlink"/>
          <w:color w:val="C00000"/>
        </w:rPr>
      </w:pPr>
      <w:r w:rsidRPr="009F18E0">
        <w:rPr>
          <w:rFonts w:ascii="Arial" w:hAnsi="Arial" w:cs="Arial"/>
          <w:color w:val="auto"/>
          <w:szCs w:val="24"/>
        </w:rPr>
        <w:t xml:space="preserve">Estimated Costs to the Federal Government are accessible through this link </w:t>
      </w:r>
      <w:hyperlink w:history="1" r:id="rId13">
        <w:r w:rsidRPr="00FF5412">
          <w:rPr>
            <w:rStyle w:val="Hyperlink"/>
            <w:rFonts w:ascii="Arial" w:hAnsi="Arial" w:cs="Arial"/>
            <w:szCs w:val="24"/>
          </w:rPr>
          <w:t>https://www.opm.gov/policy-data-oversight/pay-leave/salaries-wages/salary-tables/20Tables/html/RUS.aspx</w:t>
        </w:r>
      </w:hyperlink>
      <w:r>
        <w:rPr>
          <w:rFonts w:ascii="Arial" w:hAnsi="Arial" w:cs="Arial"/>
          <w:color w:val="C00000"/>
          <w:szCs w:val="24"/>
        </w:rPr>
        <w:t xml:space="preserve">. </w:t>
      </w:r>
    </w:p>
    <w:p w:rsidRPr="00125F42" w:rsidR="006D11F3" w:rsidP="006D11F3" w:rsidRDefault="006D11F3" w14:paraId="1BA4D6F4" w14:textId="2E4E93D7">
      <w:pPr>
        <w:pStyle w:val="BodyText"/>
        <w:rPr>
          <w:rStyle w:val="Hyperlink"/>
          <w:rFonts w:ascii="Arial" w:hAnsi="Arial" w:cs="Arial"/>
          <w:color w:val="C00000"/>
          <w:szCs w:val="24"/>
        </w:rPr>
      </w:pPr>
    </w:p>
    <w:p w:rsidRPr="00125F42" w:rsidR="006D11F3" w:rsidP="006D11F3" w:rsidRDefault="006D11F3" w14:paraId="1DD6FFA5" w14:textId="77777777">
      <w:pPr>
        <w:pStyle w:val="BodyText"/>
        <w:rPr>
          <w:rStyle w:val="Hyperlink"/>
          <w:rFonts w:ascii="Arial" w:hAnsi="Arial" w:cs="Arial"/>
          <w:color w:val="C00000"/>
          <w:szCs w:val="24"/>
        </w:rPr>
      </w:pPr>
    </w:p>
    <w:p w:rsidRPr="00125F42"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125F42" w:rsidR="00463D10" w:rsidP="00463D10" w:rsidRDefault="00463D10" w14:paraId="6A0B8E80" w14:textId="77777777">
      <w:pPr>
        <w:pStyle w:val="ListParagraph"/>
        <w:ind w:left="1080"/>
        <w:rPr>
          <w:rFonts w:ascii="Arial" w:hAnsi="Arial" w:eastAsia="Times New Roman" w:cs="Arial"/>
          <w:color w:val="C00000"/>
          <w:sz w:val="24"/>
          <w:szCs w:val="24"/>
        </w:rPr>
      </w:pPr>
    </w:p>
    <w:tbl>
      <w:tblPr>
        <w:tblpPr w:leftFromText="180" w:rightFromText="180" w:vertAnchor="text" w:horzAnchor="margin" w:tblpXSpec="right" w:tblpY="-144"/>
        <w:tblW w:w="8753" w:type="dxa"/>
        <w:tblLook w:val="04A0" w:firstRow="1" w:lastRow="0" w:firstColumn="1" w:lastColumn="0" w:noHBand="0" w:noVBand="1"/>
      </w:tblPr>
      <w:tblGrid>
        <w:gridCol w:w="1339"/>
        <w:gridCol w:w="710"/>
        <w:gridCol w:w="990"/>
        <w:gridCol w:w="1096"/>
        <w:gridCol w:w="1421"/>
        <w:gridCol w:w="1554"/>
        <w:gridCol w:w="1643"/>
      </w:tblGrid>
      <w:tr w:rsidRPr="008F6593" w:rsidR="009F18E0" w:rsidTr="009F18E0" w14:paraId="738B07CD" w14:textId="77777777">
        <w:trPr>
          <w:trHeight w:val="492"/>
        </w:trPr>
        <w:tc>
          <w:tcPr>
            <w:tcW w:w="13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6362CDAB"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Grade</w:t>
            </w:r>
          </w:p>
        </w:tc>
        <w:tc>
          <w:tcPr>
            <w:tcW w:w="71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6079052B"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1DC8199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Burden Time</w:t>
            </w:r>
          </w:p>
        </w:tc>
        <w:tc>
          <w:tcPr>
            <w:tcW w:w="1096"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B717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Hourly Rate</w:t>
            </w:r>
          </w:p>
        </w:tc>
        <w:tc>
          <w:tcPr>
            <w:tcW w:w="1421"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C4BA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554"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4140123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643"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52070D0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9F18E0" w:rsidTr="009F18E0" w14:paraId="23626014" w14:textId="77777777">
        <w:trPr>
          <w:trHeight w:val="288"/>
        </w:trPr>
        <w:tc>
          <w:tcPr>
            <w:tcW w:w="1339" w:type="dxa"/>
            <w:tcBorders>
              <w:top w:val="nil"/>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37B729E7"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10</w:t>
            </w:r>
          </w:p>
        </w:tc>
        <w:tc>
          <w:tcPr>
            <w:tcW w:w="71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08CF4216" w14:textId="28C8F5E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w:t>
            </w:r>
          </w:p>
        </w:tc>
        <w:tc>
          <w:tcPr>
            <w:tcW w:w="99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1226FE31" w14:textId="7E95C9D8">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w:t>
            </w:r>
            <w:r w:rsidRPr="006F50DB">
              <w:rPr>
                <w:rFonts w:ascii="Arial" w:hAnsi="Arial" w:eastAsia="Times New Roman" w:cs="Arial"/>
                <w:color w:val="000000"/>
                <w:sz w:val="24"/>
                <w:szCs w:val="24"/>
              </w:rPr>
              <w:t xml:space="preserve"> min</w:t>
            </w:r>
          </w:p>
        </w:tc>
        <w:tc>
          <w:tcPr>
            <w:tcW w:w="1096"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7CF25A1D" w14:textId="33696210">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Pr="009F18E0">
              <w:rPr>
                <w:rFonts w:ascii="Arial" w:hAnsi="Arial" w:eastAsia="Times New Roman" w:cs="Arial"/>
                <w:color w:val="000000"/>
                <w:sz w:val="24"/>
                <w:szCs w:val="24"/>
              </w:rPr>
              <w:t>31.64</w:t>
            </w:r>
          </w:p>
        </w:tc>
        <w:tc>
          <w:tcPr>
            <w:tcW w:w="1421"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78781334" w14:textId="00DDF726">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Pr>
                <w:rFonts w:ascii="Arial" w:hAnsi="Arial" w:eastAsia="Times New Roman" w:cs="Arial"/>
                <w:color w:val="000000"/>
                <w:sz w:val="24"/>
                <w:szCs w:val="24"/>
              </w:rPr>
              <w:t>0</w:t>
            </w:r>
            <w:r w:rsidR="00A45DC4">
              <w:rPr>
                <w:rFonts w:ascii="Arial" w:hAnsi="Arial" w:eastAsia="Times New Roman" w:cs="Arial"/>
                <w:color w:val="000000"/>
                <w:sz w:val="24"/>
                <w:szCs w:val="24"/>
              </w:rPr>
              <w:t>.53</w:t>
            </w:r>
          </w:p>
        </w:tc>
        <w:tc>
          <w:tcPr>
            <w:tcW w:w="1554"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832CD2" w14:paraId="318597B8" w14:textId="3D9C538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967</w:t>
            </w:r>
            <w:r w:rsidRPr="008F6593" w:rsidR="009F18E0">
              <w:rPr>
                <w:rFonts w:ascii="Arial" w:hAnsi="Arial" w:eastAsia="Times New Roman" w:cs="Arial"/>
                <w:color w:val="000000"/>
                <w:sz w:val="24"/>
                <w:szCs w:val="24"/>
              </w:rPr>
              <w:t xml:space="preserve"> </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D1A41FC" w14:textId="1CC0EA9C">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55D82">
              <w:rPr>
                <w:rFonts w:ascii="Arial" w:hAnsi="Arial" w:eastAsia="Times New Roman" w:cs="Arial"/>
                <w:color w:val="000000"/>
                <w:sz w:val="24"/>
                <w:szCs w:val="24"/>
              </w:rPr>
              <w:t>512.51</w:t>
            </w:r>
          </w:p>
        </w:tc>
      </w:tr>
      <w:tr w:rsidRPr="008F6593" w:rsidR="009F18E0" w:rsidTr="009F18E0" w14:paraId="5FCD214E"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100C98BD"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Overhead at 100% Salary</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4E4C4A59" w14:textId="29D55FB3">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55D82">
              <w:rPr>
                <w:rFonts w:ascii="Arial" w:hAnsi="Arial" w:eastAsia="Times New Roman" w:cs="Arial"/>
                <w:color w:val="000000"/>
                <w:sz w:val="24"/>
                <w:szCs w:val="24"/>
              </w:rPr>
              <w:t>512.</w:t>
            </w:r>
            <w:r w:rsidR="00BE5216">
              <w:rPr>
                <w:rFonts w:ascii="Arial" w:hAnsi="Arial" w:eastAsia="Times New Roman" w:cs="Arial"/>
                <w:color w:val="000000"/>
                <w:sz w:val="24"/>
                <w:szCs w:val="24"/>
              </w:rPr>
              <w:t>5</w:t>
            </w:r>
            <w:r w:rsidR="00955D82">
              <w:rPr>
                <w:rFonts w:ascii="Arial" w:hAnsi="Arial" w:eastAsia="Times New Roman" w:cs="Arial"/>
                <w:color w:val="000000"/>
                <w:sz w:val="24"/>
                <w:szCs w:val="24"/>
              </w:rPr>
              <w:t>1</w:t>
            </w:r>
            <w:r w:rsidRPr="008F6593">
              <w:rPr>
                <w:rFonts w:ascii="Arial" w:hAnsi="Arial" w:eastAsia="Times New Roman" w:cs="Arial"/>
                <w:color w:val="000000"/>
                <w:sz w:val="24"/>
                <w:szCs w:val="24"/>
              </w:rPr>
              <w:t xml:space="preserve"> </w:t>
            </w:r>
          </w:p>
        </w:tc>
      </w:tr>
      <w:tr w:rsidRPr="008F6593" w:rsidR="009F18E0" w:rsidTr="009F18E0" w14:paraId="0FDC3F6C" w14:textId="77777777">
        <w:trPr>
          <w:trHeight w:val="587"/>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9F18E0" w:rsidP="009F18E0" w:rsidRDefault="009F18E0" w14:paraId="5B839988"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2A5DB5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9F18E0" w:rsidTr="009F18E0" w14:paraId="44D92DBE"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0F79C929"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4E26E2D7" w14:textId="17EAA173">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454809">
              <w:rPr>
                <w:rFonts w:ascii="Arial" w:hAnsi="Arial" w:eastAsia="Times New Roman" w:cs="Arial"/>
                <w:color w:val="000000"/>
                <w:sz w:val="24"/>
                <w:szCs w:val="24"/>
              </w:rPr>
              <w:t xml:space="preserve"> </w:t>
            </w:r>
            <w:r w:rsidR="00955D82">
              <w:rPr>
                <w:rFonts w:ascii="Arial" w:hAnsi="Arial" w:eastAsia="Times New Roman" w:cs="Arial"/>
                <w:color w:val="000000"/>
                <w:sz w:val="24"/>
                <w:szCs w:val="24"/>
              </w:rPr>
              <w:t>512.</w:t>
            </w:r>
            <w:r w:rsidR="00BE5216">
              <w:rPr>
                <w:rFonts w:ascii="Arial" w:hAnsi="Arial" w:eastAsia="Times New Roman" w:cs="Arial"/>
                <w:color w:val="000000"/>
                <w:sz w:val="24"/>
                <w:szCs w:val="24"/>
              </w:rPr>
              <w:t>5</w:t>
            </w:r>
            <w:r w:rsidR="00955D82">
              <w:rPr>
                <w:rFonts w:ascii="Arial" w:hAnsi="Arial" w:eastAsia="Times New Roman" w:cs="Arial"/>
                <w:color w:val="000000"/>
                <w:sz w:val="24"/>
                <w:szCs w:val="24"/>
              </w:rPr>
              <w:t>1</w:t>
            </w:r>
            <w:r w:rsidRPr="008F6593">
              <w:rPr>
                <w:rFonts w:ascii="Arial" w:hAnsi="Arial" w:eastAsia="Times New Roman" w:cs="Arial"/>
                <w:color w:val="000000"/>
                <w:sz w:val="24"/>
                <w:szCs w:val="24"/>
              </w:rPr>
              <w:t xml:space="preserve"> </w:t>
            </w:r>
          </w:p>
        </w:tc>
      </w:tr>
      <w:tr w:rsidRPr="008F6593" w:rsidR="009F18E0" w:rsidTr="009F18E0" w14:paraId="385DAC32"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5ABCB17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13F1A543" w14:textId="0906A2F0">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55D82">
              <w:rPr>
                <w:rFonts w:ascii="Arial" w:hAnsi="Arial" w:eastAsia="Times New Roman" w:cs="Arial"/>
                <w:color w:val="000000"/>
                <w:sz w:val="24"/>
                <w:szCs w:val="24"/>
              </w:rPr>
              <w:t>512.</w:t>
            </w:r>
            <w:r w:rsidR="00BE5216">
              <w:rPr>
                <w:rFonts w:ascii="Arial" w:hAnsi="Arial" w:eastAsia="Times New Roman" w:cs="Arial"/>
                <w:color w:val="000000"/>
                <w:sz w:val="24"/>
                <w:szCs w:val="24"/>
              </w:rPr>
              <w:t>5</w:t>
            </w:r>
            <w:r w:rsidR="00955D82">
              <w:rPr>
                <w:rFonts w:ascii="Arial" w:hAnsi="Arial" w:eastAsia="Times New Roman" w:cs="Arial"/>
                <w:color w:val="000000"/>
                <w:sz w:val="24"/>
                <w:szCs w:val="24"/>
              </w:rPr>
              <w:t>1</w:t>
            </w:r>
          </w:p>
        </w:tc>
      </w:tr>
      <w:tr w:rsidRPr="008F6593" w:rsidR="009F18E0" w:rsidTr="009F18E0" w14:paraId="0F68F6BD"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7CA3BE1F"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30C1A1CD" w14:textId="1196E023">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955D82">
              <w:rPr>
                <w:rFonts w:ascii="Arial" w:hAnsi="Arial" w:eastAsia="Times New Roman" w:cs="Arial"/>
                <w:color w:val="000000"/>
                <w:sz w:val="24"/>
                <w:szCs w:val="24"/>
              </w:rPr>
              <w:t>512.</w:t>
            </w:r>
            <w:r w:rsidR="00BE5216">
              <w:rPr>
                <w:rFonts w:ascii="Arial" w:hAnsi="Arial" w:eastAsia="Times New Roman" w:cs="Arial"/>
                <w:color w:val="000000"/>
                <w:sz w:val="24"/>
                <w:szCs w:val="24"/>
              </w:rPr>
              <w:t>5</w:t>
            </w:r>
            <w:r w:rsidR="00955D82">
              <w:rPr>
                <w:rFonts w:ascii="Arial" w:hAnsi="Arial" w:eastAsia="Times New Roman" w:cs="Arial"/>
                <w:color w:val="000000"/>
                <w:sz w:val="24"/>
                <w:szCs w:val="24"/>
              </w:rPr>
              <w:t>1</w:t>
            </w:r>
          </w:p>
        </w:tc>
      </w:tr>
    </w:tbl>
    <w:p w:rsidR="009F18E0" w:rsidP="00A014C3" w:rsidRDefault="009F18E0" w14:paraId="00A7AD12" w14:textId="3BA744C9">
      <w:pPr>
        <w:pStyle w:val="BodyText"/>
        <w:rPr>
          <w:rFonts w:ascii="Arial" w:hAnsi="Arial" w:cs="Arial"/>
          <w:color w:val="C00000"/>
          <w:szCs w:val="24"/>
        </w:rPr>
      </w:pPr>
    </w:p>
    <w:p w:rsidR="009F18E0" w:rsidP="000513C4" w:rsidRDefault="009F18E0" w14:paraId="1B06A42C" w14:textId="68D4E00F">
      <w:pPr>
        <w:pStyle w:val="BodyText"/>
        <w:ind w:left="720"/>
        <w:rPr>
          <w:rFonts w:ascii="Arial" w:hAnsi="Arial" w:cs="Arial"/>
          <w:color w:val="C00000"/>
          <w:szCs w:val="24"/>
        </w:rPr>
      </w:pPr>
    </w:p>
    <w:p w:rsidR="009F18E0" w:rsidP="000513C4" w:rsidRDefault="009F18E0" w14:paraId="49A48281" w14:textId="77777777">
      <w:pPr>
        <w:pStyle w:val="BodyText"/>
        <w:ind w:left="720"/>
        <w:rPr>
          <w:rFonts w:ascii="Arial" w:hAnsi="Arial" w:cs="Arial"/>
          <w:color w:val="C00000"/>
          <w:szCs w:val="24"/>
        </w:rPr>
      </w:pPr>
    </w:p>
    <w:p w:rsidRPr="00A45DC4" w:rsidR="000513C4" w:rsidP="000513C4" w:rsidRDefault="000513C4" w14:paraId="4FBAEF8F" w14:textId="22FDDB29">
      <w:pPr>
        <w:pStyle w:val="BodyText"/>
        <w:ind w:left="720"/>
        <w:rPr>
          <w:rStyle w:val="Hyperlink"/>
          <w:rFonts w:ascii="Arial" w:hAnsi="Arial" w:cs="Arial"/>
          <w:color w:val="auto"/>
          <w:szCs w:val="24"/>
        </w:rPr>
      </w:pPr>
      <w:r w:rsidRPr="00A45DC4">
        <w:rPr>
          <w:rFonts w:ascii="Arial" w:hAnsi="Arial" w:cs="Arial"/>
          <w:color w:val="auto"/>
          <w:szCs w:val="24"/>
        </w:rPr>
        <w:t>The</w:t>
      </w:r>
      <w:r w:rsidRPr="00A45DC4">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00BA7D2B">
        <w:rPr>
          <w:rFonts w:ascii="Arial" w:hAnsi="Arial" w:cs="Arial"/>
          <w:color w:val="auto"/>
          <w:spacing w:val="32"/>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6C7A43" w:rsidP="00B9372E" w:rsidRDefault="00A014C3" w14:paraId="48DC1D5B" w14:textId="08FEBE47">
      <w:pPr>
        <w:spacing w:after="0" w:line="240" w:lineRule="auto"/>
        <w:ind w:firstLine="720"/>
        <w:rPr>
          <w:rFonts w:ascii="Arial" w:hAnsi="Arial" w:eastAsia="Times New Roman" w:cs="Arial"/>
          <w:sz w:val="24"/>
          <w:szCs w:val="24"/>
        </w:rPr>
      </w:pPr>
      <w:r w:rsidRPr="00A014C3">
        <w:rPr>
          <w:rFonts w:ascii="Arial" w:hAnsi="Arial" w:eastAsia="Times New Roman" w:cs="Arial"/>
          <w:sz w:val="24"/>
          <w:szCs w:val="24"/>
        </w:rPr>
        <w:t>Not applicable as the burden has not changed.</w:t>
      </w:r>
    </w:p>
    <w:p w:rsidRPr="004814CC" w:rsidR="00A014C3" w:rsidP="00B9372E" w:rsidRDefault="00A014C3" w14:paraId="2FD66596"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0513C4" w:rsidP="000513C4" w:rsidRDefault="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A014C3" w:rsidRDefault="00463D10" w14:paraId="1B035ED1"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A014C3" w:rsidRDefault="00A014C3" w14:paraId="6A0B8E92" w14:textId="6B593717">
      <w:pPr>
        <w:pStyle w:val="ListParagraph"/>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A014C3" w:rsidP="00463D10" w:rsidRDefault="00A014C3" w14:paraId="089A1F8B"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Pr="006041A3" w:rsidR="000513C4" w:rsidP="000513C4" w:rsidRDefault="000513C4" w14:paraId="5D380AF9" w14:textId="77777777">
      <w:pPr>
        <w:spacing w:line="240" w:lineRule="auto"/>
        <w:rPr>
          <w:rFonts w:ascii="Arial" w:hAnsi="Arial" w:cs="Arial"/>
          <w:sz w:val="24"/>
          <w:szCs w:val="24"/>
        </w:rPr>
      </w:pPr>
    </w:p>
    <w:p w:rsidR="00463D10" w:rsidP="00463D10" w:rsidRDefault="00463D10" w14:paraId="6A0B8E96" w14:textId="77777777">
      <w:pPr>
        <w:spacing w:after="0" w:line="240" w:lineRule="auto"/>
        <w:ind w:firstLine="360"/>
        <w:rPr>
          <w:rFonts w:ascii="Arial" w:hAnsi="Arial" w:eastAsia="Times New Roman" w:cs="Arial"/>
          <w:color w:val="FF0000"/>
          <w:sz w:val="24"/>
          <w:szCs w:val="24"/>
        </w:rPr>
      </w:pPr>
    </w:p>
    <w:p w:rsidR="00463D10" w:rsidP="00463D10" w:rsidRDefault="00463D10" w14:paraId="6A0B8E97" w14:textId="77777777"/>
    <w:p w:rsidR="000F7B91" w:rsidRDefault="00E11370" w14:paraId="6A0B8E98" w14:textId="77777777"/>
    <w:sectPr w:rsidR="000F7B9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E73D4" w14:textId="77777777" w:rsidR="005272B9" w:rsidRDefault="005272B9" w:rsidP="005F453F">
      <w:pPr>
        <w:spacing w:after="0" w:line="240" w:lineRule="auto"/>
      </w:pPr>
      <w:r>
        <w:separator/>
      </w:r>
    </w:p>
  </w:endnote>
  <w:endnote w:type="continuationSeparator" w:id="0">
    <w:p w14:paraId="31045850" w14:textId="77777777" w:rsidR="005272B9" w:rsidRDefault="005272B9"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5CF86" w14:textId="77777777" w:rsidR="005272B9" w:rsidRDefault="005272B9" w:rsidP="005F453F">
      <w:pPr>
        <w:spacing w:after="0" w:line="240" w:lineRule="auto"/>
      </w:pPr>
      <w:r>
        <w:separator/>
      </w:r>
    </w:p>
  </w:footnote>
  <w:footnote w:type="continuationSeparator" w:id="0">
    <w:p w14:paraId="7DBCA31F" w14:textId="77777777" w:rsidR="005272B9" w:rsidRDefault="005272B9"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F5BD" w14:textId="685D5CF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513C4"/>
    <w:rsid w:val="00051D09"/>
    <w:rsid w:val="00125F42"/>
    <w:rsid w:val="001269E4"/>
    <w:rsid w:val="001451EE"/>
    <w:rsid w:val="00206E36"/>
    <w:rsid w:val="00215DC3"/>
    <w:rsid w:val="00255A1C"/>
    <w:rsid w:val="0030566B"/>
    <w:rsid w:val="00344A7B"/>
    <w:rsid w:val="003C58C5"/>
    <w:rsid w:val="00421F04"/>
    <w:rsid w:val="00454809"/>
    <w:rsid w:val="004557DA"/>
    <w:rsid w:val="00463D10"/>
    <w:rsid w:val="004814CC"/>
    <w:rsid w:val="004A5FFB"/>
    <w:rsid w:val="004C2042"/>
    <w:rsid w:val="005272B9"/>
    <w:rsid w:val="005E4D6D"/>
    <w:rsid w:val="005F453F"/>
    <w:rsid w:val="005F7370"/>
    <w:rsid w:val="00646C5F"/>
    <w:rsid w:val="006C7A43"/>
    <w:rsid w:val="006D11F3"/>
    <w:rsid w:val="007977A3"/>
    <w:rsid w:val="007B6983"/>
    <w:rsid w:val="007F0162"/>
    <w:rsid w:val="00832CD2"/>
    <w:rsid w:val="008A2A7A"/>
    <w:rsid w:val="008A7F13"/>
    <w:rsid w:val="008F4CE8"/>
    <w:rsid w:val="00955D82"/>
    <w:rsid w:val="009F18E0"/>
    <w:rsid w:val="00A014C3"/>
    <w:rsid w:val="00A13FA4"/>
    <w:rsid w:val="00A2152D"/>
    <w:rsid w:val="00A45DC4"/>
    <w:rsid w:val="00A46642"/>
    <w:rsid w:val="00A70E7E"/>
    <w:rsid w:val="00A92A5E"/>
    <w:rsid w:val="00AA212B"/>
    <w:rsid w:val="00AE799C"/>
    <w:rsid w:val="00AF0F81"/>
    <w:rsid w:val="00B44935"/>
    <w:rsid w:val="00B545C9"/>
    <w:rsid w:val="00B572A2"/>
    <w:rsid w:val="00B82092"/>
    <w:rsid w:val="00B90E79"/>
    <w:rsid w:val="00B9372E"/>
    <w:rsid w:val="00B962F8"/>
    <w:rsid w:val="00BA7D2B"/>
    <w:rsid w:val="00BE5216"/>
    <w:rsid w:val="00BF1095"/>
    <w:rsid w:val="00C17DA8"/>
    <w:rsid w:val="00C33BAE"/>
    <w:rsid w:val="00CB7E10"/>
    <w:rsid w:val="00D55F0F"/>
    <w:rsid w:val="00DB6F48"/>
    <w:rsid w:val="00DE3E87"/>
    <w:rsid w:val="00E11370"/>
    <w:rsid w:val="00E11ADD"/>
    <w:rsid w:val="00E42ED3"/>
    <w:rsid w:val="00E45518"/>
    <w:rsid w:val="00EC0EBB"/>
    <w:rsid w:val="00F1030C"/>
    <w:rsid w:val="00F4337A"/>
    <w:rsid w:val="00F43544"/>
    <w:rsid w:val="00F6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3D10"/>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0Tables/html/RU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5983D495-5A20-4447-B955-3ACB3272BD50}">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ced1f988-d16c-4eb7-9443-312b8723c36c"/>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F5A9C9-A278-400C-8BEF-B5BF7BDA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Kawakami, Araceli, VBAVACO</cp:lastModifiedBy>
  <cp:revision>18</cp:revision>
  <cp:lastPrinted>2020-01-09T17:29:00Z</cp:lastPrinted>
  <dcterms:created xsi:type="dcterms:W3CDTF">2020-01-02T19:09:00Z</dcterms:created>
  <dcterms:modified xsi:type="dcterms:W3CDTF">2020-05-07T18:48:00Z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