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4FB4" w:rsidR="006C1DBB" w:rsidP="006C1DBB" w:rsidRDefault="006C1DBB">
      <w:pPr>
        <w:widowControl w:val="0"/>
        <w:tabs>
          <w:tab w:val="center" w:pos="4680"/>
        </w:tabs>
        <w:jc w:val="center"/>
        <w:rPr>
          <w:szCs w:val="24"/>
        </w:rPr>
      </w:pPr>
      <w:bookmarkStart w:name="_GoBack" w:id="0"/>
      <w:bookmarkEnd w:id="0"/>
      <w:r w:rsidRPr="001B4FB4">
        <w:rPr>
          <w:szCs w:val="24"/>
        </w:rPr>
        <w:t>DEPARTMENT OF TRANSPORTATION</w:t>
      </w:r>
    </w:p>
    <w:p w:rsidRPr="001B4FB4" w:rsidR="001D224D" w:rsidP="006C1DBB" w:rsidRDefault="001D224D">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end"/>
      </w:r>
      <w:r w:rsidRPr="001B4FB4">
        <w:rPr>
          <w:szCs w:val="24"/>
        </w:rPr>
        <w:t>INFORMATION COLLECTION</w:t>
      </w:r>
    </w:p>
    <w:p w:rsidR="001B4FB4" w:rsidRDefault="001D224D">
      <w:pPr>
        <w:widowControl w:val="0"/>
        <w:tabs>
          <w:tab w:val="center" w:pos="4680"/>
        </w:tabs>
        <w:rPr>
          <w:szCs w:val="24"/>
        </w:rPr>
      </w:pPr>
      <w:r w:rsidRPr="001B4FB4">
        <w:rPr>
          <w:szCs w:val="24"/>
        </w:rPr>
        <w:tab/>
      </w:r>
    </w:p>
    <w:p w:rsidR="001D224D" w:rsidP="001B4FB4" w:rsidRDefault="001D224D">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Pr="001B4FB4" w:rsidR="001B4FB4" w:rsidP="001B4FB4" w:rsidRDefault="001B4FB4">
      <w:pPr>
        <w:widowControl w:val="0"/>
        <w:tabs>
          <w:tab w:val="center" w:pos="4680"/>
        </w:tabs>
        <w:jc w:val="center"/>
        <w:rPr>
          <w:szCs w:val="24"/>
          <w:u w:val="single"/>
        </w:rPr>
      </w:pPr>
    </w:p>
    <w:p w:rsidR="00327EA9" w:rsidP="009D1393" w:rsidRDefault="00327EA9">
      <w:pPr>
        <w:widowControl w:val="0"/>
        <w:spacing w:line="480" w:lineRule="auto"/>
        <w:jc w:val="center"/>
        <w:rPr>
          <w:szCs w:val="24"/>
        </w:rPr>
      </w:pPr>
      <w:r>
        <w:rPr>
          <w:szCs w:val="24"/>
        </w:rPr>
        <w:t>“</w:t>
      </w:r>
      <w:r w:rsidRPr="00217477" w:rsidR="00733B03">
        <w:rPr>
          <w:szCs w:val="24"/>
        </w:rPr>
        <w:t>Rupture/ Valve Shut-off: Post-Incident Records for Pipeline Operators</w:t>
      </w:r>
      <w:r>
        <w:rPr>
          <w:szCs w:val="24"/>
        </w:rPr>
        <w:t>”</w:t>
      </w:r>
    </w:p>
    <w:p w:rsidRPr="001B4FB4" w:rsidR="00F45271" w:rsidP="001B4FB4" w:rsidRDefault="00A37A22">
      <w:pPr>
        <w:widowControl w:val="0"/>
        <w:tabs>
          <w:tab w:val="center" w:pos="4680"/>
        </w:tabs>
        <w:jc w:val="center"/>
        <w:rPr>
          <w:szCs w:val="24"/>
        </w:rPr>
      </w:pPr>
      <w:r w:rsidRPr="001B4FB4">
        <w:rPr>
          <w:szCs w:val="24"/>
        </w:rPr>
        <w:t xml:space="preserve">OMB </w:t>
      </w:r>
      <w:r w:rsidRPr="001B4FB4" w:rsidR="001B4FB4">
        <w:rPr>
          <w:szCs w:val="24"/>
        </w:rPr>
        <w:t>Control No.  2137-XXXX</w:t>
      </w:r>
      <w:r w:rsidR="00C63F5E">
        <w:rPr>
          <w:szCs w:val="24"/>
        </w:rPr>
        <w:t xml:space="preserve"> (PHMSA is requesting a new OMB Control No.)</w:t>
      </w:r>
    </w:p>
    <w:p w:rsidRPr="00CF1B7A" w:rsidR="001B4FB4" w:rsidP="001B4FB4" w:rsidRDefault="00327EA9">
      <w:pPr>
        <w:widowControl w:val="0"/>
        <w:tabs>
          <w:tab w:val="center" w:pos="4680"/>
        </w:tabs>
        <w:jc w:val="center"/>
        <w:rPr>
          <w:szCs w:val="24"/>
        </w:rPr>
      </w:pPr>
      <w:r w:rsidRPr="00327EA9">
        <w:rPr>
          <w:szCs w:val="24"/>
        </w:rPr>
        <w:t xml:space="preserve">Docket No. </w:t>
      </w:r>
      <w:bookmarkStart w:name="_Hlk507408425" w:id="1"/>
      <w:r w:rsidRPr="00327EA9">
        <w:rPr>
          <w:szCs w:val="24"/>
        </w:rPr>
        <w:t>PHMSA-2013-0255</w:t>
      </w:r>
      <w:bookmarkEnd w:id="1"/>
    </w:p>
    <w:p w:rsidRPr="00981917" w:rsidR="00EC23D6" w:rsidP="00EC23D6" w:rsidRDefault="00EC23D6">
      <w:pPr>
        <w:rPr>
          <w:b/>
          <w:szCs w:val="24"/>
          <w:u w:val="single"/>
        </w:rPr>
      </w:pPr>
      <w:r w:rsidRPr="00981917">
        <w:rPr>
          <w:b/>
          <w:szCs w:val="24"/>
          <w:u w:val="single"/>
        </w:rPr>
        <w:t>INTRODUCTION</w:t>
      </w:r>
    </w:p>
    <w:p w:rsidRPr="00981917" w:rsidR="00EC23D6" w:rsidP="00EC23D6" w:rsidRDefault="00EC23D6">
      <w:pPr>
        <w:rPr>
          <w:b/>
          <w:szCs w:val="24"/>
          <w:u w:val="single"/>
        </w:rPr>
      </w:pPr>
    </w:p>
    <w:p w:rsidRPr="001B4FB4" w:rsidR="001B4FB4" w:rsidP="001B4FB4" w:rsidRDefault="001B4FB4">
      <w:pPr>
        <w:outlineLvl w:val="0"/>
        <w:rPr>
          <w:szCs w:val="24"/>
        </w:rPr>
      </w:pPr>
      <w:r w:rsidRPr="001B4FB4">
        <w:rPr>
          <w:bCs/>
          <w:szCs w:val="24"/>
        </w:rPr>
        <w:t xml:space="preserve">The Pipeline and Hazardous Materials Safety Administration (PHMSA) requests approval from the Office of Management and Budget (OMB) </w:t>
      </w:r>
      <w:r>
        <w:rPr>
          <w:bCs/>
          <w:szCs w:val="24"/>
        </w:rPr>
        <w:t xml:space="preserve">of a new information collection </w:t>
      </w:r>
      <w:r w:rsidRPr="00981917">
        <w:rPr>
          <w:szCs w:val="24"/>
        </w:rPr>
        <w:t xml:space="preserve">entitled, </w:t>
      </w:r>
      <w:r>
        <w:rPr>
          <w:szCs w:val="24"/>
        </w:rPr>
        <w:t xml:space="preserve"> </w:t>
      </w:r>
      <w:r w:rsidR="006F2D9A">
        <w:t>“</w:t>
      </w:r>
      <w:r w:rsidRPr="00217477" w:rsidR="009D1393">
        <w:rPr>
          <w:szCs w:val="24"/>
        </w:rPr>
        <w:t>Rupture/ Valve Shut-off: Post-Incident Records for Pipeline Operators</w:t>
      </w:r>
      <w:r w:rsidR="00327EA9">
        <w:t>”</w:t>
      </w:r>
      <w:r w:rsidR="006F2D9A">
        <w:t xml:space="preserve">.  </w:t>
      </w:r>
      <w:r>
        <w:rPr>
          <w:szCs w:val="24"/>
        </w:rPr>
        <w:t xml:space="preserve">The development </w:t>
      </w:r>
      <w:r w:rsidRPr="001B4FB4">
        <w:rPr>
          <w:szCs w:val="24"/>
        </w:rPr>
        <w:t xml:space="preserve">of this information collection is necessary due to the following PHMSA action that will </w:t>
      </w:r>
      <w:r>
        <w:rPr>
          <w:szCs w:val="24"/>
        </w:rPr>
        <w:t>trigger components of the Paperwork Reduction Act</w:t>
      </w:r>
      <w:r w:rsidR="00C63F5E">
        <w:rPr>
          <w:szCs w:val="24"/>
        </w:rPr>
        <w:t>:</w:t>
      </w:r>
    </w:p>
    <w:p w:rsidRPr="001B4FB4" w:rsidR="001B4FB4" w:rsidP="001B4FB4" w:rsidRDefault="001B4FB4">
      <w:pPr>
        <w:rPr>
          <w:szCs w:val="24"/>
        </w:rPr>
      </w:pPr>
    </w:p>
    <w:p w:rsidR="006F2D9A" w:rsidP="006F2D9A" w:rsidRDefault="001B4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6F2D9A">
        <w:rPr>
          <w:b/>
          <w:szCs w:val="24"/>
        </w:rPr>
        <w:t>Docket No. PHMSA-201</w:t>
      </w:r>
      <w:r w:rsidR="00327EA9">
        <w:rPr>
          <w:b/>
          <w:szCs w:val="24"/>
        </w:rPr>
        <w:t>3</w:t>
      </w:r>
      <w:r w:rsidRPr="006F2D9A">
        <w:rPr>
          <w:b/>
          <w:szCs w:val="24"/>
        </w:rPr>
        <w:t>-0</w:t>
      </w:r>
      <w:r w:rsidRPr="006F2D9A" w:rsidR="006F2D9A">
        <w:rPr>
          <w:b/>
          <w:szCs w:val="24"/>
        </w:rPr>
        <w:t>2</w:t>
      </w:r>
      <w:r w:rsidR="00327EA9">
        <w:rPr>
          <w:b/>
          <w:szCs w:val="24"/>
        </w:rPr>
        <w:t>55</w:t>
      </w:r>
      <w:r w:rsidRPr="006F2D9A">
        <w:rPr>
          <w:b/>
          <w:szCs w:val="24"/>
        </w:rPr>
        <w:t xml:space="preserve"> - </w:t>
      </w:r>
      <w:r w:rsidRPr="001E2015" w:rsidR="006F2D9A">
        <w:rPr>
          <w:b/>
          <w:szCs w:val="24"/>
        </w:rPr>
        <w:t xml:space="preserve">Pipeline Safety: </w:t>
      </w:r>
      <w:r w:rsidR="00327EA9">
        <w:rPr>
          <w:b/>
          <w:szCs w:val="24"/>
        </w:rPr>
        <w:t>Amendments to Parts 192 and 195 to Require Valve Installation and Minimum Rupture Detection Standards</w:t>
      </w:r>
    </w:p>
    <w:p w:rsidRPr="001E2015" w:rsidR="006F2D9A" w:rsidP="006F2D9A" w:rsidRDefault="006F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6F2D9A" w:rsidP="009F675B" w:rsidRDefault="002D5722">
      <w:pPr>
        <w:widowControl w:val="0"/>
        <w:numPr>
          <w:ilvl w:val="1"/>
          <w:numId w:val="24"/>
        </w:numPr>
        <w:tabs>
          <w:tab w:val="num" w:pos="360"/>
        </w:tabs>
        <w:rPr>
          <w:b/>
          <w:szCs w:val="24"/>
        </w:rPr>
      </w:pPr>
      <w:r w:rsidRPr="009D1393">
        <w:rPr>
          <w:b/>
          <w:szCs w:val="24"/>
        </w:rPr>
        <w:t xml:space="preserve">This collection will add </w:t>
      </w:r>
      <w:r w:rsidRPr="009D1393" w:rsidR="009D1393">
        <w:rPr>
          <w:b/>
          <w:szCs w:val="24"/>
        </w:rPr>
        <w:t>50</w:t>
      </w:r>
      <w:r w:rsidRPr="009D1393">
        <w:rPr>
          <w:b/>
          <w:szCs w:val="24"/>
        </w:rPr>
        <w:t xml:space="preserve"> Annual Responses and </w:t>
      </w:r>
      <w:r w:rsidR="00D364AD">
        <w:rPr>
          <w:b/>
          <w:szCs w:val="24"/>
        </w:rPr>
        <w:t>400</w:t>
      </w:r>
      <w:r w:rsidRPr="009D1393">
        <w:rPr>
          <w:b/>
          <w:szCs w:val="24"/>
        </w:rPr>
        <w:t xml:space="preserve"> Annual Burden Hours for </w:t>
      </w:r>
      <w:r w:rsidR="009D1393">
        <w:rPr>
          <w:b/>
          <w:szCs w:val="24"/>
        </w:rPr>
        <w:t>post-incident recordkeeping</w:t>
      </w:r>
    </w:p>
    <w:p w:rsidRPr="009D1393" w:rsidR="009D1393" w:rsidP="009D1393" w:rsidRDefault="009D1393">
      <w:pPr>
        <w:widowControl w:val="0"/>
        <w:ind w:left="1440"/>
        <w:rPr>
          <w:b/>
          <w:szCs w:val="24"/>
        </w:rPr>
      </w:pPr>
    </w:p>
    <w:p w:rsidRPr="00981917" w:rsidR="00EC23D6" w:rsidP="00EC23D6" w:rsidRDefault="00EC23D6">
      <w:pPr>
        <w:rPr>
          <w:b/>
          <w:szCs w:val="24"/>
        </w:rPr>
      </w:pPr>
      <w:r w:rsidRPr="00981917">
        <w:rPr>
          <w:b/>
          <w:szCs w:val="24"/>
        </w:rPr>
        <w:t>Part A. Justification</w:t>
      </w:r>
    </w:p>
    <w:p w:rsidRPr="00981917" w:rsidR="00EC23D6" w:rsidP="00EC23D6" w:rsidRDefault="00EC23D6">
      <w:pPr>
        <w:jc w:val="center"/>
        <w:rPr>
          <w:b/>
          <w:szCs w:val="24"/>
        </w:rPr>
      </w:pPr>
    </w:p>
    <w:p w:rsidRPr="00945FB5" w:rsidR="00EC23D6" w:rsidP="000A6210" w:rsidRDefault="00EC23D6">
      <w:pPr>
        <w:numPr>
          <w:ilvl w:val="0"/>
          <w:numId w:val="16"/>
        </w:numPr>
        <w:tabs>
          <w:tab w:val="clear" w:pos="720"/>
          <w:tab w:val="num" w:pos="0"/>
          <w:tab w:val="left" w:pos="54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rsidRDefault="00CD1ABD">
      <w:pPr>
        <w:tabs>
          <w:tab w:val="left" w:pos="8100"/>
        </w:tabs>
        <w:rPr>
          <w:szCs w:val="24"/>
        </w:rPr>
      </w:pPr>
    </w:p>
    <w:p w:rsidRPr="009D1393" w:rsidR="009D1393" w:rsidP="009D1393" w:rsidRDefault="002C0FC8">
      <w:pPr>
        <w:ind w:firstLine="720"/>
        <w:rPr>
          <w:bCs/>
          <w:szCs w:val="24"/>
        </w:rPr>
      </w:pPr>
      <w:r w:rsidRPr="009D1393">
        <w:rPr>
          <w:bCs/>
          <w:szCs w:val="24"/>
        </w:rPr>
        <w:t>According to the provisions proposed in th</w:t>
      </w:r>
      <w:r w:rsidRPr="009D1393" w:rsidR="00F4317E">
        <w:rPr>
          <w:bCs/>
          <w:szCs w:val="24"/>
        </w:rPr>
        <w:t>e</w:t>
      </w:r>
      <w:r w:rsidRPr="009D1393">
        <w:rPr>
          <w:bCs/>
          <w:szCs w:val="24"/>
        </w:rPr>
        <w:t xml:space="preserve"> </w:t>
      </w:r>
      <w:r w:rsidRPr="009D1393" w:rsidR="00F4317E">
        <w:rPr>
          <w:bCs/>
          <w:szCs w:val="24"/>
        </w:rPr>
        <w:t xml:space="preserve">Pipeline Safety: </w:t>
      </w:r>
      <w:r w:rsidRPr="009D1393" w:rsidR="0011613D">
        <w:rPr>
          <w:bCs/>
          <w:szCs w:val="24"/>
        </w:rPr>
        <w:t xml:space="preserve">Amendments to Parts 192 and 195 to Require Valve Installation and Minimum Rupture Detection Standards </w:t>
      </w:r>
      <w:r w:rsidRPr="009D1393">
        <w:rPr>
          <w:bCs/>
          <w:szCs w:val="24"/>
        </w:rPr>
        <w:t xml:space="preserve">NPRM, </w:t>
      </w:r>
      <w:r w:rsidR="009D1393">
        <w:rPr>
          <w:bCs/>
          <w:szCs w:val="24"/>
        </w:rPr>
        <w:t>i</w:t>
      </w:r>
      <w:r w:rsidRPr="009D1393" w:rsidR="009D1393">
        <w:rPr>
          <w:bCs/>
          <w:szCs w:val="24"/>
        </w:rPr>
        <w:t>f a failure or incident involves a rupture as defined in § 192.3 or the closure of a rupture-mitigation valve as defined in § 192.634, the operator must complete a summary of the post-incident review within 90 days of the failure or incident while the investigation is pending</w:t>
      </w:r>
      <w:r w:rsidR="009D1393">
        <w:rPr>
          <w:bCs/>
          <w:szCs w:val="24"/>
        </w:rPr>
        <w:t xml:space="preserve"> and </w:t>
      </w:r>
      <w:r w:rsidRPr="009D1393" w:rsidR="009D1393">
        <w:rPr>
          <w:bCs/>
          <w:szCs w:val="24"/>
        </w:rPr>
        <w:t>conduct quarterly status reviews until completed. The post-incident summary, all investigation and analysis documents used to prepare it, and records of lessons learned must be must be reviewed, dated, and signed by the appro</w:t>
      </w:r>
      <w:r w:rsidR="00290DF2">
        <w:rPr>
          <w:bCs/>
          <w:szCs w:val="24"/>
        </w:rPr>
        <w:t xml:space="preserve">priate senior executive officer and </w:t>
      </w:r>
      <w:r w:rsidRPr="009D1393" w:rsidR="009D1393">
        <w:rPr>
          <w:bCs/>
          <w:szCs w:val="24"/>
        </w:rPr>
        <w:t xml:space="preserve">kept for the useful life of the pipeline. </w:t>
      </w:r>
    </w:p>
    <w:p w:rsidRPr="00A71C67" w:rsidR="00F4317E" w:rsidP="00A71C67" w:rsidRDefault="00F4317E">
      <w:pPr>
        <w:rPr>
          <w:szCs w:val="24"/>
        </w:rPr>
      </w:pPr>
    </w:p>
    <w:p w:rsidRPr="00A71C67" w:rsidR="00431DC5" w:rsidP="00431DC5" w:rsidRDefault="00431DC5">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6F2D9A" w:rsidP="000A6210" w:rsidRDefault="006F2D9A">
      <w:pPr>
        <w:widowControl w:val="0"/>
        <w:tabs>
          <w:tab w:val="left" w:pos="540"/>
        </w:tabs>
        <w:rPr>
          <w:b/>
          <w:szCs w:val="24"/>
        </w:rPr>
      </w:pPr>
    </w:p>
    <w:p w:rsidRPr="00981917" w:rsidR="00F45271" w:rsidP="000A6210" w:rsidRDefault="001D224D">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p>
    <w:p w:rsidR="005A3519" w:rsidP="005A3519" w:rsidRDefault="005A3519"/>
    <w:p w:rsidR="00290DF2" w:rsidP="00E228B0" w:rsidRDefault="00E228B0">
      <w:pPr>
        <w:rPr>
          <w:szCs w:val="24"/>
        </w:rPr>
      </w:pPr>
      <w:r w:rsidRPr="00E228B0">
        <w:rPr>
          <w:szCs w:val="24"/>
        </w:rPr>
        <w:t xml:space="preserve">The information collection provides PHMSA with the information necessary to evaluate the </w:t>
      </w:r>
      <w:r w:rsidR="00290DF2">
        <w:rPr>
          <w:szCs w:val="24"/>
        </w:rPr>
        <w:t xml:space="preserve">incidents in which pipelines rupture or in which the rupture-mitigation valves were closed. </w:t>
      </w:r>
      <w:r w:rsidR="002C0FC8">
        <w:rPr>
          <w:szCs w:val="24"/>
        </w:rPr>
        <w:t xml:space="preserve">methods used by hazardous liquid operators when </w:t>
      </w:r>
      <w:r w:rsidR="00851862">
        <w:rPr>
          <w:szCs w:val="24"/>
        </w:rPr>
        <w:t>mitigating pipeline ruptures.</w:t>
      </w:r>
      <w:r w:rsidRPr="00E228B0">
        <w:rPr>
          <w:szCs w:val="24"/>
        </w:rPr>
        <w:t xml:space="preserve">  PHMSA will use the information provided in the </w:t>
      </w:r>
      <w:r w:rsidR="00290DF2">
        <w:rPr>
          <w:szCs w:val="24"/>
        </w:rPr>
        <w:t xml:space="preserve">records to </w:t>
      </w:r>
      <w:r w:rsidRPr="00655C8D" w:rsidR="00290DF2">
        <w:rPr>
          <w:szCs w:val="24"/>
        </w:rPr>
        <w:t>identify potential preventive and mitigative measures that could be taken to reduce or limit the release volume and damage from similar events in the future.</w:t>
      </w:r>
    </w:p>
    <w:p w:rsidRPr="00E228B0" w:rsidR="00E228B0" w:rsidP="00E228B0" w:rsidRDefault="00290DF2">
      <w:pPr>
        <w:rPr>
          <w:szCs w:val="24"/>
        </w:rPr>
      </w:pPr>
      <w:r w:rsidRPr="00E228B0">
        <w:rPr>
          <w:szCs w:val="24"/>
        </w:rPr>
        <w:t xml:space="preserve"> </w:t>
      </w:r>
    </w:p>
    <w:p w:rsidR="001D224D" w:rsidP="000A6210" w:rsidRDefault="001D224D">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rsidRDefault="00E94974"/>
    <w:p w:rsidRPr="00E228B0" w:rsidR="00E228B0" w:rsidP="00E228B0" w:rsidRDefault="00E228B0">
      <w:pPr>
        <w:rPr>
          <w:szCs w:val="24"/>
        </w:rPr>
      </w:pPr>
      <w:r w:rsidRPr="00E228B0">
        <w:rPr>
          <w:szCs w:val="24"/>
        </w:rPr>
        <w:t xml:space="preserve">PHMSA </w:t>
      </w:r>
      <w:r w:rsidR="00117729">
        <w:rPr>
          <w:szCs w:val="24"/>
        </w:rPr>
        <w:t xml:space="preserve">allows operators to </w:t>
      </w:r>
      <w:r w:rsidR="00290DF2">
        <w:rPr>
          <w:szCs w:val="24"/>
        </w:rPr>
        <w:t xml:space="preserve">keep the records by whatever means is easiest for them. </w:t>
      </w:r>
      <w:r w:rsidRPr="00E228B0">
        <w:rPr>
          <w:szCs w:val="24"/>
        </w:rPr>
        <w:t xml:space="preserve">  </w:t>
      </w:r>
    </w:p>
    <w:p w:rsidRPr="00981917" w:rsidR="00855CD7" w:rsidP="00855CD7" w:rsidRDefault="00855CD7">
      <w:pPr>
        <w:widowControl w:val="0"/>
        <w:tabs>
          <w:tab w:val="left" w:pos="540"/>
        </w:tabs>
        <w:rPr>
          <w:b/>
          <w:szCs w:val="24"/>
        </w:rPr>
      </w:pPr>
    </w:p>
    <w:p w:rsidRPr="00855CD7" w:rsidR="00720D5B" w:rsidP="00855CD7" w:rsidRDefault="000A6210">
      <w:pPr>
        <w:widowControl w:val="0"/>
        <w:numPr>
          <w:ilvl w:val="0"/>
          <w:numId w:val="11"/>
        </w:numPr>
        <w:tabs>
          <w:tab w:val="clear" w:pos="720"/>
          <w:tab w:val="num" w:pos="-90"/>
          <w:tab w:val="left" w:pos="0"/>
          <w:tab w:val="left" w:pos="540"/>
        </w:tabs>
        <w:ind w:left="0" w:firstLine="0"/>
        <w:rPr>
          <w:b/>
          <w:szCs w:val="24"/>
          <w:u w:val="single"/>
        </w:rPr>
      </w:pPr>
      <w:r w:rsidRPr="00855CD7">
        <w:rPr>
          <w:b/>
          <w:szCs w:val="24"/>
          <w:u w:val="single"/>
        </w:rPr>
        <w:t>Describe efforts to identify duplication</w:t>
      </w:r>
    </w:p>
    <w:p w:rsidR="00E94974" w:rsidP="00C152F3" w:rsidRDefault="00E94974"/>
    <w:p w:rsidRPr="00E228B0" w:rsidR="00E228B0" w:rsidP="00E228B0" w:rsidRDefault="00E228B0">
      <w:pPr>
        <w:rPr>
          <w:szCs w:val="24"/>
        </w:rPr>
      </w:pPr>
      <w:r w:rsidRPr="00E228B0">
        <w:rPr>
          <w:szCs w:val="24"/>
        </w:rPr>
        <w:t>There is no duplication, as the information collected is unique to specific situations.</w:t>
      </w:r>
    </w:p>
    <w:p w:rsidR="00855CD7" w:rsidP="00855CD7" w:rsidRDefault="00855CD7"/>
    <w:p w:rsidR="00855CD7" w:rsidP="000A6210" w:rsidRDefault="001D224D">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rsidRDefault="00E94974"/>
    <w:p w:rsidRPr="00E228B0" w:rsidR="00E228B0" w:rsidP="00E228B0" w:rsidRDefault="00E228B0">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Pr="00981917" w:rsidR="00720D5B" w:rsidP="00720D5B" w:rsidRDefault="00720D5B">
      <w:pPr>
        <w:widowControl w:val="0"/>
        <w:tabs>
          <w:tab w:val="left" w:pos="0"/>
          <w:tab w:val="left" w:pos="540"/>
        </w:tabs>
        <w:ind w:left="-90"/>
        <w:rPr>
          <w:szCs w:val="24"/>
        </w:rPr>
      </w:pPr>
    </w:p>
    <w:p w:rsidRPr="00981917" w:rsidR="001D224D" w:rsidP="00FA69D1" w:rsidRDefault="001D224D">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rsidRDefault="00FA69D1"/>
    <w:p w:rsidRPr="00E228B0" w:rsidR="00E228B0" w:rsidP="00E228B0" w:rsidRDefault="00E228B0">
      <w:pPr>
        <w:rPr>
          <w:szCs w:val="24"/>
        </w:rPr>
      </w:pPr>
      <w:r w:rsidRPr="00E228B0">
        <w:rPr>
          <w:szCs w:val="24"/>
        </w:rPr>
        <w:t xml:space="preserve">It is not possible to conduct the collection less frequently and still ensure the necessary level of safety to life and property inherent in transporting </w:t>
      </w:r>
      <w:r w:rsidR="00D364AD">
        <w:rPr>
          <w:szCs w:val="24"/>
        </w:rPr>
        <w:t xml:space="preserve">natural gas and </w:t>
      </w:r>
      <w:r w:rsidRPr="00E228B0">
        <w:rPr>
          <w:szCs w:val="24"/>
        </w:rPr>
        <w:t>hazardous materials.    Therefore, less frequent information collection could compromise the safety of the U.S. pipeline system and the environment.</w:t>
      </w:r>
    </w:p>
    <w:p w:rsidR="00FA69D1" w:rsidP="000A6210" w:rsidRDefault="00FA69D1">
      <w:pPr>
        <w:widowControl w:val="0"/>
        <w:tabs>
          <w:tab w:val="left" w:pos="540"/>
        </w:tabs>
        <w:rPr>
          <w:b/>
          <w:szCs w:val="24"/>
        </w:rPr>
      </w:pPr>
    </w:p>
    <w:p w:rsidRPr="00981917" w:rsidR="001D224D" w:rsidP="00FA69D1" w:rsidRDefault="001D224D">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7870FE" w:rsidP="00781054" w:rsidRDefault="007870FE"/>
    <w:p w:rsidR="00781054" w:rsidP="00781054" w:rsidRDefault="00781054">
      <w:r>
        <w:t>The information collection contains no special circumstances.</w:t>
      </w:r>
    </w:p>
    <w:p w:rsidRPr="00981917" w:rsidR="001D224D" w:rsidP="000A6210" w:rsidRDefault="001D224D">
      <w:pPr>
        <w:widowControl w:val="0"/>
        <w:tabs>
          <w:tab w:val="left" w:pos="540"/>
        </w:tabs>
        <w:rPr>
          <w:szCs w:val="24"/>
        </w:rPr>
      </w:pPr>
    </w:p>
    <w:p w:rsidRPr="00981917" w:rsidR="001D224D" w:rsidP="00FA69D1" w:rsidRDefault="001D224D">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rsidRDefault="00FA69D1">
      <w:pPr>
        <w:rPr>
          <w:szCs w:val="24"/>
        </w:rPr>
      </w:pPr>
    </w:p>
    <w:p w:rsidRPr="00FA69D1" w:rsidR="001D5CEF" w:rsidP="001D5CEF" w:rsidRDefault="001D5CEF">
      <w:pPr>
        <w:rPr>
          <w:szCs w:val="24"/>
        </w:rPr>
      </w:pPr>
      <w:r w:rsidRPr="00FA69D1">
        <w:rPr>
          <w:szCs w:val="24"/>
        </w:rPr>
        <w:t xml:space="preserve">PHMSA issued a Notice of Proposed Rulemaking (NPRM) on </w:t>
      </w:r>
      <w:r>
        <w:rPr>
          <w:szCs w:val="24"/>
        </w:rPr>
        <w:t xml:space="preserve">February 6, 2020 </w:t>
      </w:r>
      <w:r w:rsidRPr="00FA69D1">
        <w:rPr>
          <w:szCs w:val="24"/>
        </w:rPr>
        <w:t>(</w:t>
      </w:r>
      <w:r>
        <w:rPr>
          <w:szCs w:val="24"/>
        </w:rPr>
        <w:t>85</w:t>
      </w:r>
      <w:r w:rsidRPr="00FA69D1">
        <w:rPr>
          <w:szCs w:val="24"/>
        </w:rPr>
        <w:t xml:space="preserve"> FR </w:t>
      </w:r>
      <w:r>
        <w:rPr>
          <w:szCs w:val="24"/>
        </w:rPr>
        <w:t>7162</w:t>
      </w:r>
      <w:r w:rsidRPr="00FA69D1">
        <w:rPr>
          <w:szCs w:val="24"/>
        </w:rPr>
        <w:t>).  The comment period end</w:t>
      </w:r>
      <w:r>
        <w:rPr>
          <w:szCs w:val="24"/>
        </w:rPr>
        <w:t>s</w:t>
      </w:r>
      <w:r w:rsidRPr="00FA69D1">
        <w:rPr>
          <w:szCs w:val="24"/>
        </w:rPr>
        <w:t xml:space="preserve"> on </w:t>
      </w:r>
      <w:r>
        <w:rPr>
          <w:szCs w:val="24"/>
        </w:rPr>
        <w:t>April 6, 2020</w:t>
      </w:r>
      <w:r w:rsidRPr="00FA69D1">
        <w:rPr>
          <w:szCs w:val="24"/>
        </w:rPr>
        <w:t>.</w:t>
      </w:r>
    </w:p>
    <w:p w:rsidRPr="00981917" w:rsidR="001D224D" w:rsidP="000A6210" w:rsidRDefault="001D224D">
      <w:pPr>
        <w:widowControl w:val="0"/>
        <w:tabs>
          <w:tab w:val="left" w:pos="540"/>
        </w:tabs>
        <w:rPr>
          <w:b/>
          <w:szCs w:val="24"/>
        </w:rPr>
      </w:pPr>
    </w:p>
    <w:p w:rsidRPr="00FA69D1" w:rsidR="001D224D" w:rsidP="00FA69D1" w:rsidRDefault="0026419F">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rsidRDefault="00FA69D1">
      <w:pPr>
        <w:rPr>
          <w:szCs w:val="24"/>
        </w:rPr>
      </w:pPr>
    </w:p>
    <w:p w:rsidRPr="00FA69D1" w:rsidR="00FA69D1" w:rsidP="00FA69D1" w:rsidRDefault="00FA69D1">
      <w:pPr>
        <w:rPr>
          <w:szCs w:val="24"/>
        </w:rPr>
      </w:pPr>
      <w:r w:rsidRPr="00FA69D1">
        <w:rPr>
          <w:szCs w:val="24"/>
        </w:rPr>
        <w:t>There is no payment or gift provided to respondents associated with this collection of information.</w:t>
      </w:r>
    </w:p>
    <w:p w:rsidR="00FA69D1" w:rsidP="00AA1704"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Pr="00981917" w:rsidR="001D224D" w:rsidP="000A6210" w:rsidRDefault="001D224D">
      <w:pPr>
        <w:widowControl w:val="0"/>
        <w:tabs>
          <w:tab w:val="left" w:pos="540"/>
        </w:tabs>
        <w:rPr>
          <w:b/>
          <w:szCs w:val="24"/>
        </w:rPr>
      </w:pPr>
    </w:p>
    <w:p w:rsidRPr="00FA69D1" w:rsidR="00AA1704" w:rsidP="000A6210" w:rsidRDefault="00FA69D1">
      <w:pPr>
        <w:widowControl w:val="0"/>
        <w:tabs>
          <w:tab w:val="left" w:pos="540"/>
        </w:tabs>
        <w:rPr>
          <w:szCs w:val="24"/>
        </w:rPr>
      </w:pPr>
      <w:r w:rsidRPr="00FA69D1">
        <w:rPr>
          <w:szCs w:val="24"/>
        </w:rPr>
        <w:t>PHMSA does not have the authority to guarantee confidentiality.</w:t>
      </w:r>
    </w:p>
    <w:p w:rsidRPr="00981917" w:rsidR="00FA69D1" w:rsidP="000A6210" w:rsidRDefault="00FA69D1">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Pr="00981917" w:rsidR="001D224D" w:rsidP="000A6210" w:rsidRDefault="001D224D">
      <w:pPr>
        <w:widowControl w:val="0"/>
        <w:tabs>
          <w:tab w:val="left" w:pos="540"/>
        </w:tabs>
        <w:rPr>
          <w:b/>
          <w:szCs w:val="24"/>
        </w:rPr>
      </w:pPr>
    </w:p>
    <w:p w:rsidRPr="00FA69D1" w:rsidR="00FA69D1" w:rsidP="00FA69D1" w:rsidRDefault="00117729">
      <w:pPr>
        <w:rPr>
          <w:szCs w:val="24"/>
        </w:rPr>
      </w:pPr>
      <w:r>
        <w:rPr>
          <w:szCs w:val="24"/>
        </w:rPr>
        <w:t>T</w:t>
      </w:r>
      <w:r w:rsidRPr="00FA69D1" w:rsidR="00FA69D1">
        <w:rPr>
          <w:szCs w:val="24"/>
        </w:rPr>
        <w:t>his information collection do</w:t>
      </w:r>
      <w:r>
        <w:rPr>
          <w:szCs w:val="24"/>
        </w:rPr>
        <w:t>es</w:t>
      </w:r>
      <w:r w:rsidRPr="00FA69D1" w:rsidR="00FA69D1">
        <w:rPr>
          <w:szCs w:val="24"/>
        </w:rPr>
        <w:t xml:space="preserve"> not involve questions of a sensitive nature.</w:t>
      </w:r>
    </w:p>
    <w:p w:rsidRPr="00981917" w:rsidR="00AA1704" w:rsidP="000A6210" w:rsidRDefault="00AA1704">
      <w:pPr>
        <w:widowControl w:val="0"/>
        <w:tabs>
          <w:tab w:val="left" w:pos="540"/>
        </w:tabs>
        <w:rPr>
          <w:b/>
          <w:szCs w:val="24"/>
        </w:rPr>
      </w:pPr>
    </w:p>
    <w:p w:rsidRPr="00981917" w:rsidR="0012012B" w:rsidP="00781054" w:rsidRDefault="001D224D">
      <w:pPr>
        <w:widowControl w:val="0"/>
        <w:tabs>
          <w:tab w:val="left" w:pos="540"/>
        </w:tabs>
        <w:rPr>
          <w:b/>
          <w:szCs w:val="24"/>
        </w:rPr>
      </w:pPr>
      <w:r w:rsidRPr="00981917">
        <w:rPr>
          <w:b/>
          <w:szCs w:val="24"/>
        </w:rPr>
        <w:lastRenderedPageBreak/>
        <w:t>12.</w:t>
      </w:r>
      <w:r w:rsidRPr="00981917">
        <w:rPr>
          <w:b/>
          <w:szCs w:val="24"/>
        </w:rPr>
        <w:tab/>
      </w:r>
      <w:r w:rsidRPr="00981917" w:rsidR="006C0638">
        <w:rPr>
          <w:b/>
          <w:szCs w:val="24"/>
          <w:u w:val="single"/>
        </w:rPr>
        <w:t>Estimate of burden hours for information requested.</w:t>
      </w:r>
    </w:p>
    <w:p w:rsidRPr="00981917" w:rsidR="00AD05BD" w:rsidP="00AD05BD" w:rsidRDefault="00AD05BD">
      <w:pPr>
        <w:widowControl w:val="0"/>
        <w:tabs>
          <w:tab w:val="left" w:pos="270"/>
          <w:tab w:val="left" w:pos="540"/>
        </w:tabs>
        <w:rPr>
          <w:b/>
          <w:szCs w:val="24"/>
        </w:rPr>
      </w:pPr>
    </w:p>
    <w:p w:rsidR="007870FE" w:rsidP="00AD05BD" w:rsidRDefault="00781054">
      <w:pPr>
        <w:widowControl w:val="0"/>
        <w:tabs>
          <w:tab w:val="left" w:pos="270"/>
          <w:tab w:val="left" w:pos="540"/>
        </w:tabs>
        <w:rPr>
          <w:b/>
          <w:szCs w:val="24"/>
        </w:rPr>
      </w:pPr>
      <w:r>
        <w:rPr>
          <w:b/>
          <w:szCs w:val="24"/>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30"/>
      </w:tblGrid>
      <w:tr w:rsidRPr="009E7044" w:rsidR="007870FE" w:rsidTr="009E7044">
        <w:tc>
          <w:tcPr>
            <w:tcW w:w="6030" w:type="dxa"/>
            <w:shd w:val="clear" w:color="auto" w:fill="auto"/>
          </w:tcPr>
          <w:p w:rsidRPr="009E7044" w:rsidR="007870FE" w:rsidP="009E7044" w:rsidRDefault="007870FE">
            <w:pPr>
              <w:widowControl w:val="0"/>
              <w:tabs>
                <w:tab w:val="left" w:pos="270"/>
                <w:tab w:val="left" w:pos="540"/>
              </w:tabs>
              <w:rPr>
                <w:b/>
                <w:szCs w:val="24"/>
              </w:rPr>
            </w:pPr>
            <w:r w:rsidRPr="009E7044">
              <w:rPr>
                <w:b/>
                <w:szCs w:val="24"/>
              </w:rPr>
              <w:t>Proposed number of responses: 50 responses</w:t>
            </w:r>
          </w:p>
        </w:tc>
      </w:tr>
      <w:tr w:rsidRPr="009E7044" w:rsidR="007870FE" w:rsidTr="009E7044">
        <w:tc>
          <w:tcPr>
            <w:tcW w:w="6030" w:type="dxa"/>
            <w:shd w:val="clear" w:color="auto" w:fill="auto"/>
          </w:tcPr>
          <w:p w:rsidRPr="009E7044" w:rsidR="007870FE" w:rsidP="009E7044" w:rsidRDefault="007870FE">
            <w:pPr>
              <w:widowControl w:val="0"/>
              <w:tabs>
                <w:tab w:val="left" w:pos="270"/>
                <w:tab w:val="left" w:pos="540"/>
              </w:tabs>
              <w:rPr>
                <w:b/>
                <w:szCs w:val="24"/>
              </w:rPr>
            </w:pPr>
            <w:r w:rsidRPr="009E7044">
              <w:rPr>
                <w:b/>
                <w:szCs w:val="24"/>
              </w:rPr>
              <w:t>Proposed annual burden: 400 hours</w:t>
            </w:r>
          </w:p>
        </w:tc>
      </w:tr>
    </w:tbl>
    <w:p w:rsidRPr="00B6184F" w:rsidR="007E5E25" w:rsidP="007870FE" w:rsidRDefault="00781054">
      <w:pPr>
        <w:widowControl w:val="0"/>
        <w:tabs>
          <w:tab w:val="left" w:pos="270"/>
          <w:tab w:val="left" w:pos="540"/>
        </w:tabs>
        <w:rPr>
          <w:i/>
          <w:szCs w:val="24"/>
        </w:rPr>
      </w:pPr>
      <w:r>
        <w:rPr>
          <w:b/>
          <w:szCs w:val="24"/>
        </w:rPr>
        <w:tab/>
      </w:r>
    </w:p>
    <w:p w:rsidR="00BB5474" w:rsidP="00BB5474" w:rsidRDefault="00BB5474">
      <w:pPr>
        <w:rPr>
          <w:szCs w:val="24"/>
        </w:rPr>
      </w:pPr>
      <w:r w:rsidRPr="00BB5474">
        <w:rPr>
          <w:szCs w:val="24"/>
        </w:rPr>
        <w:t>PHMSA e</w:t>
      </w:r>
      <w:r w:rsidR="00A661DC">
        <w:rPr>
          <w:szCs w:val="24"/>
        </w:rPr>
        <w:t xml:space="preserve">xpects PHMSA estimates this notification requirement will result in </w:t>
      </w:r>
      <w:r w:rsidR="00D364AD">
        <w:rPr>
          <w:szCs w:val="24"/>
        </w:rPr>
        <w:t>50</w:t>
      </w:r>
      <w:r w:rsidR="00A661DC">
        <w:rPr>
          <w:szCs w:val="24"/>
        </w:rPr>
        <w:t xml:space="preserve"> responses annually and has allotted each respondent </w:t>
      </w:r>
      <w:r w:rsidR="00D364AD">
        <w:rPr>
          <w:szCs w:val="24"/>
        </w:rPr>
        <w:t>8</w:t>
      </w:r>
      <w:r w:rsidR="00A661DC">
        <w:rPr>
          <w:szCs w:val="24"/>
        </w:rPr>
        <w:t xml:space="preserve"> hours </w:t>
      </w:r>
      <w:r w:rsidR="00D364AD">
        <w:rPr>
          <w:szCs w:val="24"/>
        </w:rPr>
        <w:t>per response</w:t>
      </w:r>
      <w:r w:rsidR="00A661DC">
        <w:rPr>
          <w:szCs w:val="24"/>
        </w:rPr>
        <w:t xml:space="preserve"> to conduct this task. </w:t>
      </w:r>
      <w:r w:rsidRPr="00BB5474">
        <w:rPr>
          <w:szCs w:val="24"/>
        </w:rPr>
        <w:t>This results in a</w:t>
      </w:r>
      <w:r w:rsidR="002D5722">
        <w:rPr>
          <w:szCs w:val="24"/>
        </w:rPr>
        <w:t>n overall</w:t>
      </w:r>
      <w:r w:rsidRPr="00BB5474">
        <w:rPr>
          <w:szCs w:val="24"/>
        </w:rPr>
        <w:t xml:space="preserve"> </w:t>
      </w:r>
      <w:r w:rsidR="00117729">
        <w:rPr>
          <w:szCs w:val="24"/>
        </w:rPr>
        <w:t xml:space="preserve">annual </w:t>
      </w:r>
      <w:r w:rsidRPr="00BB5474">
        <w:rPr>
          <w:szCs w:val="24"/>
        </w:rPr>
        <w:t xml:space="preserve">burden estimate of </w:t>
      </w:r>
      <w:r w:rsidR="00D364AD">
        <w:rPr>
          <w:szCs w:val="24"/>
        </w:rPr>
        <w:t>400</w:t>
      </w:r>
      <w:r w:rsidRPr="00BB5474">
        <w:rPr>
          <w:szCs w:val="24"/>
        </w:rPr>
        <w:t xml:space="preserve"> hours (</w:t>
      </w:r>
      <w:r w:rsidR="00D364AD">
        <w:rPr>
          <w:szCs w:val="24"/>
        </w:rPr>
        <w:t>50</w:t>
      </w:r>
      <w:r w:rsidR="00117729">
        <w:rPr>
          <w:szCs w:val="24"/>
        </w:rPr>
        <w:t xml:space="preserve"> responses *</w:t>
      </w:r>
      <w:r w:rsidR="00D364AD">
        <w:rPr>
          <w:szCs w:val="24"/>
        </w:rPr>
        <w:t>8</w:t>
      </w:r>
      <w:r w:rsidR="00117729">
        <w:rPr>
          <w:szCs w:val="24"/>
        </w:rPr>
        <w:t xml:space="preserve"> </w:t>
      </w:r>
      <w:r w:rsidR="002D5722">
        <w:rPr>
          <w:szCs w:val="24"/>
        </w:rPr>
        <w:t>hours</w:t>
      </w:r>
      <w:r w:rsidRPr="00BB5474">
        <w:rPr>
          <w:szCs w:val="24"/>
        </w:rPr>
        <w:t>)</w:t>
      </w:r>
      <w:r w:rsidR="003658D8">
        <w:rPr>
          <w:szCs w:val="24"/>
        </w:rPr>
        <w:t>.</w:t>
      </w:r>
    </w:p>
    <w:p w:rsidR="007870FE" w:rsidP="00BB5474" w:rsidRDefault="007870FE">
      <w:pPr>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6"/>
        <w:gridCol w:w="2394"/>
        <w:gridCol w:w="2394"/>
        <w:gridCol w:w="2196"/>
      </w:tblGrid>
      <w:tr w:rsidRPr="009E7044" w:rsidR="007870FE" w:rsidTr="009E7044">
        <w:tc>
          <w:tcPr>
            <w:tcW w:w="2286" w:type="dxa"/>
            <w:shd w:val="clear" w:color="auto" w:fill="DEEAF6"/>
          </w:tcPr>
          <w:p w:rsidRPr="009E7044" w:rsidR="007870FE" w:rsidP="009E7044" w:rsidRDefault="007870FE">
            <w:pPr>
              <w:jc w:val="center"/>
              <w:rPr>
                <w:b/>
                <w:szCs w:val="24"/>
              </w:rPr>
            </w:pPr>
            <w:r w:rsidRPr="009E7044">
              <w:rPr>
                <w:b/>
                <w:szCs w:val="24"/>
              </w:rPr>
              <w:t>IC</w:t>
            </w:r>
          </w:p>
        </w:tc>
        <w:tc>
          <w:tcPr>
            <w:tcW w:w="2394" w:type="dxa"/>
            <w:shd w:val="clear" w:color="auto" w:fill="DEEAF6"/>
          </w:tcPr>
          <w:p w:rsidRPr="009E7044" w:rsidR="007870FE" w:rsidP="009E7044" w:rsidRDefault="007870FE">
            <w:pPr>
              <w:jc w:val="center"/>
              <w:rPr>
                <w:b/>
                <w:szCs w:val="24"/>
              </w:rPr>
            </w:pPr>
            <w:r w:rsidRPr="009E7044">
              <w:rPr>
                <w:b/>
                <w:szCs w:val="24"/>
              </w:rPr>
              <w:t>Responses</w:t>
            </w:r>
          </w:p>
        </w:tc>
        <w:tc>
          <w:tcPr>
            <w:tcW w:w="2394" w:type="dxa"/>
            <w:shd w:val="clear" w:color="auto" w:fill="DEEAF6"/>
          </w:tcPr>
          <w:p w:rsidRPr="009E7044" w:rsidR="007870FE" w:rsidP="009E7044" w:rsidRDefault="007870FE">
            <w:pPr>
              <w:jc w:val="center"/>
              <w:rPr>
                <w:b/>
                <w:szCs w:val="24"/>
              </w:rPr>
            </w:pPr>
            <w:r w:rsidRPr="009E7044">
              <w:rPr>
                <w:b/>
                <w:szCs w:val="24"/>
              </w:rPr>
              <w:t>Burden Per Response</w:t>
            </w:r>
          </w:p>
        </w:tc>
        <w:tc>
          <w:tcPr>
            <w:tcW w:w="2196" w:type="dxa"/>
            <w:shd w:val="clear" w:color="auto" w:fill="DEEAF6"/>
          </w:tcPr>
          <w:p w:rsidRPr="009E7044" w:rsidR="007870FE" w:rsidP="009E7044" w:rsidRDefault="007870FE">
            <w:pPr>
              <w:jc w:val="center"/>
              <w:rPr>
                <w:b/>
                <w:szCs w:val="24"/>
              </w:rPr>
            </w:pPr>
            <w:r w:rsidRPr="009E7044">
              <w:rPr>
                <w:b/>
                <w:szCs w:val="24"/>
              </w:rPr>
              <w:t>Total Burden</w:t>
            </w:r>
          </w:p>
        </w:tc>
      </w:tr>
      <w:tr w:rsidRPr="009E7044" w:rsidR="007870FE" w:rsidTr="009E7044">
        <w:tc>
          <w:tcPr>
            <w:tcW w:w="2286" w:type="dxa"/>
            <w:shd w:val="clear" w:color="auto" w:fill="auto"/>
          </w:tcPr>
          <w:p w:rsidRPr="009E7044" w:rsidR="007870FE" w:rsidP="00BB5474" w:rsidRDefault="007870FE">
            <w:pPr>
              <w:rPr>
                <w:szCs w:val="24"/>
              </w:rPr>
            </w:pPr>
            <w:r w:rsidRPr="009E7044">
              <w:rPr>
                <w:szCs w:val="24"/>
              </w:rPr>
              <w:t>Rupture/ Valve Shut-off: Post-Incident Records for Pipeline Operators</w:t>
            </w:r>
          </w:p>
        </w:tc>
        <w:tc>
          <w:tcPr>
            <w:tcW w:w="2394" w:type="dxa"/>
            <w:shd w:val="clear" w:color="auto" w:fill="auto"/>
          </w:tcPr>
          <w:p w:rsidRPr="009E7044" w:rsidR="007870FE" w:rsidP="00BB5474" w:rsidRDefault="007870FE">
            <w:pPr>
              <w:rPr>
                <w:szCs w:val="24"/>
              </w:rPr>
            </w:pPr>
            <w:r w:rsidRPr="009E7044">
              <w:rPr>
                <w:szCs w:val="24"/>
              </w:rPr>
              <w:t>50</w:t>
            </w:r>
          </w:p>
        </w:tc>
        <w:tc>
          <w:tcPr>
            <w:tcW w:w="2394" w:type="dxa"/>
            <w:shd w:val="clear" w:color="auto" w:fill="auto"/>
          </w:tcPr>
          <w:p w:rsidRPr="009E7044" w:rsidR="007870FE" w:rsidP="00BB5474" w:rsidRDefault="007870FE">
            <w:pPr>
              <w:rPr>
                <w:szCs w:val="24"/>
              </w:rPr>
            </w:pPr>
            <w:r w:rsidRPr="009E7044">
              <w:rPr>
                <w:szCs w:val="24"/>
              </w:rPr>
              <w:t>8 hours</w:t>
            </w:r>
          </w:p>
        </w:tc>
        <w:tc>
          <w:tcPr>
            <w:tcW w:w="2196" w:type="dxa"/>
            <w:shd w:val="clear" w:color="auto" w:fill="auto"/>
          </w:tcPr>
          <w:p w:rsidRPr="009E7044" w:rsidR="007870FE" w:rsidP="00BB5474" w:rsidRDefault="007870FE">
            <w:pPr>
              <w:rPr>
                <w:szCs w:val="24"/>
              </w:rPr>
            </w:pPr>
            <w:r w:rsidRPr="009E7044">
              <w:rPr>
                <w:szCs w:val="24"/>
              </w:rPr>
              <w:t>400 hours</w:t>
            </w:r>
          </w:p>
        </w:tc>
      </w:tr>
      <w:tr w:rsidRPr="009E7044" w:rsidR="007870FE" w:rsidTr="009E7044">
        <w:tc>
          <w:tcPr>
            <w:tcW w:w="2286" w:type="dxa"/>
            <w:shd w:val="clear" w:color="auto" w:fill="DEEAF6"/>
          </w:tcPr>
          <w:p w:rsidRPr="009E7044" w:rsidR="007870FE" w:rsidP="00BB5474" w:rsidRDefault="007870FE">
            <w:pPr>
              <w:rPr>
                <w:b/>
                <w:szCs w:val="24"/>
              </w:rPr>
            </w:pPr>
            <w:r w:rsidRPr="009E7044">
              <w:rPr>
                <w:b/>
                <w:szCs w:val="24"/>
              </w:rPr>
              <w:t>Total</w:t>
            </w:r>
          </w:p>
        </w:tc>
        <w:tc>
          <w:tcPr>
            <w:tcW w:w="2394" w:type="dxa"/>
            <w:shd w:val="clear" w:color="auto" w:fill="DEEAF6"/>
          </w:tcPr>
          <w:p w:rsidRPr="009E7044" w:rsidR="007870FE" w:rsidP="00BB5474" w:rsidRDefault="007870FE">
            <w:pPr>
              <w:rPr>
                <w:b/>
                <w:szCs w:val="24"/>
              </w:rPr>
            </w:pPr>
            <w:r w:rsidRPr="009E7044">
              <w:rPr>
                <w:b/>
                <w:szCs w:val="24"/>
              </w:rPr>
              <w:t>50 annual responses</w:t>
            </w:r>
          </w:p>
        </w:tc>
        <w:tc>
          <w:tcPr>
            <w:tcW w:w="2394" w:type="dxa"/>
            <w:shd w:val="clear" w:color="auto" w:fill="DEEAF6"/>
          </w:tcPr>
          <w:p w:rsidRPr="009E7044" w:rsidR="007870FE" w:rsidP="00BB5474" w:rsidRDefault="007870FE">
            <w:pPr>
              <w:rPr>
                <w:b/>
                <w:szCs w:val="24"/>
              </w:rPr>
            </w:pPr>
          </w:p>
        </w:tc>
        <w:tc>
          <w:tcPr>
            <w:tcW w:w="2196" w:type="dxa"/>
            <w:shd w:val="clear" w:color="auto" w:fill="DEEAF6"/>
          </w:tcPr>
          <w:p w:rsidRPr="009E7044" w:rsidR="007870FE" w:rsidP="00BB5474" w:rsidRDefault="007870FE">
            <w:pPr>
              <w:rPr>
                <w:b/>
                <w:szCs w:val="24"/>
              </w:rPr>
            </w:pPr>
            <w:r w:rsidRPr="009E7044">
              <w:rPr>
                <w:b/>
                <w:szCs w:val="24"/>
              </w:rPr>
              <w:t>400 annual burden hours</w:t>
            </w:r>
          </w:p>
        </w:tc>
      </w:tr>
    </w:tbl>
    <w:p w:rsidRPr="007870FE" w:rsidR="007870FE" w:rsidP="00BB5474" w:rsidRDefault="007870FE">
      <w:pPr>
        <w:rPr>
          <w:b/>
          <w:szCs w:val="24"/>
        </w:rPr>
      </w:pPr>
    </w:p>
    <w:p w:rsidRPr="00BB5474" w:rsidR="00BB5474" w:rsidP="00BB5474" w:rsidRDefault="00BB5474">
      <w:pPr>
        <w:rPr>
          <w:szCs w:val="24"/>
        </w:rPr>
      </w:pPr>
    </w:p>
    <w:p w:rsidRPr="00981917" w:rsidR="00781054" w:rsidP="00781054" w:rsidRDefault="001D224D">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rsidRDefault="00E94974">
      <w:pPr>
        <w:widowControl w:val="0"/>
        <w:tabs>
          <w:tab w:val="left" w:pos="540"/>
        </w:tabs>
        <w:rPr>
          <w:szCs w:val="24"/>
        </w:rPr>
      </w:pPr>
    </w:p>
    <w:p w:rsidRPr="00AA5927" w:rsidR="00431725" w:rsidP="00431725" w:rsidRDefault="00431725">
      <w:pPr>
        <w:rPr>
          <w:bCs/>
        </w:rPr>
      </w:pPr>
      <w:r>
        <w:rPr>
          <w:bCs/>
        </w:rPr>
        <w:t xml:space="preserve">PHMSA expects the records in this information collection to be kept by a senior engineer.  </w:t>
      </w:r>
      <w:r w:rsidRPr="00AA5927">
        <w:rPr>
          <w:bCs/>
        </w:rPr>
        <w:t>Based on the industry-specific occupational and wage estimates provided by the U.S. Department of Labor’s Bureau of Labor Statistics, median hourly wage of an engineering manager (for NAICS 486000 – pipeline transportation)</w:t>
      </w:r>
      <w:r w:rsidRPr="00AA5927">
        <w:rPr>
          <w:bCs/>
        </w:rPr>
        <w:footnoteReference w:id="1"/>
      </w:r>
      <w:r w:rsidRPr="00AA5927">
        <w:rPr>
          <w:bCs/>
        </w:rPr>
        <w:t xml:space="preserve"> is estimated as $77.50. Using an estimated fringe benefit of approximately 35 percent, the </w:t>
      </w:r>
      <w:r>
        <w:rPr>
          <w:bCs/>
        </w:rPr>
        <w:t>notification</w:t>
      </w:r>
      <w:r w:rsidRPr="00AA5927">
        <w:rPr>
          <w:bCs/>
        </w:rPr>
        <w:t xml:space="preserve"> requirements for gas </w:t>
      </w:r>
      <w:r>
        <w:rPr>
          <w:bCs/>
        </w:rPr>
        <w:t xml:space="preserve">pipeline </w:t>
      </w:r>
      <w:r w:rsidRPr="00AA5927">
        <w:rPr>
          <w:bCs/>
        </w:rPr>
        <w:t xml:space="preserve">operators are prepared at the average rate of $104.63 per hour. </w:t>
      </w:r>
    </w:p>
    <w:p w:rsidR="00431725" w:rsidP="00431725" w:rsidRDefault="00431725">
      <w:pPr>
        <w:rPr>
          <w:bCs/>
        </w:rPr>
      </w:pPr>
    </w:p>
    <w:p w:rsidR="00431725" w:rsidP="00431725" w:rsidRDefault="00431725">
      <w:pPr>
        <w:rPr>
          <w:bCs/>
        </w:rPr>
      </w:pPr>
      <w:r w:rsidRPr="00AA5927">
        <w:rPr>
          <w:bCs/>
        </w:rPr>
        <w:t xml:space="preserve">The total cost to the industry is </w:t>
      </w:r>
      <w:r>
        <w:rPr>
          <w:bCs/>
        </w:rPr>
        <w:t>400</w:t>
      </w:r>
      <w:r w:rsidRPr="00AA5927">
        <w:rPr>
          <w:bCs/>
        </w:rPr>
        <w:t xml:space="preserve"> hours x $104.63/hour = $</w:t>
      </w:r>
      <w:r>
        <w:rPr>
          <w:bCs/>
        </w:rPr>
        <w:t>41,852</w:t>
      </w:r>
      <w:r w:rsidRPr="00AA5927">
        <w:rPr>
          <w:bCs/>
        </w:rPr>
        <w:t>.</w:t>
      </w:r>
    </w:p>
    <w:p w:rsidRPr="00AA5927" w:rsidR="00431725" w:rsidP="00431725" w:rsidRDefault="00431725">
      <w:pPr>
        <w:rPr>
          <w:bCs/>
        </w:rPr>
      </w:pPr>
    </w:p>
    <w:p w:rsidRPr="00981917" w:rsidR="001D224D" w:rsidP="006C0638" w:rsidRDefault="001D224D">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rsidRDefault="00E94974">
      <w:pPr>
        <w:widowControl w:val="0"/>
        <w:tabs>
          <w:tab w:val="left" w:pos="540"/>
        </w:tabs>
        <w:rPr>
          <w:szCs w:val="24"/>
        </w:rPr>
      </w:pPr>
    </w:p>
    <w:p w:rsidR="006C0638" w:rsidP="000A6210" w:rsidRDefault="00781054">
      <w:pPr>
        <w:widowControl w:val="0"/>
        <w:tabs>
          <w:tab w:val="left" w:pos="540"/>
        </w:tabs>
        <w:rPr>
          <w:szCs w:val="24"/>
        </w:rPr>
      </w:pPr>
      <w:r w:rsidRPr="00781054">
        <w:rPr>
          <w:szCs w:val="24"/>
        </w:rPr>
        <w:t>There is no additional cost to the Federal Government associated with this information collection.</w:t>
      </w:r>
    </w:p>
    <w:p w:rsidRPr="00781054" w:rsidR="00B6184F" w:rsidP="000A6210" w:rsidRDefault="00B6184F">
      <w:pPr>
        <w:widowControl w:val="0"/>
        <w:tabs>
          <w:tab w:val="left" w:pos="540"/>
        </w:tabs>
        <w:rPr>
          <w:szCs w:val="24"/>
        </w:rPr>
      </w:pPr>
    </w:p>
    <w:p w:rsidRPr="00781054" w:rsidR="00F67FCC" w:rsidP="00F67FCC" w:rsidRDefault="00F67FCC">
      <w:pPr>
        <w:widowControl w:val="0"/>
        <w:numPr>
          <w:ilvl w:val="0"/>
          <w:numId w:val="10"/>
        </w:numPr>
        <w:tabs>
          <w:tab w:val="clear" w:pos="720"/>
          <w:tab w:val="num" w:pos="0"/>
          <w:tab w:val="left" w:pos="540"/>
        </w:tabs>
        <w:ind w:left="0" w:firstLine="0"/>
        <w:rPr>
          <w:b/>
          <w:szCs w:val="24"/>
        </w:rPr>
      </w:pPr>
      <w:r w:rsidRPr="00781054">
        <w:rPr>
          <w:b/>
          <w:szCs w:val="24"/>
          <w:u w:val="single"/>
        </w:rPr>
        <w:t>Explanation of the program change or adjustments</w:t>
      </w:r>
      <w:r w:rsidR="00781054">
        <w:rPr>
          <w:b/>
          <w:szCs w:val="24"/>
        </w:rPr>
        <w:t>.</w:t>
      </w:r>
    </w:p>
    <w:p w:rsidR="00E94974" w:rsidP="00781054" w:rsidRDefault="00E94974"/>
    <w:p w:rsidR="00315899" w:rsidP="00B6184F" w:rsidRDefault="00AD223F">
      <w:pPr>
        <w:rPr>
          <w:bCs/>
          <w:szCs w:val="24"/>
        </w:rPr>
      </w:pPr>
      <w:r>
        <w:rPr>
          <w:szCs w:val="24"/>
        </w:rPr>
        <w:t xml:space="preserve">The NPRM </w:t>
      </w:r>
      <w:r w:rsidRPr="00F4317E" w:rsidR="00730CB4">
        <w:rPr>
          <w:szCs w:val="24"/>
        </w:rPr>
        <w:t xml:space="preserve">Pipeline Safety: </w:t>
      </w:r>
      <w:r w:rsidRPr="0011613D" w:rsidR="00730CB4">
        <w:rPr>
          <w:szCs w:val="24"/>
        </w:rPr>
        <w:t>Amendments to Parts 192 and 195 to Require Valve Installation and Minimum Rupture Detection Standards</w:t>
      </w:r>
      <w:r w:rsidRPr="00DC4D70" w:rsidR="00730CB4">
        <w:rPr>
          <w:b/>
          <w:szCs w:val="24"/>
        </w:rPr>
        <w:t xml:space="preserve"> </w:t>
      </w:r>
      <w:r w:rsidR="00730CB4">
        <w:t xml:space="preserve">NPRM, </w:t>
      </w:r>
      <w:r w:rsidR="00315899">
        <w:t xml:space="preserve">requires </w:t>
      </w:r>
      <w:r w:rsidR="00730CB4">
        <w:t xml:space="preserve">natural gas transmission and hazardous liquid pipeline </w:t>
      </w:r>
      <w:r w:rsidR="00730CB4">
        <w:rPr>
          <w:szCs w:val="24"/>
        </w:rPr>
        <w:t xml:space="preserve">operators </w:t>
      </w:r>
      <w:r w:rsidR="00D364AD">
        <w:rPr>
          <w:bCs/>
          <w:szCs w:val="24"/>
        </w:rPr>
        <w:t>to</w:t>
      </w:r>
      <w:r w:rsidRPr="009D1393" w:rsidR="00D364AD">
        <w:rPr>
          <w:bCs/>
          <w:szCs w:val="24"/>
        </w:rPr>
        <w:t xml:space="preserve"> complete a </w:t>
      </w:r>
      <w:r w:rsidR="00D364AD">
        <w:rPr>
          <w:bCs/>
          <w:szCs w:val="24"/>
        </w:rPr>
        <w:t xml:space="preserve">post-incident </w:t>
      </w:r>
      <w:r w:rsidRPr="009D1393" w:rsidR="00D364AD">
        <w:rPr>
          <w:bCs/>
          <w:szCs w:val="24"/>
        </w:rPr>
        <w:t xml:space="preserve">summary </w:t>
      </w:r>
      <w:r w:rsidR="00D364AD">
        <w:rPr>
          <w:bCs/>
          <w:szCs w:val="24"/>
        </w:rPr>
        <w:t xml:space="preserve">following a pipeline rupture or the </w:t>
      </w:r>
      <w:r w:rsidR="00D364AD">
        <w:rPr>
          <w:bCs/>
          <w:szCs w:val="24"/>
        </w:rPr>
        <w:lastRenderedPageBreak/>
        <w:t>closure of a rupture-mitigation valve.  The</w:t>
      </w:r>
      <w:r w:rsidRPr="009D1393" w:rsidR="00D364AD">
        <w:rPr>
          <w:bCs/>
          <w:szCs w:val="24"/>
        </w:rPr>
        <w:t xml:space="preserve"> review </w:t>
      </w:r>
      <w:r w:rsidR="00D364AD">
        <w:rPr>
          <w:bCs/>
          <w:szCs w:val="24"/>
        </w:rPr>
        <w:t xml:space="preserve">must be conducted </w:t>
      </w:r>
      <w:r w:rsidRPr="009D1393" w:rsidR="00D364AD">
        <w:rPr>
          <w:bCs/>
          <w:szCs w:val="24"/>
        </w:rPr>
        <w:t>within 90 days of the failure or incident while the investigation is pending</w:t>
      </w:r>
      <w:r w:rsidR="00D364AD">
        <w:rPr>
          <w:bCs/>
          <w:szCs w:val="24"/>
        </w:rPr>
        <w:t xml:space="preserve"> and updated </w:t>
      </w:r>
      <w:r w:rsidRPr="009D1393" w:rsidR="00D364AD">
        <w:rPr>
          <w:bCs/>
          <w:szCs w:val="24"/>
        </w:rPr>
        <w:t xml:space="preserve"> quarterly reviews until </w:t>
      </w:r>
      <w:r w:rsidR="00D364AD">
        <w:rPr>
          <w:bCs/>
          <w:szCs w:val="24"/>
        </w:rPr>
        <w:t xml:space="preserve">the investigation is </w:t>
      </w:r>
      <w:r w:rsidRPr="009D1393" w:rsidR="00D364AD">
        <w:rPr>
          <w:bCs/>
          <w:szCs w:val="24"/>
        </w:rPr>
        <w:t>completed.</w:t>
      </w:r>
    </w:p>
    <w:p w:rsidR="00D364AD" w:rsidP="00B6184F" w:rsidRDefault="00D364AD">
      <w:pPr>
        <w:rPr>
          <w:b/>
          <w:szCs w:val="24"/>
        </w:rPr>
      </w:pPr>
    </w:p>
    <w:p w:rsidRPr="00981917" w:rsidR="001D224D" w:rsidP="007B68C6" w:rsidRDefault="001D224D">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rsidRDefault="00E94974"/>
    <w:p w:rsidR="00E94974" w:rsidP="00E94974" w:rsidRDefault="00E94974">
      <w:r>
        <w:t>This information will not be published for statistical purposes.</w:t>
      </w:r>
    </w:p>
    <w:p w:rsidRPr="00981917" w:rsidR="007B68C6" w:rsidP="000A6210" w:rsidRDefault="007B68C6">
      <w:pPr>
        <w:widowControl w:val="0"/>
        <w:tabs>
          <w:tab w:val="left" w:pos="540"/>
        </w:tabs>
        <w:rPr>
          <w:szCs w:val="24"/>
        </w:rPr>
      </w:pPr>
    </w:p>
    <w:p w:rsidR="00E94974" w:rsidP="000A6210" w:rsidRDefault="001D224D">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rsidRDefault="00E94974"/>
    <w:p w:rsidR="00E94974" w:rsidP="00E94974" w:rsidRDefault="00E94974">
      <w:r>
        <w:t>PHMSA is not seeking such approval.</w:t>
      </w:r>
    </w:p>
    <w:p w:rsidRPr="00981917" w:rsidR="007B68C6" w:rsidP="000A6210" w:rsidRDefault="007B68C6">
      <w:pPr>
        <w:widowControl w:val="0"/>
        <w:tabs>
          <w:tab w:val="left" w:pos="540"/>
        </w:tabs>
        <w:rPr>
          <w:b/>
          <w:szCs w:val="24"/>
        </w:rPr>
      </w:pPr>
    </w:p>
    <w:p w:rsidRPr="00E94974" w:rsidR="00E94974" w:rsidP="00E94974" w:rsidRDefault="007B68C6">
      <w:pPr>
        <w:widowControl w:val="0"/>
        <w:numPr>
          <w:ilvl w:val="0"/>
          <w:numId w:val="18"/>
        </w:numPr>
        <w:tabs>
          <w:tab w:val="clear" w:pos="900"/>
          <w:tab w:val="num" w:pos="0"/>
          <w:tab w:val="left" w:pos="540"/>
        </w:tabs>
        <w:ind w:left="0" w:firstLine="0"/>
        <w:rPr>
          <w:bCs/>
        </w:rPr>
      </w:pPr>
      <w:r w:rsidRPr="00981917">
        <w:rPr>
          <w:b/>
          <w:szCs w:val="24"/>
          <w:u w:val="single"/>
        </w:rPr>
        <w:t>Exceptions to the certification statement</w:t>
      </w:r>
      <w:r w:rsidRPr="00981917">
        <w:rPr>
          <w:b/>
          <w:szCs w:val="24"/>
        </w:rPr>
        <w:t xml:space="preserve">.  </w:t>
      </w:r>
    </w:p>
    <w:p w:rsidR="00E94974" w:rsidP="00E94974" w:rsidRDefault="00E94974">
      <w:pPr>
        <w:widowControl w:val="0"/>
        <w:tabs>
          <w:tab w:val="left" w:pos="540"/>
        </w:tabs>
        <w:rPr>
          <w:bCs/>
        </w:rPr>
      </w:pPr>
    </w:p>
    <w:p w:rsidRPr="00152695" w:rsidR="00E94974" w:rsidP="00E94974" w:rsidRDefault="00E94974">
      <w:pPr>
        <w:widowControl w:val="0"/>
        <w:tabs>
          <w:tab w:val="left" w:pos="540"/>
        </w:tabs>
        <w:rPr>
          <w:bCs/>
        </w:rPr>
      </w:pPr>
      <w:r>
        <w:rPr>
          <w:bCs/>
        </w:rPr>
        <w:t>There is no exception.</w:t>
      </w:r>
    </w:p>
    <w:sectPr w:rsidRPr="00152695" w:rsidR="00E94974"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044" w:rsidRDefault="009E7044">
      <w:r>
        <w:separator/>
      </w:r>
    </w:p>
  </w:endnote>
  <w:endnote w:type="continuationSeparator" w:id="0">
    <w:p w:rsidR="009E7044" w:rsidRDefault="009E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044" w:rsidRDefault="009E7044">
      <w:r>
        <w:separator/>
      </w:r>
    </w:p>
  </w:footnote>
  <w:footnote w:type="continuationSeparator" w:id="0">
    <w:p w:rsidR="009E7044" w:rsidRDefault="009E7044">
      <w:r>
        <w:continuationSeparator/>
      </w:r>
    </w:p>
  </w:footnote>
  <w:footnote w:id="1">
    <w:p w:rsidR="00431725" w:rsidRDefault="00431725" w:rsidP="00431725">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FA4">
      <w:rPr>
        <w:rStyle w:val="PageNumber"/>
        <w:noProof/>
      </w:rPr>
      <w:t>2</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FA4">
      <w:rPr>
        <w:rStyle w:val="PageNumber"/>
        <w:noProof/>
      </w:rPr>
      <w:t>3</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187EE792"/>
    <w:lvl w:ilvl="0" w:tplc="6B8A26D0">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427E1"/>
    <w:multiLevelType w:val="hybridMultilevel"/>
    <w:tmpl w:val="0B46C51C"/>
    <w:lvl w:ilvl="0" w:tplc="3996957A">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7"/>
  </w:num>
  <w:num w:numId="11">
    <w:abstractNumId w:val="20"/>
  </w:num>
  <w:num w:numId="12">
    <w:abstractNumId w:val="8"/>
  </w:num>
  <w:num w:numId="13">
    <w:abstractNumId w:val="11"/>
  </w:num>
  <w:num w:numId="14">
    <w:abstractNumId w:val="15"/>
  </w:num>
  <w:num w:numId="15">
    <w:abstractNumId w:val="19"/>
  </w:num>
  <w:num w:numId="16">
    <w:abstractNumId w:val="12"/>
  </w:num>
  <w:num w:numId="17">
    <w:abstractNumId w:val="23"/>
  </w:num>
  <w:num w:numId="18">
    <w:abstractNumId w:val="16"/>
  </w:num>
  <w:num w:numId="19">
    <w:abstractNumId w:val="10"/>
  </w:num>
  <w:num w:numId="20">
    <w:abstractNumId w:val="24"/>
  </w:num>
  <w:num w:numId="21">
    <w:abstractNumId w:val="14"/>
  </w:num>
  <w:num w:numId="22">
    <w:abstractNumId w:val="21"/>
  </w:num>
  <w:num w:numId="23">
    <w:abstractNumId w:val="9"/>
  </w:num>
  <w:num w:numId="24">
    <w:abstractNumId w:val="13"/>
    <w:lvlOverride w:ilvl="0"/>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A6210"/>
    <w:rsid w:val="000A6237"/>
    <w:rsid w:val="000A6651"/>
    <w:rsid w:val="000C5B12"/>
    <w:rsid w:val="000D16E2"/>
    <w:rsid w:val="000D2714"/>
    <w:rsid w:val="000D3A31"/>
    <w:rsid w:val="000E129F"/>
    <w:rsid w:val="000F02F0"/>
    <w:rsid w:val="0010553F"/>
    <w:rsid w:val="00105786"/>
    <w:rsid w:val="00111C90"/>
    <w:rsid w:val="0011613D"/>
    <w:rsid w:val="00117729"/>
    <w:rsid w:val="0012012B"/>
    <w:rsid w:val="00125C17"/>
    <w:rsid w:val="00137BBF"/>
    <w:rsid w:val="00143869"/>
    <w:rsid w:val="0014478D"/>
    <w:rsid w:val="00145724"/>
    <w:rsid w:val="00145EE7"/>
    <w:rsid w:val="001602BD"/>
    <w:rsid w:val="00162850"/>
    <w:rsid w:val="001A2B8C"/>
    <w:rsid w:val="001B4FB4"/>
    <w:rsid w:val="001C56C9"/>
    <w:rsid w:val="001D1C24"/>
    <w:rsid w:val="001D1D81"/>
    <w:rsid w:val="001D224D"/>
    <w:rsid w:val="001D5CEF"/>
    <w:rsid w:val="001F680E"/>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0DF2"/>
    <w:rsid w:val="00291331"/>
    <w:rsid w:val="002929B0"/>
    <w:rsid w:val="002958AA"/>
    <w:rsid w:val="002A1CB8"/>
    <w:rsid w:val="002A4DFE"/>
    <w:rsid w:val="002A5A16"/>
    <w:rsid w:val="002B54A1"/>
    <w:rsid w:val="002B6B54"/>
    <w:rsid w:val="002C0FC8"/>
    <w:rsid w:val="002D2A3F"/>
    <w:rsid w:val="002D5722"/>
    <w:rsid w:val="002E154D"/>
    <w:rsid w:val="002E3119"/>
    <w:rsid w:val="002F283D"/>
    <w:rsid w:val="0030347C"/>
    <w:rsid w:val="0030454E"/>
    <w:rsid w:val="0030713B"/>
    <w:rsid w:val="00311384"/>
    <w:rsid w:val="0031308A"/>
    <w:rsid w:val="00315899"/>
    <w:rsid w:val="00323F3E"/>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12866"/>
    <w:rsid w:val="00414833"/>
    <w:rsid w:val="00427866"/>
    <w:rsid w:val="00431725"/>
    <w:rsid w:val="00431B7C"/>
    <w:rsid w:val="00431DC5"/>
    <w:rsid w:val="00447A44"/>
    <w:rsid w:val="004547EA"/>
    <w:rsid w:val="00463C8A"/>
    <w:rsid w:val="004722AC"/>
    <w:rsid w:val="0048262A"/>
    <w:rsid w:val="0048271C"/>
    <w:rsid w:val="004845F1"/>
    <w:rsid w:val="00485806"/>
    <w:rsid w:val="00490FF0"/>
    <w:rsid w:val="00492398"/>
    <w:rsid w:val="004A133B"/>
    <w:rsid w:val="004A2D90"/>
    <w:rsid w:val="004A3699"/>
    <w:rsid w:val="004B0581"/>
    <w:rsid w:val="004B41D5"/>
    <w:rsid w:val="004B4313"/>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A0377"/>
    <w:rsid w:val="005A3519"/>
    <w:rsid w:val="005A5526"/>
    <w:rsid w:val="005B0506"/>
    <w:rsid w:val="005C1E2C"/>
    <w:rsid w:val="005E0EDE"/>
    <w:rsid w:val="005E3952"/>
    <w:rsid w:val="005F0AE8"/>
    <w:rsid w:val="00602613"/>
    <w:rsid w:val="00607316"/>
    <w:rsid w:val="00620F79"/>
    <w:rsid w:val="00624048"/>
    <w:rsid w:val="006306BD"/>
    <w:rsid w:val="00636AA0"/>
    <w:rsid w:val="0064782C"/>
    <w:rsid w:val="00647958"/>
    <w:rsid w:val="00653420"/>
    <w:rsid w:val="0065710F"/>
    <w:rsid w:val="00662FEA"/>
    <w:rsid w:val="00667FA4"/>
    <w:rsid w:val="00671D37"/>
    <w:rsid w:val="00681E37"/>
    <w:rsid w:val="0068484D"/>
    <w:rsid w:val="00687C73"/>
    <w:rsid w:val="00691922"/>
    <w:rsid w:val="00693C31"/>
    <w:rsid w:val="006A0320"/>
    <w:rsid w:val="006B5210"/>
    <w:rsid w:val="006B749B"/>
    <w:rsid w:val="006C0638"/>
    <w:rsid w:val="006C1DBB"/>
    <w:rsid w:val="006D527E"/>
    <w:rsid w:val="006F2D9A"/>
    <w:rsid w:val="00720D5B"/>
    <w:rsid w:val="0072371F"/>
    <w:rsid w:val="00724627"/>
    <w:rsid w:val="00730CB4"/>
    <w:rsid w:val="00731CCC"/>
    <w:rsid w:val="00731F93"/>
    <w:rsid w:val="00733B03"/>
    <w:rsid w:val="00733E58"/>
    <w:rsid w:val="00743112"/>
    <w:rsid w:val="00752227"/>
    <w:rsid w:val="00763417"/>
    <w:rsid w:val="007666F7"/>
    <w:rsid w:val="00781054"/>
    <w:rsid w:val="0078271D"/>
    <w:rsid w:val="00785360"/>
    <w:rsid w:val="00786565"/>
    <w:rsid w:val="007870FE"/>
    <w:rsid w:val="00787F4D"/>
    <w:rsid w:val="00791079"/>
    <w:rsid w:val="007975AF"/>
    <w:rsid w:val="007A11F2"/>
    <w:rsid w:val="007A2754"/>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43930"/>
    <w:rsid w:val="00851862"/>
    <w:rsid w:val="00855CD7"/>
    <w:rsid w:val="00884CD2"/>
    <w:rsid w:val="008B1820"/>
    <w:rsid w:val="008B5371"/>
    <w:rsid w:val="009038BD"/>
    <w:rsid w:val="00907424"/>
    <w:rsid w:val="00910FC7"/>
    <w:rsid w:val="00912BA0"/>
    <w:rsid w:val="0093440F"/>
    <w:rsid w:val="0093512C"/>
    <w:rsid w:val="00936CC3"/>
    <w:rsid w:val="00936FE9"/>
    <w:rsid w:val="0094084B"/>
    <w:rsid w:val="00945FB5"/>
    <w:rsid w:val="00954038"/>
    <w:rsid w:val="00970D00"/>
    <w:rsid w:val="00977EE8"/>
    <w:rsid w:val="00981917"/>
    <w:rsid w:val="009857FB"/>
    <w:rsid w:val="00990FC4"/>
    <w:rsid w:val="00991BB1"/>
    <w:rsid w:val="00997784"/>
    <w:rsid w:val="00997834"/>
    <w:rsid w:val="009A3299"/>
    <w:rsid w:val="009B3673"/>
    <w:rsid w:val="009D1393"/>
    <w:rsid w:val="009D71D4"/>
    <w:rsid w:val="009D7683"/>
    <w:rsid w:val="009E13DC"/>
    <w:rsid w:val="009E1D59"/>
    <w:rsid w:val="009E26B1"/>
    <w:rsid w:val="009E2B72"/>
    <w:rsid w:val="009E49DB"/>
    <w:rsid w:val="009E4A89"/>
    <w:rsid w:val="009E7044"/>
    <w:rsid w:val="009F3D0A"/>
    <w:rsid w:val="009F675B"/>
    <w:rsid w:val="00A1037E"/>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B5155"/>
    <w:rsid w:val="00AB7AC4"/>
    <w:rsid w:val="00AC512B"/>
    <w:rsid w:val="00AD05BD"/>
    <w:rsid w:val="00AD223F"/>
    <w:rsid w:val="00AD24E5"/>
    <w:rsid w:val="00AE19BD"/>
    <w:rsid w:val="00AE7C13"/>
    <w:rsid w:val="00AF0344"/>
    <w:rsid w:val="00AF2582"/>
    <w:rsid w:val="00AF7D52"/>
    <w:rsid w:val="00B029B8"/>
    <w:rsid w:val="00B0326B"/>
    <w:rsid w:val="00B114B5"/>
    <w:rsid w:val="00B11502"/>
    <w:rsid w:val="00B15EA9"/>
    <w:rsid w:val="00B16A3B"/>
    <w:rsid w:val="00B2436D"/>
    <w:rsid w:val="00B34D95"/>
    <w:rsid w:val="00B40E11"/>
    <w:rsid w:val="00B47CE1"/>
    <w:rsid w:val="00B6184F"/>
    <w:rsid w:val="00B623C2"/>
    <w:rsid w:val="00B67CA5"/>
    <w:rsid w:val="00B72722"/>
    <w:rsid w:val="00B8797B"/>
    <w:rsid w:val="00B97699"/>
    <w:rsid w:val="00BB1A46"/>
    <w:rsid w:val="00BB5474"/>
    <w:rsid w:val="00BD7C75"/>
    <w:rsid w:val="00BE2C8F"/>
    <w:rsid w:val="00BF16E9"/>
    <w:rsid w:val="00BF24AA"/>
    <w:rsid w:val="00C0163B"/>
    <w:rsid w:val="00C03498"/>
    <w:rsid w:val="00C152F3"/>
    <w:rsid w:val="00C2648A"/>
    <w:rsid w:val="00C314A7"/>
    <w:rsid w:val="00C3484D"/>
    <w:rsid w:val="00C433E6"/>
    <w:rsid w:val="00C50B19"/>
    <w:rsid w:val="00C50BFC"/>
    <w:rsid w:val="00C56F3F"/>
    <w:rsid w:val="00C63F5E"/>
    <w:rsid w:val="00C65AE6"/>
    <w:rsid w:val="00C67722"/>
    <w:rsid w:val="00C8396F"/>
    <w:rsid w:val="00C861B2"/>
    <w:rsid w:val="00C95090"/>
    <w:rsid w:val="00CA2F8F"/>
    <w:rsid w:val="00CA5901"/>
    <w:rsid w:val="00CB1F75"/>
    <w:rsid w:val="00CB30D6"/>
    <w:rsid w:val="00CC4C8E"/>
    <w:rsid w:val="00CD1ABD"/>
    <w:rsid w:val="00CE14A5"/>
    <w:rsid w:val="00CE48C3"/>
    <w:rsid w:val="00CE7782"/>
    <w:rsid w:val="00CF168D"/>
    <w:rsid w:val="00CF1B7A"/>
    <w:rsid w:val="00CF4CB1"/>
    <w:rsid w:val="00D05F3A"/>
    <w:rsid w:val="00D06745"/>
    <w:rsid w:val="00D14093"/>
    <w:rsid w:val="00D1476A"/>
    <w:rsid w:val="00D214A4"/>
    <w:rsid w:val="00D25907"/>
    <w:rsid w:val="00D25987"/>
    <w:rsid w:val="00D364AD"/>
    <w:rsid w:val="00D37B6D"/>
    <w:rsid w:val="00D404C6"/>
    <w:rsid w:val="00D50297"/>
    <w:rsid w:val="00D50419"/>
    <w:rsid w:val="00D546F8"/>
    <w:rsid w:val="00D55503"/>
    <w:rsid w:val="00D7060E"/>
    <w:rsid w:val="00D759FC"/>
    <w:rsid w:val="00D93C47"/>
    <w:rsid w:val="00DA1B86"/>
    <w:rsid w:val="00DA2E75"/>
    <w:rsid w:val="00DB4683"/>
    <w:rsid w:val="00DB6E97"/>
    <w:rsid w:val="00DC04EE"/>
    <w:rsid w:val="00DE110A"/>
    <w:rsid w:val="00DE3587"/>
    <w:rsid w:val="00DE3BB2"/>
    <w:rsid w:val="00E03924"/>
    <w:rsid w:val="00E07CCF"/>
    <w:rsid w:val="00E11316"/>
    <w:rsid w:val="00E130A4"/>
    <w:rsid w:val="00E15198"/>
    <w:rsid w:val="00E16B93"/>
    <w:rsid w:val="00E228B0"/>
    <w:rsid w:val="00E25C4A"/>
    <w:rsid w:val="00E27B6B"/>
    <w:rsid w:val="00E31627"/>
    <w:rsid w:val="00E35C6E"/>
    <w:rsid w:val="00E3745C"/>
    <w:rsid w:val="00E37575"/>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8FF"/>
    <w:rsid w:val="00F31288"/>
    <w:rsid w:val="00F415DF"/>
    <w:rsid w:val="00F422CF"/>
    <w:rsid w:val="00F42E08"/>
    <w:rsid w:val="00F4317E"/>
    <w:rsid w:val="00F45141"/>
    <w:rsid w:val="00F45271"/>
    <w:rsid w:val="00F4544F"/>
    <w:rsid w:val="00F45A57"/>
    <w:rsid w:val="00F57B41"/>
    <w:rsid w:val="00F67FCC"/>
    <w:rsid w:val="00F702C1"/>
    <w:rsid w:val="00F7389D"/>
    <w:rsid w:val="00F75AD0"/>
    <w:rsid w:val="00F75DB2"/>
    <w:rsid w:val="00F83CF4"/>
    <w:rsid w:val="00F90453"/>
    <w:rsid w:val="00FA6919"/>
    <w:rsid w:val="00FA69D1"/>
    <w:rsid w:val="00FC5765"/>
    <w:rsid w:val="00FD167E"/>
    <w:rsid w:val="00FD4F63"/>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2E092EB-9EC2-4079-8204-87C1F877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78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31725"/>
    <w:rPr>
      <w:rFonts w:ascii="Times New Roman" w:hAnsi="Times New Roman"/>
      <w:vertAlign w:val="superscript"/>
    </w:rPr>
  </w:style>
  <w:style w:type="paragraph" w:styleId="FootnoteText">
    <w:name w:val="footnote text"/>
    <w:basedOn w:val="Normal"/>
    <w:link w:val="FootnoteTextChar"/>
    <w:rsid w:val="00431725"/>
    <w:pPr>
      <w:widowControl w:val="0"/>
      <w:autoSpaceDE w:val="0"/>
      <w:autoSpaceDN w:val="0"/>
      <w:adjustRightInd w:val="0"/>
    </w:pPr>
    <w:rPr>
      <w:sz w:val="20"/>
    </w:rPr>
  </w:style>
  <w:style w:type="character" w:customStyle="1" w:styleId="FootnoteTextChar">
    <w:name w:val="Footnote Text Char"/>
    <w:basedOn w:val="DefaultParagraphFont"/>
    <w:link w:val="FootnoteText"/>
    <w:rsid w:val="00431725"/>
  </w:style>
  <w:style w:type="character" w:styleId="Hyperlink">
    <w:name w:val="Hyperlink"/>
    <w:rsid w:val="00431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7944">
      <w:bodyDiv w:val="1"/>
      <w:marLeft w:val="0"/>
      <w:marRight w:val="0"/>
      <w:marTop w:val="0"/>
      <w:marBottom w:val="0"/>
      <w:divBdr>
        <w:top w:val="none" w:sz="0" w:space="0" w:color="auto"/>
        <w:left w:val="none" w:sz="0" w:space="0" w:color="auto"/>
        <w:bottom w:val="none" w:sz="0" w:space="0" w:color="auto"/>
        <w:right w:val="none" w:sz="0" w:space="0" w:color="auto"/>
      </w:divBdr>
    </w:div>
    <w:div w:id="527791114">
      <w:bodyDiv w:val="1"/>
      <w:marLeft w:val="0"/>
      <w:marRight w:val="0"/>
      <w:marTop w:val="0"/>
      <w:marBottom w:val="0"/>
      <w:divBdr>
        <w:top w:val="none" w:sz="0" w:space="0" w:color="auto"/>
        <w:left w:val="none" w:sz="0" w:space="0" w:color="auto"/>
        <w:bottom w:val="none" w:sz="0" w:space="0" w:color="auto"/>
        <w:right w:val="none" w:sz="0" w:space="0" w:color="auto"/>
      </w:divBdr>
    </w:div>
    <w:div w:id="981694655">
      <w:bodyDiv w:val="1"/>
      <w:marLeft w:val="0"/>
      <w:marRight w:val="0"/>
      <w:marTop w:val="0"/>
      <w:marBottom w:val="0"/>
      <w:divBdr>
        <w:top w:val="none" w:sz="0" w:space="0" w:color="auto"/>
        <w:left w:val="none" w:sz="0" w:space="0" w:color="auto"/>
        <w:bottom w:val="none" w:sz="0" w:space="0" w:color="auto"/>
        <w:right w:val="none" w:sz="0" w:space="0" w:color="auto"/>
      </w:divBdr>
    </w:div>
    <w:div w:id="1282375032">
      <w:bodyDiv w:val="1"/>
      <w:marLeft w:val="0"/>
      <w:marRight w:val="0"/>
      <w:marTop w:val="0"/>
      <w:marBottom w:val="0"/>
      <w:divBdr>
        <w:top w:val="none" w:sz="0" w:space="0" w:color="auto"/>
        <w:left w:val="none" w:sz="0" w:space="0" w:color="auto"/>
        <w:bottom w:val="none" w:sz="0" w:space="0" w:color="auto"/>
        <w:right w:val="none" w:sz="0" w:space="0" w:color="auto"/>
      </w:divBdr>
    </w:div>
    <w:div w:id="1284314163">
      <w:bodyDiv w:val="1"/>
      <w:marLeft w:val="0"/>
      <w:marRight w:val="0"/>
      <w:marTop w:val="0"/>
      <w:marBottom w:val="0"/>
      <w:divBdr>
        <w:top w:val="none" w:sz="0" w:space="0" w:color="auto"/>
        <w:left w:val="none" w:sz="0" w:space="0" w:color="auto"/>
        <w:bottom w:val="none" w:sz="0" w:space="0" w:color="auto"/>
        <w:right w:val="none" w:sz="0" w:space="0" w:color="auto"/>
      </w:divBdr>
    </w:div>
    <w:div w:id="1362437217">
      <w:bodyDiv w:val="1"/>
      <w:marLeft w:val="0"/>
      <w:marRight w:val="0"/>
      <w:marTop w:val="0"/>
      <w:marBottom w:val="0"/>
      <w:divBdr>
        <w:top w:val="none" w:sz="0" w:space="0" w:color="auto"/>
        <w:left w:val="none" w:sz="0" w:space="0" w:color="auto"/>
        <w:bottom w:val="none" w:sz="0" w:space="0" w:color="auto"/>
        <w:right w:val="none" w:sz="0" w:space="0" w:color="auto"/>
      </w:divBdr>
    </w:div>
    <w:div w:id="1582108003">
      <w:bodyDiv w:val="1"/>
      <w:marLeft w:val="0"/>
      <w:marRight w:val="0"/>
      <w:marTop w:val="0"/>
      <w:marBottom w:val="0"/>
      <w:divBdr>
        <w:top w:val="none" w:sz="0" w:space="0" w:color="auto"/>
        <w:left w:val="none" w:sz="0" w:space="0" w:color="auto"/>
        <w:bottom w:val="none" w:sz="0" w:space="0" w:color="auto"/>
        <w:right w:val="none" w:sz="0" w:space="0" w:color="auto"/>
      </w:divBdr>
    </w:div>
    <w:div w:id="16088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4D0BC2CD-1339-498B-99C1-92AA08919D4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6453</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2</cp:revision>
  <cp:lastPrinted>2009-07-23T15:59:00Z</cp:lastPrinted>
  <dcterms:created xsi:type="dcterms:W3CDTF">2020-02-06T16:55:00Z</dcterms:created>
  <dcterms:modified xsi:type="dcterms:W3CDTF">2020-02-06T16:55:00Z</dcterms:modified>
</cp:coreProperties>
</file>