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64E" w:rsidRDefault="00D9264E" w14:paraId="669B8C0A" w14:textId="77777777">
      <w:pPr>
        <w:widowControl/>
        <w:autoSpaceDE/>
        <w:autoSpaceDN/>
        <w:adjustRightInd/>
        <w:rPr>
          <w:b/>
          <w:bCs/>
        </w:rPr>
      </w:pPr>
      <w:bookmarkStart w:name="_GoBack" w:id="0"/>
      <w:bookmarkEnd w:id="0"/>
    </w:p>
    <w:p w:rsidRPr="008B52EE" w:rsidR="00CA4CD6" w:rsidP="00A7661C" w:rsidRDefault="00CA4CD6" w14:paraId="45451A35" w14:textId="25DC340C">
      <w:pPr>
        <w:tabs>
          <w:tab w:val="center" w:pos="4680"/>
        </w:tabs>
        <w:jc w:val="center"/>
        <w:rPr>
          <w:b/>
          <w:bCs/>
        </w:rPr>
      </w:pPr>
      <w:r w:rsidRPr="008B52EE">
        <w:rPr>
          <w:b/>
          <w:bCs/>
        </w:rPr>
        <w:t>SUPPORTING STATEMENT</w:t>
      </w:r>
    </w:p>
    <w:p w:rsidRPr="008B52EE" w:rsidR="00CA4CD6" w:rsidP="00504745" w:rsidRDefault="00CA4CD6" w14:paraId="070B4005" w14:textId="77777777">
      <w:pPr>
        <w:tabs>
          <w:tab w:val="center" w:pos="4680"/>
        </w:tabs>
        <w:outlineLvl w:val="0"/>
      </w:pPr>
      <w:r w:rsidRPr="008B52EE">
        <w:rPr>
          <w:b/>
          <w:bCs/>
        </w:rPr>
        <w:tab/>
        <w:t>ENVIRONMENTAL PROTECTION AGENCY</w:t>
      </w:r>
    </w:p>
    <w:p w:rsidRPr="008B52EE" w:rsidR="00CA4CD6" w:rsidRDefault="00CA4CD6" w14:paraId="55A3AE59" w14:textId="77777777">
      <w:pPr>
        <w:tabs>
          <w:tab w:val="center" w:pos="4680"/>
        </w:tabs>
      </w:pPr>
      <w:r w:rsidRPr="008B52EE">
        <w:tab/>
      </w:r>
    </w:p>
    <w:p w:rsidRPr="008B52EE" w:rsidR="00CA4CD6" w:rsidRDefault="00CA4CD6" w14:paraId="49855593" w14:textId="77777777"/>
    <w:p w:rsidRPr="008B52EE" w:rsidR="00CA4CD6" w:rsidP="00504745" w:rsidRDefault="00CA4CD6" w14:paraId="1B30C59E" w14:textId="3823C072">
      <w:pPr>
        <w:outlineLvl w:val="0"/>
        <w:rPr>
          <w:b/>
          <w:bCs/>
        </w:rPr>
      </w:pPr>
      <w:r w:rsidRPr="008B52EE">
        <w:rPr>
          <w:b/>
          <w:bCs/>
        </w:rPr>
        <w:t>1.</w:t>
      </w:r>
      <w:r w:rsidRPr="008B52EE" w:rsidR="009C7E97">
        <w:rPr>
          <w:b/>
          <w:bCs/>
        </w:rPr>
        <w:t xml:space="preserve"> </w:t>
      </w:r>
      <w:r w:rsidRPr="008B52EE">
        <w:rPr>
          <w:b/>
          <w:bCs/>
        </w:rPr>
        <w:t>Identification of the Information Collection</w:t>
      </w:r>
    </w:p>
    <w:p w:rsidRPr="008B52EE" w:rsidR="00CA4CD6" w:rsidRDefault="00CA4CD6" w14:paraId="3919F060" w14:textId="77777777">
      <w:pPr>
        <w:rPr>
          <w:b/>
          <w:bCs/>
        </w:rPr>
      </w:pPr>
    </w:p>
    <w:p w:rsidRPr="008B52EE" w:rsidR="00CA4CD6" w:rsidRDefault="00CA4CD6" w14:paraId="332772A2" w14:textId="1B654EC7">
      <w:pPr>
        <w:ind w:firstLine="720"/>
        <w:rPr>
          <w:b/>
          <w:bCs/>
        </w:rPr>
      </w:pPr>
      <w:r w:rsidRPr="008B52EE">
        <w:rPr>
          <w:b/>
          <w:bCs/>
        </w:rPr>
        <w:t>1(a)</w:t>
      </w:r>
      <w:r w:rsidRPr="008B52EE" w:rsidR="009C7E97">
        <w:rPr>
          <w:b/>
          <w:bCs/>
        </w:rPr>
        <w:t xml:space="preserve"> </w:t>
      </w:r>
      <w:r w:rsidRPr="008B52EE">
        <w:rPr>
          <w:b/>
          <w:bCs/>
        </w:rPr>
        <w:t>Title of the Information Collection</w:t>
      </w:r>
    </w:p>
    <w:p w:rsidRPr="008B52EE" w:rsidR="00CA4CD6" w:rsidRDefault="00CA4CD6" w14:paraId="0B658FF0" w14:textId="77777777">
      <w:pPr>
        <w:rPr>
          <w:b/>
          <w:bCs/>
        </w:rPr>
      </w:pPr>
    </w:p>
    <w:p w:rsidRPr="008B52EE" w:rsidR="00CA4CD6" w:rsidP="00AE6FC7" w:rsidRDefault="003F624A" w14:paraId="524FB0EB" w14:textId="3459AD3D">
      <w:pPr>
        <w:ind w:firstLine="720"/>
        <w:rPr>
          <w:bCs/>
          <w:color w:val="000000"/>
        </w:rPr>
      </w:pPr>
      <w:r w:rsidRPr="008B52EE">
        <w:t xml:space="preserve">Information Collection Request for </w:t>
      </w:r>
      <w:r w:rsidR="00E71B47">
        <w:t>ICR Supporting Statement Information Collection Request for Water Quality Certification</w:t>
      </w:r>
      <w:r w:rsidR="000A0766">
        <w:t xml:space="preserve"> Regulations</w:t>
      </w:r>
      <w:r w:rsidRPr="008B52EE" w:rsidR="002B29A5">
        <w:rPr>
          <w:bCs/>
        </w:rPr>
        <w:t>, EPA ICR Number</w:t>
      </w:r>
      <w:r w:rsidRPr="008B52EE" w:rsidR="00810DBE">
        <w:rPr>
          <w:bCs/>
        </w:rPr>
        <w:t xml:space="preserve"> 2</w:t>
      </w:r>
      <w:r w:rsidRPr="008B52EE">
        <w:rPr>
          <w:bCs/>
        </w:rPr>
        <w:t>603.03</w:t>
      </w:r>
      <w:r w:rsidRPr="008B52EE" w:rsidR="00810DBE">
        <w:rPr>
          <w:bCs/>
        </w:rPr>
        <w:t>,</w:t>
      </w:r>
      <w:r w:rsidRPr="008B52EE" w:rsidR="002B29A5">
        <w:rPr>
          <w:bCs/>
        </w:rPr>
        <w:t xml:space="preserve"> OMB Control Number 20</w:t>
      </w:r>
      <w:r w:rsidRPr="008B52EE">
        <w:rPr>
          <w:bCs/>
        </w:rPr>
        <w:t>40-0295</w:t>
      </w:r>
      <w:r w:rsidRPr="008B52EE" w:rsidR="00810DBE">
        <w:rPr>
          <w:bCs/>
        </w:rPr>
        <w:t>.</w:t>
      </w:r>
      <w:r w:rsidRPr="008B52EE" w:rsidR="002B29A5">
        <w:rPr>
          <w:bCs/>
          <w:color w:val="FF0000"/>
        </w:rPr>
        <w:t xml:space="preserve"> </w:t>
      </w:r>
    </w:p>
    <w:p w:rsidRPr="008B52EE" w:rsidR="00CA4CD6" w:rsidRDefault="00CA4CD6" w14:paraId="56431331" w14:textId="77777777">
      <w:pPr>
        <w:rPr>
          <w:b/>
          <w:bCs/>
          <w:color w:val="000000"/>
        </w:rPr>
      </w:pPr>
    </w:p>
    <w:p w:rsidRPr="008B52EE" w:rsidR="00CA4CD6" w:rsidRDefault="00CA4CD6" w14:paraId="66442740" w14:textId="54D522DF">
      <w:pPr>
        <w:ind w:firstLine="720"/>
        <w:rPr>
          <w:color w:val="000000"/>
        </w:rPr>
      </w:pPr>
      <w:r w:rsidRPr="008B52EE">
        <w:rPr>
          <w:b/>
          <w:bCs/>
          <w:color w:val="000000"/>
        </w:rPr>
        <w:t>1(b)</w:t>
      </w:r>
      <w:r w:rsidRPr="008B52EE" w:rsidR="009C7E97">
        <w:rPr>
          <w:b/>
          <w:bCs/>
          <w:color w:val="000000"/>
        </w:rPr>
        <w:t xml:space="preserve"> </w:t>
      </w:r>
      <w:r w:rsidRPr="008B52EE">
        <w:rPr>
          <w:b/>
          <w:bCs/>
          <w:color w:val="000000"/>
        </w:rPr>
        <w:t>Short Characterization/Abstract</w:t>
      </w:r>
    </w:p>
    <w:p w:rsidRPr="008B52EE" w:rsidR="00CA4CD6" w:rsidRDefault="00CA4CD6" w14:paraId="5FA2A408" w14:textId="77777777">
      <w:pPr>
        <w:rPr>
          <w:color w:val="000000"/>
        </w:rPr>
      </w:pPr>
    </w:p>
    <w:p w:rsidRPr="008B52EE" w:rsidR="00B11F1A" w:rsidP="001F7E7F" w:rsidRDefault="001F7E7F" w14:paraId="1CC1824E" w14:textId="463089B1">
      <w:pPr>
        <w:ind w:firstLine="720"/>
      </w:pPr>
      <w:bookmarkStart w:name="_Hlk21021880" w:id="1"/>
      <w:r w:rsidRPr="008B52EE">
        <w:t xml:space="preserve">This Information Collection Request (ICR) describes the cost and burden associated with 40 CFR 121, the regulations that implement Clean Water Act (CWA) section 401. Under section 401, a federal agency may not issue a permit or license that may result in any discharge into waters of the United States unless the certifying authority where the discharge would originate issues a section 401 water quality certification verifying that the discharge will comply with certain water quality requirements or waives the certification requirement. CWA section 401 requires project proponents to submit project specific information to certifying authorities. Certifying authorities may act on project specific information by either granting, granting with conditions, denying, or waiving section 401 certification. CWA section 401 requires certifying authorities to submit information to the relevant federal licensing or permitting agency to indicate the action taken on a request for certification. </w:t>
      </w:r>
      <w:r w:rsidRPr="00224F73" w:rsidR="00224F73">
        <w:t xml:space="preserve">If the </w:t>
      </w:r>
      <w:r w:rsidR="00224F73">
        <w:t>certifying authority</w:t>
      </w:r>
      <w:r w:rsidRPr="00224F73" w:rsidR="00224F73">
        <w:t xml:space="preserve"> fails or refuses to act on a request for certification, within a reasonable period of time (which shall not exceed one year) after receipt of such request, the certification requirements of this subsection shall be waived with respect to such Federal application. </w:t>
      </w:r>
      <w:r w:rsidRPr="008B52EE">
        <w:t xml:space="preserve">The EPA is also responsible for coordinating input from certain neighboring or downstream states and tribes affected by a discharge from a federally licensed or permitted project under section 401(a)(2). </w:t>
      </w:r>
      <w:bookmarkStart w:name="_Hlk21698143" w:id="2"/>
      <w:r w:rsidRPr="008B52EE">
        <w:t>Information collected directly by the EPA under section 401 in support of the section 402 permit program is already captured under an existing ICR (OMB Control Number 2040-0004</w:t>
      </w:r>
      <w:r w:rsidRPr="008B52EE" w:rsidR="00C63F57">
        <w:t xml:space="preserve">) and is </w:t>
      </w:r>
      <w:r w:rsidRPr="008B52EE" w:rsidR="009F4517">
        <w:t xml:space="preserve">therefore </w:t>
      </w:r>
      <w:r w:rsidRPr="008B52EE" w:rsidR="00C63F57">
        <w:t>not included in this analysis.</w:t>
      </w:r>
      <w:bookmarkEnd w:id="1"/>
      <w:bookmarkEnd w:id="2"/>
    </w:p>
    <w:p w:rsidRPr="008B52EE" w:rsidR="003F624A" w:rsidP="003F624A" w:rsidRDefault="003F624A" w14:paraId="185A87FE" w14:textId="77777777"/>
    <w:p w:rsidRPr="008B52E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8B52EE">
        <w:rPr>
          <w:b/>
          <w:bCs/>
          <w:color w:val="000000"/>
        </w:rPr>
        <w:t>2.</w:t>
      </w:r>
      <w:r w:rsidRPr="008B52EE" w:rsidR="009C7E97">
        <w:rPr>
          <w:b/>
          <w:bCs/>
          <w:color w:val="000000"/>
        </w:rPr>
        <w:t xml:space="preserve"> </w:t>
      </w:r>
      <w:r w:rsidRPr="008B52EE">
        <w:rPr>
          <w:b/>
          <w:bCs/>
          <w:color w:val="000000"/>
        </w:rPr>
        <w:t>Need for and Use of the Collection</w:t>
      </w:r>
    </w:p>
    <w:p w:rsidRPr="008B52EE"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sidRPr="008B52EE">
        <w:rPr>
          <w:b/>
          <w:bCs/>
          <w:color w:val="000000"/>
        </w:rPr>
        <w:t>2(a)</w:t>
      </w:r>
      <w:r w:rsidRPr="008B52EE" w:rsidR="009C7E97">
        <w:rPr>
          <w:b/>
          <w:bCs/>
          <w:color w:val="000000"/>
        </w:rPr>
        <w:t xml:space="preserve"> </w:t>
      </w:r>
      <w:r w:rsidRPr="008B52EE">
        <w:rPr>
          <w:b/>
          <w:bCs/>
          <w:color w:val="000000"/>
        </w:rPr>
        <w:t>Need/Authority for the Collection</w:t>
      </w:r>
    </w:p>
    <w:p w:rsidRPr="008B52EE"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352F33" w:rsidRDefault="00B11F1A" w14:paraId="7731FDB9" w14:textId="1C9B2730">
      <w:pPr>
        <w:ind w:firstLine="720"/>
      </w:pPr>
      <w:r w:rsidRPr="008B52EE">
        <w:t xml:space="preserve">CWA section 401 requires </w:t>
      </w:r>
      <w:r w:rsidRPr="008B52EE" w:rsidR="00CB5684">
        <w:t xml:space="preserve">project proponents to submit specific information to certifying authorities. Certifying authorities may then act on project specific information by either granting, granting with conditions, denying, or waiving section 401 certification. All states and tribes with treatment as a state (TAS) authorization for section 401 have authority to implement section 401 certification programs. The EPA has authority to implement section 401 certification programs on behalf of tribes without TAS for section 401 and on lands of exclusive federal jurisdiction. The EPA is also responsible for </w:t>
      </w:r>
      <w:r w:rsidR="00214152">
        <w:t xml:space="preserve">providing </w:t>
      </w:r>
      <w:r w:rsidR="00C72C04">
        <w:t>notification</w:t>
      </w:r>
      <w:r w:rsidRPr="008B52EE" w:rsidR="00CB5684">
        <w:t xml:space="preserve"> </w:t>
      </w:r>
      <w:r w:rsidR="00C72C04">
        <w:t>to</w:t>
      </w:r>
      <w:r w:rsidRPr="008B52EE" w:rsidR="00CB5684">
        <w:t xml:space="preserve"> neighboring or downstream states and </w:t>
      </w:r>
      <w:r w:rsidRPr="008B52EE" w:rsidR="00CB5684">
        <w:lastRenderedPageBreak/>
        <w:t>tribes affected by a discharge from a federally licensed or permitted project under section 401(a)(2). CWA section 401 requires certifying authorities to submit information to the relevant federal licensing or permitting agency to indicate the action taken on a request for certification</w:t>
      </w:r>
      <w:r w:rsidRPr="008B52EE" w:rsidR="00C63F57">
        <w:t>.</w:t>
      </w:r>
      <w:r w:rsidR="00224F73">
        <w:t xml:space="preserve"> </w:t>
      </w:r>
      <w:r w:rsidRPr="00224F73" w:rsidR="00224F73">
        <w:t xml:space="preserve">If the </w:t>
      </w:r>
      <w:r w:rsidR="00224F73">
        <w:t>certifying authority</w:t>
      </w:r>
      <w:r w:rsidRPr="00224F73" w:rsidR="00224F73">
        <w:t xml:space="preserve"> fails or refuses to act on a request for certification, within a reasonable period of time (which shall not exceed one year) after receipt of such request, the certification requirements of this subsection shall be waived with respect to such Federal application. </w:t>
      </w:r>
    </w:p>
    <w:p w:rsidRPr="008B52EE" w:rsidR="00CB5684" w:rsidP="00B11F1A" w:rsidRDefault="00CB5684" w14:paraId="5FF8237F" w14:textId="77777777"/>
    <w:p w:rsidRPr="008B52EE"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2(b)</w:t>
      </w:r>
      <w:r w:rsidRPr="008B52EE" w:rsidR="009C7E97">
        <w:rPr>
          <w:b/>
          <w:bCs/>
          <w:color w:val="000000"/>
        </w:rPr>
        <w:t xml:space="preserve"> </w:t>
      </w:r>
      <w:r w:rsidRPr="008B52EE">
        <w:rPr>
          <w:b/>
          <w:bCs/>
          <w:color w:val="000000"/>
        </w:rPr>
        <w:t>Practical Utility/Users of the Data</w:t>
      </w:r>
    </w:p>
    <w:p w:rsidRPr="008B52EE"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Pr="008B52EE" w:rsidR="00CB5684" w:rsidP="003D17A7" w:rsidRDefault="00CB5684" w14:paraId="1437EBC5" w14:textId="073B1922">
      <w:pPr>
        <w:ind w:firstLine="720"/>
      </w:pPr>
      <w:r w:rsidRPr="008B52EE">
        <w:t xml:space="preserve">The information collected under section 401 is used by the certifying authorities for reviewing proposed projects that require a federal license or permit and have the potential </w:t>
      </w:r>
      <w:r w:rsidRPr="008B52EE" w:rsidR="00C63F57">
        <w:t xml:space="preserve">for a </w:t>
      </w:r>
      <w:r w:rsidRPr="008B52EE">
        <w:t xml:space="preserve">discharge </w:t>
      </w:r>
      <w:r w:rsidR="0069170B">
        <w:t>to a navigable water</w:t>
      </w:r>
      <w:r w:rsidRPr="008B52EE">
        <w:t xml:space="preserve">. </w:t>
      </w:r>
    </w:p>
    <w:p w:rsidRPr="008B52EE" w:rsidR="000502D2" w:rsidP="000502D2" w:rsidRDefault="000502D2" w14:paraId="3E748FA7"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504745" w:rsidRDefault="00CA4CD6" w14:paraId="12BA0C09" w14:textId="6951035E">
      <w:pPr>
        <w:pBdr>
          <w:top w:val="single" w:color="FFFFFF" w:sz="6" w:space="0"/>
          <w:left w:val="single" w:color="FFFFFF" w:sz="6" w:space="0"/>
          <w:bottom w:val="single" w:color="FFFFFF" w:sz="6" w:space="0"/>
          <w:right w:val="single" w:color="FFFFFF" w:sz="6" w:space="0"/>
        </w:pBdr>
        <w:outlineLvl w:val="0"/>
        <w:rPr>
          <w:b/>
          <w:bCs/>
          <w:color w:val="000000"/>
        </w:rPr>
      </w:pPr>
      <w:r w:rsidRPr="008B52EE">
        <w:rPr>
          <w:b/>
          <w:bCs/>
          <w:color w:val="000000"/>
        </w:rPr>
        <w:t>3.</w:t>
      </w:r>
      <w:r w:rsidRPr="008B52EE" w:rsidR="009C7E97">
        <w:rPr>
          <w:b/>
          <w:bCs/>
          <w:color w:val="000000"/>
        </w:rPr>
        <w:t xml:space="preserve"> </w:t>
      </w:r>
      <w:r w:rsidRPr="008B52EE">
        <w:rPr>
          <w:b/>
          <w:bCs/>
          <w:color w:val="000000"/>
        </w:rPr>
        <w:t>Non</w:t>
      </w:r>
      <w:r w:rsidRPr="008B52EE" w:rsidR="0082334E">
        <w:rPr>
          <w:b/>
          <w:bCs/>
          <w:color w:val="000000"/>
        </w:rPr>
        <w:t>-</w:t>
      </w:r>
      <w:r w:rsidRPr="008B52EE">
        <w:rPr>
          <w:b/>
          <w:bCs/>
          <w:color w:val="000000"/>
        </w:rPr>
        <w:t>duplication, Consultations, and Other Collection Criteria</w:t>
      </w:r>
    </w:p>
    <w:p w:rsidRPr="008B52EE"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533E7599" w14:textId="63FB29C1">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3(a)</w:t>
      </w:r>
      <w:r w:rsidRPr="008B52EE" w:rsidR="009C7E97">
        <w:rPr>
          <w:b/>
          <w:bCs/>
          <w:color w:val="000000"/>
        </w:rPr>
        <w:t xml:space="preserve"> </w:t>
      </w:r>
      <w:r w:rsidRPr="008B52EE">
        <w:rPr>
          <w:b/>
          <w:bCs/>
          <w:color w:val="000000"/>
        </w:rPr>
        <w:t>Non</w:t>
      </w:r>
      <w:r w:rsidRPr="008B52EE" w:rsidR="0082334E">
        <w:rPr>
          <w:b/>
          <w:bCs/>
          <w:color w:val="000000"/>
        </w:rPr>
        <w:t>-</w:t>
      </w:r>
      <w:r w:rsidRPr="008B52EE">
        <w:rPr>
          <w:b/>
          <w:bCs/>
          <w:color w:val="000000"/>
        </w:rPr>
        <w:t>duplication</w:t>
      </w:r>
    </w:p>
    <w:p w:rsidRPr="008B52EE" w:rsidR="00CA4CD6" w:rsidRDefault="00CA4CD6" w14:paraId="1E3249EC" w14:textId="0231DB63">
      <w:pPr>
        <w:pBdr>
          <w:top w:val="single" w:color="FFFFFF" w:sz="6" w:space="0"/>
          <w:left w:val="single" w:color="FFFFFF" w:sz="6" w:space="0"/>
          <w:bottom w:val="single" w:color="FFFFFF" w:sz="6" w:space="0"/>
          <w:right w:val="single" w:color="FFFFFF" w:sz="6" w:space="0"/>
        </w:pBdr>
        <w:rPr>
          <w:color w:val="000000"/>
        </w:rPr>
      </w:pPr>
    </w:p>
    <w:p w:rsidRPr="008B52EE" w:rsidR="00CB5684" w:rsidP="00CB5684" w:rsidRDefault="00CB5684" w14:paraId="77ED7F6D" w14:textId="7695581C">
      <w:pPr>
        <w:pStyle w:val="BodyText"/>
        <w:ind w:firstLine="720"/>
        <w:rPr>
          <w:rFonts w:ascii="Times New Roman" w:hAnsi="Times New Roman"/>
          <w:i w:val="0"/>
        </w:rPr>
      </w:pPr>
      <w:r w:rsidRPr="008B52EE">
        <w:rPr>
          <w:rFonts w:ascii="Times New Roman" w:hAnsi="Times New Roman"/>
          <w:i w:val="0"/>
        </w:rPr>
        <w:t xml:space="preserve">The information collected under this section </w:t>
      </w:r>
      <w:r w:rsidRPr="008B52EE" w:rsidR="00B9123E">
        <w:rPr>
          <w:rFonts w:ascii="Times New Roman" w:hAnsi="Times New Roman"/>
          <w:i w:val="0"/>
        </w:rPr>
        <w:t>may</w:t>
      </w:r>
      <w:r w:rsidRPr="008B52EE" w:rsidR="00352F33">
        <w:rPr>
          <w:rFonts w:ascii="Times New Roman" w:hAnsi="Times New Roman"/>
          <w:i w:val="0"/>
        </w:rPr>
        <w:t xml:space="preserve"> </w:t>
      </w:r>
      <w:r w:rsidRPr="008B52EE" w:rsidR="00B9123E">
        <w:rPr>
          <w:rFonts w:ascii="Times New Roman" w:hAnsi="Times New Roman"/>
          <w:i w:val="0"/>
        </w:rPr>
        <w:t xml:space="preserve">not be </w:t>
      </w:r>
      <w:r w:rsidRPr="008B52EE" w:rsidR="00352F33">
        <w:rPr>
          <w:rFonts w:ascii="Times New Roman" w:hAnsi="Times New Roman"/>
          <w:i w:val="0"/>
        </w:rPr>
        <w:t>systematically collected or made available</w:t>
      </w:r>
      <w:r w:rsidRPr="008B52EE">
        <w:rPr>
          <w:rFonts w:ascii="Times New Roman" w:hAnsi="Times New Roman"/>
          <w:i w:val="0"/>
        </w:rPr>
        <w:t xml:space="preserve"> elsewhere</w:t>
      </w:r>
      <w:r w:rsidR="00853DAC">
        <w:rPr>
          <w:rFonts w:ascii="Times New Roman" w:hAnsi="Times New Roman"/>
          <w:i w:val="0"/>
        </w:rPr>
        <w:t>, nor is it currently available elsewhere</w:t>
      </w:r>
      <w:r w:rsidRPr="008B52EE">
        <w:rPr>
          <w:rFonts w:ascii="Times New Roman" w:hAnsi="Times New Roman"/>
          <w:i w:val="0"/>
        </w:rPr>
        <w:t xml:space="preserve">. </w:t>
      </w:r>
    </w:p>
    <w:p w:rsidRPr="008B52EE"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3(b)</w:t>
      </w:r>
      <w:r w:rsidRPr="008B52EE" w:rsidR="009C7E97">
        <w:rPr>
          <w:b/>
          <w:bCs/>
          <w:color w:val="000000"/>
        </w:rPr>
        <w:t xml:space="preserve"> </w:t>
      </w:r>
      <w:r w:rsidRPr="008B52EE">
        <w:rPr>
          <w:b/>
          <w:bCs/>
          <w:color w:val="000000"/>
        </w:rPr>
        <w:t>Public Notice Required Prior to ICR Submission to OMB</w:t>
      </w:r>
    </w:p>
    <w:p w:rsidRPr="008B52EE"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F411D9" w:rsidP="00F411D9" w:rsidRDefault="00F411D9" w14:paraId="682F5277" w14:textId="0C32A154">
      <w:pPr>
        <w:ind w:firstLine="720"/>
      </w:pPr>
      <w:r>
        <w:t xml:space="preserve">In compliance with the Paperwork Reduction Act of 1995 (PRA), EPA issued a public notice in the </w:t>
      </w:r>
      <w:r>
        <w:rPr>
          <w:i/>
        </w:rPr>
        <w:t>Federal Register</w:t>
      </w:r>
      <w:r>
        <w:t xml:space="preserve"> on November 27, 2019 (84 FR 65390). The notice indicated that EPA was planning to submit an ICR, “Request for Water Quality Certification Regulations</w:t>
      </w:r>
      <w:r w:rsidRPr="008B52EE">
        <w:rPr>
          <w:bCs/>
        </w:rPr>
        <w:t>,</w:t>
      </w:r>
      <w:r w:rsidR="0069170B">
        <w:rPr>
          <w:bCs/>
        </w:rPr>
        <w:t>”</w:t>
      </w:r>
      <w:r w:rsidRPr="008B52EE">
        <w:rPr>
          <w:bCs/>
        </w:rPr>
        <w:t xml:space="preserve"> EPA ICR Number 2603.03, OMB Control Number 2040-0295</w:t>
      </w:r>
      <w:r>
        <w:t xml:space="preserve">, to the Office of Management and Budget (OMB) for review and approval in accordance with the PRA. The notice also requested comments on the information collection and burden estimates covered in the ICR. The public </w:t>
      </w:r>
      <w:r w:rsidRPr="00544AD2">
        <w:t xml:space="preserve">comment period extended through January 27, 2020. </w:t>
      </w:r>
      <w:r w:rsidRPr="0010231E">
        <w:t>The EPA did not receive any substantive public comments in response to this notice.</w:t>
      </w:r>
      <w:r w:rsidRPr="00AE5D0D">
        <w:t xml:space="preserve">  </w:t>
      </w:r>
    </w:p>
    <w:p w:rsidRPr="008B52EE"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Pr="008B52E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3(c)</w:t>
      </w:r>
      <w:r w:rsidRPr="008B52EE" w:rsidR="009C7E97">
        <w:rPr>
          <w:b/>
          <w:bCs/>
          <w:color w:val="000000"/>
        </w:rPr>
        <w:t xml:space="preserve"> </w:t>
      </w:r>
      <w:r w:rsidRPr="008B52EE">
        <w:rPr>
          <w:b/>
          <w:bCs/>
          <w:color w:val="000000"/>
        </w:rPr>
        <w:t>Consultations</w:t>
      </w:r>
    </w:p>
    <w:p w:rsidRPr="008B52EE" w:rsidR="00E53137" w:rsidP="00D92F66" w:rsidRDefault="00E53137" w14:paraId="0193644F" w14:textId="77777777">
      <w:pPr>
        <w:spacing w:line="244" w:lineRule="exact"/>
        <w:rPr>
          <w:color w:val="FF0000"/>
        </w:rPr>
      </w:pPr>
    </w:p>
    <w:p w:rsidR="00F411D9" w:rsidP="00F411D9" w:rsidRDefault="00F411D9" w14:paraId="7037E45E" w14:textId="55B14388">
      <w:pPr>
        <w:ind w:firstLine="720"/>
      </w:pPr>
      <w:r>
        <w:t xml:space="preserve">As part of a concurrent process to </w:t>
      </w:r>
      <w:r w:rsidRPr="008B52EE">
        <w:t>update the certification regulations at 40 CFR 121</w:t>
      </w:r>
      <w:r>
        <w:t xml:space="preserve">, the EPA </w:t>
      </w:r>
      <w:r w:rsidRPr="008B52EE">
        <w:t>received input from a variety of sources</w:t>
      </w:r>
      <w:r>
        <w:t xml:space="preserve"> that has been useful in helping the Agency refine its understanding of the current collection (now being renewed with this ICR -- </w:t>
      </w:r>
      <w:r w:rsidRPr="008B52EE">
        <w:rPr>
          <w:bCs/>
        </w:rPr>
        <w:t>EPA ICR Number 2603.0</w:t>
      </w:r>
      <w:r>
        <w:rPr>
          <w:bCs/>
        </w:rPr>
        <w:t>3)</w:t>
      </w:r>
      <w:r>
        <w:t xml:space="preserve">.  Those sources </w:t>
      </w:r>
      <w:r w:rsidRPr="008B52EE">
        <w:t xml:space="preserve">including state and tribal </w:t>
      </w:r>
      <w:r>
        <w:t>meetings</w:t>
      </w:r>
      <w:r w:rsidRPr="008B52EE">
        <w:t xml:space="preserve">, meetings with federal agencies, and </w:t>
      </w:r>
      <w:r>
        <w:t>public comments received on a notice of proposed rulemaking (</w:t>
      </w:r>
      <w:hyperlink w:history="1" r:id="rId12">
        <w:r>
          <w:t>D</w:t>
        </w:r>
        <w:r w:rsidRPr="00AC2497">
          <w:t>ocket ID No. EPA-HQ-OW-2019-0405</w:t>
        </w:r>
      </w:hyperlink>
      <w:r>
        <w:t xml:space="preserve">). </w:t>
      </w:r>
    </w:p>
    <w:p w:rsidRPr="007B563E" w:rsidR="00F76987" w:rsidP="00F76987" w:rsidRDefault="0069170B" w14:paraId="24290E2E" w14:textId="4803CDE0">
      <w:pPr>
        <w:tabs>
          <w:tab w:val="left" w:pos="-1440"/>
        </w:tabs>
      </w:pPr>
      <w:r>
        <w:tab/>
      </w:r>
      <w:r w:rsidR="00262404">
        <w:t xml:space="preserve">Additionally, the EPA communicated with </w:t>
      </w:r>
      <w:r w:rsidR="00F13CF2">
        <w:t xml:space="preserve">nine (9) </w:t>
      </w:r>
      <w:r w:rsidR="009B608A">
        <w:t>jurisdictions</w:t>
      </w:r>
      <w:r w:rsidRPr="008B6678" w:rsidR="008B6678">
        <w:rPr>
          <w:rStyle w:val="FootnoteReference"/>
          <w:vertAlign w:val="superscript"/>
        </w:rPr>
        <w:footnoteReference w:id="2"/>
      </w:r>
      <w:r w:rsidR="00262404">
        <w:t xml:space="preserve"> </w:t>
      </w:r>
      <w:r w:rsidR="008B6678">
        <w:t xml:space="preserve">directly </w:t>
      </w:r>
      <w:r w:rsidR="00262404">
        <w:t>to collect more information on their respective</w:t>
      </w:r>
      <w:r w:rsidR="00846EE5">
        <w:t xml:space="preserve"> water quality certification</w:t>
      </w:r>
      <w:r w:rsidR="00262404">
        <w:t xml:space="preserve"> programs</w:t>
      </w:r>
      <w:r w:rsidR="00846EE5">
        <w:t xml:space="preserve">, including </w:t>
      </w:r>
      <w:r w:rsidR="00262404">
        <w:t xml:space="preserve">the types and content of certification requests received. </w:t>
      </w:r>
      <w:r w:rsidR="00F13CF2">
        <w:t>Eight (8) jurisdictions responded</w:t>
      </w:r>
      <w:r w:rsidRPr="00D22FF3">
        <w:rPr>
          <w:rStyle w:val="FootnoteReference"/>
          <w:vertAlign w:val="superscript"/>
        </w:rPr>
        <w:footnoteReference w:id="3"/>
      </w:r>
      <w:r w:rsidR="00F13CF2">
        <w:t xml:space="preserve">.  </w:t>
      </w:r>
      <w:r w:rsidR="00262404">
        <w:t xml:space="preserve">This additional information has been assessed and </w:t>
      </w:r>
      <w:r w:rsidR="00E20CEB">
        <w:t>used to inform</w:t>
      </w:r>
      <w:r w:rsidR="00262404">
        <w:t xml:space="preserve"> the estimate</w:t>
      </w:r>
      <w:r w:rsidR="008B6678">
        <w:t>s</w:t>
      </w:r>
      <w:r w:rsidR="00262404">
        <w:t xml:space="preserve"> present</w:t>
      </w:r>
      <w:r w:rsidR="00DC5BDB">
        <w:t>ed</w:t>
      </w:r>
      <w:r w:rsidR="00262404">
        <w:t xml:space="preserve"> in this supporting </w:t>
      </w:r>
      <w:r w:rsidR="00262404">
        <w:lastRenderedPageBreak/>
        <w:t>statement.</w:t>
      </w:r>
      <w:r w:rsidR="00F76987">
        <w:t xml:space="preserve">  The additional information provided more specific details on the potential number of responses submitted by project proponents and the time that certifying authorities spend reviewing information. This new information has been, in some cases which are discussed in section 6, included in the ranges used when calculating estimated hour and cost burdens.</w:t>
      </w:r>
    </w:p>
    <w:p w:rsidRPr="008B52EE" w:rsidR="00262404" w:rsidP="00A26BDF" w:rsidRDefault="00262404" w14:paraId="01B5B37D" w14:textId="6E53E946">
      <w:pPr>
        <w:ind w:firstLine="720"/>
        <w:rPr>
          <w:b/>
        </w:rPr>
      </w:pPr>
    </w:p>
    <w:p w:rsidRPr="008B52EE" w:rsidR="00277F42" w:rsidP="00123889" w:rsidRDefault="00277F42" w14:paraId="00AC931D" w14:textId="77777777">
      <w:pPr>
        <w:rPr>
          <w:color w:val="FF0000"/>
        </w:rPr>
      </w:pPr>
    </w:p>
    <w:p w:rsidRPr="008B52EE" w:rsidR="00CA4CD6" w:rsidRDefault="00CA4CD6" w14:paraId="3DB64864" w14:textId="2A105C1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3(d)</w:t>
      </w:r>
      <w:r w:rsidRPr="008B52EE" w:rsidR="009C7E97">
        <w:rPr>
          <w:b/>
          <w:bCs/>
          <w:color w:val="000000"/>
        </w:rPr>
        <w:t xml:space="preserve"> </w:t>
      </w:r>
      <w:r w:rsidRPr="008B52EE">
        <w:rPr>
          <w:b/>
          <w:bCs/>
          <w:color w:val="000000"/>
        </w:rPr>
        <w:t>Effects of Less</w:t>
      </w:r>
      <w:r w:rsidRPr="008B52EE" w:rsidR="00B1262E">
        <w:rPr>
          <w:b/>
          <w:bCs/>
          <w:color w:val="000000"/>
        </w:rPr>
        <w:t>-</w:t>
      </w:r>
      <w:r w:rsidRPr="008B52EE">
        <w:rPr>
          <w:b/>
          <w:bCs/>
          <w:color w:val="000000"/>
        </w:rPr>
        <w:t>Frequent Collection</w:t>
      </w:r>
    </w:p>
    <w:p w:rsidRPr="008B52EE"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CB2083" w:rsidRDefault="00A26BDF" w14:paraId="149D1DFE" w14:textId="72664692">
      <w:pPr>
        <w:ind w:firstLine="720"/>
        <w:jc w:val="both"/>
      </w:pPr>
      <w:r w:rsidRPr="008B52EE">
        <w:t xml:space="preserve">To satisfy the requirements of the statute, certifying authorities must collect information necessary to determine whether a potential discharge from a federally licensed or permitted activity into a water of the United States will comply with water quality requirements. </w:t>
      </w:r>
      <w:r w:rsidRPr="008B52EE" w:rsidR="00CB2083">
        <w:t xml:space="preserve">Project proponents cannot move forward, and </w:t>
      </w:r>
      <w:bookmarkStart w:name="_Hlk21106255" w:id="3"/>
      <w:r w:rsidRPr="008B52EE" w:rsidR="00CB2083">
        <w:t>a federal agency may not proceed with issuing a license or permit</w:t>
      </w:r>
      <w:r w:rsidRPr="008B52EE" w:rsidR="00C63F57">
        <w:t>,</w:t>
      </w:r>
      <w:r w:rsidRPr="008B52EE" w:rsidR="00CB2083">
        <w:t xml:space="preserve"> </w:t>
      </w:r>
      <w:bookmarkEnd w:id="3"/>
      <w:r w:rsidRPr="008B52EE" w:rsidR="00CB2083">
        <w:t xml:space="preserve">before a certifying authority </w:t>
      </w:r>
      <w:r w:rsidR="0069170B">
        <w:t>acts on</w:t>
      </w:r>
      <w:r w:rsidRPr="008B52EE" w:rsidR="00CB2083">
        <w:t xml:space="preserve"> a request for certification.</w:t>
      </w:r>
      <w:r w:rsidR="00527BB8">
        <w:t xml:space="preserve"> </w:t>
      </w:r>
      <w:r w:rsidRPr="00224F73" w:rsidR="00527BB8">
        <w:t xml:space="preserve">If the </w:t>
      </w:r>
      <w:r w:rsidR="00527BB8">
        <w:t>certifying authority</w:t>
      </w:r>
      <w:r w:rsidRPr="00224F73" w:rsidR="00527BB8">
        <w:t xml:space="preserve"> fails or refuses to act on a request for certification, within a reasonable period</w:t>
      </w:r>
      <w:r w:rsidR="00527BB8">
        <w:t xml:space="preserve"> </w:t>
      </w:r>
      <w:r w:rsidRPr="00224F73" w:rsidR="00527BB8">
        <w:t>of time (which shall not exceed one year) after receipt of such request, the certification requirements of this subsection shall be waived with respect to such Federal application. </w:t>
      </w:r>
    </w:p>
    <w:p w:rsidRPr="008B52EE" w:rsidR="00CB2083" w:rsidP="00CB2083" w:rsidRDefault="00CB2083" w14:paraId="03F6AC26" w14:textId="77777777">
      <w:pPr>
        <w:ind w:firstLine="720"/>
        <w:jc w:val="both"/>
        <w:rPr>
          <w:color w:val="000000"/>
        </w:rPr>
      </w:pPr>
    </w:p>
    <w:p w:rsidRPr="008B52EE"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3(e)</w:t>
      </w:r>
      <w:r w:rsidRPr="008B52EE" w:rsidR="009C7E97">
        <w:rPr>
          <w:b/>
          <w:bCs/>
          <w:color w:val="000000"/>
        </w:rPr>
        <w:t xml:space="preserve"> </w:t>
      </w:r>
      <w:r w:rsidRPr="008B52EE">
        <w:rPr>
          <w:b/>
          <w:bCs/>
          <w:color w:val="000000"/>
        </w:rPr>
        <w:t>General Guidelines</w:t>
      </w:r>
    </w:p>
    <w:p w:rsidRPr="008B52EE"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8B52EE" w:rsidR="002A350F" w:rsidP="002A350F" w:rsidRDefault="002A350F" w14:paraId="3AD46520" w14:textId="0B536DB2">
      <w:pPr>
        <w:ind w:firstLine="720"/>
        <w:rPr>
          <w:i/>
        </w:rPr>
      </w:pPr>
      <w:r w:rsidRPr="008B52EE">
        <w:t xml:space="preserve">There are no special circumstances that would cause an information collection to be conducted in a manner inconsistent with the guidelines in 5 CFR 1320.5.  </w:t>
      </w:r>
      <w:r w:rsidRPr="008B52EE">
        <w:rPr>
          <w:i/>
        </w:rPr>
        <w:t xml:space="preserve">  </w:t>
      </w:r>
    </w:p>
    <w:p w:rsidRPr="008B52EE" w:rsidR="00D258AA" w:rsidRDefault="00D258AA" w14:paraId="2CBA48B8"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8B52EE" w:rsidR="00CA4CD6" w:rsidRDefault="00CA4CD6" w14:paraId="1B1195D3" w14:textId="6BA17960">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3(f)</w:t>
      </w:r>
      <w:r w:rsidRPr="008B52EE" w:rsidR="009C7E97">
        <w:rPr>
          <w:b/>
          <w:bCs/>
          <w:color w:val="000000"/>
        </w:rPr>
        <w:t xml:space="preserve"> </w:t>
      </w:r>
      <w:r w:rsidRPr="008B52EE">
        <w:rPr>
          <w:b/>
          <w:bCs/>
          <w:color w:val="000000"/>
        </w:rPr>
        <w:t>Confidentiality</w:t>
      </w:r>
    </w:p>
    <w:p w:rsidRPr="008B52EE"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Pr="008B52EE" w:rsidR="00D258AA" w:rsidP="00D258AA" w:rsidRDefault="00D258AA" w14:paraId="0B8D2E36" w14:textId="70909D9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r>
      <w:bookmarkStart w:name="_Hlk32923812" w:id="4"/>
      <w:r w:rsidRPr="008B52EE">
        <w:t>Federal licensing and permitting agencies are responsible for following statutory</w:t>
      </w:r>
      <w:r w:rsidR="00AA0062">
        <w:t xml:space="preserve"> and</w:t>
      </w:r>
      <w:r w:rsidRPr="008B52EE">
        <w:t xml:space="preserve"> regulatory</w:t>
      </w:r>
      <w:r w:rsidR="00AA0062">
        <w:t xml:space="preserve"> requirements</w:t>
      </w:r>
      <w:r w:rsidRPr="008B52EE">
        <w:t xml:space="preserve"> regarding the collection and handling of any confidential business information. The EPA and other federal agencies will handle requests from the public for release of information under standard Freedom of Information Act procedures. </w:t>
      </w:r>
    </w:p>
    <w:bookmarkEnd w:id="4"/>
    <w:p w:rsidRPr="008B52EE" w:rsidR="00CA4CD6" w:rsidP="00D258AA"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3(g)</w:t>
      </w:r>
      <w:r w:rsidRPr="008B52EE" w:rsidR="009C7E97">
        <w:rPr>
          <w:b/>
          <w:bCs/>
          <w:color w:val="000000"/>
        </w:rPr>
        <w:t xml:space="preserve"> </w:t>
      </w:r>
      <w:r w:rsidRPr="008B52EE">
        <w:rPr>
          <w:b/>
          <w:bCs/>
          <w:color w:val="000000"/>
        </w:rPr>
        <w:t>Sensitive Questions</w:t>
      </w:r>
    </w:p>
    <w:p w:rsidRPr="008B52EE"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Pr="008B52EE" w:rsidR="00D258AA" w:rsidP="00D258AA" w:rsidRDefault="00D258AA" w14:paraId="34184144" w14:textId="6330C4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t xml:space="preserve">This </w:t>
      </w:r>
      <w:r w:rsidR="00D42C4D">
        <w:t>ICR</w:t>
      </w:r>
      <w:r w:rsidRPr="008B52EE">
        <w:t xml:space="preserve"> does not require the collection of any information of a sensitive nature.</w:t>
      </w:r>
    </w:p>
    <w:p w:rsidRPr="008B52EE"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sidRPr="008B52EE">
        <w:rPr>
          <w:b/>
          <w:bCs/>
          <w:color w:val="000000"/>
        </w:rPr>
        <w:t>4.</w:t>
      </w:r>
      <w:r w:rsidRPr="008B52EE" w:rsidR="009C7E97">
        <w:rPr>
          <w:b/>
          <w:bCs/>
          <w:color w:val="000000"/>
        </w:rPr>
        <w:t xml:space="preserve"> </w:t>
      </w:r>
      <w:r w:rsidRPr="008B52EE">
        <w:rPr>
          <w:b/>
          <w:bCs/>
          <w:color w:val="000000"/>
        </w:rPr>
        <w:t>The Respondents and the Information Requested</w:t>
      </w:r>
    </w:p>
    <w:p w:rsidRPr="008B52EE"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4(a)</w:t>
      </w:r>
      <w:r w:rsidRPr="008B52EE" w:rsidR="009C7E97">
        <w:rPr>
          <w:b/>
          <w:bCs/>
          <w:color w:val="000000"/>
        </w:rPr>
        <w:t xml:space="preserve"> </w:t>
      </w:r>
      <w:r w:rsidRPr="008B52EE">
        <w:rPr>
          <w:b/>
          <w:bCs/>
          <w:color w:val="000000"/>
        </w:rPr>
        <w:t>Respondents/SIC Codes</w:t>
      </w:r>
    </w:p>
    <w:p w:rsidRPr="008B52EE"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8B52EE" w:rsidR="0091787C" w:rsidP="0091787C" w:rsidRDefault="007975F5" w14:paraId="3FD7B2B2" w14:textId="60FCC492">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 xml:space="preserve">Participants in the </w:t>
      </w:r>
      <w:r w:rsidRPr="008B52EE" w:rsidR="00C42816">
        <w:rPr>
          <w:color w:val="000000"/>
        </w:rPr>
        <w:t xml:space="preserve">information collection and recordkeeping activities described by this ICR are generally project proponents or certifying authorities. Any entity </w:t>
      </w:r>
      <w:r w:rsidRPr="008B52EE" w:rsidR="000B3C92">
        <w:rPr>
          <w:color w:val="000000"/>
        </w:rPr>
        <w:t xml:space="preserve">that </w:t>
      </w:r>
      <w:r w:rsidRPr="008B52EE" w:rsidR="00C42816">
        <w:t>requires a federal license or permit and has the potential to discharge</w:t>
      </w:r>
      <w:r w:rsidRPr="008B52EE" w:rsidR="00C8101D">
        <w:t xml:space="preserve"> into waters of the United States</w:t>
      </w:r>
      <w:r w:rsidRPr="008B52EE" w:rsidR="00C42816">
        <w:t xml:space="preserve"> could be a project proponent. </w:t>
      </w:r>
      <w:r w:rsidRPr="008B52EE" w:rsidR="0091787C">
        <w:t xml:space="preserve">Given the </w:t>
      </w:r>
      <w:r w:rsidRPr="008B52EE" w:rsidR="00C42816">
        <w:t>broad range of potential respondents</w:t>
      </w:r>
      <w:r w:rsidRPr="008B52EE" w:rsidR="0091787C">
        <w:t xml:space="preserve">, </w:t>
      </w:r>
      <w:r w:rsidRPr="008B52EE" w:rsidR="00EC693B">
        <w:t xml:space="preserve">the </w:t>
      </w:r>
      <w:r w:rsidRPr="008B52EE" w:rsidR="0091787C">
        <w:t xml:space="preserve">EPA is unable to comprehensively catalogue their </w:t>
      </w:r>
      <w:r w:rsidRPr="008B52EE" w:rsidR="00C42816">
        <w:t xml:space="preserve">particular </w:t>
      </w:r>
      <w:r w:rsidRPr="008B52EE" w:rsidR="00CA4CD6">
        <w:rPr>
          <w:color w:val="000000"/>
        </w:rPr>
        <w:t>North American Industry Classification System</w:t>
      </w:r>
      <w:r w:rsidRPr="008B52EE" w:rsidR="00CF2B37">
        <w:rPr>
          <w:color w:val="000000"/>
        </w:rPr>
        <w:t xml:space="preserve"> (NAICS</w:t>
      </w:r>
      <w:r w:rsidRPr="008B52EE" w:rsidR="00CA4CD6">
        <w:rPr>
          <w:color w:val="000000"/>
        </w:rPr>
        <w:t>)</w:t>
      </w:r>
      <w:r w:rsidRPr="008B52EE" w:rsidR="009559A7">
        <w:rPr>
          <w:color w:val="000000"/>
        </w:rPr>
        <w:t xml:space="preserve"> </w:t>
      </w:r>
      <w:r w:rsidRPr="008B52EE" w:rsidR="004D0C7F">
        <w:rPr>
          <w:color w:val="000000"/>
        </w:rPr>
        <w:t xml:space="preserve">or </w:t>
      </w:r>
      <w:r w:rsidRPr="008B52EE" w:rsidR="004D0C7F">
        <w:rPr>
          <w:color w:val="222222"/>
          <w:shd w:val="clear" w:color="auto" w:fill="FFFFFF"/>
        </w:rPr>
        <w:t>Standard Industrial Classification (</w:t>
      </w:r>
      <w:r w:rsidRPr="008B52EE" w:rsidR="004D0C7F">
        <w:rPr>
          <w:bCs/>
          <w:color w:val="222222"/>
          <w:shd w:val="clear" w:color="auto" w:fill="FFFFFF"/>
        </w:rPr>
        <w:t>SIC</w:t>
      </w:r>
      <w:r w:rsidRPr="008B52EE" w:rsidR="004D0C7F">
        <w:rPr>
          <w:color w:val="222222"/>
          <w:shd w:val="clear" w:color="auto" w:fill="FFFFFF"/>
        </w:rPr>
        <w:t>) </w:t>
      </w:r>
      <w:r w:rsidRPr="008B52EE" w:rsidR="004D0C7F">
        <w:rPr>
          <w:color w:val="000000"/>
        </w:rPr>
        <w:t>codes</w:t>
      </w:r>
      <w:r w:rsidRPr="008B52EE" w:rsidR="0091787C">
        <w:rPr>
          <w:color w:val="000000"/>
        </w:rPr>
        <w:t xml:space="preserve">. However, the following general sectors would be expected to be highly represented among respondents.  </w:t>
      </w:r>
    </w:p>
    <w:p w:rsidRPr="008B52EE" w:rsidR="00424C36" w:rsidP="0091787C" w:rsidRDefault="00424C36" w14:paraId="40F0AEC3"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8258" w:type="dxa"/>
        <w:tblCellSpacing w:w="15" w:type="dxa"/>
        <w:tblBorders>
          <w:top w:val="single" w:color="auto" w:sz="6" w:space="0"/>
          <w:left w:val="single" w:color="auto" w:sz="6" w:space="0"/>
          <w:bottom w:val="single" w:color="auto" w:sz="2" w:space="0"/>
          <w:right w:val="single" w:color="auto" w:sz="2" w:space="0"/>
        </w:tblBorders>
        <w:shd w:val="clear" w:color="auto" w:fill="FFFFFF"/>
        <w:tblCellMar>
          <w:left w:w="0" w:type="dxa"/>
          <w:right w:w="0" w:type="dxa"/>
        </w:tblCellMar>
        <w:tblLook w:val="04A0" w:firstRow="1" w:lastRow="0" w:firstColumn="1" w:lastColumn="0" w:noHBand="0" w:noVBand="1"/>
      </w:tblPr>
      <w:tblGrid>
        <w:gridCol w:w="2709"/>
        <w:gridCol w:w="5549"/>
      </w:tblGrid>
      <w:tr w:rsidRPr="008B52EE" w:rsidR="0091787C" w:rsidTr="0091787C" w14:paraId="5D82A6BF"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91787C" w14:paraId="50EF36A6" w14:textId="77777777">
            <w:pPr>
              <w:widowControl/>
              <w:autoSpaceDE/>
              <w:autoSpaceDN/>
              <w:adjustRightInd/>
              <w:rPr>
                <w:b/>
                <w:bCs/>
                <w:color w:val="000000"/>
                <w:u w:val="single"/>
              </w:rPr>
            </w:pPr>
            <w:r w:rsidRPr="008B52EE">
              <w:rPr>
                <w:b/>
                <w:bCs/>
                <w:color w:val="000000"/>
                <w:u w:val="single"/>
              </w:rPr>
              <w:lastRenderedPageBreak/>
              <w:t>Code</w:t>
            </w:r>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91787C" w14:paraId="04104BEF" w14:textId="77777777">
            <w:pPr>
              <w:rPr>
                <w:b/>
                <w:bCs/>
                <w:color w:val="000000"/>
                <w:u w:val="single"/>
              </w:rPr>
            </w:pPr>
            <w:r w:rsidRPr="008B52EE">
              <w:rPr>
                <w:b/>
                <w:bCs/>
                <w:color w:val="000000"/>
                <w:u w:val="single"/>
              </w:rPr>
              <w:t>Industry Title</w:t>
            </w:r>
          </w:p>
        </w:tc>
      </w:tr>
      <w:tr w:rsidRPr="008B52EE" w:rsidR="0091787C" w:rsidTr="0091787C" w14:paraId="1C1F6C8F"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noWrap/>
            <w:tcMar>
              <w:top w:w="120" w:type="dxa"/>
              <w:left w:w="120" w:type="dxa"/>
              <w:bottom w:w="120" w:type="dxa"/>
              <w:right w:w="120" w:type="dxa"/>
            </w:tcMar>
            <w:vAlign w:val="center"/>
            <w:hideMark/>
          </w:tcPr>
          <w:p w:rsidRPr="008B52EE" w:rsidR="0091787C" w:rsidRDefault="00AA4C59" w14:paraId="683BDFE7" w14:textId="77777777">
            <w:pPr>
              <w:rPr>
                <w:rStyle w:val="Hyperlink"/>
                <w:color w:val="auto"/>
                <w:u w:val="none"/>
                <w:bdr w:val="none" w:color="auto" w:sz="0" w:space="0" w:frame="1"/>
              </w:rPr>
            </w:pPr>
            <w:hyperlink w:history="1" r:id="rId13">
              <w:r w:rsidRPr="008B52EE" w:rsidR="0091787C">
                <w:rPr>
                  <w:rStyle w:val="Hyperlink"/>
                  <w:color w:val="auto"/>
                  <w:u w:val="none"/>
                  <w:bdr w:val="none" w:color="auto" w:sz="0" w:space="0" w:frame="1"/>
                </w:rPr>
                <w:t>21</w:t>
              </w:r>
            </w:hyperlink>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AA4C59" w14:paraId="5C09A192" w14:textId="77777777">
            <w:pPr>
              <w:rPr>
                <w:rStyle w:val="Hyperlink"/>
                <w:color w:val="auto"/>
                <w:u w:val="none"/>
                <w:bdr w:val="none" w:color="auto" w:sz="0" w:space="0" w:frame="1"/>
              </w:rPr>
            </w:pPr>
            <w:hyperlink w:history="1" r:id="rId14">
              <w:r w:rsidRPr="008B52EE" w:rsidR="0091787C">
                <w:rPr>
                  <w:rStyle w:val="Hyperlink"/>
                  <w:color w:val="auto"/>
                  <w:u w:val="none"/>
                  <w:bdr w:val="none" w:color="auto" w:sz="0" w:space="0" w:frame="1"/>
                </w:rPr>
                <w:t>Mining</w:t>
              </w:r>
            </w:hyperlink>
          </w:p>
        </w:tc>
      </w:tr>
      <w:tr w:rsidRPr="008B52EE" w:rsidR="0091787C" w:rsidTr="0091787C" w14:paraId="4A968525"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FFFFF"/>
            <w:noWrap/>
            <w:tcMar>
              <w:top w:w="120" w:type="dxa"/>
              <w:left w:w="120" w:type="dxa"/>
              <w:bottom w:w="120" w:type="dxa"/>
              <w:right w:w="120" w:type="dxa"/>
            </w:tcMar>
            <w:vAlign w:val="center"/>
            <w:hideMark/>
          </w:tcPr>
          <w:p w:rsidRPr="008B52EE" w:rsidR="0091787C" w:rsidRDefault="00AA4C59" w14:paraId="7C947A7E" w14:textId="77777777">
            <w:pPr>
              <w:rPr>
                <w:rStyle w:val="Hyperlink"/>
                <w:color w:val="auto"/>
                <w:u w:val="none"/>
                <w:bdr w:val="none" w:color="auto" w:sz="0" w:space="0" w:frame="1"/>
              </w:rPr>
            </w:pPr>
            <w:hyperlink w:history="1" r:id="rId15">
              <w:r w:rsidRPr="008B52EE" w:rsidR="0091787C">
                <w:rPr>
                  <w:rStyle w:val="Hyperlink"/>
                  <w:color w:val="auto"/>
                  <w:u w:val="none"/>
                  <w:bdr w:val="none" w:color="auto" w:sz="0" w:space="0" w:frame="1"/>
                </w:rPr>
                <w:t>22</w:t>
              </w:r>
            </w:hyperlink>
          </w:p>
        </w:tc>
        <w:tc>
          <w:tcPr>
            <w:tcW w:w="0" w:type="auto"/>
            <w:tcBorders>
              <w:top w:val="single" w:color="auto" w:sz="2" w:space="0"/>
              <w:left w:val="single" w:color="auto" w:sz="2" w:space="0"/>
              <w:bottom w:val="single" w:color="auto" w:sz="6" w:space="0"/>
              <w:right w:val="single" w:color="auto" w:sz="6" w:space="0"/>
            </w:tcBorders>
            <w:shd w:val="clear" w:color="auto" w:fill="FFFFFF"/>
            <w:tcMar>
              <w:top w:w="120" w:type="dxa"/>
              <w:left w:w="120" w:type="dxa"/>
              <w:bottom w:w="120" w:type="dxa"/>
              <w:right w:w="120" w:type="dxa"/>
            </w:tcMar>
            <w:vAlign w:val="center"/>
            <w:hideMark/>
          </w:tcPr>
          <w:p w:rsidRPr="008B52EE" w:rsidR="0091787C" w:rsidRDefault="00AA4C59" w14:paraId="672C3E17" w14:textId="77777777">
            <w:pPr>
              <w:rPr>
                <w:rStyle w:val="Hyperlink"/>
                <w:color w:val="auto"/>
                <w:u w:val="none"/>
                <w:bdr w:val="none" w:color="auto" w:sz="0" w:space="0" w:frame="1"/>
              </w:rPr>
            </w:pPr>
            <w:hyperlink w:history="1" r:id="rId16">
              <w:r w:rsidRPr="008B52EE" w:rsidR="0091787C">
                <w:rPr>
                  <w:rStyle w:val="Hyperlink"/>
                  <w:color w:val="auto"/>
                  <w:u w:val="none"/>
                  <w:bdr w:val="none" w:color="auto" w:sz="0" w:space="0" w:frame="1"/>
                </w:rPr>
                <w:t>Utilities</w:t>
              </w:r>
            </w:hyperlink>
          </w:p>
        </w:tc>
      </w:tr>
      <w:tr w:rsidRPr="008B52EE" w:rsidR="0091787C" w:rsidTr="0091787C" w14:paraId="5AFF1653"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noWrap/>
            <w:tcMar>
              <w:top w:w="120" w:type="dxa"/>
              <w:left w:w="120" w:type="dxa"/>
              <w:bottom w:w="120" w:type="dxa"/>
              <w:right w:w="120" w:type="dxa"/>
            </w:tcMar>
            <w:vAlign w:val="center"/>
            <w:hideMark/>
          </w:tcPr>
          <w:p w:rsidRPr="008B52EE" w:rsidR="0091787C" w:rsidRDefault="00AA4C59" w14:paraId="0B7EAEA4" w14:textId="77777777">
            <w:pPr>
              <w:rPr>
                <w:rStyle w:val="Hyperlink"/>
                <w:color w:val="auto"/>
                <w:u w:val="none"/>
                <w:bdr w:val="none" w:color="auto" w:sz="0" w:space="0" w:frame="1"/>
              </w:rPr>
            </w:pPr>
            <w:hyperlink w:history="1" r:id="rId17">
              <w:r w:rsidRPr="008B52EE" w:rsidR="0091787C">
                <w:rPr>
                  <w:rStyle w:val="Hyperlink"/>
                  <w:color w:val="auto"/>
                  <w:u w:val="none"/>
                  <w:bdr w:val="none" w:color="auto" w:sz="0" w:space="0" w:frame="1"/>
                </w:rPr>
                <w:t>23</w:t>
              </w:r>
            </w:hyperlink>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AA4C59" w14:paraId="15FE8706" w14:textId="77777777">
            <w:pPr>
              <w:rPr>
                <w:rStyle w:val="Hyperlink"/>
                <w:color w:val="auto"/>
                <w:u w:val="none"/>
                <w:bdr w:val="none" w:color="auto" w:sz="0" w:space="0" w:frame="1"/>
              </w:rPr>
            </w:pPr>
            <w:hyperlink w:history="1" r:id="rId18">
              <w:r w:rsidRPr="008B52EE" w:rsidR="0091787C">
                <w:rPr>
                  <w:rStyle w:val="Hyperlink"/>
                  <w:color w:val="auto"/>
                  <w:u w:val="none"/>
                  <w:bdr w:val="none" w:color="auto" w:sz="0" w:space="0" w:frame="1"/>
                </w:rPr>
                <w:t>Construction</w:t>
              </w:r>
            </w:hyperlink>
          </w:p>
        </w:tc>
      </w:tr>
      <w:tr w:rsidRPr="008B52EE" w:rsidR="0091787C" w:rsidTr="0091787C" w14:paraId="29567328"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FFFFF"/>
            <w:noWrap/>
            <w:tcMar>
              <w:top w:w="120" w:type="dxa"/>
              <w:left w:w="120" w:type="dxa"/>
              <w:bottom w:w="120" w:type="dxa"/>
              <w:right w:w="120" w:type="dxa"/>
            </w:tcMar>
            <w:vAlign w:val="center"/>
            <w:hideMark/>
          </w:tcPr>
          <w:p w:rsidRPr="008B52EE" w:rsidR="0091787C" w:rsidRDefault="00AA4C59" w14:paraId="070847D8" w14:textId="77777777">
            <w:pPr>
              <w:rPr>
                <w:rStyle w:val="Hyperlink"/>
                <w:color w:val="auto"/>
                <w:u w:val="none"/>
                <w:bdr w:val="none" w:color="auto" w:sz="0" w:space="0" w:frame="1"/>
              </w:rPr>
            </w:pPr>
            <w:hyperlink w:history="1" r:id="rId19">
              <w:r w:rsidRPr="008B52EE" w:rsidR="0091787C">
                <w:rPr>
                  <w:rStyle w:val="Hyperlink"/>
                  <w:color w:val="auto"/>
                  <w:u w:val="none"/>
                  <w:bdr w:val="none" w:color="auto" w:sz="0" w:space="0" w:frame="1"/>
                </w:rPr>
                <w:t>31-33</w:t>
              </w:r>
            </w:hyperlink>
          </w:p>
        </w:tc>
        <w:tc>
          <w:tcPr>
            <w:tcW w:w="0" w:type="auto"/>
            <w:tcBorders>
              <w:top w:val="single" w:color="auto" w:sz="2" w:space="0"/>
              <w:left w:val="single" w:color="auto" w:sz="2" w:space="0"/>
              <w:bottom w:val="single" w:color="auto" w:sz="6" w:space="0"/>
              <w:right w:val="single" w:color="auto" w:sz="6" w:space="0"/>
            </w:tcBorders>
            <w:shd w:val="clear" w:color="auto" w:fill="FFFFFF"/>
            <w:tcMar>
              <w:top w:w="120" w:type="dxa"/>
              <w:left w:w="120" w:type="dxa"/>
              <w:bottom w:w="120" w:type="dxa"/>
              <w:right w:w="120" w:type="dxa"/>
            </w:tcMar>
            <w:vAlign w:val="center"/>
            <w:hideMark/>
          </w:tcPr>
          <w:p w:rsidRPr="008B52EE" w:rsidR="0091787C" w:rsidRDefault="00AA4C59" w14:paraId="63B8ED34" w14:textId="77777777">
            <w:pPr>
              <w:rPr>
                <w:rStyle w:val="Hyperlink"/>
                <w:color w:val="auto"/>
                <w:u w:val="none"/>
                <w:bdr w:val="none" w:color="auto" w:sz="0" w:space="0" w:frame="1"/>
              </w:rPr>
            </w:pPr>
            <w:hyperlink w:history="1" r:id="rId20">
              <w:r w:rsidRPr="008B52EE" w:rsidR="0091787C">
                <w:rPr>
                  <w:rStyle w:val="Hyperlink"/>
                  <w:color w:val="auto"/>
                  <w:u w:val="none"/>
                  <w:bdr w:val="none" w:color="auto" w:sz="0" w:space="0" w:frame="1"/>
                </w:rPr>
                <w:t>Manufacturing</w:t>
              </w:r>
            </w:hyperlink>
          </w:p>
        </w:tc>
      </w:tr>
    </w:tbl>
    <w:p w:rsidRPr="008B52EE" w:rsidR="00CA4CD6" w:rsidP="0091787C" w:rsidRDefault="00CA4CD6" w14:paraId="3E22D9ED" w14:textId="291C5AE4">
      <w:pPr>
        <w:pBdr>
          <w:top w:val="single" w:color="FFFFFF" w:sz="6" w:space="0"/>
          <w:left w:val="single" w:color="FFFFFF" w:sz="6" w:space="0"/>
          <w:bottom w:val="single" w:color="FFFFFF" w:sz="6" w:space="0"/>
          <w:right w:val="single" w:color="FFFFFF" w:sz="6" w:space="0"/>
        </w:pBdr>
        <w:ind w:firstLine="720"/>
        <w:rPr>
          <w:color w:val="000000"/>
        </w:rPr>
      </w:pPr>
    </w:p>
    <w:p w:rsidRPr="008B52EE" w:rsidR="0091787C" w:rsidP="0091787C" w:rsidRDefault="00DD39CF" w14:paraId="49597D79" w14:textId="1856DA40">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 xml:space="preserve">Most certifying authorities will fall into the following </w:t>
      </w:r>
      <w:r w:rsidRPr="008B52EE" w:rsidR="008B52EE">
        <w:rPr>
          <w:color w:val="222222"/>
          <w:shd w:val="clear" w:color="auto" w:fill="FFFFFF"/>
        </w:rPr>
        <w:t>SIC</w:t>
      </w:r>
      <w:r w:rsidRPr="008B52EE" w:rsidR="004D0C7F">
        <w:rPr>
          <w:color w:val="222222"/>
          <w:shd w:val="clear" w:color="auto" w:fill="FFFFFF"/>
        </w:rPr>
        <w:t> </w:t>
      </w:r>
      <w:r w:rsidRPr="008B52EE">
        <w:rPr>
          <w:color w:val="000000"/>
        </w:rPr>
        <w:t xml:space="preserve">codes. </w:t>
      </w:r>
    </w:p>
    <w:tbl>
      <w:tblPr>
        <w:tblW w:w="8258" w:type="dxa"/>
        <w:tblCellSpacing w:w="15" w:type="dxa"/>
        <w:tblBorders>
          <w:top w:val="single" w:color="auto" w:sz="6" w:space="0"/>
          <w:left w:val="single" w:color="auto" w:sz="6" w:space="0"/>
          <w:bottom w:val="single" w:color="auto" w:sz="2" w:space="0"/>
          <w:right w:val="single" w:color="auto" w:sz="2" w:space="0"/>
        </w:tblBorders>
        <w:shd w:val="clear" w:color="auto" w:fill="FFFFFF"/>
        <w:tblCellMar>
          <w:left w:w="0" w:type="dxa"/>
          <w:right w:w="0" w:type="dxa"/>
        </w:tblCellMar>
        <w:tblLook w:val="04A0" w:firstRow="1" w:lastRow="0" w:firstColumn="1" w:lastColumn="0" w:noHBand="0" w:noVBand="1"/>
      </w:tblPr>
      <w:tblGrid>
        <w:gridCol w:w="1196"/>
        <w:gridCol w:w="7062"/>
      </w:tblGrid>
      <w:tr w:rsidRPr="008B52EE" w:rsidR="00DD39CF" w:rsidTr="005679ED" w14:paraId="3E60A22A"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DD39CF" w:rsidP="00260C3D" w:rsidRDefault="00DD39CF" w14:paraId="333D0EFC" w14:textId="77777777">
            <w:pPr>
              <w:widowControl/>
              <w:autoSpaceDE/>
              <w:autoSpaceDN/>
              <w:adjustRightInd/>
              <w:rPr>
                <w:b/>
                <w:bCs/>
                <w:color w:val="000000"/>
                <w:u w:val="single"/>
              </w:rPr>
            </w:pPr>
            <w:r w:rsidRPr="008B52EE">
              <w:rPr>
                <w:b/>
                <w:bCs/>
                <w:color w:val="000000"/>
                <w:u w:val="single"/>
              </w:rPr>
              <w:t>Code</w:t>
            </w:r>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DD39CF" w:rsidP="00260C3D" w:rsidRDefault="00DD39CF" w14:paraId="4874A812" w14:textId="77777777">
            <w:pPr>
              <w:rPr>
                <w:b/>
                <w:bCs/>
                <w:color w:val="000000"/>
                <w:u w:val="single"/>
              </w:rPr>
            </w:pPr>
            <w:r w:rsidRPr="008B52EE">
              <w:rPr>
                <w:b/>
                <w:bCs/>
                <w:color w:val="000000"/>
                <w:u w:val="single"/>
              </w:rPr>
              <w:t>Industry Title</w:t>
            </w:r>
          </w:p>
        </w:tc>
      </w:tr>
      <w:tr w:rsidRPr="008B52EE" w:rsidR="00DD39CF" w:rsidTr="005679ED" w14:paraId="38C88ECE" w14:textId="77777777">
        <w:trPr>
          <w:trHeight w:val="238"/>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FFFFF"/>
            <w:noWrap/>
            <w:tcMar>
              <w:top w:w="120" w:type="dxa"/>
              <w:left w:w="120" w:type="dxa"/>
              <w:bottom w:w="120" w:type="dxa"/>
              <w:right w:w="120" w:type="dxa"/>
            </w:tcMar>
            <w:vAlign w:val="center"/>
            <w:hideMark/>
          </w:tcPr>
          <w:p w:rsidRPr="008B52EE" w:rsidR="00DD39CF" w:rsidP="00260C3D" w:rsidRDefault="004D0C7F" w14:paraId="1C3A071E" w14:textId="1FF438AE">
            <w:pPr>
              <w:rPr>
                <w:rStyle w:val="Hyperlink"/>
                <w:color w:val="auto"/>
                <w:u w:val="none"/>
                <w:bdr w:val="none" w:color="auto" w:sz="0" w:space="0" w:frame="1"/>
              </w:rPr>
            </w:pPr>
            <w:r w:rsidRPr="008B52EE">
              <w:rPr>
                <w:rStyle w:val="Hyperlink"/>
                <w:color w:val="auto"/>
                <w:u w:val="none"/>
                <w:bdr w:val="none" w:color="auto" w:sz="0" w:space="0" w:frame="1"/>
              </w:rPr>
              <w:t>91</w:t>
            </w:r>
            <w:hyperlink w:history="1" r:id="rId21">
              <w:r w:rsidRPr="008B52EE" w:rsidR="00DD39CF">
                <w:rPr>
                  <w:rStyle w:val="Hyperlink"/>
                  <w:color w:val="auto"/>
                  <w:u w:val="none"/>
                  <w:bdr w:val="none" w:color="auto" w:sz="0" w:space="0" w:frame="1"/>
                </w:rPr>
                <w:t>11</w:t>
              </w:r>
            </w:hyperlink>
          </w:p>
        </w:tc>
        <w:tc>
          <w:tcPr>
            <w:tcW w:w="0" w:type="auto"/>
            <w:tcBorders>
              <w:top w:val="single" w:color="auto" w:sz="2" w:space="0"/>
              <w:left w:val="single" w:color="auto" w:sz="2" w:space="0"/>
              <w:bottom w:val="single" w:color="auto" w:sz="6" w:space="0"/>
              <w:right w:val="single" w:color="auto" w:sz="6" w:space="0"/>
            </w:tcBorders>
            <w:shd w:val="clear" w:color="auto" w:fill="FFFFFF"/>
            <w:tcMar>
              <w:top w:w="120" w:type="dxa"/>
              <w:left w:w="120" w:type="dxa"/>
              <w:bottom w:w="120" w:type="dxa"/>
              <w:right w:w="120" w:type="dxa"/>
            </w:tcMar>
            <w:vAlign w:val="center"/>
            <w:hideMark/>
          </w:tcPr>
          <w:p w:rsidRPr="008B52EE" w:rsidR="00DD39CF" w:rsidP="00260C3D" w:rsidRDefault="00AA4C59" w14:paraId="792FC5EA" w14:textId="38EAA79B">
            <w:pPr>
              <w:rPr>
                <w:rStyle w:val="Hyperlink"/>
                <w:color w:val="auto"/>
                <w:u w:val="none"/>
                <w:bdr w:val="none" w:color="auto" w:sz="0" w:space="0" w:frame="1"/>
              </w:rPr>
            </w:pPr>
            <w:hyperlink w:history="1" r:id="rId22">
              <w:r w:rsidRPr="008B52EE" w:rsidR="004D0C7F">
                <w:rPr>
                  <w:rStyle w:val="Hyperlink"/>
                  <w:color w:val="auto"/>
                  <w:u w:val="none"/>
                  <w:bdr w:val="none" w:color="auto" w:sz="0" w:space="0" w:frame="1"/>
                </w:rPr>
                <w:t>Executive Offices</w:t>
              </w:r>
            </w:hyperlink>
          </w:p>
        </w:tc>
      </w:tr>
      <w:tr w:rsidRPr="008B52EE" w:rsidR="00DD39CF" w:rsidTr="005679ED" w14:paraId="151F7224"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noWrap/>
            <w:tcMar>
              <w:top w:w="120" w:type="dxa"/>
              <w:left w:w="120" w:type="dxa"/>
              <w:bottom w:w="120" w:type="dxa"/>
              <w:right w:w="120" w:type="dxa"/>
            </w:tcMar>
            <w:vAlign w:val="center"/>
            <w:hideMark/>
          </w:tcPr>
          <w:p w:rsidRPr="008B52EE" w:rsidR="00DD39CF" w:rsidP="00260C3D" w:rsidRDefault="00AA4C59" w14:paraId="011B44CA" w14:textId="5F800D17">
            <w:pPr>
              <w:rPr>
                <w:rStyle w:val="Hyperlink"/>
                <w:color w:val="auto"/>
                <w:u w:val="none"/>
                <w:bdr w:val="none" w:color="auto" w:sz="0" w:space="0" w:frame="1"/>
              </w:rPr>
            </w:pPr>
            <w:hyperlink w:history="1" r:id="rId23">
              <w:r w:rsidRPr="008B52EE" w:rsidR="004D0C7F">
                <w:rPr>
                  <w:rStyle w:val="Hyperlink"/>
                  <w:color w:val="auto"/>
                  <w:u w:val="none"/>
                  <w:bdr w:val="none" w:color="auto" w:sz="0" w:space="0" w:frame="1"/>
                </w:rPr>
                <w:t>9199</w:t>
              </w:r>
            </w:hyperlink>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DD39CF" w:rsidP="00260C3D" w:rsidRDefault="00AA4C59" w14:paraId="0E2AA598" w14:textId="59CF9A39">
            <w:pPr>
              <w:rPr>
                <w:rStyle w:val="Hyperlink"/>
                <w:color w:val="auto"/>
                <w:u w:val="none"/>
                <w:bdr w:val="none" w:color="auto" w:sz="0" w:space="0" w:frame="1"/>
              </w:rPr>
            </w:pPr>
            <w:hyperlink w:history="1" r:id="rId24">
              <w:r w:rsidRPr="008B52EE" w:rsidR="004D0C7F">
                <w:rPr>
                  <w:rStyle w:val="Hyperlink"/>
                  <w:color w:val="auto"/>
                  <w:u w:val="none"/>
                  <w:bdr w:val="none" w:color="auto" w:sz="0" w:space="0" w:frame="1"/>
                </w:rPr>
                <w:t>General Government, Not Elsewhere Classified</w:t>
              </w:r>
            </w:hyperlink>
          </w:p>
        </w:tc>
      </w:tr>
    </w:tbl>
    <w:p w:rsidRPr="008B52EE" w:rsidR="0091787C" w:rsidP="0091787C" w:rsidRDefault="0091787C" w14:paraId="549C752F"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52EE" w:rsidR="00CA4CD6" w:rsidRDefault="00CA4CD6" w14:paraId="5A0F24B3" w14:textId="3B856BEB">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4(b)</w:t>
      </w:r>
      <w:r w:rsidRPr="008B52EE" w:rsidR="009C7E97">
        <w:rPr>
          <w:b/>
          <w:bCs/>
          <w:color w:val="000000"/>
        </w:rPr>
        <w:t xml:space="preserve"> </w:t>
      </w:r>
      <w:r w:rsidRPr="008B52EE">
        <w:rPr>
          <w:b/>
          <w:bCs/>
          <w:color w:val="000000"/>
        </w:rPr>
        <w:t>Information Requested</w:t>
      </w:r>
      <w:r w:rsidRPr="008B52EE">
        <w:rPr>
          <w:color w:val="000000"/>
        </w:rPr>
        <w:t xml:space="preserve"> </w:t>
      </w:r>
    </w:p>
    <w:p w:rsidRPr="008B52EE"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504745" w:rsidRDefault="00CA4CD6" w14:paraId="2EDB9C87" w14:textId="3B653475">
      <w:pPr>
        <w:pBdr>
          <w:top w:val="single" w:color="FFFFFF" w:sz="6" w:space="0"/>
          <w:left w:val="single" w:color="FFFFFF" w:sz="6" w:space="0"/>
          <w:bottom w:val="single" w:color="FFFFFF" w:sz="6" w:space="0"/>
          <w:right w:val="single" w:color="FFFFFF" w:sz="6" w:space="0"/>
        </w:pBdr>
        <w:ind w:firstLine="1440"/>
        <w:outlineLvl w:val="0"/>
        <w:rPr>
          <w:color w:val="000000"/>
        </w:rPr>
      </w:pPr>
      <w:r w:rsidRPr="008B52EE">
        <w:rPr>
          <w:b/>
          <w:bCs/>
          <w:color w:val="000000"/>
        </w:rPr>
        <w:t>(</w:t>
      </w:r>
      <w:proofErr w:type="spellStart"/>
      <w:r w:rsidRPr="008B52EE">
        <w:rPr>
          <w:b/>
          <w:bCs/>
          <w:color w:val="000000"/>
        </w:rPr>
        <w:t>i</w:t>
      </w:r>
      <w:proofErr w:type="spellEnd"/>
      <w:r w:rsidRPr="008B52EE">
        <w:rPr>
          <w:b/>
          <w:bCs/>
          <w:color w:val="000000"/>
        </w:rPr>
        <w:t>)</w:t>
      </w:r>
      <w:r w:rsidRPr="008B52EE" w:rsidR="009C7E97">
        <w:rPr>
          <w:b/>
          <w:bCs/>
          <w:color w:val="000000"/>
        </w:rPr>
        <w:t xml:space="preserve"> </w:t>
      </w:r>
      <w:r w:rsidRPr="008B52EE">
        <w:rPr>
          <w:b/>
          <w:bCs/>
          <w:color w:val="000000"/>
        </w:rPr>
        <w:t>Data Items</w:t>
      </w:r>
      <w:r w:rsidRPr="008B52EE" w:rsidR="00D03392">
        <w:rPr>
          <w:b/>
          <w:bCs/>
          <w:color w:val="000000"/>
        </w:rPr>
        <w:t xml:space="preserve"> &amp; Respondent Activities</w:t>
      </w:r>
    </w:p>
    <w:p w:rsidRPr="008B52EE"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8B52EE" w:rsidR="00D03392" w:rsidP="00D03392" w:rsidRDefault="00D03392" w14:paraId="194AA127" w14:textId="4B0A025B">
      <w:pPr>
        <w:ind w:firstLine="720"/>
      </w:pPr>
      <w:r w:rsidRPr="008B52EE">
        <w:t xml:space="preserve">The regulations at 40 CFR 121.2 specify the information certifying authorities must provide when acting on a request for certification. </w:t>
      </w:r>
      <w:bookmarkStart w:name="_Hlk32932681" w:id="5"/>
      <w:r w:rsidRPr="00224F73" w:rsidR="00C72C04">
        <w:t xml:space="preserve">If the </w:t>
      </w:r>
      <w:r w:rsidR="00C72C04">
        <w:t>certifying authority</w:t>
      </w:r>
      <w:r w:rsidRPr="00224F73" w:rsidR="00C72C04">
        <w:t xml:space="preserve"> fails or refuses to act on a request for certification, within a reasonable period of time (which shall not exceed one year) after receipt of such request, the certification requirements of this subsection shall be waived with respect to such Federal application. </w:t>
      </w:r>
      <w:bookmarkEnd w:id="5"/>
      <w:r w:rsidRPr="008B52EE">
        <w:t>The EPA notes that this information collection does not capture information that may be requested by the certifying authority during the certification process after an initial request is received. The</w:t>
      </w:r>
      <w:r w:rsidRPr="008B52EE" w:rsidDel="00C648F7">
        <w:t xml:space="preserve"> </w:t>
      </w:r>
      <w:r w:rsidR="00C648F7">
        <w:t>EPA</w:t>
      </w:r>
      <w:r w:rsidRPr="008B52EE">
        <w:t xml:space="preserve"> does not mandate what further information, if any, may be needed for a certifying authority to act on a request for certification.</w:t>
      </w:r>
    </w:p>
    <w:p w:rsidRPr="008B52EE" w:rsidR="006A7A3F" w:rsidP="006A7A3F" w:rsidRDefault="006A7A3F" w14:paraId="30B63743" w14:textId="7773FC6A">
      <w:pPr>
        <w:ind w:firstLine="720"/>
      </w:pPr>
    </w:p>
    <w:p w:rsidRPr="008B52EE" w:rsidR="006A7A3F" w:rsidP="006A7A3F" w:rsidRDefault="00D03392" w14:paraId="6453CEEE" w14:textId="376539A2">
      <w:pPr>
        <w:ind w:firstLine="720"/>
      </w:pPr>
      <w:r w:rsidRPr="008B52EE">
        <w:t xml:space="preserve">The regulations at </w:t>
      </w:r>
      <w:r w:rsidR="00726A7E">
        <w:t>40 CFR</w:t>
      </w:r>
      <w:r w:rsidRPr="008B52EE">
        <w:t xml:space="preserve"> 121.22 list the information a project proponent must submit when the EPA acts as the certifying authority. </w:t>
      </w:r>
      <w:r w:rsidRPr="008B52EE" w:rsidR="006A7A3F">
        <w:t xml:space="preserve">Information collected directly by the EPA under section 401 in support of the section 402 permit program is already captured </w:t>
      </w:r>
      <w:r w:rsidRPr="008B52EE" w:rsidR="00C8101D">
        <w:t xml:space="preserve">under </w:t>
      </w:r>
      <w:r w:rsidRPr="008B52EE" w:rsidR="006A7A3F">
        <w:t>an existing ICR (</w:t>
      </w:r>
      <w:r w:rsidRPr="008B52EE" w:rsidR="009F4517">
        <w:t xml:space="preserve">OMB </w:t>
      </w:r>
      <w:r w:rsidRPr="008B52EE" w:rsidR="006A7A3F">
        <w:t>Control Number 2040-0004, EPA ICR No. 0229.2</w:t>
      </w:r>
      <w:r w:rsidR="00F76987">
        <w:t>3</w:t>
      </w:r>
      <w:r w:rsidRPr="008B52EE" w:rsidR="006A7A3F">
        <w:t>) and is therefore not included in this analysis.</w:t>
      </w:r>
      <w:r w:rsidRPr="008B52EE" w:rsidR="006A7A3F">
        <w:rPr>
          <w:vertAlign w:val="superscript"/>
        </w:rPr>
        <w:footnoteReference w:id="4"/>
      </w:r>
      <w:r w:rsidRPr="008B52EE" w:rsidR="006A7A3F">
        <w:t> </w:t>
      </w:r>
    </w:p>
    <w:p w:rsidRPr="008B52EE" w:rsidR="006A7A3F" w:rsidP="006A7A3F" w:rsidRDefault="006A7A3F" w14:paraId="7E366FCD" w14:textId="77777777">
      <w:pPr>
        <w:tabs>
          <w:tab w:val="left" w:pos="-1440"/>
        </w:tabs>
      </w:pPr>
    </w:p>
    <w:p w:rsidRPr="008B52EE" w:rsidR="00D03392" w:rsidP="006A7A3F" w:rsidRDefault="00D03392" w14:paraId="73427D43" w14:textId="77777777">
      <w:pPr>
        <w:ind w:firstLine="720"/>
      </w:pPr>
      <w:r w:rsidRPr="008B52EE">
        <w:t xml:space="preserve">Additionally, the regulations at 40 CFR 121.16(b) specify that certifying authorities must provide an express waiver of certification in writing. The regulations do not explicitly discuss information requirements when a certification is denied. </w:t>
      </w:r>
    </w:p>
    <w:p w:rsidRPr="008B52EE" w:rsidR="006A7A3F" w:rsidP="006A7A3F" w:rsidRDefault="006A7A3F" w14:paraId="10900308" w14:textId="77777777">
      <w:pPr>
        <w:tabs>
          <w:tab w:val="left" w:pos="-1440"/>
        </w:tabs>
      </w:pPr>
    </w:p>
    <w:p w:rsidRPr="008B52EE" w:rsidR="006A7A3F" w:rsidP="006A7A3F" w:rsidRDefault="006A7A3F" w14:paraId="7FD0F12A" w14:textId="5972C4E1">
      <w:pPr>
        <w:tabs>
          <w:tab w:val="left" w:pos="-1440"/>
        </w:tabs>
      </w:pPr>
      <w:r w:rsidRPr="008B52EE">
        <w:tab/>
        <w:t xml:space="preserve">The regulations at 40 CFR 121.2(b) state that certifying authorities can modify certifications as agreed upon by the certifying authority, federal agency, and the EPA. However, </w:t>
      </w:r>
      <w:r w:rsidRPr="008B52EE">
        <w:lastRenderedPageBreak/>
        <w:t>these modifications are rarely used by certifying authorities.</w:t>
      </w:r>
    </w:p>
    <w:p w:rsidRPr="008B52EE" w:rsidR="00CF2B37" w:rsidRDefault="00CF2B37" w14:paraId="510992AC" w14:textId="6BE36BB0">
      <w:pPr>
        <w:pBdr>
          <w:top w:val="single" w:color="FFFFFF" w:sz="6" w:space="0"/>
          <w:left w:val="single" w:color="FFFFFF" w:sz="6" w:space="0"/>
          <w:bottom w:val="single" w:color="FFFFFF" w:sz="6" w:space="0"/>
          <w:right w:val="single" w:color="FFFFFF" w:sz="6" w:space="0"/>
        </w:pBdr>
        <w:rPr>
          <w:b/>
          <w:bCs/>
          <w:color w:val="000000"/>
        </w:rPr>
      </w:pPr>
    </w:p>
    <w:p w:rsidRPr="008B52EE"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sidRPr="008B52EE">
        <w:rPr>
          <w:b/>
          <w:bCs/>
          <w:color w:val="000000"/>
        </w:rPr>
        <w:t>5.</w:t>
      </w:r>
      <w:r w:rsidRPr="008B52EE" w:rsidR="009C7E97">
        <w:rPr>
          <w:b/>
          <w:bCs/>
          <w:color w:val="000000"/>
        </w:rPr>
        <w:t xml:space="preserve"> </w:t>
      </w:r>
      <w:r w:rsidRPr="008B52EE">
        <w:rPr>
          <w:b/>
          <w:bCs/>
          <w:color w:val="000000"/>
        </w:rPr>
        <w:t>The Information Collected:</w:t>
      </w:r>
      <w:r w:rsidRPr="008B52EE" w:rsidR="009C7E97">
        <w:rPr>
          <w:b/>
          <w:bCs/>
          <w:color w:val="000000"/>
        </w:rPr>
        <w:t xml:space="preserve"> </w:t>
      </w:r>
      <w:r w:rsidRPr="008B52EE">
        <w:rPr>
          <w:b/>
          <w:bCs/>
          <w:color w:val="000000"/>
        </w:rPr>
        <w:t>Agency Activities, Collection Methodology, and Information Management</w:t>
      </w:r>
    </w:p>
    <w:p w:rsidRPr="008B52EE"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5B4105B4" w14:textId="0CF8846A">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5(a)</w:t>
      </w:r>
      <w:r w:rsidRPr="008B52EE" w:rsidR="009C7E97">
        <w:rPr>
          <w:b/>
          <w:bCs/>
          <w:color w:val="000000"/>
        </w:rPr>
        <w:t xml:space="preserve"> </w:t>
      </w:r>
      <w:r w:rsidRPr="008B52EE">
        <w:rPr>
          <w:b/>
          <w:bCs/>
          <w:color w:val="000000"/>
        </w:rPr>
        <w:t>Agency Activities</w:t>
      </w:r>
      <w:r w:rsidRPr="008B52EE" w:rsidR="009C7E97">
        <w:rPr>
          <w:color w:val="000000"/>
        </w:rPr>
        <w:t xml:space="preserve"> </w:t>
      </w:r>
    </w:p>
    <w:p w:rsidRPr="008B52EE" w:rsidR="00260C3D" w:rsidP="002E347C" w:rsidRDefault="00260C3D" w14:paraId="5B57E2FF" w14:textId="77777777">
      <w:pPr>
        <w:tabs>
          <w:tab w:val="left" w:pos="-1440"/>
        </w:tabs>
      </w:pPr>
    </w:p>
    <w:p w:rsidRPr="008B52EE" w:rsidR="002E347C" w:rsidP="002E347C" w:rsidRDefault="00260C3D" w14:paraId="22888B86" w14:textId="15FF2001">
      <w:pPr>
        <w:tabs>
          <w:tab w:val="left" w:pos="-1440"/>
        </w:tabs>
      </w:pPr>
      <w:r w:rsidRPr="008B52EE">
        <w:tab/>
      </w:r>
      <w:r w:rsidRPr="008B52EE" w:rsidR="002E347C">
        <w:t xml:space="preserve">Under the regulations at 40 CFR 121.21, the EPA acts as a certifying authority on behalf of federally recognized tribes that lack </w:t>
      </w:r>
      <w:r w:rsidR="004E4531">
        <w:t>TAS</w:t>
      </w:r>
      <w:r w:rsidRPr="008B52EE" w:rsidR="002E347C">
        <w:t xml:space="preserve"> and for lands of exclusive federal jurisdiction. On average, the EPA estimates it performs 54 CWA section 401 water quality certification decisions per year for projects on tribal lands where the tribe does not have TAS. The EPA rarely performs section 401 water quality decisions on lands of exclusive federal jurisdiction. </w:t>
      </w:r>
    </w:p>
    <w:p w:rsidRPr="008B52EE" w:rsidR="00CA4CD6" w:rsidP="002E347C" w:rsidRDefault="00CA4CD6" w14:paraId="74907A6D" w14:textId="4F8F42A8">
      <w:pPr>
        <w:pBdr>
          <w:top w:val="single" w:color="FFFFFF" w:sz="6" w:space="0"/>
          <w:left w:val="single" w:color="FFFFFF" w:sz="6" w:space="0"/>
          <w:bottom w:val="single" w:color="FFFFFF" w:sz="6" w:space="0"/>
          <w:right w:val="single" w:color="FFFFFF" w:sz="6" w:space="0"/>
        </w:pBdr>
        <w:rPr>
          <w:color w:val="000000"/>
        </w:rPr>
      </w:pPr>
    </w:p>
    <w:p w:rsidRPr="008B52EE" w:rsidR="002E347C" w:rsidP="002E347C" w:rsidRDefault="00424C36" w14:paraId="18DD3CBE" w14:textId="4160D098">
      <w:pPr>
        <w:tabs>
          <w:tab w:val="left" w:pos="-1440"/>
        </w:tabs>
      </w:pPr>
      <w:r w:rsidRPr="008B52EE">
        <w:tab/>
      </w:r>
      <w:r w:rsidRPr="008B52EE" w:rsidR="002E347C">
        <w:t>On rare occasions, a Regional EPA office notifies a neighboring jurisdiction that a discharge originating in one jurisdiction may affect a neighboring jurisdiction, in accordance with current regulations at 40 CFR 121.1</w:t>
      </w:r>
      <w:r w:rsidR="002A2F20">
        <w:t>3</w:t>
      </w:r>
      <w:r w:rsidRPr="008B52EE" w:rsidR="002E347C">
        <w:t xml:space="preserve">. </w:t>
      </w:r>
    </w:p>
    <w:p w:rsidRPr="008B52EE" w:rsidR="00260C3D" w:rsidP="002E347C" w:rsidRDefault="00260C3D" w14:paraId="0C290B4A" w14:textId="1DA2BD99">
      <w:pPr>
        <w:tabs>
          <w:tab w:val="left" w:pos="-1440"/>
        </w:tabs>
      </w:pPr>
    </w:p>
    <w:p w:rsidRPr="008B52EE"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5(b)</w:t>
      </w:r>
      <w:r w:rsidRPr="008B52EE" w:rsidR="009C7E97">
        <w:rPr>
          <w:b/>
          <w:bCs/>
          <w:color w:val="000000"/>
        </w:rPr>
        <w:t xml:space="preserve"> </w:t>
      </w:r>
      <w:r w:rsidRPr="008B52EE">
        <w:rPr>
          <w:b/>
          <w:bCs/>
          <w:color w:val="000000"/>
        </w:rPr>
        <w:t>Collection Methodology and Management</w:t>
      </w:r>
    </w:p>
    <w:p w:rsidRPr="008B52EE"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8B52EE" w:rsidR="009D2F8B" w:rsidP="00145A13" w:rsidRDefault="00145A13" w14:paraId="50CF8A1E" w14:textId="0C34BBE8">
      <w:pPr>
        <w:tabs>
          <w:tab w:val="left" w:pos="-1440"/>
        </w:tabs>
      </w:pPr>
      <w:r w:rsidRPr="008B52EE">
        <w:tab/>
      </w:r>
      <w:r w:rsidRPr="008B52EE" w:rsidR="009D2F8B">
        <w:t xml:space="preserve">Through </w:t>
      </w:r>
      <w:r w:rsidRPr="008B52EE" w:rsidR="00C85F75">
        <w:t xml:space="preserve">the water quality certification </w:t>
      </w:r>
      <w:r w:rsidRPr="008B52EE" w:rsidR="009D2F8B">
        <w:t>process, project proponents must submit project specific information to certifying authorities. Certifying authorities may then act on project specific information by either granting, granting with conditions, denying, or waiving section 401 certification</w:t>
      </w:r>
    </w:p>
    <w:p w:rsidRPr="008B52EE" w:rsidR="009D2F8B" w:rsidP="00145A13" w:rsidRDefault="009D2F8B" w14:paraId="256CB58F" w14:textId="77777777">
      <w:pPr>
        <w:tabs>
          <w:tab w:val="left" w:pos="-1440"/>
        </w:tabs>
      </w:pPr>
    </w:p>
    <w:p w:rsidRPr="008B52EE" w:rsidR="00145A13" w:rsidP="00145A13" w:rsidRDefault="00EF4499" w14:paraId="4F641E8C" w14:textId="4F7BFF67">
      <w:pPr>
        <w:tabs>
          <w:tab w:val="left" w:pos="-1440"/>
        </w:tabs>
        <w:rPr>
          <w:b/>
        </w:rPr>
      </w:pPr>
      <w:r w:rsidRPr="008B52EE">
        <w:tab/>
      </w:r>
      <w:r w:rsidRPr="008B52EE" w:rsidR="00145A13">
        <w:t xml:space="preserve">The certifying authority collecting the information determines the information collection technique and may require either physical or electronic submission of information. </w:t>
      </w:r>
    </w:p>
    <w:p w:rsidRPr="008B52EE" w:rsidR="00145A13" w:rsidP="00145A13" w:rsidRDefault="00145A13" w14:paraId="12D139F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p>
    <w:p w:rsidRPr="008B52EE" w:rsidR="00145A13" w:rsidP="00145A13" w:rsidRDefault="00145A13" w14:paraId="340B2711" w14:textId="3903D77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r w:rsidRPr="008B52EE">
        <w:tab/>
      </w:r>
      <w:r w:rsidRPr="008B52EE">
        <w:tab/>
        <w:t xml:space="preserve">The information collected under section 401 may be published provided that it is not proprietary or confidential business information. The determination as to whether to publish or not </w:t>
      </w:r>
      <w:r w:rsidRPr="008B52EE" w:rsidR="00C8101D">
        <w:t xml:space="preserve">is </w:t>
      </w:r>
      <w:r w:rsidRPr="008B52EE">
        <w:t>made by the certifying authority or federal licensing or permitting agency collecting the information.</w:t>
      </w:r>
    </w:p>
    <w:p w:rsidRPr="008B52EE"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5(c)</w:t>
      </w:r>
      <w:r w:rsidRPr="008B52EE" w:rsidR="009C7E97">
        <w:rPr>
          <w:b/>
          <w:bCs/>
          <w:color w:val="000000"/>
        </w:rPr>
        <w:t xml:space="preserve"> </w:t>
      </w:r>
      <w:r w:rsidRPr="008B52EE">
        <w:rPr>
          <w:b/>
          <w:bCs/>
          <w:color w:val="000000"/>
        </w:rPr>
        <w:t>Small Entity Flexibility</w:t>
      </w:r>
    </w:p>
    <w:p w:rsidRPr="008B52EE"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8B52EE" w:rsidR="00EF4499" w:rsidP="00EF4499" w:rsidRDefault="00145A13" w14:paraId="2B5A123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rPr>
          <w:i/>
        </w:rPr>
      </w:pPr>
      <w:r w:rsidRPr="008B52EE">
        <w:tab/>
      </w:r>
      <w:r w:rsidRPr="008B52EE">
        <w:tab/>
      </w:r>
      <w:r w:rsidRPr="008B52EE" w:rsidR="00EF4499">
        <w:t xml:space="preserve">Although information collected under section 401 could be furnished by small entities, small entities are more likely to qualify for general permit authorizations for which section 401 certification is already granted (e.g., CWA section 404 nationwide general permits). The EPA cannot further minimize the burden to small entities because section 401 requires all project proponents to submit a certification request. </w:t>
      </w:r>
    </w:p>
    <w:p w:rsidRPr="008B52EE"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3CC381A1" w14:textId="0F2B3A38">
      <w:pPr>
        <w:pBdr>
          <w:top w:val="single" w:color="FFFFFF" w:sz="6" w:space="0"/>
          <w:left w:val="single" w:color="FFFFFF" w:sz="6" w:space="0"/>
          <w:bottom w:val="single" w:color="FFFFFF" w:sz="6" w:space="0"/>
          <w:right w:val="single" w:color="FFFFFF" w:sz="6" w:space="0"/>
        </w:pBdr>
        <w:ind w:firstLine="720"/>
        <w:rPr>
          <w:b/>
          <w:bCs/>
          <w:color w:val="000000"/>
        </w:rPr>
      </w:pPr>
      <w:r w:rsidRPr="008B52EE">
        <w:rPr>
          <w:b/>
          <w:bCs/>
          <w:color w:val="000000"/>
        </w:rPr>
        <w:t>5(d)</w:t>
      </w:r>
      <w:r w:rsidRPr="008B52EE" w:rsidR="009C7E97">
        <w:rPr>
          <w:b/>
          <w:bCs/>
          <w:color w:val="000000"/>
        </w:rPr>
        <w:t xml:space="preserve"> </w:t>
      </w:r>
      <w:r w:rsidRPr="008B52EE">
        <w:rPr>
          <w:b/>
          <w:bCs/>
          <w:color w:val="000000"/>
        </w:rPr>
        <w:t>Collection Schedule</w:t>
      </w:r>
    </w:p>
    <w:p w:rsidRPr="008B52EE" w:rsidR="00D117DC" w:rsidRDefault="00D117DC" w14:paraId="08653656"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52EE" w:rsidR="00CA4CD6" w:rsidRDefault="00EF4499" w14:paraId="3350D18F" w14:textId="4CD1E666">
      <w:pPr>
        <w:pBdr>
          <w:top w:val="single" w:color="FFFFFF" w:sz="6" w:space="0"/>
          <w:left w:val="single" w:color="FFFFFF" w:sz="6" w:space="0"/>
          <w:bottom w:val="single" w:color="FFFFFF" w:sz="6" w:space="0"/>
          <w:right w:val="single" w:color="FFFFFF" w:sz="6" w:space="0"/>
        </w:pBdr>
        <w:rPr>
          <w:color w:val="000000"/>
        </w:rPr>
      </w:pPr>
      <w:r w:rsidRPr="008B52EE">
        <w:rPr>
          <w:color w:val="000000"/>
        </w:rPr>
        <w:tab/>
        <w:t>Information is generally submitted by</w:t>
      </w:r>
      <w:r w:rsidRPr="008B52EE" w:rsidR="0028321E">
        <w:rPr>
          <w:color w:val="000000"/>
        </w:rPr>
        <w:t xml:space="preserve"> a</w:t>
      </w:r>
      <w:r w:rsidRPr="008B52EE">
        <w:rPr>
          <w:color w:val="000000"/>
        </w:rPr>
        <w:t xml:space="preserve"> respondent once</w:t>
      </w:r>
      <w:r w:rsidRPr="008B52EE" w:rsidR="0028321E">
        <w:rPr>
          <w:color w:val="000000"/>
        </w:rPr>
        <w:t xml:space="preserve">, </w:t>
      </w:r>
      <w:r w:rsidRPr="008B52EE">
        <w:rPr>
          <w:color w:val="000000"/>
        </w:rPr>
        <w:t xml:space="preserve">on a per permit basis. </w:t>
      </w:r>
    </w:p>
    <w:p w:rsidRPr="008B52EE"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sidRPr="008B52EE">
        <w:rPr>
          <w:b/>
          <w:bCs/>
          <w:color w:val="000000"/>
        </w:rPr>
        <w:t>6.</w:t>
      </w:r>
      <w:r w:rsidRPr="008B52EE" w:rsidR="009C7E97">
        <w:rPr>
          <w:b/>
          <w:bCs/>
          <w:color w:val="000000"/>
        </w:rPr>
        <w:t xml:space="preserve"> </w:t>
      </w:r>
      <w:r w:rsidRPr="008B52EE">
        <w:rPr>
          <w:b/>
          <w:bCs/>
          <w:color w:val="000000"/>
        </w:rPr>
        <w:t>Estimating the Burden and Cost of the Collection</w:t>
      </w:r>
    </w:p>
    <w:p w:rsidRPr="008B52EE"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7468EEDE" w14:textId="13F0B342">
      <w:pPr>
        <w:pBdr>
          <w:top w:val="single" w:color="FFFFFF" w:sz="6" w:space="1"/>
          <w:left w:val="single" w:color="FFFFFF" w:sz="6" w:space="0"/>
          <w:bottom w:val="single" w:color="FFFFFF" w:sz="6" w:space="0"/>
          <w:right w:val="single" w:color="FFFFFF" w:sz="6" w:space="0"/>
        </w:pBdr>
        <w:ind w:firstLine="720"/>
        <w:rPr>
          <w:b/>
          <w:color w:val="000000"/>
        </w:rPr>
      </w:pPr>
      <w:r w:rsidRPr="008B52EE">
        <w:rPr>
          <w:b/>
          <w:bCs/>
          <w:color w:val="000000"/>
        </w:rPr>
        <w:lastRenderedPageBreak/>
        <w:t>6(a)</w:t>
      </w:r>
      <w:r w:rsidRPr="008B52EE" w:rsidR="009C7E97">
        <w:rPr>
          <w:b/>
          <w:bCs/>
          <w:color w:val="000000"/>
        </w:rPr>
        <w:t xml:space="preserve"> </w:t>
      </w:r>
      <w:r w:rsidRPr="008B52EE">
        <w:rPr>
          <w:b/>
          <w:bCs/>
          <w:color w:val="000000"/>
        </w:rPr>
        <w:t>Estimating Respondent Burden</w:t>
      </w:r>
    </w:p>
    <w:p w:rsidR="007B563E" w:rsidP="00D22FF3" w:rsidRDefault="00420E8B" w14:paraId="1419A220" w14:textId="078E017B">
      <w:pPr>
        <w:tabs>
          <w:tab w:val="left" w:pos="-1440"/>
        </w:tabs>
        <w:ind w:firstLine="720"/>
      </w:pPr>
      <w:r>
        <w:t>Detailed data on all</w:t>
      </w:r>
      <w:r w:rsidR="00655376">
        <w:t xml:space="preserve"> certification request submittals by</w:t>
      </w:r>
      <w:r>
        <w:t xml:space="preserve"> project proponent</w:t>
      </w:r>
      <w:r w:rsidR="00655376">
        <w:t>s</w:t>
      </w:r>
      <w:r>
        <w:t xml:space="preserve"> is not currently available.</w:t>
      </w:r>
      <w:r w:rsidR="00147BCE">
        <w:t xml:space="preserve"> </w:t>
      </w:r>
      <w:r w:rsidR="007B563E">
        <w:t>The estimates presented in the supporting statement from the first notice have been augmented to include additional data provided in public comments</w:t>
      </w:r>
      <w:r w:rsidR="004F6A23">
        <w:t xml:space="preserve"> from the proposed rule docket</w:t>
      </w:r>
      <w:r w:rsidR="007B563E">
        <w:t xml:space="preserve"> and a questionnaire that was presented to nine (9) certifying authorities. </w:t>
      </w:r>
      <w:r w:rsidR="00F13CF2">
        <w:t xml:space="preserve">Eight (8) certifying authorities responded and provided data. </w:t>
      </w:r>
      <w:r w:rsidR="007B563E">
        <w:t>The data that was collected via this questionnaire provided more specific information on the potential number of responses submitted by project proponents and the time that certifying authorities spend reviewing information. This new information has been</w:t>
      </w:r>
      <w:r w:rsidR="00853DAC">
        <w:t xml:space="preserve"> </w:t>
      </w:r>
      <w:r w:rsidR="007B563E">
        <w:t>included</w:t>
      </w:r>
      <w:r w:rsidR="00853DAC">
        <w:t>, whe</w:t>
      </w:r>
      <w:r w:rsidR="00331CE4">
        <w:t>re appropriate</w:t>
      </w:r>
      <w:r w:rsidR="00853DAC">
        <w:t>,</w:t>
      </w:r>
      <w:r w:rsidR="007B563E">
        <w:t xml:space="preserve"> in the ranges used when calculating estimated hour and cost burdens.</w:t>
      </w:r>
    </w:p>
    <w:p w:rsidRPr="008B52EE"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8B52EE" w:rsidR="007B563E" w:rsidP="007B563E" w:rsidRDefault="007B563E" w14:paraId="70644AB3" w14:textId="77777777">
      <w:pPr>
        <w:pStyle w:val="Heading3"/>
        <w:numPr>
          <w:ilvl w:val="2"/>
          <w:numId w:val="11"/>
        </w:numPr>
      </w:pPr>
      <w:bookmarkStart w:name="_Toc16015594" w:id="6"/>
      <w:r w:rsidRPr="008B52EE">
        <w:t>Certifying Authorities</w:t>
      </w:r>
    </w:p>
    <w:p w:rsidRPr="008B52EE" w:rsidR="00510DCF" w:rsidP="00510DCF" w:rsidRDefault="00F13CF2" w14:paraId="6C452466" w14:textId="3A6F74BC">
      <w:pPr>
        <w:ind w:firstLine="720"/>
      </w:pPr>
      <w:r>
        <w:fldChar w:fldCharType="begin"/>
      </w:r>
      <w:r>
        <w:instrText xml:space="preserve"> REF _Ref31894193 \h </w:instrText>
      </w:r>
      <w:r>
        <w:fldChar w:fldCharType="separate"/>
      </w:r>
      <w:r w:rsidRPr="008B52EE">
        <w:t xml:space="preserve">Table </w:t>
      </w:r>
      <w:r>
        <w:rPr>
          <w:noProof/>
        </w:rPr>
        <w:t>1</w:t>
      </w:r>
      <w:r>
        <w:fldChar w:fldCharType="end"/>
      </w:r>
      <w:r w:rsidR="00510DCF">
        <w:t xml:space="preserve"> presents t</w:t>
      </w:r>
      <w:r w:rsidRPr="008B52EE" w:rsidR="00510DCF">
        <w:t xml:space="preserve">he annual average number of </w:t>
      </w:r>
      <w:r w:rsidR="00510DCF">
        <w:t xml:space="preserve">issued </w:t>
      </w:r>
      <w:r w:rsidRPr="008B52EE" w:rsidR="00510DCF">
        <w:t>federal license</w:t>
      </w:r>
      <w:r w:rsidR="00510DCF">
        <w:t>s</w:t>
      </w:r>
      <w:r w:rsidRPr="008B52EE" w:rsidR="00510DCF">
        <w:t xml:space="preserve"> and permit</w:t>
      </w:r>
      <w:r w:rsidR="00510DCF">
        <w:t>s</w:t>
      </w:r>
      <w:r w:rsidRPr="008B52EE" w:rsidR="00510DCF">
        <w:t xml:space="preserve"> estimated based on data from five (5) licensing/permitting category types.</w:t>
      </w:r>
      <w:r w:rsidR="00510DCF">
        <w:t xml:space="preserve"> </w:t>
      </w:r>
    </w:p>
    <w:p w:rsidRPr="008B52EE" w:rsidR="00510DCF" w:rsidP="00510DCF" w:rsidRDefault="00510DCF" w14:paraId="33923F70" w14:textId="77777777">
      <w:pPr>
        <w:pStyle w:val="Caption"/>
        <w:keepNext/>
        <w:jc w:val="center"/>
      </w:pPr>
    </w:p>
    <w:p w:rsidRPr="008B52EE" w:rsidR="00510DCF" w:rsidP="00510DCF" w:rsidRDefault="00510DCF" w14:paraId="0C987233" w14:textId="77777777">
      <w:pPr>
        <w:pStyle w:val="Caption"/>
        <w:keepNext/>
        <w:jc w:val="center"/>
      </w:pPr>
      <w:bookmarkStart w:name="_Ref31894193" w:id="7"/>
      <w:r w:rsidRPr="008B52EE">
        <w:t xml:space="preserve">Table </w:t>
      </w:r>
      <w:r>
        <w:fldChar w:fldCharType="begin"/>
      </w:r>
      <w:r>
        <w:instrText>SEQ Table \* ARABIC</w:instrText>
      </w:r>
      <w:r>
        <w:fldChar w:fldCharType="separate"/>
      </w:r>
      <w:r w:rsidR="00BE09E0">
        <w:rPr>
          <w:noProof/>
        </w:rPr>
        <w:t>1</w:t>
      </w:r>
      <w:r>
        <w:fldChar w:fldCharType="end"/>
      </w:r>
      <w:bookmarkEnd w:id="7"/>
      <w:r w:rsidRPr="008B52EE">
        <w:t>: Federal License/Permit Summary</w:t>
      </w:r>
    </w:p>
    <w:tbl>
      <w:tblPr>
        <w:tblStyle w:val="TableGrid"/>
        <w:tblW w:w="0" w:type="auto"/>
        <w:jc w:val="center"/>
        <w:tblLook w:val="04A0" w:firstRow="1" w:lastRow="0" w:firstColumn="1" w:lastColumn="0" w:noHBand="0" w:noVBand="1"/>
      </w:tblPr>
      <w:tblGrid>
        <w:gridCol w:w="4338"/>
        <w:gridCol w:w="4140"/>
      </w:tblGrid>
      <w:tr w:rsidRPr="008B52EE" w:rsidR="00510DCF" w:rsidTr="009F2E46" w14:paraId="4CD57AEC" w14:textId="77777777">
        <w:trPr>
          <w:jc w:val="center"/>
        </w:trPr>
        <w:tc>
          <w:tcPr>
            <w:tcW w:w="4338" w:type="dxa"/>
            <w:hideMark/>
          </w:tcPr>
          <w:p w:rsidRPr="008B52EE" w:rsidR="00510DCF" w:rsidP="009F2E46" w:rsidRDefault="00510DCF" w14:paraId="4F61BF15" w14:textId="77777777">
            <w:pPr>
              <w:keepNext/>
              <w:jc w:val="center"/>
              <w:rPr>
                <w:rFonts w:ascii="Times New Roman" w:hAnsi="Times New Roman"/>
                <w:b/>
                <w:sz w:val="22"/>
              </w:rPr>
            </w:pPr>
            <w:r w:rsidRPr="008B52EE">
              <w:rPr>
                <w:rFonts w:ascii="Times New Roman" w:hAnsi="Times New Roman"/>
                <w:b/>
                <w:sz w:val="22"/>
              </w:rPr>
              <w:t>License/Permit Type</w:t>
            </w:r>
          </w:p>
        </w:tc>
        <w:tc>
          <w:tcPr>
            <w:tcW w:w="4140" w:type="dxa"/>
            <w:hideMark/>
          </w:tcPr>
          <w:p w:rsidRPr="008B52EE" w:rsidR="00510DCF" w:rsidP="009F2E46" w:rsidRDefault="00510DCF" w14:paraId="73EC5713" w14:textId="77777777">
            <w:pPr>
              <w:keepNext/>
              <w:jc w:val="center"/>
              <w:rPr>
                <w:rFonts w:ascii="Times New Roman" w:hAnsi="Times New Roman"/>
                <w:b/>
                <w:sz w:val="22"/>
              </w:rPr>
            </w:pPr>
            <w:r w:rsidRPr="008B52EE">
              <w:rPr>
                <w:rFonts w:ascii="Times New Roman" w:hAnsi="Times New Roman"/>
                <w:b/>
                <w:sz w:val="22"/>
              </w:rPr>
              <w:t>Annual Average # Licenses/Permits Issued</w:t>
            </w:r>
          </w:p>
        </w:tc>
      </w:tr>
      <w:tr w:rsidRPr="008B52EE" w:rsidR="00510DCF" w:rsidTr="009F2E46" w14:paraId="36F424BA" w14:textId="77777777">
        <w:trPr>
          <w:jc w:val="center"/>
        </w:trPr>
        <w:tc>
          <w:tcPr>
            <w:tcW w:w="4338" w:type="dxa"/>
            <w:hideMark/>
          </w:tcPr>
          <w:p w:rsidRPr="008B52EE" w:rsidR="00510DCF" w:rsidP="009F2E46" w:rsidRDefault="00510DCF" w14:paraId="34D995DD" w14:textId="77777777">
            <w:pPr>
              <w:keepNext/>
              <w:rPr>
                <w:rFonts w:ascii="Times New Roman" w:hAnsi="Times New Roman"/>
                <w:sz w:val="22"/>
              </w:rPr>
            </w:pPr>
            <w:r w:rsidRPr="008B52EE">
              <w:rPr>
                <w:rFonts w:ascii="Times New Roman" w:hAnsi="Times New Roman"/>
                <w:sz w:val="22"/>
              </w:rPr>
              <w:t>CWA Section 404</w:t>
            </w:r>
          </w:p>
        </w:tc>
        <w:tc>
          <w:tcPr>
            <w:tcW w:w="4140" w:type="dxa"/>
            <w:hideMark/>
          </w:tcPr>
          <w:p w:rsidRPr="008B52EE" w:rsidR="00510DCF" w:rsidP="009F2E46" w:rsidRDefault="00510DCF" w14:paraId="1A5708DE" w14:textId="77777777">
            <w:pPr>
              <w:keepNext/>
              <w:jc w:val="right"/>
              <w:rPr>
                <w:rFonts w:ascii="Times New Roman" w:hAnsi="Times New Roman"/>
                <w:sz w:val="22"/>
              </w:rPr>
            </w:pPr>
            <w:r w:rsidRPr="008B52EE">
              <w:rPr>
                <w:rFonts w:ascii="Times New Roman" w:hAnsi="Times New Roman"/>
                <w:sz w:val="22"/>
              </w:rPr>
              <w:t xml:space="preserve">50,159 </w:t>
            </w:r>
            <w:proofErr w:type="gramStart"/>
            <w:r w:rsidRPr="008B52EE">
              <w:rPr>
                <w:rFonts w:ascii="Times New Roman" w:hAnsi="Times New Roman"/>
                <w:sz w:val="22"/>
              </w:rPr>
              <w:t>general</w:t>
            </w:r>
            <w:proofErr w:type="gramEnd"/>
            <w:r w:rsidRPr="008B52EE">
              <w:rPr>
                <w:rFonts w:ascii="Times New Roman" w:hAnsi="Times New Roman"/>
                <w:sz w:val="22"/>
              </w:rPr>
              <w:t>;</w:t>
            </w:r>
            <w:r w:rsidRPr="008B52EE">
              <w:rPr>
                <w:rStyle w:val="FootnoteReference"/>
                <w:rFonts w:ascii="Times New Roman" w:hAnsi="Times New Roman"/>
                <w:sz w:val="22"/>
                <w:vertAlign w:val="superscript"/>
              </w:rPr>
              <w:footnoteReference w:id="5"/>
            </w:r>
          </w:p>
          <w:p w:rsidRPr="008B52EE" w:rsidR="00510DCF" w:rsidP="009F2E46" w:rsidRDefault="00510DCF" w14:paraId="17FBEE5D" w14:textId="77777777">
            <w:pPr>
              <w:keepNext/>
              <w:jc w:val="right"/>
              <w:rPr>
                <w:rFonts w:ascii="Times New Roman" w:hAnsi="Times New Roman"/>
                <w:sz w:val="22"/>
              </w:rPr>
            </w:pPr>
            <w:r w:rsidRPr="008B52EE">
              <w:rPr>
                <w:rFonts w:ascii="Times New Roman" w:hAnsi="Times New Roman"/>
                <w:sz w:val="22"/>
              </w:rPr>
              <w:t>2,511</w:t>
            </w:r>
            <w:r w:rsidRPr="008B52EE">
              <w:rPr>
                <w:rFonts w:ascii="Times New Roman" w:hAnsi="Times New Roman"/>
                <w:sz w:val="22"/>
                <w:vertAlign w:val="superscript"/>
              </w:rPr>
              <w:t xml:space="preserve">a </w:t>
            </w:r>
            <w:r w:rsidRPr="008B52EE">
              <w:rPr>
                <w:rFonts w:ascii="Times New Roman" w:hAnsi="Times New Roman"/>
                <w:sz w:val="22"/>
              </w:rPr>
              <w:t>individual</w:t>
            </w:r>
          </w:p>
        </w:tc>
      </w:tr>
      <w:tr w:rsidRPr="008B52EE" w:rsidR="00510DCF" w:rsidTr="009F2E46" w14:paraId="3BC79ADB" w14:textId="77777777">
        <w:trPr>
          <w:jc w:val="center"/>
        </w:trPr>
        <w:tc>
          <w:tcPr>
            <w:tcW w:w="4338" w:type="dxa"/>
            <w:hideMark/>
          </w:tcPr>
          <w:p w:rsidRPr="008B52EE" w:rsidR="00510DCF" w:rsidP="009F2E46" w:rsidRDefault="00510DCF" w14:paraId="4F31BD39" w14:textId="77777777">
            <w:pPr>
              <w:keepNext/>
              <w:rPr>
                <w:rFonts w:ascii="Times New Roman" w:hAnsi="Times New Roman"/>
                <w:sz w:val="22"/>
              </w:rPr>
            </w:pPr>
            <w:r w:rsidRPr="008B52EE">
              <w:rPr>
                <w:rFonts w:ascii="Times New Roman" w:hAnsi="Times New Roman"/>
                <w:sz w:val="22"/>
              </w:rPr>
              <w:t>Rivers and Harbors Act Section 10</w:t>
            </w:r>
          </w:p>
        </w:tc>
        <w:tc>
          <w:tcPr>
            <w:tcW w:w="4140" w:type="dxa"/>
            <w:hideMark/>
          </w:tcPr>
          <w:p w:rsidRPr="008B52EE" w:rsidR="00510DCF" w:rsidP="009F2E46" w:rsidRDefault="00510DCF" w14:paraId="423522C0" w14:textId="77777777">
            <w:pPr>
              <w:keepNext/>
              <w:jc w:val="right"/>
              <w:rPr>
                <w:rFonts w:ascii="Times New Roman" w:hAnsi="Times New Roman"/>
                <w:sz w:val="22"/>
              </w:rPr>
            </w:pPr>
            <w:r w:rsidRPr="008B52EE">
              <w:rPr>
                <w:rFonts w:ascii="Times New Roman" w:hAnsi="Times New Roman"/>
                <w:sz w:val="22"/>
              </w:rPr>
              <w:t xml:space="preserve">8,607 </w:t>
            </w:r>
            <w:proofErr w:type="gramStart"/>
            <w:r w:rsidRPr="008B52EE">
              <w:rPr>
                <w:rFonts w:ascii="Times New Roman" w:hAnsi="Times New Roman"/>
                <w:sz w:val="22"/>
              </w:rPr>
              <w:t>general</w:t>
            </w:r>
            <w:proofErr w:type="gramEnd"/>
            <w:r w:rsidRPr="008B52EE">
              <w:rPr>
                <w:rFonts w:ascii="Times New Roman" w:hAnsi="Times New Roman"/>
                <w:sz w:val="22"/>
              </w:rPr>
              <w:t>;</w:t>
            </w:r>
          </w:p>
          <w:p w:rsidRPr="008B52EE" w:rsidR="00510DCF" w:rsidP="009F2E46" w:rsidRDefault="00510DCF" w14:paraId="0B8300EF" w14:textId="77777777">
            <w:pPr>
              <w:keepNext/>
              <w:jc w:val="right"/>
              <w:rPr>
                <w:rFonts w:ascii="Times New Roman" w:hAnsi="Times New Roman"/>
                <w:sz w:val="22"/>
              </w:rPr>
            </w:pPr>
            <w:r w:rsidRPr="008B52EE">
              <w:rPr>
                <w:rFonts w:ascii="Times New Roman" w:hAnsi="Times New Roman"/>
                <w:sz w:val="22"/>
              </w:rPr>
              <w:t>1,670</w:t>
            </w:r>
            <w:r w:rsidRPr="008B52EE">
              <w:rPr>
                <w:rFonts w:ascii="Times New Roman" w:hAnsi="Times New Roman"/>
                <w:sz w:val="22"/>
                <w:vertAlign w:val="superscript"/>
              </w:rPr>
              <w:t>b</w:t>
            </w:r>
            <w:r w:rsidRPr="008B52EE">
              <w:rPr>
                <w:rFonts w:ascii="Times New Roman" w:hAnsi="Times New Roman"/>
                <w:sz w:val="22"/>
              </w:rPr>
              <w:t xml:space="preserve"> individual</w:t>
            </w:r>
          </w:p>
        </w:tc>
      </w:tr>
      <w:tr w:rsidRPr="008B52EE" w:rsidR="00510DCF" w:rsidTr="009F2E46" w14:paraId="68A04649" w14:textId="77777777">
        <w:trPr>
          <w:jc w:val="center"/>
        </w:trPr>
        <w:tc>
          <w:tcPr>
            <w:tcW w:w="4338" w:type="dxa"/>
            <w:hideMark/>
          </w:tcPr>
          <w:p w:rsidRPr="008B52EE" w:rsidR="00510DCF" w:rsidP="009F2E46" w:rsidRDefault="00510DCF" w14:paraId="738C88B7" w14:textId="77777777">
            <w:pPr>
              <w:keepNext/>
              <w:rPr>
                <w:rFonts w:ascii="Times New Roman" w:hAnsi="Times New Roman"/>
                <w:sz w:val="22"/>
              </w:rPr>
            </w:pPr>
            <w:r w:rsidRPr="008B52EE">
              <w:rPr>
                <w:rFonts w:ascii="Times New Roman" w:hAnsi="Times New Roman"/>
                <w:sz w:val="22"/>
              </w:rPr>
              <w:t>Rivers and Harbors Act Section 9</w:t>
            </w:r>
          </w:p>
        </w:tc>
        <w:tc>
          <w:tcPr>
            <w:tcW w:w="4140" w:type="dxa"/>
            <w:hideMark/>
          </w:tcPr>
          <w:p w:rsidRPr="008B52EE" w:rsidR="00510DCF" w:rsidP="009F2E46" w:rsidRDefault="00510DCF" w14:paraId="7165C76B" w14:textId="77777777">
            <w:pPr>
              <w:keepNext/>
              <w:jc w:val="right"/>
              <w:rPr>
                <w:rFonts w:ascii="Times New Roman" w:hAnsi="Times New Roman"/>
                <w:sz w:val="22"/>
              </w:rPr>
            </w:pPr>
            <w:r w:rsidRPr="008B52EE">
              <w:rPr>
                <w:rFonts w:ascii="Times New Roman" w:hAnsi="Times New Roman"/>
                <w:sz w:val="22"/>
              </w:rPr>
              <w:t>30-35</w:t>
            </w:r>
          </w:p>
        </w:tc>
      </w:tr>
      <w:tr w:rsidRPr="008B52EE" w:rsidR="00510DCF" w:rsidTr="009F2E46" w14:paraId="62137C8D" w14:textId="77777777">
        <w:trPr>
          <w:jc w:val="center"/>
        </w:trPr>
        <w:tc>
          <w:tcPr>
            <w:tcW w:w="4338" w:type="dxa"/>
            <w:hideMark/>
          </w:tcPr>
          <w:p w:rsidRPr="008B52EE" w:rsidR="00510DCF" w:rsidP="009F2E46" w:rsidRDefault="00510DCF" w14:paraId="67B54671" w14:textId="77777777">
            <w:pPr>
              <w:keepNext/>
              <w:rPr>
                <w:rFonts w:ascii="Times New Roman" w:hAnsi="Times New Roman"/>
                <w:sz w:val="22"/>
              </w:rPr>
            </w:pPr>
            <w:r w:rsidRPr="008B52EE">
              <w:rPr>
                <w:rFonts w:ascii="Times New Roman" w:hAnsi="Times New Roman"/>
                <w:sz w:val="22"/>
              </w:rPr>
              <w:t>Federal Energy Regulatory Commission license</w:t>
            </w:r>
          </w:p>
        </w:tc>
        <w:tc>
          <w:tcPr>
            <w:tcW w:w="4140" w:type="dxa"/>
            <w:hideMark/>
          </w:tcPr>
          <w:p w:rsidRPr="008B52EE" w:rsidR="00510DCF" w:rsidP="009F2E46" w:rsidRDefault="00510DCF" w14:paraId="305C5AC8" w14:textId="77777777">
            <w:pPr>
              <w:keepNext/>
              <w:jc w:val="right"/>
              <w:rPr>
                <w:rFonts w:ascii="Times New Roman" w:hAnsi="Times New Roman"/>
                <w:sz w:val="22"/>
              </w:rPr>
            </w:pPr>
            <w:r w:rsidRPr="008B52EE">
              <w:rPr>
                <w:rFonts w:ascii="Times New Roman" w:hAnsi="Times New Roman"/>
                <w:sz w:val="22"/>
              </w:rPr>
              <w:t>47</w:t>
            </w:r>
            <w:r w:rsidRPr="008B52EE">
              <w:rPr>
                <w:rFonts w:ascii="Times New Roman" w:hAnsi="Times New Roman"/>
                <w:sz w:val="22"/>
                <w:vertAlign w:val="superscript"/>
              </w:rPr>
              <w:t>c</w:t>
            </w:r>
          </w:p>
        </w:tc>
      </w:tr>
      <w:tr w:rsidRPr="008B52EE" w:rsidR="00510DCF" w:rsidTr="009F2E46" w14:paraId="4B25D496" w14:textId="77777777">
        <w:trPr>
          <w:jc w:val="center"/>
        </w:trPr>
        <w:tc>
          <w:tcPr>
            <w:tcW w:w="4338" w:type="dxa"/>
            <w:hideMark/>
          </w:tcPr>
          <w:p w:rsidRPr="008B52EE" w:rsidR="00510DCF" w:rsidP="009F2E46" w:rsidRDefault="00510DCF" w14:paraId="209E1B85" w14:textId="77777777">
            <w:pPr>
              <w:keepNext/>
              <w:rPr>
                <w:rFonts w:ascii="Times New Roman" w:hAnsi="Times New Roman"/>
                <w:sz w:val="22"/>
              </w:rPr>
            </w:pPr>
            <w:r w:rsidRPr="008B52EE">
              <w:rPr>
                <w:rFonts w:ascii="Times New Roman" w:hAnsi="Times New Roman"/>
                <w:sz w:val="22"/>
              </w:rPr>
              <w:t>Nuclear Regulatory Commission</w:t>
            </w:r>
            <w:r w:rsidRPr="008B52EE" w:rsidDel="002A6D58">
              <w:rPr>
                <w:rFonts w:ascii="Times New Roman" w:hAnsi="Times New Roman"/>
                <w:sz w:val="22"/>
              </w:rPr>
              <w:t xml:space="preserve"> </w:t>
            </w:r>
            <w:r w:rsidRPr="008B52EE">
              <w:rPr>
                <w:rFonts w:ascii="Times New Roman" w:hAnsi="Times New Roman"/>
                <w:sz w:val="22"/>
              </w:rPr>
              <w:t>license</w:t>
            </w:r>
          </w:p>
        </w:tc>
        <w:tc>
          <w:tcPr>
            <w:tcW w:w="4140" w:type="dxa"/>
            <w:hideMark/>
          </w:tcPr>
          <w:p w:rsidRPr="008B52EE" w:rsidR="00510DCF" w:rsidP="009F2E46" w:rsidRDefault="00510DCF" w14:paraId="6C927F2D" w14:textId="77777777">
            <w:pPr>
              <w:keepNext/>
              <w:jc w:val="right"/>
              <w:rPr>
                <w:rFonts w:ascii="Times New Roman" w:hAnsi="Times New Roman"/>
                <w:sz w:val="22"/>
              </w:rPr>
            </w:pPr>
            <w:r w:rsidRPr="008B52EE">
              <w:rPr>
                <w:rFonts w:ascii="Times New Roman" w:hAnsi="Times New Roman"/>
                <w:sz w:val="22"/>
              </w:rPr>
              <w:t>3</w:t>
            </w:r>
            <w:r w:rsidRPr="008B52EE">
              <w:rPr>
                <w:rFonts w:ascii="Times New Roman" w:hAnsi="Times New Roman"/>
                <w:sz w:val="22"/>
                <w:vertAlign w:val="superscript"/>
              </w:rPr>
              <w:t>d</w:t>
            </w:r>
          </w:p>
        </w:tc>
      </w:tr>
      <w:tr w:rsidRPr="008B52EE" w:rsidR="00510DCF" w:rsidTr="009F2E46" w14:paraId="0B526C0F" w14:textId="77777777">
        <w:trPr>
          <w:jc w:val="center"/>
        </w:trPr>
        <w:tc>
          <w:tcPr>
            <w:tcW w:w="4338" w:type="dxa"/>
          </w:tcPr>
          <w:p w:rsidRPr="008B52EE" w:rsidR="00510DCF" w:rsidP="009F2E46" w:rsidRDefault="00510DCF" w14:paraId="0559666C" w14:textId="77777777">
            <w:pPr>
              <w:keepNext/>
              <w:rPr>
                <w:rFonts w:ascii="Times New Roman" w:hAnsi="Times New Roman"/>
                <w:b/>
                <w:sz w:val="22"/>
              </w:rPr>
            </w:pPr>
            <w:r w:rsidRPr="008B52EE">
              <w:rPr>
                <w:rFonts w:ascii="Times New Roman" w:hAnsi="Times New Roman"/>
                <w:b/>
                <w:sz w:val="22"/>
              </w:rPr>
              <w:t>Estimated Total Annual Average # Licenses/Permits Issued</w:t>
            </w:r>
          </w:p>
        </w:tc>
        <w:tc>
          <w:tcPr>
            <w:tcW w:w="4140" w:type="dxa"/>
          </w:tcPr>
          <w:p w:rsidRPr="008B52EE" w:rsidR="00510DCF" w:rsidP="009F2E46" w:rsidRDefault="00510DCF" w14:paraId="51BAEE3D" w14:textId="77777777">
            <w:pPr>
              <w:keepNext/>
              <w:jc w:val="right"/>
              <w:rPr>
                <w:rFonts w:ascii="Times New Roman" w:hAnsi="Times New Roman"/>
                <w:b/>
                <w:sz w:val="22"/>
              </w:rPr>
            </w:pPr>
            <w:r w:rsidRPr="008B52EE">
              <w:rPr>
                <w:rFonts w:ascii="Times New Roman" w:hAnsi="Times New Roman"/>
                <w:b/>
                <w:sz w:val="22"/>
              </w:rPr>
              <w:t>63,032</w:t>
            </w:r>
          </w:p>
        </w:tc>
      </w:tr>
    </w:tbl>
    <w:p w:rsidRPr="008B52EE" w:rsidR="00510DCF" w:rsidP="00510DCF" w:rsidRDefault="00510DCF" w14:paraId="74084361" w14:textId="77777777">
      <w:pPr>
        <w:pStyle w:val="NoSpacing"/>
        <w:keepNext/>
        <w:numPr>
          <w:ilvl w:val="0"/>
          <w:numId w:val="5"/>
        </w:numPr>
        <w:ind w:left="540" w:firstLine="0"/>
        <w:rPr>
          <w:rFonts w:cs="Times New Roman"/>
          <w:sz w:val="16"/>
          <w:szCs w:val="16"/>
        </w:rPr>
      </w:pPr>
      <w:r w:rsidRPr="008B52EE">
        <w:rPr>
          <w:rFonts w:cs="Times New Roman"/>
          <w:sz w:val="16"/>
          <w:szCs w:val="16"/>
        </w:rPr>
        <w:t>Estimate based on the annual average number of 404 permits from 2013-2018</w:t>
      </w:r>
    </w:p>
    <w:p w:rsidRPr="008B52EE" w:rsidR="00510DCF" w:rsidP="00510DCF" w:rsidRDefault="00510DCF" w14:paraId="7C0DC876" w14:textId="77777777">
      <w:pPr>
        <w:pStyle w:val="NoSpacing"/>
        <w:keepNext/>
        <w:numPr>
          <w:ilvl w:val="0"/>
          <w:numId w:val="5"/>
        </w:numPr>
        <w:ind w:left="540" w:firstLine="0"/>
        <w:rPr>
          <w:rFonts w:cs="Times New Roman"/>
          <w:sz w:val="16"/>
          <w:szCs w:val="16"/>
        </w:rPr>
      </w:pPr>
      <w:r w:rsidRPr="008B52EE">
        <w:rPr>
          <w:rFonts w:cs="Times New Roman"/>
          <w:sz w:val="16"/>
          <w:szCs w:val="16"/>
        </w:rPr>
        <w:t>Estimate based on the annual average number of section 10 permits from 2013-2018</w:t>
      </w:r>
    </w:p>
    <w:p w:rsidRPr="008B52EE" w:rsidR="00510DCF" w:rsidP="00510DCF" w:rsidRDefault="00510DCF" w14:paraId="37D04A2F" w14:textId="77777777">
      <w:pPr>
        <w:pStyle w:val="NoSpacing"/>
        <w:keepNext/>
        <w:numPr>
          <w:ilvl w:val="0"/>
          <w:numId w:val="5"/>
        </w:numPr>
        <w:ind w:left="540" w:firstLine="0"/>
        <w:rPr>
          <w:rFonts w:cs="Times New Roman"/>
          <w:sz w:val="16"/>
          <w:szCs w:val="16"/>
        </w:rPr>
      </w:pPr>
      <w:r w:rsidRPr="008B52EE">
        <w:rPr>
          <w:rFonts w:cs="Times New Roman"/>
          <w:sz w:val="16"/>
          <w:szCs w:val="16"/>
        </w:rPr>
        <w:t>Estimate based on annual average license issuance for hydropower facilities/major natural gas pipelines from 2013-2018</w:t>
      </w:r>
    </w:p>
    <w:p w:rsidRPr="008B52EE" w:rsidR="00510DCF" w:rsidP="00510DCF" w:rsidRDefault="00510DCF" w14:paraId="4CBAB588" w14:textId="77777777">
      <w:pPr>
        <w:pStyle w:val="NoSpacing"/>
        <w:keepNext/>
        <w:numPr>
          <w:ilvl w:val="0"/>
          <w:numId w:val="5"/>
        </w:numPr>
        <w:ind w:left="540" w:firstLine="0"/>
        <w:rPr>
          <w:rFonts w:cs="Times New Roman"/>
          <w:sz w:val="16"/>
          <w:szCs w:val="16"/>
        </w:rPr>
      </w:pPr>
      <w:r w:rsidRPr="008B52EE">
        <w:rPr>
          <w:rFonts w:cs="Times New Roman"/>
          <w:sz w:val="16"/>
          <w:szCs w:val="16"/>
        </w:rPr>
        <w:t>Estimate based on annual average number of licenses for operating nuclear power reactors from 2013 to 2018</w:t>
      </w:r>
    </w:p>
    <w:p w:rsidRPr="008B52EE" w:rsidR="007B563E" w:rsidP="007B563E" w:rsidRDefault="007B563E" w14:paraId="52929B26" w14:textId="77777777"/>
    <w:p w:rsidR="005C5D1B" w:rsidP="005C5D1B" w:rsidRDefault="007B563E" w14:paraId="6AB244CA" w14:textId="3EF3C40D">
      <w:pPr>
        <w:ind w:firstLine="720"/>
      </w:pPr>
      <w:r w:rsidRPr="008B52EE">
        <w:t>The EPA estimates that 119 certifying authorities</w:t>
      </w:r>
      <w:r w:rsidRPr="008B52EE">
        <w:rPr>
          <w:vertAlign w:val="superscript"/>
        </w:rPr>
        <w:footnoteReference w:id="6"/>
      </w:r>
      <w:r w:rsidRPr="008B52EE">
        <w:t xml:space="preserve"> serve as respondents for this information collection. </w:t>
      </w:r>
      <w:r>
        <w:t xml:space="preserve">The estimated number of responses present in this section </w:t>
      </w:r>
      <w:r w:rsidR="00510DCF">
        <w:t>have increased</w:t>
      </w:r>
      <w:r>
        <w:t xml:space="preserve"> from the first notice </w:t>
      </w:r>
      <w:r w:rsidR="00510DCF">
        <w:t xml:space="preserve">based on data provided in the </w:t>
      </w:r>
      <w:r w:rsidR="00462FD8">
        <w:t xml:space="preserve">eight (8) </w:t>
      </w:r>
      <w:r w:rsidR="00510DCF">
        <w:t>questionnaire responses</w:t>
      </w:r>
      <w:r>
        <w:t xml:space="preserve">. </w:t>
      </w:r>
      <w:r w:rsidR="001278E7">
        <w:t>The estimates in this supporting statement were reformulated to incorporate additional information made available to the EPA through questionnaire responses</w:t>
      </w:r>
      <w:r w:rsidRPr="007E42BE" w:rsidR="001278E7">
        <w:t xml:space="preserve"> </w:t>
      </w:r>
      <w:r w:rsidR="001278E7">
        <w:t xml:space="preserve">and public comments to </w:t>
      </w:r>
      <w:hyperlink w:history="1" r:id="rId25">
        <w:r w:rsidR="001278E7">
          <w:t>D</w:t>
        </w:r>
        <w:r w:rsidRPr="00AC2497" w:rsidR="001278E7">
          <w:t>ocket ID No. EPA-HQ-OW-2019-0405</w:t>
        </w:r>
      </w:hyperlink>
      <w:r w:rsidR="001278E7">
        <w:t xml:space="preserve">. The average number of </w:t>
      </w:r>
      <w:r w:rsidR="00FC3136">
        <w:t xml:space="preserve">reviewed </w:t>
      </w:r>
      <w:r w:rsidR="001278E7">
        <w:t xml:space="preserve">requests across the </w:t>
      </w:r>
      <w:r w:rsidR="00462FD8">
        <w:t xml:space="preserve">six (6) </w:t>
      </w:r>
      <w:r w:rsidR="001278E7">
        <w:t xml:space="preserve">states that provided more data when presented with the questionnaire was 2,618 requests per state. </w:t>
      </w:r>
      <w:r w:rsidR="00F511E7">
        <w:t xml:space="preserve">The EPA did not include the </w:t>
      </w:r>
      <w:r w:rsidR="00D4593F">
        <w:t>questionnaire response</w:t>
      </w:r>
      <w:r w:rsidR="00F511E7">
        <w:t xml:space="preserve"> estimates provided </w:t>
      </w:r>
      <w:r w:rsidR="001A4BA8">
        <w:t>by</w:t>
      </w:r>
      <w:r w:rsidR="00F511E7">
        <w:t xml:space="preserve"> the tribe and territory in this </w:t>
      </w:r>
      <w:r w:rsidR="005C269B">
        <w:t xml:space="preserve">state </w:t>
      </w:r>
      <w:r w:rsidR="00F511E7">
        <w:t xml:space="preserve">average. </w:t>
      </w:r>
      <w:r w:rsidR="001278E7">
        <w:t xml:space="preserve">Multiplying this estimate by all 50 states gives a revised high estimate of 131,000 certifying authority responses per year. </w:t>
      </w:r>
      <w:r w:rsidR="00316FCE">
        <w:t>The low estimate</w:t>
      </w:r>
      <w:r w:rsidRPr="008B52EE" w:rsidR="00316FCE">
        <w:t xml:space="preserve"> is based on the</w:t>
      </w:r>
      <w:r w:rsidR="001679C8">
        <w:t xml:space="preserve"> 63,000</w:t>
      </w:r>
      <w:r w:rsidRPr="008B52EE" w:rsidR="00316FCE">
        <w:t xml:space="preserve"> </w:t>
      </w:r>
      <w:r w:rsidR="00316FCE">
        <w:t xml:space="preserve">annual </w:t>
      </w:r>
      <w:r w:rsidR="00316FCE">
        <w:lastRenderedPageBreak/>
        <w:t>issued licenses and permits</w:t>
      </w:r>
      <w:r w:rsidRPr="008B52EE" w:rsidR="00316FCE">
        <w:t xml:space="preserve"> </w:t>
      </w:r>
      <w:r w:rsidR="00316FCE">
        <w:t>presented</w:t>
      </w:r>
      <w:r w:rsidRPr="008B52EE" w:rsidR="00316FCE">
        <w:t xml:space="preserve"> in</w:t>
      </w:r>
      <w:r w:rsidR="00316FCE">
        <w:t xml:space="preserve"> </w:t>
      </w:r>
      <w:r w:rsidR="00316FCE">
        <w:fldChar w:fldCharType="begin"/>
      </w:r>
      <w:r w:rsidR="00316FCE">
        <w:instrText xml:space="preserve"> REF _Ref31894193 \h </w:instrText>
      </w:r>
      <w:r w:rsidR="00316FCE">
        <w:fldChar w:fldCharType="separate"/>
      </w:r>
      <w:r w:rsidRPr="008B52EE" w:rsidR="00393F4D">
        <w:t xml:space="preserve">Table </w:t>
      </w:r>
      <w:r w:rsidR="00393F4D">
        <w:rPr>
          <w:noProof/>
        </w:rPr>
        <w:t>1</w:t>
      </w:r>
      <w:r w:rsidR="00316FCE">
        <w:fldChar w:fldCharType="end"/>
      </w:r>
      <w:r w:rsidR="00EC314C">
        <w:t xml:space="preserve">; </w:t>
      </w:r>
      <w:r w:rsidR="00041CE3">
        <w:t>the EPA assumes</w:t>
      </w:r>
      <w:r w:rsidR="00A42164">
        <w:t xml:space="preserve"> at a minimum,</w:t>
      </w:r>
      <w:r w:rsidR="00041CE3">
        <w:t xml:space="preserve"> there is one </w:t>
      </w:r>
      <w:r w:rsidR="005B3099">
        <w:t>certification request, and therefore response required by a certifying authority, per license/permit issued</w:t>
      </w:r>
      <w:r w:rsidR="00266C54">
        <w:t>. T</w:t>
      </w:r>
      <w:r w:rsidR="001679C8">
        <w:t>he midpoint of the two values is 97,000</w:t>
      </w:r>
      <w:r w:rsidRPr="008B52EE" w:rsidR="00316FCE">
        <w:t xml:space="preserve">. </w:t>
      </w:r>
    </w:p>
    <w:p w:rsidR="005C5D1B" w:rsidP="005C5D1B" w:rsidRDefault="005C5D1B" w14:paraId="045B6ECB" w14:textId="6D407C98">
      <w:pPr>
        <w:ind w:firstLine="720"/>
        <w:rPr>
          <w:sz w:val="22"/>
          <w:szCs w:val="22"/>
        </w:rPr>
      </w:pPr>
      <w:r>
        <w:t xml:space="preserve">The federal license/permit summary in </w:t>
      </w:r>
      <w:r>
        <w:fldChar w:fldCharType="begin"/>
      </w:r>
      <w:r>
        <w:instrText xml:space="preserve"> REF _Ref31894193 \h </w:instrText>
      </w:r>
      <w:r>
        <w:fldChar w:fldCharType="separate"/>
      </w:r>
      <w:r w:rsidRPr="008B52EE" w:rsidR="00393F4D">
        <w:t xml:space="preserve">Table </w:t>
      </w:r>
      <w:r w:rsidR="00393F4D">
        <w:rPr>
          <w:noProof/>
        </w:rPr>
        <w:t>1</w:t>
      </w:r>
      <w:r>
        <w:fldChar w:fldCharType="end"/>
      </w:r>
      <w:r>
        <w:t xml:space="preserve"> captures only those licenses and permits that are issued, which may not accurately reflect the full number reviewed by certifying authorities or submitted by project proponents.  The high estimate is based on a limited number of states and is not expected to be representative of the whole population of certifying authorities.  Use of the midpoint is justified to address the incomplete nature of both estimates.</w:t>
      </w:r>
    </w:p>
    <w:p w:rsidR="007B563E" w:rsidP="007B563E" w:rsidRDefault="007B563E" w14:paraId="5D56E92E" w14:textId="7DCCBA47">
      <w:pPr>
        <w:ind w:firstLine="720"/>
      </w:pPr>
    </w:p>
    <w:p w:rsidR="007B563E" w:rsidP="007B563E" w:rsidRDefault="007B563E" w14:paraId="29E94837" w14:textId="77777777">
      <w:pPr>
        <w:ind w:firstLine="720"/>
      </w:pPr>
    </w:p>
    <w:p w:rsidR="007B563E" w:rsidP="007B563E" w:rsidRDefault="007B563E" w14:paraId="75843028" w14:textId="2E3E28C1">
      <w:pPr>
        <w:pStyle w:val="Caption"/>
        <w:jc w:val="center"/>
      </w:pPr>
      <w:bookmarkStart w:name="_Ref31897335" w:id="8"/>
      <w:bookmarkStart w:name="_Ref31976907" w:id="9"/>
      <w:r>
        <w:t xml:space="preserve">Table </w:t>
      </w:r>
      <w:r>
        <w:fldChar w:fldCharType="begin"/>
      </w:r>
      <w:r>
        <w:instrText>SEQ Table \* ARABIC</w:instrText>
      </w:r>
      <w:r>
        <w:fldChar w:fldCharType="separate"/>
      </w:r>
      <w:r w:rsidR="00BE09E0">
        <w:rPr>
          <w:noProof/>
        </w:rPr>
        <w:t>2</w:t>
      </w:r>
      <w:r>
        <w:fldChar w:fldCharType="end"/>
      </w:r>
      <w:bookmarkEnd w:id="8"/>
      <w:r>
        <w:t xml:space="preserve">: </w:t>
      </w:r>
      <w:r w:rsidR="00F511E7">
        <w:t xml:space="preserve">Number of </w:t>
      </w:r>
      <w:r w:rsidR="007724EA">
        <w:t xml:space="preserve">Certification Requests on </w:t>
      </w:r>
      <w:r w:rsidRPr="00BA230F">
        <w:t xml:space="preserve">General and Individual Permit Range Estimates for </w:t>
      </w:r>
      <w:r>
        <w:t>Certifying Authorities</w:t>
      </w:r>
      <w:bookmarkEnd w:id="9"/>
    </w:p>
    <w:tbl>
      <w:tblPr>
        <w:tblStyle w:val="TableGrid"/>
        <w:tblW w:w="6565" w:type="dxa"/>
        <w:jc w:val="center"/>
        <w:tblLook w:val="04A0" w:firstRow="1" w:lastRow="0" w:firstColumn="1" w:lastColumn="0" w:noHBand="0" w:noVBand="1"/>
      </w:tblPr>
      <w:tblGrid>
        <w:gridCol w:w="1885"/>
        <w:gridCol w:w="1530"/>
        <w:gridCol w:w="1530"/>
        <w:gridCol w:w="1620"/>
      </w:tblGrid>
      <w:tr w:rsidRPr="008B52EE" w:rsidR="007B563E" w:rsidTr="009F2E46" w14:paraId="507E3CF0" w14:textId="77777777">
        <w:trPr>
          <w:trHeight w:val="288"/>
          <w:jc w:val="center"/>
        </w:trPr>
        <w:tc>
          <w:tcPr>
            <w:tcW w:w="1885" w:type="dxa"/>
            <w:noWrap/>
            <w:hideMark/>
          </w:tcPr>
          <w:p w:rsidRPr="008B52EE" w:rsidR="007B563E" w:rsidP="009F2E46" w:rsidRDefault="007B563E" w14:paraId="6B3867FD"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Permit Type</w:t>
            </w:r>
          </w:p>
        </w:tc>
        <w:tc>
          <w:tcPr>
            <w:tcW w:w="1530" w:type="dxa"/>
            <w:noWrap/>
            <w:hideMark/>
          </w:tcPr>
          <w:p w:rsidRPr="008B52EE" w:rsidR="007B563E" w:rsidP="009F2E46" w:rsidRDefault="007B563E" w14:paraId="6DFA3FAE"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Low Estimate</w:t>
            </w:r>
          </w:p>
        </w:tc>
        <w:tc>
          <w:tcPr>
            <w:tcW w:w="1530" w:type="dxa"/>
          </w:tcPr>
          <w:p w:rsidRPr="008B52EE" w:rsidR="007B563E" w:rsidP="009F2E46" w:rsidRDefault="007B563E" w14:paraId="3469F045" w14:textId="77777777">
            <w:pPr>
              <w:widowControl/>
              <w:jc w:val="center"/>
              <w:rPr>
                <w:b/>
                <w:bCs/>
                <w:color w:val="000000"/>
                <w:sz w:val="22"/>
                <w:szCs w:val="22"/>
              </w:rPr>
            </w:pPr>
            <w:r w:rsidRPr="008B52EE">
              <w:rPr>
                <w:rFonts w:ascii="Times New Roman" w:hAnsi="Times New Roman"/>
                <w:b/>
                <w:bCs/>
                <w:color w:val="000000"/>
                <w:sz w:val="22"/>
                <w:szCs w:val="22"/>
              </w:rPr>
              <w:t>Midpoint</w:t>
            </w:r>
          </w:p>
        </w:tc>
        <w:tc>
          <w:tcPr>
            <w:tcW w:w="1620" w:type="dxa"/>
            <w:noWrap/>
            <w:hideMark/>
          </w:tcPr>
          <w:p w:rsidRPr="008B52EE" w:rsidR="007B563E" w:rsidP="009F2E46" w:rsidRDefault="007B563E" w14:paraId="5F335CDC"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High Estimate</w:t>
            </w:r>
          </w:p>
        </w:tc>
      </w:tr>
      <w:tr w:rsidRPr="008B52EE" w:rsidR="0021392B" w:rsidTr="0021392B" w14:paraId="78BB768F" w14:textId="77777777">
        <w:trPr>
          <w:trHeight w:val="288"/>
          <w:jc w:val="center"/>
        </w:trPr>
        <w:tc>
          <w:tcPr>
            <w:tcW w:w="1885" w:type="dxa"/>
            <w:noWrap/>
            <w:hideMark/>
          </w:tcPr>
          <w:p w:rsidRPr="008B52EE" w:rsidR="0021392B" w:rsidP="0021392B" w:rsidRDefault="0021392B" w14:paraId="15F494F0" w14:textId="77777777">
            <w:pPr>
              <w:widowControl/>
              <w:jc w:val="center"/>
              <w:rPr>
                <w:rFonts w:ascii="Times New Roman" w:hAnsi="Times New Roman"/>
                <w:color w:val="000000"/>
                <w:sz w:val="22"/>
                <w:szCs w:val="22"/>
              </w:rPr>
            </w:pPr>
            <w:r w:rsidRPr="008B52EE">
              <w:rPr>
                <w:rFonts w:ascii="Times New Roman" w:hAnsi="Times New Roman"/>
                <w:color w:val="000000"/>
                <w:sz w:val="22"/>
                <w:szCs w:val="22"/>
              </w:rPr>
              <w:t>General Permits</w:t>
            </w:r>
          </w:p>
        </w:tc>
        <w:tc>
          <w:tcPr>
            <w:tcW w:w="1530" w:type="dxa"/>
            <w:noWrap/>
            <w:vAlign w:val="center"/>
            <w:hideMark/>
          </w:tcPr>
          <w:p w:rsidRPr="008B52EE" w:rsidR="0021392B" w:rsidP="0021392B" w:rsidRDefault="0021392B" w14:paraId="6302752E" w14:textId="2909DCC9">
            <w:pPr>
              <w:widowControl/>
              <w:jc w:val="center"/>
              <w:rPr>
                <w:rFonts w:ascii="Times New Roman" w:hAnsi="Times New Roman"/>
                <w:color w:val="000000"/>
                <w:sz w:val="22"/>
                <w:szCs w:val="22"/>
              </w:rPr>
            </w:pPr>
            <w:r w:rsidRPr="0021392B">
              <w:rPr>
                <w:rFonts w:ascii="Times New Roman" w:hAnsi="Times New Roman"/>
                <w:color w:val="000000"/>
                <w:sz w:val="22"/>
                <w:szCs w:val="22"/>
              </w:rPr>
              <w:t>19,000</w:t>
            </w:r>
          </w:p>
        </w:tc>
        <w:tc>
          <w:tcPr>
            <w:tcW w:w="1530" w:type="dxa"/>
            <w:vAlign w:val="center"/>
          </w:tcPr>
          <w:p w:rsidRPr="0021392B" w:rsidR="0021392B" w:rsidP="0021392B" w:rsidRDefault="0021392B" w14:paraId="7056562D" w14:textId="1090F311">
            <w:pPr>
              <w:widowControl/>
              <w:jc w:val="center"/>
              <w:rPr>
                <w:rFonts w:ascii="Times New Roman" w:hAnsi="Times New Roman"/>
                <w:color w:val="000000"/>
                <w:sz w:val="22"/>
                <w:szCs w:val="22"/>
              </w:rPr>
            </w:pPr>
            <w:r w:rsidRPr="0021392B">
              <w:rPr>
                <w:rFonts w:ascii="Times New Roman" w:hAnsi="Times New Roman"/>
                <w:color w:val="000000"/>
                <w:sz w:val="22"/>
                <w:szCs w:val="22"/>
              </w:rPr>
              <w:t>29,000</w:t>
            </w:r>
          </w:p>
        </w:tc>
        <w:tc>
          <w:tcPr>
            <w:tcW w:w="1620" w:type="dxa"/>
            <w:noWrap/>
            <w:vAlign w:val="center"/>
            <w:hideMark/>
          </w:tcPr>
          <w:p w:rsidRPr="008B52EE" w:rsidR="0021392B" w:rsidP="0021392B" w:rsidRDefault="0021392B" w14:paraId="3B34EED7" w14:textId="05B2812C">
            <w:pPr>
              <w:widowControl/>
              <w:jc w:val="center"/>
              <w:rPr>
                <w:rFonts w:ascii="Times New Roman" w:hAnsi="Times New Roman"/>
                <w:color w:val="000000"/>
                <w:sz w:val="22"/>
                <w:szCs w:val="22"/>
              </w:rPr>
            </w:pPr>
            <w:r w:rsidRPr="0021392B">
              <w:rPr>
                <w:rFonts w:ascii="Times New Roman" w:hAnsi="Times New Roman"/>
                <w:color w:val="000000"/>
                <w:sz w:val="22"/>
                <w:szCs w:val="22"/>
              </w:rPr>
              <w:t>39,000</w:t>
            </w:r>
          </w:p>
        </w:tc>
      </w:tr>
      <w:tr w:rsidRPr="008B52EE" w:rsidR="0021392B" w:rsidTr="0021392B" w14:paraId="1D368628" w14:textId="77777777">
        <w:trPr>
          <w:trHeight w:val="288"/>
          <w:jc w:val="center"/>
        </w:trPr>
        <w:tc>
          <w:tcPr>
            <w:tcW w:w="1885" w:type="dxa"/>
            <w:noWrap/>
            <w:hideMark/>
          </w:tcPr>
          <w:p w:rsidRPr="008B52EE" w:rsidR="0021392B" w:rsidP="0021392B" w:rsidRDefault="0021392B" w14:paraId="4AC03E97" w14:textId="77777777">
            <w:pPr>
              <w:widowControl/>
              <w:jc w:val="center"/>
              <w:rPr>
                <w:rFonts w:ascii="Times New Roman" w:hAnsi="Times New Roman"/>
                <w:color w:val="000000"/>
                <w:sz w:val="22"/>
                <w:szCs w:val="22"/>
              </w:rPr>
            </w:pPr>
            <w:r w:rsidRPr="008B52EE">
              <w:rPr>
                <w:rFonts w:ascii="Times New Roman" w:hAnsi="Times New Roman"/>
                <w:color w:val="000000"/>
                <w:sz w:val="22"/>
                <w:szCs w:val="22"/>
              </w:rPr>
              <w:t>Individual Permits</w:t>
            </w:r>
          </w:p>
        </w:tc>
        <w:tc>
          <w:tcPr>
            <w:tcW w:w="1530" w:type="dxa"/>
            <w:noWrap/>
            <w:vAlign w:val="center"/>
            <w:hideMark/>
          </w:tcPr>
          <w:p w:rsidRPr="008B52EE" w:rsidR="0021392B" w:rsidP="0021392B" w:rsidRDefault="0021392B" w14:paraId="4C2DFD66" w14:textId="4DE0DCF9">
            <w:pPr>
              <w:widowControl/>
              <w:jc w:val="center"/>
              <w:rPr>
                <w:rFonts w:ascii="Times New Roman" w:hAnsi="Times New Roman"/>
                <w:color w:val="000000"/>
                <w:sz w:val="22"/>
                <w:szCs w:val="22"/>
              </w:rPr>
            </w:pPr>
            <w:r w:rsidRPr="0021392B">
              <w:rPr>
                <w:rFonts w:ascii="Times New Roman" w:hAnsi="Times New Roman"/>
                <w:color w:val="000000"/>
                <w:sz w:val="22"/>
                <w:szCs w:val="22"/>
              </w:rPr>
              <w:t>44,000</w:t>
            </w:r>
          </w:p>
        </w:tc>
        <w:tc>
          <w:tcPr>
            <w:tcW w:w="1530" w:type="dxa"/>
            <w:vAlign w:val="center"/>
          </w:tcPr>
          <w:p w:rsidRPr="0021392B" w:rsidR="0021392B" w:rsidP="0021392B" w:rsidRDefault="0021392B" w14:paraId="1B5F0407" w14:textId="3A4CB5DE">
            <w:pPr>
              <w:widowControl/>
              <w:jc w:val="center"/>
              <w:rPr>
                <w:rFonts w:ascii="Times New Roman" w:hAnsi="Times New Roman"/>
                <w:color w:val="000000"/>
                <w:sz w:val="22"/>
                <w:szCs w:val="22"/>
              </w:rPr>
            </w:pPr>
            <w:r w:rsidRPr="0021392B">
              <w:rPr>
                <w:rFonts w:ascii="Times New Roman" w:hAnsi="Times New Roman"/>
                <w:color w:val="000000"/>
                <w:sz w:val="22"/>
                <w:szCs w:val="22"/>
              </w:rPr>
              <w:t>68,000</w:t>
            </w:r>
          </w:p>
        </w:tc>
        <w:tc>
          <w:tcPr>
            <w:tcW w:w="1620" w:type="dxa"/>
            <w:noWrap/>
            <w:vAlign w:val="center"/>
            <w:hideMark/>
          </w:tcPr>
          <w:p w:rsidRPr="008B52EE" w:rsidR="0021392B" w:rsidP="0021392B" w:rsidRDefault="0021392B" w14:paraId="272A4F72" w14:textId="46F8C707">
            <w:pPr>
              <w:widowControl/>
              <w:jc w:val="center"/>
              <w:rPr>
                <w:rFonts w:ascii="Times New Roman" w:hAnsi="Times New Roman"/>
                <w:color w:val="000000"/>
                <w:sz w:val="22"/>
                <w:szCs w:val="22"/>
              </w:rPr>
            </w:pPr>
            <w:r w:rsidRPr="0021392B">
              <w:rPr>
                <w:rFonts w:ascii="Times New Roman" w:hAnsi="Times New Roman"/>
                <w:color w:val="000000"/>
                <w:sz w:val="22"/>
                <w:szCs w:val="22"/>
              </w:rPr>
              <w:t>92,000</w:t>
            </w:r>
          </w:p>
        </w:tc>
      </w:tr>
      <w:tr w:rsidRPr="008B52EE" w:rsidR="0021392B" w:rsidTr="0021392B" w14:paraId="4379E544" w14:textId="77777777">
        <w:trPr>
          <w:trHeight w:val="288"/>
          <w:jc w:val="center"/>
        </w:trPr>
        <w:tc>
          <w:tcPr>
            <w:tcW w:w="1885" w:type="dxa"/>
            <w:noWrap/>
            <w:hideMark/>
          </w:tcPr>
          <w:p w:rsidRPr="008B52EE" w:rsidR="0021392B" w:rsidP="0021392B" w:rsidRDefault="0021392B" w14:paraId="4FC579C8"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Total</w:t>
            </w:r>
          </w:p>
        </w:tc>
        <w:tc>
          <w:tcPr>
            <w:tcW w:w="1530" w:type="dxa"/>
            <w:noWrap/>
            <w:vAlign w:val="center"/>
            <w:hideMark/>
          </w:tcPr>
          <w:p w:rsidRPr="008B52EE" w:rsidR="0021392B" w:rsidP="0021392B" w:rsidRDefault="0021392B" w14:paraId="65DDD1E9" w14:textId="50F8435D">
            <w:pPr>
              <w:widowControl/>
              <w:jc w:val="center"/>
              <w:rPr>
                <w:rFonts w:ascii="Times New Roman" w:hAnsi="Times New Roman"/>
                <w:b/>
                <w:bCs/>
                <w:color w:val="000000"/>
                <w:sz w:val="22"/>
                <w:szCs w:val="22"/>
              </w:rPr>
            </w:pPr>
            <w:r w:rsidRPr="0021392B">
              <w:rPr>
                <w:rFonts w:ascii="Times New Roman" w:hAnsi="Times New Roman"/>
                <w:b/>
                <w:bCs/>
                <w:color w:val="000000"/>
                <w:sz w:val="22"/>
                <w:szCs w:val="22"/>
              </w:rPr>
              <w:t>63,000</w:t>
            </w:r>
          </w:p>
        </w:tc>
        <w:tc>
          <w:tcPr>
            <w:tcW w:w="1530" w:type="dxa"/>
            <w:vAlign w:val="center"/>
          </w:tcPr>
          <w:p w:rsidRPr="0021392B" w:rsidR="0021392B" w:rsidP="0021392B" w:rsidRDefault="0021392B" w14:paraId="09CAB2D6" w14:textId="4949F294">
            <w:pPr>
              <w:widowControl/>
              <w:jc w:val="center"/>
              <w:rPr>
                <w:rFonts w:ascii="Times New Roman" w:hAnsi="Times New Roman"/>
                <w:b/>
                <w:bCs/>
                <w:color w:val="000000"/>
                <w:sz w:val="22"/>
                <w:szCs w:val="22"/>
              </w:rPr>
            </w:pPr>
            <w:r w:rsidRPr="0021392B">
              <w:rPr>
                <w:rFonts w:ascii="Times New Roman" w:hAnsi="Times New Roman"/>
                <w:b/>
                <w:bCs/>
                <w:color w:val="000000"/>
                <w:sz w:val="22"/>
                <w:szCs w:val="22"/>
              </w:rPr>
              <w:t>97,000</w:t>
            </w:r>
          </w:p>
        </w:tc>
        <w:tc>
          <w:tcPr>
            <w:tcW w:w="1620" w:type="dxa"/>
            <w:noWrap/>
            <w:vAlign w:val="center"/>
            <w:hideMark/>
          </w:tcPr>
          <w:p w:rsidRPr="008B52EE" w:rsidR="0021392B" w:rsidP="0021392B" w:rsidRDefault="0021392B" w14:paraId="403B7164" w14:textId="69E05E46">
            <w:pPr>
              <w:widowControl/>
              <w:jc w:val="center"/>
              <w:rPr>
                <w:rFonts w:ascii="Times New Roman" w:hAnsi="Times New Roman"/>
                <w:b/>
                <w:bCs/>
                <w:color w:val="000000"/>
                <w:sz w:val="22"/>
                <w:szCs w:val="22"/>
              </w:rPr>
            </w:pPr>
            <w:r w:rsidRPr="0021392B">
              <w:rPr>
                <w:rFonts w:ascii="Times New Roman" w:hAnsi="Times New Roman"/>
                <w:b/>
                <w:bCs/>
                <w:color w:val="000000"/>
                <w:sz w:val="22"/>
                <w:szCs w:val="22"/>
              </w:rPr>
              <w:t>131,000</w:t>
            </w:r>
          </w:p>
        </w:tc>
      </w:tr>
    </w:tbl>
    <w:p w:rsidRPr="008B52EE" w:rsidR="007B563E" w:rsidP="0021392B" w:rsidRDefault="007B563E" w14:paraId="31073D93" w14:textId="3EAE2645"/>
    <w:p w:rsidR="007B563E" w:rsidP="007B563E" w:rsidRDefault="007B563E" w14:paraId="7DD2091D" w14:textId="28B50AFA">
      <w:pPr>
        <w:ind w:firstLine="720"/>
      </w:pPr>
      <w:r>
        <w:t>In the supporting statement from the first notice, t</w:t>
      </w:r>
      <w:r w:rsidRPr="008B52EE">
        <w:t>he EPA estimated the hourly burden for a certifying authority reviewing a certification request to be four (4) hours per certification request</w:t>
      </w:r>
      <w:r w:rsidR="00DA4B62">
        <w:t>.</w:t>
      </w:r>
      <w:r w:rsidRPr="008B52EE">
        <w:rPr>
          <w:vertAlign w:val="superscript"/>
        </w:rPr>
        <w:footnoteReference w:id="7"/>
      </w:r>
      <w:r>
        <w:t xml:space="preserve"> The questionnaire data suggests that some certifying authorities spend more than the estimated 4 hours per request used in the first notice, and a range for the per-request burden would be more appropriate. The EPA has estimated a low of four (4) hours and a high of 1</w:t>
      </w:r>
      <w:r w:rsidR="008E4680">
        <w:t>0</w:t>
      </w:r>
      <w:r>
        <w:t xml:space="preserve"> and 1</w:t>
      </w:r>
      <w:r w:rsidR="008E4680">
        <w:t>6</w:t>
      </w:r>
      <w:r>
        <w:t xml:space="preserve"> hours for certifying authorities to review </w:t>
      </w:r>
      <w:r w:rsidR="008E4680">
        <w:t xml:space="preserve">general and </w:t>
      </w:r>
      <w:r>
        <w:t>individual certification requests, respectively (</w:t>
      </w:r>
      <w:r w:rsidR="005D36E3">
        <w:fldChar w:fldCharType="begin"/>
      </w:r>
      <w:r w:rsidR="005D36E3">
        <w:instrText xml:space="preserve"> REF _Ref31977079 \h </w:instrText>
      </w:r>
      <w:r w:rsidR="005D36E3">
        <w:fldChar w:fldCharType="separate"/>
      </w:r>
      <w:r w:rsidR="005D36E3">
        <w:t xml:space="preserve">Table </w:t>
      </w:r>
      <w:r w:rsidR="005D36E3">
        <w:rPr>
          <w:noProof/>
        </w:rPr>
        <w:t>3</w:t>
      </w:r>
      <w:r w:rsidR="005D36E3">
        <w:fldChar w:fldCharType="end"/>
      </w:r>
      <w:r w:rsidR="002110EB">
        <w:fldChar w:fldCharType="begin"/>
      </w:r>
      <w:r w:rsidR="002110EB">
        <w:instrText xml:space="preserve"> REF _Ref31188852 \h </w:instrText>
      </w:r>
      <w:r w:rsidR="002110EB">
        <w:fldChar w:fldCharType="end"/>
      </w:r>
      <w:r>
        <w:t xml:space="preserve">). </w:t>
      </w:r>
    </w:p>
    <w:p w:rsidR="007B563E" w:rsidP="007B563E" w:rsidRDefault="007B563E" w14:paraId="7DB4A022" w14:textId="77777777">
      <w:pPr>
        <w:ind w:firstLine="720"/>
      </w:pPr>
    </w:p>
    <w:p w:rsidR="007B563E" w:rsidP="007B563E" w:rsidRDefault="007B563E" w14:paraId="15702945" w14:textId="2383DDE0">
      <w:pPr>
        <w:pStyle w:val="Caption"/>
        <w:jc w:val="center"/>
      </w:pPr>
      <w:bookmarkStart w:name="_Ref31977079" w:id="10"/>
      <w:bookmarkStart w:name="_Ref32476112" w:id="11"/>
      <w:r>
        <w:t xml:space="preserve">Table </w:t>
      </w:r>
      <w:r>
        <w:fldChar w:fldCharType="begin"/>
      </w:r>
      <w:r>
        <w:instrText>SEQ Table \* ARABIC</w:instrText>
      </w:r>
      <w:r>
        <w:fldChar w:fldCharType="separate"/>
      </w:r>
      <w:r w:rsidR="005D36E3">
        <w:rPr>
          <w:noProof/>
        </w:rPr>
        <w:t>3</w:t>
      </w:r>
      <w:r>
        <w:fldChar w:fldCharType="end"/>
      </w:r>
      <w:bookmarkEnd w:id="10"/>
      <w:r>
        <w:t>: Per-Certification Request Review Burden (Hours)</w:t>
      </w:r>
      <w:bookmarkEnd w:id="11"/>
    </w:p>
    <w:tbl>
      <w:tblPr>
        <w:tblW w:w="5590" w:type="dxa"/>
        <w:jc w:val="center"/>
        <w:tblLook w:val="04A0" w:firstRow="1" w:lastRow="0" w:firstColumn="1" w:lastColumn="0" w:noHBand="0" w:noVBand="1"/>
      </w:tblPr>
      <w:tblGrid>
        <w:gridCol w:w="1435"/>
        <w:gridCol w:w="1530"/>
        <w:gridCol w:w="1097"/>
        <w:gridCol w:w="1708"/>
      </w:tblGrid>
      <w:tr w:rsidRPr="00B32047" w:rsidR="007B563E" w:rsidTr="009F2E46" w14:paraId="73701EEB" w14:textId="77777777">
        <w:trPr>
          <w:trHeight w:val="288"/>
          <w:jc w:val="center"/>
        </w:trPr>
        <w:tc>
          <w:tcPr>
            <w:tcW w:w="1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56977" w:rsidR="007B563E" w:rsidP="009F2E46" w:rsidRDefault="007B563E" w14:paraId="0AEC0BB8" w14:textId="77777777">
            <w:pPr>
              <w:keepNext/>
              <w:widowControl/>
              <w:jc w:val="center"/>
              <w:rPr>
                <w:rFonts w:cstheme="minorBidi"/>
                <w:b/>
                <w:bCs/>
                <w:color w:val="000000"/>
                <w:sz w:val="22"/>
                <w:szCs w:val="22"/>
              </w:rPr>
            </w:pPr>
            <w:r w:rsidRPr="00756977">
              <w:rPr>
                <w:rFonts w:cstheme="minorBidi"/>
                <w:b/>
                <w:bCs/>
                <w:color w:val="000000"/>
                <w:sz w:val="22"/>
                <w:szCs w:val="22"/>
              </w:rPr>
              <w:t>Permit Type</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756977" w:rsidR="007B563E" w:rsidP="009F2E46" w:rsidRDefault="007B563E" w14:paraId="1C8A488B" w14:textId="77777777">
            <w:pPr>
              <w:widowControl/>
              <w:autoSpaceDE/>
              <w:autoSpaceDN/>
              <w:adjustRightInd/>
              <w:rPr>
                <w:rFonts w:cstheme="minorBidi"/>
                <w:b/>
                <w:bCs/>
                <w:color w:val="000000"/>
                <w:sz w:val="22"/>
                <w:szCs w:val="22"/>
              </w:rPr>
            </w:pPr>
            <w:r w:rsidRPr="00756977">
              <w:rPr>
                <w:rFonts w:cstheme="minorBidi"/>
                <w:b/>
                <w:bCs/>
                <w:color w:val="000000"/>
                <w:sz w:val="22"/>
                <w:szCs w:val="22"/>
              </w:rPr>
              <w:t>Low Estimate</w:t>
            </w:r>
          </w:p>
        </w:tc>
        <w:tc>
          <w:tcPr>
            <w:tcW w:w="917" w:type="dxa"/>
            <w:tcBorders>
              <w:top w:val="single" w:color="auto" w:sz="4" w:space="0"/>
              <w:left w:val="nil"/>
              <w:bottom w:val="single" w:color="auto" w:sz="4" w:space="0"/>
              <w:right w:val="single" w:color="auto" w:sz="4" w:space="0"/>
            </w:tcBorders>
            <w:shd w:val="clear" w:color="auto" w:fill="auto"/>
            <w:noWrap/>
            <w:vAlign w:val="bottom"/>
            <w:hideMark/>
          </w:tcPr>
          <w:p w:rsidRPr="00756977" w:rsidR="007B563E" w:rsidP="009F2E46" w:rsidRDefault="007B563E" w14:paraId="000DC6E7" w14:textId="77777777">
            <w:pPr>
              <w:widowControl/>
              <w:autoSpaceDE/>
              <w:autoSpaceDN/>
              <w:adjustRightInd/>
              <w:rPr>
                <w:rFonts w:cstheme="minorBidi"/>
                <w:b/>
                <w:bCs/>
                <w:color w:val="000000"/>
                <w:sz w:val="22"/>
                <w:szCs w:val="22"/>
              </w:rPr>
            </w:pPr>
            <w:r w:rsidRPr="00756977">
              <w:rPr>
                <w:rFonts w:cstheme="minorBidi"/>
                <w:b/>
                <w:bCs/>
                <w:color w:val="000000"/>
                <w:sz w:val="22"/>
                <w:szCs w:val="22"/>
              </w:rPr>
              <w:t>Midpoint</w:t>
            </w:r>
          </w:p>
        </w:tc>
        <w:tc>
          <w:tcPr>
            <w:tcW w:w="1708" w:type="dxa"/>
            <w:tcBorders>
              <w:top w:val="single" w:color="auto" w:sz="4" w:space="0"/>
              <w:left w:val="nil"/>
              <w:bottom w:val="single" w:color="auto" w:sz="4" w:space="0"/>
              <w:right w:val="single" w:color="auto" w:sz="4" w:space="0"/>
            </w:tcBorders>
            <w:shd w:val="clear" w:color="auto" w:fill="auto"/>
            <w:noWrap/>
            <w:vAlign w:val="bottom"/>
            <w:hideMark/>
          </w:tcPr>
          <w:p w:rsidRPr="00756977" w:rsidR="007B563E" w:rsidP="009F2E46" w:rsidRDefault="007B563E" w14:paraId="2B944D8F" w14:textId="77777777">
            <w:pPr>
              <w:widowControl/>
              <w:autoSpaceDE/>
              <w:autoSpaceDN/>
              <w:adjustRightInd/>
              <w:rPr>
                <w:rFonts w:cstheme="minorBidi"/>
                <w:b/>
                <w:bCs/>
                <w:color w:val="000000"/>
                <w:sz w:val="22"/>
                <w:szCs w:val="22"/>
              </w:rPr>
            </w:pPr>
            <w:r w:rsidRPr="00756977">
              <w:rPr>
                <w:rFonts w:cstheme="minorBidi"/>
                <w:b/>
                <w:bCs/>
                <w:color w:val="000000"/>
                <w:sz w:val="22"/>
                <w:szCs w:val="22"/>
              </w:rPr>
              <w:t>High Estimate</w:t>
            </w:r>
          </w:p>
        </w:tc>
      </w:tr>
      <w:tr w:rsidRPr="00B32047" w:rsidR="007B563E" w:rsidTr="009F2E46" w14:paraId="60F90333" w14:textId="77777777">
        <w:trPr>
          <w:trHeight w:val="288"/>
          <w:jc w:val="center"/>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756977" w:rsidR="007B563E" w:rsidP="009F2E46" w:rsidRDefault="007B563E" w14:paraId="2F5F1F26" w14:textId="77777777">
            <w:pPr>
              <w:keepNext/>
              <w:widowControl/>
              <w:jc w:val="center"/>
              <w:rPr>
                <w:rFonts w:cstheme="minorBidi"/>
                <w:color w:val="000000"/>
                <w:sz w:val="22"/>
                <w:szCs w:val="22"/>
              </w:rPr>
            </w:pPr>
            <w:r w:rsidRPr="00756977">
              <w:rPr>
                <w:rFonts w:cstheme="minorBidi"/>
                <w:color w:val="000000"/>
                <w:sz w:val="22"/>
                <w:szCs w:val="22"/>
              </w:rPr>
              <w:t>General</w:t>
            </w:r>
          </w:p>
        </w:tc>
        <w:tc>
          <w:tcPr>
            <w:tcW w:w="1530" w:type="dxa"/>
            <w:tcBorders>
              <w:top w:val="nil"/>
              <w:left w:val="nil"/>
              <w:bottom w:val="single" w:color="auto" w:sz="4" w:space="0"/>
              <w:right w:val="single" w:color="auto" w:sz="4" w:space="0"/>
            </w:tcBorders>
            <w:shd w:val="clear" w:color="auto" w:fill="auto"/>
            <w:noWrap/>
            <w:vAlign w:val="bottom"/>
            <w:hideMark/>
          </w:tcPr>
          <w:p w:rsidRPr="00756977" w:rsidR="007B563E" w:rsidP="009F2E46" w:rsidRDefault="007B563E" w14:paraId="6F3ABF5B" w14:textId="77777777">
            <w:pPr>
              <w:keepNext/>
              <w:widowControl/>
              <w:jc w:val="center"/>
              <w:rPr>
                <w:rFonts w:cstheme="minorBidi"/>
                <w:color w:val="000000"/>
                <w:sz w:val="22"/>
                <w:szCs w:val="22"/>
              </w:rPr>
            </w:pPr>
            <w:r w:rsidRPr="00756977">
              <w:rPr>
                <w:rFonts w:cstheme="minorBidi"/>
                <w:color w:val="000000"/>
                <w:sz w:val="22"/>
                <w:szCs w:val="22"/>
              </w:rPr>
              <w:t>4</w:t>
            </w:r>
          </w:p>
        </w:tc>
        <w:tc>
          <w:tcPr>
            <w:tcW w:w="917" w:type="dxa"/>
            <w:tcBorders>
              <w:top w:val="nil"/>
              <w:left w:val="nil"/>
              <w:bottom w:val="single" w:color="auto" w:sz="4" w:space="0"/>
              <w:right w:val="single" w:color="auto" w:sz="4" w:space="0"/>
            </w:tcBorders>
            <w:shd w:val="clear" w:color="auto" w:fill="auto"/>
            <w:noWrap/>
            <w:vAlign w:val="bottom"/>
            <w:hideMark/>
          </w:tcPr>
          <w:p w:rsidRPr="00756977" w:rsidR="007B563E" w:rsidP="009F2E46" w:rsidRDefault="007B563E" w14:paraId="3BCBFBFF" w14:textId="77777777">
            <w:pPr>
              <w:keepNext/>
              <w:widowControl/>
              <w:jc w:val="center"/>
              <w:rPr>
                <w:rFonts w:cstheme="minorBidi"/>
                <w:color w:val="000000"/>
                <w:sz w:val="22"/>
                <w:szCs w:val="22"/>
              </w:rPr>
            </w:pPr>
            <w:r>
              <w:rPr>
                <w:rFonts w:cstheme="minorBidi"/>
                <w:color w:val="000000"/>
                <w:sz w:val="22"/>
                <w:szCs w:val="22"/>
              </w:rPr>
              <w:t>7</w:t>
            </w:r>
          </w:p>
        </w:tc>
        <w:tc>
          <w:tcPr>
            <w:tcW w:w="1708" w:type="dxa"/>
            <w:tcBorders>
              <w:top w:val="nil"/>
              <w:left w:val="nil"/>
              <w:bottom w:val="single" w:color="auto" w:sz="4" w:space="0"/>
              <w:right w:val="single" w:color="auto" w:sz="4" w:space="0"/>
            </w:tcBorders>
            <w:shd w:val="clear" w:color="auto" w:fill="auto"/>
            <w:noWrap/>
            <w:vAlign w:val="bottom"/>
            <w:hideMark/>
          </w:tcPr>
          <w:p w:rsidRPr="00756977" w:rsidR="007B563E" w:rsidP="009F2E46" w:rsidRDefault="007B563E" w14:paraId="1B8F3BE2" w14:textId="77777777">
            <w:pPr>
              <w:keepNext/>
              <w:widowControl/>
              <w:jc w:val="center"/>
              <w:rPr>
                <w:rFonts w:cstheme="minorBidi"/>
                <w:color w:val="000000"/>
                <w:sz w:val="22"/>
                <w:szCs w:val="22"/>
              </w:rPr>
            </w:pPr>
            <w:r w:rsidRPr="00756977">
              <w:rPr>
                <w:rFonts w:cstheme="minorBidi"/>
                <w:color w:val="000000"/>
                <w:sz w:val="22"/>
                <w:szCs w:val="22"/>
              </w:rPr>
              <w:t>1</w:t>
            </w:r>
            <w:r>
              <w:rPr>
                <w:rFonts w:cstheme="minorBidi"/>
                <w:color w:val="000000"/>
                <w:sz w:val="22"/>
                <w:szCs w:val="22"/>
              </w:rPr>
              <w:t>0</w:t>
            </w:r>
          </w:p>
        </w:tc>
      </w:tr>
      <w:tr w:rsidRPr="00B32047" w:rsidR="007B563E" w:rsidTr="009F2E46" w14:paraId="5EE153BE" w14:textId="77777777">
        <w:trPr>
          <w:trHeight w:val="288"/>
          <w:jc w:val="center"/>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756977" w:rsidR="007B563E" w:rsidP="009F2E46" w:rsidRDefault="007B563E" w14:paraId="4BFC9AE9" w14:textId="77777777">
            <w:pPr>
              <w:keepNext/>
              <w:widowControl/>
              <w:jc w:val="center"/>
              <w:rPr>
                <w:rFonts w:cstheme="minorBidi"/>
                <w:color w:val="000000"/>
                <w:sz w:val="22"/>
                <w:szCs w:val="22"/>
              </w:rPr>
            </w:pPr>
            <w:r>
              <w:rPr>
                <w:rFonts w:cstheme="minorBidi"/>
                <w:color w:val="000000"/>
                <w:sz w:val="22"/>
                <w:szCs w:val="22"/>
              </w:rPr>
              <w:t>Individual</w:t>
            </w:r>
          </w:p>
        </w:tc>
        <w:tc>
          <w:tcPr>
            <w:tcW w:w="1530" w:type="dxa"/>
            <w:tcBorders>
              <w:top w:val="nil"/>
              <w:left w:val="nil"/>
              <w:bottom w:val="single" w:color="auto" w:sz="4" w:space="0"/>
              <w:right w:val="single" w:color="auto" w:sz="4" w:space="0"/>
            </w:tcBorders>
            <w:shd w:val="clear" w:color="auto" w:fill="auto"/>
            <w:noWrap/>
            <w:vAlign w:val="bottom"/>
            <w:hideMark/>
          </w:tcPr>
          <w:p w:rsidRPr="00756977" w:rsidR="007B563E" w:rsidP="009F2E46" w:rsidRDefault="007B563E" w14:paraId="34CFBF40" w14:textId="77777777">
            <w:pPr>
              <w:keepNext/>
              <w:widowControl/>
              <w:jc w:val="center"/>
              <w:rPr>
                <w:rFonts w:cstheme="minorBidi"/>
                <w:color w:val="000000"/>
                <w:sz w:val="22"/>
                <w:szCs w:val="22"/>
              </w:rPr>
            </w:pPr>
            <w:r w:rsidRPr="00756977">
              <w:rPr>
                <w:rFonts w:cstheme="minorBidi"/>
                <w:color w:val="000000"/>
                <w:sz w:val="22"/>
                <w:szCs w:val="22"/>
              </w:rPr>
              <w:t>4</w:t>
            </w:r>
          </w:p>
        </w:tc>
        <w:tc>
          <w:tcPr>
            <w:tcW w:w="917" w:type="dxa"/>
            <w:tcBorders>
              <w:top w:val="nil"/>
              <w:left w:val="nil"/>
              <w:bottom w:val="single" w:color="auto" w:sz="4" w:space="0"/>
              <w:right w:val="single" w:color="auto" w:sz="4" w:space="0"/>
            </w:tcBorders>
            <w:shd w:val="clear" w:color="auto" w:fill="auto"/>
            <w:noWrap/>
            <w:vAlign w:val="bottom"/>
            <w:hideMark/>
          </w:tcPr>
          <w:p w:rsidRPr="00756977" w:rsidR="007B563E" w:rsidP="009F2E46" w:rsidRDefault="007B563E" w14:paraId="20E8D597" w14:textId="77777777">
            <w:pPr>
              <w:keepNext/>
              <w:widowControl/>
              <w:jc w:val="center"/>
              <w:rPr>
                <w:rFonts w:cstheme="minorBidi"/>
                <w:color w:val="000000"/>
                <w:sz w:val="22"/>
                <w:szCs w:val="22"/>
              </w:rPr>
            </w:pPr>
            <w:r>
              <w:rPr>
                <w:rFonts w:cstheme="minorBidi"/>
                <w:color w:val="000000"/>
                <w:sz w:val="22"/>
                <w:szCs w:val="22"/>
              </w:rPr>
              <w:t>10</w:t>
            </w:r>
          </w:p>
        </w:tc>
        <w:tc>
          <w:tcPr>
            <w:tcW w:w="1708" w:type="dxa"/>
            <w:tcBorders>
              <w:top w:val="nil"/>
              <w:left w:val="nil"/>
              <w:bottom w:val="single" w:color="auto" w:sz="4" w:space="0"/>
              <w:right w:val="single" w:color="auto" w:sz="4" w:space="0"/>
            </w:tcBorders>
            <w:shd w:val="clear" w:color="auto" w:fill="auto"/>
            <w:noWrap/>
            <w:vAlign w:val="bottom"/>
            <w:hideMark/>
          </w:tcPr>
          <w:p w:rsidRPr="00756977" w:rsidR="007B563E" w:rsidP="009F2E46" w:rsidRDefault="007B563E" w14:paraId="1F56C571" w14:textId="77777777">
            <w:pPr>
              <w:keepNext/>
              <w:widowControl/>
              <w:jc w:val="center"/>
              <w:rPr>
                <w:rFonts w:cstheme="minorBidi"/>
                <w:color w:val="000000"/>
                <w:sz w:val="22"/>
                <w:szCs w:val="22"/>
              </w:rPr>
            </w:pPr>
            <w:r w:rsidRPr="00756977">
              <w:rPr>
                <w:rFonts w:cstheme="minorBidi"/>
                <w:color w:val="000000"/>
                <w:sz w:val="22"/>
                <w:szCs w:val="22"/>
              </w:rPr>
              <w:t>1</w:t>
            </w:r>
            <w:r>
              <w:rPr>
                <w:rFonts w:cstheme="minorBidi"/>
                <w:color w:val="000000"/>
                <w:sz w:val="22"/>
                <w:szCs w:val="22"/>
              </w:rPr>
              <w:t>6</w:t>
            </w:r>
          </w:p>
        </w:tc>
      </w:tr>
    </w:tbl>
    <w:p w:rsidR="007B563E" w:rsidP="007B563E" w:rsidRDefault="007B563E" w14:paraId="05569C1C" w14:textId="77777777">
      <w:pPr>
        <w:ind w:firstLine="720"/>
      </w:pPr>
    </w:p>
    <w:p w:rsidRPr="008B52EE" w:rsidR="007B563E" w:rsidP="007B563E" w:rsidRDefault="007B563E" w14:paraId="66AF89DA" w14:textId="4EED1D31">
      <w:pPr>
        <w:ind w:firstLine="720"/>
      </w:pPr>
      <w:r>
        <w:t xml:space="preserve">Using the midpoint estimates of seven (7) </w:t>
      </w:r>
      <w:r w:rsidR="000B4B4F">
        <w:t xml:space="preserve">and 10 </w:t>
      </w:r>
      <w:r>
        <w:t xml:space="preserve">hours per review for </w:t>
      </w:r>
      <w:r w:rsidR="000B4B4F">
        <w:t xml:space="preserve">general and </w:t>
      </w:r>
      <w:r>
        <w:t xml:space="preserve">individual requests, respectively, multiplied by the number of requests in </w:t>
      </w:r>
      <w:r w:rsidR="00266C54">
        <w:fldChar w:fldCharType="begin"/>
      </w:r>
      <w:r w:rsidR="00266C54">
        <w:instrText xml:space="preserve"> REF _Ref31897335 \h </w:instrText>
      </w:r>
      <w:r w:rsidR="00266C54">
        <w:fldChar w:fldCharType="separate"/>
      </w:r>
      <w:r w:rsidR="00BE09E0">
        <w:t xml:space="preserve">Table </w:t>
      </w:r>
      <w:r w:rsidR="00BE09E0">
        <w:rPr>
          <w:noProof/>
        </w:rPr>
        <w:t>2</w:t>
      </w:r>
      <w:r w:rsidR="00266C54">
        <w:fldChar w:fldCharType="end"/>
      </w:r>
      <w:r>
        <w:t>, t</w:t>
      </w:r>
      <w:r w:rsidRPr="008B52EE">
        <w:t xml:space="preserve">he average estimated burden associated with certification request review for certifying entities ranges from </w:t>
      </w:r>
      <w:r w:rsidR="0021392B">
        <w:t>441</w:t>
      </w:r>
      <w:r w:rsidRPr="008B52EE">
        <w:t xml:space="preserve">,000 to </w:t>
      </w:r>
      <w:r w:rsidR="0021392B">
        <w:t>917</w:t>
      </w:r>
      <w:r w:rsidRPr="008B52EE">
        <w:t xml:space="preserve">,000 hours per year, with a midpoint of </w:t>
      </w:r>
      <w:r w:rsidR="0021392B">
        <w:t>679</w:t>
      </w:r>
      <w:r w:rsidRPr="008B52EE">
        <w:t>,000 hours per year.</w:t>
      </w:r>
    </w:p>
    <w:p w:rsidRPr="008B52EE" w:rsidR="007B563E" w:rsidP="007B563E" w:rsidRDefault="007B563E" w14:paraId="77486C6C" w14:textId="77777777">
      <w:pPr>
        <w:pStyle w:val="Caption"/>
        <w:jc w:val="center"/>
      </w:pPr>
    </w:p>
    <w:p w:rsidR="007B563E" w:rsidP="007B563E" w:rsidRDefault="007B563E" w14:paraId="30747195" w14:textId="09091A46">
      <w:pPr>
        <w:pStyle w:val="Caption"/>
        <w:jc w:val="center"/>
      </w:pPr>
      <w:bookmarkStart w:name="_Ref31977430" w:id="12"/>
      <w:r w:rsidRPr="008B52EE">
        <w:t xml:space="preserve">Table </w:t>
      </w:r>
      <w:r>
        <w:fldChar w:fldCharType="begin"/>
      </w:r>
      <w:r>
        <w:instrText>SEQ Table \* ARABIC</w:instrText>
      </w:r>
      <w:r>
        <w:fldChar w:fldCharType="separate"/>
      </w:r>
      <w:r w:rsidR="00BE09E0">
        <w:rPr>
          <w:noProof/>
        </w:rPr>
        <w:t>4</w:t>
      </w:r>
      <w:r>
        <w:fldChar w:fldCharType="end"/>
      </w:r>
      <w:bookmarkEnd w:id="12"/>
      <w:r w:rsidRPr="008B52EE">
        <w:t xml:space="preserve">: </w:t>
      </w:r>
      <w:r w:rsidRPr="00372A62">
        <w:t>Estimated Certifying Authority Annual Hour Burden</w:t>
      </w:r>
    </w:p>
    <w:tbl>
      <w:tblPr>
        <w:tblW w:w="6200" w:type="dxa"/>
        <w:jc w:val="center"/>
        <w:tblLayout w:type="fixed"/>
        <w:tblLook w:val="04A0" w:firstRow="1" w:lastRow="0" w:firstColumn="1" w:lastColumn="0" w:noHBand="0" w:noVBand="1"/>
      </w:tblPr>
      <w:tblGrid>
        <w:gridCol w:w="1880"/>
        <w:gridCol w:w="1530"/>
        <w:gridCol w:w="1170"/>
        <w:gridCol w:w="1620"/>
      </w:tblGrid>
      <w:tr w:rsidRPr="004C5FF5" w:rsidR="007B563E" w:rsidTr="009F2E46" w14:paraId="658ED142" w14:textId="77777777">
        <w:trPr>
          <w:trHeight w:val="564"/>
          <w:jc w:val="center"/>
        </w:trPr>
        <w:tc>
          <w:tcPr>
            <w:tcW w:w="18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4C5FF5" w:rsidR="007B563E" w:rsidP="009F2E46" w:rsidRDefault="007B563E" w14:paraId="7E362ED3" w14:textId="77777777">
            <w:pPr>
              <w:widowControl/>
              <w:autoSpaceDE/>
              <w:autoSpaceDN/>
              <w:adjustRightInd/>
              <w:jc w:val="center"/>
              <w:rPr>
                <w:b/>
                <w:bCs/>
                <w:color w:val="000000"/>
                <w:sz w:val="22"/>
                <w:szCs w:val="22"/>
              </w:rPr>
            </w:pPr>
            <w:r w:rsidRPr="004C5FF5">
              <w:rPr>
                <w:b/>
                <w:bCs/>
                <w:color w:val="000000"/>
                <w:sz w:val="22"/>
                <w:szCs w:val="22"/>
              </w:rPr>
              <w:t>Permit Type</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4C5FF5" w:rsidR="007B563E" w:rsidP="009F2E46" w:rsidRDefault="007B563E" w14:paraId="7FAF62B6" w14:textId="77777777">
            <w:pPr>
              <w:widowControl/>
              <w:autoSpaceDE/>
              <w:autoSpaceDN/>
              <w:adjustRightInd/>
              <w:jc w:val="center"/>
              <w:rPr>
                <w:b/>
                <w:bCs/>
                <w:color w:val="000000"/>
                <w:sz w:val="22"/>
                <w:szCs w:val="22"/>
              </w:rPr>
            </w:pPr>
            <w:r w:rsidRPr="004C5FF5">
              <w:rPr>
                <w:b/>
                <w:bCs/>
                <w:color w:val="000000"/>
                <w:sz w:val="22"/>
                <w:szCs w:val="22"/>
              </w:rPr>
              <w:t>Low Estimate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4C5FF5" w:rsidR="007B563E" w:rsidP="009F2E46" w:rsidRDefault="007B563E" w14:paraId="066AEF4F" w14:textId="77777777">
            <w:pPr>
              <w:widowControl/>
              <w:autoSpaceDE/>
              <w:autoSpaceDN/>
              <w:adjustRightInd/>
              <w:jc w:val="center"/>
              <w:rPr>
                <w:b/>
                <w:bCs/>
                <w:color w:val="000000"/>
                <w:sz w:val="22"/>
                <w:szCs w:val="22"/>
              </w:rPr>
            </w:pPr>
            <w:r w:rsidRPr="004C5FF5">
              <w:rPr>
                <w:b/>
                <w:bCs/>
                <w:color w:val="000000"/>
                <w:sz w:val="22"/>
                <w:szCs w:val="22"/>
              </w:rPr>
              <w:t>Midpoint</w:t>
            </w:r>
          </w:p>
        </w:tc>
        <w:tc>
          <w:tcPr>
            <w:tcW w:w="1620" w:type="dxa"/>
            <w:tcBorders>
              <w:top w:val="single" w:color="auto" w:sz="8" w:space="0"/>
              <w:left w:val="nil"/>
              <w:bottom w:val="single" w:color="auto" w:sz="8" w:space="0"/>
              <w:right w:val="single" w:color="auto" w:sz="8" w:space="0"/>
            </w:tcBorders>
            <w:shd w:val="clear" w:color="auto" w:fill="auto"/>
            <w:noWrap/>
            <w:vAlign w:val="center"/>
            <w:hideMark/>
          </w:tcPr>
          <w:p w:rsidRPr="004C5FF5" w:rsidR="007B563E" w:rsidP="009F2E46" w:rsidRDefault="007B563E" w14:paraId="4F6B61AC" w14:textId="77777777">
            <w:pPr>
              <w:widowControl/>
              <w:autoSpaceDE/>
              <w:autoSpaceDN/>
              <w:adjustRightInd/>
              <w:jc w:val="center"/>
              <w:rPr>
                <w:b/>
                <w:bCs/>
                <w:color w:val="000000"/>
                <w:sz w:val="22"/>
                <w:szCs w:val="22"/>
              </w:rPr>
            </w:pPr>
            <w:r w:rsidRPr="004C5FF5">
              <w:rPr>
                <w:b/>
                <w:bCs/>
                <w:color w:val="000000"/>
                <w:sz w:val="22"/>
                <w:szCs w:val="22"/>
              </w:rPr>
              <w:t>High Estimate</w:t>
            </w:r>
          </w:p>
        </w:tc>
      </w:tr>
      <w:tr w:rsidRPr="004C5FF5" w:rsidR="0021392B" w:rsidTr="009F2E46" w14:paraId="46449AC7" w14:textId="77777777">
        <w:trPr>
          <w:trHeight w:val="300"/>
          <w:jc w:val="center"/>
        </w:trPr>
        <w:tc>
          <w:tcPr>
            <w:tcW w:w="1880" w:type="dxa"/>
            <w:tcBorders>
              <w:top w:val="nil"/>
              <w:left w:val="single" w:color="auto" w:sz="8" w:space="0"/>
              <w:bottom w:val="single" w:color="auto" w:sz="8" w:space="0"/>
              <w:right w:val="single" w:color="auto" w:sz="8" w:space="0"/>
            </w:tcBorders>
            <w:shd w:val="clear" w:color="auto" w:fill="auto"/>
            <w:noWrap/>
            <w:vAlign w:val="center"/>
            <w:hideMark/>
          </w:tcPr>
          <w:p w:rsidRPr="004C5FF5" w:rsidR="0021392B" w:rsidP="0021392B" w:rsidRDefault="0021392B" w14:paraId="32FEBFA6" w14:textId="77777777">
            <w:pPr>
              <w:widowControl/>
              <w:autoSpaceDE/>
              <w:autoSpaceDN/>
              <w:adjustRightInd/>
              <w:jc w:val="center"/>
              <w:rPr>
                <w:color w:val="000000"/>
                <w:sz w:val="22"/>
                <w:szCs w:val="22"/>
              </w:rPr>
            </w:pPr>
            <w:r w:rsidRPr="004C5FF5">
              <w:rPr>
                <w:color w:val="000000"/>
                <w:sz w:val="22"/>
                <w:szCs w:val="22"/>
              </w:rPr>
              <w:t>General Permits</w:t>
            </w:r>
          </w:p>
        </w:tc>
        <w:tc>
          <w:tcPr>
            <w:tcW w:w="1530" w:type="dxa"/>
            <w:tcBorders>
              <w:top w:val="nil"/>
              <w:left w:val="nil"/>
              <w:bottom w:val="single" w:color="auto" w:sz="8" w:space="0"/>
              <w:right w:val="single" w:color="auto" w:sz="8" w:space="0"/>
            </w:tcBorders>
            <w:shd w:val="clear" w:color="auto" w:fill="auto"/>
            <w:noWrap/>
            <w:vAlign w:val="center"/>
            <w:hideMark/>
          </w:tcPr>
          <w:p w:rsidRPr="004C5FF5" w:rsidR="0021392B" w:rsidP="0021392B" w:rsidRDefault="0021392B" w14:paraId="720B01A4" w14:textId="40745853">
            <w:pPr>
              <w:widowControl/>
              <w:autoSpaceDE/>
              <w:autoSpaceDN/>
              <w:adjustRightInd/>
              <w:jc w:val="center"/>
              <w:rPr>
                <w:color w:val="000000"/>
                <w:sz w:val="22"/>
                <w:szCs w:val="22"/>
              </w:rPr>
            </w:pPr>
            <w:r>
              <w:rPr>
                <w:color w:val="000000"/>
                <w:sz w:val="22"/>
                <w:szCs w:val="22"/>
              </w:rPr>
              <w:t>133,000</w:t>
            </w:r>
          </w:p>
        </w:tc>
        <w:tc>
          <w:tcPr>
            <w:tcW w:w="1170" w:type="dxa"/>
            <w:tcBorders>
              <w:top w:val="nil"/>
              <w:left w:val="nil"/>
              <w:bottom w:val="single" w:color="auto" w:sz="8" w:space="0"/>
              <w:right w:val="single" w:color="auto" w:sz="8" w:space="0"/>
            </w:tcBorders>
            <w:shd w:val="clear" w:color="auto" w:fill="auto"/>
            <w:noWrap/>
            <w:vAlign w:val="center"/>
            <w:hideMark/>
          </w:tcPr>
          <w:p w:rsidRPr="004C5FF5" w:rsidR="0021392B" w:rsidP="0021392B" w:rsidRDefault="0021392B" w14:paraId="2B4AF594" w14:textId="18556EFD">
            <w:pPr>
              <w:widowControl/>
              <w:autoSpaceDE/>
              <w:autoSpaceDN/>
              <w:adjustRightInd/>
              <w:jc w:val="center"/>
              <w:rPr>
                <w:color w:val="000000"/>
                <w:sz w:val="22"/>
                <w:szCs w:val="22"/>
              </w:rPr>
            </w:pPr>
            <w:r>
              <w:rPr>
                <w:color w:val="000000"/>
                <w:sz w:val="22"/>
                <w:szCs w:val="22"/>
              </w:rPr>
              <w:t>203,000</w:t>
            </w:r>
          </w:p>
        </w:tc>
        <w:tc>
          <w:tcPr>
            <w:tcW w:w="1620" w:type="dxa"/>
            <w:tcBorders>
              <w:top w:val="nil"/>
              <w:left w:val="nil"/>
              <w:bottom w:val="single" w:color="auto" w:sz="8" w:space="0"/>
              <w:right w:val="single" w:color="auto" w:sz="8" w:space="0"/>
            </w:tcBorders>
            <w:shd w:val="clear" w:color="auto" w:fill="auto"/>
            <w:noWrap/>
            <w:vAlign w:val="center"/>
            <w:hideMark/>
          </w:tcPr>
          <w:p w:rsidRPr="004C5FF5" w:rsidR="0021392B" w:rsidP="0021392B" w:rsidRDefault="0021392B" w14:paraId="75BBF220" w14:textId="71B589FE">
            <w:pPr>
              <w:widowControl/>
              <w:autoSpaceDE/>
              <w:autoSpaceDN/>
              <w:adjustRightInd/>
              <w:jc w:val="center"/>
              <w:rPr>
                <w:color w:val="000000"/>
                <w:sz w:val="22"/>
                <w:szCs w:val="22"/>
              </w:rPr>
            </w:pPr>
            <w:r>
              <w:rPr>
                <w:color w:val="000000"/>
                <w:sz w:val="22"/>
                <w:szCs w:val="22"/>
              </w:rPr>
              <w:t>273,000</w:t>
            </w:r>
          </w:p>
        </w:tc>
      </w:tr>
      <w:tr w:rsidRPr="004C5FF5" w:rsidR="0021392B" w:rsidTr="009F2E46" w14:paraId="3FA54FC9" w14:textId="77777777">
        <w:trPr>
          <w:trHeight w:val="300"/>
          <w:jc w:val="center"/>
        </w:trPr>
        <w:tc>
          <w:tcPr>
            <w:tcW w:w="1880" w:type="dxa"/>
            <w:tcBorders>
              <w:top w:val="nil"/>
              <w:left w:val="single" w:color="auto" w:sz="8" w:space="0"/>
              <w:bottom w:val="single" w:color="auto" w:sz="8" w:space="0"/>
              <w:right w:val="single" w:color="auto" w:sz="8" w:space="0"/>
            </w:tcBorders>
            <w:shd w:val="clear" w:color="auto" w:fill="auto"/>
            <w:noWrap/>
            <w:vAlign w:val="center"/>
            <w:hideMark/>
          </w:tcPr>
          <w:p w:rsidRPr="004C5FF5" w:rsidR="0021392B" w:rsidP="0021392B" w:rsidRDefault="0021392B" w14:paraId="50F2A686" w14:textId="77777777">
            <w:pPr>
              <w:widowControl/>
              <w:autoSpaceDE/>
              <w:autoSpaceDN/>
              <w:adjustRightInd/>
              <w:jc w:val="center"/>
              <w:rPr>
                <w:color w:val="000000"/>
                <w:sz w:val="22"/>
                <w:szCs w:val="22"/>
              </w:rPr>
            </w:pPr>
            <w:r w:rsidRPr="004C5FF5">
              <w:rPr>
                <w:color w:val="000000"/>
                <w:sz w:val="22"/>
                <w:szCs w:val="22"/>
              </w:rPr>
              <w:t>Individual Permits</w:t>
            </w:r>
          </w:p>
        </w:tc>
        <w:tc>
          <w:tcPr>
            <w:tcW w:w="1530" w:type="dxa"/>
            <w:tcBorders>
              <w:top w:val="nil"/>
              <w:left w:val="nil"/>
              <w:bottom w:val="single" w:color="auto" w:sz="8" w:space="0"/>
              <w:right w:val="single" w:color="auto" w:sz="8" w:space="0"/>
            </w:tcBorders>
            <w:shd w:val="clear" w:color="auto" w:fill="auto"/>
            <w:noWrap/>
            <w:vAlign w:val="center"/>
            <w:hideMark/>
          </w:tcPr>
          <w:p w:rsidRPr="004C5FF5" w:rsidR="0021392B" w:rsidP="0021392B" w:rsidRDefault="0021392B" w14:paraId="07EB418B" w14:textId="5C7BBE3F">
            <w:pPr>
              <w:widowControl/>
              <w:autoSpaceDE/>
              <w:autoSpaceDN/>
              <w:adjustRightInd/>
              <w:jc w:val="center"/>
              <w:rPr>
                <w:color w:val="000000"/>
                <w:sz w:val="22"/>
                <w:szCs w:val="22"/>
              </w:rPr>
            </w:pPr>
            <w:r>
              <w:rPr>
                <w:color w:val="000000"/>
                <w:sz w:val="22"/>
                <w:szCs w:val="22"/>
              </w:rPr>
              <w:t>308,000</w:t>
            </w:r>
          </w:p>
        </w:tc>
        <w:tc>
          <w:tcPr>
            <w:tcW w:w="1170" w:type="dxa"/>
            <w:tcBorders>
              <w:top w:val="nil"/>
              <w:left w:val="nil"/>
              <w:bottom w:val="single" w:color="auto" w:sz="8" w:space="0"/>
              <w:right w:val="single" w:color="auto" w:sz="8" w:space="0"/>
            </w:tcBorders>
            <w:shd w:val="clear" w:color="auto" w:fill="auto"/>
            <w:noWrap/>
            <w:vAlign w:val="center"/>
            <w:hideMark/>
          </w:tcPr>
          <w:p w:rsidRPr="004C5FF5" w:rsidR="0021392B" w:rsidP="0021392B" w:rsidRDefault="0021392B" w14:paraId="673E2352" w14:textId="123E6329">
            <w:pPr>
              <w:widowControl/>
              <w:autoSpaceDE/>
              <w:autoSpaceDN/>
              <w:adjustRightInd/>
              <w:jc w:val="center"/>
              <w:rPr>
                <w:color w:val="000000"/>
                <w:sz w:val="22"/>
                <w:szCs w:val="22"/>
              </w:rPr>
            </w:pPr>
            <w:r>
              <w:rPr>
                <w:color w:val="000000"/>
                <w:sz w:val="22"/>
                <w:szCs w:val="22"/>
              </w:rPr>
              <w:t>476,000</w:t>
            </w:r>
          </w:p>
        </w:tc>
        <w:tc>
          <w:tcPr>
            <w:tcW w:w="1620" w:type="dxa"/>
            <w:tcBorders>
              <w:top w:val="nil"/>
              <w:left w:val="nil"/>
              <w:bottom w:val="single" w:color="auto" w:sz="8" w:space="0"/>
              <w:right w:val="single" w:color="auto" w:sz="8" w:space="0"/>
            </w:tcBorders>
            <w:shd w:val="clear" w:color="auto" w:fill="auto"/>
            <w:noWrap/>
            <w:vAlign w:val="center"/>
            <w:hideMark/>
          </w:tcPr>
          <w:p w:rsidRPr="004C5FF5" w:rsidR="0021392B" w:rsidP="0021392B" w:rsidRDefault="0021392B" w14:paraId="55DDF8F9" w14:textId="7E6EE16D">
            <w:pPr>
              <w:widowControl/>
              <w:autoSpaceDE/>
              <w:autoSpaceDN/>
              <w:adjustRightInd/>
              <w:jc w:val="center"/>
              <w:rPr>
                <w:color w:val="000000"/>
                <w:sz w:val="22"/>
                <w:szCs w:val="22"/>
              </w:rPr>
            </w:pPr>
            <w:r>
              <w:rPr>
                <w:color w:val="000000"/>
                <w:sz w:val="22"/>
                <w:szCs w:val="22"/>
              </w:rPr>
              <w:t>644,000</w:t>
            </w:r>
          </w:p>
        </w:tc>
      </w:tr>
      <w:tr w:rsidRPr="004C5FF5" w:rsidR="0021392B" w:rsidTr="009F2E46" w14:paraId="69993085" w14:textId="77777777">
        <w:trPr>
          <w:trHeight w:val="300"/>
          <w:jc w:val="center"/>
        </w:trPr>
        <w:tc>
          <w:tcPr>
            <w:tcW w:w="1880" w:type="dxa"/>
            <w:tcBorders>
              <w:top w:val="nil"/>
              <w:left w:val="single" w:color="auto" w:sz="8" w:space="0"/>
              <w:bottom w:val="single" w:color="auto" w:sz="8" w:space="0"/>
              <w:right w:val="single" w:color="auto" w:sz="8" w:space="0"/>
            </w:tcBorders>
            <w:shd w:val="clear" w:color="auto" w:fill="auto"/>
            <w:noWrap/>
            <w:vAlign w:val="center"/>
            <w:hideMark/>
          </w:tcPr>
          <w:p w:rsidRPr="004C5FF5" w:rsidR="0021392B" w:rsidP="0021392B" w:rsidRDefault="0021392B" w14:paraId="43F29801" w14:textId="77777777">
            <w:pPr>
              <w:widowControl/>
              <w:autoSpaceDE/>
              <w:autoSpaceDN/>
              <w:adjustRightInd/>
              <w:jc w:val="center"/>
              <w:rPr>
                <w:b/>
                <w:bCs/>
                <w:color w:val="000000"/>
                <w:sz w:val="22"/>
                <w:szCs w:val="22"/>
              </w:rPr>
            </w:pPr>
            <w:r w:rsidRPr="004C5FF5">
              <w:rPr>
                <w:b/>
                <w:bCs/>
                <w:color w:val="000000"/>
                <w:sz w:val="22"/>
                <w:szCs w:val="22"/>
              </w:rPr>
              <w:t>Total</w:t>
            </w:r>
          </w:p>
        </w:tc>
        <w:tc>
          <w:tcPr>
            <w:tcW w:w="1530" w:type="dxa"/>
            <w:tcBorders>
              <w:top w:val="nil"/>
              <w:left w:val="nil"/>
              <w:bottom w:val="single" w:color="auto" w:sz="8" w:space="0"/>
              <w:right w:val="single" w:color="auto" w:sz="8" w:space="0"/>
            </w:tcBorders>
            <w:shd w:val="clear" w:color="auto" w:fill="auto"/>
            <w:noWrap/>
            <w:vAlign w:val="center"/>
            <w:hideMark/>
          </w:tcPr>
          <w:p w:rsidRPr="004C5FF5" w:rsidR="0021392B" w:rsidP="0021392B" w:rsidRDefault="0021392B" w14:paraId="4CBE2ADD" w14:textId="5A80E144">
            <w:pPr>
              <w:widowControl/>
              <w:autoSpaceDE/>
              <w:autoSpaceDN/>
              <w:adjustRightInd/>
              <w:jc w:val="center"/>
              <w:rPr>
                <w:b/>
                <w:bCs/>
                <w:color w:val="000000"/>
                <w:sz w:val="22"/>
                <w:szCs w:val="22"/>
              </w:rPr>
            </w:pPr>
            <w:r>
              <w:rPr>
                <w:b/>
                <w:bCs/>
                <w:color w:val="000000"/>
                <w:sz w:val="22"/>
                <w:szCs w:val="22"/>
              </w:rPr>
              <w:t>441,000</w:t>
            </w:r>
          </w:p>
        </w:tc>
        <w:tc>
          <w:tcPr>
            <w:tcW w:w="1170" w:type="dxa"/>
            <w:tcBorders>
              <w:top w:val="nil"/>
              <w:left w:val="nil"/>
              <w:bottom w:val="single" w:color="auto" w:sz="8" w:space="0"/>
              <w:right w:val="single" w:color="auto" w:sz="8" w:space="0"/>
            </w:tcBorders>
            <w:shd w:val="clear" w:color="auto" w:fill="auto"/>
            <w:noWrap/>
            <w:vAlign w:val="center"/>
            <w:hideMark/>
          </w:tcPr>
          <w:p w:rsidRPr="004C5FF5" w:rsidR="0021392B" w:rsidP="0021392B" w:rsidRDefault="0021392B" w14:paraId="367F4B95" w14:textId="65F38551">
            <w:pPr>
              <w:widowControl/>
              <w:autoSpaceDE/>
              <w:autoSpaceDN/>
              <w:adjustRightInd/>
              <w:jc w:val="center"/>
              <w:rPr>
                <w:b/>
                <w:bCs/>
                <w:color w:val="000000"/>
                <w:sz w:val="22"/>
                <w:szCs w:val="22"/>
              </w:rPr>
            </w:pPr>
            <w:r>
              <w:rPr>
                <w:b/>
                <w:bCs/>
                <w:color w:val="000000"/>
                <w:sz w:val="22"/>
                <w:szCs w:val="22"/>
              </w:rPr>
              <w:t>679,000</w:t>
            </w:r>
          </w:p>
        </w:tc>
        <w:tc>
          <w:tcPr>
            <w:tcW w:w="1620" w:type="dxa"/>
            <w:tcBorders>
              <w:top w:val="nil"/>
              <w:left w:val="nil"/>
              <w:bottom w:val="single" w:color="auto" w:sz="8" w:space="0"/>
              <w:right w:val="single" w:color="auto" w:sz="8" w:space="0"/>
            </w:tcBorders>
            <w:shd w:val="clear" w:color="auto" w:fill="auto"/>
            <w:noWrap/>
            <w:vAlign w:val="center"/>
            <w:hideMark/>
          </w:tcPr>
          <w:p w:rsidRPr="004C5FF5" w:rsidR="0021392B" w:rsidP="0021392B" w:rsidRDefault="0021392B" w14:paraId="4C83712A" w14:textId="54BEE9B7">
            <w:pPr>
              <w:widowControl/>
              <w:autoSpaceDE/>
              <w:autoSpaceDN/>
              <w:adjustRightInd/>
              <w:jc w:val="center"/>
              <w:rPr>
                <w:b/>
                <w:bCs/>
                <w:color w:val="000000"/>
                <w:sz w:val="22"/>
                <w:szCs w:val="22"/>
              </w:rPr>
            </w:pPr>
            <w:r>
              <w:rPr>
                <w:b/>
                <w:bCs/>
                <w:color w:val="000000"/>
                <w:sz w:val="22"/>
                <w:szCs w:val="22"/>
              </w:rPr>
              <w:t>917,000</w:t>
            </w:r>
          </w:p>
        </w:tc>
      </w:tr>
    </w:tbl>
    <w:p w:rsidRPr="008B52EE" w:rsidR="007B563E" w:rsidP="007B563E" w:rsidRDefault="007B563E" w14:paraId="34E75D79" w14:textId="77777777"/>
    <w:p w:rsidR="007B563E" w:rsidP="007B563E" w:rsidRDefault="007B563E" w14:paraId="2AF9A7CD" w14:textId="77777777">
      <w:pPr>
        <w:tabs>
          <w:tab w:val="left" w:pos="-1440"/>
        </w:tabs>
      </w:pPr>
      <w:r w:rsidRPr="008B52EE">
        <w:tab/>
        <w:t xml:space="preserve">Not all certification </w:t>
      </w:r>
      <w:r>
        <w:t xml:space="preserve">request </w:t>
      </w:r>
      <w:r w:rsidRPr="008B52EE">
        <w:t xml:space="preserve">reviews necessitate the same associated burden. The certifications for small projects can be reviewed by the certifying authority with relatively little </w:t>
      </w:r>
      <w:r w:rsidRPr="008B52EE">
        <w:lastRenderedPageBreak/>
        <w:t xml:space="preserve">associated burden. The certifications for larger, more complex projects may require significantly more associated burden to review. Certifying authorities may also choose to waive certification for a project. Waivers may or may not involve review by the certifying authority and are often issued without incurring any measurable associated burden. </w:t>
      </w:r>
    </w:p>
    <w:p w:rsidR="007B563E" w:rsidP="007B563E" w:rsidRDefault="007B563E" w14:paraId="46A729D5" w14:textId="77777777">
      <w:pPr>
        <w:tabs>
          <w:tab w:val="left" w:pos="-1440"/>
        </w:tabs>
      </w:pPr>
    </w:p>
    <w:p w:rsidR="007B563E" w:rsidP="007B563E" w:rsidRDefault="007B563E" w14:paraId="15FC995D" w14:textId="70EF7773">
      <w:pPr>
        <w:tabs>
          <w:tab w:val="left" w:pos="-1440"/>
        </w:tabs>
      </w:pPr>
      <w:r w:rsidRPr="008B52EE">
        <w:t>The regulations include no specific recordkeeping requirements for certifying authorities.</w:t>
      </w:r>
    </w:p>
    <w:p w:rsidRPr="008B52EE" w:rsidR="00510DCF" w:rsidP="007B563E" w:rsidRDefault="00510DCF" w14:paraId="2DC65DCE" w14:textId="77777777">
      <w:pPr>
        <w:tabs>
          <w:tab w:val="left" w:pos="-1440"/>
        </w:tabs>
      </w:pPr>
    </w:p>
    <w:p w:rsidRPr="008B52EE" w:rsidR="0028321E" w:rsidP="00510DCF" w:rsidRDefault="0028321E" w14:paraId="3BB4FC7A" w14:textId="2E097863">
      <w:pPr>
        <w:pStyle w:val="Heading3"/>
        <w:numPr>
          <w:ilvl w:val="0"/>
          <w:numId w:val="14"/>
        </w:numPr>
      </w:pPr>
      <w:r w:rsidRPr="008B52EE">
        <w:t>Project Proponents</w:t>
      </w:r>
      <w:bookmarkEnd w:id="6"/>
    </w:p>
    <w:p w:rsidRPr="00510DCF" w:rsidR="00510DCF" w:rsidP="00510DCF" w:rsidRDefault="00510DCF" w14:paraId="3C5C2B8E" w14:textId="77777777"/>
    <w:p w:rsidRPr="008B52EE" w:rsidR="00974BA5" w:rsidP="00266C54" w:rsidRDefault="00397232" w14:paraId="62EF103D" w14:textId="04F229B2">
      <w:pPr>
        <w:ind w:firstLine="720"/>
      </w:pPr>
      <w:r>
        <w:t>I</w:t>
      </w:r>
      <w:r w:rsidR="00EC1358">
        <w:t xml:space="preserve">n the </w:t>
      </w:r>
      <w:r w:rsidR="005D36A4">
        <w:t xml:space="preserve">supporting statement from the </w:t>
      </w:r>
      <w:r w:rsidR="00BE203F">
        <w:t xml:space="preserve">first notice </w:t>
      </w:r>
      <w:r w:rsidDel="00807DA7" w:rsidR="00BE203F">
        <w:t xml:space="preserve">the EPA </w:t>
      </w:r>
      <w:r w:rsidR="00BE203F">
        <w:t>estimated</w:t>
      </w:r>
      <w:r>
        <w:t xml:space="preserve">, </w:t>
      </w:r>
      <w:r w:rsidRPr="008B52EE" w:rsidR="00974BA5">
        <w:t xml:space="preserve">based on </w:t>
      </w:r>
      <w:r>
        <w:t xml:space="preserve">the </w:t>
      </w:r>
      <w:r w:rsidRPr="008B52EE" w:rsidR="00974BA5">
        <w:t xml:space="preserve">data from </w:t>
      </w:r>
      <w:r w:rsidR="00510DCF">
        <w:fldChar w:fldCharType="begin"/>
      </w:r>
      <w:r w:rsidR="00510DCF">
        <w:instrText xml:space="preserve"> REF _Ref31894193 \h </w:instrText>
      </w:r>
      <w:r w:rsidR="00510DCF">
        <w:fldChar w:fldCharType="separate"/>
      </w:r>
      <w:r w:rsidRPr="008B52EE" w:rsidR="00393F4D">
        <w:t xml:space="preserve">Table </w:t>
      </w:r>
      <w:r w:rsidR="00393F4D">
        <w:rPr>
          <w:noProof/>
        </w:rPr>
        <w:t>1</w:t>
      </w:r>
      <w:r w:rsidR="00510DCF">
        <w:fldChar w:fldCharType="end"/>
      </w:r>
      <w:r>
        <w:t>,</w:t>
      </w:r>
      <w:r w:rsidRPr="008B52EE" w:rsidR="00EC1358">
        <w:t xml:space="preserve"> that the annual average responses </w:t>
      </w:r>
      <w:r w:rsidR="00EC1358">
        <w:t xml:space="preserve">from project proponents </w:t>
      </w:r>
      <w:r w:rsidRPr="008B52EE" w:rsidR="00EC1358">
        <w:t>w</w:t>
      </w:r>
      <w:r w:rsidR="00EC1358">
        <w:t>ould</w:t>
      </w:r>
      <w:r w:rsidRPr="008B52EE" w:rsidR="00EC1358">
        <w:t xml:space="preserve"> range from 19,000 to 63,000, with a midpoint of 41,000 responses per year. </w:t>
      </w:r>
      <w:r w:rsidR="00EC1358">
        <w:t>However, the a</w:t>
      </w:r>
      <w:r w:rsidR="00736B60">
        <w:t>nnual average licenses and permits issued</w:t>
      </w:r>
      <w:r w:rsidDel="00EC1358" w:rsidR="00A474EE">
        <w:t xml:space="preserve"> </w:t>
      </w:r>
      <w:r w:rsidR="001C18F3">
        <w:t>may</w:t>
      </w:r>
      <w:r w:rsidR="00A474EE">
        <w:t xml:space="preserve"> not capture the totality of </w:t>
      </w:r>
      <w:r w:rsidR="00027A12">
        <w:t xml:space="preserve">information </w:t>
      </w:r>
      <w:r w:rsidR="00B725E2">
        <w:t>submissions made by project proponents</w:t>
      </w:r>
      <w:r w:rsidR="00A474EE">
        <w:t xml:space="preserve">. </w:t>
      </w:r>
      <w:r w:rsidR="000378C2">
        <w:t xml:space="preserve">For example, </w:t>
      </w:r>
      <w:r w:rsidR="001435E9">
        <w:t>if burden estimates only relied on issued licenses and permits</w:t>
      </w:r>
      <w:r w:rsidR="00FF790B">
        <w:t xml:space="preserve">, then </w:t>
      </w:r>
      <w:r w:rsidR="00A5369C">
        <w:t>it would not account for</w:t>
      </w:r>
      <w:r w:rsidR="001435E9">
        <w:t xml:space="preserve"> </w:t>
      </w:r>
      <w:r w:rsidR="006F678F">
        <w:t>c</w:t>
      </w:r>
      <w:r w:rsidR="00736B60">
        <w:t xml:space="preserve">ertification requests </w:t>
      </w:r>
      <w:r w:rsidR="00A5369C">
        <w:t xml:space="preserve">that </w:t>
      </w:r>
      <w:r w:rsidR="00736B60">
        <w:t xml:space="preserve">may be </w:t>
      </w:r>
      <w:r w:rsidR="008B6678">
        <w:t>denied</w:t>
      </w:r>
      <w:r w:rsidR="00736B60">
        <w:t xml:space="preserve"> by certifying authorities or withdrawn by project proponents</w:t>
      </w:r>
      <w:r w:rsidR="0000375C">
        <w:t xml:space="preserve">. </w:t>
      </w:r>
      <w:r w:rsidR="00157E2B">
        <w:t>The</w:t>
      </w:r>
      <w:r w:rsidR="00D5476E">
        <w:t xml:space="preserve"> </w:t>
      </w:r>
      <w:r w:rsidR="00157E2B">
        <w:t>estimate</w:t>
      </w:r>
      <w:r w:rsidR="00D5476E">
        <w:t>s</w:t>
      </w:r>
      <w:r w:rsidR="00157E2B">
        <w:t xml:space="preserve"> in this supporting statement w</w:t>
      </w:r>
      <w:r w:rsidR="00D5476E">
        <w:t>ere</w:t>
      </w:r>
      <w:r w:rsidR="00157E2B">
        <w:t xml:space="preserve"> reformulated</w:t>
      </w:r>
      <w:r w:rsidR="0000375C">
        <w:t xml:space="preserve"> </w:t>
      </w:r>
      <w:r w:rsidR="00157E2B">
        <w:t xml:space="preserve">to better account for these factors and to </w:t>
      </w:r>
      <w:r w:rsidR="000A1908">
        <w:t xml:space="preserve">incorporate </w:t>
      </w:r>
      <w:r w:rsidR="007E42BE">
        <w:t>additional</w:t>
      </w:r>
      <w:r w:rsidR="0000375C">
        <w:t xml:space="preserve"> information made available to the EPA through </w:t>
      </w:r>
      <w:r w:rsidR="005D4607">
        <w:t xml:space="preserve">eight (8) </w:t>
      </w:r>
      <w:r w:rsidR="0000375C">
        <w:t>questionnaire responses</w:t>
      </w:r>
      <w:r w:rsidRPr="007E42BE" w:rsidR="007E42BE">
        <w:t xml:space="preserve"> </w:t>
      </w:r>
      <w:r w:rsidR="007E42BE">
        <w:t xml:space="preserve">and public comments to </w:t>
      </w:r>
      <w:hyperlink w:history="1" r:id="rId26">
        <w:r w:rsidR="00305230">
          <w:t>D</w:t>
        </w:r>
        <w:r w:rsidRPr="00AC2497" w:rsidR="007E42BE">
          <w:t>ocket ID No. EPA-HQ-OW-2019-0405</w:t>
        </w:r>
      </w:hyperlink>
      <w:r w:rsidR="008E5409">
        <w:t xml:space="preserve">. The average number of reviewed requests across the </w:t>
      </w:r>
      <w:r w:rsidR="005D4607">
        <w:t>six</w:t>
      </w:r>
      <w:r w:rsidR="00A13E95">
        <w:t xml:space="preserve"> (</w:t>
      </w:r>
      <w:r w:rsidR="005D4607">
        <w:t>6</w:t>
      </w:r>
      <w:r w:rsidR="00A13E95">
        <w:t>)</w:t>
      </w:r>
      <w:r w:rsidR="008E5409">
        <w:t xml:space="preserve"> states that provided more data when presented with the questionnaire was 2,618 requests per state. Multiplying this estimate by all 50 states gives a revised high estimate of 131,000 </w:t>
      </w:r>
      <w:r w:rsidR="00ED2671">
        <w:t>project proponent</w:t>
      </w:r>
      <w:r w:rsidR="008E5409">
        <w:t xml:space="preserve"> responses per year. </w:t>
      </w:r>
      <w:r w:rsidR="00CF2FE9">
        <w:t>While this</w:t>
      </w:r>
      <w:r w:rsidR="0083076E">
        <w:t xml:space="preserve"> number could underestimate project proponent requests that are submitted but not reviewed, </w:t>
      </w:r>
      <w:r w:rsidR="00161E6A">
        <w:t>the number</w:t>
      </w:r>
      <w:r w:rsidR="0083076E">
        <w:t xml:space="preserve"> could </w:t>
      </w:r>
      <w:r w:rsidR="00161E6A">
        <w:t xml:space="preserve">also </w:t>
      </w:r>
      <w:r w:rsidR="0083076E">
        <w:t xml:space="preserve">overestimate the number of unique proponent requests that are resubmitted </w:t>
      </w:r>
      <w:r w:rsidR="00CF2FE9">
        <w:t xml:space="preserve">by project proponents </w:t>
      </w:r>
      <w:r w:rsidR="0083076E">
        <w:t>without substantial changes.</w:t>
      </w:r>
      <w:r w:rsidR="00CF2FE9">
        <w:t xml:space="preserve"> </w:t>
      </w:r>
      <w:r w:rsidR="008E5409">
        <w:t>The low estimate</w:t>
      </w:r>
      <w:r w:rsidRPr="008B52EE" w:rsidR="008E5409">
        <w:t xml:space="preserve"> is based on the</w:t>
      </w:r>
      <w:r w:rsidR="008E5409">
        <w:t xml:space="preserve"> 63,000</w:t>
      </w:r>
      <w:r w:rsidRPr="008B52EE" w:rsidR="008E5409">
        <w:t xml:space="preserve"> </w:t>
      </w:r>
      <w:r w:rsidR="008E5409">
        <w:t>annual issued licenses and permits</w:t>
      </w:r>
      <w:r w:rsidRPr="008B52EE" w:rsidR="008E5409">
        <w:t xml:space="preserve"> </w:t>
      </w:r>
      <w:r w:rsidR="008E5409">
        <w:t>presented</w:t>
      </w:r>
      <w:r w:rsidRPr="008B52EE" w:rsidR="008E5409">
        <w:t xml:space="preserve"> in</w:t>
      </w:r>
      <w:r w:rsidR="008E5409">
        <w:t xml:space="preserve"> </w:t>
      </w:r>
      <w:r w:rsidR="008E5409">
        <w:fldChar w:fldCharType="begin"/>
      </w:r>
      <w:r w:rsidR="008E5409">
        <w:instrText xml:space="preserve"> REF _Ref31894193 \h </w:instrText>
      </w:r>
      <w:r w:rsidR="008E5409">
        <w:fldChar w:fldCharType="separate"/>
      </w:r>
      <w:r w:rsidRPr="008B52EE" w:rsidR="00393F4D">
        <w:t xml:space="preserve">Table </w:t>
      </w:r>
      <w:r w:rsidR="00393F4D">
        <w:rPr>
          <w:noProof/>
        </w:rPr>
        <w:t>1</w:t>
      </w:r>
      <w:r w:rsidR="008E5409">
        <w:fldChar w:fldCharType="end"/>
      </w:r>
      <w:r w:rsidR="007724EA">
        <w:t>; the EPA assumes at a minimum, there is one certification request, and therefore response required by a project proponent, per license/permit issued.</w:t>
      </w:r>
      <w:r w:rsidR="008E5409">
        <w:t xml:space="preserve"> </w:t>
      </w:r>
      <w:r w:rsidR="002869E6">
        <w:t>T</w:t>
      </w:r>
      <w:r w:rsidR="008E5409">
        <w:t>he midpoint of the two values is 97,000</w:t>
      </w:r>
      <w:r w:rsidRPr="008B52EE" w:rsidR="008E5409">
        <w:t xml:space="preserve">. </w:t>
      </w:r>
    </w:p>
    <w:p w:rsidRPr="008B52EE" w:rsidR="00974BA5" w:rsidP="00974BA5" w:rsidRDefault="00974BA5" w14:paraId="084EED2C" w14:textId="77777777">
      <w:pPr>
        <w:pStyle w:val="Caption"/>
      </w:pPr>
    </w:p>
    <w:p w:rsidRPr="008B52EE" w:rsidR="00974BA5" w:rsidP="00974BA5" w:rsidRDefault="00974BA5" w14:paraId="56ED71DF" w14:textId="0CA04A0E">
      <w:pPr>
        <w:pStyle w:val="Caption"/>
        <w:jc w:val="center"/>
      </w:pPr>
      <w:bookmarkStart w:name="_Ref23491636" w:id="13"/>
      <w:bookmarkStart w:name="_Ref31182369" w:id="14"/>
      <w:r w:rsidRPr="008B52EE">
        <w:t xml:space="preserve">Table </w:t>
      </w:r>
      <w:fldSimple w:instr=" SEQ Table \* ARABIC ">
        <w:r w:rsidR="00BE09E0">
          <w:rPr>
            <w:noProof/>
          </w:rPr>
          <w:t>5</w:t>
        </w:r>
      </w:fldSimple>
      <w:bookmarkEnd w:id="13"/>
      <w:r w:rsidRPr="008B52EE">
        <w:t xml:space="preserve">: </w:t>
      </w:r>
      <w:r w:rsidR="00F511E7">
        <w:t xml:space="preserve">Number of </w:t>
      </w:r>
      <w:r w:rsidR="00833E86">
        <w:t>Certification Request</w:t>
      </w:r>
      <w:r w:rsidRPr="008B52EE">
        <w:t xml:space="preserve"> Range Estimates</w:t>
      </w:r>
      <w:r w:rsidR="00A365FC">
        <w:t xml:space="preserve"> for Project Proponents</w:t>
      </w:r>
      <w:bookmarkEnd w:id="14"/>
    </w:p>
    <w:tbl>
      <w:tblPr>
        <w:tblW w:w="4495" w:type="dxa"/>
        <w:jc w:val="center"/>
        <w:tblLook w:val="04A0" w:firstRow="1" w:lastRow="0" w:firstColumn="1" w:lastColumn="0" w:noHBand="0" w:noVBand="1"/>
      </w:tblPr>
      <w:tblGrid>
        <w:gridCol w:w="1615"/>
        <w:gridCol w:w="1125"/>
        <w:gridCol w:w="1755"/>
      </w:tblGrid>
      <w:tr w:rsidRPr="0021392B" w:rsidR="0021392B" w:rsidTr="00833E86" w14:paraId="5323F397" w14:textId="77777777">
        <w:trPr>
          <w:trHeight w:val="300"/>
          <w:jc w:val="center"/>
        </w:trPr>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1392B" w:rsidR="0021392B" w:rsidP="0021392B" w:rsidRDefault="0021392B" w14:paraId="44E8F5F6" w14:textId="77777777">
            <w:pPr>
              <w:widowControl/>
              <w:autoSpaceDE/>
              <w:autoSpaceDN/>
              <w:adjustRightInd/>
              <w:jc w:val="center"/>
              <w:rPr>
                <w:b/>
                <w:bCs/>
                <w:color w:val="000000"/>
                <w:sz w:val="22"/>
                <w:szCs w:val="22"/>
              </w:rPr>
            </w:pPr>
            <w:r w:rsidRPr="0021392B">
              <w:rPr>
                <w:b/>
                <w:bCs/>
                <w:color w:val="000000"/>
                <w:sz w:val="22"/>
                <w:szCs w:val="22"/>
              </w:rPr>
              <w:t>Low Estimate</w:t>
            </w:r>
          </w:p>
        </w:tc>
        <w:tc>
          <w:tcPr>
            <w:tcW w:w="1125" w:type="dxa"/>
            <w:tcBorders>
              <w:top w:val="single" w:color="auto" w:sz="4" w:space="0"/>
              <w:left w:val="nil"/>
              <w:bottom w:val="single" w:color="auto" w:sz="4" w:space="0"/>
              <w:right w:val="single" w:color="auto" w:sz="4" w:space="0"/>
            </w:tcBorders>
            <w:shd w:val="clear" w:color="auto" w:fill="auto"/>
            <w:noWrap/>
            <w:vAlign w:val="center"/>
            <w:hideMark/>
          </w:tcPr>
          <w:p w:rsidRPr="0021392B" w:rsidR="0021392B" w:rsidP="0021392B" w:rsidRDefault="0021392B" w14:paraId="3830AE8B" w14:textId="77777777">
            <w:pPr>
              <w:widowControl/>
              <w:autoSpaceDE/>
              <w:autoSpaceDN/>
              <w:adjustRightInd/>
              <w:jc w:val="center"/>
              <w:rPr>
                <w:b/>
                <w:bCs/>
                <w:color w:val="000000"/>
                <w:sz w:val="22"/>
                <w:szCs w:val="22"/>
              </w:rPr>
            </w:pPr>
            <w:r w:rsidRPr="0021392B">
              <w:rPr>
                <w:b/>
                <w:bCs/>
                <w:color w:val="000000"/>
                <w:sz w:val="22"/>
                <w:szCs w:val="22"/>
              </w:rPr>
              <w:t>Midpoint</w:t>
            </w:r>
          </w:p>
        </w:tc>
        <w:tc>
          <w:tcPr>
            <w:tcW w:w="1755" w:type="dxa"/>
            <w:tcBorders>
              <w:top w:val="single" w:color="auto" w:sz="4" w:space="0"/>
              <w:left w:val="nil"/>
              <w:bottom w:val="single" w:color="auto" w:sz="4" w:space="0"/>
              <w:right w:val="single" w:color="auto" w:sz="4" w:space="0"/>
            </w:tcBorders>
            <w:shd w:val="clear" w:color="auto" w:fill="auto"/>
            <w:noWrap/>
            <w:vAlign w:val="center"/>
            <w:hideMark/>
          </w:tcPr>
          <w:p w:rsidRPr="0021392B" w:rsidR="0021392B" w:rsidP="0021392B" w:rsidRDefault="0021392B" w14:paraId="3EA4CB9C" w14:textId="77777777">
            <w:pPr>
              <w:widowControl/>
              <w:autoSpaceDE/>
              <w:autoSpaceDN/>
              <w:adjustRightInd/>
              <w:jc w:val="center"/>
              <w:rPr>
                <w:b/>
                <w:bCs/>
                <w:color w:val="000000"/>
                <w:sz w:val="22"/>
                <w:szCs w:val="22"/>
              </w:rPr>
            </w:pPr>
            <w:r w:rsidRPr="0021392B">
              <w:rPr>
                <w:b/>
                <w:bCs/>
                <w:color w:val="000000"/>
                <w:sz w:val="22"/>
                <w:szCs w:val="22"/>
              </w:rPr>
              <w:t>High Estimate</w:t>
            </w:r>
          </w:p>
        </w:tc>
      </w:tr>
      <w:tr w:rsidRPr="0021392B" w:rsidR="009F2E46" w:rsidTr="00833E86" w14:paraId="28544180" w14:textId="77777777">
        <w:trPr>
          <w:trHeight w:val="300"/>
          <w:jc w:val="center"/>
        </w:trPr>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1392B" w:rsidR="009F2E46" w:rsidP="009F2E46" w:rsidRDefault="009F2E46" w14:paraId="2544D27B" w14:textId="444B7C20">
            <w:pPr>
              <w:widowControl/>
              <w:autoSpaceDE/>
              <w:autoSpaceDN/>
              <w:adjustRightInd/>
              <w:jc w:val="center"/>
              <w:rPr>
                <w:color w:val="000000"/>
                <w:sz w:val="22"/>
                <w:szCs w:val="22"/>
              </w:rPr>
            </w:pPr>
            <w:r>
              <w:rPr>
                <w:color w:val="000000"/>
                <w:sz w:val="22"/>
                <w:szCs w:val="22"/>
              </w:rPr>
              <w:t>63,000</w:t>
            </w:r>
          </w:p>
        </w:tc>
        <w:tc>
          <w:tcPr>
            <w:tcW w:w="1125" w:type="dxa"/>
            <w:tcBorders>
              <w:top w:val="nil"/>
              <w:left w:val="single" w:color="auto" w:sz="4" w:space="0"/>
              <w:bottom w:val="single" w:color="auto" w:sz="8" w:space="0"/>
              <w:right w:val="single" w:color="auto" w:sz="8" w:space="0"/>
            </w:tcBorders>
            <w:shd w:val="clear" w:color="auto" w:fill="auto"/>
            <w:noWrap/>
            <w:vAlign w:val="center"/>
            <w:hideMark/>
          </w:tcPr>
          <w:p w:rsidRPr="0021392B" w:rsidR="009F2E46" w:rsidP="009F2E46" w:rsidRDefault="009F2E46" w14:paraId="5C4B7E5E" w14:textId="1EE5C129">
            <w:pPr>
              <w:widowControl/>
              <w:autoSpaceDE/>
              <w:autoSpaceDN/>
              <w:adjustRightInd/>
              <w:jc w:val="center"/>
              <w:rPr>
                <w:color w:val="000000"/>
                <w:sz w:val="22"/>
                <w:szCs w:val="22"/>
              </w:rPr>
            </w:pPr>
            <w:r>
              <w:rPr>
                <w:color w:val="000000"/>
                <w:sz w:val="22"/>
                <w:szCs w:val="22"/>
              </w:rPr>
              <w:t>97,000</w:t>
            </w:r>
          </w:p>
        </w:tc>
        <w:tc>
          <w:tcPr>
            <w:tcW w:w="1755" w:type="dxa"/>
            <w:tcBorders>
              <w:top w:val="nil"/>
              <w:left w:val="nil"/>
              <w:bottom w:val="single" w:color="auto" w:sz="8" w:space="0"/>
              <w:right w:val="single" w:color="auto" w:sz="8" w:space="0"/>
            </w:tcBorders>
            <w:shd w:val="clear" w:color="auto" w:fill="auto"/>
            <w:noWrap/>
            <w:vAlign w:val="center"/>
            <w:hideMark/>
          </w:tcPr>
          <w:p w:rsidRPr="0021392B" w:rsidR="009F2E46" w:rsidP="009F2E46" w:rsidRDefault="009F2E46" w14:paraId="573BB324" w14:textId="6F3011D7">
            <w:pPr>
              <w:widowControl/>
              <w:autoSpaceDE/>
              <w:autoSpaceDN/>
              <w:adjustRightInd/>
              <w:jc w:val="center"/>
              <w:rPr>
                <w:color w:val="000000"/>
                <w:sz w:val="22"/>
                <w:szCs w:val="22"/>
              </w:rPr>
            </w:pPr>
            <w:r>
              <w:rPr>
                <w:color w:val="000000"/>
                <w:sz w:val="22"/>
                <w:szCs w:val="22"/>
              </w:rPr>
              <w:t>131,000</w:t>
            </w:r>
          </w:p>
        </w:tc>
      </w:tr>
    </w:tbl>
    <w:p w:rsidRPr="008B52EE" w:rsidR="00974BA5" w:rsidP="00974BA5" w:rsidRDefault="00974BA5" w14:paraId="6D6BB0DD" w14:textId="77777777"/>
    <w:p w:rsidRPr="008B52EE" w:rsidR="00974BA5" w:rsidRDefault="00756977" w14:paraId="576CF4F0" w14:textId="4472F402">
      <w:pPr>
        <w:ind w:firstLine="720"/>
      </w:pPr>
      <w:r>
        <w:t>T</w:t>
      </w:r>
      <w:r w:rsidRPr="008B52EE" w:rsidR="00974BA5">
        <w:t xml:space="preserve">he EPA assumed an average per-certification request baseline burden estimate for the section 401 requirements </w:t>
      </w:r>
      <w:r w:rsidR="0038315B">
        <w:t>equal</w:t>
      </w:r>
      <w:r w:rsidRPr="008B52EE" w:rsidR="0038315B">
        <w:t xml:space="preserve"> </w:t>
      </w:r>
      <w:r w:rsidRPr="008B52EE" w:rsidR="00974BA5">
        <w:t>to what is presented in</w:t>
      </w:r>
      <w:r w:rsidRPr="008B52EE" w:rsidR="00260C3D">
        <w:t xml:space="preserve"> the collection request for EPA’s section 402 permit program (</w:t>
      </w:r>
      <w:r w:rsidRPr="008B52EE" w:rsidR="00974BA5">
        <w:t>EPA ICR No. 0229.2</w:t>
      </w:r>
      <w:r w:rsidR="00853DAC">
        <w:t>3</w:t>
      </w:r>
      <w:r w:rsidRPr="008B52EE" w:rsidR="00260C3D">
        <w:t>)</w:t>
      </w:r>
      <w:r w:rsidRPr="008B52EE" w:rsidR="00974BA5">
        <w:t>. An average burden on project proponents related to submission of information to EPA is four</w:t>
      </w:r>
      <w:r w:rsidR="0038315B">
        <w:t xml:space="preserve"> (4)</w:t>
      </w:r>
      <w:r w:rsidRPr="008B52EE" w:rsidR="00974BA5">
        <w:t xml:space="preserve"> hours per certification request</w:t>
      </w:r>
      <w:r w:rsidR="0039604A">
        <w:t xml:space="preserve"> in the </w:t>
      </w:r>
      <w:proofErr w:type="gramStart"/>
      <w:r w:rsidR="0039604A">
        <w:t>402 permit</w:t>
      </w:r>
      <w:proofErr w:type="gramEnd"/>
      <w:r w:rsidR="0039604A">
        <w:t xml:space="preserve"> program collection request</w:t>
      </w:r>
      <w:r w:rsidR="00DA4B62">
        <w:t>.</w:t>
      </w:r>
      <w:r w:rsidRPr="008B52EE" w:rsidR="00974BA5">
        <w:rPr>
          <w:vertAlign w:val="superscript"/>
        </w:rPr>
        <w:footnoteReference w:id="8"/>
      </w:r>
      <w:r w:rsidRPr="008B52EE" w:rsidR="00974BA5">
        <w:t xml:space="preserve"> </w:t>
      </w:r>
      <w:r w:rsidR="00DA4B62">
        <w:t xml:space="preserve">This </w:t>
      </w:r>
      <w:r w:rsidR="00147BCE">
        <w:t xml:space="preserve">average burden </w:t>
      </w:r>
      <w:r w:rsidR="0039604A">
        <w:t xml:space="preserve">estimate </w:t>
      </w:r>
      <w:r w:rsidR="007F0BE2">
        <w:t>for</w:t>
      </w:r>
      <w:r w:rsidRPr="008B52EE" w:rsidR="00147BCE">
        <w:t xml:space="preserve"> project proponents </w:t>
      </w:r>
      <w:r w:rsidR="0039604A">
        <w:t>for</w:t>
      </w:r>
      <w:r w:rsidRPr="008B52EE" w:rsidR="00147BCE">
        <w:t xml:space="preserve"> submission of information </w:t>
      </w:r>
      <w:r w:rsidR="00DA4B62">
        <w:t xml:space="preserve">is unchanged from the first notice as no </w:t>
      </w:r>
      <w:r w:rsidR="004F7909">
        <w:t xml:space="preserve">public </w:t>
      </w:r>
      <w:r w:rsidR="00DA4B62">
        <w:t>comments we</w:t>
      </w:r>
      <w:r w:rsidR="004F7909">
        <w:t>re</w:t>
      </w:r>
      <w:r w:rsidR="00DA4B62">
        <w:t xml:space="preserve"> received.</w:t>
      </w:r>
    </w:p>
    <w:p w:rsidRPr="008B52EE" w:rsidR="00260C3D" w:rsidP="009917EE" w:rsidRDefault="00260C3D" w14:paraId="509855D1" w14:textId="77777777">
      <w:pPr>
        <w:keepLines/>
      </w:pPr>
    </w:p>
    <w:p w:rsidRPr="008B52EE" w:rsidR="00974BA5" w:rsidP="00260C3D" w:rsidRDefault="001278E7" w14:paraId="09FD6F56" w14:textId="28E15E42">
      <w:pPr>
        <w:keepLines/>
        <w:ind w:firstLine="720"/>
      </w:pPr>
      <w:r>
        <w:t>T</w:t>
      </w:r>
      <w:r w:rsidRPr="008B52EE" w:rsidR="00974BA5">
        <w:t xml:space="preserve">he average marginal estimated burden associated with certification requests for project proponents ranges from </w:t>
      </w:r>
      <w:r w:rsidR="009F2E46">
        <w:t>252</w:t>
      </w:r>
      <w:r w:rsidRPr="008B52EE" w:rsidR="00974BA5">
        <w:t xml:space="preserve">,000 to </w:t>
      </w:r>
      <w:r w:rsidR="009F2E46">
        <w:t>524</w:t>
      </w:r>
      <w:r w:rsidRPr="008B52EE" w:rsidR="00974BA5">
        <w:t xml:space="preserve">,000 hours per year, with a midpoint of </w:t>
      </w:r>
      <w:r w:rsidR="009F2E46">
        <w:t>38</w:t>
      </w:r>
      <w:r w:rsidR="00833E86">
        <w:t>8</w:t>
      </w:r>
      <w:r w:rsidRPr="008B52EE" w:rsidR="00974BA5">
        <w:t>,000 hours per year.</w:t>
      </w:r>
    </w:p>
    <w:p w:rsidRPr="008B52EE" w:rsidR="00974BA5" w:rsidP="00974BA5" w:rsidRDefault="00974BA5" w14:paraId="5AA4E90B" w14:textId="77777777">
      <w:pPr>
        <w:pStyle w:val="Caption"/>
        <w:jc w:val="center"/>
      </w:pPr>
    </w:p>
    <w:p w:rsidRPr="008B52EE" w:rsidR="00974BA5" w:rsidP="00974BA5" w:rsidRDefault="00974BA5" w14:paraId="038D2AAF" w14:textId="080B47DD">
      <w:pPr>
        <w:pStyle w:val="Caption"/>
        <w:jc w:val="center"/>
      </w:pPr>
      <w:bookmarkStart w:name="_Ref31208519" w:id="15"/>
      <w:bookmarkStart w:name="_Ref31208492" w:id="16"/>
      <w:r w:rsidRPr="008B52EE">
        <w:t xml:space="preserve">Table </w:t>
      </w:r>
      <w:fldSimple w:instr=" SEQ Table \* ARABIC ">
        <w:r w:rsidR="00BE09E0">
          <w:rPr>
            <w:noProof/>
          </w:rPr>
          <w:t>6</w:t>
        </w:r>
      </w:fldSimple>
      <w:bookmarkEnd w:id="15"/>
      <w:r w:rsidRPr="008B52EE">
        <w:t>: Total Estimated Annual Hour Burden for Project Proponents</w:t>
      </w:r>
      <w:bookmarkEnd w:id="16"/>
    </w:p>
    <w:tbl>
      <w:tblPr>
        <w:tblStyle w:val="TableGrid"/>
        <w:tblW w:w="5845" w:type="dxa"/>
        <w:jc w:val="center"/>
        <w:tblLook w:val="04A0" w:firstRow="1" w:lastRow="0" w:firstColumn="1" w:lastColumn="0" w:noHBand="0" w:noVBand="1"/>
      </w:tblPr>
      <w:tblGrid>
        <w:gridCol w:w="2065"/>
        <w:gridCol w:w="1890"/>
        <w:gridCol w:w="1890"/>
      </w:tblGrid>
      <w:tr w:rsidRPr="008B52EE" w:rsidR="00260C3D" w:rsidTr="00260C3D" w14:paraId="6B231A30" w14:textId="77777777">
        <w:trPr>
          <w:trHeight w:val="288"/>
          <w:jc w:val="center"/>
        </w:trPr>
        <w:tc>
          <w:tcPr>
            <w:tcW w:w="2065" w:type="dxa"/>
            <w:noWrap/>
            <w:hideMark/>
          </w:tcPr>
          <w:p w:rsidRPr="008B52EE" w:rsidR="00260C3D" w:rsidP="00260C3D" w:rsidRDefault="00260C3D" w14:paraId="59AB2D53"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Low Estimate</w:t>
            </w:r>
          </w:p>
        </w:tc>
        <w:tc>
          <w:tcPr>
            <w:tcW w:w="1890" w:type="dxa"/>
          </w:tcPr>
          <w:p w:rsidRPr="008B52EE" w:rsidR="00260C3D" w:rsidP="00260C3D" w:rsidRDefault="00260C3D" w14:paraId="1F5DB5BB" w14:textId="5E6C0D10">
            <w:pPr>
              <w:widowControl/>
              <w:jc w:val="center"/>
              <w:rPr>
                <w:b/>
                <w:bCs/>
                <w:color w:val="000000"/>
                <w:sz w:val="22"/>
                <w:szCs w:val="22"/>
              </w:rPr>
            </w:pPr>
            <w:r w:rsidRPr="008B52EE">
              <w:rPr>
                <w:rFonts w:ascii="Times New Roman" w:hAnsi="Times New Roman"/>
                <w:b/>
                <w:bCs/>
                <w:color w:val="000000"/>
                <w:sz w:val="22"/>
                <w:szCs w:val="22"/>
              </w:rPr>
              <w:t>Midpoint</w:t>
            </w:r>
          </w:p>
        </w:tc>
        <w:tc>
          <w:tcPr>
            <w:tcW w:w="1890" w:type="dxa"/>
            <w:noWrap/>
            <w:hideMark/>
          </w:tcPr>
          <w:p w:rsidRPr="008B52EE" w:rsidR="00260C3D" w:rsidP="00260C3D" w:rsidRDefault="00260C3D" w14:paraId="16F6BA5F" w14:textId="19A37213">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High Estimate</w:t>
            </w:r>
          </w:p>
        </w:tc>
      </w:tr>
      <w:tr w:rsidRPr="008B52EE" w:rsidR="009F2E46" w:rsidTr="001278E7" w14:paraId="6597833D" w14:textId="77777777">
        <w:trPr>
          <w:trHeight w:val="288"/>
          <w:jc w:val="center"/>
        </w:trPr>
        <w:tc>
          <w:tcPr>
            <w:tcW w:w="2065" w:type="dxa"/>
            <w:noWrap/>
            <w:vAlign w:val="center"/>
          </w:tcPr>
          <w:p w:rsidRPr="00266C54" w:rsidR="009F2E46" w:rsidP="00266C54" w:rsidRDefault="009F2E46" w14:paraId="3CB099D3" w14:textId="6D4917F4">
            <w:pPr>
              <w:widowControl/>
              <w:autoSpaceDE/>
              <w:autoSpaceDN/>
              <w:adjustRightInd/>
              <w:jc w:val="center"/>
              <w:rPr>
                <w:rFonts w:ascii="Times New Roman" w:hAnsi="Times New Roman" w:cs="Times New Roman"/>
                <w:color w:val="000000"/>
                <w:sz w:val="22"/>
                <w:szCs w:val="22"/>
              </w:rPr>
            </w:pPr>
            <w:r w:rsidRPr="00266C54">
              <w:rPr>
                <w:rFonts w:ascii="Times New Roman" w:hAnsi="Times New Roman" w:cs="Times New Roman"/>
                <w:color w:val="000000"/>
                <w:sz w:val="22"/>
                <w:szCs w:val="22"/>
              </w:rPr>
              <w:lastRenderedPageBreak/>
              <w:t>252,000</w:t>
            </w:r>
          </w:p>
        </w:tc>
        <w:tc>
          <w:tcPr>
            <w:tcW w:w="1890" w:type="dxa"/>
            <w:vAlign w:val="center"/>
          </w:tcPr>
          <w:p w:rsidRPr="00266C54" w:rsidR="009F2E46" w:rsidP="00266C54" w:rsidRDefault="009F2E46" w14:paraId="634369C2" w14:textId="4151D8CE">
            <w:pPr>
              <w:widowControl/>
              <w:autoSpaceDE/>
              <w:autoSpaceDN/>
              <w:adjustRightInd/>
              <w:jc w:val="center"/>
              <w:rPr>
                <w:rFonts w:ascii="Times New Roman" w:hAnsi="Times New Roman" w:cs="Times New Roman"/>
                <w:color w:val="000000"/>
                <w:sz w:val="22"/>
                <w:szCs w:val="22"/>
              </w:rPr>
            </w:pPr>
            <w:r w:rsidRPr="00266C54">
              <w:rPr>
                <w:rFonts w:ascii="Times New Roman" w:hAnsi="Times New Roman" w:cs="Times New Roman"/>
                <w:color w:val="000000"/>
                <w:sz w:val="22"/>
                <w:szCs w:val="22"/>
              </w:rPr>
              <w:t>388,000</w:t>
            </w:r>
          </w:p>
        </w:tc>
        <w:tc>
          <w:tcPr>
            <w:tcW w:w="1890" w:type="dxa"/>
            <w:noWrap/>
            <w:vAlign w:val="center"/>
          </w:tcPr>
          <w:p w:rsidRPr="00266C54" w:rsidR="009F2E46" w:rsidP="00266C54" w:rsidRDefault="009F2E46" w14:paraId="5E0A0D31" w14:textId="541ED983">
            <w:pPr>
              <w:widowControl/>
              <w:autoSpaceDE/>
              <w:autoSpaceDN/>
              <w:adjustRightInd/>
              <w:jc w:val="center"/>
              <w:rPr>
                <w:rFonts w:ascii="Times New Roman" w:hAnsi="Times New Roman" w:cs="Times New Roman"/>
                <w:color w:val="000000"/>
                <w:sz w:val="22"/>
                <w:szCs w:val="22"/>
              </w:rPr>
            </w:pPr>
            <w:r w:rsidRPr="00266C54">
              <w:rPr>
                <w:rFonts w:ascii="Times New Roman" w:hAnsi="Times New Roman" w:cs="Times New Roman"/>
                <w:color w:val="000000"/>
                <w:sz w:val="22"/>
                <w:szCs w:val="22"/>
              </w:rPr>
              <w:t>524,000</w:t>
            </w:r>
          </w:p>
        </w:tc>
      </w:tr>
    </w:tbl>
    <w:p w:rsidRPr="008B52EE" w:rsidR="00974BA5" w:rsidP="00974BA5" w:rsidRDefault="00974BA5" w14:paraId="0092AE41" w14:textId="4A3D7377">
      <w:pPr>
        <w:ind w:left="720"/>
      </w:pPr>
    </w:p>
    <w:p w:rsidRPr="008B52EE" w:rsidR="007B563E" w:rsidP="007B563E" w:rsidRDefault="007B563E" w14:paraId="76F991DB" w14:textId="2820B086">
      <w:pPr>
        <w:tabs>
          <w:tab w:val="left" w:pos="-1440"/>
        </w:tabs>
      </w:pPr>
      <w:r w:rsidRPr="008B52EE">
        <w:t xml:space="preserve">The regulations include no specific recordkeeping requirements for </w:t>
      </w:r>
      <w:r>
        <w:t>project proponents</w:t>
      </w:r>
      <w:r w:rsidRPr="008B52EE">
        <w:t>.</w:t>
      </w:r>
    </w:p>
    <w:p w:rsidRPr="008B52EE" w:rsidR="007B563E" w:rsidP="00974BA5" w:rsidRDefault="007B563E" w14:paraId="32836D01" w14:textId="77777777">
      <w:pPr>
        <w:ind w:left="720"/>
      </w:pPr>
    </w:p>
    <w:p w:rsidRPr="008B52EE"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Pr="008B52EE"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sidRPr="008B52EE">
        <w:rPr>
          <w:b/>
          <w:bCs/>
          <w:color w:val="000000"/>
        </w:rPr>
        <w:t>6(b)</w:t>
      </w:r>
      <w:r w:rsidRPr="008B52EE" w:rsidR="009C7E97">
        <w:rPr>
          <w:b/>
          <w:bCs/>
          <w:color w:val="000000"/>
        </w:rPr>
        <w:t xml:space="preserve"> </w:t>
      </w:r>
      <w:r w:rsidRPr="008B52EE">
        <w:rPr>
          <w:b/>
          <w:bCs/>
          <w:color w:val="000000"/>
        </w:rPr>
        <w:t>Estimating Respondent Costs</w:t>
      </w:r>
    </w:p>
    <w:p w:rsidRPr="008B52EE"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Pr="008B52EE"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sidRPr="008B52EE">
        <w:rPr>
          <w:b/>
          <w:bCs/>
          <w:color w:val="000000"/>
        </w:rPr>
        <w:t>(</w:t>
      </w:r>
      <w:proofErr w:type="spellStart"/>
      <w:r w:rsidRPr="008B52EE">
        <w:rPr>
          <w:b/>
          <w:bCs/>
          <w:color w:val="000000"/>
        </w:rPr>
        <w:t>i</w:t>
      </w:r>
      <w:proofErr w:type="spellEnd"/>
      <w:r w:rsidRPr="008B52EE">
        <w:rPr>
          <w:b/>
          <w:bCs/>
          <w:color w:val="000000"/>
        </w:rPr>
        <w:t>)</w:t>
      </w:r>
      <w:r w:rsidRPr="008B52EE" w:rsidR="009C7E97">
        <w:rPr>
          <w:b/>
          <w:bCs/>
          <w:color w:val="000000"/>
        </w:rPr>
        <w:t xml:space="preserve"> </w:t>
      </w:r>
      <w:r w:rsidRPr="008B52EE">
        <w:rPr>
          <w:b/>
          <w:bCs/>
          <w:color w:val="000000"/>
        </w:rPr>
        <w:t>Estimating Labor Costs</w:t>
      </w:r>
      <w:r w:rsidRPr="008B52EE">
        <w:rPr>
          <w:color w:val="000000"/>
        </w:rPr>
        <w:t xml:space="preserve"> </w:t>
      </w:r>
    </w:p>
    <w:p w:rsidRPr="008B52EE"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sidRPr="008B52EE">
        <w:rPr>
          <w:color w:val="000000"/>
        </w:rPr>
        <w:t xml:space="preserve"> </w:t>
      </w:r>
    </w:p>
    <w:p w:rsidRPr="008B52EE" w:rsidR="00130E40" w:rsidP="0038315B" w:rsidRDefault="00130E40" w14:paraId="5C48FBB0" w14:textId="77777777">
      <w:pPr>
        <w:tabs>
          <w:tab w:val="left" w:pos="-1440"/>
        </w:tabs>
      </w:pPr>
    </w:p>
    <w:p w:rsidRPr="008B52EE" w:rsidR="00130E40" w:rsidP="00511E0E" w:rsidRDefault="00130E40" w14:paraId="76EC7C68" w14:textId="77777777">
      <w:pPr>
        <w:pStyle w:val="Heading3"/>
        <w:numPr>
          <w:ilvl w:val="6"/>
          <w:numId w:val="12"/>
        </w:numPr>
      </w:pPr>
      <w:bookmarkStart w:name="_Toc16015598" w:id="17"/>
      <w:r w:rsidRPr="008B52EE">
        <w:t>Certifying Authorities</w:t>
      </w:r>
      <w:bookmarkEnd w:id="17"/>
    </w:p>
    <w:p w:rsidRPr="008B52EE" w:rsidR="00130E40" w:rsidP="00130E40" w:rsidRDefault="00130E40" w14:paraId="696D8A14" w14:textId="77777777">
      <w:pPr>
        <w:tabs>
          <w:tab w:val="left" w:pos="-1440"/>
        </w:tabs>
        <w:ind w:left="719"/>
      </w:pPr>
    </w:p>
    <w:p w:rsidRPr="008B52EE" w:rsidR="00130E40" w:rsidP="00501E83" w:rsidRDefault="00501E83" w14:paraId="2A571B7A" w14:textId="0907CCBE">
      <w:pPr>
        <w:tabs>
          <w:tab w:val="left" w:pos="-1440"/>
        </w:tabs>
      </w:pPr>
      <w:r w:rsidRPr="008B52EE">
        <w:tab/>
      </w:r>
      <w:r w:rsidRPr="008B52EE" w:rsidR="00130E40">
        <w:t>The EPA estimates that $</w:t>
      </w:r>
      <w:r w:rsidR="007C3449">
        <w:t>30</w:t>
      </w:r>
      <w:r w:rsidRPr="008B52EE" w:rsidR="00644E59">
        <w:t>.</w:t>
      </w:r>
      <w:r w:rsidR="007C3449">
        <w:t>67</w:t>
      </w:r>
      <w:r w:rsidRPr="008B52EE" w:rsidR="00644E59">
        <w:t xml:space="preserve"> (</w:t>
      </w:r>
      <w:r w:rsidRPr="008B52EE" w:rsidR="00BC3486">
        <w:t xml:space="preserve">starting point of a </w:t>
      </w:r>
      <w:r w:rsidRPr="008B52EE" w:rsidR="00644E59">
        <w:t>GS-11 “Rest of U.S.” locality</w:t>
      </w:r>
      <w:r w:rsidRPr="008B52EE" w:rsidR="00130E40">
        <w:rPr>
          <w:vertAlign w:val="superscript"/>
        </w:rPr>
        <w:footnoteReference w:id="9"/>
      </w:r>
      <w:r w:rsidRPr="008B52EE" w:rsidR="00130E40">
        <w:t xml:space="preserve">) is an </w:t>
      </w:r>
      <w:r w:rsidR="00147BCE">
        <w:t xml:space="preserve">appropriate </w:t>
      </w:r>
      <w:r w:rsidRPr="008B52EE" w:rsidR="00130E40">
        <w:t xml:space="preserve">average hourly wage for a </w:t>
      </w:r>
      <w:r w:rsidR="00833E86">
        <w:t>certifying authority</w:t>
      </w:r>
      <w:r w:rsidRPr="008B52EE" w:rsidR="00130E40">
        <w:t xml:space="preserve"> employee</w:t>
      </w:r>
      <w:r w:rsidR="00DE4391">
        <w:t>.</w:t>
      </w:r>
      <w:r w:rsidRPr="00BC2D2F" w:rsidR="00147BCE">
        <w:rPr>
          <w:rStyle w:val="FootnoteReference"/>
          <w:vertAlign w:val="superscript"/>
        </w:rPr>
        <w:footnoteReference w:id="10"/>
      </w:r>
      <w:r w:rsidRPr="008B52EE" w:rsidR="00130E40">
        <w:t xml:space="preserve"> Adding a 1.6 overhead factor</w:t>
      </w:r>
      <w:r w:rsidRPr="00431AE9" w:rsidR="00E058A1">
        <w:rPr>
          <w:rStyle w:val="FootnoteReference"/>
          <w:vertAlign w:val="superscript"/>
        </w:rPr>
        <w:footnoteReference w:id="11"/>
      </w:r>
      <w:r w:rsidRPr="008B52EE" w:rsidR="00130E40">
        <w:t xml:space="preserve"> results in an estimated hourly wage for a </w:t>
      </w:r>
      <w:r w:rsidR="00FE34AF">
        <w:t>certifying authority</w:t>
      </w:r>
      <w:r w:rsidRPr="008B52EE" w:rsidR="00130E40">
        <w:t xml:space="preserve"> employee of $4</w:t>
      </w:r>
      <w:r w:rsidR="00085514">
        <w:t>9</w:t>
      </w:r>
      <w:r w:rsidRPr="008B52EE" w:rsidR="00130E40">
        <w:t>. The EPA multiplied the hourly wage of $4</w:t>
      </w:r>
      <w:r w:rsidR="007C3449">
        <w:t>9</w:t>
      </w:r>
      <w:r w:rsidRPr="008B52EE" w:rsidR="00130E40">
        <w:t xml:space="preserve"> by the annual estimated hourly burden range </w:t>
      </w:r>
      <w:r w:rsidRPr="008B52EE" w:rsidR="0022370E">
        <w:t>presented</w:t>
      </w:r>
      <w:r w:rsidRPr="008B52EE" w:rsidR="00130E40">
        <w:t xml:space="preserve"> in</w:t>
      </w:r>
      <w:r w:rsidRPr="008B52EE" w:rsidR="0022370E">
        <w:t xml:space="preserve"> </w:t>
      </w:r>
      <w:r w:rsidR="00515771">
        <w:fldChar w:fldCharType="begin"/>
      </w:r>
      <w:r w:rsidR="00515771">
        <w:instrText xml:space="preserve"> REF _Ref31977430 \h </w:instrText>
      </w:r>
      <w:r w:rsidR="00515771">
        <w:fldChar w:fldCharType="separate"/>
      </w:r>
      <w:r w:rsidRPr="008B52EE" w:rsidR="00515771">
        <w:t xml:space="preserve">Table </w:t>
      </w:r>
      <w:r w:rsidR="00515771">
        <w:rPr>
          <w:noProof/>
        </w:rPr>
        <w:t>4</w:t>
      </w:r>
      <w:r w:rsidR="00515771">
        <w:fldChar w:fldCharType="end"/>
      </w:r>
      <w:r w:rsidRPr="008B52EE" w:rsidR="00130E40">
        <w:t xml:space="preserve"> to arrive at an estimated annual dollar burden range of $</w:t>
      </w:r>
      <w:r w:rsidR="00085514">
        <w:t>2</w:t>
      </w:r>
      <w:r w:rsidRPr="008B52EE" w:rsidR="00BC3486">
        <w:t>2</w:t>
      </w:r>
      <w:r w:rsidRPr="008B52EE" w:rsidR="00130E40">
        <w:t>.0 million to $</w:t>
      </w:r>
      <w:r w:rsidR="00FE34AF">
        <w:t>45</w:t>
      </w:r>
      <w:r w:rsidRPr="008B52EE" w:rsidR="00130E40">
        <w:t xml:space="preserve">.0 million per year, with a midpoint of </w:t>
      </w:r>
      <w:r w:rsidRPr="008B52EE" w:rsidR="00816069">
        <w:t xml:space="preserve">approximately </w:t>
      </w:r>
      <w:r w:rsidRPr="008B52EE" w:rsidR="00130E40">
        <w:t>$</w:t>
      </w:r>
      <w:r w:rsidR="00FE34AF">
        <w:t>33</w:t>
      </w:r>
      <w:r w:rsidRPr="008B52EE" w:rsidR="0022370E">
        <w:t>.</w:t>
      </w:r>
      <w:r w:rsidRPr="008B52EE" w:rsidR="00146E7C">
        <w:t>0</w:t>
      </w:r>
      <w:r w:rsidRPr="008B52EE" w:rsidR="00130E40">
        <w:t xml:space="preserve"> million per year.</w:t>
      </w:r>
    </w:p>
    <w:p w:rsidRPr="008B52EE" w:rsidR="00130E40" w:rsidP="00130E40" w:rsidRDefault="00130E40" w14:paraId="6AC5D49C" w14:textId="77777777">
      <w:pPr>
        <w:tabs>
          <w:tab w:val="left" w:pos="-1440"/>
        </w:tabs>
        <w:ind w:left="719"/>
      </w:pPr>
    </w:p>
    <w:p w:rsidRPr="008B52EE" w:rsidR="00130E40" w:rsidRDefault="00130E40" w14:paraId="427A54D7" w14:textId="0DE21706">
      <w:pPr>
        <w:pStyle w:val="Caption"/>
        <w:keepNext/>
        <w:jc w:val="center"/>
      </w:pPr>
      <w:r w:rsidRPr="008B52EE">
        <w:t xml:space="preserve">Table </w:t>
      </w:r>
      <w:r w:rsidRPr="00D22FF3" w:rsidR="00DC5BDB">
        <w:rPr>
          <w:bCs w:val="0"/>
        </w:rPr>
        <w:fldChar w:fldCharType="begin"/>
      </w:r>
      <w:r w:rsidRPr="00D22FF3" w:rsidR="00DC5BDB">
        <w:rPr>
          <w:bCs w:val="0"/>
        </w:rPr>
        <w:instrText xml:space="preserve"> SEQ Table \* ARABIC </w:instrText>
      </w:r>
      <w:r w:rsidRPr="00D22FF3" w:rsidR="00DC5BDB">
        <w:rPr>
          <w:bCs w:val="0"/>
        </w:rPr>
        <w:fldChar w:fldCharType="separate"/>
      </w:r>
      <w:r w:rsidRPr="00D22FF3" w:rsidR="00BE09E0">
        <w:rPr>
          <w:bCs w:val="0"/>
          <w:noProof/>
        </w:rPr>
        <w:t>7</w:t>
      </w:r>
      <w:r w:rsidRPr="00D22FF3" w:rsidR="00DC5BDB">
        <w:rPr>
          <w:bCs w:val="0"/>
          <w:noProof/>
        </w:rPr>
        <w:fldChar w:fldCharType="end"/>
      </w:r>
      <w:r w:rsidRPr="008B52EE">
        <w:t xml:space="preserve">: Estimated </w:t>
      </w:r>
      <w:r w:rsidR="00FE34AF">
        <w:t>Certifying Authority</w:t>
      </w:r>
      <w:r w:rsidRPr="008B52EE">
        <w:t xml:space="preserve"> Annual Cost Burden (Millions)</w:t>
      </w:r>
    </w:p>
    <w:tbl>
      <w:tblPr>
        <w:tblStyle w:val="TableGrid"/>
        <w:tblW w:w="0" w:type="auto"/>
        <w:jc w:val="center"/>
        <w:tblLook w:val="04A0" w:firstRow="1" w:lastRow="0" w:firstColumn="1" w:lastColumn="0" w:noHBand="0" w:noVBand="1"/>
      </w:tblPr>
      <w:tblGrid>
        <w:gridCol w:w="1555"/>
        <w:gridCol w:w="1604"/>
        <w:gridCol w:w="1604"/>
      </w:tblGrid>
      <w:tr w:rsidRPr="008B52EE" w:rsidR="00816069" w:rsidTr="005C1162" w14:paraId="29AF10D0" w14:textId="77777777">
        <w:trPr>
          <w:trHeight w:val="288"/>
          <w:jc w:val="center"/>
        </w:trPr>
        <w:tc>
          <w:tcPr>
            <w:tcW w:w="1555" w:type="dxa"/>
            <w:noWrap/>
            <w:hideMark/>
          </w:tcPr>
          <w:p w:rsidRPr="008B52EE" w:rsidR="00816069" w:rsidP="00816069" w:rsidRDefault="00816069" w14:paraId="6A1592CC"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Low Estimate</w:t>
            </w:r>
          </w:p>
        </w:tc>
        <w:tc>
          <w:tcPr>
            <w:tcW w:w="1604" w:type="dxa"/>
          </w:tcPr>
          <w:p w:rsidRPr="008B52EE" w:rsidR="00816069" w:rsidP="00816069" w:rsidRDefault="00816069" w14:paraId="1ABD061A" w14:textId="38FFF376">
            <w:pPr>
              <w:widowControl/>
              <w:jc w:val="center"/>
              <w:rPr>
                <w:b/>
                <w:bCs/>
                <w:color w:val="000000"/>
                <w:sz w:val="22"/>
                <w:szCs w:val="22"/>
              </w:rPr>
            </w:pPr>
            <w:r w:rsidRPr="008B52EE">
              <w:rPr>
                <w:rFonts w:ascii="Times New Roman" w:hAnsi="Times New Roman"/>
                <w:b/>
                <w:bCs/>
                <w:color w:val="000000"/>
                <w:sz w:val="22"/>
                <w:szCs w:val="22"/>
              </w:rPr>
              <w:t>Midpoint</w:t>
            </w:r>
          </w:p>
        </w:tc>
        <w:tc>
          <w:tcPr>
            <w:tcW w:w="1604" w:type="dxa"/>
            <w:noWrap/>
            <w:hideMark/>
          </w:tcPr>
          <w:p w:rsidRPr="008B52EE" w:rsidR="00816069" w:rsidP="00816069" w:rsidRDefault="00816069" w14:paraId="58AD7C04" w14:textId="2571FBEF">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High Estimate</w:t>
            </w:r>
          </w:p>
        </w:tc>
      </w:tr>
      <w:tr w:rsidRPr="008B52EE" w:rsidR="00085514" w:rsidTr="00945AB1" w14:paraId="2168C97D" w14:textId="77777777">
        <w:trPr>
          <w:trHeight w:val="288"/>
          <w:jc w:val="center"/>
        </w:trPr>
        <w:tc>
          <w:tcPr>
            <w:tcW w:w="1555" w:type="dxa"/>
            <w:noWrap/>
            <w:vAlign w:val="center"/>
            <w:hideMark/>
          </w:tcPr>
          <w:p w:rsidRPr="002729B7" w:rsidR="00085514" w:rsidP="00945AB1" w:rsidRDefault="00085514" w14:paraId="3C24C1C5" w14:textId="64393462">
            <w:pPr>
              <w:widowControl/>
              <w:autoSpaceDE/>
              <w:autoSpaceDN/>
              <w:adjustRightInd/>
              <w:jc w:val="center"/>
              <w:rPr>
                <w:rFonts w:ascii="Times New Roman" w:hAnsi="Times New Roman" w:cs="Times New Roman"/>
                <w:color w:val="000000"/>
                <w:sz w:val="22"/>
                <w:szCs w:val="22"/>
              </w:rPr>
            </w:pPr>
            <w:r w:rsidRPr="002729B7">
              <w:rPr>
                <w:rFonts w:ascii="Times New Roman" w:hAnsi="Times New Roman" w:cs="Times New Roman"/>
                <w:color w:val="000000"/>
                <w:sz w:val="22"/>
                <w:szCs w:val="22"/>
              </w:rPr>
              <w:t>$</w:t>
            </w:r>
            <w:r w:rsidRPr="00FE34AF" w:rsidR="00FE34AF">
              <w:rPr>
                <w:rFonts w:ascii="Times New Roman" w:hAnsi="Times New Roman" w:cs="Times New Roman"/>
                <w:color w:val="000000"/>
                <w:sz w:val="22"/>
                <w:szCs w:val="22"/>
              </w:rPr>
              <w:t>22</w:t>
            </w:r>
            <w:r w:rsidRPr="002729B7">
              <w:rPr>
                <w:rFonts w:ascii="Times New Roman" w:hAnsi="Times New Roman" w:cs="Times New Roman"/>
                <w:color w:val="000000"/>
                <w:sz w:val="22"/>
                <w:szCs w:val="22"/>
              </w:rPr>
              <w:t>.0</w:t>
            </w:r>
          </w:p>
        </w:tc>
        <w:tc>
          <w:tcPr>
            <w:tcW w:w="1604" w:type="dxa"/>
            <w:vAlign w:val="center"/>
          </w:tcPr>
          <w:p w:rsidRPr="002729B7" w:rsidR="00085514" w:rsidP="00945AB1" w:rsidRDefault="00085514" w14:paraId="701763D4" w14:textId="019B8A71">
            <w:pPr>
              <w:widowControl/>
              <w:autoSpaceDE/>
              <w:autoSpaceDN/>
              <w:adjustRightInd/>
              <w:jc w:val="center"/>
              <w:rPr>
                <w:rFonts w:ascii="Times New Roman" w:hAnsi="Times New Roman" w:cs="Times New Roman"/>
                <w:color w:val="000000"/>
                <w:sz w:val="22"/>
                <w:szCs w:val="22"/>
              </w:rPr>
            </w:pPr>
            <w:r w:rsidRPr="002729B7">
              <w:rPr>
                <w:rFonts w:ascii="Times New Roman" w:hAnsi="Times New Roman" w:cs="Times New Roman"/>
                <w:color w:val="000000"/>
                <w:sz w:val="22"/>
                <w:szCs w:val="22"/>
              </w:rPr>
              <w:t>$</w:t>
            </w:r>
            <w:r w:rsidRPr="00FE34AF" w:rsidR="00FE34AF">
              <w:rPr>
                <w:rFonts w:ascii="Times New Roman" w:hAnsi="Times New Roman" w:cs="Times New Roman"/>
                <w:color w:val="000000"/>
                <w:sz w:val="22"/>
                <w:szCs w:val="22"/>
              </w:rPr>
              <w:t>33</w:t>
            </w:r>
            <w:r w:rsidRPr="002729B7">
              <w:rPr>
                <w:rFonts w:ascii="Times New Roman" w:hAnsi="Times New Roman" w:cs="Times New Roman"/>
                <w:color w:val="000000"/>
                <w:sz w:val="22"/>
                <w:szCs w:val="22"/>
              </w:rPr>
              <w:t>.0</w:t>
            </w:r>
          </w:p>
        </w:tc>
        <w:tc>
          <w:tcPr>
            <w:tcW w:w="1604" w:type="dxa"/>
            <w:noWrap/>
            <w:vAlign w:val="center"/>
            <w:hideMark/>
          </w:tcPr>
          <w:p w:rsidRPr="002729B7" w:rsidR="00085514" w:rsidP="00945AB1" w:rsidRDefault="00085514" w14:paraId="692A83F9" w14:textId="471AC7AC">
            <w:pPr>
              <w:widowControl/>
              <w:autoSpaceDE/>
              <w:autoSpaceDN/>
              <w:adjustRightInd/>
              <w:jc w:val="center"/>
              <w:rPr>
                <w:rFonts w:ascii="Times New Roman" w:hAnsi="Times New Roman" w:cs="Times New Roman"/>
                <w:color w:val="000000"/>
                <w:sz w:val="22"/>
                <w:szCs w:val="22"/>
              </w:rPr>
            </w:pPr>
            <w:r w:rsidRPr="002729B7">
              <w:rPr>
                <w:rFonts w:ascii="Times New Roman" w:hAnsi="Times New Roman" w:cs="Times New Roman"/>
                <w:color w:val="000000"/>
                <w:sz w:val="22"/>
                <w:szCs w:val="22"/>
              </w:rPr>
              <w:t>$</w:t>
            </w:r>
            <w:r w:rsidRPr="00FE34AF" w:rsidR="00FE34AF">
              <w:rPr>
                <w:rFonts w:ascii="Times New Roman" w:hAnsi="Times New Roman" w:cs="Times New Roman"/>
                <w:color w:val="000000"/>
                <w:sz w:val="22"/>
                <w:szCs w:val="22"/>
              </w:rPr>
              <w:t>45</w:t>
            </w:r>
            <w:r w:rsidRPr="002729B7">
              <w:rPr>
                <w:rFonts w:ascii="Times New Roman" w:hAnsi="Times New Roman" w:cs="Times New Roman"/>
                <w:color w:val="000000"/>
                <w:sz w:val="22"/>
                <w:szCs w:val="22"/>
              </w:rPr>
              <w:t>.0</w:t>
            </w:r>
          </w:p>
        </w:tc>
      </w:tr>
    </w:tbl>
    <w:p w:rsidR="00833E86" w:rsidP="00833E86" w:rsidRDefault="00833E86" w14:paraId="0DD3BAB5" w14:textId="77777777">
      <w:pPr>
        <w:ind w:firstLine="720"/>
      </w:pPr>
    </w:p>
    <w:p w:rsidRPr="008B52EE" w:rsidR="00833E86" w:rsidP="00FE34AF" w:rsidRDefault="00833E86" w14:paraId="0EAE7977" w14:textId="77777777">
      <w:pPr>
        <w:pStyle w:val="Heading3"/>
        <w:numPr>
          <w:ilvl w:val="6"/>
          <w:numId w:val="15"/>
        </w:numPr>
      </w:pPr>
      <w:r w:rsidRPr="008B52EE">
        <w:t>Project Proponents</w:t>
      </w:r>
    </w:p>
    <w:p w:rsidRPr="008B52EE" w:rsidR="00833E86" w:rsidP="00833E86" w:rsidRDefault="00833E86" w14:paraId="6205F20C" w14:textId="0B464A9A">
      <w:pPr>
        <w:ind w:firstLine="720"/>
      </w:pPr>
      <w:r w:rsidRPr="008B52EE">
        <w:t>Certification request documents are likely prepared by a team of employees with a range of skills. For the purposes of this burden estimate, the EPA consulted the Bureau of Labor Statistics website for wage information related to engineering services</w:t>
      </w:r>
      <w:r w:rsidR="00DA4B62">
        <w:t>.</w:t>
      </w:r>
      <w:r w:rsidRPr="008B52EE">
        <w:rPr>
          <w:vertAlign w:val="superscript"/>
        </w:rPr>
        <w:footnoteReference w:id="12"/>
      </w:r>
      <w:r w:rsidRPr="008B52EE">
        <w:t xml:space="preserve"> The median hourly wage for all occupations under engineering services for May 2018, the most recent available, is $37. Adding a 1.6 overhead factor results in a median hourly wage of $59. The EPA multiplied this hourly wage by the hourly burden </w:t>
      </w:r>
      <w:r>
        <w:t xml:space="preserve">for project proponents in </w:t>
      </w:r>
      <w:r>
        <w:fldChar w:fldCharType="begin"/>
      </w:r>
      <w:r>
        <w:instrText xml:space="preserve"> REF _Ref31208519 \h </w:instrText>
      </w:r>
      <w:r>
        <w:fldChar w:fldCharType="separate"/>
      </w:r>
      <w:r w:rsidRPr="008B52EE" w:rsidR="00393F4D">
        <w:t xml:space="preserve">Table </w:t>
      </w:r>
      <w:r w:rsidR="00393F4D">
        <w:rPr>
          <w:noProof/>
        </w:rPr>
        <w:t>6</w:t>
      </w:r>
      <w:r>
        <w:fldChar w:fldCharType="end"/>
      </w:r>
      <w:r>
        <w:t xml:space="preserve"> </w:t>
      </w:r>
      <w:r w:rsidRPr="008B52EE">
        <w:t xml:space="preserve">to arrive at the estimated cost burden. The average estimated </w:t>
      </w:r>
      <w:r>
        <w:t xml:space="preserve">total </w:t>
      </w:r>
      <w:r w:rsidRPr="008B52EE">
        <w:t>cost burden associated with certification requests for project proponents ranges from $</w:t>
      </w:r>
      <w:r w:rsidR="009F2E46">
        <w:t>15</w:t>
      </w:r>
      <w:r w:rsidRPr="008B52EE">
        <w:t>.0 million to $</w:t>
      </w:r>
      <w:r w:rsidR="009F2E46">
        <w:t>31</w:t>
      </w:r>
      <w:r w:rsidRPr="008B52EE">
        <w:t>.0 million per year, with a midpoint of approximately $</w:t>
      </w:r>
      <w:r w:rsidR="009F2E46">
        <w:t>23</w:t>
      </w:r>
      <w:r w:rsidRPr="008B52EE">
        <w:t>.0 million per year.</w:t>
      </w:r>
    </w:p>
    <w:p w:rsidRPr="008B52EE" w:rsidR="00833E86" w:rsidP="00833E86" w:rsidRDefault="00833E86" w14:paraId="19238EED" w14:textId="77777777">
      <w:pPr>
        <w:ind w:left="720"/>
      </w:pPr>
    </w:p>
    <w:p w:rsidRPr="008B52EE" w:rsidR="00833E86" w:rsidP="00833E86" w:rsidRDefault="00833E86" w14:paraId="042EE867" w14:textId="33551E5A">
      <w:pPr>
        <w:pStyle w:val="Caption"/>
        <w:jc w:val="center"/>
      </w:pPr>
      <w:r w:rsidRPr="008B52EE">
        <w:t xml:space="preserve">Table </w:t>
      </w:r>
      <w:r>
        <w:fldChar w:fldCharType="begin"/>
      </w:r>
      <w:r>
        <w:instrText>SEQ Table \* ARABIC</w:instrText>
      </w:r>
      <w:r>
        <w:fldChar w:fldCharType="separate"/>
      </w:r>
      <w:r w:rsidR="00BE09E0">
        <w:rPr>
          <w:noProof/>
        </w:rPr>
        <w:t>8</w:t>
      </w:r>
      <w:r>
        <w:fldChar w:fldCharType="end"/>
      </w:r>
      <w:r w:rsidRPr="008B52EE">
        <w:t>: Estimated Project Proponent Annual Cost Burden (Millions)</w:t>
      </w:r>
    </w:p>
    <w:tbl>
      <w:tblPr>
        <w:tblStyle w:val="TableGrid"/>
        <w:tblW w:w="5130" w:type="dxa"/>
        <w:jc w:val="center"/>
        <w:tblLook w:val="04A0" w:firstRow="1" w:lastRow="0" w:firstColumn="1" w:lastColumn="0" w:noHBand="0" w:noVBand="1"/>
      </w:tblPr>
      <w:tblGrid>
        <w:gridCol w:w="1890"/>
        <w:gridCol w:w="1620"/>
        <w:gridCol w:w="1620"/>
      </w:tblGrid>
      <w:tr w:rsidRPr="008B52EE" w:rsidR="00833E86" w:rsidTr="009F2E46" w14:paraId="680D76CF" w14:textId="77777777">
        <w:trPr>
          <w:trHeight w:val="288"/>
          <w:jc w:val="center"/>
        </w:trPr>
        <w:tc>
          <w:tcPr>
            <w:tcW w:w="1890" w:type="dxa"/>
            <w:noWrap/>
            <w:hideMark/>
          </w:tcPr>
          <w:p w:rsidRPr="008B52EE" w:rsidR="00833E86" w:rsidP="009F2E46" w:rsidRDefault="00833E86" w14:paraId="169663C7"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Low Estimate</w:t>
            </w:r>
          </w:p>
        </w:tc>
        <w:tc>
          <w:tcPr>
            <w:tcW w:w="1620" w:type="dxa"/>
          </w:tcPr>
          <w:p w:rsidRPr="008B52EE" w:rsidR="00833E86" w:rsidP="009F2E46" w:rsidRDefault="00833E86" w14:paraId="227E9127" w14:textId="77777777">
            <w:pPr>
              <w:widowControl/>
              <w:jc w:val="center"/>
              <w:rPr>
                <w:b/>
                <w:bCs/>
                <w:color w:val="000000"/>
                <w:sz w:val="22"/>
                <w:szCs w:val="22"/>
              </w:rPr>
            </w:pPr>
            <w:r w:rsidRPr="008B52EE">
              <w:rPr>
                <w:rFonts w:ascii="Times New Roman" w:hAnsi="Times New Roman"/>
                <w:b/>
                <w:bCs/>
                <w:color w:val="000000"/>
                <w:sz w:val="22"/>
                <w:szCs w:val="22"/>
              </w:rPr>
              <w:t>Midpoint</w:t>
            </w:r>
          </w:p>
        </w:tc>
        <w:tc>
          <w:tcPr>
            <w:tcW w:w="1620" w:type="dxa"/>
            <w:noWrap/>
            <w:hideMark/>
          </w:tcPr>
          <w:p w:rsidRPr="008B52EE" w:rsidR="00833E86" w:rsidP="009F2E46" w:rsidRDefault="00833E86" w14:paraId="6C93400F"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High Estimate</w:t>
            </w:r>
          </w:p>
        </w:tc>
      </w:tr>
      <w:tr w:rsidRPr="008B52EE" w:rsidR="009F2E46" w:rsidTr="009F2E46" w14:paraId="673EC1B2" w14:textId="77777777">
        <w:trPr>
          <w:trHeight w:val="288"/>
          <w:jc w:val="center"/>
        </w:trPr>
        <w:tc>
          <w:tcPr>
            <w:tcW w:w="1890" w:type="dxa"/>
            <w:noWrap/>
            <w:vAlign w:val="center"/>
            <w:hideMark/>
          </w:tcPr>
          <w:p w:rsidRPr="002729B7" w:rsidR="009F2E46" w:rsidP="009F2E46" w:rsidRDefault="009F2E46" w14:paraId="6793CAAC" w14:textId="3860DF56">
            <w:pPr>
              <w:widowControl/>
              <w:autoSpaceDE/>
              <w:autoSpaceDN/>
              <w:adjustRightInd/>
              <w:jc w:val="center"/>
              <w:rPr>
                <w:rFonts w:ascii="Times New Roman" w:hAnsi="Times New Roman" w:cs="Times New Roman"/>
                <w:color w:val="000000"/>
                <w:sz w:val="22"/>
                <w:szCs w:val="22"/>
              </w:rPr>
            </w:pPr>
            <w:r w:rsidRPr="009F2E46">
              <w:rPr>
                <w:rFonts w:ascii="Times New Roman" w:hAnsi="Times New Roman" w:cs="Times New Roman"/>
                <w:color w:val="000000"/>
                <w:sz w:val="22"/>
                <w:szCs w:val="22"/>
              </w:rPr>
              <w:t>$15.0</w:t>
            </w:r>
          </w:p>
        </w:tc>
        <w:tc>
          <w:tcPr>
            <w:tcW w:w="1620" w:type="dxa"/>
            <w:vAlign w:val="center"/>
          </w:tcPr>
          <w:p w:rsidRPr="002729B7" w:rsidR="009F2E46" w:rsidP="009F2E46" w:rsidRDefault="009F2E46" w14:paraId="2BD322C5" w14:textId="5F6B8164">
            <w:pPr>
              <w:widowControl/>
              <w:autoSpaceDE/>
              <w:autoSpaceDN/>
              <w:adjustRightInd/>
              <w:jc w:val="center"/>
              <w:rPr>
                <w:rFonts w:ascii="Times New Roman" w:hAnsi="Times New Roman" w:cs="Times New Roman"/>
                <w:color w:val="000000"/>
                <w:sz w:val="22"/>
                <w:szCs w:val="22"/>
              </w:rPr>
            </w:pPr>
            <w:r w:rsidRPr="009F2E46">
              <w:rPr>
                <w:rFonts w:ascii="Times New Roman" w:hAnsi="Times New Roman" w:cs="Times New Roman"/>
                <w:color w:val="000000"/>
                <w:sz w:val="22"/>
                <w:szCs w:val="22"/>
              </w:rPr>
              <w:t>$23.0</w:t>
            </w:r>
          </w:p>
        </w:tc>
        <w:tc>
          <w:tcPr>
            <w:tcW w:w="1620" w:type="dxa"/>
            <w:noWrap/>
            <w:vAlign w:val="center"/>
            <w:hideMark/>
          </w:tcPr>
          <w:p w:rsidRPr="002729B7" w:rsidR="009F2E46" w:rsidP="009F2E46" w:rsidRDefault="009F2E46" w14:paraId="5DE9A3D3" w14:textId="02E1C4AA">
            <w:pPr>
              <w:widowControl/>
              <w:autoSpaceDE/>
              <w:autoSpaceDN/>
              <w:adjustRightInd/>
              <w:jc w:val="center"/>
              <w:rPr>
                <w:rFonts w:ascii="Times New Roman" w:hAnsi="Times New Roman" w:cs="Times New Roman"/>
                <w:color w:val="000000"/>
                <w:sz w:val="22"/>
                <w:szCs w:val="22"/>
              </w:rPr>
            </w:pPr>
            <w:r w:rsidRPr="009F2E46">
              <w:rPr>
                <w:rFonts w:ascii="Times New Roman" w:hAnsi="Times New Roman" w:cs="Times New Roman"/>
                <w:color w:val="000000"/>
                <w:sz w:val="22"/>
                <w:szCs w:val="22"/>
              </w:rPr>
              <w:t>$31.0</w:t>
            </w:r>
          </w:p>
        </w:tc>
      </w:tr>
    </w:tbl>
    <w:p w:rsidRPr="008B52EE" w:rsidR="00833E86" w:rsidP="00833E86" w:rsidRDefault="00833E86" w14:paraId="6D99C704" w14:textId="77777777">
      <w:pPr>
        <w:pStyle w:val="Caption"/>
      </w:pPr>
    </w:p>
    <w:p w:rsidR="00DA4B62" w:rsidP="00070CB4" w:rsidRDefault="00DA4B62" w14:paraId="02416F8F" w14:textId="22A8A48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r w:rsidRPr="008B52EE">
        <w:t xml:space="preserve">Not all certification </w:t>
      </w:r>
      <w:r>
        <w:t>request</w:t>
      </w:r>
      <w:r w:rsidR="00070CB4">
        <w:t>s</w:t>
      </w:r>
      <w:r w:rsidRPr="008B52EE">
        <w:t xml:space="preserve"> necessitate the same associated burden. The certifications for small projects can be </w:t>
      </w:r>
      <w:r w:rsidR="00070CB4">
        <w:t>prepared</w:t>
      </w:r>
      <w:r w:rsidRPr="008B52EE">
        <w:t xml:space="preserve"> by the </w:t>
      </w:r>
      <w:r w:rsidR="00070CB4">
        <w:t>project proponent</w:t>
      </w:r>
      <w:r w:rsidRPr="008B52EE">
        <w:t xml:space="preserve"> with relatively little associated </w:t>
      </w:r>
      <w:r w:rsidRPr="008B52EE">
        <w:lastRenderedPageBreak/>
        <w:t xml:space="preserve">burden. The </w:t>
      </w:r>
      <w:r w:rsidR="00070CB4">
        <w:t>requests</w:t>
      </w:r>
      <w:r w:rsidRPr="008B52EE">
        <w:t xml:space="preserve"> for larger, more complex projects may require significantly more associated burden to </w:t>
      </w:r>
      <w:r w:rsidR="00070CB4">
        <w:t>prepare</w:t>
      </w:r>
      <w:r w:rsidRPr="008B52EE">
        <w:t>.</w:t>
      </w:r>
      <w:r w:rsidR="00147BCE">
        <w:t xml:space="preserve"> </w:t>
      </w:r>
    </w:p>
    <w:p w:rsidR="00DA4B62" w:rsidP="00833E86" w:rsidRDefault="00DA4B62" w14:paraId="6BC2368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pPr>
    </w:p>
    <w:p w:rsidRPr="008B52EE" w:rsidR="00833E86" w:rsidP="00833E86" w:rsidRDefault="00833E86" w14:paraId="3F74E03C" w14:textId="23616DE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b/>
        </w:rPr>
      </w:pPr>
      <w:r w:rsidRPr="008B52EE">
        <w:t>There are no specific record keeping requirements in the EPA’s certification regulations.</w:t>
      </w:r>
    </w:p>
    <w:p w:rsidRPr="008B52EE"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Pr="00945AB1" w:rsidR="00CA4CD6" w:rsidP="00945AB1" w:rsidRDefault="00CA4CD6" w14:paraId="7883C787" w14:textId="6B25C9D7">
      <w:pPr>
        <w:pStyle w:val="ListParagraph"/>
        <w:numPr>
          <w:ilvl w:val="5"/>
          <w:numId w:val="12"/>
        </w:numPr>
        <w:pBdr>
          <w:top w:val="single" w:color="FFFFFF" w:sz="6" w:space="0"/>
          <w:left w:val="single" w:color="FFFFFF" w:sz="6" w:space="0"/>
          <w:bottom w:val="single" w:color="FFFFFF" w:sz="6" w:space="0"/>
          <w:right w:val="single" w:color="FFFFFF" w:sz="6" w:space="0"/>
        </w:pBdr>
        <w:outlineLvl w:val="0"/>
        <w:rPr>
          <w:b/>
          <w:bCs/>
          <w:color w:val="000000"/>
        </w:rPr>
      </w:pPr>
      <w:r w:rsidRPr="00945AB1">
        <w:rPr>
          <w:b/>
          <w:bCs/>
          <w:color w:val="000000"/>
        </w:rPr>
        <w:t>Estimating Capital/Startup and Operation and Maintenance Costs</w:t>
      </w:r>
    </w:p>
    <w:p w:rsidR="00C26C34" w:rsidP="00945AB1" w:rsidRDefault="00F56A7C" w14:paraId="7EED7B57" w14:textId="35306532">
      <w:pPr>
        <w:pStyle w:val="Heading3"/>
        <w:numPr>
          <w:ilvl w:val="6"/>
          <w:numId w:val="13"/>
        </w:numPr>
      </w:pPr>
      <w:r>
        <w:t xml:space="preserve"> Fees</w:t>
      </w:r>
    </w:p>
    <w:p w:rsidR="00C26C34" w:rsidP="00AD2716" w:rsidRDefault="00F56A7C" w14:paraId="72C95E3E" w14:textId="3ABD8E50">
      <w:pPr>
        <w:ind w:firstLine="720"/>
      </w:pPr>
      <w:r>
        <w:t>In some</w:t>
      </w:r>
      <w:r w:rsidR="00FC4BF5">
        <w:t xml:space="preserve"> </w:t>
      </w:r>
      <w:r>
        <w:t>cases</w:t>
      </w:r>
      <w:r w:rsidR="007332F0">
        <w:t>,</w:t>
      </w:r>
      <w:r>
        <w:t xml:space="preserve"> project proponents</w:t>
      </w:r>
      <w:r w:rsidR="00C83B6F">
        <w:t xml:space="preserve"> may</w:t>
      </w:r>
      <w:r>
        <w:t xml:space="preserve"> pay fees for certification requests. </w:t>
      </w:r>
      <w:r w:rsidR="00C26C34">
        <w:t>Not all certifying authorities assign fees for section 401 water quality certification</w:t>
      </w:r>
      <w:r w:rsidR="007332F0">
        <w:t>s</w:t>
      </w:r>
      <w:r w:rsidR="00C26C34">
        <w:t>. Twenty states in addition to the District of Col</w:t>
      </w:r>
      <w:r w:rsidR="00DA4B62">
        <w:t>u</w:t>
      </w:r>
      <w:r w:rsidR="00C26C34">
        <w:t>mbia do not</w:t>
      </w:r>
      <w:r w:rsidR="00315C65">
        <w:t xml:space="preserve"> charge fees</w:t>
      </w:r>
      <w:r w:rsidR="00C26C34">
        <w:t xml:space="preserve">, while the remainder </w:t>
      </w:r>
      <w:r w:rsidR="0027243E">
        <w:t xml:space="preserve">may </w:t>
      </w:r>
      <w:r w:rsidR="00C26C34">
        <w:t xml:space="preserve">charge fees but the structure under which they are assigned varies. Some fees are flat, meaning each submission is assigned the same fee, while others vary </w:t>
      </w:r>
      <w:r w:rsidR="00101F8D">
        <w:t>depending on</w:t>
      </w:r>
      <w:r w:rsidR="00C26C34">
        <w:t xml:space="preserve"> project characteristics (i.e. project activity, permit type, project size, etc).</w:t>
      </w:r>
      <w:r w:rsidR="00C83B6F">
        <w:t xml:space="preserve"> </w:t>
      </w:r>
      <w:r w:rsidR="00C26C34">
        <w:t xml:space="preserve">Detailed data on all </w:t>
      </w:r>
      <w:r w:rsidR="00483D40">
        <w:t>project proponent submissions</w:t>
      </w:r>
      <w:r w:rsidR="00C26C34">
        <w:t xml:space="preserve"> is not </w:t>
      </w:r>
      <w:r w:rsidR="00483D40">
        <w:t xml:space="preserve">currently </w:t>
      </w:r>
      <w:r w:rsidR="00C26C34">
        <w:t xml:space="preserve">available. A </w:t>
      </w:r>
      <w:r w:rsidR="00483D40">
        <w:t>per-</w:t>
      </w:r>
      <w:r w:rsidR="00583454">
        <w:t xml:space="preserve">certification </w:t>
      </w:r>
      <w:r w:rsidR="00483D40">
        <w:t xml:space="preserve">request </w:t>
      </w:r>
      <w:r w:rsidR="00C26C34">
        <w:t>range of fees</w:t>
      </w:r>
      <w:r w:rsidR="00483D40">
        <w:t xml:space="preserve"> was estimated based on state fee structures and is presented in </w:t>
      </w:r>
      <w:r w:rsidR="00EE77F8">
        <w:fldChar w:fldCharType="begin"/>
      </w:r>
      <w:r w:rsidR="00EE77F8">
        <w:instrText xml:space="preserve"> REF _Ref31269620 \h </w:instrText>
      </w:r>
      <w:r w:rsidR="00EE77F8">
        <w:fldChar w:fldCharType="separate"/>
      </w:r>
      <w:r w:rsidR="00BE09E0">
        <w:t xml:space="preserve">Table </w:t>
      </w:r>
      <w:r w:rsidR="00BE09E0">
        <w:rPr>
          <w:noProof/>
        </w:rPr>
        <w:t>9</w:t>
      </w:r>
      <w:r w:rsidR="00EE77F8">
        <w:fldChar w:fldCharType="end"/>
      </w:r>
      <w:r w:rsidR="00567A3D">
        <w:t xml:space="preserve">, where the high estimate is the average fee for those states </w:t>
      </w:r>
      <w:r w:rsidR="006F4714">
        <w:t>with available information on fees</w:t>
      </w:r>
      <w:r w:rsidR="00EE77F8">
        <w:t>.</w:t>
      </w:r>
    </w:p>
    <w:p w:rsidR="0027243E" w:rsidRDefault="0027243E" w14:paraId="619BA9A3" w14:textId="77777777">
      <w:pPr>
        <w:ind w:firstLine="720"/>
      </w:pPr>
    </w:p>
    <w:p w:rsidR="00EE77F8" w:rsidP="00945AB1" w:rsidRDefault="00EE77F8" w14:paraId="40D6C905" w14:textId="707FDB33">
      <w:pPr>
        <w:pStyle w:val="Caption"/>
        <w:jc w:val="center"/>
      </w:pPr>
      <w:bookmarkStart w:name="_Ref31269620" w:id="18"/>
      <w:bookmarkStart w:name="_Ref31269605" w:id="19"/>
      <w:r>
        <w:t xml:space="preserve">Table </w:t>
      </w:r>
      <w:fldSimple w:instr=" SEQ Table \* ARABIC ">
        <w:r w:rsidR="00BE09E0">
          <w:rPr>
            <w:noProof/>
          </w:rPr>
          <w:t>9</w:t>
        </w:r>
      </w:fldSimple>
      <w:bookmarkEnd w:id="18"/>
      <w:r>
        <w:t>: Per-Certification Request Fee Estimates</w:t>
      </w:r>
      <w:bookmarkEnd w:id="19"/>
    </w:p>
    <w:tbl>
      <w:tblPr>
        <w:tblW w:w="5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1530"/>
        <w:gridCol w:w="1928"/>
      </w:tblGrid>
      <w:tr w:rsidRPr="00EE77F8" w:rsidR="00A13E95" w:rsidTr="00266C54" w14:paraId="2993B6A0" w14:textId="77777777">
        <w:trPr>
          <w:trHeight w:val="288"/>
          <w:jc w:val="center"/>
        </w:trPr>
        <w:tc>
          <w:tcPr>
            <w:tcW w:w="1885" w:type="dxa"/>
            <w:shd w:val="clear" w:color="auto" w:fill="auto"/>
            <w:noWrap/>
            <w:vAlign w:val="bottom"/>
            <w:hideMark/>
          </w:tcPr>
          <w:p w:rsidRPr="00945AB1" w:rsidR="00A13E95" w:rsidP="00945AB1" w:rsidRDefault="00A13E95" w14:paraId="3DE30A0A" w14:textId="77777777">
            <w:pPr>
              <w:widowControl/>
              <w:jc w:val="center"/>
              <w:rPr>
                <w:rFonts w:cstheme="minorBidi"/>
                <w:b/>
                <w:bCs/>
                <w:color w:val="000000"/>
                <w:sz w:val="22"/>
                <w:szCs w:val="22"/>
              </w:rPr>
            </w:pPr>
            <w:r w:rsidRPr="00945AB1">
              <w:rPr>
                <w:rFonts w:cstheme="minorBidi"/>
                <w:b/>
                <w:bCs/>
                <w:color w:val="000000"/>
                <w:sz w:val="22"/>
                <w:szCs w:val="22"/>
              </w:rPr>
              <w:t>Permit Type</w:t>
            </w:r>
          </w:p>
        </w:tc>
        <w:tc>
          <w:tcPr>
            <w:tcW w:w="1530" w:type="dxa"/>
            <w:shd w:val="clear" w:color="auto" w:fill="auto"/>
            <w:noWrap/>
            <w:vAlign w:val="bottom"/>
            <w:hideMark/>
          </w:tcPr>
          <w:p w:rsidRPr="002E63D2" w:rsidR="00A13E95" w:rsidP="00EE77F8" w:rsidRDefault="00A13E95" w14:paraId="4A04E764" w14:textId="77777777">
            <w:pPr>
              <w:widowControl/>
              <w:autoSpaceDE/>
              <w:autoSpaceDN/>
              <w:adjustRightInd/>
              <w:rPr>
                <w:rFonts w:cstheme="minorBidi"/>
                <w:b/>
                <w:bCs/>
                <w:color w:val="000000"/>
                <w:sz w:val="22"/>
                <w:szCs w:val="22"/>
              </w:rPr>
            </w:pPr>
            <w:r w:rsidRPr="002E63D2">
              <w:rPr>
                <w:rFonts w:cstheme="minorBidi"/>
                <w:b/>
                <w:bCs/>
                <w:color w:val="000000"/>
                <w:sz w:val="22"/>
                <w:szCs w:val="22"/>
              </w:rPr>
              <w:t>Low Estimate</w:t>
            </w:r>
          </w:p>
        </w:tc>
        <w:tc>
          <w:tcPr>
            <w:tcW w:w="1928" w:type="dxa"/>
            <w:shd w:val="clear" w:color="auto" w:fill="auto"/>
            <w:noWrap/>
            <w:vAlign w:val="bottom"/>
            <w:hideMark/>
          </w:tcPr>
          <w:p w:rsidRPr="002E63D2" w:rsidR="00A13E95" w:rsidP="00266C54" w:rsidRDefault="00A13E95" w14:paraId="392DC54A" w14:textId="4B44DA0A">
            <w:pPr>
              <w:widowControl/>
              <w:autoSpaceDE/>
              <w:autoSpaceDN/>
              <w:adjustRightInd/>
              <w:jc w:val="center"/>
              <w:rPr>
                <w:rFonts w:cstheme="minorBidi"/>
                <w:b/>
                <w:bCs/>
                <w:color w:val="000000"/>
                <w:sz w:val="22"/>
                <w:szCs w:val="22"/>
              </w:rPr>
            </w:pPr>
            <w:r w:rsidRPr="002E63D2">
              <w:rPr>
                <w:rFonts w:cstheme="minorBidi"/>
                <w:b/>
                <w:bCs/>
                <w:color w:val="000000"/>
                <w:sz w:val="22"/>
                <w:szCs w:val="22"/>
              </w:rPr>
              <w:t>High Estimate</w:t>
            </w:r>
          </w:p>
        </w:tc>
      </w:tr>
      <w:tr w:rsidRPr="00EE77F8" w:rsidR="00A13E95" w:rsidTr="00266C54" w14:paraId="422B71B4" w14:textId="77777777">
        <w:trPr>
          <w:trHeight w:val="288"/>
          <w:jc w:val="center"/>
        </w:trPr>
        <w:tc>
          <w:tcPr>
            <w:tcW w:w="1885" w:type="dxa"/>
            <w:shd w:val="clear" w:color="auto" w:fill="auto"/>
            <w:noWrap/>
            <w:vAlign w:val="bottom"/>
            <w:hideMark/>
          </w:tcPr>
          <w:p w:rsidRPr="00945AB1" w:rsidR="00A13E95" w:rsidP="00945AB1" w:rsidRDefault="00A13E95" w14:paraId="22D1D498" w14:textId="77777777">
            <w:pPr>
              <w:widowControl/>
              <w:autoSpaceDE/>
              <w:autoSpaceDN/>
              <w:adjustRightInd/>
              <w:jc w:val="center"/>
              <w:rPr>
                <w:color w:val="000000"/>
                <w:sz w:val="22"/>
                <w:szCs w:val="22"/>
              </w:rPr>
            </w:pPr>
            <w:r w:rsidRPr="00945AB1">
              <w:rPr>
                <w:color w:val="000000"/>
                <w:sz w:val="22"/>
                <w:szCs w:val="22"/>
              </w:rPr>
              <w:t>General Permit</w:t>
            </w:r>
          </w:p>
        </w:tc>
        <w:tc>
          <w:tcPr>
            <w:tcW w:w="1530" w:type="dxa"/>
            <w:shd w:val="clear" w:color="auto" w:fill="auto"/>
            <w:noWrap/>
            <w:vAlign w:val="bottom"/>
            <w:hideMark/>
          </w:tcPr>
          <w:p w:rsidRPr="00945AB1" w:rsidR="00A13E95" w:rsidP="00945AB1" w:rsidRDefault="00A13E95" w14:paraId="66D59519" w14:textId="77777777">
            <w:pPr>
              <w:widowControl/>
              <w:autoSpaceDE/>
              <w:autoSpaceDN/>
              <w:adjustRightInd/>
              <w:jc w:val="center"/>
              <w:rPr>
                <w:color w:val="000000"/>
                <w:sz w:val="22"/>
                <w:szCs w:val="22"/>
              </w:rPr>
            </w:pPr>
            <w:r w:rsidRPr="00945AB1">
              <w:rPr>
                <w:color w:val="000000"/>
                <w:sz w:val="22"/>
                <w:szCs w:val="22"/>
              </w:rPr>
              <w:t>$0</w:t>
            </w:r>
          </w:p>
        </w:tc>
        <w:tc>
          <w:tcPr>
            <w:tcW w:w="1928" w:type="dxa"/>
            <w:shd w:val="clear" w:color="auto" w:fill="auto"/>
            <w:noWrap/>
            <w:vAlign w:val="bottom"/>
            <w:hideMark/>
          </w:tcPr>
          <w:p w:rsidRPr="00945AB1" w:rsidR="00A13E95" w:rsidP="00945AB1" w:rsidRDefault="00A13E95" w14:paraId="2AC5BDAB" w14:textId="77777777">
            <w:pPr>
              <w:widowControl/>
              <w:autoSpaceDE/>
              <w:autoSpaceDN/>
              <w:adjustRightInd/>
              <w:jc w:val="center"/>
              <w:rPr>
                <w:color w:val="000000"/>
                <w:sz w:val="22"/>
                <w:szCs w:val="22"/>
              </w:rPr>
            </w:pPr>
            <w:r w:rsidRPr="00945AB1">
              <w:rPr>
                <w:color w:val="000000"/>
                <w:sz w:val="22"/>
                <w:szCs w:val="22"/>
              </w:rPr>
              <w:t>$69</w:t>
            </w:r>
          </w:p>
        </w:tc>
      </w:tr>
      <w:tr w:rsidRPr="00EE77F8" w:rsidR="00A13E95" w:rsidTr="00266C54" w14:paraId="5238DF4A" w14:textId="77777777">
        <w:trPr>
          <w:trHeight w:val="288"/>
          <w:jc w:val="center"/>
        </w:trPr>
        <w:tc>
          <w:tcPr>
            <w:tcW w:w="1885" w:type="dxa"/>
            <w:shd w:val="clear" w:color="auto" w:fill="auto"/>
            <w:noWrap/>
            <w:vAlign w:val="bottom"/>
            <w:hideMark/>
          </w:tcPr>
          <w:p w:rsidRPr="002E63D2" w:rsidR="00A13E95" w:rsidP="002E63D2" w:rsidRDefault="00A13E95" w14:paraId="17B5E76D" w14:textId="77777777">
            <w:pPr>
              <w:widowControl/>
              <w:autoSpaceDE/>
              <w:autoSpaceDN/>
              <w:adjustRightInd/>
              <w:jc w:val="center"/>
              <w:rPr>
                <w:color w:val="000000"/>
                <w:sz w:val="22"/>
                <w:szCs w:val="22"/>
              </w:rPr>
            </w:pPr>
            <w:r w:rsidRPr="002E63D2">
              <w:rPr>
                <w:color w:val="000000"/>
                <w:sz w:val="22"/>
                <w:szCs w:val="22"/>
              </w:rPr>
              <w:t>Individual Permits</w:t>
            </w:r>
          </w:p>
        </w:tc>
        <w:tc>
          <w:tcPr>
            <w:tcW w:w="1530" w:type="dxa"/>
            <w:shd w:val="clear" w:color="auto" w:fill="auto"/>
            <w:noWrap/>
            <w:vAlign w:val="bottom"/>
            <w:hideMark/>
          </w:tcPr>
          <w:p w:rsidRPr="002E63D2" w:rsidR="00A13E95" w:rsidP="002E63D2" w:rsidRDefault="00A13E95" w14:paraId="387BFCB1" w14:textId="77777777">
            <w:pPr>
              <w:widowControl/>
              <w:autoSpaceDE/>
              <w:autoSpaceDN/>
              <w:adjustRightInd/>
              <w:jc w:val="center"/>
              <w:rPr>
                <w:color w:val="000000"/>
                <w:sz w:val="22"/>
                <w:szCs w:val="22"/>
              </w:rPr>
            </w:pPr>
            <w:r w:rsidRPr="002E63D2">
              <w:rPr>
                <w:color w:val="000000"/>
                <w:sz w:val="22"/>
                <w:szCs w:val="22"/>
              </w:rPr>
              <w:t>$0</w:t>
            </w:r>
          </w:p>
        </w:tc>
        <w:tc>
          <w:tcPr>
            <w:tcW w:w="1928" w:type="dxa"/>
            <w:shd w:val="clear" w:color="auto" w:fill="auto"/>
            <w:noWrap/>
            <w:vAlign w:val="bottom"/>
            <w:hideMark/>
          </w:tcPr>
          <w:p w:rsidRPr="002E63D2" w:rsidR="00A13E95" w:rsidP="002E63D2" w:rsidRDefault="00A13E95" w14:paraId="0799DFB5" w14:textId="77777777">
            <w:pPr>
              <w:widowControl/>
              <w:autoSpaceDE/>
              <w:autoSpaceDN/>
              <w:adjustRightInd/>
              <w:jc w:val="center"/>
              <w:rPr>
                <w:color w:val="000000"/>
                <w:sz w:val="22"/>
                <w:szCs w:val="22"/>
              </w:rPr>
            </w:pPr>
            <w:r w:rsidRPr="002E63D2">
              <w:rPr>
                <w:color w:val="000000"/>
                <w:sz w:val="22"/>
                <w:szCs w:val="22"/>
              </w:rPr>
              <w:t>$859</w:t>
            </w:r>
          </w:p>
        </w:tc>
      </w:tr>
    </w:tbl>
    <w:p w:rsidRPr="00DC5BDB" w:rsidR="00EE77F8" w:rsidP="002E63D2" w:rsidRDefault="00EE77F8" w14:paraId="5F503A00" w14:textId="77777777">
      <w:pPr>
        <w:ind w:firstLine="720"/>
      </w:pPr>
    </w:p>
    <w:p w:rsidR="00C26C34" w:rsidRDefault="00803D1C" w14:paraId="2937B461" w14:textId="25788D88">
      <w:r>
        <w:rPr>
          <w:b/>
          <w:bCs/>
          <w:color w:val="000000"/>
        </w:rPr>
        <w:tab/>
      </w:r>
      <w:r w:rsidRPr="002E63D2">
        <w:t xml:space="preserve">The </w:t>
      </w:r>
      <w:r w:rsidR="00583454">
        <w:t xml:space="preserve">per-certification request </w:t>
      </w:r>
      <w:r w:rsidRPr="002E63D2">
        <w:t xml:space="preserve">fee estimates were multiplied by the estimated number of certification requests submitted by project proponents presented in </w:t>
      </w:r>
      <w:r w:rsidRPr="002E63D2">
        <w:fldChar w:fldCharType="begin"/>
      </w:r>
      <w:r w:rsidRPr="002E63D2">
        <w:instrText xml:space="preserve"> REF _Ref23491636 \h </w:instrText>
      </w:r>
      <w:r>
        <w:instrText xml:space="preserve"> \* MERGEFORMAT </w:instrText>
      </w:r>
      <w:r w:rsidRPr="002E63D2">
        <w:fldChar w:fldCharType="separate"/>
      </w:r>
      <w:r w:rsidRPr="008B52EE" w:rsidR="00393F4D">
        <w:t xml:space="preserve">Table </w:t>
      </w:r>
      <w:r w:rsidR="00393F4D">
        <w:t>5</w:t>
      </w:r>
      <w:r w:rsidRPr="002E63D2">
        <w:fldChar w:fldCharType="end"/>
      </w:r>
      <w:r w:rsidRPr="002E63D2">
        <w:t xml:space="preserve"> to provide a total estimate of potential fees charged to project proponents.</w:t>
      </w:r>
      <w:r>
        <w:t xml:space="preserve"> </w:t>
      </w:r>
      <w:r w:rsidR="00A321D9">
        <w:t xml:space="preserve">Based on </w:t>
      </w:r>
      <w:r w:rsidR="00147BCE">
        <w:t>a</w:t>
      </w:r>
      <w:r w:rsidR="00A321D9">
        <w:t xml:space="preserve"> review of the fee structures for certifying authorities that do charge fees, t</w:t>
      </w:r>
      <w:r>
        <w:t xml:space="preserve">he larger or more complicated the project the more likely it requires a fee be submitted for review by the certifying entity. </w:t>
      </w:r>
      <w:r w:rsidR="00583454">
        <w:t>T</w:t>
      </w:r>
      <w:r>
        <w:t xml:space="preserve">he estimates in </w:t>
      </w:r>
      <w:r>
        <w:fldChar w:fldCharType="begin"/>
      </w:r>
      <w:r>
        <w:instrText xml:space="preserve"> REF _Ref31270520 \h </w:instrText>
      </w:r>
      <w:r>
        <w:fldChar w:fldCharType="separate"/>
      </w:r>
      <w:r w:rsidR="00BE09E0">
        <w:t xml:space="preserve">Table </w:t>
      </w:r>
      <w:r w:rsidR="00BE09E0">
        <w:rPr>
          <w:noProof/>
        </w:rPr>
        <w:t>10</w:t>
      </w:r>
      <w:r>
        <w:fldChar w:fldCharType="end"/>
      </w:r>
      <w:r>
        <w:t xml:space="preserve"> are likely an overestimate as these estimates are based solely on one dimension of a certification request, whether it is </w:t>
      </w:r>
      <w:r w:rsidR="00DD1419">
        <w:t xml:space="preserve">for a </w:t>
      </w:r>
      <w:r>
        <w:t>general or individu</w:t>
      </w:r>
      <w:r w:rsidR="00AD2716">
        <w:t>al</w:t>
      </w:r>
      <w:r w:rsidR="00DD1419">
        <w:t xml:space="preserve"> permit</w:t>
      </w:r>
      <w:r>
        <w:t xml:space="preserve">. </w:t>
      </w:r>
      <w:r w:rsidR="00AD2716">
        <w:t xml:space="preserve">Additionally, some fees are assigned for certifying authority review, but may not be solely for review of the section 401 elements of a request. Other state or jurisdictional programs may receive fees during a onetime payment for </w:t>
      </w:r>
      <w:r w:rsidR="0027243E">
        <w:t xml:space="preserve">a request </w:t>
      </w:r>
      <w:r w:rsidR="00AD2716">
        <w:t xml:space="preserve">submission. </w:t>
      </w:r>
      <w:r>
        <w:t>The estimated fees paid by project proponents for certification requests ranges from $0 to $</w:t>
      </w:r>
      <w:r w:rsidR="00A13E95">
        <w:t>16</w:t>
      </w:r>
      <w:r>
        <w:t>.0 million, with a midpoint of $</w:t>
      </w:r>
      <w:r w:rsidR="00A13E95">
        <w:t>8</w:t>
      </w:r>
      <w:r>
        <w:t>.0 million.</w:t>
      </w:r>
    </w:p>
    <w:p w:rsidR="00803D1C" w:rsidP="002E63D2" w:rsidRDefault="00803D1C" w14:paraId="408D1E3B" w14:textId="77777777">
      <w:pPr>
        <w:rPr>
          <w:b/>
          <w:bCs/>
          <w:color w:val="000000"/>
        </w:rPr>
      </w:pPr>
    </w:p>
    <w:p w:rsidR="00803D1C" w:rsidP="002E63D2" w:rsidRDefault="00803D1C" w14:paraId="16460054" w14:textId="47037E27">
      <w:pPr>
        <w:pStyle w:val="Caption"/>
        <w:jc w:val="center"/>
        <w:rPr>
          <w:color w:val="000000"/>
        </w:rPr>
      </w:pPr>
      <w:bookmarkStart w:name="_Ref31270520" w:id="20"/>
      <w:r>
        <w:t xml:space="preserve">Table </w:t>
      </w:r>
      <w:fldSimple w:instr=" SEQ Table \* ARABIC ">
        <w:r w:rsidR="00BE09E0">
          <w:rPr>
            <w:noProof/>
          </w:rPr>
          <w:t>10</w:t>
        </w:r>
      </w:fldSimple>
      <w:bookmarkEnd w:id="20"/>
      <w:r>
        <w:t>: Estimated Fees Paid by Project Proponents (Millions)</w:t>
      </w:r>
    </w:p>
    <w:tbl>
      <w:tblPr>
        <w:tblW w:w="7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5"/>
        <w:gridCol w:w="1530"/>
        <w:gridCol w:w="2267"/>
        <w:gridCol w:w="1662"/>
      </w:tblGrid>
      <w:tr w:rsidRPr="00803D1C" w:rsidR="00803D1C" w:rsidTr="00FE34AF" w14:paraId="1A5F0A4C" w14:textId="77777777">
        <w:trPr>
          <w:trHeight w:val="288"/>
          <w:jc w:val="center"/>
        </w:trPr>
        <w:tc>
          <w:tcPr>
            <w:tcW w:w="1885" w:type="dxa"/>
            <w:shd w:val="clear" w:color="auto" w:fill="auto"/>
            <w:noWrap/>
            <w:vAlign w:val="bottom"/>
            <w:hideMark/>
          </w:tcPr>
          <w:p w:rsidRPr="002E63D2" w:rsidR="00803D1C" w:rsidP="002E63D2" w:rsidRDefault="00803D1C" w14:paraId="76FA4260" w14:textId="77777777">
            <w:pPr>
              <w:widowControl/>
              <w:jc w:val="center"/>
              <w:rPr>
                <w:rFonts w:cstheme="minorBidi"/>
                <w:b/>
                <w:bCs/>
                <w:color w:val="000000"/>
                <w:sz w:val="22"/>
                <w:szCs w:val="22"/>
              </w:rPr>
            </w:pPr>
            <w:r w:rsidRPr="002E63D2">
              <w:rPr>
                <w:rFonts w:cstheme="minorBidi"/>
                <w:b/>
                <w:bCs/>
                <w:color w:val="000000"/>
                <w:sz w:val="22"/>
                <w:szCs w:val="22"/>
              </w:rPr>
              <w:t>Permit Type</w:t>
            </w:r>
          </w:p>
        </w:tc>
        <w:tc>
          <w:tcPr>
            <w:tcW w:w="1530" w:type="dxa"/>
            <w:shd w:val="clear" w:color="auto" w:fill="auto"/>
            <w:noWrap/>
            <w:vAlign w:val="bottom"/>
            <w:hideMark/>
          </w:tcPr>
          <w:p w:rsidRPr="002E63D2" w:rsidR="00803D1C" w:rsidP="002E63D2" w:rsidRDefault="00803D1C" w14:paraId="79D16444" w14:textId="77777777">
            <w:pPr>
              <w:widowControl/>
              <w:jc w:val="center"/>
              <w:rPr>
                <w:rFonts w:cstheme="minorBidi"/>
                <w:b/>
                <w:bCs/>
                <w:color w:val="000000"/>
                <w:sz w:val="22"/>
                <w:szCs w:val="22"/>
              </w:rPr>
            </w:pPr>
            <w:r w:rsidRPr="002E63D2">
              <w:rPr>
                <w:rFonts w:cstheme="minorBidi"/>
                <w:b/>
                <w:bCs/>
                <w:color w:val="000000"/>
                <w:sz w:val="22"/>
                <w:szCs w:val="22"/>
              </w:rPr>
              <w:t>Low Estimate</w:t>
            </w:r>
          </w:p>
        </w:tc>
        <w:tc>
          <w:tcPr>
            <w:tcW w:w="2267" w:type="dxa"/>
            <w:shd w:val="clear" w:color="auto" w:fill="auto"/>
            <w:noWrap/>
            <w:vAlign w:val="bottom"/>
            <w:hideMark/>
          </w:tcPr>
          <w:p w:rsidRPr="002E63D2" w:rsidR="00803D1C" w:rsidP="002E63D2" w:rsidRDefault="00803D1C" w14:paraId="71008D98" w14:textId="77777777">
            <w:pPr>
              <w:widowControl/>
              <w:jc w:val="center"/>
              <w:rPr>
                <w:rFonts w:cstheme="minorBidi"/>
                <w:b/>
                <w:bCs/>
                <w:color w:val="000000"/>
                <w:sz w:val="22"/>
                <w:szCs w:val="22"/>
              </w:rPr>
            </w:pPr>
            <w:r w:rsidRPr="002E63D2">
              <w:rPr>
                <w:rFonts w:cstheme="minorBidi"/>
                <w:b/>
                <w:bCs/>
                <w:color w:val="000000"/>
                <w:sz w:val="22"/>
                <w:szCs w:val="22"/>
              </w:rPr>
              <w:t>Midpoint</w:t>
            </w:r>
          </w:p>
        </w:tc>
        <w:tc>
          <w:tcPr>
            <w:tcW w:w="1662" w:type="dxa"/>
            <w:shd w:val="clear" w:color="auto" w:fill="auto"/>
            <w:noWrap/>
            <w:vAlign w:val="bottom"/>
            <w:hideMark/>
          </w:tcPr>
          <w:p w:rsidRPr="002E63D2" w:rsidR="00803D1C" w:rsidP="002E63D2" w:rsidRDefault="00803D1C" w14:paraId="3D44FB07" w14:textId="77777777">
            <w:pPr>
              <w:widowControl/>
              <w:jc w:val="center"/>
              <w:rPr>
                <w:rFonts w:cstheme="minorBidi"/>
                <w:b/>
                <w:bCs/>
                <w:color w:val="000000"/>
                <w:sz w:val="22"/>
                <w:szCs w:val="22"/>
              </w:rPr>
            </w:pPr>
            <w:r w:rsidRPr="002E63D2">
              <w:rPr>
                <w:rFonts w:cstheme="minorBidi"/>
                <w:b/>
                <w:bCs/>
                <w:color w:val="000000"/>
                <w:sz w:val="22"/>
                <w:szCs w:val="22"/>
              </w:rPr>
              <w:t>High Estimate</w:t>
            </w:r>
          </w:p>
        </w:tc>
      </w:tr>
      <w:tr w:rsidRPr="00803D1C" w:rsidR="00A13E95" w:rsidTr="00FE34AF" w14:paraId="2A940AA8" w14:textId="77777777">
        <w:trPr>
          <w:trHeight w:val="288"/>
          <w:jc w:val="center"/>
        </w:trPr>
        <w:tc>
          <w:tcPr>
            <w:tcW w:w="1885" w:type="dxa"/>
            <w:shd w:val="clear" w:color="auto" w:fill="auto"/>
            <w:noWrap/>
            <w:vAlign w:val="bottom"/>
            <w:hideMark/>
          </w:tcPr>
          <w:p w:rsidRPr="002E63D2" w:rsidR="00A13E95" w:rsidP="00A13E95" w:rsidRDefault="00A13E95" w14:paraId="4B1AB56A" w14:textId="77777777">
            <w:pPr>
              <w:widowControl/>
              <w:autoSpaceDE/>
              <w:autoSpaceDN/>
              <w:adjustRightInd/>
              <w:jc w:val="center"/>
              <w:rPr>
                <w:color w:val="000000"/>
                <w:sz w:val="22"/>
                <w:szCs w:val="22"/>
              </w:rPr>
            </w:pPr>
            <w:r w:rsidRPr="002E63D2">
              <w:rPr>
                <w:color w:val="000000"/>
                <w:sz w:val="22"/>
                <w:szCs w:val="22"/>
              </w:rPr>
              <w:t>General Permits</w:t>
            </w:r>
          </w:p>
        </w:tc>
        <w:tc>
          <w:tcPr>
            <w:tcW w:w="1530" w:type="dxa"/>
            <w:shd w:val="clear" w:color="auto" w:fill="auto"/>
            <w:noWrap/>
            <w:vAlign w:val="bottom"/>
            <w:hideMark/>
          </w:tcPr>
          <w:p w:rsidRPr="002E63D2" w:rsidR="00A13E95" w:rsidP="00A13E95" w:rsidRDefault="00A13E95" w14:paraId="5AAE7900" w14:textId="789E8162">
            <w:pPr>
              <w:widowControl/>
              <w:autoSpaceDE/>
              <w:autoSpaceDN/>
              <w:adjustRightInd/>
              <w:jc w:val="center"/>
              <w:rPr>
                <w:color w:val="000000"/>
                <w:sz w:val="22"/>
                <w:szCs w:val="22"/>
              </w:rPr>
            </w:pPr>
            <w:r w:rsidRPr="00266C54">
              <w:rPr>
                <w:color w:val="000000"/>
                <w:sz w:val="22"/>
                <w:szCs w:val="22"/>
              </w:rPr>
              <w:t>$0.0</w:t>
            </w:r>
          </w:p>
        </w:tc>
        <w:tc>
          <w:tcPr>
            <w:tcW w:w="2267" w:type="dxa"/>
            <w:shd w:val="clear" w:color="auto" w:fill="auto"/>
            <w:noWrap/>
            <w:vAlign w:val="bottom"/>
            <w:hideMark/>
          </w:tcPr>
          <w:p w:rsidRPr="002E63D2" w:rsidR="00A13E95" w:rsidP="00A13E95" w:rsidRDefault="00A13E95" w14:paraId="7264D881" w14:textId="4CB2BF18">
            <w:pPr>
              <w:widowControl/>
              <w:autoSpaceDE/>
              <w:autoSpaceDN/>
              <w:adjustRightInd/>
              <w:jc w:val="center"/>
              <w:rPr>
                <w:color w:val="000000"/>
                <w:sz w:val="22"/>
                <w:szCs w:val="22"/>
              </w:rPr>
            </w:pPr>
            <w:r w:rsidRPr="00266C54">
              <w:rPr>
                <w:color w:val="000000"/>
                <w:sz w:val="22"/>
                <w:szCs w:val="22"/>
              </w:rPr>
              <w:t>$4.0</w:t>
            </w:r>
          </w:p>
        </w:tc>
        <w:tc>
          <w:tcPr>
            <w:tcW w:w="1662" w:type="dxa"/>
            <w:shd w:val="clear" w:color="auto" w:fill="auto"/>
            <w:noWrap/>
            <w:vAlign w:val="bottom"/>
            <w:hideMark/>
          </w:tcPr>
          <w:p w:rsidRPr="002E63D2" w:rsidR="00A13E95" w:rsidP="00A13E95" w:rsidRDefault="00A13E95" w14:paraId="21D2AF19" w14:textId="5A4DD09C">
            <w:pPr>
              <w:widowControl/>
              <w:autoSpaceDE/>
              <w:autoSpaceDN/>
              <w:adjustRightInd/>
              <w:jc w:val="center"/>
              <w:rPr>
                <w:color w:val="000000"/>
                <w:sz w:val="22"/>
                <w:szCs w:val="22"/>
              </w:rPr>
            </w:pPr>
            <w:r w:rsidRPr="00266C54">
              <w:rPr>
                <w:color w:val="000000"/>
                <w:sz w:val="22"/>
                <w:szCs w:val="22"/>
              </w:rPr>
              <w:t>$8.0</w:t>
            </w:r>
          </w:p>
        </w:tc>
      </w:tr>
      <w:tr w:rsidRPr="00803D1C" w:rsidR="00A13E95" w:rsidTr="00FE34AF" w14:paraId="4DD5E41B" w14:textId="77777777">
        <w:trPr>
          <w:trHeight w:val="288"/>
          <w:jc w:val="center"/>
        </w:trPr>
        <w:tc>
          <w:tcPr>
            <w:tcW w:w="1885" w:type="dxa"/>
            <w:shd w:val="clear" w:color="auto" w:fill="auto"/>
            <w:noWrap/>
            <w:vAlign w:val="bottom"/>
            <w:hideMark/>
          </w:tcPr>
          <w:p w:rsidRPr="002E63D2" w:rsidR="00A13E95" w:rsidP="00A13E95" w:rsidRDefault="00A13E95" w14:paraId="0C6987D5" w14:textId="77777777">
            <w:pPr>
              <w:widowControl/>
              <w:autoSpaceDE/>
              <w:autoSpaceDN/>
              <w:adjustRightInd/>
              <w:jc w:val="center"/>
              <w:rPr>
                <w:color w:val="000000"/>
                <w:sz w:val="22"/>
                <w:szCs w:val="22"/>
              </w:rPr>
            </w:pPr>
            <w:r w:rsidRPr="002E63D2">
              <w:rPr>
                <w:color w:val="000000"/>
                <w:sz w:val="22"/>
                <w:szCs w:val="22"/>
              </w:rPr>
              <w:t>Individual Permits</w:t>
            </w:r>
          </w:p>
        </w:tc>
        <w:tc>
          <w:tcPr>
            <w:tcW w:w="1530" w:type="dxa"/>
            <w:shd w:val="clear" w:color="auto" w:fill="auto"/>
            <w:noWrap/>
            <w:vAlign w:val="bottom"/>
            <w:hideMark/>
          </w:tcPr>
          <w:p w:rsidRPr="002E63D2" w:rsidR="00A13E95" w:rsidP="00A13E95" w:rsidRDefault="00A13E95" w14:paraId="478C9DB7" w14:textId="7648D8BA">
            <w:pPr>
              <w:widowControl/>
              <w:autoSpaceDE/>
              <w:autoSpaceDN/>
              <w:adjustRightInd/>
              <w:jc w:val="center"/>
              <w:rPr>
                <w:color w:val="000000"/>
                <w:sz w:val="22"/>
                <w:szCs w:val="22"/>
              </w:rPr>
            </w:pPr>
            <w:r w:rsidRPr="00266C54">
              <w:rPr>
                <w:color w:val="000000"/>
                <w:sz w:val="22"/>
                <w:szCs w:val="22"/>
              </w:rPr>
              <w:t>$0.0</w:t>
            </w:r>
          </w:p>
        </w:tc>
        <w:tc>
          <w:tcPr>
            <w:tcW w:w="2267" w:type="dxa"/>
            <w:shd w:val="clear" w:color="auto" w:fill="auto"/>
            <w:noWrap/>
            <w:vAlign w:val="bottom"/>
            <w:hideMark/>
          </w:tcPr>
          <w:p w:rsidRPr="002E63D2" w:rsidR="00A13E95" w:rsidP="00A13E95" w:rsidRDefault="00A13E95" w14:paraId="788B5D2E" w14:textId="55ECF986">
            <w:pPr>
              <w:widowControl/>
              <w:autoSpaceDE/>
              <w:autoSpaceDN/>
              <w:adjustRightInd/>
              <w:jc w:val="center"/>
              <w:rPr>
                <w:color w:val="000000"/>
                <w:sz w:val="22"/>
                <w:szCs w:val="22"/>
              </w:rPr>
            </w:pPr>
            <w:r w:rsidRPr="00266C54">
              <w:rPr>
                <w:color w:val="000000"/>
                <w:sz w:val="22"/>
                <w:szCs w:val="22"/>
              </w:rPr>
              <w:t>$4.0</w:t>
            </w:r>
          </w:p>
        </w:tc>
        <w:tc>
          <w:tcPr>
            <w:tcW w:w="1662" w:type="dxa"/>
            <w:shd w:val="clear" w:color="auto" w:fill="auto"/>
            <w:noWrap/>
            <w:vAlign w:val="bottom"/>
            <w:hideMark/>
          </w:tcPr>
          <w:p w:rsidRPr="002E63D2" w:rsidR="00A13E95" w:rsidP="00A13E95" w:rsidRDefault="00A13E95" w14:paraId="1582968A" w14:textId="7F2D74F9">
            <w:pPr>
              <w:widowControl/>
              <w:autoSpaceDE/>
              <w:autoSpaceDN/>
              <w:adjustRightInd/>
              <w:jc w:val="center"/>
              <w:rPr>
                <w:color w:val="000000"/>
                <w:sz w:val="22"/>
                <w:szCs w:val="22"/>
              </w:rPr>
            </w:pPr>
            <w:r w:rsidRPr="00266C54">
              <w:rPr>
                <w:color w:val="000000"/>
                <w:sz w:val="22"/>
                <w:szCs w:val="22"/>
              </w:rPr>
              <w:t>$8.0</w:t>
            </w:r>
          </w:p>
        </w:tc>
      </w:tr>
      <w:tr w:rsidRPr="00803D1C" w:rsidR="00A13E95" w:rsidTr="00FE34AF" w14:paraId="0C9236D1" w14:textId="77777777">
        <w:trPr>
          <w:trHeight w:val="288"/>
          <w:jc w:val="center"/>
        </w:trPr>
        <w:tc>
          <w:tcPr>
            <w:tcW w:w="1885" w:type="dxa"/>
            <w:shd w:val="clear" w:color="auto" w:fill="auto"/>
            <w:noWrap/>
            <w:vAlign w:val="bottom"/>
            <w:hideMark/>
          </w:tcPr>
          <w:p w:rsidRPr="002E63D2" w:rsidR="00A13E95" w:rsidP="00A13E95" w:rsidRDefault="00A13E95" w14:paraId="219CAD96" w14:textId="77777777">
            <w:pPr>
              <w:widowControl/>
              <w:autoSpaceDE/>
              <w:autoSpaceDN/>
              <w:adjustRightInd/>
              <w:jc w:val="center"/>
              <w:rPr>
                <w:b/>
                <w:bCs/>
                <w:color w:val="000000"/>
                <w:sz w:val="22"/>
                <w:szCs w:val="22"/>
              </w:rPr>
            </w:pPr>
            <w:r w:rsidRPr="002E63D2">
              <w:rPr>
                <w:b/>
                <w:bCs/>
                <w:color w:val="000000"/>
                <w:sz w:val="22"/>
                <w:szCs w:val="22"/>
              </w:rPr>
              <w:t>Total</w:t>
            </w:r>
          </w:p>
        </w:tc>
        <w:tc>
          <w:tcPr>
            <w:tcW w:w="1530" w:type="dxa"/>
            <w:shd w:val="clear" w:color="auto" w:fill="auto"/>
            <w:noWrap/>
            <w:vAlign w:val="bottom"/>
            <w:hideMark/>
          </w:tcPr>
          <w:p w:rsidRPr="002E63D2" w:rsidR="00A13E95" w:rsidP="00A13E95" w:rsidRDefault="00A13E95" w14:paraId="12BC1BCD" w14:textId="0DED78DC">
            <w:pPr>
              <w:widowControl/>
              <w:autoSpaceDE/>
              <w:autoSpaceDN/>
              <w:adjustRightInd/>
              <w:jc w:val="center"/>
              <w:rPr>
                <w:b/>
                <w:bCs/>
                <w:color w:val="000000"/>
                <w:sz w:val="22"/>
                <w:szCs w:val="22"/>
              </w:rPr>
            </w:pPr>
            <w:r w:rsidRPr="00266C54">
              <w:rPr>
                <w:b/>
                <w:bCs/>
                <w:color w:val="000000"/>
                <w:sz w:val="22"/>
                <w:szCs w:val="22"/>
              </w:rPr>
              <w:t>$0.0</w:t>
            </w:r>
          </w:p>
        </w:tc>
        <w:tc>
          <w:tcPr>
            <w:tcW w:w="2267" w:type="dxa"/>
            <w:shd w:val="clear" w:color="auto" w:fill="auto"/>
            <w:noWrap/>
            <w:vAlign w:val="bottom"/>
            <w:hideMark/>
          </w:tcPr>
          <w:p w:rsidRPr="002E63D2" w:rsidR="00A13E95" w:rsidP="00A13E95" w:rsidRDefault="00A13E95" w14:paraId="558345D0" w14:textId="6A4241E6">
            <w:pPr>
              <w:widowControl/>
              <w:autoSpaceDE/>
              <w:autoSpaceDN/>
              <w:adjustRightInd/>
              <w:jc w:val="center"/>
              <w:rPr>
                <w:b/>
                <w:bCs/>
                <w:color w:val="000000"/>
                <w:sz w:val="22"/>
                <w:szCs w:val="22"/>
              </w:rPr>
            </w:pPr>
            <w:r w:rsidRPr="00266C54">
              <w:rPr>
                <w:b/>
                <w:bCs/>
                <w:color w:val="000000"/>
                <w:sz w:val="22"/>
                <w:szCs w:val="22"/>
              </w:rPr>
              <w:t>$8.0</w:t>
            </w:r>
          </w:p>
        </w:tc>
        <w:tc>
          <w:tcPr>
            <w:tcW w:w="1662" w:type="dxa"/>
            <w:shd w:val="clear" w:color="auto" w:fill="auto"/>
            <w:noWrap/>
            <w:vAlign w:val="bottom"/>
            <w:hideMark/>
          </w:tcPr>
          <w:p w:rsidRPr="002E63D2" w:rsidR="00A13E95" w:rsidP="00A13E95" w:rsidRDefault="00A13E95" w14:paraId="281A1B33" w14:textId="413BF88A">
            <w:pPr>
              <w:widowControl/>
              <w:autoSpaceDE/>
              <w:autoSpaceDN/>
              <w:adjustRightInd/>
              <w:jc w:val="center"/>
              <w:rPr>
                <w:b/>
                <w:bCs/>
                <w:color w:val="000000"/>
                <w:sz w:val="22"/>
                <w:szCs w:val="22"/>
              </w:rPr>
            </w:pPr>
            <w:r w:rsidRPr="00266C54">
              <w:rPr>
                <w:b/>
                <w:bCs/>
                <w:color w:val="000000"/>
                <w:sz w:val="22"/>
                <w:szCs w:val="22"/>
              </w:rPr>
              <w:t>$16.0</w:t>
            </w:r>
          </w:p>
        </w:tc>
      </w:tr>
    </w:tbl>
    <w:p w:rsidR="00331CE4" w:rsidRDefault="00331CE4" w14:paraId="1BA7AFDF"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8B52EE" w:rsidR="00CA4CD6" w:rsidRDefault="00CA4CD6" w14:paraId="6FBF4AEF" w14:textId="1D352A62">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6(c)</w:t>
      </w:r>
      <w:r w:rsidRPr="008B52EE" w:rsidR="009C7E97">
        <w:rPr>
          <w:b/>
          <w:bCs/>
          <w:color w:val="000000"/>
        </w:rPr>
        <w:t xml:space="preserve"> </w:t>
      </w:r>
      <w:r w:rsidRPr="008B52EE">
        <w:rPr>
          <w:b/>
          <w:bCs/>
          <w:color w:val="000000"/>
        </w:rPr>
        <w:t>Estimating Agency Burden and Cost</w:t>
      </w:r>
    </w:p>
    <w:p w:rsidRPr="008B52EE"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Pr="008B52EE" w:rsidR="007A3FA7" w:rsidP="009E0776" w:rsidRDefault="009E0776" w14:paraId="5C18BAC2" w14:textId="4EF052EF">
      <w:pPr>
        <w:tabs>
          <w:tab w:val="left" w:pos="-1440"/>
        </w:tabs>
      </w:pPr>
      <w:r w:rsidRPr="008B52EE">
        <w:tab/>
      </w:r>
      <w:r w:rsidRPr="008B52EE" w:rsidR="007A3FA7">
        <w:t>The EPA estimates that $4</w:t>
      </w:r>
      <w:r w:rsidR="00641F3B">
        <w:t>3</w:t>
      </w:r>
      <w:r w:rsidRPr="008B52EE" w:rsidR="007A3FA7">
        <w:t>.</w:t>
      </w:r>
      <w:r w:rsidR="00641F3B">
        <w:t>71</w:t>
      </w:r>
      <w:r w:rsidRPr="008B52EE" w:rsidR="007A3FA7">
        <w:t xml:space="preserve"> (starting point of a GS-13 “Rest of U.S.” locality</w:t>
      </w:r>
      <w:r w:rsidRPr="008B52EE" w:rsidR="007A3FA7">
        <w:rPr>
          <w:vertAlign w:val="superscript"/>
        </w:rPr>
        <w:footnoteReference w:id="13"/>
      </w:r>
      <w:r w:rsidRPr="008B52EE" w:rsidR="007A3FA7">
        <w:t xml:space="preserve">) is an </w:t>
      </w:r>
      <w:r w:rsidRPr="008B52EE" w:rsidR="007A3FA7">
        <w:lastRenderedPageBreak/>
        <w:t xml:space="preserve">average hourly federal government employee </w:t>
      </w:r>
      <w:r w:rsidRPr="008B52EE" w:rsidR="00C40D50">
        <w:t xml:space="preserve">wage </w:t>
      </w:r>
      <w:r w:rsidRPr="008B52EE" w:rsidR="007A3FA7">
        <w:t>for an EPA regional employee tasked with acting on</w:t>
      </w:r>
      <w:r w:rsidR="00736B4D">
        <w:t xml:space="preserve"> certification requests on</w:t>
      </w:r>
      <w:r w:rsidRPr="008B52EE" w:rsidR="007A3FA7">
        <w:t xml:space="preserve"> behalf of tribes. Adding a 1.6 overhead factor results in an estimated average hourly employee </w:t>
      </w:r>
      <w:r w:rsidRPr="008B52EE" w:rsidR="00C40D50">
        <w:t xml:space="preserve">wage </w:t>
      </w:r>
      <w:r w:rsidRPr="008B52EE" w:rsidR="007A3FA7">
        <w:t>of $</w:t>
      </w:r>
      <w:r w:rsidR="00641F3B">
        <w:t>70</w:t>
      </w:r>
      <w:r w:rsidRPr="008B52EE" w:rsidR="007A3FA7">
        <w:t>.</w:t>
      </w:r>
    </w:p>
    <w:p w:rsidRPr="008B52EE" w:rsidR="007A3FA7" w:rsidP="009E0776" w:rsidRDefault="007A3FA7" w14:paraId="3BC18B34" w14:textId="77777777">
      <w:pPr>
        <w:tabs>
          <w:tab w:val="left" w:pos="-1440"/>
        </w:tabs>
      </w:pPr>
    </w:p>
    <w:p w:rsidRPr="008B52EE" w:rsidR="007A3FA7" w:rsidP="009E0776" w:rsidRDefault="009E0776" w14:paraId="0B0624DB" w14:textId="4A3775A5">
      <w:pPr>
        <w:tabs>
          <w:tab w:val="left" w:pos="-1440"/>
        </w:tabs>
      </w:pPr>
      <w:r w:rsidRPr="008B52EE">
        <w:tab/>
      </w:r>
      <w:r w:rsidRPr="008B52EE" w:rsidR="007A3FA7">
        <w:t xml:space="preserve">On average, federal review of certification requests </w:t>
      </w:r>
      <w:r w:rsidR="00555304">
        <w:t xml:space="preserve">performed by the EPA </w:t>
      </w:r>
      <w:r w:rsidRPr="008B52EE" w:rsidR="007A3FA7">
        <w:t xml:space="preserve">is estimated at </w:t>
      </w:r>
      <w:r w:rsidR="00AA0062">
        <w:t>three</w:t>
      </w:r>
      <w:r w:rsidRPr="008B52EE" w:rsidR="007A3FA7">
        <w:t xml:space="preserve"> (</w:t>
      </w:r>
      <w:r w:rsidR="00AA0062">
        <w:t>3</w:t>
      </w:r>
      <w:r w:rsidRPr="008B52EE" w:rsidR="007A3FA7">
        <w:t>) hour</w:t>
      </w:r>
      <w:r w:rsidR="00AA0062">
        <w:t>s</w:t>
      </w:r>
      <w:r w:rsidRPr="008B52EE" w:rsidR="007A3FA7">
        <w:t xml:space="preserve"> per request, based on </w:t>
      </w:r>
      <w:r w:rsidR="00AA0062">
        <w:t>information provided by EPA employees.</w:t>
      </w:r>
      <w:r w:rsidRPr="008B52EE" w:rsidR="007A3FA7">
        <w:t xml:space="preserve"> Multiplying the 54 estimated annual decisions per year by the estimated </w:t>
      </w:r>
      <w:r w:rsidR="00AA0062">
        <w:t>three</w:t>
      </w:r>
      <w:r w:rsidRPr="008B52EE" w:rsidR="007A3FA7">
        <w:t xml:space="preserve"> (</w:t>
      </w:r>
      <w:r w:rsidR="00AA0062">
        <w:t>3</w:t>
      </w:r>
      <w:r w:rsidRPr="008B52EE" w:rsidR="007A3FA7">
        <w:t>) hour</w:t>
      </w:r>
      <w:r w:rsidR="00AA0062">
        <w:t>s</w:t>
      </w:r>
      <w:r w:rsidRPr="008B52EE" w:rsidR="007A3FA7">
        <w:t xml:space="preserve"> to review an application results in an hourly burden for certification request review by the federal government of </w:t>
      </w:r>
      <w:r w:rsidR="00AA0062">
        <w:t>162</w:t>
      </w:r>
      <w:r w:rsidRPr="008B52EE" w:rsidR="007A3FA7">
        <w:t xml:space="preserve"> hours per year. The 54 CWA section 401 water quality certification decisions per year, multiplied by the estimated </w:t>
      </w:r>
      <w:r w:rsidR="00AA0062">
        <w:t>three</w:t>
      </w:r>
      <w:r w:rsidRPr="008B52EE" w:rsidR="007A3FA7">
        <w:t xml:space="preserve"> (</w:t>
      </w:r>
      <w:r w:rsidR="00AA0062">
        <w:t>3</w:t>
      </w:r>
      <w:r w:rsidRPr="008B52EE" w:rsidR="007A3FA7">
        <w:t>) hour review time and an estimated hourly wage of $</w:t>
      </w:r>
      <w:r w:rsidR="00E74394">
        <w:t>70</w:t>
      </w:r>
      <w:r w:rsidRPr="008B52EE" w:rsidR="007A3FA7">
        <w:t xml:space="preserve"> provides an estimated annual cost burden of $</w:t>
      </w:r>
      <w:r w:rsidR="00AA0062">
        <w:t>11</w:t>
      </w:r>
      <w:r w:rsidRPr="008B52EE" w:rsidR="007A3FA7">
        <w:t>,</w:t>
      </w:r>
      <w:r w:rsidR="00AA0062">
        <w:t>340</w:t>
      </w:r>
      <w:r w:rsidRPr="008B52EE" w:rsidR="007A3FA7">
        <w:t>.</w:t>
      </w:r>
    </w:p>
    <w:p w:rsidRPr="008B52EE" w:rsidR="007A3FA7" w:rsidP="007A3FA7" w:rsidRDefault="007A3FA7" w14:paraId="05C0ACAB" w14:textId="77777777">
      <w:pPr>
        <w:pStyle w:val="Caption"/>
      </w:pPr>
    </w:p>
    <w:p w:rsidRPr="008B52EE" w:rsidR="007A3FA7" w:rsidP="007A3FA7" w:rsidRDefault="007A3FA7" w14:paraId="4BACDE0F" w14:textId="412161EE">
      <w:pPr>
        <w:pStyle w:val="Caption"/>
        <w:jc w:val="center"/>
      </w:pPr>
      <w:bookmarkStart w:name="_Ref31208528" w:id="21"/>
      <w:r w:rsidRPr="008B52EE">
        <w:t xml:space="preserve">Table </w:t>
      </w:r>
      <w:fldSimple w:instr=" SEQ Table \* ARABIC ">
        <w:r w:rsidR="00BE09E0">
          <w:rPr>
            <w:noProof/>
          </w:rPr>
          <w:t>11</w:t>
        </w:r>
      </w:fldSimple>
      <w:bookmarkEnd w:id="21"/>
      <w:r w:rsidRPr="008B52EE">
        <w:t>: Estimated Federal Government Annual Hour and Cost Burden</w:t>
      </w:r>
    </w:p>
    <w:tbl>
      <w:tblPr>
        <w:tblStyle w:val="TableGrid"/>
        <w:tblW w:w="0" w:type="auto"/>
        <w:jc w:val="center"/>
        <w:tblLook w:val="04A0" w:firstRow="1" w:lastRow="0" w:firstColumn="1" w:lastColumn="0" w:noHBand="0" w:noVBand="1"/>
      </w:tblPr>
      <w:tblGrid>
        <w:gridCol w:w="3528"/>
        <w:gridCol w:w="3420"/>
      </w:tblGrid>
      <w:tr w:rsidRPr="008B52EE" w:rsidR="007A3FA7" w:rsidTr="005C1162" w14:paraId="166048BA" w14:textId="77777777">
        <w:trPr>
          <w:jc w:val="center"/>
        </w:trPr>
        <w:tc>
          <w:tcPr>
            <w:tcW w:w="3528" w:type="dxa"/>
          </w:tcPr>
          <w:p w:rsidRPr="008B52EE" w:rsidR="007A3FA7" w:rsidP="005C1162" w:rsidRDefault="007A3FA7" w14:paraId="41CFB94B"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Total Estimated Annual Hour Burden</w:t>
            </w:r>
          </w:p>
        </w:tc>
        <w:tc>
          <w:tcPr>
            <w:tcW w:w="3420" w:type="dxa"/>
          </w:tcPr>
          <w:p w:rsidRPr="008B52EE" w:rsidR="007A3FA7" w:rsidP="005C1162" w:rsidRDefault="007A3FA7" w14:paraId="590455E6"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Total Estimated Annual Dollar Burden</w:t>
            </w:r>
          </w:p>
        </w:tc>
      </w:tr>
      <w:tr w:rsidRPr="008B52EE" w:rsidR="007A3FA7" w:rsidTr="005C1162" w14:paraId="09817C00" w14:textId="77777777">
        <w:trPr>
          <w:jc w:val="center"/>
        </w:trPr>
        <w:tc>
          <w:tcPr>
            <w:tcW w:w="3528" w:type="dxa"/>
          </w:tcPr>
          <w:p w:rsidRPr="008B52EE" w:rsidR="007A3FA7" w:rsidP="005C1162" w:rsidRDefault="00AA0062" w14:paraId="06D2B7D4" w14:textId="4CA91B13">
            <w:pPr>
              <w:widowControl/>
              <w:jc w:val="center"/>
              <w:rPr>
                <w:rFonts w:ascii="Times New Roman" w:hAnsi="Times New Roman"/>
                <w:color w:val="000000"/>
                <w:sz w:val="22"/>
                <w:szCs w:val="22"/>
              </w:rPr>
            </w:pPr>
            <w:r>
              <w:rPr>
                <w:rFonts w:ascii="Times New Roman" w:hAnsi="Times New Roman"/>
                <w:color w:val="000000"/>
                <w:sz w:val="22"/>
                <w:szCs w:val="22"/>
              </w:rPr>
              <w:t>162</w:t>
            </w:r>
          </w:p>
        </w:tc>
        <w:tc>
          <w:tcPr>
            <w:tcW w:w="3420" w:type="dxa"/>
          </w:tcPr>
          <w:p w:rsidRPr="008B52EE" w:rsidR="007A3FA7" w:rsidP="005C1162" w:rsidRDefault="007A3FA7" w14:paraId="5CE2F297" w14:textId="734044B8">
            <w:pPr>
              <w:widowControl/>
              <w:jc w:val="center"/>
              <w:rPr>
                <w:rFonts w:ascii="Times New Roman" w:hAnsi="Times New Roman"/>
                <w:color w:val="000000"/>
                <w:sz w:val="22"/>
                <w:szCs w:val="22"/>
              </w:rPr>
            </w:pPr>
            <w:r w:rsidRPr="008B52EE">
              <w:rPr>
                <w:rFonts w:ascii="Times New Roman" w:hAnsi="Times New Roman"/>
                <w:color w:val="000000"/>
                <w:sz w:val="22"/>
                <w:szCs w:val="22"/>
              </w:rPr>
              <w:t>$</w:t>
            </w:r>
            <w:r w:rsidR="00AA0062">
              <w:rPr>
                <w:rFonts w:ascii="Times New Roman" w:hAnsi="Times New Roman"/>
                <w:color w:val="000000"/>
                <w:sz w:val="22"/>
                <w:szCs w:val="22"/>
              </w:rPr>
              <w:t>11</w:t>
            </w:r>
            <w:r w:rsidRPr="008B52EE">
              <w:rPr>
                <w:rFonts w:ascii="Times New Roman" w:hAnsi="Times New Roman"/>
                <w:color w:val="000000"/>
                <w:sz w:val="22"/>
                <w:szCs w:val="22"/>
              </w:rPr>
              <w:t>,</w:t>
            </w:r>
            <w:r w:rsidR="00AA0062">
              <w:rPr>
                <w:rFonts w:ascii="Times New Roman" w:hAnsi="Times New Roman"/>
                <w:color w:val="000000"/>
                <w:sz w:val="22"/>
                <w:szCs w:val="22"/>
              </w:rPr>
              <w:t>340</w:t>
            </w:r>
          </w:p>
        </w:tc>
      </w:tr>
    </w:tbl>
    <w:p w:rsidRPr="008B52EE"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Pr="008B52EE" w:rsidR="00347584" w:rsidRDefault="00347584" w14:paraId="3D564F67" w14:textId="77777777">
      <w:pPr>
        <w:pBdr>
          <w:top w:val="single" w:color="FFFFFF" w:sz="6" w:space="0"/>
          <w:left w:val="single" w:color="FFFFFF" w:sz="6" w:space="0"/>
          <w:bottom w:val="single" w:color="FFFFFF" w:sz="6" w:space="0"/>
          <w:right w:val="single" w:color="FFFFFF" w:sz="6" w:space="0"/>
        </w:pBdr>
        <w:rPr>
          <w:color w:val="FF0000"/>
        </w:rPr>
      </w:pPr>
    </w:p>
    <w:p w:rsidRPr="008B52EE" w:rsidR="00616CB8" w:rsidRDefault="00616CB8" w14:paraId="46B956EE" w14:textId="23450161">
      <w:pPr>
        <w:pBdr>
          <w:top w:val="single" w:color="FFFFFF" w:sz="6" w:space="0"/>
          <w:left w:val="single" w:color="FFFFFF" w:sz="6" w:space="0"/>
          <w:bottom w:val="single" w:color="FFFFFF" w:sz="6" w:space="0"/>
          <w:right w:val="single" w:color="FFFFFF" w:sz="6" w:space="0"/>
        </w:pBdr>
        <w:ind w:firstLine="720"/>
        <w:rPr>
          <w:b/>
          <w:bCs/>
          <w:color w:val="000000"/>
        </w:rPr>
      </w:pPr>
      <w:bookmarkStart w:name="_Hlk23835820" w:id="22"/>
      <w:r w:rsidRPr="008B52EE">
        <w:rPr>
          <w:b/>
          <w:bCs/>
          <w:color w:val="000000"/>
        </w:rPr>
        <w:t>6(d) Estimating the Respondent Universe</w:t>
      </w:r>
    </w:p>
    <w:p w:rsidRPr="008B52EE" w:rsidR="00616CB8" w:rsidRDefault="00616CB8" w14:paraId="6F1AB48D"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52EE" w:rsidR="00616CB8" w:rsidRDefault="00616CB8" w14:paraId="2952B344" w14:textId="02039C02">
      <w:pPr>
        <w:pBdr>
          <w:top w:val="single" w:color="FFFFFF" w:sz="6" w:space="0"/>
          <w:left w:val="single" w:color="FFFFFF" w:sz="6" w:space="0"/>
          <w:bottom w:val="single" w:color="FFFFFF" w:sz="6" w:space="0"/>
          <w:right w:val="single" w:color="FFFFFF" w:sz="6" w:space="0"/>
        </w:pBdr>
        <w:ind w:firstLine="720"/>
      </w:pPr>
      <w:bookmarkStart w:name="_Hlk23836458" w:id="23"/>
      <w:r w:rsidRPr="008B52EE">
        <w:rPr>
          <w:color w:val="000000"/>
        </w:rPr>
        <w:t xml:space="preserve">Participants in the information collection activities described by this ICR are generally project proponents or certifying authorities. </w:t>
      </w:r>
      <w:r w:rsidRPr="008B52EE" w:rsidR="00FD03A2">
        <w:rPr>
          <w:color w:val="000000"/>
        </w:rPr>
        <w:t xml:space="preserve">The EPA estimates that </w:t>
      </w:r>
      <w:r w:rsidRPr="008B52EE" w:rsidR="00C320D6">
        <w:rPr>
          <w:color w:val="000000"/>
        </w:rPr>
        <w:t>there is one</w:t>
      </w:r>
      <w:r w:rsidRPr="008B52EE" w:rsidR="00FD03A2">
        <w:rPr>
          <w:color w:val="000000"/>
        </w:rPr>
        <w:t xml:space="preserve"> project proponent</w:t>
      </w:r>
      <w:r w:rsidRPr="008B52EE">
        <w:rPr>
          <w:color w:val="000000"/>
        </w:rPr>
        <w:t xml:space="preserve"> </w:t>
      </w:r>
      <w:r w:rsidRPr="008B52EE" w:rsidR="00C320D6">
        <w:rPr>
          <w:color w:val="000000"/>
        </w:rPr>
        <w:t>per</w:t>
      </w:r>
      <w:r w:rsidRPr="008B52EE">
        <w:t xml:space="preserve"> federal license or permit </w:t>
      </w:r>
      <w:r w:rsidR="00266802">
        <w:t xml:space="preserve">submission </w:t>
      </w:r>
      <w:r w:rsidRPr="008B52EE" w:rsidR="00E420E5">
        <w:t>that</w:t>
      </w:r>
      <w:r w:rsidRPr="008B52EE">
        <w:t xml:space="preserve"> has the potential to discharge into water</w:t>
      </w:r>
      <w:r w:rsidRPr="008B52EE" w:rsidR="00C320D6">
        <w:t>s</w:t>
      </w:r>
      <w:r w:rsidRPr="008B52EE">
        <w:t xml:space="preserve"> of the United States</w:t>
      </w:r>
      <w:r w:rsidRPr="008B52EE" w:rsidR="00FD03A2">
        <w:t xml:space="preserve"> </w:t>
      </w:r>
      <w:r w:rsidRPr="008B52EE" w:rsidR="00C320D6">
        <w:t>that serves</w:t>
      </w:r>
      <w:r w:rsidRPr="008B52EE" w:rsidR="00FD03A2">
        <w:t xml:space="preserve"> as a respondent for this information collection</w:t>
      </w:r>
      <w:r w:rsidRPr="008B52EE">
        <w:t>. The EPA estimates that the 119 certifying authorities</w:t>
      </w:r>
      <w:r w:rsidRPr="00853DAC" w:rsidR="00853DAC">
        <w:rPr>
          <w:rStyle w:val="FootnoteReference"/>
          <w:vertAlign w:val="superscript"/>
        </w:rPr>
        <w:footnoteReference w:id="14"/>
      </w:r>
      <w:r w:rsidRPr="008B52EE">
        <w:t xml:space="preserve"> serve as respondents for this information collection.</w:t>
      </w:r>
    </w:p>
    <w:bookmarkEnd w:id="22"/>
    <w:bookmarkEnd w:id="23"/>
    <w:p w:rsidRPr="008B52EE" w:rsidR="00616CB8" w:rsidRDefault="00616CB8" w14:paraId="7AF9202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8B52EE" w:rsidR="00CA4CD6" w:rsidRDefault="00CA4CD6" w14:paraId="69F4ADEF" w14:textId="51C4FB8D">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6(</w:t>
      </w:r>
      <w:r w:rsidRPr="008B52EE" w:rsidR="00616CB8">
        <w:rPr>
          <w:b/>
          <w:bCs/>
          <w:color w:val="000000"/>
        </w:rPr>
        <w:t>e</w:t>
      </w:r>
      <w:r w:rsidRPr="008B52EE">
        <w:rPr>
          <w:b/>
          <w:bCs/>
          <w:color w:val="000000"/>
        </w:rPr>
        <w:t>)</w:t>
      </w:r>
      <w:r w:rsidRPr="008B52EE" w:rsidR="009C7E97">
        <w:rPr>
          <w:b/>
          <w:bCs/>
          <w:color w:val="000000"/>
        </w:rPr>
        <w:t xml:space="preserve"> </w:t>
      </w:r>
      <w:r w:rsidRPr="008B52EE">
        <w:rPr>
          <w:b/>
          <w:bCs/>
          <w:color w:val="000000"/>
        </w:rPr>
        <w:t>Bottom Line Burden Hours and Cost</w:t>
      </w:r>
      <w:r w:rsidRPr="008B52EE" w:rsidR="00C10E0E">
        <w:rPr>
          <w:b/>
          <w:bCs/>
          <w:color w:val="000000"/>
        </w:rPr>
        <w:t>s</w:t>
      </w:r>
    </w:p>
    <w:p w:rsidRPr="008B52EE"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2100F319" w14:textId="475D21FD">
      <w:pPr>
        <w:pBdr>
          <w:top w:val="single" w:color="FFFFFF" w:sz="6" w:space="0"/>
          <w:left w:val="single" w:color="FFFFFF" w:sz="6" w:space="0"/>
          <w:bottom w:val="single" w:color="FFFFFF" w:sz="6" w:space="0"/>
          <w:right w:val="single" w:color="FFFFFF" w:sz="6" w:space="0"/>
        </w:pBdr>
        <w:ind w:firstLine="720"/>
      </w:pPr>
      <w:r w:rsidRPr="008B52EE">
        <w:rPr>
          <w:color w:val="000000"/>
        </w:rPr>
        <w:t xml:space="preserve">The detailed bottom line burden hours and cost calculations for the respondents and the </w:t>
      </w:r>
      <w:r w:rsidR="0041151A">
        <w:rPr>
          <w:color w:val="000000"/>
        </w:rPr>
        <w:t>EPA</w:t>
      </w:r>
      <w:r w:rsidRPr="008B52EE" w:rsidR="0041151A">
        <w:rPr>
          <w:color w:val="000000"/>
        </w:rPr>
        <w:t xml:space="preserve"> </w:t>
      </w:r>
      <w:r w:rsidRPr="008B52EE">
        <w:rPr>
          <w:color w:val="000000"/>
        </w:rPr>
        <w:t xml:space="preserve">are shown </w:t>
      </w:r>
      <w:r w:rsidRPr="008B52EE" w:rsidR="008154F9">
        <w:rPr>
          <w:color w:val="000000"/>
        </w:rPr>
        <w:t xml:space="preserve">above </w:t>
      </w:r>
      <w:r w:rsidRPr="008B52EE">
        <w:rPr>
          <w:color w:val="000000"/>
        </w:rPr>
        <w:t xml:space="preserve">in </w:t>
      </w:r>
      <w:r w:rsidR="00266802">
        <w:rPr>
          <w:color w:val="000000"/>
        </w:rPr>
        <w:fldChar w:fldCharType="begin"/>
      </w:r>
      <w:r w:rsidR="00266802">
        <w:rPr>
          <w:color w:val="000000"/>
        </w:rPr>
        <w:instrText xml:space="preserve"> REF _Ref31114121 \h </w:instrText>
      </w:r>
      <w:r w:rsidR="00266802">
        <w:rPr>
          <w:color w:val="000000"/>
        </w:rPr>
      </w:r>
      <w:r w:rsidR="00266802">
        <w:rPr>
          <w:color w:val="000000"/>
        </w:rPr>
        <w:fldChar w:fldCharType="end"/>
      </w:r>
      <w:r w:rsidR="00457A28">
        <w:rPr>
          <w:color w:val="000000"/>
        </w:rPr>
        <w:fldChar w:fldCharType="begin"/>
      </w:r>
      <w:r w:rsidR="00457A28">
        <w:rPr>
          <w:color w:val="000000"/>
        </w:rPr>
        <w:instrText xml:space="preserve"> REF _Ref31977430 \h </w:instrText>
      </w:r>
      <w:r w:rsidR="00457A28">
        <w:rPr>
          <w:color w:val="000000"/>
        </w:rPr>
      </w:r>
      <w:r w:rsidR="00457A28">
        <w:rPr>
          <w:color w:val="000000"/>
        </w:rPr>
        <w:fldChar w:fldCharType="separate"/>
      </w:r>
      <w:r w:rsidRPr="008B52EE" w:rsidR="00457A28">
        <w:t xml:space="preserve">Table </w:t>
      </w:r>
      <w:r w:rsidR="00457A28">
        <w:rPr>
          <w:noProof/>
        </w:rPr>
        <w:t>4</w:t>
      </w:r>
      <w:r w:rsidR="00457A28">
        <w:rPr>
          <w:color w:val="000000"/>
        </w:rPr>
        <w:fldChar w:fldCharType="end"/>
      </w:r>
      <w:r w:rsidRPr="008B52EE" w:rsidR="00170273">
        <w:rPr>
          <w:color w:val="000000"/>
        </w:rPr>
        <w:t xml:space="preserve"> </w:t>
      </w:r>
      <w:r w:rsidRPr="008B52EE" w:rsidR="0064164B">
        <w:rPr>
          <w:color w:val="000000"/>
        </w:rPr>
        <w:t xml:space="preserve">through </w:t>
      </w:r>
      <w:r w:rsidR="00457A28">
        <w:rPr>
          <w:color w:val="000000"/>
        </w:rPr>
        <w:fldChar w:fldCharType="begin"/>
      </w:r>
      <w:r w:rsidR="00457A28">
        <w:rPr>
          <w:color w:val="000000"/>
        </w:rPr>
        <w:instrText xml:space="preserve"> REF _Ref31208528 \h </w:instrText>
      </w:r>
      <w:r w:rsidR="00457A28">
        <w:rPr>
          <w:color w:val="000000"/>
        </w:rPr>
      </w:r>
      <w:r w:rsidR="00457A28">
        <w:rPr>
          <w:color w:val="000000"/>
        </w:rPr>
        <w:fldChar w:fldCharType="separate"/>
      </w:r>
      <w:r w:rsidRPr="008B52EE" w:rsidR="00457A28">
        <w:t xml:space="preserve">Table </w:t>
      </w:r>
      <w:r w:rsidR="00457A28">
        <w:rPr>
          <w:noProof/>
        </w:rPr>
        <w:t>11</w:t>
      </w:r>
      <w:r w:rsidR="00457A28">
        <w:rPr>
          <w:color w:val="000000"/>
        </w:rPr>
        <w:fldChar w:fldCharType="end"/>
      </w:r>
      <w:r w:rsidRPr="008B52EE">
        <w:t xml:space="preserve"> and summarized below.</w:t>
      </w:r>
      <w:r w:rsidRPr="008B52EE" w:rsidR="009C7E97">
        <w:t xml:space="preserve"> </w:t>
      </w:r>
    </w:p>
    <w:p w:rsidRPr="008B52EE"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8B52EE"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8B52EE">
        <w:rPr>
          <w:b/>
          <w:bCs/>
        </w:rPr>
        <w:t>(</w:t>
      </w:r>
      <w:proofErr w:type="spellStart"/>
      <w:r w:rsidRPr="008B52EE">
        <w:rPr>
          <w:b/>
          <w:bCs/>
        </w:rPr>
        <w:t>i</w:t>
      </w:r>
      <w:proofErr w:type="spellEnd"/>
      <w:r w:rsidRPr="008B52EE">
        <w:rPr>
          <w:b/>
          <w:bCs/>
        </w:rPr>
        <w:t>) Respondent Tally</w:t>
      </w:r>
    </w:p>
    <w:p w:rsidRPr="008B52EE"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8B52EE" w:rsidR="00412A6E" w:rsidP="00A97D4A" w:rsidRDefault="00CA4CD6" w14:paraId="561A2AB9" w14:textId="5C70F189">
      <w:pPr>
        <w:pBdr>
          <w:top w:val="single" w:color="FFFFFF" w:sz="6" w:space="0"/>
          <w:left w:val="single" w:color="FFFFFF" w:sz="6" w:space="0"/>
          <w:bottom w:val="single" w:color="FFFFFF" w:sz="6" w:space="0"/>
          <w:right w:val="single" w:color="FFFFFF" w:sz="6" w:space="0"/>
        </w:pBdr>
        <w:ind w:firstLine="720"/>
        <w:rPr>
          <w:color w:val="000000"/>
        </w:rPr>
      </w:pPr>
      <w:r w:rsidRPr="008B52EE">
        <w:t>T</w:t>
      </w:r>
      <w:r w:rsidRPr="008B52EE" w:rsidR="00A97D4A">
        <w:t>his ICR estimat</w:t>
      </w:r>
      <w:r w:rsidRPr="008B52EE" w:rsidR="001154F8">
        <w:t>es</w:t>
      </w:r>
      <w:r w:rsidRPr="008B52EE" w:rsidR="00C10E0E">
        <w:t xml:space="preserve"> </w:t>
      </w:r>
      <w:r w:rsidR="00A13E95">
        <w:t>19</w:t>
      </w:r>
      <w:r w:rsidR="006912AD">
        <w:t>4</w:t>
      </w:r>
      <w:r w:rsidRPr="008B52EE" w:rsidR="00C10E0E">
        <w:t>,000</w:t>
      </w:r>
      <w:r w:rsidRPr="00630CB2" w:rsidR="00DD1419">
        <w:rPr>
          <w:rStyle w:val="FootnoteReference"/>
          <w:vertAlign w:val="superscript"/>
        </w:rPr>
        <w:footnoteReference w:id="15"/>
      </w:r>
      <w:r w:rsidRPr="008B52EE" w:rsidR="00A97D4A">
        <w:t xml:space="preserve"> </w:t>
      </w:r>
      <w:r w:rsidRPr="008B52EE">
        <w:t xml:space="preserve">annual </w:t>
      </w:r>
      <w:r w:rsidRPr="008B52EE" w:rsidR="00A97D4A">
        <w:t xml:space="preserve">responses from </w:t>
      </w:r>
      <w:r w:rsidR="00A13E95">
        <w:t>9</w:t>
      </w:r>
      <w:r w:rsidR="006912AD">
        <w:t>7</w:t>
      </w:r>
      <w:r w:rsidRPr="008B52EE" w:rsidR="000F201A">
        <w:t>,119</w:t>
      </w:r>
      <w:r w:rsidRPr="00AE0D22" w:rsidR="00DD1419">
        <w:rPr>
          <w:rStyle w:val="FootnoteReference"/>
          <w:vertAlign w:val="superscript"/>
        </w:rPr>
        <w:footnoteReference w:id="16"/>
      </w:r>
      <w:r w:rsidRPr="008B52EE" w:rsidR="00A97D4A">
        <w:t xml:space="preserve"> respondents</w:t>
      </w:r>
      <w:r w:rsidR="002A6917">
        <w:t>, an increase from the estimated 82,000 annual responses and 41,119 respondents presented in the first notice</w:t>
      </w:r>
      <w:r w:rsidRPr="008B52EE" w:rsidR="00A97D4A">
        <w:t xml:space="preserve">. </w:t>
      </w:r>
      <w:r w:rsidRPr="008B52EE" w:rsidR="001154F8">
        <w:t>Total annual burden for respondents (project proponents</w:t>
      </w:r>
      <w:r w:rsidRPr="008B52EE" w:rsidR="002A0A87">
        <w:t xml:space="preserve"> and </w:t>
      </w:r>
      <w:r w:rsidRPr="008B52EE" w:rsidR="001154F8">
        <w:t>certifying authorities</w:t>
      </w:r>
      <w:r w:rsidRPr="008B52EE" w:rsidR="002A0A87">
        <w:t>)</w:t>
      </w:r>
      <w:r w:rsidRPr="008B52EE" w:rsidR="001154F8">
        <w:t xml:space="preserve"> are anticipated to be </w:t>
      </w:r>
      <w:r w:rsidR="00A13E95">
        <w:t>1,067</w:t>
      </w:r>
      <w:r w:rsidRPr="008B52EE" w:rsidR="00C10E0E">
        <w:t>,000</w:t>
      </w:r>
      <w:r w:rsidRPr="008B52EE" w:rsidR="001154F8">
        <w:t xml:space="preserve"> </w:t>
      </w:r>
      <w:r w:rsidRPr="008B52EE" w:rsidR="00C10E0E">
        <w:t xml:space="preserve">hours </w:t>
      </w:r>
      <w:r w:rsidRPr="008B52EE" w:rsidR="001154F8">
        <w:t>with the a</w:t>
      </w:r>
      <w:r w:rsidRPr="008B52EE" w:rsidR="00A97D4A">
        <w:t xml:space="preserve">ssociated annual labor costs </w:t>
      </w:r>
      <w:r w:rsidRPr="008B52EE" w:rsidR="001154F8">
        <w:t>being</w:t>
      </w:r>
      <w:r w:rsidRPr="008B52EE" w:rsidR="00C10E0E">
        <w:t xml:space="preserve"> approximately</w:t>
      </w:r>
      <w:r w:rsidRPr="008B52EE" w:rsidR="001154F8">
        <w:t xml:space="preserve"> $</w:t>
      </w:r>
      <w:r w:rsidR="00A13E95">
        <w:t>56</w:t>
      </w:r>
      <w:r w:rsidR="00A22DFE">
        <w:t xml:space="preserve"> million</w:t>
      </w:r>
      <w:r w:rsidRPr="008B52EE" w:rsidR="001154F8">
        <w:t xml:space="preserve">. There are </w:t>
      </w:r>
      <w:r w:rsidR="00F56A7C">
        <w:t>$</w:t>
      </w:r>
      <w:r w:rsidR="00A13E95">
        <w:t>8</w:t>
      </w:r>
      <w:r w:rsidR="00F56A7C">
        <w:t xml:space="preserve"> million</w:t>
      </w:r>
      <w:r w:rsidRPr="008B52EE" w:rsidR="00F56A7C">
        <w:t xml:space="preserve"> </w:t>
      </w:r>
      <w:r w:rsidR="00F56A7C">
        <w:t>estimated</w:t>
      </w:r>
      <w:r w:rsidRPr="008B52EE" w:rsidR="00F56A7C">
        <w:t xml:space="preserve"> </w:t>
      </w:r>
      <w:r w:rsidRPr="008B52EE" w:rsidR="001154F8">
        <w:t>non-labor costs associated with this collection</w:t>
      </w:r>
      <w:r w:rsidR="00F56A7C">
        <w:t xml:space="preserve"> attributed entirely to potential fees paid by project proponents</w:t>
      </w:r>
      <w:r w:rsidRPr="008B52EE" w:rsidR="001154F8">
        <w:t>.</w:t>
      </w:r>
      <w:r w:rsidRPr="008B52EE" w:rsidR="00A97D4A">
        <w:t xml:space="preserve">  </w:t>
      </w:r>
    </w:p>
    <w:p w:rsidRPr="008B52EE"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Pr="008B52EE"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8B52EE">
        <w:rPr>
          <w:b/>
          <w:bCs/>
          <w:color w:val="000000"/>
        </w:rPr>
        <w:t>(ii) The Agency Tally</w:t>
      </w:r>
    </w:p>
    <w:p w:rsidRPr="008B52EE" w:rsidR="001154F8" w:rsidP="001154F8" w:rsidRDefault="001154F8" w14:paraId="48E9435D" w14:textId="77777777">
      <w:pPr>
        <w:pBdr>
          <w:top w:val="single" w:color="FFFFFF" w:sz="6" w:space="0"/>
          <w:left w:val="single" w:color="FFFFFF" w:sz="6" w:space="0"/>
          <w:bottom w:val="single" w:color="FFFFFF" w:sz="6" w:space="0"/>
          <w:right w:val="single" w:color="FFFFFF" w:sz="6" w:space="0"/>
        </w:pBdr>
        <w:ind w:firstLine="720"/>
      </w:pPr>
    </w:p>
    <w:p w:rsidRPr="008B52EE" w:rsidR="001154F8" w:rsidP="001154F8" w:rsidRDefault="001154F8" w14:paraId="51FD8D1E" w14:textId="5E5D575A">
      <w:pPr>
        <w:pBdr>
          <w:top w:val="single" w:color="FFFFFF" w:sz="6" w:space="0"/>
          <w:left w:val="single" w:color="FFFFFF" w:sz="6" w:space="0"/>
          <w:bottom w:val="single" w:color="FFFFFF" w:sz="6" w:space="0"/>
          <w:right w:val="single" w:color="FFFFFF" w:sz="6" w:space="0"/>
        </w:pBdr>
        <w:ind w:firstLine="720"/>
        <w:rPr>
          <w:color w:val="000000"/>
        </w:rPr>
      </w:pPr>
      <w:r w:rsidRPr="008B52EE">
        <w:t xml:space="preserve">The total annual burden for the </w:t>
      </w:r>
      <w:r w:rsidR="0014596D">
        <w:t>EPA</w:t>
      </w:r>
      <w:r w:rsidRPr="008B52EE" w:rsidR="0014596D">
        <w:t xml:space="preserve"> </w:t>
      </w:r>
      <w:r w:rsidRPr="008B52EE">
        <w:t xml:space="preserve">is anticipated to be </w:t>
      </w:r>
      <w:r w:rsidR="00AA0062">
        <w:t>162</w:t>
      </w:r>
      <w:r w:rsidRPr="008B52EE" w:rsidR="00AA0062">
        <w:t xml:space="preserve"> </w:t>
      </w:r>
      <w:r w:rsidRPr="008B52EE">
        <w:t xml:space="preserve">hours. </w:t>
      </w:r>
      <w:r w:rsidRPr="008B52EE" w:rsidR="00C10E0E">
        <w:t xml:space="preserve">Activities related to maintaining this collection are expected to cost the </w:t>
      </w:r>
      <w:r w:rsidR="0014596D">
        <w:t>EPA</w:t>
      </w:r>
      <w:r w:rsidRPr="008B52EE" w:rsidR="0014596D">
        <w:t xml:space="preserve"> </w:t>
      </w:r>
      <w:r w:rsidRPr="008B52EE" w:rsidR="00C10E0E">
        <w:t>approximately $</w:t>
      </w:r>
      <w:r w:rsidR="00AA0062">
        <w:t>11,340</w:t>
      </w:r>
      <w:r w:rsidRPr="008B52EE" w:rsidR="00C10E0E">
        <w:t xml:space="preserve"> each year.  </w:t>
      </w:r>
      <w:r w:rsidRPr="008B52EE">
        <w:t xml:space="preserve"> </w:t>
      </w:r>
    </w:p>
    <w:p w:rsidRPr="008B52EE"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FC11BC" w:rsidP="00FC11BC" w:rsidRDefault="00CA4CD6" w14:paraId="6C5B914F" w14:textId="066E5075">
      <w:pPr>
        <w:pBdr>
          <w:top w:val="single" w:color="FFFFFF" w:sz="6" w:space="0"/>
          <w:left w:val="single" w:color="FFFFFF" w:sz="6" w:space="0"/>
          <w:bottom w:val="single" w:color="FFFFFF" w:sz="6" w:space="0"/>
          <w:right w:val="single" w:color="FFFFFF" w:sz="6" w:space="0"/>
        </w:pBdr>
        <w:ind w:firstLine="720"/>
        <w:rPr>
          <w:rStyle w:val="normaltextrun"/>
        </w:rPr>
      </w:pPr>
      <w:r w:rsidRPr="008B52EE">
        <w:rPr>
          <w:b/>
          <w:bCs/>
        </w:rPr>
        <w:t>6(</w:t>
      </w:r>
      <w:r w:rsidRPr="008B52EE" w:rsidR="00616CB8">
        <w:rPr>
          <w:b/>
          <w:bCs/>
        </w:rPr>
        <w:t>f</w:t>
      </w:r>
      <w:r w:rsidRPr="008B52EE">
        <w:rPr>
          <w:b/>
          <w:bCs/>
        </w:rPr>
        <w:t>)</w:t>
      </w:r>
      <w:r w:rsidRPr="008B52EE" w:rsidR="009C7E97">
        <w:rPr>
          <w:b/>
          <w:bCs/>
        </w:rPr>
        <w:t xml:space="preserve"> </w:t>
      </w:r>
      <w:r w:rsidRPr="008B52EE">
        <w:rPr>
          <w:b/>
          <w:bCs/>
        </w:rPr>
        <w:t>Reasons for Change in Burden</w:t>
      </w:r>
      <w:bookmarkStart w:name="_Hlk21708077" w:id="24"/>
    </w:p>
    <w:p w:rsidR="00E974B6" w:rsidP="00E974B6" w:rsidRDefault="00E974B6" w14:paraId="1E1A7993" w14:textId="77777777">
      <w:pPr>
        <w:rPr>
          <w:rFonts w:ascii="Calibri" w:hAnsi="Calibri" w:cs="Calibri"/>
          <w:sz w:val="22"/>
          <w:szCs w:val="22"/>
        </w:rPr>
      </w:pPr>
    </w:p>
    <w:p w:rsidR="00E974B6" w:rsidP="00356C69" w:rsidRDefault="00E974B6" w14:paraId="78B6C05C" w14:textId="6A26C2BE">
      <w:pPr>
        <w:pStyle w:val="paragraph"/>
        <w:spacing w:before="0" w:beforeAutospacing="0" w:after="0" w:afterAutospacing="0"/>
        <w:ind w:firstLine="720"/>
        <w:textAlignment w:val="baseline"/>
        <w:rPr>
          <w:rStyle w:val="eop"/>
          <w:rFonts w:ascii="Times New Roman" w:hAnsi="Times New Roman" w:cs="Times New Roman"/>
          <w:sz w:val="24"/>
          <w:szCs w:val="24"/>
        </w:rPr>
      </w:pPr>
      <w:r>
        <w:rPr>
          <w:rStyle w:val="normaltextrun"/>
          <w:rFonts w:ascii="Times New Roman" w:hAnsi="Times New Roman" w:cs="Times New Roman"/>
          <w:sz w:val="24"/>
          <w:szCs w:val="24"/>
        </w:rPr>
        <w:t>There is an increase in the estimated burden, number of respondents, and number</w:t>
      </w:r>
      <w:r w:rsidR="00224DF5">
        <w:rPr>
          <w:rStyle w:val="normaltextrun"/>
          <w:rFonts w:ascii="Times New Roman" w:hAnsi="Times New Roman" w:cs="Times New Roman"/>
          <w:sz w:val="24"/>
          <w:szCs w:val="24"/>
        </w:rPr>
        <w:t xml:space="preserve"> of responses </w:t>
      </w:r>
      <w:r>
        <w:rPr>
          <w:rStyle w:val="normaltextrun"/>
          <w:rFonts w:ascii="Times New Roman" w:hAnsi="Times New Roman" w:cs="Times New Roman"/>
          <w:sz w:val="24"/>
          <w:szCs w:val="24"/>
        </w:rPr>
        <w:t>when compared to the estimates presented in the currently approved ICR. These changes are due to </w:t>
      </w:r>
      <w:r>
        <w:rPr>
          <w:rStyle w:val="findhit"/>
          <w:rFonts w:ascii="Times New Roman" w:hAnsi="Times New Roman" w:cs="Times New Roman"/>
          <w:sz w:val="24"/>
          <w:szCs w:val="24"/>
        </w:rPr>
        <w:t>refinement</w:t>
      </w:r>
      <w:r>
        <w:rPr>
          <w:rStyle w:val="normaltextrun"/>
          <w:rFonts w:ascii="Times New Roman" w:hAnsi="Times New Roman" w:cs="Times New Roman"/>
          <w:sz w:val="24"/>
          <w:szCs w:val="24"/>
        </w:rPr>
        <w:t>s in how the estimates are calculated in addition to newly collected and updated data made available since the first notice. The</w:t>
      </w:r>
      <w:r w:rsidR="00224DF5">
        <w:rPr>
          <w:rStyle w:val="normaltextrun"/>
          <w:rFonts w:ascii="Times New Roman" w:hAnsi="Times New Roman" w:cs="Times New Roman"/>
          <w:sz w:val="24"/>
          <w:szCs w:val="24"/>
        </w:rPr>
        <w:t xml:space="preserve"> EPA</w:t>
      </w:r>
      <w:r w:rsidR="00533192">
        <w:rPr>
          <w:rStyle w:val="normaltextrun"/>
          <w:rFonts w:ascii="Times New Roman" w:hAnsi="Times New Roman" w:cs="Times New Roman"/>
          <w:sz w:val="24"/>
          <w:szCs w:val="24"/>
        </w:rPr>
        <w:t xml:space="preserve"> also </w:t>
      </w:r>
      <w:r w:rsidR="00AA345E">
        <w:rPr>
          <w:rStyle w:val="normaltextrun"/>
          <w:rFonts w:ascii="Times New Roman" w:hAnsi="Times New Roman" w:cs="Times New Roman"/>
          <w:sz w:val="24"/>
          <w:szCs w:val="24"/>
        </w:rPr>
        <w:t xml:space="preserve">consulted with certifying authorities to compile suitable data for estimation of potential fees where appropriate. </w:t>
      </w:r>
    </w:p>
    <w:p w:rsidR="00E974B6" w:rsidP="00E974B6" w:rsidRDefault="00E974B6" w14:paraId="15FE7FF6" w14:textId="77777777">
      <w:pPr>
        <w:pStyle w:val="paragraph"/>
        <w:spacing w:before="0" w:beforeAutospacing="0" w:after="0" w:afterAutospacing="0"/>
        <w:textAlignment w:val="baseline"/>
      </w:pPr>
      <w:r>
        <w:rPr>
          <w:rStyle w:val="eop"/>
          <w:rFonts w:ascii="Times New Roman" w:hAnsi="Times New Roman" w:cs="Times New Roman"/>
          <w:sz w:val="24"/>
          <w:szCs w:val="24"/>
        </w:rPr>
        <w:t> </w:t>
      </w:r>
    </w:p>
    <w:p w:rsidRPr="00224DF5" w:rsidR="00E974B6" w:rsidP="00356C69" w:rsidRDefault="00E974B6" w14:paraId="5F7FC1A1" w14:textId="072A189B">
      <w:pPr>
        <w:pStyle w:val="paragraph"/>
        <w:spacing w:before="0" w:beforeAutospacing="0" w:after="0" w:afterAutospacing="0"/>
        <w:ind w:firstLine="720"/>
        <w:textAlignment w:val="baseline"/>
        <w:rPr>
          <w:rFonts w:ascii="Times New Roman" w:hAnsi="Times New Roman" w:cs="Times New Roman"/>
          <w:sz w:val="24"/>
          <w:szCs w:val="24"/>
        </w:rPr>
      </w:pPr>
      <w:r w:rsidRPr="00224DF5">
        <w:rPr>
          <w:rStyle w:val="normaltextrun"/>
          <w:rFonts w:ascii="Times New Roman" w:hAnsi="Times New Roman" w:cs="Times New Roman"/>
          <w:b/>
          <w:bCs/>
          <w:sz w:val="24"/>
          <w:szCs w:val="24"/>
        </w:rPr>
        <w:t xml:space="preserve">Number of Requests: </w:t>
      </w:r>
      <w:r w:rsidRPr="00224DF5">
        <w:rPr>
          <w:rStyle w:val="normaltextrun"/>
          <w:rFonts w:ascii="Times New Roman" w:hAnsi="Times New Roman" w:cs="Times New Roman"/>
          <w:sz w:val="24"/>
          <w:szCs w:val="24"/>
        </w:rPr>
        <w:t>The currently approved ICR estimated the number of</w:t>
      </w:r>
      <w:r w:rsidR="00D55BCC">
        <w:rPr>
          <w:rStyle w:val="normaltextrun"/>
          <w:rFonts w:ascii="Times New Roman" w:hAnsi="Times New Roman" w:cs="Times New Roman"/>
          <w:sz w:val="24"/>
          <w:szCs w:val="24"/>
        </w:rPr>
        <w:t xml:space="preserve"> certification</w:t>
      </w:r>
      <w:r w:rsidR="00224DF5">
        <w:rPr>
          <w:rStyle w:val="normaltextrun"/>
          <w:rFonts w:ascii="Times New Roman" w:hAnsi="Times New Roman" w:cs="Times New Roman"/>
          <w:sz w:val="24"/>
          <w:szCs w:val="24"/>
        </w:rPr>
        <w:t xml:space="preserve"> requests prepared </w:t>
      </w:r>
      <w:r w:rsidRPr="00224DF5">
        <w:rPr>
          <w:rFonts w:ascii="Times New Roman" w:hAnsi="Times New Roman" w:cs="Times New Roman"/>
          <w:sz w:val="24"/>
          <w:szCs w:val="24"/>
        </w:rPr>
        <w:t>by project proponents and reviewed by certifying authorities based on the number of issued licenses</w:t>
      </w:r>
      <w:r w:rsidR="00D55BCC">
        <w:rPr>
          <w:rFonts w:ascii="Times New Roman" w:hAnsi="Times New Roman" w:cs="Times New Roman"/>
          <w:sz w:val="24"/>
          <w:szCs w:val="24"/>
        </w:rPr>
        <w:t xml:space="preserve"> and permits</w:t>
      </w:r>
      <w:r w:rsidRPr="00224DF5">
        <w:rPr>
          <w:rFonts w:ascii="Times New Roman" w:hAnsi="Times New Roman" w:cs="Times New Roman"/>
          <w:sz w:val="24"/>
          <w:szCs w:val="24"/>
        </w:rPr>
        <w:t xml:space="preserve"> </w:t>
      </w:r>
      <w:r w:rsidRPr="00356C69">
        <w:rPr>
          <w:rFonts w:ascii="Times New Roman" w:hAnsi="Times New Roman" w:cs="Times New Roman"/>
          <w:sz w:val="24"/>
          <w:szCs w:val="24"/>
        </w:rPr>
        <w:t xml:space="preserve">as </w:t>
      </w:r>
      <w:r w:rsidRPr="00224DF5">
        <w:rPr>
          <w:rFonts w:ascii="Times New Roman" w:hAnsi="Times New Roman" w:cs="Times New Roman"/>
          <w:sz w:val="24"/>
          <w:szCs w:val="24"/>
        </w:rPr>
        <w:t xml:space="preserve">reported by federal agencies. </w:t>
      </w:r>
      <w:r w:rsidRPr="00356C69">
        <w:rPr>
          <w:rFonts w:ascii="Times New Roman" w:hAnsi="Times New Roman" w:cs="Times New Roman"/>
          <w:sz w:val="24"/>
          <w:szCs w:val="24"/>
        </w:rPr>
        <w:t>The Agency assumed that federally issued</w:t>
      </w:r>
      <w:r w:rsidR="00D55BCC">
        <w:rPr>
          <w:rFonts w:ascii="Times New Roman" w:hAnsi="Times New Roman" w:cs="Times New Roman"/>
          <w:sz w:val="24"/>
          <w:szCs w:val="24"/>
        </w:rPr>
        <w:t xml:space="preserve"> licenses and permits</w:t>
      </w:r>
      <w:r w:rsidRPr="00356C69">
        <w:rPr>
          <w:rFonts w:ascii="Times New Roman" w:hAnsi="Times New Roman" w:cs="Times New Roman"/>
          <w:sz w:val="24"/>
          <w:szCs w:val="24"/>
        </w:rPr>
        <w:t xml:space="preserve"> were a reasonable surrogate for the number of</w:t>
      </w:r>
      <w:r w:rsidR="00224DF5">
        <w:rPr>
          <w:rFonts w:ascii="Times New Roman" w:hAnsi="Times New Roman" w:cs="Times New Roman"/>
          <w:sz w:val="24"/>
          <w:szCs w:val="24"/>
        </w:rPr>
        <w:t xml:space="preserve"> certification requests</w:t>
      </w:r>
      <w:r w:rsidR="00D55BCC">
        <w:rPr>
          <w:rFonts w:ascii="Times New Roman" w:hAnsi="Times New Roman" w:cs="Times New Roman"/>
          <w:sz w:val="24"/>
          <w:szCs w:val="24"/>
        </w:rPr>
        <w:t xml:space="preserve"> reviewed by certifying authorities</w:t>
      </w:r>
      <w:r w:rsidR="00224DF5">
        <w:rPr>
          <w:rFonts w:ascii="Times New Roman" w:hAnsi="Times New Roman" w:cs="Times New Roman"/>
          <w:sz w:val="24"/>
          <w:szCs w:val="24"/>
        </w:rPr>
        <w:t xml:space="preserve">. However, </w:t>
      </w:r>
      <w:r w:rsidR="00D55BCC">
        <w:rPr>
          <w:rFonts w:ascii="Times New Roman" w:hAnsi="Times New Roman" w:cs="Times New Roman"/>
          <w:sz w:val="24"/>
          <w:szCs w:val="24"/>
        </w:rPr>
        <w:t xml:space="preserve">additional </w:t>
      </w:r>
      <w:r w:rsidRPr="00356C69">
        <w:rPr>
          <w:rFonts w:ascii="Times New Roman" w:hAnsi="Times New Roman" w:cs="Times New Roman"/>
          <w:sz w:val="24"/>
          <w:szCs w:val="24"/>
        </w:rPr>
        <w:t xml:space="preserve">data </w:t>
      </w:r>
      <w:r w:rsidR="00D55BCC">
        <w:rPr>
          <w:rFonts w:ascii="Times New Roman" w:hAnsi="Times New Roman" w:cs="Times New Roman"/>
          <w:sz w:val="24"/>
          <w:szCs w:val="24"/>
        </w:rPr>
        <w:t xml:space="preserve">the EPA received </w:t>
      </w:r>
      <w:r w:rsidRPr="00356C69">
        <w:rPr>
          <w:rFonts w:ascii="Times New Roman" w:hAnsi="Times New Roman" w:cs="Times New Roman"/>
          <w:sz w:val="24"/>
          <w:szCs w:val="24"/>
        </w:rPr>
        <w:t xml:space="preserve">from certifying </w:t>
      </w:r>
      <w:r w:rsidRPr="00B94787">
        <w:rPr>
          <w:rFonts w:ascii="Times New Roman" w:hAnsi="Times New Roman" w:cs="Times New Roman"/>
          <w:sz w:val="24"/>
          <w:szCs w:val="24"/>
        </w:rPr>
        <w:t xml:space="preserve">authorities indicates they receive and review more certification requests than the surrogate estimate. </w:t>
      </w:r>
      <w:r w:rsidRPr="009D16F6" w:rsidR="00A12D2D">
        <w:rPr>
          <w:rFonts w:ascii="Times New Roman" w:hAnsi="Times New Roman" w:cs="Times New Roman"/>
          <w:sz w:val="24"/>
          <w:szCs w:val="24"/>
        </w:rPr>
        <w:t xml:space="preserve">While the data from certifying authorities does not conclusively explain this discrepancy, the Agency believes that certifying authorities are likely reviewing requests for licenses and permits that are not ultimately issued, </w:t>
      </w:r>
      <w:r w:rsidRPr="009D16F6" w:rsidR="007B2507">
        <w:rPr>
          <w:rFonts w:ascii="Times New Roman" w:hAnsi="Times New Roman" w:cs="Times New Roman"/>
          <w:sz w:val="24"/>
          <w:szCs w:val="24"/>
        </w:rPr>
        <w:t>and</w:t>
      </w:r>
      <w:r w:rsidRPr="009D16F6" w:rsidR="00A12D2D">
        <w:rPr>
          <w:rFonts w:ascii="Times New Roman" w:hAnsi="Times New Roman" w:cs="Times New Roman"/>
          <w:sz w:val="24"/>
          <w:szCs w:val="24"/>
        </w:rPr>
        <w:t xml:space="preserve"> are reviewing requests that are withdrawn or denied. </w:t>
      </w:r>
      <w:r w:rsidRPr="009D16F6">
        <w:rPr>
          <w:rFonts w:ascii="Times New Roman" w:hAnsi="Times New Roman" w:cs="Times New Roman"/>
          <w:sz w:val="24"/>
          <w:szCs w:val="24"/>
        </w:rPr>
        <w:t xml:space="preserve">In this notice, for both project proponents and certifying authorities, the Agency has retained the number of federally issued permits and licenses as the low estimate for the number of </w:t>
      </w:r>
      <w:proofErr w:type="gramStart"/>
      <w:r w:rsidRPr="009D16F6">
        <w:rPr>
          <w:rFonts w:ascii="Times New Roman" w:hAnsi="Times New Roman" w:cs="Times New Roman"/>
          <w:sz w:val="24"/>
          <w:szCs w:val="24"/>
        </w:rPr>
        <w:t>certification</w:t>
      </w:r>
      <w:proofErr w:type="gramEnd"/>
      <w:r w:rsidRPr="009D16F6">
        <w:rPr>
          <w:rFonts w:ascii="Times New Roman" w:hAnsi="Times New Roman" w:cs="Times New Roman"/>
          <w:sz w:val="24"/>
          <w:szCs w:val="24"/>
        </w:rPr>
        <w:t xml:space="preserve"> requests, and included as the high estimate the mean num</w:t>
      </w:r>
      <w:r w:rsidRPr="00D55BCC">
        <w:rPr>
          <w:rFonts w:ascii="Times New Roman" w:hAnsi="Times New Roman" w:cs="Times New Roman"/>
          <w:sz w:val="24"/>
          <w:szCs w:val="24"/>
        </w:rPr>
        <w:t>ber of certification requests</w:t>
      </w:r>
      <w:r w:rsidRPr="00B94787">
        <w:rPr>
          <w:rFonts w:ascii="Times New Roman" w:hAnsi="Times New Roman" w:cs="Times New Roman"/>
          <w:sz w:val="24"/>
          <w:szCs w:val="24"/>
        </w:rPr>
        <w:t xml:space="preserve"> that certifying authorities reported reviewing.</w:t>
      </w:r>
      <w:r w:rsidRPr="00224DF5">
        <w:rPr>
          <w:rStyle w:val="eop"/>
          <w:rFonts w:ascii="Times New Roman" w:hAnsi="Times New Roman" w:cs="Times New Roman"/>
          <w:sz w:val="24"/>
          <w:szCs w:val="24"/>
        </w:rPr>
        <w:t> </w:t>
      </w:r>
    </w:p>
    <w:p w:rsidR="00E974B6" w:rsidP="00E974B6" w:rsidRDefault="00E974B6" w14:paraId="43341F58" w14:textId="77777777">
      <w:pPr>
        <w:pStyle w:val="paragraph"/>
        <w:spacing w:before="0" w:beforeAutospacing="0" w:after="0" w:afterAutospacing="0"/>
        <w:ind w:left="1440"/>
        <w:textAlignment w:val="baseline"/>
        <w:rPr>
          <w:rFonts w:ascii="Times New Roman" w:hAnsi="Times New Roman" w:cs="Times New Roman"/>
          <w:sz w:val="24"/>
          <w:szCs w:val="24"/>
        </w:rPr>
      </w:pPr>
      <w:r>
        <w:rPr>
          <w:rStyle w:val="normaltextrun"/>
          <w:rFonts w:ascii="Times New Roman" w:hAnsi="Times New Roman" w:cs="Times New Roman"/>
          <w:sz w:val="24"/>
          <w:szCs w:val="24"/>
        </w:rPr>
        <w:t> </w:t>
      </w:r>
      <w:r>
        <w:rPr>
          <w:rFonts w:ascii="Times New Roman" w:hAnsi="Times New Roman" w:cs="Times New Roman"/>
          <w:sz w:val="24"/>
          <w:szCs w:val="24"/>
        </w:rPr>
        <w:t> </w:t>
      </w:r>
      <w:r>
        <w:rPr>
          <w:rStyle w:val="eop"/>
          <w:rFonts w:ascii="Times New Roman" w:hAnsi="Times New Roman" w:cs="Times New Roman"/>
          <w:sz w:val="24"/>
          <w:szCs w:val="24"/>
        </w:rPr>
        <w:t> </w:t>
      </w:r>
    </w:p>
    <w:p w:rsidR="006901CA" w:rsidP="006901CA" w:rsidRDefault="00E974B6" w14:paraId="51C6680B" w14:textId="511157E4">
      <w:pPr>
        <w:ind w:firstLine="720"/>
      </w:pPr>
      <w:r w:rsidRPr="00224DF5">
        <w:rPr>
          <w:rStyle w:val="normaltextrun"/>
          <w:b/>
          <w:bCs/>
        </w:rPr>
        <w:t>Hours per Request: </w:t>
      </w:r>
      <w:r w:rsidRPr="00224DF5">
        <w:t xml:space="preserve">The currently approved ICR estimated the hours spent to prepare and review </w:t>
      </w:r>
      <w:r w:rsidRPr="00356C69">
        <w:t xml:space="preserve">certification </w:t>
      </w:r>
      <w:r w:rsidRPr="00224DF5">
        <w:t xml:space="preserve">requests based on the existing </w:t>
      </w:r>
      <w:r w:rsidRPr="00356C69">
        <w:t xml:space="preserve">NPDES </w:t>
      </w:r>
      <w:r w:rsidRPr="00224DF5">
        <w:t>ICR for water quality</w:t>
      </w:r>
      <w:r w:rsidR="00224DF5">
        <w:t xml:space="preserve"> certifications</w:t>
      </w:r>
      <w:r w:rsidRPr="00224DF5">
        <w:t xml:space="preserve">. However, additional information obtained from certifying authorities indicates that they spend more time reviewing </w:t>
      </w:r>
      <w:r w:rsidRPr="00356C69">
        <w:t xml:space="preserve">certification </w:t>
      </w:r>
      <w:r w:rsidRPr="00224DF5">
        <w:t>requests</w:t>
      </w:r>
      <w:r w:rsidR="00D55BCC">
        <w:t xml:space="preserve"> that are not </w:t>
      </w:r>
      <w:r w:rsidRPr="00356C69">
        <w:t xml:space="preserve">NPDES </w:t>
      </w:r>
      <w:r w:rsidR="00D55BCC">
        <w:t xml:space="preserve">permit related </w:t>
      </w:r>
      <w:r w:rsidRPr="00356C69">
        <w:t>certification requests</w:t>
      </w:r>
      <w:r w:rsidRPr="00224DF5">
        <w:t xml:space="preserve">. In this notice, the Agency has retained the NPDES program ICR numbers as the low estimate for certifying authority hours spent reviewing </w:t>
      </w:r>
      <w:r w:rsidRPr="00356C69">
        <w:t xml:space="preserve">certification </w:t>
      </w:r>
      <w:r w:rsidRPr="00224DF5">
        <w:t xml:space="preserve">requests and added the mean hours from the certifying authority questionnaire as the high estimate for certifying authority hours spent reviewing </w:t>
      </w:r>
      <w:r w:rsidRPr="00356C69">
        <w:t xml:space="preserve">certification </w:t>
      </w:r>
      <w:r w:rsidRPr="00224DF5">
        <w:t xml:space="preserve">requests. </w:t>
      </w:r>
      <w:r w:rsidRPr="009D16F6" w:rsidR="007B2507">
        <w:t>The high estimate is based on a limited number of states and is not expected to be representative of the whole population of certifying authorities.</w:t>
      </w:r>
      <w:r w:rsidRPr="009D16F6" w:rsidR="006901CA">
        <w:t xml:space="preserve"> Use of the midpoint is justified to address the incomplete nature of both estimates.</w:t>
      </w:r>
    </w:p>
    <w:p w:rsidR="00E974B6" w:rsidP="00E974B6" w:rsidRDefault="00E974B6" w14:paraId="320E2421" w14:textId="77777777">
      <w:pPr>
        <w:pStyle w:val="paragraph"/>
        <w:spacing w:before="0" w:beforeAutospacing="0" w:after="0" w:afterAutospacing="0"/>
        <w:ind w:left="1440"/>
        <w:textAlignment w:val="baseline"/>
        <w:rPr>
          <w:rFonts w:ascii="Times New Roman" w:hAnsi="Times New Roman" w:cs="Times New Roman"/>
          <w:sz w:val="24"/>
          <w:szCs w:val="24"/>
        </w:rPr>
      </w:pPr>
      <w:r>
        <w:rPr>
          <w:rStyle w:val="eop"/>
          <w:rFonts w:ascii="Times New Roman" w:hAnsi="Times New Roman" w:cs="Times New Roman"/>
          <w:sz w:val="24"/>
          <w:szCs w:val="24"/>
        </w:rPr>
        <w:t> </w:t>
      </w:r>
    </w:p>
    <w:p w:rsidRPr="00224DF5" w:rsidR="00E974B6" w:rsidP="00356C69" w:rsidRDefault="00E974B6" w14:paraId="638CD5EF" w14:textId="77777777">
      <w:pPr>
        <w:pStyle w:val="paragraph"/>
        <w:spacing w:before="0" w:beforeAutospacing="0" w:after="0" w:afterAutospacing="0"/>
        <w:ind w:firstLine="720"/>
        <w:textAlignment w:val="baseline"/>
        <w:rPr>
          <w:rFonts w:ascii="Times New Roman" w:hAnsi="Times New Roman" w:cs="Times New Roman"/>
          <w:sz w:val="24"/>
          <w:szCs w:val="24"/>
        </w:rPr>
      </w:pPr>
      <w:r w:rsidRPr="00224DF5">
        <w:rPr>
          <w:rStyle w:val="normaltextrun"/>
          <w:rFonts w:ascii="Times New Roman" w:hAnsi="Times New Roman" w:cs="Times New Roman"/>
          <w:b/>
          <w:bCs/>
          <w:sz w:val="24"/>
          <w:szCs w:val="24"/>
        </w:rPr>
        <w:t xml:space="preserve">Wage of Employee Handling Submission: </w:t>
      </w:r>
      <w:r w:rsidRPr="00224DF5">
        <w:rPr>
          <w:rStyle w:val="normaltextrun"/>
          <w:rFonts w:ascii="Times New Roman" w:hAnsi="Times New Roman" w:cs="Times New Roman"/>
          <w:sz w:val="24"/>
          <w:szCs w:val="24"/>
        </w:rPr>
        <w:t xml:space="preserve">Wages have been updated to reflect the most current </w:t>
      </w:r>
      <w:r w:rsidRPr="00356C69">
        <w:rPr>
          <w:rStyle w:val="normaltextrun"/>
          <w:rFonts w:ascii="Times New Roman" w:hAnsi="Times New Roman" w:cs="Times New Roman"/>
          <w:sz w:val="24"/>
          <w:szCs w:val="24"/>
        </w:rPr>
        <w:t>values</w:t>
      </w:r>
      <w:r w:rsidRPr="00224DF5">
        <w:rPr>
          <w:rStyle w:val="normaltextrun"/>
          <w:rFonts w:ascii="Times New Roman" w:hAnsi="Times New Roman" w:cs="Times New Roman"/>
          <w:sz w:val="24"/>
          <w:szCs w:val="24"/>
        </w:rPr>
        <w:t>.</w:t>
      </w:r>
      <w:r w:rsidRPr="00224DF5">
        <w:rPr>
          <w:rStyle w:val="eop"/>
          <w:rFonts w:ascii="Times New Roman" w:hAnsi="Times New Roman" w:cs="Times New Roman"/>
          <w:sz w:val="24"/>
          <w:szCs w:val="24"/>
        </w:rPr>
        <w:t> </w:t>
      </w:r>
    </w:p>
    <w:p w:rsidR="00E974B6" w:rsidP="00E974B6" w:rsidRDefault="00E974B6" w14:paraId="2CF82AC3" w14:textId="77777777">
      <w:pPr>
        <w:pStyle w:val="paragraph"/>
        <w:spacing w:before="0" w:beforeAutospacing="0" w:after="0" w:afterAutospacing="0"/>
        <w:ind w:left="1440"/>
        <w:textAlignment w:val="baseline"/>
        <w:rPr>
          <w:rFonts w:ascii="Times New Roman" w:hAnsi="Times New Roman" w:cs="Times New Roman"/>
          <w:sz w:val="24"/>
          <w:szCs w:val="24"/>
        </w:rPr>
      </w:pPr>
      <w:r>
        <w:rPr>
          <w:rFonts w:ascii="Times New Roman" w:hAnsi="Times New Roman" w:cs="Times New Roman"/>
          <w:sz w:val="24"/>
          <w:szCs w:val="24"/>
        </w:rPr>
        <w:t> </w:t>
      </w:r>
    </w:p>
    <w:p w:rsidRPr="00224DF5" w:rsidR="00E974B6" w:rsidP="00356C69" w:rsidRDefault="00E974B6" w14:paraId="478D34C2" w14:textId="4E8B4FA2">
      <w:pPr>
        <w:pStyle w:val="paragraph"/>
        <w:spacing w:before="0" w:beforeAutospacing="0" w:after="0" w:afterAutospacing="0"/>
        <w:ind w:firstLine="720"/>
        <w:textAlignment w:val="baseline"/>
        <w:rPr>
          <w:rFonts w:ascii="Times New Roman" w:hAnsi="Times New Roman" w:cs="Times New Roman"/>
          <w:sz w:val="24"/>
          <w:szCs w:val="24"/>
        </w:rPr>
      </w:pPr>
      <w:r w:rsidRPr="00224DF5">
        <w:rPr>
          <w:rStyle w:val="normaltextrun"/>
          <w:rFonts w:ascii="Times New Roman" w:hAnsi="Times New Roman" w:cs="Times New Roman"/>
          <w:b/>
          <w:bCs/>
          <w:sz w:val="24"/>
          <w:szCs w:val="24"/>
        </w:rPr>
        <w:t>Request Fees:</w:t>
      </w:r>
      <w:r w:rsidRPr="00224DF5">
        <w:rPr>
          <w:rFonts w:ascii="Times New Roman" w:hAnsi="Times New Roman" w:cs="Times New Roman"/>
          <w:b/>
          <w:bCs/>
          <w:sz w:val="24"/>
          <w:szCs w:val="24"/>
        </w:rPr>
        <w:t> </w:t>
      </w:r>
      <w:r w:rsidRPr="00224DF5">
        <w:rPr>
          <w:rFonts w:ascii="Times New Roman" w:hAnsi="Times New Roman" w:cs="Times New Roman"/>
          <w:sz w:val="24"/>
          <w:szCs w:val="24"/>
        </w:rPr>
        <w:t>In the</w:t>
      </w:r>
      <w:r w:rsidRPr="00224DF5">
        <w:rPr>
          <w:rFonts w:ascii="Times New Roman" w:hAnsi="Times New Roman" w:cs="Times New Roman"/>
          <w:b/>
          <w:bCs/>
          <w:sz w:val="24"/>
          <w:szCs w:val="24"/>
        </w:rPr>
        <w:t xml:space="preserve"> </w:t>
      </w:r>
      <w:r w:rsidRPr="00224DF5">
        <w:rPr>
          <w:rFonts w:ascii="Times New Roman" w:hAnsi="Times New Roman" w:cs="Times New Roman"/>
          <w:sz w:val="24"/>
          <w:szCs w:val="24"/>
        </w:rPr>
        <w:t xml:space="preserve">currently approved ICR, the EPA was unable to estimate fees associated with certification requests based </w:t>
      </w:r>
      <w:r w:rsidRPr="00356C69">
        <w:rPr>
          <w:rFonts w:ascii="Times New Roman" w:hAnsi="Times New Roman" w:cs="Times New Roman"/>
          <w:sz w:val="24"/>
          <w:szCs w:val="24"/>
        </w:rPr>
        <w:t xml:space="preserve">on the paucity of available </w:t>
      </w:r>
      <w:r w:rsidRPr="00224DF5">
        <w:rPr>
          <w:rFonts w:ascii="Times New Roman" w:hAnsi="Times New Roman" w:cs="Times New Roman"/>
          <w:sz w:val="24"/>
          <w:szCs w:val="24"/>
        </w:rPr>
        <w:t xml:space="preserve">information. However, based on information </w:t>
      </w:r>
      <w:r w:rsidRPr="00356C69">
        <w:rPr>
          <w:rFonts w:ascii="Times New Roman" w:hAnsi="Times New Roman" w:cs="Times New Roman"/>
          <w:sz w:val="24"/>
          <w:szCs w:val="24"/>
        </w:rPr>
        <w:t xml:space="preserve">recently </w:t>
      </w:r>
      <w:r w:rsidRPr="00224DF5">
        <w:rPr>
          <w:rFonts w:ascii="Times New Roman" w:hAnsi="Times New Roman" w:cs="Times New Roman"/>
          <w:sz w:val="24"/>
          <w:szCs w:val="24"/>
        </w:rPr>
        <w:t>provided by certifying authorities, the estimates for fees paid by project proponents are included.  </w:t>
      </w:r>
      <w:r w:rsidRPr="00224DF5">
        <w:rPr>
          <w:rStyle w:val="eop"/>
          <w:rFonts w:ascii="Times New Roman" w:hAnsi="Times New Roman" w:cs="Times New Roman"/>
          <w:sz w:val="24"/>
          <w:szCs w:val="24"/>
        </w:rPr>
        <w:t> </w:t>
      </w:r>
    </w:p>
    <w:p w:rsidR="00E974B6" w:rsidP="00E974B6" w:rsidRDefault="00E974B6" w14:paraId="0F2DDFFB" w14:textId="77777777">
      <w:pPr>
        <w:pStyle w:val="paragraph"/>
        <w:spacing w:before="0" w:beforeAutospacing="0" w:after="0" w:afterAutospacing="0"/>
        <w:ind w:left="1440"/>
        <w:textAlignment w:val="baseline"/>
        <w:rPr>
          <w:rFonts w:ascii="Times New Roman" w:hAnsi="Times New Roman" w:cs="Times New Roman"/>
          <w:sz w:val="24"/>
          <w:szCs w:val="24"/>
        </w:rPr>
      </w:pPr>
      <w:r>
        <w:rPr>
          <w:rFonts w:ascii="Times New Roman" w:hAnsi="Times New Roman" w:cs="Times New Roman"/>
          <w:sz w:val="24"/>
          <w:szCs w:val="24"/>
        </w:rPr>
        <w:t> </w:t>
      </w:r>
    </w:p>
    <w:p w:rsidRPr="00224DF5" w:rsidR="00E974B6" w:rsidP="00356C69" w:rsidRDefault="00E974B6" w14:paraId="6DF64A11" w14:textId="63DACC26">
      <w:pPr>
        <w:pStyle w:val="paragraph"/>
        <w:spacing w:before="0" w:beforeAutospacing="0" w:after="0" w:afterAutospacing="0"/>
        <w:ind w:firstLine="720"/>
        <w:textAlignment w:val="baseline"/>
      </w:pPr>
      <w:r w:rsidRPr="00224DF5">
        <w:rPr>
          <w:rStyle w:val="normaltextrun"/>
          <w:rFonts w:ascii="Times New Roman" w:hAnsi="Times New Roman" w:cs="Times New Roman"/>
          <w:b/>
          <w:bCs/>
          <w:sz w:val="24"/>
          <w:szCs w:val="24"/>
        </w:rPr>
        <w:lastRenderedPageBreak/>
        <w:t>Overall Changes: </w:t>
      </w:r>
      <w:r w:rsidRPr="00224DF5">
        <w:rPr>
          <w:rFonts w:ascii="Times New Roman" w:hAnsi="Times New Roman" w:cs="Times New Roman"/>
          <w:sz w:val="24"/>
          <w:szCs w:val="24"/>
        </w:rPr>
        <w:t xml:space="preserve">Due to incorporating </w:t>
      </w:r>
      <w:r w:rsidRPr="00356C69">
        <w:rPr>
          <w:rFonts w:ascii="Times New Roman" w:hAnsi="Times New Roman" w:cs="Times New Roman"/>
          <w:sz w:val="24"/>
          <w:szCs w:val="24"/>
        </w:rPr>
        <w:t xml:space="preserve">newly collected </w:t>
      </w:r>
      <w:r w:rsidRPr="00224DF5">
        <w:rPr>
          <w:rFonts w:ascii="Times New Roman" w:hAnsi="Times New Roman" w:cs="Times New Roman"/>
          <w:sz w:val="24"/>
          <w:szCs w:val="24"/>
        </w:rPr>
        <w:t xml:space="preserve">information from certifying authority consultations and public comment information </w:t>
      </w:r>
      <w:r w:rsidRPr="00356C69">
        <w:rPr>
          <w:rFonts w:ascii="Times New Roman" w:hAnsi="Times New Roman" w:cs="Times New Roman"/>
          <w:sz w:val="24"/>
          <w:szCs w:val="24"/>
        </w:rPr>
        <w:t xml:space="preserve">submitted on the proposed rule </w:t>
      </w:r>
      <w:r w:rsidRPr="00224DF5">
        <w:rPr>
          <w:rFonts w:ascii="Times New Roman" w:hAnsi="Times New Roman" w:cs="Times New Roman"/>
          <w:sz w:val="24"/>
          <w:szCs w:val="24"/>
        </w:rPr>
        <w:t xml:space="preserve">as described above, the hour burden for certifying authorities </w:t>
      </w:r>
      <w:r w:rsidRPr="00356C69">
        <w:rPr>
          <w:rFonts w:ascii="Times New Roman" w:hAnsi="Times New Roman" w:cs="Times New Roman"/>
          <w:sz w:val="24"/>
          <w:szCs w:val="24"/>
        </w:rPr>
        <w:t xml:space="preserve">is greater </w:t>
      </w:r>
      <w:r w:rsidRPr="00224DF5">
        <w:rPr>
          <w:rFonts w:ascii="Times New Roman" w:hAnsi="Times New Roman" w:cs="Times New Roman"/>
          <w:sz w:val="24"/>
          <w:szCs w:val="24"/>
        </w:rPr>
        <w:t xml:space="preserve">because the number of </w:t>
      </w:r>
      <w:r w:rsidRPr="00356C69">
        <w:rPr>
          <w:rFonts w:ascii="Times New Roman" w:hAnsi="Times New Roman" w:cs="Times New Roman"/>
          <w:sz w:val="24"/>
          <w:szCs w:val="24"/>
        </w:rPr>
        <w:t xml:space="preserve">certification </w:t>
      </w:r>
      <w:r w:rsidRPr="00224DF5">
        <w:rPr>
          <w:rFonts w:ascii="Times New Roman" w:hAnsi="Times New Roman" w:cs="Times New Roman"/>
          <w:sz w:val="24"/>
          <w:szCs w:val="24"/>
        </w:rPr>
        <w:t xml:space="preserve">requests and hours spent reviewing each </w:t>
      </w:r>
      <w:r w:rsidRPr="00356C69">
        <w:rPr>
          <w:rFonts w:ascii="Times New Roman" w:hAnsi="Times New Roman" w:cs="Times New Roman"/>
          <w:sz w:val="24"/>
          <w:szCs w:val="24"/>
        </w:rPr>
        <w:t xml:space="preserve">certification </w:t>
      </w:r>
      <w:r w:rsidRPr="00224DF5">
        <w:rPr>
          <w:rFonts w:ascii="Times New Roman" w:hAnsi="Times New Roman" w:cs="Times New Roman"/>
          <w:sz w:val="24"/>
          <w:szCs w:val="24"/>
        </w:rPr>
        <w:t xml:space="preserve">request increased. The hour burden for project proponents </w:t>
      </w:r>
      <w:r w:rsidRPr="00356C69">
        <w:rPr>
          <w:rFonts w:ascii="Times New Roman" w:hAnsi="Times New Roman" w:cs="Times New Roman"/>
          <w:sz w:val="24"/>
          <w:szCs w:val="24"/>
        </w:rPr>
        <w:t xml:space="preserve">is greater </w:t>
      </w:r>
      <w:r w:rsidRPr="00224DF5">
        <w:rPr>
          <w:rFonts w:ascii="Times New Roman" w:hAnsi="Times New Roman" w:cs="Times New Roman"/>
          <w:sz w:val="24"/>
          <w:szCs w:val="24"/>
        </w:rPr>
        <w:t xml:space="preserve">because the number of </w:t>
      </w:r>
      <w:r w:rsidRPr="00356C69">
        <w:rPr>
          <w:rFonts w:ascii="Times New Roman" w:hAnsi="Times New Roman" w:cs="Times New Roman"/>
          <w:sz w:val="24"/>
          <w:szCs w:val="24"/>
        </w:rPr>
        <w:t xml:space="preserve">certification </w:t>
      </w:r>
      <w:r w:rsidRPr="00224DF5">
        <w:rPr>
          <w:rFonts w:ascii="Times New Roman" w:hAnsi="Times New Roman" w:cs="Times New Roman"/>
          <w:sz w:val="24"/>
          <w:szCs w:val="24"/>
        </w:rPr>
        <w:t xml:space="preserve">requests increased. </w:t>
      </w:r>
      <w:r w:rsidRPr="00224DF5" w:rsidR="00224DF5">
        <w:rPr>
          <w:rFonts w:ascii="Times New Roman" w:hAnsi="Times New Roman" w:cs="Times New Roman"/>
          <w:sz w:val="24"/>
          <w:szCs w:val="24"/>
        </w:rPr>
        <w:t>The certification request fee estimates are also now accounted for because they were not present in the currently approved ICR. </w:t>
      </w:r>
      <w:r w:rsidRPr="00224DF5" w:rsidR="00224DF5">
        <w:rPr>
          <w:rStyle w:val="eop"/>
        </w:rPr>
        <w:t> </w:t>
      </w:r>
    </w:p>
    <w:p w:rsidR="00E974B6" w:rsidP="00E974B6" w:rsidRDefault="00E974B6" w14:paraId="1C845C9F" w14:textId="77777777"/>
    <w:p w:rsidRPr="008B52EE" w:rsidR="00CA4CD6" w:rsidRDefault="00E974B6" w14:paraId="3641EEAB" w14:textId="35134682">
      <w:pPr>
        <w:pBdr>
          <w:top w:val="single" w:color="FFFFFF" w:sz="6" w:space="0"/>
          <w:left w:val="single" w:color="FFFFFF" w:sz="6" w:space="0"/>
          <w:bottom w:val="single" w:color="FFFFFF" w:sz="6" w:space="0"/>
          <w:right w:val="single" w:color="FFFFFF" w:sz="6" w:space="0"/>
        </w:pBdr>
        <w:ind w:firstLine="720"/>
        <w:rPr>
          <w:color w:val="000000"/>
        </w:rPr>
      </w:pPr>
      <w:r w:rsidRPr="008B52EE" w:rsidDel="00FC11BC">
        <w:t xml:space="preserve"> </w:t>
      </w:r>
      <w:bookmarkEnd w:id="24"/>
      <w:r w:rsidRPr="008B52EE" w:rsidR="00CA4CD6">
        <w:rPr>
          <w:b/>
          <w:bCs/>
          <w:color w:val="000000"/>
        </w:rPr>
        <w:t>6(</w:t>
      </w:r>
      <w:r w:rsidRPr="008B52EE" w:rsidR="00616CB8">
        <w:rPr>
          <w:b/>
          <w:bCs/>
          <w:color w:val="000000"/>
        </w:rPr>
        <w:t>g</w:t>
      </w:r>
      <w:r w:rsidRPr="008B52EE" w:rsidR="00CA4CD6">
        <w:rPr>
          <w:b/>
          <w:bCs/>
          <w:color w:val="000000"/>
        </w:rPr>
        <w:t>)</w:t>
      </w:r>
      <w:r w:rsidRPr="008B52EE" w:rsidR="009C7E97">
        <w:rPr>
          <w:b/>
          <w:bCs/>
          <w:color w:val="000000"/>
        </w:rPr>
        <w:t xml:space="preserve"> </w:t>
      </w:r>
      <w:r w:rsidRPr="008B52EE" w:rsidR="00CA4CD6">
        <w:rPr>
          <w:b/>
          <w:bCs/>
          <w:color w:val="000000"/>
        </w:rPr>
        <w:t>Burden Statement</w:t>
      </w:r>
    </w:p>
    <w:p w:rsidRPr="008B52EE"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0370E683" w14:textId="50FAF42C">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The annual public reporting and recordkeeping burden for this collection of information is estimated to average</w:t>
      </w:r>
      <w:r w:rsidRPr="008B52EE" w:rsidR="00412A6E">
        <w:rPr>
          <w:color w:val="000000"/>
        </w:rPr>
        <w:t xml:space="preserve"> </w:t>
      </w:r>
      <w:r w:rsidR="00AC002C">
        <w:rPr>
          <w:color w:val="000000"/>
        </w:rPr>
        <w:t>12.5</w:t>
      </w:r>
      <w:r w:rsidRPr="008B52EE">
        <w:rPr>
          <w:color w:val="000000"/>
        </w:rPr>
        <w:t xml:space="preserve"> hours per response.</w:t>
      </w:r>
      <w:r w:rsidRPr="008B52EE" w:rsidR="009C7E97">
        <w:rPr>
          <w:color w:val="000000"/>
        </w:rPr>
        <w:t xml:space="preserve"> </w:t>
      </w:r>
      <w:r w:rsidRPr="008B52EE" w:rsidR="00D94856">
        <w:rPr>
          <w:color w:val="000000"/>
        </w:rPr>
        <w:t>“</w:t>
      </w:r>
      <w:r w:rsidRPr="008B52EE">
        <w:rPr>
          <w:color w:val="000000"/>
        </w:rPr>
        <w:t>Burden</w:t>
      </w:r>
      <w:r w:rsidRPr="008B52EE" w:rsidR="00D94856">
        <w:rPr>
          <w:color w:val="000000"/>
        </w:rPr>
        <w:t>”</w:t>
      </w:r>
      <w:r w:rsidRPr="008B52EE">
        <w:rPr>
          <w:color w:val="000000"/>
        </w:rPr>
        <w:t xml:space="preserve"> means the total time, effort, or financial resources expended by persons to generate, maintain, retain, or disclose or provide information </w:t>
      </w:r>
      <w:r w:rsidRPr="008B52EE" w:rsidR="009178B3">
        <w:rPr>
          <w:color w:val="000000"/>
        </w:rPr>
        <w:t xml:space="preserve">either </w:t>
      </w:r>
      <w:r w:rsidRPr="008B52EE">
        <w:rPr>
          <w:color w:val="000000"/>
        </w:rPr>
        <w:t>to or for a Federal agency.</w:t>
      </w:r>
      <w:r w:rsidRPr="008B52EE" w:rsidR="009C7E97">
        <w:rPr>
          <w:color w:val="000000"/>
        </w:rPr>
        <w:t xml:space="preserve"> </w:t>
      </w:r>
      <w:r w:rsidRPr="008B52EE">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8B52EE"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6B7CC239" w14:textId="473BCB72">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An agency may n</w:t>
      </w:r>
      <w:r w:rsidRPr="008B52EE" w:rsidR="009178B3">
        <w:rPr>
          <w:color w:val="000000"/>
        </w:rPr>
        <w:t>either</w:t>
      </w:r>
      <w:r w:rsidRPr="008B52EE">
        <w:rPr>
          <w:color w:val="000000"/>
        </w:rPr>
        <w:t xml:space="preserve"> conduct </w:t>
      </w:r>
      <w:r w:rsidRPr="008B52EE" w:rsidR="009178B3">
        <w:rPr>
          <w:color w:val="000000"/>
        </w:rPr>
        <w:t>n</w:t>
      </w:r>
      <w:r w:rsidRPr="008B52EE">
        <w:rPr>
          <w:color w:val="000000"/>
        </w:rPr>
        <w:t xml:space="preserve">or sponsor, and a person is not required to respond </w:t>
      </w:r>
      <w:r w:rsidRPr="008B52EE" w:rsidR="009E0776">
        <w:rPr>
          <w:color w:val="000000"/>
        </w:rPr>
        <w:t xml:space="preserve">to, </w:t>
      </w:r>
      <w:r w:rsidRPr="008B52EE">
        <w:rPr>
          <w:color w:val="000000"/>
        </w:rPr>
        <w:t>a collection of information unless it displays a valid OMB Control Number.</w:t>
      </w:r>
      <w:r w:rsidRPr="008B52EE" w:rsidR="009C7E97">
        <w:rPr>
          <w:color w:val="000000"/>
        </w:rPr>
        <w:t xml:space="preserve"> </w:t>
      </w:r>
      <w:r w:rsidRPr="008B52EE">
        <w:rPr>
          <w:color w:val="000000"/>
        </w:rPr>
        <w:t>The OMB Control Numbers for EPA</w:t>
      </w:r>
      <w:r w:rsidRPr="008B52EE" w:rsidR="00906EDB">
        <w:rPr>
          <w:color w:val="000000"/>
        </w:rPr>
        <w:t xml:space="preserve"> </w:t>
      </w:r>
      <w:r w:rsidRPr="008B52EE">
        <w:rPr>
          <w:color w:val="000000"/>
        </w:rPr>
        <w:t xml:space="preserve">regulations are listed at 40 CFR </w:t>
      </w:r>
      <w:r w:rsidRPr="008B52EE" w:rsidR="00377D7F">
        <w:rPr>
          <w:color w:val="000000"/>
        </w:rPr>
        <w:t xml:space="preserve">Part </w:t>
      </w:r>
      <w:r w:rsidRPr="008B52EE">
        <w:rPr>
          <w:color w:val="000000"/>
        </w:rPr>
        <w:t xml:space="preserve">9 and 48 CFR </w:t>
      </w:r>
      <w:r w:rsidRPr="008B52EE" w:rsidR="00377D7F">
        <w:rPr>
          <w:color w:val="000000"/>
        </w:rPr>
        <w:t xml:space="preserve">Chapter </w:t>
      </w:r>
      <w:r w:rsidRPr="008B52EE">
        <w:rPr>
          <w:color w:val="000000"/>
        </w:rPr>
        <w:t>15.</w:t>
      </w:r>
    </w:p>
    <w:p w:rsidRPr="008B52EE" w:rsidR="006741F7" w:rsidP="00354C15" w:rsidRDefault="006741F7" w14:paraId="2C33F27B" w14:textId="77777777"/>
    <w:p w:rsidRPr="008B52EE" w:rsidR="00354C15" w:rsidP="00354C15" w:rsidRDefault="00FB0650" w14:paraId="5FEA1034" w14:textId="19B84EC0">
      <w:r w:rsidRPr="008B52EE">
        <w:tab/>
      </w:r>
      <w:r w:rsidRPr="008B52EE" w:rsidR="00CA4CD6">
        <w:t xml:space="preserve">To comment on the </w:t>
      </w:r>
      <w:r w:rsidR="00C648F7">
        <w:t>EPA’s</w:t>
      </w:r>
      <w:r w:rsidRPr="008B52EE" w:rsidR="00C648F7">
        <w:t xml:space="preserve"> </w:t>
      </w:r>
      <w:r w:rsidRPr="008B52EE" w:rsidR="00CA4CD6">
        <w:t xml:space="preserve">need for this information, the accuracy of the provided burden estimates, and any suggested methods for minimizing respondent burden, including the use of automated collection techniques, </w:t>
      </w:r>
      <w:r w:rsidRPr="008B52EE" w:rsidR="004C1E56">
        <w:t xml:space="preserve">the </w:t>
      </w:r>
      <w:r w:rsidRPr="008B52EE" w:rsidR="00CA4CD6">
        <w:t xml:space="preserve">EPA has established a public docket for this ICR under Docket ID </w:t>
      </w:r>
      <w:r w:rsidR="000D5178">
        <w:t>No.</w:t>
      </w:r>
      <w:r w:rsidRPr="008B52EE" w:rsidR="00CA4CD6">
        <w:t xml:space="preserve"> </w:t>
      </w:r>
      <w:r w:rsidRPr="008B52EE" w:rsidR="0035325B">
        <w:t>EPA-HQ-</w:t>
      </w:r>
      <w:r w:rsidRPr="008B52EE" w:rsidR="001D2402">
        <w:t>OW</w:t>
      </w:r>
      <w:r w:rsidRPr="008B52EE" w:rsidR="0035325B">
        <w:t>-201</w:t>
      </w:r>
      <w:r w:rsidRPr="008B52EE" w:rsidR="001D2402">
        <w:t>9</w:t>
      </w:r>
      <w:r w:rsidRPr="008B52EE" w:rsidR="00810DBE">
        <w:t>-05</w:t>
      </w:r>
      <w:r w:rsidRPr="008B52EE" w:rsidR="001D2402">
        <w:t>6</w:t>
      </w:r>
      <w:r w:rsidRPr="008B52EE" w:rsidR="00810DBE">
        <w:t>6.</w:t>
      </w:r>
      <w:r w:rsidRPr="008B52EE" w:rsidR="009C7E97">
        <w:rPr>
          <w:color w:val="FF0000"/>
        </w:rPr>
        <w:t xml:space="preserve"> </w:t>
      </w:r>
      <w:r w:rsidRPr="008B52EE" w:rsidR="00354C15">
        <w:t xml:space="preserve">An electronic version of the public docket is available at </w:t>
      </w:r>
      <w:hyperlink w:history="1" r:id="rId27">
        <w:r w:rsidRPr="008B52EE" w:rsidR="00377D7F">
          <w:rPr>
            <w:rStyle w:val="Hyperlink"/>
            <w:color w:val="auto"/>
          </w:rPr>
          <w:t>http://www.regulations.gov/</w:t>
        </w:r>
      </w:hyperlink>
      <w:r w:rsidRPr="008B52EE" w:rsidR="009178B3">
        <w:t>,</w:t>
      </w:r>
      <w:r w:rsidRPr="008B52EE" w:rsidR="00377D7F">
        <w:t xml:space="preserve"> </w:t>
      </w:r>
      <w:r w:rsidRPr="008B52EE"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8B52EE" w:rsidR="009C7E97">
        <w:t xml:space="preserve"> </w:t>
      </w:r>
      <w:r w:rsidRPr="008B52EE" w:rsidR="00354C15">
        <w:t>When in the system</w:t>
      </w:r>
      <w:r w:rsidRPr="008B52EE" w:rsidR="00354C15">
        <w:rPr>
          <w:rStyle w:val="1"/>
        </w:rPr>
        <w:t>, select “search,” then key in the docket ID number identified in this document.</w:t>
      </w:r>
      <w:r w:rsidRPr="008B52EE" w:rsidR="009C7E97">
        <w:rPr>
          <w:rStyle w:val="1"/>
        </w:rPr>
        <w:t xml:space="preserve"> </w:t>
      </w:r>
      <w:r w:rsidRPr="008B52EE" w:rsidR="00354C15">
        <w:rPr>
          <w:rStyle w:val="1"/>
        </w:rPr>
        <w:t xml:space="preserve">The documents are also </w:t>
      </w:r>
      <w:r w:rsidRPr="008B52EE" w:rsidR="00CA4CD6">
        <w:t xml:space="preserve">available for public viewing at the Enforcement and Compliance Docket and Information Center in the EPA Docket Center (EPA/DC), </w:t>
      </w:r>
      <w:r w:rsidRPr="008B52EE" w:rsidR="009178B3">
        <w:t>WJC</w:t>
      </w:r>
      <w:r w:rsidRPr="008B52EE" w:rsidR="00D95819">
        <w:t xml:space="preserve"> West, Room 3334</w:t>
      </w:r>
      <w:r w:rsidRPr="008B52EE" w:rsidR="00CA4CD6">
        <w:t>, 1301 Constitution Ave., NW, Washington, DC.</w:t>
      </w:r>
      <w:r w:rsidRPr="008B52EE" w:rsidR="009C7E97">
        <w:t xml:space="preserve"> </w:t>
      </w:r>
      <w:r w:rsidRPr="008B52EE" w:rsidR="00CA4CD6">
        <w:t>The EPA Docket Center Public Reading Room is open from 8:30 a.m. to 4:30 p.m., Monday through Friday, excluding legal holidays.</w:t>
      </w:r>
      <w:r w:rsidRPr="008B52EE" w:rsidR="009C7E97">
        <w:t xml:space="preserve"> </w:t>
      </w:r>
      <w:r w:rsidRPr="008B52EE" w:rsidR="00CA4CD6">
        <w:t xml:space="preserve">The telephone number for the Reading Room is (202) 566-1744, and the telephone number </w:t>
      </w:r>
      <w:r w:rsidRPr="008B52EE" w:rsidR="00354C15">
        <w:t>for the docket center i</w:t>
      </w:r>
      <w:r w:rsidRPr="008B52EE" w:rsidR="00CA4CD6">
        <w:t>s (202) 566-</w:t>
      </w:r>
      <w:r w:rsidRPr="008B52EE" w:rsidR="00850ACF">
        <w:t>17</w:t>
      </w:r>
      <w:r w:rsidRPr="008B52EE" w:rsidR="009178B3">
        <w:t>52</w:t>
      </w:r>
      <w:r w:rsidRPr="008B52EE" w:rsidR="00354C15">
        <w:t>.</w:t>
      </w:r>
      <w:r w:rsidRPr="008B52EE" w:rsidR="009C7E97">
        <w:t xml:space="preserve"> </w:t>
      </w:r>
      <w:r w:rsidRPr="008B52EE" w:rsidR="00CA4CD6">
        <w:t>Also, you can send comments to the Office of Information and Regulatory Affairs, Office of Management and Budget, 725 17th Street, NW, Washington, DC 20503, Attention: Desk Officer for EPA.</w:t>
      </w:r>
      <w:r w:rsidRPr="008B52EE" w:rsidR="009C7E97">
        <w:t xml:space="preserve"> </w:t>
      </w:r>
      <w:r w:rsidRPr="008B52EE" w:rsidR="00CA4CD6">
        <w:t xml:space="preserve">Please include the EPA Docket ID Number </w:t>
      </w:r>
      <w:r w:rsidRPr="008B52EE" w:rsidR="00144A82">
        <w:t>EPA-HQ-</w:t>
      </w:r>
      <w:r w:rsidRPr="008B52EE" w:rsidR="00C55BA3">
        <w:t>OW</w:t>
      </w:r>
      <w:r w:rsidRPr="008B52EE" w:rsidR="00144A82">
        <w:t>-20</w:t>
      </w:r>
      <w:r w:rsidRPr="008B52EE" w:rsidR="00C55BA3">
        <w:t>19</w:t>
      </w:r>
      <w:r w:rsidRPr="008B52EE" w:rsidR="00810DBE">
        <w:t>-</w:t>
      </w:r>
      <w:r w:rsidRPr="008B52EE" w:rsidR="00714AE7">
        <w:t xml:space="preserve">0566 </w:t>
      </w:r>
      <w:r w:rsidRPr="008B52EE" w:rsidR="00CA4CD6">
        <w:t>and OMB Control Number</w:t>
      </w:r>
      <w:r w:rsidRPr="008B52EE" w:rsidR="00810DBE">
        <w:t xml:space="preserve"> </w:t>
      </w:r>
      <w:r w:rsidRPr="008B52EE" w:rsidR="0064333E">
        <w:rPr>
          <w:bCs/>
        </w:rPr>
        <w:t>2040-0295</w:t>
      </w:r>
      <w:r w:rsidRPr="008B52EE" w:rsidR="00B979D9">
        <w:rPr>
          <w:bCs/>
        </w:rPr>
        <w:t xml:space="preserve"> </w:t>
      </w:r>
      <w:r w:rsidRPr="008B52EE" w:rsidR="00CA4CD6">
        <w:t xml:space="preserve">in any correspondence. </w:t>
      </w:r>
    </w:p>
    <w:p w:rsidRPr="008B52EE" w:rsidR="00F340DF" w:rsidP="00F340DF" w:rsidRDefault="00F340DF" w14:paraId="317C8B96" w14:textId="77777777">
      <w:pPr>
        <w:rPr>
          <w:rStyle w:val="1"/>
          <w:rFonts w:ascii="WP TypographicSymbols" w:hAnsi="WP TypographicSymbols" w:cs="WP TypographicSymbols"/>
          <w:color w:val="000000"/>
        </w:rPr>
      </w:pPr>
    </w:p>
    <w:p w:rsidRPr="008B52EE" w:rsidR="00F340DF" w:rsidP="00504745" w:rsidRDefault="00CA4CD6" w14:paraId="1203B42A" w14:textId="77777777">
      <w:pPr>
        <w:outlineLvl w:val="0"/>
        <w:rPr>
          <w:b/>
          <w:bCs/>
          <w:color w:val="000000"/>
        </w:rPr>
      </w:pPr>
      <w:r w:rsidRPr="008B52EE">
        <w:rPr>
          <w:b/>
          <w:bCs/>
          <w:color w:val="000000"/>
        </w:rPr>
        <w:t>Part B of the Supporting Statement</w:t>
      </w:r>
    </w:p>
    <w:p w:rsidRPr="008B52EE" w:rsidR="00F340DF" w:rsidP="00F340DF" w:rsidRDefault="00F340DF" w14:paraId="33236B5A" w14:textId="77777777">
      <w:pPr>
        <w:rPr>
          <w:b/>
          <w:bCs/>
          <w:color w:val="000000"/>
        </w:rPr>
      </w:pPr>
    </w:p>
    <w:p w:rsidRPr="007A3FA7" w:rsidR="00CA4CD6" w:rsidP="00501E83" w:rsidRDefault="00CA4CD6" w14:paraId="70DA2918" w14:textId="77777777">
      <w:pPr>
        <w:ind w:firstLine="720"/>
        <w:rPr>
          <w:color w:val="000000"/>
        </w:rPr>
      </w:pPr>
      <w:r w:rsidRPr="008B52EE">
        <w:rPr>
          <w:color w:val="000000"/>
        </w:rPr>
        <w:t xml:space="preserve">This part is not applicable because no statistical methods were used in collecting this </w:t>
      </w:r>
      <w:r w:rsidRPr="008B52EE">
        <w:rPr>
          <w:color w:val="000000"/>
        </w:rPr>
        <w:lastRenderedPageBreak/>
        <w:t>information.</w:t>
      </w:r>
    </w:p>
    <w:sectPr w:rsidRPr="007A3FA7" w:rsidR="00CA4CD6" w:rsidSect="005C6329">
      <w:headerReference w:type="even" r:id="rId28"/>
      <w:headerReference w:type="default" r:id="rId29"/>
      <w:footerReference w:type="default" r:id="rId30"/>
      <w:headerReference w:type="first" r:id="rId31"/>
      <w:footerReference w:type="first" r:id="rId32"/>
      <w:type w:val="continuous"/>
      <w:pgSz w:w="12240" w:h="15840"/>
      <w:pgMar w:top="1350" w:right="1440" w:bottom="1440" w:left="1440" w:header="115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408E" w14:textId="77777777" w:rsidR="00AA4C59" w:rsidRDefault="00AA4C59">
      <w:r>
        <w:separator/>
      </w:r>
    </w:p>
  </w:endnote>
  <w:endnote w:type="continuationSeparator" w:id="0">
    <w:p w14:paraId="474AD959" w14:textId="77777777" w:rsidR="00AA4C59" w:rsidRDefault="00AA4C59">
      <w:r>
        <w:continuationSeparator/>
      </w:r>
    </w:p>
  </w:endnote>
  <w:endnote w:type="continuationNotice" w:id="1">
    <w:p w14:paraId="7C8D39AD" w14:textId="77777777" w:rsidR="00AA4C59" w:rsidRDefault="00AA4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947685"/>
      <w:docPartObj>
        <w:docPartGallery w:val="Page Numbers (Bottom of Page)"/>
        <w:docPartUnique/>
      </w:docPartObj>
    </w:sdtPr>
    <w:sdtEndPr/>
    <w:sdtContent>
      <w:sdt>
        <w:sdtPr>
          <w:id w:val="1402787329"/>
          <w:docPartObj>
            <w:docPartGallery w:val="Page Numbers (Top of Page)"/>
            <w:docPartUnique/>
          </w:docPartObj>
        </w:sdtPr>
        <w:sdtEndPr/>
        <w:sdtContent>
          <w:p w14:paraId="24CC20D4" w14:textId="0FFBBD69" w:rsidR="00CD2416" w:rsidRDefault="00CD241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F538DFA" w14:textId="77777777" w:rsidR="00CD2416" w:rsidRDefault="00CD2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589097"/>
      <w:docPartObj>
        <w:docPartGallery w:val="Page Numbers (Bottom of Page)"/>
        <w:docPartUnique/>
      </w:docPartObj>
    </w:sdtPr>
    <w:sdtEndPr/>
    <w:sdtContent>
      <w:sdt>
        <w:sdtPr>
          <w:id w:val="1728636285"/>
          <w:docPartObj>
            <w:docPartGallery w:val="Page Numbers (Top of Page)"/>
            <w:docPartUnique/>
          </w:docPartObj>
        </w:sdtPr>
        <w:sdtEndPr/>
        <w:sdtContent>
          <w:p w14:paraId="7A6D53F5" w14:textId="1DED45B7" w:rsidR="00CD2416" w:rsidRDefault="00CD241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C3B5AC0" w14:textId="77777777" w:rsidR="00CD2416" w:rsidRDefault="00CD2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70695" w14:textId="77777777" w:rsidR="00AA4C59" w:rsidRDefault="00AA4C59">
      <w:r>
        <w:separator/>
      </w:r>
    </w:p>
  </w:footnote>
  <w:footnote w:type="continuationSeparator" w:id="0">
    <w:p w14:paraId="74C5C978" w14:textId="77777777" w:rsidR="00AA4C59" w:rsidRDefault="00AA4C59">
      <w:r>
        <w:continuationSeparator/>
      </w:r>
    </w:p>
  </w:footnote>
  <w:footnote w:type="continuationNotice" w:id="1">
    <w:p w14:paraId="39DFE98C" w14:textId="77777777" w:rsidR="00AA4C59" w:rsidRDefault="00AA4C59"/>
  </w:footnote>
  <w:footnote w:id="2">
    <w:p w14:paraId="7D088153" w14:textId="4EB1DEE3" w:rsidR="00CD2416" w:rsidRDefault="00CD2416">
      <w:pPr>
        <w:pStyle w:val="FootnoteText"/>
      </w:pPr>
      <w:r w:rsidRPr="005D573D">
        <w:rPr>
          <w:rFonts w:ascii="Times New Roman" w:hAnsi="Times New Roman"/>
          <w:vertAlign w:val="superscript"/>
        </w:rPr>
        <w:footnoteRef/>
      </w:r>
      <w:r w:rsidRPr="008B6678">
        <w:rPr>
          <w:rFonts w:ascii="Times New Roman" w:hAnsi="Times New Roman"/>
        </w:rPr>
        <w:t xml:space="preserve"> States: Florida, Louisiana, Ohio, Kansas, Massachusetts, Nevada, and New York. Tribe: Ute Mountain Ute. Territory: Puerto Rico.</w:t>
      </w:r>
    </w:p>
  </w:footnote>
  <w:footnote w:id="3">
    <w:p w14:paraId="54FDEE8E" w14:textId="4EA2C084" w:rsidR="00CD2416" w:rsidRDefault="00CD2416">
      <w:pPr>
        <w:pStyle w:val="FootnoteText"/>
      </w:pPr>
      <w:r w:rsidRPr="0069170B">
        <w:rPr>
          <w:rFonts w:ascii="Times New Roman" w:hAnsi="Times New Roman"/>
          <w:vertAlign w:val="superscript"/>
        </w:rPr>
        <w:footnoteRef/>
      </w:r>
      <w:r w:rsidRPr="0069170B">
        <w:rPr>
          <w:rFonts w:ascii="Times New Roman" w:hAnsi="Times New Roman"/>
          <w:vertAlign w:val="superscript"/>
        </w:rPr>
        <w:t xml:space="preserve"> </w:t>
      </w:r>
      <w:r w:rsidRPr="0069170B">
        <w:rPr>
          <w:rFonts w:ascii="Times New Roman" w:hAnsi="Times New Roman"/>
        </w:rPr>
        <w:t>The State of Ohio did not respond</w:t>
      </w:r>
      <w:r>
        <w:rPr>
          <w:rFonts w:ascii="Times New Roman" w:hAnsi="Times New Roman"/>
        </w:rPr>
        <w:t xml:space="preserve"> to the information request</w:t>
      </w:r>
      <w:r w:rsidRPr="0069170B">
        <w:rPr>
          <w:rFonts w:ascii="Times New Roman" w:hAnsi="Times New Roman"/>
        </w:rPr>
        <w:t>.</w:t>
      </w:r>
    </w:p>
  </w:footnote>
  <w:footnote w:id="4">
    <w:p w14:paraId="0DC0DF5B" w14:textId="33D43231" w:rsidR="00CD2416" w:rsidRPr="00C5716C" w:rsidRDefault="00CD2416" w:rsidP="006A7A3F">
      <w:pPr>
        <w:pStyle w:val="FootnoteText"/>
        <w:rPr>
          <w:rFonts w:ascii="Times New Roman" w:hAnsi="Times New Roman"/>
        </w:rPr>
      </w:pPr>
      <w:r w:rsidRPr="009E0776">
        <w:rPr>
          <w:rStyle w:val="FootnoteReference"/>
          <w:rFonts w:ascii="Times New Roman" w:hAnsi="Times New Roman"/>
          <w:vertAlign w:val="superscript"/>
        </w:rPr>
        <w:footnoteRef/>
      </w:r>
      <w:r w:rsidRPr="00C5716C">
        <w:rPr>
          <w:rFonts w:ascii="Times New Roman" w:hAnsi="Times New Roman"/>
        </w:rPr>
        <w:t xml:space="preserve"> </w:t>
      </w:r>
      <w:r>
        <w:rPr>
          <w:rFonts w:ascii="Times New Roman" w:hAnsi="Times New Roman"/>
        </w:rPr>
        <w:t>Section A.1.9.1, EPA ICR No. 0229.23.</w:t>
      </w:r>
    </w:p>
  </w:footnote>
  <w:footnote w:id="5">
    <w:p w14:paraId="2EEF3F21" w14:textId="77777777" w:rsidR="00CD2416" w:rsidRPr="001B754C" w:rsidRDefault="00CD2416" w:rsidP="00510DCF">
      <w:pPr>
        <w:pStyle w:val="FootnoteText"/>
        <w:rPr>
          <w:rFonts w:ascii="Times New Roman" w:hAnsi="Times New Roman"/>
        </w:rPr>
      </w:pPr>
      <w:r w:rsidRPr="009E0776">
        <w:rPr>
          <w:rStyle w:val="FootnoteReference"/>
          <w:rFonts w:ascii="Times New Roman" w:hAnsi="Times New Roman"/>
          <w:vertAlign w:val="superscript"/>
        </w:rPr>
        <w:footnoteRef/>
      </w:r>
      <w:r w:rsidRPr="009E0776">
        <w:rPr>
          <w:rFonts w:ascii="Times New Roman" w:hAnsi="Times New Roman"/>
          <w:vertAlign w:val="superscript"/>
        </w:rPr>
        <w:t xml:space="preserve"> </w:t>
      </w:r>
      <w:r>
        <w:rPr>
          <w:rFonts w:ascii="Times New Roman" w:hAnsi="Times New Roman"/>
        </w:rPr>
        <w:t>An individual 404 permit covers one discharge with more than minimal adverse effects; a general 404 permit covers discharges that have only minimal adverse effects based on activity category.</w:t>
      </w:r>
    </w:p>
  </w:footnote>
  <w:footnote w:id="6">
    <w:p w14:paraId="3B6A704D" w14:textId="77777777" w:rsidR="00CD2416" w:rsidRDefault="00CD2416" w:rsidP="007B563E">
      <w:pPr>
        <w:pStyle w:val="FootnoteText"/>
      </w:pPr>
      <w:r w:rsidRPr="001A1930">
        <w:rPr>
          <w:rStyle w:val="FootnoteReference"/>
          <w:rFonts w:ascii="Times New Roman" w:hAnsi="Times New Roman"/>
          <w:vertAlign w:val="superscript"/>
        </w:rPr>
        <w:footnoteRef/>
      </w:r>
      <w:r>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xml:space="preserve">, and </w:t>
      </w:r>
      <w:r w:rsidRPr="00DF06A3">
        <w:rPr>
          <w:rFonts w:ascii="Times New Roman" w:hAnsi="Times New Roman"/>
        </w:rPr>
        <w:t>62 tribes</w:t>
      </w:r>
      <w:r>
        <w:rPr>
          <w:rFonts w:ascii="Times New Roman" w:hAnsi="Times New Roman"/>
        </w:rPr>
        <w:t xml:space="preserve"> with treatment as a state for section 401.</w:t>
      </w:r>
    </w:p>
  </w:footnote>
  <w:footnote w:id="7">
    <w:p w14:paraId="7D631934" w14:textId="0164D685" w:rsidR="00CD2416" w:rsidRPr="008D77AF" w:rsidRDefault="00CD2416" w:rsidP="007B563E">
      <w:pPr>
        <w:pStyle w:val="FootnoteText"/>
        <w:rPr>
          <w:rFonts w:ascii="Times New Roman" w:hAnsi="Times New Roman"/>
        </w:rPr>
      </w:pPr>
      <w:r w:rsidRPr="009E0776">
        <w:rPr>
          <w:rStyle w:val="FootnoteReference"/>
          <w:rFonts w:ascii="Times New Roman" w:hAnsi="Times New Roman"/>
          <w:vertAlign w:val="superscript"/>
        </w:rPr>
        <w:footnoteRef/>
      </w:r>
      <w:r w:rsidRPr="009E0776">
        <w:rPr>
          <w:rFonts w:ascii="Times New Roman" w:hAnsi="Times New Roman"/>
          <w:vertAlign w:val="superscript"/>
        </w:rPr>
        <w:t xml:space="preserve"> </w:t>
      </w:r>
      <w:r w:rsidRPr="008D77AF">
        <w:rPr>
          <w:rFonts w:ascii="Times New Roman" w:hAnsi="Times New Roman"/>
        </w:rPr>
        <w:t>Section A.1.9.1, EPA ICR No. 0229.2</w:t>
      </w:r>
      <w:r>
        <w:rPr>
          <w:rFonts w:ascii="Times New Roman" w:hAnsi="Times New Roman"/>
        </w:rPr>
        <w:t>3.</w:t>
      </w:r>
    </w:p>
  </w:footnote>
  <w:footnote w:id="8">
    <w:p w14:paraId="4D1B11FA" w14:textId="0E9D1694" w:rsidR="00CD2416" w:rsidRPr="008D77AF" w:rsidRDefault="00CD2416" w:rsidP="00974BA5">
      <w:pPr>
        <w:pStyle w:val="FootnoteText"/>
        <w:rPr>
          <w:rFonts w:ascii="Times New Roman" w:hAnsi="Times New Roman"/>
        </w:rPr>
      </w:pPr>
      <w:r w:rsidRPr="00185876">
        <w:rPr>
          <w:rStyle w:val="FootnoteReference"/>
          <w:rFonts w:ascii="Times New Roman" w:hAnsi="Times New Roman"/>
          <w:vertAlign w:val="superscript"/>
        </w:rPr>
        <w:footnoteRef/>
      </w:r>
      <w:r w:rsidRPr="00185876">
        <w:rPr>
          <w:rFonts w:ascii="Times New Roman" w:hAnsi="Times New Roman"/>
          <w:vertAlign w:val="superscript"/>
        </w:rPr>
        <w:t xml:space="preserve"> </w:t>
      </w:r>
      <w:r w:rsidRPr="008D77AF">
        <w:rPr>
          <w:rFonts w:ascii="Times New Roman" w:hAnsi="Times New Roman"/>
        </w:rPr>
        <w:t>Section A.1.9.1, EPA ICR No. 0229.2</w:t>
      </w:r>
      <w:r>
        <w:rPr>
          <w:rFonts w:ascii="Times New Roman" w:hAnsi="Times New Roman"/>
        </w:rPr>
        <w:t>3.</w:t>
      </w:r>
    </w:p>
  </w:footnote>
  <w:footnote w:id="9">
    <w:p w14:paraId="07457E01" w14:textId="59363A46" w:rsidR="00CD2416" w:rsidRPr="00854F31" w:rsidRDefault="00CD2416" w:rsidP="00130E40">
      <w:pPr>
        <w:pStyle w:val="FootnoteText"/>
        <w:rPr>
          <w:rFonts w:ascii="Times New Roman" w:hAnsi="Times New Roman"/>
        </w:rPr>
      </w:pPr>
      <w:r w:rsidRPr="00147BCE">
        <w:rPr>
          <w:rStyle w:val="FootnoteReference"/>
          <w:rFonts w:ascii="Times New Roman" w:hAnsi="Times New Roman"/>
          <w:vertAlign w:val="superscript"/>
        </w:rPr>
        <w:footnoteRef/>
      </w:r>
      <w:r>
        <w:rPr>
          <w:rFonts w:ascii="Times New Roman" w:hAnsi="Times New Roman"/>
          <w:vertAlign w:val="superscript"/>
        </w:rPr>
        <w:t xml:space="preserve"> </w:t>
      </w:r>
      <w:hyperlink r:id="rId1" w:history="1">
        <w:r w:rsidRPr="00945AB1">
          <w:rPr>
            <w:rFonts w:ascii="Times New Roman" w:hAnsi="Times New Roman"/>
          </w:rPr>
          <w:t>https://www.opm.gov/policy-data-oversight/pay-leave/salaries-wages/salary-tables/20Tables/html/RUS_h.aspx</w:t>
        </w:r>
      </w:hyperlink>
      <w:r w:rsidRPr="00854F31">
        <w:rPr>
          <w:rFonts w:ascii="Times New Roman" w:hAnsi="Times New Roman"/>
        </w:rPr>
        <w:t xml:space="preserve">, accessed </w:t>
      </w:r>
      <w:r>
        <w:rPr>
          <w:rFonts w:ascii="Times New Roman" w:hAnsi="Times New Roman"/>
        </w:rPr>
        <w:t>February</w:t>
      </w:r>
      <w:r w:rsidRPr="00854F31">
        <w:rPr>
          <w:rFonts w:ascii="Times New Roman" w:hAnsi="Times New Roman"/>
        </w:rPr>
        <w:t xml:space="preserve"> 20</w:t>
      </w:r>
      <w:r>
        <w:rPr>
          <w:rFonts w:ascii="Times New Roman" w:hAnsi="Times New Roman"/>
        </w:rPr>
        <w:t>20.</w:t>
      </w:r>
    </w:p>
  </w:footnote>
  <w:footnote w:id="10">
    <w:p w14:paraId="256AE261" w14:textId="2B28CD57" w:rsidR="00CD2416" w:rsidRDefault="00CD2416">
      <w:pPr>
        <w:pStyle w:val="FootnoteText"/>
      </w:pPr>
      <w:r w:rsidRPr="00147BCE">
        <w:rPr>
          <w:rStyle w:val="FootnoteReference"/>
          <w:rFonts w:ascii="Times New Roman" w:hAnsi="Times New Roman"/>
          <w:vertAlign w:val="superscript"/>
        </w:rPr>
        <w:footnoteRef/>
      </w:r>
      <w:r w:rsidRPr="00147BCE">
        <w:rPr>
          <w:rFonts w:ascii="Times New Roman" w:hAnsi="Times New Roman"/>
          <w:vertAlign w:val="superscript"/>
        </w:rPr>
        <w:t xml:space="preserve"> </w:t>
      </w:r>
      <w:r>
        <w:rPr>
          <w:rFonts w:ascii="Times New Roman" w:hAnsi="Times New Roman"/>
        </w:rPr>
        <w:t>Use of GS-11 as a</w:t>
      </w:r>
      <w:r w:rsidRPr="00147BCE">
        <w:rPr>
          <w:rFonts w:ascii="Times New Roman" w:hAnsi="Times New Roman"/>
        </w:rPr>
        <w:t xml:space="preserve"> </w:t>
      </w:r>
      <w:r>
        <w:rPr>
          <w:rFonts w:ascii="Times New Roman" w:hAnsi="Times New Roman"/>
        </w:rPr>
        <w:t>proxy for state and local level wage information</w:t>
      </w:r>
      <w:r w:rsidRPr="00147BCE">
        <w:rPr>
          <w:rFonts w:ascii="Times New Roman" w:hAnsi="Times New Roman"/>
        </w:rPr>
        <w:t xml:space="preserve"> is consistent with</w:t>
      </w:r>
      <w:r>
        <w:rPr>
          <w:rFonts w:ascii="Times New Roman" w:hAnsi="Times New Roman"/>
        </w:rPr>
        <w:t xml:space="preserve"> existing</w:t>
      </w:r>
      <w:r w:rsidRPr="00147BCE">
        <w:rPr>
          <w:rFonts w:ascii="Times New Roman" w:hAnsi="Times New Roman"/>
        </w:rPr>
        <w:t xml:space="preserve"> EPA ICR </w:t>
      </w:r>
      <w:r>
        <w:rPr>
          <w:rFonts w:ascii="Times New Roman" w:hAnsi="Times New Roman"/>
        </w:rPr>
        <w:t>s</w:t>
      </w:r>
      <w:r w:rsidRPr="00147BCE">
        <w:rPr>
          <w:rFonts w:ascii="Times New Roman" w:hAnsi="Times New Roman"/>
        </w:rPr>
        <w:t xml:space="preserve">upporting </w:t>
      </w:r>
      <w:r>
        <w:rPr>
          <w:rFonts w:ascii="Times New Roman" w:hAnsi="Times New Roman"/>
        </w:rPr>
        <w:t>statements</w:t>
      </w:r>
      <w:r w:rsidRPr="00147BCE">
        <w:rPr>
          <w:rFonts w:ascii="Times New Roman" w:hAnsi="Times New Roman"/>
        </w:rPr>
        <w:t>.</w:t>
      </w:r>
    </w:p>
  </w:footnote>
  <w:footnote w:id="11">
    <w:p w14:paraId="07C32735" w14:textId="2B6D4293" w:rsidR="00CD2416" w:rsidRPr="00431AE9" w:rsidRDefault="00CD2416" w:rsidP="00431AE9">
      <w:pPr>
        <w:pStyle w:val="FootnoteText"/>
        <w:rPr>
          <w:rFonts w:ascii="Times New Roman" w:hAnsi="Times New Roman"/>
        </w:rPr>
      </w:pPr>
      <w:r w:rsidRPr="00431AE9">
        <w:rPr>
          <w:rStyle w:val="FootnoteReference"/>
          <w:rFonts w:ascii="Times New Roman" w:hAnsi="Times New Roman"/>
          <w:vertAlign w:val="superscript"/>
        </w:rPr>
        <w:footnoteRef/>
      </w:r>
      <w:r w:rsidRPr="00431AE9">
        <w:rPr>
          <w:vertAlign w:val="superscript"/>
        </w:rPr>
        <w:t xml:space="preserve"> </w:t>
      </w:r>
      <w:r w:rsidRPr="00431AE9">
        <w:rPr>
          <w:rFonts w:ascii="Times New Roman" w:hAnsi="Times New Roman"/>
        </w:rPr>
        <w:t>An overhead factor</w:t>
      </w:r>
      <w:r>
        <w:rPr>
          <w:rFonts w:ascii="Times New Roman" w:hAnsi="Times New Roman"/>
        </w:rPr>
        <w:t xml:space="preserve"> is used to estimate</w:t>
      </w:r>
      <w:r w:rsidRPr="00431AE9">
        <w:rPr>
          <w:rFonts w:ascii="Times New Roman" w:hAnsi="Times New Roman"/>
        </w:rPr>
        <w:t xml:space="preserve"> total compensation (wages and employment</w:t>
      </w:r>
      <w:r>
        <w:rPr>
          <w:rFonts w:ascii="Times New Roman" w:hAnsi="Times New Roman"/>
        </w:rPr>
        <w:t xml:space="preserve"> </w:t>
      </w:r>
      <w:r w:rsidRPr="00431AE9">
        <w:rPr>
          <w:rFonts w:ascii="Times New Roman" w:hAnsi="Times New Roman"/>
        </w:rPr>
        <w:t>benefits)</w:t>
      </w:r>
      <w:r>
        <w:rPr>
          <w:rFonts w:ascii="Times New Roman" w:hAnsi="Times New Roman"/>
        </w:rPr>
        <w:t>.</w:t>
      </w:r>
    </w:p>
  </w:footnote>
  <w:footnote w:id="12">
    <w:p w14:paraId="01CB3A56" w14:textId="77777777" w:rsidR="00CD2416" w:rsidRDefault="00CD2416" w:rsidP="00833E86">
      <w:pPr>
        <w:pStyle w:val="FootnoteText"/>
      </w:pPr>
      <w:r w:rsidRPr="009E0776">
        <w:rPr>
          <w:rFonts w:ascii="Times New Roman" w:hAnsi="Times New Roman"/>
          <w:vertAlign w:val="superscript"/>
        </w:rPr>
        <w:footnoteRef/>
      </w:r>
      <w:r w:rsidRPr="0094687B">
        <w:rPr>
          <w:rFonts w:ascii="Times New Roman" w:hAnsi="Times New Roman"/>
        </w:rPr>
        <w:t xml:space="preserve"> </w:t>
      </w:r>
      <w:hyperlink r:id="rId2" w:history="1">
        <w:r w:rsidRPr="0094687B">
          <w:rPr>
            <w:rFonts w:ascii="Times New Roman" w:hAnsi="Times New Roman"/>
          </w:rPr>
          <w:t>https://www.bls.gov/oes/current/naics5_541330.htm</w:t>
        </w:r>
      </w:hyperlink>
      <w:r w:rsidRPr="0094687B">
        <w:rPr>
          <w:rFonts w:ascii="Times New Roman" w:hAnsi="Times New Roman"/>
        </w:rPr>
        <w:t xml:space="preserve">, accessed </w:t>
      </w:r>
      <w:r>
        <w:rPr>
          <w:rFonts w:ascii="Times New Roman" w:hAnsi="Times New Roman"/>
        </w:rPr>
        <w:t>February</w:t>
      </w:r>
      <w:r w:rsidRPr="0094687B">
        <w:rPr>
          <w:rFonts w:ascii="Times New Roman" w:hAnsi="Times New Roman"/>
        </w:rPr>
        <w:t xml:space="preserve"> 20</w:t>
      </w:r>
      <w:r>
        <w:rPr>
          <w:rFonts w:ascii="Times New Roman" w:hAnsi="Times New Roman"/>
        </w:rPr>
        <w:t>20</w:t>
      </w:r>
      <w:r w:rsidRPr="0094687B">
        <w:rPr>
          <w:rFonts w:ascii="Times New Roman" w:hAnsi="Times New Roman"/>
        </w:rPr>
        <w:t>.</w:t>
      </w:r>
    </w:p>
  </w:footnote>
  <w:footnote w:id="13">
    <w:p w14:paraId="74CAB222" w14:textId="39A75C55" w:rsidR="00CD2416" w:rsidRDefault="00CD2416" w:rsidP="007A3FA7">
      <w:pPr>
        <w:pStyle w:val="FootnoteText"/>
      </w:pPr>
      <w:r w:rsidRPr="00D22FF3">
        <w:rPr>
          <w:rStyle w:val="FootnoteReference"/>
          <w:rFonts w:ascii="Times New Roman" w:hAnsi="Times New Roman"/>
          <w:vertAlign w:val="superscript"/>
        </w:rPr>
        <w:footnoteRef/>
      </w:r>
      <w:r>
        <w:rPr>
          <w:rFonts w:ascii="Times New Roman" w:hAnsi="Times New Roman"/>
        </w:rPr>
        <w:t xml:space="preserve"> </w:t>
      </w:r>
      <w:r w:rsidRPr="00664669">
        <w:rPr>
          <w:rFonts w:ascii="Times New Roman" w:hAnsi="Times New Roman"/>
        </w:rPr>
        <w:t>https://www.opm.gov/policy-data-oversight/pay-leave/salaries-wages/salary-tables/</w:t>
      </w:r>
      <w:r>
        <w:rPr>
          <w:rFonts w:ascii="Times New Roman" w:hAnsi="Times New Roman"/>
        </w:rPr>
        <w:t>20</w:t>
      </w:r>
      <w:r w:rsidRPr="00664669">
        <w:rPr>
          <w:rFonts w:ascii="Times New Roman" w:hAnsi="Times New Roman"/>
        </w:rPr>
        <w:t xml:space="preserve">Tables/html/RUS_h.aspx, accessed </w:t>
      </w:r>
      <w:r>
        <w:rPr>
          <w:rFonts w:ascii="Times New Roman" w:hAnsi="Times New Roman"/>
        </w:rPr>
        <w:t>February</w:t>
      </w:r>
      <w:r w:rsidRPr="00664669">
        <w:rPr>
          <w:rFonts w:ascii="Times New Roman" w:hAnsi="Times New Roman"/>
        </w:rPr>
        <w:t xml:space="preserve"> 20</w:t>
      </w:r>
      <w:r>
        <w:rPr>
          <w:rFonts w:ascii="Times New Roman" w:hAnsi="Times New Roman"/>
        </w:rPr>
        <w:t>20.</w:t>
      </w:r>
    </w:p>
  </w:footnote>
  <w:footnote w:id="14">
    <w:p w14:paraId="5F84AB00" w14:textId="07D6ADAC" w:rsidR="00CD2416" w:rsidRDefault="00CD2416">
      <w:pPr>
        <w:pStyle w:val="FootnoteText"/>
      </w:pPr>
      <w:r w:rsidRPr="00D22FF3">
        <w:rPr>
          <w:rStyle w:val="FootnoteReference"/>
          <w:rFonts w:ascii="Times New Roman" w:hAnsi="Times New Roman"/>
          <w:vertAlign w:val="superscript"/>
        </w:rPr>
        <w:footnoteRef/>
      </w:r>
      <w:r w:rsidRPr="00D22FF3">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xml:space="preserve">, and </w:t>
      </w:r>
      <w:r w:rsidRPr="00DF06A3">
        <w:rPr>
          <w:rFonts w:ascii="Times New Roman" w:hAnsi="Times New Roman"/>
        </w:rPr>
        <w:t>62 tribes</w:t>
      </w:r>
      <w:r>
        <w:rPr>
          <w:rFonts w:ascii="Times New Roman" w:hAnsi="Times New Roman"/>
        </w:rPr>
        <w:t xml:space="preserve"> with treatment as a state for section 401.</w:t>
      </w:r>
    </w:p>
  </w:footnote>
  <w:footnote w:id="15">
    <w:p w14:paraId="2378CCB5" w14:textId="7619A916" w:rsidR="00CD2416" w:rsidRPr="00AE0D22" w:rsidRDefault="00CD2416">
      <w:pPr>
        <w:pStyle w:val="FootnoteText"/>
        <w:rPr>
          <w:rFonts w:ascii="Times New Roman" w:hAnsi="Times New Roman"/>
        </w:rPr>
      </w:pPr>
      <w:r w:rsidRPr="00D22FF3">
        <w:rPr>
          <w:rStyle w:val="FootnoteReference"/>
          <w:rFonts w:ascii="Times New Roman" w:hAnsi="Times New Roman"/>
          <w:vertAlign w:val="superscript"/>
        </w:rPr>
        <w:footnoteRef/>
      </w:r>
      <w:r w:rsidRPr="00AE0D22">
        <w:rPr>
          <w:rFonts w:ascii="Times New Roman" w:hAnsi="Times New Roman"/>
        </w:rPr>
        <w:t xml:space="preserve"> </w:t>
      </w:r>
      <w:r>
        <w:rPr>
          <w:rFonts w:ascii="Times New Roman" w:hAnsi="Times New Roman"/>
        </w:rPr>
        <w:t>97</w:t>
      </w:r>
      <w:r w:rsidRPr="00AE0D22">
        <w:rPr>
          <w:rFonts w:ascii="Times New Roman" w:hAnsi="Times New Roman"/>
        </w:rPr>
        <w:t xml:space="preserve">,000 </w:t>
      </w:r>
      <w:r>
        <w:rPr>
          <w:rFonts w:ascii="Times New Roman" w:hAnsi="Times New Roman"/>
        </w:rPr>
        <w:t xml:space="preserve">estimated annual responses for project proponents from </w:t>
      </w:r>
      <w:r>
        <w:rPr>
          <w:rFonts w:ascii="Times New Roman" w:hAnsi="Times New Roman"/>
        </w:rPr>
        <w:fldChar w:fldCharType="begin"/>
      </w:r>
      <w:r>
        <w:rPr>
          <w:rFonts w:ascii="Times New Roman" w:hAnsi="Times New Roman"/>
        </w:rPr>
        <w:instrText xml:space="preserve"> REF _Ref23491636 \h  \* MERGEFORMAT </w:instrText>
      </w:r>
      <w:r>
        <w:rPr>
          <w:rFonts w:ascii="Times New Roman" w:hAnsi="Times New Roman"/>
        </w:rPr>
      </w:r>
      <w:r>
        <w:rPr>
          <w:rFonts w:ascii="Times New Roman" w:hAnsi="Times New Roman"/>
        </w:rPr>
        <w:fldChar w:fldCharType="separate"/>
      </w:r>
      <w:r w:rsidRPr="00393F4D">
        <w:rPr>
          <w:rFonts w:ascii="Times New Roman" w:hAnsi="Times New Roman"/>
        </w:rPr>
        <w:t>Table 5</w:t>
      </w:r>
      <w:r>
        <w:rPr>
          <w:rFonts w:ascii="Times New Roman" w:hAnsi="Times New Roman"/>
        </w:rPr>
        <w:fldChar w:fldCharType="end"/>
      </w:r>
      <w:r w:rsidRPr="002E63D2">
        <w:rPr>
          <w:rFonts w:ascii="Times New Roman" w:hAnsi="Times New Roman"/>
        </w:rPr>
        <w:t xml:space="preserve"> + </w:t>
      </w:r>
      <w:r>
        <w:rPr>
          <w:rFonts w:ascii="Times New Roman" w:hAnsi="Times New Roman"/>
        </w:rPr>
        <w:t>97,000 estimated annual responses for certifying authorities from</w:t>
      </w:r>
      <w:r w:rsidRPr="002E63D2">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_Ref31897335 \h  \* MERGEFORMAT </w:instrText>
      </w:r>
      <w:r>
        <w:rPr>
          <w:rFonts w:ascii="Times New Roman" w:hAnsi="Times New Roman"/>
        </w:rPr>
      </w:r>
      <w:r>
        <w:rPr>
          <w:rFonts w:ascii="Times New Roman" w:hAnsi="Times New Roman"/>
        </w:rPr>
        <w:fldChar w:fldCharType="separate"/>
      </w:r>
      <w:r w:rsidRPr="00393F4D">
        <w:rPr>
          <w:rFonts w:ascii="Times New Roman" w:hAnsi="Times New Roman"/>
        </w:rPr>
        <w:t>Table 2</w:t>
      </w:r>
      <w:r>
        <w:rPr>
          <w:rFonts w:ascii="Times New Roman" w:hAnsi="Times New Roman"/>
        </w:rPr>
        <w:fldChar w:fldCharType="end"/>
      </w:r>
      <w:r>
        <w:rPr>
          <w:rFonts w:ascii="Times New Roman" w:hAnsi="Times New Roman"/>
        </w:rPr>
        <w:t>.</w:t>
      </w:r>
    </w:p>
  </w:footnote>
  <w:footnote w:id="16">
    <w:p w14:paraId="5E4EE108" w14:textId="39A41DC1" w:rsidR="00CD2416" w:rsidRDefault="00CD2416">
      <w:pPr>
        <w:pStyle w:val="FootnoteText"/>
      </w:pPr>
      <w:r w:rsidRPr="00D22FF3">
        <w:rPr>
          <w:rStyle w:val="FootnoteReference"/>
          <w:rFonts w:ascii="Times New Roman" w:hAnsi="Times New Roman"/>
          <w:vertAlign w:val="superscript"/>
        </w:rPr>
        <w:footnoteRef/>
      </w:r>
      <w:r w:rsidRPr="00D22FF3">
        <w:rPr>
          <w:rStyle w:val="FootnoteReference"/>
          <w:rFonts w:ascii="Times New Roman" w:hAnsi="Times New Roman"/>
          <w:vertAlign w:val="superscript"/>
        </w:rPr>
        <w:t xml:space="preserve"> </w:t>
      </w:r>
      <w:r>
        <w:rPr>
          <w:rFonts w:ascii="Times New Roman" w:hAnsi="Times New Roman"/>
        </w:rPr>
        <w:t>97</w:t>
      </w:r>
      <w:r w:rsidRPr="00AE0D22">
        <w:rPr>
          <w:rFonts w:ascii="Times New Roman" w:hAnsi="Times New Roman"/>
        </w:rPr>
        <w:t>,000</w:t>
      </w:r>
      <w:r>
        <w:rPr>
          <w:rFonts w:ascii="Times New Roman" w:hAnsi="Times New Roman"/>
        </w:rPr>
        <w:t xml:space="preserve"> estimated annual project proponent respondents + 119 certifying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DC8F" w14:textId="0A7E125F" w:rsidR="00CD2416" w:rsidRDefault="00CD2416">
    <w:pPr>
      <w:pStyle w:val="Header"/>
    </w:pPr>
    <w:r>
      <w:rPr>
        <w:noProof/>
      </w:rPr>
      <mc:AlternateContent>
        <mc:Choice Requires="wps">
          <w:drawing>
            <wp:anchor distT="0" distB="0" distL="114300" distR="114300" simplePos="0" relativeHeight="251658241" behindDoc="1" locked="0" layoutInCell="0" allowOverlap="1" wp14:anchorId="4EAE2995" wp14:editId="5C797DD0">
              <wp:simplePos x="0" y="0"/>
              <wp:positionH relativeFrom="margin">
                <wp:align>center</wp:align>
              </wp:positionH>
              <wp:positionV relativeFrom="margin">
                <wp:align>center</wp:align>
              </wp:positionV>
              <wp:extent cx="5985510" cy="2393950"/>
              <wp:effectExtent l="0" t="0" r="0" b="0"/>
              <wp:wrapNone/>
              <wp:docPr id="5" name="PowerPlusWaterMarkObject52086343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31DC29" w14:textId="77777777" w:rsidR="00CD2416" w:rsidRDefault="00CD2416" w:rsidP="00E911A6">
                          <w:pPr>
                            <w:jc w:val="center"/>
                          </w:pPr>
                          <w:r>
                            <w:rPr>
                              <w:color w:val="A6A6A6" w:themeColor="background1" w:themeShade="A6"/>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EAE2995" id="_x0000_t202" coordsize="21600,21600" o:spt="202" path="m,l,21600r21600,l21600,xe">
              <v:stroke joinstyle="miter"/>
              <v:path gradientshapeok="t" o:connecttype="rect"/>
            </v:shapetype>
            <v:shape id="PowerPlusWaterMarkObject520863438" o:spid="_x0000_s1026"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" o:allowincell="f" filled="f" stroked="f">
              <v:stroke joinstyle="round"/>
              <o:lock v:ext="edit" rotation="t" aspectratio="t" verticies="t" adjusthandles="t" grouping="t" shapetype="t"/>
              <v:textbox>
                <w:txbxContent>
                  <w:p w14:paraId="7D31DC29" w14:textId="77777777" w:rsidR="00CD2416" w:rsidRDefault="00CD2416" w:rsidP="00E911A6">
                    <w:pPr>
                      <w:jc w:val="center"/>
                    </w:pPr>
                    <w:r>
                      <w:rPr>
                        <w:color w:val="A6A6A6" w:themeColor="background1" w:themeShade="A6"/>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DB44" w14:textId="61B18E12" w:rsidR="00CD2416" w:rsidRDefault="00CD2416">
    <w:pPr>
      <w:pStyle w:val="Header"/>
    </w:pPr>
    <w:r>
      <w:rPr>
        <w:noProof/>
      </w:rPr>
      <mc:AlternateContent>
        <mc:Choice Requires="wps">
          <w:drawing>
            <wp:anchor distT="0" distB="0" distL="114300" distR="114300" simplePos="0" relativeHeight="251658242" behindDoc="1" locked="0" layoutInCell="0" allowOverlap="1" wp14:anchorId="79A4DC5D" wp14:editId="3BDC803C">
              <wp:simplePos x="0" y="0"/>
              <wp:positionH relativeFrom="margin">
                <wp:align>center</wp:align>
              </wp:positionH>
              <wp:positionV relativeFrom="margin">
                <wp:align>center</wp:align>
              </wp:positionV>
              <wp:extent cx="5985510" cy="2393950"/>
              <wp:effectExtent l="0" t="0" r="0" b="0"/>
              <wp:wrapNone/>
              <wp:docPr id="4" name="PowerPlusWaterMarkObject52086343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44FD9A" w14:textId="55C1CB76" w:rsidR="00CD2416" w:rsidRDefault="00CD2416" w:rsidP="00E911A6">
                          <w:pPr>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9A4DC5D" id="_x0000_t202" coordsize="21600,21600" o:spt="202" path="m,l,21600r21600,l21600,xe">
              <v:stroke joinstyle="miter"/>
              <v:path gradientshapeok="t" o:connecttype="rect"/>
            </v:shapetype>
            <v:shape id="PowerPlusWaterMarkObject520863439" o:spid="_x0000_s1027"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" o:allowincell="f" filled="f" stroked="f">
              <v:stroke joinstyle="round"/>
              <o:lock v:ext="edit" rotation="t" aspectratio="t" verticies="t" adjusthandles="t" grouping="t" shapetype="t"/>
              <v:textbox>
                <w:txbxContent>
                  <w:p w14:paraId="3244FD9A" w14:textId="55C1CB76" w:rsidR="00CD2416" w:rsidRDefault="00CD2416" w:rsidP="00E911A6">
                    <w:pPr>
                      <w:jc w:val="cente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D832" w14:textId="296BD546" w:rsidR="00CD2416" w:rsidRDefault="00CD2416" w:rsidP="00CD79CF">
    <w:pPr>
      <w:pStyle w:val="Header"/>
      <w:jc w:val="center"/>
    </w:pPr>
    <w:r>
      <w:rPr>
        <w:noProof/>
      </w:rPr>
      <mc:AlternateContent>
        <mc:Choice Requires="wps">
          <w:drawing>
            <wp:anchor distT="0" distB="0" distL="114300" distR="114300" simplePos="0" relativeHeight="251658240" behindDoc="1" locked="0" layoutInCell="0" allowOverlap="1" wp14:anchorId="56E36481" wp14:editId="15305850">
              <wp:simplePos x="0" y="0"/>
              <wp:positionH relativeFrom="margin">
                <wp:align>center</wp:align>
              </wp:positionH>
              <wp:positionV relativeFrom="margin">
                <wp:align>center</wp:align>
              </wp:positionV>
              <wp:extent cx="5985510" cy="2393950"/>
              <wp:effectExtent l="0" t="0" r="0" b="0"/>
              <wp:wrapNone/>
              <wp:docPr id="3" name="PowerPlusWaterMarkObject52086343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1B4FE9" w14:textId="45E28F34" w:rsidR="00CD2416" w:rsidRDefault="00CD2416" w:rsidP="00E911A6">
                          <w:pPr>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6E36481" id="_x0000_t202" coordsize="21600,21600" o:spt="202" path="m,l,21600r21600,l21600,xe">
              <v:stroke joinstyle="miter"/>
              <v:path gradientshapeok="t" o:connecttype="rect"/>
            </v:shapetype>
            <v:shape id="PowerPlusWaterMarkObject520863437" o:spid="_x0000_s1028" type="#_x0000_t202" style="position:absolute;left:0;text-align:left;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" o:allowincell="f" filled="f" stroked="f">
              <v:stroke joinstyle="round"/>
              <o:lock v:ext="edit" rotation="t" aspectratio="t" verticies="t" adjusthandles="t" grouping="t" shapetype="t"/>
              <v:textbox>
                <w:txbxContent>
                  <w:p w14:paraId="081B4FE9" w14:textId="45E28F34" w:rsidR="00CD2416" w:rsidRDefault="00CD2416" w:rsidP="00E911A6">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F13FA3"/>
    <w:multiLevelType w:val="hybridMultilevel"/>
    <w:tmpl w:val="452E6D7E"/>
    <w:lvl w:ilvl="0" w:tplc="2EF6ECE0">
      <w:start w:val="2"/>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A2043F"/>
    <w:multiLevelType w:val="hybridMultilevel"/>
    <w:tmpl w:val="FC2849E4"/>
    <w:lvl w:ilvl="0" w:tplc="B6265C3C">
      <w:start w:val="1"/>
      <w:numFmt w:val="lowerLetter"/>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271E59A0"/>
    <w:multiLevelType w:val="multilevel"/>
    <w:tmpl w:val="8F309214"/>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CA592F"/>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D5B6B"/>
    <w:multiLevelType w:val="multilevel"/>
    <w:tmpl w:val="CC2AF42C"/>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CA1878"/>
    <w:multiLevelType w:val="hybridMultilevel"/>
    <w:tmpl w:val="CDD043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9" w15:restartNumberingAfterBreak="0">
    <w:nsid w:val="688914D6"/>
    <w:multiLevelType w:val="hybridMultilevel"/>
    <w:tmpl w:val="0016A8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422117"/>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EB063F"/>
    <w:multiLevelType w:val="hybridMultilevel"/>
    <w:tmpl w:val="AA10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666F0"/>
    <w:multiLevelType w:val="multilevel"/>
    <w:tmpl w:val="77349F18"/>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8"/>
  </w:num>
  <w:num w:numId="3">
    <w:abstractNumId w:val="11"/>
  </w:num>
  <w:num w:numId="4">
    <w:abstractNumId w:val="15"/>
  </w:num>
  <w:num w:numId="5">
    <w:abstractNumId w:val="20"/>
  </w:num>
  <w:num w:numId="6">
    <w:abstractNumId w:val="17"/>
  </w:num>
  <w:num w:numId="7">
    <w:abstractNumId w:val="12"/>
  </w:num>
  <w:num w:numId="8">
    <w:abstractNumId w:val="20"/>
    <w:lvlOverride w:ilvl="0">
      <w:startOverride w:val="2"/>
    </w:lvlOverride>
  </w:num>
  <w:num w:numId="9">
    <w:abstractNumId w:val="19"/>
  </w:num>
  <w:num w:numId="10">
    <w:abstractNumId w:val="20"/>
  </w:num>
  <w:num w:numId="11">
    <w:abstractNumId w:val="16"/>
  </w:num>
  <w:num w:numId="12">
    <w:abstractNumId w:val="13"/>
  </w:num>
  <w:num w:numId="13">
    <w:abstractNumId w:val="14"/>
  </w:num>
  <w:num w:numId="14">
    <w:abstractNumId w:val="10"/>
  </w:num>
  <w:num w:numId="15">
    <w:abstractNumId w:val="22"/>
  </w:num>
  <w:num w:numId="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0F64"/>
    <w:rsid w:val="00001CCA"/>
    <w:rsid w:val="00001DC3"/>
    <w:rsid w:val="0000375C"/>
    <w:rsid w:val="00003B60"/>
    <w:rsid w:val="0000687D"/>
    <w:rsid w:val="00007C9D"/>
    <w:rsid w:val="00011455"/>
    <w:rsid w:val="000115C1"/>
    <w:rsid w:val="00011F19"/>
    <w:rsid w:val="00013D35"/>
    <w:rsid w:val="00015B8C"/>
    <w:rsid w:val="000169E4"/>
    <w:rsid w:val="000170A4"/>
    <w:rsid w:val="00020B7D"/>
    <w:rsid w:val="000222E8"/>
    <w:rsid w:val="00023906"/>
    <w:rsid w:val="0002533B"/>
    <w:rsid w:val="00025EE3"/>
    <w:rsid w:val="00027314"/>
    <w:rsid w:val="00027455"/>
    <w:rsid w:val="00027A12"/>
    <w:rsid w:val="0003022C"/>
    <w:rsid w:val="000335EA"/>
    <w:rsid w:val="00034459"/>
    <w:rsid w:val="000355C9"/>
    <w:rsid w:val="0003619B"/>
    <w:rsid w:val="00036CDB"/>
    <w:rsid w:val="000378C2"/>
    <w:rsid w:val="00041CE3"/>
    <w:rsid w:val="00042CE9"/>
    <w:rsid w:val="00042D30"/>
    <w:rsid w:val="000434D9"/>
    <w:rsid w:val="000436D3"/>
    <w:rsid w:val="00043DBC"/>
    <w:rsid w:val="000440F4"/>
    <w:rsid w:val="000456B8"/>
    <w:rsid w:val="000502D2"/>
    <w:rsid w:val="0005063B"/>
    <w:rsid w:val="00051B92"/>
    <w:rsid w:val="0005228B"/>
    <w:rsid w:val="00053B8F"/>
    <w:rsid w:val="00053E4B"/>
    <w:rsid w:val="00055BDF"/>
    <w:rsid w:val="00055DC5"/>
    <w:rsid w:val="00056569"/>
    <w:rsid w:val="00056C2F"/>
    <w:rsid w:val="0006112E"/>
    <w:rsid w:val="00061BF2"/>
    <w:rsid w:val="00063508"/>
    <w:rsid w:val="00063FF2"/>
    <w:rsid w:val="0006546B"/>
    <w:rsid w:val="0007000E"/>
    <w:rsid w:val="000703A4"/>
    <w:rsid w:val="00070CB4"/>
    <w:rsid w:val="00071EE6"/>
    <w:rsid w:val="000752C3"/>
    <w:rsid w:val="000761A7"/>
    <w:rsid w:val="00081D8F"/>
    <w:rsid w:val="00084CEA"/>
    <w:rsid w:val="00085514"/>
    <w:rsid w:val="0008603F"/>
    <w:rsid w:val="0008618E"/>
    <w:rsid w:val="00086874"/>
    <w:rsid w:val="000868DC"/>
    <w:rsid w:val="00090D10"/>
    <w:rsid w:val="00091061"/>
    <w:rsid w:val="0009154B"/>
    <w:rsid w:val="000917B9"/>
    <w:rsid w:val="00092E97"/>
    <w:rsid w:val="00093055"/>
    <w:rsid w:val="000955F0"/>
    <w:rsid w:val="000A0164"/>
    <w:rsid w:val="000A0766"/>
    <w:rsid w:val="000A1908"/>
    <w:rsid w:val="000A1AC9"/>
    <w:rsid w:val="000A1FBB"/>
    <w:rsid w:val="000A2D21"/>
    <w:rsid w:val="000A3FAC"/>
    <w:rsid w:val="000A4AFC"/>
    <w:rsid w:val="000A5157"/>
    <w:rsid w:val="000A687C"/>
    <w:rsid w:val="000A6E91"/>
    <w:rsid w:val="000A6F8E"/>
    <w:rsid w:val="000A7F81"/>
    <w:rsid w:val="000B0483"/>
    <w:rsid w:val="000B13C6"/>
    <w:rsid w:val="000B2383"/>
    <w:rsid w:val="000B2B7D"/>
    <w:rsid w:val="000B2E1C"/>
    <w:rsid w:val="000B3C92"/>
    <w:rsid w:val="000B3E4D"/>
    <w:rsid w:val="000B4B4F"/>
    <w:rsid w:val="000B670B"/>
    <w:rsid w:val="000B7733"/>
    <w:rsid w:val="000C019A"/>
    <w:rsid w:val="000C0F3F"/>
    <w:rsid w:val="000C10ED"/>
    <w:rsid w:val="000C1C60"/>
    <w:rsid w:val="000C3B01"/>
    <w:rsid w:val="000C47ED"/>
    <w:rsid w:val="000C52CF"/>
    <w:rsid w:val="000D2272"/>
    <w:rsid w:val="000D4B04"/>
    <w:rsid w:val="000D5178"/>
    <w:rsid w:val="000D6A29"/>
    <w:rsid w:val="000D7A74"/>
    <w:rsid w:val="000E0221"/>
    <w:rsid w:val="000E03B1"/>
    <w:rsid w:val="000E1BBA"/>
    <w:rsid w:val="000E2469"/>
    <w:rsid w:val="000E2C87"/>
    <w:rsid w:val="000E3754"/>
    <w:rsid w:val="000E5363"/>
    <w:rsid w:val="000E6BFE"/>
    <w:rsid w:val="000F201A"/>
    <w:rsid w:val="000F555B"/>
    <w:rsid w:val="000F772C"/>
    <w:rsid w:val="000F7780"/>
    <w:rsid w:val="000F782C"/>
    <w:rsid w:val="00101B40"/>
    <w:rsid w:val="00101F8D"/>
    <w:rsid w:val="00102B52"/>
    <w:rsid w:val="00103479"/>
    <w:rsid w:val="00104FD7"/>
    <w:rsid w:val="00106323"/>
    <w:rsid w:val="0010697C"/>
    <w:rsid w:val="00107C18"/>
    <w:rsid w:val="0011127F"/>
    <w:rsid w:val="00113515"/>
    <w:rsid w:val="00114592"/>
    <w:rsid w:val="00115253"/>
    <w:rsid w:val="001154F8"/>
    <w:rsid w:val="001160F2"/>
    <w:rsid w:val="00120644"/>
    <w:rsid w:val="00121AC3"/>
    <w:rsid w:val="00121F5B"/>
    <w:rsid w:val="0012239D"/>
    <w:rsid w:val="00122AC7"/>
    <w:rsid w:val="00122CF4"/>
    <w:rsid w:val="00123889"/>
    <w:rsid w:val="001246A3"/>
    <w:rsid w:val="001257F8"/>
    <w:rsid w:val="001265C5"/>
    <w:rsid w:val="00126876"/>
    <w:rsid w:val="00126A7C"/>
    <w:rsid w:val="001275A3"/>
    <w:rsid w:val="001278E7"/>
    <w:rsid w:val="00127F26"/>
    <w:rsid w:val="00130328"/>
    <w:rsid w:val="00130E40"/>
    <w:rsid w:val="001316E9"/>
    <w:rsid w:val="001317EC"/>
    <w:rsid w:val="00132CAF"/>
    <w:rsid w:val="00133F5F"/>
    <w:rsid w:val="001341A7"/>
    <w:rsid w:val="001356D4"/>
    <w:rsid w:val="0013605A"/>
    <w:rsid w:val="00137860"/>
    <w:rsid w:val="0014079D"/>
    <w:rsid w:val="001414C4"/>
    <w:rsid w:val="00142DE0"/>
    <w:rsid w:val="001433D3"/>
    <w:rsid w:val="001435E9"/>
    <w:rsid w:val="001436C3"/>
    <w:rsid w:val="001436E6"/>
    <w:rsid w:val="00143DDD"/>
    <w:rsid w:val="00143E14"/>
    <w:rsid w:val="00144978"/>
    <w:rsid w:val="00144A82"/>
    <w:rsid w:val="00144CE3"/>
    <w:rsid w:val="00144F35"/>
    <w:rsid w:val="0014596D"/>
    <w:rsid w:val="00145A13"/>
    <w:rsid w:val="00145F5C"/>
    <w:rsid w:val="00146478"/>
    <w:rsid w:val="00146E7C"/>
    <w:rsid w:val="00147BCE"/>
    <w:rsid w:val="00150BAF"/>
    <w:rsid w:val="0015433E"/>
    <w:rsid w:val="0015491F"/>
    <w:rsid w:val="00154978"/>
    <w:rsid w:val="00154ED9"/>
    <w:rsid w:val="00156D64"/>
    <w:rsid w:val="00157E2B"/>
    <w:rsid w:val="0016066D"/>
    <w:rsid w:val="001615D0"/>
    <w:rsid w:val="00161E6A"/>
    <w:rsid w:val="00162425"/>
    <w:rsid w:val="0016290B"/>
    <w:rsid w:val="00162A26"/>
    <w:rsid w:val="00162ECC"/>
    <w:rsid w:val="00164543"/>
    <w:rsid w:val="00165DCF"/>
    <w:rsid w:val="001671EB"/>
    <w:rsid w:val="001679C8"/>
    <w:rsid w:val="00167D84"/>
    <w:rsid w:val="00170273"/>
    <w:rsid w:val="00172458"/>
    <w:rsid w:val="001730DE"/>
    <w:rsid w:val="001731B7"/>
    <w:rsid w:val="00173E58"/>
    <w:rsid w:val="001752E1"/>
    <w:rsid w:val="00175329"/>
    <w:rsid w:val="00175730"/>
    <w:rsid w:val="00177C1C"/>
    <w:rsid w:val="00180433"/>
    <w:rsid w:val="00182057"/>
    <w:rsid w:val="00185488"/>
    <w:rsid w:val="00185876"/>
    <w:rsid w:val="00185AAC"/>
    <w:rsid w:val="00186DA3"/>
    <w:rsid w:val="00190467"/>
    <w:rsid w:val="001913E0"/>
    <w:rsid w:val="001918C5"/>
    <w:rsid w:val="001930B9"/>
    <w:rsid w:val="00194868"/>
    <w:rsid w:val="001948E4"/>
    <w:rsid w:val="00195753"/>
    <w:rsid w:val="00196D01"/>
    <w:rsid w:val="00196FD0"/>
    <w:rsid w:val="001970FA"/>
    <w:rsid w:val="001A0A59"/>
    <w:rsid w:val="001A0B41"/>
    <w:rsid w:val="001A119C"/>
    <w:rsid w:val="001A1930"/>
    <w:rsid w:val="001A337F"/>
    <w:rsid w:val="001A34FF"/>
    <w:rsid w:val="001A37AD"/>
    <w:rsid w:val="001A48D4"/>
    <w:rsid w:val="001A4BA8"/>
    <w:rsid w:val="001B0B9A"/>
    <w:rsid w:val="001B10B2"/>
    <w:rsid w:val="001B29C3"/>
    <w:rsid w:val="001B330F"/>
    <w:rsid w:val="001B35F2"/>
    <w:rsid w:val="001B475A"/>
    <w:rsid w:val="001B640B"/>
    <w:rsid w:val="001C03B2"/>
    <w:rsid w:val="001C177A"/>
    <w:rsid w:val="001C18F3"/>
    <w:rsid w:val="001C216A"/>
    <w:rsid w:val="001C5991"/>
    <w:rsid w:val="001D0562"/>
    <w:rsid w:val="001D2402"/>
    <w:rsid w:val="001D34B7"/>
    <w:rsid w:val="001D59F8"/>
    <w:rsid w:val="001D70D7"/>
    <w:rsid w:val="001D762C"/>
    <w:rsid w:val="001E2D7A"/>
    <w:rsid w:val="001E301B"/>
    <w:rsid w:val="001E3D6E"/>
    <w:rsid w:val="001E4A4A"/>
    <w:rsid w:val="001E613D"/>
    <w:rsid w:val="001E7893"/>
    <w:rsid w:val="001E7968"/>
    <w:rsid w:val="001F0534"/>
    <w:rsid w:val="001F1459"/>
    <w:rsid w:val="001F19FF"/>
    <w:rsid w:val="001F1F59"/>
    <w:rsid w:val="001F2BB3"/>
    <w:rsid w:val="001F4DB3"/>
    <w:rsid w:val="001F5288"/>
    <w:rsid w:val="001F60A8"/>
    <w:rsid w:val="001F685B"/>
    <w:rsid w:val="001F726D"/>
    <w:rsid w:val="001F7E7F"/>
    <w:rsid w:val="00200D2E"/>
    <w:rsid w:val="002013EF"/>
    <w:rsid w:val="002021A6"/>
    <w:rsid w:val="0020248F"/>
    <w:rsid w:val="00202491"/>
    <w:rsid w:val="002041C5"/>
    <w:rsid w:val="002057CB"/>
    <w:rsid w:val="00205C2C"/>
    <w:rsid w:val="002063FE"/>
    <w:rsid w:val="00206932"/>
    <w:rsid w:val="002110EB"/>
    <w:rsid w:val="0021151B"/>
    <w:rsid w:val="002116D8"/>
    <w:rsid w:val="002130D1"/>
    <w:rsid w:val="0021392B"/>
    <w:rsid w:val="00214152"/>
    <w:rsid w:val="0021547E"/>
    <w:rsid w:val="002159AB"/>
    <w:rsid w:val="002164CC"/>
    <w:rsid w:val="00216F5E"/>
    <w:rsid w:val="0021722B"/>
    <w:rsid w:val="002177A1"/>
    <w:rsid w:val="00220565"/>
    <w:rsid w:val="00220810"/>
    <w:rsid w:val="002216B8"/>
    <w:rsid w:val="0022269F"/>
    <w:rsid w:val="0022370E"/>
    <w:rsid w:val="00224DF5"/>
    <w:rsid w:val="00224F73"/>
    <w:rsid w:val="0022738C"/>
    <w:rsid w:val="002309C1"/>
    <w:rsid w:val="00230EFF"/>
    <w:rsid w:val="0023239C"/>
    <w:rsid w:val="0023308F"/>
    <w:rsid w:val="00233316"/>
    <w:rsid w:val="00233F0F"/>
    <w:rsid w:val="002344C2"/>
    <w:rsid w:val="00234A28"/>
    <w:rsid w:val="002360E4"/>
    <w:rsid w:val="00236DB3"/>
    <w:rsid w:val="00237353"/>
    <w:rsid w:val="002431D9"/>
    <w:rsid w:val="002435AA"/>
    <w:rsid w:val="002442EA"/>
    <w:rsid w:val="00245B87"/>
    <w:rsid w:val="00245D37"/>
    <w:rsid w:val="002460E5"/>
    <w:rsid w:val="00247003"/>
    <w:rsid w:val="00251A21"/>
    <w:rsid w:val="00252918"/>
    <w:rsid w:val="00252DD0"/>
    <w:rsid w:val="00255748"/>
    <w:rsid w:val="00257138"/>
    <w:rsid w:val="002576A6"/>
    <w:rsid w:val="002578F8"/>
    <w:rsid w:val="00257947"/>
    <w:rsid w:val="00257EDE"/>
    <w:rsid w:val="00260C3D"/>
    <w:rsid w:val="002615DB"/>
    <w:rsid w:val="00262404"/>
    <w:rsid w:val="002638A0"/>
    <w:rsid w:val="00266802"/>
    <w:rsid w:val="00266C54"/>
    <w:rsid w:val="00266D23"/>
    <w:rsid w:val="00267096"/>
    <w:rsid w:val="002679E5"/>
    <w:rsid w:val="002712EB"/>
    <w:rsid w:val="0027222A"/>
    <w:rsid w:val="0027243E"/>
    <w:rsid w:val="002729B7"/>
    <w:rsid w:val="00274121"/>
    <w:rsid w:val="002743D2"/>
    <w:rsid w:val="0027465A"/>
    <w:rsid w:val="00275F1A"/>
    <w:rsid w:val="0027604D"/>
    <w:rsid w:val="00277F42"/>
    <w:rsid w:val="00281CAE"/>
    <w:rsid w:val="00282B33"/>
    <w:rsid w:val="0028321E"/>
    <w:rsid w:val="00283E15"/>
    <w:rsid w:val="002857D1"/>
    <w:rsid w:val="002869E6"/>
    <w:rsid w:val="0029006A"/>
    <w:rsid w:val="002904E7"/>
    <w:rsid w:val="00291DD7"/>
    <w:rsid w:val="00291DF6"/>
    <w:rsid w:val="0029278B"/>
    <w:rsid w:val="00292FD0"/>
    <w:rsid w:val="002944E9"/>
    <w:rsid w:val="00295C1F"/>
    <w:rsid w:val="00296C48"/>
    <w:rsid w:val="00296FDB"/>
    <w:rsid w:val="002976E9"/>
    <w:rsid w:val="002A0A87"/>
    <w:rsid w:val="002A111D"/>
    <w:rsid w:val="002A1F90"/>
    <w:rsid w:val="002A2F20"/>
    <w:rsid w:val="002A350F"/>
    <w:rsid w:val="002A47E0"/>
    <w:rsid w:val="002A4CE4"/>
    <w:rsid w:val="002A500A"/>
    <w:rsid w:val="002A6917"/>
    <w:rsid w:val="002A6A0A"/>
    <w:rsid w:val="002B155F"/>
    <w:rsid w:val="002B29A5"/>
    <w:rsid w:val="002B29A7"/>
    <w:rsid w:val="002B34DF"/>
    <w:rsid w:val="002B3D20"/>
    <w:rsid w:val="002B3FB1"/>
    <w:rsid w:val="002B41DE"/>
    <w:rsid w:val="002B517F"/>
    <w:rsid w:val="002B5F37"/>
    <w:rsid w:val="002B61C2"/>
    <w:rsid w:val="002B6993"/>
    <w:rsid w:val="002B7D01"/>
    <w:rsid w:val="002B7FFD"/>
    <w:rsid w:val="002C02CD"/>
    <w:rsid w:val="002C0630"/>
    <w:rsid w:val="002C102A"/>
    <w:rsid w:val="002C1A66"/>
    <w:rsid w:val="002C1F95"/>
    <w:rsid w:val="002C2C1C"/>
    <w:rsid w:val="002C2DC5"/>
    <w:rsid w:val="002C416A"/>
    <w:rsid w:val="002C432F"/>
    <w:rsid w:val="002C454F"/>
    <w:rsid w:val="002C4E6B"/>
    <w:rsid w:val="002C71A2"/>
    <w:rsid w:val="002C77DF"/>
    <w:rsid w:val="002C7A98"/>
    <w:rsid w:val="002C7F54"/>
    <w:rsid w:val="002D049A"/>
    <w:rsid w:val="002D22F9"/>
    <w:rsid w:val="002D755F"/>
    <w:rsid w:val="002D7683"/>
    <w:rsid w:val="002E0FFB"/>
    <w:rsid w:val="002E347C"/>
    <w:rsid w:val="002E5206"/>
    <w:rsid w:val="002E58AB"/>
    <w:rsid w:val="002E63D2"/>
    <w:rsid w:val="002E673E"/>
    <w:rsid w:val="002E6F4F"/>
    <w:rsid w:val="002F04B5"/>
    <w:rsid w:val="002F12A2"/>
    <w:rsid w:val="002F3D5E"/>
    <w:rsid w:val="002F496E"/>
    <w:rsid w:val="002F49BE"/>
    <w:rsid w:val="002F58C1"/>
    <w:rsid w:val="002F674B"/>
    <w:rsid w:val="002F67D0"/>
    <w:rsid w:val="002F67E9"/>
    <w:rsid w:val="002F6DB3"/>
    <w:rsid w:val="002F6DD2"/>
    <w:rsid w:val="002F7669"/>
    <w:rsid w:val="00303C10"/>
    <w:rsid w:val="00304DF8"/>
    <w:rsid w:val="00305230"/>
    <w:rsid w:val="00307CD9"/>
    <w:rsid w:val="00311F4B"/>
    <w:rsid w:val="003139FC"/>
    <w:rsid w:val="003144BB"/>
    <w:rsid w:val="00314C17"/>
    <w:rsid w:val="00314FF7"/>
    <w:rsid w:val="00315C65"/>
    <w:rsid w:val="00316FCE"/>
    <w:rsid w:val="00317DFF"/>
    <w:rsid w:val="0032084A"/>
    <w:rsid w:val="003215B0"/>
    <w:rsid w:val="00323D42"/>
    <w:rsid w:val="0032623B"/>
    <w:rsid w:val="00331B8C"/>
    <w:rsid w:val="00331CE4"/>
    <w:rsid w:val="00332168"/>
    <w:rsid w:val="00341540"/>
    <w:rsid w:val="003467DD"/>
    <w:rsid w:val="00347584"/>
    <w:rsid w:val="00347B6B"/>
    <w:rsid w:val="00350481"/>
    <w:rsid w:val="003509D0"/>
    <w:rsid w:val="003511C6"/>
    <w:rsid w:val="00352F33"/>
    <w:rsid w:val="0035325B"/>
    <w:rsid w:val="00353B11"/>
    <w:rsid w:val="00353FD2"/>
    <w:rsid w:val="00354521"/>
    <w:rsid w:val="00354C15"/>
    <w:rsid w:val="00356375"/>
    <w:rsid w:val="003568B8"/>
    <w:rsid w:val="00356C69"/>
    <w:rsid w:val="00357798"/>
    <w:rsid w:val="00357869"/>
    <w:rsid w:val="00360408"/>
    <w:rsid w:val="003607CD"/>
    <w:rsid w:val="00361078"/>
    <w:rsid w:val="00362430"/>
    <w:rsid w:val="00363289"/>
    <w:rsid w:val="003659FF"/>
    <w:rsid w:val="00367C02"/>
    <w:rsid w:val="00367CEA"/>
    <w:rsid w:val="00371347"/>
    <w:rsid w:val="00371EAB"/>
    <w:rsid w:val="00372A62"/>
    <w:rsid w:val="003731D6"/>
    <w:rsid w:val="00373A0E"/>
    <w:rsid w:val="00374654"/>
    <w:rsid w:val="003749A1"/>
    <w:rsid w:val="00377694"/>
    <w:rsid w:val="00377D7F"/>
    <w:rsid w:val="00380D66"/>
    <w:rsid w:val="003817F5"/>
    <w:rsid w:val="0038315B"/>
    <w:rsid w:val="0038318D"/>
    <w:rsid w:val="0038680F"/>
    <w:rsid w:val="0038721F"/>
    <w:rsid w:val="0038763D"/>
    <w:rsid w:val="003910E1"/>
    <w:rsid w:val="0039286F"/>
    <w:rsid w:val="0039362A"/>
    <w:rsid w:val="003937FC"/>
    <w:rsid w:val="00393F4D"/>
    <w:rsid w:val="003948FD"/>
    <w:rsid w:val="003951FA"/>
    <w:rsid w:val="0039549C"/>
    <w:rsid w:val="00396001"/>
    <w:rsid w:val="0039604A"/>
    <w:rsid w:val="00396B73"/>
    <w:rsid w:val="00397232"/>
    <w:rsid w:val="003A0301"/>
    <w:rsid w:val="003A18EA"/>
    <w:rsid w:val="003A197A"/>
    <w:rsid w:val="003A1AC6"/>
    <w:rsid w:val="003A2302"/>
    <w:rsid w:val="003A4108"/>
    <w:rsid w:val="003A413F"/>
    <w:rsid w:val="003A5AF1"/>
    <w:rsid w:val="003A5DF0"/>
    <w:rsid w:val="003A699D"/>
    <w:rsid w:val="003B1E92"/>
    <w:rsid w:val="003B2233"/>
    <w:rsid w:val="003B384B"/>
    <w:rsid w:val="003B7550"/>
    <w:rsid w:val="003C1948"/>
    <w:rsid w:val="003C4B46"/>
    <w:rsid w:val="003C5023"/>
    <w:rsid w:val="003D140D"/>
    <w:rsid w:val="003D17A7"/>
    <w:rsid w:val="003D5583"/>
    <w:rsid w:val="003D5BEC"/>
    <w:rsid w:val="003D6951"/>
    <w:rsid w:val="003E30B5"/>
    <w:rsid w:val="003E36B8"/>
    <w:rsid w:val="003E3BD0"/>
    <w:rsid w:val="003E4472"/>
    <w:rsid w:val="003E47DB"/>
    <w:rsid w:val="003E4C18"/>
    <w:rsid w:val="003E4FDF"/>
    <w:rsid w:val="003E55D1"/>
    <w:rsid w:val="003F1AFC"/>
    <w:rsid w:val="003F2831"/>
    <w:rsid w:val="003F34EA"/>
    <w:rsid w:val="003F5D36"/>
    <w:rsid w:val="003F624A"/>
    <w:rsid w:val="003F69A6"/>
    <w:rsid w:val="003F69C3"/>
    <w:rsid w:val="003F7112"/>
    <w:rsid w:val="004005C3"/>
    <w:rsid w:val="00402154"/>
    <w:rsid w:val="004029FF"/>
    <w:rsid w:val="0040391F"/>
    <w:rsid w:val="00404A15"/>
    <w:rsid w:val="0040652F"/>
    <w:rsid w:val="00410E99"/>
    <w:rsid w:val="0041151A"/>
    <w:rsid w:val="00412A6E"/>
    <w:rsid w:val="00414935"/>
    <w:rsid w:val="00417F5A"/>
    <w:rsid w:val="00420E8B"/>
    <w:rsid w:val="00421095"/>
    <w:rsid w:val="00423BD1"/>
    <w:rsid w:val="004247A0"/>
    <w:rsid w:val="00424C36"/>
    <w:rsid w:val="00424C43"/>
    <w:rsid w:val="00430661"/>
    <w:rsid w:val="00431AE9"/>
    <w:rsid w:val="004349B5"/>
    <w:rsid w:val="00440A7A"/>
    <w:rsid w:val="0044133C"/>
    <w:rsid w:val="004415CA"/>
    <w:rsid w:val="00442D84"/>
    <w:rsid w:val="00443E7B"/>
    <w:rsid w:val="0044647C"/>
    <w:rsid w:val="00446D98"/>
    <w:rsid w:val="00450A77"/>
    <w:rsid w:val="00450BBE"/>
    <w:rsid w:val="0045295C"/>
    <w:rsid w:val="00453401"/>
    <w:rsid w:val="004544B6"/>
    <w:rsid w:val="00455557"/>
    <w:rsid w:val="00456B7B"/>
    <w:rsid w:val="00457A28"/>
    <w:rsid w:val="00457E6E"/>
    <w:rsid w:val="00462432"/>
    <w:rsid w:val="00462A3F"/>
    <w:rsid w:val="00462FD8"/>
    <w:rsid w:val="00463A5B"/>
    <w:rsid w:val="0046716D"/>
    <w:rsid w:val="004701FD"/>
    <w:rsid w:val="004708A8"/>
    <w:rsid w:val="00470E94"/>
    <w:rsid w:val="00471489"/>
    <w:rsid w:val="0047266C"/>
    <w:rsid w:val="00472A4B"/>
    <w:rsid w:val="00473933"/>
    <w:rsid w:val="00473CAE"/>
    <w:rsid w:val="00473F3C"/>
    <w:rsid w:val="00473FE5"/>
    <w:rsid w:val="00475D1E"/>
    <w:rsid w:val="0047635D"/>
    <w:rsid w:val="0047743A"/>
    <w:rsid w:val="004775B7"/>
    <w:rsid w:val="00480D4A"/>
    <w:rsid w:val="00483D40"/>
    <w:rsid w:val="00483DF0"/>
    <w:rsid w:val="00484A45"/>
    <w:rsid w:val="00485BCB"/>
    <w:rsid w:val="00485EED"/>
    <w:rsid w:val="0049143A"/>
    <w:rsid w:val="004915A7"/>
    <w:rsid w:val="00492F5B"/>
    <w:rsid w:val="0049300D"/>
    <w:rsid w:val="0049315D"/>
    <w:rsid w:val="0049327D"/>
    <w:rsid w:val="00497B30"/>
    <w:rsid w:val="004A084D"/>
    <w:rsid w:val="004A0CD2"/>
    <w:rsid w:val="004A1D0A"/>
    <w:rsid w:val="004A2913"/>
    <w:rsid w:val="004A4296"/>
    <w:rsid w:val="004A4B25"/>
    <w:rsid w:val="004A69D6"/>
    <w:rsid w:val="004A70FC"/>
    <w:rsid w:val="004B0C67"/>
    <w:rsid w:val="004B533C"/>
    <w:rsid w:val="004B6EA6"/>
    <w:rsid w:val="004C194C"/>
    <w:rsid w:val="004C1E56"/>
    <w:rsid w:val="004C2D31"/>
    <w:rsid w:val="004C3D38"/>
    <w:rsid w:val="004C5E95"/>
    <w:rsid w:val="004C5FF5"/>
    <w:rsid w:val="004C701D"/>
    <w:rsid w:val="004C7CD7"/>
    <w:rsid w:val="004D004E"/>
    <w:rsid w:val="004D0C7F"/>
    <w:rsid w:val="004D19A7"/>
    <w:rsid w:val="004D5E99"/>
    <w:rsid w:val="004D6C94"/>
    <w:rsid w:val="004D70F3"/>
    <w:rsid w:val="004E0F8C"/>
    <w:rsid w:val="004E4417"/>
    <w:rsid w:val="004E4531"/>
    <w:rsid w:val="004E4ED2"/>
    <w:rsid w:val="004E5D8F"/>
    <w:rsid w:val="004E6F7A"/>
    <w:rsid w:val="004E7369"/>
    <w:rsid w:val="004E7F30"/>
    <w:rsid w:val="004F026F"/>
    <w:rsid w:val="004F1469"/>
    <w:rsid w:val="004F1DCB"/>
    <w:rsid w:val="004F367F"/>
    <w:rsid w:val="004F56DC"/>
    <w:rsid w:val="004F6A23"/>
    <w:rsid w:val="004F6FCD"/>
    <w:rsid w:val="004F7909"/>
    <w:rsid w:val="00501E83"/>
    <w:rsid w:val="005027A6"/>
    <w:rsid w:val="00502C16"/>
    <w:rsid w:val="00502CF0"/>
    <w:rsid w:val="00502EED"/>
    <w:rsid w:val="0050391C"/>
    <w:rsid w:val="00503B89"/>
    <w:rsid w:val="00504745"/>
    <w:rsid w:val="005075F9"/>
    <w:rsid w:val="00507EC5"/>
    <w:rsid w:val="00510DCF"/>
    <w:rsid w:val="00511BA0"/>
    <w:rsid w:val="00511BE3"/>
    <w:rsid w:val="00511E0E"/>
    <w:rsid w:val="005123BD"/>
    <w:rsid w:val="00513446"/>
    <w:rsid w:val="00514995"/>
    <w:rsid w:val="00514B2D"/>
    <w:rsid w:val="00514F56"/>
    <w:rsid w:val="00515771"/>
    <w:rsid w:val="00516952"/>
    <w:rsid w:val="00517AF5"/>
    <w:rsid w:val="00520E68"/>
    <w:rsid w:val="00521224"/>
    <w:rsid w:val="005225A2"/>
    <w:rsid w:val="00522CA8"/>
    <w:rsid w:val="00523990"/>
    <w:rsid w:val="005239D3"/>
    <w:rsid w:val="0052452B"/>
    <w:rsid w:val="00524F68"/>
    <w:rsid w:val="005253D4"/>
    <w:rsid w:val="005277FB"/>
    <w:rsid w:val="00527BB8"/>
    <w:rsid w:val="00527EDE"/>
    <w:rsid w:val="00530107"/>
    <w:rsid w:val="0053277C"/>
    <w:rsid w:val="00533192"/>
    <w:rsid w:val="0053340D"/>
    <w:rsid w:val="00533A62"/>
    <w:rsid w:val="00533CF3"/>
    <w:rsid w:val="00535A66"/>
    <w:rsid w:val="00536A46"/>
    <w:rsid w:val="00537CFB"/>
    <w:rsid w:val="005411F3"/>
    <w:rsid w:val="005415C9"/>
    <w:rsid w:val="0054331B"/>
    <w:rsid w:val="00543D57"/>
    <w:rsid w:val="005457EE"/>
    <w:rsid w:val="0054674C"/>
    <w:rsid w:val="00550A48"/>
    <w:rsid w:val="0055104B"/>
    <w:rsid w:val="00551815"/>
    <w:rsid w:val="00551D13"/>
    <w:rsid w:val="005527A5"/>
    <w:rsid w:val="00553072"/>
    <w:rsid w:val="00553F25"/>
    <w:rsid w:val="00553F94"/>
    <w:rsid w:val="00553FE9"/>
    <w:rsid w:val="0055464A"/>
    <w:rsid w:val="005549AB"/>
    <w:rsid w:val="00555304"/>
    <w:rsid w:val="00556535"/>
    <w:rsid w:val="00557383"/>
    <w:rsid w:val="0056009B"/>
    <w:rsid w:val="00560AD2"/>
    <w:rsid w:val="00560B39"/>
    <w:rsid w:val="00560E5C"/>
    <w:rsid w:val="00563E8E"/>
    <w:rsid w:val="005653C1"/>
    <w:rsid w:val="00565A51"/>
    <w:rsid w:val="0056755A"/>
    <w:rsid w:val="005679ED"/>
    <w:rsid w:val="00567A3D"/>
    <w:rsid w:val="00571260"/>
    <w:rsid w:val="0057148C"/>
    <w:rsid w:val="005729DB"/>
    <w:rsid w:val="00574D81"/>
    <w:rsid w:val="00577CF5"/>
    <w:rsid w:val="00577F9A"/>
    <w:rsid w:val="00580C72"/>
    <w:rsid w:val="00582B1F"/>
    <w:rsid w:val="005830D5"/>
    <w:rsid w:val="00583454"/>
    <w:rsid w:val="00583626"/>
    <w:rsid w:val="00583830"/>
    <w:rsid w:val="00583ED3"/>
    <w:rsid w:val="005860EA"/>
    <w:rsid w:val="005865D9"/>
    <w:rsid w:val="005875E6"/>
    <w:rsid w:val="00587607"/>
    <w:rsid w:val="00587DD4"/>
    <w:rsid w:val="00590B6B"/>
    <w:rsid w:val="0059169A"/>
    <w:rsid w:val="00594FAD"/>
    <w:rsid w:val="005968B3"/>
    <w:rsid w:val="005A1986"/>
    <w:rsid w:val="005A2352"/>
    <w:rsid w:val="005A3C78"/>
    <w:rsid w:val="005A46B8"/>
    <w:rsid w:val="005A6230"/>
    <w:rsid w:val="005B052F"/>
    <w:rsid w:val="005B10E3"/>
    <w:rsid w:val="005B244B"/>
    <w:rsid w:val="005B3099"/>
    <w:rsid w:val="005B3329"/>
    <w:rsid w:val="005B3B84"/>
    <w:rsid w:val="005B4CAD"/>
    <w:rsid w:val="005B5329"/>
    <w:rsid w:val="005B5DE8"/>
    <w:rsid w:val="005C08B0"/>
    <w:rsid w:val="005C1162"/>
    <w:rsid w:val="005C269B"/>
    <w:rsid w:val="005C2BA2"/>
    <w:rsid w:val="005C3665"/>
    <w:rsid w:val="005C3D2C"/>
    <w:rsid w:val="005C42AC"/>
    <w:rsid w:val="005C5D1B"/>
    <w:rsid w:val="005C6329"/>
    <w:rsid w:val="005D2C16"/>
    <w:rsid w:val="005D36A4"/>
    <w:rsid w:val="005D36E3"/>
    <w:rsid w:val="005D385C"/>
    <w:rsid w:val="005D4607"/>
    <w:rsid w:val="005D573D"/>
    <w:rsid w:val="005D60B7"/>
    <w:rsid w:val="005D7514"/>
    <w:rsid w:val="005E0A9B"/>
    <w:rsid w:val="005E1021"/>
    <w:rsid w:val="005E1935"/>
    <w:rsid w:val="005E194B"/>
    <w:rsid w:val="005E21A7"/>
    <w:rsid w:val="005E2402"/>
    <w:rsid w:val="005E2971"/>
    <w:rsid w:val="005E586B"/>
    <w:rsid w:val="005E7225"/>
    <w:rsid w:val="005E7C3E"/>
    <w:rsid w:val="005F05B4"/>
    <w:rsid w:val="005F0A08"/>
    <w:rsid w:val="005F2BFA"/>
    <w:rsid w:val="005F42F8"/>
    <w:rsid w:val="005F47C2"/>
    <w:rsid w:val="005F563A"/>
    <w:rsid w:val="005F7113"/>
    <w:rsid w:val="006008F2"/>
    <w:rsid w:val="00601205"/>
    <w:rsid w:val="0060347E"/>
    <w:rsid w:val="00606DEF"/>
    <w:rsid w:val="00607564"/>
    <w:rsid w:val="00612369"/>
    <w:rsid w:val="00612D72"/>
    <w:rsid w:val="006131D8"/>
    <w:rsid w:val="00613447"/>
    <w:rsid w:val="0061426B"/>
    <w:rsid w:val="006142EE"/>
    <w:rsid w:val="00614990"/>
    <w:rsid w:val="0061556D"/>
    <w:rsid w:val="00615DD3"/>
    <w:rsid w:val="006167DA"/>
    <w:rsid w:val="00616CB8"/>
    <w:rsid w:val="0061701A"/>
    <w:rsid w:val="00617B16"/>
    <w:rsid w:val="006208C3"/>
    <w:rsid w:val="00621A51"/>
    <w:rsid w:val="0062215C"/>
    <w:rsid w:val="00623774"/>
    <w:rsid w:val="00624631"/>
    <w:rsid w:val="006247DA"/>
    <w:rsid w:val="006266E8"/>
    <w:rsid w:val="00626E59"/>
    <w:rsid w:val="00627AAA"/>
    <w:rsid w:val="00627F62"/>
    <w:rsid w:val="00630894"/>
    <w:rsid w:val="0063091A"/>
    <w:rsid w:val="00630CB2"/>
    <w:rsid w:val="00630EAC"/>
    <w:rsid w:val="00631517"/>
    <w:rsid w:val="006323BB"/>
    <w:rsid w:val="00634118"/>
    <w:rsid w:val="00634D93"/>
    <w:rsid w:val="00635DBD"/>
    <w:rsid w:val="0064164B"/>
    <w:rsid w:val="00641F3B"/>
    <w:rsid w:val="0064333E"/>
    <w:rsid w:val="0064397A"/>
    <w:rsid w:val="00643F14"/>
    <w:rsid w:val="00644787"/>
    <w:rsid w:val="00644E59"/>
    <w:rsid w:val="00646DAF"/>
    <w:rsid w:val="00647BBB"/>
    <w:rsid w:val="00652A44"/>
    <w:rsid w:val="00653185"/>
    <w:rsid w:val="00655376"/>
    <w:rsid w:val="00655D23"/>
    <w:rsid w:val="00657460"/>
    <w:rsid w:val="0066234F"/>
    <w:rsid w:val="006629E0"/>
    <w:rsid w:val="00664D53"/>
    <w:rsid w:val="00666EA4"/>
    <w:rsid w:val="00667F2A"/>
    <w:rsid w:val="00670A26"/>
    <w:rsid w:val="006716C1"/>
    <w:rsid w:val="006741F7"/>
    <w:rsid w:val="0068019F"/>
    <w:rsid w:val="00680911"/>
    <w:rsid w:val="006810C3"/>
    <w:rsid w:val="006825A9"/>
    <w:rsid w:val="00682CEC"/>
    <w:rsid w:val="006849BA"/>
    <w:rsid w:val="006859D1"/>
    <w:rsid w:val="00685BE1"/>
    <w:rsid w:val="00686576"/>
    <w:rsid w:val="0068686A"/>
    <w:rsid w:val="006901CA"/>
    <w:rsid w:val="006901E9"/>
    <w:rsid w:val="00690203"/>
    <w:rsid w:val="00690586"/>
    <w:rsid w:val="006912AD"/>
    <w:rsid w:val="0069170B"/>
    <w:rsid w:val="00691726"/>
    <w:rsid w:val="006926F5"/>
    <w:rsid w:val="006937D4"/>
    <w:rsid w:val="00693A72"/>
    <w:rsid w:val="00694B55"/>
    <w:rsid w:val="0069516C"/>
    <w:rsid w:val="00695B9B"/>
    <w:rsid w:val="006970E8"/>
    <w:rsid w:val="006A07DE"/>
    <w:rsid w:val="006A09F4"/>
    <w:rsid w:val="006A3C57"/>
    <w:rsid w:val="006A4EAF"/>
    <w:rsid w:val="006A5904"/>
    <w:rsid w:val="006A6978"/>
    <w:rsid w:val="006A7511"/>
    <w:rsid w:val="006A7709"/>
    <w:rsid w:val="006A7A3F"/>
    <w:rsid w:val="006A7D70"/>
    <w:rsid w:val="006B1592"/>
    <w:rsid w:val="006B357A"/>
    <w:rsid w:val="006B4204"/>
    <w:rsid w:val="006B5360"/>
    <w:rsid w:val="006B73D6"/>
    <w:rsid w:val="006B7D5C"/>
    <w:rsid w:val="006C02E3"/>
    <w:rsid w:val="006C1010"/>
    <w:rsid w:val="006C1F1B"/>
    <w:rsid w:val="006C2167"/>
    <w:rsid w:val="006C236A"/>
    <w:rsid w:val="006C3F75"/>
    <w:rsid w:val="006C55D8"/>
    <w:rsid w:val="006D0BB1"/>
    <w:rsid w:val="006D108C"/>
    <w:rsid w:val="006D1657"/>
    <w:rsid w:val="006D1B12"/>
    <w:rsid w:val="006D1E28"/>
    <w:rsid w:val="006D33AA"/>
    <w:rsid w:val="006D3AB5"/>
    <w:rsid w:val="006D407D"/>
    <w:rsid w:val="006D4402"/>
    <w:rsid w:val="006D69A1"/>
    <w:rsid w:val="006D7A17"/>
    <w:rsid w:val="006E002E"/>
    <w:rsid w:val="006E0E1A"/>
    <w:rsid w:val="006E1F3F"/>
    <w:rsid w:val="006E2A8A"/>
    <w:rsid w:val="006E3787"/>
    <w:rsid w:val="006E37ED"/>
    <w:rsid w:val="006E448F"/>
    <w:rsid w:val="006E4A6E"/>
    <w:rsid w:val="006E5A67"/>
    <w:rsid w:val="006E642B"/>
    <w:rsid w:val="006F027C"/>
    <w:rsid w:val="006F09BD"/>
    <w:rsid w:val="006F27FB"/>
    <w:rsid w:val="006F3AF2"/>
    <w:rsid w:val="006F4714"/>
    <w:rsid w:val="006F4BD2"/>
    <w:rsid w:val="006F5D03"/>
    <w:rsid w:val="006F5DEE"/>
    <w:rsid w:val="006F5F89"/>
    <w:rsid w:val="006F678F"/>
    <w:rsid w:val="007028EA"/>
    <w:rsid w:val="00703D04"/>
    <w:rsid w:val="00704E0C"/>
    <w:rsid w:val="00705764"/>
    <w:rsid w:val="00707D7B"/>
    <w:rsid w:val="00710C9F"/>
    <w:rsid w:val="00714109"/>
    <w:rsid w:val="00714A37"/>
    <w:rsid w:val="00714AE7"/>
    <w:rsid w:val="007155A7"/>
    <w:rsid w:val="00715BE2"/>
    <w:rsid w:val="00716469"/>
    <w:rsid w:val="00717A75"/>
    <w:rsid w:val="0072038B"/>
    <w:rsid w:val="00721A70"/>
    <w:rsid w:val="0072273A"/>
    <w:rsid w:val="00724BC7"/>
    <w:rsid w:val="00724DB1"/>
    <w:rsid w:val="00726A7E"/>
    <w:rsid w:val="007277A9"/>
    <w:rsid w:val="00732BB4"/>
    <w:rsid w:val="007332F0"/>
    <w:rsid w:val="007341F1"/>
    <w:rsid w:val="00734F74"/>
    <w:rsid w:val="00736B4D"/>
    <w:rsid w:val="00736B60"/>
    <w:rsid w:val="00737C0E"/>
    <w:rsid w:val="00740326"/>
    <w:rsid w:val="007434C7"/>
    <w:rsid w:val="00744F7D"/>
    <w:rsid w:val="00745B91"/>
    <w:rsid w:val="0074632C"/>
    <w:rsid w:val="00746CC6"/>
    <w:rsid w:val="00750F02"/>
    <w:rsid w:val="00751445"/>
    <w:rsid w:val="00753159"/>
    <w:rsid w:val="00753C3E"/>
    <w:rsid w:val="0075493E"/>
    <w:rsid w:val="00754D1E"/>
    <w:rsid w:val="00755B78"/>
    <w:rsid w:val="00756977"/>
    <w:rsid w:val="00757E9C"/>
    <w:rsid w:val="00761684"/>
    <w:rsid w:val="00762D4D"/>
    <w:rsid w:val="00763160"/>
    <w:rsid w:val="00764B84"/>
    <w:rsid w:val="00765B3B"/>
    <w:rsid w:val="007679CB"/>
    <w:rsid w:val="007706B6"/>
    <w:rsid w:val="00771607"/>
    <w:rsid w:val="00771F6B"/>
    <w:rsid w:val="007724EA"/>
    <w:rsid w:val="00772C80"/>
    <w:rsid w:val="007731FA"/>
    <w:rsid w:val="00775984"/>
    <w:rsid w:val="00780612"/>
    <w:rsid w:val="007818B9"/>
    <w:rsid w:val="00784D34"/>
    <w:rsid w:val="00784F4B"/>
    <w:rsid w:val="00785BE8"/>
    <w:rsid w:val="00786A20"/>
    <w:rsid w:val="00786E84"/>
    <w:rsid w:val="00791A2B"/>
    <w:rsid w:val="00791FEA"/>
    <w:rsid w:val="0079459C"/>
    <w:rsid w:val="00795EF3"/>
    <w:rsid w:val="0079715F"/>
    <w:rsid w:val="007975F5"/>
    <w:rsid w:val="0079769D"/>
    <w:rsid w:val="007A0634"/>
    <w:rsid w:val="007A0E40"/>
    <w:rsid w:val="007A16F4"/>
    <w:rsid w:val="007A2459"/>
    <w:rsid w:val="007A247A"/>
    <w:rsid w:val="007A2F55"/>
    <w:rsid w:val="007A3FA7"/>
    <w:rsid w:val="007A4549"/>
    <w:rsid w:val="007A458D"/>
    <w:rsid w:val="007B15DE"/>
    <w:rsid w:val="007B247E"/>
    <w:rsid w:val="007B2507"/>
    <w:rsid w:val="007B3AB9"/>
    <w:rsid w:val="007B5114"/>
    <w:rsid w:val="007B563E"/>
    <w:rsid w:val="007B68B4"/>
    <w:rsid w:val="007B72FA"/>
    <w:rsid w:val="007C0FAA"/>
    <w:rsid w:val="007C3080"/>
    <w:rsid w:val="007C3449"/>
    <w:rsid w:val="007C3B51"/>
    <w:rsid w:val="007C3FBC"/>
    <w:rsid w:val="007C6558"/>
    <w:rsid w:val="007C7BCE"/>
    <w:rsid w:val="007D1050"/>
    <w:rsid w:val="007D13D9"/>
    <w:rsid w:val="007D2A2C"/>
    <w:rsid w:val="007D2C6E"/>
    <w:rsid w:val="007D3A76"/>
    <w:rsid w:val="007D43BB"/>
    <w:rsid w:val="007D6B8C"/>
    <w:rsid w:val="007D7161"/>
    <w:rsid w:val="007D71A9"/>
    <w:rsid w:val="007D728E"/>
    <w:rsid w:val="007E374D"/>
    <w:rsid w:val="007E42BE"/>
    <w:rsid w:val="007E449F"/>
    <w:rsid w:val="007E6604"/>
    <w:rsid w:val="007E6FF4"/>
    <w:rsid w:val="007E72A1"/>
    <w:rsid w:val="007E78B6"/>
    <w:rsid w:val="007F0388"/>
    <w:rsid w:val="007F07FB"/>
    <w:rsid w:val="007F0BE2"/>
    <w:rsid w:val="007F1853"/>
    <w:rsid w:val="007F24E9"/>
    <w:rsid w:val="007F39B8"/>
    <w:rsid w:val="007F3D61"/>
    <w:rsid w:val="007F4B9F"/>
    <w:rsid w:val="007F54EC"/>
    <w:rsid w:val="007F5ADC"/>
    <w:rsid w:val="00800DEB"/>
    <w:rsid w:val="008019DC"/>
    <w:rsid w:val="00801BED"/>
    <w:rsid w:val="00802123"/>
    <w:rsid w:val="00802908"/>
    <w:rsid w:val="00803270"/>
    <w:rsid w:val="00803D1C"/>
    <w:rsid w:val="00804205"/>
    <w:rsid w:val="00804E62"/>
    <w:rsid w:val="00805C23"/>
    <w:rsid w:val="00806C34"/>
    <w:rsid w:val="00806D90"/>
    <w:rsid w:val="0080739F"/>
    <w:rsid w:val="00807DA7"/>
    <w:rsid w:val="0081033F"/>
    <w:rsid w:val="00810507"/>
    <w:rsid w:val="00810DBE"/>
    <w:rsid w:val="008114C4"/>
    <w:rsid w:val="00811EA5"/>
    <w:rsid w:val="008126A4"/>
    <w:rsid w:val="00812D32"/>
    <w:rsid w:val="00813E69"/>
    <w:rsid w:val="008147FB"/>
    <w:rsid w:val="00814B2B"/>
    <w:rsid w:val="008154F9"/>
    <w:rsid w:val="00816069"/>
    <w:rsid w:val="008166E3"/>
    <w:rsid w:val="0081733A"/>
    <w:rsid w:val="00817C62"/>
    <w:rsid w:val="00817E8B"/>
    <w:rsid w:val="00820651"/>
    <w:rsid w:val="008221FB"/>
    <w:rsid w:val="008227AC"/>
    <w:rsid w:val="008229C0"/>
    <w:rsid w:val="00822B56"/>
    <w:rsid w:val="0082334E"/>
    <w:rsid w:val="00825155"/>
    <w:rsid w:val="008272D1"/>
    <w:rsid w:val="008275F0"/>
    <w:rsid w:val="0083076E"/>
    <w:rsid w:val="008324A5"/>
    <w:rsid w:val="008338D4"/>
    <w:rsid w:val="00833BC1"/>
    <w:rsid w:val="00833E86"/>
    <w:rsid w:val="0083583B"/>
    <w:rsid w:val="00837642"/>
    <w:rsid w:val="00837B5A"/>
    <w:rsid w:val="00842255"/>
    <w:rsid w:val="0084255D"/>
    <w:rsid w:val="00842F9A"/>
    <w:rsid w:val="0084392C"/>
    <w:rsid w:val="00845B5E"/>
    <w:rsid w:val="00846EE5"/>
    <w:rsid w:val="00847574"/>
    <w:rsid w:val="00850ACF"/>
    <w:rsid w:val="00852038"/>
    <w:rsid w:val="008527EA"/>
    <w:rsid w:val="00852F5D"/>
    <w:rsid w:val="0085365A"/>
    <w:rsid w:val="008538C5"/>
    <w:rsid w:val="00853DAC"/>
    <w:rsid w:val="008546C2"/>
    <w:rsid w:val="0085570A"/>
    <w:rsid w:val="00855847"/>
    <w:rsid w:val="00857276"/>
    <w:rsid w:val="0086057A"/>
    <w:rsid w:val="00860957"/>
    <w:rsid w:val="00860CBD"/>
    <w:rsid w:val="00861489"/>
    <w:rsid w:val="00862E6D"/>
    <w:rsid w:val="008729CF"/>
    <w:rsid w:val="0087366B"/>
    <w:rsid w:val="008743FA"/>
    <w:rsid w:val="00875AE6"/>
    <w:rsid w:val="0088024D"/>
    <w:rsid w:val="00882F1F"/>
    <w:rsid w:val="00883819"/>
    <w:rsid w:val="00884210"/>
    <w:rsid w:val="0088475D"/>
    <w:rsid w:val="00884BC5"/>
    <w:rsid w:val="008854AE"/>
    <w:rsid w:val="0088639E"/>
    <w:rsid w:val="008870DD"/>
    <w:rsid w:val="00890DA3"/>
    <w:rsid w:val="008910A2"/>
    <w:rsid w:val="00891261"/>
    <w:rsid w:val="00892371"/>
    <w:rsid w:val="00894761"/>
    <w:rsid w:val="008958E6"/>
    <w:rsid w:val="00896FAC"/>
    <w:rsid w:val="008970C3"/>
    <w:rsid w:val="0089777B"/>
    <w:rsid w:val="008A0AF5"/>
    <w:rsid w:val="008A1FAE"/>
    <w:rsid w:val="008A220E"/>
    <w:rsid w:val="008A393B"/>
    <w:rsid w:val="008A4110"/>
    <w:rsid w:val="008A46EB"/>
    <w:rsid w:val="008A4F0D"/>
    <w:rsid w:val="008A7915"/>
    <w:rsid w:val="008A7E13"/>
    <w:rsid w:val="008B2B04"/>
    <w:rsid w:val="008B3054"/>
    <w:rsid w:val="008B407C"/>
    <w:rsid w:val="008B52EE"/>
    <w:rsid w:val="008B6678"/>
    <w:rsid w:val="008B757E"/>
    <w:rsid w:val="008C22BD"/>
    <w:rsid w:val="008C2CE0"/>
    <w:rsid w:val="008C2D50"/>
    <w:rsid w:val="008C6107"/>
    <w:rsid w:val="008C7B94"/>
    <w:rsid w:val="008D0315"/>
    <w:rsid w:val="008D06F0"/>
    <w:rsid w:val="008D1099"/>
    <w:rsid w:val="008D21BF"/>
    <w:rsid w:val="008D2524"/>
    <w:rsid w:val="008D28C3"/>
    <w:rsid w:val="008D2DAA"/>
    <w:rsid w:val="008D3F62"/>
    <w:rsid w:val="008D5145"/>
    <w:rsid w:val="008D5658"/>
    <w:rsid w:val="008D5778"/>
    <w:rsid w:val="008D64F0"/>
    <w:rsid w:val="008D762E"/>
    <w:rsid w:val="008D79C8"/>
    <w:rsid w:val="008E1A52"/>
    <w:rsid w:val="008E3848"/>
    <w:rsid w:val="008E387C"/>
    <w:rsid w:val="008E4680"/>
    <w:rsid w:val="008E5409"/>
    <w:rsid w:val="008E5A2E"/>
    <w:rsid w:val="008E65E6"/>
    <w:rsid w:val="008E6C02"/>
    <w:rsid w:val="008E729C"/>
    <w:rsid w:val="008F285B"/>
    <w:rsid w:val="008F2BCA"/>
    <w:rsid w:val="008F36F7"/>
    <w:rsid w:val="008F4564"/>
    <w:rsid w:val="008F46FD"/>
    <w:rsid w:val="008F5B22"/>
    <w:rsid w:val="008F7465"/>
    <w:rsid w:val="00900C6D"/>
    <w:rsid w:val="009010DA"/>
    <w:rsid w:val="009018EC"/>
    <w:rsid w:val="00902FF2"/>
    <w:rsid w:val="00903149"/>
    <w:rsid w:val="009039D7"/>
    <w:rsid w:val="00903C0A"/>
    <w:rsid w:val="0090415D"/>
    <w:rsid w:val="009049F6"/>
    <w:rsid w:val="00905573"/>
    <w:rsid w:val="00905C6B"/>
    <w:rsid w:val="00906C05"/>
    <w:rsid w:val="00906EDB"/>
    <w:rsid w:val="00912E00"/>
    <w:rsid w:val="0091360D"/>
    <w:rsid w:val="00913892"/>
    <w:rsid w:val="00915B38"/>
    <w:rsid w:val="00915FD2"/>
    <w:rsid w:val="009164A4"/>
    <w:rsid w:val="0091787C"/>
    <w:rsid w:val="009178B3"/>
    <w:rsid w:val="009227E7"/>
    <w:rsid w:val="00923C46"/>
    <w:rsid w:val="00926BBF"/>
    <w:rsid w:val="00927EB2"/>
    <w:rsid w:val="00932884"/>
    <w:rsid w:val="00932934"/>
    <w:rsid w:val="00933C22"/>
    <w:rsid w:val="00934671"/>
    <w:rsid w:val="00936F97"/>
    <w:rsid w:val="009370B6"/>
    <w:rsid w:val="00937947"/>
    <w:rsid w:val="00944452"/>
    <w:rsid w:val="00944674"/>
    <w:rsid w:val="00945269"/>
    <w:rsid w:val="00945763"/>
    <w:rsid w:val="00945AB1"/>
    <w:rsid w:val="0094630B"/>
    <w:rsid w:val="00951032"/>
    <w:rsid w:val="00953A36"/>
    <w:rsid w:val="00953EE1"/>
    <w:rsid w:val="00954310"/>
    <w:rsid w:val="009559A7"/>
    <w:rsid w:val="00956657"/>
    <w:rsid w:val="00960982"/>
    <w:rsid w:val="00963EFC"/>
    <w:rsid w:val="009641EA"/>
    <w:rsid w:val="00964228"/>
    <w:rsid w:val="00967695"/>
    <w:rsid w:val="00970875"/>
    <w:rsid w:val="00970C98"/>
    <w:rsid w:val="00971042"/>
    <w:rsid w:val="009711DB"/>
    <w:rsid w:val="00972305"/>
    <w:rsid w:val="009737C0"/>
    <w:rsid w:val="0097387B"/>
    <w:rsid w:val="00973C2F"/>
    <w:rsid w:val="00974BA5"/>
    <w:rsid w:val="00974E98"/>
    <w:rsid w:val="00974FF6"/>
    <w:rsid w:val="009752A5"/>
    <w:rsid w:val="009806F5"/>
    <w:rsid w:val="00981C20"/>
    <w:rsid w:val="00982F86"/>
    <w:rsid w:val="0098691F"/>
    <w:rsid w:val="009903E5"/>
    <w:rsid w:val="009917EE"/>
    <w:rsid w:val="009922C5"/>
    <w:rsid w:val="00996C84"/>
    <w:rsid w:val="0099722D"/>
    <w:rsid w:val="009A05D1"/>
    <w:rsid w:val="009A0F50"/>
    <w:rsid w:val="009A16CD"/>
    <w:rsid w:val="009A1A43"/>
    <w:rsid w:val="009A46CD"/>
    <w:rsid w:val="009A4A58"/>
    <w:rsid w:val="009A697C"/>
    <w:rsid w:val="009A6D47"/>
    <w:rsid w:val="009B2230"/>
    <w:rsid w:val="009B398D"/>
    <w:rsid w:val="009B3CBD"/>
    <w:rsid w:val="009B5742"/>
    <w:rsid w:val="009B58DA"/>
    <w:rsid w:val="009B5D21"/>
    <w:rsid w:val="009B608A"/>
    <w:rsid w:val="009C06F5"/>
    <w:rsid w:val="009C0DFC"/>
    <w:rsid w:val="009C2A7E"/>
    <w:rsid w:val="009C2C54"/>
    <w:rsid w:val="009C327E"/>
    <w:rsid w:val="009C4348"/>
    <w:rsid w:val="009C4CCB"/>
    <w:rsid w:val="009C5113"/>
    <w:rsid w:val="009C6938"/>
    <w:rsid w:val="009C7E97"/>
    <w:rsid w:val="009D16F6"/>
    <w:rsid w:val="009D21EF"/>
    <w:rsid w:val="009D2A65"/>
    <w:rsid w:val="009D2F8B"/>
    <w:rsid w:val="009D3E28"/>
    <w:rsid w:val="009D4137"/>
    <w:rsid w:val="009D6567"/>
    <w:rsid w:val="009D7073"/>
    <w:rsid w:val="009D7B78"/>
    <w:rsid w:val="009D7CD7"/>
    <w:rsid w:val="009E0776"/>
    <w:rsid w:val="009E0953"/>
    <w:rsid w:val="009E0F31"/>
    <w:rsid w:val="009E15D3"/>
    <w:rsid w:val="009E1E03"/>
    <w:rsid w:val="009E1E3D"/>
    <w:rsid w:val="009E299B"/>
    <w:rsid w:val="009E3EF5"/>
    <w:rsid w:val="009E664F"/>
    <w:rsid w:val="009E7032"/>
    <w:rsid w:val="009E7EE0"/>
    <w:rsid w:val="009F1DC3"/>
    <w:rsid w:val="009F2E46"/>
    <w:rsid w:val="009F4517"/>
    <w:rsid w:val="009F7292"/>
    <w:rsid w:val="00A0030F"/>
    <w:rsid w:val="00A007F5"/>
    <w:rsid w:val="00A03630"/>
    <w:rsid w:val="00A038EC"/>
    <w:rsid w:val="00A0713E"/>
    <w:rsid w:val="00A07D36"/>
    <w:rsid w:val="00A10DBD"/>
    <w:rsid w:val="00A1166B"/>
    <w:rsid w:val="00A126B5"/>
    <w:rsid w:val="00A12D2D"/>
    <w:rsid w:val="00A12F22"/>
    <w:rsid w:val="00A13DD7"/>
    <w:rsid w:val="00A13E95"/>
    <w:rsid w:val="00A145B0"/>
    <w:rsid w:val="00A15172"/>
    <w:rsid w:val="00A15D60"/>
    <w:rsid w:val="00A1687D"/>
    <w:rsid w:val="00A207BA"/>
    <w:rsid w:val="00A20FB2"/>
    <w:rsid w:val="00A22DFE"/>
    <w:rsid w:val="00A22E8D"/>
    <w:rsid w:val="00A2346A"/>
    <w:rsid w:val="00A25999"/>
    <w:rsid w:val="00A26BDF"/>
    <w:rsid w:val="00A26EF7"/>
    <w:rsid w:val="00A277D6"/>
    <w:rsid w:val="00A27E67"/>
    <w:rsid w:val="00A30DCA"/>
    <w:rsid w:val="00A321D9"/>
    <w:rsid w:val="00A34D39"/>
    <w:rsid w:val="00A365FC"/>
    <w:rsid w:val="00A379F8"/>
    <w:rsid w:val="00A41091"/>
    <w:rsid w:val="00A42164"/>
    <w:rsid w:val="00A43A21"/>
    <w:rsid w:val="00A44538"/>
    <w:rsid w:val="00A445E6"/>
    <w:rsid w:val="00A4627B"/>
    <w:rsid w:val="00A474EE"/>
    <w:rsid w:val="00A50E60"/>
    <w:rsid w:val="00A51531"/>
    <w:rsid w:val="00A51A9E"/>
    <w:rsid w:val="00A53072"/>
    <w:rsid w:val="00A5369C"/>
    <w:rsid w:val="00A542C1"/>
    <w:rsid w:val="00A54EEA"/>
    <w:rsid w:val="00A55C28"/>
    <w:rsid w:val="00A56BFF"/>
    <w:rsid w:val="00A56F90"/>
    <w:rsid w:val="00A57AA7"/>
    <w:rsid w:val="00A57CA1"/>
    <w:rsid w:val="00A57EBA"/>
    <w:rsid w:val="00A601F6"/>
    <w:rsid w:val="00A60E19"/>
    <w:rsid w:val="00A60E61"/>
    <w:rsid w:val="00A61155"/>
    <w:rsid w:val="00A612C1"/>
    <w:rsid w:val="00A7035A"/>
    <w:rsid w:val="00A70EE6"/>
    <w:rsid w:val="00A729A8"/>
    <w:rsid w:val="00A73600"/>
    <w:rsid w:val="00A736DF"/>
    <w:rsid w:val="00A74C1E"/>
    <w:rsid w:val="00A75AA1"/>
    <w:rsid w:val="00A7661C"/>
    <w:rsid w:val="00A769BA"/>
    <w:rsid w:val="00A77E1F"/>
    <w:rsid w:val="00A820EC"/>
    <w:rsid w:val="00A82706"/>
    <w:rsid w:val="00A83AD8"/>
    <w:rsid w:val="00A84499"/>
    <w:rsid w:val="00A853CB"/>
    <w:rsid w:val="00A91044"/>
    <w:rsid w:val="00A91856"/>
    <w:rsid w:val="00A927F2"/>
    <w:rsid w:val="00A92969"/>
    <w:rsid w:val="00A92AA8"/>
    <w:rsid w:val="00A92B60"/>
    <w:rsid w:val="00A934C2"/>
    <w:rsid w:val="00A93968"/>
    <w:rsid w:val="00A949F7"/>
    <w:rsid w:val="00A94EDA"/>
    <w:rsid w:val="00A95BC7"/>
    <w:rsid w:val="00A962DF"/>
    <w:rsid w:val="00A97D4A"/>
    <w:rsid w:val="00AA0062"/>
    <w:rsid w:val="00AA0322"/>
    <w:rsid w:val="00AA165B"/>
    <w:rsid w:val="00AA345E"/>
    <w:rsid w:val="00AA375A"/>
    <w:rsid w:val="00AA38EF"/>
    <w:rsid w:val="00AA4008"/>
    <w:rsid w:val="00AA4C59"/>
    <w:rsid w:val="00AA51F1"/>
    <w:rsid w:val="00AA7390"/>
    <w:rsid w:val="00AB1A21"/>
    <w:rsid w:val="00AB46E8"/>
    <w:rsid w:val="00AB48F2"/>
    <w:rsid w:val="00AC002C"/>
    <w:rsid w:val="00AC0703"/>
    <w:rsid w:val="00AC1F8E"/>
    <w:rsid w:val="00AC2497"/>
    <w:rsid w:val="00AC2616"/>
    <w:rsid w:val="00AC275E"/>
    <w:rsid w:val="00AC3D32"/>
    <w:rsid w:val="00AC4A5F"/>
    <w:rsid w:val="00AC62CD"/>
    <w:rsid w:val="00AD0FCB"/>
    <w:rsid w:val="00AD160C"/>
    <w:rsid w:val="00AD1B22"/>
    <w:rsid w:val="00AD2716"/>
    <w:rsid w:val="00AD4575"/>
    <w:rsid w:val="00AD526A"/>
    <w:rsid w:val="00AD5992"/>
    <w:rsid w:val="00AE0D22"/>
    <w:rsid w:val="00AE0E06"/>
    <w:rsid w:val="00AE1112"/>
    <w:rsid w:val="00AE1B2F"/>
    <w:rsid w:val="00AE316E"/>
    <w:rsid w:val="00AE436F"/>
    <w:rsid w:val="00AE538C"/>
    <w:rsid w:val="00AE6FC7"/>
    <w:rsid w:val="00AF1174"/>
    <w:rsid w:val="00AF3118"/>
    <w:rsid w:val="00AF3AED"/>
    <w:rsid w:val="00AF44F6"/>
    <w:rsid w:val="00AF4955"/>
    <w:rsid w:val="00AF70A1"/>
    <w:rsid w:val="00B007CF"/>
    <w:rsid w:val="00B00D1E"/>
    <w:rsid w:val="00B014F0"/>
    <w:rsid w:val="00B060FC"/>
    <w:rsid w:val="00B07292"/>
    <w:rsid w:val="00B07608"/>
    <w:rsid w:val="00B07F39"/>
    <w:rsid w:val="00B07F79"/>
    <w:rsid w:val="00B1037A"/>
    <w:rsid w:val="00B11F1A"/>
    <w:rsid w:val="00B11FC0"/>
    <w:rsid w:val="00B1262E"/>
    <w:rsid w:val="00B1464B"/>
    <w:rsid w:val="00B14658"/>
    <w:rsid w:val="00B14E31"/>
    <w:rsid w:val="00B16C07"/>
    <w:rsid w:val="00B17D5F"/>
    <w:rsid w:val="00B20F66"/>
    <w:rsid w:val="00B22574"/>
    <w:rsid w:val="00B23784"/>
    <w:rsid w:val="00B24AB2"/>
    <w:rsid w:val="00B270E7"/>
    <w:rsid w:val="00B27B17"/>
    <w:rsid w:val="00B30882"/>
    <w:rsid w:val="00B30B43"/>
    <w:rsid w:val="00B30FDC"/>
    <w:rsid w:val="00B31C64"/>
    <w:rsid w:val="00B32047"/>
    <w:rsid w:val="00B32557"/>
    <w:rsid w:val="00B329DE"/>
    <w:rsid w:val="00B41B3C"/>
    <w:rsid w:val="00B41FFF"/>
    <w:rsid w:val="00B42169"/>
    <w:rsid w:val="00B422A8"/>
    <w:rsid w:val="00B459E3"/>
    <w:rsid w:val="00B467F8"/>
    <w:rsid w:val="00B46A57"/>
    <w:rsid w:val="00B5074C"/>
    <w:rsid w:val="00B51A62"/>
    <w:rsid w:val="00B52307"/>
    <w:rsid w:val="00B5313D"/>
    <w:rsid w:val="00B548AE"/>
    <w:rsid w:val="00B576B8"/>
    <w:rsid w:val="00B60255"/>
    <w:rsid w:val="00B62038"/>
    <w:rsid w:val="00B64379"/>
    <w:rsid w:val="00B653EE"/>
    <w:rsid w:val="00B65754"/>
    <w:rsid w:val="00B65BAB"/>
    <w:rsid w:val="00B66231"/>
    <w:rsid w:val="00B6674C"/>
    <w:rsid w:val="00B67873"/>
    <w:rsid w:val="00B70CD1"/>
    <w:rsid w:val="00B715FF"/>
    <w:rsid w:val="00B725E2"/>
    <w:rsid w:val="00B73E08"/>
    <w:rsid w:val="00B769F1"/>
    <w:rsid w:val="00B77A6D"/>
    <w:rsid w:val="00B81632"/>
    <w:rsid w:val="00B82025"/>
    <w:rsid w:val="00B86595"/>
    <w:rsid w:val="00B86BDC"/>
    <w:rsid w:val="00B9025B"/>
    <w:rsid w:val="00B9123E"/>
    <w:rsid w:val="00B9256D"/>
    <w:rsid w:val="00B938F9"/>
    <w:rsid w:val="00B94787"/>
    <w:rsid w:val="00B94E0E"/>
    <w:rsid w:val="00B96F14"/>
    <w:rsid w:val="00B9775A"/>
    <w:rsid w:val="00B979D9"/>
    <w:rsid w:val="00BA0A91"/>
    <w:rsid w:val="00BA3417"/>
    <w:rsid w:val="00BA38A4"/>
    <w:rsid w:val="00BA3B74"/>
    <w:rsid w:val="00BA4887"/>
    <w:rsid w:val="00BA5736"/>
    <w:rsid w:val="00BA6169"/>
    <w:rsid w:val="00BA62EA"/>
    <w:rsid w:val="00BA6990"/>
    <w:rsid w:val="00BA71E1"/>
    <w:rsid w:val="00BA7624"/>
    <w:rsid w:val="00BB01C9"/>
    <w:rsid w:val="00BB0523"/>
    <w:rsid w:val="00BB2B9E"/>
    <w:rsid w:val="00BB3390"/>
    <w:rsid w:val="00BB38F1"/>
    <w:rsid w:val="00BB3C1A"/>
    <w:rsid w:val="00BB48CE"/>
    <w:rsid w:val="00BB532F"/>
    <w:rsid w:val="00BB7323"/>
    <w:rsid w:val="00BB77C4"/>
    <w:rsid w:val="00BC0959"/>
    <w:rsid w:val="00BC2283"/>
    <w:rsid w:val="00BC2D2F"/>
    <w:rsid w:val="00BC30C7"/>
    <w:rsid w:val="00BC340F"/>
    <w:rsid w:val="00BC3486"/>
    <w:rsid w:val="00BC3759"/>
    <w:rsid w:val="00BC4794"/>
    <w:rsid w:val="00BC5211"/>
    <w:rsid w:val="00BC6DEF"/>
    <w:rsid w:val="00BD31FB"/>
    <w:rsid w:val="00BD3451"/>
    <w:rsid w:val="00BD76EA"/>
    <w:rsid w:val="00BD7A9F"/>
    <w:rsid w:val="00BD7CAE"/>
    <w:rsid w:val="00BE09E0"/>
    <w:rsid w:val="00BE151B"/>
    <w:rsid w:val="00BE1744"/>
    <w:rsid w:val="00BE203F"/>
    <w:rsid w:val="00BE2989"/>
    <w:rsid w:val="00BE34C6"/>
    <w:rsid w:val="00BE3DA1"/>
    <w:rsid w:val="00BE4E0C"/>
    <w:rsid w:val="00BE65C2"/>
    <w:rsid w:val="00BE7A11"/>
    <w:rsid w:val="00BE7B04"/>
    <w:rsid w:val="00BF0A95"/>
    <w:rsid w:val="00BF3FD8"/>
    <w:rsid w:val="00BF40BD"/>
    <w:rsid w:val="00BF413D"/>
    <w:rsid w:val="00BF4677"/>
    <w:rsid w:val="00BF48F3"/>
    <w:rsid w:val="00BF554B"/>
    <w:rsid w:val="00BF5A3A"/>
    <w:rsid w:val="00BF5DD3"/>
    <w:rsid w:val="00BF722F"/>
    <w:rsid w:val="00C0098B"/>
    <w:rsid w:val="00C01803"/>
    <w:rsid w:val="00C01967"/>
    <w:rsid w:val="00C05711"/>
    <w:rsid w:val="00C071D3"/>
    <w:rsid w:val="00C109E0"/>
    <w:rsid w:val="00C10E0E"/>
    <w:rsid w:val="00C10ED1"/>
    <w:rsid w:val="00C12C68"/>
    <w:rsid w:val="00C13FE8"/>
    <w:rsid w:val="00C14A2D"/>
    <w:rsid w:val="00C15D65"/>
    <w:rsid w:val="00C164CE"/>
    <w:rsid w:val="00C17F2E"/>
    <w:rsid w:val="00C2051D"/>
    <w:rsid w:val="00C21539"/>
    <w:rsid w:val="00C2283B"/>
    <w:rsid w:val="00C22B90"/>
    <w:rsid w:val="00C22CE1"/>
    <w:rsid w:val="00C25650"/>
    <w:rsid w:val="00C269D9"/>
    <w:rsid w:val="00C26C34"/>
    <w:rsid w:val="00C30A60"/>
    <w:rsid w:val="00C30B4D"/>
    <w:rsid w:val="00C3101C"/>
    <w:rsid w:val="00C31271"/>
    <w:rsid w:val="00C320D6"/>
    <w:rsid w:val="00C32803"/>
    <w:rsid w:val="00C33471"/>
    <w:rsid w:val="00C33ABA"/>
    <w:rsid w:val="00C33BED"/>
    <w:rsid w:val="00C35551"/>
    <w:rsid w:val="00C37374"/>
    <w:rsid w:val="00C37BB6"/>
    <w:rsid w:val="00C40D50"/>
    <w:rsid w:val="00C42816"/>
    <w:rsid w:val="00C42F52"/>
    <w:rsid w:val="00C43E3E"/>
    <w:rsid w:val="00C4738B"/>
    <w:rsid w:val="00C47A98"/>
    <w:rsid w:val="00C502CF"/>
    <w:rsid w:val="00C503FB"/>
    <w:rsid w:val="00C50A35"/>
    <w:rsid w:val="00C52EFD"/>
    <w:rsid w:val="00C53B00"/>
    <w:rsid w:val="00C53B33"/>
    <w:rsid w:val="00C54878"/>
    <w:rsid w:val="00C55BA3"/>
    <w:rsid w:val="00C56311"/>
    <w:rsid w:val="00C5636C"/>
    <w:rsid w:val="00C56C48"/>
    <w:rsid w:val="00C57760"/>
    <w:rsid w:val="00C60E30"/>
    <w:rsid w:val="00C60E84"/>
    <w:rsid w:val="00C62503"/>
    <w:rsid w:val="00C626C6"/>
    <w:rsid w:val="00C6287D"/>
    <w:rsid w:val="00C6366B"/>
    <w:rsid w:val="00C63AC2"/>
    <w:rsid w:val="00C63F57"/>
    <w:rsid w:val="00C64378"/>
    <w:rsid w:val="00C644D3"/>
    <w:rsid w:val="00C648F7"/>
    <w:rsid w:val="00C64978"/>
    <w:rsid w:val="00C6574D"/>
    <w:rsid w:val="00C65CD5"/>
    <w:rsid w:val="00C65F17"/>
    <w:rsid w:val="00C70ED1"/>
    <w:rsid w:val="00C72C04"/>
    <w:rsid w:val="00C73E57"/>
    <w:rsid w:val="00C73E67"/>
    <w:rsid w:val="00C7401B"/>
    <w:rsid w:val="00C75CF0"/>
    <w:rsid w:val="00C77182"/>
    <w:rsid w:val="00C808B5"/>
    <w:rsid w:val="00C8101D"/>
    <w:rsid w:val="00C82DB6"/>
    <w:rsid w:val="00C83B6F"/>
    <w:rsid w:val="00C85086"/>
    <w:rsid w:val="00C85F75"/>
    <w:rsid w:val="00C86622"/>
    <w:rsid w:val="00C86C04"/>
    <w:rsid w:val="00C90100"/>
    <w:rsid w:val="00C9111C"/>
    <w:rsid w:val="00C92339"/>
    <w:rsid w:val="00C92D48"/>
    <w:rsid w:val="00CA0F50"/>
    <w:rsid w:val="00CA16B6"/>
    <w:rsid w:val="00CA2AA3"/>
    <w:rsid w:val="00CA35AE"/>
    <w:rsid w:val="00CA488A"/>
    <w:rsid w:val="00CA4CB4"/>
    <w:rsid w:val="00CA4CD6"/>
    <w:rsid w:val="00CA62AE"/>
    <w:rsid w:val="00CA69A1"/>
    <w:rsid w:val="00CA7DA0"/>
    <w:rsid w:val="00CB2083"/>
    <w:rsid w:val="00CB32BC"/>
    <w:rsid w:val="00CB54BF"/>
    <w:rsid w:val="00CB5684"/>
    <w:rsid w:val="00CB5ACF"/>
    <w:rsid w:val="00CB6F2E"/>
    <w:rsid w:val="00CB73E9"/>
    <w:rsid w:val="00CC0E9F"/>
    <w:rsid w:val="00CC1D4E"/>
    <w:rsid w:val="00CC32C7"/>
    <w:rsid w:val="00CC3431"/>
    <w:rsid w:val="00CC444A"/>
    <w:rsid w:val="00CC48AB"/>
    <w:rsid w:val="00CC516F"/>
    <w:rsid w:val="00CC5271"/>
    <w:rsid w:val="00CC58F6"/>
    <w:rsid w:val="00CC5B21"/>
    <w:rsid w:val="00CC5B39"/>
    <w:rsid w:val="00CC6CF6"/>
    <w:rsid w:val="00CC7A4E"/>
    <w:rsid w:val="00CD2069"/>
    <w:rsid w:val="00CD2416"/>
    <w:rsid w:val="00CD280D"/>
    <w:rsid w:val="00CD2946"/>
    <w:rsid w:val="00CD2C51"/>
    <w:rsid w:val="00CD423E"/>
    <w:rsid w:val="00CD495B"/>
    <w:rsid w:val="00CD4E92"/>
    <w:rsid w:val="00CD6DE6"/>
    <w:rsid w:val="00CD711C"/>
    <w:rsid w:val="00CD79CF"/>
    <w:rsid w:val="00CD7D85"/>
    <w:rsid w:val="00CE11AF"/>
    <w:rsid w:val="00CE13EC"/>
    <w:rsid w:val="00CE1B39"/>
    <w:rsid w:val="00CE1BAC"/>
    <w:rsid w:val="00CE7ABE"/>
    <w:rsid w:val="00CE7CB9"/>
    <w:rsid w:val="00CF2B37"/>
    <w:rsid w:val="00CF2FE9"/>
    <w:rsid w:val="00CF49C2"/>
    <w:rsid w:val="00CF5295"/>
    <w:rsid w:val="00CF740A"/>
    <w:rsid w:val="00D02605"/>
    <w:rsid w:val="00D03392"/>
    <w:rsid w:val="00D03483"/>
    <w:rsid w:val="00D04A08"/>
    <w:rsid w:val="00D05892"/>
    <w:rsid w:val="00D1041C"/>
    <w:rsid w:val="00D117DC"/>
    <w:rsid w:val="00D13384"/>
    <w:rsid w:val="00D13B38"/>
    <w:rsid w:val="00D13D9A"/>
    <w:rsid w:val="00D14A8D"/>
    <w:rsid w:val="00D15095"/>
    <w:rsid w:val="00D20504"/>
    <w:rsid w:val="00D20FBF"/>
    <w:rsid w:val="00D21198"/>
    <w:rsid w:val="00D2273E"/>
    <w:rsid w:val="00D22A33"/>
    <w:rsid w:val="00D22FF3"/>
    <w:rsid w:val="00D23ADE"/>
    <w:rsid w:val="00D23BDD"/>
    <w:rsid w:val="00D24319"/>
    <w:rsid w:val="00D258AA"/>
    <w:rsid w:val="00D26F4A"/>
    <w:rsid w:val="00D27F25"/>
    <w:rsid w:val="00D30FB4"/>
    <w:rsid w:val="00D310FC"/>
    <w:rsid w:val="00D355BB"/>
    <w:rsid w:val="00D3654E"/>
    <w:rsid w:val="00D402BC"/>
    <w:rsid w:val="00D4069C"/>
    <w:rsid w:val="00D41645"/>
    <w:rsid w:val="00D42C4D"/>
    <w:rsid w:val="00D42D52"/>
    <w:rsid w:val="00D4593F"/>
    <w:rsid w:val="00D46A63"/>
    <w:rsid w:val="00D46FA2"/>
    <w:rsid w:val="00D504A1"/>
    <w:rsid w:val="00D50807"/>
    <w:rsid w:val="00D5080D"/>
    <w:rsid w:val="00D51035"/>
    <w:rsid w:val="00D52313"/>
    <w:rsid w:val="00D531A2"/>
    <w:rsid w:val="00D53638"/>
    <w:rsid w:val="00D5476E"/>
    <w:rsid w:val="00D55BCC"/>
    <w:rsid w:val="00D569AF"/>
    <w:rsid w:val="00D56F5F"/>
    <w:rsid w:val="00D576F1"/>
    <w:rsid w:val="00D57914"/>
    <w:rsid w:val="00D61125"/>
    <w:rsid w:val="00D61B37"/>
    <w:rsid w:val="00D62AB9"/>
    <w:rsid w:val="00D62B21"/>
    <w:rsid w:val="00D63065"/>
    <w:rsid w:val="00D6333C"/>
    <w:rsid w:val="00D63B96"/>
    <w:rsid w:val="00D65A58"/>
    <w:rsid w:val="00D67CD0"/>
    <w:rsid w:val="00D712B2"/>
    <w:rsid w:val="00D72B9F"/>
    <w:rsid w:val="00D731D8"/>
    <w:rsid w:val="00D736D6"/>
    <w:rsid w:val="00D75E30"/>
    <w:rsid w:val="00D76338"/>
    <w:rsid w:val="00D763C0"/>
    <w:rsid w:val="00D769AA"/>
    <w:rsid w:val="00D76FD7"/>
    <w:rsid w:val="00D77050"/>
    <w:rsid w:val="00D77441"/>
    <w:rsid w:val="00D77D25"/>
    <w:rsid w:val="00D8020D"/>
    <w:rsid w:val="00D80282"/>
    <w:rsid w:val="00D8034A"/>
    <w:rsid w:val="00D8191A"/>
    <w:rsid w:val="00D81C30"/>
    <w:rsid w:val="00D82A42"/>
    <w:rsid w:val="00D82C79"/>
    <w:rsid w:val="00D850BA"/>
    <w:rsid w:val="00D87874"/>
    <w:rsid w:val="00D91512"/>
    <w:rsid w:val="00D91C34"/>
    <w:rsid w:val="00D9264E"/>
    <w:rsid w:val="00D92F66"/>
    <w:rsid w:val="00D94856"/>
    <w:rsid w:val="00D95819"/>
    <w:rsid w:val="00D9586D"/>
    <w:rsid w:val="00D95CC0"/>
    <w:rsid w:val="00D96AFA"/>
    <w:rsid w:val="00DA044A"/>
    <w:rsid w:val="00DA0AFD"/>
    <w:rsid w:val="00DA11A1"/>
    <w:rsid w:val="00DA2E3F"/>
    <w:rsid w:val="00DA4B62"/>
    <w:rsid w:val="00DA698B"/>
    <w:rsid w:val="00DA6D5A"/>
    <w:rsid w:val="00DA7285"/>
    <w:rsid w:val="00DA73CC"/>
    <w:rsid w:val="00DB2059"/>
    <w:rsid w:val="00DB56E7"/>
    <w:rsid w:val="00DB59E1"/>
    <w:rsid w:val="00DB786E"/>
    <w:rsid w:val="00DB79D7"/>
    <w:rsid w:val="00DB7A3D"/>
    <w:rsid w:val="00DC08FC"/>
    <w:rsid w:val="00DC16C9"/>
    <w:rsid w:val="00DC362D"/>
    <w:rsid w:val="00DC3766"/>
    <w:rsid w:val="00DC3B21"/>
    <w:rsid w:val="00DC56DE"/>
    <w:rsid w:val="00DC5BDB"/>
    <w:rsid w:val="00DC5C8F"/>
    <w:rsid w:val="00DC5D26"/>
    <w:rsid w:val="00DC6BEB"/>
    <w:rsid w:val="00DC7A98"/>
    <w:rsid w:val="00DC7CBA"/>
    <w:rsid w:val="00DC7D7C"/>
    <w:rsid w:val="00DD0312"/>
    <w:rsid w:val="00DD1419"/>
    <w:rsid w:val="00DD1AC1"/>
    <w:rsid w:val="00DD2B2E"/>
    <w:rsid w:val="00DD39CF"/>
    <w:rsid w:val="00DD3A7D"/>
    <w:rsid w:val="00DD581A"/>
    <w:rsid w:val="00DD5AF7"/>
    <w:rsid w:val="00DD5E3D"/>
    <w:rsid w:val="00DD62BF"/>
    <w:rsid w:val="00DD6344"/>
    <w:rsid w:val="00DD7D49"/>
    <w:rsid w:val="00DD7D80"/>
    <w:rsid w:val="00DE1861"/>
    <w:rsid w:val="00DE27C4"/>
    <w:rsid w:val="00DE3EBD"/>
    <w:rsid w:val="00DE4391"/>
    <w:rsid w:val="00DE4E4C"/>
    <w:rsid w:val="00DE4EF3"/>
    <w:rsid w:val="00DE5304"/>
    <w:rsid w:val="00DE7435"/>
    <w:rsid w:val="00DE7796"/>
    <w:rsid w:val="00DF05A9"/>
    <w:rsid w:val="00DF1833"/>
    <w:rsid w:val="00DF1A47"/>
    <w:rsid w:val="00DF1DE8"/>
    <w:rsid w:val="00DF3F7C"/>
    <w:rsid w:val="00DF5A90"/>
    <w:rsid w:val="00DF5C4E"/>
    <w:rsid w:val="00DF6F10"/>
    <w:rsid w:val="00DF725D"/>
    <w:rsid w:val="00DF7C5C"/>
    <w:rsid w:val="00E01AD7"/>
    <w:rsid w:val="00E0349B"/>
    <w:rsid w:val="00E058A1"/>
    <w:rsid w:val="00E06C2B"/>
    <w:rsid w:val="00E07573"/>
    <w:rsid w:val="00E10DA7"/>
    <w:rsid w:val="00E110E3"/>
    <w:rsid w:val="00E111BB"/>
    <w:rsid w:val="00E11809"/>
    <w:rsid w:val="00E11FB0"/>
    <w:rsid w:val="00E12DB1"/>
    <w:rsid w:val="00E13352"/>
    <w:rsid w:val="00E138B8"/>
    <w:rsid w:val="00E14722"/>
    <w:rsid w:val="00E1538C"/>
    <w:rsid w:val="00E16B86"/>
    <w:rsid w:val="00E20CEB"/>
    <w:rsid w:val="00E211AC"/>
    <w:rsid w:val="00E22D73"/>
    <w:rsid w:val="00E2357D"/>
    <w:rsid w:val="00E2383C"/>
    <w:rsid w:val="00E239B7"/>
    <w:rsid w:val="00E2474A"/>
    <w:rsid w:val="00E24B34"/>
    <w:rsid w:val="00E25DB6"/>
    <w:rsid w:val="00E276CD"/>
    <w:rsid w:val="00E277AC"/>
    <w:rsid w:val="00E31D76"/>
    <w:rsid w:val="00E32EDA"/>
    <w:rsid w:val="00E37E07"/>
    <w:rsid w:val="00E37FA8"/>
    <w:rsid w:val="00E41D07"/>
    <w:rsid w:val="00E420E5"/>
    <w:rsid w:val="00E42996"/>
    <w:rsid w:val="00E43A91"/>
    <w:rsid w:val="00E43F7A"/>
    <w:rsid w:val="00E45288"/>
    <w:rsid w:val="00E50BC3"/>
    <w:rsid w:val="00E50F1F"/>
    <w:rsid w:val="00E5112B"/>
    <w:rsid w:val="00E51E22"/>
    <w:rsid w:val="00E51EF9"/>
    <w:rsid w:val="00E53137"/>
    <w:rsid w:val="00E53E61"/>
    <w:rsid w:val="00E54FA2"/>
    <w:rsid w:val="00E56E36"/>
    <w:rsid w:val="00E57691"/>
    <w:rsid w:val="00E61CD3"/>
    <w:rsid w:val="00E61DEB"/>
    <w:rsid w:val="00E62B00"/>
    <w:rsid w:val="00E63147"/>
    <w:rsid w:val="00E647B9"/>
    <w:rsid w:val="00E65700"/>
    <w:rsid w:val="00E66624"/>
    <w:rsid w:val="00E671B4"/>
    <w:rsid w:val="00E67AE6"/>
    <w:rsid w:val="00E702F6"/>
    <w:rsid w:val="00E70DC5"/>
    <w:rsid w:val="00E71B47"/>
    <w:rsid w:val="00E7286C"/>
    <w:rsid w:val="00E72D70"/>
    <w:rsid w:val="00E74394"/>
    <w:rsid w:val="00E75F0C"/>
    <w:rsid w:val="00E7668E"/>
    <w:rsid w:val="00E776EB"/>
    <w:rsid w:val="00E77D5E"/>
    <w:rsid w:val="00E80CBE"/>
    <w:rsid w:val="00E8373A"/>
    <w:rsid w:val="00E853D3"/>
    <w:rsid w:val="00E868BB"/>
    <w:rsid w:val="00E90A80"/>
    <w:rsid w:val="00E90B8A"/>
    <w:rsid w:val="00E90C54"/>
    <w:rsid w:val="00E90E82"/>
    <w:rsid w:val="00E90FC0"/>
    <w:rsid w:val="00E911A6"/>
    <w:rsid w:val="00E946D5"/>
    <w:rsid w:val="00E960E1"/>
    <w:rsid w:val="00E9634B"/>
    <w:rsid w:val="00E974B6"/>
    <w:rsid w:val="00E97975"/>
    <w:rsid w:val="00E97B64"/>
    <w:rsid w:val="00E97D49"/>
    <w:rsid w:val="00EA37A9"/>
    <w:rsid w:val="00EA39BD"/>
    <w:rsid w:val="00EA7026"/>
    <w:rsid w:val="00EB20AF"/>
    <w:rsid w:val="00EB29A1"/>
    <w:rsid w:val="00EB7756"/>
    <w:rsid w:val="00EB78C3"/>
    <w:rsid w:val="00EC0E92"/>
    <w:rsid w:val="00EC1358"/>
    <w:rsid w:val="00EC2E4C"/>
    <w:rsid w:val="00EC2F5B"/>
    <w:rsid w:val="00EC314C"/>
    <w:rsid w:val="00EC35E8"/>
    <w:rsid w:val="00EC3AD1"/>
    <w:rsid w:val="00EC3B81"/>
    <w:rsid w:val="00EC4074"/>
    <w:rsid w:val="00EC5AE3"/>
    <w:rsid w:val="00EC5D2F"/>
    <w:rsid w:val="00EC62BA"/>
    <w:rsid w:val="00EC693B"/>
    <w:rsid w:val="00ED0E3B"/>
    <w:rsid w:val="00ED1AB1"/>
    <w:rsid w:val="00ED1C7D"/>
    <w:rsid w:val="00ED2671"/>
    <w:rsid w:val="00ED271F"/>
    <w:rsid w:val="00ED3894"/>
    <w:rsid w:val="00ED4AC7"/>
    <w:rsid w:val="00ED640B"/>
    <w:rsid w:val="00ED741E"/>
    <w:rsid w:val="00EE317D"/>
    <w:rsid w:val="00EE3FDE"/>
    <w:rsid w:val="00EE4B06"/>
    <w:rsid w:val="00EE520F"/>
    <w:rsid w:val="00EE55AE"/>
    <w:rsid w:val="00EE77F8"/>
    <w:rsid w:val="00EF0F53"/>
    <w:rsid w:val="00EF113F"/>
    <w:rsid w:val="00EF17B6"/>
    <w:rsid w:val="00EF22CE"/>
    <w:rsid w:val="00EF41BE"/>
    <w:rsid w:val="00EF4203"/>
    <w:rsid w:val="00EF4499"/>
    <w:rsid w:val="00EF4778"/>
    <w:rsid w:val="00EF5D99"/>
    <w:rsid w:val="00EF658A"/>
    <w:rsid w:val="00EF7094"/>
    <w:rsid w:val="00EF7592"/>
    <w:rsid w:val="00EF7B65"/>
    <w:rsid w:val="00F0115D"/>
    <w:rsid w:val="00F02EB3"/>
    <w:rsid w:val="00F033F0"/>
    <w:rsid w:val="00F03803"/>
    <w:rsid w:val="00F05123"/>
    <w:rsid w:val="00F057F8"/>
    <w:rsid w:val="00F066C9"/>
    <w:rsid w:val="00F0762B"/>
    <w:rsid w:val="00F104E8"/>
    <w:rsid w:val="00F12730"/>
    <w:rsid w:val="00F12DB6"/>
    <w:rsid w:val="00F13CF2"/>
    <w:rsid w:val="00F152F1"/>
    <w:rsid w:val="00F159EB"/>
    <w:rsid w:val="00F170A3"/>
    <w:rsid w:val="00F17898"/>
    <w:rsid w:val="00F20822"/>
    <w:rsid w:val="00F24F73"/>
    <w:rsid w:val="00F24FF4"/>
    <w:rsid w:val="00F25096"/>
    <w:rsid w:val="00F255AD"/>
    <w:rsid w:val="00F30397"/>
    <w:rsid w:val="00F3106A"/>
    <w:rsid w:val="00F326F8"/>
    <w:rsid w:val="00F33289"/>
    <w:rsid w:val="00F340DF"/>
    <w:rsid w:val="00F353ED"/>
    <w:rsid w:val="00F40881"/>
    <w:rsid w:val="00F40D35"/>
    <w:rsid w:val="00F411D9"/>
    <w:rsid w:val="00F424E2"/>
    <w:rsid w:val="00F43401"/>
    <w:rsid w:val="00F46F11"/>
    <w:rsid w:val="00F511E7"/>
    <w:rsid w:val="00F5138B"/>
    <w:rsid w:val="00F51472"/>
    <w:rsid w:val="00F5262C"/>
    <w:rsid w:val="00F529CE"/>
    <w:rsid w:val="00F52B65"/>
    <w:rsid w:val="00F52E25"/>
    <w:rsid w:val="00F537E2"/>
    <w:rsid w:val="00F538BC"/>
    <w:rsid w:val="00F543D9"/>
    <w:rsid w:val="00F54457"/>
    <w:rsid w:val="00F56A7C"/>
    <w:rsid w:val="00F56E34"/>
    <w:rsid w:val="00F601A6"/>
    <w:rsid w:val="00F610B3"/>
    <w:rsid w:val="00F6262B"/>
    <w:rsid w:val="00F62920"/>
    <w:rsid w:val="00F653C3"/>
    <w:rsid w:val="00F701E3"/>
    <w:rsid w:val="00F734E0"/>
    <w:rsid w:val="00F736EF"/>
    <w:rsid w:val="00F73B0A"/>
    <w:rsid w:val="00F73FE0"/>
    <w:rsid w:val="00F74999"/>
    <w:rsid w:val="00F74C09"/>
    <w:rsid w:val="00F7681F"/>
    <w:rsid w:val="00F76987"/>
    <w:rsid w:val="00F775FD"/>
    <w:rsid w:val="00F778FA"/>
    <w:rsid w:val="00F779A9"/>
    <w:rsid w:val="00F80FC5"/>
    <w:rsid w:val="00F827F5"/>
    <w:rsid w:val="00F82905"/>
    <w:rsid w:val="00F87028"/>
    <w:rsid w:val="00F87E6A"/>
    <w:rsid w:val="00F9092B"/>
    <w:rsid w:val="00F91848"/>
    <w:rsid w:val="00F92126"/>
    <w:rsid w:val="00F92D22"/>
    <w:rsid w:val="00F92E88"/>
    <w:rsid w:val="00F95683"/>
    <w:rsid w:val="00F95B58"/>
    <w:rsid w:val="00F96109"/>
    <w:rsid w:val="00F96F9F"/>
    <w:rsid w:val="00F97C61"/>
    <w:rsid w:val="00FA0AF7"/>
    <w:rsid w:val="00FA1F28"/>
    <w:rsid w:val="00FA1FA4"/>
    <w:rsid w:val="00FA2F65"/>
    <w:rsid w:val="00FA4E30"/>
    <w:rsid w:val="00FA5590"/>
    <w:rsid w:val="00FA56E2"/>
    <w:rsid w:val="00FA678A"/>
    <w:rsid w:val="00FA757A"/>
    <w:rsid w:val="00FB0650"/>
    <w:rsid w:val="00FB199F"/>
    <w:rsid w:val="00FB1B87"/>
    <w:rsid w:val="00FB35F6"/>
    <w:rsid w:val="00FB3986"/>
    <w:rsid w:val="00FB4D98"/>
    <w:rsid w:val="00FB4E51"/>
    <w:rsid w:val="00FB4EFD"/>
    <w:rsid w:val="00FB5CC1"/>
    <w:rsid w:val="00FB6378"/>
    <w:rsid w:val="00FB6879"/>
    <w:rsid w:val="00FB6C59"/>
    <w:rsid w:val="00FB7BCE"/>
    <w:rsid w:val="00FC11BC"/>
    <w:rsid w:val="00FC202F"/>
    <w:rsid w:val="00FC3136"/>
    <w:rsid w:val="00FC4BF5"/>
    <w:rsid w:val="00FC4E09"/>
    <w:rsid w:val="00FD03A2"/>
    <w:rsid w:val="00FD11DC"/>
    <w:rsid w:val="00FD1C6C"/>
    <w:rsid w:val="00FD72B2"/>
    <w:rsid w:val="00FD73C8"/>
    <w:rsid w:val="00FD7748"/>
    <w:rsid w:val="00FD7D5C"/>
    <w:rsid w:val="00FD7E38"/>
    <w:rsid w:val="00FE1BFC"/>
    <w:rsid w:val="00FE2099"/>
    <w:rsid w:val="00FE34AF"/>
    <w:rsid w:val="00FE7444"/>
    <w:rsid w:val="00FF2899"/>
    <w:rsid w:val="00FF29EB"/>
    <w:rsid w:val="00FF30C1"/>
    <w:rsid w:val="00FF437F"/>
    <w:rsid w:val="00FF51AA"/>
    <w:rsid w:val="00FF57A3"/>
    <w:rsid w:val="00FF75F4"/>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FCB067"/>
  <w15:docId w15:val="{B202C527-8DD2-4C0D-AFF4-971A7144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F749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8321E"/>
    <w:pPr>
      <w:keepNext/>
      <w:keepLines/>
      <w:autoSpaceDE/>
      <w:autoSpaceDN/>
      <w:adjustRightInd/>
      <w:spacing w:before="40"/>
      <w:outlineLvl w:val="2"/>
    </w:pPr>
    <w:rPr>
      <w:rFonts w:eastAsiaTheme="majorEastAsia"/>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0502D2"/>
    <w:pPr>
      <w:autoSpaceDE/>
      <w:autoSpaceDN/>
      <w:adjustRightInd/>
    </w:pPr>
    <w:rPr>
      <w:rFonts w:ascii="Courier" w:hAnsi="Courier"/>
      <w:snapToGrid w:val="0"/>
      <w:sz w:val="20"/>
      <w:szCs w:val="20"/>
    </w:rPr>
  </w:style>
  <w:style w:type="character" w:customStyle="1" w:styleId="FootnoteTextChar">
    <w:name w:val="Footnote Text Char"/>
    <w:basedOn w:val="DefaultParagraphFont"/>
    <w:link w:val="FootnoteText"/>
    <w:rsid w:val="000502D2"/>
    <w:rPr>
      <w:rFonts w:ascii="Courier" w:hAnsi="Courier"/>
      <w:snapToGrid w:val="0"/>
    </w:rPr>
  </w:style>
  <w:style w:type="paragraph" w:styleId="BodyText">
    <w:name w:val="Body Text"/>
    <w:basedOn w:val="Normal"/>
    <w:link w:val="BodyTextChar"/>
    <w:rsid w:val="00CB5684"/>
    <w:pPr>
      <w:autoSpaceDE/>
      <w:autoSpaceDN/>
      <w:adjustRightInd/>
    </w:pPr>
    <w:rPr>
      <w:rFonts w:ascii="Courier" w:hAnsi="Courier"/>
      <w:i/>
      <w:snapToGrid w:val="0"/>
      <w:szCs w:val="20"/>
    </w:rPr>
  </w:style>
  <w:style w:type="character" w:customStyle="1" w:styleId="BodyTextChar">
    <w:name w:val="Body Text Char"/>
    <w:basedOn w:val="DefaultParagraphFont"/>
    <w:link w:val="BodyText"/>
    <w:rsid w:val="00CB5684"/>
    <w:rPr>
      <w:rFonts w:ascii="Courier" w:hAnsi="Courier"/>
      <w:i/>
      <w:snapToGrid w:val="0"/>
      <w:sz w:val="24"/>
    </w:rPr>
  </w:style>
  <w:style w:type="paragraph" w:styleId="BodyTextIndent3">
    <w:name w:val="Body Text Indent 3"/>
    <w:basedOn w:val="Normal"/>
    <w:link w:val="BodyTextIndent3Char"/>
    <w:semiHidden/>
    <w:unhideWhenUsed/>
    <w:rsid w:val="00EF4499"/>
    <w:pPr>
      <w:spacing w:after="120"/>
      <w:ind w:left="360"/>
    </w:pPr>
    <w:rPr>
      <w:sz w:val="16"/>
      <w:szCs w:val="16"/>
    </w:rPr>
  </w:style>
  <w:style w:type="character" w:customStyle="1" w:styleId="BodyTextIndent3Char">
    <w:name w:val="Body Text Indent 3 Char"/>
    <w:basedOn w:val="DefaultParagraphFont"/>
    <w:link w:val="BodyTextIndent3"/>
    <w:semiHidden/>
    <w:rsid w:val="00EF4499"/>
    <w:rPr>
      <w:sz w:val="16"/>
      <w:szCs w:val="16"/>
    </w:rPr>
  </w:style>
  <w:style w:type="character" w:customStyle="1" w:styleId="Heading3Char">
    <w:name w:val="Heading 3 Char"/>
    <w:basedOn w:val="DefaultParagraphFont"/>
    <w:link w:val="Heading3"/>
    <w:uiPriority w:val="9"/>
    <w:rsid w:val="0028321E"/>
    <w:rPr>
      <w:rFonts w:eastAsiaTheme="majorEastAsia"/>
      <w:b/>
      <w:snapToGrid w:val="0"/>
      <w:sz w:val="24"/>
      <w:szCs w:val="24"/>
    </w:rPr>
  </w:style>
  <w:style w:type="paragraph" w:styleId="Caption">
    <w:name w:val="caption"/>
    <w:basedOn w:val="Normal"/>
    <w:next w:val="Normal"/>
    <w:unhideWhenUsed/>
    <w:qFormat/>
    <w:rsid w:val="0028321E"/>
    <w:pPr>
      <w:widowControl/>
    </w:pPr>
    <w:rPr>
      <w:b/>
      <w:bCs/>
      <w:sz w:val="20"/>
      <w:szCs w:val="20"/>
    </w:rPr>
  </w:style>
  <w:style w:type="table" w:styleId="TableGrid">
    <w:name w:val="Table Grid"/>
    <w:basedOn w:val="TableNormal"/>
    <w:uiPriority w:val="39"/>
    <w:rsid w:val="002832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21E"/>
    <w:rPr>
      <w:rFonts w:eastAsiaTheme="minorHAnsi" w:cstheme="minorBidi"/>
      <w:color w:val="000000" w:themeColor="text1"/>
      <w:sz w:val="22"/>
      <w:szCs w:val="22"/>
    </w:rPr>
  </w:style>
  <w:style w:type="paragraph" w:styleId="NormalWeb">
    <w:name w:val="Normal (Web)"/>
    <w:basedOn w:val="Normal"/>
    <w:uiPriority w:val="99"/>
    <w:semiHidden/>
    <w:unhideWhenUsed/>
    <w:rsid w:val="00C53B33"/>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AE1B2F"/>
    <w:rPr>
      <w:color w:val="605E5C"/>
      <w:shd w:val="clear" w:color="auto" w:fill="E1DFDD"/>
    </w:rPr>
  </w:style>
  <w:style w:type="paragraph" w:styleId="Revision">
    <w:name w:val="Revision"/>
    <w:hidden/>
    <w:uiPriority w:val="99"/>
    <w:semiHidden/>
    <w:rsid w:val="0072038B"/>
    <w:rPr>
      <w:sz w:val="24"/>
      <w:szCs w:val="24"/>
    </w:rPr>
  </w:style>
  <w:style w:type="character" w:customStyle="1" w:styleId="Heading1Char">
    <w:name w:val="Heading 1 Char"/>
    <w:basedOn w:val="DefaultParagraphFont"/>
    <w:link w:val="Heading1"/>
    <w:rsid w:val="00F74999"/>
    <w:rPr>
      <w:rFonts w:asciiTheme="majorHAnsi" w:eastAsiaTheme="majorEastAsia" w:hAnsiTheme="majorHAnsi" w:cstheme="majorBidi"/>
      <w:color w:val="365F91" w:themeColor="accent1" w:themeShade="BF"/>
      <w:sz w:val="32"/>
      <w:szCs w:val="32"/>
    </w:rPr>
  </w:style>
  <w:style w:type="character" w:customStyle="1" w:styleId="normaltextrun1">
    <w:name w:val="normaltextrun1"/>
    <w:basedOn w:val="DefaultParagraphFont"/>
    <w:rsid w:val="00106323"/>
  </w:style>
  <w:style w:type="character" w:styleId="PlaceholderText">
    <w:name w:val="Placeholder Text"/>
    <w:basedOn w:val="DefaultParagraphFont"/>
    <w:uiPriority w:val="99"/>
    <w:semiHidden/>
    <w:rsid w:val="00F775FD"/>
    <w:rPr>
      <w:color w:val="808080"/>
    </w:rPr>
  </w:style>
  <w:style w:type="paragraph" w:customStyle="1" w:styleId="paragraph">
    <w:name w:val="paragraph"/>
    <w:basedOn w:val="Normal"/>
    <w:rsid w:val="00FC11BC"/>
    <w:pPr>
      <w:widowControl/>
      <w:autoSpaceDE/>
      <w:autoSpaceDN/>
      <w:adjustRightInd/>
      <w:spacing w:before="100" w:beforeAutospacing="1" w:after="100" w:afterAutospacing="1"/>
    </w:pPr>
    <w:rPr>
      <w:rFonts w:ascii="Calibri" w:eastAsia="MS PGothic" w:hAnsi="Calibri" w:cs="Calibri"/>
      <w:sz w:val="22"/>
      <w:szCs w:val="22"/>
      <w:lang w:eastAsia="ja-JP"/>
    </w:rPr>
  </w:style>
  <w:style w:type="character" w:customStyle="1" w:styleId="normaltextrun">
    <w:name w:val="normaltextrun"/>
    <w:basedOn w:val="DefaultParagraphFont"/>
    <w:rsid w:val="00FC11BC"/>
  </w:style>
  <w:style w:type="character" w:customStyle="1" w:styleId="findhit">
    <w:name w:val="findhit"/>
    <w:basedOn w:val="DefaultParagraphFont"/>
    <w:rsid w:val="00FC11BC"/>
  </w:style>
  <w:style w:type="character" w:customStyle="1" w:styleId="eop">
    <w:name w:val="eop"/>
    <w:basedOn w:val="DefaultParagraphFont"/>
    <w:rsid w:val="00FC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621">
      <w:bodyDiv w:val="1"/>
      <w:marLeft w:val="0"/>
      <w:marRight w:val="0"/>
      <w:marTop w:val="0"/>
      <w:marBottom w:val="0"/>
      <w:divBdr>
        <w:top w:val="none" w:sz="0" w:space="0" w:color="auto"/>
        <w:left w:val="none" w:sz="0" w:space="0" w:color="auto"/>
        <w:bottom w:val="none" w:sz="0" w:space="0" w:color="auto"/>
        <w:right w:val="none" w:sz="0" w:space="0" w:color="auto"/>
      </w:divBdr>
    </w:div>
    <w:div w:id="50814010">
      <w:bodyDiv w:val="1"/>
      <w:marLeft w:val="0"/>
      <w:marRight w:val="0"/>
      <w:marTop w:val="0"/>
      <w:marBottom w:val="0"/>
      <w:divBdr>
        <w:top w:val="none" w:sz="0" w:space="0" w:color="auto"/>
        <w:left w:val="none" w:sz="0" w:space="0" w:color="auto"/>
        <w:bottom w:val="none" w:sz="0" w:space="0" w:color="auto"/>
        <w:right w:val="none" w:sz="0" w:space="0" w:color="auto"/>
      </w:divBdr>
    </w:div>
    <w:div w:id="66878916">
      <w:bodyDiv w:val="1"/>
      <w:marLeft w:val="0"/>
      <w:marRight w:val="0"/>
      <w:marTop w:val="0"/>
      <w:marBottom w:val="0"/>
      <w:divBdr>
        <w:top w:val="none" w:sz="0" w:space="0" w:color="auto"/>
        <w:left w:val="none" w:sz="0" w:space="0" w:color="auto"/>
        <w:bottom w:val="none" w:sz="0" w:space="0" w:color="auto"/>
        <w:right w:val="none" w:sz="0" w:space="0" w:color="auto"/>
      </w:divBdr>
    </w:div>
    <w:div w:id="8565850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69832235">
      <w:bodyDiv w:val="1"/>
      <w:marLeft w:val="0"/>
      <w:marRight w:val="0"/>
      <w:marTop w:val="0"/>
      <w:marBottom w:val="0"/>
      <w:divBdr>
        <w:top w:val="none" w:sz="0" w:space="0" w:color="auto"/>
        <w:left w:val="none" w:sz="0" w:space="0" w:color="auto"/>
        <w:bottom w:val="none" w:sz="0" w:space="0" w:color="auto"/>
        <w:right w:val="none" w:sz="0" w:space="0" w:color="auto"/>
      </w:divBdr>
    </w:div>
    <w:div w:id="2601413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62902282">
      <w:bodyDiv w:val="1"/>
      <w:marLeft w:val="0"/>
      <w:marRight w:val="0"/>
      <w:marTop w:val="0"/>
      <w:marBottom w:val="0"/>
      <w:divBdr>
        <w:top w:val="none" w:sz="0" w:space="0" w:color="auto"/>
        <w:left w:val="none" w:sz="0" w:space="0" w:color="auto"/>
        <w:bottom w:val="none" w:sz="0" w:space="0" w:color="auto"/>
        <w:right w:val="none" w:sz="0" w:space="0" w:color="auto"/>
      </w:divBdr>
    </w:div>
    <w:div w:id="706609299">
      <w:bodyDiv w:val="1"/>
      <w:marLeft w:val="0"/>
      <w:marRight w:val="0"/>
      <w:marTop w:val="0"/>
      <w:marBottom w:val="0"/>
      <w:divBdr>
        <w:top w:val="none" w:sz="0" w:space="0" w:color="auto"/>
        <w:left w:val="none" w:sz="0" w:space="0" w:color="auto"/>
        <w:bottom w:val="none" w:sz="0" w:space="0" w:color="auto"/>
        <w:right w:val="none" w:sz="0" w:space="0" w:color="auto"/>
      </w:divBdr>
    </w:div>
    <w:div w:id="796609765">
      <w:bodyDiv w:val="1"/>
      <w:marLeft w:val="0"/>
      <w:marRight w:val="0"/>
      <w:marTop w:val="0"/>
      <w:marBottom w:val="0"/>
      <w:divBdr>
        <w:top w:val="none" w:sz="0" w:space="0" w:color="auto"/>
        <w:left w:val="none" w:sz="0" w:space="0" w:color="auto"/>
        <w:bottom w:val="none" w:sz="0" w:space="0" w:color="auto"/>
        <w:right w:val="none" w:sz="0" w:space="0" w:color="auto"/>
      </w:divBdr>
    </w:div>
    <w:div w:id="851914113">
      <w:bodyDiv w:val="1"/>
      <w:marLeft w:val="0"/>
      <w:marRight w:val="0"/>
      <w:marTop w:val="0"/>
      <w:marBottom w:val="0"/>
      <w:divBdr>
        <w:top w:val="none" w:sz="0" w:space="0" w:color="auto"/>
        <w:left w:val="none" w:sz="0" w:space="0" w:color="auto"/>
        <w:bottom w:val="none" w:sz="0" w:space="0" w:color="auto"/>
        <w:right w:val="none" w:sz="0" w:space="0" w:color="auto"/>
      </w:divBdr>
    </w:div>
    <w:div w:id="1060863974">
      <w:bodyDiv w:val="1"/>
      <w:marLeft w:val="0"/>
      <w:marRight w:val="0"/>
      <w:marTop w:val="0"/>
      <w:marBottom w:val="0"/>
      <w:divBdr>
        <w:top w:val="none" w:sz="0" w:space="0" w:color="auto"/>
        <w:left w:val="none" w:sz="0" w:space="0" w:color="auto"/>
        <w:bottom w:val="none" w:sz="0" w:space="0" w:color="auto"/>
        <w:right w:val="none" w:sz="0" w:space="0" w:color="auto"/>
      </w:divBdr>
    </w:div>
    <w:div w:id="1086926491">
      <w:bodyDiv w:val="1"/>
      <w:marLeft w:val="0"/>
      <w:marRight w:val="0"/>
      <w:marTop w:val="0"/>
      <w:marBottom w:val="0"/>
      <w:divBdr>
        <w:top w:val="none" w:sz="0" w:space="0" w:color="auto"/>
        <w:left w:val="none" w:sz="0" w:space="0" w:color="auto"/>
        <w:bottom w:val="none" w:sz="0" w:space="0" w:color="auto"/>
        <w:right w:val="none" w:sz="0" w:space="0" w:color="auto"/>
      </w:divBdr>
    </w:div>
    <w:div w:id="1135872832">
      <w:bodyDiv w:val="1"/>
      <w:marLeft w:val="0"/>
      <w:marRight w:val="0"/>
      <w:marTop w:val="0"/>
      <w:marBottom w:val="0"/>
      <w:divBdr>
        <w:top w:val="none" w:sz="0" w:space="0" w:color="auto"/>
        <w:left w:val="none" w:sz="0" w:space="0" w:color="auto"/>
        <w:bottom w:val="none" w:sz="0" w:space="0" w:color="auto"/>
        <w:right w:val="none" w:sz="0" w:space="0" w:color="auto"/>
      </w:divBdr>
    </w:div>
    <w:div w:id="1263369049">
      <w:bodyDiv w:val="1"/>
      <w:marLeft w:val="0"/>
      <w:marRight w:val="0"/>
      <w:marTop w:val="0"/>
      <w:marBottom w:val="0"/>
      <w:divBdr>
        <w:top w:val="none" w:sz="0" w:space="0" w:color="auto"/>
        <w:left w:val="none" w:sz="0" w:space="0" w:color="auto"/>
        <w:bottom w:val="none" w:sz="0" w:space="0" w:color="auto"/>
        <w:right w:val="none" w:sz="0" w:space="0" w:color="auto"/>
      </w:divBdr>
    </w:div>
    <w:div w:id="1283464723">
      <w:bodyDiv w:val="1"/>
      <w:marLeft w:val="0"/>
      <w:marRight w:val="0"/>
      <w:marTop w:val="0"/>
      <w:marBottom w:val="0"/>
      <w:divBdr>
        <w:top w:val="none" w:sz="0" w:space="0" w:color="auto"/>
        <w:left w:val="none" w:sz="0" w:space="0" w:color="auto"/>
        <w:bottom w:val="none" w:sz="0" w:space="0" w:color="auto"/>
        <w:right w:val="none" w:sz="0" w:space="0" w:color="auto"/>
      </w:divBdr>
    </w:div>
    <w:div w:id="1428161716">
      <w:bodyDiv w:val="1"/>
      <w:marLeft w:val="0"/>
      <w:marRight w:val="0"/>
      <w:marTop w:val="0"/>
      <w:marBottom w:val="0"/>
      <w:divBdr>
        <w:top w:val="none" w:sz="0" w:space="0" w:color="auto"/>
        <w:left w:val="none" w:sz="0" w:space="0" w:color="auto"/>
        <w:bottom w:val="none" w:sz="0" w:space="0" w:color="auto"/>
        <w:right w:val="none" w:sz="0" w:space="0" w:color="auto"/>
      </w:divBdr>
    </w:div>
    <w:div w:id="1700205453">
      <w:bodyDiv w:val="1"/>
      <w:marLeft w:val="0"/>
      <w:marRight w:val="0"/>
      <w:marTop w:val="0"/>
      <w:marBottom w:val="0"/>
      <w:divBdr>
        <w:top w:val="none" w:sz="0" w:space="0" w:color="auto"/>
        <w:left w:val="none" w:sz="0" w:space="0" w:color="auto"/>
        <w:bottom w:val="none" w:sz="0" w:space="0" w:color="auto"/>
        <w:right w:val="none" w:sz="0" w:space="0" w:color="auto"/>
      </w:divBdr>
    </w:div>
    <w:div w:id="1802796254">
      <w:bodyDiv w:val="1"/>
      <w:marLeft w:val="0"/>
      <w:marRight w:val="0"/>
      <w:marTop w:val="0"/>
      <w:marBottom w:val="0"/>
      <w:divBdr>
        <w:top w:val="none" w:sz="0" w:space="0" w:color="auto"/>
        <w:left w:val="none" w:sz="0" w:space="0" w:color="auto"/>
        <w:bottom w:val="none" w:sz="0" w:space="0" w:color="auto"/>
        <w:right w:val="none" w:sz="0" w:space="0" w:color="auto"/>
      </w:divBdr>
    </w:div>
    <w:div w:id="1807042161">
      <w:bodyDiv w:val="1"/>
      <w:marLeft w:val="0"/>
      <w:marRight w:val="0"/>
      <w:marTop w:val="0"/>
      <w:marBottom w:val="0"/>
      <w:divBdr>
        <w:top w:val="none" w:sz="0" w:space="0" w:color="auto"/>
        <w:left w:val="none" w:sz="0" w:space="0" w:color="auto"/>
        <w:bottom w:val="none" w:sz="0" w:space="0" w:color="auto"/>
        <w:right w:val="none" w:sz="0" w:space="0" w:color="auto"/>
      </w:divBdr>
    </w:div>
    <w:div w:id="1957984894">
      <w:bodyDiv w:val="1"/>
      <w:marLeft w:val="0"/>
      <w:marRight w:val="0"/>
      <w:marTop w:val="0"/>
      <w:marBottom w:val="0"/>
      <w:divBdr>
        <w:top w:val="none" w:sz="0" w:space="0" w:color="auto"/>
        <w:left w:val="none" w:sz="0" w:space="0" w:color="auto"/>
        <w:bottom w:val="none" w:sz="0" w:space="0" w:color="auto"/>
        <w:right w:val="none" w:sz="0" w:space="0" w:color="auto"/>
      </w:divBdr>
    </w:div>
    <w:div w:id="1986423781">
      <w:bodyDiv w:val="1"/>
      <w:marLeft w:val="0"/>
      <w:marRight w:val="0"/>
      <w:marTop w:val="0"/>
      <w:marBottom w:val="0"/>
      <w:divBdr>
        <w:top w:val="none" w:sz="0" w:space="0" w:color="auto"/>
        <w:left w:val="none" w:sz="0" w:space="0" w:color="auto"/>
        <w:bottom w:val="none" w:sz="0" w:space="0" w:color="auto"/>
        <w:right w:val="none" w:sz="0" w:space="0" w:color="auto"/>
      </w:divBdr>
    </w:div>
    <w:div w:id="2017027473">
      <w:bodyDiv w:val="1"/>
      <w:marLeft w:val="0"/>
      <w:marRight w:val="0"/>
      <w:marTop w:val="0"/>
      <w:marBottom w:val="0"/>
      <w:divBdr>
        <w:top w:val="none" w:sz="0" w:space="0" w:color="auto"/>
        <w:left w:val="none" w:sz="0" w:space="0" w:color="auto"/>
        <w:bottom w:val="none" w:sz="0" w:space="0" w:color="auto"/>
        <w:right w:val="none" w:sz="0" w:space="0" w:color="auto"/>
      </w:divBdr>
    </w:div>
    <w:div w:id="2082368883">
      <w:bodyDiv w:val="1"/>
      <w:marLeft w:val="0"/>
      <w:marRight w:val="0"/>
      <w:marTop w:val="0"/>
      <w:marBottom w:val="0"/>
      <w:divBdr>
        <w:top w:val="none" w:sz="0" w:space="0" w:color="auto"/>
        <w:left w:val="none" w:sz="0" w:space="0" w:color="auto"/>
        <w:bottom w:val="none" w:sz="0" w:space="0" w:color="auto"/>
        <w:right w:val="none" w:sz="0" w:space="0" w:color="auto"/>
      </w:divBdr>
    </w:div>
    <w:div w:id="21436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ics.com/six-digit-naics/?code=21" TargetMode="External"/><Relationship Id="rId18" Type="http://schemas.openxmlformats.org/officeDocument/2006/relationships/hyperlink" Target="https://www.naics.com/six-digit-naics/?code=23" TargetMode="External"/><Relationship Id="rId26" Type="http://schemas.openxmlformats.org/officeDocument/2006/relationships/hyperlink" Target="https://www.regulations.gov/docket?D=EPA-HQ-OW-2019-0405" TargetMode="External"/><Relationship Id="rId3" Type="http://schemas.openxmlformats.org/officeDocument/2006/relationships/customXml" Target="../customXml/item3.xml"/><Relationship Id="rId21" Type="http://schemas.openxmlformats.org/officeDocument/2006/relationships/hyperlink" Target="https://www.naics.com/six-digit-naics/?code=11"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egulations.gov/docket?D=EPA-HQ-OW-2019-0405" TargetMode="External"/><Relationship Id="rId17" Type="http://schemas.openxmlformats.org/officeDocument/2006/relationships/hyperlink" Target="https://www.naics.com/six-digit-naics/?code=23" TargetMode="External"/><Relationship Id="rId25" Type="http://schemas.openxmlformats.org/officeDocument/2006/relationships/hyperlink" Target="https://www.regulations.gov/docket?D=EPA-HQ-OW-2019-040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ics.com/six-digit-naics/?code=22" TargetMode="External"/><Relationship Id="rId20" Type="http://schemas.openxmlformats.org/officeDocument/2006/relationships/hyperlink" Target="https://www.naics.com/six-digit-naics/?code=31-3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ics.com/sic-industry-description/?code=9199"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naics.com/six-digit-naics/?code=22" TargetMode="External"/><Relationship Id="rId23" Type="http://schemas.openxmlformats.org/officeDocument/2006/relationships/hyperlink" Target="https://www.naics.com/six-digit-naics/?code=21"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naics.com/six-digit-naics/?code=31-33"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ics.com/six-digit-naics/?code=21" TargetMode="External"/><Relationship Id="rId22" Type="http://schemas.openxmlformats.org/officeDocument/2006/relationships/hyperlink" Target="https://www.naics.com/sic-industry-description/?code=9111" TargetMode="External"/><Relationship Id="rId27" Type="http://schemas.openxmlformats.org/officeDocument/2006/relationships/hyperlink" Target="http://www.regulations.gov/"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5_541330.htm" TargetMode="External"/><Relationship Id="rId1" Type="http://schemas.openxmlformats.org/officeDocument/2006/relationships/hyperlink" Target="https://www.opm.gov/policy-data-oversight/pay-leave/salaries-wages/salary-tables/20Tables/html/RUS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406DBE86A01EB469F20CB7313F004E6" ma:contentTypeVersion="10" ma:contentTypeDescription="Create a new document." ma:contentTypeScope="" ma:versionID="f24522ac9f8dd8514b3cd3c73cfb95f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d0269c-2511-4159-98ac-392385d4262d" xmlns:ns6="005108d1-d68e-4d99-bbbd-ab9fa7c77cbf" targetNamespace="http://schemas.microsoft.com/office/2006/metadata/properties" ma:root="true" ma:fieldsID="99895f8f853b36322a6de435bdf66868" ns1:_="" ns2:_="" ns3:_="" ns4:_="" ns5:_="" ns6:_="">
    <xsd:import namespace="http://schemas.microsoft.com/sharepoint/v3"/>
    <xsd:import namespace="4ffa91fb-a0ff-4ac5-b2db-65c790d184a4"/>
    <xsd:import namespace="http://schemas.microsoft.com/sharepoint.v3"/>
    <xsd:import namespace="http://schemas.microsoft.com/sharepoint/v3/fields"/>
    <xsd:import namespace="1ad0269c-2511-4159-98ac-392385d4262d"/>
    <xsd:import namespace="005108d1-d68e-4d99-bbbd-ab9fa7c77cb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108d1-d68e-4d99-bbbd-ab9fa7c77cbf"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2019-10-07T08:26:34+00:00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1ad0269c-2511-4159-98ac-392385d4262d">
      <UserInfo>
        <DisplayName>Frazer, Brian</DisplayName>
        <AccountId>1874</AccountId>
        <AccountType/>
      </UserInfo>
      <UserInfo>
        <DisplayName>Trombley, Michael</DisplayName>
        <AccountId>3478</AccountId>
        <AccountType/>
      </UserInfo>
      <UserInfo>
        <DisplayName>McDavit, Michael W.</DisplayName>
        <AccountId>735</AccountId>
        <AccountType/>
      </UserInfo>
      <UserInfo>
        <DisplayName>Kasparek, Lauren</DisplayName>
        <AccountId>10475</AccountId>
        <AccountType/>
      </UserInfo>
      <UserInfo>
        <DisplayName>Beck, Whitney</DisplayName>
        <AccountId>13081</AccountId>
        <AccountType/>
      </UserInfo>
      <UserInfo>
        <DisplayName>Schultz, Eric</DisplayName>
        <AccountId>6925</AccountId>
        <AccountType/>
      </UserInfo>
      <UserInfo>
        <DisplayName>McGrath, Daniel</DisplayName>
        <AccountId>15014</AccountId>
        <AccountType/>
      </UserInfo>
      <UserInfo>
        <DisplayName>Bruce, Teddy</DisplayName>
        <AccountId>15013</AccountId>
        <AccountType/>
      </UserInfo>
      <UserInfo>
        <DisplayName>Kerwin, Courtney</DisplayName>
        <AccountId>6357</AccountId>
        <AccountType/>
      </UserInfo>
      <UserInfo>
        <DisplayName>Eisenberg, Mindy</DisplayName>
        <AccountId>84</AccountId>
        <AccountType/>
      </UserInfo>
      <UserInfo>
        <DisplayName>Goodin, John</DisplayName>
        <AccountId>476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64B6-AAF6-44D4-88CD-91386BCB4ACA}">
  <ds:schemaRefs>
    <ds:schemaRef ds:uri="Microsoft.SharePoint.Taxonomy.ContentTypeSync"/>
  </ds:schemaRefs>
</ds:datastoreItem>
</file>

<file path=customXml/itemProps2.xml><?xml version="1.0" encoding="utf-8"?>
<ds:datastoreItem xmlns:ds="http://schemas.openxmlformats.org/officeDocument/2006/customXml" ds:itemID="{83F8BB17-4BE9-46D7-8FD1-992D3BB1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ad0269c-2511-4159-98ac-392385d4262d"/>
    <ds:schemaRef ds:uri="005108d1-d68e-4d99-bbbd-ab9fa7c77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A543E-E185-4D62-96CC-B063924FCFD9}">
  <ds:schemaRefs>
    <ds:schemaRef ds:uri="http://schemas.microsoft.com/sharepoint/v3/contenttype/forms"/>
  </ds:schemaRefs>
</ds:datastoreItem>
</file>

<file path=customXml/itemProps4.xml><?xml version="1.0" encoding="utf-8"?>
<ds:datastoreItem xmlns:ds="http://schemas.openxmlformats.org/officeDocument/2006/customXml" ds:itemID="{8B10A549-A68A-4602-8E5D-8DAA6C4B05FA}">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 ds:uri="1ad0269c-2511-4159-98ac-392385d4262d"/>
  </ds:schemaRefs>
</ds:datastoreItem>
</file>

<file path=customXml/itemProps5.xml><?xml version="1.0" encoding="utf-8"?>
<ds:datastoreItem xmlns:ds="http://schemas.openxmlformats.org/officeDocument/2006/customXml" ds:itemID="{78B30FC5-1386-47A0-92A0-84E72740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5337</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35693</CharactersWithSpaces>
  <SharedDoc>false</SharedDoc>
  <HLinks>
    <vt:vector size="108" baseType="variant">
      <vt:variant>
        <vt:i4>2818151</vt:i4>
      </vt:variant>
      <vt:variant>
        <vt:i4>124</vt:i4>
      </vt:variant>
      <vt:variant>
        <vt:i4>0</vt:i4>
      </vt:variant>
      <vt:variant>
        <vt:i4>5</vt:i4>
      </vt:variant>
      <vt:variant>
        <vt:lpwstr>http://www.regulations.gov/</vt:lpwstr>
      </vt:variant>
      <vt:variant>
        <vt:lpwstr/>
      </vt:variant>
      <vt:variant>
        <vt:i4>6094919</vt:i4>
      </vt:variant>
      <vt:variant>
        <vt:i4>74</vt:i4>
      </vt:variant>
      <vt:variant>
        <vt:i4>0</vt:i4>
      </vt:variant>
      <vt:variant>
        <vt:i4>5</vt:i4>
      </vt:variant>
      <vt:variant>
        <vt:lpwstr>https://www.regulations.gov/docket?D=EPA-HQ-OW-2019-0405</vt:lpwstr>
      </vt:variant>
      <vt:variant>
        <vt:lpwstr/>
      </vt:variant>
      <vt:variant>
        <vt:i4>6094919</vt:i4>
      </vt:variant>
      <vt:variant>
        <vt:i4>45</vt:i4>
      </vt:variant>
      <vt:variant>
        <vt:i4>0</vt:i4>
      </vt:variant>
      <vt:variant>
        <vt:i4>5</vt:i4>
      </vt:variant>
      <vt:variant>
        <vt:lpwstr>https://www.regulations.gov/docket?D=EPA-HQ-OW-2019-0405</vt:lpwstr>
      </vt:variant>
      <vt:variant>
        <vt:lpwstr/>
      </vt:variant>
      <vt:variant>
        <vt:i4>5308507</vt:i4>
      </vt:variant>
      <vt:variant>
        <vt:i4>36</vt:i4>
      </vt:variant>
      <vt:variant>
        <vt:i4>0</vt:i4>
      </vt:variant>
      <vt:variant>
        <vt:i4>5</vt:i4>
      </vt:variant>
      <vt:variant>
        <vt:lpwstr>https://www.naics.com/sic-industry-description/?code=9199</vt:lpwstr>
      </vt:variant>
      <vt:variant>
        <vt:lpwstr/>
      </vt:variant>
      <vt:variant>
        <vt:i4>7012405</vt:i4>
      </vt:variant>
      <vt:variant>
        <vt:i4>33</vt:i4>
      </vt:variant>
      <vt:variant>
        <vt:i4>0</vt:i4>
      </vt:variant>
      <vt:variant>
        <vt:i4>5</vt:i4>
      </vt:variant>
      <vt:variant>
        <vt:lpwstr>https://www.naics.com/six-digit-naics/?code=21</vt:lpwstr>
      </vt:variant>
      <vt:variant>
        <vt:lpwstr/>
      </vt:variant>
      <vt:variant>
        <vt:i4>5832795</vt:i4>
      </vt:variant>
      <vt:variant>
        <vt:i4>30</vt:i4>
      </vt:variant>
      <vt:variant>
        <vt:i4>0</vt:i4>
      </vt:variant>
      <vt:variant>
        <vt:i4>5</vt:i4>
      </vt:variant>
      <vt:variant>
        <vt:lpwstr>https://www.naics.com/sic-industry-description/?code=9111</vt:lpwstr>
      </vt:variant>
      <vt:variant>
        <vt:lpwstr/>
      </vt:variant>
      <vt:variant>
        <vt:i4>7012406</vt:i4>
      </vt:variant>
      <vt:variant>
        <vt:i4>27</vt:i4>
      </vt:variant>
      <vt:variant>
        <vt:i4>0</vt:i4>
      </vt:variant>
      <vt:variant>
        <vt:i4>5</vt:i4>
      </vt:variant>
      <vt:variant>
        <vt:lpwstr>https://www.naics.com/six-digit-naics/?code=11</vt:lpwstr>
      </vt:variant>
      <vt:variant>
        <vt:lpwstr/>
      </vt:variant>
      <vt:variant>
        <vt:i4>5767193</vt:i4>
      </vt:variant>
      <vt:variant>
        <vt:i4>24</vt:i4>
      </vt:variant>
      <vt:variant>
        <vt:i4>0</vt:i4>
      </vt:variant>
      <vt:variant>
        <vt:i4>5</vt:i4>
      </vt:variant>
      <vt:variant>
        <vt:lpwstr>https://www.naics.com/six-digit-naics/?code=31-33</vt:lpwstr>
      </vt:variant>
      <vt:variant>
        <vt:lpwstr/>
      </vt:variant>
      <vt:variant>
        <vt:i4>5767193</vt:i4>
      </vt:variant>
      <vt:variant>
        <vt:i4>21</vt:i4>
      </vt:variant>
      <vt:variant>
        <vt:i4>0</vt:i4>
      </vt:variant>
      <vt:variant>
        <vt:i4>5</vt:i4>
      </vt:variant>
      <vt:variant>
        <vt:lpwstr>https://www.naics.com/six-digit-naics/?code=31-33</vt:lpwstr>
      </vt:variant>
      <vt:variant>
        <vt:lpwstr/>
      </vt:variant>
      <vt:variant>
        <vt:i4>6881333</vt:i4>
      </vt:variant>
      <vt:variant>
        <vt:i4>18</vt:i4>
      </vt:variant>
      <vt:variant>
        <vt:i4>0</vt:i4>
      </vt:variant>
      <vt:variant>
        <vt:i4>5</vt:i4>
      </vt:variant>
      <vt:variant>
        <vt:lpwstr>https://www.naics.com/six-digit-naics/?code=23</vt:lpwstr>
      </vt:variant>
      <vt:variant>
        <vt:lpwstr/>
      </vt:variant>
      <vt:variant>
        <vt:i4>6881333</vt:i4>
      </vt:variant>
      <vt:variant>
        <vt:i4>15</vt:i4>
      </vt:variant>
      <vt:variant>
        <vt:i4>0</vt:i4>
      </vt:variant>
      <vt:variant>
        <vt:i4>5</vt:i4>
      </vt:variant>
      <vt:variant>
        <vt:lpwstr>https://www.naics.com/six-digit-naics/?code=23</vt:lpwstr>
      </vt:variant>
      <vt:variant>
        <vt:lpwstr/>
      </vt:variant>
      <vt:variant>
        <vt:i4>6815797</vt:i4>
      </vt:variant>
      <vt:variant>
        <vt:i4>12</vt:i4>
      </vt:variant>
      <vt:variant>
        <vt:i4>0</vt:i4>
      </vt:variant>
      <vt:variant>
        <vt:i4>5</vt:i4>
      </vt:variant>
      <vt:variant>
        <vt:lpwstr>https://www.naics.com/six-digit-naics/?code=22</vt:lpwstr>
      </vt:variant>
      <vt:variant>
        <vt:lpwstr/>
      </vt:variant>
      <vt:variant>
        <vt:i4>6815797</vt:i4>
      </vt:variant>
      <vt:variant>
        <vt:i4>9</vt:i4>
      </vt:variant>
      <vt:variant>
        <vt:i4>0</vt:i4>
      </vt:variant>
      <vt:variant>
        <vt:i4>5</vt:i4>
      </vt:variant>
      <vt:variant>
        <vt:lpwstr>https://www.naics.com/six-digit-naics/?code=22</vt:lpwstr>
      </vt:variant>
      <vt:variant>
        <vt:lpwstr/>
      </vt:variant>
      <vt:variant>
        <vt:i4>7012405</vt:i4>
      </vt:variant>
      <vt:variant>
        <vt:i4>6</vt:i4>
      </vt:variant>
      <vt:variant>
        <vt:i4>0</vt:i4>
      </vt:variant>
      <vt:variant>
        <vt:i4>5</vt:i4>
      </vt:variant>
      <vt:variant>
        <vt:lpwstr>https://www.naics.com/six-digit-naics/?code=21</vt:lpwstr>
      </vt:variant>
      <vt:variant>
        <vt:lpwstr/>
      </vt:variant>
      <vt:variant>
        <vt:i4>7012405</vt:i4>
      </vt:variant>
      <vt:variant>
        <vt:i4>3</vt:i4>
      </vt:variant>
      <vt:variant>
        <vt:i4>0</vt:i4>
      </vt:variant>
      <vt:variant>
        <vt:i4>5</vt:i4>
      </vt:variant>
      <vt:variant>
        <vt:lpwstr>https://www.naics.com/six-digit-naics/?code=21</vt:lpwstr>
      </vt:variant>
      <vt:variant>
        <vt:lpwstr/>
      </vt:variant>
      <vt:variant>
        <vt:i4>6094919</vt:i4>
      </vt:variant>
      <vt:variant>
        <vt:i4>0</vt:i4>
      </vt:variant>
      <vt:variant>
        <vt:i4>0</vt:i4>
      </vt:variant>
      <vt:variant>
        <vt:i4>5</vt:i4>
      </vt:variant>
      <vt:variant>
        <vt:lpwstr>https://www.regulations.gov/docket?D=EPA-HQ-OW-2019-0405</vt:lpwstr>
      </vt:variant>
      <vt:variant>
        <vt:lpwstr/>
      </vt:variant>
      <vt:variant>
        <vt:i4>1835048</vt:i4>
      </vt:variant>
      <vt:variant>
        <vt:i4>3</vt:i4>
      </vt:variant>
      <vt:variant>
        <vt:i4>0</vt:i4>
      </vt:variant>
      <vt:variant>
        <vt:i4>5</vt:i4>
      </vt:variant>
      <vt:variant>
        <vt:lpwstr>https://www.bls.gov/oes/current/naics5_541330.htm</vt:lpwstr>
      </vt:variant>
      <vt:variant>
        <vt:lpwstr/>
      </vt:variant>
      <vt:variant>
        <vt:i4>458802</vt:i4>
      </vt:variant>
      <vt:variant>
        <vt:i4>0</vt:i4>
      </vt:variant>
      <vt:variant>
        <vt:i4>0</vt:i4>
      </vt:variant>
      <vt:variant>
        <vt:i4>5</vt:i4>
      </vt:variant>
      <vt:variant>
        <vt:lpwstr>https://www.opm.gov/policy-data-oversight/pay-leave/salaries-wages/salary-tables/20Tables/html/RUS_h.aspx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Schultz, Eric</cp:lastModifiedBy>
  <cp:revision>2</cp:revision>
  <cp:lastPrinted>2020-02-12T17:05:00Z</cp:lastPrinted>
  <dcterms:created xsi:type="dcterms:W3CDTF">2020-04-02T18:54:00Z</dcterms:created>
  <dcterms:modified xsi:type="dcterms:W3CDTF">2020-04-02T18:54:00Z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0x0101002406DBE86A01EB469F20CB7313F004E6</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