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F7EA0" w:rsidR="00DF7EA0" w:rsidP="00931908" w:rsidRDefault="00DF7EA0" w14:paraId="71F1AA1E" w14:textId="77777777">
      <w:pPr>
        <w:spacing w:after="0" w:line="240" w:lineRule="auto"/>
        <w:jc w:val="center"/>
        <w:rPr>
          <w:rFonts w:ascii="Times New Roman" w:hAnsi="Times New Roman"/>
          <w:sz w:val="28"/>
        </w:rPr>
      </w:pPr>
      <w:bookmarkStart w:name="_GoBack" w:id="0"/>
      <w:bookmarkEnd w:id="0"/>
      <w:r w:rsidRPr="00DF7EA0">
        <w:rPr>
          <w:rFonts w:ascii="Times New Roman" w:hAnsi="Times New Roman"/>
          <w:sz w:val="28"/>
        </w:rPr>
        <w:t>UNITED STATES OF AMERICA</w:t>
      </w:r>
    </w:p>
    <w:p w:rsidRPr="00DF7EA0" w:rsidR="00DF7EA0" w:rsidP="00931908" w:rsidRDefault="00DF7EA0" w14:paraId="5F183616" w14:textId="7777777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F7EA0">
        <w:rPr>
          <w:rFonts w:ascii="Times New Roman" w:hAnsi="Times New Roman"/>
          <w:sz w:val="28"/>
        </w:rPr>
        <w:t>FEDERAL ENERGY REGULATORY COMMISSION</w:t>
      </w:r>
    </w:p>
    <w:p w:rsidR="00931908" w:rsidP="00931908" w:rsidRDefault="00931908" w14:paraId="3EDFC721" w14:textId="7777777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Pr="00DF7EA0" w:rsidR="00DF7EA0" w:rsidP="00F87752" w:rsidRDefault="007E188B" w14:paraId="29E70E5D" w14:textId="74BA131E">
      <w:pPr>
        <w:spacing w:after="0" w:line="48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[</w:t>
      </w:r>
      <w:r w:rsidR="000570EC">
        <w:rPr>
          <w:rFonts w:ascii="Times New Roman" w:hAnsi="Times New Roman"/>
          <w:sz w:val="28"/>
        </w:rPr>
        <w:t>Docket No</w:t>
      </w:r>
      <w:r w:rsidR="00E42BDC">
        <w:rPr>
          <w:rFonts w:ascii="Times New Roman" w:hAnsi="Times New Roman"/>
          <w:sz w:val="28"/>
        </w:rPr>
        <w:t xml:space="preserve">. </w:t>
      </w:r>
      <w:r w:rsidR="008D49DD">
        <w:rPr>
          <w:rFonts w:ascii="Times New Roman" w:hAnsi="Times New Roman"/>
          <w:sz w:val="28"/>
        </w:rPr>
        <w:t>IC20-5-000</w:t>
      </w:r>
      <w:r>
        <w:rPr>
          <w:rFonts w:ascii="Times New Roman" w:hAnsi="Times New Roman"/>
          <w:sz w:val="28"/>
        </w:rPr>
        <w:t>]</w:t>
      </w:r>
    </w:p>
    <w:p w:rsidRPr="00DF7EA0" w:rsidR="00DF7EA0" w:rsidP="00931908" w:rsidRDefault="000570EC" w14:paraId="201EC34E" w14:textId="55EA051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F7EA0">
        <w:rPr>
          <w:rFonts w:ascii="Times New Roman" w:hAnsi="Times New Roman"/>
          <w:sz w:val="28"/>
        </w:rPr>
        <w:t xml:space="preserve">Commission Information Collection Activities </w:t>
      </w:r>
    </w:p>
    <w:p w:rsidRPr="00DF7EA0" w:rsidR="00DF7EA0" w:rsidP="00931908" w:rsidRDefault="00DF7EA0" w14:paraId="7D92E6D3" w14:textId="2EC6A53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F7EA0">
        <w:rPr>
          <w:rFonts w:ascii="Times New Roman" w:hAnsi="Times New Roman"/>
          <w:sz w:val="28"/>
        </w:rPr>
        <w:t>(FERC-</w:t>
      </w:r>
      <w:r w:rsidR="00931908">
        <w:rPr>
          <w:rFonts w:ascii="Times New Roman" w:hAnsi="Times New Roman"/>
          <w:sz w:val="28"/>
        </w:rPr>
        <w:t>923</w:t>
      </w:r>
      <w:r w:rsidRPr="00DF7EA0">
        <w:rPr>
          <w:rFonts w:ascii="Times New Roman" w:hAnsi="Times New Roman"/>
          <w:sz w:val="28"/>
        </w:rPr>
        <w:t xml:space="preserve">); </w:t>
      </w:r>
      <w:r w:rsidRPr="00DF7EA0" w:rsidR="000570EC">
        <w:rPr>
          <w:rFonts w:ascii="Times New Roman" w:hAnsi="Times New Roman"/>
          <w:sz w:val="28"/>
        </w:rPr>
        <w:t xml:space="preserve">Comment Request  </w:t>
      </w:r>
    </w:p>
    <w:p w:rsidR="00931908" w:rsidP="00931908" w:rsidRDefault="00931908" w14:paraId="07AE2D15" w14:textId="7777777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Pr="00DF7EA0" w:rsidR="00DF7EA0" w:rsidP="00931908" w:rsidRDefault="00DF7EA0" w14:paraId="40043EFE" w14:textId="337BAE9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F7EA0">
        <w:rPr>
          <w:rFonts w:ascii="Times New Roman" w:hAnsi="Times New Roman"/>
          <w:sz w:val="28"/>
        </w:rPr>
        <w:t>(</w:t>
      </w:r>
      <w:r w:rsidR="00A11B7B">
        <w:rPr>
          <w:rFonts w:ascii="Times New Roman" w:hAnsi="Times New Roman"/>
          <w:sz w:val="28"/>
        </w:rPr>
        <w:t>March 3, 2020</w:t>
      </w:r>
      <w:r w:rsidRPr="00DF7EA0">
        <w:rPr>
          <w:rFonts w:ascii="Times New Roman" w:hAnsi="Times New Roman"/>
          <w:sz w:val="28"/>
        </w:rPr>
        <w:t>)</w:t>
      </w:r>
    </w:p>
    <w:p w:rsidRPr="00DF7EA0" w:rsidR="00DF7EA0" w:rsidP="00DF7EA0" w:rsidRDefault="00DF7EA0" w14:paraId="7DF1713C" w14:textId="77777777">
      <w:pPr>
        <w:rPr>
          <w:rFonts w:ascii="Times New Roman" w:hAnsi="Times New Roman"/>
          <w:sz w:val="24"/>
        </w:rPr>
      </w:pPr>
    </w:p>
    <w:p w:rsidRPr="00502929" w:rsidR="00DF7EA0" w:rsidP="00502929" w:rsidRDefault="00DF7EA0" w14:paraId="3291F845" w14:textId="77777777">
      <w:pPr>
        <w:spacing w:after="0" w:line="480" w:lineRule="auto"/>
        <w:rPr>
          <w:rFonts w:ascii="Times New Roman" w:hAnsi="Times New Roman"/>
          <w:sz w:val="24"/>
        </w:rPr>
      </w:pPr>
      <w:r w:rsidRPr="00502929">
        <w:rPr>
          <w:rFonts w:ascii="Times New Roman" w:hAnsi="Times New Roman"/>
          <w:b/>
          <w:sz w:val="24"/>
        </w:rPr>
        <w:t>AGENCY:</w:t>
      </w:r>
      <w:r w:rsidRPr="00502929">
        <w:rPr>
          <w:rFonts w:ascii="Times New Roman" w:hAnsi="Times New Roman"/>
          <w:sz w:val="24"/>
        </w:rPr>
        <w:t xml:space="preserve">  Federal Energy Regulatory Commission.</w:t>
      </w:r>
    </w:p>
    <w:p w:rsidRPr="00502929" w:rsidR="00DF7EA0" w:rsidP="00502929" w:rsidRDefault="00DF7EA0" w14:paraId="24EE3115" w14:textId="4D65EFD0">
      <w:pPr>
        <w:spacing w:after="0" w:line="480" w:lineRule="auto"/>
        <w:rPr>
          <w:rFonts w:ascii="Times New Roman" w:hAnsi="Times New Roman"/>
          <w:sz w:val="24"/>
        </w:rPr>
      </w:pPr>
      <w:r w:rsidRPr="00502929">
        <w:rPr>
          <w:rFonts w:ascii="Times New Roman" w:hAnsi="Times New Roman"/>
          <w:b/>
          <w:sz w:val="24"/>
        </w:rPr>
        <w:t>ACTION:</w:t>
      </w:r>
      <w:r w:rsidRPr="00502929">
        <w:rPr>
          <w:rFonts w:ascii="Times New Roman" w:hAnsi="Times New Roman"/>
          <w:sz w:val="24"/>
        </w:rPr>
        <w:t xml:space="preserve">  </w:t>
      </w:r>
      <w:r w:rsidR="004C1551">
        <w:rPr>
          <w:rFonts w:ascii="Times New Roman" w:hAnsi="Times New Roman"/>
          <w:sz w:val="24"/>
        </w:rPr>
        <w:t xml:space="preserve">Request of </w:t>
      </w:r>
      <w:r w:rsidR="00F833CC">
        <w:rPr>
          <w:rFonts w:ascii="Times New Roman" w:hAnsi="Times New Roman"/>
          <w:sz w:val="24"/>
        </w:rPr>
        <w:t>r</w:t>
      </w:r>
      <w:r w:rsidRPr="00F833CC" w:rsidR="00F833CC">
        <w:rPr>
          <w:rFonts w:ascii="Times New Roman" w:hAnsi="Times New Roman"/>
          <w:sz w:val="24"/>
        </w:rPr>
        <w:t>einstatement with change</w:t>
      </w:r>
      <w:r w:rsidR="00676AED">
        <w:rPr>
          <w:rFonts w:ascii="Times New Roman" w:hAnsi="Times New Roman"/>
          <w:sz w:val="24"/>
        </w:rPr>
        <w:t>s</w:t>
      </w:r>
      <w:r w:rsidR="00A5596D">
        <w:rPr>
          <w:rFonts w:ascii="Times New Roman" w:hAnsi="Times New Roman"/>
          <w:sz w:val="24"/>
        </w:rPr>
        <w:t>.</w:t>
      </w:r>
    </w:p>
    <w:p w:rsidRPr="00502929" w:rsidR="00502929" w:rsidP="00502929" w:rsidRDefault="00DF7EA0" w14:paraId="60DDA714" w14:textId="64187F54">
      <w:pPr>
        <w:spacing w:after="0" w:line="480" w:lineRule="auto"/>
        <w:rPr>
          <w:rFonts w:ascii="Times New Roman" w:hAnsi="Times New Roman"/>
          <w:sz w:val="24"/>
        </w:rPr>
      </w:pPr>
      <w:r w:rsidRPr="00502929">
        <w:rPr>
          <w:rFonts w:ascii="Times New Roman" w:hAnsi="Times New Roman"/>
          <w:b/>
          <w:sz w:val="24"/>
        </w:rPr>
        <w:t>SUMMARY:</w:t>
      </w:r>
      <w:r w:rsidRPr="00502929">
        <w:rPr>
          <w:rFonts w:ascii="Times New Roman" w:hAnsi="Times New Roman"/>
          <w:sz w:val="24"/>
        </w:rPr>
        <w:t xml:space="preserve">  In compliance with the requirements of the Paperwork Reduction Act of 1995,</w:t>
      </w:r>
      <w:r w:rsidRPr="00502929" w:rsidR="005D51A2">
        <w:rPr>
          <w:rFonts w:ascii="Times New Roman" w:hAnsi="Times New Roman"/>
          <w:sz w:val="24"/>
        </w:rPr>
        <w:t xml:space="preserve"> </w:t>
      </w:r>
      <w:r w:rsidRPr="00502929" w:rsidR="001C36A1">
        <w:rPr>
          <w:rFonts w:ascii="Times New Roman" w:hAnsi="Times New Roman"/>
          <w:sz w:val="24"/>
        </w:rPr>
        <w:t xml:space="preserve">the Federal Energy Regulatory Commission (Commission or FERC) is </w:t>
      </w:r>
      <w:r w:rsidRPr="00502929" w:rsidR="00502929">
        <w:rPr>
          <w:rFonts w:ascii="Times New Roman" w:hAnsi="Times New Roman"/>
          <w:sz w:val="24"/>
        </w:rPr>
        <w:t xml:space="preserve">requesting </w:t>
      </w:r>
      <w:r w:rsidR="007F34F3">
        <w:rPr>
          <w:rFonts w:ascii="Times New Roman" w:hAnsi="Times New Roman"/>
          <w:sz w:val="24"/>
        </w:rPr>
        <w:t xml:space="preserve">that the Office of Management and Budget (OMB) reinstate </w:t>
      </w:r>
      <w:r w:rsidRPr="00502929" w:rsidR="00502929">
        <w:rPr>
          <w:rFonts w:ascii="Times New Roman" w:hAnsi="Times New Roman"/>
          <w:sz w:val="24"/>
        </w:rPr>
        <w:t xml:space="preserve">FERC-923 </w:t>
      </w:r>
      <w:r w:rsidR="00BE72D4">
        <w:rPr>
          <w:rFonts w:ascii="Times New Roman" w:hAnsi="Times New Roman"/>
          <w:sz w:val="24"/>
        </w:rPr>
        <w:t>(</w:t>
      </w:r>
      <w:r w:rsidRPr="007F34F3" w:rsidR="007F34F3">
        <w:rPr>
          <w:rFonts w:ascii="Times New Roman" w:hAnsi="Times New Roman"/>
          <w:sz w:val="24"/>
        </w:rPr>
        <w:t>Communication of Operational Information between Natural Gas Pipelines and Electric Transmission Operators, OMB control number 1902-0265)</w:t>
      </w:r>
      <w:r w:rsidR="00783151">
        <w:rPr>
          <w:rFonts w:ascii="Times New Roman" w:hAnsi="Times New Roman"/>
          <w:sz w:val="24"/>
        </w:rPr>
        <w:t>.</w:t>
      </w:r>
      <w:r w:rsidR="004A72DA">
        <w:rPr>
          <w:rFonts w:ascii="Times New Roman" w:hAnsi="Times New Roman"/>
          <w:sz w:val="24"/>
        </w:rPr>
        <w:t xml:space="preserve"> </w:t>
      </w:r>
    </w:p>
    <w:p w:rsidRPr="001C36A1" w:rsidR="001C36A1" w:rsidP="00502929" w:rsidRDefault="001C36A1" w14:paraId="325F89CD" w14:textId="77777777">
      <w:pPr>
        <w:spacing w:after="0" w:line="480" w:lineRule="auto"/>
        <w:rPr>
          <w:rFonts w:ascii="Times New Roman" w:hAnsi="Times New Roman"/>
          <w:b/>
          <w:sz w:val="24"/>
        </w:rPr>
      </w:pPr>
      <w:r w:rsidRPr="001C36A1">
        <w:rPr>
          <w:rFonts w:ascii="Times New Roman" w:hAnsi="Times New Roman"/>
          <w:b/>
          <w:bCs/>
          <w:sz w:val="24"/>
        </w:rPr>
        <w:t xml:space="preserve">DATES: </w:t>
      </w:r>
      <w:r w:rsidRPr="001C36A1">
        <w:rPr>
          <w:rFonts w:ascii="Times New Roman" w:hAnsi="Times New Roman"/>
          <w:sz w:val="24"/>
        </w:rPr>
        <w:t>Comments on this notice must be</w:t>
      </w:r>
      <w:r w:rsidRPr="00502929" w:rsidR="00AC6DC7">
        <w:rPr>
          <w:rFonts w:ascii="Times New Roman" w:hAnsi="Times New Roman"/>
          <w:sz w:val="24"/>
        </w:rPr>
        <w:t xml:space="preserve"> </w:t>
      </w:r>
      <w:r w:rsidRPr="001C36A1">
        <w:rPr>
          <w:rFonts w:ascii="Times New Roman" w:hAnsi="Times New Roman"/>
          <w:sz w:val="24"/>
        </w:rPr>
        <w:t xml:space="preserve">received </w:t>
      </w:r>
      <w:r w:rsidRPr="001C36A1">
        <w:rPr>
          <w:rFonts w:ascii="Times New Roman" w:hAnsi="Times New Roman"/>
          <w:b/>
          <w:sz w:val="24"/>
        </w:rPr>
        <w:t xml:space="preserve">by </w:t>
      </w:r>
      <w:r w:rsidRPr="00502929" w:rsidR="00AC6DC7">
        <w:rPr>
          <w:rFonts w:ascii="Times New Roman" w:hAnsi="Times New Roman"/>
          <w:b/>
          <w:sz w:val="24"/>
        </w:rPr>
        <w:t>[Insert date that is 30 days after publication of this Notice in the Federal Register</w:t>
      </w:r>
      <w:r w:rsidRPr="00502929" w:rsidR="00502929">
        <w:rPr>
          <w:rFonts w:ascii="Times New Roman" w:hAnsi="Times New Roman"/>
          <w:b/>
          <w:sz w:val="24"/>
        </w:rPr>
        <w:t>].</w:t>
      </w:r>
    </w:p>
    <w:p w:rsidR="00E007E4" w:rsidP="00502929" w:rsidRDefault="001C36A1" w14:paraId="163647A8" w14:textId="6AD99C0D">
      <w:pPr>
        <w:spacing w:after="0" w:line="480" w:lineRule="auto"/>
        <w:rPr>
          <w:rFonts w:ascii="Times New Roman" w:hAnsi="Times New Roman"/>
          <w:i/>
          <w:iCs/>
          <w:sz w:val="24"/>
        </w:rPr>
      </w:pPr>
      <w:r w:rsidRPr="001C36A1">
        <w:rPr>
          <w:rFonts w:ascii="Times New Roman" w:hAnsi="Times New Roman"/>
          <w:b/>
          <w:bCs/>
          <w:sz w:val="24"/>
        </w:rPr>
        <w:t xml:space="preserve">ADDRESSES: </w:t>
      </w:r>
      <w:r w:rsidRPr="00AA1CCF" w:rsidR="00AA1CCF">
        <w:rPr>
          <w:rFonts w:ascii="Times New Roman" w:hAnsi="Times New Roman"/>
          <w:iCs/>
          <w:sz w:val="24"/>
        </w:rPr>
        <w:t xml:space="preserve">Send written comments on </w:t>
      </w:r>
      <w:r w:rsidR="00013A5F">
        <w:rPr>
          <w:rFonts w:ascii="Times New Roman" w:hAnsi="Times New Roman"/>
          <w:iCs/>
          <w:sz w:val="24"/>
        </w:rPr>
        <w:t>FERC-923</w:t>
      </w:r>
      <w:r w:rsidRPr="00AA1CCF" w:rsidR="00AA1CCF">
        <w:rPr>
          <w:rFonts w:ascii="Times New Roman" w:hAnsi="Times New Roman"/>
          <w:iCs/>
          <w:sz w:val="24"/>
        </w:rPr>
        <w:t xml:space="preserve"> to </w:t>
      </w:r>
      <w:r w:rsidR="00E007E4">
        <w:rPr>
          <w:rFonts w:ascii="Times New Roman" w:hAnsi="Times New Roman"/>
          <w:iCs/>
          <w:sz w:val="24"/>
        </w:rPr>
        <w:t xml:space="preserve">OMB </w:t>
      </w:r>
      <w:r w:rsidRPr="00AA1CCF" w:rsidR="00AA1CCF">
        <w:rPr>
          <w:rFonts w:ascii="Times New Roman" w:hAnsi="Times New Roman"/>
          <w:iCs/>
          <w:sz w:val="24"/>
        </w:rPr>
        <w:t xml:space="preserve">by email at </w:t>
      </w:r>
      <w:hyperlink w:history="1" r:id="rId11">
        <w:r w:rsidRPr="00EE539D" w:rsidR="00AA1CCF">
          <w:rPr>
            <w:rStyle w:val="Hyperlink"/>
            <w:rFonts w:ascii="Times New Roman" w:hAnsi="Times New Roman"/>
            <w:iCs/>
            <w:sz w:val="24"/>
          </w:rPr>
          <w:t>OIRA_Submission@omb.eop.gov</w:t>
        </w:r>
      </w:hyperlink>
      <w:r w:rsidRPr="00E007E4" w:rsidR="00E007E4">
        <w:rPr>
          <w:rFonts w:ascii="Times New Roman" w:hAnsi="Times New Roman"/>
          <w:iCs/>
          <w:sz w:val="24"/>
        </w:rPr>
        <w:t>.</w:t>
      </w:r>
      <w:r w:rsidR="00E007E4">
        <w:rPr>
          <w:rFonts w:ascii="Times New Roman" w:hAnsi="Times New Roman"/>
          <w:iCs/>
          <w:sz w:val="24"/>
        </w:rPr>
        <w:t xml:space="preserve">  Attention:  Federal Energy Regulatory Commission Desk Officer.</w:t>
      </w:r>
      <w:r w:rsidR="001D5DEA">
        <w:rPr>
          <w:rFonts w:ascii="Times New Roman" w:hAnsi="Times New Roman"/>
          <w:iCs/>
          <w:sz w:val="24"/>
        </w:rPr>
        <w:t xml:space="preserve">  </w:t>
      </w:r>
      <w:r w:rsidRPr="00E007E4" w:rsidR="001D5DEA">
        <w:rPr>
          <w:rFonts w:ascii="Times New Roman" w:hAnsi="Times New Roman"/>
          <w:iCs/>
          <w:sz w:val="24"/>
        </w:rPr>
        <w:t>Please</w:t>
      </w:r>
      <w:r w:rsidR="001D5DEA">
        <w:rPr>
          <w:rFonts w:ascii="Times New Roman" w:hAnsi="Times New Roman"/>
          <w:iCs/>
          <w:sz w:val="24"/>
        </w:rPr>
        <w:t xml:space="preserve"> identify the OMB control number (1902-0265) in the subject line of your comments.</w:t>
      </w:r>
    </w:p>
    <w:p w:rsidRPr="000C42B0" w:rsidR="001C36A1" w:rsidP="00E007E4" w:rsidRDefault="00AA1CCF" w14:paraId="3B67A4C4" w14:textId="77777777">
      <w:pPr>
        <w:spacing w:after="0" w:line="480" w:lineRule="auto"/>
        <w:ind w:firstLine="720"/>
        <w:rPr>
          <w:rFonts w:ascii="Times New Roman" w:hAnsi="Times New Roman"/>
          <w:iCs/>
          <w:sz w:val="24"/>
        </w:rPr>
      </w:pPr>
      <w:r w:rsidRPr="00AA1CCF">
        <w:rPr>
          <w:rFonts w:ascii="Times New Roman" w:hAnsi="Times New Roman"/>
          <w:iCs/>
          <w:sz w:val="24"/>
        </w:rPr>
        <w:t xml:space="preserve">Please provide a copy of your comments to the </w:t>
      </w:r>
      <w:r w:rsidR="005C79C6">
        <w:rPr>
          <w:rFonts w:ascii="Times New Roman" w:hAnsi="Times New Roman"/>
          <w:iCs/>
          <w:sz w:val="24"/>
        </w:rPr>
        <w:t>Commission by either of the following methods:</w:t>
      </w:r>
    </w:p>
    <w:p w:rsidR="00C4734A" w:rsidP="005A629F" w:rsidRDefault="005A629F" w14:paraId="1228B78A" w14:textId="77777777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iCs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eFiling</w:t>
      </w:r>
      <w:proofErr w:type="spellEnd"/>
      <w:r>
        <w:rPr>
          <w:rFonts w:ascii="Times New Roman" w:hAnsi="Times New Roman"/>
          <w:iCs/>
          <w:sz w:val="24"/>
        </w:rPr>
        <w:t xml:space="preserve"> at the Commission’s Web Site:</w:t>
      </w:r>
    </w:p>
    <w:p w:rsidR="005A629F" w:rsidP="00C4734A" w:rsidRDefault="003C1D26" w14:paraId="3F15F5C9" w14:textId="39448740">
      <w:pPr>
        <w:pStyle w:val="ListParagraph"/>
        <w:spacing w:after="0" w:line="480" w:lineRule="auto"/>
        <w:ind w:left="1440"/>
        <w:rPr>
          <w:rFonts w:ascii="Times New Roman" w:hAnsi="Times New Roman"/>
          <w:iCs/>
          <w:sz w:val="24"/>
        </w:rPr>
      </w:pPr>
      <w:hyperlink w:history="1" r:id="rId12">
        <w:r w:rsidRPr="000D6E64" w:rsidR="00782352">
          <w:rPr>
            <w:rStyle w:val="Hyperlink"/>
            <w:rFonts w:ascii="Times New Roman" w:hAnsi="Times New Roman"/>
            <w:iCs/>
            <w:sz w:val="24"/>
          </w:rPr>
          <w:t>http://www.ferc.gov/docs-filing/efiling.asp</w:t>
        </w:r>
      </w:hyperlink>
      <w:r w:rsidR="005A629F">
        <w:rPr>
          <w:rFonts w:ascii="Times New Roman" w:hAnsi="Times New Roman"/>
          <w:iCs/>
          <w:sz w:val="24"/>
        </w:rPr>
        <w:t>; or</w:t>
      </w:r>
    </w:p>
    <w:p w:rsidR="00E007E4" w:rsidP="005A629F" w:rsidRDefault="005A629F" w14:paraId="4882F2E4" w14:textId="77777777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lastRenderedPageBreak/>
        <w:t>Mail/Hand Delivery/Courier:  Federal Energy Regulatory Commission, Secretary of the Commission, 888 First Street, NE, Washington, DC  20426</w:t>
      </w:r>
    </w:p>
    <w:p w:rsidR="005A629F" w:rsidP="00E007E4" w:rsidRDefault="00E007E4" w14:paraId="62ACEA9F" w14:textId="22CB15F2">
      <w:pPr>
        <w:spacing w:after="0" w:line="480" w:lineRule="auto"/>
        <w:rPr>
          <w:rFonts w:ascii="Times New Roman" w:hAnsi="Times New Roman"/>
          <w:iCs/>
          <w:sz w:val="24"/>
        </w:rPr>
      </w:pPr>
      <w:r w:rsidRPr="00E007E4">
        <w:rPr>
          <w:rFonts w:ascii="Times New Roman" w:hAnsi="Times New Roman"/>
          <w:iCs/>
          <w:sz w:val="24"/>
        </w:rPr>
        <w:t>Please</w:t>
      </w:r>
      <w:r w:rsidR="00587788">
        <w:rPr>
          <w:rFonts w:ascii="Times New Roman" w:hAnsi="Times New Roman"/>
          <w:iCs/>
          <w:sz w:val="24"/>
        </w:rPr>
        <w:t xml:space="preserve"> identify the </w:t>
      </w:r>
      <w:r w:rsidR="00013A5F">
        <w:rPr>
          <w:rFonts w:ascii="Times New Roman" w:hAnsi="Times New Roman"/>
          <w:iCs/>
          <w:sz w:val="24"/>
        </w:rPr>
        <w:t>following n</w:t>
      </w:r>
      <w:r w:rsidR="00587788">
        <w:rPr>
          <w:rFonts w:ascii="Times New Roman" w:hAnsi="Times New Roman"/>
          <w:iCs/>
          <w:sz w:val="24"/>
        </w:rPr>
        <w:t>umber</w:t>
      </w:r>
      <w:r w:rsidR="00013A5F">
        <w:rPr>
          <w:rFonts w:ascii="Times New Roman" w:hAnsi="Times New Roman"/>
          <w:iCs/>
          <w:sz w:val="24"/>
        </w:rPr>
        <w:t xml:space="preserve">s in the title or subject line of your comments: </w:t>
      </w:r>
      <w:r w:rsidR="00587788">
        <w:rPr>
          <w:rFonts w:ascii="Times New Roman" w:hAnsi="Times New Roman"/>
          <w:iCs/>
          <w:sz w:val="24"/>
        </w:rPr>
        <w:t xml:space="preserve">FERC-923, </w:t>
      </w:r>
      <w:r w:rsidRPr="00E007E4">
        <w:rPr>
          <w:rFonts w:ascii="Times New Roman" w:hAnsi="Times New Roman"/>
          <w:iCs/>
          <w:sz w:val="24"/>
        </w:rPr>
        <w:t>OMB Control Number 1</w:t>
      </w:r>
      <w:r>
        <w:rPr>
          <w:rFonts w:ascii="Times New Roman" w:hAnsi="Times New Roman"/>
          <w:iCs/>
          <w:sz w:val="24"/>
        </w:rPr>
        <w:t>902-0265</w:t>
      </w:r>
      <w:r w:rsidR="00013A5F">
        <w:rPr>
          <w:rFonts w:ascii="Times New Roman" w:hAnsi="Times New Roman"/>
          <w:iCs/>
          <w:sz w:val="24"/>
        </w:rPr>
        <w:t>.</w:t>
      </w:r>
    </w:p>
    <w:p w:rsidRPr="00502929" w:rsidR="001E3CB7" w:rsidP="001E3CB7" w:rsidRDefault="001E3CB7" w14:paraId="1EB1AEC7" w14:textId="0AF57861">
      <w:pPr>
        <w:spacing w:after="0" w:line="480" w:lineRule="auto"/>
        <w:rPr>
          <w:rFonts w:ascii="Times New Roman" w:hAnsi="Times New Roman"/>
          <w:sz w:val="24"/>
        </w:rPr>
      </w:pPr>
      <w:r w:rsidRPr="00502929">
        <w:rPr>
          <w:rFonts w:ascii="Times New Roman" w:hAnsi="Times New Roman"/>
          <w:i/>
          <w:sz w:val="24"/>
        </w:rPr>
        <w:t xml:space="preserve">Instructions: </w:t>
      </w:r>
      <w:r w:rsidRPr="00502929">
        <w:rPr>
          <w:rFonts w:ascii="Times New Roman" w:hAnsi="Times New Roman"/>
          <w:sz w:val="24"/>
        </w:rPr>
        <w:t xml:space="preserve">All submissions </w:t>
      </w:r>
      <w:r w:rsidR="00740D27">
        <w:rPr>
          <w:rFonts w:ascii="Times New Roman" w:hAnsi="Times New Roman"/>
          <w:sz w:val="24"/>
        </w:rPr>
        <w:t xml:space="preserve">to the Commission </w:t>
      </w:r>
      <w:r w:rsidRPr="00502929">
        <w:rPr>
          <w:rFonts w:ascii="Times New Roman" w:hAnsi="Times New Roman"/>
          <w:sz w:val="24"/>
        </w:rPr>
        <w:t xml:space="preserve">must be formatted and filed in accordance with submission guidelines at: </w:t>
      </w:r>
      <w:hyperlink w:history="1" r:id="rId13">
        <w:r w:rsidRPr="00502929">
          <w:rPr>
            <w:rStyle w:val="Hyperlink"/>
            <w:rFonts w:ascii="Times New Roman" w:hAnsi="Times New Roman"/>
            <w:sz w:val="24"/>
          </w:rPr>
          <w:t>http://www.ferc.gov/help/submission-guide.asp</w:t>
        </w:r>
      </w:hyperlink>
      <w:r w:rsidRPr="00502929">
        <w:rPr>
          <w:rFonts w:ascii="Times New Roman" w:hAnsi="Times New Roman"/>
          <w:sz w:val="24"/>
        </w:rPr>
        <w:t>.  For user assistance contact FERC Online Support by e-mail at</w:t>
      </w:r>
      <w:r w:rsidR="00EE539D">
        <w:rPr>
          <w:rFonts w:ascii="Times New Roman" w:hAnsi="Times New Roman"/>
          <w:sz w:val="24"/>
        </w:rPr>
        <w:t xml:space="preserve"> </w:t>
      </w:r>
      <w:hyperlink w:history="1" r:id="rId14">
        <w:r w:rsidRPr="000D6E64" w:rsidR="00EE539D">
          <w:rPr>
            <w:rStyle w:val="Hyperlink"/>
            <w:rFonts w:ascii="Times New Roman" w:hAnsi="Times New Roman"/>
            <w:sz w:val="24"/>
          </w:rPr>
          <w:t>ferconlinesupport@ferc.gov</w:t>
        </w:r>
      </w:hyperlink>
      <w:r w:rsidR="00EE539D">
        <w:rPr>
          <w:rFonts w:ascii="Times New Roman" w:hAnsi="Times New Roman"/>
          <w:sz w:val="24"/>
        </w:rPr>
        <w:t xml:space="preserve">, </w:t>
      </w:r>
      <w:r w:rsidRPr="00502929">
        <w:rPr>
          <w:rFonts w:ascii="Times New Roman" w:hAnsi="Times New Roman"/>
          <w:sz w:val="24"/>
        </w:rPr>
        <w:t xml:space="preserve">or by phone at:  (866) 208-3676 (toll-free), or (202) 502-8659 for </w:t>
      </w:r>
      <w:r w:rsidR="00A61A74">
        <w:rPr>
          <w:rFonts w:ascii="Times New Roman" w:hAnsi="Times New Roman"/>
          <w:sz w:val="24"/>
        </w:rPr>
        <w:t>Text Telephone (</w:t>
      </w:r>
      <w:r w:rsidRPr="00502929">
        <w:rPr>
          <w:rFonts w:ascii="Times New Roman" w:hAnsi="Times New Roman"/>
          <w:sz w:val="24"/>
        </w:rPr>
        <w:t>TTY</w:t>
      </w:r>
      <w:r w:rsidR="00A61A74">
        <w:rPr>
          <w:rFonts w:ascii="Times New Roman" w:hAnsi="Times New Roman"/>
          <w:sz w:val="24"/>
        </w:rPr>
        <w:t>)</w:t>
      </w:r>
      <w:r w:rsidRPr="00502929">
        <w:rPr>
          <w:rFonts w:ascii="Times New Roman" w:hAnsi="Times New Roman"/>
          <w:sz w:val="24"/>
        </w:rPr>
        <w:t>.</w:t>
      </w:r>
    </w:p>
    <w:p w:rsidRPr="00E007E4" w:rsidR="001E3CB7" w:rsidP="001E3CB7" w:rsidRDefault="001E3CB7" w14:paraId="218ADA0B" w14:textId="0617E80D">
      <w:pPr>
        <w:spacing w:after="0" w:line="480" w:lineRule="auto"/>
        <w:rPr>
          <w:rFonts w:ascii="Times New Roman" w:hAnsi="Times New Roman"/>
          <w:iCs/>
          <w:sz w:val="24"/>
        </w:rPr>
      </w:pPr>
      <w:r w:rsidRPr="00502929">
        <w:rPr>
          <w:rFonts w:ascii="Times New Roman" w:hAnsi="Times New Roman"/>
          <w:i/>
          <w:sz w:val="24"/>
        </w:rPr>
        <w:t>Docket:</w:t>
      </w:r>
      <w:r w:rsidRPr="00502929">
        <w:rPr>
          <w:rFonts w:ascii="Times New Roman" w:hAnsi="Times New Roman"/>
          <w:sz w:val="24"/>
        </w:rPr>
        <w:t xml:space="preserve"> Users interested in receiving automatic notification of activity in this docket or in viewing/downloading comments and issuances in this docket may do so at </w:t>
      </w:r>
      <w:hyperlink w:history="1" r:id="rId15">
        <w:r w:rsidRPr="00502929">
          <w:rPr>
            <w:rStyle w:val="Hyperlink"/>
            <w:rFonts w:ascii="Times New Roman" w:hAnsi="Times New Roman"/>
            <w:sz w:val="24"/>
          </w:rPr>
          <w:t>http://www.ferc.gov/docs-filing/docs-filing.asp</w:t>
        </w:r>
      </w:hyperlink>
      <w:r w:rsidRPr="00502929">
        <w:rPr>
          <w:rFonts w:ascii="Times New Roman" w:hAnsi="Times New Roman"/>
          <w:sz w:val="24"/>
        </w:rPr>
        <w:t>.</w:t>
      </w:r>
    </w:p>
    <w:p w:rsidRPr="00502929" w:rsidR="00DF7EA0" w:rsidP="00502929" w:rsidRDefault="001C36A1" w14:paraId="66DB91FD" w14:textId="5E2DE0C9">
      <w:pPr>
        <w:spacing w:after="0" w:line="480" w:lineRule="auto"/>
        <w:rPr>
          <w:rFonts w:ascii="Times New Roman" w:hAnsi="Times New Roman"/>
          <w:sz w:val="24"/>
        </w:rPr>
      </w:pPr>
      <w:r w:rsidRPr="00502929">
        <w:rPr>
          <w:rFonts w:ascii="Times New Roman" w:hAnsi="Times New Roman"/>
          <w:b/>
          <w:bCs/>
          <w:sz w:val="24"/>
        </w:rPr>
        <w:t>FOR FURTHER INFORMATION CONTACT</w:t>
      </w:r>
      <w:r w:rsidRPr="00502929" w:rsidR="00502929">
        <w:rPr>
          <w:rFonts w:ascii="Times New Roman" w:hAnsi="Times New Roman"/>
          <w:b/>
          <w:bCs/>
          <w:sz w:val="24"/>
        </w:rPr>
        <w:t xml:space="preserve">:  </w:t>
      </w:r>
      <w:r w:rsidRPr="00502929" w:rsidR="00502929">
        <w:rPr>
          <w:rFonts w:ascii="Times New Roman" w:hAnsi="Times New Roman"/>
          <w:bCs/>
          <w:sz w:val="24"/>
        </w:rPr>
        <w:t xml:space="preserve">Ellen Brown by email at </w:t>
      </w:r>
      <w:hyperlink w:history="1" r:id="rId16">
        <w:r w:rsidRPr="00502929" w:rsidR="00502929">
          <w:rPr>
            <w:rStyle w:val="Hyperlink"/>
            <w:rFonts w:ascii="Times New Roman" w:hAnsi="Times New Roman"/>
            <w:bCs/>
            <w:sz w:val="24"/>
          </w:rPr>
          <w:t>DataClearance@FERC.gov</w:t>
        </w:r>
      </w:hyperlink>
      <w:r w:rsidRPr="00502929" w:rsidR="00502929">
        <w:rPr>
          <w:rFonts w:ascii="Times New Roman" w:hAnsi="Times New Roman"/>
          <w:bCs/>
          <w:sz w:val="24"/>
        </w:rPr>
        <w:t xml:space="preserve">, </w:t>
      </w:r>
      <w:r w:rsidR="00076A42">
        <w:rPr>
          <w:rFonts w:ascii="Times New Roman" w:hAnsi="Times New Roman"/>
          <w:bCs/>
          <w:sz w:val="24"/>
        </w:rPr>
        <w:t xml:space="preserve">or </w:t>
      </w:r>
      <w:r w:rsidRPr="00502929" w:rsidR="00502929">
        <w:rPr>
          <w:rFonts w:ascii="Times New Roman" w:hAnsi="Times New Roman"/>
          <w:bCs/>
          <w:sz w:val="24"/>
        </w:rPr>
        <w:t>by telephone at (202) 502-8663</w:t>
      </w:r>
      <w:r w:rsidR="00076A42">
        <w:rPr>
          <w:rFonts w:ascii="Times New Roman" w:hAnsi="Times New Roman"/>
          <w:bCs/>
          <w:sz w:val="24"/>
        </w:rPr>
        <w:t>.</w:t>
      </w:r>
    </w:p>
    <w:p w:rsidRPr="00502929" w:rsidR="00DF7EA0" w:rsidP="00502929" w:rsidRDefault="00DF7EA0" w14:paraId="1D17BE9B" w14:textId="77777777">
      <w:pPr>
        <w:spacing w:after="0" w:line="480" w:lineRule="auto"/>
        <w:rPr>
          <w:rFonts w:ascii="Times New Roman" w:hAnsi="Times New Roman"/>
          <w:sz w:val="24"/>
        </w:rPr>
      </w:pPr>
      <w:r w:rsidRPr="00502929">
        <w:rPr>
          <w:rFonts w:ascii="Times New Roman" w:hAnsi="Times New Roman"/>
          <w:b/>
          <w:sz w:val="24"/>
        </w:rPr>
        <w:t>SUPPLEMENTARY INFORMATION:</w:t>
      </w:r>
      <w:r w:rsidRPr="00502929">
        <w:rPr>
          <w:rFonts w:ascii="Times New Roman" w:hAnsi="Times New Roman"/>
          <w:sz w:val="24"/>
        </w:rPr>
        <w:t xml:space="preserve">  </w:t>
      </w:r>
    </w:p>
    <w:p w:rsidRPr="002B0C57" w:rsidR="002B0C57" w:rsidP="00502929" w:rsidRDefault="002B0C57" w14:paraId="70DEEB8F" w14:textId="666AE0C5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Type of Request</w:t>
      </w:r>
      <w:r>
        <w:rPr>
          <w:rFonts w:ascii="Times New Roman" w:hAnsi="Times New Roman"/>
          <w:sz w:val="24"/>
        </w:rPr>
        <w:t xml:space="preserve">:  Reinstatement of </w:t>
      </w:r>
      <w:r w:rsidR="00544233">
        <w:rPr>
          <w:rFonts w:ascii="Times New Roman" w:hAnsi="Times New Roman"/>
          <w:sz w:val="24"/>
        </w:rPr>
        <w:t xml:space="preserve">FERC-923 </w:t>
      </w:r>
      <w:r>
        <w:rPr>
          <w:rFonts w:ascii="Times New Roman" w:hAnsi="Times New Roman"/>
          <w:sz w:val="24"/>
        </w:rPr>
        <w:t>for 3 years.</w:t>
      </w:r>
    </w:p>
    <w:p w:rsidRPr="00502929" w:rsidR="00DF7EA0" w:rsidP="00502929" w:rsidRDefault="00DF7EA0" w14:paraId="32F80C96" w14:textId="0A618A3D">
      <w:pPr>
        <w:spacing w:after="0" w:line="480" w:lineRule="auto"/>
        <w:rPr>
          <w:rFonts w:ascii="Times New Roman" w:hAnsi="Times New Roman"/>
          <w:i/>
          <w:sz w:val="24"/>
        </w:rPr>
      </w:pPr>
      <w:r w:rsidRPr="00502929">
        <w:rPr>
          <w:rFonts w:ascii="Times New Roman" w:hAnsi="Times New Roman"/>
          <w:i/>
          <w:sz w:val="24"/>
        </w:rPr>
        <w:t xml:space="preserve">Title: </w:t>
      </w:r>
      <w:r w:rsidRPr="00502929">
        <w:rPr>
          <w:rFonts w:ascii="Times New Roman" w:hAnsi="Times New Roman"/>
          <w:sz w:val="24"/>
        </w:rPr>
        <w:t>FERC-</w:t>
      </w:r>
      <w:r w:rsidR="001E3CB7">
        <w:rPr>
          <w:rFonts w:ascii="Times New Roman" w:hAnsi="Times New Roman"/>
          <w:sz w:val="24"/>
        </w:rPr>
        <w:t xml:space="preserve">923, </w:t>
      </w:r>
      <w:r w:rsidRPr="007F34F3" w:rsidR="001E3CB7">
        <w:rPr>
          <w:rFonts w:ascii="Times New Roman" w:hAnsi="Times New Roman"/>
          <w:sz w:val="24"/>
        </w:rPr>
        <w:t>Communication of Operational Information between Natural Gas Pipelines and Electric Transmission Operators</w:t>
      </w:r>
      <w:r w:rsidR="000B31CF">
        <w:rPr>
          <w:rFonts w:ascii="Times New Roman" w:hAnsi="Times New Roman"/>
          <w:sz w:val="24"/>
        </w:rPr>
        <w:t>.</w:t>
      </w:r>
    </w:p>
    <w:p w:rsidRPr="00502929" w:rsidR="00DF7EA0" w:rsidP="00502929" w:rsidRDefault="00DF7EA0" w14:paraId="7107ACE2" w14:textId="5B010F10">
      <w:pPr>
        <w:spacing w:after="0" w:line="480" w:lineRule="auto"/>
        <w:rPr>
          <w:rFonts w:ascii="Times New Roman" w:hAnsi="Times New Roman"/>
          <w:sz w:val="24"/>
        </w:rPr>
      </w:pPr>
      <w:r w:rsidRPr="00502929">
        <w:rPr>
          <w:rFonts w:ascii="Times New Roman" w:hAnsi="Times New Roman"/>
          <w:i/>
          <w:sz w:val="24"/>
        </w:rPr>
        <w:t>OMB Control No.:</w:t>
      </w:r>
      <w:r w:rsidRPr="00502929">
        <w:rPr>
          <w:rFonts w:ascii="Times New Roman" w:hAnsi="Times New Roman"/>
          <w:sz w:val="24"/>
        </w:rPr>
        <w:t xml:space="preserve"> 1902-</w:t>
      </w:r>
      <w:r w:rsidR="001E3CB7">
        <w:rPr>
          <w:rFonts w:ascii="Times New Roman" w:hAnsi="Times New Roman"/>
          <w:sz w:val="24"/>
        </w:rPr>
        <w:t>0265</w:t>
      </w:r>
      <w:r w:rsidR="000B31CF">
        <w:rPr>
          <w:rFonts w:ascii="Times New Roman" w:hAnsi="Times New Roman"/>
          <w:sz w:val="24"/>
        </w:rPr>
        <w:t>.</w:t>
      </w:r>
    </w:p>
    <w:p w:rsidR="00E07013" w:rsidP="003675EE" w:rsidRDefault="00DF7EA0" w14:paraId="02DE4728" w14:textId="77777777">
      <w:pPr>
        <w:spacing w:after="0" w:line="480" w:lineRule="auto"/>
        <w:rPr>
          <w:rFonts w:ascii="Times New Roman" w:hAnsi="Times New Roman"/>
          <w:sz w:val="24"/>
        </w:rPr>
      </w:pPr>
      <w:r w:rsidRPr="00406F15">
        <w:rPr>
          <w:rFonts w:ascii="Times New Roman" w:hAnsi="Times New Roman"/>
          <w:i/>
          <w:sz w:val="24"/>
        </w:rPr>
        <w:t>Abstrac</w:t>
      </w:r>
      <w:r w:rsidRPr="00406F15" w:rsidR="003D43E2">
        <w:rPr>
          <w:rFonts w:ascii="Times New Roman" w:hAnsi="Times New Roman"/>
          <w:i/>
          <w:sz w:val="24"/>
        </w:rPr>
        <w:t>t</w:t>
      </w:r>
      <w:r w:rsidR="003D43E2">
        <w:rPr>
          <w:rFonts w:ascii="Times New Roman" w:hAnsi="Times New Roman"/>
          <w:sz w:val="24"/>
        </w:rPr>
        <w:t xml:space="preserve">:  The regulations that authorize FERC-923 </w:t>
      </w:r>
      <w:r w:rsidRPr="003D43E2" w:rsidR="003D43E2">
        <w:rPr>
          <w:rFonts w:ascii="Times New Roman" w:hAnsi="Times New Roman"/>
          <w:sz w:val="24"/>
        </w:rPr>
        <w:t>(18 CFR 38.2 and 284.12(b)(4)(</w:t>
      </w:r>
      <w:proofErr w:type="spellStart"/>
      <w:r w:rsidRPr="003D43E2" w:rsidR="003D43E2">
        <w:rPr>
          <w:rFonts w:ascii="Times New Roman" w:hAnsi="Times New Roman"/>
          <w:sz w:val="24"/>
        </w:rPr>
        <w:t>i</w:t>
      </w:r>
      <w:proofErr w:type="spellEnd"/>
      <w:r w:rsidRPr="003D43E2" w:rsidR="003D43E2">
        <w:rPr>
          <w:rFonts w:ascii="Times New Roman" w:hAnsi="Times New Roman"/>
          <w:sz w:val="24"/>
        </w:rPr>
        <w:t xml:space="preserve">)) </w:t>
      </w:r>
      <w:r w:rsidR="003D43E2">
        <w:rPr>
          <w:rFonts w:ascii="Times New Roman" w:hAnsi="Times New Roman"/>
          <w:sz w:val="24"/>
        </w:rPr>
        <w:t xml:space="preserve">eliminate </w:t>
      </w:r>
      <w:r w:rsidRPr="003D43E2" w:rsidR="003D43E2">
        <w:rPr>
          <w:rFonts w:ascii="Times New Roman" w:hAnsi="Times New Roman"/>
          <w:sz w:val="24"/>
        </w:rPr>
        <w:t xml:space="preserve">actual and  perceived prohibitions against the </w:t>
      </w:r>
      <w:r w:rsidR="00995F9D">
        <w:rPr>
          <w:rFonts w:ascii="Times New Roman" w:hAnsi="Times New Roman"/>
          <w:sz w:val="24"/>
        </w:rPr>
        <w:t xml:space="preserve">voluntary </w:t>
      </w:r>
      <w:r w:rsidRPr="003D43E2" w:rsidR="003D43E2">
        <w:rPr>
          <w:rFonts w:ascii="Times New Roman" w:hAnsi="Times New Roman"/>
          <w:sz w:val="24"/>
        </w:rPr>
        <w:t>sharing of non-public, operational information between</w:t>
      </w:r>
      <w:r w:rsidR="00995F9D">
        <w:rPr>
          <w:rFonts w:ascii="Times New Roman" w:hAnsi="Times New Roman"/>
          <w:sz w:val="24"/>
        </w:rPr>
        <w:t xml:space="preserve"> natural gas pipelines and public utilities.  FERC </w:t>
      </w:r>
      <w:r w:rsidR="00995F9D">
        <w:rPr>
          <w:rFonts w:ascii="Times New Roman" w:hAnsi="Times New Roman"/>
          <w:sz w:val="24"/>
        </w:rPr>
        <w:lastRenderedPageBreak/>
        <w:t xml:space="preserve">promulgated those regulations in order to promote reliability of service.  </w:t>
      </w:r>
      <w:r w:rsidR="003D43E2">
        <w:rPr>
          <w:rFonts w:ascii="Times New Roman" w:hAnsi="Times New Roman"/>
          <w:sz w:val="24"/>
        </w:rPr>
        <w:t>FERC-923</w:t>
      </w:r>
      <w:r w:rsidRPr="003D43E2" w:rsidR="003D43E2">
        <w:rPr>
          <w:rFonts w:ascii="Times New Roman" w:hAnsi="Times New Roman"/>
          <w:sz w:val="24"/>
        </w:rPr>
        <w:t xml:space="preserve"> does not involve submission of information to FERC</w:t>
      </w:r>
      <w:r w:rsidR="00995F9D">
        <w:rPr>
          <w:rFonts w:ascii="Times New Roman" w:hAnsi="Times New Roman"/>
          <w:sz w:val="24"/>
        </w:rPr>
        <w:t>.</w:t>
      </w:r>
      <w:r w:rsidR="00A6712E">
        <w:rPr>
          <w:rFonts w:ascii="Times New Roman" w:hAnsi="Times New Roman"/>
          <w:sz w:val="24"/>
        </w:rPr>
        <w:t xml:space="preserve"> </w:t>
      </w:r>
    </w:p>
    <w:p w:rsidR="00F35E11" w:rsidP="00E07013" w:rsidRDefault="002B0C57" w14:paraId="52384A99" w14:textId="1F4E6D76">
      <w:pPr>
        <w:spacing w:after="0" w:line="48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expiration date of FERC-923 was January 31, 2020.  </w:t>
      </w:r>
      <w:r w:rsidR="00C85F6F">
        <w:rPr>
          <w:rFonts w:ascii="Times New Roman" w:hAnsi="Times New Roman"/>
          <w:sz w:val="24"/>
        </w:rPr>
        <w:t xml:space="preserve">FERC initiated the renewal process for FERC-923 on December </w:t>
      </w:r>
      <w:r w:rsidR="00AE6284">
        <w:rPr>
          <w:rFonts w:ascii="Times New Roman" w:hAnsi="Times New Roman"/>
          <w:sz w:val="24"/>
        </w:rPr>
        <w:t>30</w:t>
      </w:r>
      <w:r w:rsidR="00C85F6F">
        <w:rPr>
          <w:rFonts w:ascii="Times New Roman" w:hAnsi="Times New Roman"/>
          <w:sz w:val="24"/>
        </w:rPr>
        <w:t xml:space="preserve">, 2019, by publishing a 60-day notice (84 FR 71912).  </w:t>
      </w:r>
      <w:r w:rsidR="00F35E11">
        <w:rPr>
          <w:rFonts w:ascii="Times New Roman" w:hAnsi="Times New Roman"/>
          <w:sz w:val="24"/>
        </w:rPr>
        <w:t>That notice provided for a comment period that ended on February 28, 2020.</w:t>
      </w:r>
      <w:r w:rsidR="00880E91">
        <w:rPr>
          <w:rFonts w:ascii="Times New Roman" w:hAnsi="Times New Roman"/>
          <w:sz w:val="24"/>
        </w:rPr>
        <w:t xml:space="preserve">  No comments were received.</w:t>
      </w:r>
    </w:p>
    <w:p w:rsidR="003B4D3F" w:rsidP="00F833CC" w:rsidRDefault="002B0C57" w14:paraId="1FEF9BBF" w14:textId="27F0DEB3">
      <w:pPr>
        <w:spacing w:after="0" w:line="48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On </w:t>
      </w:r>
      <w:r w:rsidR="00E07013">
        <w:rPr>
          <w:rFonts w:ascii="Times New Roman" w:hAnsi="Times New Roman"/>
          <w:sz w:val="24"/>
        </w:rPr>
        <w:t xml:space="preserve">January 28, 2020, </w:t>
      </w:r>
      <w:r>
        <w:rPr>
          <w:rFonts w:ascii="Times New Roman" w:hAnsi="Times New Roman"/>
          <w:sz w:val="24"/>
        </w:rPr>
        <w:t xml:space="preserve">FERC </w:t>
      </w:r>
      <w:r w:rsidR="00E07013">
        <w:rPr>
          <w:rFonts w:ascii="Times New Roman" w:hAnsi="Times New Roman"/>
          <w:sz w:val="24"/>
        </w:rPr>
        <w:t>sent OMB a request for a 3-month</w:t>
      </w:r>
      <w:r>
        <w:rPr>
          <w:rFonts w:ascii="Times New Roman" w:hAnsi="Times New Roman"/>
          <w:sz w:val="24"/>
        </w:rPr>
        <w:t xml:space="preserve"> emergency extension </w:t>
      </w:r>
      <w:r w:rsidR="00E07013">
        <w:rPr>
          <w:rFonts w:ascii="Times New Roman" w:hAnsi="Times New Roman"/>
          <w:sz w:val="24"/>
        </w:rPr>
        <w:t>of the expiration date in order to continue the renewal process</w:t>
      </w:r>
      <w:r w:rsidR="00FB32C7">
        <w:rPr>
          <w:rFonts w:ascii="Times New Roman" w:hAnsi="Times New Roman"/>
          <w:sz w:val="24"/>
        </w:rPr>
        <w:t xml:space="preserve">.  </w:t>
      </w:r>
      <w:r w:rsidR="00CE08CF">
        <w:rPr>
          <w:rFonts w:ascii="Times New Roman" w:hAnsi="Times New Roman"/>
          <w:sz w:val="24"/>
        </w:rPr>
        <w:t>In addition, FERC published a notice of the emergency extension request on February 4, 2020 (</w:t>
      </w:r>
      <w:r w:rsidR="00FB32C7">
        <w:rPr>
          <w:rFonts w:ascii="Times New Roman" w:hAnsi="Times New Roman"/>
          <w:sz w:val="24"/>
        </w:rPr>
        <w:t xml:space="preserve">85 FR </w:t>
      </w:r>
      <w:r w:rsidR="00CA0540">
        <w:rPr>
          <w:rFonts w:ascii="Times New Roman" w:hAnsi="Times New Roman"/>
          <w:sz w:val="24"/>
        </w:rPr>
        <w:t xml:space="preserve">6153).  </w:t>
      </w:r>
      <w:r w:rsidR="00E07013">
        <w:rPr>
          <w:rFonts w:ascii="Times New Roman" w:hAnsi="Times New Roman"/>
          <w:sz w:val="24"/>
        </w:rPr>
        <w:t xml:space="preserve">OMB disapproved the request for an emergency extension on February 4, 2020.  </w:t>
      </w:r>
      <w:r w:rsidRPr="00E07013" w:rsidR="00E0701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FERC </w:t>
      </w:r>
      <w:r w:rsidR="00CA0540">
        <w:rPr>
          <w:rFonts w:ascii="Times New Roman" w:hAnsi="Times New Roman"/>
          <w:sz w:val="24"/>
        </w:rPr>
        <w:t xml:space="preserve">now </w:t>
      </w:r>
      <w:r>
        <w:rPr>
          <w:rFonts w:ascii="Times New Roman" w:hAnsi="Times New Roman"/>
          <w:sz w:val="24"/>
        </w:rPr>
        <w:t>seeks reinstatement</w:t>
      </w:r>
      <w:r w:rsidR="00F833CC">
        <w:rPr>
          <w:rFonts w:ascii="Times New Roman" w:hAnsi="Times New Roman"/>
          <w:sz w:val="24"/>
        </w:rPr>
        <w:t xml:space="preserve"> with changes</w:t>
      </w:r>
      <w:r w:rsidR="00A313FA">
        <w:rPr>
          <w:rFonts w:ascii="Times New Roman" w:hAnsi="Times New Roman"/>
          <w:sz w:val="24"/>
        </w:rPr>
        <w:t>, and once again invites public comment in this notice.</w:t>
      </w:r>
    </w:p>
    <w:p w:rsidR="009F2F65" w:rsidP="00E47A64" w:rsidRDefault="009C0E20" w14:paraId="64A8CB5E" w14:textId="77777777">
      <w:pPr>
        <w:spacing w:after="0" w:line="48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</w:t>
      </w:r>
      <w:r w:rsidR="00F833CC">
        <w:rPr>
          <w:rFonts w:ascii="Times New Roman" w:hAnsi="Times New Roman"/>
          <w:sz w:val="24"/>
        </w:rPr>
        <w:t>e changes</w:t>
      </w:r>
      <w:r w:rsidR="003B4D3F">
        <w:rPr>
          <w:rFonts w:ascii="Times New Roman" w:hAnsi="Times New Roman"/>
          <w:sz w:val="24"/>
        </w:rPr>
        <w:t xml:space="preserve"> consist of revised </w:t>
      </w:r>
      <w:r>
        <w:rPr>
          <w:rFonts w:ascii="Times New Roman" w:hAnsi="Times New Roman"/>
          <w:sz w:val="24"/>
        </w:rPr>
        <w:t>burden estimates</w:t>
      </w:r>
      <w:r w:rsidR="00F833CC">
        <w:rPr>
          <w:rFonts w:ascii="Times New Roman" w:hAnsi="Times New Roman"/>
          <w:sz w:val="24"/>
        </w:rPr>
        <w:t xml:space="preserve"> due </w:t>
      </w:r>
      <w:r w:rsidR="003B4D3F">
        <w:rPr>
          <w:rFonts w:ascii="Times New Roman" w:hAnsi="Times New Roman"/>
          <w:sz w:val="24"/>
        </w:rPr>
        <w:t xml:space="preserve">in part to adjustments </w:t>
      </w:r>
      <w:r w:rsidR="00A5596D">
        <w:rPr>
          <w:rFonts w:ascii="Times New Roman" w:hAnsi="Times New Roman"/>
          <w:sz w:val="24"/>
        </w:rPr>
        <w:t xml:space="preserve">of the burdens that OMB approved in 2017.  These changes are </w:t>
      </w:r>
      <w:r w:rsidR="003B4D3F">
        <w:rPr>
          <w:rFonts w:ascii="Times New Roman" w:hAnsi="Times New Roman"/>
          <w:sz w:val="24"/>
        </w:rPr>
        <w:t xml:space="preserve">based on </w:t>
      </w:r>
      <w:r w:rsidRPr="003B4D3F" w:rsidR="003B4D3F">
        <w:rPr>
          <w:rFonts w:ascii="Times New Roman" w:hAnsi="Times New Roman"/>
          <w:sz w:val="24"/>
        </w:rPr>
        <w:t>normal market fluctuation</w:t>
      </w:r>
      <w:r w:rsidR="003B4D3F">
        <w:rPr>
          <w:rFonts w:ascii="Times New Roman" w:hAnsi="Times New Roman"/>
          <w:sz w:val="24"/>
        </w:rPr>
        <w:t>.  In addition, the previously approved burden estimates are not in effect at present because of OMB’s February 4, 2020 disapproval of FERC’s request for an emergency extension</w:t>
      </w:r>
      <w:r w:rsidR="009F2F65">
        <w:rPr>
          <w:rFonts w:ascii="Times New Roman" w:hAnsi="Times New Roman"/>
          <w:sz w:val="24"/>
        </w:rPr>
        <w:t xml:space="preserve"> on February 4, 2020</w:t>
      </w:r>
      <w:r w:rsidR="003B4D3F">
        <w:rPr>
          <w:rFonts w:ascii="Times New Roman" w:hAnsi="Times New Roman"/>
          <w:sz w:val="24"/>
        </w:rPr>
        <w:t>.</w:t>
      </w:r>
    </w:p>
    <w:p w:rsidRPr="00502929" w:rsidR="00F833CC" w:rsidP="00E47A64" w:rsidRDefault="009F2F65" w14:paraId="61CAF2BE" w14:textId="7AE51D4E">
      <w:pPr>
        <w:spacing w:after="0" w:line="48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net effect of reinstatement is outlined below.  </w:t>
      </w:r>
      <w:r w:rsidRPr="00E47A64" w:rsidR="00E47A64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 xml:space="preserve">requested </w:t>
      </w:r>
      <w:r w:rsidRPr="00E47A64" w:rsidR="00E47A64">
        <w:rPr>
          <w:rFonts w:ascii="Times New Roman" w:hAnsi="Times New Roman"/>
          <w:sz w:val="24"/>
        </w:rPr>
        <w:t>changes are not a result of any program change or change in reporting/recordkeeping requirements.</w:t>
      </w:r>
    </w:p>
    <w:p w:rsidR="00167DA6" w:rsidP="00E240DA" w:rsidRDefault="00DF7EA0" w14:paraId="1AC21C75" w14:textId="5748772F">
      <w:pPr>
        <w:spacing w:after="0" w:line="480" w:lineRule="auto"/>
        <w:rPr>
          <w:rFonts w:ascii="Times New Roman" w:hAnsi="Times New Roman"/>
          <w:sz w:val="24"/>
        </w:rPr>
      </w:pPr>
      <w:r w:rsidRPr="00502929">
        <w:rPr>
          <w:rFonts w:ascii="Times New Roman" w:hAnsi="Times New Roman"/>
          <w:i/>
          <w:sz w:val="24"/>
        </w:rPr>
        <w:t>Estimate of Annual Burden</w:t>
      </w:r>
      <w:r w:rsidRPr="00E240DA">
        <w:rPr>
          <w:rFonts w:ascii="Times New Roman" w:hAnsi="Times New Roman"/>
          <w:b/>
          <w:sz w:val="24"/>
          <w:vertAlign w:val="superscript"/>
        </w:rPr>
        <w:footnoteReference w:id="1"/>
      </w:r>
      <w:r w:rsidRPr="00502929">
        <w:rPr>
          <w:rFonts w:ascii="Times New Roman" w:hAnsi="Times New Roman"/>
          <w:i/>
          <w:sz w:val="24"/>
        </w:rPr>
        <w:t>:</w:t>
      </w:r>
      <w:r w:rsidR="00E240DA">
        <w:rPr>
          <w:rFonts w:ascii="Times New Roman" w:hAnsi="Times New Roman"/>
          <w:i/>
          <w:sz w:val="24"/>
        </w:rPr>
        <w:t xml:space="preserve"> </w:t>
      </w:r>
      <w:r w:rsidRPr="00502929">
        <w:rPr>
          <w:rFonts w:ascii="Times New Roman" w:hAnsi="Times New Roman"/>
          <w:sz w:val="24"/>
        </w:rPr>
        <w:t xml:space="preserve">The total estimated annual burden </w:t>
      </w:r>
      <w:r w:rsidR="00167DA6">
        <w:rPr>
          <w:rFonts w:ascii="Times New Roman" w:hAnsi="Times New Roman"/>
          <w:sz w:val="24"/>
        </w:rPr>
        <w:t xml:space="preserve">for </w:t>
      </w:r>
      <w:r w:rsidRPr="00502929">
        <w:rPr>
          <w:rFonts w:ascii="Times New Roman" w:hAnsi="Times New Roman"/>
          <w:sz w:val="24"/>
        </w:rPr>
        <w:t>respondents is</w:t>
      </w:r>
      <w:r w:rsidR="00167DA6">
        <w:rPr>
          <w:rFonts w:ascii="Times New Roman" w:hAnsi="Times New Roman"/>
          <w:sz w:val="24"/>
        </w:rPr>
        <w:t>:</w:t>
      </w:r>
    </w:p>
    <w:p w:rsidRPr="008B0D5C" w:rsidR="008B0D5C" w:rsidP="008B0D5C" w:rsidRDefault="008B0D5C" w14:paraId="12111C05" w14:textId="1A8EFB19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4,152 responses;</w:t>
      </w:r>
    </w:p>
    <w:p w:rsidR="00167DA6" w:rsidP="00167DA6" w:rsidRDefault="008B0D5C" w14:paraId="13192FBA" w14:textId="544E4952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2,076</w:t>
      </w:r>
      <w:r w:rsidRPr="00167DA6" w:rsidR="00167DA6">
        <w:rPr>
          <w:rFonts w:ascii="Times New Roman" w:hAnsi="Times New Roman"/>
          <w:sz w:val="24"/>
        </w:rPr>
        <w:t xml:space="preserve"> burden hours;</w:t>
      </w:r>
      <w:r>
        <w:rPr>
          <w:rFonts w:ascii="Times New Roman" w:hAnsi="Times New Roman"/>
          <w:sz w:val="24"/>
        </w:rPr>
        <w:t xml:space="preserve"> and</w:t>
      </w:r>
    </w:p>
    <w:p w:rsidR="008B0D5C" w:rsidP="00167DA6" w:rsidRDefault="008B0D5C" w14:paraId="68D157D6" w14:textId="0FE528FC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$166,080.</w:t>
      </w:r>
    </w:p>
    <w:p w:rsidRPr="00167DA6" w:rsidR="002B447A" w:rsidP="008B0D5C" w:rsidRDefault="002B447A" w14:paraId="7BC6C41D" w14:textId="7D83FD41">
      <w:pPr>
        <w:spacing w:after="0" w:line="480" w:lineRule="auto"/>
        <w:rPr>
          <w:rFonts w:ascii="Times New Roman" w:hAnsi="Times New Roman"/>
          <w:sz w:val="24"/>
        </w:rPr>
      </w:pPr>
      <w:r w:rsidRPr="00167DA6">
        <w:rPr>
          <w:rFonts w:ascii="Times New Roman" w:hAnsi="Times New Roman"/>
          <w:sz w:val="24"/>
        </w:rPr>
        <w:t>The following table shows the pertinent calculations: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1351"/>
        <w:gridCol w:w="1279"/>
        <w:gridCol w:w="1183"/>
        <w:gridCol w:w="1063"/>
        <w:gridCol w:w="1084"/>
        <w:gridCol w:w="1161"/>
      </w:tblGrid>
      <w:tr w:rsidR="001D1094" w:rsidTr="00167DA6" w14:paraId="19EC3A6B" w14:textId="77777777">
        <w:trPr>
          <w:cantSplit/>
        </w:trPr>
        <w:tc>
          <w:tcPr>
            <w:tcW w:w="1510" w:type="dxa"/>
          </w:tcPr>
          <w:p w:rsidRPr="00163490" w:rsidR="00163490" w:rsidP="00163490" w:rsidRDefault="00163490" w14:paraId="135E9A01" w14:textId="77777777">
            <w:pPr>
              <w:jc w:val="center"/>
              <w:rPr>
                <w:rFonts w:ascii="Times New Roman" w:hAnsi="Times New Roman"/>
                <w:sz w:val="20"/>
              </w:rPr>
            </w:pPr>
            <w:r w:rsidRPr="00163490">
              <w:rPr>
                <w:rFonts w:ascii="Times New Roman" w:hAnsi="Times New Roman"/>
                <w:sz w:val="20"/>
              </w:rPr>
              <w:t>A.</w:t>
            </w:r>
          </w:p>
          <w:p w:rsidRPr="00163490" w:rsidR="00163490" w:rsidP="00163490" w:rsidRDefault="008B297A" w14:paraId="2F46C971" w14:textId="777777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Initiator </w:t>
            </w:r>
            <w:r w:rsidRPr="00163490" w:rsidR="00163490">
              <w:rPr>
                <w:rFonts w:ascii="Times New Roman" w:hAnsi="Times New Roman"/>
                <w:sz w:val="20"/>
              </w:rPr>
              <w:t xml:space="preserve">of </w:t>
            </w:r>
          </w:p>
          <w:p w:rsidRPr="00163490" w:rsidR="00163490" w:rsidP="00163490" w:rsidRDefault="008B297A" w14:paraId="49AACCEA" w14:textId="777777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Communication</w:t>
            </w:r>
          </w:p>
        </w:tc>
        <w:tc>
          <w:tcPr>
            <w:tcW w:w="1351" w:type="dxa"/>
          </w:tcPr>
          <w:p w:rsidRPr="00163490" w:rsidR="00163490" w:rsidP="00163490" w:rsidRDefault="00163490" w14:paraId="3884172F" w14:textId="77777777">
            <w:pPr>
              <w:jc w:val="center"/>
              <w:rPr>
                <w:rFonts w:ascii="Times New Roman" w:hAnsi="Times New Roman"/>
                <w:sz w:val="20"/>
              </w:rPr>
            </w:pPr>
            <w:r w:rsidRPr="00163490">
              <w:rPr>
                <w:rFonts w:ascii="Times New Roman" w:hAnsi="Times New Roman"/>
                <w:sz w:val="20"/>
              </w:rPr>
              <w:t>B.</w:t>
            </w:r>
          </w:p>
          <w:p w:rsidRPr="00163490" w:rsidR="00163490" w:rsidP="00163490" w:rsidRDefault="00163490" w14:paraId="3E7A2850" w14:textId="77777777">
            <w:pPr>
              <w:jc w:val="center"/>
              <w:rPr>
                <w:rFonts w:ascii="Times New Roman" w:hAnsi="Times New Roman"/>
                <w:sz w:val="20"/>
              </w:rPr>
            </w:pPr>
            <w:r w:rsidRPr="00163490">
              <w:rPr>
                <w:rFonts w:ascii="Times New Roman" w:hAnsi="Times New Roman"/>
                <w:sz w:val="20"/>
              </w:rPr>
              <w:t>Number of Respondents</w:t>
            </w:r>
          </w:p>
        </w:tc>
        <w:tc>
          <w:tcPr>
            <w:tcW w:w="1279" w:type="dxa"/>
          </w:tcPr>
          <w:p w:rsidRPr="00163490" w:rsidR="00163490" w:rsidP="00163490" w:rsidRDefault="00163490" w14:paraId="6F694E6A" w14:textId="77777777">
            <w:pPr>
              <w:jc w:val="center"/>
              <w:rPr>
                <w:rFonts w:ascii="Times New Roman" w:hAnsi="Times New Roman"/>
                <w:sz w:val="20"/>
              </w:rPr>
            </w:pPr>
            <w:r w:rsidRPr="00163490">
              <w:rPr>
                <w:rFonts w:ascii="Times New Roman" w:hAnsi="Times New Roman"/>
                <w:sz w:val="20"/>
              </w:rPr>
              <w:t>C.</w:t>
            </w:r>
          </w:p>
          <w:p w:rsidR="00163490" w:rsidP="00163490" w:rsidRDefault="00163490" w14:paraId="35F2320B" w14:textId="77777777">
            <w:pPr>
              <w:jc w:val="center"/>
              <w:rPr>
                <w:rFonts w:ascii="Times New Roman" w:hAnsi="Times New Roman"/>
                <w:sz w:val="20"/>
              </w:rPr>
            </w:pPr>
            <w:r w:rsidRPr="00163490">
              <w:rPr>
                <w:rFonts w:ascii="Times New Roman" w:hAnsi="Times New Roman"/>
                <w:sz w:val="20"/>
              </w:rPr>
              <w:t>Annual Number of Responses per Respondent</w:t>
            </w:r>
          </w:p>
          <w:p w:rsidRPr="00163490" w:rsidR="00163490" w:rsidP="00163490" w:rsidRDefault="00163490" w14:paraId="27769B73" w14:textId="777777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4" w:type="dxa"/>
          </w:tcPr>
          <w:p w:rsidRPr="00163490" w:rsidR="00163490" w:rsidP="00163490" w:rsidRDefault="00163490" w14:paraId="0C366140" w14:textId="77777777">
            <w:pPr>
              <w:jc w:val="center"/>
              <w:rPr>
                <w:rFonts w:ascii="Times New Roman" w:hAnsi="Times New Roman"/>
                <w:sz w:val="20"/>
              </w:rPr>
            </w:pPr>
            <w:r w:rsidRPr="00163490">
              <w:rPr>
                <w:rFonts w:ascii="Times New Roman" w:hAnsi="Times New Roman"/>
                <w:sz w:val="20"/>
              </w:rPr>
              <w:t>D.</w:t>
            </w:r>
          </w:p>
          <w:p w:rsidRPr="00163490" w:rsidR="00163490" w:rsidP="00163490" w:rsidRDefault="00163490" w14:paraId="1D3D78E4" w14:textId="77777777">
            <w:pPr>
              <w:jc w:val="center"/>
              <w:rPr>
                <w:rFonts w:ascii="Times New Roman" w:hAnsi="Times New Roman"/>
                <w:sz w:val="20"/>
              </w:rPr>
            </w:pPr>
            <w:r w:rsidRPr="00163490">
              <w:rPr>
                <w:rFonts w:ascii="Times New Roman" w:hAnsi="Times New Roman"/>
                <w:sz w:val="20"/>
              </w:rPr>
              <w:t>Total Number of Responses</w:t>
            </w:r>
          </w:p>
          <w:p w:rsidRPr="00163490" w:rsidR="00163490" w:rsidP="00163490" w:rsidRDefault="00163490" w14:paraId="5A5395D9" w14:textId="77777777">
            <w:pPr>
              <w:jc w:val="center"/>
              <w:rPr>
                <w:rFonts w:ascii="Times New Roman" w:hAnsi="Times New Roman"/>
                <w:sz w:val="20"/>
              </w:rPr>
            </w:pPr>
            <w:r w:rsidRPr="00163490">
              <w:rPr>
                <w:rFonts w:ascii="Times New Roman" w:hAnsi="Times New Roman"/>
                <w:sz w:val="20"/>
              </w:rPr>
              <w:t>(Column B x Column C)</w:t>
            </w:r>
          </w:p>
        </w:tc>
        <w:tc>
          <w:tcPr>
            <w:tcW w:w="1061" w:type="dxa"/>
          </w:tcPr>
          <w:p w:rsidRPr="00163490" w:rsidR="00163490" w:rsidP="00163490" w:rsidRDefault="00163490" w14:paraId="53A88990" w14:textId="77777777">
            <w:pPr>
              <w:jc w:val="center"/>
              <w:rPr>
                <w:rFonts w:ascii="Times New Roman" w:hAnsi="Times New Roman"/>
                <w:sz w:val="20"/>
              </w:rPr>
            </w:pPr>
            <w:r w:rsidRPr="00163490">
              <w:rPr>
                <w:rFonts w:ascii="Times New Roman" w:hAnsi="Times New Roman"/>
                <w:sz w:val="20"/>
              </w:rPr>
              <w:t>E.</w:t>
            </w:r>
          </w:p>
          <w:p w:rsidR="001D1094" w:rsidP="00163490" w:rsidRDefault="00163490" w14:paraId="03B22A17" w14:textId="77777777">
            <w:pPr>
              <w:jc w:val="center"/>
              <w:rPr>
                <w:rFonts w:ascii="Times New Roman" w:hAnsi="Times New Roman"/>
                <w:sz w:val="20"/>
              </w:rPr>
            </w:pPr>
            <w:r w:rsidRPr="00163490">
              <w:rPr>
                <w:rFonts w:ascii="Times New Roman" w:hAnsi="Times New Roman"/>
                <w:sz w:val="20"/>
              </w:rPr>
              <w:t>Average Burden H</w:t>
            </w:r>
            <w:r w:rsidR="001D1094">
              <w:rPr>
                <w:rFonts w:ascii="Times New Roman" w:hAnsi="Times New Roman"/>
                <w:sz w:val="20"/>
              </w:rPr>
              <w:t>rs.</w:t>
            </w:r>
            <w:r w:rsidRPr="00163490">
              <w:rPr>
                <w:rFonts w:ascii="Times New Roman" w:hAnsi="Times New Roman"/>
                <w:sz w:val="20"/>
              </w:rPr>
              <w:t xml:space="preserve"> </w:t>
            </w:r>
            <w:r w:rsidR="001D1094">
              <w:rPr>
                <w:rFonts w:ascii="Times New Roman" w:hAnsi="Times New Roman"/>
                <w:sz w:val="20"/>
              </w:rPr>
              <w:t>&amp;</w:t>
            </w:r>
          </w:p>
          <w:p w:rsidRPr="00163490" w:rsidR="00163490" w:rsidP="00163490" w:rsidRDefault="00163490" w14:paraId="6505607C" w14:textId="77777777">
            <w:pPr>
              <w:jc w:val="center"/>
              <w:rPr>
                <w:rFonts w:ascii="Times New Roman" w:hAnsi="Times New Roman"/>
                <w:sz w:val="20"/>
              </w:rPr>
            </w:pPr>
            <w:r w:rsidRPr="00163490">
              <w:rPr>
                <w:rFonts w:ascii="Times New Roman" w:hAnsi="Times New Roman"/>
                <w:sz w:val="20"/>
              </w:rPr>
              <w:t xml:space="preserve">Cost per </w:t>
            </w:r>
            <w:r w:rsidRPr="00163490">
              <w:rPr>
                <w:rFonts w:ascii="Times New Roman" w:hAnsi="Times New Roman"/>
                <w:sz w:val="20"/>
              </w:rPr>
              <w:br/>
              <w:t>Response</w:t>
            </w:r>
            <w:r w:rsidRPr="00E240DA" w:rsidR="001D1094">
              <w:rPr>
                <w:rFonts w:ascii="Times New Roman" w:hAnsi="Times New Roman"/>
                <w:b/>
                <w:sz w:val="24"/>
                <w:vertAlign w:val="superscript"/>
              </w:rPr>
              <w:footnoteReference w:id="2"/>
            </w:r>
          </w:p>
        </w:tc>
        <w:tc>
          <w:tcPr>
            <w:tcW w:w="1084" w:type="dxa"/>
          </w:tcPr>
          <w:p w:rsidRPr="00163490" w:rsidR="00163490" w:rsidP="00163490" w:rsidRDefault="00163490" w14:paraId="1A5374BA" w14:textId="77777777">
            <w:pPr>
              <w:jc w:val="center"/>
              <w:rPr>
                <w:rFonts w:ascii="Times New Roman" w:hAnsi="Times New Roman"/>
                <w:sz w:val="20"/>
              </w:rPr>
            </w:pPr>
            <w:r w:rsidRPr="00163490">
              <w:rPr>
                <w:rFonts w:ascii="Times New Roman" w:hAnsi="Times New Roman"/>
                <w:sz w:val="20"/>
              </w:rPr>
              <w:t>F.</w:t>
            </w:r>
          </w:p>
          <w:p w:rsidR="00163490" w:rsidP="00163490" w:rsidRDefault="00163490" w14:paraId="0EB1CAD5" w14:textId="77777777">
            <w:pPr>
              <w:jc w:val="center"/>
              <w:rPr>
                <w:rFonts w:ascii="Times New Roman" w:hAnsi="Times New Roman"/>
                <w:sz w:val="20"/>
              </w:rPr>
            </w:pPr>
            <w:r w:rsidRPr="00163490">
              <w:rPr>
                <w:rFonts w:ascii="Times New Roman" w:hAnsi="Times New Roman"/>
                <w:sz w:val="20"/>
              </w:rPr>
              <w:t xml:space="preserve">Total Annual </w:t>
            </w:r>
            <w:r w:rsidR="001D1094">
              <w:rPr>
                <w:rFonts w:ascii="Times New Roman" w:hAnsi="Times New Roman"/>
                <w:sz w:val="20"/>
              </w:rPr>
              <w:t xml:space="preserve">Hr. </w:t>
            </w:r>
            <w:r w:rsidRPr="00163490">
              <w:rPr>
                <w:rFonts w:ascii="Times New Roman" w:hAnsi="Times New Roman"/>
                <w:sz w:val="20"/>
              </w:rPr>
              <w:t xml:space="preserve">Burdens </w:t>
            </w:r>
            <w:r w:rsidR="001D1094">
              <w:rPr>
                <w:rFonts w:ascii="Times New Roman" w:hAnsi="Times New Roman"/>
                <w:sz w:val="20"/>
              </w:rPr>
              <w:t xml:space="preserve">&amp; </w:t>
            </w:r>
            <w:r w:rsidRPr="00163490">
              <w:rPr>
                <w:rFonts w:ascii="Times New Roman" w:hAnsi="Times New Roman"/>
                <w:sz w:val="20"/>
              </w:rPr>
              <w:t>Total Annual Cost</w:t>
            </w:r>
          </w:p>
          <w:p w:rsidRPr="00163490" w:rsidR="00163490" w:rsidP="00163490" w:rsidRDefault="00163490" w14:paraId="55BEF6E3" w14:textId="777777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(Column </w:t>
            </w:r>
            <w:r w:rsidR="00D83049">
              <w:rPr>
                <w:rFonts w:ascii="Times New Roman" w:hAnsi="Times New Roman"/>
                <w:sz w:val="20"/>
              </w:rPr>
              <w:t>D x Column E</w:t>
            </w:r>
            <w:r w:rsidR="008B297A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61" w:type="dxa"/>
          </w:tcPr>
          <w:p w:rsidRPr="00163490" w:rsidR="00163490" w:rsidP="00163490" w:rsidRDefault="00163490" w14:paraId="1A12546F" w14:textId="77777777">
            <w:pPr>
              <w:jc w:val="center"/>
              <w:rPr>
                <w:rFonts w:ascii="Times New Roman" w:hAnsi="Times New Roman"/>
                <w:sz w:val="20"/>
              </w:rPr>
            </w:pPr>
            <w:r w:rsidRPr="00163490">
              <w:rPr>
                <w:rFonts w:ascii="Times New Roman" w:hAnsi="Times New Roman"/>
                <w:sz w:val="20"/>
              </w:rPr>
              <w:t>G.</w:t>
            </w:r>
          </w:p>
          <w:p w:rsidRPr="00163490" w:rsidR="00163490" w:rsidP="00163490" w:rsidRDefault="00163490" w14:paraId="4C3DE45D" w14:textId="77777777">
            <w:pPr>
              <w:jc w:val="center"/>
              <w:rPr>
                <w:rFonts w:ascii="Times New Roman" w:hAnsi="Times New Roman"/>
                <w:sz w:val="20"/>
              </w:rPr>
            </w:pPr>
            <w:r w:rsidRPr="00163490">
              <w:rPr>
                <w:rFonts w:ascii="Times New Roman" w:hAnsi="Times New Roman"/>
                <w:sz w:val="20"/>
              </w:rPr>
              <w:t xml:space="preserve">Cost per </w:t>
            </w:r>
            <w:r w:rsidRPr="00163490">
              <w:rPr>
                <w:rFonts w:ascii="Times New Roman" w:hAnsi="Times New Roman"/>
                <w:sz w:val="20"/>
              </w:rPr>
              <w:br/>
              <w:t>Respondent</w:t>
            </w:r>
          </w:p>
          <w:p w:rsidRPr="00163490" w:rsidR="00163490" w:rsidP="00163490" w:rsidRDefault="00587E48" w14:paraId="7D6EACE8" w14:textId="2E9C48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(Column F </w:t>
            </w:r>
            <w:r>
              <w:rPr>
                <w:rFonts w:ascii="Times New Roman" w:hAnsi="Times New Roman" w:cs="Times New Roman"/>
                <w:sz w:val="20"/>
              </w:rPr>
              <w:t>÷</w:t>
            </w:r>
            <w:r>
              <w:rPr>
                <w:rFonts w:ascii="Times New Roman" w:hAnsi="Times New Roman"/>
                <w:sz w:val="20"/>
              </w:rPr>
              <w:t xml:space="preserve"> Column B)</w:t>
            </w:r>
          </w:p>
        </w:tc>
      </w:tr>
      <w:tr w:rsidR="001D1094" w:rsidTr="00167DA6" w14:paraId="0DD7E127" w14:textId="77777777">
        <w:tc>
          <w:tcPr>
            <w:tcW w:w="1510" w:type="dxa"/>
            <w:vAlign w:val="center"/>
          </w:tcPr>
          <w:p w:rsidRPr="00167DA6" w:rsidR="00163490" w:rsidP="00167DA6" w:rsidRDefault="008B297A" w14:paraId="1689D159" w14:textId="77777777">
            <w:pPr>
              <w:jc w:val="right"/>
              <w:rPr>
                <w:rFonts w:ascii="Times New Roman" w:hAnsi="Times New Roman"/>
                <w:sz w:val="20"/>
              </w:rPr>
            </w:pPr>
            <w:r w:rsidRPr="00167DA6">
              <w:rPr>
                <w:rFonts w:ascii="Times New Roman" w:hAnsi="Times New Roman"/>
                <w:sz w:val="20"/>
              </w:rPr>
              <w:t>Public Utility Transmission Operator</w:t>
            </w:r>
            <w:r w:rsidRPr="00167DA6" w:rsidR="00B4539C">
              <w:rPr>
                <w:rFonts w:ascii="Times New Roman" w:hAnsi="Times New Roman"/>
                <w:sz w:val="20"/>
              </w:rPr>
              <w:t>s</w:t>
            </w:r>
          </w:p>
        </w:tc>
        <w:tc>
          <w:tcPr>
            <w:tcW w:w="1351" w:type="dxa"/>
            <w:vAlign w:val="center"/>
          </w:tcPr>
          <w:p w:rsidRPr="00167DA6" w:rsidR="00163490" w:rsidP="00167DA6" w:rsidRDefault="0073241B" w14:paraId="4030F8D5" w14:textId="3A4CF3D1">
            <w:pPr>
              <w:jc w:val="right"/>
              <w:rPr>
                <w:rFonts w:ascii="Times New Roman" w:hAnsi="Times New Roman"/>
                <w:sz w:val="20"/>
              </w:rPr>
            </w:pPr>
            <w:r w:rsidRPr="00167DA6">
              <w:rPr>
                <w:rFonts w:ascii="Times New Roman" w:hAnsi="Times New Roman"/>
                <w:sz w:val="20"/>
              </w:rPr>
              <w:t>16</w:t>
            </w:r>
            <w:r w:rsidRPr="00167DA6" w:rsidR="00FB740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79" w:type="dxa"/>
            <w:vAlign w:val="center"/>
          </w:tcPr>
          <w:p w:rsidRPr="00167DA6" w:rsidR="00163490" w:rsidP="00167DA6" w:rsidRDefault="0073241B" w14:paraId="31C6D161" w14:textId="77777777">
            <w:pPr>
              <w:jc w:val="right"/>
              <w:rPr>
                <w:rFonts w:ascii="Times New Roman" w:hAnsi="Times New Roman"/>
                <w:sz w:val="20"/>
              </w:rPr>
            </w:pPr>
            <w:r w:rsidRPr="00167DA6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84" w:type="dxa"/>
            <w:vAlign w:val="center"/>
          </w:tcPr>
          <w:p w:rsidRPr="00167DA6" w:rsidR="00163490" w:rsidP="00167DA6" w:rsidRDefault="003609A2" w14:paraId="335B5373" w14:textId="6651000E">
            <w:pPr>
              <w:jc w:val="right"/>
              <w:rPr>
                <w:rFonts w:ascii="Times New Roman" w:hAnsi="Times New Roman"/>
                <w:sz w:val="20"/>
              </w:rPr>
            </w:pPr>
            <w:r w:rsidRPr="00167DA6">
              <w:rPr>
                <w:rFonts w:ascii="Times New Roman" w:hAnsi="Times New Roman"/>
                <w:sz w:val="20"/>
              </w:rPr>
              <w:t>1,980</w:t>
            </w:r>
          </w:p>
        </w:tc>
        <w:tc>
          <w:tcPr>
            <w:tcW w:w="1061" w:type="dxa"/>
            <w:vAlign w:val="center"/>
          </w:tcPr>
          <w:p w:rsidRPr="00167DA6" w:rsidR="00163490" w:rsidP="00167DA6" w:rsidRDefault="001D1094" w14:paraId="519D3B1E" w14:textId="4738E4C2">
            <w:pPr>
              <w:jc w:val="right"/>
              <w:rPr>
                <w:rFonts w:ascii="Times New Roman" w:hAnsi="Times New Roman"/>
                <w:sz w:val="20"/>
              </w:rPr>
            </w:pPr>
            <w:r w:rsidRPr="00167DA6">
              <w:rPr>
                <w:rFonts w:ascii="Times New Roman" w:hAnsi="Times New Roman"/>
                <w:sz w:val="20"/>
              </w:rPr>
              <w:t>0.5 hrs.</w:t>
            </w:r>
            <w:r w:rsidRPr="00167DA6" w:rsidR="00601E99">
              <w:rPr>
                <w:rFonts w:ascii="Times New Roman" w:hAnsi="Times New Roman"/>
                <w:sz w:val="20"/>
              </w:rPr>
              <w:t xml:space="preserve">; </w:t>
            </w:r>
            <w:r w:rsidRPr="00167DA6" w:rsidR="00B7562A">
              <w:rPr>
                <w:rFonts w:ascii="Times New Roman" w:hAnsi="Times New Roman"/>
                <w:sz w:val="20"/>
              </w:rPr>
              <w:t>$40</w:t>
            </w:r>
          </w:p>
        </w:tc>
        <w:tc>
          <w:tcPr>
            <w:tcW w:w="1084" w:type="dxa"/>
            <w:vAlign w:val="center"/>
          </w:tcPr>
          <w:p w:rsidRPr="00167DA6" w:rsidR="007476C3" w:rsidP="00167DA6" w:rsidRDefault="007476C3" w14:paraId="61DE96A1" w14:textId="5C1140AB">
            <w:pPr>
              <w:jc w:val="right"/>
              <w:rPr>
                <w:rFonts w:ascii="Times New Roman" w:hAnsi="Times New Roman"/>
                <w:sz w:val="20"/>
              </w:rPr>
            </w:pPr>
            <w:r w:rsidRPr="00167DA6">
              <w:rPr>
                <w:rFonts w:ascii="Times New Roman" w:hAnsi="Times New Roman"/>
                <w:sz w:val="20"/>
              </w:rPr>
              <w:t>9</w:t>
            </w:r>
            <w:r w:rsidRPr="00167DA6" w:rsidR="00601E99">
              <w:rPr>
                <w:rFonts w:ascii="Times New Roman" w:hAnsi="Times New Roman"/>
                <w:sz w:val="20"/>
              </w:rPr>
              <w:t>90</w:t>
            </w:r>
            <w:r w:rsidRPr="00167DA6">
              <w:rPr>
                <w:rFonts w:ascii="Times New Roman" w:hAnsi="Times New Roman"/>
                <w:sz w:val="20"/>
              </w:rPr>
              <w:t xml:space="preserve"> hrs</w:t>
            </w:r>
            <w:r w:rsidRPr="00167DA6" w:rsidR="00B4539C">
              <w:rPr>
                <w:rFonts w:ascii="Times New Roman" w:hAnsi="Times New Roman"/>
                <w:sz w:val="20"/>
              </w:rPr>
              <w:t>.</w:t>
            </w:r>
            <w:r w:rsidRPr="00167DA6" w:rsidR="00601E99">
              <w:rPr>
                <w:rFonts w:ascii="Times New Roman" w:hAnsi="Times New Roman"/>
                <w:sz w:val="20"/>
              </w:rPr>
              <w:t>; $79,200</w:t>
            </w:r>
          </w:p>
        </w:tc>
        <w:tc>
          <w:tcPr>
            <w:tcW w:w="1161" w:type="dxa"/>
            <w:vAlign w:val="center"/>
          </w:tcPr>
          <w:p w:rsidRPr="00167DA6" w:rsidR="00163490" w:rsidP="00167DA6" w:rsidRDefault="00531459" w14:paraId="33458A50" w14:textId="4F852EB7">
            <w:pPr>
              <w:jc w:val="right"/>
              <w:rPr>
                <w:rFonts w:ascii="Times New Roman" w:hAnsi="Times New Roman"/>
                <w:sz w:val="20"/>
              </w:rPr>
            </w:pPr>
            <w:r w:rsidRPr="00167DA6">
              <w:rPr>
                <w:rFonts w:ascii="Times New Roman" w:hAnsi="Times New Roman"/>
                <w:sz w:val="20"/>
              </w:rPr>
              <w:t>$480</w:t>
            </w:r>
          </w:p>
        </w:tc>
      </w:tr>
      <w:tr w:rsidR="001D1094" w:rsidTr="00167DA6" w14:paraId="2729E05E" w14:textId="77777777">
        <w:tc>
          <w:tcPr>
            <w:tcW w:w="1510" w:type="dxa"/>
            <w:vAlign w:val="center"/>
          </w:tcPr>
          <w:p w:rsidRPr="00167DA6" w:rsidR="008B297A" w:rsidP="00167DA6" w:rsidRDefault="0073241B" w14:paraId="2DE55096" w14:textId="77777777">
            <w:pPr>
              <w:jc w:val="right"/>
              <w:rPr>
                <w:rFonts w:ascii="Times New Roman" w:hAnsi="Times New Roman"/>
                <w:sz w:val="20"/>
              </w:rPr>
            </w:pPr>
            <w:r w:rsidRPr="00167DA6">
              <w:rPr>
                <w:rFonts w:ascii="Times New Roman" w:hAnsi="Times New Roman"/>
                <w:sz w:val="20"/>
              </w:rPr>
              <w:t>Interstate Natural Gas Pipeline</w:t>
            </w:r>
            <w:r w:rsidRPr="00167DA6" w:rsidR="00B4539C">
              <w:rPr>
                <w:rFonts w:ascii="Times New Roman" w:hAnsi="Times New Roman"/>
                <w:sz w:val="20"/>
              </w:rPr>
              <w:t>s</w:t>
            </w:r>
          </w:p>
        </w:tc>
        <w:tc>
          <w:tcPr>
            <w:tcW w:w="1351" w:type="dxa"/>
            <w:vAlign w:val="center"/>
          </w:tcPr>
          <w:p w:rsidRPr="00167DA6" w:rsidR="008B297A" w:rsidP="00167DA6" w:rsidRDefault="0073241B" w14:paraId="515165E7" w14:textId="209BBAA1">
            <w:pPr>
              <w:jc w:val="right"/>
              <w:rPr>
                <w:rFonts w:ascii="Times New Roman" w:hAnsi="Times New Roman"/>
                <w:sz w:val="20"/>
              </w:rPr>
            </w:pPr>
            <w:r w:rsidRPr="00167DA6">
              <w:rPr>
                <w:rFonts w:ascii="Times New Roman" w:hAnsi="Times New Roman"/>
                <w:sz w:val="20"/>
              </w:rPr>
              <w:t>1</w:t>
            </w:r>
            <w:r w:rsidRPr="00167DA6" w:rsidR="00FB7401"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1279" w:type="dxa"/>
            <w:vAlign w:val="center"/>
          </w:tcPr>
          <w:p w:rsidRPr="00167DA6" w:rsidR="008B297A" w:rsidP="00167DA6" w:rsidRDefault="0073241B" w14:paraId="3ABF3FD6" w14:textId="77777777">
            <w:pPr>
              <w:jc w:val="right"/>
              <w:rPr>
                <w:rFonts w:ascii="Times New Roman" w:hAnsi="Times New Roman"/>
                <w:sz w:val="20"/>
              </w:rPr>
            </w:pPr>
            <w:r w:rsidRPr="00167DA6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84" w:type="dxa"/>
            <w:vAlign w:val="center"/>
          </w:tcPr>
          <w:p w:rsidRPr="00167DA6" w:rsidR="008B297A" w:rsidP="00167DA6" w:rsidRDefault="008A29CB" w14:paraId="5600C451" w14:textId="1E9D4CCF">
            <w:pPr>
              <w:jc w:val="right"/>
              <w:rPr>
                <w:rFonts w:ascii="Times New Roman" w:hAnsi="Times New Roman"/>
                <w:sz w:val="20"/>
              </w:rPr>
            </w:pPr>
            <w:r w:rsidRPr="00167DA6">
              <w:rPr>
                <w:rFonts w:ascii="Times New Roman" w:hAnsi="Times New Roman"/>
                <w:sz w:val="20"/>
              </w:rPr>
              <w:t>2,172</w:t>
            </w:r>
          </w:p>
        </w:tc>
        <w:tc>
          <w:tcPr>
            <w:tcW w:w="1061" w:type="dxa"/>
            <w:vAlign w:val="center"/>
          </w:tcPr>
          <w:p w:rsidRPr="00167DA6" w:rsidR="001D1094" w:rsidP="00167DA6" w:rsidRDefault="00601E99" w14:paraId="7B7715D7" w14:textId="636AB620">
            <w:pPr>
              <w:jc w:val="right"/>
              <w:rPr>
                <w:rFonts w:ascii="Times New Roman" w:hAnsi="Times New Roman"/>
                <w:sz w:val="20"/>
              </w:rPr>
            </w:pPr>
            <w:r w:rsidRPr="00167DA6">
              <w:rPr>
                <w:rFonts w:ascii="Times New Roman" w:hAnsi="Times New Roman"/>
                <w:sz w:val="20"/>
              </w:rPr>
              <w:t>0.5 hrs.; $40</w:t>
            </w:r>
          </w:p>
        </w:tc>
        <w:tc>
          <w:tcPr>
            <w:tcW w:w="1084" w:type="dxa"/>
            <w:vAlign w:val="center"/>
          </w:tcPr>
          <w:p w:rsidRPr="00167DA6" w:rsidR="00AB5E05" w:rsidP="00167DA6" w:rsidRDefault="00AB5E05" w14:paraId="228DC0BC" w14:textId="09280FB3">
            <w:pPr>
              <w:jc w:val="right"/>
              <w:rPr>
                <w:rFonts w:ascii="Times New Roman" w:hAnsi="Times New Roman"/>
                <w:sz w:val="20"/>
              </w:rPr>
            </w:pPr>
            <w:r w:rsidRPr="00167DA6">
              <w:rPr>
                <w:rFonts w:ascii="Times New Roman" w:hAnsi="Times New Roman"/>
                <w:sz w:val="20"/>
              </w:rPr>
              <w:t>1,086</w:t>
            </w:r>
            <w:r w:rsidR="00167DA6">
              <w:rPr>
                <w:rFonts w:ascii="Times New Roman" w:hAnsi="Times New Roman"/>
                <w:sz w:val="20"/>
              </w:rPr>
              <w:t xml:space="preserve"> </w:t>
            </w:r>
            <w:r w:rsidRPr="00167DA6" w:rsidR="009F7667">
              <w:rPr>
                <w:rFonts w:ascii="Times New Roman" w:hAnsi="Times New Roman"/>
                <w:sz w:val="20"/>
              </w:rPr>
              <w:t>hrs.</w:t>
            </w:r>
            <w:r w:rsidRPr="00167DA6">
              <w:rPr>
                <w:rFonts w:ascii="Times New Roman" w:hAnsi="Times New Roman"/>
                <w:sz w:val="20"/>
              </w:rPr>
              <w:t>; $</w:t>
            </w:r>
            <w:r w:rsidRPr="00167DA6" w:rsidR="00DC1441">
              <w:rPr>
                <w:rFonts w:ascii="Times New Roman" w:hAnsi="Times New Roman"/>
                <w:sz w:val="20"/>
              </w:rPr>
              <w:t>86.88</w:t>
            </w:r>
            <w:r w:rsidRPr="00167DA6" w:rsidR="007F4240">
              <w:rPr>
                <w:rFonts w:ascii="Times New Roman" w:hAnsi="Times New Roman"/>
                <w:sz w:val="20"/>
              </w:rPr>
              <w:t>0</w:t>
            </w:r>
          </w:p>
          <w:p w:rsidRPr="00167DA6" w:rsidR="001D1094" w:rsidP="00167DA6" w:rsidRDefault="001D1094" w14:paraId="135FB2A3" w14:textId="38D0F816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161" w:type="dxa"/>
            <w:vAlign w:val="center"/>
          </w:tcPr>
          <w:p w:rsidRPr="00167DA6" w:rsidR="008B297A" w:rsidP="00167DA6" w:rsidRDefault="00167DA6" w14:paraId="5954D986" w14:textId="3936BDF7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$480</w:t>
            </w:r>
          </w:p>
        </w:tc>
      </w:tr>
      <w:tr w:rsidR="001D1094" w:rsidTr="00167DA6" w14:paraId="2F8C96C1" w14:textId="77777777">
        <w:tc>
          <w:tcPr>
            <w:tcW w:w="1510" w:type="dxa"/>
            <w:vAlign w:val="center"/>
          </w:tcPr>
          <w:p w:rsidRPr="00167DA6" w:rsidR="008B297A" w:rsidP="00167DA6" w:rsidRDefault="00A433EE" w14:paraId="0C914534" w14:textId="77777777">
            <w:pPr>
              <w:jc w:val="right"/>
              <w:rPr>
                <w:rFonts w:ascii="Times New Roman" w:hAnsi="Times New Roman"/>
                <w:sz w:val="20"/>
              </w:rPr>
            </w:pPr>
            <w:r w:rsidRPr="00167DA6">
              <w:rPr>
                <w:rFonts w:ascii="Times New Roman" w:hAnsi="Times New Roman"/>
                <w:sz w:val="20"/>
              </w:rPr>
              <w:t>Totals</w:t>
            </w:r>
          </w:p>
        </w:tc>
        <w:tc>
          <w:tcPr>
            <w:tcW w:w="1351" w:type="dxa"/>
            <w:vAlign w:val="center"/>
          </w:tcPr>
          <w:p w:rsidRPr="00167DA6" w:rsidR="008B297A" w:rsidP="00167DA6" w:rsidRDefault="00A433EE" w14:paraId="3C188135" w14:textId="6F90ACFA">
            <w:pPr>
              <w:jc w:val="right"/>
              <w:rPr>
                <w:rFonts w:ascii="Times New Roman" w:hAnsi="Times New Roman"/>
                <w:sz w:val="20"/>
              </w:rPr>
            </w:pPr>
            <w:r w:rsidRPr="00167DA6">
              <w:rPr>
                <w:rFonts w:ascii="Times New Roman" w:hAnsi="Times New Roman"/>
                <w:sz w:val="20"/>
              </w:rPr>
              <w:t>3</w:t>
            </w:r>
            <w:r w:rsidRPr="00167DA6" w:rsidR="00836918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1279" w:type="dxa"/>
            <w:vAlign w:val="center"/>
          </w:tcPr>
          <w:p w:rsidRPr="00167DA6" w:rsidR="008B297A" w:rsidP="00167DA6" w:rsidRDefault="00B4539C" w14:paraId="13219344" w14:textId="77777777">
            <w:pPr>
              <w:jc w:val="right"/>
              <w:rPr>
                <w:rFonts w:ascii="Times New Roman" w:hAnsi="Times New Roman"/>
                <w:sz w:val="20"/>
              </w:rPr>
            </w:pPr>
            <w:r w:rsidRPr="00167DA6">
              <w:rPr>
                <w:rFonts w:ascii="Times New Roman" w:hAnsi="Times New Roman" w:cs="Times New Roman"/>
                <w:sz w:val="20"/>
              </w:rPr>
              <w:t>―</w:t>
            </w:r>
          </w:p>
        </w:tc>
        <w:tc>
          <w:tcPr>
            <w:tcW w:w="1184" w:type="dxa"/>
            <w:vAlign w:val="center"/>
          </w:tcPr>
          <w:p w:rsidRPr="00167DA6" w:rsidR="008B297A" w:rsidP="00167DA6" w:rsidRDefault="009F368E" w14:paraId="0A1B5659" w14:textId="4E01B996">
            <w:pPr>
              <w:jc w:val="right"/>
              <w:rPr>
                <w:rFonts w:ascii="Times New Roman" w:hAnsi="Times New Roman"/>
                <w:sz w:val="20"/>
              </w:rPr>
            </w:pPr>
            <w:r w:rsidRPr="00167DA6">
              <w:rPr>
                <w:rFonts w:ascii="Times New Roman" w:hAnsi="Times New Roman"/>
                <w:sz w:val="20"/>
              </w:rPr>
              <w:t>4,152</w:t>
            </w:r>
          </w:p>
        </w:tc>
        <w:tc>
          <w:tcPr>
            <w:tcW w:w="1061" w:type="dxa"/>
            <w:vAlign w:val="center"/>
          </w:tcPr>
          <w:p w:rsidRPr="00167DA6" w:rsidR="008B297A" w:rsidP="00167DA6" w:rsidRDefault="00550C33" w14:paraId="55CC421D" w14:textId="77777777">
            <w:pPr>
              <w:jc w:val="right"/>
              <w:rPr>
                <w:rFonts w:ascii="Times New Roman" w:hAnsi="Times New Roman"/>
                <w:sz w:val="20"/>
              </w:rPr>
            </w:pPr>
            <w:r w:rsidRPr="00167DA6">
              <w:rPr>
                <w:rFonts w:ascii="Times New Roman" w:hAnsi="Times New Roman" w:cs="Times New Roman"/>
                <w:sz w:val="20"/>
              </w:rPr>
              <w:t>―</w:t>
            </w:r>
          </w:p>
        </w:tc>
        <w:tc>
          <w:tcPr>
            <w:tcW w:w="1084" w:type="dxa"/>
            <w:vAlign w:val="center"/>
          </w:tcPr>
          <w:p w:rsidRPr="00167DA6" w:rsidR="00B4539C" w:rsidP="00167DA6" w:rsidRDefault="00167DA6" w14:paraId="18AC91F4" w14:textId="77777777">
            <w:pPr>
              <w:jc w:val="right"/>
              <w:rPr>
                <w:rFonts w:ascii="Times New Roman" w:hAnsi="Times New Roman"/>
                <w:sz w:val="20"/>
              </w:rPr>
            </w:pPr>
            <w:r w:rsidRPr="00167DA6">
              <w:rPr>
                <w:rFonts w:ascii="Times New Roman" w:hAnsi="Times New Roman"/>
                <w:sz w:val="20"/>
              </w:rPr>
              <w:t xml:space="preserve">2,076 </w:t>
            </w:r>
            <w:r w:rsidRPr="00167DA6" w:rsidR="00B4539C">
              <w:rPr>
                <w:rFonts w:ascii="Times New Roman" w:hAnsi="Times New Roman"/>
                <w:sz w:val="20"/>
              </w:rPr>
              <w:t>hrs.</w:t>
            </w:r>
            <w:r w:rsidRPr="00167DA6">
              <w:rPr>
                <w:rFonts w:ascii="Times New Roman" w:hAnsi="Times New Roman"/>
                <w:sz w:val="20"/>
              </w:rPr>
              <w:t>;</w:t>
            </w:r>
          </w:p>
          <w:p w:rsidRPr="00167DA6" w:rsidR="00167DA6" w:rsidP="00167DA6" w:rsidRDefault="00167DA6" w14:paraId="04398B3D" w14:textId="12DA9D08">
            <w:pPr>
              <w:jc w:val="right"/>
              <w:rPr>
                <w:rFonts w:ascii="Times New Roman" w:hAnsi="Times New Roman"/>
                <w:sz w:val="20"/>
              </w:rPr>
            </w:pPr>
            <w:r w:rsidRPr="00167DA6">
              <w:rPr>
                <w:rFonts w:ascii="Times New Roman" w:hAnsi="Times New Roman"/>
                <w:sz w:val="20"/>
              </w:rPr>
              <w:t>$166,080</w:t>
            </w:r>
          </w:p>
        </w:tc>
        <w:tc>
          <w:tcPr>
            <w:tcW w:w="1161" w:type="dxa"/>
            <w:vAlign w:val="center"/>
          </w:tcPr>
          <w:p w:rsidRPr="00167DA6" w:rsidR="008B297A" w:rsidP="00167DA6" w:rsidRDefault="00167DA6" w14:paraId="2E9F47A7" w14:textId="299BA4B3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―</w:t>
            </w:r>
          </w:p>
        </w:tc>
      </w:tr>
    </w:tbl>
    <w:p w:rsidRPr="00502929" w:rsidR="002B447A" w:rsidP="00537402" w:rsidRDefault="002B447A" w14:paraId="3F802FB9" w14:textId="77777777">
      <w:pPr>
        <w:spacing w:after="0" w:line="480" w:lineRule="auto"/>
        <w:rPr>
          <w:rFonts w:ascii="Times New Roman" w:hAnsi="Times New Roman"/>
          <w:sz w:val="24"/>
        </w:rPr>
      </w:pPr>
    </w:p>
    <w:p w:rsidR="009F2F65" w:rsidRDefault="009F2F65" w14:paraId="0755BFDC" w14:textId="77777777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br w:type="page"/>
      </w:r>
    </w:p>
    <w:p w:rsidR="00A11B7B" w:rsidP="00A11B7B" w:rsidRDefault="00DF7EA0" w14:paraId="06163DA6" w14:textId="128373E9">
      <w:pPr>
        <w:spacing w:line="480" w:lineRule="auto"/>
        <w:rPr>
          <w:rFonts w:ascii="Times New Roman" w:hAnsi="Times New Roman"/>
          <w:sz w:val="24"/>
        </w:rPr>
      </w:pPr>
      <w:r w:rsidRPr="00502929">
        <w:rPr>
          <w:rFonts w:ascii="Times New Roman" w:hAnsi="Times New Roman"/>
          <w:i/>
          <w:sz w:val="24"/>
        </w:rPr>
        <w:lastRenderedPageBreak/>
        <w:t xml:space="preserve">Comments:  </w:t>
      </w:r>
      <w:r w:rsidRPr="00502929">
        <w:rPr>
          <w:rFonts w:ascii="Times New Roman" w:hAnsi="Times New Roman"/>
          <w:sz w:val="24"/>
        </w:rPr>
        <w:t xml:space="preserve">Comments are invited on:  (1) whether </w:t>
      </w:r>
      <w:r w:rsidR="00544233">
        <w:rPr>
          <w:rFonts w:ascii="Times New Roman" w:hAnsi="Times New Roman"/>
          <w:sz w:val="24"/>
        </w:rPr>
        <w:t>FERC-923</w:t>
      </w:r>
      <w:r w:rsidRPr="00502929">
        <w:rPr>
          <w:rFonts w:ascii="Times New Roman" w:hAnsi="Times New Roman"/>
          <w:sz w:val="24"/>
        </w:rPr>
        <w:t xml:space="preserve"> is necessary for the proper performance of the functions of the Commission, including whether the information will have practical utility; (2) the accuracy of the agency's estimate of the burden and cost of </w:t>
      </w:r>
      <w:r w:rsidR="00544233">
        <w:rPr>
          <w:rFonts w:ascii="Times New Roman" w:hAnsi="Times New Roman"/>
          <w:sz w:val="24"/>
        </w:rPr>
        <w:t>FERC-923</w:t>
      </w:r>
      <w:r w:rsidRPr="00502929">
        <w:rPr>
          <w:rFonts w:ascii="Times New Roman" w:hAnsi="Times New Roman"/>
          <w:sz w:val="24"/>
        </w:rPr>
        <w:t xml:space="preserve">, including the validity of the methodology and assumptions used; (3) ways to enhance the quality, utility and clarity of </w:t>
      </w:r>
      <w:r w:rsidR="00544233">
        <w:rPr>
          <w:rFonts w:ascii="Times New Roman" w:hAnsi="Times New Roman"/>
          <w:sz w:val="24"/>
        </w:rPr>
        <w:t>FERC-923</w:t>
      </w:r>
      <w:r w:rsidRPr="00502929">
        <w:rPr>
          <w:rFonts w:ascii="Times New Roman" w:hAnsi="Times New Roman"/>
          <w:sz w:val="24"/>
        </w:rPr>
        <w:t xml:space="preserve">; and (4) ways to minimize the burden of </w:t>
      </w:r>
      <w:r w:rsidR="00544233">
        <w:rPr>
          <w:rFonts w:ascii="Times New Roman" w:hAnsi="Times New Roman"/>
          <w:sz w:val="24"/>
        </w:rPr>
        <w:t>FERC-923</w:t>
      </w:r>
      <w:r w:rsidRPr="00502929">
        <w:rPr>
          <w:rFonts w:ascii="Times New Roman" w:hAnsi="Times New Roman"/>
          <w:sz w:val="24"/>
        </w:rPr>
        <w:t xml:space="preserve"> on those who are to respond, including the use of automated techniques or other forms of information technology.</w:t>
      </w:r>
    </w:p>
    <w:p w:rsidR="00A11B7B" w:rsidP="00A11B7B" w:rsidRDefault="00A11B7B" w14:paraId="3615889D" w14:textId="652A58D7">
      <w:pPr>
        <w:spacing w:after="0" w:line="240" w:lineRule="auto"/>
        <w:rPr>
          <w:rFonts w:ascii="Times New Roman" w:hAnsi="Times New Roman"/>
          <w:sz w:val="24"/>
        </w:rPr>
      </w:pPr>
    </w:p>
    <w:p w:rsidRPr="00A11B7B" w:rsidR="00A11B7B" w:rsidP="00A11B7B" w:rsidRDefault="00A11B7B" w14:paraId="249F1735" w14:textId="67302A7A">
      <w:pPr>
        <w:spacing w:after="0" w:line="240" w:lineRule="auto"/>
        <w:ind w:firstLine="2174"/>
        <w:jc w:val="center"/>
        <w:rPr>
          <w:rFonts w:ascii="Times New Roman" w:hAnsi="Times New Roman" w:cs="Times New Roman"/>
          <w:sz w:val="26"/>
        </w:rPr>
      </w:pPr>
      <w:r w:rsidRPr="00A11B7B">
        <w:rPr>
          <w:rFonts w:ascii="Times New Roman" w:hAnsi="Times New Roman" w:cs="Times New Roman"/>
          <w:sz w:val="26"/>
        </w:rPr>
        <w:t>Kimberly D. Bose,</w:t>
      </w:r>
    </w:p>
    <w:p w:rsidRPr="00A11B7B" w:rsidR="00A11B7B" w:rsidP="00A11B7B" w:rsidRDefault="00A11B7B" w14:paraId="13827C4C" w14:textId="3DDA7F49">
      <w:pPr>
        <w:spacing w:after="0" w:line="240" w:lineRule="auto"/>
        <w:ind w:firstLine="2174"/>
        <w:jc w:val="center"/>
      </w:pPr>
      <w:r w:rsidRPr="00A11B7B">
        <w:rPr>
          <w:rFonts w:ascii="Times New Roman" w:hAnsi="Times New Roman" w:cs="Times New Roman"/>
          <w:sz w:val="26"/>
        </w:rPr>
        <w:t>Secretary.</w:t>
      </w:r>
    </w:p>
    <w:p w:rsidRPr="00502929" w:rsidR="00A11B7B" w:rsidP="00A11B7B" w:rsidRDefault="00A11B7B" w14:paraId="32B732D3" w14:textId="77777777">
      <w:pPr>
        <w:spacing w:after="0" w:line="240" w:lineRule="auto"/>
        <w:rPr>
          <w:rFonts w:ascii="Times New Roman" w:hAnsi="Times New Roman"/>
          <w:sz w:val="24"/>
        </w:rPr>
      </w:pPr>
    </w:p>
    <w:sectPr w:rsidRPr="00502929" w:rsidR="00A11B7B" w:rsidSect="00E84D4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0ED78" w14:textId="77777777" w:rsidR="00570E25" w:rsidRDefault="00570E25" w:rsidP="00DF7EA0">
      <w:pPr>
        <w:spacing w:after="0" w:line="240" w:lineRule="auto"/>
      </w:pPr>
      <w:r>
        <w:separator/>
      </w:r>
    </w:p>
  </w:endnote>
  <w:endnote w:type="continuationSeparator" w:id="0">
    <w:p w14:paraId="36C5167C" w14:textId="77777777" w:rsidR="00570E25" w:rsidRDefault="00570E25" w:rsidP="00DF7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3CFE3" w14:textId="77777777" w:rsidR="00A11B7B" w:rsidRDefault="00A11B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454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0443E4" w14:textId="77777777" w:rsidR="00E1565E" w:rsidRDefault="00E156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AD2AA9" w14:textId="77777777" w:rsidR="00E1565E" w:rsidRDefault="00E156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2FFAC" w14:textId="77777777" w:rsidR="00A11B7B" w:rsidRDefault="00A11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86D91" w14:textId="77777777" w:rsidR="00570E25" w:rsidRDefault="00570E25" w:rsidP="00DF7EA0">
      <w:pPr>
        <w:spacing w:after="0" w:line="240" w:lineRule="auto"/>
      </w:pPr>
      <w:r>
        <w:separator/>
      </w:r>
    </w:p>
  </w:footnote>
  <w:footnote w:type="continuationSeparator" w:id="0">
    <w:p w14:paraId="6E3EE838" w14:textId="77777777" w:rsidR="00570E25" w:rsidRDefault="00570E25" w:rsidP="00DF7EA0">
      <w:pPr>
        <w:spacing w:after="0" w:line="240" w:lineRule="auto"/>
      </w:pPr>
      <w:r>
        <w:continuationSeparator/>
      </w:r>
    </w:p>
  </w:footnote>
  <w:footnote w:id="1">
    <w:p w14:paraId="50EF32E8" w14:textId="2DB74BCB" w:rsidR="00DF7EA0" w:rsidRPr="009358FE" w:rsidRDefault="00DF7EA0" w:rsidP="00DF7EA0">
      <w:pPr>
        <w:pStyle w:val="FootnoteText"/>
        <w:rPr>
          <w:rFonts w:ascii="Times New Roman" w:hAnsi="Times New Roman" w:cs="Times New Roman"/>
          <w:szCs w:val="26"/>
        </w:rPr>
      </w:pPr>
      <w:r>
        <w:rPr>
          <w:rStyle w:val="FootnoteReference"/>
        </w:rPr>
        <w:footnoteRef/>
      </w:r>
      <w:r>
        <w:t xml:space="preserve"> </w:t>
      </w:r>
      <w:r w:rsidRPr="009358FE">
        <w:rPr>
          <w:rFonts w:ascii="Times New Roman" w:hAnsi="Times New Roman" w:cs="Times New Roman"/>
          <w:szCs w:val="26"/>
        </w:rPr>
        <w:t>“Burden” is the total time, effort, or financial resources expended by persons to generate, maintain, retain, or disclose or provide information to or for a Federal agency. For further explanation of what is included in t</w:t>
      </w:r>
      <w:r w:rsidR="00544233">
        <w:rPr>
          <w:rFonts w:ascii="Times New Roman" w:hAnsi="Times New Roman" w:cs="Times New Roman"/>
          <w:szCs w:val="26"/>
        </w:rPr>
        <w:t xml:space="preserve">he estimated </w:t>
      </w:r>
      <w:r w:rsidRPr="009358FE">
        <w:rPr>
          <w:rFonts w:ascii="Times New Roman" w:hAnsi="Times New Roman" w:cs="Times New Roman"/>
          <w:szCs w:val="26"/>
        </w:rPr>
        <w:t>burden, refer to Title 5 Code of Federal Regulations 1320.3.</w:t>
      </w:r>
    </w:p>
  </w:footnote>
  <w:footnote w:id="2">
    <w:p w14:paraId="0380D2C4" w14:textId="5BCE5B7C" w:rsidR="001D1094" w:rsidRPr="009358FE" w:rsidRDefault="001D1094" w:rsidP="00AB2BB9">
      <w:pPr>
        <w:pStyle w:val="FootnoteText"/>
        <w:rPr>
          <w:rFonts w:ascii="Times New Roman" w:hAnsi="Times New Roman" w:cs="Times New Roman"/>
          <w:szCs w:val="26"/>
        </w:rPr>
      </w:pPr>
      <w:r>
        <w:rPr>
          <w:rStyle w:val="FootnoteReference"/>
        </w:rPr>
        <w:footnoteRef/>
      </w:r>
      <w:r>
        <w:t xml:space="preserve"> </w:t>
      </w:r>
      <w:r w:rsidRPr="009358FE">
        <w:rPr>
          <w:rFonts w:ascii="Times New Roman" w:hAnsi="Times New Roman" w:cs="Times New Roman"/>
          <w:szCs w:val="26"/>
        </w:rPr>
        <w:t xml:space="preserve">Commission staff </w:t>
      </w:r>
      <w:r w:rsidR="00B11239" w:rsidRPr="009358FE">
        <w:rPr>
          <w:rFonts w:ascii="Times New Roman" w:hAnsi="Times New Roman" w:cs="Times New Roman"/>
          <w:szCs w:val="26"/>
        </w:rPr>
        <w:t>estimate</w:t>
      </w:r>
      <w:r w:rsidR="009358FE" w:rsidRPr="009358FE">
        <w:rPr>
          <w:rFonts w:ascii="Times New Roman" w:hAnsi="Times New Roman" w:cs="Times New Roman"/>
          <w:szCs w:val="26"/>
        </w:rPr>
        <w:t>s</w:t>
      </w:r>
      <w:r w:rsidR="00B11239" w:rsidRPr="009358FE">
        <w:rPr>
          <w:rFonts w:ascii="Times New Roman" w:hAnsi="Times New Roman" w:cs="Times New Roman"/>
          <w:szCs w:val="26"/>
        </w:rPr>
        <w:t xml:space="preserve"> </w:t>
      </w:r>
      <w:r w:rsidRPr="009358FE">
        <w:rPr>
          <w:rFonts w:ascii="Times New Roman" w:hAnsi="Times New Roman" w:cs="Times New Roman"/>
          <w:szCs w:val="26"/>
        </w:rPr>
        <w:t xml:space="preserve">that </w:t>
      </w:r>
      <w:r w:rsidR="00B11239" w:rsidRPr="009358FE">
        <w:rPr>
          <w:rFonts w:ascii="Times New Roman" w:hAnsi="Times New Roman" w:cs="Times New Roman"/>
          <w:szCs w:val="26"/>
        </w:rPr>
        <w:t xml:space="preserve">the </w:t>
      </w:r>
      <w:r w:rsidRPr="009358FE">
        <w:rPr>
          <w:rFonts w:ascii="Times New Roman" w:hAnsi="Times New Roman" w:cs="Times New Roman"/>
          <w:szCs w:val="26"/>
        </w:rPr>
        <w:t>respondent</w:t>
      </w:r>
      <w:r w:rsidR="00B11239" w:rsidRPr="009358FE">
        <w:rPr>
          <w:rFonts w:ascii="Times New Roman" w:hAnsi="Times New Roman" w:cs="Times New Roman"/>
          <w:szCs w:val="26"/>
        </w:rPr>
        <w:t xml:space="preserve">s’ skill set (and wages and benefits) for FERC-923 are comparable </w:t>
      </w:r>
      <w:r w:rsidRPr="009358FE">
        <w:rPr>
          <w:rFonts w:ascii="Times New Roman" w:hAnsi="Times New Roman" w:cs="Times New Roman"/>
          <w:szCs w:val="26"/>
        </w:rPr>
        <w:t xml:space="preserve">to </w:t>
      </w:r>
      <w:r w:rsidR="00B11239" w:rsidRPr="009358FE">
        <w:rPr>
          <w:rFonts w:ascii="Times New Roman" w:hAnsi="Times New Roman" w:cs="Times New Roman"/>
          <w:szCs w:val="26"/>
        </w:rPr>
        <w:t xml:space="preserve">those of </w:t>
      </w:r>
      <w:r w:rsidRPr="009358FE">
        <w:rPr>
          <w:rFonts w:ascii="Times New Roman" w:hAnsi="Times New Roman" w:cs="Times New Roman"/>
          <w:szCs w:val="26"/>
        </w:rPr>
        <w:t>FERC employees</w:t>
      </w:r>
      <w:r w:rsidR="00AB5E05" w:rsidRPr="009358FE">
        <w:rPr>
          <w:rFonts w:ascii="Times New Roman" w:hAnsi="Times New Roman" w:cs="Times New Roman"/>
          <w:szCs w:val="26"/>
        </w:rPr>
        <w:t>.  B</w:t>
      </w:r>
      <w:r w:rsidR="00AB2BB9" w:rsidRPr="009358FE">
        <w:rPr>
          <w:rFonts w:ascii="Times New Roman" w:hAnsi="Times New Roman" w:cs="Times New Roman"/>
          <w:szCs w:val="26"/>
        </w:rPr>
        <w:t>ased on the Commission’s Fiscal Year 2019 average cost of $167,091/year (for wages plus benefits, for one full-time employee), $80.00/hour is used.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4DD0A" w14:textId="77777777" w:rsidR="00A11B7B" w:rsidRDefault="00A11B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D8C0F" w14:textId="51796535" w:rsidR="003E0F7F" w:rsidRPr="00B25335" w:rsidRDefault="003E0F7F">
    <w:pPr>
      <w:pStyle w:val="Header"/>
      <w:rPr>
        <w:rFonts w:ascii="Times New Roman" w:hAnsi="Times New Roman" w:cs="Times New Roman"/>
        <w:sz w:val="24"/>
        <w:szCs w:val="24"/>
      </w:rPr>
    </w:pPr>
    <w:r w:rsidRPr="00B25335">
      <w:rPr>
        <w:rFonts w:ascii="Times New Roman" w:hAnsi="Times New Roman" w:cs="Times New Roman"/>
        <w:sz w:val="24"/>
        <w:szCs w:val="24"/>
      </w:rPr>
      <w:t>Docket No. IC20-5-000</w:t>
    </w:r>
  </w:p>
  <w:p w14:paraId="2C0AB454" w14:textId="0708E5B5" w:rsidR="004A72DA" w:rsidRDefault="004A72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E1AC7" w14:textId="77777777" w:rsidR="00A11B7B" w:rsidRDefault="00A11B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F02A8"/>
    <w:multiLevelType w:val="hybridMultilevel"/>
    <w:tmpl w:val="8320043A"/>
    <w:lvl w:ilvl="0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1" w15:restartNumberingAfterBreak="0">
    <w:nsid w:val="65814787"/>
    <w:multiLevelType w:val="hybridMultilevel"/>
    <w:tmpl w:val="92EAB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9D0313"/>
    <w:multiLevelType w:val="hybridMultilevel"/>
    <w:tmpl w:val="5B5EA3F4"/>
    <w:lvl w:ilvl="0" w:tplc="DE32E3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A0"/>
    <w:rsid w:val="00013A5F"/>
    <w:rsid w:val="000455BE"/>
    <w:rsid w:val="000570EC"/>
    <w:rsid w:val="0007453F"/>
    <w:rsid w:val="00076A42"/>
    <w:rsid w:val="0009348C"/>
    <w:rsid w:val="000B31CF"/>
    <w:rsid w:val="000C42B0"/>
    <w:rsid w:val="000C5F25"/>
    <w:rsid w:val="000D03DD"/>
    <w:rsid w:val="000D1948"/>
    <w:rsid w:val="000E6158"/>
    <w:rsid w:val="00142EAD"/>
    <w:rsid w:val="00163490"/>
    <w:rsid w:val="00167DA6"/>
    <w:rsid w:val="00191881"/>
    <w:rsid w:val="001C36A1"/>
    <w:rsid w:val="001C77A7"/>
    <w:rsid w:val="001D1094"/>
    <w:rsid w:val="001D5DEA"/>
    <w:rsid w:val="001E3CB7"/>
    <w:rsid w:val="001F3F7C"/>
    <w:rsid w:val="002353EB"/>
    <w:rsid w:val="00245511"/>
    <w:rsid w:val="00246023"/>
    <w:rsid w:val="002B0C57"/>
    <w:rsid w:val="002B2BC0"/>
    <w:rsid w:val="002B447A"/>
    <w:rsid w:val="00307E36"/>
    <w:rsid w:val="00327187"/>
    <w:rsid w:val="00350C86"/>
    <w:rsid w:val="003609A2"/>
    <w:rsid w:val="00364D23"/>
    <w:rsid w:val="003675EE"/>
    <w:rsid w:val="0037389F"/>
    <w:rsid w:val="0039325B"/>
    <w:rsid w:val="00395EF7"/>
    <w:rsid w:val="003A25A7"/>
    <w:rsid w:val="003B20BB"/>
    <w:rsid w:val="003B3B3F"/>
    <w:rsid w:val="003B48CD"/>
    <w:rsid w:val="003B4D3F"/>
    <w:rsid w:val="003C1D26"/>
    <w:rsid w:val="003D43E2"/>
    <w:rsid w:val="003E0F7F"/>
    <w:rsid w:val="00406A40"/>
    <w:rsid w:val="00406F15"/>
    <w:rsid w:val="004A3B45"/>
    <w:rsid w:val="004A72DA"/>
    <w:rsid w:val="004C1551"/>
    <w:rsid w:val="00502929"/>
    <w:rsid w:val="00526635"/>
    <w:rsid w:val="00531459"/>
    <w:rsid w:val="00537402"/>
    <w:rsid w:val="00544233"/>
    <w:rsid w:val="00550C33"/>
    <w:rsid w:val="005518AB"/>
    <w:rsid w:val="0055728D"/>
    <w:rsid w:val="00564347"/>
    <w:rsid w:val="00570E25"/>
    <w:rsid w:val="00587788"/>
    <w:rsid w:val="00587E48"/>
    <w:rsid w:val="005A629F"/>
    <w:rsid w:val="005C79C6"/>
    <w:rsid w:val="005D51A2"/>
    <w:rsid w:val="00601E99"/>
    <w:rsid w:val="00646A09"/>
    <w:rsid w:val="006523B9"/>
    <w:rsid w:val="00676AED"/>
    <w:rsid w:val="006E5C20"/>
    <w:rsid w:val="00706622"/>
    <w:rsid w:val="0073241B"/>
    <w:rsid w:val="00740D27"/>
    <w:rsid w:val="007476C3"/>
    <w:rsid w:val="00782352"/>
    <w:rsid w:val="00783151"/>
    <w:rsid w:val="007B4B0D"/>
    <w:rsid w:val="007C2A64"/>
    <w:rsid w:val="007E188B"/>
    <w:rsid w:val="007F34F3"/>
    <w:rsid w:val="007F4240"/>
    <w:rsid w:val="008134B9"/>
    <w:rsid w:val="00836918"/>
    <w:rsid w:val="008728BD"/>
    <w:rsid w:val="00880E91"/>
    <w:rsid w:val="008A29CB"/>
    <w:rsid w:val="008B0D5C"/>
    <w:rsid w:val="008B297A"/>
    <w:rsid w:val="008B3B63"/>
    <w:rsid w:val="008D49DD"/>
    <w:rsid w:val="008F0D51"/>
    <w:rsid w:val="00931908"/>
    <w:rsid w:val="009358FE"/>
    <w:rsid w:val="00972C9B"/>
    <w:rsid w:val="00980A1B"/>
    <w:rsid w:val="00986BA4"/>
    <w:rsid w:val="00995F9D"/>
    <w:rsid w:val="009C0E20"/>
    <w:rsid w:val="009D30C2"/>
    <w:rsid w:val="009F2F65"/>
    <w:rsid w:val="009F368E"/>
    <w:rsid w:val="009F7667"/>
    <w:rsid w:val="00A11B7B"/>
    <w:rsid w:val="00A313FA"/>
    <w:rsid w:val="00A433EE"/>
    <w:rsid w:val="00A5596D"/>
    <w:rsid w:val="00A61A74"/>
    <w:rsid w:val="00A651BA"/>
    <w:rsid w:val="00A6712E"/>
    <w:rsid w:val="00AA1CCF"/>
    <w:rsid w:val="00AA74B7"/>
    <w:rsid w:val="00AB1AE5"/>
    <w:rsid w:val="00AB2BB9"/>
    <w:rsid w:val="00AB5E05"/>
    <w:rsid w:val="00AC6DC7"/>
    <w:rsid w:val="00AE6284"/>
    <w:rsid w:val="00B11239"/>
    <w:rsid w:val="00B25335"/>
    <w:rsid w:val="00B4539C"/>
    <w:rsid w:val="00B47EBE"/>
    <w:rsid w:val="00B54C28"/>
    <w:rsid w:val="00B7562A"/>
    <w:rsid w:val="00BE61B7"/>
    <w:rsid w:val="00BE72D4"/>
    <w:rsid w:val="00C26622"/>
    <w:rsid w:val="00C4734A"/>
    <w:rsid w:val="00C85F6F"/>
    <w:rsid w:val="00CA0540"/>
    <w:rsid w:val="00CA4157"/>
    <w:rsid w:val="00CD0DD9"/>
    <w:rsid w:val="00CE08CF"/>
    <w:rsid w:val="00CF6E3C"/>
    <w:rsid w:val="00D2254D"/>
    <w:rsid w:val="00D83049"/>
    <w:rsid w:val="00D97850"/>
    <w:rsid w:val="00DC1441"/>
    <w:rsid w:val="00DF7EA0"/>
    <w:rsid w:val="00E007E4"/>
    <w:rsid w:val="00E07013"/>
    <w:rsid w:val="00E1565E"/>
    <w:rsid w:val="00E240DA"/>
    <w:rsid w:val="00E40546"/>
    <w:rsid w:val="00E42BDC"/>
    <w:rsid w:val="00E45E75"/>
    <w:rsid w:val="00E47A64"/>
    <w:rsid w:val="00E60E64"/>
    <w:rsid w:val="00E84D48"/>
    <w:rsid w:val="00EA71BB"/>
    <w:rsid w:val="00EC6929"/>
    <w:rsid w:val="00EE539D"/>
    <w:rsid w:val="00F35E11"/>
    <w:rsid w:val="00F57131"/>
    <w:rsid w:val="00F73EBA"/>
    <w:rsid w:val="00F833CC"/>
    <w:rsid w:val="00F86BE3"/>
    <w:rsid w:val="00F87752"/>
    <w:rsid w:val="00FA142C"/>
    <w:rsid w:val="00FB32C7"/>
    <w:rsid w:val="00FB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10537F0"/>
  <w15:chartTrackingRefBased/>
  <w15:docId w15:val="{69EACD15-51F5-4CCD-8AF2-F20FF428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F7E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F7EA0"/>
    <w:rPr>
      <w:sz w:val="20"/>
      <w:szCs w:val="20"/>
    </w:rPr>
  </w:style>
  <w:style w:type="character" w:styleId="FootnoteReference">
    <w:name w:val="footnote reference"/>
    <w:aliases w:val="o,fr,Style 17,o1,fr1,o2,fr2,o3,fr3,Style 13,Style 12,Style 15,Style 9,Style 18,(NECG) Footnote Reference,Style 20,Style 7,Style 8,Style 19,Style 28,Styl,Style 11,Style 16,Footnote Reference (EIS),fnr,Footnote reference (EA),Style 30"/>
    <w:semiHidden/>
    <w:unhideWhenUsed/>
    <w:rsid w:val="00DF7EA0"/>
    <w:rPr>
      <w:rFonts w:ascii="Times New Roman" w:hAnsi="Times New Roman" w:cs="Times New Roman" w:hint="default"/>
      <w:b/>
      <w:bCs w:val="0"/>
      <w:sz w:val="26"/>
      <w:szCs w:val="26"/>
      <w:vertAlign w:val="superscript"/>
    </w:rPr>
  </w:style>
  <w:style w:type="character" w:styleId="Hyperlink">
    <w:name w:val="Hyperlink"/>
    <w:basedOn w:val="DefaultParagraphFont"/>
    <w:uiPriority w:val="99"/>
    <w:unhideWhenUsed/>
    <w:rsid w:val="00DF7E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E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5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5E"/>
  </w:style>
  <w:style w:type="paragraph" w:styleId="Footer">
    <w:name w:val="footer"/>
    <w:basedOn w:val="Normal"/>
    <w:link w:val="FooterChar"/>
    <w:uiPriority w:val="99"/>
    <w:unhideWhenUsed/>
    <w:rsid w:val="00E15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5E"/>
  </w:style>
  <w:style w:type="paragraph" w:styleId="ListParagraph">
    <w:name w:val="List Paragraph"/>
    <w:basedOn w:val="Normal"/>
    <w:uiPriority w:val="34"/>
    <w:qFormat/>
    <w:rsid w:val="005A629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4734A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3D43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43E2"/>
  </w:style>
  <w:style w:type="table" w:styleId="TableGrid">
    <w:name w:val="Table Grid"/>
    <w:basedOn w:val="TableNormal"/>
    <w:uiPriority w:val="39"/>
    <w:rsid w:val="002B4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2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B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B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B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erc.gov/help/submission-guide.asp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www.ferc.gov/docs-filing/efiling.as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ataClearance@FERC.gov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IRA_Submission@omb.eop.gov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ferc.gov/docs-filing/docs-filing.asp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erconlinesupport@ferc.gov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4a4cd09-5f17-433b-814a-38e7e9115d16" ContentTypeId="0x0101" PreviousValue="false"/>
</file>

<file path=customXml/itemProps1.xml><?xml version="1.0" encoding="utf-8"?>
<ds:datastoreItem xmlns:ds="http://schemas.openxmlformats.org/officeDocument/2006/customXml" ds:itemID="{DB22D447-AC33-4A29-950E-D96D1E2471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E2742F-F14D-423A-82DD-D3A5BEFB837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e8733a2-e908-454b-85cf-c9d17e1d094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A4411C7-4930-4EE3-9C6A-F95528D14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733a2-e908-454b-85cf-c9d17e1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3A463A-1208-41B5-A3A7-32FD80EA72D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Sonneman</dc:creator>
  <cp:keywords/>
  <dc:description/>
  <cp:lastModifiedBy>Jean Sonneman</cp:lastModifiedBy>
  <cp:revision>2</cp:revision>
  <cp:lastPrinted>2020-02-27T19:04:00Z</cp:lastPrinted>
  <dcterms:created xsi:type="dcterms:W3CDTF">2020-03-03T18:38:00Z</dcterms:created>
  <dcterms:modified xsi:type="dcterms:W3CDTF">2020-03-03T18:38:00Z</dcterms:modified>
  <cp:category/>
  <dc:identifier/>
  <cp:contentStatus/>
  <cp:version/>
</cp:coreProperties>
</file>