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C2C" w:rsidRDefault="00E32498">
      <w:pPr>
        <w:spacing w:after="0" w:line="259" w:lineRule="auto"/>
        <w:ind w:left="198" w:right="0" w:firstLine="0"/>
      </w:pPr>
      <w:r>
        <w:rPr>
          <w:sz w:val="32"/>
        </w:rPr>
        <w:t>16 U.S. Code § 824d. Rates and charges; schedules; suspension of new rates; automatic adjustment clauses</w:t>
      </w:r>
    </w:p>
    <w:tbl>
      <w:tblPr>
        <w:tblStyle w:val="TableGrid"/>
        <w:tblW w:w="9285" w:type="dxa"/>
        <w:tblInd w:w="199" w:type="dxa"/>
        <w:tblCellMar>
          <w:left w:w="143" w:type="dxa"/>
          <w:bottom w:w="702" w:type="dxa"/>
          <w:right w:w="115" w:type="dxa"/>
        </w:tblCellMar>
        <w:tblLook w:val="04A0" w:firstRow="1" w:lastRow="0" w:firstColumn="1" w:lastColumn="0" w:noHBand="0" w:noVBand="1"/>
      </w:tblPr>
      <w:tblGrid>
        <w:gridCol w:w="9285"/>
      </w:tblGrid>
      <w:tr w:rsidR="00A12C2C">
        <w:trPr>
          <w:trHeight w:val="10627"/>
        </w:trPr>
        <w:tc>
          <w:tcPr>
            <w:tcW w:w="9285" w:type="dxa"/>
            <w:tcBorders>
              <w:top w:val="single" w:color="EEEEEE" w:sz="6" w:space="0"/>
              <w:left w:val="single" w:color="EEEEEE" w:sz="6" w:space="0"/>
              <w:bottom w:val="nil"/>
              <w:right w:val="single" w:color="EEEEEE" w:sz="6" w:space="0"/>
            </w:tcBorders>
            <w:vAlign w:val="bottom"/>
          </w:tcPr>
          <w:p w:rsidR="00A12C2C" w:rsidRDefault="00A12C2C">
            <w:pPr>
              <w:spacing w:after="728" w:line="259" w:lineRule="auto"/>
              <w:ind w:left="0" w:right="0" w:firstLine="0"/>
            </w:pPr>
          </w:p>
          <w:p w:rsidR="00A12C2C" w:rsidRDefault="00E32498">
            <w:pPr>
              <w:numPr>
                <w:ilvl w:val="0"/>
                <w:numId w:val="6"/>
              </w:numPr>
              <w:spacing w:after="77" w:line="259" w:lineRule="auto"/>
              <w:ind w:right="0" w:hanging="449"/>
            </w:pPr>
            <w:r>
              <w:t>J</w:t>
            </w:r>
            <w:r>
              <w:rPr>
                <w:sz w:val="18"/>
              </w:rPr>
              <w:t>UST AND REASONABLE RATES</w:t>
            </w:r>
          </w:p>
          <w:p w:rsidR="00A12C2C" w:rsidRDefault="00E32498">
            <w:pPr>
              <w:spacing w:after="358" w:line="312" w:lineRule="auto"/>
              <w:ind w:left="547" w:right="170" w:firstLine="0"/>
            </w:pPr>
            <w:r>
              <w:t xml:space="preserve">All rates and charges made, demanded, or received by any </w:t>
            </w:r>
            <w:r>
              <w:rPr>
                <w:u w:val="single" w:color="000000"/>
              </w:rPr>
              <w:t xml:space="preserve">public utility </w:t>
            </w:r>
            <w:r>
              <w:t>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w:t>
            </w:r>
          </w:p>
          <w:p w:rsidR="00A12C2C" w:rsidRDefault="00E32498">
            <w:pPr>
              <w:numPr>
                <w:ilvl w:val="0"/>
                <w:numId w:val="6"/>
              </w:numPr>
              <w:spacing w:after="77" w:line="259" w:lineRule="auto"/>
              <w:ind w:right="0" w:hanging="449"/>
            </w:pPr>
            <w:r>
              <w:t>P</w:t>
            </w:r>
            <w:r>
              <w:rPr>
                <w:sz w:val="18"/>
              </w:rPr>
              <w:t>REFERENCE OR ADVANTAGE UNLAWFUL</w:t>
            </w:r>
          </w:p>
          <w:p w:rsidR="00A12C2C" w:rsidRDefault="00E32498">
            <w:pPr>
              <w:spacing w:after="353" w:line="312" w:lineRule="auto"/>
              <w:ind w:left="547" w:right="328" w:firstLine="0"/>
            </w:pPr>
            <w:r>
              <w:t xml:space="preserve">No </w:t>
            </w:r>
            <w:r>
              <w:rPr>
                <w:u w:val="single" w:color="000000"/>
              </w:rPr>
              <w:t xml:space="preserve">public utility </w:t>
            </w:r>
            <w:r>
              <w:t>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rsidR="00A12C2C" w:rsidRDefault="00E32498">
            <w:pPr>
              <w:numPr>
                <w:ilvl w:val="0"/>
                <w:numId w:val="6"/>
              </w:numPr>
              <w:spacing w:after="65" w:line="259" w:lineRule="auto"/>
              <w:ind w:right="0" w:hanging="449"/>
            </w:pPr>
            <w:r>
              <w:t>S</w:t>
            </w:r>
            <w:r>
              <w:rPr>
                <w:sz w:val="18"/>
              </w:rPr>
              <w:t>CHEDULES</w:t>
            </w:r>
          </w:p>
          <w:p w:rsidR="00A12C2C" w:rsidRDefault="00E32498">
            <w:pPr>
              <w:spacing w:after="357" w:line="313" w:lineRule="auto"/>
              <w:ind w:left="547" w:right="331" w:firstLine="0"/>
            </w:pPr>
            <w:r>
              <w:t xml:space="preserve">Under such rules and regulations as the Commission may prescribe, every </w:t>
            </w:r>
            <w:r>
              <w:rPr>
                <w:u w:val="single" w:color="000000"/>
              </w:rPr>
              <w:t xml:space="preserve">public utility </w:t>
            </w:r>
            <w:r>
              <w:t>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w:t>
            </w:r>
          </w:p>
          <w:p w:rsidR="00A12C2C" w:rsidRDefault="00E32498">
            <w:pPr>
              <w:numPr>
                <w:ilvl w:val="0"/>
                <w:numId w:val="6"/>
              </w:numPr>
              <w:spacing w:after="0" w:line="259" w:lineRule="auto"/>
              <w:ind w:right="0" w:hanging="449"/>
            </w:pPr>
            <w:r>
              <w:t>N</w:t>
            </w:r>
            <w:r>
              <w:rPr>
                <w:sz w:val="18"/>
              </w:rPr>
              <w:t>OTICE REQUIRED FOR RATE CHANGES</w:t>
            </w:r>
          </w:p>
        </w:tc>
      </w:tr>
    </w:tbl>
    <w:p w:rsidR="00A12C2C" w:rsidRDefault="00E32498">
      <w:pPr>
        <w:spacing w:after="351"/>
        <w:ind w:right="230"/>
      </w:pPr>
      <w:r>
        <w:rPr>
          <w:rFonts w:ascii="Calibri" w:hAnsi="Calibri" w:eastAsia="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121920</wp:posOffset>
                </wp:positionH>
                <wp:positionV relativeFrom="paragraph">
                  <wp:posOffset>-51396</wp:posOffset>
                </wp:positionV>
                <wp:extent cx="9525" cy="8686769"/>
                <wp:effectExtent l="0" t="0" r="0" b="0"/>
                <wp:wrapSquare wrapText="bothSides"/>
                <wp:docPr id="10953" name="Group 10953"/>
                <wp:cNvGraphicFramePr/>
                <a:graphic xmlns:a="http://schemas.openxmlformats.org/drawingml/2006/main">
                  <a:graphicData uri="http://schemas.microsoft.com/office/word/2010/wordprocessingGroup">
                    <wpg:wgp>
                      <wpg:cNvGrpSpPr/>
                      <wpg:grpSpPr>
                        <a:xfrm>
                          <a:off x="0" y="0"/>
                          <a:ext cx="9525" cy="8686769"/>
                          <a:chOff x="0" y="0"/>
                          <a:chExt cx="9525" cy="8686769"/>
                        </a:xfrm>
                      </wpg:grpSpPr>
                      <wps:wsp>
                        <wps:cNvPr id="11995" name="Shape 11995"/>
                        <wps:cNvSpPr/>
                        <wps:spPr>
                          <a:xfrm>
                            <a:off x="0" y="0"/>
                            <a:ext cx="9525" cy="8686769"/>
                          </a:xfrm>
                          <a:custGeom>
                            <a:avLst/>
                            <a:gdLst/>
                            <a:ahLst/>
                            <a:cxnLst/>
                            <a:rect l="0" t="0" r="0" b="0"/>
                            <a:pathLst>
                              <a:path w="9525" h="8686769">
                                <a:moveTo>
                                  <a:pt x="0" y="0"/>
                                </a:moveTo>
                                <a:lnTo>
                                  <a:pt x="9525" y="0"/>
                                </a:lnTo>
                                <a:lnTo>
                                  <a:pt x="9525" y="8686769"/>
                                </a:lnTo>
                                <a:lnTo>
                                  <a:pt x="0" y="868676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0953" style="width:0.750023pt;height:683.998pt;position:absolute;mso-position-horizontal-relative:text;mso-position-horizontal:absolute;margin-left:9.59996pt;mso-position-vertical-relative:text;margin-top:-4.04701pt;" coordsize="95,86867">
                <v:shape id="Shape 11996" style="position:absolute;width:95;height:86867;left:0;top:0;" coordsize="9525,8686769" path="m0,0l9525,0l9525,8686769l0,8686769l0,0">
                  <v:stroke on="false" weight="0pt" color="#000000" opacity="0" miterlimit="10" joinstyle="miter" endcap="flat"/>
                  <v:fill on="true" color="#eeeeee"/>
                </v:shape>
                <w10:wrap type="square"/>
              </v:group>
            </w:pict>
          </mc:Fallback>
        </mc:AlternateContent>
      </w:r>
      <w:r>
        <w:t xml:space="preserve">Unless the Commission otherwise orders, no change shall be made by any </w:t>
      </w:r>
      <w:r>
        <w:rPr>
          <w:u w:val="single" w:color="000000"/>
        </w:rPr>
        <w:t xml:space="preserve">public utility </w:t>
      </w:r>
      <w:r>
        <w:t>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manner in which they shall be filed and published.</w:t>
      </w:r>
    </w:p>
    <w:p w:rsidR="00A12C2C" w:rsidRDefault="00E32498">
      <w:pPr>
        <w:numPr>
          <w:ilvl w:val="0"/>
          <w:numId w:val="1"/>
        </w:numPr>
        <w:spacing w:after="61" w:line="265" w:lineRule="auto"/>
        <w:ind w:right="0" w:hanging="442"/>
      </w:pPr>
      <w:r>
        <w:t>S</w:t>
      </w:r>
      <w:r>
        <w:rPr>
          <w:sz w:val="18"/>
        </w:rPr>
        <w:t>USPENSION OF NEW RATES</w:t>
      </w:r>
      <w:r>
        <w:t xml:space="preserve">; </w:t>
      </w:r>
      <w:r>
        <w:rPr>
          <w:sz w:val="18"/>
        </w:rPr>
        <w:t>HEARINGS</w:t>
      </w:r>
      <w:r>
        <w:t xml:space="preserve">; </w:t>
      </w:r>
      <w:r>
        <w:rPr>
          <w:sz w:val="18"/>
        </w:rPr>
        <w:t>FIVE</w:t>
      </w:r>
      <w:r>
        <w:t>-</w:t>
      </w:r>
      <w:r>
        <w:rPr>
          <w:sz w:val="18"/>
        </w:rPr>
        <w:t>MONTH PERIOD</w:t>
      </w:r>
    </w:p>
    <w:p w:rsidR="00A12C2C" w:rsidRDefault="00E32498">
      <w:pPr>
        <w:ind w:right="47"/>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6829428</wp:posOffset>
                </wp:positionH>
                <wp:positionV relativeFrom="page">
                  <wp:posOffset>685800</wp:posOffset>
                </wp:positionV>
                <wp:extent cx="9522" cy="8686769"/>
                <wp:effectExtent l="0" t="0" r="0" b="0"/>
                <wp:wrapSquare wrapText="bothSides"/>
                <wp:docPr id="10952" name="Group 10952"/>
                <wp:cNvGraphicFramePr/>
                <a:graphic xmlns:a="http://schemas.openxmlformats.org/drawingml/2006/main">
                  <a:graphicData uri="http://schemas.microsoft.com/office/word/2010/wordprocessingGroup">
                    <wpg:wgp>
                      <wpg:cNvGrpSpPr/>
                      <wpg:grpSpPr>
                        <a:xfrm>
                          <a:off x="0" y="0"/>
                          <a:ext cx="9522" cy="8686769"/>
                          <a:chOff x="0" y="0"/>
                          <a:chExt cx="9522" cy="8686769"/>
                        </a:xfrm>
                      </wpg:grpSpPr>
                      <wps:wsp>
                        <wps:cNvPr id="11997" name="Shape 11997"/>
                        <wps:cNvSpPr/>
                        <wps:spPr>
                          <a:xfrm>
                            <a:off x="0" y="0"/>
                            <a:ext cx="9522" cy="8686769"/>
                          </a:xfrm>
                          <a:custGeom>
                            <a:avLst/>
                            <a:gdLst/>
                            <a:ahLst/>
                            <a:cxnLst/>
                            <a:rect l="0" t="0" r="0" b="0"/>
                            <a:pathLst>
                              <a:path w="9522" h="8686769">
                                <a:moveTo>
                                  <a:pt x="0" y="0"/>
                                </a:moveTo>
                                <a:lnTo>
                                  <a:pt x="9522" y="0"/>
                                </a:lnTo>
                                <a:lnTo>
                                  <a:pt x="9522" y="8686769"/>
                                </a:lnTo>
                                <a:lnTo>
                                  <a:pt x="0" y="868676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0952" style="width:0.749756pt;height:683.998pt;position:absolute;mso-position-horizontal-relative:page;mso-position-horizontal:absolute;margin-left:537.75pt;mso-position-vertical-relative:page;margin-top:54pt;" coordsize="95,86867">
                <v:shape id="Shape 11998" style="position:absolute;width:95;height:86867;left:0;top:0;" coordsize="9522,8686769" path="m0,0l9522,0l9522,8686769l0,8686769l0,0">
                  <v:stroke on="false" weight="0pt" color="#000000" opacity="0" miterlimit="10" joinstyle="miter" endcap="flat"/>
                  <v:fill on="true" color="#eeeeee"/>
                </v:shape>
                <w10:wrap type="square"/>
              </v:group>
            </w:pict>
          </mc:Fallback>
        </mc:AlternateContent>
      </w:r>
      <w:r>
        <w:t xml:space="preserve">Whenever any such new schedule is filed the Commission shall have authority, either upon complaint or upon its own initiative without complaint, at once, and, if it so orders, without answer or formal pleading by the </w:t>
      </w:r>
      <w:r>
        <w:rPr>
          <w:u w:val="single" w:color="000000"/>
        </w:rPr>
        <w:t>public utility</w:t>
      </w:r>
      <w:r>
        <w:t xml:space="preserve">, but upon reasonable notice, to enter upon a hearing concerning the lawfulness of such rate, charge, classification, or service; and, pending such hearing and the decision thereon, the Commission, upon filing with such schedules and delivering to the </w:t>
      </w:r>
      <w:r>
        <w:rPr>
          <w:u w:val="single" w:color="000000"/>
        </w:rPr>
        <w:t xml:space="preserve">public utility </w:t>
      </w:r>
      <w:r>
        <w:t xml:space="preserve">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w:t>
      </w:r>
      <w:r>
        <w:rPr>
          <w:u w:val="single" w:color="000000"/>
        </w:rPr>
        <w:t xml:space="preserve">public utility </w:t>
      </w:r>
      <w:r>
        <w:t xml:space="preserve">or public utilities to keep accurate account in detail of all amounts received by reason of such increase, specifying by whom and in whose behalf such amounts are paid, and upon completion of the hearing and decision may by further order require such </w:t>
      </w:r>
      <w:r>
        <w:rPr>
          <w:u w:val="single" w:color="000000"/>
        </w:rPr>
        <w:t xml:space="preserve">public utility </w:t>
      </w:r>
      <w:r>
        <w:t xml:space="preserve">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w:t>
      </w:r>
      <w:r>
        <w:rPr>
          <w:u w:val="single" w:color="000000"/>
        </w:rPr>
        <w:t>public utility</w:t>
      </w:r>
      <w:r>
        <w:t>, and the Commission shall give to the hearing and decision of such questions preference over other questions pending before it and decide the same as speedily as possible.</w:t>
      </w:r>
    </w:p>
    <w:p w:rsidR="00A12C2C" w:rsidRDefault="00E32498">
      <w:pPr>
        <w:numPr>
          <w:ilvl w:val="0"/>
          <w:numId w:val="1"/>
        </w:numPr>
        <w:spacing w:after="86" w:line="265" w:lineRule="auto"/>
        <w:ind w:right="0" w:hanging="442"/>
      </w:pPr>
      <w:r>
        <w:rPr>
          <w:rFonts w:ascii="Calibri" w:hAnsi="Calibri" w:eastAsia="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column">
                  <wp:posOffset>121920</wp:posOffset>
                </wp:positionH>
                <wp:positionV relativeFrom="paragraph">
                  <wp:posOffset>-190153</wp:posOffset>
                </wp:positionV>
                <wp:extent cx="9525" cy="8686769"/>
                <wp:effectExtent l="0" t="0" r="0" b="0"/>
                <wp:wrapSquare wrapText="bothSides"/>
                <wp:docPr id="11141" name="Group 11141"/>
                <wp:cNvGraphicFramePr/>
                <a:graphic xmlns:a="http://schemas.openxmlformats.org/drawingml/2006/main">
                  <a:graphicData uri="http://schemas.microsoft.com/office/word/2010/wordprocessingGroup">
                    <wpg:wgp>
                      <wpg:cNvGrpSpPr/>
                      <wpg:grpSpPr>
                        <a:xfrm>
                          <a:off x="0" y="0"/>
                          <a:ext cx="9525" cy="8686769"/>
                          <a:chOff x="0" y="0"/>
                          <a:chExt cx="9525" cy="8686769"/>
                        </a:xfrm>
                      </wpg:grpSpPr>
                      <wps:wsp>
                        <wps:cNvPr id="11999" name="Shape 11999"/>
                        <wps:cNvSpPr/>
                        <wps:spPr>
                          <a:xfrm>
                            <a:off x="0" y="0"/>
                            <a:ext cx="9525" cy="8686769"/>
                          </a:xfrm>
                          <a:custGeom>
                            <a:avLst/>
                            <a:gdLst/>
                            <a:ahLst/>
                            <a:cxnLst/>
                            <a:rect l="0" t="0" r="0" b="0"/>
                            <a:pathLst>
                              <a:path w="9525" h="8686769">
                                <a:moveTo>
                                  <a:pt x="0" y="0"/>
                                </a:moveTo>
                                <a:lnTo>
                                  <a:pt x="9525" y="0"/>
                                </a:lnTo>
                                <a:lnTo>
                                  <a:pt x="9525" y="8686769"/>
                                </a:lnTo>
                                <a:lnTo>
                                  <a:pt x="0" y="868676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1141" style="width:0.750023pt;height:683.998pt;position:absolute;mso-position-horizontal-relative:text;mso-position-horizontal:absolute;margin-left:9.59996pt;mso-position-vertical-relative:text;margin-top:-14.9727pt;" coordsize="95,86867">
                <v:shape id="Shape 12000" style="position:absolute;width:95;height:86867;left:0;top:0;" coordsize="9525,8686769" path="m0,0l9525,0l9525,8686769l0,8686769l0,0">
                  <v:stroke on="false" weight="0pt" color="#000000" opacity="0" miterlimit="10" joinstyle="miter" endcap="flat"/>
                  <v:fill on="true" color="#eeeeee"/>
                </v:shape>
                <w10:wrap type="square"/>
              </v:group>
            </w:pict>
          </mc:Fallback>
        </mc:AlternateContent>
      </w:r>
      <w:r>
        <w:t>R</w:t>
      </w:r>
      <w:r>
        <w:rPr>
          <w:sz w:val="18"/>
        </w:rPr>
        <w:t>EVIEW OF AUTOMATIC ADJUSTMENT CLAUSES AND PUBLIC UTILITY</w:t>
      </w:r>
    </w:p>
    <w:p w:rsidR="00A12C2C" w:rsidRDefault="00E32498">
      <w:pPr>
        <w:spacing w:after="55" w:line="265" w:lineRule="auto"/>
        <w:ind w:right="0"/>
      </w:pPr>
      <w:r>
        <w:rPr>
          <w:sz w:val="18"/>
        </w:rPr>
        <w:t>PRACTICES</w:t>
      </w:r>
      <w:r>
        <w:t xml:space="preserve">; </w:t>
      </w:r>
      <w:r>
        <w:rPr>
          <w:sz w:val="18"/>
        </w:rPr>
        <w:t>ACTION BY</w:t>
      </w:r>
      <w:r>
        <w:t xml:space="preserve"> C</w:t>
      </w:r>
      <w:r>
        <w:rPr>
          <w:sz w:val="18"/>
        </w:rPr>
        <w:t>OMMISSION</w:t>
      </w:r>
      <w:r>
        <w:t>; “</w:t>
      </w:r>
      <w:r>
        <w:rPr>
          <w:sz w:val="18"/>
        </w:rPr>
        <w:t>AUTOMATIC ADJUSTMENT CLAUSE</w:t>
      </w:r>
      <w:r>
        <w:t xml:space="preserve">” </w:t>
      </w:r>
    </w:p>
    <w:p w:rsidR="00A12C2C" w:rsidRDefault="00E32498">
      <w:pPr>
        <w:spacing w:after="244" w:line="265" w:lineRule="auto"/>
        <w:ind w:right="0"/>
      </w:pPr>
      <w:r>
        <w:rPr>
          <w:sz w:val="18"/>
        </w:rPr>
        <w:t>DEFINED</w:t>
      </w:r>
    </w:p>
    <w:p w:rsidR="00A12C2C" w:rsidRDefault="00E32498">
      <w:pPr>
        <w:ind w:right="230"/>
      </w:pPr>
      <w:r>
        <w:t xml:space="preserve">(1) Not later than 2 years after November 9, 1978, and not less often than every 4 years thereafter, the Commission shall make a thorough review of </w:t>
      </w:r>
      <w:r>
        <w:rPr>
          <w:u w:val="single" w:color="000000"/>
        </w:rPr>
        <w:t xml:space="preserve">automatic adjustment clauses </w:t>
      </w:r>
      <w:r>
        <w:t xml:space="preserve">in </w:t>
      </w:r>
      <w:r>
        <w:rPr>
          <w:u w:val="single" w:color="000000"/>
        </w:rPr>
        <w:t xml:space="preserve">public utility </w:t>
      </w:r>
      <w:r>
        <w:t>rate schedules to examine—</w:t>
      </w:r>
    </w:p>
    <w:p w:rsidR="00A12C2C" w:rsidRDefault="00E32498">
      <w:pPr>
        <w:numPr>
          <w:ilvl w:val="3"/>
          <w:numId w:val="5"/>
        </w:numPr>
        <w:spacing w:after="196"/>
        <w:ind w:right="230"/>
      </w:pPr>
      <w:r>
        <w:t>whether or not each such clause effectively provides incentives for efficient use of resources (including economical purchase and use of fuel and electric energy), and</w:t>
      </w:r>
    </w:p>
    <w:p w:rsidR="00A12C2C" w:rsidRDefault="00E32498">
      <w:pPr>
        <w:numPr>
          <w:ilvl w:val="3"/>
          <w:numId w:val="5"/>
        </w:numPr>
        <w:ind w:right="230"/>
      </w:pPr>
      <w:r>
        <w:t>whether any such clause reflects any costs other than costs which are—</w:t>
      </w:r>
    </w:p>
    <w:p w:rsidR="00A12C2C" w:rsidRDefault="00E32498">
      <w:pPr>
        <w:numPr>
          <w:ilvl w:val="4"/>
          <w:numId w:val="2"/>
        </w:numPr>
        <w:spacing w:after="264" w:line="259" w:lineRule="auto"/>
        <w:ind w:left="1741" w:right="230" w:hanging="374"/>
      </w:pPr>
      <w:r>
        <w:t>subject to periodic fluctuations and</w:t>
      </w:r>
    </w:p>
    <w:p w:rsidR="00A12C2C" w:rsidRDefault="00E32498">
      <w:pPr>
        <w:numPr>
          <w:ilvl w:val="4"/>
          <w:numId w:val="2"/>
        </w:numPr>
        <w:spacing w:after="326"/>
        <w:ind w:left="1741" w:right="230" w:hanging="374"/>
      </w:pPr>
      <w:r>
        <w:t>not susceptible to precise determinations in rate cases prior to the time such costs are incurred.</w:t>
      </w:r>
    </w:p>
    <w:p w:rsidR="00A12C2C" w:rsidRDefault="00E32498">
      <w:pPr>
        <w:spacing w:after="320"/>
        <w:ind w:right="230"/>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6829428</wp:posOffset>
                </wp:positionH>
                <wp:positionV relativeFrom="page">
                  <wp:posOffset>685800</wp:posOffset>
                </wp:positionV>
                <wp:extent cx="9522" cy="8686769"/>
                <wp:effectExtent l="0" t="0" r="0" b="0"/>
                <wp:wrapSquare wrapText="bothSides"/>
                <wp:docPr id="11140" name="Group 11140"/>
                <wp:cNvGraphicFramePr/>
                <a:graphic xmlns:a="http://schemas.openxmlformats.org/drawingml/2006/main">
                  <a:graphicData uri="http://schemas.microsoft.com/office/word/2010/wordprocessingGroup">
                    <wpg:wgp>
                      <wpg:cNvGrpSpPr/>
                      <wpg:grpSpPr>
                        <a:xfrm>
                          <a:off x="0" y="0"/>
                          <a:ext cx="9522" cy="8686769"/>
                          <a:chOff x="0" y="0"/>
                          <a:chExt cx="9522" cy="8686769"/>
                        </a:xfrm>
                      </wpg:grpSpPr>
                      <wps:wsp>
                        <wps:cNvPr id="12001" name="Shape 12001"/>
                        <wps:cNvSpPr/>
                        <wps:spPr>
                          <a:xfrm>
                            <a:off x="0" y="0"/>
                            <a:ext cx="9522" cy="8686769"/>
                          </a:xfrm>
                          <a:custGeom>
                            <a:avLst/>
                            <a:gdLst/>
                            <a:ahLst/>
                            <a:cxnLst/>
                            <a:rect l="0" t="0" r="0" b="0"/>
                            <a:pathLst>
                              <a:path w="9522" h="8686769">
                                <a:moveTo>
                                  <a:pt x="0" y="0"/>
                                </a:moveTo>
                                <a:lnTo>
                                  <a:pt x="9522" y="0"/>
                                </a:lnTo>
                                <a:lnTo>
                                  <a:pt x="9522" y="8686769"/>
                                </a:lnTo>
                                <a:lnTo>
                                  <a:pt x="0" y="868676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1140" style="width:0.749756pt;height:683.998pt;position:absolute;mso-position-horizontal-relative:page;mso-position-horizontal:absolute;margin-left:537.75pt;mso-position-vertical-relative:page;margin-top:54pt;" coordsize="95,86867">
                <v:shape id="Shape 12002" style="position:absolute;width:95;height:86867;left:0;top:0;" coordsize="9522,8686769" path="m0,0l9522,0l9522,8686769l0,8686769l0,0">
                  <v:stroke on="false" weight="0pt" color="#000000" opacity="0" miterlimit="10" joinstyle="miter" endcap="flat"/>
                  <v:fill on="true" color="#eeeeee"/>
                </v:shape>
                <w10:wrap type="square"/>
              </v:group>
            </w:pict>
          </mc:Fallback>
        </mc:AlternateContent>
      </w:r>
      <w:r>
        <w:t>Such review may take place in individual rate proceedings or in generic or other separate proceedings applicable to one or more utilities.</w:t>
      </w:r>
    </w:p>
    <w:p w:rsidR="00A12C2C" w:rsidRDefault="00E32498">
      <w:pPr>
        <w:numPr>
          <w:ilvl w:val="2"/>
          <w:numId w:val="3"/>
        </w:numPr>
        <w:spacing w:after="231"/>
        <w:ind w:right="230"/>
      </w:pPr>
      <w:r>
        <w:t xml:space="preserve">Not less frequently than every 2 years, in rate proceedings or in generic or other separate proceedings, the Commission shall review, with respect to each </w:t>
      </w:r>
      <w:r>
        <w:rPr>
          <w:u w:val="single" w:color="000000"/>
        </w:rPr>
        <w:t>public utility</w:t>
      </w:r>
      <w:r>
        <w:t xml:space="preserve">, practices under any </w:t>
      </w:r>
      <w:r>
        <w:rPr>
          <w:u w:val="single" w:color="000000"/>
        </w:rPr>
        <w:t>automatic</w:t>
      </w:r>
      <w:r>
        <w:t xml:space="preserve"> </w:t>
      </w:r>
      <w:r>
        <w:rPr>
          <w:u w:val="single" w:color="000000"/>
        </w:rPr>
        <w:t xml:space="preserve">adjustment clauses </w:t>
      </w:r>
      <w:r>
        <w:t>of such utility to insure efficient use of resources (including economical purchase and use of fuel and electric energy) under such clauses.</w:t>
      </w:r>
    </w:p>
    <w:p w:rsidR="00A12C2C" w:rsidRDefault="00E32498">
      <w:pPr>
        <w:numPr>
          <w:ilvl w:val="2"/>
          <w:numId w:val="3"/>
        </w:numPr>
        <w:ind w:right="230"/>
      </w:pPr>
      <w:r>
        <w:t xml:space="preserve">The Commission may, on its own motion or upon complaint, after an opportunity for an evidentiary hearing, order a </w:t>
      </w:r>
      <w:r>
        <w:rPr>
          <w:u w:val="single" w:color="000000"/>
        </w:rPr>
        <w:t xml:space="preserve">public utility </w:t>
      </w:r>
      <w:r>
        <w:t>to—</w:t>
      </w:r>
    </w:p>
    <w:p w:rsidR="00A12C2C" w:rsidRDefault="00E32498">
      <w:pPr>
        <w:numPr>
          <w:ilvl w:val="3"/>
          <w:numId w:val="4"/>
        </w:numPr>
        <w:spacing w:after="196"/>
        <w:ind w:right="230" w:hanging="463"/>
      </w:pPr>
      <w:r>
        <w:t xml:space="preserve">modify the terms and provisions of any </w:t>
      </w:r>
      <w:r>
        <w:rPr>
          <w:u w:val="single" w:color="000000"/>
        </w:rPr>
        <w:t>automatic adjustment</w:t>
      </w:r>
      <w:r>
        <w:t xml:space="preserve"> </w:t>
      </w:r>
      <w:r>
        <w:rPr>
          <w:u w:val="single" w:color="000000"/>
        </w:rPr>
        <w:t>clause</w:t>
      </w:r>
      <w:r>
        <w:t>, or</w:t>
      </w:r>
    </w:p>
    <w:p w:rsidR="00A12C2C" w:rsidRDefault="00E32498">
      <w:pPr>
        <w:numPr>
          <w:ilvl w:val="3"/>
          <w:numId w:val="4"/>
        </w:numPr>
        <w:spacing w:after="271" w:line="259" w:lineRule="auto"/>
        <w:ind w:right="230" w:hanging="463"/>
      </w:pPr>
      <w:r>
        <w:t>cease any practice in connection with the clause,</w:t>
      </w:r>
    </w:p>
    <w:p w:rsidR="00A12C2C" w:rsidRDefault="00E32498">
      <w:pPr>
        <w:ind w:right="230"/>
      </w:pPr>
      <w:r>
        <w:t xml:space="preserve">if such clause or practice does not result in the economical purchase and use of fuel, electric energy, or other items, the cost of which is included in any rate schedule under an </w:t>
      </w:r>
      <w:r>
        <w:rPr>
          <w:u w:val="single" w:color="000000"/>
        </w:rPr>
        <w:t>automatic</w:t>
      </w:r>
      <w:r>
        <w:t xml:space="preserve"> </w:t>
      </w:r>
      <w:r>
        <w:rPr>
          <w:u w:val="single" w:color="000000"/>
        </w:rPr>
        <w:t>adjustment clause</w:t>
      </w:r>
      <w:r>
        <w:t>.</w:t>
      </w:r>
    </w:p>
    <w:tbl>
      <w:tblPr>
        <w:tblStyle w:val="TableGrid"/>
        <w:tblW w:w="9285" w:type="dxa"/>
        <w:tblInd w:w="199" w:type="dxa"/>
        <w:tblCellMar>
          <w:top w:w="81" w:type="dxa"/>
          <w:left w:w="408" w:type="dxa"/>
          <w:right w:w="115" w:type="dxa"/>
        </w:tblCellMar>
        <w:tblLook w:val="04A0" w:firstRow="1" w:lastRow="0" w:firstColumn="1" w:lastColumn="0" w:noHBand="0" w:noVBand="1"/>
      </w:tblPr>
      <w:tblGrid>
        <w:gridCol w:w="9285"/>
      </w:tblGrid>
      <w:tr w:rsidR="00A12C2C">
        <w:trPr>
          <w:trHeight w:val="12128"/>
        </w:trPr>
        <w:tc>
          <w:tcPr>
            <w:tcW w:w="9285" w:type="dxa"/>
            <w:tcBorders>
              <w:top w:val="nil"/>
              <w:left w:val="single" w:color="EEEEEE" w:sz="6" w:space="0"/>
              <w:bottom w:val="single" w:color="EEEEEE" w:sz="6" w:space="0"/>
              <w:right w:val="single" w:color="EEEEEE" w:sz="6" w:space="0"/>
            </w:tcBorders>
          </w:tcPr>
          <w:p w:rsidR="00A12C2C" w:rsidRDefault="00E32498">
            <w:pPr>
              <w:spacing w:after="366" w:line="312" w:lineRule="auto"/>
              <w:ind w:left="581" w:right="327" w:firstLine="0"/>
            </w:pPr>
            <w:r>
              <w:lastRenderedPageBreak/>
              <w:t>(4) As used in this subsection, the term “</w:t>
            </w:r>
            <w:r>
              <w:rPr>
                <w:u w:val="single" w:color="000000"/>
              </w:rPr>
              <w:t>automatic adjustment clause</w:t>
            </w:r>
            <w:r>
              <w:t>”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w:t>
            </w:r>
          </w:p>
          <w:p w:rsidR="00A12C2C" w:rsidRDefault="00E32498">
            <w:pPr>
              <w:spacing w:after="203" w:line="259" w:lineRule="auto"/>
              <w:ind w:left="282" w:right="0" w:firstLine="0"/>
            </w:pPr>
            <w:r>
              <w:t>(g) I</w:t>
            </w:r>
            <w:r>
              <w:rPr>
                <w:sz w:val="18"/>
              </w:rPr>
              <w:t xml:space="preserve">NACTION OF </w:t>
            </w:r>
            <w:r>
              <w:t>C</w:t>
            </w:r>
            <w:r>
              <w:rPr>
                <w:sz w:val="18"/>
              </w:rPr>
              <w:t>OMMISSIONERS</w:t>
            </w:r>
          </w:p>
          <w:p w:rsidR="00A12C2C" w:rsidRDefault="00E32498">
            <w:pPr>
              <w:numPr>
                <w:ilvl w:val="0"/>
                <w:numId w:val="7"/>
              </w:numPr>
              <w:spacing w:after="0" w:line="313" w:lineRule="auto"/>
              <w:ind w:right="57" w:firstLine="0"/>
            </w:pPr>
            <w:r>
              <w:t>I</w:t>
            </w:r>
            <w:r>
              <w:rPr>
                <w:sz w:val="18"/>
              </w:rPr>
              <w:t xml:space="preserve">N GENERAL </w:t>
            </w:r>
            <w:r>
              <w:t xml:space="preserve">With respect to a change described in subsection (d), if the Commission permits the 60-day period established therein to expire without issuing an order accepting or denying the change because the Commissioners are divided two against two as to the lawfulness of the change, as a result of vacancy, incapacity, or recusal on the </w:t>
            </w:r>
          </w:p>
          <w:p w:rsidR="00A12C2C" w:rsidRDefault="00E32498">
            <w:pPr>
              <w:spacing w:after="187" w:line="259" w:lineRule="auto"/>
              <w:ind w:left="563" w:right="0" w:firstLine="0"/>
            </w:pPr>
            <w:r>
              <w:t>Commission, or if the Commission lacks a quorum—</w:t>
            </w:r>
          </w:p>
          <w:p w:rsidR="00A12C2C" w:rsidRDefault="00E32498">
            <w:pPr>
              <w:numPr>
                <w:ilvl w:val="1"/>
                <w:numId w:val="7"/>
              </w:numPr>
              <w:spacing w:after="202" w:line="313" w:lineRule="auto"/>
              <w:ind w:right="174" w:firstLine="0"/>
            </w:pPr>
            <w:r>
              <w:t xml:space="preserve">the failure to issue an order accepting or denying the change by the Commission shall be considered to be an order issued by the Commission accepting the change for purposes of </w:t>
            </w:r>
            <w:r>
              <w:rPr>
                <w:u w:val="single" w:color="000000"/>
              </w:rPr>
              <w:t>section 825l(a) of</w:t>
            </w:r>
            <w:r>
              <w:t xml:space="preserve"> </w:t>
            </w:r>
            <w:r>
              <w:rPr>
                <w:u w:val="single" w:color="000000"/>
              </w:rPr>
              <w:t>this title</w:t>
            </w:r>
            <w:r>
              <w:t>; and</w:t>
            </w:r>
          </w:p>
          <w:p w:rsidR="00A12C2C" w:rsidRDefault="00E32498">
            <w:pPr>
              <w:numPr>
                <w:ilvl w:val="1"/>
                <w:numId w:val="7"/>
              </w:numPr>
              <w:spacing w:after="338" w:line="314" w:lineRule="auto"/>
              <w:ind w:right="174" w:firstLine="0"/>
            </w:pPr>
            <w:r>
              <w:t>each Commissioner shall add to the record of the Commission a written statement explaining the views of the Commissioner with respect to the change.</w:t>
            </w:r>
          </w:p>
          <w:p w:rsidR="00A12C2C" w:rsidRDefault="00E32498">
            <w:pPr>
              <w:numPr>
                <w:ilvl w:val="0"/>
                <w:numId w:val="7"/>
              </w:numPr>
              <w:spacing w:after="64" w:line="259" w:lineRule="auto"/>
              <w:ind w:right="57" w:firstLine="0"/>
            </w:pPr>
            <w:r>
              <w:t>A</w:t>
            </w:r>
            <w:r>
              <w:rPr>
                <w:sz w:val="18"/>
              </w:rPr>
              <w:t>PPEAL</w:t>
            </w:r>
          </w:p>
          <w:p w:rsidR="00A12C2C" w:rsidRDefault="00E32498">
            <w:pPr>
              <w:spacing w:after="378" w:line="311" w:lineRule="auto"/>
              <w:ind w:left="563" w:right="341" w:firstLine="0"/>
            </w:pPr>
            <w:r>
              <w:t xml:space="preserve">If, pursuant to this subsection, a person seeks a rehearing under </w:t>
            </w:r>
            <w:r>
              <w:rPr>
                <w:u w:val="single" w:color="000000"/>
              </w:rPr>
              <w:t>section</w:t>
            </w:r>
            <w:r>
              <w:t xml:space="preserve"> </w:t>
            </w:r>
            <w:r>
              <w:rPr>
                <w:u w:val="single" w:color="000000"/>
              </w:rPr>
              <w:t>825l(a) of this title</w:t>
            </w:r>
            <w:r>
              <w:t xml:space="preserve">, and the Commission fails to act on the merits of the rehearing request by the date that is 30 days after the date of the rehearing request because the Commissioners are divided two against two, as a result of vacancy, incapacity, or recusal on the Commission, or if the Commission lacks a quorum, such person may appeal under </w:t>
            </w:r>
            <w:r>
              <w:rPr>
                <w:u w:val="single" w:color="000000"/>
              </w:rPr>
              <w:t>section 825l(b) of this title</w:t>
            </w:r>
            <w:r>
              <w:t>.</w:t>
            </w:r>
          </w:p>
          <w:p w:rsidR="00A12C2C" w:rsidRDefault="00E32498">
            <w:pPr>
              <w:spacing w:after="53" w:line="259" w:lineRule="auto"/>
              <w:ind w:left="0" w:right="0" w:firstLine="0"/>
            </w:pPr>
            <w:r>
              <w:t xml:space="preserve">(June 10, 1920, </w:t>
            </w:r>
            <w:proofErr w:type="spellStart"/>
            <w:r>
              <w:t>ch.</w:t>
            </w:r>
            <w:proofErr w:type="spellEnd"/>
            <w:r>
              <w:t xml:space="preserve"> 285, pt. II, § 205, as added Aug. 26, 1935, </w:t>
            </w:r>
            <w:proofErr w:type="spellStart"/>
            <w:r>
              <w:t>ch.</w:t>
            </w:r>
            <w:proofErr w:type="spellEnd"/>
            <w:r>
              <w:t xml:space="preserve"> 687, title </w:t>
            </w:r>
          </w:p>
          <w:p w:rsidR="00A12C2C" w:rsidRDefault="00E32498">
            <w:pPr>
              <w:spacing w:after="53" w:line="259" w:lineRule="auto"/>
              <w:ind w:left="0" w:right="349" w:firstLine="0"/>
              <w:jc w:val="center"/>
            </w:pPr>
            <w:r>
              <w:t xml:space="preserve">II, § 213, </w:t>
            </w:r>
            <w:r>
              <w:rPr>
                <w:u w:val="single" w:color="000000"/>
              </w:rPr>
              <w:t>49 Stat. 851</w:t>
            </w:r>
            <w:r>
              <w:t xml:space="preserve">; amended </w:t>
            </w:r>
            <w:r>
              <w:rPr>
                <w:u w:val="single" w:color="000000"/>
              </w:rPr>
              <w:t>Pub. L. 95–617, title II</w:t>
            </w:r>
            <w:r>
              <w:t xml:space="preserve">, §§ 207(a), 208, Nov. </w:t>
            </w:r>
          </w:p>
          <w:p w:rsidR="00A12C2C" w:rsidRDefault="00E32498">
            <w:pPr>
              <w:spacing w:after="53" w:line="259" w:lineRule="auto"/>
              <w:ind w:left="0" w:right="467" w:firstLine="0"/>
              <w:jc w:val="center"/>
            </w:pPr>
            <w:r>
              <w:t xml:space="preserve">9, 1978, </w:t>
            </w:r>
            <w:r>
              <w:rPr>
                <w:u w:val="single" w:color="000000"/>
              </w:rPr>
              <w:t>92 Stat. 3142</w:t>
            </w:r>
            <w:r>
              <w:t xml:space="preserve">; </w:t>
            </w:r>
            <w:r>
              <w:rPr>
                <w:u w:val="single" w:color="000000"/>
              </w:rPr>
              <w:t>Pub. L. 115–270, title III, § 3006</w:t>
            </w:r>
            <w:r>
              <w:t xml:space="preserve">, Oct. 23, 2018, </w:t>
            </w:r>
            <w:r>
              <w:rPr>
                <w:u w:val="single" w:color="000000"/>
              </w:rPr>
              <w:t>132</w:t>
            </w:r>
            <w:r>
              <w:t xml:space="preserve"> </w:t>
            </w:r>
          </w:p>
          <w:p w:rsidR="00A12C2C" w:rsidRDefault="00E32498">
            <w:pPr>
              <w:spacing w:after="0" w:line="259" w:lineRule="auto"/>
              <w:ind w:left="0" w:right="0" w:firstLine="0"/>
            </w:pPr>
            <w:r>
              <w:rPr>
                <w:u w:val="single" w:color="000000"/>
              </w:rPr>
              <w:t>Stat. 3868</w:t>
            </w:r>
            <w:r>
              <w:t>.)</w:t>
            </w:r>
          </w:p>
        </w:tc>
      </w:tr>
    </w:tbl>
    <w:p w:rsidR="00A12C2C" w:rsidRDefault="00E32498">
      <w:pPr>
        <w:tabs>
          <w:tab w:val="center" w:pos="1402"/>
          <w:tab w:val="center" w:pos="2748"/>
        </w:tabs>
        <w:spacing w:after="0" w:line="259" w:lineRule="auto"/>
        <w:ind w:left="0" w:right="0" w:firstLine="0"/>
      </w:pPr>
      <w:r>
        <w:rPr>
          <w:rFonts w:ascii="Calibri" w:hAnsi="Calibri" w:eastAsia="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6786220</wp:posOffset>
                </wp:positionH>
                <wp:positionV relativeFrom="page">
                  <wp:posOffset>8411118</wp:posOffset>
                </wp:positionV>
                <wp:extent cx="221237" cy="103098"/>
                <wp:effectExtent l="0" t="0" r="0" b="0"/>
                <wp:wrapSquare wrapText="bothSides"/>
                <wp:docPr id="11604" name="Group 11604"/>
                <wp:cNvGraphicFramePr/>
                <a:graphic xmlns:a="http://schemas.openxmlformats.org/drawingml/2006/main">
                  <a:graphicData uri="http://schemas.microsoft.com/office/word/2010/wordprocessingGroup">
                    <wpg:wgp>
                      <wpg:cNvGrpSpPr/>
                      <wpg:grpSpPr>
                        <a:xfrm>
                          <a:off x="0" y="0"/>
                          <a:ext cx="221237" cy="103098"/>
                          <a:chOff x="0" y="0"/>
                          <a:chExt cx="221237" cy="103098"/>
                        </a:xfrm>
                      </wpg:grpSpPr>
                      <wps:wsp>
                        <wps:cNvPr id="2146" name="Shape 2146"/>
                        <wps:cNvSpPr/>
                        <wps:spPr>
                          <a:xfrm>
                            <a:off x="29589" y="32941"/>
                            <a:ext cx="11232" cy="11232"/>
                          </a:xfrm>
                          <a:custGeom>
                            <a:avLst/>
                            <a:gdLst/>
                            <a:ahLst/>
                            <a:cxnLst/>
                            <a:rect l="0" t="0" r="0" b="0"/>
                            <a:pathLst>
                              <a:path w="11232" h="11232">
                                <a:moveTo>
                                  <a:pt x="5616" y="0"/>
                                </a:moveTo>
                                <a:cubicBezTo>
                                  <a:pt x="8717" y="0"/>
                                  <a:pt x="11232" y="2514"/>
                                  <a:pt x="11232" y="5616"/>
                                </a:cubicBezTo>
                                <a:cubicBezTo>
                                  <a:pt x="11232" y="8717"/>
                                  <a:pt x="8717" y="11232"/>
                                  <a:pt x="5616" y="11232"/>
                                </a:cubicBezTo>
                                <a:cubicBezTo>
                                  <a:pt x="2514" y="11232"/>
                                  <a:pt x="0" y="8717"/>
                                  <a:pt x="0" y="5616"/>
                                </a:cubicBezTo>
                                <a:cubicBezTo>
                                  <a:pt x="0" y="2514"/>
                                  <a:pt x="2514" y="0"/>
                                  <a:pt x="5616" y="0"/>
                                </a:cubicBezTo>
                                <a:close/>
                              </a:path>
                            </a:pathLst>
                          </a:custGeom>
                          <a:ln w="0" cap="flat">
                            <a:miter lim="127000"/>
                          </a:ln>
                        </wps:spPr>
                        <wps:style>
                          <a:lnRef idx="0">
                            <a:srgbClr val="000000">
                              <a:alpha val="0"/>
                            </a:srgbClr>
                          </a:lnRef>
                          <a:fillRef idx="1">
                            <a:srgbClr val="00AECD"/>
                          </a:fillRef>
                          <a:effectRef idx="0">
                            <a:scrgbClr r="0" g="0" b="0"/>
                          </a:effectRef>
                          <a:fontRef idx="none"/>
                        </wps:style>
                        <wps:bodyPr/>
                      </wps:wsp>
                      <wps:wsp>
                        <wps:cNvPr id="2147" name="Shape 2147"/>
                        <wps:cNvSpPr/>
                        <wps:spPr>
                          <a:xfrm>
                            <a:off x="0" y="0"/>
                            <a:ext cx="96952" cy="103098"/>
                          </a:xfrm>
                          <a:custGeom>
                            <a:avLst/>
                            <a:gdLst/>
                            <a:ahLst/>
                            <a:cxnLst/>
                            <a:rect l="0" t="0" r="0" b="0"/>
                            <a:pathLst>
                              <a:path w="96952" h="103098">
                                <a:moveTo>
                                  <a:pt x="12573" y="1677"/>
                                </a:moveTo>
                                <a:lnTo>
                                  <a:pt x="91364" y="44424"/>
                                </a:lnTo>
                                <a:cubicBezTo>
                                  <a:pt x="96952" y="48895"/>
                                  <a:pt x="96952" y="53086"/>
                                  <a:pt x="91364" y="56997"/>
                                </a:cubicBezTo>
                                <a:lnTo>
                                  <a:pt x="40653" y="85077"/>
                                </a:lnTo>
                                <a:cubicBezTo>
                                  <a:pt x="38322" y="86233"/>
                                  <a:pt x="35561" y="86107"/>
                                  <a:pt x="33346" y="84744"/>
                                </a:cubicBezTo>
                                <a:cubicBezTo>
                                  <a:pt x="31131" y="83381"/>
                                  <a:pt x="29774" y="80973"/>
                                  <a:pt x="29756" y="78371"/>
                                </a:cubicBezTo>
                                <a:lnTo>
                                  <a:pt x="29756" y="53225"/>
                                </a:lnTo>
                                <a:cubicBezTo>
                                  <a:pt x="29755" y="51278"/>
                                  <a:pt x="30793" y="49478"/>
                                  <a:pt x="32479" y="48505"/>
                                </a:cubicBezTo>
                                <a:cubicBezTo>
                                  <a:pt x="34165" y="47530"/>
                                  <a:pt x="36244" y="47530"/>
                                  <a:pt x="37929" y="48505"/>
                                </a:cubicBezTo>
                                <a:cubicBezTo>
                                  <a:pt x="39616" y="49478"/>
                                  <a:pt x="40654" y="51278"/>
                                  <a:pt x="40653" y="53225"/>
                                </a:cubicBezTo>
                                <a:lnTo>
                                  <a:pt x="40653" y="72085"/>
                                </a:lnTo>
                                <a:lnTo>
                                  <a:pt x="72086" y="55321"/>
                                </a:lnTo>
                                <a:cubicBezTo>
                                  <a:pt x="81026" y="52527"/>
                                  <a:pt x="81026" y="49733"/>
                                  <a:pt x="72086" y="46939"/>
                                </a:cubicBezTo>
                                <a:lnTo>
                                  <a:pt x="20955" y="17602"/>
                                </a:lnTo>
                                <a:cubicBezTo>
                                  <a:pt x="15367" y="15367"/>
                                  <a:pt x="12573" y="17043"/>
                                  <a:pt x="12573" y="22631"/>
                                </a:cubicBezTo>
                                <a:lnTo>
                                  <a:pt x="12573" y="78371"/>
                                </a:lnTo>
                                <a:cubicBezTo>
                                  <a:pt x="12573" y="84239"/>
                                  <a:pt x="15087" y="85775"/>
                                  <a:pt x="20117" y="82982"/>
                                </a:cubicBezTo>
                                <a:cubicBezTo>
                                  <a:pt x="21913" y="82083"/>
                                  <a:pt x="24054" y="82211"/>
                                  <a:pt x="25729" y="83319"/>
                                </a:cubicBezTo>
                                <a:cubicBezTo>
                                  <a:pt x="27406" y="84425"/>
                                  <a:pt x="28365" y="86343"/>
                                  <a:pt x="28244" y="88348"/>
                                </a:cubicBezTo>
                                <a:cubicBezTo>
                                  <a:pt x="28124" y="90353"/>
                                  <a:pt x="26943" y="92142"/>
                                  <a:pt x="25147" y="93040"/>
                                </a:cubicBezTo>
                                <a:lnTo>
                                  <a:pt x="12573" y="99746"/>
                                </a:lnTo>
                                <a:cubicBezTo>
                                  <a:pt x="6427" y="103098"/>
                                  <a:pt x="2236" y="100863"/>
                                  <a:pt x="0" y="93040"/>
                                </a:cubicBezTo>
                                <a:lnTo>
                                  <a:pt x="0" y="9220"/>
                                </a:lnTo>
                                <a:cubicBezTo>
                                  <a:pt x="2236" y="2515"/>
                                  <a:pt x="6427" y="0"/>
                                  <a:pt x="12573" y="1677"/>
                                </a:cubicBezTo>
                                <a:close/>
                              </a:path>
                            </a:pathLst>
                          </a:custGeom>
                          <a:ln w="0" cap="flat">
                            <a:miter lim="127000"/>
                          </a:ln>
                        </wps:spPr>
                        <wps:style>
                          <a:lnRef idx="0">
                            <a:srgbClr val="000000">
                              <a:alpha val="0"/>
                            </a:srgbClr>
                          </a:lnRef>
                          <a:fillRef idx="1">
                            <a:srgbClr val="00AECD"/>
                          </a:fillRef>
                          <a:effectRef idx="0">
                            <a:scrgbClr r="0" g="0" b="0"/>
                          </a:effectRef>
                          <a:fontRef idx="none"/>
                        </wps:style>
                        <wps:bodyPr/>
                      </wps:wsp>
                      <wps:wsp>
                        <wps:cNvPr id="2148" name="Shape 2148"/>
                        <wps:cNvSpPr/>
                        <wps:spPr>
                          <a:xfrm>
                            <a:off x="146285" y="51130"/>
                            <a:ext cx="71247" cy="35623"/>
                          </a:xfrm>
                          <a:custGeom>
                            <a:avLst/>
                            <a:gdLst/>
                            <a:ahLst/>
                            <a:cxnLst/>
                            <a:rect l="0" t="0" r="0" b="0"/>
                            <a:pathLst>
                              <a:path w="71247" h="35623">
                                <a:moveTo>
                                  <a:pt x="0" y="35623"/>
                                </a:moveTo>
                                <a:lnTo>
                                  <a:pt x="35623" y="0"/>
                                </a:lnTo>
                                <a:lnTo>
                                  <a:pt x="71247" y="3562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 name="Shape 2149"/>
                        <wps:cNvSpPr/>
                        <wps:spPr>
                          <a:xfrm>
                            <a:off x="146285" y="15507"/>
                            <a:ext cx="71247" cy="35623"/>
                          </a:xfrm>
                          <a:custGeom>
                            <a:avLst/>
                            <a:gdLst/>
                            <a:ahLst/>
                            <a:cxnLst/>
                            <a:rect l="0" t="0" r="0" b="0"/>
                            <a:pathLst>
                              <a:path w="71247" h="35623">
                                <a:moveTo>
                                  <a:pt x="71247" y="0"/>
                                </a:moveTo>
                                <a:lnTo>
                                  <a:pt x="35623" y="35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 name="Shape 2150"/>
                        <wps:cNvSpPr/>
                        <wps:spPr>
                          <a:xfrm>
                            <a:off x="142579" y="11802"/>
                            <a:ext cx="78658" cy="78657"/>
                          </a:xfrm>
                          <a:custGeom>
                            <a:avLst/>
                            <a:gdLst/>
                            <a:ahLst/>
                            <a:cxnLst/>
                            <a:rect l="0" t="0" r="0" b="0"/>
                            <a:pathLst>
                              <a:path w="78658" h="78657">
                                <a:moveTo>
                                  <a:pt x="7411" y="0"/>
                                </a:moveTo>
                                <a:lnTo>
                                  <a:pt x="39329" y="31918"/>
                                </a:lnTo>
                                <a:lnTo>
                                  <a:pt x="71248" y="0"/>
                                </a:lnTo>
                                <a:lnTo>
                                  <a:pt x="78658" y="7410"/>
                                </a:lnTo>
                                <a:lnTo>
                                  <a:pt x="46740" y="39329"/>
                                </a:lnTo>
                                <a:lnTo>
                                  <a:pt x="78658" y="71247"/>
                                </a:lnTo>
                                <a:lnTo>
                                  <a:pt x="71248" y="78657"/>
                                </a:lnTo>
                                <a:lnTo>
                                  <a:pt x="39329" y="46739"/>
                                </a:lnTo>
                                <a:lnTo>
                                  <a:pt x="7411" y="78657"/>
                                </a:lnTo>
                                <a:lnTo>
                                  <a:pt x="0" y="71247"/>
                                </a:lnTo>
                                <a:lnTo>
                                  <a:pt x="31919" y="39329"/>
                                </a:lnTo>
                                <a:lnTo>
                                  <a:pt x="0" y="7410"/>
                                </a:lnTo>
                                <a:lnTo>
                                  <a:pt x="7411" y="0"/>
                                </a:lnTo>
                                <a:close/>
                              </a:path>
                            </a:pathLst>
                          </a:custGeom>
                          <a:ln w="0" cap="flat">
                            <a:miter lim="127000"/>
                          </a:ln>
                        </wps:spPr>
                        <wps:style>
                          <a:lnRef idx="0">
                            <a:srgbClr val="000000">
                              <a:alpha val="0"/>
                            </a:srgbClr>
                          </a:lnRef>
                          <a:fillRef idx="1">
                            <a:srgbClr val="00AECD"/>
                          </a:fillRef>
                          <a:effectRef idx="0">
                            <a:scrgbClr r="0" g="0" b="0"/>
                          </a:effectRef>
                          <a:fontRef idx="none"/>
                        </wps:style>
                        <wps:bodyPr/>
                      </wps:wsp>
                    </wpg:wgp>
                  </a:graphicData>
                </a:graphic>
              </wp:anchor>
            </w:drawing>
          </mc:Choice>
          <mc:Fallback xmlns:a="http://schemas.openxmlformats.org/drawingml/2006/main">
            <w:pict>
              <v:group id="Group 11604" style="width:17.4202pt;height:8.11798pt;position:absolute;mso-position-horizontal-relative:page;mso-position-horizontal:absolute;margin-left:534.348pt;mso-position-vertical-relative:page;margin-top:662.293pt;" coordsize="2212,1030">
                <v:shape id="Shape 2146" style="position:absolute;width:112;height:112;left:295;top:329;" coordsize="11232,11232" path="m5616,0c8717,0,11232,2514,11232,5616c11232,8717,8717,11232,5616,11232c2514,11232,0,8717,0,5616c0,2514,2514,0,5616,0x">
                  <v:stroke on="false" weight="0pt" color="#000000" opacity="0" miterlimit="10" joinstyle="miter" endcap="flat"/>
                  <v:fill on="true" color="#00aecd"/>
                </v:shape>
                <v:shape id="Shape 2147" style="position:absolute;width:969;height:1030;left:0;top:0;" coordsize="96952,103098" path="m12573,1677l91364,44424c96952,48895,96952,53086,91364,56997l40653,85077c38322,86233,35561,86107,33346,84744c31131,83381,29774,80973,29756,78371l29756,53225c29755,51278,30793,49478,32479,48505c34165,47530,36244,47530,37929,48505c39616,49478,40654,51278,40653,53225l40653,72085l72086,55321c81026,52527,81026,49733,72086,46939l20955,17602c15367,15367,12573,17043,12573,22631l12573,78371c12573,84239,15087,85775,20117,82982c21913,82083,24054,82211,25729,83319c27406,84425,28365,86343,28244,88348c28124,90353,26943,92142,25147,93040l12573,99746c6427,103098,2236,100863,0,93040l0,9220c2236,2515,6427,0,12573,1677x">
                  <v:stroke on="false" weight="0pt" color="#000000" opacity="0" miterlimit="10" joinstyle="miter" endcap="flat"/>
                  <v:fill on="true" color="#00aecd"/>
                </v:shape>
                <v:shape id="Shape 2148" style="position:absolute;width:712;height:356;left:1462;top:511;" coordsize="71247,35623" path="m0,35623l35623,0l71247,35623x">
                  <v:stroke on="false" weight="0pt" color="#000000" opacity="0" miterlimit="10" joinstyle="miter" endcap="flat"/>
                  <v:fill on="true" color="#000000"/>
                </v:shape>
                <v:shape id="Shape 2149" style="position:absolute;width:712;height:356;left:1462;top:155;" coordsize="71247,35623" path="m71247,0l35623,35623l0,0x">
                  <v:stroke on="false" weight="0pt" color="#000000" opacity="0" miterlimit="10" joinstyle="miter" endcap="flat"/>
                  <v:fill on="true" color="#000000"/>
                </v:shape>
                <v:shape id="Shape 2150" style="position:absolute;width:786;height:786;left:1425;top:118;" coordsize="78658,78657" path="m7411,0l39329,31918l71248,0l78658,7410l46740,39329l78658,71247l71248,78657l39329,46739l7411,78657l0,71247l31919,39329l0,7410l7411,0x">
                  <v:stroke on="false" weight="0pt" color="#000000" opacity="0" miterlimit="10" joinstyle="miter" endcap="flat"/>
                  <v:fill on="true" color="#00aecd"/>
                </v:shape>
                <w10:wrap type="square"/>
              </v:group>
            </w:pict>
          </mc:Fallback>
        </mc:AlternateContent>
      </w:r>
      <w:r>
        <w:rPr>
          <w:rFonts w:ascii="Calibri" w:hAnsi="Calibri" w:eastAsia="Calibri" w:cs="Calibri"/>
          <w:sz w:val="22"/>
        </w:rPr>
        <w:tab/>
      </w:r>
      <w:r>
        <w:rPr>
          <w:color w:val="6C6866"/>
          <w:sz w:val="13"/>
        </w:rPr>
        <w:t>Hot</w:t>
      </w:r>
      <w:r>
        <w:rPr>
          <w:color w:val="6C6866"/>
          <w:sz w:val="13"/>
        </w:rPr>
        <w:tab/>
      </w:r>
      <w:proofErr w:type="spellStart"/>
      <w:r>
        <w:rPr>
          <w:color w:val="6C6866"/>
          <w:sz w:val="13"/>
        </w:rPr>
        <w:t>Hot</w:t>
      </w:r>
      <w:proofErr w:type="spellEnd"/>
    </w:p>
    <w:p w:rsidR="00A12C2C" w:rsidP="004D5F48" w:rsidRDefault="00E32498">
      <w:pPr>
        <w:spacing w:after="111" w:line="259" w:lineRule="auto"/>
        <w:ind w:left="649" w:right="0" w:firstLine="0"/>
      </w:pPr>
      <w:r>
        <w:rPr>
          <w:sz w:val="25"/>
        </w:rPr>
        <w:t xml:space="preserve"> </w:t>
      </w:r>
      <w:bookmarkStart w:name="_GoBack" w:id="0"/>
      <w:bookmarkEnd w:id="0"/>
    </w:p>
    <w:sectPr w:rsidR="00A12C2C">
      <w:headerReference w:type="even" r:id="rId7"/>
      <w:headerReference w:type="default" r:id="rId8"/>
      <w:footerReference w:type="even" r:id="rId9"/>
      <w:footerReference w:type="default" r:id="rId10"/>
      <w:headerReference w:type="first" r:id="rId11"/>
      <w:footerReference w:type="first" r:id="rId12"/>
      <w:pgSz w:w="12240" w:h="15840"/>
      <w:pgMar w:top="1080" w:right="1880" w:bottom="1080" w:left="1278"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FDF" w:rsidRDefault="00573FDF">
      <w:pPr>
        <w:spacing w:after="0" w:line="240" w:lineRule="auto"/>
      </w:pPr>
      <w:r>
        <w:separator/>
      </w:r>
    </w:p>
  </w:endnote>
  <w:endnote w:type="continuationSeparator" w:id="0">
    <w:p w:rsidR="00573FDF" w:rsidRDefault="0057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tabs>
        <w:tab w:val="right" w:pos="9882"/>
      </w:tabs>
      <w:spacing w:after="0" w:line="259" w:lineRule="auto"/>
      <w:ind w:left="-198" w:right="-800" w:firstLine="0"/>
    </w:pPr>
    <w:r>
      <w:rPr>
        <w:sz w:val="24"/>
      </w:rPr>
      <w:t>https://www.law.cornell.edu/uscode/text/16/824d</w:t>
    </w:r>
    <w:r>
      <w:rPr>
        <w:sz w:val="24"/>
      </w:rPr>
      <w:tab/>
      <w:t>2/27/2020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tabs>
        <w:tab w:val="right" w:pos="9882"/>
      </w:tabs>
      <w:spacing w:after="0" w:line="259" w:lineRule="auto"/>
      <w:ind w:left="-198" w:right="-800" w:firstLine="0"/>
    </w:pPr>
    <w:r>
      <w:rPr>
        <w:sz w:val="24"/>
      </w:rPr>
      <w:t>https://www.law.cornell.edu/uscode/text/16/824d</w:t>
    </w:r>
    <w:r>
      <w:rPr>
        <w:sz w:val="24"/>
      </w:rPr>
      <w:tab/>
      <w:t>2/27/2020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tabs>
        <w:tab w:val="right" w:pos="9882"/>
      </w:tabs>
      <w:spacing w:after="0" w:line="259" w:lineRule="auto"/>
      <w:ind w:left="-198" w:right="-800" w:firstLine="0"/>
    </w:pPr>
    <w:r>
      <w:rPr>
        <w:sz w:val="24"/>
      </w:rPr>
      <w:t>https://www.law.cornell.edu/uscode/text/16/824d</w:t>
    </w:r>
    <w:r>
      <w:rPr>
        <w:sz w:val="24"/>
      </w:rPr>
      <w:tab/>
      <w:t>2/27/2020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FDF" w:rsidRDefault="00573FDF">
      <w:pPr>
        <w:spacing w:after="0" w:line="240" w:lineRule="auto"/>
      </w:pPr>
      <w:r>
        <w:separator/>
      </w:r>
    </w:p>
  </w:footnote>
  <w:footnote w:type="continuationSeparator" w:id="0">
    <w:p w:rsidR="00573FDF" w:rsidRDefault="0057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spacing w:after="0" w:line="259" w:lineRule="auto"/>
      <w:ind w:left="-198" w:right="-800" w:firstLine="0"/>
      <w:jc w:val="both"/>
    </w:pPr>
    <w:r>
      <w:rPr>
        <w:sz w:val="24"/>
      </w:rPr>
      <w:t xml:space="preserve">16 U.S. Code § 824d - Rates and charges; schedules; suspension of new rates; automatic a... 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spacing w:after="0" w:line="259" w:lineRule="auto"/>
      <w:ind w:left="-198" w:right="-800" w:firstLine="0"/>
      <w:jc w:val="both"/>
    </w:pPr>
    <w:r>
      <w:rPr>
        <w:sz w:val="24"/>
      </w:rPr>
      <w:t xml:space="preserve">16 U.S. Code § 824d - Rates and charges; schedules; suspension of new rates; automatic a... 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2C" w:rsidRDefault="00E32498">
    <w:pPr>
      <w:spacing w:after="0" w:line="259" w:lineRule="auto"/>
      <w:ind w:left="-198" w:right="-800" w:firstLine="0"/>
      <w:jc w:val="both"/>
    </w:pPr>
    <w:r>
      <w:rPr>
        <w:sz w:val="24"/>
      </w:rPr>
      <w:t xml:space="preserve">16 U.S. Code § 824d - Rates and charges; schedules; suspension of new rates; automatic a... 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6E5"/>
    <w:multiLevelType w:val="hybridMultilevel"/>
    <w:tmpl w:val="13168518"/>
    <w:lvl w:ilvl="0" w:tplc="521EC33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45250C0">
      <w:start w:val="1"/>
      <w:numFmt w:val="lowerLetter"/>
      <w:lvlText w:val="%2"/>
      <w:lvlJc w:val="left"/>
      <w:pPr>
        <w:ind w:left="5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D487892">
      <w:start w:val="2"/>
      <w:numFmt w:val="decimal"/>
      <w:lvlRestart w:val="0"/>
      <w:lvlText w:val="(%3)"/>
      <w:lvlJc w:val="left"/>
      <w:pPr>
        <w:ind w:left="2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EDC3442">
      <w:start w:val="1"/>
      <w:numFmt w:val="decimal"/>
      <w:lvlText w:val="%4"/>
      <w:lvlJc w:val="left"/>
      <w:pPr>
        <w:ind w:left="1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7A1FD6">
      <w:start w:val="1"/>
      <w:numFmt w:val="lowerLetter"/>
      <w:lvlText w:val="%5"/>
      <w:lvlJc w:val="left"/>
      <w:pPr>
        <w:ind w:left="20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4031A8">
      <w:start w:val="1"/>
      <w:numFmt w:val="lowerRoman"/>
      <w:lvlText w:val="%6"/>
      <w:lvlJc w:val="left"/>
      <w:pPr>
        <w:ind w:left="2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346AE28">
      <w:start w:val="1"/>
      <w:numFmt w:val="decimal"/>
      <w:lvlText w:val="%7"/>
      <w:lvlJc w:val="left"/>
      <w:pPr>
        <w:ind w:left="3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A584B12">
      <w:start w:val="1"/>
      <w:numFmt w:val="lowerLetter"/>
      <w:lvlText w:val="%8"/>
      <w:lvlJc w:val="left"/>
      <w:pPr>
        <w:ind w:left="4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752F224">
      <w:start w:val="1"/>
      <w:numFmt w:val="lowerRoman"/>
      <w:lvlText w:val="%9"/>
      <w:lvlJc w:val="left"/>
      <w:pPr>
        <w:ind w:left="49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4720D2"/>
    <w:multiLevelType w:val="hybridMultilevel"/>
    <w:tmpl w:val="97C6243E"/>
    <w:lvl w:ilvl="0" w:tplc="B24692FA">
      <w:start w:val="5"/>
      <w:numFmt w:val="lowerLetter"/>
      <w:lvlText w:val="(%1)"/>
      <w:lvlJc w:val="left"/>
      <w:pPr>
        <w:ind w:left="6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7741C1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9C4F9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16B95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F0805C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DB8B1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E86239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2BA8F6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BEC1D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6051E49"/>
    <w:multiLevelType w:val="hybridMultilevel"/>
    <w:tmpl w:val="0562D608"/>
    <w:lvl w:ilvl="0" w:tplc="69CC131E">
      <w:start w:val="1"/>
      <w:numFmt w:val="lowerLetter"/>
      <w:lvlText w:val="(%1)"/>
      <w:lvlJc w:val="left"/>
      <w:pPr>
        <w:ind w:left="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DC65A76">
      <w:start w:val="1"/>
      <w:numFmt w:val="lowerLetter"/>
      <w:lvlText w:val="%2"/>
      <w:lvlJc w:val="left"/>
      <w:pPr>
        <w:ind w:left="17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34CE1A">
      <w:start w:val="1"/>
      <w:numFmt w:val="lowerRoman"/>
      <w:lvlText w:val="%3"/>
      <w:lvlJc w:val="left"/>
      <w:pPr>
        <w:ind w:left="24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4AD9FA">
      <w:start w:val="1"/>
      <w:numFmt w:val="decimal"/>
      <w:lvlText w:val="%4"/>
      <w:lvlJc w:val="left"/>
      <w:pPr>
        <w:ind w:left="32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D2AEEC">
      <w:start w:val="1"/>
      <w:numFmt w:val="lowerLetter"/>
      <w:lvlText w:val="%5"/>
      <w:lvlJc w:val="left"/>
      <w:pPr>
        <w:ind w:left="39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EB6632C">
      <w:start w:val="1"/>
      <w:numFmt w:val="lowerRoman"/>
      <w:lvlText w:val="%6"/>
      <w:lvlJc w:val="left"/>
      <w:pPr>
        <w:ind w:left="46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AEE716">
      <w:start w:val="1"/>
      <w:numFmt w:val="decimal"/>
      <w:lvlText w:val="%7"/>
      <w:lvlJc w:val="left"/>
      <w:pPr>
        <w:ind w:left="5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EAC587E">
      <w:start w:val="1"/>
      <w:numFmt w:val="lowerLetter"/>
      <w:lvlText w:val="%8"/>
      <w:lvlJc w:val="left"/>
      <w:pPr>
        <w:ind w:left="6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67ABD18">
      <w:start w:val="1"/>
      <w:numFmt w:val="lowerRoman"/>
      <w:lvlText w:val="%9"/>
      <w:lvlJc w:val="left"/>
      <w:pPr>
        <w:ind w:left="6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9C958A2"/>
    <w:multiLevelType w:val="hybridMultilevel"/>
    <w:tmpl w:val="12BAC15C"/>
    <w:lvl w:ilvl="0" w:tplc="6A26B69A">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01EBADA">
      <w:start w:val="1"/>
      <w:numFmt w:val="lowerLetter"/>
      <w:lvlText w:val="%2"/>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68CE42">
      <w:start w:val="1"/>
      <w:numFmt w:val="lowerRoman"/>
      <w:lvlText w:val="%3"/>
      <w:lvlJc w:val="left"/>
      <w:pPr>
        <w:ind w:left="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AA275B2">
      <w:start w:val="1"/>
      <w:numFmt w:val="upperLetter"/>
      <w:lvlRestart w:val="0"/>
      <w:lvlText w:val="(%4)"/>
      <w:lvlJc w:val="left"/>
      <w:pPr>
        <w:ind w:left="11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D9EF272">
      <w:start w:val="1"/>
      <w:numFmt w:val="lowerLetter"/>
      <w:lvlText w:val="%5"/>
      <w:lvlJc w:val="left"/>
      <w:pPr>
        <w:ind w:left="1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B6EDCC">
      <w:start w:val="1"/>
      <w:numFmt w:val="lowerRoman"/>
      <w:lvlText w:val="%6"/>
      <w:lvlJc w:val="left"/>
      <w:pPr>
        <w:ind w:left="23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2AED976">
      <w:start w:val="1"/>
      <w:numFmt w:val="decimal"/>
      <w:lvlText w:val="%7"/>
      <w:lvlJc w:val="left"/>
      <w:pPr>
        <w:ind w:left="31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1565010">
      <w:start w:val="1"/>
      <w:numFmt w:val="lowerLetter"/>
      <w:lvlText w:val="%8"/>
      <w:lvlJc w:val="left"/>
      <w:pPr>
        <w:ind w:left="38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8F821DC">
      <w:start w:val="1"/>
      <w:numFmt w:val="lowerRoman"/>
      <w:lvlText w:val="%9"/>
      <w:lvlJc w:val="left"/>
      <w:pPr>
        <w:ind w:left="4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3511721"/>
    <w:multiLevelType w:val="hybridMultilevel"/>
    <w:tmpl w:val="178CB298"/>
    <w:lvl w:ilvl="0" w:tplc="FAD41E9E">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148A06">
      <w:start w:val="1"/>
      <w:numFmt w:val="lowerLetter"/>
      <w:lvlText w:val="%2"/>
      <w:lvlJc w:val="left"/>
      <w:pPr>
        <w:ind w:left="5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122C296">
      <w:start w:val="1"/>
      <w:numFmt w:val="lowerRoman"/>
      <w:lvlText w:val="%3"/>
      <w:lvlJc w:val="left"/>
      <w:pPr>
        <w:ind w:left="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AC8D28">
      <w:start w:val="1"/>
      <w:numFmt w:val="decimal"/>
      <w:lvlText w:val="%4"/>
      <w:lvlJc w:val="left"/>
      <w:pPr>
        <w:ind w:left="1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B29694">
      <w:start w:val="1"/>
      <w:numFmt w:val="lowerRoman"/>
      <w:lvlRestart w:val="0"/>
      <w:lvlText w:val="(%5)"/>
      <w:lvlJc w:val="left"/>
      <w:pPr>
        <w:ind w:left="17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F22BBC">
      <w:start w:val="1"/>
      <w:numFmt w:val="lowerRoman"/>
      <w:lvlText w:val="%6"/>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1608E4">
      <w:start w:val="1"/>
      <w:numFmt w:val="decimal"/>
      <w:lvlText w:val="%7"/>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EEC0DFE">
      <w:start w:val="1"/>
      <w:numFmt w:val="lowerLetter"/>
      <w:lvlText w:val="%8"/>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2BE5898">
      <w:start w:val="1"/>
      <w:numFmt w:val="lowerRoman"/>
      <w:lvlText w:val="%9"/>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80060D2"/>
    <w:multiLevelType w:val="hybridMultilevel"/>
    <w:tmpl w:val="2EFE4908"/>
    <w:lvl w:ilvl="0" w:tplc="40881DBA">
      <w:start w:val="1"/>
      <w:numFmt w:val="decimal"/>
      <w:lvlText w:val="(%1)"/>
      <w:lvlJc w:val="left"/>
      <w:pPr>
        <w:ind w:left="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A441D4">
      <w:start w:val="1"/>
      <w:numFmt w:val="upperLetter"/>
      <w:lvlText w:val="(%2)"/>
      <w:lvlJc w:val="left"/>
      <w:pPr>
        <w:ind w:left="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7E3E06">
      <w:start w:val="1"/>
      <w:numFmt w:val="lowerRoman"/>
      <w:lvlText w:val="%3"/>
      <w:lvlJc w:val="left"/>
      <w:pPr>
        <w:ind w:left="2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C40DBAE">
      <w:start w:val="1"/>
      <w:numFmt w:val="decimal"/>
      <w:lvlText w:val="%4"/>
      <w:lvlJc w:val="left"/>
      <w:pPr>
        <w:ind w:left="30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E3CB3DC">
      <w:start w:val="1"/>
      <w:numFmt w:val="lowerLetter"/>
      <w:lvlText w:val="%5"/>
      <w:lvlJc w:val="left"/>
      <w:pPr>
        <w:ind w:left="37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C6E9E6">
      <w:start w:val="1"/>
      <w:numFmt w:val="lowerRoman"/>
      <w:lvlText w:val="%6"/>
      <w:lvlJc w:val="left"/>
      <w:pPr>
        <w:ind w:left="4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0FADCF4">
      <w:start w:val="1"/>
      <w:numFmt w:val="decimal"/>
      <w:lvlText w:val="%7"/>
      <w:lvlJc w:val="left"/>
      <w:pPr>
        <w:ind w:left="52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7965DDA">
      <w:start w:val="1"/>
      <w:numFmt w:val="lowerLetter"/>
      <w:lvlText w:val="%8"/>
      <w:lvlJc w:val="left"/>
      <w:pPr>
        <w:ind w:left="59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32E61AC">
      <w:start w:val="1"/>
      <w:numFmt w:val="lowerRoman"/>
      <w:lvlText w:val="%9"/>
      <w:lvlJc w:val="left"/>
      <w:pPr>
        <w:ind w:left="66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D1A1D53"/>
    <w:multiLevelType w:val="hybridMultilevel"/>
    <w:tmpl w:val="696AA89C"/>
    <w:lvl w:ilvl="0" w:tplc="0DEA3A18">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7C26DCC">
      <w:start w:val="1"/>
      <w:numFmt w:val="lowerLetter"/>
      <w:lvlText w:val="%2"/>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3D271A6">
      <w:start w:val="1"/>
      <w:numFmt w:val="lowerRoman"/>
      <w:lvlText w:val="%3"/>
      <w:lvlJc w:val="left"/>
      <w:pPr>
        <w:ind w:left="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CE4024A">
      <w:start w:val="1"/>
      <w:numFmt w:val="upperLetter"/>
      <w:lvlRestart w:val="0"/>
      <w:lvlText w:val="(%4)"/>
      <w:lvlJc w:val="left"/>
      <w:pPr>
        <w:ind w:left="15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C8FA7A">
      <w:start w:val="1"/>
      <w:numFmt w:val="lowerLetter"/>
      <w:lvlText w:val="%5"/>
      <w:lvlJc w:val="left"/>
      <w:pPr>
        <w:ind w:left="1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96412A">
      <w:start w:val="1"/>
      <w:numFmt w:val="lowerRoman"/>
      <w:lvlText w:val="%6"/>
      <w:lvlJc w:val="left"/>
      <w:pPr>
        <w:ind w:left="23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B50B33E">
      <w:start w:val="1"/>
      <w:numFmt w:val="decimal"/>
      <w:lvlText w:val="%7"/>
      <w:lvlJc w:val="left"/>
      <w:pPr>
        <w:ind w:left="31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6029BA0">
      <w:start w:val="1"/>
      <w:numFmt w:val="lowerLetter"/>
      <w:lvlText w:val="%8"/>
      <w:lvlJc w:val="left"/>
      <w:pPr>
        <w:ind w:left="38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1CC8EAA">
      <w:start w:val="1"/>
      <w:numFmt w:val="lowerRoman"/>
      <w:lvlText w:val="%9"/>
      <w:lvlJc w:val="left"/>
      <w:pPr>
        <w:ind w:left="4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2C"/>
    <w:rsid w:val="000F6408"/>
    <w:rsid w:val="004D5F48"/>
    <w:rsid w:val="00573FDF"/>
    <w:rsid w:val="00A12C2C"/>
    <w:rsid w:val="00E32498"/>
    <w:rsid w:val="00ED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8F627-62BD-4C86-B7AC-DD29DFD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8" w:line="320" w:lineRule="auto"/>
      <w:ind w:left="202" w:right="73"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https://www.law.cornell.edu/uscode/text/16/824d</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https://www.law.cornell.edu/uscode/text/16/824d</dc:title>
  <dc:subject/>
  <dc:creator>jnsed34</dc:creator>
  <cp:keywords/>
  <cp:lastModifiedBy>Jean Sonneman</cp:lastModifiedBy>
  <cp:revision>4</cp:revision>
  <dcterms:created xsi:type="dcterms:W3CDTF">2020-02-27T20:51:00Z</dcterms:created>
  <dcterms:modified xsi:type="dcterms:W3CDTF">2020-02-28T16:42:00Z</dcterms:modified>
</cp:coreProperties>
</file>